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D5865" w:rsidRPr="00A2656D" w14:paraId="23A91E5D" w14:textId="77777777" w:rsidTr="00E13E09">
        <w:trPr>
          <w:trHeight w:val="844"/>
        </w:trPr>
        <w:tc>
          <w:tcPr>
            <w:tcW w:w="976" w:type="dxa"/>
            <w:tcBorders>
              <w:bottom w:val="single" w:sz="12" w:space="0" w:color="auto"/>
            </w:tcBorders>
          </w:tcPr>
          <w:p w14:paraId="3F3C2DFE" w14:textId="77777777" w:rsidR="00FD5865" w:rsidRPr="00561F20" w:rsidRDefault="00FD5865" w:rsidP="00561F20">
            <w:pPr>
              <w:suppressLineNumbers/>
              <w:suppressAutoHyphens/>
              <w:rPr>
                <w:kern w:val="22"/>
              </w:rPr>
            </w:pPr>
            <w:bookmarkStart w:id="0" w:name="_Hlk505247837"/>
            <w:r w:rsidRPr="00561F20">
              <w:rPr>
                <w:noProof/>
                <w:kern w:val="22"/>
              </w:rPr>
              <w:drawing>
                <wp:anchor distT="0" distB="0" distL="114300" distR="114300" simplePos="0" relativeHeight="251660288" behindDoc="0" locked="0" layoutInCell="1" allowOverlap="1" wp14:anchorId="29FE964D" wp14:editId="26D8CA83">
                  <wp:simplePos x="0" y="0"/>
                  <wp:positionH relativeFrom="column">
                    <wp:posOffset>365</wp:posOffset>
                  </wp:positionH>
                  <wp:positionV relativeFrom="page">
                    <wp:posOffset>-122</wp:posOffset>
                  </wp:positionV>
                  <wp:extent cx="476250" cy="402590"/>
                  <wp:effectExtent l="0" t="0" r="0" b="0"/>
                  <wp:wrapNone/>
                  <wp:docPr id="10" name="Picture 1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02BD3BC6" w14:textId="77777777" w:rsidR="00FD5865" w:rsidRPr="00561F20" w:rsidRDefault="00FD5865" w:rsidP="00561F20">
            <w:pPr>
              <w:suppressLineNumbers/>
              <w:suppressAutoHyphens/>
              <w:rPr>
                <w:kern w:val="22"/>
              </w:rPr>
            </w:pPr>
            <w:r w:rsidRPr="004970FC">
              <w:rPr>
                <w:noProof/>
              </w:rPr>
              <w:drawing>
                <wp:anchor distT="0" distB="0" distL="114300" distR="114300" simplePos="0" relativeHeight="251659264" behindDoc="0" locked="0" layoutInCell="1" allowOverlap="1" wp14:anchorId="65DDC274" wp14:editId="0779C532">
                  <wp:simplePos x="0" y="0"/>
                  <wp:positionH relativeFrom="column">
                    <wp:posOffset>-121303</wp:posOffset>
                  </wp:positionH>
                  <wp:positionV relativeFrom="page">
                    <wp:posOffset>-77403</wp:posOffset>
                  </wp:positionV>
                  <wp:extent cx="941011" cy="59338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30AACDE2" w14:textId="77777777" w:rsidR="00FD5865" w:rsidRPr="00561F20" w:rsidRDefault="00FD5865" w:rsidP="00561F20">
            <w:pPr>
              <w:suppressLineNumbers/>
              <w:suppressAutoHyphens/>
              <w:jc w:val="right"/>
              <w:rPr>
                <w:rFonts w:ascii="Arial" w:hAnsi="Arial" w:cs="Arial"/>
                <w:b/>
                <w:kern w:val="22"/>
                <w:sz w:val="32"/>
                <w:szCs w:val="32"/>
              </w:rPr>
            </w:pPr>
            <w:r w:rsidRPr="00561F20">
              <w:rPr>
                <w:rFonts w:ascii="Arial" w:hAnsi="Arial" w:cs="Arial"/>
                <w:b/>
                <w:kern w:val="22"/>
                <w:sz w:val="32"/>
                <w:szCs w:val="32"/>
              </w:rPr>
              <w:t>CBD</w:t>
            </w:r>
          </w:p>
        </w:tc>
      </w:tr>
      <w:bookmarkEnd w:id="0"/>
      <w:tr w:rsidR="00C9161D" w:rsidRPr="00A2656D" w14:paraId="1A259E74" w14:textId="77777777" w:rsidTr="00CF1848">
        <w:tc>
          <w:tcPr>
            <w:tcW w:w="6117" w:type="dxa"/>
            <w:gridSpan w:val="2"/>
            <w:tcBorders>
              <w:top w:val="single" w:sz="12" w:space="0" w:color="auto"/>
              <w:bottom w:val="single" w:sz="36" w:space="0" w:color="auto"/>
            </w:tcBorders>
            <w:vAlign w:val="center"/>
          </w:tcPr>
          <w:p w14:paraId="181E2F1B" w14:textId="77777777" w:rsidR="00C9161D" w:rsidRPr="00A2656D" w:rsidRDefault="00C9161D" w:rsidP="00A2656D">
            <w:pPr>
              <w:suppressLineNumbers/>
              <w:suppressAutoHyphens/>
              <w:kinsoku w:val="0"/>
              <w:overflowPunct w:val="0"/>
              <w:autoSpaceDE w:val="0"/>
              <w:autoSpaceDN w:val="0"/>
              <w:rPr>
                <w:snapToGrid w:val="0"/>
                <w:kern w:val="22"/>
              </w:rPr>
            </w:pPr>
            <w:r w:rsidRPr="004970FC">
              <w:rPr>
                <w:noProof/>
                <w:snapToGrid w:val="0"/>
                <w:kern w:val="22"/>
                <w:lang w:eastAsia="zh-CN"/>
              </w:rPr>
              <w:drawing>
                <wp:inline distT="0" distB="0" distL="0" distR="0" wp14:anchorId="23461F85" wp14:editId="5433EAC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901D535" w14:textId="77777777" w:rsidR="00C9161D" w:rsidRPr="00A2656D" w:rsidRDefault="00C9161D" w:rsidP="00561F20">
            <w:pPr>
              <w:suppressLineNumbers/>
              <w:suppressAutoHyphens/>
              <w:kinsoku w:val="0"/>
              <w:overflowPunct w:val="0"/>
              <w:autoSpaceDE w:val="0"/>
              <w:autoSpaceDN w:val="0"/>
              <w:ind w:left="1215"/>
              <w:jc w:val="left"/>
              <w:rPr>
                <w:snapToGrid w:val="0"/>
                <w:kern w:val="22"/>
                <w:szCs w:val="22"/>
              </w:rPr>
            </w:pPr>
            <w:r w:rsidRPr="00A2656D">
              <w:rPr>
                <w:snapToGrid w:val="0"/>
                <w:kern w:val="22"/>
                <w:szCs w:val="22"/>
              </w:rPr>
              <w:t>Distr.</w:t>
            </w:r>
          </w:p>
          <w:p w14:paraId="365D2726" w14:textId="60CA5BD5" w:rsidR="00C9161D" w:rsidRPr="00A2656D" w:rsidRDefault="00BD75C3" w:rsidP="00561F20">
            <w:pPr>
              <w:suppressLineNumbers/>
              <w:suppressAutoHyphens/>
              <w:kinsoku w:val="0"/>
              <w:overflowPunct w:val="0"/>
              <w:autoSpaceDE w:val="0"/>
              <w:autoSpaceDN w:val="0"/>
              <w:ind w:left="1215"/>
              <w:jc w:val="left"/>
              <w:rPr>
                <w:snapToGrid w:val="0"/>
                <w:kern w:val="22"/>
                <w:szCs w:val="22"/>
              </w:rPr>
            </w:pPr>
            <w:sdt>
              <w:sdtPr>
                <w:rPr>
                  <w:snapToGrid w:val="0"/>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3E5B" w:rsidRPr="00561F20">
                  <w:rPr>
                    <w:snapToGrid w:val="0"/>
                    <w:kern w:val="22"/>
                    <w:szCs w:val="22"/>
                  </w:rPr>
                  <w:t>GENERAL</w:t>
                </w:r>
              </w:sdtContent>
            </w:sdt>
          </w:p>
          <w:p w14:paraId="2EB3AEED" w14:textId="77777777" w:rsidR="00C9161D" w:rsidRPr="00A2656D" w:rsidRDefault="00C9161D" w:rsidP="00561F20">
            <w:pPr>
              <w:suppressLineNumbers/>
              <w:suppressAutoHyphens/>
              <w:kinsoku w:val="0"/>
              <w:overflowPunct w:val="0"/>
              <w:autoSpaceDE w:val="0"/>
              <w:autoSpaceDN w:val="0"/>
              <w:ind w:left="1215"/>
              <w:jc w:val="left"/>
              <w:rPr>
                <w:snapToGrid w:val="0"/>
                <w:kern w:val="22"/>
                <w:szCs w:val="22"/>
              </w:rPr>
            </w:pPr>
          </w:p>
          <w:p w14:paraId="3E4A96EF" w14:textId="483B2B4B" w:rsidR="00C9161D" w:rsidRPr="00A2656D" w:rsidRDefault="00BD75C3" w:rsidP="00561F20">
            <w:pPr>
              <w:suppressLineNumbers/>
              <w:suppressAutoHyphens/>
              <w:kinsoku w:val="0"/>
              <w:overflowPunct w:val="0"/>
              <w:autoSpaceDE w:val="0"/>
              <w:autoSpaceDN w:val="0"/>
              <w:ind w:left="1215"/>
              <w:jc w:val="left"/>
              <w:rPr>
                <w:snapToGrid w:val="0"/>
                <w:kern w:val="22"/>
                <w:szCs w:val="22"/>
              </w:rPr>
            </w:pPr>
            <w:sdt>
              <w:sdtPr>
                <w:rPr>
                  <w:snapToGrid w:val="0"/>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B3E5B" w:rsidRPr="00A2656D">
                  <w:rPr>
                    <w:snapToGrid w:val="0"/>
                    <w:kern w:val="22"/>
                    <w:szCs w:val="22"/>
                  </w:rPr>
                  <w:t>CBD/NP/CC/3/3</w:t>
                </w:r>
              </w:sdtContent>
            </w:sdt>
          </w:p>
          <w:p w14:paraId="4E8D2AB0" w14:textId="3B3E473A" w:rsidR="00C9161D" w:rsidRPr="00A2656D" w:rsidRDefault="00BD75C3" w:rsidP="00561F20">
            <w:pPr>
              <w:suppressLineNumbers/>
              <w:suppressAutoHyphens/>
              <w:kinsoku w:val="0"/>
              <w:overflowPunct w:val="0"/>
              <w:autoSpaceDE w:val="0"/>
              <w:autoSpaceDN w:val="0"/>
              <w:ind w:left="1215"/>
              <w:jc w:val="left"/>
              <w:rPr>
                <w:snapToGrid w:val="0"/>
                <w:kern w:val="22"/>
                <w:szCs w:val="22"/>
              </w:rPr>
            </w:pPr>
            <w:sdt>
              <w:sdtPr>
                <w:rPr>
                  <w:snapToGrid w:val="0"/>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20-02-24T00:00:00Z">
                  <w:dateFormat w:val="d MMMM yyyy"/>
                  <w:lid w:val="en-US"/>
                  <w:storeMappedDataAs w:val="dateTime"/>
                  <w:calendar w:val="gregorian"/>
                </w:date>
              </w:sdtPr>
              <w:sdtEndPr/>
              <w:sdtContent>
                <w:r w:rsidR="002B3E5B" w:rsidRPr="00A2656D">
                  <w:rPr>
                    <w:snapToGrid w:val="0"/>
                    <w:kern w:val="22"/>
                    <w:szCs w:val="22"/>
                  </w:rPr>
                  <w:t>24 February 2020</w:t>
                </w:r>
              </w:sdtContent>
            </w:sdt>
          </w:p>
          <w:p w14:paraId="18AB6FF1" w14:textId="77777777" w:rsidR="00C9161D" w:rsidRPr="00A2656D" w:rsidRDefault="00C9161D" w:rsidP="00561F20">
            <w:pPr>
              <w:suppressLineNumbers/>
              <w:suppressAutoHyphens/>
              <w:kinsoku w:val="0"/>
              <w:overflowPunct w:val="0"/>
              <w:autoSpaceDE w:val="0"/>
              <w:autoSpaceDN w:val="0"/>
              <w:ind w:left="1215"/>
              <w:jc w:val="left"/>
              <w:rPr>
                <w:snapToGrid w:val="0"/>
                <w:kern w:val="22"/>
                <w:szCs w:val="22"/>
              </w:rPr>
            </w:pPr>
          </w:p>
          <w:p w14:paraId="03F22767" w14:textId="77777777" w:rsidR="00C9161D" w:rsidRPr="00A2656D" w:rsidRDefault="00C9161D" w:rsidP="00561F20">
            <w:pPr>
              <w:suppressLineNumbers/>
              <w:suppressAutoHyphens/>
              <w:kinsoku w:val="0"/>
              <w:overflowPunct w:val="0"/>
              <w:autoSpaceDE w:val="0"/>
              <w:autoSpaceDN w:val="0"/>
              <w:ind w:left="1215"/>
              <w:jc w:val="left"/>
              <w:rPr>
                <w:snapToGrid w:val="0"/>
                <w:kern w:val="22"/>
                <w:szCs w:val="22"/>
              </w:rPr>
            </w:pPr>
            <w:r w:rsidRPr="00A2656D">
              <w:rPr>
                <w:snapToGrid w:val="0"/>
                <w:kern w:val="22"/>
                <w:szCs w:val="22"/>
              </w:rPr>
              <w:t>ENGLISH</w:t>
            </w:r>
            <w:r w:rsidR="00172AF6" w:rsidRPr="00A2656D">
              <w:rPr>
                <w:snapToGrid w:val="0"/>
                <w:kern w:val="22"/>
                <w:szCs w:val="22"/>
              </w:rPr>
              <w:t xml:space="preserve"> ONLY</w:t>
            </w:r>
          </w:p>
          <w:p w14:paraId="7BDE4C64" w14:textId="77777777" w:rsidR="00C9161D" w:rsidRPr="00A2656D" w:rsidRDefault="00C9161D" w:rsidP="00561F20">
            <w:pPr>
              <w:suppressLineNumbers/>
              <w:suppressAutoHyphens/>
              <w:kinsoku w:val="0"/>
              <w:overflowPunct w:val="0"/>
              <w:autoSpaceDE w:val="0"/>
              <w:autoSpaceDN w:val="0"/>
              <w:jc w:val="left"/>
              <w:rPr>
                <w:snapToGrid w:val="0"/>
                <w:kern w:val="22"/>
              </w:rPr>
            </w:pPr>
          </w:p>
        </w:tc>
      </w:tr>
    </w:tbl>
    <w:p w14:paraId="303C8103" w14:textId="77777777" w:rsidR="000A6DB2" w:rsidRPr="00A2656D" w:rsidRDefault="000A6DB2" w:rsidP="00A2656D">
      <w:pPr>
        <w:pStyle w:val="Cornernotation"/>
        <w:suppressLineNumbers/>
        <w:suppressAutoHyphens/>
        <w:kinsoku w:val="0"/>
        <w:overflowPunct w:val="0"/>
        <w:autoSpaceDE w:val="0"/>
        <w:autoSpaceDN w:val="0"/>
        <w:ind w:left="284" w:right="5391" w:hanging="284"/>
        <w:rPr>
          <w:snapToGrid w:val="0"/>
          <w:kern w:val="22"/>
          <w:szCs w:val="22"/>
        </w:rPr>
      </w:pPr>
      <w:r w:rsidRPr="00A2656D">
        <w:rPr>
          <w:snapToGrid w:val="0"/>
          <w:kern w:val="22"/>
          <w:szCs w:val="22"/>
        </w:rPr>
        <w:t>COMPLIANCE COMMITTEE UNDER THE NAGOYA PROTOCOL</w:t>
      </w:r>
    </w:p>
    <w:p w14:paraId="1C2E24C3" w14:textId="77777777" w:rsidR="000A6DB2" w:rsidRPr="00A2656D" w:rsidRDefault="00C65992">
      <w:pPr>
        <w:pStyle w:val="Cornernotation"/>
        <w:suppressLineNumbers/>
        <w:suppressAutoHyphens/>
        <w:kinsoku w:val="0"/>
        <w:overflowPunct w:val="0"/>
        <w:autoSpaceDE w:val="0"/>
        <w:autoSpaceDN w:val="0"/>
        <w:ind w:left="0" w:right="3549" w:firstLine="0"/>
        <w:rPr>
          <w:snapToGrid w:val="0"/>
          <w:kern w:val="22"/>
          <w:szCs w:val="22"/>
        </w:rPr>
      </w:pPr>
      <w:r w:rsidRPr="00A2656D">
        <w:rPr>
          <w:snapToGrid w:val="0"/>
          <w:kern w:val="22"/>
          <w:szCs w:val="22"/>
        </w:rPr>
        <w:t xml:space="preserve">Third </w:t>
      </w:r>
      <w:r w:rsidR="000A6DB2" w:rsidRPr="00A2656D">
        <w:rPr>
          <w:snapToGrid w:val="0"/>
          <w:kern w:val="22"/>
          <w:szCs w:val="22"/>
        </w:rPr>
        <w:t>meeting</w:t>
      </w:r>
    </w:p>
    <w:p w14:paraId="31450A0F" w14:textId="6A8B1DB7" w:rsidR="000A6DB2" w:rsidRPr="00A2656D" w:rsidRDefault="00B04B05">
      <w:pPr>
        <w:pStyle w:val="Cornernotation"/>
        <w:suppressLineNumbers/>
        <w:suppressAutoHyphens/>
        <w:kinsoku w:val="0"/>
        <w:overflowPunct w:val="0"/>
        <w:autoSpaceDE w:val="0"/>
        <w:autoSpaceDN w:val="0"/>
        <w:ind w:left="0" w:right="3549" w:firstLine="0"/>
        <w:rPr>
          <w:snapToGrid w:val="0"/>
          <w:kern w:val="22"/>
          <w:szCs w:val="22"/>
        </w:rPr>
      </w:pPr>
      <w:r w:rsidRPr="00A2656D">
        <w:rPr>
          <w:snapToGrid w:val="0"/>
          <w:kern w:val="22"/>
          <w:szCs w:val="22"/>
        </w:rPr>
        <w:t>Online</w:t>
      </w:r>
      <w:r w:rsidR="000A6DB2" w:rsidRPr="00A2656D">
        <w:rPr>
          <w:snapToGrid w:val="0"/>
          <w:kern w:val="22"/>
          <w:szCs w:val="22"/>
        </w:rPr>
        <w:t xml:space="preserve">, </w:t>
      </w:r>
      <w:r w:rsidR="00C65992" w:rsidRPr="00A2656D">
        <w:rPr>
          <w:snapToGrid w:val="0"/>
          <w:kern w:val="22"/>
          <w:szCs w:val="22"/>
        </w:rPr>
        <w:t>21-23 April 2020</w:t>
      </w:r>
    </w:p>
    <w:p w14:paraId="409FA449" w14:textId="77777777" w:rsidR="000A6DB2" w:rsidRPr="00A2656D" w:rsidRDefault="000A6DB2">
      <w:pPr>
        <w:pStyle w:val="Cornernotation"/>
        <w:suppressLineNumbers/>
        <w:suppressAutoHyphens/>
        <w:kinsoku w:val="0"/>
        <w:overflowPunct w:val="0"/>
        <w:autoSpaceDE w:val="0"/>
        <w:autoSpaceDN w:val="0"/>
        <w:ind w:left="0" w:right="3549" w:firstLine="0"/>
        <w:rPr>
          <w:rFonts w:eastAsiaTheme="majorEastAsia"/>
          <w:snapToGrid w:val="0"/>
          <w:kern w:val="22"/>
          <w:szCs w:val="22"/>
        </w:rPr>
      </w:pPr>
      <w:r w:rsidRPr="00A2656D">
        <w:rPr>
          <w:snapToGrid w:val="0"/>
          <w:kern w:val="22"/>
          <w:szCs w:val="22"/>
        </w:rPr>
        <w:t>Item 4 of the provisional agenda</w:t>
      </w:r>
      <w:r w:rsidRPr="00A2656D">
        <w:rPr>
          <w:rStyle w:val="FootnoteReference"/>
          <w:rFonts w:eastAsiaTheme="majorEastAsia"/>
          <w:snapToGrid w:val="0"/>
          <w:kern w:val="22"/>
          <w:szCs w:val="22"/>
        </w:rPr>
        <w:footnoteReference w:customMarkFollows="1" w:id="1"/>
        <w:sym w:font="Symbol" w:char="F02A"/>
      </w:r>
    </w:p>
    <w:p w14:paraId="476E5F42" w14:textId="7FC7225D" w:rsidR="00176CEE" w:rsidRPr="00A2656D" w:rsidRDefault="00BD75C3">
      <w:pPr>
        <w:suppressLineNumbers/>
        <w:suppressAutoHyphens/>
        <w:kinsoku w:val="0"/>
        <w:overflowPunct w:val="0"/>
        <w:autoSpaceDE w:val="0"/>
        <w:autoSpaceDN w:val="0"/>
        <w:spacing w:before="240" w:after="120"/>
        <w:jc w:val="center"/>
        <w:rPr>
          <w:b/>
          <w:caps/>
          <w:snapToGrid w:val="0"/>
          <w:kern w:val="22"/>
          <w:szCs w:val="22"/>
        </w:rPr>
      </w:pPr>
      <w:sdt>
        <w:sdtPr>
          <w:rPr>
            <w:b/>
            <w:caps/>
            <w:snapToGrid w:val="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C7377A" w:rsidRPr="00561F20">
            <w:rPr>
              <w:b/>
              <w:caps/>
              <w:snapToGrid w:val="0"/>
              <w:kern w:val="22"/>
              <w:szCs w:val="22"/>
            </w:rPr>
            <w:t>Review of general issues of compliance</w:t>
          </w:r>
        </w:sdtContent>
      </w:sdt>
    </w:p>
    <w:p w14:paraId="70493F8A" w14:textId="77777777" w:rsidR="00660370" w:rsidRPr="00A2656D" w:rsidRDefault="00660370" w:rsidP="00561F20">
      <w:pPr>
        <w:suppressLineNumbers/>
        <w:suppressAutoHyphens/>
        <w:kinsoku w:val="0"/>
        <w:overflowPunct w:val="0"/>
        <w:autoSpaceDE w:val="0"/>
        <w:autoSpaceDN w:val="0"/>
        <w:spacing w:before="120" w:after="120"/>
        <w:jc w:val="center"/>
        <w:rPr>
          <w:i/>
          <w:iCs/>
          <w:snapToGrid w:val="0"/>
          <w:kern w:val="22"/>
          <w:szCs w:val="22"/>
          <w:lang w:eastAsia="en-CA"/>
        </w:rPr>
      </w:pPr>
      <w:r w:rsidRPr="00A2656D">
        <w:rPr>
          <w:i/>
          <w:iCs/>
          <w:snapToGrid w:val="0"/>
          <w:kern w:val="22"/>
          <w:szCs w:val="22"/>
          <w:lang w:eastAsia="en-CA"/>
        </w:rPr>
        <w:t>Note by the Executive Secretary</w:t>
      </w:r>
    </w:p>
    <w:p w14:paraId="451785CC" w14:textId="77777777" w:rsidR="000A6DB2" w:rsidRPr="00561F20" w:rsidRDefault="007B0D6D" w:rsidP="00A2656D">
      <w:pPr>
        <w:pStyle w:val="Heading1"/>
        <w:suppressLineNumbers/>
        <w:tabs>
          <w:tab w:val="clear" w:pos="720"/>
        </w:tabs>
        <w:suppressAutoHyphens/>
        <w:kinsoku w:val="0"/>
        <w:overflowPunct w:val="0"/>
        <w:autoSpaceDE w:val="0"/>
        <w:autoSpaceDN w:val="0"/>
        <w:spacing w:before="120"/>
        <w:rPr>
          <w:bCs/>
          <w:snapToGrid w:val="0"/>
          <w:kern w:val="22"/>
          <w:szCs w:val="22"/>
        </w:rPr>
      </w:pPr>
      <w:r w:rsidRPr="00561F20">
        <w:rPr>
          <w:bCs/>
          <w:snapToGrid w:val="0"/>
          <w:kern w:val="22"/>
          <w:szCs w:val="22"/>
        </w:rPr>
        <w:t>Introduction</w:t>
      </w:r>
    </w:p>
    <w:p w14:paraId="3274B5E8" w14:textId="50381551" w:rsidR="00C65992" w:rsidRPr="00561F20" w:rsidRDefault="00C6599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snapToGrid w:val="0"/>
          <w:spacing w:val="-4"/>
          <w:kern w:val="22"/>
          <w:szCs w:val="22"/>
        </w:rPr>
      </w:pPr>
      <w:r w:rsidRPr="00561F20">
        <w:rPr>
          <w:snapToGrid w:val="0"/>
          <w:spacing w:val="-4"/>
          <w:kern w:val="22"/>
          <w:szCs w:val="22"/>
        </w:rPr>
        <w:t xml:space="preserve">In accordance with section D, paragraph 10, of the compliance procedures and mechanisms (decision </w:t>
      </w:r>
      <w:hyperlink r:id="rId15" w:history="1">
        <w:r w:rsidRPr="00561F20">
          <w:rPr>
            <w:rStyle w:val="Hyperlink"/>
            <w:snapToGrid w:val="0"/>
            <w:spacing w:val="-4"/>
            <w:kern w:val="22"/>
            <w:sz w:val="22"/>
            <w:szCs w:val="22"/>
          </w:rPr>
          <w:t>NP 1/4</w:t>
        </w:r>
      </w:hyperlink>
      <w:r w:rsidR="00E04198" w:rsidRPr="00561F20">
        <w:rPr>
          <w:snapToGrid w:val="0"/>
          <w:spacing w:val="-4"/>
          <w:kern w:val="22"/>
          <w:szCs w:val="22"/>
        </w:rPr>
        <w:t>,</w:t>
      </w:r>
      <w:r w:rsidR="005745F7" w:rsidRPr="00561F20">
        <w:rPr>
          <w:snapToGrid w:val="0"/>
          <w:spacing w:val="-4"/>
          <w:kern w:val="22"/>
          <w:szCs w:val="22"/>
        </w:rPr>
        <w:t xml:space="preserve"> annex</w:t>
      </w:r>
      <w:r w:rsidRPr="00561F20">
        <w:rPr>
          <w:snapToGrid w:val="0"/>
          <w:spacing w:val="-4"/>
          <w:kern w:val="22"/>
          <w:szCs w:val="22"/>
        </w:rPr>
        <w:t>), the Committee may examine systemic issues of general non-compliance that come to its attention.</w:t>
      </w:r>
    </w:p>
    <w:p w14:paraId="4273541B" w14:textId="29314B40" w:rsidR="00C65992" w:rsidRPr="00A2656D" w:rsidRDefault="00C6599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snapToGrid w:val="0"/>
          <w:kern w:val="22"/>
          <w:szCs w:val="22"/>
        </w:rPr>
      </w:pPr>
      <w:r w:rsidRPr="00A2656D">
        <w:rPr>
          <w:snapToGrid w:val="0"/>
          <w:kern w:val="22"/>
          <w:szCs w:val="22"/>
        </w:rPr>
        <w:t xml:space="preserve">At its last meeting, the Committee </w:t>
      </w:r>
      <w:r w:rsidR="006C2CC8" w:rsidRPr="00A2656D">
        <w:rPr>
          <w:snapToGrid w:val="0"/>
          <w:kern w:val="22"/>
          <w:szCs w:val="22"/>
        </w:rPr>
        <w:t xml:space="preserve">was provided by the Secretariat with information on the rate of submission of interim national reports as required under Article 29 of the Nagoya Protocol and further to decision </w:t>
      </w:r>
      <w:hyperlink r:id="rId16" w:history="1">
        <w:r w:rsidR="006C2CC8" w:rsidRPr="00A2656D">
          <w:rPr>
            <w:rStyle w:val="Hyperlink"/>
            <w:snapToGrid w:val="0"/>
            <w:kern w:val="22"/>
            <w:sz w:val="22"/>
            <w:szCs w:val="22"/>
          </w:rPr>
          <w:t>NP-1/3</w:t>
        </w:r>
      </w:hyperlink>
      <w:r w:rsidR="006C2CC8" w:rsidRPr="00A2656D">
        <w:rPr>
          <w:snapToGrid w:val="0"/>
          <w:kern w:val="22"/>
          <w:szCs w:val="22"/>
        </w:rPr>
        <w:t xml:space="preserve"> of the first meeting of the Parties. The Committee </w:t>
      </w:r>
      <w:r w:rsidRPr="00A2656D">
        <w:rPr>
          <w:snapToGrid w:val="0"/>
          <w:kern w:val="22"/>
          <w:szCs w:val="22"/>
        </w:rPr>
        <w:t xml:space="preserve">requested the Executive Secretary to send letters to those Parties that had not yet submitted their reports urging them to do so as soon as possible and inviting them to provide information on challenges they had faced in completing and submitting </w:t>
      </w:r>
      <w:r w:rsidR="00A828B5" w:rsidRPr="00A2656D">
        <w:rPr>
          <w:snapToGrid w:val="0"/>
          <w:kern w:val="22"/>
          <w:szCs w:val="22"/>
        </w:rPr>
        <w:t>such</w:t>
      </w:r>
      <w:r w:rsidRPr="00A2656D">
        <w:rPr>
          <w:snapToGrid w:val="0"/>
          <w:kern w:val="22"/>
          <w:szCs w:val="22"/>
        </w:rPr>
        <w:t xml:space="preserve"> report</w:t>
      </w:r>
      <w:r w:rsidR="00A828B5" w:rsidRPr="00A2656D">
        <w:rPr>
          <w:snapToGrid w:val="0"/>
          <w:kern w:val="22"/>
          <w:szCs w:val="22"/>
        </w:rPr>
        <w:t>s</w:t>
      </w:r>
      <w:r w:rsidRPr="00A2656D">
        <w:rPr>
          <w:snapToGrid w:val="0"/>
          <w:kern w:val="22"/>
          <w:szCs w:val="22"/>
        </w:rPr>
        <w:t xml:space="preserve">. The Committee requested the Executive Secretary to </w:t>
      </w:r>
      <w:r w:rsidR="005A7667">
        <w:rPr>
          <w:snapToGrid w:val="0"/>
          <w:kern w:val="22"/>
          <w:szCs w:val="22"/>
        </w:rPr>
        <w:t>submit</w:t>
      </w:r>
      <w:r w:rsidR="005A7667" w:rsidRPr="00A2656D">
        <w:rPr>
          <w:snapToGrid w:val="0"/>
          <w:kern w:val="22"/>
          <w:szCs w:val="22"/>
        </w:rPr>
        <w:t xml:space="preserve"> </w:t>
      </w:r>
      <w:r w:rsidRPr="00A2656D">
        <w:rPr>
          <w:snapToGrid w:val="0"/>
          <w:kern w:val="22"/>
          <w:szCs w:val="22"/>
        </w:rPr>
        <w:t>the results of those communications to it at its third meeting.</w:t>
      </w:r>
    </w:p>
    <w:p w14:paraId="5D6E6CF1" w14:textId="6320A11A" w:rsidR="00C65992" w:rsidRPr="00A2656D" w:rsidRDefault="00C6599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snapToGrid w:val="0"/>
          <w:kern w:val="22"/>
          <w:szCs w:val="22"/>
        </w:rPr>
      </w:pPr>
      <w:r w:rsidRPr="00A2656D">
        <w:rPr>
          <w:snapToGrid w:val="0"/>
          <w:kern w:val="22"/>
          <w:szCs w:val="22"/>
        </w:rPr>
        <w:t>The meeting of the Parties</w:t>
      </w:r>
      <w:r w:rsidR="00A828B5" w:rsidRPr="00A2656D">
        <w:rPr>
          <w:snapToGrid w:val="0"/>
          <w:kern w:val="22"/>
          <w:szCs w:val="22"/>
        </w:rPr>
        <w:t xml:space="preserve"> to the Protocol</w:t>
      </w:r>
      <w:r w:rsidRPr="00A2656D">
        <w:rPr>
          <w:snapToGrid w:val="0"/>
          <w:kern w:val="22"/>
          <w:szCs w:val="22"/>
        </w:rPr>
        <w:t xml:space="preserve">, in decision </w:t>
      </w:r>
      <w:hyperlink r:id="rId17" w:history="1">
        <w:r w:rsidR="00125498" w:rsidRPr="00A2656D">
          <w:rPr>
            <w:rStyle w:val="Hyperlink"/>
            <w:snapToGrid w:val="0"/>
            <w:kern w:val="22"/>
            <w:sz w:val="22"/>
            <w:szCs w:val="22"/>
          </w:rPr>
          <w:t>NP-</w:t>
        </w:r>
        <w:r w:rsidRPr="00A2656D">
          <w:rPr>
            <w:rStyle w:val="Hyperlink"/>
            <w:snapToGrid w:val="0"/>
            <w:kern w:val="22"/>
            <w:sz w:val="22"/>
            <w:szCs w:val="22"/>
          </w:rPr>
          <w:t>3/15</w:t>
        </w:r>
      </w:hyperlink>
      <w:r w:rsidRPr="00A2656D">
        <w:rPr>
          <w:snapToGrid w:val="0"/>
          <w:kern w:val="22"/>
          <w:szCs w:val="22"/>
        </w:rPr>
        <w:t xml:space="preserve"> on the preparation for the follow-up to the Strategic Plan for Biodiversity 2011-2020, requested that the Compliance Committee at its next meeting consider how to support and promote compliance with the Nagoya Protocol within the post-2020 global biodiversity framework (para</w:t>
      </w:r>
      <w:r w:rsidR="007E5919" w:rsidRPr="00A2656D">
        <w:rPr>
          <w:snapToGrid w:val="0"/>
          <w:kern w:val="22"/>
          <w:szCs w:val="22"/>
        </w:rPr>
        <w:t>.</w:t>
      </w:r>
      <w:r w:rsidRPr="00A2656D">
        <w:rPr>
          <w:snapToGrid w:val="0"/>
          <w:kern w:val="22"/>
          <w:szCs w:val="22"/>
        </w:rPr>
        <w:t xml:space="preserve"> 5).</w:t>
      </w:r>
    </w:p>
    <w:p w14:paraId="70565149" w14:textId="72B8FB91" w:rsidR="000A6DB2" w:rsidRPr="00A2656D" w:rsidRDefault="00DE3C71">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r w:rsidRPr="00A2656D">
        <w:rPr>
          <w:snapToGrid w:val="0"/>
          <w:kern w:val="22"/>
          <w:szCs w:val="22"/>
        </w:rPr>
        <w:t>Accordingly, t</w:t>
      </w:r>
      <w:r w:rsidR="000A6DB2" w:rsidRPr="00A2656D">
        <w:rPr>
          <w:snapToGrid w:val="0"/>
          <w:kern w:val="22"/>
          <w:szCs w:val="22"/>
        </w:rPr>
        <w:t xml:space="preserve">he present document contains, in section I, information on </w:t>
      </w:r>
      <w:r w:rsidR="009C74F3" w:rsidRPr="00A2656D">
        <w:rPr>
          <w:snapToGrid w:val="0"/>
          <w:kern w:val="22"/>
          <w:szCs w:val="22"/>
        </w:rPr>
        <w:t xml:space="preserve">the </w:t>
      </w:r>
      <w:r w:rsidRPr="00A2656D">
        <w:rPr>
          <w:snapToGrid w:val="0"/>
          <w:kern w:val="22"/>
          <w:szCs w:val="22"/>
        </w:rPr>
        <w:t xml:space="preserve">status of </w:t>
      </w:r>
      <w:r w:rsidR="000A6DB2" w:rsidRPr="00A2656D">
        <w:rPr>
          <w:snapToGrid w:val="0"/>
          <w:kern w:val="22"/>
          <w:szCs w:val="22"/>
        </w:rPr>
        <w:t xml:space="preserve">submission of the interim national reports. Section II </w:t>
      </w:r>
      <w:r w:rsidR="009C74F3" w:rsidRPr="00A2656D">
        <w:rPr>
          <w:snapToGrid w:val="0"/>
          <w:kern w:val="22"/>
          <w:szCs w:val="22"/>
        </w:rPr>
        <w:t xml:space="preserve">reviews </w:t>
      </w:r>
      <w:r w:rsidR="000A6DB2" w:rsidRPr="00A2656D">
        <w:rPr>
          <w:snapToGrid w:val="0"/>
          <w:kern w:val="22"/>
          <w:szCs w:val="22"/>
        </w:rPr>
        <w:t>general issues of compliance</w:t>
      </w:r>
      <w:r w:rsidR="00D20139" w:rsidRPr="00A2656D">
        <w:rPr>
          <w:snapToGrid w:val="0"/>
          <w:kern w:val="22"/>
          <w:szCs w:val="22"/>
        </w:rPr>
        <w:t>;</w:t>
      </w:r>
      <w:r w:rsidR="000A6DB2" w:rsidRPr="00A2656D">
        <w:rPr>
          <w:snapToGrid w:val="0"/>
          <w:kern w:val="22"/>
          <w:szCs w:val="22"/>
        </w:rPr>
        <w:t xml:space="preserve"> </w:t>
      </w:r>
      <w:r w:rsidR="009C74F3" w:rsidRPr="00A2656D">
        <w:rPr>
          <w:snapToGrid w:val="0"/>
          <w:kern w:val="22"/>
          <w:szCs w:val="22"/>
        </w:rPr>
        <w:t>section I</w:t>
      </w:r>
      <w:r w:rsidR="00092D8B" w:rsidRPr="00A2656D">
        <w:rPr>
          <w:snapToGrid w:val="0"/>
          <w:kern w:val="22"/>
          <w:szCs w:val="22"/>
        </w:rPr>
        <w:t>II</w:t>
      </w:r>
      <w:r w:rsidR="009C74F3" w:rsidRPr="00A2656D">
        <w:rPr>
          <w:snapToGrid w:val="0"/>
          <w:kern w:val="22"/>
          <w:szCs w:val="22"/>
        </w:rPr>
        <w:t xml:space="preserve"> </w:t>
      </w:r>
      <w:r w:rsidRPr="00A2656D">
        <w:rPr>
          <w:snapToGrid w:val="0"/>
          <w:kern w:val="22"/>
          <w:szCs w:val="22"/>
        </w:rPr>
        <w:t xml:space="preserve">highlights </w:t>
      </w:r>
      <w:r w:rsidR="00D20139" w:rsidRPr="00A2656D">
        <w:rPr>
          <w:snapToGrid w:val="0"/>
          <w:kern w:val="22"/>
          <w:szCs w:val="22"/>
        </w:rPr>
        <w:t xml:space="preserve">the request </w:t>
      </w:r>
      <w:r w:rsidR="005F04EB" w:rsidRPr="00A2656D">
        <w:rPr>
          <w:snapToGrid w:val="0"/>
          <w:kern w:val="22"/>
          <w:szCs w:val="22"/>
        </w:rPr>
        <w:t xml:space="preserve">made to the Committee to consider </w:t>
      </w:r>
      <w:r w:rsidRPr="00A2656D">
        <w:rPr>
          <w:snapToGrid w:val="0"/>
          <w:kern w:val="22"/>
          <w:szCs w:val="22"/>
        </w:rPr>
        <w:t xml:space="preserve">how to support and </w:t>
      </w:r>
      <w:r w:rsidR="002E2CC8" w:rsidRPr="00A2656D">
        <w:rPr>
          <w:snapToGrid w:val="0"/>
          <w:kern w:val="22"/>
          <w:szCs w:val="22"/>
        </w:rPr>
        <w:t>promot</w:t>
      </w:r>
      <w:r w:rsidRPr="00A2656D">
        <w:rPr>
          <w:snapToGrid w:val="0"/>
          <w:kern w:val="22"/>
          <w:szCs w:val="22"/>
        </w:rPr>
        <w:t>e</w:t>
      </w:r>
      <w:r w:rsidR="002E2CC8" w:rsidRPr="00A2656D">
        <w:rPr>
          <w:snapToGrid w:val="0"/>
          <w:kern w:val="22"/>
          <w:szCs w:val="22"/>
        </w:rPr>
        <w:t xml:space="preserve"> compliance with the Nagoya Protocol within the post-2020 </w:t>
      </w:r>
      <w:r w:rsidR="00AD239B" w:rsidRPr="00A2656D">
        <w:rPr>
          <w:snapToGrid w:val="0"/>
          <w:kern w:val="22"/>
          <w:szCs w:val="22"/>
        </w:rPr>
        <w:t>g</w:t>
      </w:r>
      <w:r w:rsidR="002E2CC8" w:rsidRPr="00A2656D">
        <w:rPr>
          <w:snapToGrid w:val="0"/>
          <w:kern w:val="22"/>
          <w:szCs w:val="22"/>
        </w:rPr>
        <w:t xml:space="preserve">lobal </w:t>
      </w:r>
      <w:r w:rsidR="00AD239B" w:rsidRPr="00A2656D">
        <w:rPr>
          <w:snapToGrid w:val="0"/>
          <w:kern w:val="22"/>
          <w:szCs w:val="22"/>
        </w:rPr>
        <w:t>b</w:t>
      </w:r>
      <w:r w:rsidR="002E2CC8" w:rsidRPr="00A2656D">
        <w:rPr>
          <w:snapToGrid w:val="0"/>
          <w:kern w:val="22"/>
          <w:szCs w:val="22"/>
        </w:rPr>
        <w:t xml:space="preserve">iodiversity </w:t>
      </w:r>
      <w:r w:rsidR="00AD239B" w:rsidRPr="00A2656D">
        <w:rPr>
          <w:snapToGrid w:val="0"/>
          <w:kern w:val="22"/>
          <w:szCs w:val="22"/>
        </w:rPr>
        <w:t>f</w:t>
      </w:r>
      <w:r w:rsidR="002E2CC8" w:rsidRPr="00A2656D">
        <w:rPr>
          <w:snapToGrid w:val="0"/>
          <w:kern w:val="22"/>
          <w:szCs w:val="22"/>
        </w:rPr>
        <w:t>ramework</w:t>
      </w:r>
      <w:r w:rsidR="00092D8B" w:rsidRPr="00A2656D">
        <w:rPr>
          <w:snapToGrid w:val="0"/>
          <w:kern w:val="22"/>
          <w:szCs w:val="22"/>
        </w:rPr>
        <w:t xml:space="preserve">, and section IV </w:t>
      </w:r>
      <w:r w:rsidR="00D20139" w:rsidRPr="00A2656D">
        <w:rPr>
          <w:snapToGrid w:val="0"/>
          <w:kern w:val="22"/>
          <w:szCs w:val="22"/>
        </w:rPr>
        <w:t xml:space="preserve">presents some elements of </w:t>
      </w:r>
      <w:r w:rsidR="00092D8B" w:rsidRPr="00A2656D">
        <w:rPr>
          <w:snapToGrid w:val="0"/>
          <w:kern w:val="22"/>
          <w:szCs w:val="22"/>
        </w:rPr>
        <w:t>suggest</w:t>
      </w:r>
      <w:r w:rsidR="00D20139" w:rsidRPr="00A2656D">
        <w:rPr>
          <w:snapToGrid w:val="0"/>
          <w:kern w:val="22"/>
          <w:szCs w:val="22"/>
        </w:rPr>
        <w:t>ions</w:t>
      </w:r>
      <w:r w:rsidR="00092D8B" w:rsidRPr="00A2656D">
        <w:rPr>
          <w:snapToGrid w:val="0"/>
          <w:kern w:val="22"/>
          <w:szCs w:val="22"/>
        </w:rPr>
        <w:t xml:space="preserve"> for consideration by the Committee</w:t>
      </w:r>
      <w:r w:rsidR="00D20139" w:rsidRPr="00A2656D">
        <w:rPr>
          <w:snapToGrid w:val="0"/>
          <w:kern w:val="22"/>
          <w:szCs w:val="22"/>
        </w:rPr>
        <w:t>.</w:t>
      </w:r>
    </w:p>
    <w:p w14:paraId="3A794166" w14:textId="02DE29EF" w:rsidR="000A6DB2" w:rsidRPr="00561F20" w:rsidRDefault="0068594D" w:rsidP="00561F20">
      <w:pPr>
        <w:pStyle w:val="Heading1"/>
        <w:numPr>
          <w:ilvl w:val="0"/>
          <w:numId w:val="14"/>
        </w:numPr>
        <w:suppressLineNumbers/>
        <w:suppressAutoHyphens/>
        <w:kinsoku w:val="0"/>
        <w:overflowPunct w:val="0"/>
        <w:autoSpaceDE w:val="0"/>
        <w:autoSpaceDN w:val="0"/>
        <w:spacing w:before="120"/>
        <w:ind w:left="1077"/>
        <w:rPr>
          <w:rFonts w:ascii="Times New Roman Bold" w:hAnsi="Times New Roman Bold"/>
          <w:bCs/>
          <w:snapToGrid w:val="0"/>
          <w:kern w:val="22"/>
          <w:szCs w:val="22"/>
        </w:rPr>
      </w:pPr>
      <w:r w:rsidRPr="00561F20">
        <w:rPr>
          <w:rFonts w:ascii="Times New Roman Bold" w:hAnsi="Times New Roman Bold"/>
          <w:bCs/>
          <w:snapToGrid w:val="0"/>
          <w:kern w:val="22"/>
          <w:szCs w:val="22"/>
        </w:rPr>
        <w:t xml:space="preserve">Status of </w:t>
      </w:r>
      <w:r w:rsidR="007B0D6D" w:rsidRPr="00561F20">
        <w:rPr>
          <w:rFonts w:ascii="Times New Roman Bold" w:hAnsi="Times New Roman Bold"/>
          <w:bCs/>
          <w:snapToGrid w:val="0"/>
          <w:kern w:val="22"/>
          <w:szCs w:val="22"/>
        </w:rPr>
        <w:t xml:space="preserve">submission of interim national </w:t>
      </w:r>
      <w:r w:rsidRPr="00561F20">
        <w:rPr>
          <w:rFonts w:ascii="Times New Roman Bold" w:hAnsi="Times New Roman Bold"/>
          <w:bCs/>
          <w:snapToGrid w:val="0"/>
          <w:kern w:val="22"/>
          <w:szCs w:val="22"/>
        </w:rPr>
        <w:t xml:space="preserve">reports </w:t>
      </w:r>
      <w:r w:rsidR="009C74F3" w:rsidRPr="00561F20">
        <w:rPr>
          <w:rFonts w:ascii="Times New Roman Bold" w:hAnsi="Times New Roman Bold"/>
          <w:bCs/>
          <w:snapToGrid w:val="0"/>
          <w:kern w:val="22"/>
          <w:szCs w:val="22"/>
        </w:rPr>
        <w:t>(Article 29)</w:t>
      </w:r>
    </w:p>
    <w:p w14:paraId="58CEC4D6" w14:textId="3D97F09F" w:rsidR="000A6DB2" w:rsidRPr="00F02184"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Arial Unicode MS"/>
          <w:snapToGrid w:val="0"/>
          <w:color w:val="000000"/>
          <w:kern w:val="22"/>
          <w:szCs w:val="22"/>
          <w:u w:color="000000"/>
          <w:bdr w:val="nil"/>
        </w:rPr>
      </w:pPr>
      <w:r w:rsidRPr="00A2656D">
        <w:rPr>
          <w:rFonts w:eastAsia="Arial Unicode MS"/>
          <w:snapToGrid w:val="0"/>
          <w:color w:val="000000"/>
          <w:kern w:val="22"/>
          <w:szCs w:val="22"/>
          <w:u w:color="000000"/>
          <w:bdr w:val="nil"/>
        </w:rPr>
        <w:t xml:space="preserve">Article 29 of the Protocol requires Parties to monitor the implementation of </w:t>
      </w:r>
      <w:r w:rsidR="001A6D5F" w:rsidRPr="00A2656D">
        <w:rPr>
          <w:rFonts w:eastAsia="Arial Unicode MS"/>
          <w:snapToGrid w:val="0"/>
          <w:color w:val="000000"/>
          <w:kern w:val="22"/>
          <w:szCs w:val="22"/>
          <w:u w:color="000000"/>
          <w:bdr w:val="nil"/>
        </w:rPr>
        <w:t xml:space="preserve">their </w:t>
      </w:r>
      <w:r w:rsidRPr="00A2656D">
        <w:rPr>
          <w:rFonts w:eastAsia="Arial Unicode MS"/>
          <w:snapToGrid w:val="0"/>
          <w:color w:val="000000"/>
          <w:kern w:val="22"/>
          <w:szCs w:val="22"/>
          <w:u w:color="000000"/>
          <w:bdr w:val="nil"/>
        </w:rPr>
        <w:t xml:space="preserve">obligations under </w:t>
      </w:r>
      <w:r w:rsidRPr="00F02184">
        <w:rPr>
          <w:rFonts w:eastAsia="Arial Unicode MS"/>
          <w:snapToGrid w:val="0"/>
          <w:color w:val="000000"/>
          <w:kern w:val="22"/>
          <w:szCs w:val="22"/>
          <w:u w:color="000000"/>
          <w:bdr w:val="nil"/>
        </w:rPr>
        <w:t>this Protocol and to report to the Conference of the Parties serving as the meeting of the Parties to the Protocol on measures that it has taken to implement the Protocol.</w:t>
      </w:r>
    </w:p>
    <w:p w14:paraId="578D9074" w14:textId="681D1B8E" w:rsidR="00835282" w:rsidRPr="002E716F" w:rsidRDefault="001C70C5">
      <w:pPr>
        <w:numPr>
          <w:ilvl w:val="0"/>
          <w:numId w:val="15"/>
        </w:numPr>
        <w:suppressLineNumbers/>
        <w:suppressAutoHyphens/>
        <w:kinsoku w:val="0"/>
        <w:overflowPunct w:val="0"/>
        <w:autoSpaceDE w:val="0"/>
        <w:autoSpaceDN w:val="0"/>
        <w:rPr>
          <w:rFonts w:eastAsia="Arial Unicode MS"/>
          <w:snapToGrid w:val="0"/>
          <w:color w:val="000000"/>
          <w:kern w:val="22"/>
          <w:szCs w:val="22"/>
          <w:u w:color="000000"/>
          <w:bdr w:val="nil"/>
        </w:rPr>
      </w:pPr>
      <w:r w:rsidRPr="002E716F">
        <w:rPr>
          <w:rFonts w:eastAsia="Arial Unicode MS"/>
          <w:snapToGrid w:val="0"/>
          <w:color w:val="000000"/>
          <w:kern w:val="22"/>
          <w:szCs w:val="22"/>
          <w:u w:color="000000"/>
          <w:bdr w:val="nil"/>
        </w:rPr>
        <w:t xml:space="preserve">In decision </w:t>
      </w:r>
      <w:hyperlink r:id="rId18" w:history="1">
        <w:r w:rsidRPr="00561F20">
          <w:rPr>
            <w:rStyle w:val="Hyperlink"/>
            <w:snapToGrid w:val="0"/>
            <w:kern w:val="18"/>
            <w:sz w:val="22"/>
            <w:szCs w:val="22"/>
          </w:rPr>
          <w:t>NP-1/3</w:t>
        </w:r>
      </w:hyperlink>
      <w:r w:rsidRPr="002E716F">
        <w:rPr>
          <w:rFonts w:eastAsia="Arial Unicode MS"/>
          <w:snapToGrid w:val="0"/>
          <w:color w:val="000000"/>
          <w:kern w:val="22"/>
          <w:szCs w:val="22"/>
          <w:u w:color="000000"/>
          <w:bdr w:val="nil"/>
        </w:rPr>
        <w:t xml:space="preserve">, </w:t>
      </w:r>
      <w:r w:rsidR="000A6DB2" w:rsidRPr="002E716F">
        <w:rPr>
          <w:rFonts w:eastAsia="Arial Unicode MS"/>
          <w:snapToGrid w:val="0"/>
          <w:color w:val="000000"/>
          <w:kern w:val="22"/>
          <w:szCs w:val="22"/>
          <w:u w:color="000000"/>
          <w:bdr w:val="nil"/>
        </w:rPr>
        <w:t xml:space="preserve">the </w:t>
      </w:r>
      <w:r w:rsidRPr="002E716F">
        <w:rPr>
          <w:rFonts w:eastAsia="Arial Unicode MS"/>
          <w:snapToGrid w:val="0"/>
          <w:color w:val="000000"/>
          <w:kern w:val="22"/>
          <w:szCs w:val="22"/>
          <w:u w:color="000000"/>
          <w:bdr w:val="nil"/>
        </w:rPr>
        <w:t>Parties to the Protocol,</w:t>
      </w:r>
      <w:r w:rsidR="000A6DB2" w:rsidRPr="002E716F" w:rsidDel="00B0388F">
        <w:rPr>
          <w:rFonts w:eastAsia="Arial Unicode MS"/>
          <w:snapToGrid w:val="0"/>
          <w:color w:val="000000"/>
          <w:kern w:val="22"/>
          <w:szCs w:val="22"/>
          <w:u w:color="000000"/>
          <w:bdr w:val="nil"/>
        </w:rPr>
        <w:t xml:space="preserve"> </w:t>
      </w:r>
      <w:r w:rsidR="000A6DB2" w:rsidRPr="002E716F">
        <w:rPr>
          <w:rFonts w:eastAsia="Arial Unicode MS"/>
          <w:snapToGrid w:val="0"/>
          <w:color w:val="000000"/>
          <w:kern w:val="22"/>
          <w:szCs w:val="22"/>
          <w:u w:color="000000"/>
          <w:bdr w:val="nil"/>
        </w:rPr>
        <w:t xml:space="preserve">agreed on the format and guidelines for submission of an interim national report on the implementation of the Nagoya Protocol and requested Parties to the Protocol to submit the report </w:t>
      </w:r>
      <w:r w:rsidR="00330628" w:rsidRPr="002E716F">
        <w:rPr>
          <w:rFonts w:eastAsia="Arial Unicode MS"/>
          <w:snapToGrid w:val="0"/>
          <w:color w:val="000000"/>
          <w:kern w:val="22"/>
          <w:szCs w:val="22"/>
          <w:u w:color="000000"/>
          <w:bdr w:val="nil"/>
        </w:rPr>
        <w:t xml:space="preserve">12 </w:t>
      </w:r>
      <w:r w:rsidR="000A6DB2" w:rsidRPr="002E716F">
        <w:rPr>
          <w:rFonts w:eastAsia="Arial Unicode MS"/>
          <w:snapToGrid w:val="0"/>
          <w:color w:val="000000"/>
          <w:kern w:val="22"/>
          <w:szCs w:val="22"/>
          <w:u w:color="000000"/>
          <w:bdr w:val="nil"/>
        </w:rPr>
        <w:t xml:space="preserve">months prior to the third meeting of the </w:t>
      </w:r>
      <w:r w:rsidR="0035329A" w:rsidRPr="002E716F">
        <w:rPr>
          <w:rFonts w:eastAsia="Arial Unicode MS"/>
          <w:snapToGrid w:val="0"/>
          <w:color w:val="000000"/>
          <w:kern w:val="22"/>
          <w:szCs w:val="22"/>
          <w:u w:color="000000"/>
          <w:bdr w:val="nil"/>
        </w:rPr>
        <w:t>Parties to the Protocol</w:t>
      </w:r>
      <w:r w:rsidR="000A6DB2" w:rsidRPr="002E716F">
        <w:rPr>
          <w:rFonts w:eastAsia="Arial Unicode MS"/>
          <w:snapToGrid w:val="0"/>
          <w:color w:val="000000"/>
          <w:kern w:val="22"/>
          <w:szCs w:val="22"/>
          <w:u w:color="000000"/>
          <w:bdr w:val="nil"/>
        </w:rPr>
        <w:t xml:space="preserve">. The </w:t>
      </w:r>
      <w:r w:rsidR="00330628" w:rsidRPr="002E716F">
        <w:rPr>
          <w:rFonts w:eastAsia="Arial Unicode MS"/>
          <w:snapToGrid w:val="0"/>
          <w:color w:val="000000"/>
          <w:kern w:val="22"/>
          <w:szCs w:val="22"/>
          <w:u w:color="000000"/>
          <w:bdr w:val="nil"/>
        </w:rPr>
        <w:t xml:space="preserve">Parties </w:t>
      </w:r>
      <w:r w:rsidR="000A6DB2" w:rsidRPr="002E716F">
        <w:rPr>
          <w:rFonts w:eastAsia="Arial Unicode MS"/>
          <w:snapToGrid w:val="0"/>
          <w:color w:val="000000"/>
          <w:kern w:val="22"/>
          <w:szCs w:val="22"/>
          <w:u w:color="000000"/>
          <w:bdr w:val="nil"/>
        </w:rPr>
        <w:t>also welcomed submissions of relevant information by non-Parties. Interim national reports were due to be submitted by 1 November 2017.</w:t>
      </w:r>
    </w:p>
    <w:p w14:paraId="0F00A930" w14:textId="206A3123" w:rsidR="008D2C6B" w:rsidRPr="00A2656D" w:rsidRDefault="008D2C6B">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Arial Unicode MS"/>
          <w:snapToGrid w:val="0"/>
          <w:kern w:val="22"/>
          <w:szCs w:val="22"/>
          <w:u w:color="000000"/>
          <w:bdr w:val="nil"/>
        </w:rPr>
      </w:pPr>
      <w:r w:rsidRPr="00A2656D">
        <w:rPr>
          <w:rFonts w:eastAsia="Arial Unicode MS"/>
          <w:snapToGrid w:val="0"/>
          <w:color w:val="000000"/>
          <w:kern w:val="22"/>
          <w:szCs w:val="22"/>
          <w:u w:color="000000"/>
          <w:bdr w:val="nil"/>
        </w:rPr>
        <w:lastRenderedPageBreak/>
        <w:t>A total of 100 Parties to the Convention were Parties to the Nagoya Protocol by the reporting deadline of 1 November 2017. An additional five Parties to the Convention had ratified the Protocol but were not Parties to the Protocol by 1 November 2017 and therefore did not have the obligation to submit the interim national report.</w:t>
      </w:r>
    </w:p>
    <w:p w14:paraId="26B307D6" w14:textId="24EBCDCE" w:rsidR="00835282" w:rsidRPr="00A2656D" w:rsidRDefault="00DE3C71">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Arial Unicode MS"/>
          <w:snapToGrid w:val="0"/>
          <w:kern w:val="22"/>
          <w:szCs w:val="22"/>
          <w:u w:color="000000"/>
          <w:bdr w:val="nil"/>
        </w:rPr>
      </w:pPr>
      <w:r w:rsidRPr="00A2656D">
        <w:rPr>
          <w:rFonts w:eastAsia="Arial Unicode MS"/>
          <w:snapToGrid w:val="0"/>
          <w:kern w:val="22"/>
          <w:szCs w:val="22"/>
          <w:u w:color="000000"/>
          <w:bdr w:val="nil"/>
        </w:rPr>
        <w:t xml:space="preserve">In accordance with </w:t>
      </w:r>
      <w:r w:rsidR="008D2C6B" w:rsidRPr="00A2656D">
        <w:rPr>
          <w:rFonts w:eastAsia="Arial Unicode MS"/>
          <w:snapToGrid w:val="0"/>
          <w:kern w:val="22"/>
          <w:szCs w:val="22"/>
          <w:u w:color="000000"/>
          <w:bdr w:val="nil"/>
        </w:rPr>
        <w:t>th</w:t>
      </w:r>
      <w:r w:rsidRPr="00A2656D">
        <w:rPr>
          <w:rFonts w:eastAsia="Arial Unicode MS"/>
          <w:snapToGrid w:val="0"/>
          <w:kern w:val="22"/>
          <w:szCs w:val="22"/>
          <w:u w:color="000000"/>
          <w:bdr w:val="nil"/>
        </w:rPr>
        <w:t>e</w:t>
      </w:r>
      <w:r w:rsidR="008D2C6B" w:rsidRPr="00A2656D">
        <w:rPr>
          <w:rFonts w:eastAsia="Arial Unicode MS"/>
          <w:snapToGrid w:val="0"/>
          <w:kern w:val="22"/>
          <w:szCs w:val="22"/>
          <w:u w:color="000000"/>
          <w:bdr w:val="nil"/>
        </w:rPr>
        <w:t xml:space="preserve"> request</w:t>
      </w:r>
      <w:r w:rsidRPr="00A2656D">
        <w:rPr>
          <w:rFonts w:eastAsia="Arial Unicode MS"/>
          <w:snapToGrid w:val="0"/>
          <w:kern w:val="22"/>
          <w:szCs w:val="22"/>
          <w:u w:color="000000"/>
          <w:bdr w:val="nil"/>
        </w:rPr>
        <w:t xml:space="preserve"> by the Committee</w:t>
      </w:r>
      <w:r w:rsidR="008D2C6B" w:rsidRPr="00A2656D">
        <w:rPr>
          <w:rFonts w:eastAsia="Arial Unicode MS"/>
          <w:snapToGrid w:val="0"/>
          <w:kern w:val="22"/>
          <w:szCs w:val="22"/>
          <w:u w:color="000000"/>
          <w:bdr w:val="nil"/>
        </w:rPr>
        <w:t>, the Executive Secretary sent letters to 2</w:t>
      </w:r>
      <w:r w:rsidR="00E1768B" w:rsidRPr="00A2656D">
        <w:rPr>
          <w:rFonts w:eastAsia="Arial Unicode MS"/>
          <w:snapToGrid w:val="0"/>
          <w:kern w:val="22"/>
          <w:szCs w:val="22"/>
          <w:u w:color="000000"/>
          <w:bdr w:val="nil"/>
        </w:rPr>
        <w:t>6</w:t>
      </w:r>
      <w:r w:rsidR="008D2C6B" w:rsidRPr="00A2656D">
        <w:rPr>
          <w:rFonts w:eastAsia="Arial Unicode MS"/>
          <w:snapToGrid w:val="0"/>
          <w:kern w:val="22"/>
          <w:szCs w:val="22"/>
          <w:u w:color="000000"/>
          <w:bdr w:val="nil"/>
        </w:rPr>
        <w:t xml:space="preserve"> Parties</w:t>
      </w:r>
      <w:r w:rsidR="00D22826" w:rsidRPr="00A2656D">
        <w:rPr>
          <w:rStyle w:val="FootnoteReference"/>
          <w:rFonts w:eastAsia="Arial Unicode MS"/>
          <w:snapToGrid w:val="0"/>
          <w:kern w:val="22"/>
          <w:szCs w:val="22"/>
          <w:u w:color="000000"/>
          <w:bdr w:val="nil"/>
        </w:rPr>
        <w:footnoteReference w:id="2"/>
      </w:r>
      <w:r w:rsidR="008D2C6B" w:rsidRPr="00A2656D">
        <w:rPr>
          <w:rFonts w:eastAsia="Arial Unicode MS"/>
          <w:snapToGrid w:val="0"/>
          <w:kern w:val="22"/>
          <w:szCs w:val="22"/>
          <w:u w:color="000000"/>
          <w:bdr w:val="nil"/>
        </w:rPr>
        <w:t xml:space="preserve"> to the Protocol that had the obligation to submit the interim national report </w:t>
      </w:r>
      <w:r w:rsidRPr="00A2656D">
        <w:rPr>
          <w:rFonts w:eastAsia="Arial Unicode MS"/>
          <w:snapToGrid w:val="0"/>
          <w:kern w:val="22"/>
          <w:szCs w:val="22"/>
          <w:u w:color="000000"/>
          <w:bdr w:val="nil"/>
        </w:rPr>
        <w:t>but</w:t>
      </w:r>
      <w:r w:rsidR="008D2C6B" w:rsidRPr="00A2656D">
        <w:rPr>
          <w:rFonts w:eastAsia="Arial Unicode MS"/>
          <w:snapToGrid w:val="0"/>
          <w:kern w:val="22"/>
          <w:szCs w:val="22"/>
          <w:u w:color="000000"/>
          <w:bdr w:val="nil"/>
        </w:rPr>
        <w:t xml:space="preserve"> had not done so by June 2018. </w:t>
      </w:r>
      <w:r w:rsidR="00E1768B" w:rsidRPr="00A2656D">
        <w:rPr>
          <w:rFonts w:eastAsia="Arial Unicode MS"/>
          <w:snapToGrid w:val="0"/>
          <w:kern w:val="22"/>
          <w:szCs w:val="22"/>
          <w:u w:color="000000"/>
          <w:bdr w:val="nil"/>
        </w:rPr>
        <w:t xml:space="preserve">Eight </w:t>
      </w:r>
      <w:r w:rsidR="008D2C6B" w:rsidRPr="00A2656D">
        <w:rPr>
          <w:rFonts w:eastAsia="Arial Unicode MS"/>
          <w:snapToGrid w:val="0"/>
          <w:kern w:val="22"/>
          <w:szCs w:val="22"/>
          <w:u w:color="000000"/>
          <w:bdr w:val="nil"/>
        </w:rPr>
        <w:t>Parties</w:t>
      </w:r>
      <w:r w:rsidR="00D22826" w:rsidRPr="00A2656D">
        <w:rPr>
          <w:rStyle w:val="FootnoteReference"/>
          <w:rFonts w:eastAsia="Arial Unicode MS"/>
          <w:snapToGrid w:val="0"/>
          <w:kern w:val="22"/>
          <w:szCs w:val="22"/>
          <w:u w:color="000000"/>
          <w:bdr w:val="nil"/>
        </w:rPr>
        <w:footnoteReference w:id="3"/>
      </w:r>
      <w:r w:rsidR="008D2C6B" w:rsidRPr="00A2656D">
        <w:rPr>
          <w:rFonts w:eastAsia="Arial Unicode MS"/>
          <w:snapToGrid w:val="0"/>
          <w:kern w:val="22"/>
          <w:szCs w:val="22"/>
          <w:u w:color="000000"/>
          <w:bdr w:val="nil"/>
        </w:rPr>
        <w:t xml:space="preserve"> responded to the letter.</w:t>
      </w:r>
      <w:r w:rsidR="008D1AA7" w:rsidRPr="00A2656D">
        <w:rPr>
          <w:rFonts w:eastAsia="Arial Unicode MS"/>
          <w:snapToGrid w:val="0"/>
          <w:kern w:val="22"/>
          <w:szCs w:val="22"/>
          <w:u w:color="000000"/>
          <w:bdr w:val="nil"/>
        </w:rPr>
        <w:t xml:space="preserve"> Most responses </w:t>
      </w:r>
      <w:r w:rsidR="00E1768B" w:rsidRPr="00A2656D">
        <w:rPr>
          <w:rFonts w:eastAsia="Arial Unicode MS"/>
          <w:snapToGrid w:val="0"/>
          <w:kern w:val="22"/>
          <w:szCs w:val="22"/>
          <w:u w:color="000000"/>
          <w:bdr w:val="nil"/>
        </w:rPr>
        <w:t>identified</w:t>
      </w:r>
      <w:r w:rsidR="008D1AA7" w:rsidRPr="00A2656D">
        <w:rPr>
          <w:rFonts w:eastAsia="Arial Unicode MS"/>
          <w:snapToGrid w:val="0"/>
          <w:kern w:val="22"/>
          <w:szCs w:val="22"/>
          <w:u w:color="000000"/>
          <w:bdr w:val="nil"/>
        </w:rPr>
        <w:t xml:space="preserve"> the late </w:t>
      </w:r>
      <w:r w:rsidR="00D22826" w:rsidRPr="00A2656D">
        <w:rPr>
          <w:rFonts w:eastAsia="Arial Unicode MS"/>
          <w:snapToGrid w:val="0"/>
          <w:kern w:val="22"/>
          <w:szCs w:val="22"/>
          <w:u w:color="000000"/>
          <w:bdr w:val="nil"/>
        </w:rPr>
        <w:t>receipt</w:t>
      </w:r>
      <w:r w:rsidR="008D1AA7" w:rsidRPr="00A2656D">
        <w:rPr>
          <w:rFonts w:eastAsia="Arial Unicode MS"/>
          <w:snapToGrid w:val="0"/>
          <w:kern w:val="22"/>
          <w:szCs w:val="22"/>
          <w:u w:color="000000"/>
          <w:bdr w:val="nil"/>
        </w:rPr>
        <w:t xml:space="preserve"> of funds as the reason for the delay in finali</w:t>
      </w:r>
      <w:r w:rsidR="000A5832" w:rsidRPr="00A2656D">
        <w:rPr>
          <w:rFonts w:eastAsia="Arial Unicode MS"/>
          <w:snapToGrid w:val="0"/>
          <w:kern w:val="22"/>
          <w:szCs w:val="22"/>
          <w:u w:color="000000"/>
          <w:bdr w:val="nil"/>
        </w:rPr>
        <w:t>z</w:t>
      </w:r>
      <w:r w:rsidR="008D1AA7" w:rsidRPr="00A2656D">
        <w:rPr>
          <w:rFonts w:eastAsia="Arial Unicode MS"/>
          <w:snapToGrid w:val="0"/>
          <w:kern w:val="22"/>
          <w:szCs w:val="22"/>
          <w:u w:color="000000"/>
          <w:bdr w:val="nil"/>
        </w:rPr>
        <w:t>ing the</w:t>
      </w:r>
      <w:r w:rsidRPr="00A2656D">
        <w:rPr>
          <w:rFonts w:eastAsia="Arial Unicode MS"/>
          <w:snapToGrid w:val="0"/>
          <w:kern w:val="22"/>
          <w:szCs w:val="22"/>
          <w:u w:color="000000"/>
          <w:bdr w:val="nil"/>
        </w:rPr>
        <w:t>ir</w:t>
      </w:r>
      <w:r w:rsidR="008D1AA7" w:rsidRPr="00A2656D">
        <w:rPr>
          <w:rFonts w:eastAsia="Arial Unicode MS"/>
          <w:snapToGrid w:val="0"/>
          <w:kern w:val="22"/>
          <w:szCs w:val="22"/>
          <w:u w:color="000000"/>
          <w:bdr w:val="nil"/>
        </w:rPr>
        <w:t xml:space="preserve"> interim national report. In some cases, delays in co</w:t>
      </w:r>
      <w:r w:rsidR="00D2687E" w:rsidRPr="00A2656D">
        <w:rPr>
          <w:rFonts w:eastAsia="Arial Unicode MS"/>
          <w:snapToGrid w:val="0"/>
          <w:kern w:val="22"/>
          <w:szCs w:val="22"/>
          <w:u w:color="000000"/>
          <w:bdr w:val="nil"/>
        </w:rPr>
        <w:t xml:space="preserve">nvening </w:t>
      </w:r>
      <w:r w:rsidR="008D1AA7" w:rsidRPr="00A2656D">
        <w:rPr>
          <w:rFonts w:eastAsia="Arial Unicode MS"/>
          <w:snapToGrid w:val="0"/>
          <w:kern w:val="22"/>
          <w:szCs w:val="22"/>
          <w:u w:color="000000"/>
          <w:bdr w:val="nil"/>
        </w:rPr>
        <w:t xml:space="preserve">stakeholder consultations </w:t>
      </w:r>
      <w:r w:rsidR="00D2687E" w:rsidRPr="00A2656D">
        <w:rPr>
          <w:rFonts w:eastAsia="Arial Unicode MS"/>
          <w:snapToGrid w:val="0"/>
          <w:kern w:val="22"/>
          <w:szCs w:val="22"/>
          <w:u w:color="000000"/>
          <w:bdr w:val="nil"/>
        </w:rPr>
        <w:t>and/</w:t>
      </w:r>
      <w:r w:rsidR="008D1AA7" w:rsidRPr="00A2656D">
        <w:rPr>
          <w:rFonts w:eastAsia="Arial Unicode MS"/>
          <w:snapToGrid w:val="0"/>
          <w:kern w:val="22"/>
          <w:szCs w:val="22"/>
          <w:u w:color="000000"/>
          <w:bdr w:val="nil"/>
        </w:rPr>
        <w:t>or in hiring consultants</w:t>
      </w:r>
      <w:r w:rsidR="00194194" w:rsidRPr="00A2656D">
        <w:rPr>
          <w:rFonts w:eastAsia="Arial Unicode MS"/>
          <w:snapToGrid w:val="0"/>
          <w:kern w:val="22"/>
          <w:szCs w:val="22"/>
          <w:u w:color="000000"/>
          <w:bdr w:val="nil"/>
        </w:rPr>
        <w:t xml:space="preserve"> were indicated as additional reasons for not submitting the reports</w:t>
      </w:r>
      <w:r w:rsidR="008D1AA7" w:rsidRPr="00A2656D">
        <w:rPr>
          <w:rFonts w:eastAsia="Arial Unicode MS"/>
          <w:snapToGrid w:val="0"/>
          <w:kern w:val="22"/>
          <w:szCs w:val="22"/>
          <w:u w:color="000000"/>
          <w:bdr w:val="nil"/>
        </w:rPr>
        <w:t xml:space="preserve">. </w:t>
      </w:r>
      <w:r w:rsidR="00194194" w:rsidRPr="00A2656D">
        <w:rPr>
          <w:rFonts w:eastAsia="Arial Unicode MS"/>
          <w:snapToGrid w:val="0"/>
          <w:kern w:val="22"/>
          <w:szCs w:val="22"/>
          <w:u w:color="000000"/>
          <w:bdr w:val="nil"/>
        </w:rPr>
        <w:t xml:space="preserve">One developing country Party indicated that its country was </w:t>
      </w:r>
      <w:r w:rsidR="008D1AA7" w:rsidRPr="00A2656D">
        <w:rPr>
          <w:rFonts w:eastAsia="Arial Unicode MS"/>
          <w:snapToGrid w:val="0"/>
          <w:kern w:val="22"/>
          <w:szCs w:val="22"/>
          <w:u w:color="000000"/>
          <w:bdr w:val="nil"/>
        </w:rPr>
        <w:t xml:space="preserve">not included in the list of Parties to </w:t>
      </w:r>
      <w:r w:rsidR="00194194" w:rsidRPr="00A2656D">
        <w:rPr>
          <w:rFonts w:eastAsia="Arial Unicode MS"/>
          <w:snapToGrid w:val="0"/>
          <w:kern w:val="22"/>
          <w:szCs w:val="22"/>
          <w:u w:color="000000"/>
          <w:bdr w:val="nil"/>
        </w:rPr>
        <w:t xml:space="preserve">receive </w:t>
      </w:r>
      <w:r w:rsidR="008D1AA7" w:rsidRPr="00A2656D">
        <w:rPr>
          <w:rFonts w:eastAsia="Arial Unicode MS"/>
          <w:snapToGrid w:val="0"/>
          <w:kern w:val="22"/>
          <w:szCs w:val="22"/>
          <w:u w:color="000000"/>
          <w:bdr w:val="nil"/>
        </w:rPr>
        <w:t>fund</w:t>
      </w:r>
      <w:r w:rsidR="00194194" w:rsidRPr="00A2656D">
        <w:rPr>
          <w:rFonts w:eastAsia="Arial Unicode MS"/>
          <w:snapToGrid w:val="0"/>
          <w:kern w:val="22"/>
          <w:szCs w:val="22"/>
          <w:u w:color="000000"/>
          <w:bdr w:val="nil"/>
        </w:rPr>
        <w:t>s from</w:t>
      </w:r>
      <w:r w:rsidR="008D1AA7" w:rsidRPr="00A2656D">
        <w:rPr>
          <w:rFonts w:eastAsia="Arial Unicode MS"/>
          <w:snapToGrid w:val="0"/>
          <w:kern w:val="22"/>
          <w:szCs w:val="22"/>
          <w:u w:color="000000"/>
          <w:bdr w:val="nil"/>
        </w:rPr>
        <w:t xml:space="preserve"> the G</w:t>
      </w:r>
      <w:r w:rsidR="00D2687E" w:rsidRPr="00A2656D">
        <w:rPr>
          <w:rFonts w:eastAsia="Arial Unicode MS"/>
          <w:snapToGrid w:val="0"/>
          <w:kern w:val="22"/>
          <w:szCs w:val="22"/>
          <w:u w:color="000000"/>
          <w:bdr w:val="nil"/>
        </w:rPr>
        <w:t>lobal Environmental Facility</w:t>
      </w:r>
      <w:r w:rsidR="000E1E91" w:rsidRPr="00A2656D">
        <w:rPr>
          <w:rFonts w:eastAsia="Arial Unicode MS"/>
          <w:snapToGrid w:val="0"/>
          <w:kern w:val="22"/>
          <w:szCs w:val="22"/>
          <w:u w:color="000000"/>
          <w:bdr w:val="nil"/>
        </w:rPr>
        <w:t>.</w:t>
      </w:r>
    </w:p>
    <w:p w14:paraId="26E1F396" w14:textId="22A2F236" w:rsidR="000B42A8"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kern w:val="22"/>
          <w:szCs w:val="22"/>
        </w:rPr>
      </w:pPr>
      <w:r w:rsidRPr="00A2656D">
        <w:rPr>
          <w:rFonts w:eastAsia="Arial Unicode MS"/>
          <w:snapToGrid w:val="0"/>
          <w:kern w:val="22"/>
          <w:szCs w:val="22"/>
          <w:u w:color="000000"/>
          <w:bdr w:val="nil"/>
        </w:rPr>
        <w:t xml:space="preserve">As of </w:t>
      </w:r>
      <w:r w:rsidR="000E1E91" w:rsidRPr="00A2656D">
        <w:rPr>
          <w:rFonts w:eastAsia="Arial Unicode MS"/>
          <w:snapToGrid w:val="0"/>
          <w:kern w:val="22"/>
          <w:szCs w:val="22"/>
          <w:u w:color="000000"/>
          <w:bdr w:val="nil"/>
        </w:rPr>
        <w:t>5</w:t>
      </w:r>
      <w:r w:rsidRPr="00A2656D">
        <w:rPr>
          <w:rFonts w:eastAsia="Arial Unicode MS"/>
          <w:snapToGrid w:val="0"/>
          <w:kern w:val="22"/>
          <w:szCs w:val="22"/>
          <w:u w:color="000000"/>
          <w:bdr w:val="nil"/>
        </w:rPr>
        <w:t xml:space="preserve"> </w:t>
      </w:r>
      <w:r w:rsidR="001A204B" w:rsidRPr="00A2656D">
        <w:rPr>
          <w:rFonts w:eastAsia="Arial Unicode MS"/>
          <w:snapToGrid w:val="0"/>
          <w:kern w:val="22"/>
          <w:szCs w:val="22"/>
          <w:u w:color="000000"/>
          <w:bdr w:val="nil"/>
        </w:rPr>
        <w:t>March 2020</w:t>
      </w:r>
      <w:r w:rsidRPr="00A2656D">
        <w:rPr>
          <w:rFonts w:eastAsia="Arial Unicode MS"/>
          <w:snapToGrid w:val="0"/>
          <w:kern w:val="22"/>
          <w:szCs w:val="22"/>
          <w:u w:color="000000"/>
          <w:bdr w:val="nil"/>
        </w:rPr>
        <w:t xml:space="preserve">, </w:t>
      </w:r>
      <w:r w:rsidR="001A204B" w:rsidRPr="00A2656D">
        <w:rPr>
          <w:rFonts w:eastAsia="Arial Unicode MS"/>
          <w:snapToGrid w:val="0"/>
          <w:kern w:val="22"/>
          <w:szCs w:val="22"/>
          <w:u w:color="000000"/>
          <w:bdr w:val="nil"/>
        </w:rPr>
        <w:t>9</w:t>
      </w:r>
      <w:r w:rsidR="00580B38" w:rsidRPr="00A2656D">
        <w:rPr>
          <w:rFonts w:eastAsia="Arial Unicode MS"/>
          <w:snapToGrid w:val="0"/>
          <w:kern w:val="22"/>
          <w:szCs w:val="22"/>
          <w:u w:color="000000"/>
          <w:bdr w:val="nil"/>
        </w:rPr>
        <w:t>1</w:t>
      </w:r>
      <w:r w:rsidR="000E1E91" w:rsidRPr="00A2656D">
        <w:rPr>
          <w:rStyle w:val="FootnoteReference"/>
          <w:rFonts w:eastAsia="Arial Unicode MS"/>
          <w:snapToGrid w:val="0"/>
          <w:kern w:val="22"/>
          <w:szCs w:val="22"/>
          <w:u w:color="000000"/>
          <w:bdr w:val="nil"/>
        </w:rPr>
        <w:footnoteReference w:id="4"/>
      </w:r>
      <w:r w:rsidR="000E1E91" w:rsidRPr="00A2656D">
        <w:rPr>
          <w:rFonts w:eastAsia="Arial Unicode MS"/>
          <w:snapToGrid w:val="0"/>
          <w:kern w:val="22"/>
          <w:szCs w:val="22"/>
          <w:u w:color="000000"/>
          <w:bdr w:val="nil"/>
        </w:rPr>
        <w:t xml:space="preserve"> </w:t>
      </w:r>
      <w:r w:rsidRPr="00A2656D">
        <w:rPr>
          <w:rFonts w:eastAsia="Arial Unicode MS"/>
          <w:snapToGrid w:val="0"/>
          <w:kern w:val="22"/>
          <w:szCs w:val="22"/>
          <w:u w:color="000000"/>
          <w:bdr w:val="nil"/>
        </w:rPr>
        <w:t xml:space="preserve">Parties to the Nagoya Protocol </w:t>
      </w:r>
      <w:r w:rsidR="005139F0" w:rsidRPr="00A2656D">
        <w:rPr>
          <w:rFonts w:eastAsia="Arial Unicode MS"/>
          <w:snapToGrid w:val="0"/>
          <w:kern w:val="22"/>
          <w:szCs w:val="22"/>
          <w:u w:color="000000"/>
          <w:bdr w:val="nil"/>
        </w:rPr>
        <w:t xml:space="preserve">with the obligation to submit </w:t>
      </w:r>
      <w:r w:rsidR="00194194" w:rsidRPr="00A2656D">
        <w:rPr>
          <w:rFonts w:eastAsia="Arial Unicode MS"/>
          <w:snapToGrid w:val="0"/>
          <w:kern w:val="22"/>
          <w:szCs w:val="22"/>
          <w:u w:color="000000"/>
          <w:bdr w:val="nil"/>
        </w:rPr>
        <w:t xml:space="preserve">a national report </w:t>
      </w:r>
      <w:r w:rsidRPr="00A2656D">
        <w:rPr>
          <w:rFonts w:eastAsia="Arial Unicode MS"/>
          <w:snapToGrid w:val="0"/>
          <w:kern w:val="22"/>
          <w:szCs w:val="22"/>
          <w:u w:color="000000"/>
          <w:bdr w:val="nil"/>
        </w:rPr>
        <w:t>had submitted</w:t>
      </w:r>
      <w:r w:rsidR="000E1E91" w:rsidRPr="00A2656D">
        <w:rPr>
          <w:rFonts w:eastAsia="Arial Unicode MS"/>
          <w:snapToGrid w:val="0"/>
          <w:kern w:val="22"/>
          <w:szCs w:val="22"/>
          <w:u w:color="000000"/>
          <w:bdr w:val="nil"/>
        </w:rPr>
        <w:t>. This represents a rate of submission of</w:t>
      </w:r>
      <w:r w:rsidR="005139F0" w:rsidRPr="00A2656D">
        <w:rPr>
          <w:rFonts w:eastAsia="Arial Unicode MS"/>
          <w:snapToGrid w:val="0"/>
          <w:kern w:val="22"/>
          <w:szCs w:val="22"/>
          <w:u w:color="000000"/>
          <w:bdr w:val="nil"/>
        </w:rPr>
        <w:t xml:space="preserve"> </w:t>
      </w:r>
      <w:r w:rsidR="002929D7" w:rsidRPr="00A2656D">
        <w:rPr>
          <w:rFonts w:eastAsia="Arial Unicode MS"/>
          <w:snapToGrid w:val="0"/>
          <w:kern w:val="22"/>
          <w:szCs w:val="22"/>
          <w:u w:color="000000"/>
          <w:bdr w:val="nil"/>
        </w:rPr>
        <w:t>9</w:t>
      </w:r>
      <w:r w:rsidR="00580B38" w:rsidRPr="00A2656D">
        <w:rPr>
          <w:rFonts w:eastAsia="Arial Unicode MS"/>
          <w:snapToGrid w:val="0"/>
          <w:kern w:val="22"/>
          <w:szCs w:val="22"/>
          <w:u w:color="000000"/>
          <w:bdr w:val="nil"/>
        </w:rPr>
        <w:t>1</w:t>
      </w:r>
      <w:r w:rsidR="00825140" w:rsidRPr="00A2656D">
        <w:rPr>
          <w:rFonts w:eastAsia="Arial Unicode MS"/>
          <w:snapToGrid w:val="0"/>
          <w:kern w:val="22"/>
          <w:szCs w:val="22"/>
          <w:u w:color="000000"/>
          <w:bdr w:val="nil"/>
        </w:rPr>
        <w:t xml:space="preserve"> per cent</w:t>
      </w:r>
      <w:r w:rsidR="005139F0" w:rsidRPr="00A2656D">
        <w:rPr>
          <w:rFonts w:eastAsia="Arial Unicode MS"/>
          <w:snapToGrid w:val="0"/>
          <w:kern w:val="22"/>
          <w:szCs w:val="22"/>
          <w:u w:color="000000"/>
          <w:bdr w:val="nil"/>
        </w:rPr>
        <w:t>.</w:t>
      </w:r>
      <w:r w:rsidR="000E1E91" w:rsidRPr="00A2656D">
        <w:rPr>
          <w:rStyle w:val="FootnoteReference"/>
          <w:rFonts w:eastAsia="Arial Unicode MS"/>
          <w:snapToGrid w:val="0"/>
          <w:kern w:val="22"/>
          <w:szCs w:val="22"/>
          <w:u w:color="000000"/>
          <w:bdr w:val="nil"/>
        </w:rPr>
        <w:footnoteReference w:id="5"/>
      </w:r>
      <w:r w:rsidR="000B42A8" w:rsidRPr="00A2656D">
        <w:rPr>
          <w:kern w:val="22"/>
          <w:szCs w:val="22"/>
        </w:rPr>
        <w:t xml:space="preserve"> </w:t>
      </w:r>
      <w:r w:rsidRPr="00A2656D">
        <w:rPr>
          <w:rFonts w:eastAsia="Arial Unicode MS"/>
          <w:snapToGrid w:val="0"/>
          <w:kern w:val="22"/>
          <w:szCs w:val="22"/>
          <w:u w:color="000000"/>
          <w:bdr w:val="nil"/>
        </w:rPr>
        <w:t xml:space="preserve">In addition, </w:t>
      </w:r>
      <w:r w:rsidR="00194194" w:rsidRPr="00A2656D">
        <w:rPr>
          <w:rFonts w:eastAsia="Arial Unicode MS"/>
          <w:snapToGrid w:val="0"/>
          <w:kern w:val="22"/>
          <w:szCs w:val="22"/>
          <w:u w:color="000000"/>
          <w:bdr w:val="nil"/>
        </w:rPr>
        <w:t xml:space="preserve">eight </w:t>
      </w:r>
      <w:r w:rsidR="000B42A8" w:rsidRPr="00A2656D">
        <w:rPr>
          <w:rFonts w:eastAsia="Arial Unicode MS"/>
          <w:snapToGrid w:val="0"/>
          <w:kern w:val="22"/>
          <w:szCs w:val="22"/>
          <w:u w:color="000000"/>
          <w:bdr w:val="nil"/>
        </w:rPr>
        <w:t>countries</w:t>
      </w:r>
      <w:r w:rsidR="00194194" w:rsidRPr="00A2656D">
        <w:rPr>
          <w:rFonts w:eastAsia="Arial Unicode MS"/>
          <w:snapToGrid w:val="0"/>
          <w:kern w:val="22"/>
          <w:szCs w:val="22"/>
          <w:u w:color="000000"/>
          <w:bdr w:val="nil"/>
        </w:rPr>
        <w:t xml:space="preserve"> which</w:t>
      </w:r>
      <w:r w:rsidR="000B42A8" w:rsidRPr="00A2656D">
        <w:rPr>
          <w:rFonts w:eastAsia="Arial Unicode MS"/>
          <w:snapToGrid w:val="0"/>
          <w:kern w:val="22"/>
          <w:szCs w:val="22"/>
          <w:u w:color="000000"/>
          <w:bdr w:val="nil"/>
        </w:rPr>
        <w:t xml:space="preserve"> were non-Parties to the Protocol</w:t>
      </w:r>
      <w:r w:rsidR="00194194" w:rsidRPr="00A2656D">
        <w:rPr>
          <w:rFonts w:eastAsia="Arial Unicode MS"/>
          <w:snapToGrid w:val="0"/>
          <w:kern w:val="22"/>
          <w:szCs w:val="22"/>
          <w:u w:color="000000"/>
          <w:bdr w:val="nil"/>
        </w:rPr>
        <w:t xml:space="preserve"> by 1 November 2017</w:t>
      </w:r>
      <w:r w:rsidR="000B42A8" w:rsidRPr="00A2656D">
        <w:rPr>
          <w:rFonts w:eastAsia="Arial Unicode MS"/>
          <w:snapToGrid w:val="0"/>
          <w:kern w:val="22"/>
          <w:szCs w:val="22"/>
          <w:u w:color="000000"/>
          <w:bdr w:val="nil"/>
        </w:rPr>
        <w:t xml:space="preserve"> have </w:t>
      </w:r>
      <w:r w:rsidR="003D38EE" w:rsidRPr="001F5A70">
        <w:rPr>
          <w:rFonts w:eastAsia="Arial Unicode MS"/>
          <w:snapToGrid w:val="0"/>
          <w:kern w:val="22"/>
          <w:szCs w:val="22"/>
          <w:u w:color="000000"/>
          <w:bdr w:val="nil"/>
        </w:rPr>
        <w:t xml:space="preserve">also </w:t>
      </w:r>
      <w:r w:rsidR="000B42A8" w:rsidRPr="00A2656D">
        <w:rPr>
          <w:rFonts w:eastAsia="Arial Unicode MS"/>
          <w:snapToGrid w:val="0"/>
          <w:kern w:val="22"/>
          <w:szCs w:val="22"/>
          <w:u w:color="000000"/>
          <w:bdr w:val="nil"/>
        </w:rPr>
        <w:t>submitted</w:t>
      </w:r>
      <w:r w:rsidRPr="00A2656D">
        <w:rPr>
          <w:rFonts w:eastAsia="Arial Unicode MS"/>
          <w:snapToGrid w:val="0"/>
          <w:kern w:val="22"/>
          <w:szCs w:val="22"/>
          <w:u w:color="000000"/>
          <w:bdr w:val="nil"/>
        </w:rPr>
        <w:t xml:space="preserve"> interim national reports</w:t>
      </w:r>
      <w:r w:rsidR="00495510" w:rsidRPr="00A2656D">
        <w:rPr>
          <w:rFonts w:eastAsia="Arial Unicode MS"/>
          <w:snapToGrid w:val="0"/>
          <w:kern w:val="22"/>
          <w:szCs w:val="22"/>
          <w:u w:color="000000"/>
          <w:bdr w:val="nil"/>
        </w:rPr>
        <w:t>.</w:t>
      </w:r>
      <w:r w:rsidR="00580B38" w:rsidRPr="00A2656D">
        <w:rPr>
          <w:rStyle w:val="FootnoteReference"/>
          <w:rFonts w:eastAsia="Arial Unicode MS"/>
          <w:snapToGrid w:val="0"/>
          <w:kern w:val="22"/>
          <w:szCs w:val="22"/>
          <w:u w:color="000000"/>
          <w:bdr w:val="nil"/>
        </w:rPr>
        <w:footnoteReference w:id="6"/>
      </w:r>
    </w:p>
    <w:p w14:paraId="3343B6DF" w14:textId="167972F3" w:rsidR="000A6DB2"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Arial Unicode MS"/>
          <w:snapToGrid w:val="0"/>
          <w:kern w:val="22"/>
          <w:szCs w:val="22"/>
          <w:u w:color="000000"/>
          <w:bdr w:val="nil"/>
        </w:rPr>
      </w:pPr>
      <w:r w:rsidRPr="00A2656D">
        <w:rPr>
          <w:rFonts w:eastAsia="SimSun"/>
          <w:snapToGrid w:val="0"/>
          <w:kern w:val="22"/>
          <w:szCs w:val="22"/>
        </w:rPr>
        <w:t xml:space="preserve">All interim national reports received are available online on the </w:t>
      </w:r>
      <w:r w:rsidR="00CD3494" w:rsidRPr="00A2656D">
        <w:rPr>
          <w:rFonts w:eastAsia="SimSun"/>
          <w:snapToGrid w:val="0"/>
          <w:kern w:val="22"/>
          <w:szCs w:val="22"/>
        </w:rPr>
        <w:t>Access and Benefit-sharing</w:t>
      </w:r>
      <w:r w:rsidR="00735FDD" w:rsidRPr="00A2656D">
        <w:rPr>
          <w:rFonts w:eastAsia="SimSun"/>
          <w:snapToGrid w:val="0"/>
          <w:kern w:val="22"/>
          <w:szCs w:val="22"/>
        </w:rPr>
        <w:t xml:space="preserve"> </w:t>
      </w:r>
      <w:r w:rsidRPr="00A2656D">
        <w:rPr>
          <w:rFonts w:eastAsia="SimSun"/>
          <w:snapToGrid w:val="0"/>
          <w:kern w:val="22"/>
          <w:szCs w:val="22"/>
        </w:rPr>
        <w:t xml:space="preserve">Clearing-House at the following link: </w:t>
      </w:r>
      <w:hyperlink r:id="rId19" w:history="1">
        <w:r w:rsidRPr="00A2656D">
          <w:rPr>
            <w:rStyle w:val="Hyperlink"/>
            <w:rFonts w:eastAsia="SimSun"/>
            <w:snapToGrid w:val="0"/>
            <w:kern w:val="22"/>
            <w:sz w:val="22"/>
            <w:szCs w:val="22"/>
          </w:rPr>
          <w:t>https://absch.cbd.int/reports</w:t>
        </w:r>
      </w:hyperlink>
      <w:r w:rsidRPr="00A2656D">
        <w:rPr>
          <w:rFonts w:eastAsia="SimSun"/>
          <w:snapToGrid w:val="0"/>
          <w:kern w:val="22"/>
          <w:szCs w:val="22"/>
        </w:rPr>
        <w:t xml:space="preserve">, with the exception of </w:t>
      </w:r>
      <w:r w:rsidR="00E1768B" w:rsidRPr="00A2656D">
        <w:rPr>
          <w:rFonts w:eastAsia="SimSun"/>
          <w:snapToGrid w:val="0"/>
          <w:kern w:val="22"/>
          <w:szCs w:val="22"/>
        </w:rPr>
        <w:t>one</w:t>
      </w:r>
      <w:r w:rsidR="002C62F9" w:rsidRPr="00A2656D">
        <w:rPr>
          <w:rStyle w:val="FootnoteReference"/>
          <w:rFonts w:eastAsia="SimSun"/>
          <w:snapToGrid w:val="0"/>
          <w:kern w:val="22"/>
          <w:szCs w:val="22"/>
        </w:rPr>
        <w:footnoteReference w:id="7"/>
      </w:r>
      <w:r w:rsidR="002C62F9" w:rsidRPr="00A2656D">
        <w:rPr>
          <w:rFonts w:eastAsia="SimSun"/>
          <w:snapToGrid w:val="0"/>
          <w:kern w:val="22"/>
          <w:szCs w:val="22"/>
        </w:rPr>
        <w:t xml:space="preserve"> </w:t>
      </w:r>
      <w:r w:rsidRPr="00A2656D">
        <w:rPr>
          <w:rFonts w:eastAsia="SimSun"/>
          <w:snapToGrid w:val="0"/>
          <w:kern w:val="22"/>
          <w:szCs w:val="22"/>
        </w:rPr>
        <w:t>report that was submitted offline.</w:t>
      </w:r>
    </w:p>
    <w:p w14:paraId="47CB512B" w14:textId="77777777" w:rsidR="000A6DB2" w:rsidRPr="00561F20" w:rsidRDefault="00AC5D43">
      <w:pPr>
        <w:pStyle w:val="Heading1"/>
        <w:numPr>
          <w:ilvl w:val="0"/>
          <w:numId w:val="14"/>
        </w:numPr>
        <w:suppressLineNumbers/>
        <w:tabs>
          <w:tab w:val="clear" w:pos="720"/>
          <w:tab w:val="left" w:pos="709"/>
        </w:tabs>
        <w:suppressAutoHyphens/>
        <w:kinsoku w:val="0"/>
        <w:overflowPunct w:val="0"/>
        <w:autoSpaceDE w:val="0"/>
        <w:autoSpaceDN w:val="0"/>
        <w:spacing w:before="120"/>
        <w:rPr>
          <w:bCs/>
          <w:snapToGrid w:val="0"/>
          <w:kern w:val="22"/>
          <w:szCs w:val="22"/>
        </w:rPr>
      </w:pPr>
      <w:r w:rsidRPr="00561F20">
        <w:rPr>
          <w:bCs/>
          <w:snapToGrid w:val="0"/>
          <w:kern w:val="22"/>
          <w:szCs w:val="22"/>
        </w:rPr>
        <w:t>General issues of compliance</w:t>
      </w:r>
      <w:bookmarkStart w:id="1" w:name="_GoBack"/>
      <w:bookmarkEnd w:id="1"/>
    </w:p>
    <w:p w14:paraId="49B48A01" w14:textId="6455D008" w:rsidR="000A6DB2"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Arial Unicode MS"/>
          <w:snapToGrid w:val="0"/>
          <w:kern w:val="22"/>
          <w:szCs w:val="22"/>
          <w:u w:color="000000"/>
          <w:bdr w:val="nil"/>
        </w:rPr>
      </w:pPr>
      <w:r w:rsidRPr="00A2656D">
        <w:rPr>
          <w:rFonts w:eastAsia="Arial Unicode MS"/>
          <w:snapToGrid w:val="0"/>
          <w:kern w:val="22"/>
          <w:szCs w:val="22"/>
          <w:u w:color="000000"/>
          <w:bdr w:val="nil"/>
        </w:rPr>
        <w:t xml:space="preserve">In order to make the Protocol operational, Parties need, as first step, to put the necessary access and benefit-sharing legislative, administrative and policy measures in place, and to establish institutional arrangements to implement them (i.e. a national focal point, one or more competent national authorities and one or more checkpoints). The publication of mandatory information in the </w:t>
      </w:r>
      <w:r w:rsidR="00735FDD" w:rsidRPr="00A2656D">
        <w:rPr>
          <w:rFonts w:eastAsia="SimSun"/>
          <w:snapToGrid w:val="0"/>
          <w:kern w:val="22"/>
          <w:szCs w:val="22"/>
        </w:rPr>
        <w:t xml:space="preserve">Access and Benefit-sharing </w:t>
      </w:r>
      <w:proofErr w:type="gramStart"/>
      <w:r w:rsidRPr="00A2656D">
        <w:rPr>
          <w:rFonts w:eastAsia="Arial Unicode MS"/>
          <w:snapToGrid w:val="0"/>
          <w:kern w:val="22"/>
          <w:szCs w:val="22"/>
          <w:u w:color="000000"/>
          <w:bdr w:val="nil"/>
        </w:rPr>
        <w:t>Clearing-House</w:t>
      </w:r>
      <w:proofErr w:type="gramEnd"/>
      <w:r w:rsidRPr="00A2656D">
        <w:rPr>
          <w:rFonts w:eastAsia="Arial Unicode MS"/>
          <w:snapToGrid w:val="0"/>
          <w:kern w:val="22"/>
          <w:szCs w:val="22"/>
          <w:u w:color="000000"/>
          <w:bdr w:val="nil"/>
        </w:rPr>
        <w:t xml:space="preserve"> (including information on the permits or their equivalent issued at the time of access) is also essential for the implementation of the Protocol.</w:t>
      </w:r>
      <w:r w:rsidR="00735FDD" w:rsidRPr="00A2656D">
        <w:rPr>
          <w:rFonts w:eastAsia="Arial Unicode MS"/>
          <w:snapToGrid w:val="0"/>
          <w:kern w:val="22"/>
          <w:szCs w:val="22"/>
          <w:u w:color="000000"/>
          <w:bdr w:val="nil"/>
        </w:rPr>
        <w:t xml:space="preserve"> </w:t>
      </w:r>
      <w:r w:rsidR="00B42ABB" w:rsidRPr="00A2656D">
        <w:rPr>
          <w:rFonts w:eastAsia="Arial Unicode MS"/>
          <w:snapToGrid w:val="0"/>
          <w:kern w:val="22"/>
          <w:szCs w:val="22"/>
          <w:u w:color="000000"/>
          <w:bdr w:val="nil"/>
        </w:rPr>
        <w:t xml:space="preserve">Promoting compliance with these core elements is key for the operationalization of the Protocol, and, therefore, it is proposed that these elements be further examined by the Committee as possible general issues of compliance. In that context, the Secretariat </w:t>
      </w:r>
      <w:r w:rsidR="003C190A" w:rsidRPr="00A2656D">
        <w:rPr>
          <w:rFonts w:eastAsia="Arial Unicode MS"/>
          <w:snapToGrid w:val="0"/>
          <w:kern w:val="22"/>
          <w:szCs w:val="22"/>
          <w:u w:color="000000"/>
          <w:bdr w:val="nil"/>
        </w:rPr>
        <w:t xml:space="preserve">has compiled the data below from the </w:t>
      </w:r>
      <w:r w:rsidRPr="00A2656D">
        <w:rPr>
          <w:rFonts w:eastAsia="Arial Unicode MS"/>
          <w:snapToGrid w:val="0"/>
          <w:kern w:val="22"/>
          <w:szCs w:val="22"/>
          <w:u w:color="000000"/>
          <w:bdr w:val="nil"/>
        </w:rPr>
        <w:t xml:space="preserve">information </w:t>
      </w:r>
      <w:r w:rsidR="003C190A" w:rsidRPr="00A2656D">
        <w:rPr>
          <w:rFonts w:eastAsia="Arial Unicode MS"/>
          <w:snapToGrid w:val="0"/>
          <w:kern w:val="22"/>
          <w:szCs w:val="22"/>
          <w:u w:color="000000"/>
          <w:bdr w:val="nil"/>
        </w:rPr>
        <w:t xml:space="preserve">that is available in the </w:t>
      </w:r>
      <w:r w:rsidR="0042006F" w:rsidRPr="00A2656D">
        <w:rPr>
          <w:rFonts w:eastAsia="SimSun"/>
          <w:snapToGrid w:val="0"/>
          <w:kern w:val="22"/>
          <w:szCs w:val="22"/>
        </w:rPr>
        <w:t xml:space="preserve">Access and Benefit-sharing </w:t>
      </w:r>
      <w:r w:rsidR="003C190A" w:rsidRPr="00A2656D">
        <w:rPr>
          <w:rFonts w:eastAsia="Arial Unicode MS"/>
          <w:snapToGrid w:val="0"/>
          <w:kern w:val="22"/>
          <w:szCs w:val="22"/>
          <w:u w:color="000000"/>
          <w:bdr w:val="nil"/>
        </w:rPr>
        <w:t>Clearing-House covering</w:t>
      </w:r>
      <w:r w:rsidRPr="00A2656D">
        <w:rPr>
          <w:rFonts w:eastAsia="Arial Unicode MS"/>
          <w:snapToGrid w:val="0"/>
          <w:kern w:val="22"/>
          <w:szCs w:val="22"/>
          <w:u w:color="000000"/>
          <w:bdr w:val="nil"/>
        </w:rPr>
        <w:t xml:space="preserve"> </w:t>
      </w:r>
      <w:r w:rsidR="002C62F9" w:rsidRPr="00A2656D">
        <w:rPr>
          <w:rFonts w:eastAsia="Arial Unicode MS"/>
          <w:snapToGrid w:val="0"/>
          <w:kern w:val="22"/>
          <w:szCs w:val="22"/>
          <w:u w:color="000000"/>
          <w:bdr w:val="nil"/>
        </w:rPr>
        <w:t>12</w:t>
      </w:r>
      <w:r w:rsidR="00D2687E" w:rsidRPr="00A2656D">
        <w:rPr>
          <w:rFonts w:eastAsia="Arial Unicode MS"/>
          <w:snapToGrid w:val="0"/>
          <w:kern w:val="22"/>
          <w:szCs w:val="22"/>
          <w:u w:color="000000"/>
          <w:bdr w:val="nil"/>
        </w:rPr>
        <w:t>3</w:t>
      </w:r>
      <w:r w:rsidR="002C62F9" w:rsidRPr="00A2656D">
        <w:rPr>
          <w:rFonts w:eastAsia="Arial Unicode MS"/>
          <w:snapToGrid w:val="0"/>
          <w:kern w:val="22"/>
          <w:szCs w:val="22"/>
          <w:u w:color="000000"/>
          <w:bdr w:val="nil"/>
        </w:rPr>
        <w:t xml:space="preserve"> </w:t>
      </w:r>
      <w:r w:rsidRPr="00A2656D">
        <w:rPr>
          <w:rFonts w:eastAsia="Arial Unicode MS"/>
          <w:snapToGrid w:val="0"/>
          <w:kern w:val="22"/>
          <w:szCs w:val="22"/>
          <w:u w:color="000000"/>
          <w:bdr w:val="nil"/>
        </w:rPr>
        <w:t xml:space="preserve">Parties to the Convention on Biological Diversity that </w:t>
      </w:r>
      <w:r w:rsidR="00D2687E" w:rsidRPr="00A2656D">
        <w:rPr>
          <w:rFonts w:eastAsia="Arial Unicode MS"/>
          <w:snapToGrid w:val="0"/>
          <w:kern w:val="22"/>
          <w:szCs w:val="22"/>
          <w:u w:color="000000"/>
          <w:bdr w:val="nil"/>
        </w:rPr>
        <w:t xml:space="preserve">were Parties to the Protocol by 4 </w:t>
      </w:r>
      <w:r w:rsidR="002C62F9" w:rsidRPr="00A2656D">
        <w:rPr>
          <w:rFonts w:eastAsia="Arial Unicode MS"/>
          <w:snapToGrid w:val="0"/>
          <w:kern w:val="22"/>
          <w:szCs w:val="22"/>
          <w:u w:color="000000"/>
          <w:bdr w:val="nil"/>
        </w:rPr>
        <w:t>March 2020</w:t>
      </w:r>
      <w:r w:rsidR="008E6B8D" w:rsidRPr="00A2656D">
        <w:rPr>
          <w:rFonts w:eastAsia="Arial Unicode MS"/>
          <w:snapToGrid w:val="0"/>
          <w:kern w:val="22"/>
          <w:szCs w:val="22"/>
          <w:u w:color="000000"/>
          <w:bdr w:val="nil"/>
        </w:rPr>
        <w:t>, and information received through the interim national reports</w:t>
      </w:r>
      <w:r w:rsidRPr="00A2656D">
        <w:rPr>
          <w:rFonts w:eastAsia="Arial Unicode MS"/>
          <w:snapToGrid w:val="0"/>
          <w:kern w:val="22"/>
          <w:szCs w:val="22"/>
          <w:u w:color="000000"/>
          <w:bdr w:val="nil"/>
        </w:rPr>
        <w:t>.</w:t>
      </w:r>
    </w:p>
    <w:p w14:paraId="7E60DDA4" w14:textId="4B1AA18A" w:rsidR="00D2687E"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snapToGrid w:val="0"/>
          <w:kern w:val="22"/>
          <w:szCs w:val="22"/>
        </w:rPr>
      </w:pPr>
      <w:r w:rsidRPr="00A2656D">
        <w:rPr>
          <w:snapToGrid w:val="0"/>
          <w:kern w:val="22"/>
          <w:szCs w:val="22"/>
        </w:rPr>
        <w:t xml:space="preserve">The </w:t>
      </w:r>
      <w:r w:rsidR="00B42ABB" w:rsidRPr="00A2656D">
        <w:rPr>
          <w:snapToGrid w:val="0"/>
          <w:kern w:val="22"/>
          <w:szCs w:val="22"/>
        </w:rPr>
        <w:t>aggregated data below</w:t>
      </w:r>
      <w:r w:rsidR="004E34B6">
        <w:rPr>
          <w:snapToGrid w:val="0"/>
          <w:kern w:val="22"/>
          <w:szCs w:val="22"/>
        </w:rPr>
        <w:t>,</w:t>
      </w:r>
      <w:r w:rsidR="00B42ABB" w:rsidRPr="00A2656D">
        <w:rPr>
          <w:snapToGrid w:val="0"/>
          <w:kern w:val="22"/>
          <w:szCs w:val="22"/>
        </w:rPr>
        <w:t xml:space="preserve"> </w:t>
      </w:r>
      <w:r w:rsidRPr="00A2656D">
        <w:rPr>
          <w:snapToGrid w:val="0"/>
          <w:kern w:val="22"/>
          <w:szCs w:val="22"/>
        </w:rPr>
        <w:t xml:space="preserve">provided </w:t>
      </w:r>
      <w:r w:rsidR="00B42ABB" w:rsidRPr="00A2656D">
        <w:rPr>
          <w:snapToGrid w:val="0"/>
          <w:kern w:val="22"/>
          <w:szCs w:val="22"/>
        </w:rPr>
        <w:t xml:space="preserve">to facilitate the consideration of </w:t>
      </w:r>
      <w:r w:rsidRPr="00A2656D">
        <w:rPr>
          <w:snapToGrid w:val="0"/>
          <w:kern w:val="22"/>
          <w:szCs w:val="22"/>
        </w:rPr>
        <w:t>general issues of compliance</w:t>
      </w:r>
      <w:r w:rsidR="004E34B6">
        <w:rPr>
          <w:snapToGrid w:val="0"/>
          <w:kern w:val="22"/>
          <w:szCs w:val="22"/>
        </w:rPr>
        <w:t>,</w:t>
      </w:r>
      <w:r w:rsidRPr="00A2656D">
        <w:rPr>
          <w:snapToGrid w:val="0"/>
          <w:kern w:val="22"/>
          <w:szCs w:val="22"/>
        </w:rPr>
        <w:t xml:space="preserve"> </w:t>
      </w:r>
      <w:r w:rsidR="00B42ABB" w:rsidRPr="00A2656D">
        <w:rPr>
          <w:snapToGrid w:val="0"/>
          <w:kern w:val="22"/>
          <w:szCs w:val="22"/>
        </w:rPr>
        <w:t xml:space="preserve">may need </w:t>
      </w:r>
      <w:r w:rsidRPr="00A2656D">
        <w:rPr>
          <w:snapToGrid w:val="0"/>
          <w:kern w:val="22"/>
          <w:szCs w:val="22"/>
        </w:rPr>
        <w:t xml:space="preserve">to be considered within the broader context of general challenges </w:t>
      </w:r>
      <w:r w:rsidR="00B42ABB" w:rsidRPr="00A2656D">
        <w:rPr>
          <w:snapToGrid w:val="0"/>
          <w:kern w:val="22"/>
          <w:szCs w:val="22"/>
        </w:rPr>
        <w:t xml:space="preserve">that a number of Parties are facing </w:t>
      </w:r>
      <w:r w:rsidR="003C352F" w:rsidRPr="00A2656D">
        <w:rPr>
          <w:snapToGrid w:val="0"/>
          <w:kern w:val="22"/>
          <w:szCs w:val="22"/>
        </w:rPr>
        <w:t xml:space="preserve">in </w:t>
      </w:r>
      <w:r w:rsidRPr="00A2656D">
        <w:rPr>
          <w:snapToGrid w:val="0"/>
          <w:kern w:val="22"/>
          <w:szCs w:val="22"/>
        </w:rPr>
        <w:t>implement</w:t>
      </w:r>
      <w:r w:rsidR="003C352F" w:rsidRPr="00A2656D">
        <w:rPr>
          <w:snapToGrid w:val="0"/>
          <w:kern w:val="22"/>
          <w:szCs w:val="22"/>
        </w:rPr>
        <w:t>ing</w:t>
      </w:r>
      <w:r w:rsidRPr="00A2656D">
        <w:rPr>
          <w:snapToGrid w:val="0"/>
          <w:kern w:val="22"/>
          <w:szCs w:val="22"/>
        </w:rPr>
        <w:t xml:space="preserve"> the Protocol and taking into account </w:t>
      </w:r>
      <w:r w:rsidR="00D637A6" w:rsidRPr="00A2656D">
        <w:rPr>
          <w:snapToGrid w:val="0"/>
          <w:kern w:val="22"/>
          <w:szCs w:val="22"/>
        </w:rPr>
        <w:t xml:space="preserve">the fact </w:t>
      </w:r>
      <w:r w:rsidRPr="00A2656D">
        <w:rPr>
          <w:snapToGrid w:val="0"/>
          <w:kern w:val="22"/>
          <w:szCs w:val="22"/>
        </w:rPr>
        <w:t xml:space="preserve">that many Parties are at early stages in </w:t>
      </w:r>
      <w:r w:rsidRPr="00A2656D">
        <w:rPr>
          <w:snapToGrid w:val="0"/>
          <w:kern w:val="22"/>
          <w:szCs w:val="22"/>
        </w:rPr>
        <w:lastRenderedPageBreak/>
        <w:t>the implementation of the Protocol</w:t>
      </w:r>
      <w:r w:rsidR="00D2687E" w:rsidRPr="00A2656D">
        <w:rPr>
          <w:snapToGrid w:val="0"/>
          <w:kern w:val="22"/>
          <w:szCs w:val="22"/>
        </w:rPr>
        <w:t xml:space="preserve"> as highlighted by </w:t>
      </w:r>
      <w:r w:rsidR="001B70E5" w:rsidRPr="00A2656D">
        <w:rPr>
          <w:snapToGrid w:val="0"/>
          <w:kern w:val="22"/>
          <w:szCs w:val="22"/>
        </w:rPr>
        <w:t xml:space="preserve">the </w:t>
      </w:r>
      <w:r w:rsidR="00D2687E" w:rsidRPr="00A2656D">
        <w:rPr>
          <w:snapToGrid w:val="0"/>
          <w:kern w:val="22"/>
          <w:szCs w:val="22"/>
        </w:rPr>
        <w:t xml:space="preserve">key findings </w:t>
      </w:r>
      <w:r w:rsidR="001B70E5" w:rsidRPr="00A2656D">
        <w:rPr>
          <w:snapToGrid w:val="0"/>
          <w:kern w:val="22"/>
          <w:szCs w:val="22"/>
        </w:rPr>
        <w:t xml:space="preserve">of </w:t>
      </w:r>
      <w:r w:rsidR="00D2687E" w:rsidRPr="00A2656D">
        <w:rPr>
          <w:snapToGrid w:val="0"/>
          <w:kern w:val="22"/>
          <w:szCs w:val="22"/>
        </w:rPr>
        <w:t xml:space="preserve">the first </w:t>
      </w:r>
      <w:r w:rsidR="001B70E5" w:rsidRPr="00A2656D">
        <w:rPr>
          <w:snapToGrid w:val="0"/>
          <w:kern w:val="22"/>
          <w:szCs w:val="22"/>
        </w:rPr>
        <w:t>assessment and review</w:t>
      </w:r>
      <w:r w:rsidR="00D2687E" w:rsidRPr="00A2656D">
        <w:rPr>
          <w:snapToGrid w:val="0"/>
          <w:kern w:val="22"/>
          <w:szCs w:val="22"/>
        </w:rPr>
        <w:t xml:space="preserve"> of the effectiveness of the Protocol</w:t>
      </w:r>
      <w:r w:rsidR="00A32057" w:rsidRPr="00A2656D">
        <w:rPr>
          <w:snapToGrid w:val="0"/>
          <w:kern w:val="22"/>
          <w:szCs w:val="22"/>
        </w:rPr>
        <w:t>.</w:t>
      </w:r>
      <w:r w:rsidR="00D2687E" w:rsidRPr="00A2656D">
        <w:rPr>
          <w:rStyle w:val="FootnoteReference"/>
          <w:snapToGrid w:val="0"/>
          <w:kern w:val="22"/>
          <w:szCs w:val="22"/>
        </w:rPr>
        <w:footnoteReference w:id="8"/>
      </w:r>
    </w:p>
    <w:p w14:paraId="7D24E2E7" w14:textId="57B414C8" w:rsidR="000A6DB2" w:rsidRPr="00A2656D" w:rsidRDefault="008E6B8D">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snapToGrid w:val="0"/>
          <w:kern w:val="22"/>
          <w:szCs w:val="22"/>
        </w:rPr>
      </w:pPr>
      <w:r w:rsidRPr="004970FC">
        <w:rPr>
          <w:rFonts w:eastAsia="Calibri"/>
          <w:snapToGrid w:val="0"/>
          <w:kern w:val="22"/>
          <w:szCs w:val="22"/>
        </w:rPr>
        <w:t>As already indicated, the data or the synthesis below</w:t>
      </w:r>
      <w:r w:rsidR="000A6DB2" w:rsidRPr="004970FC">
        <w:rPr>
          <w:rFonts w:eastAsia="Calibri"/>
          <w:snapToGrid w:val="0"/>
          <w:kern w:val="22"/>
          <w:szCs w:val="22"/>
        </w:rPr>
        <w:t xml:space="preserve"> takes into account information provided in the interim national reports and the </w:t>
      </w:r>
      <w:r w:rsidR="00A32057" w:rsidRPr="00A2656D">
        <w:rPr>
          <w:rFonts w:eastAsia="SimSun"/>
          <w:snapToGrid w:val="0"/>
          <w:kern w:val="22"/>
          <w:szCs w:val="22"/>
        </w:rPr>
        <w:t xml:space="preserve">Access and Benefit-sharing </w:t>
      </w:r>
      <w:proofErr w:type="gramStart"/>
      <w:r w:rsidR="000A6DB2" w:rsidRPr="004970FC">
        <w:rPr>
          <w:rFonts w:eastAsia="Calibri"/>
          <w:snapToGrid w:val="0"/>
          <w:kern w:val="22"/>
          <w:szCs w:val="22"/>
        </w:rPr>
        <w:t>Clearing-House</w:t>
      </w:r>
      <w:proofErr w:type="gramEnd"/>
      <w:r w:rsidR="000A6DB2" w:rsidRPr="004970FC">
        <w:rPr>
          <w:rFonts w:eastAsia="Calibri"/>
          <w:snapToGrid w:val="0"/>
          <w:kern w:val="22"/>
          <w:szCs w:val="22"/>
        </w:rPr>
        <w:t xml:space="preserve">. For those Parties that did not submit an interim national report, </w:t>
      </w:r>
      <w:r w:rsidRPr="004970FC">
        <w:rPr>
          <w:rFonts w:eastAsia="Calibri"/>
          <w:snapToGrid w:val="0"/>
          <w:kern w:val="22"/>
          <w:szCs w:val="22"/>
        </w:rPr>
        <w:t xml:space="preserve">relevant </w:t>
      </w:r>
      <w:r w:rsidR="000A6DB2" w:rsidRPr="00807D31">
        <w:rPr>
          <w:rFonts w:eastAsia="Calibri"/>
          <w:snapToGrid w:val="0"/>
          <w:kern w:val="22"/>
          <w:szCs w:val="22"/>
        </w:rPr>
        <w:t xml:space="preserve">information provided through the </w:t>
      </w:r>
      <w:r w:rsidR="003F7CF7" w:rsidRPr="00807D31">
        <w:rPr>
          <w:rFonts w:eastAsia="Calibri"/>
          <w:snapToGrid w:val="0"/>
          <w:kern w:val="22"/>
          <w:szCs w:val="22"/>
        </w:rPr>
        <w:t>n</w:t>
      </w:r>
      <w:r w:rsidR="000A6DB2" w:rsidRPr="00B157CD">
        <w:rPr>
          <w:rFonts w:eastAsia="Calibri"/>
          <w:snapToGrid w:val="0"/>
          <w:kern w:val="22"/>
          <w:szCs w:val="22"/>
        </w:rPr>
        <w:t xml:space="preserve">ational </w:t>
      </w:r>
      <w:r w:rsidR="003F7CF7" w:rsidRPr="00B157CD">
        <w:rPr>
          <w:rFonts w:eastAsia="Calibri"/>
          <w:snapToGrid w:val="0"/>
          <w:kern w:val="22"/>
          <w:szCs w:val="22"/>
        </w:rPr>
        <w:t>b</w:t>
      </w:r>
      <w:r w:rsidR="000A6DB2" w:rsidRPr="00B157CD">
        <w:rPr>
          <w:rFonts w:eastAsia="Calibri"/>
          <w:snapToGrid w:val="0"/>
          <w:kern w:val="22"/>
          <w:szCs w:val="22"/>
        </w:rPr>
        <w:t xml:space="preserve">iodiversity </w:t>
      </w:r>
      <w:r w:rsidR="003F7CF7" w:rsidRPr="00B157CD">
        <w:rPr>
          <w:rFonts w:eastAsia="Calibri"/>
          <w:snapToGrid w:val="0"/>
          <w:kern w:val="22"/>
          <w:szCs w:val="22"/>
        </w:rPr>
        <w:t>s</w:t>
      </w:r>
      <w:r w:rsidR="000A6DB2" w:rsidRPr="00B157CD">
        <w:rPr>
          <w:rFonts w:eastAsia="Calibri"/>
          <w:snapToGrid w:val="0"/>
          <w:kern w:val="22"/>
          <w:szCs w:val="22"/>
        </w:rPr>
        <w:t xml:space="preserve">trategies and </w:t>
      </w:r>
      <w:r w:rsidR="003F7CF7" w:rsidRPr="00B157CD">
        <w:rPr>
          <w:rFonts w:eastAsia="Calibri"/>
          <w:snapToGrid w:val="0"/>
          <w:kern w:val="22"/>
          <w:szCs w:val="22"/>
        </w:rPr>
        <w:t>a</w:t>
      </w:r>
      <w:r w:rsidR="000A6DB2" w:rsidRPr="00B157CD">
        <w:rPr>
          <w:rFonts w:eastAsia="Calibri"/>
          <w:snapToGrid w:val="0"/>
          <w:kern w:val="22"/>
          <w:szCs w:val="22"/>
        </w:rPr>
        <w:t xml:space="preserve">ction </w:t>
      </w:r>
      <w:r w:rsidR="003F7CF7" w:rsidRPr="00B157CD">
        <w:rPr>
          <w:rFonts w:eastAsia="Calibri"/>
          <w:snapToGrid w:val="0"/>
          <w:kern w:val="22"/>
          <w:szCs w:val="22"/>
        </w:rPr>
        <w:t>p</w:t>
      </w:r>
      <w:r w:rsidR="000A6DB2" w:rsidRPr="00B157CD">
        <w:rPr>
          <w:rFonts w:eastAsia="Calibri"/>
          <w:snapToGrid w:val="0"/>
          <w:kern w:val="22"/>
          <w:szCs w:val="22"/>
        </w:rPr>
        <w:t>lans (</w:t>
      </w:r>
      <w:r w:rsidR="000A6DB2" w:rsidRPr="00B157CD">
        <w:rPr>
          <w:rFonts w:eastAsia="Calibri"/>
          <w:bCs/>
          <w:snapToGrid w:val="0"/>
          <w:kern w:val="22"/>
          <w:szCs w:val="22"/>
        </w:rPr>
        <w:t>NBSAPs</w:t>
      </w:r>
      <w:r w:rsidR="000A6DB2" w:rsidRPr="00B157CD">
        <w:rPr>
          <w:rFonts w:eastAsia="Calibri"/>
          <w:snapToGrid w:val="0"/>
          <w:kern w:val="22"/>
          <w:szCs w:val="22"/>
        </w:rPr>
        <w:t xml:space="preserve">) and the </w:t>
      </w:r>
      <w:r w:rsidR="002C62F9" w:rsidRPr="00B157CD">
        <w:rPr>
          <w:rFonts w:eastAsia="Calibri"/>
          <w:snapToGrid w:val="0"/>
          <w:kern w:val="22"/>
          <w:szCs w:val="22"/>
        </w:rPr>
        <w:t>fifth</w:t>
      </w:r>
      <w:r w:rsidR="00D37C25" w:rsidRPr="00B157CD">
        <w:rPr>
          <w:rFonts w:eastAsia="Calibri"/>
          <w:snapToGrid w:val="0"/>
          <w:kern w:val="22"/>
          <w:szCs w:val="22"/>
        </w:rPr>
        <w:t xml:space="preserve"> </w:t>
      </w:r>
      <w:r w:rsidR="000A6DB2" w:rsidRPr="00B157CD">
        <w:rPr>
          <w:rFonts w:eastAsia="Calibri"/>
          <w:snapToGrid w:val="0"/>
          <w:kern w:val="22"/>
          <w:szCs w:val="22"/>
        </w:rPr>
        <w:t>national reports on the implementation of the Convention has been considered</w:t>
      </w:r>
      <w:r w:rsidRPr="00B157CD">
        <w:rPr>
          <w:rFonts w:eastAsia="Calibri"/>
          <w:snapToGrid w:val="0"/>
          <w:kern w:val="22"/>
          <w:szCs w:val="22"/>
        </w:rPr>
        <w:t xml:space="preserve">. Any relevant </w:t>
      </w:r>
      <w:r w:rsidR="002C62F9" w:rsidRPr="00B157CD">
        <w:rPr>
          <w:rFonts w:eastAsia="Calibri"/>
          <w:snapToGrid w:val="0"/>
          <w:kern w:val="22"/>
          <w:szCs w:val="22"/>
        </w:rPr>
        <w:t xml:space="preserve">information </w:t>
      </w:r>
      <w:r w:rsidRPr="00B157CD">
        <w:rPr>
          <w:rFonts w:eastAsia="Calibri"/>
          <w:snapToGrid w:val="0"/>
          <w:kern w:val="22"/>
          <w:szCs w:val="22"/>
        </w:rPr>
        <w:t xml:space="preserve">that </w:t>
      </w:r>
      <w:r w:rsidR="007B7DD7" w:rsidRPr="00B157CD">
        <w:rPr>
          <w:rFonts w:eastAsia="Calibri"/>
          <w:snapToGrid w:val="0"/>
          <w:kern w:val="22"/>
          <w:szCs w:val="22"/>
        </w:rPr>
        <w:t xml:space="preserve">was </w:t>
      </w:r>
      <w:r w:rsidRPr="00B157CD">
        <w:rPr>
          <w:rFonts w:eastAsia="Calibri"/>
          <w:snapToGrid w:val="0"/>
          <w:kern w:val="22"/>
          <w:szCs w:val="22"/>
        </w:rPr>
        <w:t xml:space="preserve">made </w:t>
      </w:r>
      <w:r w:rsidR="002C62F9" w:rsidRPr="00B157CD">
        <w:rPr>
          <w:rFonts w:eastAsia="Calibri"/>
          <w:snapToGrid w:val="0"/>
          <w:kern w:val="22"/>
          <w:szCs w:val="22"/>
        </w:rPr>
        <w:t xml:space="preserve">available </w:t>
      </w:r>
      <w:r w:rsidRPr="00B157CD">
        <w:rPr>
          <w:rFonts w:eastAsia="Calibri"/>
          <w:snapToGrid w:val="0"/>
          <w:kern w:val="22"/>
          <w:szCs w:val="22"/>
        </w:rPr>
        <w:t xml:space="preserve">through </w:t>
      </w:r>
      <w:r w:rsidR="002C62F9" w:rsidRPr="00544D2F">
        <w:rPr>
          <w:rFonts w:eastAsia="Calibri"/>
          <w:snapToGrid w:val="0"/>
          <w:kern w:val="22"/>
          <w:szCs w:val="22"/>
        </w:rPr>
        <w:t>the sixth national reports</w:t>
      </w:r>
      <w:r w:rsidRPr="00544D2F">
        <w:rPr>
          <w:rFonts w:eastAsia="Calibri"/>
          <w:snapToGrid w:val="0"/>
          <w:kern w:val="22"/>
          <w:szCs w:val="22"/>
        </w:rPr>
        <w:t>,</w:t>
      </w:r>
      <w:r w:rsidR="002C62F9" w:rsidRPr="00544D2F">
        <w:rPr>
          <w:rFonts w:eastAsia="Calibri"/>
          <w:snapToGrid w:val="0"/>
          <w:kern w:val="22"/>
          <w:szCs w:val="22"/>
        </w:rPr>
        <w:t xml:space="preserve"> was also considered</w:t>
      </w:r>
      <w:r w:rsidR="00E1768B" w:rsidRPr="00FF3105">
        <w:rPr>
          <w:rFonts w:eastAsia="Calibri"/>
          <w:snapToGrid w:val="0"/>
          <w:kern w:val="22"/>
          <w:szCs w:val="22"/>
        </w:rPr>
        <w:t>.</w:t>
      </w:r>
    </w:p>
    <w:p w14:paraId="0B21AB16" w14:textId="328E1AD8" w:rsidR="000A6DB2" w:rsidRPr="00561F20" w:rsidRDefault="000A6DB2">
      <w:pPr>
        <w:pStyle w:val="ListParagraph"/>
        <w:keepNext/>
        <w:numPr>
          <w:ilvl w:val="0"/>
          <w:numId w:val="23"/>
        </w:numPr>
        <w:suppressLineNumbers/>
        <w:tabs>
          <w:tab w:val="left" w:pos="360"/>
        </w:tabs>
        <w:suppressAutoHyphens/>
        <w:kinsoku w:val="0"/>
        <w:overflowPunct w:val="0"/>
        <w:autoSpaceDE w:val="0"/>
        <w:autoSpaceDN w:val="0"/>
        <w:spacing w:before="120" w:after="120"/>
        <w:jc w:val="center"/>
        <w:rPr>
          <w:rFonts w:eastAsia="SimSun" w:hAnsi="Times New Roman" w:cs="Times New Roman"/>
          <w:b/>
          <w:bCs/>
          <w:iCs/>
          <w:snapToGrid w:val="0"/>
          <w:kern w:val="22"/>
          <w:lang w:val="en-GB"/>
        </w:rPr>
      </w:pPr>
      <w:r w:rsidRPr="00561F20">
        <w:rPr>
          <w:rFonts w:eastAsia="Calibri" w:hAnsi="Times New Roman" w:cs="Times New Roman"/>
          <w:b/>
          <w:bCs/>
          <w:iCs/>
          <w:snapToGrid w:val="0"/>
          <w:kern w:val="22"/>
          <w:lang w:val="en-GB"/>
        </w:rPr>
        <w:t xml:space="preserve">Legislative, administrative or policy measures on </w:t>
      </w:r>
      <w:r w:rsidR="00A32057" w:rsidRPr="00561F20">
        <w:rPr>
          <w:rFonts w:eastAsia="Calibri" w:hAnsi="Times New Roman" w:cs="Times New Roman"/>
          <w:b/>
          <w:bCs/>
          <w:iCs/>
          <w:snapToGrid w:val="0"/>
          <w:kern w:val="22"/>
          <w:lang w:val="en-GB"/>
        </w:rPr>
        <w:t>access and benefit-sharing</w:t>
      </w:r>
    </w:p>
    <w:p w14:paraId="25AD2583" w14:textId="10A89050" w:rsidR="000A6DB2"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kern w:val="22"/>
          <w:szCs w:val="22"/>
        </w:rPr>
      </w:pPr>
      <w:proofErr w:type="gramStart"/>
      <w:r w:rsidRPr="00A2656D">
        <w:rPr>
          <w:rFonts w:eastAsia="SimSun"/>
          <w:snapToGrid w:val="0"/>
          <w:kern w:val="22"/>
          <w:szCs w:val="22"/>
        </w:rPr>
        <w:t>A number of</w:t>
      </w:r>
      <w:proofErr w:type="gramEnd"/>
      <w:r w:rsidRPr="00A2656D">
        <w:rPr>
          <w:rFonts w:eastAsia="SimSun"/>
          <w:snapToGrid w:val="0"/>
          <w:kern w:val="22"/>
          <w:szCs w:val="22"/>
        </w:rPr>
        <w:t xml:space="preserve"> provisions of the Protocol require Parties </w:t>
      </w:r>
      <w:bookmarkStart w:id="2" w:name="_Hlk36469222"/>
      <w:r w:rsidRPr="00A2656D">
        <w:rPr>
          <w:rFonts w:eastAsia="SimSun"/>
          <w:snapToGrid w:val="0"/>
          <w:kern w:val="22"/>
          <w:szCs w:val="22"/>
        </w:rPr>
        <w:t>to adopt legislative, administrative or policy measures on ABS</w:t>
      </w:r>
      <w:bookmarkEnd w:id="2"/>
      <w:r w:rsidRPr="00A2656D">
        <w:rPr>
          <w:rFonts w:eastAsia="SimSun"/>
          <w:snapToGrid w:val="0"/>
          <w:kern w:val="22"/>
          <w:szCs w:val="22"/>
        </w:rPr>
        <w:t>.</w:t>
      </w:r>
    </w:p>
    <w:p w14:paraId="7E84E71B" w14:textId="66A2764D" w:rsidR="000A6DB2"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b/>
          <w:i/>
          <w:snapToGrid w:val="0"/>
          <w:kern w:val="22"/>
          <w:szCs w:val="22"/>
        </w:rPr>
      </w:pPr>
      <w:r w:rsidRPr="00A2656D">
        <w:rPr>
          <w:rFonts w:eastAsia="SimSun"/>
          <w:snapToGrid w:val="0"/>
          <w:kern w:val="22"/>
          <w:szCs w:val="22"/>
        </w:rPr>
        <w:t>According</w:t>
      </w:r>
      <w:r w:rsidRPr="00A2656D">
        <w:rPr>
          <w:rFonts w:eastAsia="Arial Unicode MS"/>
          <w:snapToGrid w:val="0"/>
          <w:kern w:val="22"/>
          <w:szCs w:val="22"/>
          <w:u w:color="000000"/>
          <w:bdr w:val="nil"/>
        </w:rPr>
        <w:t xml:space="preserve"> to </w:t>
      </w:r>
      <w:r w:rsidR="00D725A3" w:rsidRPr="00A2656D">
        <w:rPr>
          <w:rFonts w:eastAsia="Arial Unicode MS"/>
          <w:snapToGrid w:val="0"/>
          <w:kern w:val="22"/>
          <w:szCs w:val="22"/>
          <w:u w:color="000000"/>
          <w:bdr w:val="nil"/>
        </w:rPr>
        <w:t xml:space="preserve">the </w:t>
      </w:r>
      <w:r w:rsidRPr="00A2656D">
        <w:rPr>
          <w:rFonts w:eastAsia="Arial Unicode MS"/>
          <w:snapToGrid w:val="0"/>
          <w:kern w:val="22"/>
          <w:szCs w:val="22"/>
          <w:u w:color="000000"/>
          <w:bdr w:val="nil"/>
        </w:rPr>
        <w:t xml:space="preserve">information </w:t>
      </w:r>
      <w:r w:rsidR="00D725A3" w:rsidRPr="00A2656D">
        <w:rPr>
          <w:rFonts w:eastAsia="Arial Unicode MS"/>
          <w:snapToGrid w:val="0"/>
          <w:kern w:val="22"/>
          <w:szCs w:val="22"/>
          <w:u w:color="000000"/>
          <w:bdr w:val="nil"/>
        </w:rPr>
        <w:t xml:space="preserve">that is </w:t>
      </w:r>
      <w:r w:rsidRPr="00A2656D">
        <w:rPr>
          <w:rFonts w:eastAsia="Arial Unicode MS"/>
          <w:snapToGrid w:val="0"/>
          <w:kern w:val="22"/>
          <w:szCs w:val="22"/>
          <w:u w:color="000000"/>
          <w:bdr w:val="nil"/>
        </w:rPr>
        <w:t xml:space="preserve">available, as of </w:t>
      </w:r>
      <w:r w:rsidR="002C62F9" w:rsidRPr="00A2656D">
        <w:rPr>
          <w:rFonts w:eastAsia="Arial Unicode MS"/>
          <w:snapToGrid w:val="0"/>
          <w:kern w:val="22"/>
          <w:szCs w:val="22"/>
          <w:u w:color="000000"/>
          <w:bdr w:val="nil"/>
        </w:rPr>
        <w:t>4 March 2020</w:t>
      </w:r>
      <w:r w:rsidRPr="00A2656D">
        <w:rPr>
          <w:rFonts w:eastAsia="Arial Unicode MS"/>
          <w:snapToGrid w:val="0"/>
          <w:kern w:val="22"/>
          <w:szCs w:val="22"/>
          <w:u w:color="000000"/>
          <w:bdr w:val="nil"/>
        </w:rPr>
        <w:t xml:space="preserve">, </w:t>
      </w:r>
      <w:r w:rsidR="00392EAC" w:rsidRPr="00A2656D">
        <w:rPr>
          <w:rFonts w:eastAsia="Arial Unicode MS"/>
          <w:snapToGrid w:val="0"/>
          <w:kern w:val="22"/>
          <w:szCs w:val="22"/>
          <w:u w:color="000000"/>
          <w:bdr w:val="nil"/>
        </w:rPr>
        <w:t xml:space="preserve">95 </w:t>
      </w:r>
      <w:r w:rsidRPr="00A2656D">
        <w:rPr>
          <w:rFonts w:eastAsia="Arial Unicode MS"/>
          <w:snapToGrid w:val="0"/>
          <w:kern w:val="22"/>
          <w:szCs w:val="22"/>
          <w:u w:color="000000"/>
          <w:bdr w:val="nil"/>
        </w:rPr>
        <w:t>Parties (</w:t>
      </w:r>
      <w:r w:rsidR="002F4E07" w:rsidRPr="00A2656D">
        <w:rPr>
          <w:rFonts w:eastAsia="Arial Unicode MS"/>
          <w:snapToGrid w:val="0"/>
          <w:kern w:val="22"/>
          <w:szCs w:val="22"/>
          <w:u w:color="000000"/>
          <w:bdr w:val="nil"/>
        </w:rPr>
        <w:t>77</w:t>
      </w:r>
      <w:r w:rsidR="00AD4643" w:rsidRPr="00A2656D">
        <w:rPr>
          <w:rFonts w:eastAsia="Arial Unicode MS"/>
          <w:snapToGrid w:val="0"/>
          <w:kern w:val="22"/>
          <w:szCs w:val="22"/>
          <w:u w:color="000000"/>
          <w:bdr w:val="nil"/>
        </w:rPr>
        <w:t xml:space="preserve"> per cent</w:t>
      </w:r>
      <w:r w:rsidRPr="00A2656D">
        <w:rPr>
          <w:rFonts w:eastAsia="Arial Unicode MS"/>
          <w:snapToGrid w:val="0"/>
          <w:kern w:val="22"/>
          <w:szCs w:val="22"/>
          <w:u w:color="000000"/>
          <w:bdr w:val="nil"/>
        </w:rPr>
        <w:t xml:space="preserve">) had </w:t>
      </w:r>
      <w:r w:rsidRPr="00A2656D">
        <w:rPr>
          <w:rFonts w:eastAsia="Arial Unicode MS"/>
          <w:snapToGrid w:val="0"/>
          <w:color w:val="000000"/>
          <w:kern w:val="22"/>
          <w:szCs w:val="22"/>
          <w:u w:color="000000"/>
          <w:bdr w:val="nil"/>
        </w:rPr>
        <w:t xml:space="preserve">published measures in the </w:t>
      </w:r>
      <w:r w:rsidR="00AD4643" w:rsidRPr="00A2656D">
        <w:rPr>
          <w:rFonts w:eastAsia="SimSun"/>
          <w:snapToGrid w:val="0"/>
          <w:kern w:val="22"/>
          <w:szCs w:val="22"/>
        </w:rPr>
        <w:t xml:space="preserve">Access and Benefit-sharing </w:t>
      </w:r>
      <w:r w:rsidRPr="00A2656D">
        <w:rPr>
          <w:rFonts w:eastAsia="Arial Unicode MS"/>
          <w:snapToGrid w:val="0"/>
          <w:color w:val="000000"/>
          <w:kern w:val="22"/>
          <w:szCs w:val="22"/>
          <w:u w:color="000000"/>
          <w:bdr w:val="nil"/>
        </w:rPr>
        <w:t>Clearing-House</w:t>
      </w:r>
      <w:r w:rsidRPr="00A2656D">
        <w:rPr>
          <w:rFonts w:eastAsia="Arial Unicode MS"/>
          <w:snapToGrid w:val="0"/>
          <w:kern w:val="22"/>
          <w:szCs w:val="22"/>
          <w:u w:color="000000"/>
          <w:bdr w:val="nil"/>
        </w:rPr>
        <w:t xml:space="preserve"> or reported</w:t>
      </w:r>
      <w:r w:rsidR="00F44074" w:rsidRPr="00A2656D">
        <w:rPr>
          <w:rFonts w:eastAsia="Arial Unicode MS"/>
          <w:snapToGrid w:val="0"/>
          <w:kern w:val="22"/>
          <w:szCs w:val="22"/>
          <w:u w:color="000000"/>
          <w:bdr w:val="nil"/>
        </w:rPr>
        <w:t>,</w:t>
      </w:r>
      <w:r w:rsidRPr="00A2656D">
        <w:rPr>
          <w:rFonts w:eastAsia="Arial Unicode MS"/>
          <w:snapToGrid w:val="0"/>
          <w:kern w:val="22"/>
          <w:szCs w:val="22"/>
          <w:u w:color="000000"/>
          <w:bdr w:val="nil"/>
        </w:rPr>
        <w:t xml:space="preserve"> </w:t>
      </w:r>
      <w:r w:rsidR="00F44074" w:rsidRPr="00A2656D">
        <w:rPr>
          <w:rFonts w:eastAsia="Arial Unicode MS"/>
          <w:snapToGrid w:val="0"/>
          <w:kern w:val="22"/>
          <w:szCs w:val="22"/>
          <w:u w:color="000000"/>
          <w:bdr w:val="nil"/>
        </w:rPr>
        <w:t xml:space="preserve">in their interim national report, NBSAP or the fifth/sixth national reports, </w:t>
      </w:r>
      <w:r w:rsidRPr="00A2656D">
        <w:rPr>
          <w:rFonts w:eastAsia="Arial Unicode MS"/>
          <w:snapToGrid w:val="0"/>
          <w:kern w:val="22"/>
          <w:szCs w:val="22"/>
          <w:u w:color="000000"/>
          <w:bdr w:val="nil"/>
        </w:rPr>
        <w:t>having some ABS measures established.</w:t>
      </w:r>
      <w:r w:rsidR="00E8618A" w:rsidRPr="00A2656D">
        <w:rPr>
          <w:rFonts w:eastAsia="Arial Unicode MS"/>
          <w:snapToGrid w:val="0"/>
          <w:kern w:val="22"/>
          <w:szCs w:val="22"/>
          <w:u w:color="000000"/>
          <w:bdr w:val="nil"/>
        </w:rPr>
        <w:t xml:space="preserve"> </w:t>
      </w:r>
      <w:bookmarkStart w:id="3" w:name="_Hlk34310302"/>
      <w:r w:rsidR="00E8618A" w:rsidRPr="00A2656D">
        <w:rPr>
          <w:rFonts w:eastAsia="Arial Unicode MS"/>
          <w:snapToGrid w:val="0"/>
          <w:kern w:val="22"/>
          <w:szCs w:val="22"/>
          <w:u w:color="000000"/>
          <w:bdr w:val="nil"/>
        </w:rPr>
        <w:t>This represents a substantial increase since February 2018</w:t>
      </w:r>
      <w:r w:rsidR="002F497E">
        <w:rPr>
          <w:rFonts w:eastAsia="Arial Unicode MS"/>
          <w:snapToGrid w:val="0"/>
          <w:kern w:val="22"/>
          <w:szCs w:val="22"/>
          <w:u w:color="000000"/>
          <w:bdr w:val="nil"/>
        </w:rPr>
        <w:t>,</w:t>
      </w:r>
      <w:r w:rsidR="00E8618A" w:rsidRPr="00A2656D">
        <w:rPr>
          <w:rFonts w:eastAsia="Arial Unicode MS"/>
          <w:snapToGrid w:val="0"/>
          <w:kern w:val="22"/>
          <w:szCs w:val="22"/>
          <w:u w:color="000000"/>
          <w:bdr w:val="nil"/>
        </w:rPr>
        <w:t xml:space="preserve"> </w:t>
      </w:r>
      <w:r w:rsidR="002F497E">
        <w:rPr>
          <w:rFonts w:eastAsia="Arial Unicode MS"/>
          <w:snapToGrid w:val="0"/>
          <w:kern w:val="22"/>
          <w:szCs w:val="22"/>
          <w:u w:color="000000"/>
          <w:bdr w:val="nil"/>
        </w:rPr>
        <w:t>when</w:t>
      </w:r>
      <w:r w:rsidR="002F497E" w:rsidRPr="00A2656D">
        <w:rPr>
          <w:rFonts w:eastAsia="Arial Unicode MS"/>
          <w:snapToGrid w:val="0"/>
          <w:kern w:val="22"/>
          <w:szCs w:val="22"/>
          <w:u w:color="000000"/>
          <w:bdr w:val="nil"/>
        </w:rPr>
        <w:t xml:space="preserve"> </w:t>
      </w:r>
      <w:r w:rsidR="00E8618A" w:rsidRPr="00A2656D">
        <w:rPr>
          <w:rFonts w:eastAsia="Arial Unicode MS"/>
          <w:snapToGrid w:val="0"/>
          <w:kern w:val="22"/>
          <w:szCs w:val="22"/>
          <w:u w:color="000000"/>
          <w:bdr w:val="nil"/>
        </w:rPr>
        <w:t>62</w:t>
      </w:r>
      <w:r w:rsidR="004D7967" w:rsidRPr="00A2656D">
        <w:rPr>
          <w:rFonts w:eastAsia="Arial Unicode MS"/>
          <w:snapToGrid w:val="0"/>
          <w:kern w:val="22"/>
          <w:szCs w:val="22"/>
          <w:u w:color="000000"/>
          <w:bdr w:val="nil"/>
        </w:rPr>
        <w:t xml:space="preserve"> per cent</w:t>
      </w:r>
      <w:r w:rsidR="00E8618A" w:rsidRPr="00A2656D">
        <w:rPr>
          <w:rFonts w:eastAsia="Arial Unicode MS"/>
          <w:snapToGrid w:val="0"/>
          <w:kern w:val="22"/>
          <w:szCs w:val="22"/>
          <w:u w:color="000000"/>
          <w:bdr w:val="nil"/>
        </w:rPr>
        <w:t xml:space="preserve"> of Parties had some ABS measures in place.</w:t>
      </w:r>
    </w:p>
    <w:bookmarkEnd w:id="3"/>
    <w:p w14:paraId="4BA2F2D1" w14:textId="60FD43FA" w:rsidR="000A6DB2"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b/>
          <w:i/>
          <w:snapToGrid w:val="0"/>
          <w:kern w:val="22"/>
          <w:szCs w:val="22"/>
        </w:rPr>
      </w:pPr>
      <w:r w:rsidRPr="00A2656D">
        <w:rPr>
          <w:rFonts w:eastAsia="SimSun"/>
          <w:snapToGrid w:val="0"/>
          <w:kern w:val="22"/>
          <w:szCs w:val="22"/>
        </w:rPr>
        <w:t xml:space="preserve">The ABS measures reported vary in the degree of specificity and comprehensiveness and </w:t>
      </w:r>
      <w:r w:rsidR="00F44074" w:rsidRPr="00A2656D">
        <w:rPr>
          <w:rFonts w:eastAsia="SimSun"/>
          <w:snapToGrid w:val="0"/>
          <w:kern w:val="22"/>
          <w:szCs w:val="22"/>
        </w:rPr>
        <w:t xml:space="preserve">a large part of these measures </w:t>
      </w:r>
      <w:r w:rsidRPr="00A2656D">
        <w:rPr>
          <w:rFonts w:eastAsia="SimSun"/>
          <w:snapToGrid w:val="0"/>
          <w:kern w:val="22"/>
          <w:szCs w:val="22"/>
        </w:rPr>
        <w:t xml:space="preserve">were </w:t>
      </w:r>
      <w:r w:rsidR="00F44074" w:rsidRPr="00A2656D">
        <w:rPr>
          <w:rFonts w:eastAsia="SimSun"/>
          <w:snapToGrid w:val="0"/>
          <w:kern w:val="22"/>
          <w:szCs w:val="22"/>
        </w:rPr>
        <w:t xml:space="preserve">apparently </w:t>
      </w:r>
      <w:r w:rsidRPr="00A2656D">
        <w:rPr>
          <w:rFonts w:eastAsia="SimSun"/>
          <w:snapToGrid w:val="0"/>
          <w:kern w:val="22"/>
          <w:szCs w:val="22"/>
        </w:rPr>
        <w:t>adopted prior to the adoption of the Nagoya Protocol. Some Parties reported having general legislation which relates to ABS (</w:t>
      </w:r>
      <w:r w:rsidR="00AC7526" w:rsidRPr="00A2656D">
        <w:rPr>
          <w:rFonts w:eastAsia="SimSun"/>
          <w:snapToGrid w:val="0"/>
          <w:kern w:val="22"/>
          <w:szCs w:val="22"/>
        </w:rPr>
        <w:t>for example</w:t>
      </w:r>
      <w:r w:rsidR="00F34E5B" w:rsidRPr="00A2656D">
        <w:rPr>
          <w:rFonts w:eastAsia="SimSun"/>
          <w:snapToGrid w:val="0"/>
          <w:kern w:val="22"/>
          <w:szCs w:val="22"/>
        </w:rPr>
        <w:t>,</w:t>
      </w:r>
      <w:r w:rsidRPr="00A2656D">
        <w:rPr>
          <w:rFonts w:eastAsia="SimSun"/>
          <w:snapToGrid w:val="0"/>
          <w:kern w:val="22"/>
          <w:szCs w:val="22"/>
        </w:rPr>
        <w:t xml:space="preserve"> general environmental legislation, or measures dealing with animal husbandry, forests), while others have adopted specific ABS measures to implement the Protocol. </w:t>
      </w:r>
      <w:r w:rsidRPr="00A2656D">
        <w:rPr>
          <w:rFonts w:eastAsia="Arial Unicode MS"/>
          <w:snapToGrid w:val="0"/>
          <w:kern w:val="22"/>
          <w:szCs w:val="22"/>
          <w:u w:color="000000"/>
          <w:bdr w:val="nil"/>
        </w:rPr>
        <w:t>O</w:t>
      </w:r>
      <w:r w:rsidR="00F44074" w:rsidRPr="00A2656D">
        <w:rPr>
          <w:rFonts w:eastAsia="Arial Unicode MS"/>
          <w:snapToGrid w:val="0"/>
          <w:kern w:val="22"/>
          <w:szCs w:val="22"/>
          <w:u w:color="000000"/>
          <w:bdr w:val="nil"/>
        </w:rPr>
        <w:t>ut</w:t>
      </w:r>
      <w:r w:rsidRPr="00A2656D">
        <w:rPr>
          <w:rFonts w:eastAsia="Arial Unicode MS"/>
          <w:snapToGrid w:val="0"/>
          <w:kern w:val="22"/>
          <w:szCs w:val="22"/>
          <w:u w:color="000000"/>
          <w:bdr w:val="nil"/>
        </w:rPr>
        <w:t xml:space="preserve"> </w:t>
      </w:r>
      <w:r w:rsidR="00F44074" w:rsidRPr="00A2656D">
        <w:rPr>
          <w:rFonts w:eastAsia="Arial Unicode MS"/>
          <w:snapToGrid w:val="0"/>
          <w:kern w:val="22"/>
          <w:szCs w:val="22"/>
          <w:u w:color="000000"/>
          <w:bdr w:val="nil"/>
        </w:rPr>
        <w:t xml:space="preserve">of </w:t>
      </w:r>
      <w:r w:rsidRPr="00A2656D">
        <w:rPr>
          <w:rFonts w:eastAsia="Arial Unicode MS"/>
          <w:snapToGrid w:val="0"/>
          <w:kern w:val="22"/>
          <w:szCs w:val="22"/>
          <w:u w:color="000000"/>
          <w:bdr w:val="nil"/>
        </w:rPr>
        <w:t xml:space="preserve">the </w:t>
      </w:r>
      <w:r w:rsidR="00392EAC" w:rsidRPr="00A2656D">
        <w:rPr>
          <w:rFonts w:eastAsia="Arial Unicode MS"/>
          <w:snapToGrid w:val="0"/>
          <w:kern w:val="22"/>
          <w:szCs w:val="22"/>
          <w:u w:color="000000"/>
          <w:bdr w:val="nil"/>
        </w:rPr>
        <w:t xml:space="preserve">95 </w:t>
      </w:r>
      <w:r w:rsidRPr="00A2656D">
        <w:rPr>
          <w:rFonts w:eastAsia="Arial Unicode MS"/>
          <w:snapToGrid w:val="0"/>
          <w:kern w:val="22"/>
          <w:szCs w:val="22"/>
          <w:u w:color="000000"/>
          <w:bdr w:val="nil"/>
        </w:rPr>
        <w:t xml:space="preserve">Parties, </w:t>
      </w:r>
      <w:r w:rsidR="006F0D6F" w:rsidRPr="00A2656D">
        <w:rPr>
          <w:rFonts w:eastAsia="Arial Unicode MS"/>
          <w:snapToGrid w:val="0"/>
          <w:color w:val="000000"/>
          <w:kern w:val="22"/>
          <w:szCs w:val="22"/>
          <w:u w:color="000000"/>
          <w:bdr w:val="nil"/>
        </w:rPr>
        <w:t>59</w:t>
      </w:r>
      <w:r w:rsidR="00C342D9" w:rsidRPr="00A2656D">
        <w:rPr>
          <w:rFonts w:eastAsia="Arial Unicode MS"/>
          <w:snapToGrid w:val="0"/>
          <w:color w:val="000000"/>
          <w:kern w:val="22"/>
          <w:szCs w:val="22"/>
          <w:u w:color="000000"/>
          <w:bdr w:val="nil"/>
        </w:rPr>
        <w:t xml:space="preserve"> </w:t>
      </w:r>
      <w:r w:rsidRPr="00A2656D">
        <w:rPr>
          <w:rFonts w:eastAsia="Arial Unicode MS"/>
          <w:snapToGrid w:val="0"/>
          <w:color w:val="000000"/>
          <w:kern w:val="22"/>
          <w:szCs w:val="22"/>
          <w:u w:color="000000"/>
          <w:bdr w:val="nil"/>
        </w:rPr>
        <w:t xml:space="preserve">indicated that they </w:t>
      </w:r>
      <w:r w:rsidR="002A6E06">
        <w:rPr>
          <w:rFonts w:eastAsia="Arial Unicode MS"/>
          <w:snapToGrid w:val="0"/>
          <w:color w:val="000000"/>
          <w:kern w:val="22"/>
          <w:szCs w:val="22"/>
          <w:u w:color="000000"/>
          <w:bdr w:val="nil"/>
        </w:rPr>
        <w:t>were</w:t>
      </w:r>
      <w:r w:rsidR="002A6E06" w:rsidRPr="00A2656D">
        <w:rPr>
          <w:rFonts w:eastAsia="Arial Unicode MS"/>
          <w:snapToGrid w:val="0"/>
          <w:color w:val="000000"/>
          <w:kern w:val="22"/>
          <w:szCs w:val="22"/>
          <w:u w:color="000000"/>
          <w:bdr w:val="nil"/>
        </w:rPr>
        <w:t xml:space="preserve"> </w:t>
      </w:r>
      <w:r w:rsidRPr="00A2656D">
        <w:rPr>
          <w:rFonts w:eastAsia="Arial Unicode MS"/>
          <w:snapToGrid w:val="0"/>
          <w:color w:val="000000"/>
          <w:kern w:val="22"/>
          <w:szCs w:val="22"/>
          <w:u w:color="000000"/>
          <w:bdr w:val="nil"/>
        </w:rPr>
        <w:t xml:space="preserve">currently revising </w:t>
      </w:r>
      <w:r w:rsidRPr="00A2656D">
        <w:rPr>
          <w:rFonts w:eastAsia="SimSun"/>
          <w:snapToGrid w:val="0"/>
          <w:kern w:val="22"/>
          <w:szCs w:val="22"/>
        </w:rPr>
        <w:t>existing</w:t>
      </w:r>
      <w:r w:rsidRPr="00A2656D">
        <w:rPr>
          <w:rFonts w:eastAsia="Arial Unicode MS"/>
          <w:snapToGrid w:val="0"/>
          <w:color w:val="000000"/>
          <w:kern w:val="22"/>
          <w:szCs w:val="22"/>
          <w:u w:color="000000"/>
          <w:bdr w:val="nil"/>
        </w:rPr>
        <w:t xml:space="preserve"> </w:t>
      </w:r>
      <w:r w:rsidR="00F44074" w:rsidRPr="00A2656D">
        <w:rPr>
          <w:rFonts w:eastAsia="Arial Unicode MS"/>
          <w:snapToGrid w:val="0"/>
          <w:color w:val="000000"/>
          <w:kern w:val="22"/>
          <w:szCs w:val="22"/>
          <w:u w:color="000000"/>
          <w:bdr w:val="nil"/>
        </w:rPr>
        <w:t xml:space="preserve">ABS measures </w:t>
      </w:r>
      <w:r w:rsidRPr="00A2656D">
        <w:rPr>
          <w:rFonts w:eastAsia="Arial Unicode MS"/>
          <w:snapToGrid w:val="0"/>
          <w:color w:val="000000"/>
          <w:kern w:val="22"/>
          <w:szCs w:val="22"/>
          <w:u w:color="000000"/>
          <w:bdr w:val="nil"/>
        </w:rPr>
        <w:t xml:space="preserve">or developing new </w:t>
      </w:r>
      <w:r w:rsidR="00F44074" w:rsidRPr="00A2656D">
        <w:rPr>
          <w:rFonts w:eastAsia="Arial Unicode MS"/>
          <w:snapToGrid w:val="0"/>
          <w:color w:val="000000"/>
          <w:kern w:val="22"/>
          <w:szCs w:val="22"/>
          <w:u w:color="000000"/>
          <w:bdr w:val="nil"/>
        </w:rPr>
        <w:t>ones</w:t>
      </w:r>
      <w:r w:rsidRPr="00A2656D">
        <w:rPr>
          <w:rFonts w:eastAsia="SimSun"/>
          <w:snapToGrid w:val="0"/>
          <w:kern w:val="22"/>
          <w:szCs w:val="22"/>
        </w:rPr>
        <w:t xml:space="preserve"> to implement the Protocol</w:t>
      </w:r>
      <w:r w:rsidR="003E4A62" w:rsidRPr="00A2656D">
        <w:rPr>
          <w:rFonts w:eastAsia="SimSun"/>
          <w:snapToGrid w:val="0"/>
          <w:kern w:val="22"/>
          <w:szCs w:val="22"/>
        </w:rPr>
        <w:t>,</w:t>
      </w:r>
      <w:r w:rsidRPr="00A2656D">
        <w:rPr>
          <w:rFonts w:eastAsia="SimSun"/>
          <w:snapToGrid w:val="0"/>
          <w:kern w:val="22"/>
          <w:szCs w:val="22"/>
        </w:rPr>
        <w:t xml:space="preserve"> and </w:t>
      </w:r>
      <w:r w:rsidR="002F4E07" w:rsidRPr="00A2656D">
        <w:rPr>
          <w:rFonts w:eastAsia="Arial Unicode MS"/>
          <w:snapToGrid w:val="0"/>
          <w:color w:val="000000"/>
          <w:kern w:val="22"/>
          <w:szCs w:val="22"/>
          <w:u w:color="000000"/>
          <w:bdr w:val="nil"/>
        </w:rPr>
        <w:t>1</w:t>
      </w:r>
      <w:r w:rsidR="00BE033A" w:rsidRPr="00A2656D">
        <w:rPr>
          <w:rFonts w:eastAsia="Arial Unicode MS"/>
          <w:snapToGrid w:val="0"/>
          <w:color w:val="000000"/>
          <w:kern w:val="22"/>
          <w:szCs w:val="22"/>
          <w:u w:color="000000"/>
          <w:bdr w:val="nil"/>
        </w:rPr>
        <w:t>6</w:t>
      </w:r>
      <w:r w:rsidR="00C342D9" w:rsidRPr="00A2656D">
        <w:rPr>
          <w:rFonts w:eastAsia="Arial Unicode MS"/>
          <w:snapToGrid w:val="0"/>
          <w:color w:val="000000"/>
          <w:kern w:val="22"/>
          <w:szCs w:val="22"/>
          <w:u w:color="000000"/>
          <w:bdr w:val="nil"/>
        </w:rPr>
        <w:t xml:space="preserve"> </w:t>
      </w:r>
      <w:r w:rsidRPr="00A2656D">
        <w:rPr>
          <w:rFonts w:eastAsia="Arial Unicode MS"/>
          <w:snapToGrid w:val="0"/>
          <w:color w:val="000000"/>
          <w:kern w:val="22"/>
          <w:szCs w:val="22"/>
          <w:u w:color="000000"/>
          <w:bdr w:val="nil"/>
        </w:rPr>
        <w:t xml:space="preserve">Parties </w:t>
      </w:r>
      <w:r w:rsidR="002A6E06">
        <w:rPr>
          <w:rFonts w:eastAsia="Arial Unicode MS"/>
          <w:snapToGrid w:val="0"/>
          <w:color w:val="000000"/>
          <w:kern w:val="22"/>
          <w:szCs w:val="22"/>
          <w:u w:color="000000"/>
          <w:bdr w:val="nil"/>
        </w:rPr>
        <w:t>were</w:t>
      </w:r>
      <w:r w:rsidR="002A6E06" w:rsidRPr="00A2656D">
        <w:rPr>
          <w:rFonts w:eastAsia="Arial Unicode MS"/>
          <w:snapToGrid w:val="0"/>
          <w:color w:val="000000"/>
          <w:kern w:val="22"/>
          <w:szCs w:val="22"/>
          <w:u w:color="000000"/>
          <w:bdr w:val="nil"/>
        </w:rPr>
        <w:t xml:space="preserve"> </w:t>
      </w:r>
      <w:r w:rsidRPr="00A2656D">
        <w:rPr>
          <w:rFonts w:eastAsia="Arial Unicode MS"/>
          <w:snapToGrid w:val="0"/>
          <w:color w:val="000000"/>
          <w:kern w:val="22"/>
          <w:szCs w:val="22"/>
          <w:u w:color="000000"/>
          <w:bdr w:val="nil"/>
        </w:rPr>
        <w:t>planning to develop additional ABS measures.</w:t>
      </w:r>
    </w:p>
    <w:p w14:paraId="454A0714" w14:textId="66151589" w:rsidR="000A6DB2" w:rsidRPr="00A2656D" w:rsidRDefault="000A6DB2">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r w:rsidRPr="00A2656D">
        <w:rPr>
          <w:rFonts w:eastAsia="SimSun"/>
          <w:snapToGrid w:val="0"/>
          <w:kern w:val="22"/>
          <w:szCs w:val="22"/>
        </w:rPr>
        <w:t xml:space="preserve">A total of </w:t>
      </w:r>
      <w:r w:rsidR="00BE033A" w:rsidRPr="00A2656D">
        <w:rPr>
          <w:rFonts w:eastAsia="SimSun"/>
          <w:snapToGrid w:val="0"/>
          <w:kern w:val="22"/>
          <w:szCs w:val="22"/>
        </w:rPr>
        <w:t>28</w:t>
      </w:r>
      <w:r w:rsidR="00C342D9" w:rsidRPr="00A2656D">
        <w:rPr>
          <w:rFonts w:eastAsia="SimSun"/>
          <w:snapToGrid w:val="0"/>
          <w:kern w:val="22"/>
          <w:szCs w:val="22"/>
        </w:rPr>
        <w:t xml:space="preserve"> </w:t>
      </w:r>
      <w:r w:rsidRPr="00A2656D">
        <w:rPr>
          <w:rFonts w:eastAsia="SimSun"/>
          <w:snapToGrid w:val="0"/>
          <w:kern w:val="22"/>
          <w:szCs w:val="22"/>
        </w:rPr>
        <w:t xml:space="preserve">Parties reported not having ABS measures in place and did not have measures published in the ABS Clearing-House. </w:t>
      </w:r>
      <w:r w:rsidR="008B4F58" w:rsidRPr="00A2656D">
        <w:rPr>
          <w:rFonts w:eastAsia="SimSun"/>
          <w:snapToGrid w:val="0"/>
          <w:kern w:val="22"/>
          <w:szCs w:val="22"/>
        </w:rPr>
        <w:t xml:space="preserve">However, the latest information shows that </w:t>
      </w:r>
      <w:r w:rsidR="00BE033A" w:rsidRPr="00A2656D">
        <w:rPr>
          <w:rFonts w:eastAsia="SimSun"/>
          <w:snapToGrid w:val="0"/>
          <w:kern w:val="22"/>
          <w:szCs w:val="22"/>
        </w:rPr>
        <w:t>1</w:t>
      </w:r>
      <w:r w:rsidR="004626D8" w:rsidRPr="00A2656D">
        <w:rPr>
          <w:rFonts w:eastAsia="SimSun"/>
          <w:snapToGrid w:val="0"/>
          <w:kern w:val="22"/>
          <w:szCs w:val="22"/>
        </w:rPr>
        <w:t>6</w:t>
      </w:r>
      <w:r w:rsidR="00BE033A" w:rsidRPr="00A2656D">
        <w:rPr>
          <w:rFonts w:eastAsia="SimSun"/>
          <w:snapToGrid w:val="0"/>
          <w:kern w:val="22"/>
          <w:szCs w:val="22"/>
        </w:rPr>
        <w:t xml:space="preserve"> </w:t>
      </w:r>
      <w:r w:rsidRPr="00A2656D">
        <w:rPr>
          <w:rFonts w:eastAsia="SimSun"/>
          <w:snapToGrid w:val="0"/>
          <w:kern w:val="22"/>
          <w:szCs w:val="22"/>
        </w:rPr>
        <w:t>of these Parties are currently developing measures</w:t>
      </w:r>
      <w:r w:rsidR="001D3101" w:rsidRPr="00A2656D">
        <w:rPr>
          <w:rFonts w:eastAsia="SimSun"/>
          <w:snapToGrid w:val="0"/>
          <w:kern w:val="22"/>
          <w:szCs w:val="22"/>
        </w:rPr>
        <w:t>,</w:t>
      </w:r>
      <w:r w:rsidRPr="00A2656D">
        <w:rPr>
          <w:rFonts w:eastAsia="SimSun"/>
          <w:snapToGrid w:val="0"/>
          <w:kern w:val="22"/>
          <w:szCs w:val="22"/>
        </w:rPr>
        <w:t xml:space="preserve"> and </w:t>
      </w:r>
      <w:r w:rsidR="00BE033A" w:rsidRPr="00A2656D">
        <w:rPr>
          <w:rFonts w:eastAsia="SimSun"/>
          <w:snapToGrid w:val="0"/>
          <w:kern w:val="22"/>
          <w:szCs w:val="22"/>
        </w:rPr>
        <w:t xml:space="preserve">7 </w:t>
      </w:r>
      <w:r w:rsidRPr="00A2656D">
        <w:rPr>
          <w:rFonts w:eastAsia="SimSun"/>
          <w:snapToGrid w:val="0"/>
          <w:kern w:val="22"/>
          <w:szCs w:val="22"/>
        </w:rPr>
        <w:t>Parties are planning to develop ABS measures.</w:t>
      </w:r>
    </w:p>
    <w:p w14:paraId="43FE6B39" w14:textId="7695C70F" w:rsidR="000A6DB2" w:rsidRPr="00A2656D" w:rsidRDefault="00182152">
      <w:pPr>
        <w:keepNext/>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b/>
          <w:bCs/>
          <w:iCs/>
          <w:snapToGrid w:val="0"/>
          <w:kern w:val="22"/>
          <w:szCs w:val="22"/>
        </w:rPr>
      </w:pPr>
      <w:r w:rsidRPr="00A2656D">
        <w:rPr>
          <w:rFonts w:eastAsia="SimSun"/>
          <w:b/>
          <w:bCs/>
          <w:iCs/>
          <w:snapToGrid w:val="0"/>
          <w:kern w:val="22"/>
          <w:szCs w:val="22"/>
        </w:rPr>
        <w:lastRenderedPageBreak/>
        <w:t xml:space="preserve">Figure </w:t>
      </w:r>
      <w:r w:rsidR="000A6DB2" w:rsidRPr="00A2656D">
        <w:rPr>
          <w:rFonts w:eastAsia="SimSun"/>
          <w:b/>
          <w:bCs/>
          <w:iCs/>
          <w:snapToGrid w:val="0"/>
          <w:kern w:val="22"/>
          <w:szCs w:val="22"/>
        </w:rPr>
        <w:t>1</w:t>
      </w:r>
      <w:r w:rsidRPr="00A2656D">
        <w:rPr>
          <w:rFonts w:eastAsia="SimSun"/>
          <w:b/>
          <w:bCs/>
          <w:iCs/>
          <w:snapToGrid w:val="0"/>
          <w:kern w:val="22"/>
          <w:szCs w:val="22"/>
        </w:rPr>
        <w:t>.</w:t>
      </w:r>
      <w:r w:rsidR="000A6DB2" w:rsidRPr="00A2656D">
        <w:rPr>
          <w:rFonts w:eastAsia="SimSun"/>
          <w:b/>
          <w:bCs/>
          <w:iCs/>
          <w:snapToGrid w:val="0"/>
          <w:kern w:val="22"/>
          <w:szCs w:val="22"/>
        </w:rPr>
        <w:t xml:space="preserve"> Status of progress by Parties that have ABS measures in place (as of </w:t>
      </w:r>
      <w:r w:rsidR="004626D8" w:rsidRPr="00A2656D">
        <w:rPr>
          <w:rFonts w:eastAsia="SimSun"/>
          <w:b/>
          <w:bCs/>
          <w:iCs/>
          <w:snapToGrid w:val="0"/>
          <w:kern w:val="22"/>
          <w:szCs w:val="22"/>
        </w:rPr>
        <w:t xml:space="preserve">4 </w:t>
      </w:r>
      <w:r w:rsidR="009A7A1E" w:rsidRPr="00A2656D">
        <w:rPr>
          <w:rFonts w:eastAsia="SimSun"/>
          <w:b/>
          <w:bCs/>
          <w:iCs/>
          <w:snapToGrid w:val="0"/>
          <w:kern w:val="22"/>
          <w:szCs w:val="22"/>
        </w:rPr>
        <w:t>March</w:t>
      </w:r>
      <w:r w:rsidR="000A6DB2" w:rsidRPr="00A2656D">
        <w:rPr>
          <w:rFonts w:eastAsia="SimSun"/>
          <w:b/>
          <w:bCs/>
          <w:iCs/>
          <w:snapToGrid w:val="0"/>
          <w:kern w:val="22"/>
          <w:szCs w:val="22"/>
        </w:rPr>
        <w:t xml:space="preserve"> 20</w:t>
      </w:r>
      <w:r w:rsidR="009A7A1E" w:rsidRPr="00A2656D">
        <w:rPr>
          <w:rFonts w:eastAsia="SimSun"/>
          <w:b/>
          <w:bCs/>
          <w:iCs/>
          <w:snapToGrid w:val="0"/>
          <w:kern w:val="22"/>
          <w:szCs w:val="22"/>
        </w:rPr>
        <w:t>20</w:t>
      </w:r>
      <w:r w:rsidR="000A6DB2" w:rsidRPr="00A2656D">
        <w:rPr>
          <w:rFonts w:eastAsia="SimSun"/>
          <w:b/>
          <w:bCs/>
          <w:iCs/>
          <w:snapToGrid w:val="0"/>
          <w:kern w:val="22"/>
          <w:szCs w:val="22"/>
        </w:rPr>
        <w:t>)</w:t>
      </w:r>
    </w:p>
    <w:p w14:paraId="7335F359" w14:textId="668ABCEC" w:rsidR="00574301" w:rsidRPr="00A2656D" w:rsidRDefault="00574301">
      <w:pPr>
        <w:keepNext/>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b/>
          <w:bCs/>
          <w:iCs/>
          <w:snapToGrid w:val="0"/>
          <w:kern w:val="22"/>
          <w:szCs w:val="22"/>
          <w:highlight w:val="yellow"/>
        </w:rPr>
      </w:pPr>
      <w:r w:rsidRPr="00561F20">
        <w:rPr>
          <w:noProof/>
          <w:kern w:val="22"/>
          <w:szCs w:val="22"/>
        </w:rPr>
        <w:drawing>
          <wp:inline distT="0" distB="0" distL="0" distR="0" wp14:anchorId="6E7ABFEF" wp14:editId="76DD6D9A">
            <wp:extent cx="5162550" cy="2895600"/>
            <wp:effectExtent l="0" t="0" r="0" b="0"/>
            <wp:docPr id="14" name="Chart 14">
              <a:extLst xmlns:a="http://schemas.openxmlformats.org/drawingml/2006/main">
                <a:ext uri="{FF2B5EF4-FFF2-40B4-BE49-F238E27FC236}">
                  <a16:creationId xmlns:a16="http://schemas.microsoft.com/office/drawing/2014/main" id="{348C5799-5533-4090-82DA-50C6C8B32C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644533" w14:textId="6F38CD2C" w:rsidR="00C17EE9" w:rsidRPr="00A2656D" w:rsidRDefault="00C17EE9">
      <w:pPr>
        <w:keepNext/>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b/>
          <w:bCs/>
          <w:iCs/>
          <w:snapToGrid w:val="0"/>
          <w:kern w:val="22"/>
          <w:szCs w:val="22"/>
        </w:rPr>
      </w:pPr>
    </w:p>
    <w:p w14:paraId="64AF4A1C" w14:textId="6BBBB541" w:rsidR="00C17EE9" w:rsidRPr="00561F20" w:rsidRDefault="00C17EE9">
      <w:pPr>
        <w:keepNext/>
        <w:suppressLineNumbers/>
        <w:pBdr>
          <w:top w:val="nil"/>
          <w:left w:val="nil"/>
          <w:bottom w:val="nil"/>
          <w:right w:val="nil"/>
          <w:between w:val="nil"/>
          <w:bar w:val="nil"/>
        </w:pBdr>
        <w:suppressAutoHyphens/>
        <w:kinsoku w:val="0"/>
        <w:overflowPunct w:val="0"/>
        <w:autoSpaceDE w:val="0"/>
        <w:autoSpaceDN w:val="0"/>
        <w:spacing w:before="120" w:after="120"/>
        <w:jc w:val="center"/>
        <w:rPr>
          <w:b/>
          <w:bCs/>
          <w:iCs/>
          <w:snapToGrid w:val="0"/>
          <w:kern w:val="22"/>
          <w:szCs w:val="22"/>
        </w:rPr>
      </w:pPr>
      <w:r w:rsidRPr="00561F20">
        <w:rPr>
          <w:b/>
          <w:bCs/>
          <w:iCs/>
          <w:snapToGrid w:val="0"/>
          <w:kern w:val="22"/>
          <w:szCs w:val="22"/>
        </w:rPr>
        <w:t xml:space="preserve">Figure 2. Status of progress by Parties that do not have ABS measures in place (as of </w:t>
      </w:r>
      <w:r w:rsidR="00662C7C" w:rsidRPr="00561F20">
        <w:rPr>
          <w:b/>
          <w:bCs/>
          <w:iCs/>
          <w:snapToGrid w:val="0"/>
          <w:kern w:val="22"/>
          <w:szCs w:val="22"/>
        </w:rPr>
        <w:t>4</w:t>
      </w:r>
      <w:r w:rsidRPr="00561F20">
        <w:rPr>
          <w:b/>
          <w:bCs/>
          <w:iCs/>
          <w:snapToGrid w:val="0"/>
          <w:kern w:val="22"/>
          <w:szCs w:val="22"/>
        </w:rPr>
        <w:t xml:space="preserve"> March 2020)</w:t>
      </w:r>
    </w:p>
    <w:p w14:paraId="1FBF1F07" w14:textId="3A1E736B" w:rsidR="000A6DB2" w:rsidRPr="00A2656D" w:rsidRDefault="00662C7C" w:rsidP="00561F20">
      <w:pPr>
        <w:keepNext/>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i/>
          <w:snapToGrid w:val="0"/>
          <w:kern w:val="22"/>
          <w:szCs w:val="22"/>
        </w:rPr>
      </w:pPr>
      <w:r w:rsidRPr="00561F20">
        <w:rPr>
          <w:noProof/>
          <w:kern w:val="22"/>
          <w:szCs w:val="22"/>
        </w:rPr>
        <w:drawing>
          <wp:inline distT="0" distB="0" distL="0" distR="0" wp14:anchorId="4976778A" wp14:editId="12A91976">
            <wp:extent cx="5143500" cy="2886075"/>
            <wp:effectExtent l="0" t="0" r="0" b="9525"/>
            <wp:docPr id="15" name="Chart 15">
              <a:extLst xmlns:a="http://schemas.openxmlformats.org/drawingml/2006/main">
                <a:ext uri="{FF2B5EF4-FFF2-40B4-BE49-F238E27FC236}">
                  <a16:creationId xmlns:a16="http://schemas.microsoft.com/office/drawing/2014/main" id="{82334311-2076-45A0-9587-A1DC11BA8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160293" w14:textId="77777777" w:rsidR="000A6DB2" w:rsidRPr="00561F20" w:rsidRDefault="000A6DB2" w:rsidP="00561F20">
      <w:pPr>
        <w:pStyle w:val="ListParagraph"/>
        <w:keepNext/>
        <w:numPr>
          <w:ilvl w:val="0"/>
          <w:numId w:val="23"/>
        </w:numPr>
        <w:suppressLineNumbers/>
        <w:tabs>
          <w:tab w:val="left" w:pos="360"/>
        </w:tabs>
        <w:suppressAutoHyphens/>
        <w:kinsoku w:val="0"/>
        <w:overflowPunct w:val="0"/>
        <w:autoSpaceDE w:val="0"/>
        <w:autoSpaceDN w:val="0"/>
        <w:spacing w:before="240" w:after="120"/>
        <w:ind w:left="714" w:hanging="357"/>
        <w:jc w:val="center"/>
        <w:rPr>
          <w:rFonts w:eastAsia="SimSun" w:hAnsi="Times New Roman" w:cs="Times New Roman"/>
          <w:b/>
          <w:bCs/>
          <w:iCs/>
          <w:snapToGrid w:val="0"/>
          <w:kern w:val="22"/>
          <w:lang w:val="en-GB"/>
        </w:rPr>
      </w:pPr>
      <w:r w:rsidRPr="00561F20">
        <w:rPr>
          <w:rFonts w:eastAsia="Calibri" w:hAnsi="Times New Roman" w:cs="Times New Roman"/>
          <w:b/>
          <w:bCs/>
          <w:iCs/>
          <w:snapToGrid w:val="0"/>
          <w:kern w:val="22"/>
          <w:lang w:val="en-GB"/>
        </w:rPr>
        <w:t>Institutional arrangements</w:t>
      </w:r>
    </w:p>
    <w:p w14:paraId="216D6944" w14:textId="12952EFC" w:rsidR="000A6DB2" w:rsidRPr="00A2656D"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r w:rsidRPr="00A2656D">
        <w:rPr>
          <w:rFonts w:eastAsia="SimSun"/>
          <w:snapToGrid w:val="0"/>
          <w:kern w:val="22"/>
          <w:szCs w:val="22"/>
        </w:rPr>
        <w:t>Article 13 of the Protocol requires Parties to designate a national focal point on ABS (para</w:t>
      </w:r>
      <w:r w:rsidR="00DE666D" w:rsidRPr="00A2656D">
        <w:rPr>
          <w:rFonts w:eastAsia="SimSun"/>
          <w:snapToGrid w:val="0"/>
          <w:kern w:val="22"/>
          <w:szCs w:val="22"/>
        </w:rPr>
        <w:t>.</w:t>
      </w:r>
      <w:r w:rsidRPr="00A2656D">
        <w:rPr>
          <w:rFonts w:eastAsia="SimSun"/>
          <w:snapToGrid w:val="0"/>
          <w:kern w:val="22"/>
          <w:szCs w:val="22"/>
        </w:rPr>
        <w:t xml:space="preserve"> 1) and one or more competent national authorities (para</w:t>
      </w:r>
      <w:r w:rsidR="00DE666D" w:rsidRPr="00A2656D">
        <w:rPr>
          <w:rFonts w:eastAsia="SimSun"/>
          <w:snapToGrid w:val="0"/>
          <w:kern w:val="22"/>
          <w:szCs w:val="22"/>
        </w:rPr>
        <w:t>.</w:t>
      </w:r>
      <w:r w:rsidRPr="00A2656D">
        <w:rPr>
          <w:rFonts w:eastAsia="SimSun"/>
          <w:snapToGrid w:val="0"/>
          <w:kern w:val="22"/>
          <w:szCs w:val="22"/>
        </w:rPr>
        <w:t xml:space="preserve"> 2). In addition, Article 17 requires Parties to take measures to support compliance, including through the designation of one or more checkpoints (para</w:t>
      </w:r>
      <w:r w:rsidR="00DE666D" w:rsidRPr="00A2656D">
        <w:rPr>
          <w:rFonts w:eastAsia="SimSun"/>
          <w:snapToGrid w:val="0"/>
          <w:kern w:val="22"/>
          <w:szCs w:val="22"/>
        </w:rPr>
        <w:t xml:space="preserve">. </w:t>
      </w:r>
      <w:r w:rsidRPr="00A2656D">
        <w:rPr>
          <w:rFonts w:eastAsia="SimSun"/>
          <w:snapToGrid w:val="0"/>
          <w:kern w:val="22"/>
          <w:szCs w:val="22"/>
        </w:rPr>
        <w:t>1).</w:t>
      </w:r>
      <w:r w:rsidR="000A2F6B" w:rsidRPr="00A2656D">
        <w:rPr>
          <w:rFonts w:eastAsia="SimSun"/>
          <w:snapToGrid w:val="0"/>
          <w:kern w:val="22"/>
          <w:szCs w:val="22"/>
        </w:rPr>
        <w:t xml:space="preserve"> Generally, Parties are making good progress in fulfilling these requirements.</w:t>
      </w:r>
    </w:p>
    <w:p w14:paraId="7CF419E7" w14:textId="277A62DF" w:rsidR="00E37120" w:rsidRPr="00A2656D"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r w:rsidRPr="00A2656D">
        <w:rPr>
          <w:rFonts w:eastAsia="SimSun"/>
          <w:i/>
          <w:snapToGrid w:val="0"/>
          <w:kern w:val="22"/>
          <w:szCs w:val="22"/>
        </w:rPr>
        <w:t>National focal points</w:t>
      </w:r>
      <w:r w:rsidR="00E71ED9" w:rsidRPr="00A2656D">
        <w:rPr>
          <w:rFonts w:eastAsia="SimSun"/>
          <w:i/>
          <w:snapToGrid w:val="0"/>
          <w:kern w:val="22"/>
          <w:szCs w:val="22"/>
        </w:rPr>
        <w:t>.</w:t>
      </w:r>
      <w:r w:rsidRPr="00A2656D">
        <w:rPr>
          <w:rFonts w:eastAsia="Arial Unicode MS"/>
          <w:snapToGrid w:val="0"/>
          <w:kern w:val="22"/>
          <w:szCs w:val="22"/>
          <w:u w:color="000000"/>
          <w:bdr w:val="nil"/>
        </w:rPr>
        <w:t xml:space="preserve"> </w:t>
      </w:r>
      <w:r w:rsidR="00575558" w:rsidRPr="00A2656D">
        <w:rPr>
          <w:rFonts w:eastAsia="Arial Unicode MS"/>
          <w:snapToGrid w:val="0"/>
          <w:kern w:val="22"/>
          <w:szCs w:val="22"/>
          <w:u w:color="000000"/>
          <w:bdr w:val="nil"/>
        </w:rPr>
        <w:t>A</w:t>
      </w:r>
      <w:r w:rsidR="008B4F58" w:rsidRPr="00A2656D">
        <w:rPr>
          <w:rFonts w:eastAsia="Arial Unicode MS"/>
          <w:snapToGrid w:val="0"/>
          <w:kern w:val="22"/>
          <w:szCs w:val="22"/>
          <w:u w:color="000000"/>
          <w:bdr w:val="nil"/>
        </w:rPr>
        <w:t>s of 4 March 2020, a</w:t>
      </w:r>
      <w:r w:rsidR="00575558" w:rsidRPr="00A2656D">
        <w:rPr>
          <w:rFonts w:eastAsia="Arial Unicode MS"/>
          <w:snapToGrid w:val="0"/>
          <w:kern w:val="22"/>
          <w:szCs w:val="22"/>
          <w:u w:color="000000"/>
          <w:bdr w:val="nil"/>
        </w:rPr>
        <w:t xml:space="preserve"> total of </w:t>
      </w:r>
      <w:r w:rsidR="00662C7C" w:rsidRPr="00A2656D">
        <w:rPr>
          <w:rFonts w:eastAsia="Arial Unicode MS"/>
          <w:snapToGrid w:val="0"/>
          <w:kern w:val="22"/>
          <w:szCs w:val="22"/>
          <w:u w:color="000000"/>
          <w:bdr w:val="nil"/>
        </w:rPr>
        <w:t xml:space="preserve">120 </w:t>
      </w:r>
      <w:r w:rsidRPr="00A2656D">
        <w:rPr>
          <w:rFonts w:eastAsia="Arial Unicode MS"/>
          <w:snapToGrid w:val="0"/>
          <w:kern w:val="22"/>
          <w:szCs w:val="22"/>
          <w:u w:color="000000"/>
          <w:bdr w:val="nil"/>
        </w:rPr>
        <w:t>Parties to the Protocol (</w:t>
      </w:r>
      <w:r w:rsidR="00662C7C" w:rsidRPr="00A2656D">
        <w:rPr>
          <w:rFonts w:eastAsia="Arial Unicode MS"/>
          <w:snapToGrid w:val="0"/>
          <w:kern w:val="22"/>
          <w:szCs w:val="22"/>
          <w:u w:color="000000"/>
          <w:bdr w:val="nil"/>
        </w:rPr>
        <w:t>9</w:t>
      </w:r>
      <w:r w:rsidR="00E8618A" w:rsidRPr="00A2656D">
        <w:rPr>
          <w:rFonts w:eastAsia="Arial Unicode MS"/>
          <w:snapToGrid w:val="0"/>
          <w:kern w:val="22"/>
          <w:szCs w:val="22"/>
          <w:u w:color="000000"/>
          <w:bdr w:val="nil"/>
        </w:rPr>
        <w:t>8</w:t>
      </w:r>
      <w:r w:rsidR="000F31AA" w:rsidRPr="00A2656D">
        <w:rPr>
          <w:rFonts w:eastAsia="Arial Unicode MS"/>
          <w:snapToGrid w:val="0"/>
          <w:kern w:val="22"/>
          <w:szCs w:val="22"/>
          <w:u w:color="000000"/>
          <w:bdr w:val="nil"/>
        </w:rPr>
        <w:t xml:space="preserve"> per cent</w:t>
      </w:r>
      <w:r w:rsidRPr="00A2656D">
        <w:rPr>
          <w:rFonts w:eastAsia="Arial Unicode MS"/>
          <w:snapToGrid w:val="0"/>
          <w:kern w:val="22"/>
          <w:szCs w:val="22"/>
          <w:u w:color="000000"/>
          <w:bdr w:val="nil"/>
        </w:rPr>
        <w:t xml:space="preserve">) have </w:t>
      </w:r>
      <w:r w:rsidR="000A2F6B" w:rsidRPr="00A2656D">
        <w:rPr>
          <w:rFonts w:eastAsia="Arial Unicode MS"/>
          <w:snapToGrid w:val="0"/>
          <w:kern w:val="22"/>
          <w:szCs w:val="22"/>
          <w:u w:color="000000"/>
          <w:bdr w:val="nil"/>
        </w:rPr>
        <w:t xml:space="preserve">designated </w:t>
      </w:r>
      <w:r w:rsidRPr="00A2656D">
        <w:rPr>
          <w:rFonts w:eastAsia="Arial Unicode MS"/>
          <w:snapToGrid w:val="0"/>
          <w:kern w:val="22"/>
          <w:szCs w:val="22"/>
          <w:u w:color="000000"/>
          <w:bdr w:val="nil"/>
        </w:rPr>
        <w:t xml:space="preserve">a national focal point for ABS. Given </w:t>
      </w:r>
      <w:r w:rsidRPr="00561F20">
        <w:rPr>
          <w:rFonts w:eastAsia="SimSun"/>
          <w:snapToGrid w:val="0"/>
          <w:kern w:val="22"/>
          <w:szCs w:val="22"/>
        </w:rPr>
        <w:t>the</w:t>
      </w:r>
      <w:r w:rsidRPr="00A2656D">
        <w:rPr>
          <w:rFonts w:eastAsia="Arial Unicode MS"/>
          <w:snapToGrid w:val="0"/>
          <w:kern w:val="22"/>
          <w:szCs w:val="22"/>
          <w:u w:color="000000"/>
          <w:bdr w:val="nil"/>
        </w:rPr>
        <w:t xml:space="preserve"> key role national focal points </w:t>
      </w:r>
      <w:r w:rsidR="000A2F6B" w:rsidRPr="00A2656D">
        <w:rPr>
          <w:rFonts w:eastAsia="Arial Unicode MS"/>
          <w:snapToGrid w:val="0"/>
          <w:kern w:val="22"/>
          <w:szCs w:val="22"/>
          <w:u w:color="000000"/>
          <w:bdr w:val="nil"/>
        </w:rPr>
        <w:t xml:space="preserve">are </w:t>
      </w:r>
      <w:r w:rsidR="008052E8" w:rsidRPr="00A2656D">
        <w:rPr>
          <w:rFonts w:eastAsia="Arial Unicode MS"/>
          <w:snapToGrid w:val="0"/>
          <w:kern w:val="22"/>
          <w:szCs w:val="22"/>
          <w:u w:color="000000"/>
          <w:bdr w:val="nil"/>
        </w:rPr>
        <w:t>expected</w:t>
      </w:r>
      <w:r w:rsidR="000A2F6B" w:rsidRPr="00A2656D">
        <w:rPr>
          <w:rFonts w:eastAsia="Arial Unicode MS"/>
          <w:snapToGrid w:val="0"/>
          <w:kern w:val="22"/>
          <w:szCs w:val="22"/>
          <w:u w:color="000000"/>
          <w:bdr w:val="nil"/>
        </w:rPr>
        <w:t xml:space="preserve"> to play as specified </w:t>
      </w:r>
      <w:r w:rsidRPr="00A2656D">
        <w:rPr>
          <w:rFonts w:eastAsia="Arial Unicode MS"/>
          <w:snapToGrid w:val="0"/>
          <w:kern w:val="22"/>
          <w:szCs w:val="22"/>
          <w:u w:color="000000"/>
          <w:bdr w:val="nil"/>
        </w:rPr>
        <w:t>under Article 13</w:t>
      </w:r>
      <w:r w:rsidR="00DE048F" w:rsidRPr="00A2656D">
        <w:rPr>
          <w:rFonts w:eastAsia="Arial Unicode MS"/>
          <w:snapToGrid w:val="0"/>
          <w:kern w:val="22"/>
          <w:szCs w:val="22"/>
          <w:u w:color="000000"/>
          <w:bdr w:val="nil"/>
        </w:rPr>
        <w:t>, paragraph </w:t>
      </w:r>
      <w:r w:rsidRPr="00A2656D">
        <w:rPr>
          <w:rFonts w:eastAsia="Arial Unicode MS"/>
          <w:snapToGrid w:val="0"/>
          <w:kern w:val="22"/>
          <w:szCs w:val="22"/>
          <w:u w:color="000000"/>
          <w:bdr w:val="nil"/>
        </w:rPr>
        <w:t>1</w:t>
      </w:r>
      <w:r w:rsidR="00DE048F" w:rsidRPr="00A2656D">
        <w:rPr>
          <w:rFonts w:eastAsia="Arial Unicode MS"/>
          <w:snapToGrid w:val="0"/>
          <w:kern w:val="22"/>
          <w:szCs w:val="22"/>
          <w:u w:color="000000"/>
          <w:bdr w:val="nil"/>
        </w:rPr>
        <w:t>,</w:t>
      </w:r>
      <w:r w:rsidRPr="00A2656D">
        <w:rPr>
          <w:rFonts w:eastAsia="Arial Unicode MS"/>
          <w:snapToGrid w:val="0"/>
          <w:kern w:val="22"/>
          <w:szCs w:val="22"/>
          <w:u w:color="000000"/>
          <w:bdr w:val="nil"/>
        </w:rPr>
        <w:t xml:space="preserve"> of the Protocol, </w:t>
      </w:r>
      <w:r w:rsidR="000A2F6B" w:rsidRPr="00A2656D">
        <w:rPr>
          <w:rFonts w:eastAsia="Arial Unicode MS"/>
          <w:snapToGrid w:val="0"/>
          <w:kern w:val="22"/>
          <w:szCs w:val="22"/>
          <w:u w:color="000000"/>
          <w:bdr w:val="nil"/>
        </w:rPr>
        <w:t>th</w:t>
      </w:r>
      <w:r w:rsidR="008B4F58" w:rsidRPr="00A2656D">
        <w:rPr>
          <w:rFonts w:eastAsia="Arial Unicode MS"/>
          <w:snapToGrid w:val="0"/>
          <w:kern w:val="22"/>
          <w:szCs w:val="22"/>
          <w:u w:color="000000"/>
          <w:bdr w:val="nil"/>
        </w:rPr>
        <w:t>is</w:t>
      </w:r>
      <w:r w:rsidR="000A2F6B" w:rsidRPr="00A2656D">
        <w:rPr>
          <w:rFonts w:eastAsia="Arial Unicode MS"/>
          <w:snapToGrid w:val="0"/>
          <w:kern w:val="22"/>
          <w:szCs w:val="22"/>
          <w:u w:color="000000"/>
          <w:bdr w:val="nil"/>
        </w:rPr>
        <w:t xml:space="preserve"> </w:t>
      </w:r>
      <w:r w:rsidR="008B4F58" w:rsidRPr="00A2656D">
        <w:rPr>
          <w:rFonts w:eastAsia="Arial Unicode MS"/>
          <w:snapToGrid w:val="0"/>
          <w:kern w:val="22"/>
          <w:szCs w:val="22"/>
          <w:u w:color="000000"/>
          <w:bdr w:val="nil"/>
        </w:rPr>
        <w:t>figure represent</w:t>
      </w:r>
      <w:r w:rsidR="008052E8" w:rsidRPr="00A2656D">
        <w:rPr>
          <w:rFonts w:eastAsia="Arial Unicode MS"/>
          <w:snapToGrid w:val="0"/>
          <w:kern w:val="22"/>
          <w:szCs w:val="22"/>
          <w:u w:color="000000"/>
          <w:bdr w:val="nil"/>
        </w:rPr>
        <w:t>s</w:t>
      </w:r>
      <w:r w:rsidR="008B4F58" w:rsidRPr="00A2656D">
        <w:rPr>
          <w:rFonts w:eastAsia="Arial Unicode MS"/>
          <w:snapToGrid w:val="0"/>
          <w:kern w:val="22"/>
          <w:szCs w:val="22"/>
          <w:u w:color="000000"/>
          <w:bdr w:val="nil"/>
        </w:rPr>
        <w:t xml:space="preserve"> </w:t>
      </w:r>
      <w:r w:rsidRPr="00A2656D">
        <w:rPr>
          <w:rFonts w:eastAsia="Arial Unicode MS"/>
          <w:snapToGrid w:val="0"/>
          <w:kern w:val="22"/>
          <w:szCs w:val="22"/>
          <w:u w:color="000000"/>
          <w:bdr w:val="nil"/>
        </w:rPr>
        <w:t xml:space="preserve">good progress </w:t>
      </w:r>
      <w:r w:rsidR="008B4F58" w:rsidRPr="00A2656D">
        <w:rPr>
          <w:rFonts w:eastAsia="Arial Unicode MS"/>
          <w:snapToGrid w:val="0"/>
          <w:kern w:val="22"/>
          <w:szCs w:val="22"/>
          <w:u w:color="000000"/>
          <w:bdr w:val="nil"/>
        </w:rPr>
        <w:t xml:space="preserve">and </w:t>
      </w:r>
      <w:r w:rsidR="008052E8" w:rsidRPr="00A2656D">
        <w:rPr>
          <w:rFonts w:eastAsia="Arial Unicode MS"/>
          <w:snapToGrid w:val="0"/>
          <w:kern w:val="22"/>
          <w:szCs w:val="22"/>
          <w:u w:color="000000"/>
          <w:bdr w:val="nil"/>
        </w:rPr>
        <w:t xml:space="preserve">a high rate of implementation of </w:t>
      </w:r>
      <w:r w:rsidR="005C3CC3" w:rsidRPr="00A2656D">
        <w:rPr>
          <w:rFonts w:eastAsia="Arial Unicode MS"/>
          <w:snapToGrid w:val="0"/>
          <w:kern w:val="22"/>
          <w:szCs w:val="22"/>
          <w:u w:color="000000"/>
          <w:bdr w:val="nil"/>
        </w:rPr>
        <w:t xml:space="preserve">one of </w:t>
      </w:r>
      <w:r w:rsidR="008052E8" w:rsidRPr="00A2656D">
        <w:rPr>
          <w:rFonts w:eastAsia="Arial Unicode MS"/>
          <w:snapToGrid w:val="0"/>
          <w:kern w:val="22"/>
          <w:szCs w:val="22"/>
          <w:u w:color="000000"/>
          <w:bdr w:val="nil"/>
        </w:rPr>
        <w:t>the requirement</w:t>
      </w:r>
      <w:r w:rsidR="005C3CC3" w:rsidRPr="00A2656D">
        <w:rPr>
          <w:rFonts w:eastAsia="Arial Unicode MS"/>
          <w:snapToGrid w:val="0"/>
          <w:kern w:val="22"/>
          <w:szCs w:val="22"/>
          <w:u w:color="000000"/>
          <w:bdr w:val="nil"/>
        </w:rPr>
        <w:t>s related to institutional arrangements.</w:t>
      </w:r>
    </w:p>
    <w:p w14:paraId="384C687C" w14:textId="6F9283F2" w:rsidR="000A6DB2" w:rsidRPr="00561F20"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i/>
          <w:snapToGrid w:val="0"/>
          <w:kern w:val="22"/>
          <w:szCs w:val="22"/>
        </w:rPr>
      </w:pPr>
      <w:r w:rsidRPr="00A2656D">
        <w:rPr>
          <w:rFonts w:eastAsia="SimSun"/>
          <w:i/>
          <w:snapToGrid w:val="0"/>
          <w:kern w:val="22"/>
          <w:szCs w:val="22"/>
        </w:rPr>
        <w:lastRenderedPageBreak/>
        <w:t>Competent national authorities</w:t>
      </w:r>
      <w:r w:rsidR="00E71ED9" w:rsidRPr="00A2656D">
        <w:rPr>
          <w:rFonts w:eastAsia="SimSun"/>
          <w:snapToGrid w:val="0"/>
          <w:kern w:val="22"/>
          <w:szCs w:val="22"/>
        </w:rPr>
        <w:t>.</w:t>
      </w:r>
      <w:r w:rsidRPr="00A2656D">
        <w:rPr>
          <w:rFonts w:eastAsia="SimSun"/>
          <w:snapToGrid w:val="0"/>
          <w:kern w:val="22"/>
          <w:szCs w:val="22"/>
        </w:rPr>
        <w:t xml:space="preserve"> As of </w:t>
      </w:r>
      <w:r w:rsidR="00662C7C" w:rsidRPr="00A2656D">
        <w:rPr>
          <w:rFonts w:eastAsia="SimSun"/>
          <w:snapToGrid w:val="0"/>
          <w:kern w:val="22"/>
          <w:szCs w:val="22"/>
        </w:rPr>
        <w:t>4 March 2020</w:t>
      </w:r>
      <w:r w:rsidRPr="00A2656D">
        <w:rPr>
          <w:rFonts w:eastAsia="SimSun"/>
          <w:snapToGrid w:val="0"/>
          <w:kern w:val="22"/>
          <w:szCs w:val="22"/>
        </w:rPr>
        <w:t xml:space="preserve">, </w:t>
      </w:r>
      <w:r w:rsidR="00B82AA8" w:rsidRPr="00A2656D">
        <w:rPr>
          <w:rFonts w:eastAsia="SimSun"/>
          <w:snapToGrid w:val="0"/>
          <w:kern w:val="22"/>
          <w:szCs w:val="22"/>
        </w:rPr>
        <w:t xml:space="preserve">a total of </w:t>
      </w:r>
      <w:r w:rsidR="00662C7C" w:rsidRPr="00A2656D">
        <w:rPr>
          <w:rFonts w:eastAsia="SimSun"/>
          <w:snapToGrid w:val="0"/>
          <w:kern w:val="22"/>
          <w:szCs w:val="22"/>
        </w:rPr>
        <w:t xml:space="preserve">80 </w:t>
      </w:r>
      <w:r w:rsidRPr="00A2656D">
        <w:rPr>
          <w:rFonts w:eastAsia="SimSun"/>
          <w:snapToGrid w:val="0"/>
          <w:kern w:val="22"/>
          <w:szCs w:val="22"/>
        </w:rPr>
        <w:t>Parties (</w:t>
      </w:r>
      <w:r w:rsidR="00662C7C" w:rsidRPr="00A2656D">
        <w:rPr>
          <w:rFonts w:eastAsia="SimSun"/>
          <w:snapToGrid w:val="0"/>
          <w:kern w:val="22"/>
          <w:szCs w:val="22"/>
        </w:rPr>
        <w:t>65</w:t>
      </w:r>
      <w:r w:rsidR="00FA10F7" w:rsidRPr="00A2656D">
        <w:rPr>
          <w:rFonts w:eastAsia="SimSun"/>
          <w:snapToGrid w:val="0"/>
          <w:kern w:val="22"/>
          <w:szCs w:val="22"/>
        </w:rPr>
        <w:t xml:space="preserve"> per cent</w:t>
      </w:r>
      <w:r w:rsidRPr="00A2656D">
        <w:rPr>
          <w:rFonts w:eastAsia="SimSun"/>
          <w:snapToGrid w:val="0"/>
          <w:kern w:val="22"/>
          <w:szCs w:val="22"/>
        </w:rPr>
        <w:t xml:space="preserve">) had designated one or more competent national authorities, according to information </w:t>
      </w:r>
      <w:r w:rsidR="005C3CC3" w:rsidRPr="00A2656D">
        <w:rPr>
          <w:rFonts w:eastAsia="SimSun"/>
          <w:snapToGrid w:val="0"/>
          <w:kern w:val="22"/>
          <w:szCs w:val="22"/>
        </w:rPr>
        <w:t xml:space="preserve">that was </w:t>
      </w:r>
      <w:r w:rsidR="00B82AA8" w:rsidRPr="00A2656D">
        <w:rPr>
          <w:rFonts w:eastAsia="SimSun"/>
          <w:snapToGrid w:val="0"/>
          <w:kern w:val="22"/>
          <w:szCs w:val="22"/>
        </w:rPr>
        <w:t xml:space="preserve">made </w:t>
      </w:r>
      <w:r w:rsidRPr="00A2656D">
        <w:rPr>
          <w:rFonts w:eastAsia="SimSun"/>
          <w:snapToGrid w:val="0"/>
          <w:kern w:val="22"/>
          <w:szCs w:val="22"/>
        </w:rPr>
        <w:t>available in the interim national report</w:t>
      </w:r>
      <w:r w:rsidR="005C3CC3" w:rsidRPr="00A2656D">
        <w:rPr>
          <w:rFonts w:eastAsia="SimSun"/>
          <w:snapToGrid w:val="0"/>
          <w:kern w:val="22"/>
          <w:szCs w:val="22"/>
        </w:rPr>
        <w:t>s</w:t>
      </w:r>
      <w:r w:rsidRPr="00A2656D">
        <w:rPr>
          <w:rFonts w:eastAsia="SimSun"/>
          <w:snapToGrid w:val="0"/>
          <w:kern w:val="22"/>
          <w:szCs w:val="22"/>
        </w:rPr>
        <w:t xml:space="preserve">, the ABS Clearing-House, </w:t>
      </w:r>
      <w:r w:rsidR="00DB014E" w:rsidRPr="00A2656D">
        <w:rPr>
          <w:rFonts w:eastAsia="SimSun"/>
          <w:snapToGrid w:val="0"/>
          <w:kern w:val="22"/>
          <w:szCs w:val="22"/>
        </w:rPr>
        <w:t xml:space="preserve">the </w:t>
      </w:r>
      <w:r w:rsidRPr="00A2656D">
        <w:rPr>
          <w:rFonts w:eastAsia="SimSun"/>
          <w:snapToGrid w:val="0"/>
          <w:kern w:val="22"/>
          <w:szCs w:val="22"/>
        </w:rPr>
        <w:t xml:space="preserve">NBSAP or </w:t>
      </w:r>
      <w:r w:rsidR="006F0D6F" w:rsidRPr="00A2656D">
        <w:rPr>
          <w:rFonts w:eastAsia="SimSun"/>
          <w:snapToGrid w:val="0"/>
          <w:kern w:val="22"/>
          <w:szCs w:val="22"/>
        </w:rPr>
        <w:t>fift</w:t>
      </w:r>
      <w:r w:rsidR="00E261D7" w:rsidRPr="00A2656D">
        <w:rPr>
          <w:rFonts w:eastAsia="SimSun"/>
          <w:snapToGrid w:val="0"/>
          <w:kern w:val="22"/>
          <w:szCs w:val="22"/>
        </w:rPr>
        <w:t>h/</w:t>
      </w:r>
      <w:r w:rsidR="002B3DDC" w:rsidRPr="00A2656D">
        <w:rPr>
          <w:rFonts w:eastAsia="SimSun"/>
          <w:snapToGrid w:val="0"/>
          <w:kern w:val="22"/>
          <w:szCs w:val="22"/>
        </w:rPr>
        <w:t>s</w:t>
      </w:r>
      <w:r w:rsidRPr="00A2656D">
        <w:rPr>
          <w:rFonts w:eastAsia="SimSun"/>
          <w:snapToGrid w:val="0"/>
          <w:kern w:val="22"/>
          <w:szCs w:val="22"/>
        </w:rPr>
        <w:t>i</w:t>
      </w:r>
      <w:r w:rsidR="002B3DDC" w:rsidRPr="00A2656D">
        <w:rPr>
          <w:rFonts w:eastAsia="SimSun"/>
          <w:snapToGrid w:val="0"/>
          <w:kern w:val="22"/>
          <w:szCs w:val="22"/>
        </w:rPr>
        <w:t>x</w:t>
      </w:r>
      <w:r w:rsidRPr="00A2656D">
        <w:rPr>
          <w:rFonts w:eastAsia="SimSun"/>
          <w:snapToGrid w:val="0"/>
          <w:kern w:val="22"/>
          <w:szCs w:val="22"/>
        </w:rPr>
        <w:t>th national report</w:t>
      </w:r>
      <w:r w:rsidR="00B82AA8" w:rsidRPr="00A2656D">
        <w:rPr>
          <w:rFonts w:eastAsia="SimSun"/>
          <w:snapToGrid w:val="0"/>
          <w:kern w:val="22"/>
          <w:szCs w:val="22"/>
        </w:rPr>
        <w:t>s</w:t>
      </w:r>
      <w:r w:rsidRPr="00A2656D">
        <w:rPr>
          <w:rFonts w:eastAsia="SimSun"/>
          <w:snapToGrid w:val="0"/>
          <w:kern w:val="22"/>
          <w:szCs w:val="22"/>
        </w:rPr>
        <w:t xml:space="preserve">. In addition, </w:t>
      </w:r>
      <w:r w:rsidR="00132B42" w:rsidRPr="00A2656D">
        <w:rPr>
          <w:rFonts w:eastAsia="SimSun"/>
          <w:snapToGrid w:val="0"/>
          <w:kern w:val="22"/>
          <w:szCs w:val="22"/>
        </w:rPr>
        <w:t>12</w:t>
      </w:r>
      <w:r w:rsidR="00C342D9" w:rsidRPr="00561F20">
        <w:rPr>
          <w:rFonts w:eastAsia="SimSun"/>
          <w:kern w:val="22"/>
          <w:szCs w:val="22"/>
        </w:rPr>
        <w:t xml:space="preserve"> </w:t>
      </w:r>
      <w:r w:rsidRPr="00A2656D">
        <w:rPr>
          <w:rFonts w:eastAsia="SimSun"/>
          <w:snapToGrid w:val="0"/>
          <w:kern w:val="22"/>
          <w:szCs w:val="22"/>
        </w:rPr>
        <w:t xml:space="preserve">Parties reported on </w:t>
      </w:r>
      <w:r w:rsidR="00B82AA8" w:rsidRPr="00A2656D">
        <w:rPr>
          <w:rFonts w:eastAsia="SimSun"/>
          <w:snapToGrid w:val="0"/>
          <w:kern w:val="22"/>
          <w:szCs w:val="22"/>
        </w:rPr>
        <w:t xml:space="preserve">internal </w:t>
      </w:r>
      <w:r w:rsidRPr="00A2656D">
        <w:rPr>
          <w:rFonts w:eastAsia="SimSun"/>
          <w:snapToGrid w:val="0"/>
          <w:kern w:val="22"/>
          <w:szCs w:val="22"/>
        </w:rPr>
        <w:t>work under</w:t>
      </w:r>
      <w:r w:rsidR="00295E9D">
        <w:rPr>
          <w:rFonts w:eastAsia="SimSun"/>
          <w:snapToGrid w:val="0"/>
          <w:kern w:val="22"/>
          <w:szCs w:val="22"/>
        </w:rPr>
        <w:t xml:space="preserve"> </w:t>
      </w:r>
      <w:r w:rsidRPr="00A2656D">
        <w:rPr>
          <w:rFonts w:eastAsia="SimSun"/>
          <w:snapToGrid w:val="0"/>
          <w:kern w:val="22"/>
          <w:szCs w:val="22"/>
        </w:rPr>
        <w:t xml:space="preserve">way towards the designation of one or more </w:t>
      </w:r>
      <w:r w:rsidR="00C2394C" w:rsidRPr="00A2656D">
        <w:rPr>
          <w:rFonts w:eastAsia="SimSun"/>
          <w:snapToGrid w:val="0"/>
          <w:kern w:val="22"/>
          <w:szCs w:val="22"/>
        </w:rPr>
        <w:t>competent national authorities</w:t>
      </w:r>
      <w:r w:rsidR="00B42FCA">
        <w:rPr>
          <w:rFonts w:eastAsia="SimSun"/>
          <w:snapToGrid w:val="0"/>
          <w:kern w:val="22"/>
          <w:szCs w:val="22"/>
        </w:rPr>
        <w:t>,</w:t>
      </w:r>
      <w:r w:rsidRPr="00A2656D">
        <w:rPr>
          <w:rFonts w:eastAsia="SimSun"/>
          <w:snapToGrid w:val="0"/>
          <w:kern w:val="22"/>
          <w:szCs w:val="22"/>
        </w:rPr>
        <w:t xml:space="preserve"> and another </w:t>
      </w:r>
      <w:r w:rsidR="00132B42" w:rsidRPr="00A2656D">
        <w:rPr>
          <w:rFonts w:eastAsia="SimSun"/>
          <w:snapToGrid w:val="0"/>
          <w:kern w:val="22"/>
          <w:szCs w:val="22"/>
        </w:rPr>
        <w:t>7</w:t>
      </w:r>
      <w:r w:rsidR="00C342D9" w:rsidRPr="00561F20">
        <w:rPr>
          <w:rFonts w:eastAsia="SimSun"/>
          <w:kern w:val="22"/>
          <w:szCs w:val="22"/>
        </w:rPr>
        <w:t xml:space="preserve"> </w:t>
      </w:r>
      <w:r w:rsidRPr="00A2656D">
        <w:rPr>
          <w:rFonts w:eastAsia="SimSun"/>
          <w:snapToGrid w:val="0"/>
          <w:kern w:val="22"/>
          <w:szCs w:val="22"/>
        </w:rPr>
        <w:t xml:space="preserve">Parties indicated that they </w:t>
      </w:r>
      <w:r w:rsidR="00181AD8" w:rsidRPr="00A2656D">
        <w:rPr>
          <w:rFonts w:eastAsia="SimSun"/>
          <w:snapToGrid w:val="0"/>
          <w:kern w:val="22"/>
          <w:szCs w:val="22"/>
        </w:rPr>
        <w:t xml:space="preserve">were </w:t>
      </w:r>
      <w:r w:rsidRPr="00A2656D">
        <w:rPr>
          <w:rFonts w:eastAsia="SimSun"/>
          <w:snapToGrid w:val="0"/>
          <w:kern w:val="22"/>
          <w:szCs w:val="22"/>
        </w:rPr>
        <w:t>planning to do so.</w:t>
      </w:r>
      <w:r w:rsidR="00E8618A" w:rsidRPr="00A2656D">
        <w:rPr>
          <w:rFonts w:eastAsia="Arial Unicode MS"/>
          <w:snapToGrid w:val="0"/>
          <w:kern w:val="22"/>
          <w:szCs w:val="22"/>
          <w:u w:color="000000"/>
          <w:bdr w:val="nil"/>
        </w:rPr>
        <w:t xml:space="preserve"> This represents a substantial increase since February 2018</w:t>
      </w:r>
      <w:r w:rsidR="00C9576D">
        <w:rPr>
          <w:rFonts w:eastAsia="Arial Unicode MS"/>
          <w:snapToGrid w:val="0"/>
          <w:kern w:val="22"/>
          <w:szCs w:val="22"/>
          <w:u w:color="000000"/>
          <w:bdr w:val="nil"/>
        </w:rPr>
        <w:t>,</w:t>
      </w:r>
      <w:r w:rsidR="00E8618A" w:rsidRPr="00A2656D">
        <w:rPr>
          <w:rFonts w:eastAsia="Arial Unicode MS"/>
          <w:snapToGrid w:val="0"/>
          <w:kern w:val="22"/>
          <w:szCs w:val="22"/>
          <w:u w:color="000000"/>
          <w:bdr w:val="nil"/>
        </w:rPr>
        <w:t xml:space="preserve"> </w:t>
      </w:r>
      <w:r w:rsidR="00C9576D">
        <w:rPr>
          <w:rFonts w:eastAsia="Arial Unicode MS"/>
          <w:snapToGrid w:val="0"/>
          <w:kern w:val="22"/>
          <w:szCs w:val="22"/>
          <w:u w:color="000000"/>
          <w:bdr w:val="nil"/>
        </w:rPr>
        <w:t>when</w:t>
      </w:r>
      <w:r w:rsidR="00C9576D" w:rsidRPr="00A2656D">
        <w:rPr>
          <w:rFonts w:eastAsia="Arial Unicode MS"/>
          <w:snapToGrid w:val="0"/>
          <w:kern w:val="22"/>
          <w:szCs w:val="22"/>
          <w:u w:color="000000"/>
          <w:bdr w:val="nil"/>
        </w:rPr>
        <w:t xml:space="preserve"> </w:t>
      </w:r>
      <w:r w:rsidR="00E8618A" w:rsidRPr="00A2656D">
        <w:rPr>
          <w:rFonts w:eastAsia="Arial Unicode MS"/>
          <w:snapToGrid w:val="0"/>
          <w:kern w:val="22"/>
          <w:szCs w:val="22"/>
          <w:u w:color="000000"/>
          <w:bdr w:val="nil"/>
        </w:rPr>
        <w:t>54</w:t>
      </w:r>
      <w:r w:rsidR="00193F79" w:rsidRPr="00A2656D">
        <w:rPr>
          <w:rFonts w:eastAsia="Arial Unicode MS"/>
          <w:snapToGrid w:val="0"/>
          <w:kern w:val="22"/>
          <w:szCs w:val="22"/>
          <w:u w:color="000000"/>
          <w:bdr w:val="nil"/>
        </w:rPr>
        <w:t xml:space="preserve"> per cent</w:t>
      </w:r>
      <w:r w:rsidR="00E8618A" w:rsidRPr="00A2656D">
        <w:rPr>
          <w:rFonts w:eastAsia="Arial Unicode MS"/>
          <w:snapToGrid w:val="0"/>
          <w:kern w:val="22"/>
          <w:szCs w:val="22"/>
          <w:u w:color="000000"/>
          <w:bdr w:val="nil"/>
        </w:rPr>
        <w:t xml:space="preserve"> of Parties had designated one or more competent national authorities</w:t>
      </w:r>
      <w:r w:rsidR="00E8618A" w:rsidRPr="00F4177C">
        <w:rPr>
          <w:rFonts w:eastAsia="Arial Unicode MS"/>
          <w:snapToGrid w:val="0"/>
          <w:kern w:val="22"/>
          <w:szCs w:val="22"/>
          <w:u w:color="000000"/>
          <w:bdr w:val="nil"/>
        </w:rPr>
        <w:t>.</w:t>
      </w:r>
    </w:p>
    <w:p w14:paraId="665134F0" w14:textId="5FDF066C" w:rsidR="000A6DB2" w:rsidRPr="00A2656D"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i/>
          <w:snapToGrid w:val="0"/>
          <w:kern w:val="22"/>
          <w:szCs w:val="22"/>
          <w:u w:val="single"/>
        </w:rPr>
      </w:pPr>
      <w:r w:rsidRPr="00A2656D">
        <w:rPr>
          <w:rFonts w:eastAsia="SimSun"/>
          <w:snapToGrid w:val="0"/>
          <w:kern w:val="22"/>
          <w:szCs w:val="22"/>
        </w:rPr>
        <w:t xml:space="preserve">Finally, </w:t>
      </w:r>
      <w:r w:rsidR="00132B42" w:rsidRPr="00A2656D">
        <w:rPr>
          <w:rFonts w:eastAsia="SimSun"/>
          <w:snapToGrid w:val="0"/>
          <w:kern w:val="22"/>
          <w:szCs w:val="22"/>
        </w:rPr>
        <w:t>2</w:t>
      </w:r>
      <w:r w:rsidR="006F0D6F" w:rsidRPr="00A2656D">
        <w:rPr>
          <w:rFonts w:eastAsia="SimSun"/>
          <w:snapToGrid w:val="0"/>
          <w:kern w:val="22"/>
          <w:szCs w:val="22"/>
        </w:rPr>
        <w:t>4</w:t>
      </w:r>
      <w:r w:rsidR="00132B42" w:rsidRPr="00A2656D">
        <w:rPr>
          <w:rFonts w:eastAsia="SimSun"/>
          <w:snapToGrid w:val="0"/>
          <w:kern w:val="22"/>
          <w:szCs w:val="22"/>
        </w:rPr>
        <w:t xml:space="preserve"> </w:t>
      </w:r>
      <w:r w:rsidRPr="00A2656D">
        <w:rPr>
          <w:rFonts w:eastAsia="SimSun"/>
          <w:snapToGrid w:val="0"/>
          <w:kern w:val="22"/>
          <w:szCs w:val="22"/>
        </w:rPr>
        <w:t xml:space="preserve">Parties did not report on progress towards designating one or more </w:t>
      </w:r>
      <w:r w:rsidR="00C2394C" w:rsidRPr="00A2656D">
        <w:rPr>
          <w:rFonts w:eastAsia="SimSun"/>
          <w:snapToGrid w:val="0"/>
          <w:kern w:val="22"/>
          <w:szCs w:val="22"/>
        </w:rPr>
        <w:t>competent national authorities</w:t>
      </w:r>
      <w:r w:rsidRPr="00A2656D">
        <w:rPr>
          <w:rFonts w:eastAsia="SimSun"/>
          <w:snapToGrid w:val="0"/>
          <w:kern w:val="22"/>
          <w:szCs w:val="22"/>
        </w:rPr>
        <w:t>, and therefore there is no information available for these Parties.</w:t>
      </w:r>
    </w:p>
    <w:p w14:paraId="5468B780" w14:textId="4E72B833" w:rsidR="003647B3" w:rsidRPr="00561F20" w:rsidRDefault="003647B3" w:rsidP="00561F20">
      <w:pPr>
        <w:pStyle w:val="ListParagraph"/>
        <w:keepNext/>
        <w:suppressLineNumbers/>
        <w:suppressAutoHyphens/>
        <w:kinsoku w:val="0"/>
        <w:overflowPunct w:val="0"/>
        <w:autoSpaceDE w:val="0"/>
        <w:autoSpaceDN w:val="0"/>
        <w:spacing w:before="120" w:after="120"/>
        <w:ind w:left="1842" w:hanging="1077"/>
        <w:jc w:val="left"/>
        <w:rPr>
          <w:rFonts w:eastAsia="SimSun" w:hAnsi="Times New Roman" w:cs="Times New Roman"/>
          <w:b/>
          <w:bCs/>
          <w:iCs/>
          <w:snapToGrid w:val="0"/>
          <w:kern w:val="22"/>
          <w:lang w:val="en-GB"/>
        </w:rPr>
      </w:pPr>
      <w:r w:rsidRPr="00561F20">
        <w:rPr>
          <w:rFonts w:eastAsia="SimSun" w:hAnsi="Times New Roman" w:cs="Times New Roman"/>
          <w:b/>
          <w:bCs/>
          <w:iCs/>
          <w:snapToGrid w:val="0"/>
          <w:kern w:val="22"/>
          <w:lang w:val="en-GB"/>
        </w:rPr>
        <w:t>Figure 3.</w:t>
      </w:r>
      <w:r w:rsidR="00C9576D">
        <w:rPr>
          <w:rFonts w:eastAsia="SimSun" w:hAnsi="Times New Roman" w:cs="Times New Roman"/>
          <w:b/>
          <w:bCs/>
          <w:iCs/>
          <w:snapToGrid w:val="0"/>
          <w:kern w:val="22"/>
          <w:lang w:val="en-GB"/>
        </w:rPr>
        <w:tab/>
      </w:r>
      <w:r w:rsidRPr="00561F20">
        <w:rPr>
          <w:rFonts w:eastAsia="SimSun" w:hAnsi="Times New Roman" w:cs="Times New Roman"/>
          <w:b/>
          <w:bCs/>
          <w:iCs/>
          <w:snapToGrid w:val="0"/>
          <w:kern w:val="22"/>
          <w:lang w:val="en-GB"/>
        </w:rPr>
        <w:t>Status of progress in the designation of one or more competent national authorities (as</w:t>
      </w:r>
      <w:r w:rsidRPr="00561F20">
        <w:rPr>
          <w:rFonts w:eastAsia="SimSun" w:hAnsi="Times New Roman" w:cs="Times New Roman" w:hint="eastAsia"/>
          <w:b/>
          <w:bCs/>
          <w:iCs/>
          <w:snapToGrid w:val="0"/>
          <w:kern w:val="22"/>
          <w:lang w:val="en-GB"/>
        </w:rPr>
        <w:t> </w:t>
      </w:r>
      <w:r w:rsidRPr="00561F20">
        <w:rPr>
          <w:rFonts w:eastAsia="SimSun" w:hAnsi="Times New Roman" w:cs="Times New Roman"/>
          <w:b/>
          <w:bCs/>
          <w:iCs/>
          <w:snapToGrid w:val="0"/>
          <w:kern w:val="22"/>
          <w:lang w:val="en-GB"/>
        </w:rPr>
        <w:t>of</w:t>
      </w:r>
      <w:r w:rsidRPr="00561F20">
        <w:rPr>
          <w:rFonts w:eastAsia="SimSun" w:hAnsi="Times New Roman" w:cs="Times New Roman" w:hint="eastAsia"/>
          <w:b/>
          <w:bCs/>
          <w:iCs/>
          <w:snapToGrid w:val="0"/>
          <w:kern w:val="22"/>
          <w:lang w:val="en-GB"/>
        </w:rPr>
        <w:t> </w:t>
      </w:r>
      <w:r w:rsidR="007B30BD" w:rsidRPr="00561F20">
        <w:rPr>
          <w:rFonts w:eastAsia="SimSun" w:hAnsi="Times New Roman" w:cs="Times New Roman"/>
          <w:b/>
          <w:bCs/>
          <w:iCs/>
          <w:snapToGrid w:val="0"/>
          <w:kern w:val="22"/>
          <w:lang w:val="en-GB"/>
        </w:rPr>
        <w:t>4</w:t>
      </w:r>
      <w:r w:rsidR="00CE0B49" w:rsidRPr="00561F20">
        <w:rPr>
          <w:rFonts w:eastAsia="SimSun" w:hAnsi="Times New Roman" w:cs="Times New Roman"/>
          <w:b/>
          <w:bCs/>
          <w:iCs/>
          <w:snapToGrid w:val="0"/>
          <w:kern w:val="22"/>
          <w:lang w:val="en-GB"/>
        </w:rPr>
        <w:t> </w:t>
      </w:r>
      <w:r w:rsidRPr="00561F20">
        <w:rPr>
          <w:rFonts w:eastAsia="SimSun" w:hAnsi="Times New Roman" w:cs="Times New Roman"/>
          <w:b/>
          <w:bCs/>
          <w:iCs/>
          <w:snapToGrid w:val="0"/>
          <w:kern w:val="22"/>
          <w:lang w:val="en-GB"/>
        </w:rPr>
        <w:t>March 2020)</w:t>
      </w:r>
    </w:p>
    <w:p w14:paraId="50547AF2" w14:textId="77777777" w:rsidR="000A6DB2" w:rsidRPr="00A2656D" w:rsidRDefault="003647B3">
      <w:pPr>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snapToGrid w:val="0"/>
          <w:kern w:val="22"/>
          <w:szCs w:val="22"/>
        </w:rPr>
      </w:pPr>
      <w:r w:rsidRPr="00561F20">
        <w:rPr>
          <w:noProof/>
          <w:kern w:val="22"/>
          <w:szCs w:val="22"/>
        </w:rPr>
        <w:drawing>
          <wp:inline distT="0" distB="0" distL="0" distR="0" wp14:anchorId="6FF679D4" wp14:editId="0522873A">
            <wp:extent cx="4981575" cy="2581275"/>
            <wp:effectExtent l="0" t="0" r="9525" b="9525"/>
            <wp:docPr id="11" name="Chart 11">
              <a:extLst xmlns:a="http://schemas.openxmlformats.org/drawingml/2006/main">
                <a:ext uri="{FF2B5EF4-FFF2-40B4-BE49-F238E27FC236}">
                  <a16:creationId xmlns:a16="http://schemas.microsoft.com/office/drawing/2014/main" id="{2DD7C324-2768-4C00-9160-4EA6450B51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41936E" w14:textId="3F15E68E" w:rsidR="000A6DB2" w:rsidRPr="00A2656D" w:rsidRDefault="000A6DB2">
      <w:pPr>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b/>
          <w:snapToGrid w:val="0"/>
          <w:kern w:val="22"/>
          <w:szCs w:val="22"/>
        </w:rPr>
      </w:pPr>
    </w:p>
    <w:p w14:paraId="51C1AD97" w14:textId="6B741BBA" w:rsidR="000A6DB2" w:rsidRPr="0055272A"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rPr>
      </w:pPr>
      <w:r w:rsidRPr="004970FC">
        <w:rPr>
          <w:rFonts w:eastAsia="SimSun"/>
          <w:i/>
          <w:snapToGrid w:val="0"/>
          <w:kern w:val="22"/>
          <w:szCs w:val="22"/>
        </w:rPr>
        <w:t>Checkpoints</w:t>
      </w:r>
      <w:r w:rsidR="009E69AA" w:rsidRPr="004970FC">
        <w:rPr>
          <w:rFonts w:eastAsia="SimSun"/>
          <w:i/>
          <w:snapToGrid w:val="0"/>
          <w:kern w:val="22"/>
          <w:szCs w:val="22"/>
        </w:rPr>
        <w:t>.</w:t>
      </w:r>
      <w:r w:rsidRPr="004970FC">
        <w:rPr>
          <w:rFonts w:eastAsia="SimSun"/>
          <w:i/>
          <w:snapToGrid w:val="0"/>
          <w:kern w:val="22"/>
          <w:szCs w:val="22"/>
        </w:rPr>
        <w:t xml:space="preserve"> </w:t>
      </w:r>
      <w:r w:rsidRPr="004970FC">
        <w:rPr>
          <w:rFonts w:eastAsia="SimSun"/>
          <w:snapToGrid w:val="0"/>
          <w:kern w:val="22"/>
          <w:szCs w:val="22"/>
        </w:rPr>
        <w:t xml:space="preserve">As of </w:t>
      </w:r>
      <w:r w:rsidR="003B14E7" w:rsidRPr="00B0091C">
        <w:rPr>
          <w:rFonts w:eastAsia="SimSun"/>
          <w:snapToGrid w:val="0"/>
          <w:kern w:val="22"/>
          <w:szCs w:val="22"/>
        </w:rPr>
        <w:t>4 March 2020</w:t>
      </w:r>
      <w:r w:rsidRPr="00FF3105">
        <w:rPr>
          <w:rFonts w:eastAsia="SimSun"/>
          <w:snapToGrid w:val="0"/>
          <w:kern w:val="22"/>
          <w:szCs w:val="22"/>
        </w:rPr>
        <w:t xml:space="preserve">, </w:t>
      </w:r>
      <w:r w:rsidR="00F97EBE" w:rsidRPr="00FF3105">
        <w:rPr>
          <w:rFonts w:eastAsia="SimSun"/>
          <w:snapToGrid w:val="0"/>
          <w:kern w:val="22"/>
          <w:szCs w:val="22"/>
        </w:rPr>
        <w:t xml:space="preserve">a total of </w:t>
      </w:r>
      <w:r w:rsidR="003B14E7" w:rsidRPr="000B09AF">
        <w:rPr>
          <w:rFonts w:eastAsia="SimSun"/>
          <w:snapToGrid w:val="0"/>
          <w:kern w:val="22"/>
          <w:szCs w:val="22"/>
        </w:rPr>
        <w:t>40</w:t>
      </w:r>
      <w:r w:rsidR="003B14E7" w:rsidRPr="000B09AF">
        <w:rPr>
          <w:rStyle w:val="FootnoteReference"/>
          <w:rFonts w:eastAsia="SimSun"/>
          <w:snapToGrid w:val="0"/>
          <w:kern w:val="22"/>
          <w:szCs w:val="22"/>
        </w:rPr>
        <w:footnoteReference w:id="9"/>
      </w:r>
      <w:r w:rsidRPr="0055272A">
        <w:rPr>
          <w:rFonts w:eastAsia="SimSun"/>
          <w:snapToGrid w:val="0"/>
          <w:kern w:val="22"/>
          <w:szCs w:val="22"/>
        </w:rPr>
        <w:t xml:space="preserve"> Parties had designated one or more checkpoints</w:t>
      </w:r>
      <w:r w:rsidR="00E33CB3" w:rsidRPr="00561F20">
        <w:rPr>
          <w:rFonts w:eastAsia="SimSun"/>
          <w:snapToGrid w:val="0"/>
          <w:kern w:val="22"/>
          <w:szCs w:val="22"/>
        </w:rPr>
        <w:t xml:space="preserve"> </w:t>
      </w:r>
      <w:r w:rsidRPr="00561F20">
        <w:rPr>
          <w:rFonts w:eastAsia="SimSun"/>
          <w:snapToGrid w:val="0"/>
          <w:kern w:val="22"/>
          <w:szCs w:val="22"/>
        </w:rPr>
        <w:t>(</w:t>
      </w:r>
      <w:r w:rsidR="003B14E7" w:rsidRPr="00561F20">
        <w:rPr>
          <w:rFonts w:eastAsia="SimSun"/>
          <w:snapToGrid w:val="0"/>
          <w:kern w:val="22"/>
          <w:szCs w:val="22"/>
        </w:rPr>
        <w:t>32</w:t>
      </w:r>
      <w:r w:rsidR="005C099C" w:rsidRPr="00561F20">
        <w:rPr>
          <w:rFonts w:eastAsia="SimSun"/>
          <w:snapToGrid w:val="0"/>
          <w:kern w:val="22"/>
          <w:szCs w:val="22"/>
        </w:rPr>
        <w:t> </w:t>
      </w:r>
      <w:r w:rsidR="00EB06E7" w:rsidRPr="00561F20">
        <w:rPr>
          <w:rFonts w:eastAsia="SimSun"/>
          <w:snapToGrid w:val="0"/>
          <w:kern w:val="22"/>
          <w:szCs w:val="22"/>
        </w:rPr>
        <w:t>per cent),</w:t>
      </w:r>
      <w:r w:rsidR="00EB06E7" w:rsidRPr="00561F20">
        <w:rPr>
          <w:snapToGrid w:val="0"/>
          <w:kern w:val="22"/>
          <w:szCs w:val="22"/>
        </w:rPr>
        <w:t xml:space="preserve"> </w:t>
      </w:r>
      <w:r w:rsidRPr="00561F20">
        <w:rPr>
          <w:rFonts w:eastAsia="SimSun"/>
          <w:snapToGrid w:val="0"/>
          <w:kern w:val="22"/>
          <w:szCs w:val="22"/>
        </w:rPr>
        <w:t xml:space="preserve">according to information </w:t>
      </w:r>
      <w:r w:rsidR="00B82AA8" w:rsidRPr="00561F20">
        <w:rPr>
          <w:rFonts w:eastAsia="SimSun"/>
          <w:snapToGrid w:val="0"/>
          <w:kern w:val="22"/>
          <w:szCs w:val="22"/>
        </w:rPr>
        <w:t xml:space="preserve">that was made </w:t>
      </w:r>
      <w:r w:rsidRPr="00561F20">
        <w:rPr>
          <w:rFonts w:eastAsia="SimSun"/>
          <w:snapToGrid w:val="0"/>
          <w:kern w:val="22"/>
          <w:szCs w:val="22"/>
        </w:rPr>
        <w:t>available in the interim national report</w:t>
      </w:r>
      <w:r w:rsidR="00B82AA8" w:rsidRPr="00561F20">
        <w:rPr>
          <w:rFonts w:eastAsia="SimSun"/>
          <w:snapToGrid w:val="0"/>
          <w:kern w:val="22"/>
          <w:szCs w:val="22"/>
        </w:rPr>
        <w:t>s</w:t>
      </w:r>
      <w:r w:rsidRPr="00561F20">
        <w:rPr>
          <w:rFonts w:eastAsia="SimSun"/>
          <w:snapToGrid w:val="0"/>
          <w:kern w:val="22"/>
          <w:szCs w:val="22"/>
        </w:rPr>
        <w:t xml:space="preserve">, the </w:t>
      </w:r>
      <w:r w:rsidR="00E33CB3" w:rsidRPr="00561F20">
        <w:rPr>
          <w:rFonts w:eastAsia="SimSun"/>
          <w:snapToGrid w:val="0"/>
          <w:kern w:val="22"/>
          <w:szCs w:val="22"/>
        </w:rPr>
        <w:t xml:space="preserve">Access and Benefit-sharing </w:t>
      </w:r>
      <w:proofErr w:type="gramStart"/>
      <w:r w:rsidRPr="00561F20">
        <w:rPr>
          <w:rFonts w:eastAsia="SimSun"/>
          <w:snapToGrid w:val="0"/>
          <w:kern w:val="22"/>
          <w:szCs w:val="22"/>
        </w:rPr>
        <w:t>Clearing-House</w:t>
      </w:r>
      <w:proofErr w:type="gramEnd"/>
      <w:r w:rsidRPr="00561F20">
        <w:rPr>
          <w:rFonts w:eastAsia="SimSun"/>
          <w:snapToGrid w:val="0"/>
          <w:kern w:val="22"/>
          <w:szCs w:val="22"/>
        </w:rPr>
        <w:t xml:space="preserve">, </w:t>
      </w:r>
      <w:r w:rsidR="001005A6" w:rsidRPr="00561F20">
        <w:rPr>
          <w:rFonts w:eastAsia="SimSun"/>
          <w:snapToGrid w:val="0"/>
          <w:kern w:val="22"/>
          <w:szCs w:val="22"/>
        </w:rPr>
        <w:t xml:space="preserve">the </w:t>
      </w:r>
      <w:r w:rsidRPr="00561F20">
        <w:rPr>
          <w:rFonts w:eastAsia="SimSun"/>
          <w:snapToGrid w:val="0"/>
          <w:kern w:val="22"/>
          <w:szCs w:val="22"/>
        </w:rPr>
        <w:t xml:space="preserve">NBSAP or the </w:t>
      </w:r>
      <w:r w:rsidR="002B3DDC" w:rsidRPr="00561F20">
        <w:rPr>
          <w:rFonts w:eastAsia="SimSun"/>
          <w:snapToGrid w:val="0"/>
          <w:kern w:val="22"/>
          <w:szCs w:val="22"/>
        </w:rPr>
        <w:t>six</w:t>
      </w:r>
      <w:r w:rsidRPr="00561F20">
        <w:rPr>
          <w:rFonts w:eastAsia="SimSun"/>
          <w:snapToGrid w:val="0"/>
          <w:kern w:val="22"/>
          <w:szCs w:val="22"/>
        </w:rPr>
        <w:t>th national report</w:t>
      </w:r>
      <w:r w:rsidR="00B82AA8" w:rsidRPr="00561F20">
        <w:rPr>
          <w:rFonts w:eastAsia="SimSun"/>
          <w:snapToGrid w:val="0"/>
          <w:kern w:val="22"/>
          <w:szCs w:val="22"/>
        </w:rPr>
        <w:t>s</w:t>
      </w:r>
      <w:r w:rsidRPr="00561F20">
        <w:rPr>
          <w:rFonts w:eastAsia="SimSun"/>
          <w:snapToGrid w:val="0"/>
          <w:kern w:val="22"/>
          <w:szCs w:val="22"/>
        </w:rPr>
        <w:t>. In addition, 18</w:t>
      </w:r>
      <w:r w:rsidR="00C342D9" w:rsidRPr="00561F20">
        <w:rPr>
          <w:kern w:val="22"/>
          <w:szCs w:val="22"/>
        </w:rPr>
        <w:t xml:space="preserve"> </w:t>
      </w:r>
      <w:r w:rsidRPr="004970FC">
        <w:rPr>
          <w:rFonts w:eastAsia="SimSun"/>
          <w:snapToGrid w:val="0"/>
          <w:kern w:val="22"/>
          <w:szCs w:val="22"/>
        </w:rPr>
        <w:t xml:space="preserve">Parties reported on </w:t>
      </w:r>
      <w:r w:rsidR="00B82AA8" w:rsidRPr="004970FC">
        <w:rPr>
          <w:rFonts w:eastAsia="SimSun"/>
          <w:snapToGrid w:val="0"/>
          <w:kern w:val="22"/>
          <w:szCs w:val="22"/>
        </w:rPr>
        <w:t xml:space="preserve">their internal work that </w:t>
      </w:r>
      <w:r w:rsidR="00B82AA8" w:rsidRPr="00B0091C">
        <w:rPr>
          <w:rFonts w:eastAsia="SimSun"/>
          <w:snapToGrid w:val="0"/>
          <w:kern w:val="22"/>
          <w:szCs w:val="22"/>
        </w:rPr>
        <w:t>was</w:t>
      </w:r>
      <w:r w:rsidR="00B82AA8" w:rsidRPr="00FF3105">
        <w:rPr>
          <w:rFonts w:eastAsia="SimSun"/>
          <w:snapToGrid w:val="0"/>
          <w:kern w:val="22"/>
          <w:szCs w:val="22"/>
        </w:rPr>
        <w:t xml:space="preserve"> </w:t>
      </w:r>
      <w:r w:rsidRPr="00FF3105">
        <w:rPr>
          <w:rFonts w:eastAsia="SimSun"/>
          <w:snapToGrid w:val="0"/>
          <w:kern w:val="22"/>
          <w:szCs w:val="22"/>
        </w:rPr>
        <w:t>underway to designate one or more checkpoints</w:t>
      </w:r>
      <w:r w:rsidR="00BB7DC7" w:rsidRPr="000B09AF">
        <w:rPr>
          <w:rFonts w:eastAsia="SimSun"/>
          <w:snapToGrid w:val="0"/>
          <w:kern w:val="22"/>
          <w:szCs w:val="22"/>
        </w:rPr>
        <w:t>,</w:t>
      </w:r>
      <w:r w:rsidRPr="000B09AF">
        <w:rPr>
          <w:rFonts w:eastAsia="SimSun"/>
          <w:snapToGrid w:val="0"/>
          <w:kern w:val="22"/>
          <w:szCs w:val="22"/>
        </w:rPr>
        <w:t xml:space="preserve"> and </w:t>
      </w:r>
      <w:r w:rsidR="00181708" w:rsidRPr="0055272A">
        <w:rPr>
          <w:rFonts w:eastAsia="SimSun"/>
          <w:snapToGrid w:val="0"/>
          <w:kern w:val="22"/>
          <w:szCs w:val="22"/>
        </w:rPr>
        <w:t>16</w:t>
      </w:r>
      <w:r w:rsidR="00C342D9" w:rsidRPr="00561F20">
        <w:rPr>
          <w:kern w:val="22"/>
          <w:szCs w:val="22"/>
        </w:rPr>
        <w:t xml:space="preserve"> </w:t>
      </w:r>
      <w:r w:rsidRPr="004970FC">
        <w:rPr>
          <w:rFonts w:eastAsia="SimSun"/>
          <w:snapToGrid w:val="0"/>
          <w:kern w:val="22"/>
          <w:szCs w:val="22"/>
        </w:rPr>
        <w:t>Parties indicated that they were planning to do so.</w:t>
      </w:r>
      <w:r w:rsidR="00222470" w:rsidRPr="004970FC">
        <w:rPr>
          <w:rFonts w:eastAsia="SimSun"/>
          <w:snapToGrid w:val="0"/>
          <w:kern w:val="22"/>
          <w:szCs w:val="22"/>
        </w:rPr>
        <w:t xml:space="preserve"> This represents an increase since February 2018</w:t>
      </w:r>
      <w:r w:rsidR="00EF307D" w:rsidRPr="00B0091C">
        <w:rPr>
          <w:rFonts w:eastAsia="SimSun"/>
          <w:snapToGrid w:val="0"/>
          <w:kern w:val="22"/>
          <w:szCs w:val="22"/>
        </w:rPr>
        <w:t>,</w:t>
      </w:r>
      <w:r w:rsidR="00222470" w:rsidRPr="00FF3105">
        <w:rPr>
          <w:rFonts w:eastAsia="SimSun"/>
          <w:snapToGrid w:val="0"/>
          <w:kern w:val="22"/>
          <w:szCs w:val="22"/>
        </w:rPr>
        <w:t xml:space="preserve"> where 27</w:t>
      </w:r>
      <w:r w:rsidR="00EF307D" w:rsidRPr="00FF3105">
        <w:rPr>
          <w:rFonts w:eastAsia="SimSun"/>
          <w:snapToGrid w:val="0"/>
          <w:kern w:val="22"/>
          <w:szCs w:val="22"/>
        </w:rPr>
        <w:t xml:space="preserve"> per cent</w:t>
      </w:r>
      <w:r w:rsidR="00222470" w:rsidRPr="000B09AF">
        <w:rPr>
          <w:rFonts w:eastAsia="SimSun"/>
          <w:snapToGrid w:val="0"/>
          <w:kern w:val="22"/>
          <w:szCs w:val="22"/>
        </w:rPr>
        <w:t xml:space="preserve"> of Parties had designated one or more checkpoints.</w:t>
      </w:r>
    </w:p>
    <w:p w14:paraId="0E2D5067" w14:textId="0CD918DE" w:rsidR="00496FC7" w:rsidRPr="00A2656D"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r w:rsidRPr="00A2656D">
        <w:rPr>
          <w:rFonts w:eastAsia="SimSun"/>
          <w:snapToGrid w:val="0"/>
          <w:kern w:val="22"/>
          <w:szCs w:val="22"/>
        </w:rPr>
        <w:t xml:space="preserve">Finally, </w:t>
      </w:r>
      <w:r w:rsidR="006F0D6F" w:rsidRPr="00A2656D">
        <w:rPr>
          <w:rFonts w:eastAsia="SimSun"/>
          <w:snapToGrid w:val="0"/>
          <w:kern w:val="22"/>
          <w:szCs w:val="22"/>
        </w:rPr>
        <w:t>49</w:t>
      </w:r>
      <w:r w:rsidR="00C342D9" w:rsidRPr="00A2656D">
        <w:rPr>
          <w:rFonts w:eastAsia="SimSun"/>
          <w:snapToGrid w:val="0"/>
          <w:kern w:val="22"/>
          <w:szCs w:val="22"/>
        </w:rPr>
        <w:t xml:space="preserve"> </w:t>
      </w:r>
      <w:r w:rsidRPr="00A2656D">
        <w:rPr>
          <w:rFonts w:eastAsia="SimSun"/>
          <w:snapToGrid w:val="0"/>
          <w:kern w:val="22"/>
          <w:szCs w:val="22"/>
        </w:rPr>
        <w:t>Parties did not report on progress towards designating one or more</w:t>
      </w:r>
      <w:r w:rsidR="002B3DDC" w:rsidRPr="00A2656D">
        <w:rPr>
          <w:rFonts w:eastAsia="SimSun"/>
          <w:snapToGrid w:val="0"/>
          <w:kern w:val="22"/>
          <w:szCs w:val="22"/>
        </w:rPr>
        <w:t xml:space="preserve"> checkpoints</w:t>
      </w:r>
      <w:r w:rsidRPr="00A2656D">
        <w:rPr>
          <w:rFonts w:eastAsia="SimSun"/>
          <w:snapToGrid w:val="0"/>
          <w:kern w:val="22"/>
          <w:szCs w:val="22"/>
        </w:rPr>
        <w:t>, and</w:t>
      </w:r>
      <w:r w:rsidR="00B065C8" w:rsidRPr="00A2656D">
        <w:rPr>
          <w:rFonts w:eastAsia="SimSun"/>
          <w:snapToGrid w:val="0"/>
          <w:kern w:val="22"/>
          <w:szCs w:val="22"/>
        </w:rPr>
        <w:t>,</w:t>
      </w:r>
      <w:r w:rsidRPr="00A2656D">
        <w:rPr>
          <w:rFonts w:eastAsia="SimSun"/>
          <w:snapToGrid w:val="0"/>
          <w:kern w:val="22"/>
          <w:szCs w:val="22"/>
        </w:rPr>
        <w:t xml:space="preserve"> therefore</w:t>
      </w:r>
      <w:r w:rsidR="00B065C8" w:rsidRPr="00A2656D">
        <w:rPr>
          <w:rFonts w:eastAsia="SimSun"/>
          <w:snapToGrid w:val="0"/>
          <w:kern w:val="22"/>
          <w:szCs w:val="22"/>
        </w:rPr>
        <w:t>,</w:t>
      </w:r>
      <w:r w:rsidRPr="00A2656D">
        <w:rPr>
          <w:rFonts w:eastAsia="SimSun"/>
          <w:snapToGrid w:val="0"/>
          <w:kern w:val="22"/>
          <w:szCs w:val="22"/>
        </w:rPr>
        <w:t xml:space="preserve"> no information </w:t>
      </w:r>
      <w:r w:rsidR="00B065C8" w:rsidRPr="00A2656D">
        <w:rPr>
          <w:rFonts w:eastAsia="SimSun"/>
          <w:snapToGrid w:val="0"/>
          <w:kern w:val="22"/>
          <w:szCs w:val="22"/>
        </w:rPr>
        <w:t xml:space="preserve">is </w:t>
      </w:r>
      <w:r w:rsidRPr="00A2656D">
        <w:rPr>
          <w:rFonts w:eastAsia="SimSun"/>
          <w:snapToGrid w:val="0"/>
          <w:kern w:val="22"/>
          <w:szCs w:val="22"/>
        </w:rPr>
        <w:t>available for these Parties.</w:t>
      </w:r>
    </w:p>
    <w:p w14:paraId="20FEFCAB" w14:textId="77777777" w:rsidR="00C342D9" w:rsidRPr="00A2656D" w:rsidRDefault="00C342D9" w:rsidP="00561F20">
      <w:pPr>
        <w:suppressLineNumbers/>
        <w:pBdr>
          <w:top w:val="nil"/>
          <w:left w:val="nil"/>
          <w:bottom w:val="nil"/>
          <w:right w:val="nil"/>
          <w:between w:val="nil"/>
          <w:bar w:val="nil"/>
        </w:pBdr>
        <w:suppressAutoHyphens/>
        <w:kinsoku w:val="0"/>
        <w:overflowPunct w:val="0"/>
        <w:autoSpaceDE w:val="0"/>
        <w:autoSpaceDN w:val="0"/>
        <w:rPr>
          <w:rFonts w:eastAsia="SimSun"/>
          <w:snapToGrid w:val="0"/>
          <w:kern w:val="22"/>
          <w:szCs w:val="22"/>
        </w:rPr>
      </w:pPr>
    </w:p>
    <w:p w14:paraId="65E97A71" w14:textId="29D313C9" w:rsidR="00496FC7" w:rsidRPr="00A2656D" w:rsidRDefault="00496FC7" w:rsidP="00561F20">
      <w:pPr>
        <w:keepNext/>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snapToGrid w:val="0"/>
          <w:kern w:val="22"/>
          <w:szCs w:val="22"/>
        </w:rPr>
      </w:pPr>
      <w:r w:rsidRPr="004970FC">
        <w:rPr>
          <w:rFonts w:eastAsia="SimSun"/>
          <w:b/>
          <w:bCs/>
          <w:iCs/>
          <w:snapToGrid w:val="0"/>
          <w:kern w:val="22"/>
          <w:szCs w:val="22"/>
        </w:rPr>
        <w:lastRenderedPageBreak/>
        <w:t xml:space="preserve">Figure 4. Status of progress in the designation of one or more checkpoints (as of </w:t>
      </w:r>
      <w:r w:rsidR="00B40C1C" w:rsidRPr="004970FC">
        <w:rPr>
          <w:rFonts w:eastAsia="SimSun"/>
          <w:b/>
          <w:bCs/>
          <w:iCs/>
          <w:snapToGrid w:val="0"/>
          <w:kern w:val="22"/>
          <w:szCs w:val="22"/>
        </w:rPr>
        <w:t xml:space="preserve">4 </w:t>
      </w:r>
      <w:r w:rsidRPr="004970FC">
        <w:rPr>
          <w:rFonts w:eastAsia="SimSun"/>
          <w:b/>
          <w:bCs/>
          <w:iCs/>
          <w:snapToGrid w:val="0"/>
          <w:kern w:val="22"/>
          <w:szCs w:val="22"/>
        </w:rPr>
        <w:t>March 2020)</w:t>
      </w:r>
    </w:p>
    <w:p w14:paraId="11761E0A" w14:textId="182B769B" w:rsidR="000A6DB2" w:rsidRPr="00A2656D" w:rsidRDefault="00B40C1C" w:rsidP="00561F20">
      <w:pPr>
        <w:suppressLineNumbers/>
        <w:pBdr>
          <w:top w:val="nil"/>
          <w:left w:val="nil"/>
          <w:bottom w:val="nil"/>
          <w:right w:val="nil"/>
          <w:between w:val="nil"/>
          <w:bar w:val="nil"/>
        </w:pBdr>
        <w:suppressAutoHyphens/>
        <w:kinsoku w:val="0"/>
        <w:overflowPunct w:val="0"/>
        <w:autoSpaceDE w:val="0"/>
        <w:autoSpaceDN w:val="0"/>
        <w:spacing w:before="120" w:after="120"/>
        <w:jc w:val="center"/>
        <w:rPr>
          <w:rFonts w:eastAsia="SimSun"/>
          <w:snapToGrid w:val="0"/>
          <w:kern w:val="22"/>
          <w:szCs w:val="22"/>
        </w:rPr>
      </w:pPr>
      <w:r w:rsidRPr="00561F20">
        <w:rPr>
          <w:noProof/>
          <w:kern w:val="22"/>
          <w:szCs w:val="22"/>
        </w:rPr>
        <w:drawing>
          <wp:inline distT="0" distB="0" distL="0" distR="0" wp14:anchorId="1A03199F" wp14:editId="4457EBFE">
            <wp:extent cx="5455920" cy="2672080"/>
            <wp:effectExtent l="0" t="0" r="11430" b="13970"/>
            <wp:docPr id="16" name="Chart 16">
              <a:extLst xmlns:a="http://schemas.openxmlformats.org/drawingml/2006/main">
                <a:ext uri="{FF2B5EF4-FFF2-40B4-BE49-F238E27FC236}">
                  <a16:creationId xmlns:a16="http://schemas.microsoft.com/office/drawing/2014/main" id="{901D1380-B0F2-400C-B84C-BC81036AE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6B17C2" w14:textId="5671CFD4" w:rsidR="000A6DB2" w:rsidRPr="00561F20" w:rsidRDefault="000A6DB2" w:rsidP="00561F20">
      <w:pPr>
        <w:pStyle w:val="ListParagraph"/>
        <w:keepNext/>
        <w:numPr>
          <w:ilvl w:val="0"/>
          <w:numId w:val="23"/>
        </w:numPr>
        <w:suppressLineNumbers/>
        <w:suppressAutoHyphens/>
        <w:kinsoku w:val="0"/>
        <w:overflowPunct w:val="0"/>
        <w:autoSpaceDE w:val="0"/>
        <w:autoSpaceDN w:val="0"/>
        <w:spacing w:before="240" w:after="120"/>
        <w:ind w:left="714" w:hanging="357"/>
        <w:jc w:val="center"/>
        <w:rPr>
          <w:rFonts w:eastAsia="Calibri" w:hAnsi="Times New Roman" w:cs="Times New Roman"/>
          <w:b/>
          <w:bCs/>
          <w:iCs/>
          <w:snapToGrid w:val="0"/>
          <w:kern w:val="22"/>
          <w:lang w:val="en-GB"/>
        </w:rPr>
      </w:pPr>
      <w:r w:rsidRPr="00561F20">
        <w:rPr>
          <w:rFonts w:eastAsia="Calibri" w:hAnsi="Times New Roman" w:cs="Times New Roman"/>
          <w:b/>
          <w:bCs/>
          <w:iCs/>
          <w:snapToGrid w:val="0"/>
          <w:kern w:val="22"/>
          <w:lang w:val="en-GB"/>
        </w:rPr>
        <w:t xml:space="preserve">Publication of information in the </w:t>
      </w:r>
      <w:r w:rsidR="00875F83" w:rsidRPr="00561F20">
        <w:rPr>
          <w:rFonts w:eastAsia="Calibri" w:hAnsi="Times New Roman" w:cs="Times New Roman"/>
          <w:b/>
          <w:bCs/>
          <w:iCs/>
          <w:snapToGrid w:val="0"/>
          <w:kern w:val="22"/>
          <w:lang w:val="en-GB"/>
        </w:rPr>
        <w:t xml:space="preserve">Access and Benefit-sharing </w:t>
      </w:r>
      <w:proofErr w:type="gramStart"/>
      <w:r w:rsidRPr="00561F20">
        <w:rPr>
          <w:rFonts w:eastAsia="Calibri" w:hAnsi="Times New Roman" w:cs="Times New Roman"/>
          <w:b/>
          <w:bCs/>
          <w:iCs/>
          <w:snapToGrid w:val="0"/>
          <w:kern w:val="22"/>
          <w:lang w:val="en-GB"/>
        </w:rPr>
        <w:t>Clearing-House</w:t>
      </w:r>
      <w:proofErr w:type="gramEnd"/>
    </w:p>
    <w:p w14:paraId="567B5B2C" w14:textId="673EE8B5" w:rsidR="000A6DB2" w:rsidRPr="00561F20"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Calibri"/>
          <w:snapToGrid w:val="0"/>
          <w:color w:val="000000"/>
          <w:kern w:val="22"/>
          <w:szCs w:val="22"/>
          <w:u w:color="000000"/>
        </w:rPr>
      </w:pPr>
      <w:r w:rsidRPr="00561F20">
        <w:rPr>
          <w:rFonts w:eastAsia="Calibri"/>
          <w:snapToGrid w:val="0"/>
          <w:color w:val="000000"/>
          <w:kern w:val="22"/>
          <w:szCs w:val="22"/>
          <w:u w:color="000000"/>
        </w:rPr>
        <w:t xml:space="preserve">Article 14 of the Protocol requires Parties to make available to the </w:t>
      </w:r>
      <w:r w:rsidR="005D0B98" w:rsidRPr="00C8173A">
        <w:rPr>
          <w:rFonts w:eastAsia="SimSun"/>
          <w:snapToGrid w:val="0"/>
          <w:kern w:val="22"/>
          <w:szCs w:val="22"/>
        </w:rPr>
        <w:t xml:space="preserve">Access and Benefit-sharing </w:t>
      </w:r>
      <w:r w:rsidRPr="00561F20">
        <w:rPr>
          <w:rFonts w:eastAsia="Calibri"/>
          <w:snapToGrid w:val="0"/>
          <w:color w:val="000000"/>
          <w:kern w:val="22"/>
          <w:szCs w:val="22"/>
          <w:u w:color="000000"/>
        </w:rPr>
        <w:t>Clearing-House the following information: (a)</w:t>
      </w:r>
      <w:r w:rsidR="004C3595" w:rsidRPr="00561F20">
        <w:rPr>
          <w:rFonts w:eastAsia="Calibri"/>
          <w:snapToGrid w:val="0"/>
          <w:color w:val="000000"/>
          <w:kern w:val="22"/>
          <w:szCs w:val="22"/>
          <w:u w:color="000000"/>
        </w:rPr>
        <w:t> </w:t>
      </w:r>
      <w:r w:rsidRPr="00561F20">
        <w:rPr>
          <w:rFonts w:eastAsia="Calibri"/>
          <w:snapToGrid w:val="0"/>
          <w:color w:val="000000"/>
          <w:kern w:val="22"/>
          <w:szCs w:val="22"/>
          <w:u w:color="000000"/>
        </w:rPr>
        <w:t>legislative</w:t>
      </w:r>
      <w:r w:rsidR="0035092D" w:rsidRPr="00561F20">
        <w:rPr>
          <w:rFonts w:eastAsia="Calibri"/>
          <w:snapToGrid w:val="0"/>
          <w:color w:val="000000"/>
          <w:kern w:val="22"/>
          <w:szCs w:val="22"/>
          <w:u w:color="000000"/>
        </w:rPr>
        <w:t>,</w:t>
      </w:r>
      <w:r w:rsidRPr="00561F20">
        <w:rPr>
          <w:rFonts w:eastAsia="Calibri"/>
          <w:snapToGrid w:val="0"/>
          <w:color w:val="000000"/>
          <w:kern w:val="22"/>
          <w:szCs w:val="22"/>
          <w:u w:color="000000"/>
        </w:rPr>
        <w:t xml:space="preserve"> administrative and policy measures on access and benefit-sharing; (b)</w:t>
      </w:r>
      <w:r w:rsidR="004C3595" w:rsidRPr="00561F20">
        <w:rPr>
          <w:rFonts w:eastAsia="Calibri"/>
          <w:snapToGrid w:val="0"/>
          <w:color w:val="000000"/>
          <w:kern w:val="22"/>
          <w:szCs w:val="22"/>
          <w:u w:color="000000"/>
        </w:rPr>
        <w:t> </w:t>
      </w:r>
      <w:r w:rsidRPr="00561F20">
        <w:rPr>
          <w:rFonts w:eastAsia="Calibri"/>
          <w:snapToGrid w:val="0"/>
          <w:color w:val="000000"/>
          <w:kern w:val="22"/>
          <w:szCs w:val="22"/>
          <w:u w:color="000000"/>
        </w:rPr>
        <w:t xml:space="preserve">information on national </w:t>
      </w:r>
      <w:r w:rsidRPr="00561F20">
        <w:rPr>
          <w:rFonts w:eastAsia="SimSun"/>
          <w:snapToGrid w:val="0"/>
          <w:kern w:val="22"/>
          <w:szCs w:val="22"/>
        </w:rPr>
        <w:t>focal</w:t>
      </w:r>
      <w:r w:rsidRPr="00561F20">
        <w:rPr>
          <w:rFonts w:eastAsia="Calibri"/>
          <w:snapToGrid w:val="0"/>
          <w:color w:val="000000"/>
          <w:kern w:val="22"/>
          <w:szCs w:val="22"/>
          <w:u w:color="000000"/>
        </w:rPr>
        <w:t xml:space="preserve"> point and competent national authority</w:t>
      </w:r>
      <w:r w:rsidR="00B82AA8" w:rsidRPr="00561F20">
        <w:rPr>
          <w:rFonts w:eastAsia="Calibri"/>
          <w:snapToGrid w:val="0"/>
          <w:color w:val="000000"/>
          <w:kern w:val="22"/>
          <w:szCs w:val="22"/>
          <w:u w:color="000000"/>
        </w:rPr>
        <w:t xml:space="preserve"> or authorit</w:t>
      </w:r>
      <w:r w:rsidRPr="00561F20">
        <w:rPr>
          <w:rFonts w:eastAsia="Calibri"/>
          <w:snapToGrid w:val="0"/>
          <w:color w:val="000000"/>
          <w:kern w:val="22"/>
          <w:szCs w:val="22"/>
          <w:u w:color="000000"/>
        </w:rPr>
        <w:t>ies; and (c)</w:t>
      </w:r>
      <w:r w:rsidR="004C3595" w:rsidRPr="00561F20">
        <w:rPr>
          <w:rFonts w:eastAsia="Calibri"/>
          <w:snapToGrid w:val="0"/>
          <w:color w:val="000000"/>
          <w:kern w:val="22"/>
          <w:szCs w:val="22"/>
          <w:u w:color="000000"/>
        </w:rPr>
        <w:t> </w:t>
      </w:r>
      <w:r w:rsidRPr="00561F20">
        <w:rPr>
          <w:rFonts w:eastAsia="Calibri"/>
          <w:snapToGrid w:val="0"/>
          <w:color w:val="000000"/>
          <w:kern w:val="22"/>
          <w:szCs w:val="22"/>
          <w:u w:color="000000"/>
        </w:rPr>
        <w:t>permits or their equivalent issued at the time of access as evidence of the decision to grant prior informed consent and of the establishment of mutually agreed terms.</w:t>
      </w:r>
    </w:p>
    <w:p w14:paraId="55657DD3" w14:textId="025F297B" w:rsidR="000A6DB2" w:rsidRPr="00561F20"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Calibri"/>
          <w:snapToGrid w:val="0"/>
          <w:color w:val="000000"/>
          <w:spacing w:val="-2"/>
          <w:kern w:val="22"/>
          <w:szCs w:val="22"/>
          <w:u w:color="000000"/>
        </w:rPr>
      </w:pPr>
      <w:r w:rsidRPr="00561F20">
        <w:rPr>
          <w:rFonts w:eastAsia="Calibri"/>
          <w:snapToGrid w:val="0"/>
          <w:color w:val="000000"/>
          <w:spacing w:val="-2"/>
          <w:kern w:val="22"/>
          <w:szCs w:val="22"/>
          <w:u w:color="000000"/>
        </w:rPr>
        <w:t xml:space="preserve">For the purpose of assessing the status of progress in publishing information in the </w:t>
      </w:r>
      <w:r w:rsidR="00875F83" w:rsidRPr="00561F20">
        <w:rPr>
          <w:rFonts w:eastAsia="SimSun"/>
          <w:snapToGrid w:val="0"/>
          <w:spacing w:val="-2"/>
          <w:kern w:val="22"/>
          <w:szCs w:val="22"/>
        </w:rPr>
        <w:t xml:space="preserve">Access and Benefit-sharing </w:t>
      </w:r>
      <w:r w:rsidRPr="00561F20">
        <w:rPr>
          <w:rFonts w:eastAsia="Calibri"/>
          <w:snapToGrid w:val="0"/>
          <w:color w:val="000000"/>
          <w:spacing w:val="-2"/>
          <w:kern w:val="22"/>
          <w:szCs w:val="22"/>
          <w:u w:color="000000"/>
        </w:rPr>
        <w:t xml:space="preserve">Clearing-House, the </w:t>
      </w:r>
      <w:r w:rsidRPr="00561F20">
        <w:rPr>
          <w:rFonts w:eastAsia="SimSun"/>
          <w:snapToGrid w:val="0"/>
          <w:spacing w:val="-2"/>
          <w:kern w:val="22"/>
          <w:szCs w:val="22"/>
        </w:rPr>
        <w:t>information</w:t>
      </w:r>
      <w:r w:rsidRPr="00561F20">
        <w:rPr>
          <w:rFonts w:eastAsia="Calibri"/>
          <w:snapToGrid w:val="0"/>
          <w:color w:val="000000"/>
          <w:spacing w:val="-2"/>
          <w:kern w:val="22"/>
          <w:szCs w:val="22"/>
          <w:u w:color="000000"/>
        </w:rPr>
        <w:t xml:space="preserve"> on the national focal point has not been included in the analysis, as this information is not made available by Parties through</w:t>
      </w:r>
      <w:r w:rsidR="001811C3" w:rsidRPr="00561F20">
        <w:rPr>
          <w:rFonts w:eastAsia="Calibri"/>
          <w:snapToGrid w:val="0"/>
          <w:color w:val="000000"/>
          <w:spacing w:val="-2"/>
          <w:kern w:val="22"/>
          <w:szCs w:val="22"/>
          <w:u w:color="000000"/>
        </w:rPr>
        <w:t xml:space="preserve"> </w:t>
      </w:r>
      <w:r w:rsidRPr="00561F20">
        <w:rPr>
          <w:rFonts w:eastAsia="Calibri"/>
          <w:snapToGrid w:val="0"/>
          <w:color w:val="000000"/>
          <w:spacing w:val="-2"/>
          <w:kern w:val="22"/>
          <w:szCs w:val="22"/>
          <w:u w:color="000000"/>
        </w:rPr>
        <w:t xml:space="preserve">the </w:t>
      </w:r>
      <w:r w:rsidR="00875F83" w:rsidRPr="00561F20">
        <w:rPr>
          <w:rFonts w:eastAsia="SimSun"/>
          <w:snapToGrid w:val="0"/>
          <w:spacing w:val="-2"/>
          <w:kern w:val="22"/>
          <w:szCs w:val="22"/>
        </w:rPr>
        <w:t xml:space="preserve">Access and Benefit-sharing </w:t>
      </w:r>
      <w:r w:rsidRPr="00561F20">
        <w:rPr>
          <w:rFonts w:eastAsia="Calibri"/>
          <w:snapToGrid w:val="0"/>
          <w:color w:val="000000"/>
          <w:spacing w:val="-2"/>
          <w:kern w:val="22"/>
          <w:szCs w:val="22"/>
          <w:u w:color="000000"/>
        </w:rPr>
        <w:t>Clearing-Ho</w:t>
      </w:r>
      <w:r w:rsidR="002B3DDC" w:rsidRPr="00561F20">
        <w:rPr>
          <w:rFonts w:eastAsia="Calibri"/>
          <w:snapToGrid w:val="0"/>
          <w:color w:val="000000"/>
          <w:spacing w:val="-2"/>
          <w:kern w:val="22"/>
          <w:szCs w:val="22"/>
          <w:u w:color="000000"/>
        </w:rPr>
        <w:t>us</w:t>
      </w:r>
      <w:r w:rsidRPr="00561F20">
        <w:rPr>
          <w:rFonts w:eastAsia="Calibri"/>
          <w:snapToGrid w:val="0"/>
          <w:color w:val="000000"/>
          <w:spacing w:val="-2"/>
          <w:kern w:val="22"/>
          <w:szCs w:val="22"/>
          <w:u w:color="000000"/>
        </w:rPr>
        <w:t>e but through official letters to the Secretariat. However, the publication of information on checkpoints</w:t>
      </w:r>
      <w:r w:rsidR="00E650DB" w:rsidRPr="00561F20">
        <w:rPr>
          <w:rFonts w:eastAsia="Calibri"/>
          <w:snapToGrid w:val="0"/>
          <w:color w:val="000000"/>
          <w:spacing w:val="-2"/>
          <w:kern w:val="22"/>
          <w:szCs w:val="22"/>
          <w:u w:color="000000"/>
        </w:rPr>
        <w:t xml:space="preserve"> has been considered</w:t>
      </w:r>
      <w:r w:rsidRPr="00561F20">
        <w:rPr>
          <w:rFonts w:eastAsia="Calibri"/>
          <w:snapToGrid w:val="0"/>
          <w:color w:val="000000"/>
          <w:spacing w:val="-2"/>
          <w:kern w:val="22"/>
          <w:szCs w:val="22"/>
          <w:u w:color="000000"/>
        </w:rPr>
        <w:t xml:space="preserve">, as this is </w:t>
      </w:r>
      <w:r w:rsidR="00B82AA8" w:rsidRPr="00561F20">
        <w:rPr>
          <w:rFonts w:eastAsia="Calibri"/>
          <w:snapToGrid w:val="0"/>
          <w:color w:val="000000"/>
          <w:spacing w:val="-2"/>
          <w:kern w:val="22"/>
          <w:szCs w:val="22"/>
          <w:u w:color="000000"/>
        </w:rPr>
        <w:t>one of the</w:t>
      </w:r>
      <w:r w:rsidRPr="00561F20">
        <w:rPr>
          <w:rFonts w:eastAsia="Calibri"/>
          <w:snapToGrid w:val="0"/>
          <w:color w:val="000000"/>
          <w:spacing w:val="-2"/>
          <w:kern w:val="22"/>
          <w:szCs w:val="22"/>
          <w:u w:color="000000"/>
        </w:rPr>
        <w:t xml:space="preserve"> key </w:t>
      </w:r>
      <w:r w:rsidR="00B82AA8" w:rsidRPr="00561F20">
        <w:rPr>
          <w:rFonts w:eastAsia="Calibri"/>
          <w:snapToGrid w:val="0"/>
          <w:color w:val="000000"/>
          <w:spacing w:val="-2"/>
          <w:kern w:val="22"/>
          <w:szCs w:val="22"/>
          <w:u w:color="000000"/>
        </w:rPr>
        <w:t xml:space="preserve">measures required by the Protocol in order to monitor and enhance transparency about the utilization </w:t>
      </w:r>
      <w:r w:rsidR="00244DE2" w:rsidRPr="00561F20">
        <w:rPr>
          <w:rFonts w:eastAsia="Calibri"/>
          <w:snapToGrid w:val="0"/>
          <w:color w:val="000000"/>
          <w:spacing w:val="-2"/>
          <w:kern w:val="22"/>
          <w:szCs w:val="22"/>
          <w:u w:color="000000"/>
        </w:rPr>
        <w:t xml:space="preserve">of genetic resources and thereby </w:t>
      </w:r>
      <w:r w:rsidRPr="00561F20">
        <w:rPr>
          <w:rFonts w:eastAsia="Calibri"/>
          <w:snapToGrid w:val="0"/>
          <w:color w:val="000000"/>
          <w:spacing w:val="-2"/>
          <w:kern w:val="22"/>
          <w:szCs w:val="22"/>
          <w:u w:color="000000"/>
        </w:rPr>
        <w:t>operationali</w:t>
      </w:r>
      <w:r w:rsidR="00E650DB" w:rsidRPr="00561F20">
        <w:rPr>
          <w:rFonts w:eastAsia="Calibri"/>
          <w:snapToGrid w:val="0"/>
          <w:color w:val="000000"/>
          <w:spacing w:val="-2"/>
          <w:kern w:val="22"/>
          <w:szCs w:val="22"/>
          <w:u w:color="000000"/>
        </w:rPr>
        <w:t>z</w:t>
      </w:r>
      <w:r w:rsidR="00244DE2" w:rsidRPr="00561F20">
        <w:rPr>
          <w:rFonts w:eastAsia="Calibri"/>
          <w:snapToGrid w:val="0"/>
          <w:color w:val="000000"/>
          <w:spacing w:val="-2"/>
          <w:kern w:val="22"/>
          <w:szCs w:val="22"/>
          <w:u w:color="000000"/>
        </w:rPr>
        <w:t>ing</w:t>
      </w:r>
      <w:r w:rsidRPr="00561F20">
        <w:rPr>
          <w:rFonts w:eastAsia="Calibri"/>
          <w:snapToGrid w:val="0"/>
          <w:color w:val="000000"/>
          <w:spacing w:val="-2"/>
          <w:kern w:val="22"/>
          <w:szCs w:val="22"/>
          <w:u w:color="000000"/>
        </w:rPr>
        <w:t xml:space="preserve"> the Protocol.</w:t>
      </w:r>
    </w:p>
    <w:p w14:paraId="540EEDEA" w14:textId="17C6FAE0" w:rsidR="000A6DB2" w:rsidRPr="00A2656D"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snapToGrid w:val="0"/>
          <w:kern w:val="22"/>
          <w:szCs w:val="22"/>
        </w:rPr>
      </w:pPr>
      <w:r w:rsidRPr="00A2656D">
        <w:rPr>
          <w:snapToGrid w:val="0"/>
          <w:kern w:val="22"/>
          <w:szCs w:val="22"/>
        </w:rPr>
        <w:t xml:space="preserve">The </w:t>
      </w:r>
      <w:r w:rsidRPr="00561F20">
        <w:rPr>
          <w:rFonts w:eastAsia="Calibri"/>
          <w:snapToGrid w:val="0"/>
          <w:color w:val="000000"/>
          <w:kern w:val="22"/>
          <w:szCs w:val="22"/>
          <w:u w:color="000000"/>
        </w:rPr>
        <w:t>following</w:t>
      </w:r>
      <w:r w:rsidRPr="00A2656D">
        <w:rPr>
          <w:snapToGrid w:val="0"/>
          <w:kern w:val="22"/>
          <w:szCs w:val="22"/>
        </w:rPr>
        <w:t xml:space="preserve"> table </w:t>
      </w:r>
      <w:r w:rsidRPr="00561F20">
        <w:rPr>
          <w:rFonts w:eastAsia="SimSun"/>
          <w:snapToGrid w:val="0"/>
          <w:kern w:val="22"/>
          <w:szCs w:val="22"/>
        </w:rPr>
        <w:t>summari</w:t>
      </w:r>
      <w:r w:rsidR="00990876" w:rsidRPr="00561F20">
        <w:rPr>
          <w:rFonts w:eastAsia="SimSun"/>
          <w:snapToGrid w:val="0"/>
          <w:kern w:val="22"/>
          <w:szCs w:val="22"/>
        </w:rPr>
        <w:t>z</w:t>
      </w:r>
      <w:r w:rsidRPr="00561F20">
        <w:rPr>
          <w:rFonts w:eastAsia="SimSun"/>
          <w:snapToGrid w:val="0"/>
          <w:kern w:val="22"/>
          <w:szCs w:val="22"/>
        </w:rPr>
        <w:t>es</w:t>
      </w:r>
      <w:r w:rsidRPr="00A2656D">
        <w:rPr>
          <w:snapToGrid w:val="0"/>
          <w:kern w:val="22"/>
          <w:szCs w:val="22"/>
        </w:rPr>
        <w:t xml:space="preserve"> the information made available to the </w:t>
      </w:r>
      <w:r w:rsidR="000C7254" w:rsidRPr="00A2656D">
        <w:rPr>
          <w:rFonts w:eastAsia="SimSun"/>
          <w:snapToGrid w:val="0"/>
          <w:kern w:val="22"/>
          <w:szCs w:val="22"/>
        </w:rPr>
        <w:t xml:space="preserve">Access and Benefit-sharing </w:t>
      </w:r>
      <w:proofErr w:type="gramStart"/>
      <w:r w:rsidRPr="00A2656D">
        <w:rPr>
          <w:snapToGrid w:val="0"/>
          <w:kern w:val="22"/>
          <w:szCs w:val="22"/>
        </w:rPr>
        <w:t>Clearing-House</w:t>
      </w:r>
      <w:proofErr w:type="gramEnd"/>
      <w:r w:rsidRPr="00A2656D">
        <w:rPr>
          <w:snapToGrid w:val="0"/>
          <w:kern w:val="22"/>
          <w:szCs w:val="22"/>
        </w:rPr>
        <w:t xml:space="preserve"> by Parties as of </w:t>
      </w:r>
      <w:r w:rsidR="00B40C1C" w:rsidRPr="00A2656D">
        <w:rPr>
          <w:snapToGrid w:val="0"/>
          <w:kern w:val="22"/>
          <w:szCs w:val="22"/>
        </w:rPr>
        <w:t>4 March 2020</w:t>
      </w:r>
      <w:r w:rsidRPr="00A2656D">
        <w:rPr>
          <w:snapToGrid w:val="0"/>
          <w:kern w:val="22"/>
          <w:szCs w:val="22"/>
        </w:rPr>
        <w:t>.</w:t>
      </w:r>
    </w:p>
    <w:p w14:paraId="5BCA0F9C" w14:textId="70DDB1FF" w:rsidR="000A6DB2" w:rsidRPr="00561F20" w:rsidRDefault="000A6DB2" w:rsidP="00561F20">
      <w:pPr>
        <w:keepNext/>
        <w:suppressLineNumbers/>
        <w:suppressAutoHyphens/>
        <w:kinsoku w:val="0"/>
        <w:overflowPunct w:val="0"/>
        <w:autoSpaceDE w:val="0"/>
        <w:autoSpaceDN w:val="0"/>
        <w:spacing w:before="240" w:after="120"/>
        <w:ind w:left="851" w:hanging="851"/>
        <w:jc w:val="left"/>
        <w:rPr>
          <w:b/>
          <w:bCs/>
          <w:iCs/>
          <w:snapToGrid w:val="0"/>
          <w:kern w:val="22"/>
          <w:szCs w:val="22"/>
        </w:rPr>
      </w:pPr>
      <w:r w:rsidRPr="00561F20">
        <w:rPr>
          <w:b/>
          <w:bCs/>
          <w:iCs/>
          <w:snapToGrid w:val="0"/>
          <w:kern w:val="22"/>
          <w:szCs w:val="22"/>
        </w:rPr>
        <w:t>Table 1</w:t>
      </w:r>
      <w:r w:rsidR="00996C03" w:rsidRPr="00561F20">
        <w:rPr>
          <w:b/>
          <w:bCs/>
          <w:iCs/>
          <w:snapToGrid w:val="0"/>
          <w:kern w:val="22"/>
          <w:szCs w:val="22"/>
        </w:rPr>
        <w:t>.</w:t>
      </w:r>
      <w:r w:rsidR="00671277" w:rsidRPr="00561F20">
        <w:rPr>
          <w:b/>
          <w:bCs/>
          <w:iCs/>
          <w:snapToGrid w:val="0"/>
          <w:kern w:val="22"/>
          <w:szCs w:val="22"/>
        </w:rPr>
        <w:tab/>
      </w:r>
      <w:r w:rsidRPr="00561F20">
        <w:rPr>
          <w:b/>
          <w:bCs/>
          <w:iCs/>
          <w:snapToGrid w:val="0"/>
          <w:kern w:val="22"/>
          <w:szCs w:val="22"/>
        </w:rPr>
        <w:t>Number of national records made available in the ABS Clearing-House (</w:t>
      </w:r>
      <w:r w:rsidR="00222470" w:rsidRPr="00561F20">
        <w:rPr>
          <w:b/>
          <w:bCs/>
          <w:iCs/>
          <w:snapToGrid w:val="0"/>
          <w:kern w:val="22"/>
          <w:szCs w:val="22"/>
        </w:rPr>
        <w:t xml:space="preserve">comparison </w:t>
      </w:r>
      <w:r w:rsidR="00996C03" w:rsidRPr="00561F20">
        <w:rPr>
          <w:b/>
          <w:bCs/>
          <w:iCs/>
          <w:snapToGrid w:val="0"/>
          <w:kern w:val="22"/>
          <w:szCs w:val="22"/>
        </w:rPr>
        <w:t xml:space="preserve">as of </w:t>
      </w:r>
      <w:r w:rsidR="00B40C1C" w:rsidRPr="00561F20">
        <w:rPr>
          <w:b/>
          <w:bCs/>
          <w:iCs/>
          <w:snapToGrid w:val="0"/>
          <w:kern w:val="22"/>
          <w:szCs w:val="22"/>
        </w:rPr>
        <w:t>4</w:t>
      </w:r>
      <w:r w:rsidR="00671277" w:rsidRPr="00561F20">
        <w:rPr>
          <w:b/>
          <w:bCs/>
          <w:iCs/>
          <w:snapToGrid w:val="0"/>
          <w:kern w:val="22"/>
          <w:szCs w:val="22"/>
        </w:rPr>
        <w:t> </w:t>
      </w:r>
      <w:r w:rsidR="00B40C1C" w:rsidRPr="00561F20">
        <w:rPr>
          <w:b/>
          <w:bCs/>
          <w:iCs/>
          <w:snapToGrid w:val="0"/>
          <w:kern w:val="22"/>
          <w:szCs w:val="22"/>
        </w:rPr>
        <w:t>March 2020</w:t>
      </w:r>
      <w:r w:rsidRPr="00561F20">
        <w:rPr>
          <w:b/>
          <w:bCs/>
          <w:iCs/>
          <w:snapToGrid w:val="0"/>
          <w:kern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2250"/>
        <w:gridCol w:w="3086"/>
      </w:tblGrid>
      <w:tr w:rsidR="000A6DB2" w:rsidRPr="00A2656D" w14:paraId="28179689" w14:textId="77777777" w:rsidTr="00561F20">
        <w:trPr>
          <w:cantSplit/>
          <w:jc w:val="center"/>
        </w:trPr>
        <w:tc>
          <w:tcPr>
            <w:tcW w:w="3731" w:type="dxa"/>
            <w:shd w:val="clear" w:color="auto" w:fill="auto"/>
          </w:tcPr>
          <w:p w14:paraId="71C5B932" w14:textId="77777777" w:rsidR="000A6DB2" w:rsidRPr="00A2656D" w:rsidRDefault="000A6DB2" w:rsidP="00561F20">
            <w:pPr>
              <w:keepNext/>
              <w:suppressLineNumbers/>
              <w:suppressAutoHyphens/>
              <w:kinsoku w:val="0"/>
              <w:overflowPunct w:val="0"/>
              <w:autoSpaceDE w:val="0"/>
              <w:autoSpaceDN w:val="0"/>
              <w:spacing w:before="40" w:after="40"/>
              <w:jc w:val="center"/>
              <w:rPr>
                <w:bCs/>
                <w:i/>
                <w:iCs/>
                <w:snapToGrid w:val="0"/>
                <w:kern w:val="22"/>
                <w:szCs w:val="22"/>
              </w:rPr>
            </w:pPr>
            <w:r w:rsidRPr="00A2656D">
              <w:rPr>
                <w:bCs/>
                <w:i/>
                <w:iCs/>
                <w:snapToGrid w:val="0"/>
                <w:kern w:val="22"/>
                <w:szCs w:val="22"/>
              </w:rPr>
              <w:t>Type of information</w:t>
            </w:r>
          </w:p>
        </w:tc>
        <w:tc>
          <w:tcPr>
            <w:tcW w:w="2250" w:type="dxa"/>
            <w:shd w:val="clear" w:color="auto" w:fill="auto"/>
          </w:tcPr>
          <w:p w14:paraId="495EB816" w14:textId="77777777" w:rsidR="000A6DB2" w:rsidRPr="00A2656D" w:rsidRDefault="000A6DB2" w:rsidP="00561F20">
            <w:pPr>
              <w:keepNext/>
              <w:suppressLineNumbers/>
              <w:suppressAutoHyphens/>
              <w:kinsoku w:val="0"/>
              <w:overflowPunct w:val="0"/>
              <w:autoSpaceDE w:val="0"/>
              <w:autoSpaceDN w:val="0"/>
              <w:spacing w:before="40" w:after="40"/>
              <w:jc w:val="center"/>
              <w:rPr>
                <w:bCs/>
                <w:i/>
                <w:iCs/>
                <w:snapToGrid w:val="0"/>
                <w:kern w:val="22"/>
                <w:szCs w:val="22"/>
              </w:rPr>
            </w:pPr>
            <w:r w:rsidRPr="00A2656D">
              <w:rPr>
                <w:bCs/>
                <w:i/>
                <w:iCs/>
                <w:snapToGrid w:val="0"/>
                <w:kern w:val="22"/>
                <w:szCs w:val="22"/>
              </w:rPr>
              <w:t>Number of records published</w:t>
            </w:r>
          </w:p>
        </w:tc>
        <w:tc>
          <w:tcPr>
            <w:tcW w:w="3086" w:type="dxa"/>
            <w:shd w:val="clear" w:color="auto" w:fill="auto"/>
          </w:tcPr>
          <w:p w14:paraId="51C906D2" w14:textId="354EA6B6" w:rsidR="000A6DB2" w:rsidRPr="00A2656D" w:rsidRDefault="000A6DB2" w:rsidP="00561F20">
            <w:pPr>
              <w:keepNext/>
              <w:suppressLineNumbers/>
              <w:suppressAutoHyphens/>
              <w:kinsoku w:val="0"/>
              <w:overflowPunct w:val="0"/>
              <w:autoSpaceDE w:val="0"/>
              <w:autoSpaceDN w:val="0"/>
              <w:spacing w:before="40" w:after="40"/>
              <w:jc w:val="center"/>
              <w:rPr>
                <w:bCs/>
                <w:i/>
                <w:iCs/>
                <w:snapToGrid w:val="0"/>
                <w:kern w:val="22"/>
                <w:szCs w:val="22"/>
              </w:rPr>
            </w:pPr>
            <w:r w:rsidRPr="00A2656D">
              <w:rPr>
                <w:bCs/>
                <w:i/>
                <w:iCs/>
                <w:snapToGrid w:val="0"/>
                <w:kern w:val="22"/>
                <w:szCs w:val="22"/>
              </w:rPr>
              <w:t xml:space="preserve">Number of Parties that published </w:t>
            </w:r>
            <w:r w:rsidR="00244DE2" w:rsidRPr="00A2656D">
              <w:rPr>
                <w:bCs/>
                <w:i/>
                <w:iCs/>
                <w:snapToGrid w:val="0"/>
                <w:kern w:val="22"/>
                <w:szCs w:val="22"/>
              </w:rPr>
              <w:t xml:space="preserve">the </w:t>
            </w:r>
            <w:r w:rsidRPr="00A2656D">
              <w:rPr>
                <w:bCs/>
                <w:i/>
                <w:iCs/>
                <w:snapToGrid w:val="0"/>
                <w:kern w:val="22"/>
                <w:szCs w:val="22"/>
              </w:rPr>
              <w:t>records</w:t>
            </w:r>
          </w:p>
        </w:tc>
      </w:tr>
      <w:tr w:rsidR="000A6DB2" w:rsidRPr="00A2656D" w14:paraId="3A8CBBF8" w14:textId="77777777" w:rsidTr="00561F20">
        <w:trPr>
          <w:cantSplit/>
          <w:jc w:val="center"/>
        </w:trPr>
        <w:tc>
          <w:tcPr>
            <w:tcW w:w="3731" w:type="dxa"/>
            <w:shd w:val="clear" w:color="auto" w:fill="auto"/>
          </w:tcPr>
          <w:p w14:paraId="2BF6BCFE" w14:textId="77777777" w:rsidR="000A6DB2" w:rsidRPr="00561F20" w:rsidRDefault="000A6DB2" w:rsidP="00561F20">
            <w:pPr>
              <w:keepNext/>
              <w:suppressLineNumbers/>
              <w:suppressAutoHyphens/>
              <w:kinsoku w:val="0"/>
              <w:overflowPunct w:val="0"/>
              <w:autoSpaceDE w:val="0"/>
              <w:autoSpaceDN w:val="0"/>
              <w:spacing w:before="40" w:after="40"/>
              <w:jc w:val="left"/>
              <w:rPr>
                <w:snapToGrid w:val="0"/>
                <w:kern w:val="22"/>
                <w:szCs w:val="22"/>
              </w:rPr>
            </w:pPr>
            <w:r w:rsidRPr="00865472">
              <w:rPr>
                <w:snapToGrid w:val="0"/>
                <w:kern w:val="22"/>
                <w:szCs w:val="22"/>
              </w:rPr>
              <w:t>Competent national authorities</w:t>
            </w:r>
          </w:p>
        </w:tc>
        <w:tc>
          <w:tcPr>
            <w:tcW w:w="2250" w:type="dxa"/>
            <w:shd w:val="clear" w:color="auto" w:fill="auto"/>
            <w:vAlign w:val="bottom"/>
          </w:tcPr>
          <w:p w14:paraId="33BD3118" w14:textId="7950CC79" w:rsidR="000A6DB2" w:rsidRPr="00A2656D" w:rsidRDefault="00B40C1C" w:rsidP="00561F20">
            <w:pPr>
              <w:keepNext/>
              <w:suppressLineNumbers/>
              <w:suppressAutoHyphens/>
              <w:kinsoku w:val="0"/>
              <w:overflowPunct w:val="0"/>
              <w:autoSpaceDE w:val="0"/>
              <w:autoSpaceDN w:val="0"/>
              <w:spacing w:before="40" w:after="40"/>
              <w:ind w:right="919"/>
              <w:jc w:val="right"/>
              <w:rPr>
                <w:snapToGrid w:val="0"/>
                <w:kern w:val="22"/>
                <w:szCs w:val="22"/>
              </w:rPr>
            </w:pPr>
            <w:r w:rsidRPr="00A2656D">
              <w:rPr>
                <w:snapToGrid w:val="0"/>
                <w:kern w:val="22"/>
                <w:szCs w:val="22"/>
              </w:rPr>
              <w:t>112</w:t>
            </w:r>
          </w:p>
        </w:tc>
        <w:tc>
          <w:tcPr>
            <w:tcW w:w="3086" w:type="dxa"/>
            <w:shd w:val="clear" w:color="auto" w:fill="auto"/>
            <w:vAlign w:val="bottom"/>
          </w:tcPr>
          <w:p w14:paraId="7C1130DE" w14:textId="2BC139AA" w:rsidR="000A6DB2" w:rsidRPr="00A2656D" w:rsidRDefault="00B40C1C" w:rsidP="00561F20">
            <w:pPr>
              <w:keepNext/>
              <w:suppressLineNumbers/>
              <w:suppressAutoHyphens/>
              <w:kinsoku w:val="0"/>
              <w:overflowPunct w:val="0"/>
              <w:autoSpaceDE w:val="0"/>
              <w:autoSpaceDN w:val="0"/>
              <w:spacing w:before="40" w:after="40"/>
              <w:ind w:right="1449"/>
              <w:jc w:val="right"/>
              <w:rPr>
                <w:snapToGrid w:val="0"/>
                <w:kern w:val="22"/>
                <w:szCs w:val="22"/>
              </w:rPr>
            </w:pPr>
            <w:r w:rsidRPr="00A2656D">
              <w:rPr>
                <w:snapToGrid w:val="0"/>
                <w:kern w:val="22"/>
                <w:szCs w:val="22"/>
              </w:rPr>
              <w:t>64</w:t>
            </w:r>
          </w:p>
        </w:tc>
      </w:tr>
      <w:tr w:rsidR="000A6DB2" w:rsidRPr="00A2656D" w14:paraId="7E803722" w14:textId="77777777" w:rsidTr="00561F20">
        <w:trPr>
          <w:cantSplit/>
          <w:jc w:val="center"/>
        </w:trPr>
        <w:tc>
          <w:tcPr>
            <w:tcW w:w="3731" w:type="dxa"/>
            <w:shd w:val="clear" w:color="auto" w:fill="auto"/>
          </w:tcPr>
          <w:p w14:paraId="4413F4BB" w14:textId="77777777" w:rsidR="000A6DB2" w:rsidRPr="00561F20" w:rsidRDefault="000A6DB2" w:rsidP="00561F20">
            <w:pPr>
              <w:keepNext/>
              <w:suppressLineNumbers/>
              <w:suppressAutoHyphens/>
              <w:kinsoku w:val="0"/>
              <w:overflowPunct w:val="0"/>
              <w:autoSpaceDE w:val="0"/>
              <w:autoSpaceDN w:val="0"/>
              <w:spacing w:before="40" w:after="40"/>
              <w:jc w:val="left"/>
              <w:rPr>
                <w:snapToGrid w:val="0"/>
                <w:kern w:val="22"/>
                <w:szCs w:val="22"/>
              </w:rPr>
            </w:pPr>
            <w:r w:rsidRPr="00865472">
              <w:rPr>
                <w:snapToGrid w:val="0"/>
                <w:kern w:val="22"/>
                <w:szCs w:val="22"/>
              </w:rPr>
              <w:t>ABS measures</w:t>
            </w:r>
          </w:p>
        </w:tc>
        <w:tc>
          <w:tcPr>
            <w:tcW w:w="2250" w:type="dxa"/>
            <w:shd w:val="clear" w:color="auto" w:fill="auto"/>
            <w:vAlign w:val="bottom"/>
          </w:tcPr>
          <w:p w14:paraId="4CA08964" w14:textId="2ECE0467" w:rsidR="000A6DB2" w:rsidRPr="00A2656D" w:rsidRDefault="00B40C1C" w:rsidP="00561F20">
            <w:pPr>
              <w:keepNext/>
              <w:suppressLineNumbers/>
              <w:suppressAutoHyphens/>
              <w:kinsoku w:val="0"/>
              <w:overflowPunct w:val="0"/>
              <w:autoSpaceDE w:val="0"/>
              <w:autoSpaceDN w:val="0"/>
              <w:spacing w:before="40" w:after="40"/>
              <w:ind w:right="919"/>
              <w:jc w:val="right"/>
              <w:rPr>
                <w:snapToGrid w:val="0"/>
                <w:kern w:val="22"/>
                <w:szCs w:val="22"/>
              </w:rPr>
            </w:pPr>
            <w:r w:rsidRPr="00A2656D">
              <w:rPr>
                <w:snapToGrid w:val="0"/>
                <w:kern w:val="22"/>
                <w:szCs w:val="22"/>
              </w:rPr>
              <w:t>236</w:t>
            </w:r>
          </w:p>
        </w:tc>
        <w:tc>
          <w:tcPr>
            <w:tcW w:w="3086" w:type="dxa"/>
            <w:shd w:val="clear" w:color="auto" w:fill="auto"/>
            <w:vAlign w:val="bottom"/>
          </w:tcPr>
          <w:p w14:paraId="45C3AAE7" w14:textId="308BAE7F" w:rsidR="000A6DB2" w:rsidRPr="00A2656D" w:rsidRDefault="00463FC6" w:rsidP="00561F20">
            <w:pPr>
              <w:keepNext/>
              <w:suppressLineNumbers/>
              <w:suppressAutoHyphens/>
              <w:kinsoku w:val="0"/>
              <w:overflowPunct w:val="0"/>
              <w:autoSpaceDE w:val="0"/>
              <w:autoSpaceDN w:val="0"/>
              <w:spacing w:before="40" w:after="40"/>
              <w:ind w:right="1449"/>
              <w:jc w:val="right"/>
              <w:rPr>
                <w:snapToGrid w:val="0"/>
                <w:kern w:val="22"/>
                <w:szCs w:val="22"/>
              </w:rPr>
            </w:pPr>
            <w:r w:rsidRPr="00A2656D">
              <w:rPr>
                <w:snapToGrid w:val="0"/>
                <w:kern w:val="22"/>
                <w:szCs w:val="22"/>
              </w:rPr>
              <w:t>60</w:t>
            </w:r>
          </w:p>
        </w:tc>
      </w:tr>
      <w:tr w:rsidR="000A6DB2" w:rsidRPr="00A2656D" w14:paraId="4DC97C0E" w14:textId="77777777" w:rsidTr="00561F20">
        <w:trPr>
          <w:cantSplit/>
          <w:jc w:val="center"/>
        </w:trPr>
        <w:tc>
          <w:tcPr>
            <w:tcW w:w="3731" w:type="dxa"/>
            <w:shd w:val="clear" w:color="auto" w:fill="auto"/>
          </w:tcPr>
          <w:p w14:paraId="17CFFDAD" w14:textId="77777777" w:rsidR="000A6DB2" w:rsidRPr="00561F20" w:rsidRDefault="000A6DB2" w:rsidP="00561F20">
            <w:pPr>
              <w:keepNext/>
              <w:suppressLineNumbers/>
              <w:suppressAutoHyphens/>
              <w:kinsoku w:val="0"/>
              <w:overflowPunct w:val="0"/>
              <w:autoSpaceDE w:val="0"/>
              <w:autoSpaceDN w:val="0"/>
              <w:spacing w:before="40" w:after="40"/>
              <w:jc w:val="left"/>
              <w:rPr>
                <w:snapToGrid w:val="0"/>
                <w:kern w:val="22"/>
                <w:szCs w:val="22"/>
              </w:rPr>
            </w:pPr>
            <w:r w:rsidRPr="00865472">
              <w:rPr>
                <w:snapToGrid w:val="0"/>
                <w:kern w:val="22"/>
                <w:szCs w:val="22"/>
              </w:rPr>
              <w:t>Checkpoints</w:t>
            </w:r>
          </w:p>
        </w:tc>
        <w:tc>
          <w:tcPr>
            <w:tcW w:w="2250" w:type="dxa"/>
            <w:shd w:val="clear" w:color="auto" w:fill="auto"/>
            <w:vAlign w:val="bottom"/>
          </w:tcPr>
          <w:p w14:paraId="2143A619" w14:textId="79B2181F" w:rsidR="000A6DB2" w:rsidRPr="00A2656D" w:rsidRDefault="00B40C1C" w:rsidP="00561F20">
            <w:pPr>
              <w:keepNext/>
              <w:suppressLineNumbers/>
              <w:suppressAutoHyphens/>
              <w:kinsoku w:val="0"/>
              <w:overflowPunct w:val="0"/>
              <w:autoSpaceDE w:val="0"/>
              <w:autoSpaceDN w:val="0"/>
              <w:spacing w:before="40" w:after="40"/>
              <w:ind w:right="919"/>
              <w:jc w:val="right"/>
              <w:rPr>
                <w:snapToGrid w:val="0"/>
                <w:kern w:val="22"/>
                <w:szCs w:val="22"/>
              </w:rPr>
            </w:pPr>
            <w:r w:rsidRPr="00A2656D">
              <w:rPr>
                <w:snapToGrid w:val="0"/>
                <w:kern w:val="22"/>
                <w:szCs w:val="22"/>
              </w:rPr>
              <w:t>62</w:t>
            </w:r>
          </w:p>
        </w:tc>
        <w:tc>
          <w:tcPr>
            <w:tcW w:w="3086" w:type="dxa"/>
            <w:shd w:val="clear" w:color="auto" w:fill="auto"/>
            <w:vAlign w:val="bottom"/>
          </w:tcPr>
          <w:p w14:paraId="3B47D52A" w14:textId="4054633C" w:rsidR="000A6DB2" w:rsidRPr="00A2656D" w:rsidRDefault="00B40C1C" w:rsidP="00561F20">
            <w:pPr>
              <w:keepNext/>
              <w:suppressLineNumbers/>
              <w:suppressAutoHyphens/>
              <w:kinsoku w:val="0"/>
              <w:overflowPunct w:val="0"/>
              <w:autoSpaceDE w:val="0"/>
              <w:autoSpaceDN w:val="0"/>
              <w:spacing w:before="40" w:after="40"/>
              <w:ind w:right="1449"/>
              <w:jc w:val="right"/>
              <w:rPr>
                <w:snapToGrid w:val="0"/>
                <w:kern w:val="22"/>
                <w:szCs w:val="22"/>
              </w:rPr>
            </w:pPr>
            <w:r w:rsidRPr="00A2656D">
              <w:rPr>
                <w:snapToGrid w:val="0"/>
                <w:kern w:val="22"/>
                <w:szCs w:val="22"/>
              </w:rPr>
              <w:t>29</w:t>
            </w:r>
          </w:p>
        </w:tc>
      </w:tr>
      <w:tr w:rsidR="000A6DB2" w:rsidRPr="00A2656D" w14:paraId="663E1CAA" w14:textId="77777777" w:rsidTr="00561F20">
        <w:trPr>
          <w:cantSplit/>
          <w:jc w:val="center"/>
        </w:trPr>
        <w:tc>
          <w:tcPr>
            <w:tcW w:w="3731" w:type="dxa"/>
            <w:shd w:val="clear" w:color="auto" w:fill="auto"/>
          </w:tcPr>
          <w:p w14:paraId="45A91015" w14:textId="77777777" w:rsidR="000A6DB2" w:rsidRPr="00561F20" w:rsidRDefault="000A6DB2" w:rsidP="00561F20">
            <w:pPr>
              <w:keepNext/>
              <w:suppressLineNumbers/>
              <w:suppressAutoHyphens/>
              <w:kinsoku w:val="0"/>
              <w:overflowPunct w:val="0"/>
              <w:autoSpaceDE w:val="0"/>
              <w:autoSpaceDN w:val="0"/>
              <w:spacing w:before="40" w:after="40"/>
              <w:jc w:val="left"/>
              <w:rPr>
                <w:snapToGrid w:val="0"/>
                <w:kern w:val="22"/>
                <w:szCs w:val="22"/>
              </w:rPr>
            </w:pPr>
            <w:r w:rsidRPr="00865472">
              <w:rPr>
                <w:snapToGrid w:val="0"/>
                <w:kern w:val="22"/>
                <w:szCs w:val="22"/>
              </w:rPr>
              <w:t>Permits or their equivalent constituting an internationally recognized certificate of compliance</w:t>
            </w:r>
          </w:p>
        </w:tc>
        <w:tc>
          <w:tcPr>
            <w:tcW w:w="2250" w:type="dxa"/>
            <w:shd w:val="clear" w:color="auto" w:fill="auto"/>
            <w:vAlign w:val="bottom"/>
          </w:tcPr>
          <w:p w14:paraId="01DADE28" w14:textId="1772BA5A" w:rsidR="000A6DB2" w:rsidRPr="00A2656D" w:rsidRDefault="00B40C1C" w:rsidP="00561F20">
            <w:pPr>
              <w:keepNext/>
              <w:suppressLineNumbers/>
              <w:suppressAutoHyphens/>
              <w:kinsoku w:val="0"/>
              <w:overflowPunct w:val="0"/>
              <w:autoSpaceDE w:val="0"/>
              <w:autoSpaceDN w:val="0"/>
              <w:spacing w:before="40" w:after="40"/>
              <w:ind w:right="919"/>
              <w:jc w:val="right"/>
              <w:rPr>
                <w:snapToGrid w:val="0"/>
                <w:kern w:val="22"/>
                <w:szCs w:val="22"/>
              </w:rPr>
            </w:pPr>
            <w:r w:rsidRPr="00A2656D">
              <w:rPr>
                <w:snapToGrid w:val="0"/>
                <w:kern w:val="22"/>
                <w:szCs w:val="22"/>
              </w:rPr>
              <w:t>1</w:t>
            </w:r>
            <w:r w:rsidR="00B0091C">
              <w:rPr>
                <w:snapToGrid w:val="0"/>
                <w:kern w:val="22"/>
                <w:szCs w:val="22"/>
              </w:rPr>
              <w:t xml:space="preserve"> </w:t>
            </w:r>
            <w:r w:rsidRPr="00A2656D">
              <w:rPr>
                <w:snapToGrid w:val="0"/>
                <w:kern w:val="22"/>
                <w:szCs w:val="22"/>
              </w:rPr>
              <w:t>211</w:t>
            </w:r>
          </w:p>
        </w:tc>
        <w:tc>
          <w:tcPr>
            <w:tcW w:w="3086" w:type="dxa"/>
            <w:shd w:val="clear" w:color="auto" w:fill="auto"/>
            <w:vAlign w:val="bottom"/>
          </w:tcPr>
          <w:p w14:paraId="448966EB" w14:textId="5B09A3E3" w:rsidR="000A6DB2" w:rsidRPr="00A2656D" w:rsidRDefault="00B40C1C" w:rsidP="00561F20">
            <w:pPr>
              <w:keepNext/>
              <w:suppressLineNumbers/>
              <w:suppressAutoHyphens/>
              <w:kinsoku w:val="0"/>
              <w:overflowPunct w:val="0"/>
              <w:autoSpaceDE w:val="0"/>
              <w:autoSpaceDN w:val="0"/>
              <w:spacing w:before="40" w:after="40"/>
              <w:ind w:right="1449"/>
              <w:jc w:val="right"/>
              <w:rPr>
                <w:snapToGrid w:val="0"/>
                <w:kern w:val="22"/>
                <w:szCs w:val="22"/>
              </w:rPr>
            </w:pPr>
            <w:r w:rsidRPr="00A2656D">
              <w:rPr>
                <w:snapToGrid w:val="0"/>
                <w:kern w:val="22"/>
                <w:szCs w:val="22"/>
              </w:rPr>
              <w:t>21</w:t>
            </w:r>
          </w:p>
        </w:tc>
      </w:tr>
    </w:tbl>
    <w:p w14:paraId="5FA40238" w14:textId="77777777" w:rsidR="00222470" w:rsidRPr="00A2656D" w:rsidRDefault="00222470">
      <w:p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p>
    <w:p w14:paraId="4F07625A" w14:textId="1DE2EF9B" w:rsidR="00222470" w:rsidRPr="00A2656D" w:rsidRDefault="000A6DB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r w:rsidRPr="00A2656D">
        <w:rPr>
          <w:rFonts w:eastAsia="SimSun"/>
          <w:snapToGrid w:val="0"/>
          <w:kern w:val="22"/>
          <w:szCs w:val="22"/>
        </w:rPr>
        <w:t xml:space="preserve">As of </w:t>
      </w:r>
      <w:r w:rsidR="00B40C1C" w:rsidRPr="00A2656D">
        <w:rPr>
          <w:rFonts w:eastAsia="SimSun"/>
          <w:snapToGrid w:val="0"/>
          <w:kern w:val="22"/>
          <w:szCs w:val="22"/>
        </w:rPr>
        <w:t>4 March 2020</w:t>
      </w:r>
      <w:r w:rsidRPr="00A2656D">
        <w:rPr>
          <w:rFonts w:eastAsia="SimSun"/>
          <w:snapToGrid w:val="0"/>
          <w:kern w:val="22"/>
          <w:szCs w:val="22"/>
        </w:rPr>
        <w:t xml:space="preserve">, </w:t>
      </w:r>
      <w:r w:rsidR="00244DE2" w:rsidRPr="00A2656D">
        <w:rPr>
          <w:rFonts w:eastAsia="SimSun"/>
          <w:snapToGrid w:val="0"/>
          <w:kern w:val="22"/>
          <w:szCs w:val="22"/>
        </w:rPr>
        <w:t xml:space="preserve">a total of </w:t>
      </w:r>
      <w:r w:rsidR="00463FC6" w:rsidRPr="00A2656D">
        <w:rPr>
          <w:rFonts w:eastAsia="SimSun"/>
          <w:snapToGrid w:val="0"/>
          <w:kern w:val="22"/>
          <w:szCs w:val="22"/>
        </w:rPr>
        <w:t>73</w:t>
      </w:r>
      <w:r w:rsidR="00C342D9" w:rsidRPr="00A2656D">
        <w:rPr>
          <w:rFonts w:eastAsia="SimSun"/>
          <w:snapToGrid w:val="0"/>
          <w:kern w:val="22"/>
          <w:szCs w:val="22"/>
        </w:rPr>
        <w:t xml:space="preserve"> </w:t>
      </w:r>
      <w:r w:rsidRPr="00A2656D">
        <w:rPr>
          <w:rFonts w:eastAsia="SimSun"/>
          <w:snapToGrid w:val="0"/>
          <w:kern w:val="22"/>
          <w:szCs w:val="22"/>
        </w:rPr>
        <w:t>Parties (</w:t>
      </w:r>
      <w:r w:rsidR="00463FC6" w:rsidRPr="00A2656D">
        <w:rPr>
          <w:rFonts w:eastAsia="SimSun"/>
          <w:snapToGrid w:val="0"/>
          <w:kern w:val="22"/>
          <w:szCs w:val="22"/>
        </w:rPr>
        <w:t>59</w:t>
      </w:r>
      <w:r w:rsidR="00D72DF0" w:rsidRPr="00A2656D">
        <w:rPr>
          <w:rFonts w:eastAsia="SimSun"/>
          <w:snapToGrid w:val="0"/>
          <w:kern w:val="22"/>
          <w:szCs w:val="22"/>
        </w:rPr>
        <w:t xml:space="preserve"> per cent</w:t>
      </w:r>
      <w:r w:rsidRPr="00A2656D">
        <w:rPr>
          <w:rFonts w:eastAsia="SimSun"/>
          <w:snapToGrid w:val="0"/>
          <w:kern w:val="22"/>
          <w:szCs w:val="22"/>
        </w:rPr>
        <w:t>) had published ABS measures, competent national authorities, checkpoints or internationally recogni</w:t>
      </w:r>
      <w:r w:rsidR="00990876" w:rsidRPr="00A2656D">
        <w:rPr>
          <w:rFonts w:eastAsia="SimSun"/>
          <w:snapToGrid w:val="0"/>
          <w:kern w:val="22"/>
          <w:szCs w:val="22"/>
        </w:rPr>
        <w:t>z</w:t>
      </w:r>
      <w:r w:rsidRPr="00A2656D">
        <w:rPr>
          <w:rFonts w:eastAsia="SimSun"/>
          <w:snapToGrid w:val="0"/>
          <w:kern w:val="22"/>
          <w:szCs w:val="22"/>
        </w:rPr>
        <w:t xml:space="preserve">ed certificates of </w:t>
      </w:r>
      <w:r w:rsidRPr="00A2656D">
        <w:rPr>
          <w:snapToGrid w:val="0"/>
          <w:kern w:val="22"/>
          <w:szCs w:val="22"/>
        </w:rPr>
        <w:t>compliance</w:t>
      </w:r>
      <w:r w:rsidRPr="00A2656D">
        <w:rPr>
          <w:rFonts w:eastAsia="SimSun"/>
          <w:snapToGrid w:val="0"/>
          <w:kern w:val="22"/>
          <w:szCs w:val="22"/>
        </w:rPr>
        <w:t xml:space="preserve"> in the </w:t>
      </w:r>
      <w:r w:rsidR="00A75115" w:rsidRPr="00A2656D">
        <w:rPr>
          <w:rFonts w:eastAsia="SimSun"/>
          <w:snapToGrid w:val="0"/>
          <w:kern w:val="22"/>
          <w:szCs w:val="22"/>
        </w:rPr>
        <w:t xml:space="preserve">Access and Benefit-sharing </w:t>
      </w:r>
      <w:proofErr w:type="gramStart"/>
      <w:r w:rsidRPr="00A2656D">
        <w:rPr>
          <w:rFonts w:eastAsia="SimSun"/>
          <w:snapToGrid w:val="0"/>
          <w:kern w:val="22"/>
          <w:szCs w:val="22"/>
        </w:rPr>
        <w:t>Clearing-</w:t>
      </w:r>
      <w:r w:rsidRPr="00A2656D">
        <w:rPr>
          <w:snapToGrid w:val="0"/>
          <w:kern w:val="22"/>
          <w:szCs w:val="22"/>
        </w:rPr>
        <w:t>House</w:t>
      </w:r>
      <w:proofErr w:type="gramEnd"/>
      <w:r w:rsidRPr="00A2656D">
        <w:rPr>
          <w:rFonts w:eastAsia="SimSun"/>
          <w:snapToGrid w:val="0"/>
          <w:kern w:val="22"/>
          <w:szCs w:val="22"/>
        </w:rPr>
        <w:t>.</w:t>
      </w:r>
      <w:r w:rsidR="00222470" w:rsidRPr="00561F20">
        <w:rPr>
          <w:kern w:val="22"/>
          <w:szCs w:val="22"/>
        </w:rPr>
        <w:t xml:space="preserve"> This represents an increase</w:t>
      </w:r>
      <w:r w:rsidR="00244DE2" w:rsidRPr="00561F20">
        <w:rPr>
          <w:kern w:val="22"/>
          <w:szCs w:val="22"/>
        </w:rPr>
        <w:t xml:space="preserve"> from the </w:t>
      </w:r>
      <w:r w:rsidR="00222470" w:rsidRPr="00A2656D">
        <w:rPr>
          <w:rFonts w:eastAsia="SimSun"/>
          <w:snapToGrid w:val="0"/>
          <w:kern w:val="22"/>
          <w:szCs w:val="22"/>
        </w:rPr>
        <w:t>51</w:t>
      </w:r>
      <w:r w:rsidR="00D72DF0" w:rsidRPr="00A2656D">
        <w:rPr>
          <w:rFonts w:eastAsia="SimSun"/>
          <w:snapToGrid w:val="0"/>
          <w:kern w:val="22"/>
          <w:szCs w:val="22"/>
        </w:rPr>
        <w:t xml:space="preserve"> per cent</w:t>
      </w:r>
      <w:r w:rsidR="00222470" w:rsidRPr="00A2656D">
        <w:rPr>
          <w:rFonts w:eastAsia="SimSun"/>
          <w:snapToGrid w:val="0"/>
          <w:kern w:val="22"/>
          <w:szCs w:val="22"/>
        </w:rPr>
        <w:t xml:space="preserve"> of Parties </w:t>
      </w:r>
      <w:r w:rsidR="00244DE2" w:rsidRPr="00A2656D">
        <w:rPr>
          <w:rFonts w:eastAsia="SimSun"/>
          <w:snapToGrid w:val="0"/>
          <w:kern w:val="22"/>
          <w:szCs w:val="22"/>
        </w:rPr>
        <w:t xml:space="preserve">that were </w:t>
      </w:r>
      <w:r w:rsidR="00244DE2" w:rsidRPr="00A2656D">
        <w:rPr>
          <w:rFonts w:eastAsia="SimSun"/>
          <w:snapToGrid w:val="0"/>
          <w:kern w:val="22"/>
          <w:szCs w:val="22"/>
        </w:rPr>
        <w:lastRenderedPageBreak/>
        <w:t xml:space="preserve">reported, by 22 February 2018, to have </w:t>
      </w:r>
      <w:r w:rsidR="00222470" w:rsidRPr="00A2656D">
        <w:rPr>
          <w:rFonts w:eastAsia="SimSun"/>
          <w:snapToGrid w:val="0"/>
          <w:kern w:val="22"/>
          <w:szCs w:val="22"/>
        </w:rPr>
        <w:t xml:space="preserve">had published information in the </w:t>
      </w:r>
      <w:r w:rsidR="00A75115" w:rsidRPr="00A2656D">
        <w:rPr>
          <w:rFonts w:eastAsia="SimSun"/>
          <w:snapToGrid w:val="0"/>
          <w:kern w:val="22"/>
          <w:szCs w:val="22"/>
        </w:rPr>
        <w:t xml:space="preserve">Access and Benefit-sharing </w:t>
      </w:r>
      <w:proofErr w:type="gramStart"/>
      <w:r w:rsidR="00222470" w:rsidRPr="00A2656D">
        <w:rPr>
          <w:rFonts w:eastAsia="SimSun"/>
          <w:snapToGrid w:val="0"/>
          <w:kern w:val="22"/>
          <w:szCs w:val="22"/>
        </w:rPr>
        <w:t>Clearing-House</w:t>
      </w:r>
      <w:proofErr w:type="gramEnd"/>
      <w:r w:rsidR="00222470" w:rsidRPr="00A2656D">
        <w:rPr>
          <w:rFonts w:eastAsia="SimSun"/>
          <w:snapToGrid w:val="0"/>
          <w:kern w:val="22"/>
          <w:szCs w:val="22"/>
        </w:rPr>
        <w:t>. In particular</w:t>
      </w:r>
      <w:r w:rsidR="00244DE2" w:rsidRPr="00A2656D">
        <w:rPr>
          <w:rFonts w:eastAsia="SimSun"/>
          <w:snapToGrid w:val="0"/>
          <w:kern w:val="22"/>
          <w:szCs w:val="22"/>
        </w:rPr>
        <w:t>,</w:t>
      </w:r>
      <w:r w:rsidR="00222470" w:rsidRPr="00A2656D">
        <w:rPr>
          <w:rFonts w:eastAsia="SimSun"/>
          <w:snapToGrid w:val="0"/>
          <w:kern w:val="22"/>
          <w:szCs w:val="22"/>
        </w:rPr>
        <w:t xml:space="preserve"> the number of internationally recogni</w:t>
      </w:r>
      <w:r w:rsidR="00A75115" w:rsidRPr="00A2656D">
        <w:rPr>
          <w:rFonts w:eastAsia="SimSun"/>
          <w:snapToGrid w:val="0"/>
          <w:kern w:val="22"/>
          <w:szCs w:val="22"/>
        </w:rPr>
        <w:t>z</w:t>
      </w:r>
      <w:r w:rsidR="00222470" w:rsidRPr="00A2656D">
        <w:rPr>
          <w:rFonts w:eastAsia="SimSun"/>
          <w:snapToGrid w:val="0"/>
          <w:kern w:val="22"/>
          <w:szCs w:val="22"/>
        </w:rPr>
        <w:t>ed certificates of compliance has grown substantially from a total of 146 certificates published by 12 Parties in February 2018 to 1</w:t>
      </w:r>
      <w:r w:rsidR="008E79F7">
        <w:rPr>
          <w:rFonts w:eastAsia="SimSun"/>
          <w:snapToGrid w:val="0"/>
          <w:kern w:val="22"/>
          <w:szCs w:val="22"/>
        </w:rPr>
        <w:t>,</w:t>
      </w:r>
      <w:r w:rsidR="00222470" w:rsidRPr="00A2656D">
        <w:rPr>
          <w:rFonts w:eastAsia="SimSun"/>
          <w:snapToGrid w:val="0"/>
          <w:kern w:val="22"/>
          <w:szCs w:val="22"/>
        </w:rPr>
        <w:t xml:space="preserve">211 certificates published by 21 Parties </w:t>
      </w:r>
      <w:r w:rsidR="00244DE2" w:rsidRPr="00A2656D">
        <w:rPr>
          <w:rFonts w:eastAsia="SimSun"/>
          <w:snapToGrid w:val="0"/>
          <w:kern w:val="22"/>
          <w:szCs w:val="22"/>
        </w:rPr>
        <w:t>as of</w:t>
      </w:r>
      <w:r w:rsidR="00222470" w:rsidRPr="00A2656D">
        <w:rPr>
          <w:rFonts w:eastAsia="SimSun"/>
          <w:snapToGrid w:val="0"/>
          <w:kern w:val="22"/>
          <w:szCs w:val="22"/>
        </w:rPr>
        <w:t xml:space="preserve"> March 2020.</w:t>
      </w:r>
    </w:p>
    <w:p w14:paraId="1A956C00" w14:textId="7357A7EE" w:rsidR="00222470" w:rsidRPr="00A2656D" w:rsidRDefault="000C6D16"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rFonts w:eastAsia="SimSun"/>
          <w:snapToGrid w:val="0"/>
          <w:kern w:val="22"/>
          <w:szCs w:val="22"/>
        </w:rPr>
      </w:pPr>
      <w:r w:rsidRPr="00561F20">
        <w:rPr>
          <w:rFonts w:eastAsia="SimSun"/>
          <w:snapToGrid w:val="0"/>
          <w:spacing w:val="-2"/>
          <w:kern w:val="22"/>
          <w:szCs w:val="22"/>
        </w:rPr>
        <w:t xml:space="preserve">A total of </w:t>
      </w:r>
      <w:r w:rsidR="006F0D6F" w:rsidRPr="00561F20">
        <w:rPr>
          <w:rFonts w:eastAsia="SimSun"/>
          <w:snapToGrid w:val="0"/>
          <w:spacing w:val="-2"/>
          <w:kern w:val="22"/>
          <w:szCs w:val="22"/>
        </w:rPr>
        <w:t>49</w:t>
      </w:r>
      <w:r w:rsidR="00C342D9" w:rsidRPr="00561F20">
        <w:rPr>
          <w:rFonts w:eastAsia="SimSun"/>
          <w:snapToGrid w:val="0"/>
          <w:spacing w:val="-2"/>
          <w:kern w:val="22"/>
          <w:szCs w:val="22"/>
        </w:rPr>
        <w:t xml:space="preserve"> </w:t>
      </w:r>
      <w:r w:rsidR="000A6DB2" w:rsidRPr="00561F20">
        <w:rPr>
          <w:rFonts w:eastAsia="SimSun"/>
          <w:snapToGrid w:val="0"/>
          <w:spacing w:val="-2"/>
          <w:kern w:val="22"/>
          <w:szCs w:val="22"/>
        </w:rPr>
        <w:t>Parties indicated in the</w:t>
      </w:r>
      <w:r w:rsidR="00244DE2" w:rsidRPr="00561F20">
        <w:rPr>
          <w:rFonts w:eastAsia="SimSun"/>
          <w:snapToGrid w:val="0"/>
          <w:spacing w:val="-2"/>
          <w:kern w:val="22"/>
          <w:szCs w:val="22"/>
        </w:rPr>
        <w:t>ir</w:t>
      </w:r>
      <w:r w:rsidR="000A6DB2" w:rsidRPr="00561F20">
        <w:rPr>
          <w:rFonts w:eastAsia="SimSun"/>
          <w:snapToGrid w:val="0"/>
          <w:spacing w:val="-2"/>
          <w:kern w:val="22"/>
          <w:szCs w:val="22"/>
        </w:rPr>
        <w:t xml:space="preserve"> interim national report, NBSAP or </w:t>
      </w:r>
      <w:r w:rsidR="002F7529" w:rsidRPr="00561F20">
        <w:rPr>
          <w:rFonts w:eastAsia="SimSun"/>
          <w:snapToGrid w:val="0"/>
          <w:spacing w:val="-2"/>
          <w:kern w:val="22"/>
          <w:szCs w:val="22"/>
        </w:rPr>
        <w:t>fifth/</w:t>
      </w:r>
      <w:r w:rsidR="002B3DDC" w:rsidRPr="00561F20">
        <w:rPr>
          <w:rFonts w:eastAsia="SimSun"/>
          <w:snapToGrid w:val="0"/>
          <w:spacing w:val="-2"/>
          <w:kern w:val="22"/>
          <w:szCs w:val="22"/>
        </w:rPr>
        <w:t>six</w:t>
      </w:r>
      <w:r w:rsidR="000A6DB2" w:rsidRPr="00561F20">
        <w:rPr>
          <w:rFonts w:eastAsia="SimSun"/>
          <w:snapToGrid w:val="0"/>
          <w:spacing w:val="-2"/>
          <w:kern w:val="22"/>
          <w:szCs w:val="22"/>
        </w:rPr>
        <w:t xml:space="preserve">th national report having ABS measures, competent national authorities, checkpoints or permits or their equivalents that </w:t>
      </w:r>
      <w:r w:rsidR="002A4873" w:rsidRPr="00561F20">
        <w:rPr>
          <w:rFonts w:eastAsia="SimSun"/>
          <w:snapToGrid w:val="0"/>
          <w:spacing w:val="-2"/>
          <w:kern w:val="22"/>
          <w:szCs w:val="22"/>
        </w:rPr>
        <w:t xml:space="preserve">had </w:t>
      </w:r>
      <w:r w:rsidR="000A6DB2" w:rsidRPr="00561F20">
        <w:rPr>
          <w:rFonts w:eastAsia="SimSun"/>
          <w:snapToGrid w:val="0"/>
          <w:spacing w:val="-2"/>
          <w:kern w:val="22"/>
          <w:szCs w:val="22"/>
        </w:rPr>
        <w:t xml:space="preserve">not yet been made available to the </w:t>
      </w:r>
      <w:r w:rsidR="00334E4E" w:rsidRPr="00561F20">
        <w:rPr>
          <w:rFonts w:eastAsia="SimSun"/>
          <w:snapToGrid w:val="0"/>
          <w:spacing w:val="-2"/>
          <w:kern w:val="22"/>
          <w:szCs w:val="22"/>
        </w:rPr>
        <w:t xml:space="preserve">Access and Benefit-sharing </w:t>
      </w:r>
      <w:proofErr w:type="gramStart"/>
      <w:r w:rsidR="000A6DB2" w:rsidRPr="00561F20">
        <w:rPr>
          <w:rFonts w:eastAsia="SimSun"/>
          <w:snapToGrid w:val="0"/>
          <w:spacing w:val="-2"/>
          <w:kern w:val="22"/>
          <w:szCs w:val="22"/>
        </w:rPr>
        <w:t>Clearing-House</w:t>
      </w:r>
      <w:proofErr w:type="gramEnd"/>
      <w:r w:rsidR="000A6DB2" w:rsidRPr="00561F20">
        <w:rPr>
          <w:rFonts w:eastAsia="SimSun"/>
          <w:snapToGrid w:val="0"/>
          <w:spacing w:val="-2"/>
          <w:kern w:val="22"/>
          <w:szCs w:val="22"/>
        </w:rPr>
        <w:t>. With regard to permits, 11</w:t>
      </w:r>
      <w:r w:rsidR="00301881" w:rsidRPr="00561F20">
        <w:rPr>
          <w:rFonts w:eastAsia="SimSun"/>
          <w:snapToGrid w:val="0"/>
          <w:spacing w:val="-2"/>
          <w:kern w:val="22"/>
          <w:szCs w:val="22"/>
        </w:rPr>
        <w:t> </w:t>
      </w:r>
      <w:r w:rsidR="000A6DB2" w:rsidRPr="00561F20">
        <w:rPr>
          <w:rFonts w:eastAsia="SimSun"/>
          <w:snapToGrid w:val="0"/>
          <w:spacing w:val="-2"/>
          <w:kern w:val="22"/>
          <w:szCs w:val="22"/>
        </w:rPr>
        <w:t xml:space="preserve">Parties indicated that they </w:t>
      </w:r>
      <w:r w:rsidR="005C4586" w:rsidRPr="00561F20">
        <w:rPr>
          <w:rFonts w:eastAsia="SimSun"/>
          <w:snapToGrid w:val="0"/>
          <w:spacing w:val="-2"/>
          <w:kern w:val="22"/>
          <w:szCs w:val="22"/>
        </w:rPr>
        <w:t xml:space="preserve">had </w:t>
      </w:r>
      <w:r w:rsidR="000A6DB2" w:rsidRPr="00561F20">
        <w:rPr>
          <w:rFonts w:eastAsia="SimSun"/>
          <w:snapToGrid w:val="0"/>
          <w:spacing w:val="-2"/>
          <w:kern w:val="22"/>
          <w:szCs w:val="22"/>
        </w:rPr>
        <w:t xml:space="preserve">permits to make available to the </w:t>
      </w:r>
      <w:r w:rsidR="00334E4E" w:rsidRPr="00561F20">
        <w:rPr>
          <w:rFonts w:eastAsia="SimSun"/>
          <w:snapToGrid w:val="0"/>
          <w:spacing w:val="-2"/>
          <w:kern w:val="22"/>
          <w:szCs w:val="22"/>
        </w:rPr>
        <w:t xml:space="preserve">Access and Benefit-sharing </w:t>
      </w:r>
      <w:proofErr w:type="gramStart"/>
      <w:r w:rsidR="000A6DB2" w:rsidRPr="00561F20">
        <w:rPr>
          <w:rFonts w:eastAsia="SimSun"/>
          <w:snapToGrid w:val="0"/>
          <w:spacing w:val="-2"/>
          <w:kern w:val="22"/>
          <w:szCs w:val="22"/>
        </w:rPr>
        <w:t>Clearing-House</w:t>
      </w:r>
      <w:proofErr w:type="gramEnd"/>
      <w:r w:rsidR="000A6DB2" w:rsidRPr="00561F20">
        <w:rPr>
          <w:rFonts w:eastAsia="SimSun"/>
          <w:snapToGrid w:val="0"/>
          <w:spacing w:val="-2"/>
          <w:kern w:val="22"/>
          <w:szCs w:val="22"/>
        </w:rPr>
        <w:t>.</w:t>
      </w:r>
    </w:p>
    <w:p w14:paraId="3B53C81F" w14:textId="04D2408A" w:rsidR="007F0F6A" w:rsidRPr="00A2656D" w:rsidRDefault="007F0F6A" w:rsidP="00561F20">
      <w:pPr>
        <w:keepNext/>
        <w:suppressLineNumbers/>
        <w:pBdr>
          <w:top w:val="nil"/>
          <w:left w:val="nil"/>
          <w:bottom w:val="nil"/>
          <w:right w:val="nil"/>
          <w:between w:val="nil"/>
          <w:bar w:val="nil"/>
        </w:pBdr>
        <w:suppressAutoHyphens/>
        <w:kinsoku w:val="0"/>
        <w:overflowPunct w:val="0"/>
        <w:autoSpaceDE w:val="0"/>
        <w:autoSpaceDN w:val="0"/>
        <w:spacing w:before="240" w:after="120"/>
        <w:ind w:left="2127" w:right="1100" w:hanging="1004"/>
        <w:jc w:val="left"/>
        <w:rPr>
          <w:rFonts w:eastAsia="SimSun"/>
          <w:b/>
          <w:bCs/>
          <w:snapToGrid w:val="0"/>
          <w:kern w:val="22"/>
          <w:szCs w:val="22"/>
        </w:rPr>
      </w:pPr>
      <w:r w:rsidRPr="00A2656D">
        <w:rPr>
          <w:rFonts w:eastAsia="SimSun"/>
          <w:b/>
          <w:bCs/>
          <w:snapToGrid w:val="0"/>
          <w:kern w:val="22"/>
          <w:szCs w:val="22"/>
        </w:rPr>
        <w:t>Figure 5.</w:t>
      </w:r>
      <w:r w:rsidR="00301881">
        <w:rPr>
          <w:rFonts w:eastAsia="SimSun"/>
          <w:b/>
          <w:bCs/>
          <w:snapToGrid w:val="0"/>
          <w:kern w:val="22"/>
          <w:szCs w:val="22"/>
        </w:rPr>
        <w:tab/>
      </w:r>
      <w:r w:rsidRPr="00A2656D">
        <w:rPr>
          <w:rFonts w:eastAsia="SimSun"/>
          <w:b/>
          <w:bCs/>
          <w:snapToGrid w:val="0"/>
          <w:kern w:val="22"/>
          <w:szCs w:val="22"/>
        </w:rPr>
        <w:t xml:space="preserve">Status </w:t>
      </w:r>
      <w:r w:rsidRPr="00561F20">
        <w:rPr>
          <w:b/>
          <w:bCs/>
          <w:iCs/>
          <w:kern w:val="22"/>
          <w:szCs w:val="22"/>
        </w:rPr>
        <w:t xml:space="preserve">of progress in publishing information in the ABS Clearing-House </w:t>
      </w:r>
      <w:r w:rsidRPr="00A2656D">
        <w:rPr>
          <w:rFonts w:eastAsia="SimSun"/>
          <w:b/>
          <w:bCs/>
          <w:snapToGrid w:val="0"/>
          <w:kern w:val="22"/>
          <w:szCs w:val="22"/>
        </w:rPr>
        <w:t>(as of 4 March 2020)</w:t>
      </w:r>
    </w:p>
    <w:p w14:paraId="091E17C5" w14:textId="61F89CE0" w:rsidR="00FC5E53" w:rsidRPr="00561F20" w:rsidRDefault="00FC5E53">
      <w:pPr>
        <w:pStyle w:val="Para1"/>
        <w:keepNext/>
        <w:numPr>
          <w:ilvl w:val="0"/>
          <w:numId w:val="0"/>
        </w:numPr>
        <w:suppressLineNumbers/>
        <w:suppressAutoHyphens/>
        <w:kinsoku w:val="0"/>
        <w:overflowPunct w:val="0"/>
        <w:autoSpaceDE w:val="0"/>
        <w:autoSpaceDN w:val="0"/>
        <w:jc w:val="center"/>
        <w:rPr>
          <w:b/>
          <w:bCs/>
          <w:iCs/>
          <w:kern w:val="22"/>
          <w:szCs w:val="22"/>
        </w:rPr>
      </w:pPr>
      <w:r w:rsidRPr="00561F20">
        <w:rPr>
          <w:noProof/>
          <w:kern w:val="22"/>
          <w:szCs w:val="22"/>
        </w:rPr>
        <w:drawing>
          <wp:inline distT="0" distB="0" distL="0" distR="0" wp14:anchorId="19A71DB3" wp14:editId="485C3A29">
            <wp:extent cx="4638675" cy="2476500"/>
            <wp:effectExtent l="0" t="0" r="9525" b="0"/>
            <wp:docPr id="17" name="Chart 17">
              <a:extLst xmlns:a="http://schemas.openxmlformats.org/drawingml/2006/main">
                <a:ext uri="{FF2B5EF4-FFF2-40B4-BE49-F238E27FC236}">
                  <a16:creationId xmlns:a16="http://schemas.microsoft.com/office/drawing/2014/main" id="{39AC6A53-375F-4503-A5AA-83765CD4D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5E32289" w14:textId="49D799F4" w:rsidR="001571FF" w:rsidRPr="00561F20" w:rsidRDefault="00671277" w:rsidP="00561F20">
      <w:pPr>
        <w:pStyle w:val="Heading1"/>
        <w:numPr>
          <w:ilvl w:val="0"/>
          <w:numId w:val="14"/>
        </w:numPr>
        <w:suppressLineNumbers/>
        <w:tabs>
          <w:tab w:val="clear" w:pos="720"/>
        </w:tabs>
        <w:suppressAutoHyphens/>
        <w:kinsoku w:val="0"/>
        <w:overflowPunct w:val="0"/>
        <w:autoSpaceDE w:val="0"/>
        <w:autoSpaceDN w:val="0"/>
        <w:ind w:left="1077"/>
        <w:jc w:val="left"/>
        <w:rPr>
          <w:bCs/>
          <w:snapToGrid w:val="0"/>
          <w:kern w:val="22"/>
          <w:szCs w:val="22"/>
        </w:rPr>
      </w:pPr>
      <w:r w:rsidRPr="00561F20">
        <w:rPr>
          <w:bCs/>
          <w:snapToGrid w:val="0"/>
          <w:kern w:val="22"/>
          <w:szCs w:val="22"/>
        </w:rPr>
        <w:t>Promoting compliance with the Nagoya Protocol within the global biodiversity framework</w:t>
      </w:r>
    </w:p>
    <w:p w14:paraId="7ED1924A" w14:textId="4D59E003" w:rsidR="001571FF" w:rsidRPr="004970FC" w:rsidRDefault="001571FF"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kern w:val="22"/>
          <w:szCs w:val="22"/>
        </w:rPr>
      </w:pPr>
      <w:r w:rsidRPr="00A2656D">
        <w:rPr>
          <w:kern w:val="22"/>
          <w:szCs w:val="22"/>
        </w:rPr>
        <w:t xml:space="preserve">The </w:t>
      </w:r>
      <w:r w:rsidR="00CD4119" w:rsidRPr="00A2656D">
        <w:rPr>
          <w:kern w:val="22"/>
          <w:szCs w:val="22"/>
        </w:rPr>
        <w:t xml:space="preserve">Conference of the </w:t>
      </w:r>
      <w:r w:rsidR="00CD4119" w:rsidRPr="00561F20">
        <w:rPr>
          <w:rFonts w:eastAsia="SimSun"/>
          <w:snapToGrid w:val="0"/>
          <w:kern w:val="22"/>
          <w:szCs w:val="22"/>
        </w:rPr>
        <w:t>Parties</w:t>
      </w:r>
      <w:r w:rsidR="00CD4119" w:rsidRPr="00561F20">
        <w:rPr>
          <w:kern w:val="22"/>
          <w:szCs w:val="22"/>
        </w:rPr>
        <w:t xml:space="preserve"> serving as the </w:t>
      </w:r>
      <w:r w:rsidRPr="00561F20">
        <w:rPr>
          <w:kern w:val="22"/>
          <w:szCs w:val="22"/>
        </w:rPr>
        <w:t>meeting of the Parties</w:t>
      </w:r>
      <w:r w:rsidR="00CD4119" w:rsidRPr="00561F20">
        <w:rPr>
          <w:kern w:val="22"/>
          <w:szCs w:val="22"/>
        </w:rPr>
        <w:t xml:space="preserve"> to the Nagoya Protocol</w:t>
      </w:r>
      <w:r w:rsidRPr="00561F20">
        <w:rPr>
          <w:kern w:val="22"/>
          <w:szCs w:val="22"/>
        </w:rPr>
        <w:t xml:space="preserve">, in </w:t>
      </w:r>
      <w:r w:rsidR="00CD4119" w:rsidRPr="00561F20">
        <w:rPr>
          <w:kern w:val="22"/>
          <w:szCs w:val="22"/>
        </w:rPr>
        <w:t xml:space="preserve">its </w:t>
      </w:r>
      <w:r w:rsidRPr="00561F20">
        <w:rPr>
          <w:kern w:val="22"/>
          <w:szCs w:val="22"/>
        </w:rPr>
        <w:t xml:space="preserve">decision NP-3/15 on the preparation for the follow-up to the Strategic Plan for Biodiversity 2011-2020, requested that the Compliance Committee at its next meeting </w:t>
      </w:r>
      <w:r w:rsidRPr="00A2656D">
        <w:rPr>
          <w:snapToGrid w:val="0"/>
          <w:kern w:val="22"/>
          <w:szCs w:val="22"/>
        </w:rPr>
        <w:t>consider</w:t>
      </w:r>
      <w:r w:rsidRPr="004970FC">
        <w:rPr>
          <w:kern w:val="22"/>
          <w:szCs w:val="22"/>
        </w:rPr>
        <w:t xml:space="preserve"> how to support and promote compliance with the Nagoya Protocol within the post-2020 global biodiversity framework (para</w:t>
      </w:r>
      <w:r w:rsidR="00F32747" w:rsidRPr="004970FC">
        <w:rPr>
          <w:kern w:val="22"/>
          <w:szCs w:val="22"/>
        </w:rPr>
        <w:t>.</w:t>
      </w:r>
      <w:r w:rsidR="00CE0F2A">
        <w:rPr>
          <w:kern w:val="22"/>
          <w:szCs w:val="22"/>
        </w:rPr>
        <w:t> </w:t>
      </w:r>
      <w:r w:rsidRPr="004970FC">
        <w:rPr>
          <w:kern w:val="22"/>
          <w:szCs w:val="22"/>
        </w:rPr>
        <w:t>5).</w:t>
      </w:r>
    </w:p>
    <w:p w14:paraId="302D2835" w14:textId="635508F7" w:rsidR="002E1AF3" w:rsidRPr="00561F20" w:rsidRDefault="000F3B38"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spacing w:val="-2"/>
          <w:kern w:val="22"/>
          <w:szCs w:val="22"/>
        </w:rPr>
      </w:pPr>
      <w:r w:rsidRPr="00561F20">
        <w:rPr>
          <w:spacing w:val="-2"/>
          <w:kern w:val="22"/>
          <w:szCs w:val="22"/>
        </w:rPr>
        <w:t xml:space="preserve">The Parties </w:t>
      </w:r>
      <w:r w:rsidR="00052991" w:rsidRPr="00561F20">
        <w:rPr>
          <w:spacing w:val="-2"/>
          <w:kern w:val="22"/>
          <w:szCs w:val="22"/>
        </w:rPr>
        <w:t xml:space="preserve">to the Protocol </w:t>
      </w:r>
      <w:r w:rsidRPr="00561F20">
        <w:rPr>
          <w:spacing w:val="-2"/>
          <w:kern w:val="22"/>
          <w:szCs w:val="22"/>
        </w:rPr>
        <w:t xml:space="preserve">also </w:t>
      </w:r>
      <w:r w:rsidRPr="00561F20">
        <w:rPr>
          <w:rFonts w:eastAsia="SimSun"/>
          <w:snapToGrid w:val="0"/>
          <w:spacing w:val="-2"/>
          <w:kern w:val="22"/>
          <w:szCs w:val="22"/>
        </w:rPr>
        <w:t>welcomed</w:t>
      </w:r>
      <w:r w:rsidRPr="00561F20">
        <w:rPr>
          <w:spacing w:val="-2"/>
          <w:kern w:val="22"/>
          <w:szCs w:val="22"/>
        </w:rPr>
        <w:t xml:space="preserve"> the decision by the Conference of the Parties as regards the post-2020 biodiversity development process (decision </w:t>
      </w:r>
      <w:hyperlink r:id="rId25" w:history="1">
        <w:r w:rsidRPr="00561F20">
          <w:rPr>
            <w:rStyle w:val="Hyperlink"/>
            <w:spacing w:val="-2"/>
            <w:kern w:val="22"/>
            <w:sz w:val="22"/>
            <w:szCs w:val="22"/>
          </w:rPr>
          <w:t>14/34</w:t>
        </w:r>
      </w:hyperlink>
      <w:r w:rsidRPr="00561F20">
        <w:rPr>
          <w:spacing w:val="-2"/>
          <w:kern w:val="22"/>
          <w:szCs w:val="22"/>
        </w:rPr>
        <w:t xml:space="preserve">) and invited Parties to the Protocol to participate in the process, and encouraged them to undertake measures to enhance implementation of the Nagoya Protocol on Access and Benefit-sharing in the context of the post-2020 global biodiversity framework. In response to decision NP-3/15, </w:t>
      </w:r>
      <w:r w:rsidR="00382F6B">
        <w:rPr>
          <w:spacing w:val="-2"/>
          <w:kern w:val="22"/>
          <w:szCs w:val="22"/>
        </w:rPr>
        <w:t>the Global</w:t>
      </w:r>
      <w:r w:rsidRPr="00561F20">
        <w:rPr>
          <w:spacing w:val="-2"/>
          <w:kern w:val="22"/>
          <w:szCs w:val="22"/>
        </w:rPr>
        <w:t xml:space="preserve"> </w:t>
      </w:r>
      <w:r w:rsidR="0090533B" w:rsidRPr="00561F20">
        <w:rPr>
          <w:spacing w:val="-2"/>
          <w:kern w:val="22"/>
          <w:szCs w:val="22"/>
        </w:rPr>
        <w:t>C</w:t>
      </w:r>
      <w:r w:rsidR="00CD4119" w:rsidRPr="00561F20">
        <w:rPr>
          <w:spacing w:val="-2"/>
          <w:kern w:val="22"/>
          <w:szCs w:val="22"/>
        </w:rPr>
        <w:t xml:space="preserve">onsultation on the Post-2020 Global Biodiversity Framework in Relation to Access and Benefit-sharing and the Nagoya Protocol was </w:t>
      </w:r>
      <w:r w:rsidR="00926A45">
        <w:rPr>
          <w:spacing w:val="-2"/>
          <w:kern w:val="22"/>
          <w:szCs w:val="22"/>
        </w:rPr>
        <w:t>held</w:t>
      </w:r>
      <w:r w:rsidR="00926A45" w:rsidRPr="00561F20">
        <w:rPr>
          <w:spacing w:val="-2"/>
          <w:kern w:val="22"/>
          <w:szCs w:val="22"/>
        </w:rPr>
        <w:t xml:space="preserve"> </w:t>
      </w:r>
      <w:r w:rsidR="00CD4119" w:rsidRPr="00561F20">
        <w:rPr>
          <w:spacing w:val="-2"/>
          <w:kern w:val="22"/>
          <w:szCs w:val="22"/>
        </w:rPr>
        <w:t>on 25 August 2019, prior to the first meeting of the Open-ended Working Group on the Post-2020 Global Biodiversity Framework.</w:t>
      </w:r>
      <w:r w:rsidR="00092D8B" w:rsidRPr="00561F20">
        <w:rPr>
          <w:rStyle w:val="FootnoteReference"/>
          <w:spacing w:val="-2"/>
          <w:kern w:val="22"/>
          <w:szCs w:val="22"/>
        </w:rPr>
        <w:footnoteReference w:id="10"/>
      </w:r>
    </w:p>
    <w:p w14:paraId="6D85AB21" w14:textId="3743710E" w:rsidR="00751FB4" w:rsidRPr="004970FC" w:rsidRDefault="006B03F9"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kern w:val="22"/>
          <w:szCs w:val="22"/>
        </w:rPr>
      </w:pPr>
      <w:r w:rsidRPr="00323182">
        <w:rPr>
          <w:kern w:val="22"/>
          <w:szCs w:val="22"/>
        </w:rPr>
        <w:t>At its</w:t>
      </w:r>
      <w:r w:rsidRPr="004970FC">
        <w:rPr>
          <w:kern w:val="22"/>
          <w:szCs w:val="22"/>
        </w:rPr>
        <w:t xml:space="preserve"> </w:t>
      </w:r>
      <w:r w:rsidR="00751FB4" w:rsidRPr="004970FC">
        <w:rPr>
          <w:kern w:val="22"/>
          <w:szCs w:val="22"/>
        </w:rPr>
        <w:t xml:space="preserve">second </w:t>
      </w:r>
      <w:r w:rsidR="00751FB4" w:rsidRPr="00561F20">
        <w:rPr>
          <w:rFonts w:eastAsia="SimSun"/>
          <w:snapToGrid w:val="0"/>
          <w:kern w:val="22"/>
          <w:szCs w:val="22"/>
        </w:rPr>
        <w:t>meeting</w:t>
      </w:r>
      <w:r w:rsidR="0063501E" w:rsidRPr="00323182">
        <w:rPr>
          <w:kern w:val="22"/>
          <w:szCs w:val="22"/>
        </w:rPr>
        <w:t>,</w:t>
      </w:r>
      <w:r w:rsidR="00751FB4" w:rsidRPr="004970FC">
        <w:rPr>
          <w:kern w:val="22"/>
          <w:szCs w:val="22"/>
        </w:rPr>
        <w:t xml:space="preserve"> the Open-Ended Working Group on the Post-2020 Global Biodiversity Framework</w:t>
      </w:r>
      <w:r w:rsidR="00937B62" w:rsidRPr="00193C3D">
        <w:rPr>
          <w:kern w:val="22"/>
          <w:szCs w:val="22"/>
        </w:rPr>
        <w:t xml:space="preserve"> </w:t>
      </w:r>
      <w:r w:rsidR="00B5139C" w:rsidRPr="00193C3D">
        <w:rPr>
          <w:kern w:val="22"/>
          <w:szCs w:val="22"/>
        </w:rPr>
        <w:t xml:space="preserve">considered the </w:t>
      </w:r>
      <w:r w:rsidR="009B06B0" w:rsidRPr="00323182">
        <w:rPr>
          <w:kern w:val="22"/>
          <w:szCs w:val="22"/>
        </w:rPr>
        <w:t>z</w:t>
      </w:r>
      <w:r w:rsidR="00B5139C" w:rsidRPr="004970FC">
        <w:rPr>
          <w:kern w:val="22"/>
          <w:szCs w:val="22"/>
        </w:rPr>
        <w:t>ero draft of the post-2020 Global Biodiversity Framework</w:t>
      </w:r>
      <w:r w:rsidR="000C3F36" w:rsidRPr="00323182">
        <w:rPr>
          <w:kern w:val="22"/>
          <w:szCs w:val="22"/>
        </w:rPr>
        <w:t xml:space="preserve"> (</w:t>
      </w:r>
      <w:hyperlink r:id="rId26" w:history="1">
        <w:r w:rsidR="000C3F36" w:rsidRPr="00323182">
          <w:rPr>
            <w:rStyle w:val="Hyperlink"/>
            <w:kern w:val="22"/>
            <w:sz w:val="22"/>
            <w:szCs w:val="22"/>
          </w:rPr>
          <w:t>CBD/WG2020/2/3</w:t>
        </w:r>
      </w:hyperlink>
      <w:r w:rsidR="000C3F36" w:rsidRPr="00323182">
        <w:rPr>
          <w:kern w:val="22"/>
          <w:szCs w:val="22"/>
        </w:rPr>
        <w:t>)</w:t>
      </w:r>
      <w:r w:rsidR="00D05A07" w:rsidRPr="00323182">
        <w:rPr>
          <w:kern w:val="22"/>
          <w:szCs w:val="22"/>
        </w:rPr>
        <w:t>,</w:t>
      </w:r>
      <w:r w:rsidR="00B5139C" w:rsidRPr="00323182">
        <w:rPr>
          <w:kern w:val="22"/>
          <w:szCs w:val="22"/>
        </w:rPr>
        <w:t xml:space="preserve"> </w:t>
      </w:r>
      <w:r w:rsidR="00D05A07" w:rsidRPr="00323182">
        <w:rPr>
          <w:kern w:val="22"/>
          <w:szCs w:val="22"/>
        </w:rPr>
        <w:t>which</w:t>
      </w:r>
      <w:r w:rsidR="00B5139C" w:rsidRPr="00323182">
        <w:rPr>
          <w:kern w:val="22"/>
          <w:szCs w:val="22"/>
        </w:rPr>
        <w:t xml:space="preserve"> included a goal on benefit-sharing</w:t>
      </w:r>
      <w:r w:rsidR="00937B62" w:rsidRPr="00323182">
        <w:rPr>
          <w:kern w:val="22"/>
          <w:szCs w:val="22"/>
        </w:rPr>
        <w:t xml:space="preserve"> (Goal E</w:t>
      </w:r>
      <w:r w:rsidR="00B5139C" w:rsidRPr="004970FC">
        <w:rPr>
          <w:kern w:val="22"/>
          <w:szCs w:val="22"/>
        </w:rPr>
        <w:t>) and a target (</w:t>
      </w:r>
      <w:r w:rsidR="00937B62" w:rsidRPr="004970FC">
        <w:rPr>
          <w:kern w:val="22"/>
          <w:szCs w:val="22"/>
        </w:rPr>
        <w:t xml:space="preserve">Target </w:t>
      </w:r>
      <w:r w:rsidR="00B5139C" w:rsidRPr="004970FC">
        <w:rPr>
          <w:kern w:val="22"/>
          <w:szCs w:val="22"/>
        </w:rPr>
        <w:t>11)</w:t>
      </w:r>
      <w:r w:rsidR="005D2958" w:rsidRPr="00323182">
        <w:rPr>
          <w:kern w:val="22"/>
          <w:szCs w:val="22"/>
        </w:rPr>
        <w:t xml:space="preserve"> and,</w:t>
      </w:r>
      <w:r w:rsidR="00937B62" w:rsidRPr="00193C3D">
        <w:rPr>
          <w:kern w:val="22"/>
          <w:szCs w:val="22"/>
        </w:rPr>
        <w:t xml:space="preserve"> i</w:t>
      </w:r>
      <w:r w:rsidR="005D2958" w:rsidRPr="00323182">
        <w:rPr>
          <w:kern w:val="22"/>
          <w:szCs w:val="22"/>
        </w:rPr>
        <w:t>n</w:t>
      </w:r>
      <w:r w:rsidR="00937B62" w:rsidRPr="004970FC">
        <w:rPr>
          <w:kern w:val="22"/>
          <w:szCs w:val="22"/>
        </w:rPr>
        <w:t xml:space="preserve"> its </w:t>
      </w:r>
      <w:r w:rsidR="00B5139C" w:rsidRPr="004970FC">
        <w:rPr>
          <w:kern w:val="22"/>
          <w:szCs w:val="22"/>
        </w:rPr>
        <w:t>appendices</w:t>
      </w:r>
      <w:r w:rsidR="00937B62" w:rsidRPr="00B0091C">
        <w:rPr>
          <w:kern w:val="22"/>
          <w:szCs w:val="22"/>
        </w:rPr>
        <w:t xml:space="preserve"> on </w:t>
      </w:r>
      <w:r w:rsidR="005D2958" w:rsidRPr="00323182">
        <w:rPr>
          <w:kern w:val="22"/>
          <w:szCs w:val="22"/>
        </w:rPr>
        <w:t xml:space="preserve">the </w:t>
      </w:r>
      <w:r w:rsidR="00923643" w:rsidRPr="00323182">
        <w:rPr>
          <w:kern w:val="22"/>
          <w:szCs w:val="22"/>
        </w:rPr>
        <w:t xml:space="preserve">preliminary </w:t>
      </w:r>
      <w:r w:rsidR="00937B62" w:rsidRPr="004970FC">
        <w:rPr>
          <w:kern w:val="22"/>
          <w:szCs w:val="22"/>
        </w:rPr>
        <w:t>draft monitoring framework for the goals and targets</w:t>
      </w:r>
      <w:r w:rsidR="00247CC8" w:rsidRPr="00323182">
        <w:rPr>
          <w:kern w:val="22"/>
          <w:szCs w:val="22"/>
        </w:rPr>
        <w:t xml:space="preserve"> (</w:t>
      </w:r>
      <w:hyperlink r:id="rId27" w:history="1">
        <w:r w:rsidR="00247CC8" w:rsidRPr="00323182">
          <w:rPr>
            <w:rStyle w:val="Hyperlink"/>
            <w:kern w:val="22"/>
            <w:sz w:val="22"/>
            <w:szCs w:val="22"/>
          </w:rPr>
          <w:t>CBD/WG2020/2/3/Add.1</w:t>
        </w:r>
      </w:hyperlink>
      <w:r w:rsidR="00247CC8" w:rsidRPr="00323182">
        <w:rPr>
          <w:kern w:val="22"/>
          <w:szCs w:val="22"/>
        </w:rPr>
        <w:t>),</w:t>
      </w:r>
      <w:r w:rsidR="00937B62" w:rsidRPr="00323182">
        <w:rPr>
          <w:kern w:val="22"/>
          <w:szCs w:val="22"/>
        </w:rPr>
        <w:t xml:space="preserve"> proposed possible elements for the ABS</w:t>
      </w:r>
      <w:r w:rsidR="00AF39DC" w:rsidRPr="00323182">
        <w:rPr>
          <w:kern w:val="22"/>
          <w:szCs w:val="22"/>
        </w:rPr>
        <w:t>-</w:t>
      </w:r>
      <w:r w:rsidR="00937B62" w:rsidRPr="00323182">
        <w:rPr>
          <w:kern w:val="22"/>
          <w:szCs w:val="22"/>
        </w:rPr>
        <w:t>related goal and target</w:t>
      </w:r>
      <w:r w:rsidR="00AF39DC" w:rsidRPr="00323182">
        <w:rPr>
          <w:kern w:val="22"/>
          <w:szCs w:val="22"/>
        </w:rPr>
        <w:t>,</w:t>
      </w:r>
      <w:r w:rsidR="00937B62" w:rsidRPr="00323182">
        <w:rPr>
          <w:kern w:val="22"/>
          <w:szCs w:val="22"/>
        </w:rPr>
        <w:t xml:space="preserve"> including suggested indicators.</w:t>
      </w:r>
    </w:p>
    <w:p w14:paraId="5D566D64" w14:textId="4F1B149C" w:rsidR="00937B62" w:rsidRPr="00A2656D" w:rsidRDefault="00937B62" w:rsidP="00561F20">
      <w:pPr>
        <w:numPr>
          <w:ilvl w:val="0"/>
          <w:numId w:val="15"/>
        </w:numPr>
        <w:suppressLineNumbers/>
        <w:pBdr>
          <w:top w:val="nil"/>
          <w:left w:val="nil"/>
          <w:bottom w:val="nil"/>
          <w:right w:val="nil"/>
          <w:between w:val="nil"/>
          <w:bar w:val="nil"/>
        </w:pBdr>
        <w:suppressAutoHyphens/>
        <w:kinsoku w:val="0"/>
        <w:overflowPunct w:val="0"/>
        <w:autoSpaceDE w:val="0"/>
        <w:autoSpaceDN w:val="0"/>
        <w:spacing w:before="120" w:after="120"/>
        <w:rPr>
          <w:kern w:val="22"/>
          <w:szCs w:val="22"/>
        </w:rPr>
      </w:pPr>
      <w:r w:rsidRPr="004970FC">
        <w:rPr>
          <w:kern w:val="22"/>
          <w:szCs w:val="22"/>
        </w:rPr>
        <w:lastRenderedPageBreak/>
        <w:t xml:space="preserve">The outcomes of the </w:t>
      </w:r>
      <w:r w:rsidRPr="00561F20">
        <w:rPr>
          <w:rFonts w:eastAsia="SimSun"/>
          <w:snapToGrid w:val="0"/>
          <w:kern w:val="22"/>
          <w:szCs w:val="22"/>
        </w:rPr>
        <w:t>second</w:t>
      </w:r>
      <w:r w:rsidRPr="00561F20">
        <w:rPr>
          <w:kern w:val="22"/>
          <w:szCs w:val="22"/>
        </w:rPr>
        <w:t xml:space="preserve"> meeting of the </w:t>
      </w:r>
      <w:r w:rsidR="001654A4" w:rsidRPr="00561F20">
        <w:rPr>
          <w:kern w:val="22"/>
          <w:szCs w:val="22"/>
        </w:rPr>
        <w:t>Open-Ended Working Group on the Post-2020 Global Biodiversity Framework</w:t>
      </w:r>
      <w:r w:rsidR="001654A4" w:rsidRPr="00561F20" w:rsidDel="001654A4">
        <w:rPr>
          <w:kern w:val="22"/>
          <w:szCs w:val="22"/>
        </w:rPr>
        <w:t xml:space="preserve"> </w:t>
      </w:r>
      <w:r w:rsidRPr="00561F20">
        <w:rPr>
          <w:kern w:val="22"/>
          <w:szCs w:val="22"/>
        </w:rPr>
        <w:t xml:space="preserve">are available </w:t>
      </w:r>
      <w:r w:rsidR="008A65A5">
        <w:rPr>
          <w:kern w:val="22"/>
          <w:szCs w:val="22"/>
        </w:rPr>
        <w:t>on</w:t>
      </w:r>
      <w:r w:rsidR="008A65A5" w:rsidRPr="008A65A5">
        <w:rPr>
          <w:kern w:val="22"/>
          <w:szCs w:val="22"/>
        </w:rPr>
        <w:t xml:space="preserve"> </w:t>
      </w:r>
      <w:r w:rsidRPr="008A65A5">
        <w:rPr>
          <w:kern w:val="22"/>
          <w:szCs w:val="22"/>
        </w:rPr>
        <w:t xml:space="preserve">the website of the meeting </w:t>
      </w:r>
      <w:r w:rsidR="008A65A5">
        <w:rPr>
          <w:kern w:val="22"/>
          <w:szCs w:val="22"/>
        </w:rPr>
        <w:t>(</w:t>
      </w:r>
      <w:hyperlink r:id="rId28" w:history="1">
        <w:r w:rsidR="009A09B3" w:rsidRPr="00A2656D">
          <w:rPr>
            <w:rStyle w:val="Hyperlink"/>
            <w:kern w:val="22"/>
            <w:sz w:val="22"/>
            <w:szCs w:val="22"/>
          </w:rPr>
          <w:t>https://www.cbd.int/meetings/WG2020-02</w:t>
        </w:r>
      </w:hyperlink>
      <w:r w:rsidR="008A65A5">
        <w:rPr>
          <w:kern w:val="22"/>
          <w:szCs w:val="22"/>
        </w:rPr>
        <w:t>)</w:t>
      </w:r>
      <w:r w:rsidRPr="00A2656D">
        <w:rPr>
          <w:kern w:val="22"/>
          <w:szCs w:val="22"/>
        </w:rPr>
        <w:t>.</w:t>
      </w:r>
    </w:p>
    <w:p w14:paraId="2540D657" w14:textId="5CF29177" w:rsidR="00092D8B" w:rsidRPr="00561F20" w:rsidRDefault="00092D8B" w:rsidP="00561F20">
      <w:pPr>
        <w:pStyle w:val="Heading1"/>
        <w:numPr>
          <w:ilvl w:val="0"/>
          <w:numId w:val="14"/>
        </w:numPr>
        <w:suppressLineNumbers/>
        <w:tabs>
          <w:tab w:val="clear" w:pos="720"/>
          <w:tab w:val="left" w:pos="851"/>
        </w:tabs>
        <w:suppressAutoHyphens/>
        <w:kinsoku w:val="0"/>
        <w:overflowPunct w:val="0"/>
        <w:autoSpaceDE w:val="0"/>
        <w:autoSpaceDN w:val="0"/>
        <w:spacing w:before="120"/>
        <w:ind w:left="1077"/>
        <w:rPr>
          <w:bCs/>
          <w:snapToGrid w:val="0"/>
          <w:kern w:val="22"/>
          <w:szCs w:val="22"/>
        </w:rPr>
      </w:pPr>
      <w:r w:rsidRPr="00561F20">
        <w:rPr>
          <w:bCs/>
          <w:snapToGrid w:val="0"/>
          <w:kern w:val="22"/>
          <w:szCs w:val="22"/>
        </w:rPr>
        <w:t>Suggest</w:t>
      </w:r>
      <w:r w:rsidR="005473A6" w:rsidRPr="00561F20">
        <w:rPr>
          <w:bCs/>
          <w:snapToGrid w:val="0"/>
          <w:kern w:val="22"/>
          <w:szCs w:val="22"/>
        </w:rPr>
        <w:t xml:space="preserve">ions </w:t>
      </w:r>
      <w:r w:rsidRPr="00561F20">
        <w:rPr>
          <w:bCs/>
          <w:snapToGrid w:val="0"/>
          <w:kern w:val="22"/>
          <w:szCs w:val="22"/>
        </w:rPr>
        <w:t xml:space="preserve">for consideration by the </w:t>
      </w:r>
      <w:r w:rsidR="005473A6" w:rsidRPr="00561F20">
        <w:rPr>
          <w:bCs/>
          <w:snapToGrid w:val="0"/>
          <w:kern w:val="22"/>
          <w:szCs w:val="22"/>
        </w:rPr>
        <w:t>C</w:t>
      </w:r>
      <w:r w:rsidRPr="00561F20">
        <w:rPr>
          <w:bCs/>
          <w:snapToGrid w:val="0"/>
          <w:kern w:val="22"/>
          <w:szCs w:val="22"/>
        </w:rPr>
        <w:t>ommittee</w:t>
      </w:r>
    </w:p>
    <w:p w14:paraId="39FA99C9" w14:textId="60C3788A" w:rsidR="009F4FB6" w:rsidRPr="00A2656D" w:rsidRDefault="00937B62" w:rsidP="00561F20">
      <w:pPr>
        <w:pStyle w:val="ListParagraph"/>
        <w:numPr>
          <w:ilvl w:val="0"/>
          <w:numId w:val="15"/>
        </w:numPr>
        <w:suppressLineNumbers/>
        <w:suppressAutoHyphens/>
        <w:spacing w:before="120" w:after="120"/>
        <w:ind w:left="0"/>
        <w:rPr>
          <w:rFonts w:eastAsia="Times New Roman" w:hAnsi="Times New Roman" w:cs="Times New Roman"/>
          <w:color w:val="auto"/>
          <w:kern w:val="22"/>
          <w:bdr w:val="none" w:sz="0" w:space="0" w:color="auto"/>
          <w:lang w:val="en-GB"/>
        </w:rPr>
      </w:pPr>
      <w:r w:rsidRPr="00561F20">
        <w:rPr>
          <w:rFonts w:eastAsia="Times New Roman" w:hAnsi="Times New Roman" w:cs="Times New Roman"/>
          <w:color w:val="auto"/>
          <w:kern w:val="22"/>
          <w:bdr w:val="none" w:sz="0" w:space="0" w:color="auto"/>
          <w:lang w:val="en-GB"/>
        </w:rPr>
        <w:t>The Committee may wish</w:t>
      </w:r>
      <w:r w:rsidR="00AE6B0F" w:rsidRPr="00561F20">
        <w:rPr>
          <w:rFonts w:eastAsia="Times New Roman" w:hAnsi="Times New Roman" w:cs="Times New Roman"/>
          <w:color w:val="auto"/>
          <w:kern w:val="22"/>
          <w:bdr w:val="none" w:sz="0" w:space="0" w:color="auto"/>
          <w:lang w:val="en-GB"/>
        </w:rPr>
        <w:t>:</w:t>
      </w:r>
    </w:p>
    <w:p w14:paraId="6E008DD0" w14:textId="57EB618D" w:rsidR="00D20139" w:rsidRPr="00561F20" w:rsidRDefault="005006E8" w:rsidP="00561F20">
      <w:pPr>
        <w:pStyle w:val="ListParagraph"/>
        <w:numPr>
          <w:ilvl w:val="1"/>
          <w:numId w:val="24"/>
        </w:numPr>
        <w:suppressLineNumbers/>
        <w:suppressAutoHyphens/>
        <w:spacing w:before="120" w:after="120"/>
        <w:ind w:firstLine="720"/>
        <w:rPr>
          <w:rFonts w:hAnsi="Times New Roman" w:cs="Times New Roman"/>
          <w:kern w:val="22"/>
          <w:bdr w:val="none" w:sz="0" w:space="0" w:color="auto"/>
          <w:lang w:val="en-GB"/>
        </w:rPr>
      </w:pPr>
      <w:r w:rsidRPr="00A2656D">
        <w:rPr>
          <w:kern w:val="22"/>
        </w:rPr>
        <w:t>T</w:t>
      </w:r>
      <w:r w:rsidR="00937B62" w:rsidRPr="004970FC">
        <w:rPr>
          <w:kern w:val="22"/>
        </w:rPr>
        <w:t xml:space="preserve">o review </w:t>
      </w:r>
      <w:r w:rsidR="00AE6B0F" w:rsidRPr="004970FC">
        <w:rPr>
          <w:kern w:val="22"/>
        </w:rPr>
        <w:t xml:space="preserve">the </w:t>
      </w:r>
      <w:r w:rsidR="00937B62" w:rsidRPr="00FF3105">
        <w:rPr>
          <w:kern w:val="22"/>
        </w:rPr>
        <w:t xml:space="preserve">information on general issues of compliance with obligations under the Protocol </w:t>
      </w:r>
      <w:r w:rsidR="00AE6B0F" w:rsidRPr="00FF3105">
        <w:rPr>
          <w:kern w:val="22"/>
        </w:rPr>
        <w:t>as outlined in section II of th</w:t>
      </w:r>
      <w:r w:rsidR="007D2F26" w:rsidRPr="00FF3105">
        <w:rPr>
          <w:kern w:val="22"/>
        </w:rPr>
        <w:t>e present</w:t>
      </w:r>
      <w:r w:rsidR="00AE6B0F" w:rsidRPr="003A6C57">
        <w:rPr>
          <w:kern w:val="22"/>
        </w:rPr>
        <w:t xml:space="preserve"> document </w:t>
      </w:r>
      <w:r w:rsidR="00937B62" w:rsidRPr="000B09AF">
        <w:rPr>
          <w:kern w:val="22"/>
        </w:rPr>
        <w:t xml:space="preserve">and to </w:t>
      </w:r>
      <w:r w:rsidR="0077598C">
        <w:rPr>
          <w:kern w:val="22"/>
        </w:rPr>
        <w:t>formulate</w:t>
      </w:r>
      <w:r w:rsidR="00132137">
        <w:rPr>
          <w:kern w:val="22"/>
        </w:rPr>
        <w:t xml:space="preserve"> a</w:t>
      </w:r>
      <w:r w:rsidR="0077598C" w:rsidRPr="000B09AF">
        <w:rPr>
          <w:kern w:val="22"/>
        </w:rPr>
        <w:t xml:space="preserve"> </w:t>
      </w:r>
      <w:r w:rsidRPr="000B09AF">
        <w:rPr>
          <w:kern w:val="22"/>
        </w:rPr>
        <w:t>conclusion or recommendation, as appropriate</w:t>
      </w:r>
      <w:r w:rsidR="007B7DD7" w:rsidRPr="0077598C">
        <w:rPr>
          <w:kern w:val="22"/>
        </w:rPr>
        <w:t xml:space="preserve">. The Committee may </w:t>
      </w:r>
      <w:r w:rsidR="00C00F19" w:rsidRPr="00132137">
        <w:rPr>
          <w:kern w:val="22"/>
        </w:rPr>
        <w:t xml:space="preserve">consider </w:t>
      </w:r>
      <w:r w:rsidR="007B7DD7" w:rsidRPr="00132137">
        <w:rPr>
          <w:kern w:val="22"/>
        </w:rPr>
        <w:t>recommend</w:t>
      </w:r>
      <w:r w:rsidR="00C00F19" w:rsidRPr="00132137">
        <w:rPr>
          <w:kern w:val="22"/>
        </w:rPr>
        <w:t>ing</w:t>
      </w:r>
      <w:r w:rsidR="007B7DD7" w:rsidRPr="00132137">
        <w:rPr>
          <w:kern w:val="22"/>
        </w:rPr>
        <w:t xml:space="preserve"> </w:t>
      </w:r>
      <w:r w:rsidR="00132137">
        <w:rPr>
          <w:kern w:val="22"/>
        </w:rPr>
        <w:t>that</w:t>
      </w:r>
      <w:r w:rsidR="007B7DD7" w:rsidRPr="00132137">
        <w:rPr>
          <w:kern w:val="22"/>
        </w:rPr>
        <w:t xml:space="preserve"> the Conference of the Parties serving as the meeting of the Parties to the Protocol at its fourth meeting:</w:t>
      </w:r>
    </w:p>
    <w:p w14:paraId="1062DA26" w14:textId="0634C802" w:rsidR="007B7DD7" w:rsidRPr="004970FC" w:rsidRDefault="007B7DD7" w:rsidP="00561F20">
      <w:pPr>
        <w:pStyle w:val="ListParagraph"/>
        <w:numPr>
          <w:ilvl w:val="5"/>
          <w:numId w:val="24"/>
        </w:numPr>
        <w:suppressLineNumbers/>
        <w:suppressAutoHyphens/>
        <w:spacing w:before="120" w:after="120"/>
        <w:ind w:left="1440" w:hanging="720"/>
        <w:rPr>
          <w:rFonts w:eastAsia="Times New Roman" w:hAnsi="Times New Roman" w:cs="Times New Roman"/>
          <w:color w:val="auto"/>
          <w:kern w:val="22"/>
          <w:bdr w:val="none" w:sz="0" w:space="0" w:color="auto"/>
          <w:lang w:val="en-GB"/>
        </w:rPr>
      </w:pPr>
      <w:r w:rsidRPr="00A2656D">
        <w:rPr>
          <w:rFonts w:eastAsia="Times New Roman" w:hAnsi="Times New Roman" w:cs="Times New Roman"/>
          <w:color w:val="auto"/>
          <w:kern w:val="22"/>
          <w:bdr w:val="none" w:sz="0" w:space="0" w:color="auto"/>
          <w:lang w:val="en-GB"/>
        </w:rPr>
        <w:t>Urge Parties to the Nagoya Protocol that have not yet done so to submit their interim national report without further delay</w:t>
      </w:r>
      <w:r w:rsidR="005006E8" w:rsidRPr="004970FC">
        <w:rPr>
          <w:rFonts w:eastAsia="Times New Roman" w:hAnsi="Times New Roman" w:cs="Times New Roman"/>
          <w:color w:val="auto"/>
          <w:kern w:val="22"/>
          <w:bdr w:val="none" w:sz="0" w:space="0" w:color="auto"/>
          <w:lang w:val="en-GB"/>
        </w:rPr>
        <w:t>;</w:t>
      </w:r>
    </w:p>
    <w:p w14:paraId="5F40EA79" w14:textId="7E778588" w:rsidR="00DF1190" w:rsidRPr="00FF3105" w:rsidRDefault="007B7DD7" w:rsidP="00561F20">
      <w:pPr>
        <w:pStyle w:val="ListParagraph"/>
        <w:numPr>
          <w:ilvl w:val="5"/>
          <w:numId w:val="24"/>
        </w:numPr>
        <w:suppressLineNumbers/>
        <w:suppressAutoHyphens/>
        <w:spacing w:before="120" w:after="120"/>
        <w:ind w:left="1440" w:hanging="720"/>
        <w:rPr>
          <w:rFonts w:eastAsia="Times New Roman" w:hAnsi="Times New Roman" w:cs="Times New Roman"/>
          <w:color w:val="auto"/>
          <w:kern w:val="22"/>
          <w:bdr w:val="none" w:sz="0" w:space="0" w:color="auto"/>
          <w:lang w:val="en-GB"/>
        </w:rPr>
      </w:pPr>
      <w:r w:rsidRPr="00FF3105">
        <w:rPr>
          <w:rFonts w:eastAsia="Times New Roman" w:hAnsi="Times New Roman" w:cs="Times New Roman"/>
          <w:color w:val="auto"/>
          <w:kern w:val="22"/>
          <w:bdr w:val="none" w:sz="0" w:space="0" w:color="auto"/>
          <w:lang w:val="en-GB"/>
        </w:rPr>
        <w:t xml:space="preserve">Request </w:t>
      </w:r>
      <w:r w:rsidR="009579B1">
        <w:rPr>
          <w:rFonts w:eastAsia="Times New Roman" w:hAnsi="Times New Roman" w:cs="Times New Roman"/>
          <w:color w:val="auto"/>
          <w:kern w:val="22"/>
          <w:bdr w:val="none" w:sz="0" w:space="0" w:color="auto"/>
          <w:lang w:val="en-GB"/>
        </w:rPr>
        <w:t xml:space="preserve">the </w:t>
      </w:r>
      <w:r w:rsidRPr="00FF3105">
        <w:rPr>
          <w:rFonts w:eastAsia="Times New Roman" w:hAnsi="Times New Roman" w:cs="Times New Roman"/>
          <w:color w:val="auto"/>
          <w:kern w:val="22"/>
          <w:bdr w:val="none" w:sz="0" w:space="0" w:color="auto"/>
          <w:lang w:val="en-GB"/>
        </w:rPr>
        <w:t>Parties</w:t>
      </w:r>
      <w:r w:rsidR="00DF1190" w:rsidRPr="00A2656D">
        <w:rPr>
          <w:rFonts w:eastAsia="SimSun" w:hAnsi="Times New Roman" w:cs="Times New Roman"/>
          <w:snapToGrid w:val="0"/>
          <w:color w:val="auto"/>
          <w:kern w:val="22"/>
          <w:bdr w:val="none" w:sz="0" w:space="0" w:color="auto"/>
          <w:lang w:val="en-GB"/>
        </w:rPr>
        <w:t xml:space="preserve"> </w:t>
      </w:r>
      <w:r w:rsidR="009579B1" w:rsidRPr="00FF3105">
        <w:rPr>
          <w:rFonts w:eastAsia="Times New Roman" w:hAnsi="Times New Roman" w:cs="Times New Roman"/>
          <w:color w:val="auto"/>
          <w:kern w:val="22"/>
          <w:bdr w:val="none" w:sz="0" w:space="0" w:color="auto"/>
          <w:lang w:val="en-GB"/>
        </w:rPr>
        <w:t xml:space="preserve">concerned </w:t>
      </w:r>
      <w:r w:rsidR="00DF1190" w:rsidRPr="004970FC">
        <w:rPr>
          <w:rFonts w:eastAsia="Times New Roman" w:hAnsi="Times New Roman" w:cs="Times New Roman"/>
          <w:color w:val="auto"/>
          <w:kern w:val="22"/>
          <w:bdr w:val="none" w:sz="0" w:space="0" w:color="auto"/>
          <w:lang w:val="en-GB"/>
        </w:rPr>
        <w:t xml:space="preserve">to expedite the adoption of their legislative, administrative or policy measures on </w:t>
      </w:r>
      <w:r w:rsidR="00733F25" w:rsidRPr="00FF3105">
        <w:rPr>
          <w:rFonts w:eastAsia="Times New Roman" w:hAnsi="Times New Roman" w:cs="Times New Roman"/>
          <w:color w:val="auto"/>
          <w:kern w:val="22"/>
          <w:bdr w:val="none" w:sz="0" w:space="0" w:color="auto"/>
          <w:lang w:val="en-GB"/>
        </w:rPr>
        <w:t>access and benefit-sharing</w:t>
      </w:r>
      <w:r w:rsidR="00DF1190" w:rsidRPr="00FF3105">
        <w:rPr>
          <w:rFonts w:eastAsia="Times New Roman" w:hAnsi="Times New Roman" w:cs="Times New Roman"/>
          <w:color w:val="auto"/>
          <w:kern w:val="22"/>
          <w:bdr w:val="none" w:sz="0" w:space="0" w:color="auto"/>
          <w:lang w:val="en-GB"/>
        </w:rPr>
        <w:t>;</w:t>
      </w:r>
    </w:p>
    <w:p w14:paraId="469C994B" w14:textId="7D280C00" w:rsidR="00DF1190" w:rsidRPr="00FF3105" w:rsidRDefault="00DF1190" w:rsidP="00561F20">
      <w:pPr>
        <w:pStyle w:val="ListParagraph"/>
        <w:numPr>
          <w:ilvl w:val="5"/>
          <w:numId w:val="24"/>
        </w:numPr>
        <w:suppressLineNumbers/>
        <w:suppressAutoHyphens/>
        <w:spacing w:before="120" w:after="120"/>
        <w:ind w:left="1440" w:hanging="720"/>
        <w:rPr>
          <w:rFonts w:eastAsia="Times New Roman" w:hAnsi="Times New Roman" w:cs="Times New Roman"/>
          <w:color w:val="auto"/>
          <w:kern w:val="22"/>
          <w:bdr w:val="none" w:sz="0" w:space="0" w:color="auto"/>
          <w:lang w:val="en-GB"/>
        </w:rPr>
      </w:pPr>
      <w:r w:rsidRPr="009213CE">
        <w:rPr>
          <w:kern w:val="22"/>
        </w:rPr>
        <w:t xml:space="preserve">Request those Parties that have relevant national records that need to be made available to the </w:t>
      </w:r>
      <w:r w:rsidR="004C5064" w:rsidRPr="00561F20">
        <w:rPr>
          <w:rFonts w:hAnsi="Times New Roman" w:cs="Times New Roman"/>
          <w:kern w:val="22"/>
          <w:lang w:val="en-GB"/>
        </w:rPr>
        <w:t xml:space="preserve">Access and Benefit-sharing </w:t>
      </w:r>
      <w:proofErr w:type="gramStart"/>
      <w:r w:rsidRPr="00A2656D">
        <w:rPr>
          <w:kern w:val="22"/>
        </w:rPr>
        <w:t>Clearing</w:t>
      </w:r>
      <w:r w:rsidR="001E583C" w:rsidRPr="004970FC">
        <w:rPr>
          <w:kern w:val="22"/>
        </w:rPr>
        <w:t>-</w:t>
      </w:r>
      <w:r w:rsidRPr="00FF3105">
        <w:rPr>
          <w:kern w:val="22"/>
        </w:rPr>
        <w:t>House</w:t>
      </w:r>
      <w:proofErr w:type="gramEnd"/>
      <w:r w:rsidRPr="00FF3105">
        <w:rPr>
          <w:kern w:val="22"/>
        </w:rPr>
        <w:t xml:space="preserve"> to make the information on these records available as soon as possible</w:t>
      </w:r>
      <w:r w:rsidR="008153C9">
        <w:rPr>
          <w:kern w:val="22"/>
        </w:rPr>
        <w:t>;</w:t>
      </w:r>
    </w:p>
    <w:p w14:paraId="39DF168F" w14:textId="0AAF5CC2" w:rsidR="00937B62" w:rsidRPr="00292B6F" w:rsidRDefault="005006E8" w:rsidP="00561F20">
      <w:pPr>
        <w:pStyle w:val="ListParagraph"/>
        <w:numPr>
          <w:ilvl w:val="1"/>
          <w:numId w:val="24"/>
        </w:numPr>
        <w:suppressLineNumbers/>
        <w:suppressAutoHyphens/>
        <w:spacing w:before="120" w:after="120"/>
        <w:ind w:firstLine="720"/>
        <w:rPr>
          <w:rFonts w:eastAsia="Times New Roman" w:hAnsi="Times New Roman" w:cs="Times New Roman"/>
          <w:color w:val="auto"/>
          <w:kern w:val="22"/>
          <w:bdr w:val="none" w:sz="0" w:space="0" w:color="auto"/>
          <w:lang w:val="en-GB"/>
        </w:rPr>
      </w:pPr>
      <w:r w:rsidRPr="009213CE">
        <w:rPr>
          <w:rFonts w:eastAsia="Times New Roman" w:hAnsi="Times New Roman" w:cs="Times New Roman"/>
          <w:color w:val="auto"/>
          <w:kern w:val="22"/>
          <w:bdr w:val="none" w:sz="0" w:space="0" w:color="auto"/>
          <w:lang w:val="en-GB"/>
        </w:rPr>
        <w:t>To consider how to support and promote compliance with the Nagoya Protocol within the post</w:t>
      </w:r>
      <w:r w:rsidR="00F16C67" w:rsidRPr="009579B1">
        <w:rPr>
          <w:rFonts w:eastAsia="Times New Roman" w:hAnsi="Times New Roman" w:cs="Times New Roman"/>
          <w:color w:val="auto"/>
          <w:kern w:val="22"/>
          <w:bdr w:val="none" w:sz="0" w:space="0" w:color="auto"/>
          <w:lang w:val="en-GB"/>
        </w:rPr>
        <w:noBreakHyphen/>
      </w:r>
      <w:r w:rsidRPr="009579B1">
        <w:rPr>
          <w:rFonts w:eastAsia="Times New Roman" w:hAnsi="Times New Roman" w:cs="Times New Roman"/>
          <w:color w:val="auto"/>
          <w:kern w:val="22"/>
          <w:bdr w:val="none" w:sz="0" w:space="0" w:color="auto"/>
          <w:lang w:val="en-GB"/>
        </w:rPr>
        <w:t xml:space="preserve">2020 global biodiversity framework and make conclusion or </w:t>
      </w:r>
      <w:r w:rsidR="00937B62" w:rsidRPr="009579B1">
        <w:rPr>
          <w:rFonts w:eastAsia="Times New Roman" w:hAnsi="Times New Roman" w:cs="Times New Roman"/>
          <w:color w:val="auto"/>
          <w:kern w:val="22"/>
          <w:bdr w:val="none" w:sz="0" w:space="0" w:color="auto"/>
          <w:lang w:val="en-GB"/>
        </w:rPr>
        <w:t>recommend</w:t>
      </w:r>
      <w:r w:rsidRPr="009579B1">
        <w:rPr>
          <w:rFonts w:eastAsia="Times New Roman" w:hAnsi="Times New Roman" w:cs="Times New Roman"/>
          <w:color w:val="auto"/>
          <w:kern w:val="22"/>
          <w:bdr w:val="none" w:sz="0" w:space="0" w:color="auto"/>
          <w:lang w:val="en-GB"/>
        </w:rPr>
        <w:t xml:space="preserve">ation, as appropriate. </w:t>
      </w:r>
      <w:r w:rsidR="00C00F19" w:rsidRPr="009579B1">
        <w:rPr>
          <w:rFonts w:eastAsia="Times New Roman" w:hAnsi="Times New Roman" w:cs="Times New Roman"/>
          <w:color w:val="auto"/>
          <w:kern w:val="22"/>
          <w:bdr w:val="none" w:sz="0" w:space="0" w:color="auto"/>
          <w:lang w:val="en-GB"/>
        </w:rPr>
        <w:t>In that regard, the Committee may look at the outcomes of the second meeting</w:t>
      </w:r>
      <w:r w:rsidR="009F4FB6" w:rsidRPr="00561F20">
        <w:rPr>
          <w:rFonts w:eastAsia="Times New Roman" w:hAnsi="Times New Roman" w:cs="Times New Roman"/>
          <w:color w:val="auto"/>
          <w:kern w:val="22"/>
          <w:bdr w:val="none" w:sz="0" w:space="0" w:color="auto"/>
          <w:lang w:val="en-GB"/>
        </w:rPr>
        <w:t xml:space="preserve"> of the Working Group on the Post</w:t>
      </w:r>
      <w:r w:rsidR="001E583C" w:rsidRPr="00561F20">
        <w:rPr>
          <w:rFonts w:eastAsia="Times New Roman" w:hAnsi="Times New Roman" w:cs="Times New Roman"/>
          <w:color w:val="auto"/>
          <w:kern w:val="22"/>
          <w:bdr w:val="none" w:sz="0" w:space="0" w:color="auto"/>
          <w:lang w:val="en-GB"/>
        </w:rPr>
        <w:noBreakHyphen/>
      </w:r>
      <w:r w:rsidR="009F4FB6" w:rsidRPr="00561F20">
        <w:rPr>
          <w:rFonts w:eastAsia="Times New Roman" w:hAnsi="Times New Roman" w:cs="Times New Roman"/>
          <w:color w:val="auto"/>
          <w:kern w:val="22"/>
          <w:bdr w:val="none" w:sz="0" w:space="0" w:color="auto"/>
          <w:lang w:val="en-GB"/>
        </w:rPr>
        <w:t xml:space="preserve">2020 Global Biodiversity Framework </w:t>
      </w:r>
      <w:r w:rsidR="00C00F19" w:rsidRPr="00561F20">
        <w:rPr>
          <w:rFonts w:eastAsia="Times New Roman" w:hAnsi="Times New Roman" w:cs="Times New Roman"/>
          <w:color w:val="auto"/>
          <w:kern w:val="22"/>
          <w:bdr w:val="none" w:sz="0" w:space="0" w:color="auto"/>
          <w:lang w:val="en-GB"/>
        </w:rPr>
        <w:t>and</w:t>
      </w:r>
      <w:r w:rsidR="00D8070B">
        <w:rPr>
          <w:rFonts w:eastAsia="Times New Roman" w:hAnsi="Times New Roman" w:cs="Times New Roman"/>
          <w:color w:val="auto"/>
          <w:kern w:val="22"/>
          <w:bdr w:val="none" w:sz="0" w:space="0" w:color="auto"/>
          <w:lang w:val="en-GB"/>
        </w:rPr>
        <w:t>,</w:t>
      </w:r>
      <w:r w:rsidR="00C00F19" w:rsidRPr="00D8070B">
        <w:rPr>
          <w:rFonts w:eastAsia="Times New Roman" w:hAnsi="Times New Roman" w:cs="Times New Roman"/>
          <w:color w:val="auto"/>
          <w:kern w:val="22"/>
          <w:bdr w:val="none" w:sz="0" w:space="0" w:color="auto"/>
          <w:lang w:val="en-GB"/>
        </w:rPr>
        <w:t xml:space="preserve"> </w:t>
      </w:r>
      <w:r w:rsidR="009F4FB6" w:rsidRPr="00D8070B">
        <w:rPr>
          <w:rFonts w:eastAsia="Times New Roman" w:hAnsi="Times New Roman" w:cs="Times New Roman"/>
          <w:color w:val="auto"/>
          <w:kern w:val="22"/>
          <w:bdr w:val="none" w:sz="0" w:space="0" w:color="auto"/>
          <w:lang w:val="en-GB"/>
        </w:rPr>
        <w:t>in particular</w:t>
      </w:r>
      <w:r w:rsidR="00D8070B">
        <w:rPr>
          <w:rFonts w:eastAsia="Times New Roman" w:hAnsi="Times New Roman" w:cs="Times New Roman"/>
          <w:color w:val="auto"/>
          <w:kern w:val="22"/>
          <w:bdr w:val="none" w:sz="0" w:space="0" w:color="auto"/>
          <w:lang w:val="en-GB"/>
        </w:rPr>
        <w:t>,</w:t>
      </w:r>
      <w:r w:rsidR="009F4FB6" w:rsidRPr="00D8070B">
        <w:rPr>
          <w:rFonts w:eastAsia="Times New Roman" w:hAnsi="Times New Roman" w:cs="Times New Roman"/>
          <w:color w:val="auto"/>
          <w:kern w:val="22"/>
          <w:bdr w:val="none" w:sz="0" w:space="0" w:color="auto"/>
          <w:lang w:val="en-GB"/>
        </w:rPr>
        <w:t xml:space="preserve"> the </w:t>
      </w:r>
      <w:r w:rsidR="00C00F19" w:rsidRPr="00D8070B">
        <w:rPr>
          <w:rFonts w:eastAsia="Times New Roman" w:hAnsi="Times New Roman" w:cs="Times New Roman"/>
          <w:color w:val="auto"/>
          <w:kern w:val="22"/>
          <w:bdr w:val="none" w:sz="0" w:space="0" w:color="auto"/>
          <w:lang w:val="en-GB"/>
        </w:rPr>
        <w:t>additional elements</w:t>
      </w:r>
      <w:r w:rsidR="009F4FB6" w:rsidRPr="00D8070B">
        <w:rPr>
          <w:rFonts w:eastAsia="Times New Roman" w:hAnsi="Times New Roman" w:cs="Times New Roman"/>
          <w:color w:val="auto"/>
          <w:kern w:val="22"/>
          <w:bdr w:val="none" w:sz="0" w:space="0" w:color="auto"/>
          <w:lang w:val="en-GB"/>
        </w:rPr>
        <w:t xml:space="preserve"> proposed by participants </w:t>
      </w:r>
      <w:r w:rsidR="00294A41">
        <w:rPr>
          <w:rFonts w:eastAsia="Times New Roman" w:hAnsi="Times New Roman" w:cs="Times New Roman"/>
          <w:color w:val="auto"/>
          <w:kern w:val="22"/>
          <w:bdr w:val="none" w:sz="0" w:space="0" w:color="auto"/>
          <w:lang w:val="en-GB"/>
        </w:rPr>
        <w:t>in</w:t>
      </w:r>
      <w:r w:rsidR="009F4FB6" w:rsidRPr="00D8070B">
        <w:rPr>
          <w:rFonts w:eastAsia="Times New Roman" w:hAnsi="Times New Roman" w:cs="Times New Roman"/>
          <w:color w:val="auto"/>
          <w:kern w:val="22"/>
          <w:bdr w:val="none" w:sz="0" w:space="0" w:color="auto"/>
          <w:lang w:val="en-GB"/>
        </w:rPr>
        <w:t xml:space="preserve"> the meeting</w:t>
      </w:r>
      <w:r w:rsidR="00C00F19" w:rsidRPr="0055272A">
        <w:rPr>
          <w:rFonts w:eastAsia="Times New Roman" w:hAnsi="Times New Roman" w:cs="Times New Roman"/>
          <w:color w:val="auto"/>
          <w:kern w:val="22"/>
          <w:bdr w:val="none" w:sz="0" w:space="0" w:color="auto"/>
          <w:lang w:val="en-GB"/>
        </w:rPr>
        <w:t xml:space="preserve"> </w:t>
      </w:r>
      <w:r w:rsidR="009F4FB6" w:rsidRPr="00294A41">
        <w:rPr>
          <w:rFonts w:eastAsia="Times New Roman" w:hAnsi="Times New Roman" w:cs="Times New Roman"/>
          <w:color w:val="auto"/>
          <w:kern w:val="22"/>
          <w:bdr w:val="none" w:sz="0" w:space="0" w:color="auto"/>
          <w:lang w:val="en-GB"/>
        </w:rPr>
        <w:t xml:space="preserve">in relation to </w:t>
      </w:r>
      <w:r w:rsidR="00C00F19" w:rsidRPr="00294A41">
        <w:rPr>
          <w:rFonts w:eastAsia="Times New Roman" w:hAnsi="Times New Roman" w:cs="Times New Roman"/>
          <w:color w:val="auto"/>
          <w:kern w:val="22"/>
          <w:bdr w:val="none" w:sz="0" w:space="0" w:color="auto"/>
          <w:lang w:val="en-GB"/>
        </w:rPr>
        <w:t>Goal E and Target 11 of the zero draft</w:t>
      </w:r>
      <w:r w:rsidR="001607E6" w:rsidRPr="00294A41">
        <w:rPr>
          <w:rFonts w:eastAsia="Times New Roman" w:hAnsi="Times New Roman" w:cs="Times New Roman"/>
          <w:color w:val="auto"/>
          <w:kern w:val="22"/>
          <w:bdr w:val="none" w:sz="0" w:space="0" w:color="auto"/>
          <w:lang w:val="en-GB"/>
        </w:rPr>
        <w:t xml:space="preserve">, and </w:t>
      </w:r>
      <w:r w:rsidR="00292B6F">
        <w:rPr>
          <w:rFonts w:eastAsia="Times New Roman" w:hAnsi="Times New Roman" w:cs="Times New Roman"/>
          <w:color w:val="auto"/>
          <w:kern w:val="22"/>
          <w:bdr w:val="none" w:sz="0" w:space="0" w:color="auto"/>
          <w:lang w:val="en-GB"/>
        </w:rPr>
        <w:t>formulate</w:t>
      </w:r>
      <w:r w:rsidR="00292B6F" w:rsidRPr="00294A41">
        <w:rPr>
          <w:rFonts w:eastAsia="Times New Roman" w:hAnsi="Times New Roman" w:cs="Times New Roman"/>
          <w:color w:val="auto"/>
          <w:kern w:val="22"/>
          <w:bdr w:val="none" w:sz="0" w:space="0" w:color="auto"/>
          <w:lang w:val="en-GB"/>
        </w:rPr>
        <w:t xml:space="preserve"> </w:t>
      </w:r>
      <w:r w:rsidR="001607E6" w:rsidRPr="00294A41">
        <w:rPr>
          <w:rFonts w:eastAsia="Times New Roman" w:hAnsi="Times New Roman" w:cs="Times New Roman"/>
          <w:color w:val="auto"/>
          <w:kern w:val="22"/>
          <w:bdr w:val="none" w:sz="0" w:space="0" w:color="auto"/>
          <w:lang w:val="en-GB"/>
        </w:rPr>
        <w:t>conclusions or suggestions on how the elements under consideration may support compliance with the Protocol</w:t>
      </w:r>
      <w:r w:rsidR="009F4FB6" w:rsidRPr="00292B6F">
        <w:rPr>
          <w:rFonts w:eastAsia="Times New Roman" w:hAnsi="Times New Roman" w:cs="Times New Roman"/>
          <w:color w:val="auto"/>
          <w:kern w:val="22"/>
          <w:bdr w:val="none" w:sz="0" w:space="0" w:color="auto"/>
          <w:lang w:val="en-GB"/>
        </w:rPr>
        <w:t>.</w:t>
      </w:r>
    </w:p>
    <w:p w14:paraId="60CD0BB1" w14:textId="77777777" w:rsidR="000A6DB2" w:rsidRPr="00561F20" w:rsidRDefault="000A6DB2" w:rsidP="00561F20">
      <w:pPr>
        <w:keepNext/>
        <w:suppressLineNumbers/>
        <w:suppressAutoHyphens/>
        <w:kinsoku w:val="0"/>
        <w:overflowPunct w:val="0"/>
        <w:autoSpaceDE w:val="0"/>
        <w:autoSpaceDN w:val="0"/>
        <w:rPr>
          <w:rFonts w:eastAsia="SimSun"/>
          <w:snapToGrid w:val="0"/>
          <w:color w:val="000000" w:themeColor="text1"/>
          <w:kern w:val="22"/>
          <w:szCs w:val="22"/>
          <w:u w:val="single"/>
        </w:rPr>
      </w:pPr>
    </w:p>
    <w:p w14:paraId="0C68B429" w14:textId="77777777" w:rsidR="00B3369F" w:rsidRPr="00561F20" w:rsidRDefault="002879B8">
      <w:pPr>
        <w:suppressLineNumbers/>
        <w:suppressAutoHyphens/>
        <w:kinsoku w:val="0"/>
        <w:overflowPunct w:val="0"/>
        <w:autoSpaceDE w:val="0"/>
        <w:autoSpaceDN w:val="0"/>
        <w:jc w:val="center"/>
        <w:rPr>
          <w:snapToGrid w:val="0"/>
          <w:color w:val="000000" w:themeColor="text1"/>
          <w:kern w:val="22"/>
          <w:szCs w:val="22"/>
        </w:rPr>
      </w:pPr>
      <w:r w:rsidRPr="00561F20">
        <w:rPr>
          <w:snapToGrid w:val="0"/>
          <w:color w:val="000000" w:themeColor="text1"/>
          <w:kern w:val="22"/>
          <w:szCs w:val="22"/>
        </w:rPr>
        <w:t>__________</w:t>
      </w:r>
    </w:p>
    <w:sectPr w:rsidR="00B3369F" w:rsidRPr="00561F20" w:rsidSect="00662D53">
      <w:headerReference w:type="even" r:id="rId29"/>
      <w:headerReference w:type="default" r:id="rId30"/>
      <w:footerReference w:type="even" r:id="rId31"/>
      <w:footerReference w:type="default" r:id="rId32"/>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B1B6" w14:textId="77777777" w:rsidR="00BD75C3" w:rsidRDefault="00BD75C3" w:rsidP="00CF1848">
      <w:r>
        <w:separator/>
      </w:r>
    </w:p>
  </w:endnote>
  <w:endnote w:type="continuationSeparator" w:id="0">
    <w:p w14:paraId="4FC35296" w14:textId="77777777" w:rsidR="00BD75C3" w:rsidRDefault="00BD75C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7DE29" w14:textId="77777777" w:rsidR="00FA3B48" w:rsidRDefault="00FA3B48" w:rsidP="00662D53">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D767" w14:textId="77777777" w:rsidR="00FA3B48" w:rsidRDefault="00FA3B48" w:rsidP="00662D53">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254F" w14:textId="77777777" w:rsidR="00BD75C3" w:rsidRDefault="00BD75C3" w:rsidP="00CF1848">
      <w:r>
        <w:separator/>
      </w:r>
    </w:p>
  </w:footnote>
  <w:footnote w:type="continuationSeparator" w:id="0">
    <w:p w14:paraId="3B902DF3" w14:textId="77777777" w:rsidR="00BD75C3" w:rsidRDefault="00BD75C3" w:rsidP="00CF1848">
      <w:r>
        <w:continuationSeparator/>
      </w:r>
    </w:p>
  </w:footnote>
  <w:footnote w:id="1">
    <w:p w14:paraId="5D711AAF" w14:textId="2DE91047" w:rsidR="000A6DB2" w:rsidRPr="000B09AF" w:rsidRDefault="000A6DB2" w:rsidP="00561F20">
      <w:pPr>
        <w:pStyle w:val="FootnoteText"/>
        <w:suppressLineNumbers/>
        <w:suppressAutoHyphens/>
        <w:kinsoku w:val="0"/>
        <w:overflowPunct w:val="0"/>
        <w:autoSpaceDE w:val="0"/>
        <w:autoSpaceDN w:val="0"/>
        <w:ind w:firstLine="0"/>
        <w:jc w:val="left"/>
        <w:rPr>
          <w:snapToGrid w:val="0"/>
          <w:kern w:val="18"/>
          <w:szCs w:val="18"/>
        </w:rPr>
      </w:pPr>
      <w:r w:rsidRPr="000B09AF">
        <w:rPr>
          <w:rStyle w:val="FootnoteReference"/>
          <w:rFonts w:eastAsiaTheme="majorEastAsia"/>
          <w:snapToGrid w:val="0"/>
          <w:kern w:val="18"/>
          <w:sz w:val="18"/>
          <w:szCs w:val="18"/>
        </w:rPr>
        <w:sym w:font="Symbol" w:char="F02A"/>
      </w:r>
      <w:r w:rsidRPr="000B09AF">
        <w:rPr>
          <w:snapToGrid w:val="0"/>
          <w:kern w:val="18"/>
          <w:szCs w:val="18"/>
        </w:rPr>
        <w:t xml:space="preserve"> </w:t>
      </w:r>
      <w:hyperlink r:id="rId1" w:history="1">
        <w:r w:rsidRPr="000B09AF">
          <w:rPr>
            <w:rStyle w:val="Hyperlink"/>
            <w:snapToGrid w:val="0"/>
            <w:kern w:val="18"/>
            <w:szCs w:val="18"/>
          </w:rPr>
          <w:t>CBD/</w:t>
        </w:r>
        <w:r w:rsidR="002E2CC8" w:rsidRPr="000B09AF">
          <w:rPr>
            <w:rStyle w:val="Hyperlink"/>
            <w:snapToGrid w:val="0"/>
            <w:kern w:val="18"/>
            <w:szCs w:val="18"/>
          </w:rPr>
          <w:t>NP</w:t>
        </w:r>
        <w:r w:rsidRPr="000B09AF">
          <w:rPr>
            <w:rStyle w:val="Hyperlink"/>
            <w:snapToGrid w:val="0"/>
            <w:kern w:val="18"/>
            <w:szCs w:val="18"/>
          </w:rPr>
          <w:t>/CC/</w:t>
        </w:r>
        <w:r w:rsidR="0007193B" w:rsidRPr="000B09AF">
          <w:rPr>
            <w:rStyle w:val="Hyperlink"/>
            <w:snapToGrid w:val="0"/>
            <w:kern w:val="18"/>
            <w:szCs w:val="18"/>
          </w:rPr>
          <w:t>3</w:t>
        </w:r>
        <w:r w:rsidRPr="000B09AF">
          <w:rPr>
            <w:rStyle w:val="Hyperlink"/>
            <w:snapToGrid w:val="0"/>
            <w:kern w:val="18"/>
            <w:szCs w:val="18"/>
          </w:rPr>
          <w:t>/1</w:t>
        </w:r>
      </w:hyperlink>
      <w:r w:rsidRPr="000B09AF">
        <w:rPr>
          <w:snapToGrid w:val="0"/>
          <w:kern w:val="18"/>
          <w:szCs w:val="18"/>
        </w:rPr>
        <w:t>.</w:t>
      </w:r>
    </w:p>
  </w:footnote>
  <w:footnote w:id="2">
    <w:p w14:paraId="352FE343" w14:textId="3E66D8E4" w:rsidR="00D22826" w:rsidRPr="00561F20" w:rsidRDefault="00D22826"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w:t>
      </w:r>
      <w:r w:rsidR="00E1768B" w:rsidRPr="00561F20">
        <w:rPr>
          <w:kern w:val="18"/>
          <w:szCs w:val="18"/>
        </w:rPr>
        <w:t xml:space="preserve"> Angola, Bolivia (</w:t>
      </w:r>
      <w:proofErr w:type="spellStart"/>
      <w:r w:rsidR="00E1768B" w:rsidRPr="00561F20">
        <w:rPr>
          <w:kern w:val="18"/>
          <w:szCs w:val="18"/>
        </w:rPr>
        <w:t>Plurinational</w:t>
      </w:r>
      <w:proofErr w:type="spellEnd"/>
      <w:r w:rsidR="00E1768B" w:rsidRPr="00561F20">
        <w:rPr>
          <w:kern w:val="18"/>
          <w:szCs w:val="18"/>
        </w:rPr>
        <w:t xml:space="preserve"> State of), Cambodia, Djibouti, Egypt, Fiji, Gabon, Guatemala, Guyana, Jordan, Lesotho, Luxembourg, Marshall Islands, Mauritius, Micronesia (Federated States of), Mozambique, Myanmar, Namibia, Republic of Korea, Samoa, Sierra Leone, Syrian Arab Republic, Tajikistan, United Arab Emirates, Vanuatu, Zambia</w:t>
      </w:r>
      <w:r w:rsidR="0066568E" w:rsidRPr="00561F20">
        <w:rPr>
          <w:kern w:val="18"/>
          <w:szCs w:val="18"/>
        </w:rPr>
        <w:t>.</w:t>
      </w:r>
    </w:p>
  </w:footnote>
  <w:footnote w:id="3">
    <w:p w14:paraId="3791067A" w14:textId="5D643B4D" w:rsidR="00D22826" w:rsidRPr="00561F20" w:rsidRDefault="00D22826"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w:t>
      </w:r>
      <w:r w:rsidR="00E1768B" w:rsidRPr="00561F20">
        <w:rPr>
          <w:kern w:val="18"/>
          <w:szCs w:val="18"/>
        </w:rPr>
        <w:t>Angola, Cambodia, Egypt, Gabon, Guatemala, Namibia, Samoa, and Syrian Arab Republic.</w:t>
      </w:r>
    </w:p>
  </w:footnote>
  <w:footnote w:id="4">
    <w:p w14:paraId="32BFA213" w14:textId="1F462B76" w:rsidR="000E1E91" w:rsidRPr="00561F20" w:rsidRDefault="000E1E91"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Albania, Angola, Antigua and Barbuda, Argentina, Belarus, Belgium, Benin, Bhutan, Botswana, Bulgaria, Burkina Faso, Burundi, Cambodia, Cameroon, China, Comoros, Congo, Côte d'Ivoire, Croatia, Cuba, Czech</w:t>
      </w:r>
      <w:r w:rsidR="0066568E" w:rsidRPr="00561F20">
        <w:rPr>
          <w:kern w:val="18"/>
          <w:szCs w:val="18"/>
        </w:rPr>
        <w:t>ia</w:t>
      </w:r>
      <w:r w:rsidRPr="00561F20">
        <w:rPr>
          <w:kern w:val="18"/>
          <w:szCs w:val="18"/>
        </w:rPr>
        <w:t>, Democratic Republic of the Congo, Denmark, Djibouti, Dominican Republic, Egypt, Eswatini, Ethiopia, European Union, Fiji, Finland, France, Gabon, Gambia, Germany, Guatemala, Guinea, Guinea-Bissau, Guyana, Honduras, Hungary, India, Indonesia, Japan, Kazakhstan, Kenya, Kuwait, Kyrgyzstan, Lao People</w:t>
      </w:r>
      <w:r w:rsidR="00903489" w:rsidRPr="00561F20">
        <w:rPr>
          <w:kern w:val="18"/>
          <w:szCs w:val="18"/>
        </w:rPr>
        <w:t>’</w:t>
      </w:r>
      <w:r w:rsidRPr="00561F20">
        <w:rPr>
          <w:kern w:val="18"/>
          <w:szCs w:val="18"/>
        </w:rPr>
        <w:t>s Democratic Republic, Lesotho, Liberia, Madagascar, Malawi, Mali, Malta, Mauritania, Mexico, Mongolia, Mozambique, Myanmar, Namibia, Netherlands, Niger, Norway, Pakistan, Panama, Peru, Philippines, Portugal, Qatar, Republic of Korea, Republic of Moldova, Rwanda, Samoa, Sao Tome and Principe, Senegal, Seychelles, Sierra Leone, Slovakia, South Africa, Spain, Sudan, Sweden, Switzerland, Tajikistan, Togo, Uganda, United Kingdom of Great Britain and Northern Ireland, Uruguay, Viet Nam, Zambia</w:t>
      </w:r>
      <w:r w:rsidR="00BD19FE" w:rsidRPr="00561F20">
        <w:rPr>
          <w:kern w:val="18"/>
          <w:szCs w:val="18"/>
        </w:rPr>
        <w:t>.</w:t>
      </w:r>
    </w:p>
  </w:footnote>
  <w:footnote w:id="5">
    <w:p w14:paraId="16C6124A" w14:textId="4C609409" w:rsidR="000E1E91" w:rsidRPr="00561F20" w:rsidRDefault="000E1E91"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w:t>
      </w:r>
      <w:r w:rsidR="000B42A8" w:rsidRPr="00561F20">
        <w:rPr>
          <w:kern w:val="18"/>
          <w:szCs w:val="18"/>
        </w:rPr>
        <w:t xml:space="preserve">The following Parties have not submitted their interim national report: </w:t>
      </w:r>
      <w:r w:rsidRPr="00561F20">
        <w:rPr>
          <w:kern w:val="18"/>
          <w:szCs w:val="18"/>
        </w:rPr>
        <w:t>Jordan, Luxembourg, Marshall Islands, Mauritius, Micronesia (Federated States of), Syrian Arab Republic, United Arab Emirates, Vanuatu</w:t>
      </w:r>
      <w:r w:rsidR="009D7333" w:rsidRPr="00561F20">
        <w:rPr>
          <w:kern w:val="18"/>
          <w:szCs w:val="18"/>
        </w:rPr>
        <w:t>.</w:t>
      </w:r>
    </w:p>
  </w:footnote>
  <w:footnote w:id="6">
    <w:p w14:paraId="3C0DBF5A" w14:textId="6CBF2E03" w:rsidR="00580B38" w:rsidRPr="00561F20" w:rsidRDefault="00580B38"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000B42A8" w:rsidRPr="00561F20">
        <w:rPr>
          <w:kern w:val="18"/>
          <w:szCs w:val="18"/>
        </w:rPr>
        <w:t>Austria,</w:t>
      </w:r>
      <w:r w:rsidRPr="00561F20">
        <w:rPr>
          <w:kern w:val="18"/>
          <w:szCs w:val="18"/>
        </w:rPr>
        <w:t xml:space="preserve"> Barbados,</w:t>
      </w:r>
      <w:r w:rsidR="000B42A8" w:rsidRPr="00561F20">
        <w:rPr>
          <w:kern w:val="18"/>
          <w:szCs w:val="18"/>
        </w:rPr>
        <w:t xml:space="preserve"> Estonia,</w:t>
      </w:r>
      <w:r w:rsidRPr="00561F20">
        <w:rPr>
          <w:kern w:val="18"/>
          <w:szCs w:val="18"/>
        </w:rPr>
        <w:t xml:space="preserve"> Morocco, Nigeria</w:t>
      </w:r>
      <w:r w:rsidR="002C62F9" w:rsidRPr="00561F20">
        <w:rPr>
          <w:kern w:val="18"/>
          <w:szCs w:val="18"/>
        </w:rPr>
        <w:t>, Poland</w:t>
      </w:r>
      <w:r w:rsidR="000B42A8" w:rsidRPr="00561F20">
        <w:rPr>
          <w:kern w:val="18"/>
          <w:szCs w:val="18"/>
        </w:rPr>
        <w:t xml:space="preserve">, Venezuela </w:t>
      </w:r>
      <w:r w:rsidR="00865B3E" w:rsidRPr="00561F20">
        <w:rPr>
          <w:kern w:val="18"/>
          <w:szCs w:val="18"/>
        </w:rPr>
        <w:t>(Bolivarian Republic of)</w:t>
      </w:r>
      <w:r w:rsidR="0016673A" w:rsidRPr="000B09AF">
        <w:rPr>
          <w:kern w:val="18"/>
          <w:szCs w:val="18"/>
        </w:rPr>
        <w:t>,</w:t>
      </w:r>
      <w:r w:rsidR="000B42A8" w:rsidRPr="00561F20">
        <w:rPr>
          <w:kern w:val="18"/>
          <w:szCs w:val="18"/>
        </w:rPr>
        <w:t xml:space="preserve"> Saint Kitts and Nevis.</w:t>
      </w:r>
    </w:p>
  </w:footnote>
  <w:footnote w:id="7">
    <w:p w14:paraId="7672BB41" w14:textId="7D5519DA" w:rsidR="002C62F9" w:rsidRPr="00561F20" w:rsidRDefault="002C62F9"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Fiji</w:t>
      </w:r>
      <w:r w:rsidR="00865B3E" w:rsidRPr="00561F20">
        <w:rPr>
          <w:kern w:val="18"/>
          <w:szCs w:val="18"/>
        </w:rPr>
        <w:t>.</w:t>
      </w:r>
    </w:p>
  </w:footnote>
  <w:footnote w:id="8">
    <w:p w14:paraId="39E8FB2F" w14:textId="267D023B" w:rsidR="00D2687E" w:rsidRPr="00561F20" w:rsidRDefault="00D2687E"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w:t>
      </w:r>
      <w:r w:rsidR="00544D2F" w:rsidRPr="000B09AF">
        <w:rPr>
          <w:kern w:val="18"/>
          <w:szCs w:val="18"/>
        </w:rPr>
        <w:t>D</w:t>
      </w:r>
      <w:r w:rsidRPr="00561F20">
        <w:rPr>
          <w:kern w:val="18"/>
          <w:szCs w:val="18"/>
        </w:rPr>
        <w:t>ecision NP-3/1</w:t>
      </w:r>
      <w:r w:rsidR="00544D2F" w:rsidRPr="000B09AF">
        <w:rPr>
          <w:kern w:val="18"/>
          <w:szCs w:val="18"/>
        </w:rPr>
        <w:t>, annex I</w:t>
      </w:r>
      <w:r w:rsidRPr="00561F20">
        <w:rPr>
          <w:kern w:val="18"/>
          <w:szCs w:val="18"/>
        </w:rPr>
        <w:t>.</w:t>
      </w:r>
    </w:p>
  </w:footnote>
  <w:footnote w:id="9">
    <w:p w14:paraId="796C4311" w14:textId="297D9E03" w:rsidR="003B14E7" w:rsidRPr="00561F20" w:rsidRDefault="003B14E7"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Austria, Belarus, Belgium, Bhutan, Bulgaria, Croatia, Cuba, Czech</w:t>
      </w:r>
      <w:r w:rsidR="00957C47" w:rsidRPr="00561F20">
        <w:rPr>
          <w:kern w:val="18"/>
          <w:szCs w:val="18"/>
        </w:rPr>
        <w:t>ia</w:t>
      </w:r>
      <w:r w:rsidRPr="00561F20">
        <w:rPr>
          <w:kern w:val="18"/>
          <w:szCs w:val="18"/>
        </w:rPr>
        <w:t>, Denmark, Djibouti, Dominican Republic, Estonia, Eswatini, European Union, Finland, France, Germany, Hungary, Indonesia, Japan, Kenya, Lesotho, Malta, Mauritania, Netherlands, Peru, Portugal, Qatar, Republic of Korea, Rwanda, Sierra Leone, Slovakia, South Africa, Spain, Sweden, Switzerland, United Kingdom, Uruguay, Viet Nam, Zambia</w:t>
      </w:r>
      <w:r w:rsidR="00957C47" w:rsidRPr="00561F20">
        <w:rPr>
          <w:kern w:val="18"/>
          <w:szCs w:val="18"/>
        </w:rPr>
        <w:t>.</w:t>
      </w:r>
    </w:p>
  </w:footnote>
  <w:footnote w:id="10">
    <w:p w14:paraId="749790E5" w14:textId="5C5C1766" w:rsidR="00092D8B" w:rsidRPr="00561F20" w:rsidRDefault="00092D8B" w:rsidP="00561F20">
      <w:pPr>
        <w:pStyle w:val="FootnoteText"/>
        <w:suppressLineNumbers/>
        <w:suppressAutoHyphens/>
        <w:ind w:firstLine="0"/>
        <w:jc w:val="left"/>
        <w:rPr>
          <w:kern w:val="18"/>
          <w:szCs w:val="18"/>
        </w:rPr>
      </w:pPr>
      <w:r w:rsidRPr="00561F20">
        <w:rPr>
          <w:rStyle w:val="FootnoteReference"/>
          <w:kern w:val="18"/>
          <w:sz w:val="18"/>
          <w:szCs w:val="18"/>
        </w:rPr>
        <w:footnoteRef/>
      </w:r>
      <w:r w:rsidRPr="00561F20">
        <w:rPr>
          <w:kern w:val="18"/>
          <w:szCs w:val="18"/>
        </w:rPr>
        <w:t xml:space="preserve"> </w:t>
      </w:r>
      <w:r w:rsidR="00325A88" w:rsidRPr="000B09AF">
        <w:rPr>
          <w:kern w:val="18"/>
          <w:szCs w:val="18"/>
        </w:rPr>
        <w:t>For t</w:t>
      </w:r>
      <w:r w:rsidRPr="00561F20">
        <w:rPr>
          <w:kern w:val="18"/>
          <w:szCs w:val="18"/>
        </w:rPr>
        <w:t xml:space="preserve">he report on the </w:t>
      </w:r>
      <w:r w:rsidR="00CB42A1" w:rsidRPr="000B09AF">
        <w:rPr>
          <w:kern w:val="18"/>
          <w:szCs w:val="18"/>
        </w:rPr>
        <w:t>C</w:t>
      </w:r>
      <w:r w:rsidRPr="00561F20">
        <w:rPr>
          <w:kern w:val="18"/>
          <w:szCs w:val="18"/>
        </w:rPr>
        <w:t>onsultation</w:t>
      </w:r>
      <w:r w:rsidR="00CB42A1" w:rsidRPr="000B09AF">
        <w:rPr>
          <w:kern w:val="18"/>
          <w:szCs w:val="18"/>
        </w:rPr>
        <w:t>,</w:t>
      </w:r>
      <w:r w:rsidRPr="00561F20">
        <w:rPr>
          <w:kern w:val="18"/>
          <w:szCs w:val="18"/>
        </w:rPr>
        <w:t xml:space="preserve"> </w:t>
      </w:r>
      <w:r w:rsidR="00325A88" w:rsidRPr="000B09AF">
        <w:rPr>
          <w:kern w:val="18"/>
          <w:szCs w:val="18"/>
        </w:rPr>
        <w:t xml:space="preserve">see </w:t>
      </w:r>
      <w:hyperlink r:id="rId2" w:history="1">
        <w:r w:rsidR="00325A88" w:rsidRPr="000B09AF">
          <w:rPr>
            <w:rStyle w:val="Hyperlink"/>
            <w:kern w:val="18"/>
            <w:szCs w:val="18"/>
          </w:rPr>
          <w:t>CBD/POST2020/WS/2019/8/3</w:t>
        </w:r>
      </w:hyperlink>
      <w:r w:rsidR="00CB42A1" w:rsidRPr="000B09AF">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47EB1421" w14:textId="384E74FB" w:rsidR="00534681" w:rsidRPr="00662D53" w:rsidRDefault="002E2CC8" w:rsidP="00662D53">
        <w:pPr>
          <w:pStyle w:val="Header"/>
          <w:tabs>
            <w:tab w:val="clear" w:pos="4320"/>
            <w:tab w:val="clear" w:pos="8640"/>
          </w:tabs>
          <w:kinsoku w:val="0"/>
          <w:overflowPunct w:val="0"/>
          <w:autoSpaceDE w:val="0"/>
          <w:autoSpaceDN w:val="0"/>
          <w:jc w:val="left"/>
          <w:rPr>
            <w:kern w:val="22"/>
          </w:rPr>
        </w:pPr>
        <w:r>
          <w:rPr>
            <w:kern w:val="22"/>
          </w:rPr>
          <w:t>CBD/NP/CC/3/3</w:t>
        </w:r>
      </w:p>
    </w:sdtContent>
  </w:sdt>
  <w:p w14:paraId="207022B6" w14:textId="77777777" w:rsidR="00534681" w:rsidRPr="00662D53" w:rsidRDefault="00534681" w:rsidP="00662D53">
    <w:pPr>
      <w:pStyle w:val="Header"/>
      <w:tabs>
        <w:tab w:val="clear" w:pos="4320"/>
        <w:tab w:val="clear" w:pos="8640"/>
      </w:tabs>
      <w:kinsoku w:val="0"/>
      <w:overflowPunct w:val="0"/>
      <w:autoSpaceDE w:val="0"/>
      <w:autoSpaceDN w:val="0"/>
      <w:jc w:val="left"/>
      <w:rPr>
        <w:kern w:val="22"/>
      </w:rPr>
    </w:pPr>
    <w:r w:rsidRPr="00662D53">
      <w:rPr>
        <w:kern w:val="22"/>
      </w:rPr>
      <w:t xml:space="preserve">Page </w:t>
    </w:r>
    <w:r w:rsidRPr="00662D53">
      <w:rPr>
        <w:kern w:val="22"/>
      </w:rPr>
      <w:fldChar w:fldCharType="begin"/>
    </w:r>
    <w:r w:rsidRPr="00662D53">
      <w:rPr>
        <w:kern w:val="22"/>
      </w:rPr>
      <w:instrText xml:space="preserve"> PAGE   \* MERGEFORMAT </w:instrText>
    </w:r>
    <w:r w:rsidRPr="00662D53">
      <w:rPr>
        <w:kern w:val="22"/>
      </w:rPr>
      <w:fldChar w:fldCharType="separate"/>
    </w:r>
    <w:r w:rsidR="00662D53">
      <w:rPr>
        <w:noProof/>
        <w:kern w:val="22"/>
      </w:rPr>
      <w:t>10</w:t>
    </w:r>
    <w:r w:rsidRPr="00662D53">
      <w:rPr>
        <w:noProof/>
        <w:kern w:val="22"/>
      </w:rPr>
      <w:fldChar w:fldCharType="end"/>
    </w:r>
  </w:p>
  <w:p w14:paraId="08F0691A" w14:textId="77777777" w:rsidR="00534681" w:rsidRPr="00662D53" w:rsidRDefault="00534681" w:rsidP="00662D53">
    <w:pPr>
      <w:pStyle w:val="Header"/>
      <w:tabs>
        <w:tab w:val="clear" w:pos="4320"/>
        <w:tab w:val="clear" w:pos="8640"/>
      </w:tabs>
      <w:kinsoku w:val="0"/>
      <w:overflowPunct w:val="0"/>
      <w:autoSpaceDE w:val="0"/>
      <w:autoSpaceDN w:val="0"/>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F961DD7" w14:textId="235BF41E" w:rsidR="009505C9" w:rsidRPr="00662D53" w:rsidRDefault="002E2CC8" w:rsidP="00662D53">
        <w:pPr>
          <w:pStyle w:val="Header"/>
          <w:tabs>
            <w:tab w:val="clear" w:pos="4320"/>
            <w:tab w:val="clear" w:pos="8640"/>
          </w:tabs>
          <w:kinsoku w:val="0"/>
          <w:overflowPunct w:val="0"/>
          <w:autoSpaceDE w:val="0"/>
          <w:autoSpaceDN w:val="0"/>
          <w:jc w:val="right"/>
          <w:rPr>
            <w:kern w:val="22"/>
          </w:rPr>
        </w:pPr>
        <w:r>
          <w:rPr>
            <w:kern w:val="22"/>
          </w:rPr>
          <w:t>CBD/NP/CC/3/3</w:t>
        </w:r>
      </w:p>
    </w:sdtContent>
  </w:sdt>
  <w:p w14:paraId="7D0387C2" w14:textId="77777777" w:rsidR="009505C9" w:rsidRPr="00662D53" w:rsidRDefault="009505C9" w:rsidP="00662D53">
    <w:pPr>
      <w:pStyle w:val="Header"/>
      <w:tabs>
        <w:tab w:val="clear" w:pos="4320"/>
        <w:tab w:val="clear" w:pos="8640"/>
      </w:tabs>
      <w:kinsoku w:val="0"/>
      <w:overflowPunct w:val="0"/>
      <w:autoSpaceDE w:val="0"/>
      <w:autoSpaceDN w:val="0"/>
      <w:jc w:val="right"/>
      <w:rPr>
        <w:kern w:val="22"/>
      </w:rPr>
    </w:pPr>
    <w:r w:rsidRPr="00662D53">
      <w:rPr>
        <w:kern w:val="22"/>
      </w:rPr>
      <w:t xml:space="preserve">Page </w:t>
    </w:r>
    <w:r w:rsidRPr="00662D53">
      <w:rPr>
        <w:kern w:val="22"/>
      </w:rPr>
      <w:fldChar w:fldCharType="begin"/>
    </w:r>
    <w:r w:rsidRPr="00662D53">
      <w:rPr>
        <w:kern w:val="22"/>
      </w:rPr>
      <w:instrText xml:space="preserve"> PAGE   \* MERGEFORMAT </w:instrText>
    </w:r>
    <w:r w:rsidRPr="00662D53">
      <w:rPr>
        <w:kern w:val="22"/>
      </w:rPr>
      <w:fldChar w:fldCharType="separate"/>
    </w:r>
    <w:r w:rsidR="00662D53">
      <w:rPr>
        <w:noProof/>
        <w:kern w:val="22"/>
      </w:rPr>
      <w:t>9</w:t>
    </w:r>
    <w:r w:rsidRPr="00662D53">
      <w:rPr>
        <w:noProof/>
        <w:kern w:val="22"/>
      </w:rPr>
      <w:fldChar w:fldCharType="end"/>
    </w:r>
  </w:p>
  <w:p w14:paraId="0B7C28B2" w14:textId="77777777" w:rsidR="009505C9" w:rsidRPr="00662D53" w:rsidRDefault="009505C9" w:rsidP="00662D53">
    <w:pPr>
      <w:pStyle w:val="Header"/>
      <w:tabs>
        <w:tab w:val="clear" w:pos="4320"/>
        <w:tab w:val="clear" w:pos="8640"/>
      </w:tabs>
      <w:kinsoku w:val="0"/>
      <w:overflowPunct w:val="0"/>
      <w:autoSpaceDE w:val="0"/>
      <w:autoSpaceDN w:val="0"/>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11A"/>
    <w:multiLevelType w:val="multilevel"/>
    <w:tmpl w:val="7010ABD2"/>
    <w:lvl w:ilvl="0">
      <w:start w:val="22"/>
      <w:numFmt w:val="decimal"/>
      <w:lvlText w:val="%1."/>
      <w:lvlJc w:val="left"/>
      <w:pPr>
        <w:ind w:left="0" w:firstLine="0"/>
      </w:pPr>
      <w:rPr>
        <w:rFonts w:ascii="Times New Roman" w:hAnsi="Times New Roman" w:cs="Times New Roman" w:hint="default"/>
        <w:b w:val="0"/>
        <w:i w:val="0"/>
        <w:color w:val="000000"/>
        <w:position w:val="0"/>
        <w:sz w:val="22"/>
        <w:szCs w:val="22"/>
      </w:rPr>
    </w:lvl>
    <w:lvl w:ilvl="1">
      <w:start w:val="1"/>
      <w:numFmt w:val="lowerLetter"/>
      <w:lvlText w:val="(%2)"/>
      <w:lvlJc w:val="left"/>
      <w:pPr>
        <w:ind w:left="0" w:firstLine="0"/>
      </w:pPr>
      <w:rPr>
        <w:rFonts w:hint="default"/>
        <w:b w:val="0"/>
        <w:color w:val="000000"/>
        <w:position w:val="0"/>
      </w:rPr>
    </w:lvl>
    <w:lvl w:ilvl="2">
      <w:start w:val="1"/>
      <w:numFmt w:val="lowerRoman"/>
      <w:lvlText w:val="(%3)"/>
      <w:lvlJc w:val="left"/>
      <w:pPr>
        <w:ind w:left="0" w:firstLine="0"/>
      </w:pPr>
      <w:rPr>
        <w:rFonts w:hint="default"/>
        <w:color w:val="000000"/>
        <w:position w:val="0"/>
      </w:rPr>
    </w:lvl>
    <w:lvl w:ilvl="3">
      <w:start w:val="1"/>
      <w:numFmt w:val="bullet"/>
      <w:lvlText w:val="•"/>
      <w:lvlJc w:val="left"/>
      <w:pPr>
        <w:ind w:left="0" w:firstLine="0"/>
      </w:pPr>
      <w:rPr>
        <w:rFonts w:hint="default"/>
        <w:color w:val="000000"/>
        <w:position w:val="0"/>
      </w:rPr>
    </w:lvl>
    <w:lvl w:ilvl="4">
      <w:start w:val="1"/>
      <w:numFmt w:val="lowerLetter"/>
      <w:lvlText w:val="(%5)"/>
      <w:lvlJc w:val="left"/>
      <w:pPr>
        <w:ind w:left="0" w:firstLine="0"/>
      </w:pPr>
      <w:rPr>
        <w:rFonts w:hint="default"/>
        <w:color w:val="000000"/>
        <w:position w:val="0"/>
      </w:rPr>
    </w:lvl>
    <w:lvl w:ilvl="5">
      <w:start w:val="1"/>
      <w:numFmt w:val="lowerRoman"/>
      <w:lvlText w:val="(%6)"/>
      <w:lvlJc w:val="left"/>
      <w:pPr>
        <w:ind w:left="0" w:firstLine="0"/>
      </w:pPr>
      <w:rPr>
        <w:rFonts w:hint="default"/>
        <w:color w:val="000000"/>
        <w:position w:val="0"/>
      </w:rPr>
    </w:lvl>
    <w:lvl w:ilvl="6">
      <w:start w:val="2"/>
      <w:numFmt w:val="decimal"/>
      <w:lvlText w:val="%7."/>
      <w:lvlJc w:val="left"/>
      <w:pPr>
        <w:ind w:left="0" w:firstLine="0"/>
      </w:pPr>
      <w:rPr>
        <w:rFonts w:hint="default"/>
        <w:b w:val="0"/>
        <w:i w:val="0"/>
        <w:iCs/>
        <w:color w:val="000000"/>
        <w:position w:val="0"/>
      </w:rPr>
    </w:lvl>
    <w:lvl w:ilvl="7">
      <w:start w:val="1"/>
      <w:numFmt w:val="lowerLetter"/>
      <w:lvlText w:val="%8."/>
      <w:lvlJc w:val="left"/>
      <w:pPr>
        <w:ind w:left="0" w:firstLine="0"/>
      </w:pPr>
      <w:rPr>
        <w:rFonts w:hint="default"/>
        <w:color w:val="000000"/>
        <w:position w:val="0"/>
      </w:rPr>
    </w:lvl>
    <w:lvl w:ilvl="8">
      <w:start w:val="1"/>
      <w:numFmt w:val="lowerRoman"/>
      <w:lvlText w:val="%9."/>
      <w:lvlJc w:val="left"/>
      <w:pPr>
        <w:ind w:left="0" w:firstLine="0"/>
      </w:pPr>
      <w:rPr>
        <w:rFonts w:hint="default"/>
        <w:color w:val="000000"/>
        <w:position w:val="0"/>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14573B"/>
    <w:multiLevelType w:val="multilevel"/>
    <w:tmpl w:val="92068458"/>
    <w:lvl w:ilvl="0">
      <w:start w:val="51"/>
      <w:numFmt w:val="decimal"/>
      <w:lvlText w:val="%1."/>
      <w:lvlJc w:val="left"/>
      <w:pPr>
        <w:ind w:left="0" w:firstLine="0"/>
      </w:pPr>
      <w:rPr>
        <w:rFonts w:ascii="Times New Roman" w:hAnsi="Times New Roman" w:cs="Times New Roman" w:hint="default"/>
        <w:b w:val="0"/>
        <w:i w:val="0"/>
        <w:color w:val="000000"/>
        <w:position w:val="0"/>
        <w:sz w:val="22"/>
        <w:szCs w:val="22"/>
      </w:rPr>
    </w:lvl>
    <w:lvl w:ilvl="1">
      <w:start w:val="1"/>
      <w:numFmt w:val="lowerLetter"/>
      <w:lvlText w:val="(%2)"/>
      <w:lvlJc w:val="left"/>
      <w:pPr>
        <w:ind w:left="0" w:firstLine="0"/>
      </w:pPr>
      <w:rPr>
        <w:rFonts w:hint="default"/>
        <w:b w:val="0"/>
        <w:color w:val="000000"/>
        <w:position w:val="0"/>
      </w:rPr>
    </w:lvl>
    <w:lvl w:ilvl="2">
      <w:start w:val="1"/>
      <w:numFmt w:val="lowerRoman"/>
      <w:lvlText w:val="(%3)"/>
      <w:lvlJc w:val="left"/>
      <w:pPr>
        <w:ind w:left="0" w:firstLine="0"/>
      </w:pPr>
      <w:rPr>
        <w:rFonts w:hint="default"/>
        <w:color w:val="000000"/>
        <w:position w:val="0"/>
      </w:rPr>
    </w:lvl>
    <w:lvl w:ilvl="3">
      <w:start w:val="1"/>
      <w:numFmt w:val="bullet"/>
      <w:lvlText w:val="•"/>
      <w:lvlJc w:val="left"/>
      <w:pPr>
        <w:ind w:left="0" w:firstLine="0"/>
      </w:pPr>
      <w:rPr>
        <w:rFonts w:hint="default"/>
        <w:color w:val="000000"/>
        <w:position w:val="0"/>
      </w:rPr>
    </w:lvl>
    <w:lvl w:ilvl="4">
      <w:start w:val="1"/>
      <w:numFmt w:val="lowerLetter"/>
      <w:lvlText w:val="(%5)"/>
      <w:lvlJc w:val="left"/>
      <w:pPr>
        <w:ind w:left="0" w:firstLine="0"/>
      </w:pPr>
      <w:rPr>
        <w:rFonts w:hint="default"/>
        <w:color w:val="000000"/>
        <w:position w:val="0"/>
      </w:rPr>
    </w:lvl>
    <w:lvl w:ilvl="5">
      <w:start w:val="1"/>
      <w:numFmt w:val="lowerRoman"/>
      <w:lvlText w:val="(%6)"/>
      <w:lvlJc w:val="left"/>
      <w:pPr>
        <w:ind w:left="0" w:firstLine="0"/>
      </w:pPr>
      <w:rPr>
        <w:rFonts w:hint="default"/>
        <w:color w:val="000000"/>
        <w:position w:val="0"/>
      </w:rPr>
    </w:lvl>
    <w:lvl w:ilvl="6">
      <w:start w:val="2"/>
      <w:numFmt w:val="decimal"/>
      <w:lvlText w:val="%7."/>
      <w:lvlJc w:val="left"/>
      <w:pPr>
        <w:ind w:left="0" w:firstLine="0"/>
      </w:pPr>
      <w:rPr>
        <w:rFonts w:hint="default"/>
        <w:b w:val="0"/>
        <w:i w:val="0"/>
        <w:iCs/>
        <w:color w:val="000000"/>
        <w:position w:val="0"/>
      </w:rPr>
    </w:lvl>
    <w:lvl w:ilvl="7">
      <w:start w:val="1"/>
      <w:numFmt w:val="lowerLetter"/>
      <w:lvlText w:val="%8."/>
      <w:lvlJc w:val="left"/>
      <w:pPr>
        <w:ind w:left="0" w:firstLine="0"/>
      </w:pPr>
      <w:rPr>
        <w:rFonts w:hint="default"/>
        <w:color w:val="000000"/>
        <w:position w:val="0"/>
      </w:rPr>
    </w:lvl>
    <w:lvl w:ilvl="8">
      <w:start w:val="1"/>
      <w:numFmt w:val="lowerRoman"/>
      <w:lvlText w:val="%9."/>
      <w:lvlJc w:val="left"/>
      <w:pPr>
        <w:ind w:left="0" w:firstLine="0"/>
      </w:pPr>
      <w:rPr>
        <w:rFonts w:hint="default"/>
        <w:color w:val="000000"/>
        <w:position w:val="0"/>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C63A55"/>
    <w:multiLevelType w:val="multilevel"/>
    <w:tmpl w:val="F3F2107A"/>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1506B72"/>
    <w:multiLevelType w:val="hybridMultilevel"/>
    <w:tmpl w:val="38F6A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A42C9"/>
    <w:multiLevelType w:val="hybridMultilevel"/>
    <w:tmpl w:val="686ED39E"/>
    <w:lvl w:ilvl="0" w:tplc="0DCCC07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492D22"/>
    <w:multiLevelType w:val="multilevel"/>
    <w:tmpl w:val="800490A2"/>
    <w:lvl w:ilvl="0">
      <w:start w:val="1"/>
      <w:numFmt w:val="decimal"/>
      <w:lvlText w:val="%1."/>
      <w:lvlJc w:val="left"/>
      <w:rPr>
        <w:rFonts w:ascii="Times New Roman" w:hAnsi="Times New Roman" w:cs="Times New Roman" w:hint="default"/>
        <w:b w:val="0"/>
        <w:i w:val="0"/>
        <w:color w:val="000000"/>
        <w:position w:val="0"/>
        <w:sz w:val="22"/>
        <w:szCs w:val="22"/>
        <w:rtl w:val="0"/>
        <w:lang w:val="en-GB"/>
      </w:rPr>
    </w:lvl>
    <w:lvl w:ilvl="1">
      <w:start w:val="1"/>
      <w:numFmt w:val="lowerLetter"/>
      <w:lvlText w:val="(%2)"/>
      <w:lvlJc w:val="left"/>
      <w:rPr>
        <w:rFonts w:hint="default"/>
        <w:b w:val="0"/>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b w:val="0"/>
        <w:i w:val="0"/>
        <w:iCs/>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1" w15:restartNumberingAfterBreak="0">
    <w:nsid w:val="4DD0716C"/>
    <w:multiLevelType w:val="multilevel"/>
    <w:tmpl w:val="94A62FE8"/>
    <w:lvl w:ilvl="0">
      <w:start w:val="19"/>
      <w:numFmt w:val="decimal"/>
      <w:lvlText w:val="%1."/>
      <w:lvlJc w:val="left"/>
      <w:pPr>
        <w:ind w:left="0" w:firstLine="0"/>
      </w:pPr>
      <w:rPr>
        <w:rFonts w:ascii="Times New Roman" w:hAnsi="Times New Roman" w:cs="Times New Roman" w:hint="default"/>
        <w:b w:val="0"/>
        <w:i w:val="0"/>
        <w:color w:val="000000"/>
        <w:position w:val="0"/>
        <w:sz w:val="22"/>
        <w:szCs w:val="22"/>
      </w:rPr>
    </w:lvl>
    <w:lvl w:ilvl="1">
      <w:start w:val="2"/>
      <w:numFmt w:val="lowerLetter"/>
      <w:lvlText w:val="(%2)"/>
      <w:lvlJc w:val="left"/>
      <w:pPr>
        <w:ind w:left="0" w:firstLine="0"/>
      </w:pPr>
      <w:rPr>
        <w:rFonts w:hint="default"/>
        <w:b w:val="0"/>
        <w:color w:val="000000"/>
        <w:position w:val="0"/>
      </w:rPr>
    </w:lvl>
    <w:lvl w:ilvl="2">
      <w:start w:val="1"/>
      <w:numFmt w:val="lowerRoman"/>
      <w:lvlText w:val="(%3)"/>
      <w:lvlJc w:val="left"/>
      <w:pPr>
        <w:ind w:left="0" w:firstLine="0"/>
      </w:pPr>
      <w:rPr>
        <w:rFonts w:hint="default"/>
        <w:color w:val="000000"/>
        <w:position w:val="0"/>
      </w:rPr>
    </w:lvl>
    <w:lvl w:ilvl="3">
      <w:start w:val="1"/>
      <w:numFmt w:val="bullet"/>
      <w:lvlText w:val="•"/>
      <w:lvlJc w:val="left"/>
      <w:pPr>
        <w:ind w:left="0" w:firstLine="0"/>
      </w:pPr>
      <w:rPr>
        <w:rFonts w:hint="default"/>
        <w:color w:val="000000"/>
        <w:position w:val="0"/>
      </w:rPr>
    </w:lvl>
    <w:lvl w:ilvl="4">
      <w:start w:val="1"/>
      <w:numFmt w:val="lowerLetter"/>
      <w:lvlText w:val="(%5)"/>
      <w:lvlJc w:val="left"/>
      <w:pPr>
        <w:ind w:left="0" w:firstLine="0"/>
      </w:pPr>
      <w:rPr>
        <w:rFonts w:hint="default"/>
        <w:color w:val="000000"/>
        <w:position w:val="0"/>
      </w:rPr>
    </w:lvl>
    <w:lvl w:ilvl="5">
      <w:start w:val="1"/>
      <w:numFmt w:val="lowerRoman"/>
      <w:lvlText w:val="(%6)"/>
      <w:lvlJc w:val="left"/>
      <w:pPr>
        <w:ind w:left="0" w:firstLine="0"/>
      </w:pPr>
      <w:rPr>
        <w:rFonts w:hint="default"/>
        <w:color w:val="000000"/>
        <w:position w:val="0"/>
      </w:rPr>
    </w:lvl>
    <w:lvl w:ilvl="6">
      <w:start w:val="1"/>
      <w:numFmt w:val="decimal"/>
      <w:lvlText w:val="%7."/>
      <w:lvlJc w:val="left"/>
      <w:pPr>
        <w:ind w:left="0" w:firstLine="0"/>
      </w:pPr>
      <w:rPr>
        <w:rFonts w:hint="default"/>
        <w:b w:val="0"/>
        <w:i w:val="0"/>
        <w:iCs/>
        <w:color w:val="000000"/>
        <w:position w:val="0"/>
      </w:rPr>
    </w:lvl>
    <w:lvl w:ilvl="7">
      <w:start w:val="1"/>
      <w:numFmt w:val="lowerLetter"/>
      <w:lvlText w:val="%8."/>
      <w:lvlJc w:val="left"/>
      <w:pPr>
        <w:ind w:left="0" w:firstLine="0"/>
      </w:pPr>
      <w:rPr>
        <w:rFonts w:hint="default"/>
        <w:color w:val="000000"/>
        <w:position w:val="0"/>
      </w:rPr>
    </w:lvl>
    <w:lvl w:ilvl="8">
      <w:start w:val="1"/>
      <w:numFmt w:val="lowerRoman"/>
      <w:lvlText w:val="%9."/>
      <w:lvlJc w:val="left"/>
      <w:pPr>
        <w:ind w:left="0" w:firstLine="0"/>
      </w:pPr>
      <w:rPr>
        <w:rFonts w:hint="default"/>
        <w:color w:val="000000"/>
        <w:position w:val="0"/>
      </w:r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3A936D9"/>
    <w:multiLevelType w:val="hybridMultilevel"/>
    <w:tmpl w:val="571676CE"/>
    <w:lvl w:ilvl="0" w:tplc="71CC2D90">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01B22"/>
    <w:multiLevelType w:val="multilevel"/>
    <w:tmpl w:val="F3F2107A"/>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5" w15:restartNumberingAfterBreak="0">
    <w:nsid w:val="5D765389"/>
    <w:multiLevelType w:val="hybridMultilevel"/>
    <w:tmpl w:val="5A56296A"/>
    <w:lvl w:ilvl="0" w:tplc="F6524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D28B3"/>
    <w:multiLevelType w:val="multilevel"/>
    <w:tmpl w:val="B1EC4F30"/>
    <w:lvl w:ilvl="0">
      <w:start w:val="20"/>
      <w:numFmt w:val="decimal"/>
      <w:lvlText w:val="%1."/>
      <w:lvlJc w:val="left"/>
      <w:pPr>
        <w:ind w:left="0" w:firstLine="0"/>
      </w:pPr>
      <w:rPr>
        <w:rFonts w:ascii="Times New Roman" w:hAnsi="Times New Roman" w:cs="Times New Roman" w:hint="default"/>
        <w:b w:val="0"/>
        <w:i w:val="0"/>
        <w:color w:val="000000"/>
        <w:position w:val="0"/>
        <w:sz w:val="22"/>
        <w:szCs w:val="22"/>
      </w:rPr>
    </w:lvl>
    <w:lvl w:ilvl="1">
      <w:start w:val="1"/>
      <w:numFmt w:val="lowerLetter"/>
      <w:lvlText w:val="(%2)"/>
      <w:lvlJc w:val="left"/>
      <w:pPr>
        <w:ind w:left="0" w:firstLine="0"/>
      </w:pPr>
      <w:rPr>
        <w:rFonts w:hint="default"/>
        <w:b w:val="0"/>
        <w:color w:val="000000"/>
        <w:position w:val="0"/>
      </w:rPr>
    </w:lvl>
    <w:lvl w:ilvl="2">
      <w:start w:val="1"/>
      <w:numFmt w:val="lowerRoman"/>
      <w:lvlText w:val="(%3)"/>
      <w:lvlJc w:val="left"/>
      <w:pPr>
        <w:ind w:left="0" w:firstLine="0"/>
      </w:pPr>
      <w:rPr>
        <w:rFonts w:hint="default"/>
        <w:color w:val="000000"/>
        <w:position w:val="0"/>
      </w:rPr>
    </w:lvl>
    <w:lvl w:ilvl="3">
      <w:start w:val="1"/>
      <w:numFmt w:val="bullet"/>
      <w:lvlText w:val="•"/>
      <w:lvlJc w:val="left"/>
      <w:pPr>
        <w:ind w:left="0" w:firstLine="0"/>
      </w:pPr>
      <w:rPr>
        <w:rFonts w:hint="default"/>
        <w:color w:val="000000"/>
        <w:position w:val="0"/>
      </w:rPr>
    </w:lvl>
    <w:lvl w:ilvl="4">
      <w:start w:val="1"/>
      <w:numFmt w:val="lowerLetter"/>
      <w:lvlText w:val="(%5)"/>
      <w:lvlJc w:val="left"/>
      <w:pPr>
        <w:ind w:left="0" w:firstLine="0"/>
      </w:pPr>
      <w:rPr>
        <w:rFonts w:hint="default"/>
        <w:color w:val="000000"/>
        <w:position w:val="0"/>
      </w:rPr>
    </w:lvl>
    <w:lvl w:ilvl="5">
      <w:start w:val="1"/>
      <w:numFmt w:val="lowerRoman"/>
      <w:lvlText w:val="(%6)"/>
      <w:lvlJc w:val="left"/>
      <w:pPr>
        <w:ind w:left="0" w:firstLine="0"/>
      </w:pPr>
      <w:rPr>
        <w:rFonts w:hint="default"/>
        <w:color w:val="000000"/>
        <w:position w:val="0"/>
      </w:rPr>
    </w:lvl>
    <w:lvl w:ilvl="6">
      <w:start w:val="2"/>
      <w:numFmt w:val="decimal"/>
      <w:lvlText w:val="%7."/>
      <w:lvlJc w:val="left"/>
      <w:pPr>
        <w:ind w:left="0" w:firstLine="0"/>
      </w:pPr>
      <w:rPr>
        <w:rFonts w:hint="default"/>
        <w:b w:val="0"/>
        <w:i w:val="0"/>
        <w:iCs/>
        <w:color w:val="000000"/>
        <w:position w:val="0"/>
      </w:rPr>
    </w:lvl>
    <w:lvl w:ilvl="7">
      <w:start w:val="1"/>
      <w:numFmt w:val="lowerLetter"/>
      <w:lvlText w:val="%8."/>
      <w:lvlJc w:val="left"/>
      <w:pPr>
        <w:ind w:left="0" w:firstLine="0"/>
      </w:pPr>
      <w:rPr>
        <w:rFonts w:hint="default"/>
        <w:color w:val="000000"/>
        <w:position w:val="0"/>
      </w:rPr>
    </w:lvl>
    <w:lvl w:ilvl="8">
      <w:start w:val="1"/>
      <w:numFmt w:val="lowerRoman"/>
      <w:lvlText w:val="%9."/>
      <w:lvlJc w:val="left"/>
      <w:pPr>
        <w:ind w:left="0" w:firstLine="0"/>
      </w:pPr>
      <w:rPr>
        <w:rFonts w:hint="default"/>
        <w:color w:val="000000"/>
        <w:position w:val="0"/>
      </w:r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8"/>
  </w:num>
  <w:num w:numId="4">
    <w:abstractNumId w:val="12"/>
  </w:num>
  <w:num w:numId="5">
    <w:abstractNumId w:val="9"/>
  </w:num>
  <w:num w:numId="6">
    <w:abstractNumId w:val="1"/>
  </w:num>
  <w:num w:numId="7">
    <w:abstractNumId w:val="3"/>
  </w:num>
  <w:num w:numId="8">
    <w:abstractNumId w:val="8"/>
    <w:lvlOverride w:ilvl="0">
      <w:startOverride w:val="1"/>
    </w:lvlOverride>
  </w:num>
  <w:num w:numId="9">
    <w:abstractNumId w:val="17"/>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5"/>
  </w:num>
  <w:num w:numId="15">
    <w:abstractNumId w:val="10"/>
  </w:num>
  <w:num w:numId="16">
    <w:abstractNumId w:val="4"/>
  </w:num>
  <w:num w:numId="17">
    <w:abstractNumId w:val="6"/>
  </w:num>
  <w:num w:numId="18">
    <w:abstractNumId w:val="14"/>
  </w:num>
  <w:num w:numId="19">
    <w:abstractNumId w:val="16"/>
  </w:num>
  <w:num w:numId="20">
    <w:abstractNumId w:val="2"/>
  </w:num>
  <w:num w:numId="21">
    <w:abstractNumId w:val="11"/>
  </w:num>
  <w:num w:numId="22">
    <w:abstractNumId w:val="7"/>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3F76"/>
    <w:rsid w:val="000143AE"/>
    <w:rsid w:val="0002715D"/>
    <w:rsid w:val="00032922"/>
    <w:rsid w:val="00052991"/>
    <w:rsid w:val="000549F7"/>
    <w:rsid w:val="0007193B"/>
    <w:rsid w:val="00087B47"/>
    <w:rsid w:val="00092D8B"/>
    <w:rsid w:val="00096D61"/>
    <w:rsid w:val="00097303"/>
    <w:rsid w:val="000A0AC1"/>
    <w:rsid w:val="000A1FDC"/>
    <w:rsid w:val="000A2F6B"/>
    <w:rsid w:val="000A4A79"/>
    <w:rsid w:val="000A5832"/>
    <w:rsid w:val="000A6DB2"/>
    <w:rsid w:val="000B09AF"/>
    <w:rsid w:val="000B12F3"/>
    <w:rsid w:val="000B310B"/>
    <w:rsid w:val="000B42A8"/>
    <w:rsid w:val="000C3F36"/>
    <w:rsid w:val="000C6D16"/>
    <w:rsid w:val="000C7254"/>
    <w:rsid w:val="000E1E91"/>
    <w:rsid w:val="000E4FB1"/>
    <w:rsid w:val="000E673A"/>
    <w:rsid w:val="000F0A78"/>
    <w:rsid w:val="000F1A48"/>
    <w:rsid w:val="000F31AA"/>
    <w:rsid w:val="000F3B38"/>
    <w:rsid w:val="000F74F5"/>
    <w:rsid w:val="001005A6"/>
    <w:rsid w:val="00102043"/>
    <w:rsid w:val="00105372"/>
    <w:rsid w:val="00116369"/>
    <w:rsid w:val="00125260"/>
    <w:rsid w:val="00125498"/>
    <w:rsid w:val="00131E7A"/>
    <w:rsid w:val="00132137"/>
    <w:rsid w:val="00132B42"/>
    <w:rsid w:val="001375F2"/>
    <w:rsid w:val="00154252"/>
    <w:rsid w:val="001571FF"/>
    <w:rsid w:val="001607E6"/>
    <w:rsid w:val="001654A4"/>
    <w:rsid w:val="0016673A"/>
    <w:rsid w:val="00172AF6"/>
    <w:rsid w:val="00172D80"/>
    <w:rsid w:val="00176CEE"/>
    <w:rsid w:val="0017793F"/>
    <w:rsid w:val="001811C3"/>
    <w:rsid w:val="00181708"/>
    <w:rsid w:val="00181AD8"/>
    <w:rsid w:val="00182152"/>
    <w:rsid w:val="00193C3D"/>
    <w:rsid w:val="00193F79"/>
    <w:rsid w:val="00194194"/>
    <w:rsid w:val="001A088E"/>
    <w:rsid w:val="001A204B"/>
    <w:rsid w:val="001A4C7B"/>
    <w:rsid w:val="001A6D5F"/>
    <w:rsid w:val="001B68CB"/>
    <w:rsid w:val="001B70E5"/>
    <w:rsid w:val="001C083C"/>
    <w:rsid w:val="001C2C4F"/>
    <w:rsid w:val="001C70C5"/>
    <w:rsid w:val="001D1752"/>
    <w:rsid w:val="001D3101"/>
    <w:rsid w:val="001E583C"/>
    <w:rsid w:val="0020347D"/>
    <w:rsid w:val="00213668"/>
    <w:rsid w:val="0021413B"/>
    <w:rsid w:val="00222470"/>
    <w:rsid w:val="002252F3"/>
    <w:rsid w:val="0023397D"/>
    <w:rsid w:val="00236C57"/>
    <w:rsid w:val="002405BF"/>
    <w:rsid w:val="00244DE2"/>
    <w:rsid w:val="00245C0E"/>
    <w:rsid w:val="002478C7"/>
    <w:rsid w:val="00247CC8"/>
    <w:rsid w:val="00256821"/>
    <w:rsid w:val="00263759"/>
    <w:rsid w:val="002879B8"/>
    <w:rsid w:val="002929D7"/>
    <w:rsid w:val="00292AD4"/>
    <w:rsid w:val="00292B6F"/>
    <w:rsid w:val="00294A41"/>
    <w:rsid w:val="00295E9D"/>
    <w:rsid w:val="002A4265"/>
    <w:rsid w:val="002A4873"/>
    <w:rsid w:val="002A6464"/>
    <w:rsid w:val="002A6BD7"/>
    <w:rsid w:val="002A6E06"/>
    <w:rsid w:val="002B3DDC"/>
    <w:rsid w:val="002B3E5B"/>
    <w:rsid w:val="002C5B0A"/>
    <w:rsid w:val="002C62F9"/>
    <w:rsid w:val="002E1AF3"/>
    <w:rsid w:val="002E2CC8"/>
    <w:rsid w:val="002E716F"/>
    <w:rsid w:val="002F1C72"/>
    <w:rsid w:val="002F497E"/>
    <w:rsid w:val="002F4E07"/>
    <w:rsid w:val="002F7529"/>
    <w:rsid w:val="00301881"/>
    <w:rsid w:val="003057E8"/>
    <w:rsid w:val="00305D78"/>
    <w:rsid w:val="00310463"/>
    <w:rsid w:val="00310577"/>
    <w:rsid w:val="00323182"/>
    <w:rsid w:val="00325A88"/>
    <w:rsid w:val="00327091"/>
    <w:rsid w:val="0033041B"/>
    <w:rsid w:val="00330628"/>
    <w:rsid w:val="00334E4E"/>
    <w:rsid w:val="003366E6"/>
    <w:rsid w:val="00341109"/>
    <w:rsid w:val="003443D5"/>
    <w:rsid w:val="003465A1"/>
    <w:rsid w:val="0035092D"/>
    <w:rsid w:val="0035329A"/>
    <w:rsid w:val="003647B3"/>
    <w:rsid w:val="003652AF"/>
    <w:rsid w:val="00372F74"/>
    <w:rsid w:val="0037323B"/>
    <w:rsid w:val="003769A4"/>
    <w:rsid w:val="00381815"/>
    <w:rsid w:val="00382F6B"/>
    <w:rsid w:val="0039236C"/>
    <w:rsid w:val="00392EAC"/>
    <w:rsid w:val="0039415C"/>
    <w:rsid w:val="003A6C57"/>
    <w:rsid w:val="003B0F44"/>
    <w:rsid w:val="003B14E7"/>
    <w:rsid w:val="003C190A"/>
    <w:rsid w:val="003C352F"/>
    <w:rsid w:val="003C3738"/>
    <w:rsid w:val="003C4731"/>
    <w:rsid w:val="003D38EE"/>
    <w:rsid w:val="003D5FAD"/>
    <w:rsid w:val="003E4A62"/>
    <w:rsid w:val="003E51E0"/>
    <w:rsid w:val="003F0E8B"/>
    <w:rsid w:val="003F7CF7"/>
    <w:rsid w:val="00400940"/>
    <w:rsid w:val="00401358"/>
    <w:rsid w:val="004132A1"/>
    <w:rsid w:val="00415390"/>
    <w:rsid w:val="0042006F"/>
    <w:rsid w:val="0042758F"/>
    <w:rsid w:val="00450561"/>
    <w:rsid w:val="00452DDA"/>
    <w:rsid w:val="004555F2"/>
    <w:rsid w:val="004623D2"/>
    <w:rsid w:val="004626D8"/>
    <w:rsid w:val="00463FC6"/>
    <w:rsid w:val="004644C2"/>
    <w:rsid w:val="00495510"/>
    <w:rsid w:val="00496FC7"/>
    <w:rsid w:val="004970FC"/>
    <w:rsid w:val="004B3DD8"/>
    <w:rsid w:val="004B60CB"/>
    <w:rsid w:val="004C3595"/>
    <w:rsid w:val="004C5064"/>
    <w:rsid w:val="004D12F6"/>
    <w:rsid w:val="004D4D02"/>
    <w:rsid w:val="004D7967"/>
    <w:rsid w:val="004E34B6"/>
    <w:rsid w:val="004E750F"/>
    <w:rsid w:val="004F6E72"/>
    <w:rsid w:val="004F6F44"/>
    <w:rsid w:val="005006E8"/>
    <w:rsid w:val="0050420A"/>
    <w:rsid w:val="005139F0"/>
    <w:rsid w:val="00517CBE"/>
    <w:rsid w:val="00524D15"/>
    <w:rsid w:val="00534681"/>
    <w:rsid w:val="00543455"/>
    <w:rsid w:val="00544D2F"/>
    <w:rsid w:val="00545F12"/>
    <w:rsid w:val="005473A6"/>
    <w:rsid w:val="0055272A"/>
    <w:rsid w:val="00555933"/>
    <w:rsid w:val="00561F20"/>
    <w:rsid w:val="00571809"/>
    <w:rsid w:val="00574301"/>
    <w:rsid w:val="005745F7"/>
    <w:rsid w:val="00575558"/>
    <w:rsid w:val="005808C3"/>
    <w:rsid w:val="00580B38"/>
    <w:rsid w:val="005844EB"/>
    <w:rsid w:val="005852C6"/>
    <w:rsid w:val="00586F21"/>
    <w:rsid w:val="005900CA"/>
    <w:rsid w:val="0059218E"/>
    <w:rsid w:val="00594E03"/>
    <w:rsid w:val="005A68BD"/>
    <w:rsid w:val="005A7667"/>
    <w:rsid w:val="005C099C"/>
    <w:rsid w:val="005C140C"/>
    <w:rsid w:val="005C3CC3"/>
    <w:rsid w:val="005C4209"/>
    <w:rsid w:val="005C4586"/>
    <w:rsid w:val="005D0B98"/>
    <w:rsid w:val="005D2958"/>
    <w:rsid w:val="005D55E6"/>
    <w:rsid w:val="005D748C"/>
    <w:rsid w:val="005F04EB"/>
    <w:rsid w:val="005F36A3"/>
    <w:rsid w:val="005F50A1"/>
    <w:rsid w:val="00602A44"/>
    <w:rsid w:val="0060424E"/>
    <w:rsid w:val="00607313"/>
    <w:rsid w:val="00611450"/>
    <w:rsid w:val="006138D4"/>
    <w:rsid w:val="006239F2"/>
    <w:rsid w:val="00633FDD"/>
    <w:rsid w:val="0063501E"/>
    <w:rsid w:val="006411AC"/>
    <w:rsid w:val="00643BDF"/>
    <w:rsid w:val="00650A29"/>
    <w:rsid w:val="00652CC2"/>
    <w:rsid w:val="00660370"/>
    <w:rsid w:val="00662C7C"/>
    <w:rsid w:val="00662D53"/>
    <w:rsid w:val="0066568E"/>
    <w:rsid w:val="00671277"/>
    <w:rsid w:val="0067662C"/>
    <w:rsid w:val="00682C77"/>
    <w:rsid w:val="0068594D"/>
    <w:rsid w:val="00695E99"/>
    <w:rsid w:val="006A5E73"/>
    <w:rsid w:val="006B03F9"/>
    <w:rsid w:val="006B55C0"/>
    <w:rsid w:val="006C2CC8"/>
    <w:rsid w:val="006C4390"/>
    <w:rsid w:val="006D2AAE"/>
    <w:rsid w:val="006D4467"/>
    <w:rsid w:val="006F0D6F"/>
    <w:rsid w:val="0071505A"/>
    <w:rsid w:val="00717D88"/>
    <w:rsid w:val="00724682"/>
    <w:rsid w:val="00733F25"/>
    <w:rsid w:val="00735FDD"/>
    <w:rsid w:val="00741F43"/>
    <w:rsid w:val="00747404"/>
    <w:rsid w:val="00750D3E"/>
    <w:rsid w:val="00751FB4"/>
    <w:rsid w:val="00752644"/>
    <w:rsid w:val="00760B43"/>
    <w:rsid w:val="00763BD4"/>
    <w:rsid w:val="007709E9"/>
    <w:rsid w:val="007753A5"/>
    <w:rsid w:val="0077598C"/>
    <w:rsid w:val="007833C2"/>
    <w:rsid w:val="00783E63"/>
    <w:rsid w:val="00791484"/>
    <w:rsid w:val="007942D3"/>
    <w:rsid w:val="00794711"/>
    <w:rsid w:val="00794842"/>
    <w:rsid w:val="007A2046"/>
    <w:rsid w:val="007A2531"/>
    <w:rsid w:val="007B0D6D"/>
    <w:rsid w:val="007B30BD"/>
    <w:rsid w:val="007B4543"/>
    <w:rsid w:val="007B6C09"/>
    <w:rsid w:val="007B7DD7"/>
    <w:rsid w:val="007C3702"/>
    <w:rsid w:val="007C7A20"/>
    <w:rsid w:val="007D2F26"/>
    <w:rsid w:val="007E09DA"/>
    <w:rsid w:val="007E5919"/>
    <w:rsid w:val="007E6351"/>
    <w:rsid w:val="007E6367"/>
    <w:rsid w:val="007F0F6A"/>
    <w:rsid w:val="007F2053"/>
    <w:rsid w:val="00804C21"/>
    <w:rsid w:val="008052E8"/>
    <w:rsid w:val="00807D31"/>
    <w:rsid w:val="0081095A"/>
    <w:rsid w:val="008153C9"/>
    <w:rsid w:val="008178B6"/>
    <w:rsid w:val="00817D33"/>
    <w:rsid w:val="00825140"/>
    <w:rsid w:val="00827AF2"/>
    <w:rsid w:val="008303A4"/>
    <w:rsid w:val="00835282"/>
    <w:rsid w:val="00836C84"/>
    <w:rsid w:val="0086243B"/>
    <w:rsid w:val="00865472"/>
    <w:rsid w:val="00865B3E"/>
    <w:rsid w:val="00867625"/>
    <w:rsid w:val="00875F83"/>
    <w:rsid w:val="008938E4"/>
    <w:rsid w:val="0089728C"/>
    <w:rsid w:val="008A65A5"/>
    <w:rsid w:val="008B4F58"/>
    <w:rsid w:val="008D1AA7"/>
    <w:rsid w:val="008D2C6B"/>
    <w:rsid w:val="008E6B8D"/>
    <w:rsid w:val="008E79F7"/>
    <w:rsid w:val="008F0E34"/>
    <w:rsid w:val="00902D7E"/>
    <w:rsid w:val="00903489"/>
    <w:rsid w:val="0090533B"/>
    <w:rsid w:val="009213CE"/>
    <w:rsid w:val="00923643"/>
    <w:rsid w:val="00926A45"/>
    <w:rsid w:val="0093201F"/>
    <w:rsid w:val="00933B10"/>
    <w:rsid w:val="00937B62"/>
    <w:rsid w:val="009505C9"/>
    <w:rsid w:val="0095407A"/>
    <w:rsid w:val="009579B1"/>
    <w:rsid w:val="00957C47"/>
    <w:rsid w:val="00980F0B"/>
    <w:rsid w:val="00981AE9"/>
    <w:rsid w:val="00990001"/>
    <w:rsid w:val="00990876"/>
    <w:rsid w:val="00996C03"/>
    <w:rsid w:val="009A09B3"/>
    <w:rsid w:val="009A713B"/>
    <w:rsid w:val="009A7A1E"/>
    <w:rsid w:val="009B06B0"/>
    <w:rsid w:val="009C74F3"/>
    <w:rsid w:val="009D7333"/>
    <w:rsid w:val="009D7479"/>
    <w:rsid w:val="009E69AA"/>
    <w:rsid w:val="009E6BCA"/>
    <w:rsid w:val="009F2573"/>
    <w:rsid w:val="009F4FB6"/>
    <w:rsid w:val="00A011B0"/>
    <w:rsid w:val="00A1011E"/>
    <w:rsid w:val="00A1366F"/>
    <w:rsid w:val="00A14346"/>
    <w:rsid w:val="00A231E8"/>
    <w:rsid w:val="00A25954"/>
    <w:rsid w:val="00A2656D"/>
    <w:rsid w:val="00A31FA3"/>
    <w:rsid w:val="00A32057"/>
    <w:rsid w:val="00A33126"/>
    <w:rsid w:val="00A347FC"/>
    <w:rsid w:val="00A411B8"/>
    <w:rsid w:val="00A67F9A"/>
    <w:rsid w:val="00A74FA1"/>
    <w:rsid w:val="00A75115"/>
    <w:rsid w:val="00A828B5"/>
    <w:rsid w:val="00AA4F25"/>
    <w:rsid w:val="00AA7314"/>
    <w:rsid w:val="00AB11EC"/>
    <w:rsid w:val="00AC2193"/>
    <w:rsid w:val="00AC5D43"/>
    <w:rsid w:val="00AC7526"/>
    <w:rsid w:val="00AD239B"/>
    <w:rsid w:val="00AD4643"/>
    <w:rsid w:val="00AE3621"/>
    <w:rsid w:val="00AE6B0F"/>
    <w:rsid w:val="00AF18E8"/>
    <w:rsid w:val="00AF30C2"/>
    <w:rsid w:val="00AF39DC"/>
    <w:rsid w:val="00B0091C"/>
    <w:rsid w:val="00B01BF3"/>
    <w:rsid w:val="00B03F87"/>
    <w:rsid w:val="00B04B05"/>
    <w:rsid w:val="00B065C8"/>
    <w:rsid w:val="00B11821"/>
    <w:rsid w:val="00B157CD"/>
    <w:rsid w:val="00B17F65"/>
    <w:rsid w:val="00B22A5D"/>
    <w:rsid w:val="00B3369F"/>
    <w:rsid w:val="00B40C1C"/>
    <w:rsid w:val="00B42ABB"/>
    <w:rsid w:val="00B42FCA"/>
    <w:rsid w:val="00B4441A"/>
    <w:rsid w:val="00B44CF8"/>
    <w:rsid w:val="00B5139C"/>
    <w:rsid w:val="00B519A1"/>
    <w:rsid w:val="00B610A5"/>
    <w:rsid w:val="00B61C95"/>
    <w:rsid w:val="00B727D1"/>
    <w:rsid w:val="00B807C8"/>
    <w:rsid w:val="00B82AA8"/>
    <w:rsid w:val="00B836F2"/>
    <w:rsid w:val="00B9582E"/>
    <w:rsid w:val="00BA7BE0"/>
    <w:rsid w:val="00BB0BFE"/>
    <w:rsid w:val="00BB7C17"/>
    <w:rsid w:val="00BB7DC7"/>
    <w:rsid w:val="00BD19FE"/>
    <w:rsid w:val="00BD75C3"/>
    <w:rsid w:val="00BE033A"/>
    <w:rsid w:val="00BF2122"/>
    <w:rsid w:val="00C00F19"/>
    <w:rsid w:val="00C043F4"/>
    <w:rsid w:val="00C17EE9"/>
    <w:rsid w:val="00C2394C"/>
    <w:rsid w:val="00C342D9"/>
    <w:rsid w:val="00C45ABB"/>
    <w:rsid w:val="00C63CD6"/>
    <w:rsid w:val="00C65992"/>
    <w:rsid w:val="00C67221"/>
    <w:rsid w:val="00C67A29"/>
    <w:rsid w:val="00C7377A"/>
    <w:rsid w:val="00C830E0"/>
    <w:rsid w:val="00C83523"/>
    <w:rsid w:val="00C9161D"/>
    <w:rsid w:val="00C9559C"/>
    <w:rsid w:val="00C9576D"/>
    <w:rsid w:val="00CA69C8"/>
    <w:rsid w:val="00CB2C04"/>
    <w:rsid w:val="00CB42A1"/>
    <w:rsid w:val="00CC2D09"/>
    <w:rsid w:val="00CC41E4"/>
    <w:rsid w:val="00CC4700"/>
    <w:rsid w:val="00CD3494"/>
    <w:rsid w:val="00CD4119"/>
    <w:rsid w:val="00CE0B49"/>
    <w:rsid w:val="00CE0F2A"/>
    <w:rsid w:val="00CF1848"/>
    <w:rsid w:val="00CF47D3"/>
    <w:rsid w:val="00D006A4"/>
    <w:rsid w:val="00D04181"/>
    <w:rsid w:val="00D05A07"/>
    <w:rsid w:val="00D20139"/>
    <w:rsid w:val="00D22826"/>
    <w:rsid w:val="00D2687E"/>
    <w:rsid w:val="00D37C25"/>
    <w:rsid w:val="00D400FD"/>
    <w:rsid w:val="00D4683E"/>
    <w:rsid w:val="00D53825"/>
    <w:rsid w:val="00D5575C"/>
    <w:rsid w:val="00D57F15"/>
    <w:rsid w:val="00D637A6"/>
    <w:rsid w:val="00D6483B"/>
    <w:rsid w:val="00D725A3"/>
    <w:rsid w:val="00D72DF0"/>
    <w:rsid w:val="00D75FE0"/>
    <w:rsid w:val="00D76A18"/>
    <w:rsid w:val="00D8070B"/>
    <w:rsid w:val="00D81736"/>
    <w:rsid w:val="00D92BDD"/>
    <w:rsid w:val="00DB014E"/>
    <w:rsid w:val="00DB2CDE"/>
    <w:rsid w:val="00DC27C1"/>
    <w:rsid w:val="00DC4747"/>
    <w:rsid w:val="00DC6D85"/>
    <w:rsid w:val="00DD118C"/>
    <w:rsid w:val="00DE048F"/>
    <w:rsid w:val="00DE3C71"/>
    <w:rsid w:val="00DE666D"/>
    <w:rsid w:val="00DF1190"/>
    <w:rsid w:val="00E01C1A"/>
    <w:rsid w:val="00E04198"/>
    <w:rsid w:val="00E11728"/>
    <w:rsid w:val="00E12E6E"/>
    <w:rsid w:val="00E1768B"/>
    <w:rsid w:val="00E261D7"/>
    <w:rsid w:val="00E27381"/>
    <w:rsid w:val="00E33472"/>
    <w:rsid w:val="00E33CB3"/>
    <w:rsid w:val="00E37120"/>
    <w:rsid w:val="00E61AEB"/>
    <w:rsid w:val="00E650DB"/>
    <w:rsid w:val="00E66235"/>
    <w:rsid w:val="00E71ED9"/>
    <w:rsid w:val="00E8303D"/>
    <w:rsid w:val="00E83C24"/>
    <w:rsid w:val="00E8618A"/>
    <w:rsid w:val="00E91F4C"/>
    <w:rsid w:val="00EB06E7"/>
    <w:rsid w:val="00ED1465"/>
    <w:rsid w:val="00ED48CA"/>
    <w:rsid w:val="00EE1629"/>
    <w:rsid w:val="00EE1719"/>
    <w:rsid w:val="00EF307D"/>
    <w:rsid w:val="00EF7480"/>
    <w:rsid w:val="00F02184"/>
    <w:rsid w:val="00F05958"/>
    <w:rsid w:val="00F1294C"/>
    <w:rsid w:val="00F16C67"/>
    <w:rsid w:val="00F170E1"/>
    <w:rsid w:val="00F30BE6"/>
    <w:rsid w:val="00F32747"/>
    <w:rsid w:val="00F34E5B"/>
    <w:rsid w:val="00F4177C"/>
    <w:rsid w:val="00F44074"/>
    <w:rsid w:val="00F4712F"/>
    <w:rsid w:val="00F51059"/>
    <w:rsid w:val="00F62408"/>
    <w:rsid w:val="00F75704"/>
    <w:rsid w:val="00F94774"/>
    <w:rsid w:val="00F97EBE"/>
    <w:rsid w:val="00FA10F7"/>
    <w:rsid w:val="00FA3B48"/>
    <w:rsid w:val="00FA68F7"/>
    <w:rsid w:val="00FC53DB"/>
    <w:rsid w:val="00FC5E53"/>
    <w:rsid w:val="00FD5865"/>
    <w:rsid w:val="00FD6E9C"/>
    <w:rsid w:val="00FE11F7"/>
    <w:rsid w:val="00FE134A"/>
    <w:rsid w:val="00FF3105"/>
    <w:rsid w:val="00FF761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B960E"/>
  <w15:docId w15:val="{61752356-8547-4B14-8CE2-092FA10B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618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B17F65"/>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0A6DB2"/>
    <w:pPr>
      <w:pBdr>
        <w:top w:val="nil"/>
        <w:left w:val="nil"/>
        <w:bottom w:val="nil"/>
        <w:right w:val="nil"/>
        <w:between w:val="nil"/>
        <w:bar w:val="nil"/>
      </w:pBdr>
      <w:ind w:left="720"/>
    </w:pPr>
    <w:rPr>
      <w:rFonts w:eastAsia="Arial Unicode MS" w:hAnsi="Arial Unicode MS" w:cs="Arial Unicode MS"/>
      <w:color w:val="000000"/>
      <w:szCs w:val="22"/>
      <w:u w:color="000000"/>
      <w:bdr w:val="nil"/>
      <w:lang w:val="en-US"/>
    </w:rPr>
  </w:style>
  <w:style w:type="character" w:customStyle="1" w:styleId="UnresolvedMention1">
    <w:name w:val="Unresolved Mention1"/>
    <w:basedOn w:val="DefaultParagraphFont"/>
    <w:uiPriority w:val="99"/>
    <w:semiHidden/>
    <w:unhideWhenUsed/>
    <w:rsid w:val="001C70C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C62F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C62F9"/>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B5139C"/>
    <w:rPr>
      <w:color w:val="605E5C"/>
      <w:shd w:val="clear" w:color="auto" w:fill="E1DFDD"/>
    </w:rPr>
  </w:style>
  <w:style w:type="paragraph" w:styleId="Revision">
    <w:name w:val="Revision"/>
    <w:hidden/>
    <w:uiPriority w:val="99"/>
    <w:semiHidden/>
    <w:rsid w:val="00E37120"/>
    <w:rPr>
      <w:rFonts w:ascii="Times New Roman" w:eastAsia="Times New Roman" w:hAnsi="Times New Roman" w:cs="Times New Roman"/>
      <w:sz w:val="22"/>
      <w:lang w:val="en-GB"/>
    </w:rPr>
  </w:style>
  <w:style w:type="paragraph" w:styleId="BodyText2">
    <w:name w:val="Body Text 2"/>
    <w:basedOn w:val="Normal"/>
    <w:link w:val="BodyText2Char"/>
    <w:uiPriority w:val="99"/>
    <w:semiHidden/>
    <w:unhideWhenUsed/>
    <w:rsid w:val="00D4683E"/>
    <w:pPr>
      <w:spacing w:after="120" w:line="480" w:lineRule="auto"/>
    </w:pPr>
  </w:style>
  <w:style w:type="character" w:customStyle="1" w:styleId="BodyText2Char">
    <w:name w:val="Body Text 2 Char"/>
    <w:basedOn w:val="DefaultParagraphFont"/>
    <w:link w:val="BodyText2"/>
    <w:uiPriority w:val="99"/>
    <w:semiHidden/>
    <w:rsid w:val="00D4683E"/>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5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np-mop-01/np-mop-01-dec-03-en.pdf" TargetMode="External"/><Relationship Id="rId26" Type="http://schemas.openxmlformats.org/officeDocument/2006/relationships/hyperlink" Target="https://www.cbd.int/doc/c/da8c/9e95/9e9db02aaf68c018c758ff14/wg2020-02-03-en.pdf" TargetMode="Externa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np-mop-03/np-mop-03-dec-15-en.pdf" TargetMode="External"/><Relationship Id="rId25" Type="http://schemas.openxmlformats.org/officeDocument/2006/relationships/hyperlink" Target="https://www.cbd.int/doc/decisions/cop-14/cop-14-dec-34-e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np-mop-01/np-mop-01-dec-03-en.pdf" TargetMode="External"/><Relationship Id="rId20" Type="http://schemas.openxmlformats.org/officeDocument/2006/relationships/chart" Target="charts/char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bd.int/doc/decisions/np-mop-01/np-mop-01-dec-04-en.pdf" TargetMode="External"/><Relationship Id="rId23" Type="http://schemas.openxmlformats.org/officeDocument/2006/relationships/chart" Target="charts/chart4.xml"/><Relationship Id="rId28" Type="http://schemas.openxmlformats.org/officeDocument/2006/relationships/hyperlink" Target="https://www.cbd.int/meetings/WG2020-02" TargetMode="External"/><Relationship Id="rId10" Type="http://schemas.openxmlformats.org/officeDocument/2006/relationships/footnotes" Target="footnotes.xml"/><Relationship Id="rId19" Type="http://schemas.openxmlformats.org/officeDocument/2006/relationships/hyperlink" Target="https://absch.cbd.int/repor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chart" Target="charts/chart3.xml"/><Relationship Id="rId27" Type="http://schemas.openxmlformats.org/officeDocument/2006/relationships/hyperlink" Target="https://www.cbd.int/doc/c/3539/9fe5/d7f2e35051986addba4ec258/wg2020-02-03-add1-en.pdf" TargetMode="External"/><Relationship Id="rId30" Type="http://schemas.openxmlformats.org/officeDocument/2006/relationships/header" Target="head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54f0/da56/ccd407da8ceadd946d32742a/post2020-ws-2019-08-03-en.pdf" TargetMode="External"/><Relationship Id="rId1" Type="http://schemas.openxmlformats.org/officeDocument/2006/relationships/hyperlink" Target="https://www.cbd.int/doc/c/11b0/6556/4dc4b63b281ece1b90dc934a/np-cc-03-01-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Biodiv.org\shares\UserDoc\Working%20Folders\Nagoya%20Protocol\Global%20Overview\NP_ProgressTable_Master_Latest%20(version%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iodiv.org\shares\UserDoc\Working%20Folders\Nagoya%20Protocol\Global%20Overview\NP_ProgressTable_Master_Lates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iodiv.org\shares\UserDoc\Working%20Folders\Nagoya%20Protocol\Global%20Overview\Back-up%20versions%20of%20NP%20ProgressTable\BACKUP%202020-03-04%20NP_Progress%20table.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Biodiv.org\shares\UserDoc\Working%20Folders\Nagoya%20Protocol\Global%20Overview\NP_ProgressTable_Master_Latest%20(version%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'ANALYSIS Parties'!$R$13</c:f>
              <c:strCache>
                <c:ptCount val="1"/>
                <c:pt idx="0">
                  <c:v>Planning to develop additional measures</c:v>
                </c:pt>
              </c:strCache>
            </c:strRef>
          </c:tx>
          <c:spPr>
            <a:solidFill>
              <a:schemeClr val="bg1">
                <a:lumMod val="75000"/>
              </a:schemeClr>
            </a:solidFill>
            <a:ln>
              <a:solidFill>
                <a:schemeClr val="tx1">
                  <a:lumMod val="85000"/>
                  <a:lumOff val="15000"/>
                </a:schemeClr>
              </a:solidFill>
            </a:ln>
            <a:effectLst/>
          </c:spPr>
          <c:invertIfNegative val="0"/>
          <c:dLbls>
            <c:spPr>
              <a:noFill/>
              <a:ln w="25400">
                <a:noFill/>
              </a:ln>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Parties'!$R$14:$R$19</c:f>
              <c:numCache>
                <c:formatCode>0%</c:formatCode>
                <c:ptCount val="6"/>
                <c:pt idx="0">
                  <c:v>0.15555555555555556</c:v>
                </c:pt>
                <c:pt idx="1">
                  <c:v>0.1111111111111111</c:v>
                </c:pt>
                <c:pt idx="2">
                  <c:v>9.0909090909090912E-2</c:v>
                </c:pt>
                <c:pt idx="3">
                  <c:v>6.6666666666666666E-2</c:v>
                </c:pt>
                <c:pt idx="4">
                  <c:v>5.8823529411764705E-2</c:v>
                </c:pt>
                <c:pt idx="5">
                  <c:v>0.12903225806451613</c:v>
                </c:pt>
              </c:numCache>
            </c:numRef>
          </c:val>
          <c:extLst>
            <c:ext xmlns:c16="http://schemas.microsoft.com/office/drawing/2014/chart" uri="{C3380CC4-5D6E-409C-BE32-E72D297353CC}">
              <c16:uniqueId val="{00000000-886B-4CFF-ACCA-B47C2D81D893}"/>
            </c:ext>
          </c:extLst>
        </c:ser>
        <c:ser>
          <c:idx val="1"/>
          <c:order val="1"/>
          <c:tx>
            <c:strRef>
              <c:f>'ANALYSIS Parties'!$Q$13</c:f>
              <c:strCache>
                <c:ptCount val="1"/>
                <c:pt idx="0">
                  <c:v>Developing additional measures</c:v>
                </c:pt>
              </c:strCache>
            </c:strRef>
          </c:tx>
          <c:spPr>
            <a:solidFill>
              <a:schemeClr val="tx1">
                <a:lumMod val="50000"/>
                <a:lumOff val="50000"/>
              </a:schemeClr>
            </a:solidFill>
            <a:ln>
              <a:solidFill>
                <a:schemeClr val="tx1">
                  <a:lumMod val="85000"/>
                  <a:lumOff val="15000"/>
                </a:schemeClr>
              </a:solidFill>
            </a:ln>
            <a:effectLst/>
          </c:spPr>
          <c:invertIfNegative val="0"/>
          <c:dLbls>
            <c:spPr>
              <a:noFill/>
              <a:ln w="25400">
                <a:noFill/>
              </a:ln>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Parties'!$Q$14:$Q$19</c:f>
              <c:numCache>
                <c:formatCode>0%</c:formatCode>
                <c:ptCount val="6"/>
                <c:pt idx="0">
                  <c:v>0.53333333333333333</c:v>
                </c:pt>
                <c:pt idx="1">
                  <c:v>0.3888888888888889</c:v>
                </c:pt>
                <c:pt idx="2">
                  <c:v>0.45454545454545453</c:v>
                </c:pt>
                <c:pt idx="3">
                  <c:v>0.73333333333333328</c:v>
                </c:pt>
                <c:pt idx="4">
                  <c:v>0.35294117647058826</c:v>
                </c:pt>
                <c:pt idx="5">
                  <c:v>0.4838709677419355</c:v>
                </c:pt>
              </c:numCache>
            </c:numRef>
          </c:val>
          <c:extLst>
            <c:ext xmlns:c16="http://schemas.microsoft.com/office/drawing/2014/chart" uri="{C3380CC4-5D6E-409C-BE32-E72D297353CC}">
              <c16:uniqueId val="{00000001-886B-4CFF-ACCA-B47C2D81D893}"/>
            </c:ext>
          </c:extLst>
        </c:ser>
        <c:ser>
          <c:idx val="0"/>
          <c:order val="2"/>
          <c:tx>
            <c:strRef>
              <c:f>'ANALYSIS Parties'!$P$13</c:f>
              <c:strCache>
                <c:ptCount val="1"/>
                <c:pt idx="0">
                  <c:v>Parties with ABS measures in Place</c:v>
                </c:pt>
              </c:strCache>
            </c:strRef>
          </c:tx>
          <c:spPr>
            <a:solidFill>
              <a:schemeClr val="bg1"/>
            </a:solidFill>
            <a:ln>
              <a:solidFill>
                <a:schemeClr val="tx1">
                  <a:lumMod val="85000"/>
                  <a:lumOff val="15000"/>
                </a:schemeClr>
              </a:solidFill>
            </a:ln>
            <a:effectLst/>
          </c:spPr>
          <c:invertIfNegative val="0"/>
          <c:dLbls>
            <c:dLbl>
              <c:idx val="0"/>
              <c:layout>
                <c:manualLayout>
                  <c:x val="-1.9524091104950787E-17"/>
                  <c:y val="-5.2208664756600145E-2"/>
                </c:manualLayout>
              </c:layout>
              <c:tx>
                <c:rich>
                  <a:bodyPr/>
                  <a:lstStyle/>
                  <a:p>
                    <a:r>
                      <a:rPr lang="en-US"/>
                      <a:t>76%</a:t>
                    </a: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6B-4CFF-ACCA-B47C2D81D893}"/>
                </c:ext>
              </c:extLst>
            </c:dLbl>
            <c:dLbl>
              <c:idx val="1"/>
              <c:layout>
                <c:manualLayout>
                  <c:x val="-2.1299254526091979E-3"/>
                  <c:y val="-6.5779487487728217E-2"/>
                </c:manualLayout>
              </c:layout>
              <c:tx>
                <c:rich>
                  <a:bodyPr/>
                  <a:lstStyle/>
                  <a:p>
                    <a:r>
                      <a:rPr lang="en-US"/>
                      <a:t>61%</a:t>
                    </a: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6B-4CFF-ACCA-B47C2D81D893}"/>
                </c:ext>
              </c:extLst>
            </c:dLbl>
            <c:dLbl>
              <c:idx val="2"/>
              <c:layout>
                <c:manualLayout>
                  <c:x val="0"/>
                  <c:y val="-0.13702630682615055"/>
                </c:manualLayout>
              </c:layout>
              <c:tx>
                <c:rich>
                  <a:bodyPr/>
                  <a:lstStyle/>
                  <a:p>
                    <a:r>
                      <a:rPr lang="en-US"/>
                      <a:t>91%</a:t>
                    </a: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6B-4CFF-ACCA-B47C2D81D893}"/>
                </c:ext>
              </c:extLst>
            </c:dLbl>
            <c:dLbl>
              <c:idx val="3"/>
              <c:layout>
                <c:manualLayout>
                  <c:x val="0"/>
                  <c:y val="-4.8815959073818124E-2"/>
                </c:manualLayout>
              </c:layout>
              <c:tx>
                <c:rich>
                  <a:bodyPr/>
                  <a:lstStyle/>
                  <a:p>
                    <a:r>
                      <a:rPr lang="en-US"/>
                      <a:t>87%</a:t>
                    </a: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6B-4CFF-ACCA-B47C2D81D893}"/>
                </c:ext>
              </c:extLst>
            </c:dLbl>
            <c:dLbl>
              <c:idx val="4"/>
              <c:layout>
                <c:manualLayout>
                  <c:x val="-7.8096364419803149E-17"/>
                  <c:y val="-0.23541477162682914"/>
                </c:manualLayout>
              </c:layout>
              <c:tx>
                <c:rich>
                  <a:bodyPr/>
                  <a:lstStyle/>
                  <a:p>
                    <a:r>
                      <a:rPr lang="en-US"/>
                      <a:t>100%</a:t>
                    </a: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6B-4CFF-ACCA-B47C2D81D893}"/>
                </c:ext>
              </c:extLst>
            </c:dLbl>
            <c:dLbl>
              <c:idx val="5"/>
              <c:layout>
                <c:manualLayout>
                  <c:x val="-2.1299254526091589E-3"/>
                  <c:y val="-8.2743015901638309E-2"/>
                </c:manualLayout>
              </c:layout>
              <c:tx>
                <c:rich>
                  <a:bodyPr/>
                  <a:lstStyle/>
                  <a:p>
                    <a:r>
                      <a:rPr lang="en-US"/>
                      <a:t>77%</a:t>
                    </a: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6B-4CFF-ACCA-B47C2D81D893}"/>
                </c:ext>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Parties'!$W$14:$W$19</c:f>
              <c:numCache>
                <c:formatCode>0%</c:formatCode>
                <c:ptCount val="6"/>
                <c:pt idx="0">
                  <c:v>6.6666666666666652E-2</c:v>
                </c:pt>
                <c:pt idx="1">
                  <c:v>0.11111111111111116</c:v>
                </c:pt>
                <c:pt idx="2">
                  <c:v>0.36363636363636365</c:v>
                </c:pt>
                <c:pt idx="3">
                  <c:v>6.6666666666666763E-2</c:v>
                </c:pt>
                <c:pt idx="4">
                  <c:v>0.58823529411764697</c:v>
                </c:pt>
                <c:pt idx="5">
                  <c:v>0.16129032258064513</c:v>
                </c:pt>
              </c:numCache>
            </c:numRef>
          </c:val>
          <c:extLst>
            <c:ext xmlns:c16="http://schemas.microsoft.com/office/drawing/2014/chart" uri="{C3380CC4-5D6E-409C-BE32-E72D297353CC}">
              <c16:uniqueId val="{00000008-886B-4CFF-ACCA-B47C2D81D893}"/>
            </c:ext>
          </c:extLst>
        </c:ser>
        <c:dLbls>
          <c:showLegendKey val="0"/>
          <c:showVal val="0"/>
          <c:showCatName val="0"/>
          <c:showSerName val="0"/>
          <c:showPercent val="0"/>
          <c:showBubbleSize val="0"/>
        </c:dLbls>
        <c:gapWidth val="55"/>
        <c:overlap val="100"/>
        <c:axId val="497308336"/>
        <c:axId val="1"/>
      </c:barChart>
      <c:catAx>
        <c:axId val="497308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ln w="9525">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7308336"/>
        <c:crosses val="autoZero"/>
        <c:crossBetween val="between"/>
      </c:valAx>
      <c:spPr>
        <a:noFill/>
        <a:ln w="25400">
          <a:noFill/>
        </a:ln>
      </c:spPr>
    </c:plotArea>
    <c:legend>
      <c:legendPos val="r"/>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'ANALYSIS Parties'!$U$13</c:f>
              <c:strCache>
                <c:ptCount val="1"/>
                <c:pt idx="0">
                  <c:v>Planning to develop  measures</c:v>
                </c:pt>
              </c:strCache>
            </c:strRef>
          </c:tx>
          <c:spPr>
            <a:solidFill>
              <a:schemeClr val="bg1">
                <a:lumMod val="75000"/>
              </a:schemeClr>
            </a:solidFill>
            <a:ln>
              <a:solidFill>
                <a:schemeClr val="tx1">
                  <a:lumMod val="85000"/>
                  <a:lumOff val="15000"/>
                </a:schemeClr>
              </a:solidFill>
            </a:ln>
            <a:effectLst/>
          </c:spPr>
          <c:invertIfNegative val="0"/>
          <c:dLbls>
            <c:dLbl>
              <c:idx val="3"/>
              <c:layout>
                <c:manualLayout>
                  <c:x val="0"/>
                  <c:y val="-3.7319762510602331E-2"/>
                </c:manualLayout>
              </c:layout>
              <c:tx>
                <c:rich>
                  <a:bodyPr wrap="square" lIns="38100" tIns="19050" rIns="38100" bIns="19050" anchor="ctr">
                    <a:spAutoFit/>
                  </a:bodyPr>
                  <a:lstStyle/>
                  <a:p>
                    <a:pPr>
                      <a:defRPr/>
                    </a:pPr>
                    <a:r>
                      <a:rPr lang="en-US"/>
                      <a:t>7%</a:t>
                    </a:r>
                  </a:p>
                </c:rich>
              </c:tx>
              <c:spPr>
                <a:noFill/>
                <a:ln w="25400">
                  <a:noFill/>
                </a:ln>
              </c:spPr>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0E-45B8-AB7F-B590A396EC5B}"/>
                </c:ext>
              </c:extLst>
            </c:dLbl>
            <c:dLbl>
              <c:idx val="4"/>
              <c:delete val="1"/>
              <c:extLst>
                <c:ext xmlns:c15="http://schemas.microsoft.com/office/drawing/2012/chart" uri="{CE6537A1-D6FC-4f65-9D91-7224C49458BB}"/>
                <c:ext xmlns:c16="http://schemas.microsoft.com/office/drawing/2014/chart" uri="{C3380CC4-5D6E-409C-BE32-E72D297353CC}">
                  <c16:uniqueId val="{00000001-390E-45B8-AB7F-B590A396EC5B}"/>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Parties'!$U$14:$U$19</c:f>
              <c:numCache>
                <c:formatCode>0%</c:formatCode>
                <c:ptCount val="6"/>
                <c:pt idx="0">
                  <c:v>0.1111111111111111</c:v>
                </c:pt>
                <c:pt idx="1">
                  <c:v>2.7777777777777776E-2</c:v>
                </c:pt>
                <c:pt idx="2">
                  <c:v>0</c:v>
                </c:pt>
                <c:pt idx="3">
                  <c:v>0</c:v>
                </c:pt>
                <c:pt idx="4">
                  <c:v>0</c:v>
                </c:pt>
                <c:pt idx="5">
                  <c:v>5.6451612903225805E-2</c:v>
                </c:pt>
              </c:numCache>
            </c:numRef>
          </c:val>
          <c:extLst>
            <c:ext xmlns:c16="http://schemas.microsoft.com/office/drawing/2014/chart" uri="{C3380CC4-5D6E-409C-BE32-E72D297353CC}">
              <c16:uniqueId val="{00000002-390E-45B8-AB7F-B590A396EC5B}"/>
            </c:ext>
          </c:extLst>
        </c:ser>
        <c:ser>
          <c:idx val="1"/>
          <c:order val="1"/>
          <c:tx>
            <c:strRef>
              <c:f>'ANALYSIS Parties'!$T$13</c:f>
              <c:strCache>
                <c:ptCount val="1"/>
                <c:pt idx="0">
                  <c:v>Developing  measures</c:v>
                </c:pt>
              </c:strCache>
            </c:strRef>
          </c:tx>
          <c:spPr>
            <a:solidFill>
              <a:schemeClr val="tx1">
                <a:lumMod val="50000"/>
                <a:lumOff val="50000"/>
              </a:schemeClr>
            </a:solidFill>
            <a:ln>
              <a:solidFill>
                <a:schemeClr val="tx1">
                  <a:lumMod val="85000"/>
                  <a:lumOff val="15000"/>
                </a:schemeClr>
              </a:solid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390E-45B8-AB7F-B590A396EC5B}"/>
                </c:ext>
              </c:extLst>
            </c:dLbl>
            <c:dLbl>
              <c:idx val="3"/>
              <c:delete val="1"/>
              <c:extLst>
                <c:ext xmlns:c15="http://schemas.microsoft.com/office/drawing/2012/chart" uri="{CE6537A1-D6FC-4f65-9D91-7224C49458BB}"/>
                <c:ext xmlns:c16="http://schemas.microsoft.com/office/drawing/2014/chart" uri="{C3380CC4-5D6E-409C-BE32-E72D297353CC}">
                  <c16:uniqueId val="{00000004-390E-45B8-AB7F-B590A396EC5B}"/>
                </c:ext>
              </c:extLst>
            </c:dLbl>
            <c:dLbl>
              <c:idx val="4"/>
              <c:layout>
                <c:manualLayout>
                  <c:x val="-7.8096364419803149E-17"/>
                  <c:y val="-2.3748939779474256E-2"/>
                </c:manualLayout>
              </c:layout>
              <c:spPr>
                <a:noFill/>
                <a:ln w="25400">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0E-45B8-AB7F-B590A396EC5B}"/>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Parties'!$T$14:$T$19</c:f>
              <c:numCache>
                <c:formatCode>0%</c:formatCode>
                <c:ptCount val="6"/>
                <c:pt idx="0">
                  <c:v>0.13333333333333333</c:v>
                </c:pt>
                <c:pt idx="1">
                  <c:v>0.25</c:v>
                </c:pt>
                <c:pt idx="2">
                  <c:v>0</c:v>
                </c:pt>
                <c:pt idx="3">
                  <c:v>6.6666666666666666E-2</c:v>
                </c:pt>
                <c:pt idx="4">
                  <c:v>0</c:v>
                </c:pt>
                <c:pt idx="5">
                  <c:v>0.12903225806451613</c:v>
                </c:pt>
              </c:numCache>
            </c:numRef>
          </c:val>
          <c:extLst>
            <c:ext xmlns:c16="http://schemas.microsoft.com/office/drawing/2014/chart" uri="{C3380CC4-5D6E-409C-BE32-E72D297353CC}">
              <c16:uniqueId val="{00000006-390E-45B8-AB7F-B590A396EC5B}"/>
            </c:ext>
          </c:extLst>
        </c:ser>
        <c:ser>
          <c:idx val="0"/>
          <c:order val="2"/>
          <c:tx>
            <c:strRef>
              <c:f>'ANALYSIS Parties'!$S$13</c:f>
              <c:strCache>
                <c:ptCount val="1"/>
                <c:pt idx="0">
                  <c:v>Parties without ABS measures in place or unkown</c:v>
                </c:pt>
              </c:strCache>
            </c:strRef>
          </c:tx>
          <c:spPr>
            <a:solidFill>
              <a:schemeClr val="bg1"/>
            </a:solidFill>
            <a:ln>
              <a:solidFill>
                <a:schemeClr val="tx1">
                  <a:lumMod val="85000"/>
                  <a:lumOff val="15000"/>
                </a:schemeClr>
              </a:solidFill>
            </a:ln>
            <a:effectLst/>
          </c:spPr>
          <c:invertIfNegative val="0"/>
          <c:dLbls>
            <c:dLbl>
              <c:idx val="0"/>
              <c:layout>
                <c:manualLayout>
                  <c:x val="0"/>
                  <c:y val="-0.167560657971188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0E-45B8-AB7F-B590A396EC5B}"/>
                </c:ext>
              </c:extLst>
            </c:dLbl>
            <c:dLbl>
              <c:idx val="1"/>
              <c:layout>
                <c:manualLayout>
                  <c:x val="-2.1299254526091589E-3"/>
                  <c:y val="-0.21505853753013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0E-45B8-AB7F-B590A396EC5B}"/>
                </c:ext>
              </c:extLst>
            </c:dLbl>
            <c:dLbl>
              <c:idx val="2"/>
              <c:layout>
                <c:manualLayout>
                  <c:x val="-3.9048182209901574E-17"/>
                  <c:y val="-7.256489885329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90E-45B8-AB7F-B590A396EC5B}"/>
                </c:ext>
              </c:extLst>
            </c:dLbl>
            <c:dLbl>
              <c:idx val="3"/>
              <c:layout>
                <c:manualLayout>
                  <c:x val="-2.1299254526091589E-3"/>
                  <c:y val="-9.97065443155483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90E-45B8-AB7F-B590A396EC5B}"/>
                </c:ext>
              </c:extLst>
            </c:dLbl>
            <c:dLbl>
              <c:idx val="4"/>
              <c:delete val="1"/>
              <c:extLst>
                <c:ext xmlns:c15="http://schemas.microsoft.com/office/drawing/2012/chart" uri="{CE6537A1-D6FC-4f65-9D91-7224C49458BB}"/>
                <c:ext xmlns:c16="http://schemas.microsoft.com/office/drawing/2014/chart" uri="{C3380CC4-5D6E-409C-BE32-E72D297353CC}">
                  <c16:uniqueId val="{0000000B-390E-45B8-AB7F-B590A396EC5B}"/>
                </c:ext>
              </c:extLst>
            </c:dLbl>
            <c:dLbl>
              <c:idx val="5"/>
              <c:layout>
                <c:manualLayout>
                  <c:x val="0"/>
                  <c:y val="-0.1438117181917146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90E-45B8-AB7F-B590A396EC5B}"/>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Parties'!$S$14:$S$19</c:f>
              <c:numCache>
                <c:formatCode>0%</c:formatCode>
                <c:ptCount val="6"/>
                <c:pt idx="0">
                  <c:v>0.26666666666666666</c:v>
                </c:pt>
                <c:pt idx="1">
                  <c:v>0.3611111111111111</c:v>
                </c:pt>
                <c:pt idx="2">
                  <c:v>9.0909090909090912E-2</c:v>
                </c:pt>
                <c:pt idx="3">
                  <c:v>0.13333333333333333</c:v>
                </c:pt>
                <c:pt idx="4">
                  <c:v>0</c:v>
                </c:pt>
                <c:pt idx="5">
                  <c:v>0.22580645161290322</c:v>
                </c:pt>
              </c:numCache>
            </c:numRef>
          </c:val>
          <c:extLst>
            <c:ext xmlns:c16="http://schemas.microsoft.com/office/drawing/2014/chart" uri="{C3380CC4-5D6E-409C-BE32-E72D297353CC}">
              <c16:uniqueId val="{0000000D-390E-45B8-AB7F-B590A396EC5B}"/>
            </c:ext>
          </c:extLst>
        </c:ser>
        <c:dLbls>
          <c:showLegendKey val="0"/>
          <c:showVal val="0"/>
          <c:showCatName val="0"/>
          <c:showSerName val="0"/>
          <c:showPercent val="0"/>
          <c:showBubbleSize val="0"/>
        </c:dLbls>
        <c:gapWidth val="55"/>
        <c:overlap val="100"/>
        <c:axId val="497312928"/>
        <c:axId val="1"/>
      </c:barChart>
      <c:catAx>
        <c:axId val="497312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312928"/>
        <c:crosses val="autoZero"/>
        <c:crossBetween val="between"/>
      </c:valAx>
      <c:spPr>
        <a:noFill/>
        <a:ln w="25400">
          <a:noFill/>
        </a:ln>
      </c:spPr>
    </c:plotArea>
    <c:legend>
      <c:legendPos val="r"/>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baseline="0"/>
              <a:t> </a:t>
            </a:r>
            <a:endParaRPr lang="en-CA"/>
          </a:p>
        </c:rich>
      </c:tx>
      <c:overlay val="0"/>
      <c:spPr>
        <a:noFill/>
        <a:ln w="25400">
          <a:noFill/>
        </a:ln>
      </c:spPr>
    </c:title>
    <c:autoTitleDeleted val="0"/>
    <c:plotArea>
      <c:layout/>
      <c:barChart>
        <c:barDir val="col"/>
        <c:grouping val="clustered"/>
        <c:varyColors val="0"/>
        <c:ser>
          <c:idx val="0"/>
          <c:order val="0"/>
          <c:tx>
            <c:strRef>
              <c:f>'ANALYSIS Parties'!$E$13</c:f>
              <c:strCache>
                <c:ptCount val="1"/>
                <c:pt idx="0">
                  <c:v>CNA designated</c:v>
                </c:pt>
              </c:strCache>
            </c:strRef>
          </c:tx>
          <c:spPr>
            <a:solidFill>
              <a:schemeClr val="tx1">
                <a:lumMod val="85000"/>
                <a:lumOff val="15000"/>
              </a:schemeClr>
            </a:solidFill>
            <a:ln>
              <a:solidFill>
                <a:schemeClr val="tx1">
                  <a:lumMod val="15000"/>
                  <a:lumOff val="85000"/>
                  <a:alpha val="90000"/>
                </a:schemeClr>
              </a:solidFill>
            </a:ln>
            <a:effectLst/>
          </c:spPr>
          <c:invertIfNegative val="0"/>
          <c:dLbls>
            <c:numFmt formatCode="0%" sourceLinked="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Parties'!$E$14:$E$19</c:f>
              <c:numCache>
                <c:formatCode>0.0%</c:formatCode>
                <c:ptCount val="6"/>
                <c:pt idx="0">
                  <c:v>0.62222222222222223</c:v>
                </c:pt>
                <c:pt idx="1">
                  <c:v>0.3888888888888889</c:v>
                </c:pt>
                <c:pt idx="2">
                  <c:v>0.90909090909090906</c:v>
                </c:pt>
                <c:pt idx="3">
                  <c:v>0.93333333333333335</c:v>
                </c:pt>
                <c:pt idx="4">
                  <c:v>0.82352941176470584</c:v>
                </c:pt>
                <c:pt idx="5" formatCode="0%">
                  <c:v>0.64516129032258063</c:v>
                </c:pt>
              </c:numCache>
            </c:numRef>
          </c:val>
          <c:extLst>
            <c:ext xmlns:c16="http://schemas.microsoft.com/office/drawing/2014/chart" uri="{C3380CC4-5D6E-409C-BE32-E72D297353CC}">
              <c16:uniqueId val="{00000000-B785-46E8-9887-207E6298D9D0}"/>
            </c:ext>
          </c:extLst>
        </c:ser>
        <c:ser>
          <c:idx val="1"/>
          <c:order val="1"/>
          <c:tx>
            <c:strRef>
              <c:f>'ANALYSIS Parties'!$F$13</c:f>
              <c:strCache>
                <c:ptCount val="1"/>
                <c:pt idx="0">
                  <c:v>Work underway</c:v>
                </c:pt>
              </c:strCache>
            </c:strRef>
          </c:tx>
          <c:spPr>
            <a:solidFill>
              <a:schemeClr val="bg1">
                <a:lumMod val="75000"/>
              </a:schemeClr>
            </a:solidFill>
            <a:ln>
              <a:noFill/>
            </a:ln>
            <a:effectLst/>
          </c:spPr>
          <c:invertIfNegative val="0"/>
          <c:dLbls>
            <c:numFmt formatCode="0%" sourceLinked="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Parties'!$F$14:$F$19</c:f>
              <c:numCache>
                <c:formatCode>0.0%</c:formatCode>
                <c:ptCount val="6"/>
                <c:pt idx="0">
                  <c:v>8.8888888888888892E-2</c:v>
                </c:pt>
                <c:pt idx="1">
                  <c:v>0.16666666666666666</c:v>
                </c:pt>
                <c:pt idx="2">
                  <c:v>9.0909090909090912E-2</c:v>
                </c:pt>
                <c:pt idx="3">
                  <c:v>0</c:v>
                </c:pt>
                <c:pt idx="4">
                  <c:v>5.8823529411764705E-2</c:v>
                </c:pt>
                <c:pt idx="5" formatCode="0%">
                  <c:v>9.6774193548387094E-2</c:v>
                </c:pt>
              </c:numCache>
            </c:numRef>
          </c:val>
          <c:extLst>
            <c:ext xmlns:c16="http://schemas.microsoft.com/office/drawing/2014/chart" uri="{C3380CC4-5D6E-409C-BE32-E72D297353CC}">
              <c16:uniqueId val="{00000001-B785-46E8-9887-207E6298D9D0}"/>
            </c:ext>
          </c:extLst>
        </c:ser>
        <c:ser>
          <c:idx val="2"/>
          <c:order val="2"/>
          <c:tx>
            <c:strRef>
              <c:f>'ANALYSIS Parties'!$G$13</c:f>
              <c:strCache>
                <c:ptCount val="1"/>
                <c:pt idx="0">
                  <c:v>Planning</c:v>
                </c:pt>
              </c:strCache>
            </c:strRef>
          </c:tx>
          <c:spPr>
            <a:solidFill>
              <a:schemeClr val="bg1">
                <a:lumMod val="50000"/>
              </a:schemeClr>
            </a:solidFill>
            <a:ln>
              <a:noFill/>
            </a:ln>
            <a:effectLst/>
          </c:spPr>
          <c:invertIfNegative val="0"/>
          <c:dLbls>
            <c:numFmt formatCode="0%" sourceLinked="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Parties'!$G$14:$G$19</c:f>
              <c:numCache>
                <c:formatCode>0.0%</c:formatCode>
                <c:ptCount val="6"/>
                <c:pt idx="0">
                  <c:v>0.1111111111111111</c:v>
                </c:pt>
                <c:pt idx="1">
                  <c:v>5.5555555555555552E-2</c:v>
                </c:pt>
                <c:pt idx="2">
                  <c:v>0</c:v>
                </c:pt>
                <c:pt idx="3">
                  <c:v>0</c:v>
                </c:pt>
                <c:pt idx="4">
                  <c:v>0</c:v>
                </c:pt>
                <c:pt idx="5" formatCode="0%">
                  <c:v>5.6451612903225805E-2</c:v>
                </c:pt>
              </c:numCache>
            </c:numRef>
          </c:val>
          <c:extLst>
            <c:ext xmlns:c16="http://schemas.microsoft.com/office/drawing/2014/chart" uri="{C3380CC4-5D6E-409C-BE32-E72D297353CC}">
              <c16:uniqueId val="{00000002-B785-46E8-9887-207E6298D9D0}"/>
            </c:ext>
          </c:extLst>
        </c:ser>
        <c:dLbls>
          <c:showLegendKey val="0"/>
          <c:showVal val="0"/>
          <c:showCatName val="0"/>
          <c:showSerName val="0"/>
          <c:showPercent val="0"/>
          <c:showBubbleSize val="0"/>
        </c:dLbls>
        <c:gapWidth val="219"/>
        <c:axId val="588436584"/>
        <c:axId val="1"/>
      </c:barChart>
      <c:catAx>
        <c:axId val="588436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36584"/>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Parties'!$K$13</c:f>
              <c:strCache>
                <c:ptCount val="1"/>
                <c:pt idx="0">
                  <c:v>Checkpoint  designated</c:v>
                </c:pt>
              </c:strCache>
            </c:strRef>
          </c:tx>
          <c:spPr>
            <a:solidFill>
              <a:schemeClr val="tx1">
                <a:lumMod val="85000"/>
                <a:lumOff val="15000"/>
              </a:schemeClr>
            </a:solidFill>
            <a:ln>
              <a:solidFill>
                <a:schemeClr val="tx1">
                  <a:lumMod val="15000"/>
                  <a:lumOff val="85000"/>
                  <a:alpha val="90000"/>
                </a:schemeClr>
              </a:solidFill>
            </a:ln>
            <a:effectLst/>
          </c:spPr>
          <c:invertIfNegative val="0"/>
          <c:dLbls>
            <c:numFmt formatCode="0%" sourceLinked="0"/>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Parties'!$K$14:$K$19</c:f>
              <c:numCache>
                <c:formatCode>0%</c:formatCode>
                <c:ptCount val="6"/>
                <c:pt idx="0">
                  <c:v>0.2</c:v>
                </c:pt>
                <c:pt idx="1">
                  <c:v>0.16666666666666666</c:v>
                </c:pt>
                <c:pt idx="2">
                  <c:v>0.63636363636363635</c:v>
                </c:pt>
                <c:pt idx="3">
                  <c:v>0.26666666666666666</c:v>
                </c:pt>
                <c:pt idx="4">
                  <c:v>0.82352941176470584</c:v>
                </c:pt>
                <c:pt idx="5">
                  <c:v>0.32258064516129031</c:v>
                </c:pt>
              </c:numCache>
            </c:numRef>
          </c:val>
          <c:extLst>
            <c:ext xmlns:c16="http://schemas.microsoft.com/office/drawing/2014/chart" uri="{C3380CC4-5D6E-409C-BE32-E72D297353CC}">
              <c16:uniqueId val="{00000000-885A-4AD6-B47A-9A7342430026}"/>
            </c:ext>
          </c:extLst>
        </c:ser>
        <c:ser>
          <c:idx val="1"/>
          <c:order val="1"/>
          <c:tx>
            <c:strRef>
              <c:f>'ANALYSIS Parties'!$L$13</c:f>
              <c:strCache>
                <c:ptCount val="1"/>
                <c:pt idx="0">
                  <c:v>Work underway</c:v>
                </c:pt>
              </c:strCache>
            </c:strRef>
          </c:tx>
          <c:spPr>
            <a:solidFill>
              <a:schemeClr val="bg1">
                <a:lumMod val="75000"/>
              </a:schemeClr>
            </a:solidFill>
            <a:ln>
              <a:noFill/>
            </a:ln>
            <a:effectLst/>
          </c:spPr>
          <c:invertIfNegative val="0"/>
          <c:dLbls>
            <c:numFmt formatCode="0%" sourceLinked="0"/>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Parties'!$L$14:$L$19</c:f>
              <c:numCache>
                <c:formatCode>0%</c:formatCode>
                <c:ptCount val="6"/>
                <c:pt idx="0">
                  <c:v>0.17777777777777778</c:v>
                </c:pt>
                <c:pt idx="1">
                  <c:v>0.1388888888888889</c:v>
                </c:pt>
                <c:pt idx="2">
                  <c:v>9.0909090909090912E-2</c:v>
                </c:pt>
                <c:pt idx="3">
                  <c:v>0.2</c:v>
                </c:pt>
                <c:pt idx="4">
                  <c:v>5.8823529411764705E-2</c:v>
                </c:pt>
                <c:pt idx="5">
                  <c:v>0.14516129032258066</c:v>
                </c:pt>
              </c:numCache>
            </c:numRef>
          </c:val>
          <c:extLst>
            <c:ext xmlns:c16="http://schemas.microsoft.com/office/drawing/2014/chart" uri="{C3380CC4-5D6E-409C-BE32-E72D297353CC}">
              <c16:uniqueId val="{00000001-885A-4AD6-B47A-9A7342430026}"/>
            </c:ext>
          </c:extLst>
        </c:ser>
        <c:ser>
          <c:idx val="2"/>
          <c:order val="2"/>
          <c:tx>
            <c:strRef>
              <c:f>'ANALYSIS Parties'!$M$13</c:f>
              <c:strCache>
                <c:ptCount val="1"/>
                <c:pt idx="0">
                  <c:v>Planning</c:v>
                </c:pt>
              </c:strCache>
            </c:strRef>
          </c:tx>
          <c:spPr>
            <a:solidFill>
              <a:schemeClr val="bg1">
                <a:lumMod val="50000"/>
              </a:schemeClr>
            </a:solidFill>
            <a:ln>
              <a:noFill/>
            </a:ln>
            <a:effectLst/>
          </c:spPr>
          <c:invertIfNegative val="0"/>
          <c:dLbls>
            <c:numFmt formatCode="0%" sourceLinked="0"/>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 Parties'!$A$14:$A$19</c:f>
              <c:strCache>
                <c:ptCount val="6"/>
                <c:pt idx="0">
                  <c:v>Africa</c:v>
                </c:pt>
                <c:pt idx="1">
                  <c:v>Asia-Pacific</c:v>
                </c:pt>
                <c:pt idx="2">
                  <c:v>CEE</c:v>
                </c:pt>
                <c:pt idx="3">
                  <c:v>GRULAC</c:v>
                </c:pt>
                <c:pt idx="4">
                  <c:v>WEOG</c:v>
                </c:pt>
                <c:pt idx="5">
                  <c:v>Total</c:v>
                </c:pt>
              </c:strCache>
            </c:strRef>
          </c:cat>
          <c:val>
            <c:numRef>
              <c:f>'ANALYSIS Parties'!$M$14:$M$19</c:f>
              <c:numCache>
                <c:formatCode>0%</c:formatCode>
                <c:ptCount val="6"/>
                <c:pt idx="0">
                  <c:v>0.15555555555555556</c:v>
                </c:pt>
                <c:pt idx="1">
                  <c:v>0.16666666666666666</c:v>
                </c:pt>
                <c:pt idx="2">
                  <c:v>0</c:v>
                </c:pt>
                <c:pt idx="3">
                  <c:v>0.2</c:v>
                </c:pt>
                <c:pt idx="4">
                  <c:v>0</c:v>
                </c:pt>
                <c:pt idx="5">
                  <c:v>0.12903225806451613</c:v>
                </c:pt>
              </c:numCache>
            </c:numRef>
          </c:val>
          <c:extLst>
            <c:ext xmlns:c16="http://schemas.microsoft.com/office/drawing/2014/chart" uri="{C3380CC4-5D6E-409C-BE32-E72D297353CC}">
              <c16:uniqueId val="{00000002-885A-4AD6-B47A-9A7342430026}"/>
            </c:ext>
          </c:extLst>
        </c:ser>
        <c:dLbls>
          <c:showLegendKey val="0"/>
          <c:showVal val="0"/>
          <c:showCatName val="0"/>
          <c:showSerName val="0"/>
          <c:showPercent val="0"/>
          <c:showBubbleSize val="0"/>
        </c:dLbls>
        <c:gapWidth val="219"/>
        <c:axId val="494130016"/>
        <c:axId val="1"/>
      </c:barChart>
      <c:catAx>
        <c:axId val="49413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13001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Parties'!$B$75</c:f>
              <c:strCache>
                <c:ptCount val="1"/>
                <c:pt idx="0">
                  <c:v>Information Published</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Parties'!$A$76:$A$80</c:f>
              <c:strCache>
                <c:ptCount val="5"/>
                <c:pt idx="0">
                  <c:v>Africa</c:v>
                </c:pt>
                <c:pt idx="1">
                  <c:v>Asia-Pacific</c:v>
                </c:pt>
                <c:pt idx="2">
                  <c:v>CEE</c:v>
                </c:pt>
                <c:pt idx="3">
                  <c:v>GRULAC</c:v>
                </c:pt>
                <c:pt idx="4">
                  <c:v>WEOG</c:v>
                </c:pt>
              </c:strCache>
            </c:strRef>
          </c:cat>
          <c:val>
            <c:numRef>
              <c:f>'ANALYSIS Parties'!$B$76:$B$80</c:f>
              <c:numCache>
                <c:formatCode>0%</c:formatCode>
                <c:ptCount val="5"/>
                <c:pt idx="0">
                  <c:v>0.55555555555555558</c:v>
                </c:pt>
                <c:pt idx="1">
                  <c:v>0.27777777777777779</c:v>
                </c:pt>
                <c:pt idx="2">
                  <c:v>0.90909090909090906</c:v>
                </c:pt>
                <c:pt idx="3">
                  <c:v>0.8666666666666667</c:v>
                </c:pt>
                <c:pt idx="4">
                  <c:v>0.88235294117647056</c:v>
                </c:pt>
              </c:numCache>
            </c:numRef>
          </c:val>
          <c:extLst>
            <c:ext xmlns:c16="http://schemas.microsoft.com/office/drawing/2014/chart" uri="{C3380CC4-5D6E-409C-BE32-E72D297353CC}">
              <c16:uniqueId val="{00000000-299D-4F1E-946E-AF8138736EF2}"/>
            </c:ext>
          </c:extLst>
        </c:ser>
        <c:ser>
          <c:idx val="1"/>
          <c:order val="1"/>
          <c:tx>
            <c:strRef>
              <c:f>'ANALYSIS Parties'!$C$75</c:f>
              <c:strCache>
                <c:ptCount val="1"/>
                <c:pt idx="0">
                  <c:v>Information available but not yet published</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Parties'!$A$76:$A$80</c:f>
              <c:strCache>
                <c:ptCount val="5"/>
                <c:pt idx="0">
                  <c:v>Africa</c:v>
                </c:pt>
                <c:pt idx="1">
                  <c:v>Asia-Pacific</c:v>
                </c:pt>
                <c:pt idx="2">
                  <c:v>CEE</c:v>
                </c:pt>
                <c:pt idx="3">
                  <c:v>GRULAC</c:v>
                </c:pt>
                <c:pt idx="4">
                  <c:v>WEOG</c:v>
                </c:pt>
              </c:strCache>
            </c:strRef>
          </c:cat>
          <c:val>
            <c:numRef>
              <c:f>'ANALYSIS Parties'!$C$76:$C$80</c:f>
              <c:numCache>
                <c:formatCode>0%</c:formatCode>
                <c:ptCount val="5"/>
                <c:pt idx="0">
                  <c:v>0.46666666666666667</c:v>
                </c:pt>
                <c:pt idx="1">
                  <c:v>0.5</c:v>
                </c:pt>
                <c:pt idx="2">
                  <c:v>0.27272727272727271</c:v>
                </c:pt>
                <c:pt idx="3">
                  <c:v>0.33333333333333331</c:v>
                </c:pt>
                <c:pt idx="4">
                  <c:v>0.17647058823529413</c:v>
                </c:pt>
              </c:numCache>
            </c:numRef>
          </c:val>
          <c:extLst>
            <c:ext xmlns:c16="http://schemas.microsoft.com/office/drawing/2014/chart" uri="{C3380CC4-5D6E-409C-BE32-E72D297353CC}">
              <c16:uniqueId val="{00000001-299D-4F1E-946E-AF8138736EF2}"/>
            </c:ext>
          </c:extLst>
        </c:ser>
        <c:dLbls>
          <c:dLblPos val="outEnd"/>
          <c:showLegendKey val="0"/>
          <c:showVal val="1"/>
          <c:showCatName val="0"/>
          <c:showSerName val="0"/>
          <c:showPercent val="0"/>
          <c:showBubbleSize val="0"/>
        </c:dLbls>
        <c:gapWidth val="219"/>
        <c:overlap val="-27"/>
        <c:axId val="747055152"/>
        <c:axId val="747055480"/>
      </c:barChart>
      <c:catAx>
        <c:axId val="74705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47055480"/>
        <c:crosses val="autoZero"/>
        <c:auto val="1"/>
        <c:lblAlgn val="ctr"/>
        <c:lblOffset val="100"/>
        <c:noMultiLvlLbl val="0"/>
      </c:catAx>
      <c:valAx>
        <c:axId val="747055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0551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2E73"/>
    <w:rsid w:val="0006373A"/>
    <w:rsid w:val="00064936"/>
    <w:rsid w:val="000E3FC4"/>
    <w:rsid w:val="000E5342"/>
    <w:rsid w:val="0012563C"/>
    <w:rsid w:val="00204ED8"/>
    <w:rsid w:val="00393672"/>
    <w:rsid w:val="00453156"/>
    <w:rsid w:val="00483206"/>
    <w:rsid w:val="00500A2B"/>
    <w:rsid w:val="0058288D"/>
    <w:rsid w:val="005E1DAB"/>
    <w:rsid w:val="005F5043"/>
    <w:rsid w:val="0061507A"/>
    <w:rsid w:val="006801B3"/>
    <w:rsid w:val="00810A55"/>
    <w:rsid w:val="008C6619"/>
    <w:rsid w:val="008D420E"/>
    <w:rsid w:val="009749FA"/>
    <w:rsid w:val="0098642F"/>
    <w:rsid w:val="00A65644"/>
    <w:rsid w:val="00C652CF"/>
    <w:rsid w:val="00F614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23FA8B-E75A-43CB-AE65-DCCFB366C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474FA-8596-403F-9534-5AA48DC5F465}">
  <ds:schemaRefs>
    <ds:schemaRef ds:uri="http://schemas.microsoft.com/sharepoint/v3/contenttype/forms"/>
  </ds:schemaRefs>
</ds:datastoreItem>
</file>

<file path=customXml/itemProps4.xml><?xml version="1.0" encoding="utf-8"?>
<ds:datastoreItem xmlns:ds="http://schemas.openxmlformats.org/officeDocument/2006/customXml" ds:itemID="{6BA407AA-16B9-4B3C-B9D4-FE4F207AE0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444BD2-0F24-4F1B-97F6-C49FB84B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Review of general issues of compliance</vt:lpstr>
    </vt:vector>
  </TitlesOfParts>
  <Company>SCBD</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general issues of compliance</dc:title>
  <dc:subject>CBD/NP/CC/3/3</dc:subject>
  <dc:creator>SCBD</dc:creator>
  <cp:keywords>Compliance Committee under the Nagoya Protocol</cp:keywords>
  <dc:description/>
  <cp:lastModifiedBy>Veronique Lefebvre</cp:lastModifiedBy>
  <cp:revision>157</cp:revision>
  <dcterms:created xsi:type="dcterms:W3CDTF">2020-03-31T18:06:00Z</dcterms:created>
  <dcterms:modified xsi:type="dcterms:W3CDTF">2020-04-03T14:49:00Z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