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5604"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6"/>
        <w:gridCol w:w="3844"/>
        <w:gridCol w:w="5671"/>
      </w:tblGrid>
      <w:tr w:rsidR="00A96B21" w:rsidRPr="001921D0" w14:paraId="46D7FE46" w14:textId="77777777">
        <w:trPr>
          <w:trHeight w:val="851"/>
        </w:trPr>
        <w:tc>
          <w:tcPr>
            <w:tcW w:w="465" w:type="pct"/>
            <w:tcBorders>
              <w:bottom w:val="single" w:sz="8" w:space="0" w:color="auto"/>
            </w:tcBorders>
            <w:vAlign w:val="bottom"/>
          </w:tcPr>
          <w:p w14:paraId="4E779057" w14:textId="77777777" w:rsidR="00A96B21" w:rsidRPr="001921D0" w:rsidRDefault="00A96B21">
            <w:pPr>
              <w:spacing w:after="120"/>
              <w:jc w:val="left"/>
            </w:pPr>
            <w:bookmarkStart w:id="0" w:name="_Hlk137651738"/>
            <w:r w:rsidRPr="001921D0">
              <w:rPr>
                <w:noProof/>
              </w:rPr>
              <w:drawing>
                <wp:inline distT="0" distB="0" distL="0" distR="0" wp14:anchorId="57BF5D04" wp14:editId="63605804">
                  <wp:extent cx="476494" cy="403200"/>
                  <wp:effectExtent l="0" t="0" r="6350" b="3810"/>
                  <wp:docPr id="1126395443" name="Picture 1126395443"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1832" w:type="pct"/>
            <w:tcBorders>
              <w:bottom w:val="single" w:sz="8" w:space="0" w:color="auto"/>
            </w:tcBorders>
            <w:shd w:val="clear" w:color="auto" w:fill="auto"/>
            <w:tcFitText/>
            <w:vAlign w:val="bottom"/>
          </w:tcPr>
          <w:p w14:paraId="5BE93850" w14:textId="77777777" w:rsidR="00A96B21" w:rsidRPr="001921D0" w:rsidRDefault="00A96B21">
            <w:pPr>
              <w:spacing w:after="120"/>
              <w:jc w:val="left"/>
            </w:pPr>
            <w:r w:rsidRPr="001921D0">
              <w:rPr>
                <w:noProof/>
              </w:rPr>
              <w:drawing>
                <wp:inline distT="0" distB="0" distL="0" distR="0" wp14:anchorId="021D6B12" wp14:editId="3DA14E4E">
                  <wp:extent cx="500870" cy="360000"/>
                  <wp:effectExtent l="0" t="0" r="0" b="2540"/>
                  <wp:docPr id="185862919" name="Picture 185862919" descr="A picture containing black, dark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862919" name="Picture 185862919" descr="A picture containing black, darkness&#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0870" cy="360000"/>
                          </a:xfrm>
                          <a:prstGeom prst="rect">
                            <a:avLst/>
                          </a:prstGeom>
                          <a:noFill/>
                          <a:ln>
                            <a:noFill/>
                          </a:ln>
                        </pic:spPr>
                      </pic:pic>
                    </a:graphicData>
                  </a:graphic>
                </wp:inline>
              </w:drawing>
            </w:r>
          </w:p>
        </w:tc>
        <w:tc>
          <w:tcPr>
            <w:tcW w:w="2703" w:type="pct"/>
            <w:tcBorders>
              <w:bottom w:val="single" w:sz="8" w:space="0" w:color="auto"/>
            </w:tcBorders>
            <w:vAlign w:val="bottom"/>
          </w:tcPr>
          <w:p w14:paraId="1D2245AF" w14:textId="18C8F3CD" w:rsidR="00A96B21" w:rsidRPr="001921D0" w:rsidRDefault="00A96B21" w:rsidP="00184909">
            <w:pPr>
              <w:spacing w:after="120"/>
              <w:ind w:left="2021"/>
              <w:jc w:val="right"/>
              <w:rPr>
                <w:szCs w:val="22"/>
              </w:rPr>
            </w:pPr>
            <w:r w:rsidRPr="001921D0">
              <w:rPr>
                <w:sz w:val="40"/>
                <w:szCs w:val="40"/>
              </w:rPr>
              <w:t>CBD</w:t>
            </w:r>
            <w:r w:rsidRPr="001921D0">
              <w:rPr>
                <w:szCs w:val="22"/>
              </w:rPr>
              <w:t>/</w:t>
            </w:r>
            <w:r w:rsidR="00C7468D" w:rsidRPr="001921D0">
              <w:rPr>
                <w:szCs w:val="22"/>
              </w:rPr>
              <w:t>CP/</w:t>
            </w:r>
            <w:r w:rsidR="00720ADE" w:rsidRPr="001921D0">
              <w:rPr>
                <w:szCs w:val="22"/>
              </w:rPr>
              <w:t>CC/18/3</w:t>
            </w:r>
          </w:p>
        </w:tc>
      </w:tr>
      <w:tr w:rsidR="00A96B21" w:rsidRPr="001921D0" w14:paraId="4F7A9A32" w14:textId="77777777">
        <w:tc>
          <w:tcPr>
            <w:tcW w:w="2297" w:type="pct"/>
            <w:gridSpan w:val="2"/>
            <w:tcBorders>
              <w:top w:val="single" w:sz="8" w:space="0" w:color="auto"/>
              <w:bottom w:val="single" w:sz="12" w:space="0" w:color="auto"/>
            </w:tcBorders>
          </w:tcPr>
          <w:p w14:paraId="6742AA01" w14:textId="77777777" w:rsidR="00A96B21" w:rsidRPr="001921D0" w:rsidRDefault="00A96B21">
            <w:pPr>
              <w:pStyle w:val="Cornernotation"/>
              <w:suppressLineNumbers/>
              <w:suppressAutoHyphens/>
              <w:spacing w:before="120" w:after="120"/>
              <w:ind w:left="0" w:right="0" w:firstLine="0"/>
            </w:pPr>
            <w:r w:rsidRPr="001921D0">
              <w:rPr>
                <w:b w:val="0"/>
                <w:bCs/>
                <w:noProof/>
              </w:rPr>
              <w:drawing>
                <wp:inline distT="0" distB="0" distL="0" distR="0" wp14:anchorId="7045EC17" wp14:editId="457F1276">
                  <wp:extent cx="2755076" cy="1028538"/>
                  <wp:effectExtent l="0" t="0" r="0" b="635"/>
                  <wp:docPr id="414008662" name="Picture 414008662" descr="A picture containing black, dark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4008662" name="Picture 414008662" descr="A picture containing black, darkness&#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91383" cy="1042092"/>
                          </a:xfrm>
                          <a:prstGeom prst="rect">
                            <a:avLst/>
                          </a:prstGeom>
                          <a:noFill/>
                        </pic:spPr>
                      </pic:pic>
                    </a:graphicData>
                  </a:graphic>
                </wp:inline>
              </w:drawing>
            </w:r>
          </w:p>
        </w:tc>
        <w:tc>
          <w:tcPr>
            <w:tcW w:w="2703" w:type="pct"/>
            <w:tcBorders>
              <w:top w:val="single" w:sz="8" w:space="0" w:color="auto"/>
              <w:bottom w:val="single" w:sz="12" w:space="0" w:color="auto"/>
            </w:tcBorders>
          </w:tcPr>
          <w:p w14:paraId="0CA24144" w14:textId="294E3CFE" w:rsidR="00526DDF" w:rsidRPr="001921D0" w:rsidRDefault="00A96B21" w:rsidP="003C6F10">
            <w:pPr>
              <w:ind w:left="2584"/>
              <w:rPr>
                <w:sz w:val="22"/>
                <w:szCs w:val="22"/>
              </w:rPr>
            </w:pPr>
            <w:r w:rsidRPr="001921D0">
              <w:rPr>
                <w:sz w:val="22"/>
                <w:szCs w:val="22"/>
              </w:rPr>
              <w:t xml:space="preserve">Distr.: </w:t>
            </w:r>
            <w:r w:rsidR="00526DDF" w:rsidRPr="001921D0">
              <w:rPr>
                <w:sz w:val="22"/>
                <w:szCs w:val="22"/>
              </w:rPr>
              <w:t>General</w:t>
            </w:r>
          </w:p>
          <w:p w14:paraId="3671A851" w14:textId="77777777" w:rsidR="00526DDF" w:rsidRPr="001921D0" w:rsidRDefault="00526DDF" w:rsidP="00526DDF">
            <w:pPr>
              <w:ind w:left="2584"/>
              <w:rPr>
                <w:sz w:val="22"/>
                <w:szCs w:val="22"/>
              </w:rPr>
            </w:pPr>
            <w:r w:rsidRPr="001921D0">
              <w:rPr>
                <w:sz w:val="22"/>
                <w:szCs w:val="22"/>
              </w:rPr>
              <w:t>12 September 2023</w:t>
            </w:r>
          </w:p>
          <w:p w14:paraId="37D46E54" w14:textId="77777777" w:rsidR="00526DDF" w:rsidRPr="001921D0" w:rsidRDefault="00526DDF" w:rsidP="003C6F10">
            <w:pPr>
              <w:ind w:left="2584"/>
              <w:rPr>
                <w:sz w:val="22"/>
                <w:szCs w:val="22"/>
              </w:rPr>
            </w:pPr>
          </w:p>
          <w:p w14:paraId="0380DBC2" w14:textId="0AB75F6C" w:rsidR="00A96B21" w:rsidRPr="001921D0" w:rsidRDefault="00ED578F" w:rsidP="003C6F10">
            <w:pPr>
              <w:ind w:left="2584"/>
              <w:rPr>
                <w:sz w:val="22"/>
                <w:szCs w:val="22"/>
              </w:rPr>
            </w:pPr>
            <w:r w:rsidRPr="001921D0">
              <w:rPr>
                <w:sz w:val="22"/>
                <w:szCs w:val="22"/>
              </w:rPr>
              <w:t>English only</w:t>
            </w:r>
          </w:p>
          <w:p w14:paraId="5F54B397" w14:textId="77777777" w:rsidR="00A96B21" w:rsidRPr="001921D0" w:rsidRDefault="00A96B21" w:rsidP="00B92761"/>
        </w:tc>
      </w:tr>
    </w:tbl>
    <w:p w14:paraId="570AB91F" w14:textId="77777777" w:rsidR="00C90C34" w:rsidRPr="001921D0" w:rsidRDefault="00C90C34" w:rsidP="00C90C34">
      <w:pPr>
        <w:pStyle w:val="Cornernotation"/>
        <w:ind w:left="0" w:firstLine="0"/>
        <w:rPr>
          <w:bCs/>
        </w:rPr>
      </w:pPr>
      <w:r w:rsidRPr="001921D0">
        <w:rPr>
          <w:bCs/>
        </w:rPr>
        <w:t xml:space="preserve">Compliance Committee under the </w:t>
      </w:r>
    </w:p>
    <w:p w14:paraId="516CD19F" w14:textId="77777777" w:rsidR="00C90C34" w:rsidRPr="001921D0" w:rsidRDefault="00C90C34" w:rsidP="00C90C34">
      <w:pPr>
        <w:pStyle w:val="Cornernotation"/>
        <w:ind w:left="0" w:firstLine="0"/>
        <w:rPr>
          <w:bCs/>
        </w:rPr>
      </w:pPr>
      <w:r w:rsidRPr="001921D0">
        <w:rPr>
          <w:bCs/>
        </w:rPr>
        <w:t>Cartagena Protocol on Biosafety</w:t>
      </w:r>
    </w:p>
    <w:p w14:paraId="56B2A829" w14:textId="331C4EBE" w:rsidR="00C90C34" w:rsidRPr="001921D0" w:rsidRDefault="00526DDF" w:rsidP="00C90C34">
      <w:pPr>
        <w:pStyle w:val="Cornernotation"/>
        <w:rPr>
          <w:bCs/>
          <w:sz w:val="22"/>
          <w:szCs w:val="22"/>
        </w:rPr>
      </w:pPr>
      <w:r w:rsidRPr="001921D0">
        <w:rPr>
          <w:bCs/>
          <w:sz w:val="22"/>
          <w:szCs w:val="22"/>
        </w:rPr>
        <w:t xml:space="preserve">Eighteenth </w:t>
      </w:r>
      <w:r w:rsidR="00C90C34" w:rsidRPr="001921D0">
        <w:rPr>
          <w:bCs/>
          <w:sz w:val="22"/>
          <w:szCs w:val="22"/>
        </w:rPr>
        <w:t xml:space="preserve">meeting </w:t>
      </w:r>
    </w:p>
    <w:p w14:paraId="5F2ECB0D" w14:textId="1C21CDB6" w:rsidR="00526DDF" w:rsidRPr="001921D0" w:rsidRDefault="00526DDF" w:rsidP="00526DDF">
      <w:pPr>
        <w:pStyle w:val="Venuedate"/>
        <w:rPr>
          <w:lang w:val="en-CA"/>
        </w:rPr>
      </w:pPr>
      <w:r w:rsidRPr="001921D0">
        <w:rPr>
          <w:lang w:val="en-CA"/>
        </w:rPr>
        <w:t>Montreal, Canada, 24</w:t>
      </w:r>
      <w:r w:rsidR="00076279" w:rsidRPr="001921D0">
        <w:rPr>
          <w:lang w:val="en-CA"/>
        </w:rPr>
        <w:t>–</w:t>
      </w:r>
      <w:r w:rsidRPr="001921D0">
        <w:rPr>
          <w:lang w:val="en-CA"/>
        </w:rPr>
        <w:t xml:space="preserve">26 October 2023 </w:t>
      </w:r>
    </w:p>
    <w:p w14:paraId="48A334E7" w14:textId="75DE2338" w:rsidR="00C90C34" w:rsidRPr="001921D0" w:rsidRDefault="00C90C34" w:rsidP="00C90C34">
      <w:pPr>
        <w:pStyle w:val="Venuedate"/>
        <w:rPr>
          <w:lang w:val="en-CA"/>
        </w:rPr>
      </w:pPr>
      <w:r w:rsidRPr="001921D0">
        <w:rPr>
          <w:lang w:val="en-CA"/>
        </w:rPr>
        <w:t xml:space="preserve">Item </w:t>
      </w:r>
      <w:r w:rsidR="00ED578F" w:rsidRPr="001921D0">
        <w:rPr>
          <w:lang w:val="en-CA"/>
        </w:rPr>
        <w:t>4</w:t>
      </w:r>
      <w:r w:rsidR="0078011A" w:rsidRPr="001921D0">
        <w:rPr>
          <w:lang w:val="en-CA"/>
        </w:rPr>
        <w:t xml:space="preserve"> of the </w:t>
      </w:r>
      <w:r w:rsidR="0026778B" w:rsidRPr="001921D0">
        <w:rPr>
          <w:lang w:val="en-CA"/>
        </w:rPr>
        <w:t>provisional agenda*</w:t>
      </w:r>
    </w:p>
    <w:p w14:paraId="2613699C" w14:textId="7F9B48FD" w:rsidR="002E765C" w:rsidRPr="001921D0" w:rsidRDefault="00F21138" w:rsidP="00B92761">
      <w:pPr>
        <w:pStyle w:val="Venuedate"/>
        <w:ind w:left="0" w:firstLine="0"/>
        <w:rPr>
          <w:b/>
          <w:bCs w:val="0"/>
          <w:lang w:val="en-CA"/>
        </w:rPr>
      </w:pPr>
      <w:r w:rsidRPr="001921D0">
        <w:rPr>
          <w:b/>
          <w:bCs w:val="0"/>
          <w:lang w:val="en-CA"/>
        </w:rPr>
        <w:t xml:space="preserve">Review of compliance </w:t>
      </w:r>
      <w:r w:rsidR="00B9562C" w:rsidRPr="001921D0">
        <w:rPr>
          <w:b/>
          <w:bCs w:val="0"/>
          <w:lang w:val="en-CA"/>
        </w:rPr>
        <w:t xml:space="preserve">in priority areas </w:t>
      </w:r>
      <w:r w:rsidR="00CC36A4" w:rsidRPr="001921D0">
        <w:rPr>
          <w:b/>
          <w:bCs w:val="0"/>
          <w:lang w:val="en-CA"/>
        </w:rPr>
        <w:t xml:space="preserve">on the basis of information in </w:t>
      </w:r>
      <w:r w:rsidR="00EA20DA" w:rsidRPr="001921D0">
        <w:rPr>
          <w:b/>
          <w:bCs w:val="0"/>
          <w:lang w:val="en-CA"/>
        </w:rPr>
        <w:t>the national reports</w:t>
      </w:r>
      <w:r w:rsidR="009104A3" w:rsidRPr="001921D0">
        <w:rPr>
          <w:b/>
          <w:bCs w:val="0"/>
          <w:lang w:val="en-CA"/>
        </w:rPr>
        <w:t xml:space="preserve"> and general issues of compliance</w:t>
      </w:r>
    </w:p>
    <w:p w14:paraId="16E28000" w14:textId="5EC69912" w:rsidR="00C90C34" w:rsidRPr="001921D0" w:rsidRDefault="00000000" w:rsidP="00B92761">
      <w:pPr>
        <w:pStyle w:val="Title"/>
        <w:jc w:val="left"/>
        <w:rPr>
          <w:rFonts w:hint="eastAsia"/>
        </w:rPr>
      </w:pPr>
      <w:sdt>
        <w:sdtPr>
          <w:alias w:val="Title"/>
          <w:tag w:val=""/>
          <w:id w:val="-1869446449"/>
          <w:placeholder>
            <w:docPart w:val="79CCC1EF6EA74C1FA69465BB67D46B85"/>
          </w:placeholder>
          <w:dataBinding w:prefixMappings="xmlns:ns0='http://purl.org/dc/elements/1.1/' xmlns:ns1='http://schemas.openxmlformats.org/package/2006/metadata/core-properties' " w:xpath="/ns1:coreProperties[1]/ns0:title[1]" w:storeItemID="{6C3C8BC8-F283-45AE-878A-BAB7291924A1}"/>
          <w:text/>
        </w:sdtPr>
        <w:sdtContent>
          <w:r w:rsidR="00B641AD" w:rsidRPr="001921D0">
            <w:t>Review of compliance in priority areas on the basis of information in the national reports and general issues of compliance</w:t>
          </w:r>
        </w:sdtContent>
      </w:sdt>
    </w:p>
    <w:bookmarkEnd w:id="0"/>
    <w:p w14:paraId="6908A0DC" w14:textId="77777777" w:rsidR="00A96B21" w:rsidRPr="001921D0" w:rsidRDefault="00A96B21" w:rsidP="00A96B21">
      <w:pPr>
        <w:pStyle w:val="Subtitle"/>
        <w:spacing w:before="120" w:after="120"/>
        <w:ind w:left="567"/>
        <w:jc w:val="left"/>
        <w:rPr>
          <w:rFonts w:ascii="Times New Roman" w:hAnsi="Times New Roman" w:cs="Times New Roman"/>
          <w:color w:val="auto"/>
        </w:rPr>
      </w:pPr>
      <w:r w:rsidRPr="001921D0">
        <w:rPr>
          <w:rFonts w:ascii="Times New Roman" w:hAnsi="Times New Roman" w:cs="Times New Roman"/>
          <w:color w:val="auto"/>
        </w:rPr>
        <w:t>Note by the Secretariat</w:t>
      </w:r>
    </w:p>
    <w:p w14:paraId="0B100D43" w14:textId="57F69C7C" w:rsidR="00FA18C9" w:rsidRPr="001921D0" w:rsidRDefault="00DD6A8F" w:rsidP="007C77BC">
      <w:pPr>
        <w:pStyle w:val="Heading1"/>
      </w:pPr>
      <w:r w:rsidRPr="001921D0">
        <w:t>Introduction</w:t>
      </w:r>
    </w:p>
    <w:p w14:paraId="148E02AF" w14:textId="77777777" w:rsidR="00C348E9" w:rsidRPr="001921D0" w:rsidRDefault="00C348E9" w:rsidP="00B92761">
      <w:pPr>
        <w:pStyle w:val="Para10"/>
      </w:pPr>
      <w:r w:rsidRPr="001921D0">
        <w:t>One of the functions of the Compliance Committee is to review general issues of compliance by Parties with their obligations under the Protocol, taking into account the information provided in the national reports and through the Biosafety Clearing-House.</w:t>
      </w:r>
      <w:r w:rsidRPr="001921D0">
        <w:rPr>
          <w:rStyle w:val="FootnoteReference"/>
          <w:szCs w:val="22"/>
        </w:rPr>
        <w:footnoteReference w:id="2"/>
      </w:r>
      <w:r w:rsidRPr="001921D0">
        <w:t xml:space="preserve"> In this context, the Committee has agreed on follow-up actions and has made recommendations to the Conference of the Parties serving as the meeting of the Parties to the Protocol. </w:t>
      </w:r>
    </w:p>
    <w:p w14:paraId="2709A840" w14:textId="77777777" w:rsidR="00C348E9" w:rsidRPr="001921D0" w:rsidRDefault="00C348E9" w:rsidP="00B92761">
      <w:pPr>
        <w:pStyle w:val="Para10"/>
      </w:pPr>
      <w:r w:rsidRPr="001921D0">
        <w:t>At its fifth meeting, the Committee agreed to have a standing agenda item on review of general issues of compliance at its subsequent meetings. As part of this agenda item, the Committee has considered compliance of Parties with a number of obligations, focusing on: (a) the obligation to report on measures taken to implement the Protocol, in accordance with Article 33 of the Protocol; (b) the obligation to make information available to the Biosafety Clearing-House; and (c) the obligation to introduce legal, administrative and other measures to implement the obligations under the Protocol, in accordance with Article 2 of the Protocol.</w:t>
      </w:r>
    </w:p>
    <w:p w14:paraId="38886D53" w14:textId="77777777" w:rsidR="00C348E9" w:rsidRPr="001921D0" w:rsidRDefault="00C348E9" w:rsidP="00B92761">
      <w:pPr>
        <w:pStyle w:val="Para10"/>
      </w:pPr>
      <w:r w:rsidRPr="001921D0">
        <w:t>At its eighth meeting, the Compliance Committee agreed to a cyclical organization of work.</w:t>
      </w:r>
      <w:r w:rsidRPr="001921D0">
        <w:rPr>
          <w:rStyle w:val="FootnoteReference"/>
          <w:szCs w:val="22"/>
        </w:rPr>
        <w:footnoteReference w:id="3"/>
      </w:r>
      <w:r w:rsidRPr="001921D0">
        <w:t xml:space="preserve"> In accordance with its organization of work, the Committee is expected, at its eighteenth meeting, to review compliance on the basis of fourth national reports, focusing on priority issues as identified by the Conference of the Parties serving as the meeting of the Parties to the Protocol. </w:t>
      </w:r>
    </w:p>
    <w:p w14:paraId="64D6ED54" w14:textId="5AE97CFB" w:rsidR="00C348E9" w:rsidRPr="001921D0" w:rsidRDefault="00C348E9" w:rsidP="00B92761">
      <w:pPr>
        <w:pStyle w:val="Para10"/>
      </w:pPr>
      <w:r w:rsidRPr="001921D0">
        <w:t xml:space="preserve">In decision </w:t>
      </w:r>
      <w:hyperlink r:id="rId14" w:history="1">
        <w:r w:rsidRPr="001921D0">
          <w:rPr>
            <w:rStyle w:val="Hyperlink"/>
          </w:rPr>
          <w:t>CP-10/7</w:t>
        </w:r>
      </w:hyperlink>
      <w:r w:rsidRPr="001921D0">
        <w:t>, on the assessment and review of the effectiveness of the Protocol and the final evaluation of the Strategic Plan for the Cartagena Protocol on Biosafety, the meeting of the Parties to the Protocol identified priority areas for strengthening capacities and enhancing implementation, of which several are relevant to the work of the Committee, in particular its consideration of general issues of compliance.</w:t>
      </w:r>
      <w:r w:rsidR="000879FA" w:rsidRPr="001921D0">
        <w:rPr>
          <w:rStyle w:val="FootnoteReference"/>
          <w:szCs w:val="22"/>
        </w:rPr>
        <w:footnoteReference w:id="4"/>
      </w:r>
    </w:p>
    <w:p w14:paraId="245BAA1A" w14:textId="5CB57DDD" w:rsidR="00C348E9" w:rsidRPr="001921D0" w:rsidRDefault="00C348E9" w:rsidP="00B92761">
      <w:pPr>
        <w:pStyle w:val="Para10"/>
      </w:pPr>
      <w:r w:rsidRPr="001921D0">
        <w:lastRenderedPageBreak/>
        <w:t xml:space="preserve">Furthermore, in its decision </w:t>
      </w:r>
      <w:hyperlink r:id="rId15" w:history="1">
        <w:r w:rsidRPr="001921D0">
          <w:rPr>
            <w:rStyle w:val="Hyperlink"/>
          </w:rPr>
          <w:t>CP-10/2</w:t>
        </w:r>
      </w:hyperlink>
      <w:r w:rsidRPr="001921D0">
        <w:t xml:space="preserve"> on compliance, the Conference of the Parties serving as the meeting of the Parties to the Cartagena Protocol requested the Secretariat to conduct a survey on national limitations and challenges in fulfilling the obligation (i) to take the necessary legal, administrative and other measures to implement the Protocol, and (ii) to submit a national report in a timely manner. It requested the Secretariat to compile the findings and submit them for consideration by the Compliance Committee, at its eighteenth meeting. </w:t>
      </w:r>
    </w:p>
    <w:p w14:paraId="6B996136" w14:textId="39841127" w:rsidR="00C348E9" w:rsidRPr="001921D0" w:rsidRDefault="00C348E9" w:rsidP="00B92761">
      <w:pPr>
        <w:pStyle w:val="Para10"/>
      </w:pPr>
      <w:r w:rsidRPr="001921D0">
        <w:t>The Secretariat prepared the survey in English, French and Spanish and shared it with the National Focal Points of all Parties to the Cartagena Protocol by email sent on 3 March 2023. A total of 102 Parties</w:t>
      </w:r>
      <w:r w:rsidR="008351A3" w:rsidRPr="001921D0">
        <w:t>, including developing and developed countries,</w:t>
      </w:r>
      <w:r w:rsidRPr="001921D0">
        <w:t xml:space="preserve"> responded to the survey. The information provided in the survey is presented in relevant sections of this document. A summary of the responses to the survey is presented in annex</w:t>
      </w:r>
      <w:r w:rsidR="00C758AD" w:rsidRPr="001921D0">
        <w:t> </w:t>
      </w:r>
      <w:r w:rsidRPr="001921D0">
        <w:t>I while the text of the survey is available in annex II.</w:t>
      </w:r>
    </w:p>
    <w:p w14:paraId="2A8BEB23" w14:textId="6C0E7724" w:rsidR="00C348E9" w:rsidRPr="001921D0" w:rsidRDefault="00C348E9" w:rsidP="00B92761">
      <w:pPr>
        <w:pStyle w:val="Para10"/>
      </w:pPr>
      <w:r w:rsidRPr="001921D0">
        <w:t xml:space="preserve">The </w:t>
      </w:r>
      <w:r w:rsidR="00AB10C8" w:rsidRPr="001921D0">
        <w:t xml:space="preserve">present </w:t>
      </w:r>
      <w:r w:rsidRPr="001921D0">
        <w:t>note presents, in section II, an overview of the status of compliance with obligations in priority areas and of actions taken to support Parties in achieving compliance. Where available, information from the fourth national reports is provided.</w:t>
      </w:r>
      <w:r w:rsidR="006B5E50" w:rsidRPr="001921D0" w:rsidDel="006B5E50">
        <w:rPr>
          <w:rStyle w:val="FootnoteReference"/>
          <w:szCs w:val="22"/>
          <w:vertAlign w:val="baseline"/>
        </w:rPr>
        <w:t xml:space="preserve"> </w:t>
      </w:r>
      <w:r w:rsidRPr="001921D0">
        <w:t xml:space="preserve">Section III provides suggestions for follow-up actions by the Committee and for recommendations to the Conference of the Parties serving as the meeting of the Parties to the Protocol. </w:t>
      </w:r>
    </w:p>
    <w:p w14:paraId="2D224A4D" w14:textId="05EF3716" w:rsidR="005E7427" w:rsidRPr="001921D0" w:rsidRDefault="006F2A2C" w:rsidP="005E7427">
      <w:pPr>
        <w:pStyle w:val="Heading1"/>
      </w:pPr>
      <w:r w:rsidRPr="001921D0">
        <w:t>Compliance in priority areas</w:t>
      </w:r>
    </w:p>
    <w:p w14:paraId="247D46D4" w14:textId="685629BC" w:rsidR="00D3059B" w:rsidRPr="001921D0" w:rsidRDefault="008E0581" w:rsidP="007C77BC">
      <w:pPr>
        <w:pStyle w:val="Heading2"/>
      </w:pPr>
      <w:r w:rsidRPr="001921D0">
        <w:t>A.</w:t>
      </w:r>
      <w:r w:rsidRPr="001921D0">
        <w:tab/>
      </w:r>
      <w:r w:rsidR="001E6504" w:rsidRPr="001921D0">
        <w:t>Submission of national reports</w:t>
      </w:r>
    </w:p>
    <w:p w14:paraId="7065905B" w14:textId="28F38957" w:rsidR="00C22342" w:rsidRPr="001921D0" w:rsidRDefault="00C22342" w:rsidP="00B92761">
      <w:pPr>
        <w:pStyle w:val="Para10"/>
      </w:pPr>
      <w:r w:rsidRPr="001921D0">
        <w:t>At its seventeenth meeting, the Committee reviewed compliance with the obligation to submit national reports, focusing on the submission of fourth national reports, which were due on 1 October 2019. The Committee requested the Secretariat to continue following up with Parties that had not yet submitted their fourth national report. The Committee furthermore requested the Executive Secretary to send a letter to Parties that had submitted neither a third nor a fourth national report, reminding those Parties of their obligation to submit their fourth national report as a matter of urgency, and it encouraged its members to liaise with those Parties in their region that had submitted neither a third nor a fourth national report with a view to offering assistance to them in preparing their fourth national report. The Committee also agreed to a number of recommendations to the Conference of the Parties serving as the meeting of the Parties to the Protocol, at its tenth meeting.</w:t>
      </w:r>
    </w:p>
    <w:p w14:paraId="5598FA36" w14:textId="76E4C1CD" w:rsidR="00AB4A64" w:rsidRPr="001921D0" w:rsidRDefault="00AB4A64" w:rsidP="00B92761">
      <w:pPr>
        <w:pStyle w:val="Para10"/>
      </w:pPr>
      <w:r w:rsidRPr="001921D0">
        <w:t>Further to the request from the Committee, the Secretariat undertook follow-up with Parties that had not submitted a fourth national report over the course of 2020, 2021 and 2022</w:t>
      </w:r>
      <w:r w:rsidR="00902B6F" w:rsidRPr="001921D0">
        <w:t>,</w:t>
      </w:r>
      <w:r w:rsidRPr="001921D0">
        <w:t xml:space="preserve"> as follows:</w:t>
      </w:r>
    </w:p>
    <w:p w14:paraId="076E3E81" w14:textId="755B88A6" w:rsidR="00AB4A64" w:rsidRPr="001921D0" w:rsidRDefault="00B702BA" w:rsidP="00AB4A64">
      <w:pPr>
        <w:pStyle w:val="StylePara1Kernat11pt"/>
        <w:numPr>
          <w:ilvl w:val="0"/>
          <w:numId w:val="49"/>
        </w:numPr>
      </w:pPr>
      <w:r w:rsidRPr="001921D0">
        <w:t xml:space="preserve">In June 2020, </w:t>
      </w:r>
      <w:r w:rsidRPr="001921D0">
        <w:rPr>
          <w:szCs w:val="22"/>
        </w:rPr>
        <w:t>the Secretariat sent email messages to the 53 Parties that had not yet submitted a fourth national report and a letter from the Executive Secretary to the 11 Parties that had not submitted a third and fourth national report. Parties that had submitted a fourth national report but had not completed the submission online on the Biosafety Clearing-House in accordance with Article 20 of the Protocol, were also contacted at this time, reminded of their obligation to upload their reports online and provided with technical instructions to assist them.</w:t>
      </w:r>
    </w:p>
    <w:p w14:paraId="72FD2C56" w14:textId="2AE1EE54" w:rsidR="00B702BA" w:rsidRPr="001921D0" w:rsidRDefault="000070E9" w:rsidP="00AB4A64">
      <w:pPr>
        <w:pStyle w:val="StylePara1Kernat11pt"/>
        <w:numPr>
          <w:ilvl w:val="0"/>
          <w:numId w:val="49"/>
        </w:numPr>
      </w:pPr>
      <w:r w:rsidRPr="001921D0">
        <w:t>In February 2021, the Secretariat sent out reminders to the Parties that had still to submit a fourth national report.</w:t>
      </w:r>
    </w:p>
    <w:p w14:paraId="4E841713" w14:textId="2D9D20A9" w:rsidR="000070E9" w:rsidRPr="001921D0" w:rsidRDefault="00386B39" w:rsidP="00BD689D">
      <w:pPr>
        <w:pStyle w:val="StylePara1Kernat11pt"/>
        <w:numPr>
          <w:ilvl w:val="0"/>
          <w:numId w:val="49"/>
        </w:numPr>
        <w:rPr>
          <w:szCs w:val="22"/>
        </w:rPr>
      </w:pPr>
      <w:r w:rsidRPr="001921D0">
        <w:t xml:space="preserve">Between January and March 2022, </w:t>
      </w:r>
      <w:r w:rsidRPr="001921D0">
        <w:rPr>
          <w:szCs w:val="22"/>
        </w:rPr>
        <w:t xml:space="preserve">the Secretariat once again reached out to Parties, as a matter of urgency, providing step-by step instructions and offering assistance with uploading the reports online through the </w:t>
      </w:r>
      <w:r w:rsidR="00947C76" w:rsidRPr="001921D0">
        <w:rPr>
          <w:szCs w:val="22"/>
        </w:rPr>
        <w:t xml:space="preserve">Biosafety Clearing-House </w:t>
      </w:r>
      <w:r w:rsidRPr="001921D0">
        <w:t>with a view to maximizing the number of fourth national reports considered in an update to the analysis of data from the fourth national reports</w:t>
      </w:r>
      <w:r w:rsidRPr="001921D0">
        <w:rPr>
          <w:rStyle w:val="FootnoteReference"/>
        </w:rPr>
        <w:footnoteReference w:id="5"/>
      </w:r>
      <w:r w:rsidRPr="001921D0">
        <w:t xml:space="preserve"> which was being </w:t>
      </w:r>
      <w:r w:rsidRPr="001921D0">
        <w:rPr>
          <w:szCs w:val="22"/>
        </w:rPr>
        <w:t>prepared at that time.</w:t>
      </w:r>
    </w:p>
    <w:p w14:paraId="2C514F93" w14:textId="14351347" w:rsidR="00403A5E" w:rsidRPr="001921D0" w:rsidRDefault="00386B39" w:rsidP="00B92761">
      <w:pPr>
        <w:pStyle w:val="Para10"/>
      </w:pPr>
      <w:r w:rsidRPr="001921D0">
        <w:lastRenderedPageBreak/>
        <w:t>As a result of these communications</w:t>
      </w:r>
      <w:r w:rsidR="00331294" w:rsidRPr="001921D0">
        <w:t xml:space="preserve">, 30 </w:t>
      </w:r>
      <w:r w:rsidR="00403A5E" w:rsidRPr="001921D0">
        <w:t xml:space="preserve">Parties submitted their fourth national report on the </w:t>
      </w:r>
      <w:r w:rsidR="00947C76" w:rsidRPr="001921D0">
        <w:t>Biosafety Clearing-House</w:t>
      </w:r>
      <w:r w:rsidR="00403A5E" w:rsidRPr="001921D0">
        <w:t>, including one Party</w:t>
      </w:r>
      <w:r w:rsidR="00C80641" w:rsidRPr="001921D0">
        <w:t xml:space="preserve"> (State of Palestine)</w:t>
      </w:r>
      <w:r w:rsidR="00403A5E" w:rsidRPr="001921D0">
        <w:t xml:space="preserve"> that had previously not submitted a third or fourth national report</w:t>
      </w:r>
      <w:r w:rsidR="007B1937" w:rsidRPr="001921D0">
        <w:t>.</w:t>
      </w:r>
      <w:r w:rsidR="004B0D19" w:rsidRPr="001921D0">
        <w:t xml:space="preserve"> In addition, one Party (Cabo Verde) submitted its third national report</w:t>
      </w:r>
      <w:r w:rsidR="003810CD" w:rsidRPr="001921D0">
        <w:t>, however</w:t>
      </w:r>
      <w:r w:rsidR="00902B6F" w:rsidRPr="001921D0">
        <w:t>,</w:t>
      </w:r>
      <w:r w:rsidR="003810CD" w:rsidRPr="001921D0">
        <w:t xml:space="preserve"> it has not</w:t>
      </w:r>
      <w:r w:rsidR="00C53CDC" w:rsidRPr="001921D0">
        <w:t xml:space="preserve"> yet</w:t>
      </w:r>
      <w:r w:rsidR="003810CD" w:rsidRPr="001921D0">
        <w:t xml:space="preserve"> submitted its fourth national report</w:t>
      </w:r>
      <w:r w:rsidR="004B0D19" w:rsidRPr="001921D0">
        <w:t xml:space="preserve">. </w:t>
      </w:r>
    </w:p>
    <w:p w14:paraId="77877F55" w14:textId="5F65EAB0" w:rsidR="00C22342" w:rsidRPr="001921D0" w:rsidRDefault="00C22342" w:rsidP="00B92761">
      <w:pPr>
        <w:pStyle w:val="Para10"/>
      </w:pPr>
      <w:r w:rsidRPr="001921D0">
        <w:t>A</w:t>
      </w:r>
      <w:r w:rsidR="00C659A1" w:rsidRPr="001921D0">
        <w:t>ccordingly, a</w:t>
      </w:r>
      <w:r w:rsidRPr="001921D0">
        <w:t>t the time of preparation of th</w:t>
      </w:r>
      <w:r w:rsidR="0055593F" w:rsidRPr="001921D0">
        <w:t>e present</w:t>
      </w:r>
      <w:r w:rsidRPr="001921D0">
        <w:t xml:space="preserve"> note, 13</w:t>
      </w:r>
      <w:r w:rsidR="00B52ECC" w:rsidRPr="001921D0">
        <w:t>6</w:t>
      </w:r>
      <w:r w:rsidRPr="001921D0">
        <w:t xml:space="preserve"> Parties had submitted their fourth national reports on the Biosafety Clearing-House, </w:t>
      </w:r>
      <w:r w:rsidR="000B2CEB" w:rsidRPr="001921D0">
        <w:t xml:space="preserve">which represents </w:t>
      </w:r>
      <w:r w:rsidRPr="001921D0">
        <w:t xml:space="preserve">a submission rate of </w:t>
      </w:r>
      <w:r w:rsidR="003645F9" w:rsidRPr="001921D0">
        <w:t>80</w:t>
      </w:r>
      <w:r w:rsidR="008A23B9" w:rsidRPr="001921D0">
        <w:t xml:space="preserve"> per cent</w:t>
      </w:r>
      <w:r w:rsidRPr="001921D0">
        <w:t>. An additional seven Parties have submitted an offline version of their fourth national report</w:t>
      </w:r>
      <w:r w:rsidR="00D12A1F" w:rsidRPr="001921D0">
        <w:t>s</w:t>
      </w:r>
      <w:r w:rsidRPr="001921D0">
        <w:t xml:space="preserve"> but have yet to publish the report on the Biosafety Clearing-House. </w:t>
      </w:r>
      <w:r w:rsidR="00115B76" w:rsidRPr="001921D0">
        <w:t xml:space="preserve">Twenty-eight </w:t>
      </w:r>
      <w:r w:rsidRPr="001921D0">
        <w:t>Parties have not yet submitted their fourth national report either on the Biosafety Clearing-House or offline,</w:t>
      </w:r>
      <w:r w:rsidR="004C718E" w:rsidRPr="001921D0">
        <w:t xml:space="preserve"> including</w:t>
      </w:r>
      <w:r w:rsidRPr="001921D0">
        <w:t xml:space="preserve"> </w:t>
      </w:r>
      <w:r w:rsidR="000D1CBE" w:rsidRPr="001921D0">
        <w:t xml:space="preserve">nine </w:t>
      </w:r>
      <w:r w:rsidR="00982109" w:rsidRPr="001921D0">
        <w:t xml:space="preserve">which </w:t>
      </w:r>
      <w:r w:rsidRPr="001921D0">
        <w:t>have also not submitted their third national report.</w:t>
      </w:r>
      <w:r w:rsidR="00EC2F65" w:rsidRPr="001921D0">
        <w:t xml:space="preserve"> </w:t>
      </w:r>
      <w:r w:rsidR="00423F3F" w:rsidRPr="001921D0">
        <w:t>Further information</w:t>
      </w:r>
      <w:r w:rsidR="00EC2F65" w:rsidRPr="001921D0">
        <w:t xml:space="preserve"> in relation to those Parties that have not yet submitted a fourth and a third national report is </w:t>
      </w:r>
      <w:r w:rsidR="00423F3F" w:rsidRPr="001921D0">
        <w:t xml:space="preserve">provided </w:t>
      </w:r>
      <w:r w:rsidR="00EC2F65" w:rsidRPr="001921D0">
        <w:t>in document CBD/CP/CC/18/4 for consideration by the Committee under agenda item 5</w:t>
      </w:r>
      <w:r w:rsidR="00423F3F" w:rsidRPr="001921D0">
        <w:t xml:space="preserve"> on</w:t>
      </w:r>
      <w:r w:rsidR="00E17C84" w:rsidRPr="001921D0">
        <w:t xml:space="preserve"> individual cases of non-compliance</w:t>
      </w:r>
      <w:r w:rsidR="00EC2F65" w:rsidRPr="001921D0">
        <w:t>.</w:t>
      </w:r>
    </w:p>
    <w:p w14:paraId="45D97395" w14:textId="3A13D043" w:rsidR="00A51AFF" w:rsidRPr="001921D0" w:rsidRDefault="00A51AFF" w:rsidP="00B92761">
      <w:pPr>
        <w:pStyle w:val="Para10"/>
      </w:pPr>
      <w:r w:rsidRPr="001921D0">
        <w:t>In the survey</w:t>
      </w:r>
      <w:r w:rsidR="00E45696" w:rsidRPr="001921D0">
        <w:t>,</w:t>
      </w:r>
      <w:r w:rsidRPr="001921D0">
        <w:t xml:space="preserve"> </w:t>
      </w:r>
      <w:r w:rsidR="00BA2EE5" w:rsidRPr="001921D0">
        <w:t>a</w:t>
      </w:r>
      <w:r w:rsidRPr="001921D0">
        <w:t xml:space="preserve"> total of 75</w:t>
      </w:r>
      <w:r w:rsidR="008A23B9" w:rsidRPr="001921D0">
        <w:t xml:space="preserve"> per cent</w:t>
      </w:r>
      <w:r w:rsidRPr="001921D0">
        <w:t xml:space="preserve"> of the 102 respondents indicated that their country face</w:t>
      </w:r>
      <w:r w:rsidR="006507FC" w:rsidRPr="001921D0">
        <w:t>d</w:t>
      </w:r>
      <w:r w:rsidRPr="001921D0">
        <w:t xml:space="preserve"> limitations and challenges in preparing and submitting their national report.</w:t>
      </w:r>
      <w:r w:rsidR="00E06E21" w:rsidRPr="001921D0">
        <w:t xml:space="preserve"> This included </w:t>
      </w:r>
      <w:r w:rsidR="00D145DA" w:rsidRPr="001921D0">
        <w:t>responses from both developing and developed country Parties.</w:t>
      </w:r>
      <w:r w:rsidRPr="001921D0">
        <w:t xml:space="preserve"> Most frequently, respondents indicated that they lack</w:t>
      </w:r>
      <w:r w:rsidR="006507FC" w:rsidRPr="001921D0">
        <w:t>ed</w:t>
      </w:r>
      <w:r w:rsidRPr="001921D0">
        <w:t xml:space="preserve"> or ha</w:t>
      </w:r>
      <w:r w:rsidR="006507FC" w:rsidRPr="001921D0">
        <w:t>d</w:t>
      </w:r>
      <w:r w:rsidRPr="001921D0">
        <w:t xml:space="preserve"> insufficient financial resources (44</w:t>
      </w:r>
      <w:r w:rsidR="008A23B9" w:rsidRPr="001921D0">
        <w:t xml:space="preserve"> per cent</w:t>
      </w:r>
      <w:r w:rsidRPr="001921D0">
        <w:t xml:space="preserve"> of respondents). Respondents also indicated that they ha</w:t>
      </w:r>
      <w:r w:rsidR="006507FC" w:rsidRPr="001921D0">
        <w:t>d</w:t>
      </w:r>
      <w:r w:rsidRPr="001921D0">
        <w:t xml:space="preserve"> difficulty </w:t>
      </w:r>
      <w:r w:rsidR="00253B4D" w:rsidRPr="001921D0">
        <w:t xml:space="preserve">in </w:t>
      </w:r>
      <w:r w:rsidR="00D42BF7" w:rsidRPr="001921D0">
        <w:t>gaining access to</w:t>
      </w:r>
      <w:r w:rsidR="00D42BF7" w:rsidRPr="001921D0">
        <w:t xml:space="preserve"> </w:t>
      </w:r>
      <w:r w:rsidRPr="001921D0">
        <w:t>resources, lack</w:t>
      </w:r>
      <w:r w:rsidR="006507FC" w:rsidRPr="001921D0">
        <w:t>ed</w:t>
      </w:r>
      <w:r w:rsidRPr="001921D0">
        <w:t xml:space="preserve"> human resources and lack</w:t>
      </w:r>
      <w:r w:rsidR="006507FC" w:rsidRPr="001921D0">
        <w:t>ed</w:t>
      </w:r>
      <w:r w:rsidRPr="001921D0">
        <w:t xml:space="preserve"> a mechanism to gather data (36</w:t>
      </w:r>
      <w:r w:rsidR="008A23B9" w:rsidRPr="001921D0">
        <w:t xml:space="preserve"> per cent</w:t>
      </w:r>
      <w:r w:rsidRPr="001921D0">
        <w:t xml:space="preserve"> of respondents for each of th</w:t>
      </w:r>
      <w:r w:rsidR="009504C8" w:rsidRPr="001921D0">
        <w:t>o</w:t>
      </w:r>
      <w:r w:rsidRPr="001921D0">
        <w:t xml:space="preserve">se challenges) and that a low priority </w:t>
      </w:r>
      <w:r w:rsidR="006507FC" w:rsidRPr="001921D0">
        <w:t>was</w:t>
      </w:r>
      <w:r w:rsidR="006507FC" w:rsidRPr="001921D0">
        <w:t xml:space="preserve"> </w:t>
      </w:r>
      <w:r w:rsidRPr="001921D0">
        <w:t xml:space="preserve">accorded to the preparation of the national reports (17 </w:t>
      </w:r>
      <w:r w:rsidR="00174BE5" w:rsidRPr="001921D0">
        <w:t xml:space="preserve">per cent </w:t>
      </w:r>
      <w:r w:rsidRPr="001921D0">
        <w:t>of respondents). When looking at the responses provided by those Parties that indicated not hav</w:t>
      </w:r>
      <w:r w:rsidR="007550E3" w:rsidRPr="001921D0">
        <w:t>ing</w:t>
      </w:r>
      <w:r w:rsidRPr="001921D0">
        <w:t xml:space="preserve"> submitted their fourth national report</w:t>
      </w:r>
      <w:r w:rsidR="006507FC" w:rsidRPr="001921D0">
        <w:t>s</w:t>
      </w:r>
      <w:r w:rsidRPr="001921D0">
        <w:t xml:space="preserve"> in a timely manner, the </w:t>
      </w:r>
      <w:r w:rsidR="00111C26" w:rsidRPr="001921D0">
        <w:t xml:space="preserve">type </w:t>
      </w:r>
      <w:r w:rsidR="009D4AD3" w:rsidRPr="001921D0">
        <w:t xml:space="preserve">and frequency </w:t>
      </w:r>
      <w:r w:rsidR="00111C26" w:rsidRPr="001921D0">
        <w:t>of</w:t>
      </w:r>
      <w:r w:rsidRPr="001921D0">
        <w:t xml:space="preserve"> challenges </w:t>
      </w:r>
      <w:r w:rsidR="00B60DC9" w:rsidRPr="001921D0">
        <w:t xml:space="preserve">that </w:t>
      </w:r>
      <w:r w:rsidR="00111C26" w:rsidRPr="001921D0">
        <w:t>th</w:t>
      </w:r>
      <w:r w:rsidR="00B60DC9" w:rsidRPr="001921D0">
        <w:t>o</w:t>
      </w:r>
      <w:r w:rsidR="00111C26" w:rsidRPr="001921D0">
        <w:t xml:space="preserve">se Parties face </w:t>
      </w:r>
      <w:r w:rsidR="00785004" w:rsidRPr="001921D0">
        <w:t>are</w:t>
      </w:r>
      <w:r w:rsidRPr="001921D0">
        <w:t xml:space="preserve"> similar, although considerably more respondents of th</w:t>
      </w:r>
      <w:r w:rsidR="00B60DC9" w:rsidRPr="001921D0">
        <w:t>at</w:t>
      </w:r>
      <w:r w:rsidRPr="001921D0">
        <w:t xml:space="preserve"> subgroup indicate</w:t>
      </w:r>
      <w:r w:rsidR="005A5757" w:rsidRPr="001921D0">
        <w:t>d</w:t>
      </w:r>
      <w:r w:rsidRPr="001921D0">
        <w:t xml:space="preserve"> that their countr</w:t>
      </w:r>
      <w:r w:rsidR="005A5757" w:rsidRPr="001921D0">
        <w:t>ies</w:t>
      </w:r>
      <w:r w:rsidRPr="001921D0">
        <w:t xml:space="preserve"> lack</w:t>
      </w:r>
      <w:r w:rsidR="005A5757" w:rsidRPr="001921D0">
        <w:t>ed</w:t>
      </w:r>
      <w:r w:rsidRPr="001921D0">
        <w:t xml:space="preserve"> or ha</w:t>
      </w:r>
      <w:r w:rsidR="005A5757" w:rsidRPr="001921D0">
        <w:t>d</w:t>
      </w:r>
      <w:r w:rsidRPr="001921D0">
        <w:t xml:space="preserve"> insufficient financial resources (62</w:t>
      </w:r>
      <w:r w:rsidR="008A23B9" w:rsidRPr="001921D0">
        <w:t xml:space="preserve"> per cent</w:t>
      </w:r>
      <w:r w:rsidRPr="001921D0">
        <w:t xml:space="preserve">). </w:t>
      </w:r>
    </w:p>
    <w:p w14:paraId="4233E9F4" w14:textId="3F7AFB7E" w:rsidR="00A51AFF" w:rsidRPr="001921D0" w:rsidRDefault="00990F0C" w:rsidP="00B92761">
      <w:pPr>
        <w:pStyle w:val="Para10"/>
      </w:pPr>
      <w:r w:rsidRPr="001921D0">
        <w:t>Survey r</w:t>
      </w:r>
      <w:r w:rsidR="00A51AFF" w:rsidRPr="001921D0">
        <w:t>espondents indicated that the costs for preparing the report were high, that there had been delays in</w:t>
      </w:r>
      <w:r w:rsidR="00EF5FEF" w:rsidRPr="001921D0">
        <w:t xml:space="preserve"> the</w:t>
      </w:r>
      <w:r w:rsidR="00A51AFF" w:rsidRPr="001921D0">
        <w:t xml:space="preserve"> release of funding </w:t>
      </w:r>
      <w:r w:rsidR="005243AA" w:rsidRPr="001921D0">
        <w:t xml:space="preserve">from the Global Environment Facility </w:t>
      </w:r>
      <w:r w:rsidR="00A51AFF" w:rsidRPr="001921D0">
        <w:t>and that they lack</w:t>
      </w:r>
      <w:r w:rsidR="006507FC" w:rsidRPr="001921D0">
        <w:t>ed</w:t>
      </w:r>
      <w:r w:rsidR="00A51AFF" w:rsidRPr="001921D0">
        <w:t xml:space="preserve"> access to funding from other sources. Respondents also indicated to be lacking trained staff, equipment and other materials. Respondents described that there was a lack of awareness about the reporting requirements, </w:t>
      </w:r>
      <w:r w:rsidR="00EF5FEF" w:rsidRPr="001921D0">
        <w:t xml:space="preserve">about </w:t>
      </w:r>
      <w:r w:rsidR="00A51AFF" w:rsidRPr="001921D0">
        <w:t xml:space="preserve">the benefits of submitting a national report and </w:t>
      </w:r>
      <w:r w:rsidR="001D2FC5" w:rsidRPr="001921D0">
        <w:t xml:space="preserve">about </w:t>
      </w:r>
      <w:r w:rsidR="00A51AFF" w:rsidRPr="001921D0">
        <w:t>the resources available to support Parties in preparing their report. Respondents furthermore indicated that there was a lack of coordination among different agencies and stakeholders and that information was dispersed between different agencies.</w:t>
      </w:r>
    </w:p>
    <w:p w14:paraId="5CA312C6" w14:textId="6C0ED6FB" w:rsidR="00A51AFF" w:rsidRPr="001921D0" w:rsidRDefault="00A51AFF" w:rsidP="00B92761">
      <w:pPr>
        <w:pStyle w:val="Para10"/>
      </w:pPr>
      <w:r w:rsidRPr="001921D0">
        <w:t>Interestingly, 79</w:t>
      </w:r>
      <w:r w:rsidR="008A23B9" w:rsidRPr="001921D0">
        <w:t xml:space="preserve"> per cent</w:t>
      </w:r>
      <w:r w:rsidRPr="001921D0">
        <w:t xml:space="preserve"> of </w:t>
      </w:r>
      <w:r w:rsidR="00750D2A" w:rsidRPr="001921D0">
        <w:t xml:space="preserve">the survey </w:t>
      </w:r>
      <w:r w:rsidRPr="001921D0">
        <w:t xml:space="preserve">respondents (81 Parties) indicated having submitted their fourth national report before the deadline of 1 October 2019. In reality, however, </w:t>
      </w:r>
      <w:r w:rsidR="005243AA" w:rsidRPr="001921D0">
        <w:t xml:space="preserve">12 </w:t>
      </w:r>
      <w:r w:rsidRPr="001921D0">
        <w:t>of these Parties submitted their fourth national report after the deadline</w:t>
      </w:r>
      <w:r w:rsidR="008D761B" w:rsidRPr="001921D0">
        <w:t>,</w:t>
      </w:r>
      <w:r w:rsidRPr="001921D0">
        <w:t xml:space="preserve"> while three have not yet submitted their report at all. </w:t>
      </w:r>
    </w:p>
    <w:p w14:paraId="77142DA9" w14:textId="132C701F" w:rsidR="00A51AFF" w:rsidRPr="001921D0" w:rsidRDefault="00A51AFF" w:rsidP="00B92761">
      <w:pPr>
        <w:pStyle w:val="Para10"/>
      </w:pPr>
      <w:r w:rsidRPr="001921D0">
        <w:t xml:space="preserve">For further details, see the summary of </w:t>
      </w:r>
      <w:r w:rsidR="007D15F4" w:rsidRPr="001921D0">
        <w:t xml:space="preserve">questions 10 to 13 of </w:t>
      </w:r>
      <w:r w:rsidRPr="001921D0">
        <w:t>the survey results in annex I.</w:t>
      </w:r>
    </w:p>
    <w:p w14:paraId="06663009" w14:textId="4CED3657" w:rsidR="008406B7" w:rsidRPr="001921D0" w:rsidRDefault="00C968A8" w:rsidP="008406B7">
      <w:pPr>
        <w:pStyle w:val="Heading2"/>
      </w:pPr>
      <w:r w:rsidRPr="001921D0">
        <w:t>B</w:t>
      </w:r>
      <w:r w:rsidR="008406B7" w:rsidRPr="001921D0">
        <w:t>.</w:t>
      </w:r>
      <w:r w:rsidR="008406B7" w:rsidRPr="001921D0">
        <w:tab/>
      </w:r>
      <w:r w:rsidR="008F28EB" w:rsidRPr="001921D0">
        <w:t>Submission of information to the Biosafety Clearing-House</w:t>
      </w:r>
    </w:p>
    <w:p w14:paraId="7272301C" w14:textId="6A6A9958" w:rsidR="00F02D6E" w:rsidRPr="001921D0" w:rsidRDefault="00F02D6E" w:rsidP="00B92761">
      <w:pPr>
        <w:pStyle w:val="Para10"/>
        <w:rPr>
          <w:i/>
          <w:iCs/>
        </w:rPr>
      </w:pPr>
      <w:r w:rsidRPr="001921D0">
        <w:t>In accordance with its cyclical organization of work, the Committee is scheduled to review consistency between information in the fourth national report and the Biosafety-Clearing House at its nineteenth meeting and, at its twentieth meeting, completeness and accuracy of information in the Biosafety Clearing-House. Accordingly, an in-depth comparative analysis of information provided in the fourth national report and in the Biosafety Clearing House will be provided at its next meeting.</w:t>
      </w:r>
    </w:p>
    <w:p w14:paraId="203E6608" w14:textId="1F4E5570" w:rsidR="00F02D6E" w:rsidRPr="001921D0" w:rsidRDefault="00F02D6E" w:rsidP="00B92761">
      <w:pPr>
        <w:pStyle w:val="Para10"/>
      </w:pPr>
      <w:r w:rsidRPr="001921D0">
        <w:t xml:space="preserve">At its seventeenth meeting, the Committee considered an update on the results of the follow-up since its sixteenth meeting on the obligation to submit information on national focal points, competent national authorities and contact points for receiving notifications under Article 17. </w:t>
      </w:r>
      <w:r w:rsidR="00DA6DF4" w:rsidRPr="001921D0">
        <w:t>T</w:t>
      </w:r>
      <w:r w:rsidRPr="001921D0">
        <w:t xml:space="preserve">he </w:t>
      </w:r>
      <w:r w:rsidRPr="001921D0">
        <w:lastRenderedPageBreak/>
        <w:t>Committee</w:t>
      </w:r>
      <w:r w:rsidR="00DA6DF4" w:rsidRPr="001921D0">
        <w:t xml:space="preserve"> also made</w:t>
      </w:r>
      <w:r w:rsidRPr="001921D0">
        <w:t xml:space="preserve"> recommendations in this regard to the Conference of the Parties serving as the meeting of the Parties to the Protocol, for consideration at its tenth meeting.</w:t>
      </w:r>
      <w:r w:rsidRPr="001921D0">
        <w:rPr>
          <w:rStyle w:val="FootnoteReference"/>
          <w:szCs w:val="22"/>
        </w:rPr>
        <w:footnoteReference w:id="6"/>
      </w:r>
    </w:p>
    <w:p w14:paraId="14DD0060" w14:textId="4FA99E05" w:rsidR="00F02D6E" w:rsidRPr="001921D0" w:rsidRDefault="00F02D6E" w:rsidP="00B92761">
      <w:pPr>
        <w:pStyle w:val="Para10"/>
        <w:rPr>
          <w:u w:val="single"/>
        </w:rPr>
      </w:pPr>
      <w:r w:rsidRPr="001921D0">
        <w:t xml:space="preserve">Following the seventeenth meeting of the Committee, the Secretariat contacted the four Parties that had not </w:t>
      </w:r>
      <w:r w:rsidR="00530D94" w:rsidRPr="001921D0">
        <w:t xml:space="preserve">designated national focal points </w:t>
      </w:r>
      <w:r w:rsidR="00C46187" w:rsidRPr="001921D0">
        <w:t xml:space="preserve">and had not </w:t>
      </w:r>
      <w:r w:rsidRPr="001921D0">
        <w:t xml:space="preserve">responded to letters sent by the Chair of the Committee in </w:t>
      </w:r>
      <w:r w:rsidR="00D46667" w:rsidRPr="001921D0">
        <w:t>January 2020</w:t>
      </w:r>
      <w:r w:rsidR="00DF55C3" w:rsidRPr="001921D0">
        <w:t>, namely, the</w:t>
      </w:r>
      <w:r w:rsidRPr="001921D0">
        <w:t xml:space="preserve"> </w:t>
      </w:r>
      <w:r w:rsidRPr="001921D0">
        <w:rPr>
          <w:kern w:val="18"/>
        </w:rPr>
        <w:t>Marshall Islands and Saint Vincent and the Grenadines,</w:t>
      </w:r>
      <w:r w:rsidRPr="001921D0">
        <w:t xml:space="preserve"> that had not designated a national focal point for the Cartagena Protocol, Fiji that had not designated a national focal point for the </w:t>
      </w:r>
      <w:r w:rsidR="00947C76" w:rsidRPr="001921D0">
        <w:t xml:space="preserve">Biosafety Clearing-House </w:t>
      </w:r>
      <w:r w:rsidRPr="001921D0">
        <w:t xml:space="preserve">and the State of Palestine that had designated neither a national focal point for the Cartagena Protocol nor a national focal point for the </w:t>
      </w:r>
      <w:r w:rsidR="00947C76" w:rsidRPr="001921D0">
        <w:t>Biosafety Clearing-House</w:t>
      </w:r>
      <w:r w:rsidRPr="001921D0">
        <w:t>.</w:t>
      </w:r>
    </w:p>
    <w:p w14:paraId="7D641094" w14:textId="207F5B7C" w:rsidR="00F02D6E" w:rsidRPr="001921D0" w:rsidRDefault="00F02D6E" w:rsidP="00B92761">
      <w:pPr>
        <w:pStyle w:val="Para10"/>
      </w:pPr>
      <w:r w:rsidRPr="001921D0">
        <w:t xml:space="preserve">Fiji and the State of Palestine submitted information to the Secretariat on their designated national focal points and points of contact in August 2020 and December 2021, respectively. Saint Vincent and the Grenadines and the Marshall Islands have still not </w:t>
      </w:r>
      <w:r w:rsidR="00B66069" w:rsidRPr="001921D0">
        <w:t xml:space="preserve">transmitted information to the Secretariat on the </w:t>
      </w:r>
      <w:r w:rsidRPr="001921D0">
        <w:t>designat</w:t>
      </w:r>
      <w:r w:rsidR="00B66069" w:rsidRPr="001921D0">
        <w:t>ion of</w:t>
      </w:r>
      <w:r w:rsidRPr="001921D0">
        <w:t xml:space="preserve"> a national focal point for the Cartagena Protocol. </w:t>
      </w:r>
    </w:p>
    <w:p w14:paraId="02DCF654" w14:textId="1F4A3EE8" w:rsidR="00F02D6E" w:rsidRPr="001921D0" w:rsidRDefault="00F02D6E" w:rsidP="00B92761">
      <w:pPr>
        <w:pStyle w:val="Para10"/>
      </w:pPr>
      <w:r w:rsidRPr="001921D0">
        <w:t>As part of its ongoing efforts to maintain updated contact information for all national focal points and points of contact, the Secretariat continues routine follow-up with Parties. In the period from January 2021 to April 2023, records of national focal points and points of contact for the purpose of receiving notifications under Article 17 from more than a hundred countries were updated.</w:t>
      </w:r>
    </w:p>
    <w:p w14:paraId="36AB2693" w14:textId="2C35BD79" w:rsidR="00620EE9" w:rsidRPr="001921D0" w:rsidRDefault="00620EE9" w:rsidP="00620EE9">
      <w:pPr>
        <w:pStyle w:val="Heading2"/>
      </w:pPr>
      <w:r w:rsidRPr="001921D0">
        <w:t>C.</w:t>
      </w:r>
      <w:r w:rsidRPr="001921D0">
        <w:tab/>
      </w:r>
      <w:r w:rsidR="008333B6" w:rsidRPr="001921D0">
        <w:t>Measures to implement the obligation</w:t>
      </w:r>
      <w:r w:rsidR="00F76357" w:rsidRPr="001921D0">
        <w:t>s under the Protocol</w:t>
      </w:r>
    </w:p>
    <w:p w14:paraId="006A5806" w14:textId="7FAF37D5" w:rsidR="00E2561E" w:rsidRPr="001921D0" w:rsidRDefault="00E2561E" w:rsidP="00B92761">
      <w:pPr>
        <w:pStyle w:val="Para10"/>
      </w:pPr>
      <w:r w:rsidRPr="001921D0">
        <w:t xml:space="preserve">The Protocol requires Parties to take the necessary and appropriate legal, administrative and other measures to implement their obligations under the Protocol (Article 2(1)). Subsection </w:t>
      </w:r>
      <w:r w:rsidR="00C16508" w:rsidRPr="001921D0">
        <w:t>1</w:t>
      </w:r>
      <w:r w:rsidRPr="001921D0">
        <w:t xml:space="preserve"> below presents an overview of information provided by Parties in their fourth national report on the introduction of such measures. </w:t>
      </w:r>
      <w:r w:rsidR="00704D89" w:rsidRPr="001921D0">
        <w:t xml:space="preserve">Information provided </w:t>
      </w:r>
      <w:r w:rsidR="005A52F4" w:rsidRPr="001921D0">
        <w:t>in this regard</w:t>
      </w:r>
      <w:r w:rsidR="00704D89" w:rsidRPr="001921D0">
        <w:t xml:space="preserve"> in the survey is presented in subsection </w:t>
      </w:r>
      <w:r w:rsidR="00C16508" w:rsidRPr="001921D0">
        <w:t>2</w:t>
      </w:r>
      <w:r w:rsidR="00704D89" w:rsidRPr="001921D0">
        <w:t xml:space="preserve">. </w:t>
      </w:r>
      <w:r w:rsidR="000A1ED0" w:rsidRPr="001921D0">
        <w:t>Further information on</w:t>
      </w:r>
      <w:r w:rsidR="00647AB8" w:rsidRPr="001921D0">
        <w:t xml:space="preserve"> follow-up actions agreed to by the Committee </w:t>
      </w:r>
      <w:r w:rsidR="00A26701" w:rsidRPr="001921D0">
        <w:t xml:space="preserve">following the past review of compliance with this </w:t>
      </w:r>
      <w:r w:rsidR="00D14FF4" w:rsidRPr="001921D0">
        <w:t xml:space="preserve">issue </w:t>
      </w:r>
      <w:r w:rsidRPr="001921D0">
        <w:t>is provided in</w:t>
      </w:r>
      <w:r w:rsidR="000A1ED0" w:rsidRPr="001921D0">
        <w:t xml:space="preserve"> document </w:t>
      </w:r>
      <w:r w:rsidR="009570DF" w:rsidRPr="001921D0">
        <w:t>CBD/CP/CC/18/4 for consideration under item 5</w:t>
      </w:r>
      <w:r w:rsidRPr="001921D0">
        <w:t>.</w:t>
      </w:r>
    </w:p>
    <w:p w14:paraId="78A2E47A" w14:textId="7FFDF3EA" w:rsidR="00E2561E" w:rsidRPr="001921D0" w:rsidRDefault="004B48EB" w:rsidP="00B92761">
      <w:pPr>
        <w:pStyle w:val="Heading3"/>
      </w:pPr>
      <w:r w:rsidRPr="001921D0">
        <w:t xml:space="preserve">Information provided in the </w:t>
      </w:r>
      <w:r w:rsidR="00A26701" w:rsidRPr="001921D0">
        <w:t>fourth national reports</w:t>
      </w:r>
    </w:p>
    <w:p w14:paraId="7CD0A245" w14:textId="61D8326F" w:rsidR="00F80644" w:rsidRPr="001921D0" w:rsidRDefault="00F80644" w:rsidP="00B92761">
      <w:pPr>
        <w:pStyle w:val="Para10"/>
      </w:pPr>
      <w:r w:rsidRPr="001921D0">
        <w:t>In their fourth national reports, 44 per cent (60 Parties) of the responding Parties reported that a domestic regulatory framework is fully in place. In addition, 44 per cent (</w:t>
      </w:r>
      <w:r w:rsidR="00B9328D" w:rsidRPr="001921D0">
        <w:t xml:space="preserve">60 </w:t>
      </w:r>
      <w:r w:rsidRPr="001921D0">
        <w:t xml:space="preserve">Parties) of responding Parties reported that their domestic regulatory framework is partially in place. Of the responding Parties, </w:t>
      </w:r>
      <w:r w:rsidR="005E17AC" w:rsidRPr="001921D0">
        <w:t xml:space="preserve">2 </w:t>
      </w:r>
      <w:r w:rsidRPr="001921D0">
        <w:t>per cent (3 Parties) reported that only temporary measures have been taken and 9 per cent (12 Parties) reported that only draft measures exist (a decrease of 3</w:t>
      </w:r>
      <w:r w:rsidR="008A23B9" w:rsidRPr="001921D0">
        <w:t xml:space="preserve"> per cent</w:t>
      </w:r>
      <w:r w:rsidRPr="001921D0">
        <w:t xml:space="preserve"> in comparison </w:t>
      </w:r>
      <w:r w:rsidR="005D5DFE" w:rsidRPr="001921D0">
        <w:t>with</w:t>
      </w:r>
      <w:r w:rsidR="005D5DFE" w:rsidRPr="001921D0">
        <w:t xml:space="preserve"> </w:t>
      </w:r>
      <w:r w:rsidRPr="001921D0">
        <w:t xml:space="preserve">the second reporting cycle). </w:t>
      </w:r>
      <w:r w:rsidR="006732EC" w:rsidRPr="001921D0">
        <w:t>Lastly</w:t>
      </w:r>
      <w:r w:rsidRPr="001921D0">
        <w:t>, 1 per cent of the Parties (1 Party) reported that no measures have been taken.</w:t>
      </w:r>
      <w:r w:rsidRPr="001921D0">
        <w:rPr>
          <w:rStyle w:val="FootnoteReference"/>
          <w:szCs w:val="22"/>
        </w:rPr>
        <w:footnoteReference w:id="7"/>
      </w:r>
    </w:p>
    <w:p w14:paraId="6AEE1F35" w14:textId="77777777" w:rsidR="00F80644" w:rsidRPr="001921D0" w:rsidRDefault="00F80644" w:rsidP="00B92761">
      <w:pPr>
        <w:pStyle w:val="Para10"/>
      </w:pPr>
      <w:r w:rsidRPr="001921D0">
        <w:t>In their written contributions, several Parties explained the difficulties they face with respect to adopting legal, administrative and other measures to implement the Protocol. Several Parties indicated that legal instruments are being developed or have been developed but are pending adoption. Some of these Parties indicated that the adoption of these instruments is expected to strengthen institutional structures and improve the availability of resources. Some Parties mentioned the importance of biosafety mainstreaming across a variety of sectoral and cross-sectoral policy and legal instruments. Some Parties reported having effectively addressed biosafety in sectoral or cross-sectoral policies or laws. A number of Parties indicated that the lack of resources and capacities has negatively affected the implementation of the Protocol.</w:t>
      </w:r>
      <w:r w:rsidRPr="001921D0">
        <w:rPr>
          <w:rStyle w:val="FootnoteReference"/>
          <w:szCs w:val="22"/>
        </w:rPr>
        <w:footnoteReference w:id="8"/>
      </w:r>
    </w:p>
    <w:p w14:paraId="2A0E3122" w14:textId="161C056E" w:rsidR="009D06ED" w:rsidRPr="001921D0" w:rsidRDefault="009D06ED" w:rsidP="00B92761">
      <w:pPr>
        <w:pStyle w:val="Heading3"/>
      </w:pPr>
      <w:r w:rsidRPr="001921D0">
        <w:t xml:space="preserve">Information provided in the survey </w:t>
      </w:r>
    </w:p>
    <w:p w14:paraId="251A1910" w14:textId="03E27E96" w:rsidR="00912BE7" w:rsidRPr="001921D0" w:rsidRDefault="00912BE7" w:rsidP="00B92761">
      <w:pPr>
        <w:pStyle w:val="Para10"/>
        <w:rPr>
          <w:szCs w:val="22"/>
        </w:rPr>
      </w:pPr>
      <w:r w:rsidRPr="001921D0">
        <w:rPr>
          <w:szCs w:val="22"/>
        </w:rPr>
        <w:t xml:space="preserve">In the survey, </w:t>
      </w:r>
      <w:r w:rsidRPr="001921D0">
        <w:t>39</w:t>
      </w:r>
      <w:r w:rsidR="008A23B9" w:rsidRPr="001921D0">
        <w:t xml:space="preserve"> per cent</w:t>
      </w:r>
      <w:r w:rsidRPr="001921D0">
        <w:t xml:space="preserve"> of the 102 respondents indicated that measures </w:t>
      </w:r>
      <w:r w:rsidR="005434D1" w:rsidRPr="001921D0">
        <w:t>were</w:t>
      </w:r>
      <w:r w:rsidR="005434D1" w:rsidRPr="001921D0">
        <w:t xml:space="preserve"> </w:t>
      </w:r>
      <w:r w:rsidRPr="001921D0">
        <w:t>fully in place, while 38</w:t>
      </w:r>
      <w:r w:rsidR="008A23B9" w:rsidRPr="001921D0">
        <w:t xml:space="preserve"> per cent</w:t>
      </w:r>
      <w:r w:rsidRPr="001921D0">
        <w:t xml:space="preserve"> provided that measures </w:t>
      </w:r>
      <w:r w:rsidR="005434D1" w:rsidRPr="001921D0">
        <w:t>were</w:t>
      </w:r>
      <w:r w:rsidR="005434D1" w:rsidRPr="001921D0">
        <w:t xml:space="preserve"> </w:t>
      </w:r>
      <w:r w:rsidRPr="001921D0">
        <w:t>partially in place. Of the respondents, 15</w:t>
      </w:r>
      <w:r w:rsidR="008A23B9" w:rsidRPr="001921D0">
        <w:t xml:space="preserve"> per cent</w:t>
      </w:r>
      <w:r w:rsidRPr="001921D0">
        <w:t xml:space="preserve"> </w:t>
      </w:r>
      <w:r w:rsidRPr="001921D0">
        <w:lastRenderedPageBreak/>
        <w:t>mentioned that only draft measures existed, 5</w:t>
      </w:r>
      <w:r w:rsidR="008A23B9" w:rsidRPr="001921D0">
        <w:t xml:space="preserve"> per cent</w:t>
      </w:r>
      <w:r w:rsidRPr="001921D0">
        <w:t xml:space="preserve"> responded that no measures ha</w:t>
      </w:r>
      <w:r w:rsidR="005434D1" w:rsidRPr="001921D0">
        <w:t>d</w:t>
      </w:r>
      <w:r w:rsidRPr="001921D0">
        <w:t xml:space="preserve"> yet been taken, and 3</w:t>
      </w:r>
      <w:r w:rsidR="008A23B9" w:rsidRPr="001921D0">
        <w:t xml:space="preserve"> per cent</w:t>
      </w:r>
      <w:r w:rsidRPr="001921D0">
        <w:t xml:space="preserve"> indicated that only temporary measures ha</w:t>
      </w:r>
      <w:r w:rsidR="005434D1" w:rsidRPr="001921D0">
        <w:t>d</w:t>
      </w:r>
      <w:r w:rsidRPr="001921D0">
        <w:t xml:space="preserve"> been introduced.</w:t>
      </w:r>
      <w:r w:rsidR="00845895" w:rsidRPr="001921D0" w:rsidDel="00845895">
        <w:rPr>
          <w:rStyle w:val="FootnoteReference"/>
        </w:rPr>
        <w:t xml:space="preserve"> </w:t>
      </w:r>
    </w:p>
    <w:p w14:paraId="0C498A36" w14:textId="231EE55C" w:rsidR="00A136A8" w:rsidRPr="001921D0" w:rsidRDefault="00702441" w:rsidP="00B92761">
      <w:pPr>
        <w:pStyle w:val="Para10"/>
      </w:pPr>
      <w:r w:rsidRPr="001921D0">
        <w:t xml:space="preserve">For </w:t>
      </w:r>
      <w:r w:rsidR="004008C7" w:rsidRPr="001921D0">
        <w:t xml:space="preserve">16 </w:t>
      </w:r>
      <w:r w:rsidRPr="001921D0">
        <w:t xml:space="preserve">countries, answers provided in the survey differed from what their country had reported in the fourth national report: </w:t>
      </w:r>
    </w:p>
    <w:p w14:paraId="1A321691" w14:textId="38E16AC2" w:rsidR="00A136A8" w:rsidRPr="001921D0" w:rsidRDefault="005D290F" w:rsidP="00B92761">
      <w:pPr>
        <w:pStyle w:val="StylePara1Kernat11pt"/>
        <w:numPr>
          <w:ilvl w:val="0"/>
          <w:numId w:val="69"/>
        </w:numPr>
        <w:tabs>
          <w:tab w:val="left" w:pos="1701"/>
        </w:tabs>
        <w:ind w:left="567" w:firstLine="567"/>
        <w:rPr>
          <w:szCs w:val="22"/>
        </w:rPr>
      </w:pPr>
      <w:r w:rsidRPr="001921D0">
        <w:rPr>
          <w:szCs w:val="22"/>
        </w:rPr>
        <w:t>S</w:t>
      </w:r>
      <w:r w:rsidR="00702441" w:rsidRPr="001921D0">
        <w:rPr>
          <w:szCs w:val="22"/>
        </w:rPr>
        <w:t>even respondents indicated that measures were partially place, while their country had reported in its fourth national report that measures were fully in place</w:t>
      </w:r>
      <w:r w:rsidR="00687083" w:rsidRPr="001921D0">
        <w:rPr>
          <w:szCs w:val="22"/>
        </w:rPr>
        <w:t>;</w:t>
      </w:r>
      <w:r w:rsidR="00702441" w:rsidRPr="001921D0">
        <w:rPr>
          <w:szCs w:val="22"/>
        </w:rPr>
        <w:t xml:space="preserve"> </w:t>
      </w:r>
    </w:p>
    <w:p w14:paraId="5AD62B2F" w14:textId="45EDFC2B" w:rsidR="00A136A8" w:rsidRPr="001921D0" w:rsidRDefault="00702441" w:rsidP="00B92761">
      <w:pPr>
        <w:pStyle w:val="StylePara1Kernat11pt"/>
        <w:numPr>
          <w:ilvl w:val="0"/>
          <w:numId w:val="69"/>
        </w:numPr>
        <w:tabs>
          <w:tab w:val="left" w:pos="1701"/>
        </w:tabs>
        <w:ind w:left="567" w:firstLine="567"/>
        <w:rPr>
          <w:szCs w:val="22"/>
        </w:rPr>
      </w:pPr>
      <w:r w:rsidRPr="001921D0">
        <w:rPr>
          <w:szCs w:val="22"/>
        </w:rPr>
        <w:t>Seven other respondents indicated that measures were fully in place, while in their fourth national report their country had reported that measures were partially in place</w:t>
      </w:r>
      <w:r w:rsidR="00687083" w:rsidRPr="001921D0">
        <w:rPr>
          <w:szCs w:val="22"/>
        </w:rPr>
        <w:t>;</w:t>
      </w:r>
      <w:r w:rsidRPr="001921D0">
        <w:rPr>
          <w:szCs w:val="22"/>
        </w:rPr>
        <w:t xml:space="preserve"> </w:t>
      </w:r>
    </w:p>
    <w:p w14:paraId="774BD36C" w14:textId="77777777" w:rsidR="00A136A8" w:rsidRPr="001921D0" w:rsidRDefault="00702441" w:rsidP="00B92761">
      <w:pPr>
        <w:pStyle w:val="StylePara1Kernat11pt"/>
        <w:numPr>
          <w:ilvl w:val="0"/>
          <w:numId w:val="69"/>
        </w:numPr>
        <w:tabs>
          <w:tab w:val="left" w:pos="1701"/>
        </w:tabs>
        <w:ind w:left="567" w:firstLine="567"/>
        <w:rPr>
          <w:szCs w:val="22"/>
        </w:rPr>
      </w:pPr>
      <w:r w:rsidRPr="001921D0">
        <w:rPr>
          <w:szCs w:val="22"/>
        </w:rPr>
        <w:t xml:space="preserve">One respondent that indicated </w:t>
      </w:r>
      <w:r w:rsidR="007F54B6" w:rsidRPr="001921D0">
        <w:rPr>
          <w:szCs w:val="22"/>
        </w:rPr>
        <w:t xml:space="preserve">in the survey </w:t>
      </w:r>
      <w:r w:rsidRPr="001921D0">
        <w:rPr>
          <w:szCs w:val="22"/>
        </w:rPr>
        <w:t xml:space="preserve">that measures were fully in place and one </w:t>
      </w:r>
      <w:r w:rsidR="007F54B6" w:rsidRPr="001921D0">
        <w:rPr>
          <w:szCs w:val="22"/>
        </w:rPr>
        <w:t xml:space="preserve">other </w:t>
      </w:r>
      <w:r w:rsidRPr="001921D0">
        <w:rPr>
          <w:szCs w:val="22"/>
        </w:rPr>
        <w:t xml:space="preserve">respondent </w:t>
      </w:r>
      <w:r w:rsidR="007F54B6" w:rsidRPr="001921D0">
        <w:rPr>
          <w:szCs w:val="22"/>
        </w:rPr>
        <w:t>that indicated</w:t>
      </w:r>
      <w:r w:rsidR="008A75BF" w:rsidRPr="001921D0">
        <w:rPr>
          <w:szCs w:val="22"/>
        </w:rPr>
        <w:t xml:space="preserve"> in the survey</w:t>
      </w:r>
      <w:r w:rsidR="007F54B6" w:rsidRPr="001921D0">
        <w:rPr>
          <w:szCs w:val="22"/>
        </w:rPr>
        <w:t xml:space="preserve"> </w:t>
      </w:r>
      <w:r w:rsidRPr="001921D0">
        <w:rPr>
          <w:szCs w:val="22"/>
        </w:rPr>
        <w:t>that measures were partially in place</w:t>
      </w:r>
      <w:r w:rsidR="008A75BF" w:rsidRPr="001921D0">
        <w:rPr>
          <w:szCs w:val="22"/>
        </w:rPr>
        <w:t xml:space="preserve">, had reported in </w:t>
      </w:r>
      <w:r w:rsidRPr="001921D0">
        <w:rPr>
          <w:szCs w:val="22"/>
        </w:rPr>
        <w:t>their fourth national report</w:t>
      </w:r>
      <w:r w:rsidR="008A75BF" w:rsidRPr="001921D0">
        <w:rPr>
          <w:szCs w:val="22"/>
        </w:rPr>
        <w:t>s that</w:t>
      </w:r>
      <w:r w:rsidRPr="001921D0">
        <w:rPr>
          <w:szCs w:val="22"/>
        </w:rPr>
        <w:t xml:space="preserve"> </w:t>
      </w:r>
      <w:r w:rsidR="00077978" w:rsidRPr="001921D0">
        <w:rPr>
          <w:szCs w:val="22"/>
        </w:rPr>
        <w:t xml:space="preserve">their country </w:t>
      </w:r>
      <w:r w:rsidRPr="001921D0">
        <w:rPr>
          <w:szCs w:val="22"/>
        </w:rPr>
        <w:t xml:space="preserve">only </w:t>
      </w:r>
      <w:r w:rsidR="00077978" w:rsidRPr="001921D0">
        <w:rPr>
          <w:szCs w:val="22"/>
        </w:rPr>
        <w:t xml:space="preserve">had </w:t>
      </w:r>
      <w:r w:rsidRPr="001921D0">
        <w:rPr>
          <w:szCs w:val="22"/>
        </w:rPr>
        <w:t>draft measures.</w:t>
      </w:r>
      <w:r w:rsidR="00077978" w:rsidRPr="001921D0">
        <w:rPr>
          <w:szCs w:val="22"/>
        </w:rPr>
        <w:t xml:space="preserve"> </w:t>
      </w:r>
    </w:p>
    <w:p w14:paraId="7D538A28" w14:textId="3F78EAB5" w:rsidR="006C18AE" w:rsidRPr="001921D0" w:rsidRDefault="00077978" w:rsidP="00B92761">
      <w:pPr>
        <w:pStyle w:val="Para10"/>
      </w:pPr>
      <w:r w:rsidRPr="001921D0">
        <w:t xml:space="preserve">The discrepancy between information provided in the survey and in the fourth national report in this regard is an </w:t>
      </w:r>
      <w:r w:rsidR="00E855F4" w:rsidRPr="001921D0">
        <w:t>issue</w:t>
      </w:r>
      <w:r w:rsidRPr="001921D0">
        <w:t xml:space="preserve"> the Committee may wish to </w:t>
      </w:r>
      <w:r w:rsidR="00E855F4" w:rsidRPr="001921D0">
        <w:t>follow-up on, with a</w:t>
      </w:r>
      <w:r w:rsidRPr="001921D0">
        <w:t xml:space="preserve"> view to </w:t>
      </w:r>
      <w:r w:rsidR="00E855F4" w:rsidRPr="001921D0">
        <w:t>reviewing</w:t>
      </w:r>
      <w:r w:rsidR="00F040B0" w:rsidRPr="001921D0">
        <w:t xml:space="preserve"> compliance with Article 2, paragraph 1, of the Protocol</w:t>
      </w:r>
      <w:r w:rsidR="00666060" w:rsidRPr="001921D0">
        <w:t xml:space="preserve"> (see suggestions in section III below)</w:t>
      </w:r>
      <w:r w:rsidR="00F040B0" w:rsidRPr="001921D0">
        <w:t xml:space="preserve">. </w:t>
      </w:r>
      <w:r w:rsidRPr="001921D0">
        <w:t xml:space="preserve"> </w:t>
      </w:r>
      <w:r w:rsidR="00702441" w:rsidRPr="001921D0">
        <w:t xml:space="preserve"> </w:t>
      </w:r>
    </w:p>
    <w:p w14:paraId="75403F85" w14:textId="779FB99E" w:rsidR="00912BE7" w:rsidRPr="001921D0" w:rsidRDefault="00912BE7" w:rsidP="00B92761">
      <w:pPr>
        <w:pStyle w:val="Para10"/>
      </w:pPr>
      <w:r w:rsidRPr="001921D0">
        <w:t>A total of 83</w:t>
      </w:r>
      <w:r w:rsidR="008A23B9" w:rsidRPr="001921D0">
        <w:t xml:space="preserve"> per cent</w:t>
      </w:r>
      <w:r w:rsidRPr="001921D0">
        <w:t xml:space="preserve"> of the </w:t>
      </w:r>
      <w:r w:rsidR="00F0210B" w:rsidRPr="001921D0">
        <w:t xml:space="preserve">survey </w:t>
      </w:r>
      <w:r w:rsidRPr="001921D0">
        <w:t xml:space="preserve">respondents indicated that their country faces challenges and limitations in adopting the necessary measures to implement the Protocol. </w:t>
      </w:r>
      <w:r w:rsidR="00E645F6" w:rsidRPr="001921D0">
        <w:t>This included respondents from developing countries</w:t>
      </w:r>
      <w:r w:rsidR="009E57FE" w:rsidRPr="001921D0">
        <w:t>,</w:t>
      </w:r>
      <w:r w:rsidR="00A634FE" w:rsidRPr="001921D0">
        <w:t xml:space="preserve"> as well as some from developed countries</w:t>
      </w:r>
      <w:r w:rsidR="00E645F6" w:rsidRPr="001921D0">
        <w:t xml:space="preserve">. </w:t>
      </w:r>
      <w:r w:rsidRPr="001921D0">
        <w:t>The most cited challenge was lack of financial resources (71</w:t>
      </w:r>
      <w:r w:rsidR="008A23B9" w:rsidRPr="001921D0">
        <w:t xml:space="preserve"> per cent</w:t>
      </w:r>
      <w:r w:rsidRPr="001921D0">
        <w:t xml:space="preserve"> of respondents). Half of the respondents </w:t>
      </w:r>
      <w:r w:rsidR="00357AD5" w:rsidRPr="001921D0">
        <w:t xml:space="preserve">(51 respondents) </w:t>
      </w:r>
      <w:r w:rsidRPr="001921D0">
        <w:t>indicated that they lack human resources with the necessary skills and 49</w:t>
      </w:r>
      <w:r w:rsidR="008A23B9" w:rsidRPr="001921D0">
        <w:t xml:space="preserve"> per cent</w:t>
      </w:r>
      <w:r w:rsidRPr="001921D0">
        <w:t xml:space="preserve"> mentioned that awareness on biosafety is lacking. A total of 26</w:t>
      </w:r>
      <w:r w:rsidR="008A23B9" w:rsidRPr="001921D0">
        <w:t xml:space="preserve"> per cent</w:t>
      </w:r>
      <w:r w:rsidRPr="001921D0">
        <w:t xml:space="preserve"> of respondents indicated that the lack of political will to adopt measures was a challenge for their country. </w:t>
      </w:r>
    </w:p>
    <w:p w14:paraId="3CD1C0CF" w14:textId="21A589EA" w:rsidR="00912BE7" w:rsidRPr="001921D0" w:rsidRDefault="00912BE7" w:rsidP="00B92761">
      <w:pPr>
        <w:pStyle w:val="Para10"/>
      </w:pPr>
      <w:r w:rsidRPr="001921D0">
        <w:t xml:space="preserve">When considering only the responses by those </w:t>
      </w:r>
      <w:r w:rsidR="00F0210B" w:rsidRPr="001921D0">
        <w:t xml:space="preserve">survey </w:t>
      </w:r>
      <w:r w:rsidR="006D0C34" w:rsidRPr="001921D0">
        <w:t>responde</w:t>
      </w:r>
      <w:r w:rsidR="008907AA" w:rsidRPr="001921D0">
        <w:t xml:space="preserve">nts </w:t>
      </w:r>
      <w:r w:rsidRPr="001921D0">
        <w:t xml:space="preserve">that indicated </w:t>
      </w:r>
      <w:r w:rsidR="008907AA" w:rsidRPr="001921D0">
        <w:t>that their country ha</w:t>
      </w:r>
      <w:r w:rsidR="00090561" w:rsidRPr="001921D0">
        <w:t>d</w:t>
      </w:r>
      <w:r w:rsidR="008907AA" w:rsidRPr="001921D0">
        <w:t xml:space="preserve"> </w:t>
      </w:r>
      <w:r w:rsidRPr="001921D0">
        <w:t xml:space="preserve">not adopted any biosafety measures, or </w:t>
      </w:r>
      <w:r w:rsidR="008907AA" w:rsidRPr="001921D0">
        <w:t>ha</w:t>
      </w:r>
      <w:r w:rsidR="00090561" w:rsidRPr="001921D0">
        <w:t>d</w:t>
      </w:r>
      <w:r w:rsidRPr="001921D0">
        <w:t xml:space="preserve"> only adopted draft or temporary measures</w:t>
      </w:r>
      <w:r w:rsidR="002B4897" w:rsidRPr="001921D0">
        <w:t xml:space="preserve"> (23 respondents in total)</w:t>
      </w:r>
      <w:r w:rsidRPr="001921D0">
        <w:t xml:space="preserve">, the percentages are </w:t>
      </w:r>
      <w:r w:rsidR="0052325E" w:rsidRPr="001921D0">
        <w:t>as follows</w:t>
      </w:r>
      <w:r w:rsidR="00124FE6" w:rsidRPr="001921D0">
        <w:t xml:space="preserve"> (noting that respondents could select more than one answer</w:t>
      </w:r>
      <w:r w:rsidR="00D8546E" w:rsidRPr="001921D0">
        <w:t>)</w:t>
      </w:r>
      <w:r w:rsidRPr="001921D0">
        <w:t xml:space="preserve">: </w:t>
      </w:r>
    </w:p>
    <w:p w14:paraId="55DEA9D4" w14:textId="66A8A80D" w:rsidR="00912BE7" w:rsidRPr="001921D0" w:rsidRDefault="00912BE7" w:rsidP="00B92761">
      <w:pPr>
        <w:pStyle w:val="StylePara1Kernat11pt"/>
        <w:numPr>
          <w:ilvl w:val="0"/>
          <w:numId w:val="68"/>
        </w:numPr>
        <w:tabs>
          <w:tab w:val="left" w:pos="1701"/>
        </w:tabs>
        <w:ind w:left="567" w:firstLine="567"/>
        <w:rPr>
          <w:szCs w:val="22"/>
        </w:rPr>
      </w:pPr>
      <w:r w:rsidRPr="001921D0">
        <w:rPr>
          <w:szCs w:val="22"/>
        </w:rPr>
        <w:t>83</w:t>
      </w:r>
      <w:r w:rsidR="008A23B9" w:rsidRPr="001921D0">
        <w:rPr>
          <w:szCs w:val="22"/>
        </w:rPr>
        <w:t xml:space="preserve"> per cent</w:t>
      </w:r>
      <w:r w:rsidRPr="001921D0">
        <w:rPr>
          <w:szCs w:val="22"/>
        </w:rPr>
        <w:t xml:space="preserve"> of these </w:t>
      </w:r>
      <w:r w:rsidR="00CA52BD" w:rsidRPr="001921D0">
        <w:rPr>
          <w:szCs w:val="22"/>
        </w:rPr>
        <w:t xml:space="preserve">respondents (19 respondents) </w:t>
      </w:r>
      <w:r w:rsidRPr="001921D0">
        <w:rPr>
          <w:szCs w:val="22"/>
        </w:rPr>
        <w:t>indicate</w:t>
      </w:r>
      <w:r w:rsidR="00872D74" w:rsidRPr="001921D0">
        <w:rPr>
          <w:szCs w:val="22"/>
        </w:rPr>
        <w:t>d</w:t>
      </w:r>
      <w:r w:rsidRPr="001921D0">
        <w:rPr>
          <w:szCs w:val="22"/>
        </w:rPr>
        <w:t xml:space="preserve"> that their country lack</w:t>
      </w:r>
      <w:r w:rsidR="00090561" w:rsidRPr="001921D0">
        <w:rPr>
          <w:szCs w:val="22"/>
        </w:rPr>
        <w:t>ed</w:t>
      </w:r>
      <w:r w:rsidRPr="001921D0">
        <w:rPr>
          <w:szCs w:val="22"/>
        </w:rPr>
        <w:t xml:space="preserve"> financial resources</w:t>
      </w:r>
      <w:r w:rsidR="00697B24" w:rsidRPr="001921D0">
        <w:rPr>
          <w:szCs w:val="22"/>
        </w:rPr>
        <w:t>;</w:t>
      </w:r>
      <w:r w:rsidRPr="001921D0">
        <w:rPr>
          <w:szCs w:val="22"/>
        </w:rPr>
        <w:t xml:space="preserve"> </w:t>
      </w:r>
    </w:p>
    <w:p w14:paraId="5A2601AE" w14:textId="6F43F6F4" w:rsidR="00912BE7" w:rsidRPr="001921D0" w:rsidRDefault="00912BE7" w:rsidP="00B92761">
      <w:pPr>
        <w:pStyle w:val="StylePara1Kernat11pt"/>
        <w:numPr>
          <w:ilvl w:val="0"/>
          <w:numId w:val="68"/>
        </w:numPr>
        <w:tabs>
          <w:tab w:val="left" w:pos="1701"/>
        </w:tabs>
        <w:ind w:left="567" w:firstLine="567"/>
        <w:rPr>
          <w:szCs w:val="22"/>
        </w:rPr>
      </w:pPr>
      <w:r w:rsidRPr="001921D0">
        <w:rPr>
          <w:szCs w:val="22"/>
        </w:rPr>
        <w:t>83</w:t>
      </w:r>
      <w:r w:rsidR="008A23B9" w:rsidRPr="001921D0">
        <w:rPr>
          <w:szCs w:val="22"/>
        </w:rPr>
        <w:t xml:space="preserve"> per cent</w:t>
      </w:r>
      <w:r w:rsidRPr="001921D0">
        <w:rPr>
          <w:szCs w:val="22"/>
        </w:rPr>
        <w:t xml:space="preserve"> </w:t>
      </w:r>
      <w:r w:rsidR="002B4897" w:rsidRPr="001921D0">
        <w:rPr>
          <w:szCs w:val="22"/>
        </w:rPr>
        <w:t xml:space="preserve">(19 respondents) </w:t>
      </w:r>
      <w:r w:rsidRPr="001921D0">
        <w:rPr>
          <w:szCs w:val="22"/>
        </w:rPr>
        <w:t xml:space="preserve">mentioned that awareness on biosafety </w:t>
      </w:r>
      <w:r w:rsidR="00090561" w:rsidRPr="001921D0">
        <w:rPr>
          <w:szCs w:val="22"/>
        </w:rPr>
        <w:t>was</w:t>
      </w:r>
      <w:r w:rsidR="00090561" w:rsidRPr="001921D0">
        <w:rPr>
          <w:szCs w:val="22"/>
        </w:rPr>
        <w:t xml:space="preserve"> </w:t>
      </w:r>
      <w:r w:rsidRPr="001921D0">
        <w:rPr>
          <w:szCs w:val="22"/>
        </w:rPr>
        <w:t>lacking</w:t>
      </w:r>
      <w:r w:rsidR="00697B24" w:rsidRPr="001921D0">
        <w:rPr>
          <w:szCs w:val="22"/>
        </w:rPr>
        <w:t>;</w:t>
      </w:r>
      <w:r w:rsidRPr="001921D0">
        <w:rPr>
          <w:szCs w:val="22"/>
        </w:rPr>
        <w:t xml:space="preserve"> </w:t>
      </w:r>
    </w:p>
    <w:p w14:paraId="7F1B5DFA" w14:textId="1D65CEA0" w:rsidR="00912BE7" w:rsidRPr="001921D0" w:rsidRDefault="00912BE7" w:rsidP="00B92761">
      <w:pPr>
        <w:pStyle w:val="StylePara1Kernat11pt"/>
        <w:numPr>
          <w:ilvl w:val="0"/>
          <w:numId w:val="68"/>
        </w:numPr>
        <w:tabs>
          <w:tab w:val="left" w:pos="1701"/>
        </w:tabs>
        <w:ind w:left="567" w:firstLine="567"/>
        <w:rPr>
          <w:szCs w:val="22"/>
        </w:rPr>
      </w:pPr>
      <w:r w:rsidRPr="001921D0">
        <w:rPr>
          <w:szCs w:val="22"/>
        </w:rPr>
        <w:t>65</w:t>
      </w:r>
      <w:r w:rsidR="008A23B9" w:rsidRPr="001921D0">
        <w:rPr>
          <w:szCs w:val="22"/>
        </w:rPr>
        <w:t xml:space="preserve"> per cent</w:t>
      </w:r>
      <w:r w:rsidRPr="001921D0">
        <w:rPr>
          <w:szCs w:val="22"/>
        </w:rPr>
        <w:t xml:space="preserve"> of the respondents </w:t>
      </w:r>
      <w:r w:rsidR="00900FE3" w:rsidRPr="001921D0">
        <w:rPr>
          <w:szCs w:val="22"/>
        </w:rPr>
        <w:t xml:space="preserve">(15 respondents) </w:t>
      </w:r>
      <w:r w:rsidRPr="001921D0">
        <w:rPr>
          <w:szCs w:val="22"/>
        </w:rPr>
        <w:t>indicated that they lack</w:t>
      </w:r>
      <w:r w:rsidR="00090561" w:rsidRPr="001921D0">
        <w:rPr>
          <w:szCs w:val="22"/>
        </w:rPr>
        <w:t>ed</w:t>
      </w:r>
      <w:r w:rsidRPr="001921D0">
        <w:rPr>
          <w:szCs w:val="22"/>
        </w:rPr>
        <w:t xml:space="preserve"> human resources with the necessary skills; </w:t>
      </w:r>
    </w:p>
    <w:p w14:paraId="57F143FE" w14:textId="67B008D5" w:rsidR="00912BE7" w:rsidRPr="001921D0" w:rsidRDefault="00912BE7" w:rsidP="00B92761">
      <w:pPr>
        <w:pStyle w:val="StylePara1Kernat11pt"/>
        <w:numPr>
          <w:ilvl w:val="0"/>
          <w:numId w:val="68"/>
        </w:numPr>
        <w:tabs>
          <w:tab w:val="left" w:pos="1701"/>
        </w:tabs>
        <w:ind w:left="567" w:firstLine="567"/>
        <w:rPr>
          <w:szCs w:val="22"/>
        </w:rPr>
      </w:pPr>
      <w:r w:rsidRPr="001921D0">
        <w:rPr>
          <w:szCs w:val="22"/>
        </w:rPr>
        <w:t>57</w:t>
      </w:r>
      <w:r w:rsidR="008A23B9" w:rsidRPr="001921D0">
        <w:rPr>
          <w:szCs w:val="22"/>
        </w:rPr>
        <w:t xml:space="preserve"> per cent</w:t>
      </w:r>
      <w:r w:rsidRPr="001921D0">
        <w:rPr>
          <w:szCs w:val="22"/>
        </w:rPr>
        <w:t xml:space="preserve"> of the</w:t>
      </w:r>
      <w:r w:rsidR="00872D74" w:rsidRPr="001921D0">
        <w:rPr>
          <w:szCs w:val="22"/>
        </w:rPr>
        <w:t>se</w:t>
      </w:r>
      <w:r w:rsidRPr="001921D0">
        <w:rPr>
          <w:szCs w:val="22"/>
        </w:rPr>
        <w:t xml:space="preserve"> respondents</w:t>
      </w:r>
      <w:r w:rsidR="00900FE3" w:rsidRPr="001921D0">
        <w:rPr>
          <w:szCs w:val="22"/>
        </w:rPr>
        <w:t xml:space="preserve"> (13 respondents)</w:t>
      </w:r>
      <w:r w:rsidRPr="001921D0">
        <w:rPr>
          <w:szCs w:val="22"/>
        </w:rPr>
        <w:t xml:space="preserve"> referred to the lack of political will to adopt measures as a challenge or limitations to adopt the necessary measures to implement the Protocol. </w:t>
      </w:r>
    </w:p>
    <w:p w14:paraId="5DCA50FF" w14:textId="65B49DD3" w:rsidR="00912BE7" w:rsidRPr="001921D0" w:rsidRDefault="00912BE7" w:rsidP="00B92761">
      <w:pPr>
        <w:pStyle w:val="Para10"/>
      </w:pPr>
      <w:r w:rsidRPr="001921D0">
        <w:t xml:space="preserve">Of the 102 </w:t>
      </w:r>
      <w:r w:rsidR="003F7355" w:rsidRPr="001921D0">
        <w:t xml:space="preserve">survey </w:t>
      </w:r>
      <w:r w:rsidRPr="001921D0">
        <w:t>respondents, 81</w:t>
      </w:r>
      <w:r w:rsidR="008A23B9" w:rsidRPr="001921D0">
        <w:t xml:space="preserve"> per cent</w:t>
      </w:r>
      <w:r w:rsidRPr="001921D0">
        <w:t xml:space="preserve"> indicated that they need</w:t>
      </w:r>
      <w:r w:rsidR="00F3290B" w:rsidRPr="001921D0">
        <w:t>ed</w:t>
      </w:r>
      <w:r w:rsidRPr="001921D0">
        <w:t xml:space="preserve"> support to address their challenges in adopting measures to implement the Protocol. Most respondents indicated to need funding (72</w:t>
      </w:r>
      <w:r w:rsidR="008A23B9" w:rsidRPr="001921D0">
        <w:t xml:space="preserve"> per cent</w:t>
      </w:r>
      <w:r w:rsidRPr="001921D0">
        <w:t xml:space="preserve"> of respondents), capacity-building activities (69</w:t>
      </w:r>
      <w:r w:rsidR="008A23B9" w:rsidRPr="001921D0">
        <w:t xml:space="preserve"> per cent</w:t>
      </w:r>
      <w:r w:rsidRPr="001921D0">
        <w:t>) and partnerships with countries in the region to learn from their experiences (58</w:t>
      </w:r>
      <w:r w:rsidR="008A23B9" w:rsidRPr="001921D0">
        <w:t xml:space="preserve"> per cent</w:t>
      </w:r>
      <w:r w:rsidRPr="001921D0">
        <w:t>). Capacity</w:t>
      </w:r>
      <w:r w:rsidR="00DA7DE4" w:rsidRPr="001921D0">
        <w:t>-</w:t>
      </w:r>
      <w:r w:rsidRPr="001921D0">
        <w:t>building materials and mobilizing political awareness were other types of support</w:t>
      </w:r>
      <w:r w:rsidR="00A12486" w:rsidRPr="001921D0">
        <w:t xml:space="preserve"> </w:t>
      </w:r>
      <w:r w:rsidR="00687653" w:rsidRPr="001921D0">
        <w:t xml:space="preserve">indicated as </w:t>
      </w:r>
      <w:r w:rsidR="00981BFF" w:rsidRPr="001921D0">
        <w:t>need</w:t>
      </w:r>
      <w:r w:rsidR="00687653" w:rsidRPr="001921D0">
        <w:t>s</w:t>
      </w:r>
      <w:r w:rsidR="00981BFF" w:rsidRPr="001921D0">
        <w:t xml:space="preserve"> by,</w:t>
      </w:r>
      <w:r w:rsidR="00A12486" w:rsidRPr="001921D0">
        <w:t xml:space="preserve"> </w:t>
      </w:r>
      <w:r w:rsidRPr="001921D0">
        <w:t>respectively, 53</w:t>
      </w:r>
      <w:r w:rsidR="008A23B9" w:rsidRPr="001921D0">
        <w:t xml:space="preserve"> per cent</w:t>
      </w:r>
      <w:r w:rsidRPr="001921D0">
        <w:t xml:space="preserve"> and 47</w:t>
      </w:r>
      <w:r w:rsidR="008A23B9" w:rsidRPr="001921D0">
        <w:t xml:space="preserve"> per cent</w:t>
      </w:r>
      <w:r w:rsidRPr="001921D0">
        <w:t xml:space="preserve"> of respondents. </w:t>
      </w:r>
    </w:p>
    <w:p w14:paraId="35922BCA" w14:textId="7F4E8C1F" w:rsidR="00912BE7" w:rsidRPr="001921D0" w:rsidRDefault="00912BE7" w:rsidP="00B92761">
      <w:pPr>
        <w:pStyle w:val="Para10"/>
      </w:pPr>
      <w:r w:rsidRPr="001921D0">
        <w:t xml:space="preserve">The </w:t>
      </w:r>
      <w:r w:rsidR="003F7355" w:rsidRPr="001921D0">
        <w:t xml:space="preserve">survey </w:t>
      </w:r>
      <w:r w:rsidRPr="001921D0">
        <w:t>respondents that indicated to require capacity-building (80) specified that capacity</w:t>
      </w:r>
      <w:r w:rsidR="009A0425" w:rsidRPr="001921D0">
        <w:noBreakHyphen/>
      </w:r>
      <w:r w:rsidRPr="001921D0">
        <w:t>building should focus on the following areas: awareness</w:t>
      </w:r>
      <w:r w:rsidR="008F0B30" w:rsidRPr="001921D0">
        <w:noBreakHyphen/>
      </w:r>
      <w:r w:rsidRPr="001921D0">
        <w:t>raising (84</w:t>
      </w:r>
      <w:r w:rsidR="008A23B9" w:rsidRPr="001921D0">
        <w:t xml:space="preserve"> per cent</w:t>
      </w:r>
      <w:r w:rsidRPr="001921D0">
        <w:t>); scientific understanding of living modified organisms (LMOs) (84</w:t>
      </w:r>
      <w:r w:rsidR="008A23B9" w:rsidRPr="001921D0">
        <w:t xml:space="preserve"> per cent</w:t>
      </w:r>
      <w:r w:rsidRPr="001921D0">
        <w:t>); development of legislation (69</w:t>
      </w:r>
      <w:r w:rsidR="00D71D9C" w:rsidRPr="001921D0">
        <w:t> </w:t>
      </w:r>
      <w:r w:rsidR="008A23B9" w:rsidRPr="001921D0">
        <w:t>per cent</w:t>
      </w:r>
      <w:r w:rsidRPr="001921D0">
        <w:t>); policy formulation (59</w:t>
      </w:r>
      <w:r w:rsidR="008A23B9" w:rsidRPr="001921D0">
        <w:t xml:space="preserve"> per cent</w:t>
      </w:r>
      <w:r w:rsidRPr="001921D0">
        <w:t>). Ten per cent of these respondents indicated to need capacity</w:t>
      </w:r>
      <w:r w:rsidR="008F0B30" w:rsidRPr="001921D0">
        <w:noBreakHyphen/>
      </w:r>
      <w:r w:rsidRPr="001921D0">
        <w:t xml:space="preserve">building in other areas, including: LMO detection methods, risk assessment of new LMOs, socioeconomic considerations and emerging biosafety issues. </w:t>
      </w:r>
    </w:p>
    <w:p w14:paraId="43A6C677" w14:textId="76695440" w:rsidR="00912BE7" w:rsidRPr="001921D0" w:rsidRDefault="003F7355" w:rsidP="00B92761">
      <w:pPr>
        <w:pStyle w:val="Para10"/>
      </w:pPr>
      <w:r w:rsidRPr="001921D0">
        <w:lastRenderedPageBreak/>
        <w:t>Survey r</w:t>
      </w:r>
      <w:r w:rsidR="00912BE7" w:rsidRPr="001921D0">
        <w:t>espondents furthermore provided information on the type of support they need</w:t>
      </w:r>
      <w:r w:rsidR="00D52653" w:rsidRPr="001921D0">
        <w:t>ed</w:t>
      </w:r>
      <w:r w:rsidR="00912BE7" w:rsidRPr="001921D0">
        <w:t xml:space="preserve"> from the Compliance Committee. The answers provided varied considerably but areas that were highlighted by multiple respondents include: capacity</w:t>
      </w:r>
      <w:r w:rsidR="009653D5" w:rsidRPr="001921D0">
        <w:t>-</w:t>
      </w:r>
      <w:r w:rsidR="00912BE7" w:rsidRPr="001921D0">
        <w:t>building (including on LMO identification, risk assessment, scientific understanding and the development of legislation); funding for the implementation of the Protocol; awareness</w:t>
      </w:r>
      <w:r w:rsidR="002A6286" w:rsidRPr="001921D0">
        <w:t>-</w:t>
      </w:r>
      <w:r w:rsidR="00912BE7" w:rsidRPr="001921D0">
        <w:t>raising; and exchange of experience with other countries in the region.</w:t>
      </w:r>
    </w:p>
    <w:p w14:paraId="70189427" w14:textId="2165A7A3" w:rsidR="00912BE7" w:rsidRPr="001921D0" w:rsidRDefault="003F7355" w:rsidP="00B92761">
      <w:pPr>
        <w:pStyle w:val="Para10"/>
      </w:pPr>
      <w:r w:rsidRPr="001921D0">
        <w:t>Survey r</w:t>
      </w:r>
      <w:r w:rsidR="00912BE7" w:rsidRPr="001921D0">
        <w:t xml:space="preserve">espondents were asked to provide any further information on challenges and limitations in adopting the necessary measures to implement the Protocol. Respondents indicated that financial resources, staff and training opportunities </w:t>
      </w:r>
      <w:r w:rsidR="00D52653" w:rsidRPr="001921D0">
        <w:t>were</w:t>
      </w:r>
      <w:r w:rsidR="00D52653" w:rsidRPr="001921D0">
        <w:t xml:space="preserve"> </w:t>
      </w:r>
      <w:r w:rsidR="00912BE7" w:rsidRPr="001921D0">
        <w:t xml:space="preserve">lacking and that there </w:t>
      </w:r>
      <w:r w:rsidR="00D52653" w:rsidRPr="001921D0">
        <w:t>was</w:t>
      </w:r>
      <w:r w:rsidR="00D52653" w:rsidRPr="001921D0">
        <w:t xml:space="preserve"> </w:t>
      </w:r>
      <w:r w:rsidR="00912BE7" w:rsidRPr="001921D0">
        <w:t xml:space="preserve">insufficient or no political will to adopt measures. Respondents also mentioned </w:t>
      </w:r>
      <w:r w:rsidR="008727FE" w:rsidRPr="001921D0">
        <w:t>several</w:t>
      </w:r>
      <w:r w:rsidR="00912BE7" w:rsidRPr="001921D0">
        <w:t xml:space="preserve"> challenges in relation to the development of legislation, including delays in adopting draft legislation and the lack of coordination among institutions. Respondents also mentioned that there </w:t>
      </w:r>
      <w:r w:rsidR="00D52653" w:rsidRPr="001921D0">
        <w:t>was</w:t>
      </w:r>
      <w:r w:rsidR="00D52653" w:rsidRPr="001921D0">
        <w:t xml:space="preserve"> </w:t>
      </w:r>
      <w:r w:rsidR="00912BE7" w:rsidRPr="001921D0">
        <w:t>limited awareness of and education in biosafety and this was a challenge both for decision</w:t>
      </w:r>
      <w:r w:rsidR="002A6286" w:rsidRPr="001921D0">
        <w:t xml:space="preserve"> </w:t>
      </w:r>
      <w:r w:rsidR="00912BE7" w:rsidRPr="001921D0">
        <w:t xml:space="preserve">makers and the general public. </w:t>
      </w:r>
    </w:p>
    <w:p w14:paraId="79F87C99" w14:textId="53DCCFF6" w:rsidR="00912BE7" w:rsidRPr="001921D0" w:rsidRDefault="00912BE7" w:rsidP="00B92761">
      <w:pPr>
        <w:pStyle w:val="Para10"/>
      </w:pPr>
      <w:r w:rsidRPr="001921D0">
        <w:t>The details of the survey are presented in annex I</w:t>
      </w:r>
      <w:r w:rsidR="009950F2" w:rsidRPr="001921D0">
        <w:t xml:space="preserve">, under </w:t>
      </w:r>
      <w:r w:rsidR="00BB7A3A" w:rsidRPr="001921D0">
        <w:t>Question</w:t>
      </w:r>
      <w:r w:rsidR="006A199F" w:rsidRPr="001921D0">
        <w:t>s</w:t>
      </w:r>
      <w:r w:rsidR="00BB7A3A" w:rsidRPr="001921D0">
        <w:t xml:space="preserve"> 5 to 7</w:t>
      </w:r>
      <w:r w:rsidRPr="001921D0">
        <w:t xml:space="preserve">. </w:t>
      </w:r>
    </w:p>
    <w:p w14:paraId="202B2B83" w14:textId="6D7BF038" w:rsidR="002A3127" w:rsidRPr="001921D0" w:rsidRDefault="002A3127" w:rsidP="002A3127">
      <w:pPr>
        <w:pStyle w:val="Heading2"/>
      </w:pPr>
      <w:r w:rsidRPr="001921D0">
        <w:t>D.</w:t>
      </w:r>
      <w:r w:rsidRPr="001921D0">
        <w:tab/>
      </w:r>
      <w:r w:rsidR="000B638A" w:rsidRPr="001921D0">
        <w:t>Risk assessment and risk management</w:t>
      </w:r>
    </w:p>
    <w:p w14:paraId="22C1F171" w14:textId="48061AEA" w:rsidR="0025089D" w:rsidRPr="001921D0" w:rsidRDefault="0025089D" w:rsidP="00B92761">
      <w:pPr>
        <w:pStyle w:val="Para10"/>
      </w:pPr>
      <w:r w:rsidRPr="001921D0">
        <w:rPr>
          <w:szCs w:val="22"/>
        </w:rPr>
        <w:t>In</w:t>
      </w:r>
      <w:r w:rsidRPr="001921D0">
        <w:t xml:space="preserve"> the context of the advance informed agreement procedure, Article 10</w:t>
      </w:r>
      <w:r w:rsidR="00FC2D15" w:rsidRPr="001921D0">
        <w:t xml:space="preserve">, paragraph </w:t>
      </w:r>
      <w:r w:rsidRPr="001921D0">
        <w:t>1</w:t>
      </w:r>
      <w:r w:rsidR="00FC2D15" w:rsidRPr="001921D0">
        <w:t>,</w:t>
      </w:r>
      <w:r w:rsidRPr="001921D0">
        <w:t xml:space="preserve"> of the Protocol </w:t>
      </w:r>
      <w:r w:rsidR="000D4266" w:rsidRPr="001921D0">
        <w:t>provides</w:t>
      </w:r>
      <w:r w:rsidR="000D4266" w:rsidRPr="001921D0">
        <w:t xml:space="preserve"> </w:t>
      </w:r>
      <w:r w:rsidRPr="001921D0">
        <w:t xml:space="preserve">that decisions taken by the Party of import </w:t>
      </w:r>
      <w:r w:rsidR="000D4266" w:rsidRPr="001921D0">
        <w:t>must</w:t>
      </w:r>
      <w:r w:rsidR="000D4266" w:rsidRPr="001921D0">
        <w:t xml:space="preserve"> </w:t>
      </w:r>
      <w:r w:rsidRPr="001921D0">
        <w:t>be in accordance with Article 15. Article 15</w:t>
      </w:r>
      <w:r w:rsidR="00CB6B25" w:rsidRPr="001921D0">
        <w:t xml:space="preserve">, paragraph </w:t>
      </w:r>
      <w:r w:rsidRPr="001921D0">
        <w:t>2</w:t>
      </w:r>
      <w:r w:rsidR="00CB6B25" w:rsidRPr="001921D0">
        <w:t>,</w:t>
      </w:r>
      <w:r w:rsidRPr="001921D0">
        <w:t xml:space="preserve"> </w:t>
      </w:r>
      <w:r w:rsidR="00CB6B25" w:rsidRPr="001921D0">
        <w:t>provides</w:t>
      </w:r>
      <w:r w:rsidR="00CB6B25" w:rsidRPr="001921D0">
        <w:t xml:space="preserve"> </w:t>
      </w:r>
      <w:r w:rsidRPr="001921D0">
        <w:t xml:space="preserve">that the Party of import </w:t>
      </w:r>
      <w:r w:rsidR="00CB6B25" w:rsidRPr="001921D0">
        <w:t>must</w:t>
      </w:r>
      <w:r w:rsidR="00CB6B25" w:rsidRPr="001921D0">
        <w:t xml:space="preserve"> </w:t>
      </w:r>
      <w:r w:rsidRPr="001921D0">
        <w:t xml:space="preserve">ensure that risk assessments are carried out for decisions taken under Article 10. It also </w:t>
      </w:r>
      <w:r w:rsidR="00F731B9" w:rsidRPr="001921D0">
        <w:t>provides</w:t>
      </w:r>
      <w:r w:rsidR="00F731B9" w:rsidRPr="001921D0">
        <w:t xml:space="preserve"> </w:t>
      </w:r>
      <w:r w:rsidRPr="001921D0">
        <w:t xml:space="preserve">that the Party of import may require the exporter to carry out the risk assessment. The Protocol </w:t>
      </w:r>
      <w:r w:rsidR="00F731B9" w:rsidRPr="001921D0">
        <w:t>provides</w:t>
      </w:r>
      <w:r w:rsidR="00F731B9" w:rsidRPr="001921D0">
        <w:t xml:space="preserve"> </w:t>
      </w:r>
      <w:r w:rsidRPr="001921D0">
        <w:t xml:space="preserve">that the Party of export or exporter </w:t>
      </w:r>
      <w:r w:rsidR="00C90457" w:rsidRPr="001921D0">
        <w:t xml:space="preserve">must </w:t>
      </w:r>
      <w:r w:rsidRPr="001921D0">
        <w:t>notify the competent national authority of the Party of import prior to the first intentional transboundary movement of an LMO for intentional introduction into the environment (Article 8</w:t>
      </w:r>
      <w:r w:rsidR="00992D01" w:rsidRPr="001921D0">
        <w:t xml:space="preserve"> </w:t>
      </w:r>
      <w:r w:rsidRPr="001921D0">
        <w:t xml:space="preserve">(1)). The notification must contain, as a minimum, the information specified in </w:t>
      </w:r>
      <w:r w:rsidR="008151CA" w:rsidRPr="001921D0">
        <w:t>a</w:t>
      </w:r>
      <w:r w:rsidRPr="001921D0">
        <w:t xml:space="preserve">nnex I to the Protocol, which includes, among others, a previous and existing risk assessment report consistent with </w:t>
      </w:r>
      <w:r w:rsidR="008151CA" w:rsidRPr="001921D0">
        <w:t>a</w:t>
      </w:r>
      <w:r w:rsidRPr="001921D0">
        <w:t xml:space="preserve">nnex III to the Protocol. </w:t>
      </w:r>
    </w:p>
    <w:p w14:paraId="055843D6" w14:textId="1AD277D1" w:rsidR="0025089D" w:rsidRPr="001921D0" w:rsidRDefault="0025089D" w:rsidP="00B92761">
      <w:pPr>
        <w:pStyle w:val="Para10"/>
      </w:pPr>
      <w:r w:rsidRPr="001921D0">
        <w:t>Furthermore, Article 11</w:t>
      </w:r>
      <w:r w:rsidR="00B428EB" w:rsidRPr="001921D0">
        <w:t xml:space="preserve">, paragraph </w:t>
      </w:r>
      <w:r w:rsidRPr="001921D0">
        <w:t>1</w:t>
      </w:r>
      <w:r w:rsidR="00B428EB" w:rsidRPr="001921D0">
        <w:t>,</w:t>
      </w:r>
      <w:r w:rsidRPr="001921D0">
        <w:t xml:space="preserve"> of the Protocol </w:t>
      </w:r>
      <w:r w:rsidR="00B428EB" w:rsidRPr="001921D0">
        <w:t>provides</w:t>
      </w:r>
      <w:r w:rsidR="00B428EB" w:rsidRPr="001921D0">
        <w:t xml:space="preserve"> </w:t>
      </w:r>
      <w:r w:rsidRPr="001921D0">
        <w:t xml:space="preserve">that a Party that makes a final decision regarding domestic use, including placing on the market, of an LMO intended for direct use as food or feed, or for processing (LMOs-FFP) that may be subject to transboundary movement, must inform other Parties through the Biosafety Clearing-House. The information must contain, at a minimum, the information specified in </w:t>
      </w:r>
      <w:r w:rsidR="00D93BA9" w:rsidRPr="001921D0">
        <w:t>a</w:t>
      </w:r>
      <w:r w:rsidRPr="001921D0">
        <w:t xml:space="preserve">nnex II </w:t>
      </w:r>
      <w:r w:rsidR="00CC35D3" w:rsidRPr="001921D0">
        <w:t>to</w:t>
      </w:r>
      <w:r w:rsidRPr="001921D0">
        <w:t xml:space="preserve"> the Protocol, which includes a risk assessment report. </w:t>
      </w:r>
    </w:p>
    <w:p w14:paraId="262F1CAB" w14:textId="58F34B79" w:rsidR="0025089D" w:rsidRPr="001921D0" w:rsidRDefault="0025089D" w:rsidP="00B92761">
      <w:pPr>
        <w:pStyle w:val="Para10"/>
      </w:pPr>
      <w:r w:rsidRPr="001921D0">
        <w:t>The Protocol, in Article 20</w:t>
      </w:r>
      <w:r w:rsidR="00D93BA9" w:rsidRPr="001921D0">
        <w:t xml:space="preserve">, paragraph </w:t>
      </w:r>
      <w:r w:rsidRPr="001921D0">
        <w:t>3</w:t>
      </w:r>
      <w:r w:rsidR="00735FD3" w:rsidRPr="001921D0">
        <w:t xml:space="preserve"> </w:t>
      </w:r>
      <w:r w:rsidRPr="001921D0">
        <w:t xml:space="preserve">(c), </w:t>
      </w:r>
      <w:r w:rsidR="00735FD3" w:rsidRPr="001921D0">
        <w:t>provides</w:t>
      </w:r>
      <w:r w:rsidR="00735FD3" w:rsidRPr="001921D0">
        <w:t xml:space="preserve"> </w:t>
      </w:r>
      <w:r w:rsidRPr="001921D0">
        <w:t xml:space="preserve">that Parties </w:t>
      </w:r>
      <w:r w:rsidR="007C0756" w:rsidRPr="001921D0">
        <w:t xml:space="preserve">must </w:t>
      </w:r>
      <w:r w:rsidRPr="001921D0">
        <w:t xml:space="preserve">make available to the Biosafety Clearing-House summaries of risk assessments associated with relevant decisions. </w:t>
      </w:r>
    </w:p>
    <w:p w14:paraId="786BA13D" w14:textId="4F74F8C9" w:rsidR="0025089D" w:rsidRPr="001921D0" w:rsidRDefault="0025089D" w:rsidP="00B92761">
      <w:pPr>
        <w:pStyle w:val="Para10"/>
      </w:pPr>
      <w:r w:rsidRPr="001921D0">
        <w:t>In relation to risk management, Article 16</w:t>
      </w:r>
      <w:r w:rsidR="007C0756" w:rsidRPr="001921D0">
        <w:t xml:space="preserve">, paragraph </w:t>
      </w:r>
      <w:r w:rsidRPr="001921D0">
        <w:t>1</w:t>
      </w:r>
      <w:r w:rsidR="007C0756" w:rsidRPr="001921D0">
        <w:t>,</w:t>
      </w:r>
      <w:r w:rsidRPr="001921D0">
        <w:t xml:space="preserve"> of the Protocol </w:t>
      </w:r>
      <w:r w:rsidR="007C0756" w:rsidRPr="001921D0">
        <w:t>provides</w:t>
      </w:r>
      <w:r w:rsidR="007C0756" w:rsidRPr="001921D0">
        <w:t xml:space="preserve"> </w:t>
      </w:r>
      <w:r w:rsidRPr="001921D0">
        <w:t xml:space="preserve">that Parties </w:t>
      </w:r>
      <w:r w:rsidR="007C0756" w:rsidRPr="001921D0">
        <w:t xml:space="preserve">must </w:t>
      </w:r>
      <w:r w:rsidRPr="001921D0">
        <w:t xml:space="preserve">establish and maintain appropriate mechanisms, measures and strategies to regulate, manage and control risks identified in the risk assessment provisions of the Protocol associated with the use, handling and transboundary movement of LMOs. Parties are </w:t>
      </w:r>
      <w:r w:rsidR="000F5F06" w:rsidRPr="001921D0">
        <w:t>also</w:t>
      </w:r>
      <w:r w:rsidR="000F5F06" w:rsidRPr="001921D0">
        <w:t xml:space="preserve"> </w:t>
      </w:r>
      <w:r w:rsidRPr="001921D0">
        <w:t xml:space="preserve">required to take appropriate measures to prevent unintentional transboundary movements of LMOs, including measures </w:t>
      </w:r>
      <w:r w:rsidR="00F878D0" w:rsidRPr="001921D0">
        <w:t xml:space="preserve">such </w:t>
      </w:r>
      <w:r w:rsidRPr="001921D0">
        <w:t>as requiring a risk assessment to be carried out prior to the first release of an LMO (Article 16</w:t>
      </w:r>
      <w:r w:rsidR="000F5F06" w:rsidRPr="001921D0">
        <w:t xml:space="preserve"> </w:t>
      </w:r>
      <w:r w:rsidRPr="001921D0">
        <w:t>(3)). Article 16</w:t>
      </w:r>
      <w:r w:rsidR="000F5F06" w:rsidRPr="001921D0">
        <w:t xml:space="preserve">, paragraph </w:t>
      </w:r>
      <w:r w:rsidRPr="001921D0">
        <w:t>4</w:t>
      </w:r>
      <w:r w:rsidR="000F5F06" w:rsidRPr="001921D0">
        <w:t>,</w:t>
      </w:r>
      <w:r w:rsidRPr="001921D0">
        <w:t xml:space="preserve"> provides that Parties must endeavour to ensure that any LMO has undergone an appropriate period of observation commensurate with its life</w:t>
      </w:r>
      <w:r w:rsidR="00D948D6" w:rsidRPr="001921D0">
        <w:t xml:space="preserve"> </w:t>
      </w:r>
      <w:r w:rsidRPr="001921D0">
        <w:t xml:space="preserve">cycle or generation time before it is put to its intended use. </w:t>
      </w:r>
    </w:p>
    <w:p w14:paraId="3C8696BA" w14:textId="4DC6B9D8" w:rsidR="00512ADB" w:rsidRPr="001921D0" w:rsidRDefault="00512ADB" w:rsidP="00B92761">
      <w:pPr>
        <w:pStyle w:val="Para10"/>
      </w:pPr>
      <w:r w:rsidRPr="001921D0">
        <w:t>Sixty-six Parties reported to have carried out risk assessments for decisions on LMOs.</w:t>
      </w:r>
      <w:r w:rsidR="00970C54" w:rsidRPr="001921D0">
        <w:rPr>
          <w:rStyle w:val="FootnoteReference"/>
        </w:rPr>
        <w:footnoteReference w:id="9"/>
      </w:r>
      <w:r w:rsidRPr="001921D0">
        <w:t xml:space="preserve"> Of these, 92</w:t>
      </w:r>
      <w:r w:rsidR="000A51B0" w:rsidRPr="001921D0">
        <w:t xml:space="preserve"> per cent</w:t>
      </w:r>
      <w:r w:rsidRPr="001921D0">
        <w:t xml:space="preserve"> reported that </w:t>
      </w:r>
      <w:r w:rsidR="002A1A36" w:rsidRPr="001921D0">
        <w:t xml:space="preserve">risk assessments </w:t>
      </w:r>
      <w:r w:rsidRPr="001921D0">
        <w:t xml:space="preserve">were </w:t>
      </w:r>
      <w:r w:rsidRPr="001921D0">
        <w:rPr>
          <w:i/>
          <w:iCs/>
        </w:rPr>
        <w:t>always</w:t>
      </w:r>
      <w:r w:rsidRPr="001921D0">
        <w:t xml:space="preserve"> conducted for </w:t>
      </w:r>
      <w:r w:rsidR="002A1A36" w:rsidRPr="001921D0">
        <w:t>decisions taken on LMOs for intentional introduction into the environment or on domestic use of LMOs that may be subject to transboundary movement for direct use as food or feed, or for processing</w:t>
      </w:r>
      <w:r w:rsidRPr="001921D0">
        <w:t>; 5</w:t>
      </w:r>
      <w:r w:rsidR="000A51B0" w:rsidRPr="001921D0">
        <w:t xml:space="preserve"> per cent</w:t>
      </w:r>
      <w:r w:rsidRPr="001921D0">
        <w:t xml:space="preserve"> reported that </w:t>
      </w:r>
      <w:r w:rsidR="001E326E" w:rsidRPr="001921D0">
        <w:lastRenderedPageBreak/>
        <w:t xml:space="preserve">risk assessments </w:t>
      </w:r>
      <w:r w:rsidRPr="001921D0">
        <w:t>were conducted in some cases only for these decisions; while 3</w:t>
      </w:r>
      <w:r w:rsidR="000A51B0" w:rsidRPr="001921D0">
        <w:t xml:space="preserve"> per cent</w:t>
      </w:r>
      <w:r w:rsidRPr="001921D0">
        <w:t xml:space="preserve"> reported not to have conducted </w:t>
      </w:r>
      <w:r w:rsidR="001E326E" w:rsidRPr="001921D0">
        <w:t xml:space="preserve">risk assessments </w:t>
      </w:r>
      <w:r w:rsidRPr="001921D0">
        <w:t>for these decisions.</w:t>
      </w:r>
      <w:r w:rsidR="007A7849" w:rsidRPr="001921D0">
        <w:rPr>
          <w:rStyle w:val="FootnoteReference"/>
        </w:rPr>
        <w:footnoteReference w:id="10"/>
      </w:r>
    </w:p>
    <w:p w14:paraId="3B27A663" w14:textId="6D9DDEC6" w:rsidR="0090162B" w:rsidRPr="001921D0" w:rsidRDefault="0090162B" w:rsidP="00B92761">
      <w:pPr>
        <w:pStyle w:val="Para10"/>
      </w:pPr>
      <w:r w:rsidRPr="001921D0">
        <w:t>In their fourth national reports,</w:t>
      </w:r>
      <w:r w:rsidR="001E326E" w:rsidRPr="001921D0">
        <w:t xml:space="preserve"> </w:t>
      </w:r>
      <w:r w:rsidRPr="001921D0">
        <w:t xml:space="preserve">87 per cent (118 Parties) </w:t>
      </w:r>
      <w:r w:rsidR="00252AB0" w:rsidRPr="001921D0">
        <w:t>o</w:t>
      </w:r>
      <w:r w:rsidR="00DF3246" w:rsidRPr="001921D0">
        <w:t xml:space="preserve">f the Parties </w:t>
      </w:r>
      <w:r w:rsidR="00252AB0" w:rsidRPr="001921D0">
        <w:t xml:space="preserve">responding to this question </w:t>
      </w:r>
      <w:r w:rsidR="00DF3246" w:rsidRPr="001921D0">
        <w:t>(</w:t>
      </w:r>
      <w:r w:rsidR="000E451A" w:rsidRPr="001921D0">
        <w:t xml:space="preserve">136 </w:t>
      </w:r>
      <w:r w:rsidR="00DF3246" w:rsidRPr="001921D0">
        <w:t xml:space="preserve">Parties), </w:t>
      </w:r>
      <w:r w:rsidRPr="001921D0">
        <w:t>reported that their domestic regulatory framework requires risk assessment of LMOs to be conducted.</w:t>
      </w:r>
      <w:r w:rsidRPr="001921D0">
        <w:rPr>
          <w:rStyle w:val="FootnoteReference"/>
        </w:rPr>
        <w:footnoteReference w:id="11"/>
      </w:r>
      <w:r w:rsidRPr="001921D0">
        <w:t xml:space="preserve"> Of these: </w:t>
      </w:r>
    </w:p>
    <w:p w14:paraId="7B26E526" w14:textId="59B9BDE8" w:rsidR="0090162B" w:rsidRPr="001921D0" w:rsidRDefault="0090162B" w:rsidP="00B92761">
      <w:pPr>
        <w:pStyle w:val="StylePara1Kernat11pt"/>
        <w:numPr>
          <w:ilvl w:val="0"/>
          <w:numId w:val="67"/>
        </w:numPr>
        <w:tabs>
          <w:tab w:val="left" w:pos="1701"/>
        </w:tabs>
        <w:ind w:left="567" w:firstLine="567"/>
      </w:pPr>
      <w:r w:rsidRPr="001921D0">
        <w:t xml:space="preserve">108 </w:t>
      </w:r>
      <w:r w:rsidR="003D4CFC" w:rsidRPr="001921D0">
        <w:t>Parties</w:t>
      </w:r>
      <w:r w:rsidRPr="001921D0">
        <w:t xml:space="preserve"> reported </w:t>
      </w:r>
      <w:r w:rsidRPr="001921D0">
        <w:rPr>
          <w:szCs w:val="22"/>
        </w:rPr>
        <w:t>that</w:t>
      </w:r>
      <w:r w:rsidRPr="001921D0">
        <w:t xml:space="preserve"> the requirement to conduct a risk assessment applies to imports of LMOs for intentional introduction into the environment; </w:t>
      </w:r>
    </w:p>
    <w:p w14:paraId="1E31E40F" w14:textId="12A31A72" w:rsidR="0090162B" w:rsidRPr="001921D0" w:rsidRDefault="0090162B" w:rsidP="00B92761">
      <w:pPr>
        <w:pStyle w:val="StylePara1Kernat11pt"/>
        <w:numPr>
          <w:ilvl w:val="0"/>
          <w:numId w:val="67"/>
        </w:numPr>
        <w:tabs>
          <w:tab w:val="left" w:pos="1701"/>
        </w:tabs>
        <w:ind w:left="567" w:firstLine="567"/>
      </w:pPr>
      <w:r w:rsidRPr="001921D0">
        <w:t xml:space="preserve">102 </w:t>
      </w:r>
      <w:r w:rsidR="003D4CFC" w:rsidRPr="001921D0">
        <w:rPr>
          <w:szCs w:val="22"/>
        </w:rPr>
        <w:t>Parties</w:t>
      </w:r>
      <w:r w:rsidRPr="001921D0">
        <w:t xml:space="preserve"> reported that it applies to imports of LMOs intended for direct use as food, feed, or for processing; </w:t>
      </w:r>
    </w:p>
    <w:p w14:paraId="7B06D3A9" w14:textId="55791BDF" w:rsidR="0090162B" w:rsidRPr="001921D0" w:rsidRDefault="0090162B" w:rsidP="00B92761">
      <w:pPr>
        <w:pStyle w:val="StylePara1Kernat11pt"/>
        <w:numPr>
          <w:ilvl w:val="0"/>
          <w:numId w:val="67"/>
        </w:numPr>
        <w:tabs>
          <w:tab w:val="left" w:pos="1701"/>
        </w:tabs>
        <w:ind w:left="567" w:firstLine="567"/>
      </w:pPr>
      <w:r w:rsidRPr="001921D0">
        <w:t xml:space="preserve">94 </w:t>
      </w:r>
      <w:r w:rsidR="003D4CFC" w:rsidRPr="001921D0">
        <w:rPr>
          <w:szCs w:val="22"/>
        </w:rPr>
        <w:t>Parties</w:t>
      </w:r>
      <w:r w:rsidRPr="001921D0">
        <w:t xml:space="preserve"> reported that it applies to decisions regarding domestic use, including placing on the market, of LMOs that may be subject to transboundary movements for direct use as food, feed, or for processing;</w:t>
      </w:r>
    </w:p>
    <w:p w14:paraId="4FF2EDC9" w14:textId="77777777" w:rsidR="0090162B" w:rsidRPr="001921D0" w:rsidRDefault="0090162B" w:rsidP="00B92761">
      <w:pPr>
        <w:pStyle w:val="StylePara1Kernat11pt"/>
        <w:numPr>
          <w:ilvl w:val="0"/>
          <w:numId w:val="67"/>
        </w:numPr>
        <w:tabs>
          <w:tab w:val="left" w:pos="1701"/>
        </w:tabs>
        <w:ind w:left="567" w:firstLine="567"/>
      </w:pPr>
      <w:r w:rsidRPr="001921D0">
        <w:t xml:space="preserve">97 </w:t>
      </w:r>
      <w:r w:rsidRPr="001921D0">
        <w:rPr>
          <w:szCs w:val="22"/>
        </w:rPr>
        <w:t>Parties</w:t>
      </w:r>
      <w:r w:rsidRPr="001921D0">
        <w:t xml:space="preserve"> reported that it applies to imports for LMOs for contained use.</w:t>
      </w:r>
      <w:r w:rsidRPr="001921D0">
        <w:rPr>
          <w:rStyle w:val="FootnoteReference"/>
        </w:rPr>
        <w:footnoteReference w:id="12"/>
      </w:r>
      <w:r w:rsidRPr="001921D0">
        <w:t xml:space="preserve"> </w:t>
      </w:r>
    </w:p>
    <w:p w14:paraId="4ABC88B3" w14:textId="63C31867" w:rsidR="0090162B" w:rsidRPr="001921D0" w:rsidRDefault="0090162B" w:rsidP="00B92761">
      <w:pPr>
        <w:pStyle w:val="Para10"/>
      </w:pPr>
      <w:r w:rsidRPr="001921D0">
        <w:t>Sixty-</w:t>
      </w:r>
      <w:r w:rsidR="001446EE" w:rsidRPr="001921D0">
        <w:t xml:space="preserve">five </w:t>
      </w:r>
      <w:r w:rsidRPr="001921D0">
        <w:t xml:space="preserve">per cent of Parties (89 Parties) reported that their country had established appropriate mechanisms, measures and strategies to regulate and manage risks identified in the risk assessment of LMOs, while </w:t>
      </w:r>
      <w:r w:rsidR="001446EE" w:rsidRPr="001921D0">
        <w:t xml:space="preserve">35 </w:t>
      </w:r>
      <w:r w:rsidRPr="001921D0">
        <w:t>per cent (</w:t>
      </w:r>
      <w:r w:rsidR="001446EE" w:rsidRPr="001921D0">
        <w:t xml:space="preserve">47 </w:t>
      </w:r>
      <w:r w:rsidRPr="001921D0">
        <w:t>Parties) reported not to have done so.</w:t>
      </w:r>
      <w:r w:rsidR="00E85708" w:rsidRPr="001921D0">
        <w:rPr>
          <w:rStyle w:val="FootnoteReference"/>
        </w:rPr>
        <w:footnoteReference w:id="13"/>
      </w:r>
      <w:r w:rsidRPr="001921D0">
        <w:t xml:space="preserve"> </w:t>
      </w:r>
    </w:p>
    <w:p w14:paraId="54DF2B59" w14:textId="639BD98D" w:rsidR="00E91973" w:rsidRPr="001921D0" w:rsidRDefault="00E91973" w:rsidP="00E91973">
      <w:pPr>
        <w:pStyle w:val="Heading2"/>
      </w:pPr>
      <w:r w:rsidRPr="001921D0">
        <w:t>E.</w:t>
      </w:r>
      <w:r w:rsidRPr="001921D0">
        <w:tab/>
        <w:t>Detection and identification</w:t>
      </w:r>
    </w:p>
    <w:p w14:paraId="221CC340" w14:textId="45BB26B9" w:rsidR="00047EB6" w:rsidRPr="001921D0" w:rsidRDefault="00047EB6" w:rsidP="00B92761">
      <w:pPr>
        <w:pStyle w:val="Para10"/>
      </w:pPr>
      <w:r w:rsidRPr="001921D0">
        <w:t>The Protocol addresses identification and detection mainly through Article 18, where it provides for documentation requirements for different categories of LMOs, which facilitate the identification of LMOs.</w:t>
      </w:r>
      <w:r w:rsidRPr="001921D0">
        <w:rPr>
          <w:rStyle w:val="FootnoteReference"/>
        </w:rPr>
        <w:footnoteReference w:id="14"/>
      </w:r>
      <w:r w:rsidRPr="001921D0">
        <w:t xml:space="preserve"> Through a series of decisions, the Conference of the Parties serving as the meeting of the Parties has further developed these documentation requirements.</w:t>
      </w:r>
      <w:r w:rsidRPr="001921D0">
        <w:rPr>
          <w:rStyle w:val="FootnoteReference"/>
        </w:rPr>
        <w:footnoteReference w:id="15"/>
      </w:r>
      <w:r w:rsidRPr="001921D0">
        <w:t xml:space="preserve"> The Committee reviewed compliance with identification requirements at its second meeting.</w:t>
      </w:r>
      <w:r w:rsidRPr="001921D0">
        <w:rPr>
          <w:rStyle w:val="FootnoteReference"/>
        </w:rPr>
        <w:footnoteReference w:id="16"/>
      </w:r>
      <w:r w:rsidRPr="001921D0">
        <w:t xml:space="preserve"> </w:t>
      </w:r>
    </w:p>
    <w:p w14:paraId="447B271F" w14:textId="4E8C1F87" w:rsidR="00047EB6" w:rsidRPr="001921D0" w:rsidRDefault="00047EB6" w:rsidP="00B92761">
      <w:pPr>
        <w:pStyle w:val="Para10"/>
      </w:pPr>
      <w:r w:rsidRPr="001921D0">
        <w:t>In their fourth national reports, Parties provided information on their implementation of the Protocol’s identification requirements. Of the responding Parties (13</w:t>
      </w:r>
      <w:r w:rsidR="00173F6A" w:rsidRPr="001921D0">
        <w:t>6</w:t>
      </w:r>
      <w:r w:rsidRPr="001921D0">
        <w:t>):</w:t>
      </w:r>
    </w:p>
    <w:p w14:paraId="4398A4EE" w14:textId="37C96671" w:rsidR="00047EB6" w:rsidRPr="001921D0" w:rsidRDefault="00047EB6" w:rsidP="00B92761">
      <w:pPr>
        <w:pStyle w:val="StylePara1Kernat11pt"/>
        <w:numPr>
          <w:ilvl w:val="1"/>
          <w:numId w:val="22"/>
        </w:numPr>
        <w:tabs>
          <w:tab w:val="clear" w:pos="1440"/>
          <w:tab w:val="num" w:pos="1701"/>
        </w:tabs>
        <w:spacing w:before="0"/>
        <w:ind w:left="567" w:firstLine="567"/>
      </w:pPr>
      <w:r w:rsidRPr="001921D0">
        <w:t xml:space="preserve">48 </w:t>
      </w:r>
      <w:r w:rsidRPr="001921D0">
        <w:rPr>
          <w:szCs w:val="22"/>
        </w:rPr>
        <w:t>per</w:t>
      </w:r>
      <w:r w:rsidRPr="001921D0">
        <w:t xml:space="preserve"> cent (65 Parties) reported having taken measures to require that documentation accompanying LMOs-FFP clearly states that, in cases where the identity of the LMOs </w:t>
      </w:r>
      <w:r w:rsidRPr="001921D0">
        <w:rPr>
          <w:i/>
          <w:iCs/>
        </w:rPr>
        <w:t>is not known</w:t>
      </w:r>
      <w:r w:rsidRPr="001921D0">
        <w:t xml:space="preserve">, they may contain LMOs and are not intended for intentional introduction into the environment, as well as a contact point for further information; </w:t>
      </w:r>
    </w:p>
    <w:p w14:paraId="51FC220A" w14:textId="200C5F86" w:rsidR="00047EB6" w:rsidRPr="001921D0" w:rsidRDefault="00CD5747" w:rsidP="00B92761">
      <w:pPr>
        <w:pStyle w:val="StylePara1Kernat11pt"/>
        <w:numPr>
          <w:ilvl w:val="1"/>
          <w:numId w:val="22"/>
        </w:numPr>
        <w:tabs>
          <w:tab w:val="clear" w:pos="1440"/>
          <w:tab w:val="num" w:pos="1701"/>
        </w:tabs>
        <w:spacing w:before="0"/>
        <w:ind w:left="567" w:firstLine="567"/>
      </w:pPr>
      <w:r w:rsidRPr="001921D0">
        <w:t xml:space="preserve">18 </w:t>
      </w:r>
      <w:r w:rsidR="00047EB6" w:rsidRPr="001921D0">
        <w:t xml:space="preserve">per </w:t>
      </w:r>
      <w:r w:rsidR="00047EB6" w:rsidRPr="001921D0">
        <w:rPr>
          <w:szCs w:val="22"/>
        </w:rPr>
        <w:t>cent</w:t>
      </w:r>
      <w:r w:rsidR="00047EB6" w:rsidRPr="001921D0">
        <w:t xml:space="preserve"> (</w:t>
      </w:r>
      <w:r w:rsidRPr="001921D0">
        <w:t xml:space="preserve">25 </w:t>
      </w:r>
      <w:r w:rsidR="00047EB6" w:rsidRPr="001921D0">
        <w:t xml:space="preserve">Parties) reported to have done so to some extent; </w:t>
      </w:r>
    </w:p>
    <w:p w14:paraId="50B2C2D5" w14:textId="0439A488" w:rsidR="00047EB6" w:rsidRPr="001921D0" w:rsidRDefault="00E77E33" w:rsidP="00B92761">
      <w:pPr>
        <w:pStyle w:val="StylePara1Kernat11pt"/>
        <w:numPr>
          <w:ilvl w:val="1"/>
          <w:numId w:val="22"/>
        </w:numPr>
        <w:tabs>
          <w:tab w:val="clear" w:pos="1440"/>
          <w:tab w:val="num" w:pos="1701"/>
        </w:tabs>
        <w:spacing w:before="0"/>
        <w:ind w:left="567" w:firstLine="567"/>
      </w:pPr>
      <w:r w:rsidRPr="001921D0">
        <w:t xml:space="preserve">34 </w:t>
      </w:r>
      <w:r w:rsidR="00047EB6" w:rsidRPr="001921D0">
        <w:t xml:space="preserve">per </w:t>
      </w:r>
      <w:r w:rsidR="00047EB6" w:rsidRPr="001921D0">
        <w:rPr>
          <w:szCs w:val="22"/>
        </w:rPr>
        <w:t>cent</w:t>
      </w:r>
      <w:r w:rsidR="00047EB6" w:rsidRPr="001921D0">
        <w:t xml:space="preserve"> (</w:t>
      </w:r>
      <w:r w:rsidRPr="001921D0">
        <w:t xml:space="preserve">46 </w:t>
      </w:r>
      <w:r w:rsidR="00047EB6" w:rsidRPr="001921D0">
        <w:t>Parties) reported not to have done so.</w:t>
      </w:r>
      <w:r w:rsidR="00047EB6" w:rsidRPr="001921D0">
        <w:rPr>
          <w:rStyle w:val="FootnoteReference"/>
        </w:rPr>
        <w:footnoteReference w:id="17"/>
      </w:r>
    </w:p>
    <w:p w14:paraId="74E9401D" w14:textId="32699733" w:rsidR="00047EB6" w:rsidRPr="001921D0" w:rsidRDefault="00047EB6" w:rsidP="00B92761">
      <w:pPr>
        <w:pStyle w:val="Para10"/>
      </w:pPr>
      <w:r w:rsidRPr="001921D0">
        <w:t>Furthermore, of the responding Parties (</w:t>
      </w:r>
      <w:r w:rsidR="00CA2516" w:rsidRPr="001921D0">
        <w:t>136</w:t>
      </w:r>
      <w:r w:rsidRPr="001921D0">
        <w:t xml:space="preserve">): </w:t>
      </w:r>
    </w:p>
    <w:p w14:paraId="334D9777" w14:textId="222F2696" w:rsidR="00047EB6" w:rsidRPr="001921D0" w:rsidRDefault="00E60BF4" w:rsidP="00B92761">
      <w:pPr>
        <w:pStyle w:val="StylePara1Kernat11pt"/>
        <w:numPr>
          <w:ilvl w:val="1"/>
          <w:numId w:val="66"/>
        </w:numPr>
        <w:tabs>
          <w:tab w:val="clear" w:pos="1440"/>
          <w:tab w:val="num" w:pos="1701"/>
        </w:tabs>
        <w:ind w:left="567" w:firstLine="567"/>
      </w:pPr>
      <w:r w:rsidRPr="001921D0">
        <w:t xml:space="preserve">55 </w:t>
      </w:r>
      <w:r w:rsidR="00047EB6" w:rsidRPr="001921D0">
        <w:t xml:space="preserve">per cent (75 Parties) reported having taken measures to require that documentation accompanying LMOs-FFP clearly states that, in cases where the identity of the LMOs </w:t>
      </w:r>
      <w:r w:rsidR="00047EB6" w:rsidRPr="001921D0">
        <w:rPr>
          <w:i/>
          <w:iCs/>
        </w:rPr>
        <w:t>is known</w:t>
      </w:r>
      <w:r w:rsidR="00047EB6" w:rsidRPr="001921D0">
        <w:t>, they contain LMOs and are not intended for intentional introduction into the environment, as well as a contact point for further information;</w:t>
      </w:r>
    </w:p>
    <w:p w14:paraId="42B87EAE" w14:textId="2E2D6220" w:rsidR="00047EB6" w:rsidRPr="001921D0" w:rsidRDefault="00E60BF4" w:rsidP="00B92761">
      <w:pPr>
        <w:pStyle w:val="StylePara1Kernat11pt"/>
        <w:numPr>
          <w:ilvl w:val="1"/>
          <w:numId w:val="22"/>
        </w:numPr>
        <w:tabs>
          <w:tab w:val="clear" w:pos="1440"/>
          <w:tab w:val="num" w:pos="1701"/>
        </w:tabs>
        <w:spacing w:before="0"/>
        <w:ind w:left="567" w:firstLine="567"/>
      </w:pPr>
      <w:r w:rsidRPr="001921D0">
        <w:t xml:space="preserve">18 </w:t>
      </w:r>
      <w:r w:rsidR="00047EB6" w:rsidRPr="001921D0">
        <w:t xml:space="preserve">per cent (25 Parties) reported to have done so to some extent; </w:t>
      </w:r>
    </w:p>
    <w:p w14:paraId="3AE0B9DE" w14:textId="1E1A282A" w:rsidR="00047EB6" w:rsidRPr="001921D0" w:rsidRDefault="00047EB6" w:rsidP="00B92761">
      <w:pPr>
        <w:pStyle w:val="StylePara1Kernat11pt"/>
        <w:numPr>
          <w:ilvl w:val="1"/>
          <w:numId w:val="22"/>
        </w:numPr>
        <w:tabs>
          <w:tab w:val="clear" w:pos="1440"/>
          <w:tab w:val="num" w:pos="1701"/>
        </w:tabs>
        <w:spacing w:before="0"/>
        <w:ind w:left="567" w:firstLine="567"/>
      </w:pPr>
      <w:r w:rsidRPr="001921D0">
        <w:lastRenderedPageBreak/>
        <w:t>26 per cent (</w:t>
      </w:r>
      <w:r w:rsidR="00E60BF4" w:rsidRPr="001921D0">
        <w:t xml:space="preserve">36 </w:t>
      </w:r>
      <w:r w:rsidRPr="001921D0">
        <w:t>Parties) reported not to have done so.</w:t>
      </w:r>
      <w:r w:rsidRPr="001921D0">
        <w:rPr>
          <w:rStyle w:val="FootnoteReference"/>
        </w:rPr>
        <w:footnoteReference w:id="18"/>
      </w:r>
    </w:p>
    <w:p w14:paraId="5A475FA0" w14:textId="4FA50203" w:rsidR="00047EB6" w:rsidRPr="001921D0" w:rsidRDefault="00047EB6" w:rsidP="00B92761">
      <w:pPr>
        <w:pStyle w:val="Para10"/>
      </w:pPr>
      <w:r w:rsidRPr="001921D0">
        <w:t>Of the responding Parties (</w:t>
      </w:r>
      <w:r w:rsidR="00D32FFA" w:rsidRPr="001921D0">
        <w:t>136</w:t>
      </w:r>
      <w:r w:rsidRPr="001921D0">
        <w:t xml:space="preserve">), </w:t>
      </w:r>
      <w:r w:rsidR="00747853" w:rsidRPr="001921D0">
        <w:t xml:space="preserve">57 </w:t>
      </w:r>
      <w:r w:rsidRPr="001921D0">
        <w:t>per cent (78 Parties) reported having taken measures to require that documentation accompanying LMOs that are destined for contained use clearly identifies them as LMOs and specifies any requirements for the safe handling, storage, transport and use, the contact point for further information, including the name and address of the individual and institution to whom the LMOs are consigned. Of the responding Parties, 13 per cent (17 Parties) reported to have done so to some extent, while 30 per cent (</w:t>
      </w:r>
      <w:r w:rsidR="00747853" w:rsidRPr="001921D0">
        <w:t xml:space="preserve">41 </w:t>
      </w:r>
      <w:r w:rsidRPr="001921D0">
        <w:t>Parties) reported not to have done so.</w:t>
      </w:r>
      <w:r w:rsidRPr="001921D0">
        <w:rPr>
          <w:rStyle w:val="FootnoteReference"/>
        </w:rPr>
        <w:footnoteReference w:id="19"/>
      </w:r>
    </w:p>
    <w:p w14:paraId="7F2C5F21" w14:textId="1363B6D3" w:rsidR="00047EB6" w:rsidRPr="001921D0" w:rsidRDefault="00047EB6" w:rsidP="00B92761">
      <w:pPr>
        <w:pStyle w:val="Para10"/>
      </w:pPr>
      <w:r w:rsidRPr="001921D0">
        <w:t xml:space="preserve">When asked whether they have taken measures to require that documentation accompanying LMOs that are intended for intentional introduction into the environment of the Party of import clearly identifies them as LMOs; specifies the identity and relevant traits and/or characteristics, any requirements for the safe handling, storage, transport and use, the contact point for further information and, as appropriate, the name and address of the importer and exporter; and contains a declaration that the movement is in conformity with the requirements of this Protocol applicable to the exporter – </w:t>
      </w:r>
      <w:r w:rsidR="000C53DE" w:rsidRPr="001921D0">
        <w:t xml:space="preserve">57 </w:t>
      </w:r>
      <w:r w:rsidRPr="001921D0">
        <w:t xml:space="preserve">per cent of the responding Parties (78 of </w:t>
      </w:r>
      <w:r w:rsidR="00D1162F" w:rsidRPr="001921D0">
        <w:t xml:space="preserve">136 </w:t>
      </w:r>
      <w:r w:rsidRPr="001921D0">
        <w:t xml:space="preserve">Parties) reported having taken such measures; 14 per cent (19 Parties) reported having done so to some extent, while </w:t>
      </w:r>
      <w:r w:rsidR="000C53DE" w:rsidRPr="001921D0">
        <w:t xml:space="preserve">29 </w:t>
      </w:r>
      <w:r w:rsidRPr="001921D0">
        <w:t>per cent (</w:t>
      </w:r>
      <w:r w:rsidR="000C53DE" w:rsidRPr="001921D0">
        <w:t xml:space="preserve">39 </w:t>
      </w:r>
      <w:r w:rsidRPr="001921D0">
        <w:t>Parties) reported not having done so.</w:t>
      </w:r>
      <w:r w:rsidRPr="001921D0">
        <w:rPr>
          <w:rStyle w:val="FootnoteReference"/>
        </w:rPr>
        <w:footnoteReference w:id="20"/>
      </w:r>
    </w:p>
    <w:p w14:paraId="36727421" w14:textId="778D46F8" w:rsidR="00D171DE" w:rsidRPr="001921D0" w:rsidRDefault="00D171DE" w:rsidP="00D171DE">
      <w:pPr>
        <w:pStyle w:val="Heading2"/>
      </w:pPr>
      <w:r w:rsidRPr="001921D0">
        <w:t>F.</w:t>
      </w:r>
      <w:r w:rsidRPr="001921D0">
        <w:tab/>
      </w:r>
      <w:r w:rsidR="00ED69A9" w:rsidRPr="001921D0">
        <w:t xml:space="preserve">Public awareness, education </w:t>
      </w:r>
      <w:r w:rsidR="002D7524" w:rsidRPr="001921D0">
        <w:t>and participation</w:t>
      </w:r>
    </w:p>
    <w:p w14:paraId="53E24929" w14:textId="0AD6AEAF" w:rsidR="005C6228" w:rsidRPr="001921D0" w:rsidRDefault="005C6228" w:rsidP="00B92761">
      <w:pPr>
        <w:pStyle w:val="Para10"/>
        <w:rPr>
          <w:szCs w:val="22"/>
        </w:rPr>
      </w:pPr>
      <w:r w:rsidRPr="001921D0">
        <w:t>The Protocol requires Parties to promote and facilitate public awareness, education and participation concerning the safe transfer, handling and use of LMOs in relation to the conservation and sustainable use of biological diversity (Article 23</w:t>
      </w:r>
      <w:r w:rsidR="002528E5" w:rsidRPr="001921D0">
        <w:t xml:space="preserve"> </w:t>
      </w:r>
      <w:r w:rsidRPr="001921D0">
        <w:t xml:space="preserve">(1)(a)). Paragraph 2 of Article 23 requires Parties to consult the public in the decision-making process regarding LMOs, in accordance with their respective laws and regulations, and to make the results of such decisions available to the public. In addition, Article 23 contains a number of exhortative provisions, including requiring Parties to endeavour to ensure that public awareness and education encompass access to information and to endeavour to inform the public about the means of public access to the Biosafety Clearing-House. </w:t>
      </w:r>
    </w:p>
    <w:p w14:paraId="2B1D9D49" w14:textId="30DC7DB4" w:rsidR="005C6228" w:rsidRPr="001921D0" w:rsidRDefault="005C6228" w:rsidP="00B92761">
      <w:pPr>
        <w:pStyle w:val="Para10"/>
        <w:rPr>
          <w:szCs w:val="22"/>
        </w:rPr>
      </w:pPr>
      <w:r w:rsidRPr="001921D0">
        <w:t>The Committee reviewed issues related to public awareness, education and participation in the past;</w:t>
      </w:r>
      <w:r w:rsidRPr="001921D0">
        <w:rPr>
          <w:rStyle w:val="FootnoteReference"/>
        </w:rPr>
        <w:footnoteReference w:id="21"/>
      </w:r>
      <w:r w:rsidRPr="001921D0">
        <w:t xml:space="preserve"> however, </w:t>
      </w:r>
      <w:r w:rsidR="00C740D3" w:rsidRPr="001921D0">
        <w:t xml:space="preserve">owing </w:t>
      </w:r>
      <w:r w:rsidR="00962BF5" w:rsidRPr="001921D0">
        <w:t xml:space="preserve">to </w:t>
      </w:r>
      <w:r w:rsidRPr="001921D0">
        <w:t>the largely conditional or exhortative nature of the provisions in Article</w:t>
      </w:r>
      <w:r w:rsidR="0001374E" w:rsidRPr="001921D0">
        <w:t> </w:t>
      </w:r>
      <w:r w:rsidRPr="001921D0">
        <w:t>23</w:t>
      </w:r>
      <w:r w:rsidR="00962BF5" w:rsidRPr="001921D0">
        <w:t>, the Committee has not focused on reviewing</w:t>
      </w:r>
      <w:r w:rsidRPr="001921D0">
        <w:t xml:space="preserve"> compliance </w:t>
      </w:r>
      <w:r w:rsidR="00B740BC" w:rsidRPr="001921D0">
        <w:t>by Parties with Article 23</w:t>
      </w:r>
      <w:r w:rsidR="0001374E" w:rsidRPr="001921D0">
        <w:t>,</w:t>
      </w:r>
      <w:r w:rsidR="00B740BC" w:rsidRPr="001921D0">
        <w:t xml:space="preserve"> but rather considered public awareness</w:t>
      </w:r>
      <w:r w:rsidR="009070F0" w:rsidRPr="001921D0">
        <w:t>, education and participation as elements that can contribute to compliance with other provisions of the Protocol</w:t>
      </w:r>
      <w:r w:rsidRPr="001921D0">
        <w:t>.</w:t>
      </w:r>
      <w:r w:rsidRPr="001921D0" w:rsidDel="006D6567">
        <w:rPr>
          <w:rStyle w:val="FootnoteReference"/>
        </w:rPr>
        <w:t xml:space="preserve"> </w:t>
      </w:r>
      <w:r w:rsidR="004456BE" w:rsidRPr="001921D0">
        <w:t xml:space="preserve"> </w:t>
      </w:r>
    </w:p>
    <w:p w14:paraId="3929C1A2" w14:textId="2B5F66B3" w:rsidR="007158FC" w:rsidRPr="001921D0" w:rsidRDefault="007158FC" w:rsidP="00B92761">
      <w:pPr>
        <w:pStyle w:val="Para10"/>
        <w:rPr>
          <w:szCs w:val="22"/>
        </w:rPr>
      </w:pPr>
      <w:r w:rsidRPr="001921D0">
        <w:t xml:space="preserve">In their fourth national reports, of the </w:t>
      </w:r>
      <w:r w:rsidR="00B54E66" w:rsidRPr="001921D0">
        <w:t xml:space="preserve">reporting </w:t>
      </w:r>
      <w:r w:rsidRPr="001921D0">
        <w:t xml:space="preserve">Parties, </w:t>
      </w:r>
      <w:r w:rsidR="00E9376C" w:rsidRPr="001921D0">
        <w:t xml:space="preserve">59 </w:t>
      </w:r>
      <w:r w:rsidRPr="001921D0">
        <w:t>per cent (80 Parties) reported that biosafety public awareness, education and/or participation is addressed in legislation or policy in their country. Twenty-</w:t>
      </w:r>
      <w:r w:rsidR="00E9376C" w:rsidRPr="001921D0">
        <w:t xml:space="preserve">nine </w:t>
      </w:r>
      <w:r w:rsidRPr="001921D0">
        <w:t>per</w:t>
      </w:r>
      <w:r w:rsidR="00C740D3" w:rsidRPr="001921D0">
        <w:t xml:space="preserve"> </w:t>
      </w:r>
      <w:r w:rsidRPr="001921D0">
        <w:t>cent (</w:t>
      </w:r>
      <w:r w:rsidR="00E9376C" w:rsidRPr="001921D0">
        <w:t xml:space="preserve">39 </w:t>
      </w:r>
      <w:r w:rsidRPr="001921D0">
        <w:t>Parties) reported that this was the case to some extent, while 12 per cent (16 Parties) reported that this was not the case.</w:t>
      </w:r>
      <w:r w:rsidR="00B12BEF" w:rsidRPr="001921D0">
        <w:rPr>
          <w:rStyle w:val="FootnoteReference"/>
        </w:rPr>
        <w:footnoteReference w:id="22"/>
      </w:r>
      <w:r w:rsidRPr="001921D0">
        <w:t xml:space="preserve"> </w:t>
      </w:r>
    </w:p>
    <w:p w14:paraId="11F62D49" w14:textId="12538659" w:rsidR="007158FC" w:rsidRPr="001921D0" w:rsidRDefault="007158FC" w:rsidP="00B92761">
      <w:pPr>
        <w:pStyle w:val="Para10"/>
        <w:rPr>
          <w:szCs w:val="22"/>
        </w:rPr>
      </w:pPr>
      <w:r w:rsidRPr="001921D0">
        <w:t>Of the reporting Parties, 53 per cent (</w:t>
      </w:r>
      <w:r w:rsidR="00454C27" w:rsidRPr="001921D0">
        <w:t xml:space="preserve">72 </w:t>
      </w:r>
      <w:r w:rsidRPr="001921D0">
        <w:t xml:space="preserve">Parties) reported that a mechanism had been established to ensure public access to information. Twenty-five per cent </w:t>
      </w:r>
      <w:r w:rsidR="00454C27" w:rsidRPr="001921D0">
        <w:t xml:space="preserve">(34 Parties) </w:t>
      </w:r>
      <w:r w:rsidRPr="001921D0">
        <w:t>reported that such a mechanism had been established to some extent, while 22 per cent (30 Parties) reported that no such mechanism had been established.</w:t>
      </w:r>
      <w:r w:rsidR="00356B12" w:rsidRPr="001921D0">
        <w:rPr>
          <w:rStyle w:val="FootnoteReference"/>
        </w:rPr>
        <w:footnoteReference w:id="23"/>
      </w:r>
      <w:r w:rsidRPr="001921D0">
        <w:t xml:space="preserve"> </w:t>
      </w:r>
    </w:p>
    <w:p w14:paraId="2C33FD4C" w14:textId="5B702FBA" w:rsidR="007158FC" w:rsidRPr="001921D0" w:rsidRDefault="007158FC" w:rsidP="00B92761">
      <w:pPr>
        <w:pStyle w:val="Para10"/>
      </w:pPr>
      <w:r w:rsidRPr="001921D0">
        <w:t xml:space="preserve">Of the reporting Parties, </w:t>
      </w:r>
      <w:r w:rsidR="0010660D" w:rsidRPr="001921D0">
        <w:t xml:space="preserve">54 </w:t>
      </w:r>
      <w:r w:rsidRPr="001921D0">
        <w:t>per cent (</w:t>
      </w:r>
      <w:r w:rsidR="0010660D" w:rsidRPr="001921D0">
        <w:t xml:space="preserve">73 </w:t>
      </w:r>
      <w:r w:rsidRPr="001921D0">
        <w:t xml:space="preserve">Parties) reported having established a mechanism to consult the public in the decision-making process regarding LMOs, while 18 per cent (24 Parties) </w:t>
      </w:r>
      <w:r w:rsidRPr="001921D0">
        <w:lastRenderedPageBreak/>
        <w:t>reported to have done so to some extent, and 29 per cent (39 Parties) reported that no such mechanism had been established.</w:t>
      </w:r>
      <w:r w:rsidR="00CA7F4C" w:rsidRPr="001921D0">
        <w:rPr>
          <w:rStyle w:val="FootnoteReference"/>
          <w:szCs w:val="22"/>
        </w:rPr>
        <w:footnoteReference w:id="24"/>
      </w:r>
      <w:r w:rsidRPr="001921D0">
        <w:t xml:space="preserve"> </w:t>
      </w:r>
    </w:p>
    <w:p w14:paraId="411F0C43" w14:textId="7B81C11B" w:rsidR="0090380B" w:rsidRPr="001921D0" w:rsidRDefault="007158FC" w:rsidP="00B92761">
      <w:pPr>
        <w:pStyle w:val="Para10"/>
      </w:pPr>
      <w:r w:rsidRPr="001921D0">
        <w:t xml:space="preserve">Of the reporting Parties, </w:t>
      </w:r>
      <w:r w:rsidR="00897820" w:rsidRPr="001921D0">
        <w:t xml:space="preserve">65 </w:t>
      </w:r>
      <w:r w:rsidRPr="001921D0">
        <w:t>per cent (</w:t>
      </w:r>
      <w:r w:rsidR="00897820" w:rsidRPr="001921D0">
        <w:t xml:space="preserve">88 </w:t>
      </w:r>
      <w:r w:rsidRPr="001921D0">
        <w:t xml:space="preserve">Parties) reported having informed the public about the means to access the Biosafety Clearing-House, while </w:t>
      </w:r>
      <w:r w:rsidR="00897820" w:rsidRPr="001921D0">
        <w:t xml:space="preserve">35 </w:t>
      </w:r>
      <w:r w:rsidRPr="001921D0">
        <w:t>per cent (48 Parties) reported not having done so.</w:t>
      </w:r>
      <w:r w:rsidR="00CA7F4C" w:rsidRPr="001921D0">
        <w:rPr>
          <w:rStyle w:val="FootnoteReference"/>
          <w:szCs w:val="22"/>
        </w:rPr>
        <w:footnoteReference w:id="25"/>
      </w:r>
      <w:r w:rsidRPr="001921D0">
        <w:t xml:space="preserve"> </w:t>
      </w:r>
    </w:p>
    <w:p w14:paraId="69579E3E" w14:textId="5A7227C5" w:rsidR="00285A4A" w:rsidRPr="001921D0" w:rsidRDefault="002F34C4" w:rsidP="00285A4A">
      <w:pPr>
        <w:pStyle w:val="Heading1"/>
      </w:pPr>
      <w:r w:rsidRPr="001921D0">
        <w:t xml:space="preserve">Suggestions for the consideration of the </w:t>
      </w:r>
      <w:r w:rsidR="00803B61" w:rsidRPr="001921D0">
        <w:t xml:space="preserve">Compliance </w:t>
      </w:r>
      <w:r w:rsidRPr="001921D0">
        <w:t>Committee</w:t>
      </w:r>
    </w:p>
    <w:p w14:paraId="5DA65D00" w14:textId="3257D2EE" w:rsidR="00E834B0" w:rsidRPr="001921D0" w:rsidRDefault="00E834B0" w:rsidP="00B92761">
      <w:pPr>
        <w:pStyle w:val="Para10"/>
      </w:pPr>
      <w:r w:rsidRPr="001921D0">
        <w:t xml:space="preserve">The information presented above shows that the vast majority of Parties implement at least to some extent their obligations in the priority areas identified by the Conference of the Parties serving as the meeting of the Parties. </w:t>
      </w:r>
    </w:p>
    <w:p w14:paraId="524AB33F" w14:textId="15CF418D" w:rsidR="00E834B0" w:rsidRPr="001921D0" w:rsidRDefault="00E834B0" w:rsidP="00B92761">
      <w:pPr>
        <w:pStyle w:val="Para10"/>
      </w:pPr>
      <w:r w:rsidRPr="001921D0">
        <w:t>The survey</w:t>
      </w:r>
      <w:r w:rsidR="005143DA" w:rsidRPr="001921D0">
        <w:t xml:space="preserve"> </w:t>
      </w:r>
      <w:r w:rsidR="00EA443B" w:rsidRPr="001921D0">
        <w:t xml:space="preserve">identified </w:t>
      </w:r>
      <w:r w:rsidRPr="001921D0">
        <w:t>that Parties face a range of challenges</w:t>
      </w:r>
      <w:r w:rsidR="005143DA" w:rsidRPr="001921D0">
        <w:t xml:space="preserve"> in fulfilling the obligation to take the necessary legal, administrative and other measures to implement the Protocol</w:t>
      </w:r>
      <w:r w:rsidRPr="001921D0">
        <w:t xml:space="preserve">, in particular lack of financial </w:t>
      </w:r>
      <w:r w:rsidR="00317E4B" w:rsidRPr="001921D0">
        <w:t xml:space="preserve">resources </w:t>
      </w:r>
      <w:r w:rsidR="00A237C3" w:rsidRPr="001921D0">
        <w:t xml:space="preserve">and qualified human </w:t>
      </w:r>
      <w:r w:rsidRPr="001921D0">
        <w:t>resources</w:t>
      </w:r>
      <w:r w:rsidR="00A237C3" w:rsidRPr="001921D0">
        <w:t xml:space="preserve"> and</w:t>
      </w:r>
      <w:r w:rsidRPr="001921D0">
        <w:t xml:space="preserve"> awareness on biosafety. </w:t>
      </w:r>
    </w:p>
    <w:p w14:paraId="16CB6775" w14:textId="4B128BEC" w:rsidR="00E834B0" w:rsidRPr="001921D0" w:rsidRDefault="00E834B0" w:rsidP="00B92761">
      <w:pPr>
        <w:pStyle w:val="Para10"/>
      </w:pPr>
      <w:r w:rsidRPr="001921D0">
        <w:t>Parties indicate that they need funding and capacity-building activities, as well as partnerships with countries in the region, among others, to address these challenges. The areas in which Parties indicate needing capacity-building include awareness</w:t>
      </w:r>
      <w:r w:rsidR="00812B87" w:rsidRPr="001921D0">
        <w:t>-</w:t>
      </w:r>
      <w:r w:rsidRPr="001921D0">
        <w:t xml:space="preserve">raising on biosafety, scientific understanding of LMOs, and development of legislation and policies. </w:t>
      </w:r>
    </w:p>
    <w:p w14:paraId="144CB8BE" w14:textId="2E4C131C" w:rsidR="00E834B0" w:rsidRPr="001921D0" w:rsidRDefault="00E834B0" w:rsidP="00B92761">
      <w:pPr>
        <w:pStyle w:val="Para10"/>
      </w:pPr>
      <w:r w:rsidRPr="001921D0">
        <w:t xml:space="preserve">In relation to the timely submission of national reports, the survey showed that </w:t>
      </w:r>
      <w:r w:rsidR="00EF135E" w:rsidRPr="001921D0">
        <w:t xml:space="preserve">lack </w:t>
      </w:r>
      <w:r w:rsidRPr="001921D0">
        <w:t>of financial support</w:t>
      </w:r>
      <w:r w:rsidR="00812B87" w:rsidRPr="001921D0">
        <w:t>,</w:t>
      </w:r>
      <w:r w:rsidR="00B70818" w:rsidRPr="001921D0">
        <w:t xml:space="preserve"> as well as lack of timely access to financial support</w:t>
      </w:r>
      <w:r w:rsidRPr="001921D0">
        <w:t xml:space="preserve"> for the preparation of national reports </w:t>
      </w:r>
      <w:r w:rsidR="006443E5" w:rsidRPr="001921D0">
        <w:t>are</w:t>
      </w:r>
      <w:r w:rsidRPr="001921D0">
        <w:t xml:space="preserve"> challenge</w:t>
      </w:r>
      <w:r w:rsidR="006443E5" w:rsidRPr="001921D0">
        <w:t>s</w:t>
      </w:r>
      <w:r w:rsidRPr="001921D0">
        <w:t>, as well as the lack of data gathering mechanism</w:t>
      </w:r>
      <w:r w:rsidR="003712A4" w:rsidRPr="001921D0">
        <w:t>s</w:t>
      </w:r>
      <w:r w:rsidRPr="001921D0">
        <w:t xml:space="preserve"> and human resources.</w:t>
      </w:r>
    </w:p>
    <w:p w14:paraId="5E57FE34" w14:textId="04F74BEE" w:rsidR="00E834B0" w:rsidRPr="001921D0" w:rsidRDefault="00E834B0" w:rsidP="00B92761">
      <w:pPr>
        <w:pStyle w:val="Para10"/>
      </w:pPr>
      <w:r w:rsidRPr="001921D0">
        <w:t xml:space="preserve">While it may not be possible for the Committee to provide direct support to Parties </w:t>
      </w:r>
      <w:r w:rsidR="002C7200" w:rsidRPr="001921D0">
        <w:t xml:space="preserve">to address </w:t>
      </w:r>
      <w:r w:rsidRPr="001921D0">
        <w:t>all these challenges, the Committee may be able to help with some aspects. The Committee could, for example, contribute to leveraging political support when escalating the type of measures it takes. The Committee could furthermore continue supporting efforts to obtain funding for Parties facing compliance challenges.</w:t>
      </w:r>
      <w:r w:rsidR="000C25B3" w:rsidRPr="001921D0">
        <w:t xml:space="preserve"> </w:t>
      </w:r>
      <w:r w:rsidRPr="001921D0">
        <w:t>The Committee may also be able to provide support in establishing partnerships among Parties, including through informal involvement of its members of the region(s) concerned.</w:t>
      </w:r>
    </w:p>
    <w:p w14:paraId="68DC21E9" w14:textId="6C7BEFDA" w:rsidR="00B95297" w:rsidRPr="001921D0" w:rsidRDefault="00B95297" w:rsidP="00B92761">
      <w:pPr>
        <w:pStyle w:val="Para10"/>
      </w:pPr>
      <w:r w:rsidRPr="001921D0">
        <w:t xml:space="preserve">The Committee may wish to </w:t>
      </w:r>
      <w:r w:rsidR="00876ABC" w:rsidRPr="001921D0">
        <w:t>consider</w:t>
      </w:r>
      <w:r w:rsidRPr="001921D0">
        <w:t xml:space="preserve"> </w:t>
      </w:r>
      <w:r w:rsidR="001F2401" w:rsidRPr="001921D0">
        <w:t xml:space="preserve">how </w:t>
      </w:r>
      <w:r w:rsidR="00520A22" w:rsidRPr="001921D0">
        <w:t xml:space="preserve">the adoption of the Implementation Plan for the Cartagena Protocol and the Capacity-Building Action Plan for the Cartagena Protocol, including the Goals on compliance, may provide a renewed impetus for </w:t>
      </w:r>
      <w:r w:rsidR="002F71FA" w:rsidRPr="001921D0">
        <w:t>implementation</w:t>
      </w:r>
      <w:r w:rsidR="00520A22" w:rsidRPr="001921D0">
        <w:t>. The inclusion of a target on biosafety and biotechnology in the Kunming-Montreal Global Biodiversity Framework</w:t>
      </w:r>
      <w:r w:rsidR="00520A22" w:rsidRPr="001921D0">
        <w:rPr>
          <w:rStyle w:val="FootnoteReference"/>
          <w:szCs w:val="22"/>
        </w:rPr>
        <w:footnoteReference w:id="26"/>
      </w:r>
      <w:r w:rsidR="00520A22" w:rsidRPr="001921D0">
        <w:t xml:space="preserve"> is another factor that could contribute to stronger support for biosafety and addressing shortcomings in the implementation of adequate biosafety measures.</w:t>
      </w:r>
      <w:r w:rsidR="00876ABC" w:rsidRPr="001921D0">
        <w:t xml:space="preserve"> The Committee may wish to discuss </w:t>
      </w:r>
      <w:r w:rsidR="00FE06A4" w:rsidRPr="001921D0">
        <w:t xml:space="preserve">how these new tools </w:t>
      </w:r>
      <w:r w:rsidR="009C05F4" w:rsidRPr="001921D0">
        <w:t xml:space="preserve">can support its work in </w:t>
      </w:r>
      <w:r w:rsidR="00DD6D87" w:rsidRPr="001921D0">
        <w:t>bringing Parties into compliance with the Protocol.</w:t>
      </w:r>
    </w:p>
    <w:p w14:paraId="70BFFF08" w14:textId="77777777" w:rsidR="00E834B0" w:rsidRPr="001921D0" w:rsidRDefault="00E834B0" w:rsidP="00B92761">
      <w:pPr>
        <w:pStyle w:val="Para10"/>
      </w:pPr>
      <w:r w:rsidRPr="001921D0">
        <w:t xml:space="preserve">In view of the status of compliance by Parties with key obligations related to the priority areas identified by the Conference of the Parties serving as the meeting of the Parties, the Committee may wish to consider possible follow-up actions and recommendations, mindful of past actions taken and recommendations made in this regard. </w:t>
      </w:r>
    </w:p>
    <w:p w14:paraId="10A7D690" w14:textId="218EC470" w:rsidR="00E834B0" w:rsidRPr="001921D0" w:rsidRDefault="00E834B0" w:rsidP="00B92761">
      <w:pPr>
        <w:pStyle w:val="Para10"/>
      </w:pPr>
      <w:r w:rsidRPr="001921D0">
        <w:t>Follow-up actions by the Committee have followed a stepwise approach and have included informal communications to Parties concerned by the Secretariat, letters from the Executive Secretary and letters from the Chair of the Compliance Committee, in addition to informal follow-up by members of the Compliance Committee with Parties concerned in their region.</w:t>
      </w:r>
    </w:p>
    <w:p w14:paraId="11DF0125" w14:textId="34D58DD8" w:rsidR="00E834B0" w:rsidRPr="001921D0" w:rsidRDefault="00E834B0" w:rsidP="00B92761">
      <w:pPr>
        <w:pStyle w:val="Para10"/>
      </w:pPr>
      <w:r w:rsidRPr="001921D0">
        <w:t xml:space="preserve">In </w:t>
      </w:r>
      <w:r w:rsidR="008B4785" w:rsidRPr="001921D0">
        <w:t xml:space="preserve">the </w:t>
      </w:r>
      <w:r w:rsidRPr="001921D0">
        <w:t>light of the above, the Committee may wish to consider</w:t>
      </w:r>
      <w:r w:rsidR="00164FCF" w:rsidRPr="001921D0">
        <w:t xml:space="preserve"> requesting the </w:t>
      </w:r>
      <w:r w:rsidR="00FE1147" w:rsidRPr="001921D0">
        <w:t xml:space="preserve">Executive Secretary </w:t>
      </w:r>
      <w:r w:rsidR="00164FCF" w:rsidRPr="001921D0">
        <w:t>to</w:t>
      </w:r>
      <w:r w:rsidRPr="001921D0">
        <w:t>:</w:t>
      </w:r>
    </w:p>
    <w:p w14:paraId="7D9DF170" w14:textId="7D12BF25" w:rsidR="00164FCF" w:rsidRPr="001921D0" w:rsidRDefault="008B4785" w:rsidP="00B92761">
      <w:pPr>
        <w:pStyle w:val="StylePara1Kernat11pt"/>
        <w:numPr>
          <w:ilvl w:val="1"/>
          <w:numId w:val="70"/>
        </w:numPr>
        <w:tabs>
          <w:tab w:val="clear" w:pos="1440"/>
          <w:tab w:val="num" w:pos="1701"/>
        </w:tabs>
        <w:spacing w:before="0"/>
        <w:ind w:left="567" w:firstLine="567"/>
        <w:rPr>
          <w:szCs w:val="22"/>
        </w:rPr>
      </w:pPr>
      <w:r w:rsidRPr="001921D0">
        <w:rPr>
          <w:szCs w:val="22"/>
        </w:rPr>
        <w:lastRenderedPageBreak/>
        <w:t>C</w:t>
      </w:r>
      <w:r w:rsidR="00164FCF" w:rsidRPr="001921D0">
        <w:rPr>
          <w:szCs w:val="22"/>
        </w:rPr>
        <w:t xml:space="preserve">ontact the national focal point of those Parties for which information on the status of adoption of the necessary measures to implement the obligations under the Protocol provided in the survey differed from information provided in this regard in the fourth national report, inviting these Parties to provide further information </w:t>
      </w:r>
      <w:r w:rsidR="008B1554" w:rsidRPr="001921D0">
        <w:rPr>
          <w:szCs w:val="22"/>
        </w:rPr>
        <w:t xml:space="preserve">and clarification </w:t>
      </w:r>
      <w:r w:rsidR="00164FCF" w:rsidRPr="001921D0">
        <w:rPr>
          <w:szCs w:val="22"/>
        </w:rPr>
        <w:t>on the status of the adoption of such measures;</w:t>
      </w:r>
    </w:p>
    <w:p w14:paraId="5A978124" w14:textId="533BF310" w:rsidR="005313D3" w:rsidRPr="001921D0" w:rsidRDefault="008B4785" w:rsidP="00B92761">
      <w:pPr>
        <w:pStyle w:val="StylePara1Kernat11pt"/>
        <w:numPr>
          <w:ilvl w:val="1"/>
          <w:numId w:val="70"/>
        </w:numPr>
        <w:tabs>
          <w:tab w:val="clear" w:pos="1440"/>
          <w:tab w:val="num" w:pos="1701"/>
        </w:tabs>
        <w:spacing w:before="0"/>
        <w:ind w:left="567" w:firstLine="567"/>
        <w:rPr>
          <w:szCs w:val="22"/>
        </w:rPr>
      </w:pPr>
      <w:r w:rsidRPr="001921D0">
        <w:rPr>
          <w:szCs w:val="22"/>
        </w:rPr>
        <w:t>S</w:t>
      </w:r>
      <w:r w:rsidR="005313D3" w:rsidRPr="001921D0">
        <w:rPr>
          <w:szCs w:val="22"/>
        </w:rPr>
        <w:t>end letters to the national focal point of those Parties that have not submitted their fourth national report, requesting these Parties to submit their national report as a matter of urgency and urging them to inform the Committee of any challenges they may face in this regard;</w:t>
      </w:r>
    </w:p>
    <w:p w14:paraId="4DA4D3B1" w14:textId="1F6DE4B8" w:rsidR="005313D3" w:rsidRPr="001921D0" w:rsidRDefault="008B4785" w:rsidP="00B92761">
      <w:pPr>
        <w:pStyle w:val="StylePara1Kernat11pt"/>
        <w:numPr>
          <w:ilvl w:val="1"/>
          <w:numId w:val="70"/>
        </w:numPr>
        <w:tabs>
          <w:tab w:val="clear" w:pos="1440"/>
          <w:tab w:val="num" w:pos="1701"/>
        </w:tabs>
        <w:spacing w:before="0"/>
        <w:ind w:left="567" w:firstLine="567"/>
        <w:rPr>
          <w:szCs w:val="22"/>
        </w:rPr>
      </w:pPr>
      <w:r w:rsidRPr="001921D0">
        <w:rPr>
          <w:szCs w:val="22"/>
        </w:rPr>
        <w:t>S</w:t>
      </w:r>
      <w:r w:rsidR="005313D3" w:rsidRPr="001921D0">
        <w:rPr>
          <w:szCs w:val="22"/>
        </w:rPr>
        <w:t>end letters to the national focal point of those three Parties that indicated in the survey that they had submitted their fourth national report but whose report ha</w:t>
      </w:r>
      <w:r w:rsidR="00E64D80" w:rsidRPr="001921D0">
        <w:rPr>
          <w:szCs w:val="22"/>
        </w:rPr>
        <w:t>s</w:t>
      </w:r>
      <w:r w:rsidR="005313D3" w:rsidRPr="001921D0">
        <w:rPr>
          <w:szCs w:val="22"/>
        </w:rPr>
        <w:t xml:space="preserve"> not yet been </w:t>
      </w:r>
      <w:r w:rsidR="00FD0FF9" w:rsidRPr="001921D0">
        <w:rPr>
          <w:szCs w:val="22"/>
        </w:rPr>
        <w:t>received by the Secretariat</w:t>
      </w:r>
      <w:r w:rsidR="005313D3" w:rsidRPr="001921D0">
        <w:rPr>
          <w:szCs w:val="22"/>
        </w:rPr>
        <w:t>, requesting these Parties to provide a clarification and</w:t>
      </w:r>
      <w:r w:rsidR="000819FC" w:rsidRPr="001921D0">
        <w:rPr>
          <w:szCs w:val="22"/>
        </w:rPr>
        <w:t>,</w:t>
      </w:r>
      <w:r w:rsidR="005313D3" w:rsidRPr="001921D0">
        <w:rPr>
          <w:szCs w:val="22"/>
        </w:rPr>
        <w:t xml:space="preserve"> as appropriate</w:t>
      </w:r>
      <w:r w:rsidR="000819FC" w:rsidRPr="001921D0">
        <w:rPr>
          <w:szCs w:val="22"/>
        </w:rPr>
        <w:t>,</w:t>
      </w:r>
      <w:r w:rsidR="005313D3" w:rsidRPr="001921D0">
        <w:rPr>
          <w:szCs w:val="22"/>
        </w:rPr>
        <w:t xml:space="preserve"> </w:t>
      </w:r>
      <w:r w:rsidR="00653509" w:rsidRPr="001921D0">
        <w:rPr>
          <w:szCs w:val="22"/>
        </w:rPr>
        <w:t>to</w:t>
      </w:r>
      <w:r w:rsidR="005313D3" w:rsidRPr="001921D0">
        <w:rPr>
          <w:szCs w:val="22"/>
        </w:rPr>
        <w:t xml:space="preserve"> submit their national report as a matter of urgency;</w:t>
      </w:r>
    </w:p>
    <w:p w14:paraId="2F44433C" w14:textId="55EC1C91" w:rsidR="00164FCF" w:rsidRPr="001921D0" w:rsidRDefault="008B4785" w:rsidP="00B92761">
      <w:pPr>
        <w:pStyle w:val="StylePara1Kernat11pt"/>
        <w:numPr>
          <w:ilvl w:val="1"/>
          <w:numId w:val="70"/>
        </w:numPr>
        <w:tabs>
          <w:tab w:val="clear" w:pos="1440"/>
          <w:tab w:val="num" w:pos="1701"/>
        </w:tabs>
        <w:spacing w:before="0"/>
        <w:ind w:left="567" w:firstLine="567"/>
        <w:rPr>
          <w:szCs w:val="22"/>
        </w:rPr>
      </w:pPr>
      <w:r w:rsidRPr="001921D0">
        <w:rPr>
          <w:szCs w:val="22"/>
        </w:rPr>
        <w:t>C</w:t>
      </w:r>
      <w:r w:rsidR="00164FCF" w:rsidRPr="001921D0">
        <w:rPr>
          <w:szCs w:val="22"/>
        </w:rPr>
        <w:t>ontinue following up with Parties concerned on the completeness and accuracy of information in the Biosafety Clearing-House, including summaries of risk assessments;</w:t>
      </w:r>
    </w:p>
    <w:p w14:paraId="0A1F1DD8" w14:textId="5E10C994" w:rsidR="009F768A" w:rsidRPr="001921D0" w:rsidRDefault="00C031C7" w:rsidP="00B92761">
      <w:pPr>
        <w:pStyle w:val="StylePara1Kernat11pt"/>
        <w:numPr>
          <w:ilvl w:val="1"/>
          <w:numId w:val="70"/>
        </w:numPr>
        <w:tabs>
          <w:tab w:val="clear" w:pos="1440"/>
          <w:tab w:val="num" w:pos="1701"/>
        </w:tabs>
        <w:spacing w:before="0"/>
        <w:ind w:left="567" w:firstLine="567"/>
        <w:rPr>
          <w:szCs w:val="22"/>
        </w:rPr>
      </w:pPr>
      <w:r w:rsidRPr="001921D0">
        <w:rPr>
          <w:szCs w:val="22"/>
        </w:rPr>
        <w:t>F</w:t>
      </w:r>
      <w:r w:rsidR="009F768A" w:rsidRPr="001921D0">
        <w:rPr>
          <w:szCs w:val="22"/>
        </w:rPr>
        <w:t>ollow-up with the Parties identified</w:t>
      </w:r>
      <w:r w:rsidR="00E04820" w:rsidRPr="001921D0">
        <w:rPr>
          <w:szCs w:val="22"/>
        </w:rPr>
        <w:t xml:space="preserve"> in par</w:t>
      </w:r>
      <w:r w:rsidR="000B0840" w:rsidRPr="001921D0">
        <w:rPr>
          <w:szCs w:val="22"/>
        </w:rPr>
        <w:t>agraph 19</w:t>
      </w:r>
      <w:r w:rsidR="009F768A" w:rsidRPr="001921D0">
        <w:rPr>
          <w:szCs w:val="22"/>
        </w:rPr>
        <w:t xml:space="preserve"> that still have not designated a national focal point for the Cartagena Protocol and request the</w:t>
      </w:r>
      <w:r w:rsidR="003D3D4A" w:rsidRPr="001921D0">
        <w:rPr>
          <w:szCs w:val="22"/>
        </w:rPr>
        <w:t>m</w:t>
      </w:r>
      <w:r w:rsidR="009F768A" w:rsidRPr="001921D0">
        <w:rPr>
          <w:szCs w:val="22"/>
        </w:rPr>
        <w:t xml:space="preserve"> to do so as soon as possible and to notify the Secretariat accordingly, in accordance with Article 19 of the Protocol; </w:t>
      </w:r>
    </w:p>
    <w:p w14:paraId="4A5A1565" w14:textId="64E13548" w:rsidR="00164FCF" w:rsidRPr="001921D0" w:rsidRDefault="00C031C7" w:rsidP="00B92761">
      <w:pPr>
        <w:pStyle w:val="StylePara1Kernat11pt"/>
        <w:numPr>
          <w:ilvl w:val="1"/>
          <w:numId w:val="70"/>
        </w:numPr>
        <w:tabs>
          <w:tab w:val="clear" w:pos="1440"/>
          <w:tab w:val="num" w:pos="1701"/>
        </w:tabs>
        <w:spacing w:before="0"/>
        <w:ind w:left="567" w:firstLine="567"/>
        <w:rPr>
          <w:szCs w:val="22"/>
        </w:rPr>
      </w:pPr>
      <w:r w:rsidRPr="001921D0">
        <w:rPr>
          <w:szCs w:val="22"/>
        </w:rPr>
        <w:t>C</w:t>
      </w:r>
      <w:r w:rsidR="00164FCF" w:rsidRPr="001921D0">
        <w:rPr>
          <w:szCs w:val="22"/>
        </w:rPr>
        <w:t xml:space="preserve">ontinue exploring opportunities for capacity-building, including </w:t>
      </w:r>
      <w:r w:rsidR="00097A50" w:rsidRPr="001921D0">
        <w:rPr>
          <w:szCs w:val="22"/>
        </w:rPr>
        <w:t xml:space="preserve">through </w:t>
      </w:r>
      <w:r w:rsidR="00D05A35" w:rsidRPr="001921D0">
        <w:rPr>
          <w:szCs w:val="22"/>
        </w:rPr>
        <w:t>regional partnerships</w:t>
      </w:r>
      <w:r w:rsidR="0071084C" w:rsidRPr="001921D0">
        <w:rPr>
          <w:szCs w:val="22"/>
        </w:rPr>
        <w:t>, to support Parties to implement their obligations under the Protocol and</w:t>
      </w:r>
      <w:r w:rsidR="00164FCF" w:rsidRPr="001921D0">
        <w:rPr>
          <w:szCs w:val="22"/>
        </w:rPr>
        <w:t xml:space="preserve"> to</w:t>
      </w:r>
      <w:r w:rsidR="0071084C" w:rsidRPr="001921D0">
        <w:rPr>
          <w:szCs w:val="22"/>
        </w:rPr>
        <w:t xml:space="preserve"> achieve</w:t>
      </w:r>
      <w:r w:rsidR="00281CCF" w:rsidRPr="001921D0">
        <w:rPr>
          <w:szCs w:val="22"/>
        </w:rPr>
        <w:t xml:space="preserve"> the goals of</w:t>
      </w:r>
      <w:r w:rsidR="00164FCF" w:rsidRPr="001921D0">
        <w:rPr>
          <w:szCs w:val="22"/>
        </w:rPr>
        <w:t xml:space="preserve"> the Implementation Plan for the Cartagena Protocol and the Capacity-Building Action Plan for the Cartagena Protocol</w:t>
      </w:r>
      <w:r w:rsidR="00807F97" w:rsidRPr="001921D0">
        <w:rPr>
          <w:szCs w:val="22"/>
        </w:rPr>
        <w:t>.</w:t>
      </w:r>
    </w:p>
    <w:p w14:paraId="619C74D0" w14:textId="0290CD78" w:rsidR="00E834B0" w:rsidRPr="001921D0" w:rsidRDefault="00E834B0" w:rsidP="00B92761">
      <w:pPr>
        <w:pStyle w:val="Para10"/>
      </w:pPr>
      <w:r w:rsidRPr="001921D0">
        <w:t>The Committee may also consider making recommendations to the Conference of the Parties serving as the meeting of the Parties along the following lines:</w:t>
      </w:r>
    </w:p>
    <w:p w14:paraId="4A3A2F65" w14:textId="2EC606B7" w:rsidR="00E834B0" w:rsidRPr="001921D0" w:rsidRDefault="00E834B0" w:rsidP="00B92761">
      <w:pPr>
        <w:pStyle w:val="StylePara1Kernat11pt"/>
        <w:numPr>
          <w:ilvl w:val="0"/>
          <w:numId w:val="31"/>
        </w:numPr>
        <w:tabs>
          <w:tab w:val="clear" w:pos="360"/>
          <w:tab w:val="left" w:pos="1701"/>
        </w:tabs>
        <w:spacing w:before="0"/>
        <w:ind w:left="630" w:firstLine="540"/>
        <w:rPr>
          <w:szCs w:val="22"/>
        </w:rPr>
      </w:pPr>
      <w:r w:rsidRPr="001921D0">
        <w:rPr>
          <w:szCs w:val="22"/>
        </w:rPr>
        <w:t>To remind Parties of the importance of fully complying with their obligations under the Protocol;</w:t>
      </w:r>
    </w:p>
    <w:p w14:paraId="35391BBF" w14:textId="7DFC621C" w:rsidR="00E834B0" w:rsidRPr="001921D0" w:rsidRDefault="00E834B0" w:rsidP="00B92761">
      <w:pPr>
        <w:pStyle w:val="StylePara1Kernat11pt"/>
        <w:numPr>
          <w:ilvl w:val="0"/>
          <w:numId w:val="31"/>
        </w:numPr>
        <w:tabs>
          <w:tab w:val="clear" w:pos="360"/>
          <w:tab w:val="left" w:pos="1701"/>
        </w:tabs>
        <w:spacing w:before="0"/>
        <w:ind w:left="630" w:firstLine="540"/>
        <w:rPr>
          <w:szCs w:val="22"/>
        </w:rPr>
      </w:pPr>
      <w:r w:rsidRPr="001921D0">
        <w:rPr>
          <w:szCs w:val="22"/>
        </w:rPr>
        <w:t>To recall that Parties facing difficulties complying with one or more obligations under the Protocol are encouraged to seek assistance from the Committee;</w:t>
      </w:r>
    </w:p>
    <w:p w14:paraId="6AEA30FF" w14:textId="564CBEE3" w:rsidR="00E834B0" w:rsidRPr="001921D0" w:rsidRDefault="00E834B0" w:rsidP="00B92761">
      <w:pPr>
        <w:pStyle w:val="StylePara1Kernat11pt"/>
        <w:numPr>
          <w:ilvl w:val="0"/>
          <w:numId w:val="31"/>
        </w:numPr>
        <w:tabs>
          <w:tab w:val="clear" w:pos="360"/>
          <w:tab w:val="left" w:pos="1701"/>
        </w:tabs>
        <w:spacing w:before="0"/>
        <w:ind w:left="630" w:firstLine="540"/>
        <w:rPr>
          <w:szCs w:val="22"/>
        </w:rPr>
      </w:pPr>
      <w:r w:rsidRPr="001921D0">
        <w:rPr>
          <w:szCs w:val="22"/>
        </w:rPr>
        <w:t>To request Parties to collaborate fully when requested to provide information in relation to their compliance with obligations under the Protocol;</w:t>
      </w:r>
    </w:p>
    <w:p w14:paraId="356692D6" w14:textId="5943E7E6" w:rsidR="00E834B0" w:rsidRPr="001921D0" w:rsidRDefault="000777B1" w:rsidP="00B92761">
      <w:pPr>
        <w:pStyle w:val="StylePara1Kernat11pt"/>
        <w:numPr>
          <w:ilvl w:val="0"/>
          <w:numId w:val="31"/>
        </w:numPr>
        <w:tabs>
          <w:tab w:val="clear" w:pos="360"/>
          <w:tab w:val="left" w:pos="1701"/>
        </w:tabs>
        <w:spacing w:before="0"/>
        <w:ind w:left="630" w:firstLine="540"/>
        <w:rPr>
          <w:szCs w:val="22"/>
        </w:rPr>
      </w:pPr>
      <w:r w:rsidRPr="001921D0">
        <w:rPr>
          <w:szCs w:val="22"/>
        </w:rPr>
        <w:t>To r</w:t>
      </w:r>
      <w:r w:rsidR="00E834B0" w:rsidRPr="001921D0">
        <w:rPr>
          <w:szCs w:val="22"/>
        </w:rPr>
        <w:t xml:space="preserve">emind Parties of Article 23 of the Protocol, including its public awareness and education related provisions, </w:t>
      </w:r>
      <w:r w:rsidR="00B81B4F" w:rsidRPr="001921D0">
        <w:rPr>
          <w:szCs w:val="22"/>
        </w:rPr>
        <w:t xml:space="preserve">and </w:t>
      </w:r>
      <w:r w:rsidR="00E80476" w:rsidRPr="001921D0">
        <w:rPr>
          <w:szCs w:val="22"/>
        </w:rPr>
        <w:t>its</w:t>
      </w:r>
      <w:r w:rsidR="00B81B4F" w:rsidRPr="001921D0">
        <w:rPr>
          <w:szCs w:val="22"/>
        </w:rPr>
        <w:t xml:space="preserve"> potential </w:t>
      </w:r>
      <w:r w:rsidR="00E80476" w:rsidRPr="001921D0">
        <w:rPr>
          <w:szCs w:val="22"/>
        </w:rPr>
        <w:t>to facilitate</w:t>
      </w:r>
      <w:r w:rsidR="00E834B0" w:rsidRPr="001921D0">
        <w:rPr>
          <w:szCs w:val="22"/>
        </w:rPr>
        <w:t xml:space="preserve"> compliance with the Protocol.</w:t>
      </w:r>
    </w:p>
    <w:p w14:paraId="15A4226E" w14:textId="77777777" w:rsidR="00E37E9D" w:rsidRPr="001921D0" w:rsidRDefault="00E37E9D" w:rsidP="00805AD1">
      <w:pPr>
        <w:pStyle w:val="Annex"/>
        <w:sectPr w:rsidR="00E37E9D" w:rsidRPr="001921D0" w:rsidSect="00B92761">
          <w:headerReference w:type="even" r:id="rId16"/>
          <w:headerReference w:type="default" r:id="rId17"/>
          <w:footerReference w:type="even" r:id="rId18"/>
          <w:footerReference w:type="default" r:id="rId19"/>
          <w:pgSz w:w="12240" w:h="15840"/>
          <w:pgMar w:top="1134" w:right="1440" w:bottom="1134" w:left="1440" w:header="709" w:footer="709" w:gutter="0"/>
          <w:cols w:space="708"/>
          <w:titlePg/>
          <w:docGrid w:linePitch="360"/>
        </w:sectPr>
      </w:pPr>
    </w:p>
    <w:p w14:paraId="68D5E419" w14:textId="77777777" w:rsidR="005A7646" w:rsidRPr="001921D0" w:rsidRDefault="005A7646" w:rsidP="00B92761">
      <w:pPr>
        <w:pStyle w:val="Annex"/>
      </w:pPr>
      <w:r w:rsidRPr="001921D0">
        <w:lastRenderedPageBreak/>
        <w:t xml:space="preserve">Annex I </w:t>
      </w:r>
    </w:p>
    <w:p w14:paraId="3DC8F75C" w14:textId="1571769E" w:rsidR="005A7646" w:rsidRPr="001921D0" w:rsidRDefault="005A7646" w:rsidP="00B92761">
      <w:pPr>
        <w:pStyle w:val="Title"/>
        <w:jc w:val="left"/>
        <w:rPr>
          <w:lang w:val="en-US"/>
        </w:rPr>
      </w:pPr>
      <w:r w:rsidRPr="001921D0">
        <w:rPr>
          <w:lang w:val="en-US"/>
        </w:rPr>
        <w:t>Summary of the answers provided to the survey on compliance challenges</w:t>
      </w:r>
    </w:p>
    <w:p w14:paraId="61C66B4C" w14:textId="2329DF79" w:rsidR="005A7646" w:rsidRPr="001921D0" w:rsidRDefault="00862F7E" w:rsidP="005A7646">
      <w:pPr>
        <w:keepNext/>
        <w:keepLines/>
        <w:spacing w:before="240" w:after="160" w:line="259" w:lineRule="auto"/>
        <w:jc w:val="left"/>
        <w:outlineLvl w:val="0"/>
        <w:rPr>
          <w:rFonts w:eastAsia="SimSun"/>
          <w:b/>
          <w:bCs/>
          <w:sz w:val="24"/>
          <w:lang w:val="en-US"/>
        </w:rPr>
      </w:pPr>
      <w:r w:rsidRPr="001921D0">
        <w:rPr>
          <w:rFonts w:eastAsia="SimSun"/>
          <w:b/>
          <w:bCs/>
          <w:sz w:val="24"/>
          <w:lang w:val="en-US"/>
        </w:rPr>
        <w:t>Introduction</w:t>
      </w:r>
      <w:r w:rsidRPr="001921D0">
        <w:rPr>
          <w:rFonts w:eastAsia="SimSun"/>
          <w:b/>
          <w:bCs/>
          <w:sz w:val="24"/>
          <w:lang w:val="en-US"/>
        </w:rPr>
        <w:t xml:space="preserve"> </w:t>
      </w:r>
    </w:p>
    <w:p w14:paraId="140F2B83" w14:textId="77777777" w:rsidR="005A7646" w:rsidRPr="001921D0" w:rsidRDefault="005A7646" w:rsidP="00B92761">
      <w:pPr>
        <w:pStyle w:val="Para10"/>
        <w:numPr>
          <w:ilvl w:val="0"/>
          <w:numId w:val="71"/>
        </w:numPr>
        <w:ind w:left="567" w:firstLine="0"/>
        <w:rPr>
          <w:snapToGrid w:val="0"/>
        </w:rPr>
      </w:pPr>
      <w:r w:rsidRPr="001921D0">
        <w:rPr>
          <w:snapToGrid w:val="0"/>
        </w:rPr>
        <w:t xml:space="preserve">In its decision CP-10/2, on compliance, the Conference of the Parties serving as the meeting of the Parties to the Cartagena Protocol requested the Secretariat to conduct a survey on national limitations and challenges in fulfilling the obligation </w:t>
      </w:r>
      <w:r w:rsidRPr="001921D0">
        <w:rPr>
          <w:snapToGrid w:val="0"/>
          <w:szCs w:val="18"/>
        </w:rPr>
        <w:t xml:space="preserve">(i) to take the necessary legal, administrative and other measures to implement the Protocol, and (ii) to submit a national report in a timely manner. It requested the Secretariat to compile the findings and submit them for consideration by the Compliance Committee, at its eighteenth meeting. </w:t>
      </w:r>
    </w:p>
    <w:p w14:paraId="2504FF75" w14:textId="186EF954" w:rsidR="005A7646" w:rsidRPr="001921D0" w:rsidRDefault="005A7646" w:rsidP="00B92761">
      <w:pPr>
        <w:pStyle w:val="Para10"/>
        <w:rPr>
          <w:snapToGrid w:val="0"/>
        </w:rPr>
      </w:pPr>
      <w:r w:rsidRPr="001921D0">
        <w:rPr>
          <w:snapToGrid w:val="0"/>
        </w:rPr>
        <w:t xml:space="preserve">The Secretariat prepared the survey in English, French and Spanish and shared it with the National Focal Points of all Parties to the Cartagena Protocol by email sent on 3 March 2023. A total of 102 Parties responded to the survey. The information provided in the survey is presented in this document. </w:t>
      </w:r>
    </w:p>
    <w:p w14:paraId="4BC8EE31" w14:textId="745FD338" w:rsidR="005A7646" w:rsidRPr="001921D0" w:rsidRDefault="005A7646" w:rsidP="00B92761">
      <w:pPr>
        <w:pStyle w:val="Para10"/>
        <w:rPr>
          <w:snapToGrid w:val="0"/>
        </w:rPr>
      </w:pPr>
      <w:r w:rsidRPr="001921D0">
        <w:rPr>
          <w:snapToGrid w:val="0"/>
        </w:rPr>
        <w:t xml:space="preserve">Seventy-one respondents filled out the survey in their capacity as National Focal Point for the Cartagena Protocol on Biosafety, </w:t>
      </w:r>
      <w:r w:rsidR="004149D0" w:rsidRPr="001921D0">
        <w:rPr>
          <w:snapToGrid w:val="0"/>
        </w:rPr>
        <w:t>31</w:t>
      </w:r>
      <w:r w:rsidRPr="001921D0">
        <w:rPr>
          <w:snapToGrid w:val="0"/>
        </w:rPr>
        <w:t xml:space="preserve"> respondents responded in another capacity (e.g. as National Focal Point for Biosafety Clearing-House, or in an unspecified capacity).</w:t>
      </w:r>
    </w:p>
    <w:p w14:paraId="76669A99" w14:textId="65C2C5D0" w:rsidR="005A7646" w:rsidRPr="001921D0" w:rsidRDefault="005A7646" w:rsidP="00B92761">
      <w:pPr>
        <w:spacing w:before="120" w:after="120"/>
        <w:ind w:left="567"/>
        <w:rPr>
          <w:rFonts w:eastAsia="Calibri"/>
          <w:szCs w:val="22"/>
          <w:lang w:val="en-US"/>
        </w:rPr>
      </w:pPr>
      <w:r w:rsidRPr="001921D0">
        <w:rPr>
          <w:rFonts w:eastAsia="Calibri"/>
          <w:szCs w:val="22"/>
          <w:lang w:val="en-US"/>
        </w:rPr>
        <w:t>[</w:t>
      </w:r>
      <w:r w:rsidRPr="001921D0">
        <w:rPr>
          <w:rFonts w:eastAsia="Calibri"/>
          <w:b/>
          <w:bCs/>
          <w:szCs w:val="22"/>
          <w:lang w:val="en-US"/>
        </w:rPr>
        <w:t>Question 4</w:t>
      </w:r>
      <w:r w:rsidRPr="001921D0">
        <w:rPr>
          <w:rFonts w:eastAsia="Calibri"/>
          <w:szCs w:val="22"/>
          <w:lang w:val="en-US"/>
        </w:rPr>
        <w:t>] Out of the 102 respondents, the majority reported that their country ha</w:t>
      </w:r>
      <w:r w:rsidR="005E5904">
        <w:rPr>
          <w:rFonts w:eastAsia="Calibri"/>
          <w:szCs w:val="22"/>
          <w:lang w:val="en-US"/>
        </w:rPr>
        <w:t>d</w:t>
      </w:r>
      <w:r w:rsidRPr="001921D0">
        <w:rPr>
          <w:rFonts w:eastAsia="Calibri"/>
          <w:szCs w:val="22"/>
          <w:lang w:val="en-US"/>
        </w:rPr>
        <w:t xml:space="preserve"> taken at least some measures towards implementing the Protocol. Forty respondents (39 per cent) reported that measures </w:t>
      </w:r>
      <w:r w:rsidR="005E5904">
        <w:rPr>
          <w:rFonts w:eastAsia="Calibri"/>
          <w:szCs w:val="22"/>
          <w:lang w:val="en-US"/>
        </w:rPr>
        <w:t>were</w:t>
      </w:r>
      <w:r w:rsidRPr="001921D0">
        <w:rPr>
          <w:rFonts w:eastAsia="Calibri"/>
          <w:szCs w:val="22"/>
          <w:lang w:val="en-US"/>
        </w:rPr>
        <w:t xml:space="preserve"> fully in place, while 39 respondents (38 per cent) reported that measures </w:t>
      </w:r>
      <w:r w:rsidR="005E5904">
        <w:rPr>
          <w:rFonts w:eastAsia="Calibri"/>
          <w:szCs w:val="22"/>
          <w:lang w:val="en-US"/>
        </w:rPr>
        <w:t>were</w:t>
      </w:r>
      <w:r w:rsidRPr="001921D0">
        <w:rPr>
          <w:rFonts w:eastAsia="Calibri"/>
          <w:szCs w:val="22"/>
          <w:lang w:val="en-US"/>
        </w:rPr>
        <w:t xml:space="preserve"> partially in place. Fifteen respondents (15 per cent) reported that only draft measures exist</w:t>
      </w:r>
      <w:r w:rsidR="005E5904">
        <w:rPr>
          <w:rFonts w:eastAsia="Calibri"/>
          <w:szCs w:val="22"/>
          <w:lang w:val="en-US"/>
        </w:rPr>
        <w:t>ed</w:t>
      </w:r>
      <w:r w:rsidRPr="001921D0">
        <w:rPr>
          <w:rFonts w:eastAsia="Calibri"/>
          <w:szCs w:val="22"/>
          <w:lang w:val="en-US"/>
        </w:rPr>
        <w:t>, five respondents (5 per cent) reported that no measures ha</w:t>
      </w:r>
      <w:r w:rsidR="005E5904">
        <w:rPr>
          <w:rFonts w:eastAsia="Calibri"/>
          <w:szCs w:val="22"/>
          <w:lang w:val="en-US"/>
        </w:rPr>
        <w:t>d</w:t>
      </w:r>
      <w:r w:rsidRPr="001921D0">
        <w:rPr>
          <w:rFonts w:eastAsia="Calibri"/>
          <w:szCs w:val="22"/>
          <w:lang w:val="en-US"/>
        </w:rPr>
        <w:t xml:space="preserve"> yet been taken, and three respondents (3 per cent) reported that temporary measures ha</w:t>
      </w:r>
      <w:r w:rsidR="005E5904">
        <w:rPr>
          <w:rFonts w:eastAsia="Calibri"/>
          <w:szCs w:val="22"/>
          <w:lang w:val="en-US"/>
        </w:rPr>
        <w:t>d</w:t>
      </w:r>
      <w:r w:rsidRPr="001921D0">
        <w:rPr>
          <w:rFonts w:eastAsia="Calibri"/>
          <w:szCs w:val="22"/>
          <w:lang w:val="en-US"/>
        </w:rPr>
        <w:t xml:space="preserve"> been introduced.</w:t>
      </w:r>
      <w:r w:rsidRPr="001921D0">
        <w:rPr>
          <w:rFonts w:eastAsia="Calibri"/>
          <w:szCs w:val="22"/>
          <w:vertAlign w:val="superscript"/>
          <w:lang w:val="en-US"/>
        </w:rPr>
        <w:footnoteReference w:id="27"/>
      </w:r>
      <w:r w:rsidRPr="001921D0">
        <w:rPr>
          <w:rFonts w:eastAsia="Calibri"/>
          <w:szCs w:val="22"/>
          <w:lang w:val="en-US"/>
        </w:rPr>
        <w:t xml:space="preserve"> </w:t>
      </w:r>
    </w:p>
    <w:p w14:paraId="69B247A9" w14:textId="77777777" w:rsidR="005A7646" w:rsidRPr="001921D0" w:rsidRDefault="005A7646" w:rsidP="00B92761">
      <w:pPr>
        <w:spacing w:before="120" w:after="160" w:line="259" w:lineRule="auto"/>
        <w:jc w:val="center"/>
        <w:rPr>
          <w:rFonts w:eastAsia="Calibri"/>
          <w:szCs w:val="22"/>
          <w:lang w:val="en-US"/>
        </w:rPr>
      </w:pPr>
      <w:r w:rsidRPr="001921D0">
        <w:rPr>
          <w:rFonts w:eastAsia="Calibri"/>
          <w:noProof/>
          <w:szCs w:val="22"/>
          <w:lang w:val="en-US"/>
        </w:rPr>
        <w:drawing>
          <wp:inline distT="0" distB="0" distL="0" distR="0" wp14:anchorId="3B61A68A" wp14:editId="2C3ECBC8">
            <wp:extent cx="5385816" cy="1561656"/>
            <wp:effectExtent l="0" t="0" r="0" b="635"/>
            <wp:docPr id="1" name="Picture 1" descr="A picture containing text, screenshot,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creenshot, font&#10;&#10;Description automatically generated"/>
                    <pic:cNvPicPr/>
                  </pic:nvPicPr>
                  <pic:blipFill>
                    <a:blip r:embed="rId20">
                      <a:extLst>
                        <a:ext uri="{28A0092B-C50C-407E-A947-70E740481C1C}">
                          <a14:useLocalDpi xmlns:a14="http://schemas.microsoft.com/office/drawing/2010/main" val="0"/>
                        </a:ext>
                      </a:extLst>
                    </a:blip>
                    <a:stretch>
                      <a:fillRect/>
                    </a:stretch>
                  </pic:blipFill>
                  <pic:spPr>
                    <a:xfrm>
                      <a:off x="0" y="0"/>
                      <a:ext cx="5395505" cy="1564465"/>
                    </a:xfrm>
                    <a:prstGeom prst="rect">
                      <a:avLst/>
                    </a:prstGeom>
                  </pic:spPr>
                </pic:pic>
              </a:graphicData>
            </a:graphic>
          </wp:inline>
        </w:drawing>
      </w:r>
    </w:p>
    <w:p w14:paraId="64576A27" w14:textId="604C001A" w:rsidR="00C15DFD" w:rsidRPr="001921D0" w:rsidRDefault="005A7646" w:rsidP="00B92761">
      <w:pPr>
        <w:spacing w:line="259" w:lineRule="auto"/>
        <w:ind w:left="567"/>
        <w:jc w:val="left"/>
        <w:rPr>
          <w:rFonts w:eastAsia="Calibri"/>
          <w:szCs w:val="22"/>
          <w:lang w:val="en-US"/>
        </w:rPr>
      </w:pPr>
      <w:r w:rsidRPr="001921D0">
        <w:rPr>
          <w:rFonts w:eastAsia="Calibri"/>
          <w:szCs w:val="22"/>
          <w:lang w:val="en-US"/>
        </w:rPr>
        <w:t xml:space="preserve">Figure </w:t>
      </w:r>
      <w:r w:rsidR="00611025" w:rsidRPr="001921D0">
        <w:rPr>
          <w:rFonts w:eastAsia="Calibri"/>
          <w:szCs w:val="22"/>
          <w:lang w:val="en-US"/>
        </w:rPr>
        <w:t>I</w:t>
      </w:r>
    </w:p>
    <w:p w14:paraId="77741E85" w14:textId="0C6A47F6" w:rsidR="005A7646" w:rsidRPr="001921D0" w:rsidRDefault="005A7646" w:rsidP="00B92761">
      <w:pPr>
        <w:spacing w:after="160" w:line="259" w:lineRule="auto"/>
        <w:ind w:left="567"/>
        <w:jc w:val="left"/>
        <w:rPr>
          <w:b/>
          <w:bCs/>
          <w:color w:val="333333"/>
          <w:szCs w:val="22"/>
          <w:lang w:val="en-US"/>
        </w:rPr>
      </w:pPr>
      <w:r w:rsidRPr="001921D0">
        <w:rPr>
          <w:b/>
          <w:bCs/>
          <w:color w:val="333333"/>
          <w:szCs w:val="22"/>
          <w:lang w:val="en-US"/>
        </w:rPr>
        <w:t>Status of adoption of measures to implement the Protocol</w:t>
      </w:r>
    </w:p>
    <w:p w14:paraId="442AEC42" w14:textId="1C39D565" w:rsidR="005A7646" w:rsidRPr="001921D0" w:rsidRDefault="00D00D9D" w:rsidP="00B92761">
      <w:pPr>
        <w:pStyle w:val="Heading3"/>
        <w:keepLines w:val="0"/>
        <w:numPr>
          <w:ilvl w:val="0"/>
          <w:numId w:val="0"/>
        </w:numPr>
        <w:spacing w:before="240"/>
        <w:ind w:left="567" w:hanging="567"/>
        <w:jc w:val="left"/>
        <w:rPr>
          <w:lang w:val="en-US"/>
        </w:rPr>
      </w:pPr>
      <w:r w:rsidRPr="001921D0">
        <w:rPr>
          <w:lang w:val="en-US"/>
        </w:rPr>
        <w:t>1.</w:t>
      </w:r>
      <w:r w:rsidRPr="001921D0">
        <w:rPr>
          <w:lang w:val="en-US"/>
        </w:rPr>
        <w:tab/>
      </w:r>
      <w:r w:rsidR="005A7646" w:rsidRPr="001921D0">
        <w:rPr>
          <w:lang w:val="en-US"/>
        </w:rPr>
        <w:t xml:space="preserve">Limitations and </w:t>
      </w:r>
      <w:r w:rsidR="00381B07" w:rsidRPr="001921D0">
        <w:rPr>
          <w:lang w:val="en-US"/>
        </w:rPr>
        <w:t>c</w:t>
      </w:r>
      <w:r w:rsidR="005A7646" w:rsidRPr="001921D0">
        <w:rPr>
          <w:lang w:val="en-US"/>
        </w:rPr>
        <w:t xml:space="preserve">hallenges in taking legal, administrative and other measures necessary to implement the Cartagena Protocol </w:t>
      </w:r>
    </w:p>
    <w:p w14:paraId="3DB66B21" w14:textId="2422AAF0" w:rsidR="005A7646" w:rsidRPr="001921D0" w:rsidRDefault="005A7646" w:rsidP="00B92761">
      <w:pPr>
        <w:keepNext/>
        <w:spacing w:after="160"/>
        <w:ind w:left="567"/>
        <w:rPr>
          <w:rFonts w:eastAsia="Calibri"/>
          <w:szCs w:val="22"/>
          <w:lang w:val="en-US"/>
        </w:rPr>
      </w:pPr>
      <w:r w:rsidRPr="001921D0">
        <w:rPr>
          <w:rFonts w:eastAsia="Calibri"/>
          <w:szCs w:val="22"/>
          <w:lang w:val="en-US"/>
        </w:rPr>
        <w:t>[</w:t>
      </w:r>
      <w:r w:rsidRPr="001921D0">
        <w:rPr>
          <w:rFonts w:eastAsia="Calibri"/>
          <w:b/>
          <w:bCs/>
          <w:szCs w:val="22"/>
          <w:lang w:val="en-US"/>
        </w:rPr>
        <w:t>Question 5</w:t>
      </w:r>
      <w:r w:rsidRPr="001921D0">
        <w:rPr>
          <w:rFonts w:eastAsia="Calibri"/>
          <w:szCs w:val="22"/>
          <w:lang w:val="en-US"/>
        </w:rPr>
        <w:t xml:space="preserve">] Eighty-five respondents (83 per cent) indicated that their country </w:t>
      </w:r>
      <w:r w:rsidR="00942D80">
        <w:rPr>
          <w:rFonts w:eastAsia="Calibri"/>
          <w:szCs w:val="22"/>
          <w:lang w:val="en-US"/>
        </w:rPr>
        <w:t>wa</w:t>
      </w:r>
      <w:r w:rsidRPr="001921D0">
        <w:rPr>
          <w:rFonts w:eastAsia="Calibri"/>
          <w:szCs w:val="22"/>
          <w:lang w:val="en-US"/>
        </w:rPr>
        <w:t xml:space="preserve">s facing challenges and limitations in taking legal, administrative and other measures necessary to implement the </w:t>
      </w:r>
      <w:r w:rsidRPr="001921D0">
        <w:rPr>
          <w:rFonts w:eastAsia="Calibri"/>
          <w:szCs w:val="22"/>
          <w:lang w:val="en-US"/>
        </w:rPr>
        <w:lastRenderedPageBreak/>
        <w:t xml:space="preserve">Cartagena Protocol, while the other respondents (17 per cent) indicated </w:t>
      </w:r>
      <w:r w:rsidR="00330270">
        <w:rPr>
          <w:rFonts w:eastAsia="Calibri"/>
          <w:szCs w:val="22"/>
          <w:lang w:val="en-US"/>
        </w:rPr>
        <w:t xml:space="preserve">that they did </w:t>
      </w:r>
      <w:r w:rsidRPr="001921D0">
        <w:rPr>
          <w:rFonts w:eastAsia="Calibri"/>
          <w:szCs w:val="22"/>
          <w:lang w:val="en-US"/>
        </w:rPr>
        <w:t>not face challenges and limitations in th</w:t>
      </w:r>
      <w:r w:rsidR="006D60FD">
        <w:rPr>
          <w:rFonts w:eastAsia="Calibri"/>
          <w:szCs w:val="22"/>
          <w:lang w:val="en-US"/>
        </w:rPr>
        <w:t>at</w:t>
      </w:r>
      <w:r w:rsidRPr="001921D0">
        <w:rPr>
          <w:rFonts w:eastAsia="Calibri"/>
          <w:szCs w:val="22"/>
          <w:lang w:val="en-US"/>
        </w:rPr>
        <w:t xml:space="preserve"> regard. The following challenges and limitations were identified: </w:t>
      </w:r>
    </w:p>
    <w:p w14:paraId="1A38B1F3" w14:textId="5BC887DD" w:rsidR="005A7646" w:rsidRPr="001921D0" w:rsidRDefault="00063EAB" w:rsidP="00B92761">
      <w:pPr>
        <w:numPr>
          <w:ilvl w:val="0"/>
          <w:numId w:val="44"/>
        </w:numPr>
        <w:spacing w:before="60" w:after="60"/>
        <w:ind w:left="993" w:hanging="426"/>
        <w:rPr>
          <w:rFonts w:eastAsia="Calibri"/>
          <w:szCs w:val="22"/>
          <w:lang w:val="en-US"/>
        </w:rPr>
      </w:pPr>
      <w:r w:rsidRPr="001921D0">
        <w:rPr>
          <w:rFonts w:eastAsia="Calibri"/>
          <w:szCs w:val="22"/>
          <w:lang w:val="en-US"/>
        </w:rPr>
        <w:t>L</w:t>
      </w:r>
      <w:r w:rsidR="005A7646" w:rsidRPr="001921D0">
        <w:rPr>
          <w:rFonts w:eastAsia="Calibri"/>
          <w:szCs w:val="22"/>
          <w:lang w:val="en-US"/>
        </w:rPr>
        <w:t>ack financial resources (73 respondents (71 per cent))</w:t>
      </w:r>
    </w:p>
    <w:p w14:paraId="0C0F6C68" w14:textId="2255B870" w:rsidR="005A7646" w:rsidRPr="001921D0" w:rsidRDefault="00063EAB" w:rsidP="00B92761">
      <w:pPr>
        <w:numPr>
          <w:ilvl w:val="0"/>
          <w:numId w:val="44"/>
        </w:numPr>
        <w:spacing w:before="60" w:after="60"/>
        <w:ind w:left="993" w:hanging="426"/>
        <w:rPr>
          <w:rFonts w:eastAsia="Calibri"/>
          <w:szCs w:val="22"/>
          <w:lang w:val="en-US"/>
        </w:rPr>
      </w:pPr>
      <w:r w:rsidRPr="001921D0">
        <w:rPr>
          <w:rFonts w:eastAsia="Calibri"/>
          <w:szCs w:val="22"/>
          <w:lang w:val="en-US"/>
        </w:rPr>
        <w:t>L</w:t>
      </w:r>
      <w:r w:rsidR="005A7646" w:rsidRPr="001921D0">
        <w:rPr>
          <w:rFonts w:eastAsia="Calibri"/>
          <w:szCs w:val="22"/>
          <w:lang w:val="en-US"/>
        </w:rPr>
        <w:t>ack human resources with necessary qualifications or skills (51 respondents (50 per cent)) and lack of human resources in general (38 respondents (37 per cent))</w:t>
      </w:r>
    </w:p>
    <w:p w14:paraId="46BE7CF1" w14:textId="5DC944BC" w:rsidR="005A7646" w:rsidRPr="001921D0" w:rsidRDefault="00063EAB" w:rsidP="00B92761">
      <w:pPr>
        <w:numPr>
          <w:ilvl w:val="0"/>
          <w:numId w:val="44"/>
        </w:numPr>
        <w:spacing w:before="60" w:after="60"/>
        <w:ind w:left="993" w:hanging="426"/>
        <w:rPr>
          <w:rFonts w:eastAsia="Calibri"/>
          <w:szCs w:val="22"/>
          <w:lang w:val="en-US"/>
        </w:rPr>
      </w:pPr>
      <w:r w:rsidRPr="001921D0">
        <w:rPr>
          <w:rFonts w:eastAsia="Calibri"/>
          <w:szCs w:val="22"/>
          <w:lang w:val="en-US"/>
        </w:rPr>
        <w:t>L</w:t>
      </w:r>
      <w:r w:rsidR="005A7646" w:rsidRPr="001921D0">
        <w:rPr>
          <w:rFonts w:eastAsia="Calibri"/>
          <w:szCs w:val="22"/>
          <w:lang w:val="en-US"/>
        </w:rPr>
        <w:t>ack of awareness on biosafety (50 respondents (49 per cent))</w:t>
      </w:r>
    </w:p>
    <w:p w14:paraId="14CBF502" w14:textId="095EFCA1" w:rsidR="005A7646" w:rsidRPr="001921D0" w:rsidRDefault="00063EAB" w:rsidP="00B92761">
      <w:pPr>
        <w:numPr>
          <w:ilvl w:val="0"/>
          <w:numId w:val="44"/>
        </w:numPr>
        <w:spacing w:before="60" w:after="60"/>
        <w:ind w:left="993" w:hanging="426"/>
        <w:rPr>
          <w:rFonts w:eastAsia="Calibri"/>
          <w:szCs w:val="22"/>
          <w:lang w:val="en-US"/>
        </w:rPr>
      </w:pPr>
      <w:r w:rsidRPr="001921D0">
        <w:rPr>
          <w:rFonts w:eastAsia="Calibri"/>
          <w:szCs w:val="22"/>
          <w:lang w:val="en-US"/>
        </w:rPr>
        <w:t>L</w:t>
      </w:r>
      <w:r w:rsidR="005A7646" w:rsidRPr="001921D0">
        <w:rPr>
          <w:rFonts w:eastAsia="Calibri"/>
          <w:szCs w:val="22"/>
          <w:lang w:val="en-US"/>
        </w:rPr>
        <w:t>ack of political will to adopt measures (27 respondents (26 per cent))</w:t>
      </w:r>
    </w:p>
    <w:p w14:paraId="0F509F63" w14:textId="56853B05" w:rsidR="005A7646" w:rsidRPr="001921D0" w:rsidRDefault="005A7646" w:rsidP="005525E3">
      <w:pPr>
        <w:spacing w:before="120" w:after="120"/>
        <w:ind w:left="567"/>
        <w:rPr>
          <w:rFonts w:eastAsia="Calibri"/>
          <w:szCs w:val="22"/>
          <w:lang w:val="en-US"/>
        </w:rPr>
      </w:pPr>
      <w:r w:rsidRPr="001921D0">
        <w:rPr>
          <w:rFonts w:eastAsia="Calibri"/>
          <w:szCs w:val="22"/>
          <w:lang w:val="en-US"/>
        </w:rPr>
        <w:t>Five respondents (5 per cent) reported facing other limitations and challenges</w:t>
      </w:r>
      <w:r w:rsidR="00063EAB" w:rsidRPr="001921D0">
        <w:rPr>
          <w:rFonts w:eastAsia="Calibri"/>
          <w:szCs w:val="22"/>
          <w:lang w:val="en-US"/>
        </w:rPr>
        <w:t>,</w:t>
      </w:r>
      <w:r w:rsidRPr="001921D0">
        <w:rPr>
          <w:rFonts w:eastAsia="Calibri"/>
          <w:szCs w:val="22"/>
          <w:lang w:val="en-US"/>
        </w:rPr>
        <w:t xml:space="preserve"> such as the long administrative processing times, interagency coordination, difficulties </w:t>
      </w:r>
      <w:r w:rsidR="00BD6D82" w:rsidRPr="001921D0">
        <w:rPr>
          <w:rFonts w:eastAsia="Calibri"/>
          <w:szCs w:val="22"/>
          <w:lang w:val="en-US"/>
        </w:rPr>
        <w:t xml:space="preserve">in </w:t>
      </w:r>
      <w:r w:rsidR="007104AD" w:rsidRPr="001921D0">
        <w:rPr>
          <w:rFonts w:eastAsia="Calibri"/>
          <w:szCs w:val="22"/>
          <w:lang w:val="en-US"/>
        </w:rPr>
        <w:t xml:space="preserve">gaining </w:t>
      </w:r>
      <w:r w:rsidRPr="001921D0">
        <w:rPr>
          <w:rFonts w:eastAsia="Calibri"/>
          <w:szCs w:val="22"/>
          <w:lang w:val="en-US"/>
        </w:rPr>
        <w:t xml:space="preserve">access </w:t>
      </w:r>
      <w:r w:rsidR="007104AD" w:rsidRPr="001921D0">
        <w:rPr>
          <w:rFonts w:eastAsia="Calibri"/>
          <w:szCs w:val="22"/>
          <w:lang w:val="en-US"/>
        </w:rPr>
        <w:t xml:space="preserve">to </w:t>
      </w:r>
      <w:r w:rsidRPr="001921D0">
        <w:rPr>
          <w:rFonts w:eastAsia="Calibri"/>
          <w:szCs w:val="22"/>
          <w:lang w:val="en-US"/>
        </w:rPr>
        <w:t>donor funding, and lack of office facilities.</w:t>
      </w:r>
    </w:p>
    <w:p w14:paraId="6B51F9DF" w14:textId="77777777" w:rsidR="00682E12" w:rsidRPr="001921D0" w:rsidRDefault="00682E12" w:rsidP="00682E12">
      <w:pPr>
        <w:spacing w:line="259" w:lineRule="auto"/>
        <w:ind w:left="567"/>
        <w:jc w:val="left"/>
        <w:rPr>
          <w:rFonts w:eastAsia="Calibri"/>
          <w:szCs w:val="22"/>
          <w:lang w:val="en-US"/>
        </w:rPr>
      </w:pPr>
      <w:r w:rsidRPr="001921D0">
        <w:rPr>
          <w:rFonts w:eastAsia="Calibri"/>
          <w:szCs w:val="22"/>
          <w:lang w:val="en-US"/>
        </w:rPr>
        <w:t>Figure II</w:t>
      </w:r>
    </w:p>
    <w:p w14:paraId="42EBC53D" w14:textId="77777777" w:rsidR="00682E12" w:rsidRPr="001921D0" w:rsidRDefault="00682E12" w:rsidP="00682E12">
      <w:pPr>
        <w:spacing w:after="160" w:line="259" w:lineRule="auto"/>
        <w:ind w:left="567"/>
        <w:jc w:val="left"/>
        <w:rPr>
          <w:rFonts w:eastAsia="Calibri"/>
          <w:b/>
          <w:bCs/>
          <w:szCs w:val="22"/>
          <w:lang w:val="en-US"/>
        </w:rPr>
      </w:pPr>
      <w:r w:rsidRPr="001921D0">
        <w:rPr>
          <w:rFonts w:eastAsia="Calibri"/>
          <w:b/>
          <w:bCs/>
          <w:szCs w:val="22"/>
          <w:lang w:val="en-US"/>
        </w:rPr>
        <w:t>Limitations faced in adopting the necessary measures to implement the Protocol</w:t>
      </w:r>
    </w:p>
    <w:p w14:paraId="22FF45B3" w14:textId="77777777" w:rsidR="005A7646" w:rsidRPr="001921D0" w:rsidRDefault="005A7646" w:rsidP="005A7646">
      <w:pPr>
        <w:spacing w:after="160" w:line="259" w:lineRule="auto"/>
        <w:ind w:left="360"/>
        <w:jc w:val="center"/>
        <w:rPr>
          <w:rFonts w:eastAsia="Calibri"/>
          <w:szCs w:val="22"/>
          <w:lang w:val="en-US"/>
        </w:rPr>
      </w:pPr>
      <w:r w:rsidRPr="001921D0">
        <w:rPr>
          <w:rFonts w:eastAsia="Calibri"/>
          <w:noProof/>
          <w:szCs w:val="22"/>
          <w:lang w:val="en-US"/>
        </w:rPr>
        <w:drawing>
          <wp:inline distT="0" distB="0" distL="0" distR="0" wp14:anchorId="001C94B9" wp14:editId="6382213F">
            <wp:extent cx="5943600" cy="2133600"/>
            <wp:effectExtent l="0" t="0" r="0" b="0"/>
            <wp:docPr id="2" name="Picture 2" descr="A picture containing colorfulness, screenshot, font,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olorfulness, screenshot, font, text&#10;&#10;Description automatically generated"/>
                    <pic:cNvPicPr/>
                  </pic:nvPicPr>
                  <pic:blipFill>
                    <a:blip r:embed="rId21">
                      <a:extLst>
                        <a:ext uri="{28A0092B-C50C-407E-A947-70E740481C1C}">
                          <a14:useLocalDpi xmlns:a14="http://schemas.microsoft.com/office/drawing/2010/main" val="0"/>
                        </a:ext>
                      </a:extLst>
                    </a:blip>
                    <a:stretch>
                      <a:fillRect/>
                    </a:stretch>
                  </pic:blipFill>
                  <pic:spPr>
                    <a:xfrm>
                      <a:off x="0" y="0"/>
                      <a:ext cx="5943600" cy="2133600"/>
                    </a:xfrm>
                    <a:prstGeom prst="rect">
                      <a:avLst/>
                    </a:prstGeom>
                  </pic:spPr>
                </pic:pic>
              </a:graphicData>
            </a:graphic>
          </wp:inline>
        </w:drawing>
      </w:r>
    </w:p>
    <w:p w14:paraId="1D30CF90" w14:textId="77777777" w:rsidR="005A7646" w:rsidRPr="001921D0" w:rsidRDefault="005A7646" w:rsidP="00B92761">
      <w:pPr>
        <w:spacing w:after="160"/>
        <w:ind w:left="567"/>
        <w:rPr>
          <w:rFonts w:eastAsia="Calibri"/>
          <w:szCs w:val="22"/>
          <w:lang w:val="en-US"/>
        </w:rPr>
      </w:pPr>
      <w:r w:rsidRPr="001921D0">
        <w:rPr>
          <w:rFonts w:eastAsia="Calibri"/>
          <w:szCs w:val="22"/>
          <w:lang w:val="en-US"/>
        </w:rPr>
        <w:t>The challenges faced by those Parties that responded to only have draft or temporary measures, or no measures at all, the breakdown is different:</w:t>
      </w:r>
    </w:p>
    <w:p w14:paraId="749776BD" w14:textId="2FC804B4" w:rsidR="005A7646" w:rsidRPr="001921D0" w:rsidRDefault="00BD6D82" w:rsidP="00B92761">
      <w:pPr>
        <w:numPr>
          <w:ilvl w:val="0"/>
          <w:numId w:val="44"/>
        </w:numPr>
        <w:ind w:left="993" w:hanging="426"/>
        <w:rPr>
          <w:rFonts w:eastAsia="Calibri"/>
          <w:szCs w:val="22"/>
          <w:lang w:val="en-US"/>
        </w:rPr>
      </w:pPr>
      <w:r w:rsidRPr="001921D0">
        <w:rPr>
          <w:rFonts w:eastAsia="Calibri"/>
          <w:szCs w:val="22"/>
          <w:lang w:val="en-US"/>
        </w:rPr>
        <w:t>L</w:t>
      </w:r>
      <w:r w:rsidR="005A7646" w:rsidRPr="001921D0">
        <w:rPr>
          <w:rFonts w:eastAsia="Calibri"/>
          <w:szCs w:val="22"/>
          <w:lang w:val="en-US"/>
        </w:rPr>
        <w:t>ack of financial resources (83 per cent; or 19 of 23 respondents)</w:t>
      </w:r>
    </w:p>
    <w:p w14:paraId="71B33009" w14:textId="27694536" w:rsidR="005A7646" w:rsidRPr="001921D0" w:rsidRDefault="00BD6D82" w:rsidP="00B92761">
      <w:pPr>
        <w:numPr>
          <w:ilvl w:val="0"/>
          <w:numId w:val="44"/>
        </w:numPr>
        <w:ind w:left="993" w:hanging="426"/>
        <w:rPr>
          <w:rFonts w:eastAsia="Calibri"/>
          <w:szCs w:val="22"/>
          <w:lang w:val="en-US"/>
        </w:rPr>
      </w:pPr>
      <w:r w:rsidRPr="001921D0">
        <w:rPr>
          <w:rFonts w:eastAsia="Calibri"/>
          <w:szCs w:val="22"/>
          <w:lang w:val="en-US"/>
        </w:rPr>
        <w:t>L</w:t>
      </w:r>
      <w:r w:rsidR="005A7646" w:rsidRPr="001921D0">
        <w:rPr>
          <w:rFonts w:eastAsia="Calibri"/>
          <w:szCs w:val="22"/>
          <w:lang w:val="en-US"/>
        </w:rPr>
        <w:t>ack of awareness on biosafety (83 per cent or 19 of 23 respondents)</w:t>
      </w:r>
    </w:p>
    <w:p w14:paraId="0246C162" w14:textId="0C90EE9B" w:rsidR="005A7646" w:rsidRPr="001921D0" w:rsidRDefault="00BD6D82" w:rsidP="00B92761">
      <w:pPr>
        <w:numPr>
          <w:ilvl w:val="0"/>
          <w:numId w:val="44"/>
        </w:numPr>
        <w:ind w:left="993" w:hanging="426"/>
        <w:rPr>
          <w:rFonts w:eastAsia="Calibri"/>
          <w:szCs w:val="22"/>
          <w:lang w:val="en-US"/>
        </w:rPr>
      </w:pPr>
      <w:r w:rsidRPr="001921D0">
        <w:rPr>
          <w:rFonts w:eastAsia="Calibri"/>
          <w:szCs w:val="22"/>
          <w:lang w:val="en-US"/>
        </w:rPr>
        <w:t>L</w:t>
      </w:r>
      <w:r w:rsidR="005A7646" w:rsidRPr="001921D0">
        <w:rPr>
          <w:rFonts w:eastAsia="Calibri"/>
          <w:szCs w:val="22"/>
          <w:lang w:val="en-US"/>
        </w:rPr>
        <w:t>ack of human resources with necessary qualifications or skills (65 per cent or 15 of 23 respondents) and lack of human resources (48 per cent or 11 of 23 respondents)</w:t>
      </w:r>
    </w:p>
    <w:p w14:paraId="6F7586AB" w14:textId="39E73EB6" w:rsidR="005A7646" w:rsidRPr="001921D0" w:rsidRDefault="00BD6D82" w:rsidP="00B92761">
      <w:pPr>
        <w:numPr>
          <w:ilvl w:val="0"/>
          <w:numId w:val="44"/>
        </w:numPr>
        <w:ind w:left="993" w:hanging="426"/>
        <w:rPr>
          <w:rFonts w:eastAsia="Calibri"/>
          <w:szCs w:val="22"/>
          <w:lang w:val="en-US"/>
        </w:rPr>
      </w:pPr>
      <w:r w:rsidRPr="001921D0">
        <w:rPr>
          <w:rFonts w:eastAsia="Calibri"/>
          <w:szCs w:val="22"/>
          <w:lang w:val="en-US"/>
        </w:rPr>
        <w:t>L</w:t>
      </w:r>
      <w:r w:rsidR="005A7646" w:rsidRPr="001921D0">
        <w:rPr>
          <w:rFonts w:eastAsia="Calibri"/>
          <w:szCs w:val="22"/>
          <w:lang w:val="en-US"/>
        </w:rPr>
        <w:t>ack of political will to adopt measures (57 per cent or 13 of 23 respondents)</w:t>
      </w:r>
    </w:p>
    <w:p w14:paraId="73C55E08" w14:textId="775431E8" w:rsidR="005A7646" w:rsidRPr="001921D0" w:rsidRDefault="005A7646" w:rsidP="00B92761">
      <w:pPr>
        <w:spacing w:before="120" w:after="120"/>
        <w:ind w:left="567"/>
        <w:rPr>
          <w:rFonts w:eastAsia="Calibri"/>
          <w:szCs w:val="22"/>
          <w:lang w:val="en-US"/>
        </w:rPr>
      </w:pPr>
      <w:r w:rsidRPr="001921D0">
        <w:rPr>
          <w:rFonts w:eastAsia="Calibri"/>
          <w:szCs w:val="22"/>
          <w:lang w:val="en-US"/>
        </w:rPr>
        <w:t>The most common challenges faced when no concrete measures were adopted were a lack of financial resources and a lack of awareness</w:t>
      </w:r>
      <w:r w:rsidR="00460AD4" w:rsidRPr="001921D0">
        <w:rPr>
          <w:rFonts w:eastAsia="Calibri"/>
          <w:szCs w:val="22"/>
          <w:lang w:val="en-US"/>
        </w:rPr>
        <w:t xml:space="preserve"> with regard to</w:t>
      </w:r>
      <w:r w:rsidR="003E48DC" w:rsidRPr="001921D0">
        <w:rPr>
          <w:rFonts w:eastAsia="Calibri"/>
          <w:szCs w:val="22"/>
          <w:lang w:val="en-US"/>
        </w:rPr>
        <w:t xml:space="preserve"> </w:t>
      </w:r>
      <w:r w:rsidRPr="001921D0">
        <w:rPr>
          <w:rFonts w:eastAsia="Calibri"/>
          <w:szCs w:val="22"/>
          <w:lang w:val="en-US"/>
        </w:rPr>
        <w:t>biosafety. The biggest difference between the challenges faced by this subgroup of respondents and the full group of respondents, is that far more respondents in the subgroup indicate</w:t>
      </w:r>
      <w:r w:rsidR="00925263">
        <w:rPr>
          <w:rFonts w:eastAsia="Calibri"/>
          <w:szCs w:val="22"/>
          <w:lang w:val="en-US"/>
        </w:rPr>
        <w:t>d</w:t>
      </w:r>
      <w:r w:rsidRPr="001921D0">
        <w:rPr>
          <w:rFonts w:eastAsia="Calibri"/>
          <w:szCs w:val="22"/>
          <w:lang w:val="en-US"/>
        </w:rPr>
        <w:t xml:space="preserve"> that political will and awareness on biosafety </w:t>
      </w:r>
      <w:r w:rsidR="00925263">
        <w:rPr>
          <w:rFonts w:eastAsia="Calibri"/>
          <w:szCs w:val="22"/>
          <w:lang w:val="en-US"/>
        </w:rPr>
        <w:t>were</w:t>
      </w:r>
      <w:r w:rsidRPr="001921D0">
        <w:rPr>
          <w:rFonts w:eastAsia="Calibri"/>
          <w:szCs w:val="22"/>
          <w:lang w:val="en-US"/>
        </w:rPr>
        <w:t xml:space="preserve"> lacking. </w:t>
      </w:r>
    </w:p>
    <w:p w14:paraId="53C1B5D0" w14:textId="0EEEC202" w:rsidR="005A7646" w:rsidRPr="001921D0" w:rsidRDefault="005A7646" w:rsidP="00B92761">
      <w:pPr>
        <w:spacing w:after="160"/>
        <w:ind w:left="567"/>
        <w:rPr>
          <w:rFonts w:eastAsia="Calibri"/>
          <w:szCs w:val="22"/>
          <w:lang w:val="en-US"/>
        </w:rPr>
      </w:pPr>
      <w:r w:rsidRPr="001921D0">
        <w:rPr>
          <w:rFonts w:eastAsia="Calibri"/>
          <w:szCs w:val="22"/>
          <w:lang w:val="en-US"/>
        </w:rPr>
        <w:t>[</w:t>
      </w:r>
      <w:r w:rsidRPr="001921D0">
        <w:rPr>
          <w:rFonts w:eastAsia="Calibri"/>
          <w:b/>
          <w:bCs/>
          <w:szCs w:val="22"/>
          <w:lang w:val="en-US"/>
        </w:rPr>
        <w:t>Question 6</w:t>
      </w:r>
      <w:r w:rsidRPr="001921D0">
        <w:rPr>
          <w:rFonts w:eastAsia="Calibri"/>
          <w:szCs w:val="22"/>
          <w:lang w:val="en-US"/>
        </w:rPr>
        <w:t>] Respondents were asked what types of support their country need</w:t>
      </w:r>
      <w:r w:rsidR="003C2475">
        <w:rPr>
          <w:rFonts w:eastAsia="Calibri"/>
          <w:szCs w:val="22"/>
          <w:lang w:val="en-US"/>
        </w:rPr>
        <w:t>ed</w:t>
      </w:r>
      <w:r w:rsidRPr="001921D0">
        <w:rPr>
          <w:rFonts w:eastAsia="Calibri"/>
          <w:szCs w:val="22"/>
          <w:lang w:val="en-US"/>
        </w:rPr>
        <w:t xml:space="preserve"> to overcome the limitations and challenges in relation to the adoption of measures necessary to implement the Protocol. While </w:t>
      </w:r>
      <w:r w:rsidR="00F63C23" w:rsidRPr="001921D0">
        <w:rPr>
          <w:rFonts w:eastAsia="Calibri"/>
          <w:szCs w:val="22"/>
          <w:lang w:val="en-US"/>
        </w:rPr>
        <w:t>19 per cent</w:t>
      </w:r>
      <w:r w:rsidR="00F63C23" w:rsidRPr="001921D0">
        <w:rPr>
          <w:rFonts w:eastAsia="Calibri"/>
          <w:szCs w:val="22"/>
          <w:lang w:val="en-US"/>
        </w:rPr>
        <w:t xml:space="preserve"> </w:t>
      </w:r>
      <w:r w:rsidR="00F63C23">
        <w:rPr>
          <w:rFonts w:eastAsia="Calibri"/>
          <w:szCs w:val="22"/>
          <w:lang w:val="en-US"/>
        </w:rPr>
        <w:t xml:space="preserve">of respondents </w:t>
      </w:r>
      <w:r w:rsidRPr="001921D0">
        <w:rPr>
          <w:rFonts w:eastAsia="Calibri"/>
          <w:szCs w:val="22"/>
          <w:lang w:val="en-US"/>
        </w:rPr>
        <w:t>(</w:t>
      </w:r>
      <w:r w:rsidR="00F63C23" w:rsidRPr="001921D0">
        <w:rPr>
          <w:rFonts w:eastAsia="Calibri"/>
          <w:szCs w:val="22"/>
          <w:lang w:val="en-US"/>
        </w:rPr>
        <w:t>19 respondents</w:t>
      </w:r>
      <w:r w:rsidRPr="001921D0">
        <w:rPr>
          <w:rFonts w:eastAsia="Calibri"/>
          <w:szCs w:val="22"/>
          <w:lang w:val="en-US"/>
        </w:rPr>
        <w:t xml:space="preserve">) indicated </w:t>
      </w:r>
      <w:r w:rsidR="00BF6D64">
        <w:rPr>
          <w:rFonts w:eastAsia="Calibri"/>
          <w:szCs w:val="22"/>
          <w:lang w:val="en-US"/>
        </w:rPr>
        <w:t>that the</w:t>
      </w:r>
      <w:r w:rsidR="00E2207F">
        <w:rPr>
          <w:rFonts w:eastAsia="Calibri"/>
          <w:szCs w:val="22"/>
          <w:lang w:val="en-US"/>
        </w:rPr>
        <w:t xml:space="preserve">y did </w:t>
      </w:r>
      <w:r w:rsidRPr="001921D0">
        <w:rPr>
          <w:rFonts w:eastAsia="Calibri"/>
          <w:szCs w:val="22"/>
          <w:lang w:val="en-US"/>
        </w:rPr>
        <w:t>not need support, 81 per cent indicated t</w:t>
      </w:r>
      <w:r w:rsidR="00F63C23">
        <w:rPr>
          <w:rFonts w:eastAsia="Calibri"/>
          <w:szCs w:val="22"/>
          <w:lang w:val="en-US"/>
        </w:rPr>
        <w:t>hey</w:t>
      </w:r>
      <w:r w:rsidRPr="001921D0">
        <w:rPr>
          <w:rFonts w:eastAsia="Calibri"/>
          <w:szCs w:val="22"/>
          <w:lang w:val="en-US"/>
        </w:rPr>
        <w:t xml:space="preserve"> need</w:t>
      </w:r>
      <w:r w:rsidR="00F63C23">
        <w:rPr>
          <w:rFonts w:eastAsia="Calibri"/>
          <w:szCs w:val="22"/>
          <w:lang w:val="en-US"/>
        </w:rPr>
        <w:t>ed</w:t>
      </w:r>
      <w:r w:rsidRPr="001921D0">
        <w:rPr>
          <w:rFonts w:eastAsia="Calibri"/>
          <w:szCs w:val="22"/>
          <w:lang w:val="en-US"/>
        </w:rPr>
        <w:t xml:space="preserve"> the following support:</w:t>
      </w:r>
    </w:p>
    <w:p w14:paraId="4968D550" w14:textId="1D2AAF93" w:rsidR="005A7646" w:rsidRPr="001921D0" w:rsidRDefault="005A7646" w:rsidP="00B92761">
      <w:pPr>
        <w:numPr>
          <w:ilvl w:val="0"/>
          <w:numId w:val="44"/>
        </w:numPr>
        <w:spacing w:after="160"/>
        <w:ind w:left="993" w:hanging="425"/>
        <w:contextualSpacing/>
        <w:rPr>
          <w:rFonts w:eastAsia="Calibri"/>
          <w:szCs w:val="22"/>
          <w:lang w:val="en-US"/>
        </w:rPr>
      </w:pPr>
      <w:r w:rsidRPr="001921D0">
        <w:rPr>
          <w:rFonts w:eastAsia="Calibri"/>
          <w:szCs w:val="22"/>
          <w:lang w:val="en-US"/>
        </w:rPr>
        <w:t>Funding (74 respondents (72 per cent))</w:t>
      </w:r>
    </w:p>
    <w:p w14:paraId="55CC355A" w14:textId="1D882F96" w:rsidR="005A7646" w:rsidRPr="001921D0" w:rsidRDefault="005A7646" w:rsidP="00B92761">
      <w:pPr>
        <w:numPr>
          <w:ilvl w:val="0"/>
          <w:numId w:val="44"/>
        </w:numPr>
        <w:spacing w:after="160"/>
        <w:ind w:left="993" w:hanging="425"/>
        <w:contextualSpacing/>
        <w:rPr>
          <w:rFonts w:eastAsia="Calibri"/>
          <w:szCs w:val="22"/>
          <w:lang w:val="en-US"/>
        </w:rPr>
      </w:pPr>
      <w:r w:rsidRPr="001921D0">
        <w:rPr>
          <w:rFonts w:eastAsia="Calibri"/>
          <w:szCs w:val="22"/>
          <w:lang w:val="en-US"/>
        </w:rPr>
        <w:t>Capacity</w:t>
      </w:r>
      <w:r w:rsidR="00C7428D" w:rsidRPr="001921D0">
        <w:rPr>
          <w:rFonts w:eastAsia="Calibri"/>
          <w:szCs w:val="22"/>
          <w:lang w:val="en-US"/>
        </w:rPr>
        <w:t>-</w:t>
      </w:r>
      <w:r w:rsidRPr="001921D0">
        <w:rPr>
          <w:rFonts w:eastAsia="Calibri"/>
          <w:szCs w:val="22"/>
          <w:lang w:val="en-US"/>
        </w:rPr>
        <w:t>building activities (71 respondents (69 per cent))</w:t>
      </w:r>
    </w:p>
    <w:p w14:paraId="1627AEFD" w14:textId="0C965E91" w:rsidR="005A7646" w:rsidRPr="001921D0" w:rsidRDefault="005A7646" w:rsidP="00B92761">
      <w:pPr>
        <w:numPr>
          <w:ilvl w:val="0"/>
          <w:numId w:val="44"/>
        </w:numPr>
        <w:spacing w:after="160"/>
        <w:ind w:left="993" w:hanging="425"/>
        <w:contextualSpacing/>
        <w:rPr>
          <w:rFonts w:eastAsia="Calibri"/>
          <w:szCs w:val="22"/>
          <w:lang w:val="en-US"/>
        </w:rPr>
      </w:pPr>
      <w:r w:rsidRPr="001921D0">
        <w:rPr>
          <w:rFonts w:eastAsia="Calibri"/>
          <w:szCs w:val="22"/>
          <w:lang w:val="en-US"/>
        </w:rPr>
        <w:t>Partnerships with countries in the region to learn from their experience (59 respondents (58 per cent))</w:t>
      </w:r>
    </w:p>
    <w:p w14:paraId="0B70EBF7" w14:textId="1D720A68" w:rsidR="005A7646" w:rsidRPr="001921D0" w:rsidRDefault="005A7646" w:rsidP="00B92761">
      <w:pPr>
        <w:numPr>
          <w:ilvl w:val="0"/>
          <w:numId w:val="44"/>
        </w:numPr>
        <w:spacing w:after="160"/>
        <w:ind w:left="993" w:hanging="425"/>
        <w:contextualSpacing/>
        <w:rPr>
          <w:rFonts w:eastAsia="Calibri"/>
          <w:szCs w:val="22"/>
          <w:lang w:val="en-US"/>
        </w:rPr>
      </w:pPr>
      <w:r w:rsidRPr="001921D0">
        <w:rPr>
          <w:rFonts w:eastAsia="Calibri"/>
          <w:szCs w:val="22"/>
          <w:lang w:val="en-US"/>
        </w:rPr>
        <w:t>Capacity</w:t>
      </w:r>
      <w:r w:rsidR="00C7428D" w:rsidRPr="001921D0">
        <w:rPr>
          <w:rFonts w:eastAsia="Calibri"/>
          <w:szCs w:val="22"/>
          <w:lang w:val="en-US"/>
        </w:rPr>
        <w:t>-</w:t>
      </w:r>
      <w:r w:rsidRPr="001921D0">
        <w:rPr>
          <w:rFonts w:eastAsia="Calibri"/>
          <w:szCs w:val="22"/>
          <w:lang w:val="en-US"/>
        </w:rPr>
        <w:t>building materials (54 respondents (53 per cent))</w:t>
      </w:r>
    </w:p>
    <w:p w14:paraId="06192439" w14:textId="3B06008A" w:rsidR="005A7646" w:rsidRPr="001921D0" w:rsidRDefault="005A7646" w:rsidP="00B92761">
      <w:pPr>
        <w:numPr>
          <w:ilvl w:val="0"/>
          <w:numId w:val="44"/>
        </w:numPr>
        <w:spacing w:after="160"/>
        <w:ind w:left="993" w:hanging="425"/>
        <w:contextualSpacing/>
        <w:rPr>
          <w:rFonts w:eastAsia="Calibri"/>
          <w:szCs w:val="22"/>
          <w:lang w:val="en-US"/>
        </w:rPr>
      </w:pPr>
      <w:r w:rsidRPr="001921D0">
        <w:rPr>
          <w:rFonts w:eastAsia="Calibri"/>
          <w:szCs w:val="22"/>
          <w:lang w:val="en-US"/>
        </w:rPr>
        <w:t>Mobilizing political awareness (48 respondents (47 per cent))</w:t>
      </w:r>
    </w:p>
    <w:p w14:paraId="0B46FC12" w14:textId="77777777" w:rsidR="00603D00" w:rsidRPr="001921D0" w:rsidRDefault="00603D00" w:rsidP="00B92761">
      <w:pPr>
        <w:ind w:left="360"/>
        <w:rPr>
          <w:rFonts w:eastAsia="Calibri"/>
          <w:szCs w:val="22"/>
          <w:lang w:val="en-US"/>
        </w:rPr>
      </w:pPr>
      <w:r w:rsidRPr="001921D0">
        <w:rPr>
          <w:rFonts w:eastAsia="Calibri"/>
          <w:szCs w:val="22"/>
          <w:lang w:val="en-US"/>
        </w:rPr>
        <w:lastRenderedPageBreak/>
        <w:t xml:space="preserve">Figure III </w:t>
      </w:r>
    </w:p>
    <w:p w14:paraId="3D40F683" w14:textId="77777777" w:rsidR="00603D00" w:rsidRPr="001921D0" w:rsidRDefault="00603D00" w:rsidP="00B92761">
      <w:pPr>
        <w:spacing w:after="160"/>
        <w:ind w:left="360"/>
        <w:jc w:val="left"/>
        <w:rPr>
          <w:b/>
          <w:bCs/>
          <w:color w:val="333333"/>
          <w:szCs w:val="22"/>
          <w:lang w:val="en-US"/>
        </w:rPr>
      </w:pPr>
      <w:r w:rsidRPr="001921D0">
        <w:rPr>
          <w:b/>
          <w:bCs/>
          <w:color w:val="333333"/>
          <w:szCs w:val="22"/>
          <w:lang w:val="en-US"/>
        </w:rPr>
        <w:t>Type of support needed to overcome challenges in adopting the measures to implement the Protocol</w:t>
      </w:r>
    </w:p>
    <w:p w14:paraId="4CE6770A" w14:textId="77777777" w:rsidR="005A7646" w:rsidRPr="001921D0" w:rsidRDefault="005A7646" w:rsidP="00B92761">
      <w:pPr>
        <w:spacing w:after="160"/>
        <w:jc w:val="center"/>
        <w:rPr>
          <w:rFonts w:eastAsia="Calibri"/>
          <w:szCs w:val="22"/>
          <w:lang w:val="en-US"/>
        </w:rPr>
      </w:pPr>
      <w:r w:rsidRPr="001921D0">
        <w:rPr>
          <w:rFonts w:eastAsia="Calibri"/>
          <w:noProof/>
          <w:szCs w:val="22"/>
          <w:lang w:val="en-US"/>
        </w:rPr>
        <w:drawing>
          <wp:inline distT="0" distB="0" distL="0" distR="0" wp14:anchorId="124255E4" wp14:editId="15E5D230">
            <wp:extent cx="5943600" cy="206502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2">
                      <a:extLst>
                        <a:ext uri="{28A0092B-C50C-407E-A947-70E740481C1C}">
                          <a14:useLocalDpi xmlns:a14="http://schemas.microsoft.com/office/drawing/2010/main" val="0"/>
                        </a:ext>
                      </a:extLst>
                    </a:blip>
                    <a:stretch>
                      <a:fillRect/>
                    </a:stretch>
                  </pic:blipFill>
                  <pic:spPr>
                    <a:xfrm>
                      <a:off x="0" y="0"/>
                      <a:ext cx="5943600" cy="2065020"/>
                    </a:xfrm>
                    <a:prstGeom prst="rect">
                      <a:avLst/>
                    </a:prstGeom>
                  </pic:spPr>
                </pic:pic>
              </a:graphicData>
            </a:graphic>
          </wp:inline>
        </w:drawing>
      </w:r>
    </w:p>
    <w:p w14:paraId="5E9D4F93" w14:textId="50B500DC" w:rsidR="005A7646" w:rsidRPr="001921D0" w:rsidRDefault="005A7646" w:rsidP="00B92761">
      <w:pPr>
        <w:spacing w:before="120" w:after="120"/>
        <w:ind w:left="567"/>
        <w:rPr>
          <w:rFonts w:eastAsia="Calibri"/>
          <w:szCs w:val="22"/>
          <w:lang w:val="en-US"/>
        </w:rPr>
      </w:pPr>
      <w:r w:rsidRPr="001921D0">
        <w:rPr>
          <w:rFonts w:eastAsia="Calibri"/>
          <w:szCs w:val="22"/>
          <w:lang w:val="en-US"/>
        </w:rPr>
        <w:t>[</w:t>
      </w:r>
      <w:r w:rsidRPr="001921D0">
        <w:rPr>
          <w:rFonts w:eastAsia="Calibri"/>
          <w:b/>
          <w:bCs/>
          <w:szCs w:val="22"/>
          <w:lang w:val="en-US"/>
        </w:rPr>
        <w:t>Question 7</w:t>
      </w:r>
      <w:r w:rsidRPr="001921D0">
        <w:rPr>
          <w:rFonts w:eastAsia="Calibri"/>
          <w:szCs w:val="22"/>
          <w:lang w:val="en-US"/>
        </w:rPr>
        <w:t>] Those respondents that indicated that their country need</w:t>
      </w:r>
      <w:r w:rsidR="001921D0">
        <w:rPr>
          <w:rFonts w:eastAsia="Calibri"/>
          <w:szCs w:val="22"/>
          <w:lang w:val="en-US"/>
        </w:rPr>
        <w:t>ed</w:t>
      </w:r>
      <w:r w:rsidRPr="001921D0">
        <w:rPr>
          <w:rFonts w:eastAsia="Calibri"/>
          <w:szCs w:val="22"/>
          <w:lang w:val="en-US"/>
        </w:rPr>
        <w:t xml:space="preserve"> capacity-building (80) identified the following areas in which capacity-building </w:t>
      </w:r>
      <w:r w:rsidR="001921D0">
        <w:rPr>
          <w:rFonts w:eastAsia="Calibri"/>
          <w:szCs w:val="22"/>
          <w:lang w:val="en-US"/>
        </w:rPr>
        <w:t>was</w:t>
      </w:r>
      <w:r w:rsidRPr="001921D0">
        <w:rPr>
          <w:rFonts w:eastAsia="Calibri"/>
          <w:szCs w:val="22"/>
          <w:lang w:val="en-US"/>
        </w:rPr>
        <w:t xml:space="preserve"> needed: </w:t>
      </w:r>
    </w:p>
    <w:p w14:paraId="5402A04E" w14:textId="7297EE35" w:rsidR="005A7646" w:rsidRPr="001921D0" w:rsidRDefault="005A7646" w:rsidP="00B92761">
      <w:pPr>
        <w:numPr>
          <w:ilvl w:val="0"/>
          <w:numId w:val="45"/>
        </w:numPr>
        <w:tabs>
          <w:tab w:val="clear" w:pos="720"/>
        </w:tabs>
        <w:ind w:left="992" w:hanging="425"/>
        <w:rPr>
          <w:rFonts w:eastAsia="Calibri"/>
          <w:szCs w:val="22"/>
          <w:lang w:val="en-US"/>
        </w:rPr>
      </w:pPr>
      <w:r w:rsidRPr="001921D0">
        <w:rPr>
          <w:rFonts w:eastAsia="Calibri"/>
          <w:szCs w:val="22"/>
          <w:lang w:val="en-US"/>
        </w:rPr>
        <w:t>Awareness</w:t>
      </w:r>
      <w:r w:rsidR="00C975E6" w:rsidRPr="001921D0">
        <w:rPr>
          <w:rFonts w:eastAsia="Calibri"/>
          <w:szCs w:val="22"/>
          <w:lang w:val="en-US"/>
        </w:rPr>
        <w:t>-</w:t>
      </w:r>
      <w:r w:rsidRPr="001921D0">
        <w:rPr>
          <w:rFonts w:eastAsia="Calibri"/>
          <w:szCs w:val="22"/>
          <w:lang w:val="en-US"/>
        </w:rPr>
        <w:t>raising (67 respondents (84 per cent)</w:t>
      </w:r>
      <w:r w:rsidRPr="001921D0">
        <w:rPr>
          <w:rFonts w:eastAsia="Calibri"/>
          <w:szCs w:val="22"/>
          <w:vertAlign w:val="superscript"/>
          <w:lang w:val="en-US"/>
        </w:rPr>
        <w:footnoteReference w:id="28"/>
      </w:r>
      <w:r w:rsidRPr="001921D0">
        <w:rPr>
          <w:rFonts w:eastAsia="Calibri"/>
          <w:szCs w:val="22"/>
          <w:lang w:val="en-US"/>
        </w:rPr>
        <w:t>)</w:t>
      </w:r>
    </w:p>
    <w:p w14:paraId="03CCAB61" w14:textId="499A5998" w:rsidR="005A7646" w:rsidRPr="001921D0" w:rsidRDefault="005A7646" w:rsidP="00B92761">
      <w:pPr>
        <w:numPr>
          <w:ilvl w:val="0"/>
          <w:numId w:val="45"/>
        </w:numPr>
        <w:tabs>
          <w:tab w:val="clear" w:pos="720"/>
        </w:tabs>
        <w:ind w:left="992" w:hanging="425"/>
        <w:rPr>
          <w:rFonts w:eastAsia="Calibri"/>
          <w:szCs w:val="22"/>
          <w:lang w:val="en-US"/>
        </w:rPr>
      </w:pPr>
      <w:r w:rsidRPr="001921D0">
        <w:rPr>
          <w:rFonts w:eastAsia="Calibri"/>
          <w:szCs w:val="22"/>
          <w:lang w:val="en-US"/>
        </w:rPr>
        <w:t>Scientific understanding of living modified organisms (67 respondents (84 per cent))</w:t>
      </w:r>
    </w:p>
    <w:p w14:paraId="5DD74FF3" w14:textId="416BFD40" w:rsidR="005A7646" w:rsidRPr="001921D0" w:rsidRDefault="005A7646" w:rsidP="00B92761">
      <w:pPr>
        <w:numPr>
          <w:ilvl w:val="0"/>
          <w:numId w:val="45"/>
        </w:numPr>
        <w:tabs>
          <w:tab w:val="clear" w:pos="720"/>
        </w:tabs>
        <w:ind w:left="992" w:hanging="425"/>
        <w:rPr>
          <w:rFonts w:eastAsia="Calibri"/>
          <w:szCs w:val="22"/>
          <w:lang w:val="en-US"/>
        </w:rPr>
      </w:pPr>
      <w:r w:rsidRPr="001921D0">
        <w:rPr>
          <w:rFonts w:eastAsia="Calibri"/>
          <w:szCs w:val="22"/>
          <w:lang w:val="en-US"/>
        </w:rPr>
        <w:t>Development of legislation (55 respondents (69 per cent))</w:t>
      </w:r>
    </w:p>
    <w:p w14:paraId="28230175" w14:textId="66DF62B4" w:rsidR="005A7646" w:rsidRPr="001921D0" w:rsidRDefault="005A7646" w:rsidP="00B92761">
      <w:pPr>
        <w:numPr>
          <w:ilvl w:val="0"/>
          <w:numId w:val="45"/>
        </w:numPr>
        <w:tabs>
          <w:tab w:val="clear" w:pos="720"/>
        </w:tabs>
        <w:ind w:left="992" w:hanging="425"/>
        <w:rPr>
          <w:rFonts w:eastAsia="Calibri"/>
          <w:szCs w:val="22"/>
          <w:lang w:val="en-US"/>
        </w:rPr>
      </w:pPr>
      <w:r w:rsidRPr="001921D0">
        <w:rPr>
          <w:rFonts w:eastAsia="Calibri"/>
          <w:szCs w:val="22"/>
          <w:lang w:val="en-US"/>
        </w:rPr>
        <w:t>Policy formulation (47 respondents (59 per cent))</w:t>
      </w:r>
    </w:p>
    <w:p w14:paraId="1110CE58" w14:textId="54FE8122" w:rsidR="005A7646" w:rsidRPr="001921D0" w:rsidRDefault="005A7646" w:rsidP="00823486">
      <w:pPr>
        <w:spacing w:before="120" w:after="120"/>
        <w:ind w:left="567"/>
        <w:rPr>
          <w:rFonts w:eastAsia="Calibri"/>
          <w:szCs w:val="22"/>
          <w:lang w:val="en-US"/>
        </w:rPr>
      </w:pPr>
      <w:r w:rsidRPr="001921D0">
        <w:rPr>
          <w:rFonts w:eastAsia="Calibri"/>
          <w:szCs w:val="22"/>
          <w:lang w:val="en-US"/>
        </w:rPr>
        <w:t>Eight respondents (10 per cent) indicated that they need</w:t>
      </w:r>
      <w:r w:rsidR="00085F79">
        <w:rPr>
          <w:rFonts w:eastAsia="Calibri"/>
          <w:szCs w:val="22"/>
          <w:lang w:val="en-US"/>
        </w:rPr>
        <w:t>ed</w:t>
      </w:r>
      <w:r w:rsidRPr="001921D0">
        <w:rPr>
          <w:rFonts w:eastAsia="Calibri"/>
          <w:szCs w:val="22"/>
          <w:lang w:val="en-US"/>
        </w:rPr>
        <w:t xml:space="preserve"> capacity</w:t>
      </w:r>
      <w:r w:rsidR="00C975E6" w:rsidRPr="001921D0">
        <w:rPr>
          <w:rFonts w:eastAsia="Calibri"/>
          <w:szCs w:val="22"/>
          <w:lang w:val="en-US"/>
        </w:rPr>
        <w:t>-</w:t>
      </w:r>
      <w:r w:rsidRPr="001921D0">
        <w:rPr>
          <w:rFonts w:eastAsia="Calibri"/>
          <w:szCs w:val="22"/>
          <w:lang w:val="en-US"/>
        </w:rPr>
        <w:t>building in other areas, including in the following areas: LMO detection methods</w:t>
      </w:r>
      <w:r w:rsidR="00C975E6" w:rsidRPr="001921D0">
        <w:rPr>
          <w:rFonts w:eastAsia="Calibri"/>
          <w:szCs w:val="22"/>
          <w:lang w:val="en-US"/>
        </w:rPr>
        <w:t>,</w:t>
      </w:r>
      <w:r w:rsidRPr="001921D0">
        <w:rPr>
          <w:rFonts w:eastAsia="Calibri"/>
          <w:szCs w:val="22"/>
          <w:lang w:val="en-US"/>
        </w:rPr>
        <w:t xml:space="preserve"> risk assessment of new LMOs (including synbio organisms)</w:t>
      </w:r>
      <w:r w:rsidR="00C975E6" w:rsidRPr="001921D0">
        <w:rPr>
          <w:rFonts w:eastAsia="Calibri"/>
          <w:szCs w:val="22"/>
          <w:lang w:val="en-US"/>
        </w:rPr>
        <w:t>,</w:t>
      </w:r>
      <w:r w:rsidRPr="001921D0">
        <w:rPr>
          <w:rFonts w:eastAsia="Calibri"/>
          <w:szCs w:val="22"/>
          <w:lang w:val="en-US"/>
        </w:rPr>
        <w:t xml:space="preserve"> development of country-specific criteria for socioeconomic consideration</w:t>
      </w:r>
      <w:r w:rsidR="00C975E6" w:rsidRPr="001921D0">
        <w:rPr>
          <w:rFonts w:eastAsia="Calibri"/>
          <w:szCs w:val="22"/>
          <w:lang w:val="en-US"/>
        </w:rPr>
        <w:t>,</w:t>
      </w:r>
      <w:r w:rsidRPr="001921D0">
        <w:rPr>
          <w:rFonts w:eastAsia="Calibri"/>
          <w:szCs w:val="22"/>
          <w:lang w:val="en-US"/>
        </w:rPr>
        <w:t xml:space="preserve"> and developing guidance documents on emerging biosafety issues. </w:t>
      </w:r>
    </w:p>
    <w:p w14:paraId="233756B9" w14:textId="77777777" w:rsidR="003030EF" w:rsidRPr="001921D0" w:rsidRDefault="003030EF" w:rsidP="00B92761">
      <w:pPr>
        <w:spacing w:before="120"/>
        <w:ind w:left="567"/>
        <w:jc w:val="left"/>
        <w:rPr>
          <w:rFonts w:eastAsia="Calibri"/>
          <w:szCs w:val="22"/>
          <w:lang w:val="en-US"/>
        </w:rPr>
      </w:pPr>
      <w:r w:rsidRPr="001921D0">
        <w:rPr>
          <w:rFonts w:eastAsia="Calibri"/>
          <w:szCs w:val="22"/>
          <w:lang w:val="en-US"/>
        </w:rPr>
        <w:t>Figure IV</w:t>
      </w:r>
    </w:p>
    <w:p w14:paraId="1D06C210" w14:textId="77777777" w:rsidR="003030EF" w:rsidRPr="001921D0" w:rsidRDefault="003030EF" w:rsidP="00B92761">
      <w:pPr>
        <w:spacing w:after="120"/>
        <w:ind w:left="567"/>
        <w:jc w:val="left"/>
        <w:rPr>
          <w:rFonts w:eastAsia="Calibri"/>
          <w:b/>
          <w:bCs/>
          <w:szCs w:val="22"/>
          <w:lang w:val="en-US"/>
        </w:rPr>
      </w:pPr>
      <w:r w:rsidRPr="001921D0">
        <w:rPr>
          <w:rFonts w:eastAsia="Calibri"/>
          <w:b/>
          <w:bCs/>
          <w:szCs w:val="22"/>
          <w:lang w:val="en-US"/>
        </w:rPr>
        <w:t>Areas in which respondents indicated to require capacity-building (80 respondents)</w:t>
      </w:r>
    </w:p>
    <w:p w14:paraId="4CC8BB2B" w14:textId="77777777" w:rsidR="005A7646" w:rsidRPr="001921D0" w:rsidRDefault="005A7646" w:rsidP="00B92761">
      <w:pPr>
        <w:spacing w:after="160"/>
        <w:jc w:val="center"/>
        <w:rPr>
          <w:rFonts w:eastAsia="Calibri"/>
          <w:szCs w:val="22"/>
          <w:lang w:val="en-US"/>
        </w:rPr>
      </w:pPr>
      <w:r w:rsidRPr="001921D0">
        <w:rPr>
          <w:rFonts w:eastAsia="Calibri"/>
          <w:noProof/>
          <w:szCs w:val="22"/>
          <w:lang w:val="en-US"/>
        </w:rPr>
        <w:drawing>
          <wp:inline distT="0" distB="0" distL="0" distR="0" wp14:anchorId="2CBD446B" wp14:editId="73F6938F">
            <wp:extent cx="5943600" cy="175196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3">
                      <a:extLst>
                        <a:ext uri="{28A0092B-C50C-407E-A947-70E740481C1C}">
                          <a14:useLocalDpi xmlns:a14="http://schemas.microsoft.com/office/drawing/2010/main" val="0"/>
                        </a:ext>
                      </a:extLst>
                    </a:blip>
                    <a:stretch>
                      <a:fillRect/>
                    </a:stretch>
                  </pic:blipFill>
                  <pic:spPr>
                    <a:xfrm>
                      <a:off x="0" y="0"/>
                      <a:ext cx="5943600" cy="1751965"/>
                    </a:xfrm>
                    <a:prstGeom prst="rect">
                      <a:avLst/>
                    </a:prstGeom>
                  </pic:spPr>
                </pic:pic>
              </a:graphicData>
            </a:graphic>
          </wp:inline>
        </w:drawing>
      </w:r>
    </w:p>
    <w:p w14:paraId="23CB1F7E" w14:textId="603F7D34" w:rsidR="005A7646" w:rsidRPr="001921D0" w:rsidRDefault="005A7646" w:rsidP="00B92761">
      <w:pPr>
        <w:spacing w:before="120" w:after="160"/>
        <w:ind w:left="567"/>
        <w:rPr>
          <w:rFonts w:eastAsia="Calibri"/>
          <w:szCs w:val="22"/>
          <w:lang w:val="en-US"/>
        </w:rPr>
      </w:pPr>
      <w:r w:rsidRPr="001921D0">
        <w:rPr>
          <w:rFonts w:eastAsia="Calibri"/>
          <w:szCs w:val="22"/>
          <w:lang w:val="en-US"/>
        </w:rPr>
        <w:t>[</w:t>
      </w:r>
      <w:r w:rsidRPr="001921D0">
        <w:rPr>
          <w:rFonts w:eastAsia="Calibri"/>
          <w:b/>
          <w:bCs/>
          <w:szCs w:val="22"/>
          <w:lang w:val="en-US"/>
        </w:rPr>
        <w:t xml:space="preserve">Question </w:t>
      </w:r>
      <w:r w:rsidR="006A554A" w:rsidRPr="001921D0">
        <w:rPr>
          <w:rFonts w:eastAsia="Calibri"/>
          <w:b/>
          <w:bCs/>
          <w:szCs w:val="22"/>
          <w:lang w:val="en-US"/>
        </w:rPr>
        <w:t>8</w:t>
      </w:r>
      <w:r w:rsidRPr="001921D0">
        <w:rPr>
          <w:rFonts w:eastAsia="Calibri"/>
          <w:szCs w:val="22"/>
          <w:lang w:val="en-US"/>
        </w:rPr>
        <w:t>] Respondents also indicated to need further support from the Compliance Committee. Most responses can be grouped in the following categories:</w:t>
      </w:r>
    </w:p>
    <w:p w14:paraId="4283EC41" w14:textId="29A65C95" w:rsidR="005A7646" w:rsidRPr="001921D0" w:rsidRDefault="005A7646" w:rsidP="00B92761">
      <w:pPr>
        <w:numPr>
          <w:ilvl w:val="0"/>
          <w:numId w:val="45"/>
        </w:numPr>
        <w:tabs>
          <w:tab w:val="clear" w:pos="720"/>
        </w:tabs>
        <w:ind w:left="992" w:hanging="357"/>
        <w:rPr>
          <w:rFonts w:eastAsia="Calibri"/>
          <w:szCs w:val="22"/>
          <w:lang w:val="en-US"/>
        </w:rPr>
      </w:pPr>
      <w:r w:rsidRPr="001921D0">
        <w:rPr>
          <w:rFonts w:eastAsia="Calibri"/>
          <w:szCs w:val="22"/>
          <w:lang w:val="en-US"/>
        </w:rPr>
        <w:t>Capacity</w:t>
      </w:r>
      <w:r w:rsidR="00823486" w:rsidRPr="001921D0">
        <w:rPr>
          <w:rFonts w:eastAsia="Calibri"/>
          <w:szCs w:val="22"/>
          <w:lang w:val="en-US"/>
        </w:rPr>
        <w:t>-</w:t>
      </w:r>
      <w:r w:rsidRPr="001921D0">
        <w:rPr>
          <w:rFonts w:eastAsia="Calibri"/>
          <w:szCs w:val="22"/>
          <w:lang w:val="en-US"/>
        </w:rPr>
        <w:t>building: 14 respondents indicated that they need</w:t>
      </w:r>
      <w:r w:rsidR="00085F79">
        <w:rPr>
          <w:rFonts w:eastAsia="Calibri"/>
          <w:szCs w:val="22"/>
          <w:lang w:val="en-US"/>
        </w:rPr>
        <w:t>ed</w:t>
      </w:r>
      <w:r w:rsidRPr="001921D0">
        <w:rPr>
          <w:rFonts w:eastAsia="Calibri"/>
          <w:szCs w:val="22"/>
          <w:lang w:val="en-US"/>
        </w:rPr>
        <w:t xml:space="preserve"> capacity-building, including on LMO identification, risk assessment, scientific understanding of the Protocol, and development of legislation</w:t>
      </w:r>
    </w:p>
    <w:p w14:paraId="5A0B5E64" w14:textId="701F9584" w:rsidR="005A7646" w:rsidRPr="001921D0" w:rsidRDefault="005A7646" w:rsidP="00B92761">
      <w:pPr>
        <w:numPr>
          <w:ilvl w:val="0"/>
          <w:numId w:val="45"/>
        </w:numPr>
        <w:tabs>
          <w:tab w:val="clear" w:pos="720"/>
        </w:tabs>
        <w:ind w:left="992" w:hanging="357"/>
        <w:rPr>
          <w:rFonts w:eastAsia="Calibri"/>
          <w:szCs w:val="22"/>
          <w:lang w:val="en-US"/>
        </w:rPr>
      </w:pPr>
      <w:r w:rsidRPr="001921D0">
        <w:rPr>
          <w:rFonts w:eastAsia="Calibri"/>
          <w:szCs w:val="22"/>
          <w:lang w:val="en-US"/>
        </w:rPr>
        <w:t xml:space="preserve">Funding: </w:t>
      </w:r>
      <w:r w:rsidR="00372C6F" w:rsidRPr="001921D0">
        <w:rPr>
          <w:rFonts w:eastAsia="Calibri"/>
          <w:szCs w:val="22"/>
          <w:lang w:val="en-US"/>
        </w:rPr>
        <w:t xml:space="preserve">Six </w:t>
      </w:r>
      <w:r w:rsidRPr="001921D0">
        <w:rPr>
          <w:rFonts w:eastAsia="Calibri"/>
          <w:szCs w:val="22"/>
          <w:lang w:val="en-US"/>
        </w:rPr>
        <w:t xml:space="preserve">respondents indicated that they would need financial support to help their country implement the Protocol, including financial support for attending </w:t>
      </w:r>
      <w:r w:rsidR="00F67002" w:rsidRPr="001921D0">
        <w:rPr>
          <w:rFonts w:eastAsia="Calibri"/>
          <w:szCs w:val="22"/>
          <w:lang w:val="en-US"/>
        </w:rPr>
        <w:t>meetings of the Conference of the Parties serving as the meeting of the Parties to the Protocol</w:t>
      </w:r>
      <w:r w:rsidRPr="001921D0">
        <w:rPr>
          <w:rFonts w:eastAsia="Calibri"/>
          <w:szCs w:val="22"/>
          <w:lang w:val="en-US"/>
        </w:rPr>
        <w:t xml:space="preserve"> and for the development of </w:t>
      </w:r>
      <w:r w:rsidRPr="001921D0">
        <w:rPr>
          <w:rFonts w:eastAsia="Calibri"/>
          <w:szCs w:val="22"/>
          <w:lang w:val="en-US"/>
        </w:rPr>
        <w:lastRenderedPageBreak/>
        <w:t>biosafety legislation. Respondents also stressed the need for facilitated access to resources</w:t>
      </w:r>
      <w:r w:rsidR="00372C6F" w:rsidRPr="001921D0">
        <w:rPr>
          <w:rFonts w:eastAsia="Calibri"/>
          <w:szCs w:val="22"/>
          <w:lang w:val="en-US"/>
        </w:rPr>
        <w:t xml:space="preserve"> from the Global Environment Facility</w:t>
      </w:r>
    </w:p>
    <w:p w14:paraId="013107EF" w14:textId="1F50D83B" w:rsidR="005A7646" w:rsidRPr="001921D0" w:rsidRDefault="005A7646" w:rsidP="00B92761">
      <w:pPr>
        <w:numPr>
          <w:ilvl w:val="0"/>
          <w:numId w:val="45"/>
        </w:numPr>
        <w:tabs>
          <w:tab w:val="clear" w:pos="720"/>
        </w:tabs>
        <w:ind w:left="992" w:hanging="357"/>
        <w:rPr>
          <w:rFonts w:eastAsia="Calibri"/>
          <w:szCs w:val="22"/>
          <w:lang w:val="en-US"/>
        </w:rPr>
      </w:pPr>
      <w:r w:rsidRPr="001921D0">
        <w:rPr>
          <w:rFonts w:eastAsia="Calibri"/>
          <w:szCs w:val="22"/>
          <w:lang w:val="en-US"/>
        </w:rPr>
        <w:t>Awareness</w:t>
      </w:r>
      <w:r w:rsidR="00FB1631" w:rsidRPr="001921D0">
        <w:rPr>
          <w:rFonts w:eastAsia="Calibri"/>
          <w:szCs w:val="22"/>
          <w:lang w:val="en-US"/>
        </w:rPr>
        <w:t>-</w:t>
      </w:r>
      <w:r w:rsidRPr="001921D0">
        <w:rPr>
          <w:rFonts w:eastAsia="Calibri"/>
          <w:szCs w:val="22"/>
          <w:lang w:val="en-US"/>
        </w:rPr>
        <w:t>raising: three respondents stated that their country need</w:t>
      </w:r>
      <w:r w:rsidR="00540579">
        <w:rPr>
          <w:rFonts w:eastAsia="Calibri"/>
          <w:szCs w:val="22"/>
          <w:lang w:val="en-US"/>
        </w:rPr>
        <w:t>ed</w:t>
      </w:r>
      <w:r w:rsidRPr="001921D0">
        <w:rPr>
          <w:rFonts w:eastAsia="Calibri"/>
          <w:szCs w:val="22"/>
          <w:lang w:val="en-US"/>
        </w:rPr>
        <w:t xml:space="preserve"> support for raising awareness about biosafety and the Protocol among policymakers and decision makers</w:t>
      </w:r>
    </w:p>
    <w:p w14:paraId="0BBA3A79" w14:textId="561E03BB" w:rsidR="005A7646" w:rsidRPr="001921D0" w:rsidRDefault="005A7646" w:rsidP="00B92761">
      <w:pPr>
        <w:numPr>
          <w:ilvl w:val="0"/>
          <w:numId w:val="45"/>
        </w:numPr>
        <w:tabs>
          <w:tab w:val="clear" w:pos="720"/>
        </w:tabs>
        <w:ind w:left="992" w:hanging="357"/>
        <w:rPr>
          <w:rFonts w:eastAsia="Calibri"/>
          <w:szCs w:val="22"/>
          <w:lang w:val="en-US"/>
        </w:rPr>
      </w:pPr>
      <w:r w:rsidRPr="001921D0">
        <w:rPr>
          <w:rFonts w:eastAsia="Calibri"/>
          <w:szCs w:val="22"/>
          <w:lang w:val="en-US"/>
        </w:rPr>
        <w:t>Exchange of experience: two respondents indicated that sharing experiences and best practices with other countries in the region should be facilitated</w:t>
      </w:r>
    </w:p>
    <w:p w14:paraId="0261FBBE" w14:textId="781466E7" w:rsidR="005A7646" w:rsidRPr="001921D0" w:rsidRDefault="005A7646" w:rsidP="00B92761">
      <w:pPr>
        <w:spacing w:before="120" w:after="120"/>
        <w:ind w:left="567"/>
        <w:rPr>
          <w:rFonts w:eastAsia="Calibri"/>
          <w:szCs w:val="22"/>
          <w:lang w:val="en-US"/>
        </w:rPr>
      </w:pPr>
      <w:r w:rsidRPr="001921D0">
        <w:rPr>
          <w:rFonts w:eastAsia="Calibri"/>
          <w:szCs w:val="22"/>
          <w:lang w:val="en-US"/>
        </w:rPr>
        <w:t>Respondents brought up other areas where they felt their country need</w:t>
      </w:r>
      <w:r w:rsidR="00540579">
        <w:rPr>
          <w:rFonts w:eastAsia="Calibri"/>
          <w:szCs w:val="22"/>
          <w:lang w:val="en-US"/>
        </w:rPr>
        <w:t>ed</w:t>
      </w:r>
      <w:r w:rsidRPr="001921D0">
        <w:rPr>
          <w:rFonts w:eastAsia="Calibri"/>
          <w:szCs w:val="22"/>
          <w:lang w:val="en-US"/>
        </w:rPr>
        <w:t xml:space="preserve"> support from the Compliance Committee, including on LMO identification and policy support.</w:t>
      </w:r>
    </w:p>
    <w:p w14:paraId="04035BF4" w14:textId="73C76B2C" w:rsidR="005A7646" w:rsidRPr="001921D0" w:rsidRDefault="005A7646" w:rsidP="00B92761">
      <w:pPr>
        <w:spacing w:after="160"/>
        <w:ind w:left="567"/>
        <w:rPr>
          <w:rFonts w:eastAsia="Calibri"/>
          <w:szCs w:val="22"/>
          <w:lang w:val="en-US"/>
        </w:rPr>
      </w:pPr>
      <w:r w:rsidRPr="001921D0">
        <w:rPr>
          <w:rFonts w:eastAsia="Calibri"/>
          <w:szCs w:val="22"/>
          <w:lang w:val="en-US"/>
        </w:rPr>
        <w:t>[</w:t>
      </w:r>
      <w:r w:rsidRPr="001921D0">
        <w:rPr>
          <w:rFonts w:eastAsia="Calibri"/>
          <w:b/>
          <w:bCs/>
          <w:szCs w:val="22"/>
          <w:lang w:val="en-US"/>
        </w:rPr>
        <w:t xml:space="preserve">Question </w:t>
      </w:r>
      <w:r w:rsidR="006A554A" w:rsidRPr="001921D0">
        <w:rPr>
          <w:rFonts w:eastAsia="Calibri"/>
          <w:b/>
          <w:bCs/>
          <w:szCs w:val="22"/>
          <w:lang w:val="en-US"/>
        </w:rPr>
        <w:t>9</w:t>
      </w:r>
      <w:r w:rsidRPr="001921D0">
        <w:rPr>
          <w:rFonts w:eastAsia="Calibri"/>
          <w:szCs w:val="22"/>
          <w:lang w:val="en-US"/>
        </w:rPr>
        <w:t>] Parties provided further information on limitations in fulfilling their obligations.</w:t>
      </w:r>
      <w:r w:rsidRPr="001921D0">
        <w:rPr>
          <w:rFonts w:eastAsia="Calibri"/>
          <w:b/>
          <w:bCs/>
          <w:szCs w:val="22"/>
          <w:lang w:val="en-US"/>
        </w:rPr>
        <w:t xml:space="preserve"> </w:t>
      </w:r>
      <w:r w:rsidRPr="001921D0">
        <w:rPr>
          <w:rFonts w:eastAsia="Calibri"/>
          <w:szCs w:val="22"/>
          <w:lang w:val="en-US"/>
        </w:rPr>
        <w:t>Most of the responses can be grouped together under the following categories:</w:t>
      </w:r>
    </w:p>
    <w:p w14:paraId="0FEB4E67" w14:textId="58820AC7" w:rsidR="005A7646" w:rsidRPr="001921D0" w:rsidRDefault="005A7646" w:rsidP="00B92761">
      <w:pPr>
        <w:numPr>
          <w:ilvl w:val="0"/>
          <w:numId w:val="45"/>
        </w:numPr>
        <w:tabs>
          <w:tab w:val="clear" w:pos="720"/>
        </w:tabs>
        <w:spacing w:after="160"/>
        <w:ind w:left="993" w:hanging="426"/>
        <w:contextualSpacing/>
        <w:rPr>
          <w:rFonts w:eastAsia="Calibri"/>
          <w:szCs w:val="22"/>
          <w:lang w:val="en-US"/>
        </w:rPr>
      </w:pPr>
      <w:r w:rsidRPr="001921D0">
        <w:rPr>
          <w:rFonts w:eastAsia="Calibri"/>
          <w:szCs w:val="22"/>
          <w:lang w:val="en-US"/>
        </w:rPr>
        <w:t>Resources: many respondents indicated to need additional financial resources, staff, and training to effectively implement the Cartagena Protocol on Biosafety</w:t>
      </w:r>
    </w:p>
    <w:p w14:paraId="512B76B6" w14:textId="073A0E79" w:rsidR="005A7646" w:rsidRPr="001921D0" w:rsidRDefault="005A7646" w:rsidP="00B92761">
      <w:pPr>
        <w:numPr>
          <w:ilvl w:val="0"/>
          <w:numId w:val="45"/>
        </w:numPr>
        <w:tabs>
          <w:tab w:val="clear" w:pos="720"/>
        </w:tabs>
        <w:spacing w:after="160"/>
        <w:ind w:left="993" w:hanging="426"/>
        <w:contextualSpacing/>
        <w:rPr>
          <w:rFonts w:eastAsia="Calibri"/>
          <w:szCs w:val="22"/>
          <w:lang w:val="en-US"/>
        </w:rPr>
      </w:pPr>
      <w:r w:rsidRPr="001921D0">
        <w:rPr>
          <w:rFonts w:eastAsia="Calibri"/>
          <w:szCs w:val="22"/>
          <w:lang w:val="en-US"/>
        </w:rPr>
        <w:t xml:space="preserve">Political will: several respondents stated that the lack of political </w:t>
      </w:r>
      <w:r w:rsidR="00BB598A">
        <w:rPr>
          <w:rFonts w:eastAsia="Calibri"/>
          <w:szCs w:val="22"/>
          <w:lang w:val="en-US"/>
        </w:rPr>
        <w:t>wa</w:t>
      </w:r>
      <w:r w:rsidRPr="001921D0">
        <w:rPr>
          <w:rFonts w:eastAsia="Calibri"/>
          <w:szCs w:val="22"/>
          <w:lang w:val="en-US"/>
        </w:rPr>
        <w:t>s a significant barrier to the successful implementation of the Protocol</w:t>
      </w:r>
    </w:p>
    <w:p w14:paraId="0B7602A5" w14:textId="669D0C5F" w:rsidR="005A7646" w:rsidRPr="001921D0" w:rsidRDefault="005A7646" w:rsidP="00B92761">
      <w:pPr>
        <w:numPr>
          <w:ilvl w:val="0"/>
          <w:numId w:val="45"/>
        </w:numPr>
        <w:tabs>
          <w:tab w:val="clear" w:pos="720"/>
        </w:tabs>
        <w:spacing w:after="160"/>
        <w:ind w:left="993" w:hanging="426"/>
        <w:contextualSpacing/>
        <w:rPr>
          <w:rFonts w:eastAsia="Calibri"/>
          <w:szCs w:val="22"/>
          <w:lang w:val="en-US"/>
        </w:rPr>
      </w:pPr>
      <w:r w:rsidRPr="001921D0">
        <w:rPr>
          <w:rFonts w:eastAsia="Calibri"/>
          <w:szCs w:val="22"/>
          <w:lang w:val="en-US"/>
        </w:rPr>
        <w:t xml:space="preserve">Challenges related to legislation and institutions: some respondents indicated that there were delays in the adoption of legislation, others mentioned there </w:t>
      </w:r>
      <w:r w:rsidR="00BB598A">
        <w:rPr>
          <w:rFonts w:eastAsia="Calibri"/>
          <w:szCs w:val="22"/>
          <w:lang w:val="en-US"/>
        </w:rPr>
        <w:t>wa</w:t>
      </w:r>
      <w:r w:rsidRPr="001921D0">
        <w:rPr>
          <w:rFonts w:eastAsia="Calibri"/>
          <w:szCs w:val="22"/>
          <w:lang w:val="en-US"/>
        </w:rPr>
        <w:t>s a need for better coordination between different institutions</w:t>
      </w:r>
    </w:p>
    <w:p w14:paraId="20F13D78" w14:textId="0581054D" w:rsidR="005A7646" w:rsidRPr="001921D0" w:rsidRDefault="005A7646" w:rsidP="00B92761">
      <w:pPr>
        <w:numPr>
          <w:ilvl w:val="0"/>
          <w:numId w:val="45"/>
        </w:numPr>
        <w:tabs>
          <w:tab w:val="clear" w:pos="720"/>
        </w:tabs>
        <w:ind w:left="992" w:hanging="425"/>
        <w:rPr>
          <w:rFonts w:eastAsia="Calibri"/>
          <w:b/>
          <w:bCs/>
          <w:szCs w:val="22"/>
          <w:lang w:val="en-US"/>
        </w:rPr>
      </w:pPr>
      <w:r w:rsidRPr="001921D0">
        <w:rPr>
          <w:rFonts w:eastAsia="Calibri"/>
          <w:szCs w:val="22"/>
          <w:lang w:val="en-US"/>
        </w:rPr>
        <w:t xml:space="preserve">Limited awareness and education: several respondents indicated that limited awareness and education about biosafety and LMOs </w:t>
      </w:r>
      <w:r w:rsidR="001035C1">
        <w:rPr>
          <w:rFonts w:eastAsia="Calibri"/>
          <w:szCs w:val="22"/>
          <w:lang w:val="en-US"/>
        </w:rPr>
        <w:t>wa</w:t>
      </w:r>
      <w:r w:rsidRPr="001921D0">
        <w:rPr>
          <w:rFonts w:eastAsia="Calibri"/>
          <w:szCs w:val="22"/>
          <w:lang w:val="en-US"/>
        </w:rPr>
        <w:t>s a key challenge, both among policymakers and the public</w:t>
      </w:r>
    </w:p>
    <w:p w14:paraId="61CFF91C" w14:textId="3E1BB5F4" w:rsidR="005A7646" w:rsidRPr="001921D0" w:rsidRDefault="007F2E16" w:rsidP="00B92761">
      <w:pPr>
        <w:spacing w:before="240" w:after="120"/>
        <w:ind w:left="567" w:hanging="567"/>
        <w:jc w:val="left"/>
        <w:rPr>
          <w:rFonts w:eastAsia="Calibri"/>
          <w:b/>
          <w:bCs/>
          <w:szCs w:val="22"/>
          <w:lang w:val="en-US"/>
        </w:rPr>
      </w:pPr>
      <w:r w:rsidRPr="001921D0">
        <w:rPr>
          <w:rFonts w:eastAsia="Calibri"/>
          <w:b/>
          <w:bCs/>
          <w:szCs w:val="22"/>
          <w:lang w:val="en-US"/>
        </w:rPr>
        <w:t>2.</w:t>
      </w:r>
      <w:r w:rsidRPr="001921D0">
        <w:rPr>
          <w:rFonts w:eastAsia="Calibri"/>
          <w:b/>
          <w:bCs/>
          <w:szCs w:val="22"/>
          <w:lang w:val="en-US"/>
        </w:rPr>
        <w:tab/>
      </w:r>
      <w:r w:rsidR="005A7646" w:rsidRPr="001921D0">
        <w:rPr>
          <w:rFonts w:eastAsia="Calibri"/>
          <w:b/>
          <w:bCs/>
          <w:szCs w:val="22"/>
          <w:lang w:val="en-US"/>
        </w:rPr>
        <w:t>Limitations and challenges in submitting the fourth national reports in a timely manner</w:t>
      </w:r>
    </w:p>
    <w:p w14:paraId="0294A32F" w14:textId="6841CB94" w:rsidR="005A7646" w:rsidRPr="001921D0" w:rsidRDefault="005A7646" w:rsidP="003B7E0C">
      <w:pPr>
        <w:spacing w:after="160"/>
        <w:ind w:left="567"/>
        <w:rPr>
          <w:rFonts w:eastAsia="Calibri"/>
          <w:szCs w:val="22"/>
          <w:lang w:val="en-US"/>
        </w:rPr>
      </w:pPr>
      <w:r w:rsidRPr="001921D0">
        <w:rPr>
          <w:rFonts w:eastAsia="Calibri"/>
          <w:szCs w:val="22"/>
          <w:lang w:val="en-US"/>
        </w:rPr>
        <w:t>[</w:t>
      </w:r>
      <w:r w:rsidRPr="001921D0">
        <w:rPr>
          <w:rFonts w:eastAsia="Calibri"/>
          <w:b/>
          <w:bCs/>
          <w:szCs w:val="22"/>
          <w:lang w:val="en-US"/>
        </w:rPr>
        <w:t xml:space="preserve">Question </w:t>
      </w:r>
      <w:r w:rsidR="006A554A" w:rsidRPr="001921D0">
        <w:rPr>
          <w:rFonts w:eastAsia="Calibri"/>
          <w:b/>
          <w:bCs/>
          <w:szCs w:val="22"/>
          <w:lang w:val="en-US"/>
        </w:rPr>
        <w:t>10</w:t>
      </w:r>
      <w:r w:rsidRPr="001921D0">
        <w:rPr>
          <w:rFonts w:eastAsia="Calibri"/>
          <w:szCs w:val="22"/>
          <w:lang w:val="en-US"/>
        </w:rPr>
        <w:t xml:space="preserve">] Eighty-one respondents (79 per cent) indicated that their country </w:t>
      </w:r>
      <w:r w:rsidR="00456E56">
        <w:rPr>
          <w:rFonts w:eastAsia="Calibri"/>
          <w:szCs w:val="22"/>
          <w:lang w:val="en-US"/>
        </w:rPr>
        <w:t xml:space="preserve">had </w:t>
      </w:r>
      <w:r w:rsidRPr="001921D0">
        <w:rPr>
          <w:rFonts w:eastAsia="Calibri"/>
          <w:szCs w:val="22"/>
          <w:lang w:val="en-US"/>
        </w:rPr>
        <w:t xml:space="preserve">submitted its fourth national report in time. Twenty-one respondents (21 per cent) indicated </w:t>
      </w:r>
      <w:r w:rsidR="008907F3">
        <w:rPr>
          <w:rFonts w:eastAsia="Calibri"/>
          <w:szCs w:val="22"/>
          <w:lang w:val="en-US"/>
        </w:rPr>
        <w:t>that they</w:t>
      </w:r>
      <w:r w:rsidRPr="001921D0">
        <w:rPr>
          <w:rFonts w:eastAsia="Calibri"/>
          <w:szCs w:val="22"/>
          <w:lang w:val="en-US"/>
        </w:rPr>
        <w:t xml:space="preserve"> ha</w:t>
      </w:r>
      <w:r w:rsidR="008907F3">
        <w:rPr>
          <w:rFonts w:eastAsia="Calibri"/>
          <w:szCs w:val="22"/>
          <w:lang w:val="en-US"/>
        </w:rPr>
        <w:t>d not</w:t>
      </w:r>
      <w:r w:rsidRPr="001921D0">
        <w:rPr>
          <w:rFonts w:eastAsia="Calibri"/>
          <w:szCs w:val="22"/>
          <w:lang w:val="en-US"/>
        </w:rPr>
        <w:t xml:space="preserve"> done so.</w:t>
      </w:r>
      <w:r w:rsidRPr="001921D0">
        <w:rPr>
          <w:rFonts w:eastAsia="Calibri"/>
          <w:szCs w:val="22"/>
          <w:vertAlign w:val="superscript"/>
          <w:lang w:val="en-US"/>
        </w:rPr>
        <w:footnoteReference w:id="29"/>
      </w:r>
      <w:r w:rsidRPr="001921D0">
        <w:rPr>
          <w:rFonts w:eastAsia="Calibri"/>
          <w:szCs w:val="22"/>
          <w:lang w:val="en-US"/>
        </w:rPr>
        <w:t xml:space="preserve"> </w:t>
      </w:r>
    </w:p>
    <w:p w14:paraId="0EDC9DA7" w14:textId="787841ED" w:rsidR="00384FA8" w:rsidRPr="001921D0" w:rsidRDefault="00384FA8" w:rsidP="00B92761">
      <w:pPr>
        <w:ind w:left="567"/>
        <w:jc w:val="left"/>
        <w:rPr>
          <w:rFonts w:eastAsia="Calibri"/>
          <w:szCs w:val="22"/>
          <w:lang w:val="en-US"/>
        </w:rPr>
      </w:pPr>
      <w:r w:rsidRPr="001921D0">
        <w:rPr>
          <w:rFonts w:eastAsia="Calibri"/>
          <w:szCs w:val="22"/>
          <w:lang w:val="en-US"/>
        </w:rPr>
        <w:t>Figure V</w:t>
      </w:r>
    </w:p>
    <w:p w14:paraId="3E078AAB" w14:textId="38861443" w:rsidR="00384FA8" w:rsidRPr="001921D0" w:rsidRDefault="00384FA8" w:rsidP="00B92761">
      <w:pPr>
        <w:spacing w:after="160"/>
        <w:ind w:left="567"/>
        <w:jc w:val="left"/>
        <w:rPr>
          <w:rFonts w:eastAsia="Calibri"/>
          <w:b/>
          <w:bCs/>
          <w:szCs w:val="22"/>
          <w:lang w:val="en-US"/>
        </w:rPr>
      </w:pPr>
      <w:r w:rsidRPr="001921D0">
        <w:rPr>
          <w:rFonts w:eastAsia="Calibri"/>
          <w:b/>
          <w:bCs/>
          <w:szCs w:val="22"/>
          <w:lang w:val="en-US"/>
        </w:rPr>
        <w:t>Replies by Parties on the submission of the fourth national report in a timely manner</w:t>
      </w:r>
    </w:p>
    <w:p w14:paraId="1B44E6CB" w14:textId="77777777" w:rsidR="005A7646" w:rsidRPr="001921D0" w:rsidRDefault="005A7646" w:rsidP="00B92761">
      <w:pPr>
        <w:spacing w:after="160"/>
        <w:jc w:val="center"/>
        <w:rPr>
          <w:rFonts w:eastAsia="Calibri"/>
          <w:szCs w:val="22"/>
          <w:lang w:val="en-US"/>
        </w:rPr>
      </w:pPr>
      <w:r w:rsidRPr="001921D0">
        <w:rPr>
          <w:rFonts w:eastAsia="Calibri"/>
          <w:noProof/>
          <w:szCs w:val="22"/>
          <w:lang w:val="en-US"/>
        </w:rPr>
        <w:drawing>
          <wp:inline distT="0" distB="0" distL="0" distR="0" wp14:anchorId="5587DB38" wp14:editId="57F1E05D">
            <wp:extent cx="5943600" cy="158432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24">
                      <a:extLst>
                        <a:ext uri="{28A0092B-C50C-407E-A947-70E740481C1C}">
                          <a14:useLocalDpi xmlns:a14="http://schemas.microsoft.com/office/drawing/2010/main" val="0"/>
                        </a:ext>
                      </a:extLst>
                    </a:blip>
                    <a:stretch>
                      <a:fillRect/>
                    </a:stretch>
                  </pic:blipFill>
                  <pic:spPr>
                    <a:xfrm>
                      <a:off x="0" y="0"/>
                      <a:ext cx="5943600" cy="1584325"/>
                    </a:xfrm>
                    <a:prstGeom prst="rect">
                      <a:avLst/>
                    </a:prstGeom>
                  </pic:spPr>
                </pic:pic>
              </a:graphicData>
            </a:graphic>
          </wp:inline>
        </w:drawing>
      </w:r>
    </w:p>
    <w:p w14:paraId="41460C20" w14:textId="654012C8" w:rsidR="005A7646" w:rsidRPr="001921D0" w:rsidRDefault="005A7646" w:rsidP="00B92761">
      <w:pPr>
        <w:spacing w:after="160"/>
        <w:ind w:left="567"/>
        <w:rPr>
          <w:rFonts w:eastAsia="Calibri"/>
          <w:szCs w:val="22"/>
          <w:lang w:val="en-US"/>
        </w:rPr>
      </w:pPr>
      <w:r w:rsidRPr="001921D0">
        <w:rPr>
          <w:rFonts w:eastAsia="Calibri"/>
          <w:szCs w:val="22"/>
          <w:lang w:val="en-US"/>
        </w:rPr>
        <w:t>[</w:t>
      </w:r>
      <w:r w:rsidRPr="001921D0">
        <w:rPr>
          <w:rFonts w:eastAsia="Calibri"/>
          <w:b/>
          <w:bCs/>
          <w:szCs w:val="22"/>
          <w:lang w:val="en-US"/>
        </w:rPr>
        <w:t xml:space="preserve">Question </w:t>
      </w:r>
      <w:r w:rsidR="006A554A" w:rsidRPr="001921D0">
        <w:rPr>
          <w:rFonts w:eastAsia="Calibri"/>
          <w:b/>
          <w:bCs/>
          <w:szCs w:val="22"/>
          <w:lang w:val="en-US"/>
        </w:rPr>
        <w:t>11</w:t>
      </w:r>
      <w:r w:rsidRPr="001921D0">
        <w:rPr>
          <w:rFonts w:eastAsia="Calibri"/>
          <w:szCs w:val="22"/>
          <w:lang w:val="en-US"/>
        </w:rPr>
        <w:t>] While 26 respondents (25 per cent) indicated that their country d</w:t>
      </w:r>
      <w:r w:rsidR="001921D0">
        <w:rPr>
          <w:rFonts w:eastAsia="Calibri"/>
          <w:szCs w:val="22"/>
          <w:lang w:val="en-US"/>
        </w:rPr>
        <w:t>id</w:t>
      </w:r>
      <w:r w:rsidRPr="001921D0">
        <w:rPr>
          <w:rFonts w:eastAsia="Calibri"/>
          <w:szCs w:val="22"/>
          <w:lang w:val="en-US"/>
        </w:rPr>
        <w:t xml:space="preserve"> not face any challenges and limitations in submitting their fourth national report in time, 76 respondents (75 per cent) indicated that they d</w:t>
      </w:r>
      <w:r w:rsidR="001921D0">
        <w:rPr>
          <w:rFonts w:eastAsia="Calibri"/>
          <w:szCs w:val="22"/>
          <w:lang w:val="en-US"/>
        </w:rPr>
        <w:t>id</w:t>
      </w:r>
      <w:r w:rsidRPr="001921D0">
        <w:rPr>
          <w:rFonts w:eastAsia="Calibri"/>
          <w:szCs w:val="22"/>
          <w:lang w:val="en-US"/>
        </w:rPr>
        <w:t xml:space="preserve"> and identified the following challenges and limitations: </w:t>
      </w:r>
    </w:p>
    <w:p w14:paraId="374BEFB5" w14:textId="7BA049F0" w:rsidR="005A7646" w:rsidRPr="001921D0" w:rsidRDefault="007A6883" w:rsidP="00B92761">
      <w:pPr>
        <w:numPr>
          <w:ilvl w:val="0"/>
          <w:numId w:val="46"/>
        </w:numPr>
        <w:ind w:left="992" w:hanging="425"/>
        <w:jc w:val="left"/>
        <w:rPr>
          <w:rFonts w:eastAsia="Calibri"/>
          <w:szCs w:val="22"/>
          <w:lang w:val="en-US"/>
        </w:rPr>
      </w:pPr>
      <w:r w:rsidRPr="001921D0">
        <w:rPr>
          <w:rFonts w:eastAsia="Calibri"/>
          <w:szCs w:val="22"/>
          <w:lang w:val="en-US"/>
        </w:rPr>
        <w:t>L</w:t>
      </w:r>
      <w:r w:rsidR="005A7646" w:rsidRPr="001921D0">
        <w:rPr>
          <w:rFonts w:eastAsia="Calibri"/>
          <w:szCs w:val="22"/>
          <w:lang w:val="en-US"/>
        </w:rPr>
        <w:t>ack or insufficiency of financial resources (45 respondents (44 per cent))</w:t>
      </w:r>
    </w:p>
    <w:p w14:paraId="7737C28D" w14:textId="5EF6E9A7" w:rsidR="005A7646" w:rsidRPr="001921D0" w:rsidRDefault="007A6883" w:rsidP="00B92761">
      <w:pPr>
        <w:numPr>
          <w:ilvl w:val="0"/>
          <w:numId w:val="46"/>
        </w:numPr>
        <w:ind w:left="992" w:hanging="425"/>
        <w:jc w:val="left"/>
        <w:rPr>
          <w:rFonts w:eastAsia="Calibri"/>
          <w:szCs w:val="22"/>
          <w:lang w:val="en-US"/>
        </w:rPr>
      </w:pPr>
      <w:r w:rsidRPr="001921D0">
        <w:rPr>
          <w:rFonts w:eastAsia="Calibri"/>
          <w:szCs w:val="22"/>
          <w:lang w:val="en-US"/>
        </w:rPr>
        <w:t>D</w:t>
      </w:r>
      <w:r w:rsidR="005A7646" w:rsidRPr="001921D0">
        <w:rPr>
          <w:rFonts w:eastAsia="Calibri"/>
          <w:szCs w:val="22"/>
          <w:lang w:val="en-US"/>
        </w:rPr>
        <w:t xml:space="preserve">ifficulty in </w:t>
      </w:r>
      <w:r w:rsidRPr="001921D0">
        <w:rPr>
          <w:rFonts w:eastAsia="Calibri"/>
          <w:szCs w:val="22"/>
          <w:lang w:val="en-US"/>
        </w:rPr>
        <w:t xml:space="preserve">gaining </w:t>
      </w:r>
      <w:r w:rsidR="005A7646" w:rsidRPr="001921D0">
        <w:rPr>
          <w:rFonts w:eastAsia="Calibri"/>
          <w:szCs w:val="22"/>
          <w:lang w:val="en-US"/>
        </w:rPr>
        <w:t xml:space="preserve">access </w:t>
      </w:r>
      <w:r w:rsidRPr="001921D0">
        <w:rPr>
          <w:rFonts w:eastAsia="Calibri"/>
          <w:szCs w:val="22"/>
          <w:lang w:val="en-US"/>
        </w:rPr>
        <w:t xml:space="preserve">to </w:t>
      </w:r>
      <w:r w:rsidR="005A7646" w:rsidRPr="001921D0">
        <w:rPr>
          <w:rFonts w:eastAsia="Calibri"/>
          <w:szCs w:val="22"/>
          <w:lang w:val="en-US"/>
        </w:rPr>
        <w:t>resources (37 respondents (36 per cent))</w:t>
      </w:r>
    </w:p>
    <w:p w14:paraId="312F8639" w14:textId="3CB95C3B" w:rsidR="005A7646" w:rsidRPr="001921D0" w:rsidRDefault="007A6883" w:rsidP="00B92761">
      <w:pPr>
        <w:numPr>
          <w:ilvl w:val="0"/>
          <w:numId w:val="46"/>
        </w:numPr>
        <w:ind w:left="992" w:hanging="425"/>
        <w:jc w:val="left"/>
        <w:rPr>
          <w:rFonts w:eastAsia="Calibri"/>
          <w:szCs w:val="22"/>
          <w:lang w:val="en-US"/>
        </w:rPr>
      </w:pPr>
      <w:r w:rsidRPr="001921D0">
        <w:rPr>
          <w:rFonts w:eastAsia="Calibri"/>
          <w:szCs w:val="22"/>
          <w:lang w:val="en-US"/>
        </w:rPr>
        <w:t>L</w:t>
      </w:r>
      <w:r w:rsidR="005A7646" w:rsidRPr="001921D0">
        <w:rPr>
          <w:rFonts w:eastAsia="Calibri"/>
          <w:szCs w:val="22"/>
          <w:lang w:val="en-US"/>
        </w:rPr>
        <w:t>ack of human resources (37 respondents (36 per cent))</w:t>
      </w:r>
    </w:p>
    <w:p w14:paraId="073CFADF" w14:textId="564EE59B" w:rsidR="005A7646" w:rsidRPr="001921D0" w:rsidRDefault="007A6883" w:rsidP="00B92761">
      <w:pPr>
        <w:numPr>
          <w:ilvl w:val="0"/>
          <w:numId w:val="46"/>
        </w:numPr>
        <w:ind w:left="992" w:hanging="425"/>
        <w:jc w:val="left"/>
        <w:rPr>
          <w:rFonts w:eastAsia="Calibri"/>
          <w:szCs w:val="22"/>
          <w:lang w:val="en-US"/>
        </w:rPr>
      </w:pPr>
      <w:r w:rsidRPr="001921D0">
        <w:rPr>
          <w:rFonts w:eastAsia="Calibri"/>
          <w:szCs w:val="22"/>
          <w:lang w:val="en-US"/>
        </w:rPr>
        <w:t>L</w:t>
      </w:r>
      <w:r w:rsidR="005A7646" w:rsidRPr="001921D0">
        <w:rPr>
          <w:rFonts w:eastAsia="Calibri"/>
          <w:szCs w:val="22"/>
          <w:lang w:val="en-US"/>
        </w:rPr>
        <w:t>ack of a mechanism to gather relevant data (37 respondents (36 per cent))</w:t>
      </w:r>
    </w:p>
    <w:p w14:paraId="4970FF66" w14:textId="33C34AF7" w:rsidR="005A7646" w:rsidRPr="001921D0" w:rsidRDefault="007A6883" w:rsidP="00B92761">
      <w:pPr>
        <w:numPr>
          <w:ilvl w:val="0"/>
          <w:numId w:val="46"/>
        </w:numPr>
        <w:ind w:left="992" w:hanging="425"/>
        <w:jc w:val="left"/>
        <w:rPr>
          <w:rFonts w:eastAsia="Calibri"/>
          <w:szCs w:val="22"/>
          <w:lang w:val="en-US"/>
        </w:rPr>
      </w:pPr>
      <w:r w:rsidRPr="001921D0">
        <w:rPr>
          <w:rFonts w:eastAsia="Calibri"/>
          <w:szCs w:val="22"/>
          <w:lang w:val="en-US"/>
        </w:rPr>
        <w:t>L</w:t>
      </w:r>
      <w:r w:rsidR="005A7646" w:rsidRPr="001921D0">
        <w:rPr>
          <w:rFonts w:eastAsia="Calibri"/>
          <w:szCs w:val="22"/>
          <w:lang w:val="en-US"/>
        </w:rPr>
        <w:t>ow priority for national reporting (17 respondents (17 per cent))</w:t>
      </w:r>
    </w:p>
    <w:p w14:paraId="780CF842" w14:textId="5F9CAE21" w:rsidR="005A7646" w:rsidRPr="001921D0" w:rsidRDefault="005A7646" w:rsidP="003B7E0C">
      <w:pPr>
        <w:spacing w:before="120" w:after="120"/>
        <w:ind w:left="567"/>
        <w:rPr>
          <w:rFonts w:eastAsia="Calibri"/>
          <w:szCs w:val="22"/>
          <w:lang w:val="en-US"/>
        </w:rPr>
      </w:pPr>
      <w:r w:rsidRPr="001921D0">
        <w:rPr>
          <w:rFonts w:eastAsia="Calibri"/>
          <w:szCs w:val="22"/>
          <w:lang w:val="en-US"/>
        </w:rPr>
        <w:lastRenderedPageBreak/>
        <w:t>Fourteen respondents (14 per cent) indicated that their country face</w:t>
      </w:r>
      <w:r w:rsidR="0094151F">
        <w:rPr>
          <w:rFonts w:eastAsia="Calibri"/>
          <w:szCs w:val="22"/>
          <w:lang w:val="en-US"/>
        </w:rPr>
        <w:t>d</w:t>
      </w:r>
      <w:r w:rsidRPr="001921D0">
        <w:rPr>
          <w:rFonts w:eastAsia="Calibri"/>
          <w:szCs w:val="22"/>
          <w:lang w:val="en-US"/>
        </w:rPr>
        <w:t xml:space="preserve"> other challenges. These included: limited number of dedicated staff, lack of training, time constraints, delays and limitations in </w:t>
      </w:r>
      <w:r w:rsidR="003543AC" w:rsidRPr="001921D0">
        <w:rPr>
          <w:rFonts w:eastAsia="Calibri"/>
          <w:szCs w:val="22"/>
          <w:lang w:val="en-US"/>
        </w:rPr>
        <w:t xml:space="preserve">gaining </w:t>
      </w:r>
      <w:r w:rsidRPr="001921D0">
        <w:rPr>
          <w:rFonts w:eastAsia="Calibri"/>
          <w:szCs w:val="22"/>
          <w:lang w:val="en-US"/>
        </w:rPr>
        <w:t>access</w:t>
      </w:r>
      <w:r w:rsidR="003543AC" w:rsidRPr="001921D0">
        <w:rPr>
          <w:rFonts w:eastAsia="Calibri"/>
          <w:szCs w:val="22"/>
          <w:lang w:val="en-US"/>
        </w:rPr>
        <w:t xml:space="preserve"> to</w:t>
      </w:r>
      <w:r w:rsidRPr="001921D0">
        <w:rPr>
          <w:rFonts w:eastAsia="Calibri"/>
          <w:szCs w:val="22"/>
          <w:lang w:val="en-US"/>
        </w:rPr>
        <w:t xml:space="preserve"> funding, limited server capacity, difficulty in coordinating with other national agencies, and lack of cooperation of institutions in providing data.</w:t>
      </w:r>
    </w:p>
    <w:p w14:paraId="45FB2BAA" w14:textId="77777777" w:rsidR="0026229A" w:rsidRPr="001921D0" w:rsidRDefault="0026229A" w:rsidP="00B92761">
      <w:pPr>
        <w:ind w:left="567"/>
        <w:jc w:val="left"/>
        <w:rPr>
          <w:rFonts w:eastAsia="Calibri"/>
          <w:szCs w:val="22"/>
          <w:lang w:val="en-US"/>
        </w:rPr>
      </w:pPr>
      <w:r w:rsidRPr="001921D0">
        <w:rPr>
          <w:rFonts w:eastAsia="Calibri"/>
          <w:szCs w:val="22"/>
          <w:lang w:val="en-US"/>
        </w:rPr>
        <w:t>Figure VI</w:t>
      </w:r>
    </w:p>
    <w:p w14:paraId="06646119" w14:textId="26131AE3" w:rsidR="0026229A" w:rsidRPr="001921D0" w:rsidRDefault="0026229A" w:rsidP="00B92761">
      <w:pPr>
        <w:spacing w:after="160"/>
        <w:ind w:left="567"/>
        <w:jc w:val="left"/>
        <w:rPr>
          <w:rFonts w:eastAsia="Calibri"/>
          <w:b/>
          <w:bCs/>
          <w:szCs w:val="22"/>
          <w:lang w:val="en-US"/>
        </w:rPr>
      </w:pPr>
      <w:r w:rsidRPr="001921D0">
        <w:rPr>
          <w:rFonts w:eastAsia="Calibri"/>
          <w:b/>
          <w:bCs/>
          <w:szCs w:val="22"/>
          <w:lang w:val="en-US"/>
        </w:rPr>
        <w:t>Factors that contributed to the challenges faced in submitting the fourth national report in a timely manner</w:t>
      </w:r>
    </w:p>
    <w:p w14:paraId="249CEE65" w14:textId="77777777" w:rsidR="005A7646" w:rsidRPr="001921D0" w:rsidRDefault="005A7646" w:rsidP="00B92761">
      <w:pPr>
        <w:spacing w:after="160"/>
        <w:jc w:val="center"/>
        <w:rPr>
          <w:rFonts w:eastAsia="Calibri"/>
          <w:szCs w:val="22"/>
          <w:lang w:val="en-US"/>
        </w:rPr>
      </w:pPr>
      <w:r w:rsidRPr="001921D0">
        <w:rPr>
          <w:rFonts w:eastAsia="Calibri"/>
          <w:noProof/>
          <w:szCs w:val="22"/>
          <w:lang w:val="en-US"/>
        </w:rPr>
        <w:drawing>
          <wp:inline distT="0" distB="0" distL="0" distR="0" wp14:anchorId="753934A3" wp14:editId="2EA53DCA">
            <wp:extent cx="5943600" cy="208724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943600" cy="2087245"/>
                    </a:xfrm>
                    <a:prstGeom prst="rect">
                      <a:avLst/>
                    </a:prstGeom>
                  </pic:spPr>
                </pic:pic>
              </a:graphicData>
            </a:graphic>
          </wp:inline>
        </w:drawing>
      </w:r>
    </w:p>
    <w:p w14:paraId="44FD46FB" w14:textId="1E649143" w:rsidR="005A7646" w:rsidRPr="001921D0" w:rsidRDefault="005A7646" w:rsidP="00B92761">
      <w:pPr>
        <w:spacing w:after="160"/>
        <w:ind w:left="567"/>
        <w:rPr>
          <w:rFonts w:eastAsia="Calibri"/>
          <w:szCs w:val="22"/>
          <w:lang w:val="en-US"/>
        </w:rPr>
      </w:pPr>
      <w:r w:rsidRPr="001921D0">
        <w:rPr>
          <w:rFonts w:eastAsia="Calibri"/>
          <w:szCs w:val="22"/>
          <w:lang w:val="en-US"/>
        </w:rPr>
        <w:t xml:space="preserve">When reviewing the responses provided by those Parties that indicated </w:t>
      </w:r>
      <w:r w:rsidR="00C47DD1">
        <w:rPr>
          <w:rFonts w:eastAsia="Calibri"/>
          <w:szCs w:val="22"/>
          <w:lang w:val="en-US"/>
        </w:rPr>
        <w:t xml:space="preserve">that they had </w:t>
      </w:r>
      <w:r w:rsidRPr="001921D0">
        <w:rPr>
          <w:rFonts w:eastAsia="Calibri"/>
          <w:szCs w:val="22"/>
          <w:lang w:val="en-US"/>
        </w:rPr>
        <w:t xml:space="preserve">not submitted their fourth national report in a timely manner, the frequency of challenges is slightly higher (from 7 to 13 per cent) for most challenges, and higher (22 per cent) for insufficiency or lack of financial resources: </w:t>
      </w:r>
    </w:p>
    <w:p w14:paraId="4398DD15" w14:textId="0B1FC5C3" w:rsidR="005A7646" w:rsidRPr="001921D0" w:rsidRDefault="00840486" w:rsidP="00B92761">
      <w:pPr>
        <w:numPr>
          <w:ilvl w:val="0"/>
          <w:numId w:val="47"/>
        </w:numPr>
        <w:ind w:left="992" w:hanging="425"/>
        <w:jc w:val="left"/>
        <w:rPr>
          <w:rFonts w:eastAsia="Calibri"/>
          <w:szCs w:val="22"/>
          <w:lang w:val="en-US"/>
        </w:rPr>
      </w:pPr>
      <w:r w:rsidRPr="001921D0">
        <w:rPr>
          <w:rFonts w:eastAsia="Calibri"/>
          <w:szCs w:val="22"/>
          <w:lang w:val="en-US"/>
        </w:rPr>
        <w:t>I</w:t>
      </w:r>
      <w:r w:rsidR="005A7646" w:rsidRPr="001921D0">
        <w:rPr>
          <w:rFonts w:eastAsia="Calibri"/>
          <w:szCs w:val="22"/>
          <w:lang w:val="en-US"/>
        </w:rPr>
        <w:t>nsufficiency or a lack of financial resources (13 of 21 respondents (62 per cent))</w:t>
      </w:r>
    </w:p>
    <w:p w14:paraId="5A66368F" w14:textId="5BBEB51E" w:rsidR="005A7646" w:rsidRPr="001921D0" w:rsidRDefault="00840486" w:rsidP="00B92761">
      <w:pPr>
        <w:numPr>
          <w:ilvl w:val="0"/>
          <w:numId w:val="47"/>
        </w:numPr>
        <w:ind w:left="992" w:hanging="425"/>
        <w:jc w:val="left"/>
        <w:rPr>
          <w:rFonts w:eastAsia="Calibri"/>
          <w:szCs w:val="22"/>
          <w:lang w:val="en-US"/>
        </w:rPr>
      </w:pPr>
      <w:r w:rsidRPr="001921D0">
        <w:rPr>
          <w:rFonts w:eastAsia="Calibri"/>
          <w:szCs w:val="22"/>
          <w:lang w:val="en-US"/>
        </w:rPr>
        <w:t>D</w:t>
      </w:r>
      <w:r w:rsidR="005A7646" w:rsidRPr="001921D0">
        <w:rPr>
          <w:rFonts w:eastAsia="Calibri"/>
          <w:szCs w:val="22"/>
          <w:lang w:val="en-US"/>
        </w:rPr>
        <w:t>ifficulty accessing resources (10 of 21 respondents (48 per cent))</w:t>
      </w:r>
    </w:p>
    <w:p w14:paraId="1E47F42D" w14:textId="3E371DEF" w:rsidR="005A7646" w:rsidRPr="001921D0" w:rsidRDefault="00840486" w:rsidP="00B92761">
      <w:pPr>
        <w:numPr>
          <w:ilvl w:val="0"/>
          <w:numId w:val="47"/>
        </w:numPr>
        <w:ind w:left="992" w:hanging="425"/>
        <w:jc w:val="left"/>
        <w:rPr>
          <w:rFonts w:eastAsia="Calibri"/>
          <w:szCs w:val="22"/>
          <w:lang w:val="en-US"/>
        </w:rPr>
      </w:pPr>
      <w:r w:rsidRPr="001921D0">
        <w:rPr>
          <w:rFonts w:eastAsia="Calibri"/>
          <w:szCs w:val="22"/>
          <w:lang w:val="en-US"/>
        </w:rPr>
        <w:t>L</w:t>
      </w:r>
      <w:r w:rsidR="005A7646" w:rsidRPr="001921D0">
        <w:rPr>
          <w:rFonts w:eastAsia="Calibri"/>
          <w:szCs w:val="22"/>
          <w:lang w:val="en-US"/>
        </w:rPr>
        <w:t>ack of mechanism to gather data (9 of 21 respondents (43 per cent))</w:t>
      </w:r>
    </w:p>
    <w:p w14:paraId="496F2F39" w14:textId="63843217" w:rsidR="005A7646" w:rsidRPr="001921D0" w:rsidRDefault="00840486" w:rsidP="00B92761">
      <w:pPr>
        <w:numPr>
          <w:ilvl w:val="0"/>
          <w:numId w:val="47"/>
        </w:numPr>
        <w:ind w:left="992" w:hanging="425"/>
        <w:jc w:val="left"/>
        <w:rPr>
          <w:rFonts w:eastAsia="Calibri"/>
          <w:szCs w:val="22"/>
          <w:lang w:val="en-US"/>
        </w:rPr>
      </w:pPr>
      <w:r w:rsidRPr="001921D0">
        <w:rPr>
          <w:rFonts w:eastAsia="Calibri"/>
          <w:szCs w:val="22"/>
          <w:lang w:val="en-US"/>
        </w:rPr>
        <w:t>L</w:t>
      </w:r>
      <w:r w:rsidR="005A7646" w:rsidRPr="001921D0">
        <w:rPr>
          <w:rFonts w:eastAsia="Calibri"/>
          <w:szCs w:val="22"/>
          <w:lang w:val="en-US"/>
        </w:rPr>
        <w:t>ack of human resources (9 of 21 respondents (43 per cent)</w:t>
      </w:r>
    </w:p>
    <w:p w14:paraId="6FD4AF79" w14:textId="6BD9245A" w:rsidR="005A7646" w:rsidRPr="001921D0" w:rsidRDefault="00840486" w:rsidP="00B92761">
      <w:pPr>
        <w:numPr>
          <w:ilvl w:val="0"/>
          <w:numId w:val="47"/>
        </w:numPr>
        <w:ind w:left="992" w:hanging="425"/>
        <w:jc w:val="left"/>
        <w:rPr>
          <w:rFonts w:eastAsia="Calibri"/>
          <w:szCs w:val="22"/>
          <w:lang w:val="en-US"/>
        </w:rPr>
      </w:pPr>
      <w:r w:rsidRPr="001921D0">
        <w:rPr>
          <w:rFonts w:eastAsia="Calibri"/>
          <w:szCs w:val="22"/>
          <w:lang w:val="en-US"/>
        </w:rPr>
        <w:t>L</w:t>
      </w:r>
      <w:r w:rsidR="005A7646" w:rsidRPr="001921D0">
        <w:rPr>
          <w:rFonts w:eastAsia="Calibri"/>
          <w:szCs w:val="22"/>
          <w:lang w:val="en-US"/>
        </w:rPr>
        <w:t>ow priority for national reporting (3 of 21 respondents (14 per cent))</w:t>
      </w:r>
    </w:p>
    <w:p w14:paraId="4D5CB575" w14:textId="7444C61F" w:rsidR="005A7646" w:rsidRPr="001921D0" w:rsidRDefault="005A7646" w:rsidP="00B92761">
      <w:pPr>
        <w:spacing w:before="120" w:after="120"/>
        <w:ind w:left="567"/>
        <w:rPr>
          <w:rFonts w:eastAsia="Calibri"/>
          <w:szCs w:val="22"/>
          <w:lang w:val="en-US"/>
        </w:rPr>
      </w:pPr>
      <w:r w:rsidRPr="001921D0">
        <w:rPr>
          <w:rFonts w:eastAsia="Calibri"/>
          <w:szCs w:val="22"/>
          <w:lang w:val="en-US"/>
        </w:rPr>
        <w:t>[</w:t>
      </w:r>
      <w:r w:rsidRPr="001921D0">
        <w:rPr>
          <w:rFonts w:eastAsia="Calibri"/>
          <w:b/>
          <w:bCs/>
          <w:szCs w:val="22"/>
          <w:lang w:val="en-US"/>
        </w:rPr>
        <w:t xml:space="preserve">Question </w:t>
      </w:r>
      <w:r w:rsidR="006A554A" w:rsidRPr="001921D0">
        <w:rPr>
          <w:rFonts w:eastAsia="Calibri"/>
          <w:b/>
          <w:bCs/>
          <w:szCs w:val="22"/>
          <w:lang w:val="en-US"/>
        </w:rPr>
        <w:t>12</w:t>
      </w:r>
      <w:r w:rsidRPr="001921D0">
        <w:rPr>
          <w:rFonts w:eastAsia="Calibri"/>
          <w:szCs w:val="22"/>
          <w:lang w:val="en-US"/>
        </w:rPr>
        <w:t>] Sixty-four respondents</w:t>
      </w:r>
      <w:r w:rsidRPr="001921D0">
        <w:rPr>
          <w:rFonts w:eastAsia="Calibri"/>
          <w:b/>
          <w:bCs/>
          <w:szCs w:val="22"/>
          <w:lang w:val="en-US"/>
        </w:rPr>
        <w:t xml:space="preserve"> </w:t>
      </w:r>
      <w:r w:rsidRPr="001921D0">
        <w:rPr>
          <w:rFonts w:eastAsia="Calibri"/>
          <w:szCs w:val="22"/>
          <w:lang w:val="en-US"/>
        </w:rPr>
        <w:t>provided further information on the support they need</w:t>
      </w:r>
      <w:r w:rsidR="00070D53">
        <w:rPr>
          <w:rFonts w:eastAsia="Calibri"/>
          <w:szCs w:val="22"/>
          <w:lang w:val="en-US"/>
        </w:rPr>
        <w:t>ed</w:t>
      </w:r>
      <w:r w:rsidRPr="001921D0">
        <w:rPr>
          <w:rFonts w:eastAsia="Calibri"/>
          <w:szCs w:val="22"/>
          <w:lang w:val="en-US"/>
        </w:rPr>
        <w:t xml:space="preserve"> to address the limitations and challenges they face</w:t>
      </w:r>
      <w:r w:rsidR="00070D53">
        <w:rPr>
          <w:rFonts w:eastAsia="Calibri"/>
          <w:szCs w:val="22"/>
          <w:lang w:val="en-US"/>
        </w:rPr>
        <w:t>d</w:t>
      </w:r>
      <w:r w:rsidRPr="001921D0">
        <w:rPr>
          <w:rFonts w:eastAsia="Calibri"/>
          <w:szCs w:val="22"/>
          <w:lang w:val="en-US"/>
        </w:rPr>
        <w:t xml:space="preserve"> to submit their national report in a timely manner.</w:t>
      </w:r>
      <w:r w:rsidRPr="001921D0">
        <w:rPr>
          <w:rFonts w:eastAsia="Calibri"/>
          <w:b/>
          <w:bCs/>
          <w:szCs w:val="22"/>
          <w:lang w:val="en-US"/>
        </w:rPr>
        <w:t xml:space="preserve"> </w:t>
      </w:r>
      <w:r w:rsidRPr="001921D0">
        <w:rPr>
          <w:rFonts w:eastAsia="Calibri"/>
          <w:szCs w:val="22"/>
          <w:lang w:val="en-US"/>
        </w:rPr>
        <w:t>In addition to issues mentioned elsewhere, such as funding (referred to by 38 respondents), respondents described that they need</w:t>
      </w:r>
      <w:r w:rsidR="00070D53">
        <w:rPr>
          <w:rFonts w:eastAsia="Calibri"/>
          <w:szCs w:val="22"/>
          <w:lang w:val="en-US"/>
        </w:rPr>
        <w:t>ed</w:t>
      </w:r>
      <w:r w:rsidRPr="001921D0">
        <w:rPr>
          <w:rFonts w:eastAsia="Calibri"/>
          <w:szCs w:val="22"/>
          <w:lang w:val="en-US"/>
        </w:rPr>
        <w:t xml:space="preserve"> capacity development</w:t>
      </w:r>
      <w:r w:rsidR="00666A22" w:rsidRPr="001921D0">
        <w:rPr>
          <w:rFonts w:eastAsia="Calibri"/>
          <w:szCs w:val="22"/>
          <w:lang w:val="en-US"/>
        </w:rPr>
        <w:t>,</w:t>
      </w:r>
      <w:r w:rsidRPr="001921D0">
        <w:rPr>
          <w:rFonts w:eastAsia="Calibri"/>
          <w:szCs w:val="22"/>
          <w:lang w:val="en-US"/>
        </w:rPr>
        <w:t xml:space="preserve"> including in the use of the Biosafety Clearing-House, in accessing funding, as well as in language training and support. Respondents also underlined the need for support for strengthening interagency coordination and data</w:t>
      </w:r>
      <w:r w:rsidR="00666A22" w:rsidRPr="001921D0">
        <w:rPr>
          <w:rFonts w:eastAsia="Calibri"/>
          <w:szCs w:val="22"/>
          <w:lang w:val="en-US"/>
        </w:rPr>
        <w:t>-</w:t>
      </w:r>
      <w:r w:rsidRPr="001921D0">
        <w:rPr>
          <w:rFonts w:eastAsia="Calibri"/>
          <w:szCs w:val="22"/>
          <w:lang w:val="en-US"/>
        </w:rPr>
        <w:t xml:space="preserve">sharing.  </w:t>
      </w:r>
    </w:p>
    <w:p w14:paraId="78AA371F" w14:textId="76E9D535" w:rsidR="005A7646" w:rsidRPr="001921D0" w:rsidRDefault="005A7646" w:rsidP="00B92761">
      <w:pPr>
        <w:spacing w:after="160"/>
        <w:ind w:left="567"/>
        <w:rPr>
          <w:rFonts w:ascii="Calibri" w:eastAsia="Calibri" w:hAnsi="Calibri" w:cs="Arial"/>
          <w:szCs w:val="22"/>
          <w:lang w:val="en-US"/>
        </w:rPr>
      </w:pPr>
      <w:r w:rsidRPr="001921D0">
        <w:rPr>
          <w:color w:val="212121"/>
          <w:szCs w:val="22"/>
          <w:lang w:val="en-US"/>
        </w:rPr>
        <w:t>[</w:t>
      </w:r>
      <w:r w:rsidRPr="001921D0">
        <w:rPr>
          <w:b/>
          <w:bCs/>
          <w:color w:val="212121"/>
          <w:szCs w:val="22"/>
          <w:lang w:val="en-US"/>
        </w:rPr>
        <w:t xml:space="preserve">Question </w:t>
      </w:r>
      <w:r w:rsidR="006A554A" w:rsidRPr="001921D0">
        <w:rPr>
          <w:b/>
          <w:bCs/>
          <w:color w:val="212121"/>
          <w:szCs w:val="22"/>
          <w:lang w:val="en-US"/>
        </w:rPr>
        <w:t>13</w:t>
      </w:r>
      <w:r w:rsidRPr="001921D0">
        <w:rPr>
          <w:color w:val="212121"/>
          <w:szCs w:val="22"/>
          <w:lang w:val="en-US"/>
        </w:rPr>
        <w:t>] Forty-four respondents provided further information on limitations or challenges they had been facing in fulfilling the obligation to submit the national report. The following issues were recurring:</w:t>
      </w:r>
    </w:p>
    <w:p w14:paraId="35119680" w14:textId="1C41D896" w:rsidR="005A7646" w:rsidRPr="001921D0" w:rsidRDefault="005A7646" w:rsidP="00B92761">
      <w:pPr>
        <w:numPr>
          <w:ilvl w:val="0"/>
          <w:numId w:val="43"/>
        </w:numPr>
        <w:ind w:left="992" w:hanging="357"/>
        <w:rPr>
          <w:color w:val="1F1F1F"/>
          <w:szCs w:val="22"/>
          <w:lang w:val="en-US"/>
        </w:rPr>
      </w:pPr>
      <w:r w:rsidRPr="001921D0">
        <w:rPr>
          <w:color w:val="1F1F1F"/>
          <w:szCs w:val="22"/>
          <w:lang w:val="en-US"/>
        </w:rPr>
        <w:t xml:space="preserve">Lack of funding: respondents referred in this regard to the high cost of preparing and submitting the reports; the delay in the release of funds from </w:t>
      </w:r>
      <w:r w:rsidR="00D257DB" w:rsidRPr="001921D0">
        <w:rPr>
          <w:color w:val="1F1F1F"/>
          <w:szCs w:val="22"/>
          <w:lang w:val="en-US"/>
        </w:rPr>
        <w:t>the Global Environment Facility</w:t>
      </w:r>
      <w:r w:rsidRPr="001921D0">
        <w:rPr>
          <w:color w:val="1F1F1F"/>
          <w:szCs w:val="22"/>
          <w:lang w:val="en-US"/>
        </w:rPr>
        <w:t>; and the lack of access to funding from other sources</w:t>
      </w:r>
    </w:p>
    <w:p w14:paraId="7EC77840" w14:textId="2D30C782" w:rsidR="005A7646" w:rsidRPr="001921D0" w:rsidRDefault="005A7646" w:rsidP="00B92761">
      <w:pPr>
        <w:numPr>
          <w:ilvl w:val="0"/>
          <w:numId w:val="43"/>
        </w:numPr>
        <w:ind w:left="992" w:hanging="357"/>
        <w:rPr>
          <w:color w:val="1F1F1F"/>
          <w:szCs w:val="22"/>
          <w:lang w:val="en-US"/>
        </w:rPr>
      </w:pPr>
      <w:r w:rsidRPr="001921D0">
        <w:rPr>
          <w:color w:val="1F1F1F"/>
          <w:szCs w:val="22"/>
          <w:lang w:val="en-US"/>
        </w:rPr>
        <w:t>Lack of capacity: respondents mentioned in this respect that they lack</w:t>
      </w:r>
      <w:r w:rsidR="00B900D2">
        <w:rPr>
          <w:color w:val="1F1F1F"/>
          <w:szCs w:val="22"/>
          <w:lang w:val="en-US"/>
        </w:rPr>
        <w:t>ed</w:t>
      </w:r>
      <w:r w:rsidRPr="001921D0">
        <w:rPr>
          <w:color w:val="1F1F1F"/>
          <w:szCs w:val="22"/>
          <w:lang w:val="en-US"/>
        </w:rPr>
        <w:t xml:space="preserve"> trained staff, equipment and other materials</w:t>
      </w:r>
    </w:p>
    <w:p w14:paraId="455D2197" w14:textId="642D273B" w:rsidR="005A7646" w:rsidRPr="001921D0" w:rsidRDefault="005A7646" w:rsidP="00B92761">
      <w:pPr>
        <w:numPr>
          <w:ilvl w:val="0"/>
          <w:numId w:val="42"/>
        </w:numPr>
        <w:ind w:left="992" w:hanging="357"/>
        <w:rPr>
          <w:color w:val="1F1F1F"/>
          <w:szCs w:val="22"/>
          <w:lang w:val="en-US"/>
        </w:rPr>
      </w:pPr>
      <w:r w:rsidRPr="001921D0">
        <w:rPr>
          <w:color w:val="1F1F1F"/>
          <w:szCs w:val="22"/>
          <w:lang w:val="en-US"/>
        </w:rPr>
        <w:t xml:space="preserve">Lack of awareness: respondents indicated that awareness </w:t>
      </w:r>
      <w:r w:rsidR="00B900D2">
        <w:rPr>
          <w:color w:val="1F1F1F"/>
          <w:szCs w:val="22"/>
          <w:lang w:val="en-US"/>
        </w:rPr>
        <w:t>wa</w:t>
      </w:r>
      <w:r w:rsidRPr="001921D0">
        <w:rPr>
          <w:color w:val="1F1F1F"/>
          <w:szCs w:val="22"/>
          <w:lang w:val="en-US"/>
        </w:rPr>
        <w:t>s lacking on the reporting requirements, on the benefits of submitting the national report, and on the resources available to help with the reporting process</w:t>
      </w:r>
    </w:p>
    <w:p w14:paraId="7B79077C" w14:textId="6090AC09" w:rsidR="00AE6392" w:rsidRPr="000E1C69" w:rsidRDefault="005A7646" w:rsidP="000E1C69">
      <w:pPr>
        <w:numPr>
          <w:ilvl w:val="0"/>
          <w:numId w:val="42"/>
        </w:numPr>
        <w:ind w:left="992" w:hanging="357"/>
        <w:rPr>
          <w:szCs w:val="22"/>
          <w:lang w:val="en-US"/>
        </w:rPr>
      </w:pPr>
      <w:r w:rsidRPr="001921D0">
        <w:rPr>
          <w:szCs w:val="22"/>
          <w:lang w:val="en-US"/>
        </w:rPr>
        <w:t>Lack of coordination between different agencies and stakeholders and the dispersion of information between different agencies</w:t>
      </w:r>
    </w:p>
    <w:p w14:paraId="7A9D1A4C" w14:textId="77777777" w:rsidR="00AE6392" w:rsidRPr="001921D0" w:rsidRDefault="00AE6392" w:rsidP="00D257DB">
      <w:pPr>
        <w:pStyle w:val="Annex"/>
        <w:rPr>
          <w:rFonts w:eastAsia="Calibri"/>
          <w:szCs w:val="22"/>
          <w:lang w:val="en-US"/>
        </w:rPr>
        <w:sectPr w:rsidR="00AE6392" w:rsidRPr="001921D0" w:rsidSect="002B559C">
          <w:pgSz w:w="12240" w:h="15840"/>
          <w:pgMar w:top="1134" w:right="1440" w:bottom="1134" w:left="1440" w:header="709" w:footer="709" w:gutter="0"/>
          <w:cols w:space="708"/>
          <w:docGrid w:linePitch="360"/>
        </w:sectPr>
      </w:pPr>
    </w:p>
    <w:p w14:paraId="5E8C93CF" w14:textId="77777777" w:rsidR="005A7646" w:rsidRPr="001921D0" w:rsidRDefault="005A7646" w:rsidP="00B92761">
      <w:pPr>
        <w:pStyle w:val="Annex"/>
      </w:pPr>
      <w:r w:rsidRPr="001921D0">
        <w:lastRenderedPageBreak/>
        <w:t>Annex II</w:t>
      </w:r>
    </w:p>
    <w:p w14:paraId="520F679B" w14:textId="77777777" w:rsidR="005A7646" w:rsidRPr="001921D0" w:rsidRDefault="005A7646" w:rsidP="00B92761">
      <w:pPr>
        <w:pStyle w:val="Title"/>
        <w:rPr>
          <w:lang w:val="en-US"/>
        </w:rPr>
      </w:pPr>
      <w:r w:rsidRPr="001921D0">
        <w:rPr>
          <w:lang w:val="en-US"/>
        </w:rPr>
        <w:t>Format of the survey on compliance challenges</w:t>
      </w:r>
    </w:p>
    <w:p w14:paraId="3406855E" w14:textId="26F7031D" w:rsidR="005A7646" w:rsidRPr="001921D0" w:rsidRDefault="0009612B" w:rsidP="00B92761">
      <w:pPr>
        <w:pStyle w:val="Para10"/>
        <w:numPr>
          <w:ilvl w:val="0"/>
          <w:numId w:val="72"/>
        </w:numPr>
        <w:ind w:left="567" w:firstLine="0"/>
      </w:pPr>
      <w:r w:rsidRPr="001921D0">
        <w:t xml:space="preserve">The text of the survey on </w:t>
      </w:r>
      <w:r w:rsidR="00392807" w:rsidRPr="001921D0">
        <w:t>limitations and challenges in fulfilling (i) the obligation to take the necessary legal, administrative and other measures to implement the Protocol, and (ii) the obligation to submit a national report in a timely manner</w:t>
      </w:r>
      <w:r w:rsidR="00392807" w:rsidRPr="001921D0">
        <w:t xml:space="preserve"> </w:t>
      </w:r>
      <w:r w:rsidRPr="001921D0">
        <w:t xml:space="preserve">is provided below. </w:t>
      </w:r>
      <w:r w:rsidR="00EC3673" w:rsidRPr="001921D0">
        <w:t xml:space="preserve">Some questions in the survey only </w:t>
      </w:r>
      <w:r w:rsidR="00581E4D" w:rsidRPr="001921D0">
        <w:t xml:space="preserve">appeared </w:t>
      </w:r>
      <w:r w:rsidR="00EC3673" w:rsidRPr="001921D0">
        <w:t>when responding in a certain way to a previous question. The present offline format does not show how questions were linked</w:t>
      </w:r>
      <w:r w:rsidR="00662BA0" w:rsidRPr="001921D0">
        <w:t>.</w:t>
      </w:r>
      <w:r w:rsidR="00B908C7" w:rsidRPr="001921D0">
        <w:rPr>
          <w:rStyle w:val="FootnoteReference"/>
          <w:rFonts w:asciiTheme="majorBidi" w:hAnsiTheme="majorBidi" w:cstheme="majorBidi"/>
          <w:color w:val="242424"/>
          <w:szCs w:val="22"/>
        </w:rPr>
        <w:footnoteReference w:id="30"/>
      </w:r>
      <w:r w:rsidR="00EC3673" w:rsidRPr="001921D0">
        <w:t xml:space="preserve"> </w:t>
      </w:r>
    </w:p>
    <w:p w14:paraId="79373BBD" w14:textId="55168D56" w:rsidR="005A7646" w:rsidRPr="001921D0" w:rsidRDefault="005A7646" w:rsidP="005525E3">
      <w:pPr>
        <w:pStyle w:val="Default"/>
        <w:rPr>
          <w:rFonts w:asciiTheme="majorBidi" w:hAnsiTheme="majorBidi" w:cstheme="majorBidi"/>
          <w:b/>
          <w:bCs/>
          <w:color w:val="242424"/>
          <w:sz w:val="22"/>
          <w:szCs w:val="22"/>
        </w:rPr>
      </w:pPr>
      <w:r w:rsidRPr="001921D0">
        <w:rPr>
          <w:rFonts w:asciiTheme="majorBidi" w:hAnsiTheme="majorBidi" w:cstheme="majorBidi"/>
          <w:b/>
          <w:bCs/>
          <w:color w:val="242424"/>
          <w:sz w:val="22"/>
          <w:szCs w:val="22"/>
        </w:rPr>
        <w:t>Compliance survey</w:t>
      </w:r>
    </w:p>
    <w:p w14:paraId="56FBC4A2" w14:textId="77777777" w:rsidR="005A7646" w:rsidRPr="001921D0" w:rsidRDefault="005A7646" w:rsidP="00B92761">
      <w:pPr>
        <w:pStyle w:val="Para10"/>
      </w:pPr>
      <w:r w:rsidRPr="001921D0">
        <w:t>Further to decision CP-10/2, Parties are invited to complete this survey on limitations and challenges in fulfilling (i) the obligation to take the necessary legal, administrative and other measures to implement the Protocol, and (ii) the obligation to submit a national report in a timely manner. The results of the survey will be submitted to the Compliance Committee, at its next meeting.</w:t>
      </w:r>
    </w:p>
    <w:p w14:paraId="1ECA6625" w14:textId="7CBEDC7F" w:rsidR="005A7646" w:rsidRPr="001921D0" w:rsidRDefault="005A7646" w:rsidP="00B92761">
      <w:pPr>
        <w:pStyle w:val="Default"/>
        <w:spacing w:before="120" w:after="120"/>
        <w:rPr>
          <w:rFonts w:asciiTheme="majorBidi" w:hAnsiTheme="majorBidi" w:cstheme="majorBidi"/>
          <w:color w:val="202020"/>
          <w:sz w:val="22"/>
          <w:szCs w:val="22"/>
        </w:rPr>
      </w:pPr>
      <w:r w:rsidRPr="001921D0">
        <w:rPr>
          <w:rFonts w:asciiTheme="majorBidi" w:hAnsiTheme="majorBidi" w:cstheme="majorBidi"/>
          <w:color w:val="AE1515"/>
          <w:sz w:val="22"/>
          <w:szCs w:val="22"/>
        </w:rPr>
        <w:t xml:space="preserve">* </w:t>
      </w:r>
      <w:r w:rsidRPr="001921D0">
        <w:rPr>
          <w:rFonts w:asciiTheme="majorBidi" w:hAnsiTheme="majorBidi" w:cstheme="majorBidi"/>
          <w:color w:val="202020"/>
          <w:sz w:val="22"/>
          <w:szCs w:val="22"/>
        </w:rPr>
        <w:t>Required</w:t>
      </w:r>
      <w:r w:rsidR="008032F6" w:rsidRPr="001921D0">
        <w:rPr>
          <w:rFonts w:asciiTheme="majorBidi" w:hAnsiTheme="majorBidi" w:cstheme="majorBidi"/>
          <w:color w:val="202020"/>
          <w:sz w:val="22"/>
          <w:szCs w:val="22"/>
        </w:rPr>
        <w:t xml:space="preserve"> information</w:t>
      </w:r>
    </w:p>
    <w:p w14:paraId="3C345EEF" w14:textId="5D22A9E8" w:rsidR="005A7646" w:rsidRPr="001921D0" w:rsidRDefault="005A7646" w:rsidP="00B92761">
      <w:pPr>
        <w:pStyle w:val="Default"/>
        <w:spacing w:before="120" w:after="120"/>
        <w:rPr>
          <w:rFonts w:asciiTheme="majorBidi" w:hAnsiTheme="majorBidi" w:cstheme="majorBidi"/>
          <w:color w:val="242424"/>
          <w:sz w:val="22"/>
          <w:szCs w:val="22"/>
        </w:rPr>
      </w:pPr>
      <w:r w:rsidRPr="001921D0">
        <w:rPr>
          <w:rFonts w:asciiTheme="majorBidi" w:hAnsiTheme="majorBidi" w:cstheme="majorBidi"/>
          <w:b/>
          <w:bCs/>
          <w:color w:val="242424"/>
          <w:sz w:val="22"/>
          <w:szCs w:val="22"/>
        </w:rPr>
        <w:t>General information</w:t>
      </w:r>
    </w:p>
    <w:p w14:paraId="438E72B5" w14:textId="75137B9C" w:rsidR="005A7646" w:rsidRPr="001921D0" w:rsidRDefault="005A7646" w:rsidP="00B92761">
      <w:pPr>
        <w:pStyle w:val="Default"/>
        <w:numPr>
          <w:ilvl w:val="0"/>
          <w:numId w:val="35"/>
        </w:numPr>
        <w:tabs>
          <w:tab w:val="left" w:pos="1134"/>
        </w:tabs>
        <w:spacing w:before="120" w:after="120"/>
        <w:ind w:left="567" w:hanging="5"/>
        <w:rPr>
          <w:rFonts w:asciiTheme="majorBidi" w:hAnsiTheme="majorBidi" w:cstheme="majorBidi"/>
          <w:sz w:val="22"/>
          <w:szCs w:val="22"/>
        </w:rPr>
      </w:pPr>
      <w:r w:rsidRPr="001921D0">
        <w:rPr>
          <w:rFonts w:asciiTheme="majorBidi" w:hAnsiTheme="majorBidi" w:cstheme="majorBidi"/>
          <w:color w:val="242424"/>
          <w:sz w:val="22"/>
          <w:szCs w:val="22"/>
        </w:rPr>
        <w:t xml:space="preserve">Please provide the name of your country </w:t>
      </w:r>
      <w:r w:rsidRPr="001921D0">
        <w:rPr>
          <w:rFonts w:asciiTheme="majorBidi" w:hAnsiTheme="majorBidi" w:cstheme="majorBidi"/>
          <w:color w:val="AE1515"/>
          <w:sz w:val="22"/>
          <w:szCs w:val="22"/>
        </w:rPr>
        <w:t xml:space="preserve">* </w:t>
      </w:r>
    </w:p>
    <w:p w14:paraId="4AD37008" w14:textId="77777777" w:rsidR="005A7646" w:rsidRPr="001921D0" w:rsidRDefault="005A7646" w:rsidP="005525E3">
      <w:pPr>
        <w:pStyle w:val="Default"/>
        <w:ind w:left="426" w:firstLine="294"/>
        <w:rPr>
          <w:rFonts w:asciiTheme="majorBidi" w:hAnsiTheme="majorBidi" w:cstheme="majorBidi"/>
          <w:sz w:val="22"/>
          <w:szCs w:val="22"/>
        </w:rPr>
      </w:pPr>
      <w:r w:rsidRPr="001921D0">
        <w:rPr>
          <w:rFonts w:asciiTheme="majorBidi" w:hAnsiTheme="majorBidi" w:cstheme="majorBidi"/>
          <w:sz w:val="22"/>
          <w:szCs w:val="22"/>
        </w:rPr>
        <w:t>[…]</w:t>
      </w:r>
    </w:p>
    <w:p w14:paraId="6E65A111" w14:textId="77777777" w:rsidR="005A7646" w:rsidRPr="001921D0" w:rsidRDefault="005A7646" w:rsidP="00B92761">
      <w:pPr>
        <w:pStyle w:val="Default"/>
        <w:numPr>
          <w:ilvl w:val="0"/>
          <w:numId w:val="35"/>
        </w:numPr>
        <w:tabs>
          <w:tab w:val="left" w:pos="1134"/>
        </w:tabs>
        <w:spacing w:before="120" w:after="120"/>
        <w:ind w:left="567" w:hanging="5"/>
        <w:rPr>
          <w:rFonts w:asciiTheme="majorBidi" w:hAnsiTheme="majorBidi" w:cstheme="majorBidi"/>
          <w:color w:val="232323"/>
          <w:sz w:val="22"/>
          <w:szCs w:val="22"/>
        </w:rPr>
      </w:pPr>
      <w:r w:rsidRPr="001921D0">
        <w:rPr>
          <w:rFonts w:asciiTheme="majorBidi" w:hAnsiTheme="majorBidi" w:cstheme="majorBidi"/>
          <w:color w:val="232323"/>
          <w:sz w:val="22"/>
          <w:szCs w:val="22"/>
        </w:rPr>
        <w:t xml:space="preserve">Please </w:t>
      </w:r>
      <w:r w:rsidRPr="001921D0">
        <w:rPr>
          <w:rFonts w:asciiTheme="majorBidi" w:hAnsiTheme="majorBidi" w:cstheme="majorBidi"/>
          <w:color w:val="242424"/>
          <w:sz w:val="22"/>
          <w:szCs w:val="22"/>
        </w:rPr>
        <w:t>describe</w:t>
      </w:r>
      <w:r w:rsidRPr="001921D0">
        <w:rPr>
          <w:rFonts w:asciiTheme="majorBidi" w:hAnsiTheme="majorBidi" w:cstheme="majorBidi"/>
          <w:color w:val="232323"/>
          <w:sz w:val="22"/>
          <w:szCs w:val="22"/>
        </w:rPr>
        <w:t xml:space="preserve"> in what capacity you are responding to this survey </w:t>
      </w:r>
      <w:r w:rsidRPr="001921D0">
        <w:rPr>
          <w:rFonts w:asciiTheme="majorBidi" w:hAnsiTheme="majorBidi" w:cstheme="majorBidi"/>
          <w:color w:val="AD1414"/>
          <w:sz w:val="22"/>
          <w:szCs w:val="22"/>
        </w:rPr>
        <w:t>*</w:t>
      </w:r>
    </w:p>
    <w:p w14:paraId="4BE0EF3A" w14:textId="77777777" w:rsidR="005A7646" w:rsidRPr="001921D0" w:rsidRDefault="005A7646" w:rsidP="00B92761">
      <w:pPr>
        <w:pStyle w:val="Default"/>
        <w:numPr>
          <w:ilvl w:val="0"/>
          <w:numId w:val="36"/>
        </w:numPr>
        <w:tabs>
          <w:tab w:val="left" w:pos="1134"/>
        </w:tabs>
        <w:ind w:left="1134" w:firstLine="0"/>
        <w:rPr>
          <w:rFonts w:asciiTheme="majorBidi" w:hAnsiTheme="majorBidi" w:cstheme="majorBidi"/>
          <w:color w:val="242424"/>
          <w:sz w:val="22"/>
          <w:szCs w:val="22"/>
        </w:rPr>
      </w:pPr>
      <w:r w:rsidRPr="001921D0">
        <w:rPr>
          <w:rFonts w:asciiTheme="majorBidi" w:hAnsiTheme="majorBidi" w:cstheme="majorBidi"/>
          <w:color w:val="242424"/>
          <w:sz w:val="22"/>
          <w:szCs w:val="22"/>
        </w:rPr>
        <w:t>National Focal Point for the Cartagena Protocol on Biosafety</w:t>
      </w:r>
    </w:p>
    <w:p w14:paraId="0F466D33" w14:textId="77777777" w:rsidR="005A7646" w:rsidRPr="001921D0" w:rsidRDefault="005A7646" w:rsidP="00B92761">
      <w:pPr>
        <w:pStyle w:val="Default"/>
        <w:numPr>
          <w:ilvl w:val="0"/>
          <w:numId w:val="36"/>
        </w:numPr>
        <w:tabs>
          <w:tab w:val="left" w:pos="1134"/>
        </w:tabs>
        <w:ind w:left="1134" w:firstLine="0"/>
        <w:rPr>
          <w:rFonts w:asciiTheme="majorBidi" w:hAnsiTheme="majorBidi" w:cstheme="majorBidi"/>
          <w:color w:val="242424"/>
          <w:sz w:val="22"/>
          <w:szCs w:val="22"/>
        </w:rPr>
      </w:pPr>
      <w:r w:rsidRPr="001921D0">
        <w:rPr>
          <w:rFonts w:asciiTheme="majorBidi" w:hAnsiTheme="majorBidi" w:cstheme="majorBidi"/>
          <w:color w:val="242424"/>
          <w:sz w:val="22"/>
          <w:szCs w:val="22"/>
        </w:rPr>
        <w:t>Other</w:t>
      </w:r>
    </w:p>
    <w:p w14:paraId="455CAF83" w14:textId="77777777" w:rsidR="005A7646" w:rsidRPr="001921D0" w:rsidRDefault="005A7646" w:rsidP="00B92761">
      <w:pPr>
        <w:pStyle w:val="Default"/>
        <w:numPr>
          <w:ilvl w:val="0"/>
          <w:numId w:val="35"/>
        </w:numPr>
        <w:tabs>
          <w:tab w:val="left" w:pos="1134"/>
        </w:tabs>
        <w:spacing w:before="120" w:after="120"/>
        <w:ind w:left="567" w:hanging="5"/>
        <w:rPr>
          <w:rFonts w:asciiTheme="majorBidi" w:hAnsiTheme="majorBidi" w:cstheme="majorBidi"/>
          <w:color w:val="AE1515"/>
          <w:sz w:val="22"/>
          <w:szCs w:val="22"/>
        </w:rPr>
      </w:pPr>
      <w:r w:rsidRPr="001921D0">
        <w:rPr>
          <w:rFonts w:asciiTheme="majorBidi" w:hAnsiTheme="majorBidi" w:cstheme="majorBidi"/>
          <w:color w:val="242424"/>
          <w:sz w:val="22"/>
          <w:szCs w:val="22"/>
        </w:rPr>
        <w:t xml:space="preserve">Please provide your name </w:t>
      </w:r>
      <w:r w:rsidRPr="001921D0">
        <w:rPr>
          <w:rFonts w:asciiTheme="majorBidi" w:hAnsiTheme="majorBidi" w:cstheme="majorBidi"/>
          <w:color w:val="AE1515"/>
          <w:sz w:val="22"/>
          <w:szCs w:val="22"/>
        </w:rPr>
        <w:t>*</w:t>
      </w:r>
    </w:p>
    <w:p w14:paraId="0FC60285" w14:textId="77777777" w:rsidR="005A7646" w:rsidRPr="001921D0" w:rsidRDefault="005A7646" w:rsidP="005525E3">
      <w:pPr>
        <w:pStyle w:val="Default"/>
        <w:ind w:left="360" w:firstLine="360"/>
        <w:rPr>
          <w:rFonts w:asciiTheme="majorBidi" w:hAnsiTheme="majorBidi" w:cstheme="majorBidi"/>
          <w:color w:val="242424"/>
          <w:sz w:val="22"/>
          <w:szCs w:val="22"/>
        </w:rPr>
      </w:pPr>
      <w:r w:rsidRPr="001921D0">
        <w:rPr>
          <w:rFonts w:asciiTheme="majorBidi" w:hAnsiTheme="majorBidi" w:cstheme="majorBidi"/>
          <w:color w:val="242424"/>
          <w:sz w:val="22"/>
          <w:szCs w:val="22"/>
        </w:rPr>
        <w:t>[…]</w:t>
      </w:r>
    </w:p>
    <w:p w14:paraId="5D5352A0" w14:textId="77777777" w:rsidR="005A7646" w:rsidRPr="001921D0" w:rsidRDefault="005A7646" w:rsidP="00B92761">
      <w:pPr>
        <w:pStyle w:val="Default"/>
        <w:spacing w:before="120" w:after="120"/>
        <w:rPr>
          <w:rFonts w:asciiTheme="majorBidi" w:hAnsiTheme="majorBidi" w:cstheme="majorBidi"/>
          <w:b/>
          <w:bCs/>
          <w:color w:val="242424"/>
          <w:sz w:val="22"/>
          <w:szCs w:val="22"/>
        </w:rPr>
      </w:pPr>
      <w:r w:rsidRPr="001921D0">
        <w:rPr>
          <w:rFonts w:asciiTheme="majorBidi" w:hAnsiTheme="majorBidi" w:cstheme="majorBidi"/>
          <w:b/>
          <w:bCs/>
          <w:color w:val="242424"/>
          <w:sz w:val="22"/>
          <w:szCs w:val="22"/>
        </w:rPr>
        <w:t>Adoption of measures to implement the Protocol</w:t>
      </w:r>
    </w:p>
    <w:p w14:paraId="67AE94D5" w14:textId="77777777" w:rsidR="005A7646" w:rsidRPr="001921D0" w:rsidRDefault="005A7646" w:rsidP="00B92761">
      <w:pPr>
        <w:pStyle w:val="Default"/>
        <w:numPr>
          <w:ilvl w:val="0"/>
          <w:numId w:val="35"/>
        </w:numPr>
        <w:tabs>
          <w:tab w:val="left" w:pos="1134"/>
        </w:tabs>
        <w:spacing w:before="120" w:after="120"/>
        <w:ind w:left="567" w:hanging="5"/>
        <w:rPr>
          <w:rFonts w:asciiTheme="majorBidi" w:hAnsiTheme="majorBidi" w:cstheme="majorBidi"/>
          <w:color w:val="242424"/>
          <w:sz w:val="22"/>
          <w:szCs w:val="22"/>
        </w:rPr>
      </w:pPr>
      <w:r w:rsidRPr="001921D0">
        <w:rPr>
          <w:rFonts w:asciiTheme="majorBidi" w:hAnsiTheme="majorBidi" w:cstheme="majorBidi"/>
          <w:color w:val="242424"/>
          <w:sz w:val="22"/>
          <w:szCs w:val="22"/>
        </w:rPr>
        <w:t xml:space="preserve">Has your country introduced the necessary national measures for the implementation of the Protocol? </w:t>
      </w:r>
      <w:r w:rsidRPr="001921D0">
        <w:rPr>
          <w:rFonts w:asciiTheme="majorBidi" w:hAnsiTheme="majorBidi" w:cstheme="majorBidi"/>
          <w:color w:val="AE1515"/>
          <w:sz w:val="22"/>
          <w:szCs w:val="22"/>
        </w:rPr>
        <w:t>*</w:t>
      </w:r>
    </w:p>
    <w:p w14:paraId="2F908AB8" w14:textId="77777777" w:rsidR="005A7646" w:rsidRPr="001921D0" w:rsidRDefault="005A7646" w:rsidP="00B92761">
      <w:pPr>
        <w:pStyle w:val="Default"/>
        <w:numPr>
          <w:ilvl w:val="0"/>
          <w:numId w:val="36"/>
        </w:numPr>
        <w:tabs>
          <w:tab w:val="left" w:pos="1134"/>
        </w:tabs>
        <w:ind w:left="1134" w:firstLine="0"/>
        <w:rPr>
          <w:rFonts w:asciiTheme="majorBidi" w:hAnsiTheme="majorBidi" w:cstheme="majorBidi"/>
          <w:sz w:val="22"/>
          <w:szCs w:val="22"/>
        </w:rPr>
      </w:pPr>
      <w:r w:rsidRPr="001921D0">
        <w:rPr>
          <w:rFonts w:asciiTheme="majorBidi" w:hAnsiTheme="majorBidi" w:cstheme="majorBidi"/>
          <w:color w:val="242424"/>
          <w:sz w:val="22"/>
          <w:szCs w:val="22"/>
        </w:rPr>
        <w:t>Measures are fully in place</w:t>
      </w:r>
    </w:p>
    <w:p w14:paraId="5726786E" w14:textId="77777777" w:rsidR="005A7646" w:rsidRPr="001921D0" w:rsidRDefault="005A7646" w:rsidP="00B92761">
      <w:pPr>
        <w:pStyle w:val="Default"/>
        <w:numPr>
          <w:ilvl w:val="0"/>
          <w:numId w:val="36"/>
        </w:numPr>
        <w:tabs>
          <w:tab w:val="left" w:pos="1134"/>
        </w:tabs>
        <w:ind w:left="1134" w:firstLine="0"/>
        <w:rPr>
          <w:rFonts w:asciiTheme="majorBidi" w:hAnsiTheme="majorBidi" w:cstheme="majorBidi"/>
          <w:color w:val="242424"/>
          <w:sz w:val="22"/>
          <w:szCs w:val="22"/>
        </w:rPr>
      </w:pPr>
      <w:r w:rsidRPr="001921D0">
        <w:rPr>
          <w:rFonts w:asciiTheme="majorBidi" w:hAnsiTheme="majorBidi" w:cstheme="majorBidi"/>
          <w:color w:val="242424"/>
          <w:sz w:val="22"/>
          <w:szCs w:val="22"/>
        </w:rPr>
        <w:t>Measures are partially in place</w:t>
      </w:r>
    </w:p>
    <w:p w14:paraId="79E6E7A7" w14:textId="77777777" w:rsidR="005A7646" w:rsidRPr="001921D0" w:rsidRDefault="005A7646" w:rsidP="00B92761">
      <w:pPr>
        <w:pStyle w:val="Default"/>
        <w:numPr>
          <w:ilvl w:val="0"/>
          <w:numId w:val="36"/>
        </w:numPr>
        <w:tabs>
          <w:tab w:val="left" w:pos="1134"/>
        </w:tabs>
        <w:ind w:left="1134" w:firstLine="0"/>
        <w:rPr>
          <w:rFonts w:asciiTheme="majorBidi" w:hAnsiTheme="majorBidi" w:cstheme="majorBidi"/>
          <w:color w:val="242424"/>
          <w:sz w:val="22"/>
          <w:szCs w:val="22"/>
        </w:rPr>
      </w:pPr>
      <w:r w:rsidRPr="001921D0">
        <w:rPr>
          <w:rFonts w:asciiTheme="majorBidi" w:hAnsiTheme="majorBidi" w:cstheme="majorBidi"/>
          <w:color w:val="242424"/>
          <w:sz w:val="22"/>
          <w:szCs w:val="22"/>
        </w:rPr>
        <w:t>Temporary measures have been introduced</w:t>
      </w:r>
    </w:p>
    <w:p w14:paraId="2A51EDC0" w14:textId="77777777" w:rsidR="005A7646" w:rsidRPr="001921D0" w:rsidRDefault="005A7646" w:rsidP="00B92761">
      <w:pPr>
        <w:pStyle w:val="Default"/>
        <w:numPr>
          <w:ilvl w:val="0"/>
          <w:numId w:val="36"/>
        </w:numPr>
        <w:tabs>
          <w:tab w:val="left" w:pos="1134"/>
        </w:tabs>
        <w:ind w:left="1134" w:firstLine="0"/>
        <w:rPr>
          <w:rFonts w:asciiTheme="majorBidi" w:hAnsiTheme="majorBidi" w:cstheme="majorBidi"/>
          <w:sz w:val="22"/>
          <w:szCs w:val="22"/>
        </w:rPr>
      </w:pPr>
      <w:r w:rsidRPr="001921D0">
        <w:rPr>
          <w:rFonts w:asciiTheme="majorBidi" w:hAnsiTheme="majorBidi" w:cstheme="majorBidi"/>
          <w:color w:val="242424"/>
          <w:sz w:val="22"/>
          <w:szCs w:val="22"/>
        </w:rPr>
        <w:t>Draft measures exist</w:t>
      </w:r>
    </w:p>
    <w:p w14:paraId="241AB0CC" w14:textId="77777777" w:rsidR="005A7646" w:rsidRPr="001921D0" w:rsidRDefault="005A7646" w:rsidP="00B92761">
      <w:pPr>
        <w:pStyle w:val="Default"/>
        <w:numPr>
          <w:ilvl w:val="0"/>
          <w:numId w:val="36"/>
        </w:numPr>
        <w:tabs>
          <w:tab w:val="left" w:pos="1134"/>
        </w:tabs>
        <w:ind w:left="1134" w:firstLine="0"/>
        <w:rPr>
          <w:rFonts w:asciiTheme="majorBidi" w:hAnsiTheme="majorBidi" w:cstheme="majorBidi"/>
          <w:color w:val="242424"/>
          <w:sz w:val="22"/>
          <w:szCs w:val="22"/>
        </w:rPr>
      </w:pPr>
      <w:r w:rsidRPr="001921D0">
        <w:rPr>
          <w:rFonts w:asciiTheme="majorBidi" w:hAnsiTheme="majorBidi" w:cstheme="majorBidi"/>
          <w:color w:val="242424"/>
          <w:sz w:val="22"/>
          <w:szCs w:val="22"/>
        </w:rPr>
        <w:t>No measures have yet been taken</w:t>
      </w:r>
    </w:p>
    <w:p w14:paraId="2EFD57FB" w14:textId="77777777" w:rsidR="005A7646" w:rsidRPr="001921D0" w:rsidRDefault="005A7646" w:rsidP="00B92761">
      <w:pPr>
        <w:pStyle w:val="Default"/>
        <w:numPr>
          <w:ilvl w:val="0"/>
          <w:numId w:val="35"/>
        </w:numPr>
        <w:tabs>
          <w:tab w:val="left" w:pos="1134"/>
        </w:tabs>
        <w:spacing w:before="120" w:after="120"/>
        <w:ind w:left="567" w:hanging="5"/>
        <w:rPr>
          <w:rFonts w:asciiTheme="majorBidi" w:hAnsiTheme="majorBidi" w:cstheme="majorBidi"/>
          <w:color w:val="242424"/>
          <w:sz w:val="22"/>
          <w:szCs w:val="22"/>
        </w:rPr>
      </w:pPr>
      <w:r w:rsidRPr="001921D0">
        <w:rPr>
          <w:rFonts w:asciiTheme="majorBidi" w:hAnsiTheme="majorBidi" w:cstheme="majorBidi"/>
          <w:color w:val="242424"/>
          <w:sz w:val="22"/>
          <w:szCs w:val="22"/>
        </w:rPr>
        <w:t>What limitations or challenges does your country face in taking legal, administrative and other measures necessary to implement the Cartagena Protocol (choose all that apply)? *</w:t>
      </w:r>
    </w:p>
    <w:p w14:paraId="4824F1CE" w14:textId="77777777" w:rsidR="005A7646" w:rsidRPr="001921D0" w:rsidRDefault="005A7646" w:rsidP="00B92761">
      <w:pPr>
        <w:pStyle w:val="Default"/>
        <w:numPr>
          <w:ilvl w:val="0"/>
          <w:numId w:val="36"/>
        </w:numPr>
        <w:tabs>
          <w:tab w:val="left" w:pos="1134"/>
        </w:tabs>
        <w:ind w:left="1134" w:firstLine="0"/>
        <w:rPr>
          <w:rFonts w:asciiTheme="majorBidi" w:hAnsiTheme="majorBidi" w:cstheme="majorBidi"/>
          <w:color w:val="242424"/>
          <w:sz w:val="22"/>
          <w:szCs w:val="22"/>
        </w:rPr>
      </w:pPr>
      <w:r w:rsidRPr="001921D0">
        <w:rPr>
          <w:rFonts w:asciiTheme="majorBidi" w:hAnsiTheme="majorBidi" w:cstheme="majorBidi"/>
          <w:color w:val="242424"/>
          <w:sz w:val="22"/>
          <w:szCs w:val="22"/>
        </w:rPr>
        <w:t>Lack of financial resources</w:t>
      </w:r>
    </w:p>
    <w:p w14:paraId="4C5D3976" w14:textId="77777777" w:rsidR="005A7646" w:rsidRPr="001921D0" w:rsidRDefault="005A7646" w:rsidP="00B92761">
      <w:pPr>
        <w:pStyle w:val="Default"/>
        <w:numPr>
          <w:ilvl w:val="0"/>
          <w:numId w:val="36"/>
        </w:numPr>
        <w:tabs>
          <w:tab w:val="left" w:pos="1134"/>
        </w:tabs>
        <w:ind w:left="1134" w:firstLine="0"/>
        <w:rPr>
          <w:rFonts w:asciiTheme="majorBidi" w:hAnsiTheme="majorBidi" w:cstheme="majorBidi"/>
          <w:color w:val="242424"/>
          <w:sz w:val="22"/>
          <w:szCs w:val="22"/>
        </w:rPr>
      </w:pPr>
      <w:r w:rsidRPr="001921D0">
        <w:rPr>
          <w:rFonts w:asciiTheme="majorBidi" w:hAnsiTheme="majorBidi" w:cstheme="majorBidi"/>
          <w:color w:val="242424"/>
          <w:sz w:val="22"/>
          <w:szCs w:val="22"/>
        </w:rPr>
        <w:t>Lack of human resources</w:t>
      </w:r>
    </w:p>
    <w:p w14:paraId="2F72449A" w14:textId="77777777" w:rsidR="005A7646" w:rsidRPr="001921D0" w:rsidRDefault="005A7646" w:rsidP="00B92761">
      <w:pPr>
        <w:pStyle w:val="Default"/>
        <w:numPr>
          <w:ilvl w:val="0"/>
          <w:numId w:val="36"/>
        </w:numPr>
        <w:tabs>
          <w:tab w:val="left" w:pos="1134"/>
        </w:tabs>
        <w:ind w:left="1134" w:firstLine="0"/>
        <w:rPr>
          <w:rFonts w:asciiTheme="majorBidi" w:hAnsiTheme="majorBidi" w:cstheme="majorBidi"/>
          <w:color w:val="242424"/>
          <w:sz w:val="22"/>
          <w:szCs w:val="22"/>
        </w:rPr>
      </w:pPr>
      <w:r w:rsidRPr="001921D0">
        <w:rPr>
          <w:rFonts w:asciiTheme="majorBidi" w:hAnsiTheme="majorBidi" w:cstheme="majorBidi"/>
          <w:color w:val="242424"/>
          <w:sz w:val="22"/>
          <w:szCs w:val="22"/>
        </w:rPr>
        <w:t>Lack of human resources with necessary qualifications and skills</w:t>
      </w:r>
    </w:p>
    <w:p w14:paraId="4DBE8E87" w14:textId="77777777" w:rsidR="005A7646" w:rsidRPr="001921D0" w:rsidRDefault="005A7646" w:rsidP="00B92761">
      <w:pPr>
        <w:pStyle w:val="Default"/>
        <w:numPr>
          <w:ilvl w:val="0"/>
          <w:numId w:val="36"/>
        </w:numPr>
        <w:tabs>
          <w:tab w:val="left" w:pos="1134"/>
        </w:tabs>
        <w:ind w:left="1134" w:firstLine="0"/>
        <w:rPr>
          <w:rFonts w:asciiTheme="majorBidi" w:hAnsiTheme="majorBidi" w:cstheme="majorBidi"/>
          <w:color w:val="242424"/>
          <w:sz w:val="22"/>
          <w:szCs w:val="22"/>
        </w:rPr>
      </w:pPr>
      <w:r w:rsidRPr="001921D0">
        <w:rPr>
          <w:rFonts w:asciiTheme="majorBidi" w:hAnsiTheme="majorBidi" w:cstheme="majorBidi"/>
          <w:color w:val="242424"/>
          <w:sz w:val="22"/>
          <w:szCs w:val="22"/>
        </w:rPr>
        <w:t>Lack of political will to adopt measures</w:t>
      </w:r>
    </w:p>
    <w:p w14:paraId="226EAEEE" w14:textId="77777777" w:rsidR="005A7646" w:rsidRPr="001921D0" w:rsidRDefault="005A7646" w:rsidP="00B92761">
      <w:pPr>
        <w:pStyle w:val="Default"/>
        <w:numPr>
          <w:ilvl w:val="0"/>
          <w:numId w:val="36"/>
        </w:numPr>
        <w:tabs>
          <w:tab w:val="left" w:pos="1134"/>
        </w:tabs>
        <w:ind w:left="1134" w:firstLine="0"/>
        <w:rPr>
          <w:rFonts w:asciiTheme="majorBidi" w:hAnsiTheme="majorBidi" w:cstheme="majorBidi"/>
          <w:color w:val="242424"/>
          <w:sz w:val="22"/>
          <w:szCs w:val="22"/>
        </w:rPr>
      </w:pPr>
      <w:r w:rsidRPr="001921D0">
        <w:rPr>
          <w:rFonts w:asciiTheme="majorBidi" w:hAnsiTheme="majorBidi" w:cstheme="majorBidi"/>
          <w:color w:val="242424"/>
          <w:sz w:val="22"/>
          <w:szCs w:val="22"/>
        </w:rPr>
        <w:t>Lack of awareness on biosafety</w:t>
      </w:r>
    </w:p>
    <w:p w14:paraId="0B39AACB" w14:textId="77777777" w:rsidR="005A7646" w:rsidRPr="001921D0" w:rsidRDefault="005A7646" w:rsidP="00B92761">
      <w:pPr>
        <w:pStyle w:val="Default"/>
        <w:numPr>
          <w:ilvl w:val="0"/>
          <w:numId w:val="36"/>
        </w:numPr>
        <w:tabs>
          <w:tab w:val="left" w:pos="1134"/>
        </w:tabs>
        <w:ind w:left="1134" w:firstLine="0"/>
        <w:rPr>
          <w:rFonts w:asciiTheme="majorBidi" w:hAnsiTheme="majorBidi" w:cstheme="majorBidi"/>
          <w:color w:val="242424"/>
          <w:sz w:val="22"/>
          <w:szCs w:val="22"/>
        </w:rPr>
      </w:pPr>
      <w:r w:rsidRPr="001921D0">
        <w:rPr>
          <w:rFonts w:asciiTheme="majorBidi" w:hAnsiTheme="majorBidi" w:cstheme="majorBidi"/>
          <w:color w:val="242424"/>
          <w:sz w:val="22"/>
          <w:szCs w:val="22"/>
        </w:rPr>
        <w:t>None</w:t>
      </w:r>
    </w:p>
    <w:p w14:paraId="3E59E86A" w14:textId="77777777" w:rsidR="005A7646" w:rsidRPr="001921D0" w:rsidRDefault="005A7646" w:rsidP="00B92761">
      <w:pPr>
        <w:pStyle w:val="Default"/>
        <w:numPr>
          <w:ilvl w:val="0"/>
          <w:numId w:val="36"/>
        </w:numPr>
        <w:tabs>
          <w:tab w:val="left" w:pos="1134"/>
        </w:tabs>
        <w:ind w:left="1134" w:firstLine="0"/>
        <w:rPr>
          <w:rFonts w:asciiTheme="majorBidi" w:hAnsiTheme="majorBidi" w:cstheme="majorBidi"/>
          <w:color w:val="242424"/>
          <w:sz w:val="22"/>
          <w:szCs w:val="22"/>
        </w:rPr>
      </w:pPr>
      <w:r w:rsidRPr="001921D0">
        <w:rPr>
          <w:rFonts w:asciiTheme="majorBidi" w:hAnsiTheme="majorBidi" w:cstheme="majorBidi"/>
          <w:color w:val="242424"/>
          <w:sz w:val="22"/>
          <w:szCs w:val="22"/>
        </w:rPr>
        <w:t>Other</w:t>
      </w:r>
    </w:p>
    <w:p w14:paraId="269C2D22" w14:textId="77777777" w:rsidR="005A7646" w:rsidRPr="001921D0" w:rsidRDefault="005A7646" w:rsidP="00B92761">
      <w:pPr>
        <w:pStyle w:val="Default"/>
        <w:numPr>
          <w:ilvl w:val="0"/>
          <w:numId w:val="35"/>
        </w:numPr>
        <w:tabs>
          <w:tab w:val="left" w:pos="1134"/>
        </w:tabs>
        <w:spacing w:before="120" w:after="120"/>
        <w:ind w:left="567" w:hanging="5"/>
        <w:rPr>
          <w:rFonts w:asciiTheme="majorBidi" w:hAnsiTheme="majorBidi" w:cstheme="majorBidi"/>
          <w:color w:val="242424"/>
          <w:sz w:val="22"/>
          <w:szCs w:val="22"/>
        </w:rPr>
      </w:pPr>
      <w:r w:rsidRPr="001921D0">
        <w:rPr>
          <w:rFonts w:asciiTheme="majorBidi" w:hAnsiTheme="majorBidi" w:cstheme="majorBidi"/>
          <w:color w:val="242424"/>
          <w:sz w:val="22"/>
          <w:szCs w:val="22"/>
        </w:rPr>
        <w:lastRenderedPageBreak/>
        <w:t xml:space="preserve">What types of support does your country need to overcome the limitations or challenges identified above in taking measures to implement the Protocol (choose all that apply)? </w:t>
      </w:r>
      <w:r w:rsidRPr="001921D0">
        <w:rPr>
          <w:rFonts w:asciiTheme="majorBidi" w:hAnsiTheme="majorBidi" w:cstheme="majorBidi"/>
          <w:color w:val="AE1515"/>
          <w:sz w:val="22"/>
          <w:szCs w:val="22"/>
        </w:rPr>
        <w:t>*</w:t>
      </w:r>
    </w:p>
    <w:p w14:paraId="507C3D2E" w14:textId="31B1F232" w:rsidR="005A7646" w:rsidRPr="001921D0" w:rsidRDefault="005A7646" w:rsidP="00B92761">
      <w:pPr>
        <w:pStyle w:val="Default"/>
        <w:numPr>
          <w:ilvl w:val="0"/>
          <w:numId w:val="36"/>
        </w:numPr>
        <w:tabs>
          <w:tab w:val="left" w:pos="1134"/>
        </w:tabs>
        <w:ind w:left="1134" w:firstLine="0"/>
        <w:rPr>
          <w:rFonts w:asciiTheme="majorBidi" w:hAnsiTheme="majorBidi" w:cstheme="majorBidi"/>
          <w:color w:val="242424"/>
          <w:sz w:val="22"/>
          <w:szCs w:val="22"/>
        </w:rPr>
      </w:pPr>
      <w:r w:rsidRPr="001921D0">
        <w:rPr>
          <w:rFonts w:asciiTheme="majorBidi" w:hAnsiTheme="majorBidi" w:cstheme="majorBidi"/>
          <w:color w:val="242424"/>
          <w:sz w:val="22"/>
          <w:szCs w:val="22"/>
        </w:rPr>
        <w:t>Capacity</w:t>
      </w:r>
      <w:r w:rsidR="00F85990" w:rsidRPr="001921D0">
        <w:rPr>
          <w:rFonts w:asciiTheme="majorBidi" w:hAnsiTheme="majorBidi" w:cstheme="majorBidi"/>
          <w:color w:val="242424"/>
          <w:sz w:val="22"/>
          <w:szCs w:val="22"/>
        </w:rPr>
        <w:t>-</w:t>
      </w:r>
      <w:r w:rsidRPr="001921D0">
        <w:rPr>
          <w:rFonts w:asciiTheme="majorBidi" w:hAnsiTheme="majorBidi" w:cstheme="majorBidi"/>
          <w:color w:val="242424"/>
          <w:sz w:val="22"/>
          <w:szCs w:val="22"/>
        </w:rPr>
        <w:t>building materials</w:t>
      </w:r>
    </w:p>
    <w:p w14:paraId="4943E0A8" w14:textId="12A537BE" w:rsidR="005A7646" w:rsidRPr="001921D0" w:rsidRDefault="005A7646" w:rsidP="00B92761">
      <w:pPr>
        <w:pStyle w:val="Default"/>
        <w:numPr>
          <w:ilvl w:val="0"/>
          <w:numId w:val="36"/>
        </w:numPr>
        <w:tabs>
          <w:tab w:val="left" w:pos="1134"/>
        </w:tabs>
        <w:ind w:left="1134" w:firstLine="0"/>
        <w:rPr>
          <w:rFonts w:asciiTheme="majorBidi" w:hAnsiTheme="majorBidi" w:cstheme="majorBidi"/>
          <w:color w:val="242424"/>
          <w:sz w:val="22"/>
          <w:szCs w:val="22"/>
        </w:rPr>
      </w:pPr>
      <w:r w:rsidRPr="001921D0">
        <w:rPr>
          <w:rFonts w:asciiTheme="majorBidi" w:hAnsiTheme="majorBidi" w:cstheme="majorBidi"/>
          <w:color w:val="242424"/>
          <w:sz w:val="22"/>
          <w:szCs w:val="22"/>
        </w:rPr>
        <w:t>Capacity</w:t>
      </w:r>
      <w:r w:rsidR="00F85990" w:rsidRPr="001921D0">
        <w:rPr>
          <w:rFonts w:asciiTheme="majorBidi" w:hAnsiTheme="majorBidi" w:cstheme="majorBidi"/>
          <w:color w:val="242424"/>
          <w:sz w:val="22"/>
          <w:szCs w:val="22"/>
        </w:rPr>
        <w:t>-</w:t>
      </w:r>
      <w:r w:rsidRPr="001921D0">
        <w:rPr>
          <w:rFonts w:asciiTheme="majorBidi" w:hAnsiTheme="majorBidi" w:cstheme="majorBidi"/>
          <w:color w:val="242424"/>
          <w:sz w:val="22"/>
          <w:szCs w:val="22"/>
        </w:rPr>
        <w:t>building activities</w:t>
      </w:r>
    </w:p>
    <w:p w14:paraId="4C0E69CB" w14:textId="77777777" w:rsidR="005A7646" w:rsidRPr="001921D0" w:rsidRDefault="005A7646" w:rsidP="00B92761">
      <w:pPr>
        <w:pStyle w:val="Default"/>
        <w:numPr>
          <w:ilvl w:val="0"/>
          <w:numId w:val="36"/>
        </w:numPr>
        <w:tabs>
          <w:tab w:val="left" w:pos="1134"/>
        </w:tabs>
        <w:ind w:left="1134" w:firstLine="0"/>
        <w:rPr>
          <w:rFonts w:asciiTheme="majorBidi" w:hAnsiTheme="majorBidi" w:cstheme="majorBidi"/>
          <w:color w:val="242424"/>
          <w:sz w:val="22"/>
          <w:szCs w:val="22"/>
        </w:rPr>
      </w:pPr>
      <w:r w:rsidRPr="001921D0">
        <w:rPr>
          <w:rFonts w:asciiTheme="majorBidi" w:hAnsiTheme="majorBidi" w:cstheme="majorBidi"/>
          <w:color w:val="242424"/>
          <w:sz w:val="22"/>
          <w:szCs w:val="22"/>
        </w:rPr>
        <w:t>Partnerships with countries in the region to learn from their experience</w:t>
      </w:r>
    </w:p>
    <w:p w14:paraId="5FFD65A3" w14:textId="77777777" w:rsidR="005A7646" w:rsidRPr="001921D0" w:rsidRDefault="005A7646" w:rsidP="00B92761">
      <w:pPr>
        <w:pStyle w:val="Default"/>
        <w:numPr>
          <w:ilvl w:val="0"/>
          <w:numId w:val="36"/>
        </w:numPr>
        <w:tabs>
          <w:tab w:val="left" w:pos="1134"/>
        </w:tabs>
        <w:ind w:left="1134" w:firstLine="0"/>
        <w:rPr>
          <w:rFonts w:asciiTheme="majorBidi" w:hAnsiTheme="majorBidi" w:cstheme="majorBidi"/>
          <w:color w:val="242424"/>
          <w:sz w:val="22"/>
          <w:szCs w:val="22"/>
        </w:rPr>
      </w:pPr>
      <w:r w:rsidRPr="001921D0">
        <w:rPr>
          <w:rFonts w:asciiTheme="majorBidi" w:hAnsiTheme="majorBidi" w:cstheme="majorBidi"/>
          <w:color w:val="242424"/>
          <w:sz w:val="22"/>
          <w:szCs w:val="22"/>
        </w:rPr>
        <w:t>Funding</w:t>
      </w:r>
    </w:p>
    <w:p w14:paraId="173116B4" w14:textId="77777777" w:rsidR="005A7646" w:rsidRPr="001921D0" w:rsidRDefault="005A7646" w:rsidP="00B92761">
      <w:pPr>
        <w:pStyle w:val="Default"/>
        <w:numPr>
          <w:ilvl w:val="0"/>
          <w:numId w:val="36"/>
        </w:numPr>
        <w:tabs>
          <w:tab w:val="left" w:pos="1134"/>
        </w:tabs>
        <w:ind w:left="1134" w:firstLine="0"/>
        <w:rPr>
          <w:rFonts w:asciiTheme="majorBidi" w:hAnsiTheme="majorBidi" w:cstheme="majorBidi"/>
          <w:color w:val="242424"/>
          <w:sz w:val="22"/>
          <w:szCs w:val="22"/>
        </w:rPr>
      </w:pPr>
      <w:r w:rsidRPr="001921D0">
        <w:rPr>
          <w:rFonts w:asciiTheme="majorBidi" w:hAnsiTheme="majorBidi" w:cstheme="majorBidi"/>
          <w:color w:val="242424"/>
          <w:sz w:val="22"/>
          <w:szCs w:val="22"/>
        </w:rPr>
        <w:t>Mobilizing political awareness</w:t>
      </w:r>
    </w:p>
    <w:p w14:paraId="5140ADDD" w14:textId="77777777" w:rsidR="005A7646" w:rsidRPr="001921D0" w:rsidRDefault="005A7646" w:rsidP="00B92761">
      <w:pPr>
        <w:pStyle w:val="Default"/>
        <w:numPr>
          <w:ilvl w:val="0"/>
          <w:numId w:val="36"/>
        </w:numPr>
        <w:tabs>
          <w:tab w:val="left" w:pos="1134"/>
        </w:tabs>
        <w:ind w:left="1134" w:firstLine="0"/>
        <w:rPr>
          <w:rFonts w:asciiTheme="majorBidi" w:hAnsiTheme="majorBidi" w:cstheme="majorBidi"/>
          <w:color w:val="242424"/>
          <w:sz w:val="22"/>
          <w:szCs w:val="22"/>
        </w:rPr>
      </w:pPr>
      <w:r w:rsidRPr="001921D0">
        <w:rPr>
          <w:rFonts w:asciiTheme="majorBidi" w:hAnsiTheme="majorBidi" w:cstheme="majorBidi"/>
          <w:color w:val="242424"/>
          <w:sz w:val="22"/>
          <w:szCs w:val="22"/>
        </w:rPr>
        <w:t>None</w:t>
      </w:r>
    </w:p>
    <w:p w14:paraId="395AD326" w14:textId="77777777" w:rsidR="005A7646" w:rsidRPr="001921D0" w:rsidRDefault="005A7646" w:rsidP="00B92761">
      <w:pPr>
        <w:pStyle w:val="Default"/>
        <w:numPr>
          <w:ilvl w:val="0"/>
          <w:numId w:val="36"/>
        </w:numPr>
        <w:tabs>
          <w:tab w:val="left" w:pos="1134"/>
        </w:tabs>
        <w:ind w:left="1134" w:firstLine="0"/>
        <w:rPr>
          <w:rFonts w:asciiTheme="majorBidi" w:hAnsiTheme="majorBidi" w:cstheme="majorBidi"/>
          <w:color w:val="242424"/>
          <w:sz w:val="22"/>
          <w:szCs w:val="22"/>
        </w:rPr>
      </w:pPr>
      <w:r w:rsidRPr="001921D0">
        <w:rPr>
          <w:rFonts w:asciiTheme="majorBidi" w:hAnsiTheme="majorBidi" w:cstheme="majorBidi"/>
          <w:color w:val="242424"/>
          <w:sz w:val="22"/>
          <w:szCs w:val="22"/>
        </w:rPr>
        <w:t>Other</w:t>
      </w:r>
    </w:p>
    <w:p w14:paraId="1EC0C6B4" w14:textId="7DF461D6" w:rsidR="005A7646" w:rsidRPr="001921D0" w:rsidRDefault="005A7646" w:rsidP="00B92761">
      <w:pPr>
        <w:pStyle w:val="Default"/>
        <w:numPr>
          <w:ilvl w:val="0"/>
          <w:numId w:val="35"/>
        </w:numPr>
        <w:tabs>
          <w:tab w:val="left" w:pos="1134"/>
        </w:tabs>
        <w:spacing w:before="120" w:after="120"/>
        <w:ind w:left="567" w:hanging="5"/>
        <w:jc w:val="both"/>
        <w:rPr>
          <w:rFonts w:asciiTheme="majorBidi" w:hAnsiTheme="majorBidi" w:cstheme="majorBidi"/>
          <w:color w:val="242424"/>
          <w:sz w:val="22"/>
          <w:szCs w:val="22"/>
        </w:rPr>
      </w:pPr>
      <w:r w:rsidRPr="001921D0">
        <w:rPr>
          <w:rFonts w:asciiTheme="majorBidi" w:hAnsiTheme="majorBidi" w:cstheme="majorBidi"/>
          <w:color w:val="242424"/>
          <w:sz w:val="22"/>
          <w:szCs w:val="22"/>
        </w:rPr>
        <w:t>If you identified above that capacity</w:t>
      </w:r>
      <w:r w:rsidR="000B7BE8" w:rsidRPr="001921D0">
        <w:rPr>
          <w:rFonts w:asciiTheme="majorBidi" w:hAnsiTheme="majorBidi" w:cstheme="majorBidi"/>
          <w:color w:val="242424"/>
          <w:sz w:val="22"/>
          <w:szCs w:val="22"/>
        </w:rPr>
        <w:t>-</w:t>
      </w:r>
      <w:r w:rsidRPr="001921D0">
        <w:rPr>
          <w:rFonts w:asciiTheme="majorBidi" w:hAnsiTheme="majorBidi" w:cstheme="majorBidi"/>
          <w:color w:val="242424"/>
          <w:sz w:val="22"/>
          <w:szCs w:val="22"/>
        </w:rPr>
        <w:t>building is needed to support your country in taking measures necessary to implement the obligations under the Protocol, please indicate the areas where your country would benefit from capacity-building (choose all that apply)</w:t>
      </w:r>
    </w:p>
    <w:p w14:paraId="6493A0C9" w14:textId="77777777" w:rsidR="005A7646" w:rsidRPr="001921D0" w:rsidRDefault="005A7646" w:rsidP="00B92761">
      <w:pPr>
        <w:pStyle w:val="Default"/>
        <w:numPr>
          <w:ilvl w:val="0"/>
          <w:numId w:val="36"/>
        </w:numPr>
        <w:tabs>
          <w:tab w:val="left" w:pos="1134"/>
        </w:tabs>
        <w:ind w:left="1134" w:firstLine="0"/>
        <w:rPr>
          <w:rFonts w:asciiTheme="majorBidi" w:hAnsiTheme="majorBidi" w:cstheme="majorBidi"/>
          <w:color w:val="242424"/>
          <w:sz w:val="22"/>
          <w:szCs w:val="22"/>
        </w:rPr>
      </w:pPr>
      <w:r w:rsidRPr="001921D0">
        <w:rPr>
          <w:rFonts w:asciiTheme="majorBidi" w:hAnsiTheme="majorBidi" w:cstheme="majorBidi"/>
          <w:color w:val="242424"/>
          <w:sz w:val="22"/>
          <w:szCs w:val="22"/>
        </w:rPr>
        <w:t>Policy formulation</w:t>
      </w:r>
    </w:p>
    <w:p w14:paraId="0E8C1E1B" w14:textId="77777777" w:rsidR="005A7646" w:rsidRPr="001921D0" w:rsidRDefault="005A7646" w:rsidP="00B92761">
      <w:pPr>
        <w:pStyle w:val="Default"/>
        <w:numPr>
          <w:ilvl w:val="0"/>
          <w:numId w:val="36"/>
        </w:numPr>
        <w:tabs>
          <w:tab w:val="left" w:pos="1134"/>
        </w:tabs>
        <w:ind w:left="1134" w:firstLine="0"/>
        <w:rPr>
          <w:rFonts w:asciiTheme="majorBidi" w:hAnsiTheme="majorBidi" w:cstheme="majorBidi"/>
          <w:color w:val="242424"/>
          <w:sz w:val="22"/>
          <w:szCs w:val="22"/>
        </w:rPr>
      </w:pPr>
      <w:r w:rsidRPr="001921D0">
        <w:rPr>
          <w:rFonts w:asciiTheme="majorBidi" w:hAnsiTheme="majorBidi" w:cstheme="majorBidi"/>
          <w:color w:val="242424"/>
          <w:sz w:val="22"/>
          <w:szCs w:val="22"/>
        </w:rPr>
        <w:t xml:space="preserve">Development of legislation </w:t>
      </w:r>
    </w:p>
    <w:p w14:paraId="306BB88B" w14:textId="235A56F7" w:rsidR="005A7646" w:rsidRPr="001921D0" w:rsidRDefault="005A7646" w:rsidP="00B92761">
      <w:pPr>
        <w:pStyle w:val="Default"/>
        <w:numPr>
          <w:ilvl w:val="0"/>
          <w:numId w:val="36"/>
        </w:numPr>
        <w:tabs>
          <w:tab w:val="left" w:pos="1134"/>
        </w:tabs>
        <w:ind w:left="1134" w:firstLine="0"/>
        <w:rPr>
          <w:rFonts w:asciiTheme="majorBidi" w:hAnsiTheme="majorBidi" w:cstheme="majorBidi"/>
          <w:color w:val="242424"/>
          <w:sz w:val="22"/>
          <w:szCs w:val="22"/>
        </w:rPr>
      </w:pPr>
      <w:r w:rsidRPr="001921D0">
        <w:rPr>
          <w:rFonts w:asciiTheme="majorBidi" w:hAnsiTheme="majorBidi" w:cstheme="majorBidi"/>
          <w:color w:val="242424"/>
          <w:sz w:val="22"/>
          <w:szCs w:val="22"/>
        </w:rPr>
        <w:t>Awareness</w:t>
      </w:r>
      <w:r w:rsidR="00F85990" w:rsidRPr="001921D0">
        <w:rPr>
          <w:rFonts w:asciiTheme="majorBidi" w:hAnsiTheme="majorBidi" w:cstheme="majorBidi"/>
          <w:color w:val="242424"/>
          <w:sz w:val="22"/>
          <w:szCs w:val="22"/>
        </w:rPr>
        <w:t>-</w:t>
      </w:r>
      <w:r w:rsidRPr="001921D0">
        <w:rPr>
          <w:rFonts w:asciiTheme="majorBidi" w:hAnsiTheme="majorBidi" w:cstheme="majorBidi"/>
          <w:color w:val="242424"/>
          <w:sz w:val="22"/>
          <w:szCs w:val="22"/>
        </w:rPr>
        <w:t>raising</w:t>
      </w:r>
    </w:p>
    <w:p w14:paraId="2F9371F5" w14:textId="77777777" w:rsidR="005A7646" w:rsidRPr="001921D0" w:rsidRDefault="005A7646" w:rsidP="00B92761">
      <w:pPr>
        <w:pStyle w:val="Default"/>
        <w:numPr>
          <w:ilvl w:val="0"/>
          <w:numId w:val="36"/>
        </w:numPr>
        <w:tabs>
          <w:tab w:val="left" w:pos="1134"/>
        </w:tabs>
        <w:ind w:left="1134" w:firstLine="0"/>
        <w:rPr>
          <w:rFonts w:asciiTheme="majorBidi" w:hAnsiTheme="majorBidi" w:cstheme="majorBidi"/>
          <w:color w:val="242424"/>
          <w:sz w:val="22"/>
          <w:szCs w:val="22"/>
        </w:rPr>
      </w:pPr>
      <w:r w:rsidRPr="001921D0">
        <w:rPr>
          <w:rFonts w:asciiTheme="majorBidi" w:hAnsiTheme="majorBidi" w:cstheme="majorBidi"/>
          <w:color w:val="242424"/>
          <w:sz w:val="22"/>
          <w:szCs w:val="22"/>
        </w:rPr>
        <w:t>Scientific understanding of living modified organisms</w:t>
      </w:r>
    </w:p>
    <w:p w14:paraId="46878617" w14:textId="77777777" w:rsidR="005A7646" w:rsidRPr="001921D0" w:rsidRDefault="005A7646" w:rsidP="00B92761">
      <w:pPr>
        <w:pStyle w:val="Default"/>
        <w:numPr>
          <w:ilvl w:val="0"/>
          <w:numId w:val="36"/>
        </w:numPr>
        <w:tabs>
          <w:tab w:val="left" w:pos="1134"/>
        </w:tabs>
        <w:ind w:left="1134" w:firstLine="0"/>
        <w:rPr>
          <w:rFonts w:asciiTheme="majorBidi" w:hAnsiTheme="majorBidi" w:cstheme="majorBidi"/>
          <w:color w:val="242424"/>
          <w:sz w:val="22"/>
          <w:szCs w:val="22"/>
        </w:rPr>
      </w:pPr>
      <w:r w:rsidRPr="001921D0">
        <w:rPr>
          <w:rFonts w:asciiTheme="majorBidi" w:hAnsiTheme="majorBidi" w:cstheme="majorBidi"/>
          <w:color w:val="242424"/>
          <w:sz w:val="22"/>
          <w:szCs w:val="22"/>
        </w:rPr>
        <w:t>Other</w:t>
      </w:r>
    </w:p>
    <w:p w14:paraId="2FBD43E3" w14:textId="77777777" w:rsidR="005A7646" w:rsidRPr="001921D0" w:rsidRDefault="005A7646" w:rsidP="00B92761">
      <w:pPr>
        <w:pStyle w:val="Default"/>
        <w:numPr>
          <w:ilvl w:val="0"/>
          <w:numId w:val="35"/>
        </w:numPr>
        <w:tabs>
          <w:tab w:val="left" w:pos="1134"/>
        </w:tabs>
        <w:spacing w:before="120" w:after="120"/>
        <w:ind w:left="567" w:hanging="5"/>
        <w:jc w:val="both"/>
        <w:rPr>
          <w:rFonts w:asciiTheme="majorBidi" w:hAnsiTheme="majorBidi" w:cstheme="majorBidi"/>
          <w:color w:val="242424"/>
          <w:sz w:val="22"/>
          <w:szCs w:val="22"/>
        </w:rPr>
      </w:pPr>
      <w:r w:rsidRPr="001921D0">
        <w:rPr>
          <w:rFonts w:asciiTheme="majorBidi" w:hAnsiTheme="majorBidi" w:cstheme="majorBidi"/>
          <w:color w:val="242424"/>
          <w:sz w:val="22"/>
          <w:szCs w:val="22"/>
        </w:rPr>
        <w:t>What further support from the Compliance Committee in achieving compliance would be useful?</w:t>
      </w:r>
    </w:p>
    <w:p w14:paraId="2163572F" w14:textId="32B86C8B" w:rsidR="005A7646" w:rsidRPr="001921D0" w:rsidRDefault="005A7646" w:rsidP="00B92761">
      <w:pPr>
        <w:pStyle w:val="Default"/>
        <w:ind w:left="1134"/>
        <w:rPr>
          <w:rFonts w:asciiTheme="majorBidi" w:hAnsiTheme="majorBidi" w:cstheme="majorBidi"/>
          <w:color w:val="242424"/>
          <w:sz w:val="22"/>
          <w:szCs w:val="22"/>
        </w:rPr>
      </w:pPr>
      <w:r w:rsidRPr="001921D0">
        <w:rPr>
          <w:rFonts w:asciiTheme="majorBidi" w:hAnsiTheme="majorBidi" w:cstheme="majorBidi"/>
          <w:color w:val="242424"/>
          <w:sz w:val="22"/>
          <w:szCs w:val="22"/>
        </w:rPr>
        <w:t>[…]</w:t>
      </w:r>
    </w:p>
    <w:p w14:paraId="7B14762B" w14:textId="77777777" w:rsidR="005A7646" w:rsidRPr="001921D0" w:rsidRDefault="005A7646" w:rsidP="00B92761">
      <w:pPr>
        <w:pStyle w:val="Default"/>
        <w:numPr>
          <w:ilvl w:val="0"/>
          <w:numId w:val="35"/>
        </w:numPr>
        <w:tabs>
          <w:tab w:val="left" w:pos="1134"/>
        </w:tabs>
        <w:spacing w:before="120" w:after="120"/>
        <w:ind w:left="567" w:hanging="5"/>
        <w:jc w:val="both"/>
        <w:rPr>
          <w:rFonts w:asciiTheme="majorBidi" w:hAnsiTheme="majorBidi" w:cstheme="majorBidi"/>
          <w:color w:val="242424"/>
          <w:sz w:val="22"/>
          <w:szCs w:val="22"/>
        </w:rPr>
      </w:pPr>
      <w:r w:rsidRPr="001921D0">
        <w:rPr>
          <w:rFonts w:asciiTheme="majorBidi" w:hAnsiTheme="majorBidi" w:cstheme="majorBidi"/>
          <w:color w:val="242424"/>
          <w:sz w:val="22"/>
          <w:szCs w:val="22"/>
        </w:rPr>
        <w:t>Please provide any other information on limitations or challenges faced in fulfilling the obligation to take measures to implement the Protocol.</w:t>
      </w:r>
    </w:p>
    <w:p w14:paraId="1D30F7D1" w14:textId="188FEEDC" w:rsidR="005A7646" w:rsidRPr="001921D0" w:rsidRDefault="005A7646" w:rsidP="00B92761">
      <w:pPr>
        <w:pStyle w:val="Default"/>
        <w:ind w:left="1134"/>
        <w:rPr>
          <w:rFonts w:asciiTheme="majorBidi" w:hAnsiTheme="majorBidi" w:cstheme="majorBidi"/>
          <w:color w:val="242424"/>
          <w:sz w:val="22"/>
          <w:szCs w:val="22"/>
        </w:rPr>
      </w:pPr>
      <w:r w:rsidRPr="001921D0">
        <w:rPr>
          <w:rFonts w:asciiTheme="majorBidi" w:hAnsiTheme="majorBidi" w:cstheme="majorBidi"/>
          <w:color w:val="242424"/>
          <w:sz w:val="22"/>
          <w:szCs w:val="22"/>
        </w:rPr>
        <w:t>[…]</w:t>
      </w:r>
    </w:p>
    <w:p w14:paraId="7A9FD0CF" w14:textId="77777777" w:rsidR="005A7646" w:rsidRPr="001921D0" w:rsidRDefault="005A7646" w:rsidP="00B92761">
      <w:pPr>
        <w:pStyle w:val="Default"/>
        <w:spacing w:before="120" w:after="120"/>
        <w:rPr>
          <w:rFonts w:asciiTheme="majorBidi" w:hAnsiTheme="majorBidi" w:cstheme="majorBidi"/>
          <w:b/>
          <w:bCs/>
          <w:color w:val="242424"/>
          <w:sz w:val="22"/>
          <w:szCs w:val="22"/>
        </w:rPr>
      </w:pPr>
      <w:r w:rsidRPr="001921D0">
        <w:rPr>
          <w:rFonts w:asciiTheme="majorBidi" w:hAnsiTheme="majorBidi" w:cstheme="majorBidi"/>
          <w:b/>
          <w:bCs/>
          <w:color w:val="242424"/>
          <w:sz w:val="22"/>
          <w:szCs w:val="22"/>
        </w:rPr>
        <w:t>Submission of the national report in a timely manner</w:t>
      </w:r>
    </w:p>
    <w:p w14:paraId="74643EDF" w14:textId="19E626D0" w:rsidR="005A7646" w:rsidRPr="001921D0" w:rsidRDefault="005A7646" w:rsidP="00B92761">
      <w:pPr>
        <w:pStyle w:val="Default"/>
        <w:numPr>
          <w:ilvl w:val="0"/>
          <w:numId w:val="35"/>
        </w:numPr>
        <w:tabs>
          <w:tab w:val="left" w:pos="1134"/>
        </w:tabs>
        <w:spacing w:before="120" w:after="120"/>
        <w:ind w:left="567" w:hanging="5"/>
        <w:jc w:val="both"/>
        <w:rPr>
          <w:rFonts w:asciiTheme="majorBidi" w:hAnsiTheme="majorBidi" w:cstheme="majorBidi"/>
          <w:color w:val="242424"/>
          <w:sz w:val="22"/>
          <w:szCs w:val="22"/>
        </w:rPr>
      </w:pPr>
      <w:r w:rsidRPr="001921D0">
        <w:rPr>
          <w:rFonts w:asciiTheme="majorBidi" w:hAnsiTheme="majorBidi" w:cstheme="majorBidi"/>
          <w:color w:val="242424"/>
          <w:sz w:val="22"/>
          <w:szCs w:val="22"/>
        </w:rPr>
        <w:t xml:space="preserve">Did your country submit its fourth national report by the submission deadline (1 October 2019)? </w:t>
      </w:r>
      <w:r w:rsidRPr="001921D0">
        <w:rPr>
          <w:rFonts w:asciiTheme="majorBidi" w:hAnsiTheme="majorBidi" w:cstheme="majorBidi"/>
          <w:color w:val="AE1515"/>
          <w:sz w:val="22"/>
          <w:szCs w:val="22"/>
        </w:rPr>
        <w:t>*</w:t>
      </w:r>
    </w:p>
    <w:p w14:paraId="44CCF1E3" w14:textId="77777777" w:rsidR="005A7646" w:rsidRPr="001921D0" w:rsidRDefault="005A7646" w:rsidP="005525E3">
      <w:pPr>
        <w:pStyle w:val="Default"/>
        <w:numPr>
          <w:ilvl w:val="0"/>
          <w:numId w:val="39"/>
        </w:numPr>
        <w:rPr>
          <w:rFonts w:asciiTheme="majorBidi" w:hAnsiTheme="majorBidi" w:cstheme="majorBidi"/>
          <w:color w:val="242424"/>
          <w:sz w:val="22"/>
          <w:szCs w:val="22"/>
        </w:rPr>
      </w:pPr>
      <w:r w:rsidRPr="001921D0">
        <w:rPr>
          <w:rFonts w:asciiTheme="majorBidi" w:hAnsiTheme="majorBidi" w:cstheme="majorBidi"/>
          <w:color w:val="242424"/>
          <w:sz w:val="22"/>
          <w:szCs w:val="22"/>
        </w:rPr>
        <w:t>Yes</w:t>
      </w:r>
    </w:p>
    <w:p w14:paraId="14564514" w14:textId="764EA751" w:rsidR="005A7646" w:rsidRPr="001921D0" w:rsidRDefault="005A7646" w:rsidP="00B92761">
      <w:pPr>
        <w:pStyle w:val="Default"/>
        <w:numPr>
          <w:ilvl w:val="0"/>
          <w:numId w:val="39"/>
        </w:numPr>
        <w:rPr>
          <w:rFonts w:asciiTheme="majorBidi" w:hAnsiTheme="majorBidi" w:cstheme="majorBidi"/>
          <w:sz w:val="22"/>
          <w:szCs w:val="22"/>
        </w:rPr>
      </w:pPr>
      <w:r w:rsidRPr="001921D0">
        <w:rPr>
          <w:rFonts w:asciiTheme="majorBidi" w:hAnsiTheme="majorBidi" w:cstheme="majorBidi"/>
          <w:color w:val="242424"/>
          <w:sz w:val="22"/>
          <w:szCs w:val="22"/>
        </w:rPr>
        <w:t>No</w:t>
      </w:r>
    </w:p>
    <w:p w14:paraId="4CA4BB80" w14:textId="77777777" w:rsidR="005A7646" w:rsidRPr="001921D0" w:rsidRDefault="005A7646" w:rsidP="00B92761">
      <w:pPr>
        <w:pStyle w:val="Default"/>
        <w:numPr>
          <w:ilvl w:val="0"/>
          <w:numId w:val="35"/>
        </w:numPr>
        <w:tabs>
          <w:tab w:val="left" w:pos="1134"/>
        </w:tabs>
        <w:spacing w:before="120" w:after="120"/>
        <w:ind w:left="567" w:hanging="5"/>
        <w:jc w:val="both"/>
        <w:rPr>
          <w:rFonts w:asciiTheme="majorBidi" w:hAnsiTheme="majorBidi" w:cstheme="majorBidi"/>
          <w:color w:val="242424"/>
          <w:sz w:val="22"/>
          <w:szCs w:val="22"/>
        </w:rPr>
      </w:pPr>
      <w:r w:rsidRPr="001921D0">
        <w:rPr>
          <w:rFonts w:asciiTheme="majorBidi" w:hAnsiTheme="majorBidi" w:cstheme="majorBidi"/>
          <w:color w:val="242424"/>
          <w:sz w:val="22"/>
          <w:szCs w:val="22"/>
        </w:rPr>
        <w:t xml:space="preserve">What limitations and challenges does your country face in preparing and submitting the national report in a timely manner (choose all that apply)? </w:t>
      </w:r>
      <w:r w:rsidRPr="001921D0">
        <w:rPr>
          <w:rFonts w:asciiTheme="majorBidi" w:hAnsiTheme="majorBidi" w:cstheme="majorBidi"/>
          <w:color w:val="AE1515"/>
          <w:sz w:val="22"/>
          <w:szCs w:val="22"/>
        </w:rPr>
        <w:t>*</w:t>
      </w:r>
    </w:p>
    <w:p w14:paraId="66B9EFEB" w14:textId="77777777" w:rsidR="005A7646" w:rsidRPr="001921D0" w:rsidRDefault="005A7646" w:rsidP="005525E3">
      <w:pPr>
        <w:pStyle w:val="Default"/>
        <w:numPr>
          <w:ilvl w:val="0"/>
          <w:numId w:val="40"/>
        </w:numPr>
        <w:rPr>
          <w:rFonts w:asciiTheme="majorBidi" w:hAnsiTheme="majorBidi" w:cstheme="majorBidi"/>
          <w:color w:val="242424"/>
          <w:sz w:val="22"/>
          <w:szCs w:val="22"/>
        </w:rPr>
      </w:pPr>
      <w:r w:rsidRPr="001921D0">
        <w:rPr>
          <w:rFonts w:asciiTheme="majorBidi" w:hAnsiTheme="majorBidi" w:cstheme="majorBidi"/>
          <w:color w:val="242424"/>
          <w:sz w:val="22"/>
          <w:szCs w:val="22"/>
        </w:rPr>
        <w:t>Lack of or insufficiency of financial resources</w:t>
      </w:r>
    </w:p>
    <w:p w14:paraId="06360316" w14:textId="77777777" w:rsidR="005A7646" w:rsidRPr="001921D0" w:rsidRDefault="005A7646" w:rsidP="005525E3">
      <w:pPr>
        <w:pStyle w:val="Default"/>
        <w:numPr>
          <w:ilvl w:val="0"/>
          <w:numId w:val="40"/>
        </w:numPr>
        <w:rPr>
          <w:rFonts w:asciiTheme="majorBidi" w:hAnsiTheme="majorBidi" w:cstheme="majorBidi"/>
          <w:color w:val="242424"/>
          <w:sz w:val="22"/>
          <w:szCs w:val="22"/>
        </w:rPr>
      </w:pPr>
      <w:r w:rsidRPr="001921D0">
        <w:rPr>
          <w:rFonts w:asciiTheme="majorBidi" w:hAnsiTheme="majorBidi" w:cstheme="majorBidi"/>
          <w:color w:val="242424"/>
          <w:sz w:val="22"/>
          <w:szCs w:val="22"/>
        </w:rPr>
        <w:t>Difficulty in accessing resources</w:t>
      </w:r>
    </w:p>
    <w:p w14:paraId="61210801" w14:textId="77777777" w:rsidR="005A7646" w:rsidRPr="001921D0" w:rsidRDefault="005A7646" w:rsidP="005525E3">
      <w:pPr>
        <w:pStyle w:val="Default"/>
        <w:numPr>
          <w:ilvl w:val="0"/>
          <w:numId w:val="40"/>
        </w:numPr>
        <w:rPr>
          <w:rFonts w:asciiTheme="majorBidi" w:hAnsiTheme="majorBidi" w:cstheme="majorBidi"/>
          <w:color w:val="242424"/>
          <w:sz w:val="22"/>
          <w:szCs w:val="22"/>
        </w:rPr>
      </w:pPr>
      <w:r w:rsidRPr="001921D0">
        <w:rPr>
          <w:rFonts w:asciiTheme="majorBidi" w:hAnsiTheme="majorBidi" w:cstheme="majorBidi"/>
          <w:color w:val="242424"/>
          <w:sz w:val="22"/>
          <w:szCs w:val="22"/>
        </w:rPr>
        <w:t>Lack of human resources</w:t>
      </w:r>
    </w:p>
    <w:p w14:paraId="4B3D043A" w14:textId="77777777" w:rsidR="005A7646" w:rsidRPr="001921D0" w:rsidRDefault="005A7646" w:rsidP="005525E3">
      <w:pPr>
        <w:pStyle w:val="Default"/>
        <w:numPr>
          <w:ilvl w:val="0"/>
          <w:numId w:val="40"/>
        </w:numPr>
        <w:rPr>
          <w:rFonts w:asciiTheme="majorBidi" w:hAnsiTheme="majorBidi" w:cstheme="majorBidi"/>
          <w:color w:val="242424"/>
          <w:sz w:val="22"/>
          <w:szCs w:val="22"/>
        </w:rPr>
      </w:pPr>
      <w:r w:rsidRPr="001921D0">
        <w:rPr>
          <w:rFonts w:asciiTheme="majorBidi" w:hAnsiTheme="majorBidi" w:cstheme="majorBidi"/>
          <w:color w:val="242424"/>
          <w:sz w:val="22"/>
          <w:szCs w:val="22"/>
        </w:rPr>
        <w:t>Lack of mechanism to gather relevant data</w:t>
      </w:r>
    </w:p>
    <w:p w14:paraId="7ED7F431" w14:textId="77777777" w:rsidR="005A7646" w:rsidRPr="001921D0" w:rsidRDefault="005A7646" w:rsidP="005525E3">
      <w:pPr>
        <w:pStyle w:val="Default"/>
        <w:numPr>
          <w:ilvl w:val="0"/>
          <w:numId w:val="40"/>
        </w:numPr>
        <w:rPr>
          <w:rFonts w:asciiTheme="majorBidi" w:hAnsiTheme="majorBidi" w:cstheme="majorBidi"/>
          <w:color w:val="242424"/>
          <w:sz w:val="22"/>
          <w:szCs w:val="22"/>
        </w:rPr>
      </w:pPr>
      <w:r w:rsidRPr="001921D0">
        <w:rPr>
          <w:rFonts w:asciiTheme="majorBidi" w:hAnsiTheme="majorBidi" w:cstheme="majorBidi"/>
          <w:color w:val="242424"/>
          <w:sz w:val="22"/>
          <w:szCs w:val="22"/>
        </w:rPr>
        <w:t>Low priority for national reporting</w:t>
      </w:r>
    </w:p>
    <w:p w14:paraId="3DBFF4CF" w14:textId="77777777" w:rsidR="005A7646" w:rsidRPr="001921D0" w:rsidRDefault="005A7646" w:rsidP="005525E3">
      <w:pPr>
        <w:pStyle w:val="Default"/>
        <w:numPr>
          <w:ilvl w:val="0"/>
          <w:numId w:val="40"/>
        </w:numPr>
        <w:rPr>
          <w:rFonts w:asciiTheme="majorBidi" w:hAnsiTheme="majorBidi" w:cstheme="majorBidi"/>
          <w:color w:val="242424"/>
          <w:sz w:val="22"/>
          <w:szCs w:val="22"/>
        </w:rPr>
      </w:pPr>
      <w:r w:rsidRPr="001921D0">
        <w:rPr>
          <w:rFonts w:asciiTheme="majorBidi" w:hAnsiTheme="majorBidi" w:cstheme="majorBidi"/>
          <w:color w:val="242424"/>
          <w:sz w:val="22"/>
          <w:szCs w:val="22"/>
        </w:rPr>
        <w:t xml:space="preserve">None </w:t>
      </w:r>
    </w:p>
    <w:p w14:paraId="3DF85107" w14:textId="1443560C" w:rsidR="005A7646" w:rsidRPr="001921D0" w:rsidRDefault="005A7646" w:rsidP="00B92761">
      <w:pPr>
        <w:pStyle w:val="Default"/>
        <w:numPr>
          <w:ilvl w:val="0"/>
          <w:numId w:val="40"/>
        </w:numPr>
        <w:rPr>
          <w:rFonts w:asciiTheme="majorBidi" w:hAnsiTheme="majorBidi" w:cstheme="majorBidi"/>
          <w:sz w:val="22"/>
          <w:szCs w:val="22"/>
        </w:rPr>
      </w:pPr>
      <w:r w:rsidRPr="001921D0">
        <w:rPr>
          <w:rFonts w:asciiTheme="majorBidi" w:hAnsiTheme="majorBidi" w:cstheme="majorBidi"/>
          <w:color w:val="242424"/>
          <w:sz w:val="22"/>
          <w:szCs w:val="22"/>
        </w:rPr>
        <w:t>Other</w:t>
      </w:r>
    </w:p>
    <w:p w14:paraId="7A49460B" w14:textId="77777777" w:rsidR="005A7646" w:rsidRPr="001921D0" w:rsidRDefault="005A7646" w:rsidP="00B92761">
      <w:pPr>
        <w:pStyle w:val="Default"/>
        <w:numPr>
          <w:ilvl w:val="0"/>
          <w:numId w:val="35"/>
        </w:numPr>
        <w:tabs>
          <w:tab w:val="left" w:pos="1134"/>
        </w:tabs>
        <w:spacing w:before="120" w:after="120"/>
        <w:ind w:left="567" w:hanging="5"/>
        <w:jc w:val="both"/>
        <w:rPr>
          <w:rFonts w:asciiTheme="majorBidi" w:hAnsiTheme="majorBidi" w:cstheme="majorBidi"/>
          <w:color w:val="242424"/>
          <w:sz w:val="22"/>
          <w:szCs w:val="22"/>
        </w:rPr>
      </w:pPr>
      <w:r w:rsidRPr="001921D0">
        <w:rPr>
          <w:rFonts w:asciiTheme="majorBidi" w:hAnsiTheme="majorBidi" w:cstheme="majorBidi"/>
          <w:color w:val="242424"/>
          <w:sz w:val="22"/>
          <w:szCs w:val="22"/>
        </w:rPr>
        <w:t>What specific support does your country need to address these limitations or challenges?</w:t>
      </w:r>
    </w:p>
    <w:p w14:paraId="6F1EBE47" w14:textId="731A79AC" w:rsidR="005A7646" w:rsidRPr="001921D0" w:rsidRDefault="005A7646" w:rsidP="00B92761">
      <w:pPr>
        <w:pStyle w:val="Default"/>
        <w:ind w:left="1134"/>
        <w:rPr>
          <w:rFonts w:asciiTheme="majorBidi" w:hAnsiTheme="majorBidi" w:cstheme="majorBidi"/>
          <w:color w:val="242424"/>
          <w:sz w:val="22"/>
          <w:szCs w:val="22"/>
        </w:rPr>
      </w:pPr>
      <w:r w:rsidRPr="001921D0">
        <w:rPr>
          <w:rFonts w:asciiTheme="majorBidi" w:hAnsiTheme="majorBidi" w:cstheme="majorBidi"/>
          <w:color w:val="242424"/>
          <w:sz w:val="22"/>
          <w:szCs w:val="22"/>
        </w:rPr>
        <w:t>[...]</w:t>
      </w:r>
    </w:p>
    <w:p w14:paraId="0976A86D" w14:textId="77777777" w:rsidR="005A7646" w:rsidRPr="001921D0" w:rsidRDefault="005A7646" w:rsidP="00B92761">
      <w:pPr>
        <w:pStyle w:val="Default"/>
        <w:numPr>
          <w:ilvl w:val="0"/>
          <w:numId w:val="35"/>
        </w:numPr>
        <w:tabs>
          <w:tab w:val="left" w:pos="1134"/>
        </w:tabs>
        <w:spacing w:before="120" w:after="120"/>
        <w:ind w:left="567" w:hanging="5"/>
        <w:jc w:val="both"/>
        <w:rPr>
          <w:rFonts w:asciiTheme="majorBidi" w:hAnsiTheme="majorBidi" w:cstheme="majorBidi"/>
          <w:color w:val="242424"/>
          <w:sz w:val="22"/>
          <w:szCs w:val="22"/>
        </w:rPr>
      </w:pPr>
      <w:r w:rsidRPr="001921D0">
        <w:rPr>
          <w:rFonts w:asciiTheme="majorBidi" w:hAnsiTheme="majorBidi" w:cstheme="majorBidi"/>
          <w:color w:val="242424"/>
          <w:sz w:val="22"/>
          <w:szCs w:val="22"/>
        </w:rPr>
        <w:t>Please provide any other information on limitations or challenges faced in fulfilling the obligation to submit the national report in a timely manner.</w:t>
      </w:r>
    </w:p>
    <w:p w14:paraId="46C6D3B4" w14:textId="0541ADA8" w:rsidR="005A7646" w:rsidRPr="001921D0" w:rsidRDefault="005A7646" w:rsidP="00B92761">
      <w:pPr>
        <w:pStyle w:val="Default"/>
        <w:ind w:left="1134"/>
      </w:pPr>
      <w:r w:rsidRPr="001921D0">
        <w:rPr>
          <w:rFonts w:asciiTheme="majorBidi" w:hAnsiTheme="majorBidi" w:cstheme="majorBidi"/>
          <w:color w:val="242424"/>
          <w:sz w:val="22"/>
          <w:szCs w:val="22"/>
        </w:rPr>
        <w:t>[…]</w:t>
      </w:r>
    </w:p>
    <w:p w14:paraId="5F1C3237" w14:textId="76798F3D" w:rsidR="002B559C" w:rsidRPr="004701EE" w:rsidRDefault="00ED3849" w:rsidP="00CF0294">
      <w:pPr>
        <w:pStyle w:val="Para10"/>
        <w:numPr>
          <w:ilvl w:val="0"/>
          <w:numId w:val="0"/>
        </w:numPr>
        <w:jc w:val="center"/>
      </w:pPr>
      <w:r w:rsidRPr="001921D0">
        <w:t>__________</w:t>
      </w:r>
    </w:p>
    <w:sectPr w:rsidR="002B559C" w:rsidRPr="004701EE" w:rsidSect="002B559C">
      <w:footnotePr>
        <w:numRestart w:val="eachSect"/>
      </w:footnotePr>
      <w:pgSz w:w="12240" w:h="15840"/>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933D9" w14:textId="77777777" w:rsidR="0022556D" w:rsidRDefault="0022556D" w:rsidP="00A96B21">
      <w:r>
        <w:separator/>
      </w:r>
    </w:p>
  </w:endnote>
  <w:endnote w:type="continuationSeparator" w:id="0">
    <w:p w14:paraId="525AE102" w14:textId="77777777" w:rsidR="0022556D" w:rsidRDefault="0022556D" w:rsidP="00A96B21">
      <w:r>
        <w:continuationSeparator/>
      </w:r>
    </w:p>
  </w:endnote>
  <w:endnote w:type="continuationNotice" w:id="1">
    <w:p w14:paraId="0449D4BD" w14:textId="77777777" w:rsidR="0022556D" w:rsidRDefault="002255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B6FBF" w14:textId="77777777" w:rsidR="002B559C" w:rsidRDefault="002B559C">
    <w:pPr>
      <w:pStyle w:val="Footer"/>
    </w:pPr>
    <w:r w:rsidRPr="002B559C">
      <w:rPr>
        <w:sz w:val="20"/>
        <w:szCs w:val="20"/>
      </w:rPr>
      <w:fldChar w:fldCharType="begin"/>
    </w:r>
    <w:r w:rsidRPr="002B559C">
      <w:rPr>
        <w:sz w:val="20"/>
        <w:szCs w:val="20"/>
      </w:rPr>
      <w:instrText xml:space="preserve"> PAGE </w:instrText>
    </w:r>
    <w:r w:rsidRPr="002B559C">
      <w:rPr>
        <w:sz w:val="20"/>
        <w:szCs w:val="20"/>
      </w:rPr>
      <w:fldChar w:fldCharType="separate"/>
    </w:r>
    <w:r w:rsidRPr="002B559C">
      <w:rPr>
        <w:noProof/>
        <w:sz w:val="20"/>
        <w:szCs w:val="20"/>
      </w:rPr>
      <w:t>2</w:t>
    </w:r>
    <w:r w:rsidRPr="002B559C">
      <w:rPr>
        <w:sz w:val="20"/>
        <w:szCs w:val="20"/>
      </w:rPr>
      <w:fldChar w:fldCharType="end"/>
    </w:r>
    <w:r w:rsidRPr="002B559C">
      <w:rPr>
        <w:sz w:val="20"/>
        <w:szCs w:val="20"/>
      </w:rPr>
      <w:t>/</w:t>
    </w:r>
    <w:r w:rsidRPr="002B559C">
      <w:rPr>
        <w:sz w:val="20"/>
        <w:szCs w:val="20"/>
      </w:rPr>
      <w:fldChar w:fldCharType="begin"/>
    </w:r>
    <w:r w:rsidRPr="002B559C">
      <w:rPr>
        <w:sz w:val="20"/>
        <w:szCs w:val="20"/>
      </w:rPr>
      <w:instrText xml:space="preserve"> NUMPAGES  </w:instrText>
    </w:r>
    <w:r w:rsidRPr="002B559C">
      <w:rPr>
        <w:sz w:val="20"/>
        <w:szCs w:val="20"/>
      </w:rPr>
      <w:fldChar w:fldCharType="separate"/>
    </w:r>
    <w:r w:rsidRPr="002B559C">
      <w:rPr>
        <w:noProof/>
        <w:sz w:val="20"/>
        <w:szCs w:val="20"/>
      </w:rPr>
      <w:t>2</w:t>
    </w:r>
    <w:r w:rsidRPr="002B559C">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4511934"/>
      <w:docPartObj>
        <w:docPartGallery w:val="Page Numbers (Bottom of Page)"/>
        <w:docPartUnique/>
      </w:docPartObj>
    </w:sdtPr>
    <w:sdtContent>
      <w:sdt>
        <w:sdtPr>
          <w:id w:val="-1769616900"/>
          <w:docPartObj>
            <w:docPartGallery w:val="Page Numbers (Top of Page)"/>
            <w:docPartUnique/>
          </w:docPartObj>
        </w:sdtPr>
        <w:sdtContent>
          <w:p w14:paraId="052C3E4D" w14:textId="77777777" w:rsidR="002B559C" w:rsidRDefault="002B559C" w:rsidP="002B559C">
            <w:pPr>
              <w:pStyle w:val="Footer"/>
              <w:jc w:val="right"/>
            </w:pPr>
            <w:r w:rsidRPr="002B559C">
              <w:rPr>
                <w:sz w:val="20"/>
                <w:szCs w:val="20"/>
              </w:rPr>
              <w:fldChar w:fldCharType="begin"/>
            </w:r>
            <w:r w:rsidRPr="002B559C">
              <w:rPr>
                <w:sz w:val="20"/>
                <w:szCs w:val="20"/>
              </w:rPr>
              <w:instrText xml:space="preserve"> PAGE </w:instrText>
            </w:r>
            <w:r w:rsidRPr="002B559C">
              <w:rPr>
                <w:sz w:val="20"/>
                <w:szCs w:val="20"/>
              </w:rPr>
              <w:fldChar w:fldCharType="separate"/>
            </w:r>
            <w:r w:rsidRPr="002B559C">
              <w:rPr>
                <w:noProof/>
                <w:sz w:val="20"/>
                <w:szCs w:val="20"/>
              </w:rPr>
              <w:t>2</w:t>
            </w:r>
            <w:r w:rsidRPr="002B559C">
              <w:rPr>
                <w:sz w:val="20"/>
                <w:szCs w:val="20"/>
              </w:rPr>
              <w:fldChar w:fldCharType="end"/>
            </w:r>
            <w:r w:rsidRPr="002B559C">
              <w:rPr>
                <w:sz w:val="20"/>
                <w:szCs w:val="20"/>
              </w:rPr>
              <w:t>/</w:t>
            </w:r>
            <w:r w:rsidRPr="002B559C">
              <w:rPr>
                <w:sz w:val="20"/>
                <w:szCs w:val="20"/>
              </w:rPr>
              <w:fldChar w:fldCharType="begin"/>
            </w:r>
            <w:r w:rsidRPr="002B559C">
              <w:rPr>
                <w:sz w:val="20"/>
                <w:szCs w:val="20"/>
              </w:rPr>
              <w:instrText xml:space="preserve"> NUMPAGES  </w:instrText>
            </w:r>
            <w:r w:rsidRPr="002B559C">
              <w:rPr>
                <w:sz w:val="20"/>
                <w:szCs w:val="20"/>
              </w:rPr>
              <w:fldChar w:fldCharType="separate"/>
            </w:r>
            <w:r w:rsidRPr="002B559C">
              <w:rPr>
                <w:noProof/>
                <w:sz w:val="20"/>
                <w:szCs w:val="20"/>
              </w:rPr>
              <w:t>2</w:t>
            </w:r>
            <w:r w:rsidRPr="002B559C">
              <w:rPr>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48459" w14:textId="77777777" w:rsidR="0022556D" w:rsidRDefault="0022556D" w:rsidP="00A96B21">
      <w:r>
        <w:separator/>
      </w:r>
    </w:p>
  </w:footnote>
  <w:footnote w:type="continuationSeparator" w:id="0">
    <w:p w14:paraId="63C07D99" w14:textId="77777777" w:rsidR="0022556D" w:rsidRDefault="0022556D" w:rsidP="00A96B21">
      <w:r>
        <w:continuationSeparator/>
      </w:r>
    </w:p>
  </w:footnote>
  <w:footnote w:type="continuationNotice" w:id="1">
    <w:p w14:paraId="7B10EE5F" w14:textId="77777777" w:rsidR="0022556D" w:rsidRDefault="0022556D"/>
  </w:footnote>
  <w:footnote w:id="2">
    <w:p w14:paraId="4B2D40A7" w14:textId="699E8874" w:rsidR="00C348E9" w:rsidRPr="00B92761" w:rsidRDefault="00C348E9" w:rsidP="00C348E9">
      <w:pPr>
        <w:pStyle w:val="FootnoteText"/>
        <w:rPr>
          <w:sz w:val="18"/>
          <w:szCs w:val="18"/>
          <w:lang w:val="en-US"/>
        </w:rPr>
      </w:pPr>
      <w:r w:rsidRPr="00B92761">
        <w:rPr>
          <w:rStyle w:val="FootnoteReference"/>
          <w:sz w:val="18"/>
          <w:szCs w:val="18"/>
        </w:rPr>
        <w:footnoteRef/>
      </w:r>
      <w:r w:rsidRPr="00B92761">
        <w:rPr>
          <w:sz w:val="18"/>
          <w:szCs w:val="18"/>
        </w:rPr>
        <w:t xml:space="preserve"> </w:t>
      </w:r>
      <w:r w:rsidRPr="00B92761">
        <w:rPr>
          <w:sz w:val="18"/>
          <w:szCs w:val="18"/>
          <w:lang w:val="en-US"/>
        </w:rPr>
        <w:t xml:space="preserve">Section 3(d) of the </w:t>
      </w:r>
      <w:r w:rsidR="00383B6A">
        <w:rPr>
          <w:sz w:val="18"/>
          <w:szCs w:val="18"/>
          <w:lang w:val="en-US"/>
        </w:rPr>
        <w:t>p</w:t>
      </w:r>
      <w:r w:rsidRPr="00B92761">
        <w:rPr>
          <w:sz w:val="18"/>
          <w:szCs w:val="18"/>
          <w:lang w:val="en-US"/>
        </w:rPr>
        <w:t xml:space="preserve">rocedures and </w:t>
      </w:r>
      <w:r w:rsidR="007B61D3">
        <w:rPr>
          <w:sz w:val="18"/>
          <w:szCs w:val="18"/>
          <w:lang w:val="en-US"/>
        </w:rPr>
        <w:t>m</w:t>
      </w:r>
      <w:r w:rsidRPr="00B92761">
        <w:rPr>
          <w:sz w:val="18"/>
          <w:szCs w:val="18"/>
          <w:lang w:val="en-US"/>
        </w:rPr>
        <w:t xml:space="preserve">echanisms on </w:t>
      </w:r>
      <w:r w:rsidR="00383B6A">
        <w:rPr>
          <w:sz w:val="18"/>
          <w:szCs w:val="18"/>
          <w:lang w:val="en-US"/>
        </w:rPr>
        <w:t>c</w:t>
      </w:r>
      <w:r w:rsidRPr="00B92761">
        <w:rPr>
          <w:sz w:val="18"/>
          <w:szCs w:val="18"/>
          <w:lang w:val="en-US"/>
        </w:rPr>
        <w:t xml:space="preserve">ompliance under the Cartagena Protocol on Biosafety, </w:t>
      </w:r>
      <w:r w:rsidR="00892C69">
        <w:rPr>
          <w:sz w:val="18"/>
          <w:szCs w:val="18"/>
          <w:lang w:val="en-US"/>
        </w:rPr>
        <w:t>d</w:t>
      </w:r>
      <w:r w:rsidRPr="00B92761">
        <w:rPr>
          <w:sz w:val="18"/>
          <w:szCs w:val="18"/>
          <w:lang w:val="en-US"/>
        </w:rPr>
        <w:t xml:space="preserve">ecision </w:t>
      </w:r>
      <w:hyperlink r:id="rId1" w:history="1">
        <w:r w:rsidRPr="00B92761">
          <w:rPr>
            <w:rStyle w:val="Hyperlink"/>
            <w:sz w:val="18"/>
            <w:szCs w:val="18"/>
          </w:rPr>
          <w:t>BS-I/7</w:t>
        </w:r>
      </w:hyperlink>
      <w:r w:rsidRPr="00B92761">
        <w:rPr>
          <w:sz w:val="18"/>
          <w:szCs w:val="18"/>
          <w:lang w:val="en-US"/>
        </w:rPr>
        <w:t xml:space="preserve">, </w:t>
      </w:r>
      <w:r w:rsidR="00064FD0" w:rsidRPr="00B92761">
        <w:rPr>
          <w:sz w:val="18"/>
          <w:szCs w:val="18"/>
          <w:lang w:val="en-US"/>
        </w:rPr>
        <w:t>a</w:t>
      </w:r>
      <w:r w:rsidRPr="00B92761">
        <w:rPr>
          <w:sz w:val="18"/>
          <w:szCs w:val="18"/>
          <w:lang w:val="en-US"/>
        </w:rPr>
        <w:t>nnex.</w:t>
      </w:r>
    </w:p>
  </w:footnote>
  <w:footnote w:id="3">
    <w:p w14:paraId="22161306" w14:textId="01E5B6F1" w:rsidR="00C348E9" w:rsidRPr="00892C69" w:rsidRDefault="00C348E9" w:rsidP="00C348E9">
      <w:pPr>
        <w:pStyle w:val="FootnoteText"/>
        <w:rPr>
          <w:lang w:val="en-US"/>
        </w:rPr>
      </w:pPr>
      <w:r w:rsidRPr="00B92761">
        <w:rPr>
          <w:rStyle w:val="FootnoteReference"/>
          <w:sz w:val="18"/>
          <w:szCs w:val="18"/>
        </w:rPr>
        <w:footnoteRef/>
      </w:r>
      <w:r w:rsidRPr="00B92761">
        <w:rPr>
          <w:sz w:val="18"/>
          <w:szCs w:val="18"/>
          <w:lang w:val="en-US"/>
        </w:rPr>
        <w:t xml:space="preserve"> UNEP/CBD/BS/CC/8/3, </w:t>
      </w:r>
      <w:r w:rsidR="00064FD0" w:rsidRPr="00B92761">
        <w:rPr>
          <w:sz w:val="18"/>
          <w:szCs w:val="18"/>
          <w:lang w:val="en-US"/>
        </w:rPr>
        <w:t>f</w:t>
      </w:r>
      <w:r w:rsidRPr="00B92761">
        <w:rPr>
          <w:sz w:val="18"/>
          <w:szCs w:val="18"/>
          <w:lang w:val="en-US"/>
        </w:rPr>
        <w:t>igure 2.</w:t>
      </w:r>
    </w:p>
  </w:footnote>
  <w:footnote w:id="4">
    <w:p w14:paraId="1E804A33" w14:textId="64A7E522" w:rsidR="000879FA" w:rsidRPr="00BD689D" w:rsidRDefault="000879FA">
      <w:pPr>
        <w:pStyle w:val="FootnoteText"/>
        <w:rPr>
          <w:lang w:val="en-US"/>
        </w:rPr>
      </w:pPr>
      <w:r w:rsidRPr="00892C69">
        <w:rPr>
          <w:rStyle w:val="FootnoteReference"/>
        </w:rPr>
        <w:footnoteRef/>
      </w:r>
      <w:r w:rsidRPr="00892C69">
        <w:rPr>
          <w:lang w:val="en-US"/>
        </w:rPr>
        <w:t xml:space="preserve"> </w:t>
      </w:r>
      <w:r w:rsidRPr="00B92761">
        <w:rPr>
          <w:sz w:val="18"/>
          <w:szCs w:val="18"/>
          <w:lang w:val="en-US"/>
        </w:rPr>
        <w:t>See decision CP-10/7, para</w:t>
      </w:r>
      <w:r w:rsidR="00813936" w:rsidRPr="00B92761">
        <w:rPr>
          <w:sz w:val="18"/>
          <w:szCs w:val="18"/>
          <w:lang w:val="en-US"/>
        </w:rPr>
        <w:t>graph</w:t>
      </w:r>
      <w:r w:rsidRPr="00B92761">
        <w:rPr>
          <w:sz w:val="18"/>
          <w:szCs w:val="18"/>
          <w:lang w:val="en-US"/>
        </w:rPr>
        <w:t xml:space="preserve"> 15.</w:t>
      </w:r>
    </w:p>
  </w:footnote>
  <w:footnote w:id="5">
    <w:p w14:paraId="4EE25B54" w14:textId="77777777" w:rsidR="00386B39" w:rsidRPr="00C21596" w:rsidRDefault="00386B39" w:rsidP="00386B39">
      <w:pPr>
        <w:pStyle w:val="FootnoteText"/>
      </w:pPr>
      <w:r>
        <w:rPr>
          <w:rStyle w:val="FootnoteReference"/>
        </w:rPr>
        <w:footnoteRef/>
      </w:r>
      <w:r>
        <w:t xml:space="preserve"> </w:t>
      </w:r>
      <w:r w:rsidRPr="00B92761">
        <w:rPr>
          <w:sz w:val="18"/>
          <w:szCs w:val="18"/>
        </w:rPr>
        <w:t>Update to the analysis of data from the fourth national reports: assessment and review of the effectiveness of the Cartagena Protocol on Biosafety and the final evaluation of the Strategic Plan for the Cartagena Protocol, document CBD/CP/MOP/10/INF/2.</w:t>
      </w:r>
    </w:p>
  </w:footnote>
  <w:footnote w:id="6">
    <w:p w14:paraId="3E9A46E6" w14:textId="180E424A" w:rsidR="00F02D6E" w:rsidRPr="00B92761" w:rsidRDefault="00F02D6E" w:rsidP="00F02D6E">
      <w:pPr>
        <w:pStyle w:val="FootnoteText"/>
        <w:rPr>
          <w:sz w:val="18"/>
          <w:szCs w:val="18"/>
          <w:lang w:val="en-US"/>
        </w:rPr>
      </w:pPr>
      <w:r w:rsidRPr="00B92761">
        <w:rPr>
          <w:rStyle w:val="FootnoteReference"/>
          <w:sz w:val="18"/>
          <w:szCs w:val="18"/>
        </w:rPr>
        <w:footnoteRef/>
      </w:r>
      <w:r w:rsidRPr="00B92761">
        <w:rPr>
          <w:sz w:val="18"/>
          <w:szCs w:val="18"/>
          <w:lang w:val="en-US"/>
        </w:rPr>
        <w:t xml:space="preserve"> CBD/CP/</w:t>
      </w:r>
      <w:r w:rsidR="00DA6DF4" w:rsidRPr="00B92761">
        <w:rPr>
          <w:sz w:val="18"/>
          <w:szCs w:val="18"/>
          <w:lang w:val="en-US"/>
        </w:rPr>
        <w:t>MOP/10/2</w:t>
      </w:r>
      <w:r w:rsidRPr="00B92761">
        <w:rPr>
          <w:sz w:val="18"/>
          <w:szCs w:val="18"/>
          <w:lang w:val="en-US"/>
        </w:rPr>
        <w:t>,</w:t>
      </w:r>
      <w:r w:rsidR="00B96DF2" w:rsidRPr="00B92761">
        <w:rPr>
          <w:sz w:val="18"/>
          <w:szCs w:val="18"/>
          <w:lang w:val="en-US"/>
        </w:rPr>
        <w:t xml:space="preserve"> annex,</w:t>
      </w:r>
      <w:r w:rsidRPr="00B92761">
        <w:rPr>
          <w:sz w:val="18"/>
          <w:szCs w:val="18"/>
          <w:lang w:val="en-US"/>
        </w:rPr>
        <w:t xml:space="preserve"> para</w:t>
      </w:r>
      <w:r w:rsidR="0085035A" w:rsidRPr="00B92761">
        <w:rPr>
          <w:sz w:val="18"/>
          <w:szCs w:val="18"/>
          <w:lang w:val="en-US"/>
        </w:rPr>
        <w:t>graphs</w:t>
      </w:r>
      <w:r w:rsidRPr="00B92761">
        <w:rPr>
          <w:sz w:val="18"/>
          <w:szCs w:val="18"/>
          <w:lang w:val="en-US"/>
        </w:rPr>
        <w:t xml:space="preserve"> </w:t>
      </w:r>
      <w:r w:rsidR="00B96DF2" w:rsidRPr="00B92761">
        <w:rPr>
          <w:sz w:val="18"/>
          <w:szCs w:val="18"/>
          <w:lang w:val="en-US"/>
        </w:rPr>
        <w:t>2-4</w:t>
      </w:r>
      <w:r w:rsidRPr="00B92761">
        <w:rPr>
          <w:sz w:val="18"/>
          <w:szCs w:val="18"/>
          <w:lang w:val="en-US"/>
        </w:rPr>
        <w:t>.</w:t>
      </w:r>
    </w:p>
  </w:footnote>
  <w:footnote w:id="7">
    <w:p w14:paraId="4C30350E" w14:textId="77777777" w:rsidR="00F80644" w:rsidRPr="00B92761" w:rsidRDefault="00F80644" w:rsidP="00F80644">
      <w:pPr>
        <w:pStyle w:val="FootnoteText"/>
        <w:rPr>
          <w:snapToGrid w:val="0"/>
          <w:kern w:val="18"/>
          <w:sz w:val="18"/>
          <w:szCs w:val="18"/>
        </w:rPr>
      </w:pPr>
      <w:r w:rsidRPr="00B92761">
        <w:rPr>
          <w:rStyle w:val="FootnoteReference"/>
          <w:snapToGrid w:val="0"/>
          <w:kern w:val="18"/>
          <w:sz w:val="18"/>
          <w:szCs w:val="18"/>
        </w:rPr>
        <w:footnoteRef/>
      </w:r>
      <w:r w:rsidRPr="00B92761">
        <w:rPr>
          <w:snapToGrid w:val="0"/>
          <w:kern w:val="18"/>
          <w:sz w:val="18"/>
          <w:szCs w:val="18"/>
        </w:rPr>
        <w:t xml:space="preserve"> Question 14 of the reporting format for the fourth national reports. </w:t>
      </w:r>
    </w:p>
  </w:footnote>
  <w:footnote w:id="8">
    <w:p w14:paraId="70703D37" w14:textId="77777777" w:rsidR="00F80644" w:rsidRPr="00C57E15" w:rsidRDefault="00F80644" w:rsidP="00F80644">
      <w:pPr>
        <w:pStyle w:val="FootnoteText"/>
        <w:rPr>
          <w:snapToGrid w:val="0"/>
          <w:kern w:val="18"/>
          <w:szCs w:val="18"/>
        </w:rPr>
      </w:pPr>
      <w:r w:rsidRPr="00B92761">
        <w:rPr>
          <w:rStyle w:val="FootnoteReference"/>
          <w:snapToGrid w:val="0"/>
          <w:kern w:val="18"/>
          <w:sz w:val="18"/>
          <w:szCs w:val="18"/>
        </w:rPr>
        <w:footnoteRef/>
      </w:r>
      <w:r w:rsidRPr="00B92761">
        <w:rPr>
          <w:snapToGrid w:val="0"/>
          <w:kern w:val="18"/>
          <w:sz w:val="18"/>
          <w:szCs w:val="18"/>
        </w:rPr>
        <w:t xml:space="preserve"> Question 20 of the reporting format for the fourth national reports.</w:t>
      </w:r>
    </w:p>
  </w:footnote>
  <w:footnote w:id="9">
    <w:p w14:paraId="26C30688" w14:textId="5E246E1A" w:rsidR="00970C54" w:rsidRPr="00B92761" w:rsidRDefault="00970C54">
      <w:pPr>
        <w:pStyle w:val="FootnoteText"/>
        <w:rPr>
          <w:sz w:val="18"/>
          <w:szCs w:val="18"/>
        </w:rPr>
      </w:pPr>
      <w:r>
        <w:rPr>
          <w:rStyle w:val="FootnoteReference"/>
        </w:rPr>
        <w:footnoteRef/>
      </w:r>
      <w:r>
        <w:t xml:space="preserve"> </w:t>
      </w:r>
      <w:r w:rsidR="00671458" w:rsidRPr="00B92761">
        <w:rPr>
          <w:sz w:val="18"/>
          <w:szCs w:val="18"/>
          <w:lang w:val="en-US"/>
        </w:rPr>
        <w:t>Question 75 of the reporting format for the fourth national report</w:t>
      </w:r>
      <w:r w:rsidR="00F05BFC" w:rsidRPr="00B92761">
        <w:rPr>
          <w:sz w:val="18"/>
          <w:szCs w:val="18"/>
          <w:lang w:val="en-US"/>
        </w:rPr>
        <w:t>.</w:t>
      </w:r>
    </w:p>
  </w:footnote>
  <w:footnote w:id="10">
    <w:p w14:paraId="7571891D" w14:textId="4BD86689" w:rsidR="007A7849" w:rsidRPr="00B92761" w:rsidRDefault="007A7849">
      <w:pPr>
        <w:pStyle w:val="FootnoteText"/>
        <w:rPr>
          <w:sz w:val="18"/>
          <w:szCs w:val="18"/>
        </w:rPr>
      </w:pPr>
      <w:r w:rsidRPr="00B92761">
        <w:rPr>
          <w:rStyle w:val="FootnoteReference"/>
          <w:sz w:val="18"/>
          <w:szCs w:val="18"/>
        </w:rPr>
        <w:footnoteRef/>
      </w:r>
      <w:r w:rsidRPr="00B92761">
        <w:rPr>
          <w:sz w:val="18"/>
          <w:szCs w:val="18"/>
        </w:rPr>
        <w:t xml:space="preserve"> Question 78 of the reporting format for the fourth national report.</w:t>
      </w:r>
    </w:p>
  </w:footnote>
  <w:footnote w:id="11">
    <w:p w14:paraId="0E3B711C" w14:textId="77777777" w:rsidR="0090162B" w:rsidRPr="00B92761" w:rsidRDefault="0090162B" w:rsidP="0090162B">
      <w:pPr>
        <w:pStyle w:val="FootnoteText"/>
        <w:rPr>
          <w:sz w:val="18"/>
          <w:szCs w:val="18"/>
          <w:lang w:val="en-US"/>
        </w:rPr>
      </w:pPr>
      <w:r w:rsidRPr="00B92761">
        <w:rPr>
          <w:rStyle w:val="FootnoteReference"/>
          <w:sz w:val="18"/>
          <w:szCs w:val="18"/>
        </w:rPr>
        <w:footnoteRef/>
      </w:r>
      <w:r w:rsidRPr="00B92761">
        <w:rPr>
          <w:sz w:val="18"/>
          <w:szCs w:val="18"/>
          <w:lang w:val="en-US"/>
        </w:rPr>
        <w:t xml:space="preserve"> Question 61 of the reporting format for the fourth national report.</w:t>
      </w:r>
    </w:p>
  </w:footnote>
  <w:footnote w:id="12">
    <w:p w14:paraId="196EF739" w14:textId="77777777" w:rsidR="0090162B" w:rsidRPr="00B92761" w:rsidRDefault="0090162B" w:rsidP="0090162B">
      <w:pPr>
        <w:pStyle w:val="FootnoteText"/>
        <w:rPr>
          <w:sz w:val="18"/>
          <w:szCs w:val="18"/>
          <w:lang w:val="en-US"/>
        </w:rPr>
      </w:pPr>
      <w:r w:rsidRPr="00B92761">
        <w:rPr>
          <w:rStyle w:val="FootnoteReference"/>
          <w:sz w:val="18"/>
          <w:szCs w:val="18"/>
        </w:rPr>
        <w:footnoteRef/>
      </w:r>
      <w:r w:rsidRPr="00B92761">
        <w:rPr>
          <w:sz w:val="18"/>
          <w:szCs w:val="18"/>
          <w:lang w:val="en-US"/>
        </w:rPr>
        <w:t xml:space="preserve"> Question 62 of the reporting format for the fourth national report.</w:t>
      </w:r>
    </w:p>
  </w:footnote>
  <w:footnote w:id="13">
    <w:p w14:paraId="75108D07" w14:textId="3BDA22F1" w:rsidR="00E85708" w:rsidRPr="00B92761" w:rsidRDefault="00E85708">
      <w:pPr>
        <w:pStyle w:val="FootnoteText"/>
        <w:rPr>
          <w:sz w:val="18"/>
          <w:szCs w:val="18"/>
          <w:lang w:val="en-US"/>
        </w:rPr>
      </w:pPr>
      <w:r w:rsidRPr="00B92761">
        <w:rPr>
          <w:rStyle w:val="FootnoteReference"/>
          <w:sz w:val="18"/>
          <w:szCs w:val="18"/>
        </w:rPr>
        <w:footnoteRef/>
      </w:r>
      <w:r w:rsidRPr="00B92761">
        <w:rPr>
          <w:sz w:val="18"/>
          <w:szCs w:val="18"/>
        </w:rPr>
        <w:t xml:space="preserve"> </w:t>
      </w:r>
      <w:r w:rsidRPr="00B92761">
        <w:rPr>
          <w:sz w:val="18"/>
          <w:szCs w:val="18"/>
          <w:lang w:val="en-US"/>
        </w:rPr>
        <w:t xml:space="preserve">Question </w:t>
      </w:r>
      <w:r w:rsidR="00AC4976" w:rsidRPr="00B92761">
        <w:rPr>
          <w:sz w:val="18"/>
          <w:szCs w:val="18"/>
          <w:lang w:val="en-US"/>
        </w:rPr>
        <w:t xml:space="preserve">79 </w:t>
      </w:r>
      <w:r w:rsidRPr="00B92761">
        <w:rPr>
          <w:sz w:val="18"/>
          <w:szCs w:val="18"/>
          <w:lang w:val="en-US"/>
        </w:rPr>
        <w:t>of the reporting format for the fourth national report.</w:t>
      </w:r>
    </w:p>
  </w:footnote>
  <w:footnote w:id="14">
    <w:p w14:paraId="1F11EC66" w14:textId="7F9A6D71" w:rsidR="00047EB6" w:rsidRPr="00B92761" w:rsidRDefault="00047EB6" w:rsidP="00047EB6">
      <w:pPr>
        <w:pStyle w:val="FootnoteText"/>
        <w:rPr>
          <w:sz w:val="18"/>
          <w:szCs w:val="18"/>
        </w:rPr>
      </w:pPr>
      <w:r w:rsidRPr="00B92761">
        <w:rPr>
          <w:rStyle w:val="FootnoteReference"/>
          <w:sz w:val="18"/>
          <w:szCs w:val="18"/>
        </w:rPr>
        <w:footnoteRef/>
      </w:r>
      <w:r w:rsidRPr="00B92761">
        <w:rPr>
          <w:sz w:val="18"/>
          <w:szCs w:val="18"/>
        </w:rPr>
        <w:t xml:space="preserve"> Documentation requirements are provided for: LMOs intended for direct use as food, feed or for processing; LMOs destined for contained use; and LMOs intended for intentional introduction into the environment</w:t>
      </w:r>
      <w:r w:rsidR="00BD6D39">
        <w:rPr>
          <w:sz w:val="18"/>
          <w:szCs w:val="18"/>
        </w:rPr>
        <w:t>,</w:t>
      </w:r>
      <w:r w:rsidRPr="00B92761">
        <w:rPr>
          <w:sz w:val="18"/>
          <w:szCs w:val="18"/>
        </w:rPr>
        <w:t xml:space="preserve"> as well as any other LMOs within the scope of the Protocol.</w:t>
      </w:r>
    </w:p>
  </w:footnote>
  <w:footnote w:id="15">
    <w:p w14:paraId="0DA6CC77" w14:textId="77777777" w:rsidR="00047EB6" w:rsidRPr="00B92761" w:rsidRDefault="00047EB6" w:rsidP="00047EB6">
      <w:pPr>
        <w:pStyle w:val="FootnoteText"/>
        <w:rPr>
          <w:sz w:val="18"/>
          <w:szCs w:val="18"/>
          <w:lang w:val="en-US"/>
        </w:rPr>
      </w:pPr>
      <w:r w:rsidRPr="00B92761">
        <w:rPr>
          <w:rStyle w:val="FootnoteReference"/>
          <w:sz w:val="18"/>
          <w:szCs w:val="18"/>
        </w:rPr>
        <w:footnoteRef/>
      </w:r>
      <w:r w:rsidRPr="00B92761">
        <w:rPr>
          <w:sz w:val="18"/>
          <w:szCs w:val="18"/>
          <w:lang w:val="en-US"/>
        </w:rPr>
        <w:t xml:space="preserve"> </w:t>
      </w:r>
      <w:r w:rsidRPr="00B92761">
        <w:rPr>
          <w:sz w:val="18"/>
          <w:szCs w:val="18"/>
        </w:rPr>
        <w:t>In particular decisions BS-I/6 and BS-III/10.</w:t>
      </w:r>
    </w:p>
  </w:footnote>
  <w:footnote w:id="16">
    <w:p w14:paraId="52FEA8AD" w14:textId="77777777" w:rsidR="00047EB6" w:rsidRPr="00B92761" w:rsidRDefault="00047EB6" w:rsidP="00047EB6">
      <w:pPr>
        <w:pStyle w:val="FootnoteText"/>
        <w:rPr>
          <w:sz w:val="18"/>
          <w:szCs w:val="18"/>
          <w:lang w:val="en-US"/>
        </w:rPr>
      </w:pPr>
      <w:r w:rsidRPr="00B92761">
        <w:rPr>
          <w:rStyle w:val="FootnoteReference"/>
          <w:sz w:val="18"/>
          <w:szCs w:val="18"/>
        </w:rPr>
        <w:footnoteRef/>
      </w:r>
      <w:r w:rsidRPr="00B92761">
        <w:rPr>
          <w:sz w:val="18"/>
          <w:szCs w:val="18"/>
          <w:lang w:val="es-ES"/>
        </w:rPr>
        <w:t xml:space="preserve"> UNEP/CBD/BS/CC/2/2, para. </w:t>
      </w:r>
      <w:r w:rsidRPr="00B92761">
        <w:rPr>
          <w:sz w:val="18"/>
          <w:szCs w:val="18"/>
          <w:lang w:val="en-US"/>
        </w:rPr>
        <w:t>6.</w:t>
      </w:r>
    </w:p>
  </w:footnote>
  <w:footnote w:id="17">
    <w:p w14:paraId="0E99DE93" w14:textId="77777777" w:rsidR="00047EB6" w:rsidRPr="00BD6D39" w:rsidRDefault="00047EB6" w:rsidP="00047EB6">
      <w:pPr>
        <w:pStyle w:val="FootnoteText"/>
        <w:rPr>
          <w:lang w:val="en-US"/>
        </w:rPr>
      </w:pPr>
      <w:r w:rsidRPr="00B92761">
        <w:rPr>
          <w:rStyle w:val="FootnoteReference"/>
          <w:sz w:val="18"/>
          <w:szCs w:val="18"/>
        </w:rPr>
        <w:footnoteRef/>
      </w:r>
      <w:r w:rsidRPr="00B92761">
        <w:rPr>
          <w:sz w:val="18"/>
          <w:szCs w:val="18"/>
          <w:lang w:val="en-US"/>
        </w:rPr>
        <w:t xml:space="preserve"> Question 92 of the reporting format for the fourth national report.</w:t>
      </w:r>
      <w:r w:rsidRPr="00BD6D39">
        <w:rPr>
          <w:lang w:val="en-US"/>
        </w:rPr>
        <w:t xml:space="preserve"> </w:t>
      </w:r>
    </w:p>
  </w:footnote>
  <w:footnote w:id="18">
    <w:p w14:paraId="3FFC6C31" w14:textId="77777777" w:rsidR="00047EB6" w:rsidRPr="00B92761" w:rsidRDefault="00047EB6" w:rsidP="00047EB6">
      <w:pPr>
        <w:pStyle w:val="FootnoteText"/>
        <w:rPr>
          <w:sz w:val="18"/>
          <w:szCs w:val="18"/>
          <w:lang w:val="en-US"/>
        </w:rPr>
      </w:pPr>
      <w:r w:rsidRPr="00B92761">
        <w:rPr>
          <w:rStyle w:val="FootnoteReference"/>
          <w:sz w:val="18"/>
          <w:szCs w:val="18"/>
        </w:rPr>
        <w:footnoteRef/>
      </w:r>
      <w:r w:rsidRPr="00B92761">
        <w:rPr>
          <w:sz w:val="18"/>
          <w:szCs w:val="18"/>
          <w:lang w:val="en-US"/>
        </w:rPr>
        <w:t xml:space="preserve"> Question 93 of the reporting format for the fourth national report.</w:t>
      </w:r>
    </w:p>
  </w:footnote>
  <w:footnote w:id="19">
    <w:p w14:paraId="51CF75E2" w14:textId="77777777" w:rsidR="00047EB6" w:rsidRPr="00B92761" w:rsidRDefault="00047EB6" w:rsidP="00047EB6">
      <w:pPr>
        <w:pStyle w:val="FootnoteText"/>
        <w:rPr>
          <w:sz w:val="18"/>
          <w:szCs w:val="18"/>
          <w:lang w:val="en-US"/>
        </w:rPr>
      </w:pPr>
      <w:r w:rsidRPr="00B92761">
        <w:rPr>
          <w:rStyle w:val="FootnoteReference"/>
          <w:sz w:val="18"/>
          <w:szCs w:val="18"/>
        </w:rPr>
        <w:footnoteRef/>
      </w:r>
      <w:r w:rsidRPr="00B92761">
        <w:rPr>
          <w:sz w:val="18"/>
          <w:szCs w:val="18"/>
          <w:lang w:val="en-US"/>
        </w:rPr>
        <w:t xml:space="preserve"> Question 95 of the reporting format for the fourth national report.</w:t>
      </w:r>
    </w:p>
  </w:footnote>
  <w:footnote w:id="20">
    <w:p w14:paraId="1EEA3007" w14:textId="77777777" w:rsidR="00047EB6" w:rsidRPr="00B92761" w:rsidRDefault="00047EB6" w:rsidP="00047EB6">
      <w:pPr>
        <w:pStyle w:val="FootnoteText"/>
        <w:rPr>
          <w:sz w:val="18"/>
          <w:szCs w:val="18"/>
          <w:lang w:val="en-US"/>
        </w:rPr>
      </w:pPr>
      <w:r w:rsidRPr="00B92761">
        <w:rPr>
          <w:rStyle w:val="FootnoteReference"/>
          <w:sz w:val="18"/>
          <w:szCs w:val="18"/>
        </w:rPr>
        <w:footnoteRef/>
      </w:r>
      <w:r w:rsidRPr="00B92761">
        <w:rPr>
          <w:sz w:val="18"/>
          <w:szCs w:val="18"/>
          <w:lang w:val="en-US"/>
        </w:rPr>
        <w:t xml:space="preserve"> Question 97 of the reporting format for the fourth national report.</w:t>
      </w:r>
    </w:p>
  </w:footnote>
  <w:footnote w:id="21">
    <w:p w14:paraId="7D2C6002" w14:textId="1F87ABB7" w:rsidR="005C6228" w:rsidRPr="00B92761" w:rsidRDefault="005C6228" w:rsidP="005C6228">
      <w:pPr>
        <w:pStyle w:val="FootnoteText"/>
        <w:rPr>
          <w:sz w:val="18"/>
          <w:szCs w:val="18"/>
          <w:lang w:val="en-US"/>
        </w:rPr>
      </w:pPr>
      <w:r w:rsidRPr="00B92761">
        <w:rPr>
          <w:rStyle w:val="FootnoteReference"/>
          <w:sz w:val="18"/>
          <w:szCs w:val="18"/>
        </w:rPr>
        <w:footnoteRef/>
      </w:r>
      <w:r w:rsidRPr="00B92761">
        <w:rPr>
          <w:sz w:val="18"/>
          <w:szCs w:val="18"/>
          <w:lang w:val="en-US"/>
        </w:rPr>
        <w:t xml:space="preserve"> </w:t>
      </w:r>
      <w:r w:rsidRPr="00B92761">
        <w:rPr>
          <w:sz w:val="18"/>
          <w:szCs w:val="18"/>
        </w:rPr>
        <w:t xml:space="preserve">At the Committee’s </w:t>
      </w:r>
      <w:r w:rsidR="00642B05">
        <w:rPr>
          <w:sz w:val="18"/>
          <w:szCs w:val="18"/>
        </w:rPr>
        <w:t>second</w:t>
      </w:r>
      <w:r w:rsidRPr="00B92761">
        <w:rPr>
          <w:sz w:val="18"/>
          <w:szCs w:val="18"/>
        </w:rPr>
        <w:t xml:space="preserve">, </w:t>
      </w:r>
      <w:r w:rsidR="00642B05">
        <w:rPr>
          <w:sz w:val="18"/>
          <w:szCs w:val="18"/>
        </w:rPr>
        <w:t>fo</w:t>
      </w:r>
      <w:r w:rsidR="003825E6">
        <w:rPr>
          <w:sz w:val="18"/>
          <w:szCs w:val="18"/>
        </w:rPr>
        <w:t>urth</w:t>
      </w:r>
      <w:r w:rsidRPr="00B92761">
        <w:rPr>
          <w:sz w:val="18"/>
          <w:szCs w:val="18"/>
        </w:rPr>
        <w:t xml:space="preserve">, </w:t>
      </w:r>
      <w:r w:rsidR="003825E6">
        <w:rPr>
          <w:sz w:val="18"/>
          <w:szCs w:val="18"/>
        </w:rPr>
        <w:t>fifth</w:t>
      </w:r>
      <w:r w:rsidRPr="00B92761">
        <w:rPr>
          <w:sz w:val="18"/>
          <w:szCs w:val="18"/>
        </w:rPr>
        <w:t xml:space="preserve">, </w:t>
      </w:r>
      <w:r w:rsidR="003825E6">
        <w:rPr>
          <w:sz w:val="18"/>
          <w:szCs w:val="18"/>
        </w:rPr>
        <w:t>ninth</w:t>
      </w:r>
      <w:r w:rsidR="003825E6" w:rsidRPr="00B92761">
        <w:rPr>
          <w:sz w:val="18"/>
          <w:szCs w:val="18"/>
        </w:rPr>
        <w:t xml:space="preserve"> </w:t>
      </w:r>
      <w:r w:rsidRPr="00B92761">
        <w:rPr>
          <w:sz w:val="18"/>
          <w:szCs w:val="18"/>
        </w:rPr>
        <w:t xml:space="preserve">and </w:t>
      </w:r>
      <w:r w:rsidR="003825E6">
        <w:rPr>
          <w:sz w:val="18"/>
          <w:szCs w:val="18"/>
        </w:rPr>
        <w:t>tenth</w:t>
      </w:r>
      <w:r w:rsidR="003825E6" w:rsidRPr="00B92761">
        <w:rPr>
          <w:sz w:val="18"/>
          <w:szCs w:val="18"/>
        </w:rPr>
        <w:t xml:space="preserve"> </w:t>
      </w:r>
      <w:r w:rsidRPr="00B92761">
        <w:rPr>
          <w:sz w:val="18"/>
          <w:szCs w:val="18"/>
        </w:rPr>
        <w:t xml:space="preserve">meetings. The Committee focused on participation, education and participation. </w:t>
      </w:r>
    </w:p>
  </w:footnote>
  <w:footnote w:id="22">
    <w:p w14:paraId="25F91A9A" w14:textId="4B335082" w:rsidR="00B12BEF" w:rsidRPr="00B92761" w:rsidRDefault="00B12BEF">
      <w:pPr>
        <w:pStyle w:val="FootnoteText"/>
        <w:rPr>
          <w:sz w:val="18"/>
          <w:szCs w:val="18"/>
        </w:rPr>
      </w:pPr>
      <w:r w:rsidRPr="00B92761">
        <w:rPr>
          <w:rStyle w:val="FootnoteReference"/>
          <w:sz w:val="18"/>
          <w:szCs w:val="18"/>
        </w:rPr>
        <w:footnoteRef/>
      </w:r>
      <w:r w:rsidRPr="00B92761">
        <w:rPr>
          <w:sz w:val="18"/>
          <w:szCs w:val="18"/>
        </w:rPr>
        <w:t xml:space="preserve"> Question 139 of the reporting format for the fourth national report. </w:t>
      </w:r>
    </w:p>
  </w:footnote>
  <w:footnote w:id="23">
    <w:p w14:paraId="2A55EA62" w14:textId="36A0B3F0" w:rsidR="00356B12" w:rsidRPr="00DE43F0" w:rsidRDefault="00356B12">
      <w:pPr>
        <w:pStyle w:val="FootnoteText"/>
      </w:pPr>
      <w:r w:rsidRPr="00B92761">
        <w:rPr>
          <w:rStyle w:val="FootnoteReference"/>
          <w:sz w:val="18"/>
          <w:szCs w:val="18"/>
        </w:rPr>
        <w:footnoteRef/>
      </w:r>
      <w:r w:rsidRPr="00B92761">
        <w:rPr>
          <w:sz w:val="18"/>
          <w:szCs w:val="18"/>
        </w:rPr>
        <w:t xml:space="preserve"> </w:t>
      </w:r>
      <w:r w:rsidRPr="00B92761">
        <w:rPr>
          <w:sz w:val="18"/>
          <w:szCs w:val="18"/>
          <w:lang w:val="en-US"/>
        </w:rPr>
        <w:t>Question 141 of the reporting format for the fourth national report</w:t>
      </w:r>
      <w:r w:rsidR="00F05BFC" w:rsidRPr="00B92761">
        <w:rPr>
          <w:sz w:val="18"/>
          <w:szCs w:val="18"/>
          <w:lang w:val="en-US"/>
        </w:rPr>
        <w:t>.</w:t>
      </w:r>
    </w:p>
  </w:footnote>
  <w:footnote w:id="24">
    <w:p w14:paraId="356AA659" w14:textId="4E23C585" w:rsidR="00CA7F4C" w:rsidRPr="00B92761" w:rsidRDefault="00CA7F4C">
      <w:pPr>
        <w:pStyle w:val="FootnoteText"/>
        <w:rPr>
          <w:sz w:val="18"/>
          <w:szCs w:val="18"/>
        </w:rPr>
      </w:pPr>
      <w:r w:rsidRPr="00B92761">
        <w:rPr>
          <w:rStyle w:val="FootnoteReference"/>
          <w:sz w:val="18"/>
          <w:szCs w:val="18"/>
        </w:rPr>
        <w:footnoteRef/>
      </w:r>
      <w:r w:rsidRPr="00B92761">
        <w:rPr>
          <w:sz w:val="18"/>
          <w:szCs w:val="18"/>
        </w:rPr>
        <w:t xml:space="preserve"> </w:t>
      </w:r>
      <w:r w:rsidRPr="00B92761">
        <w:rPr>
          <w:sz w:val="18"/>
          <w:szCs w:val="18"/>
          <w:lang w:val="en-US"/>
        </w:rPr>
        <w:t>Question 147 of the reporting format for the fourth national report</w:t>
      </w:r>
      <w:r w:rsidR="00F05BFC" w:rsidRPr="00B92761">
        <w:rPr>
          <w:sz w:val="18"/>
          <w:szCs w:val="18"/>
          <w:lang w:val="en-US"/>
        </w:rPr>
        <w:t>.</w:t>
      </w:r>
    </w:p>
  </w:footnote>
  <w:footnote w:id="25">
    <w:p w14:paraId="59C53EDE" w14:textId="4D5D5628" w:rsidR="00CA7F4C" w:rsidRPr="00B92761" w:rsidRDefault="00CA7F4C">
      <w:pPr>
        <w:pStyle w:val="FootnoteText"/>
        <w:rPr>
          <w:sz w:val="18"/>
          <w:szCs w:val="18"/>
          <w:lang w:val="en-US"/>
        </w:rPr>
      </w:pPr>
      <w:r w:rsidRPr="00B92761">
        <w:rPr>
          <w:rStyle w:val="FootnoteReference"/>
          <w:sz w:val="18"/>
          <w:szCs w:val="18"/>
        </w:rPr>
        <w:footnoteRef/>
      </w:r>
      <w:r w:rsidRPr="00B92761">
        <w:rPr>
          <w:sz w:val="18"/>
          <w:szCs w:val="18"/>
        </w:rPr>
        <w:t xml:space="preserve"> </w:t>
      </w:r>
      <w:r w:rsidRPr="00B92761">
        <w:rPr>
          <w:sz w:val="18"/>
          <w:szCs w:val="18"/>
          <w:lang w:val="en-US"/>
        </w:rPr>
        <w:t>Question 148 of the reporting format for the fourth national report</w:t>
      </w:r>
      <w:r w:rsidR="00F05BFC" w:rsidRPr="00B92761">
        <w:rPr>
          <w:sz w:val="18"/>
          <w:szCs w:val="18"/>
          <w:lang w:val="en-US"/>
        </w:rPr>
        <w:t>.</w:t>
      </w:r>
    </w:p>
  </w:footnote>
  <w:footnote w:id="26">
    <w:p w14:paraId="31238300" w14:textId="32D3549D" w:rsidR="00520A22" w:rsidRPr="00F44806" w:rsidRDefault="00520A22" w:rsidP="00520A22">
      <w:pPr>
        <w:pStyle w:val="FootnoteText"/>
      </w:pPr>
      <w:r w:rsidRPr="00B92761">
        <w:rPr>
          <w:rStyle w:val="FootnoteReference"/>
          <w:sz w:val="18"/>
          <w:szCs w:val="18"/>
        </w:rPr>
        <w:footnoteRef/>
      </w:r>
      <w:r w:rsidRPr="00B92761">
        <w:rPr>
          <w:sz w:val="18"/>
          <w:szCs w:val="18"/>
        </w:rPr>
        <w:t xml:space="preserve"> Decision 15/4, </w:t>
      </w:r>
      <w:r w:rsidR="00325CE7" w:rsidRPr="00B92761">
        <w:rPr>
          <w:sz w:val="18"/>
          <w:szCs w:val="18"/>
        </w:rPr>
        <w:t>a</w:t>
      </w:r>
      <w:r w:rsidRPr="00B92761">
        <w:rPr>
          <w:sz w:val="18"/>
          <w:szCs w:val="18"/>
        </w:rPr>
        <w:t>nnex, Target 17.</w:t>
      </w:r>
      <w:r>
        <w:t xml:space="preserve"> </w:t>
      </w:r>
    </w:p>
  </w:footnote>
  <w:footnote w:id="27">
    <w:p w14:paraId="14402981" w14:textId="7061C94C" w:rsidR="005A7646" w:rsidRPr="00DD6EE4" w:rsidRDefault="005A7646" w:rsidP="005A7646">
      <w:pPr>
        <w:pStyle w:val="FootnoteText"/>
        <w:rPr>
          <w:sz w:val="18"/>
          <w:szCs w:val="18"/>
        </w:rPr>
      </w:pPr>
      <w:r w:rsidRPr="00DD6EE4">
        <w:rPr>
          <w:rStyle w:val="FootnoteReference"/>
          <w:sz w:val="18"/>
          <w:szCs w:val="18"/>
        </w:rPr>
        <w:footnoteRef/>
      </w:r>
      <w:r w:rsidRPr="00DD6EE4">
        <w:rPr>
          <w:sz w:val="18"/>
          <w:szCs w:val="18"/>
        </w:rPr>
        <w:t xml:space="preserve"> </w:t>
      </w:r>
      <w:r w:rsidRPr="00811241">
        <w:rPr>
          <w:sz w:val="18"/>
          <w:szCs w:val="18"/>
        </w:rPr>
        <w:t xml:space="preserve">For 16 countries, answers provided in the survey differed from what their country had reported in the fourth national report: </w:t>
      </w:r>
      <w:r w:rsidR="00063EAB" w:rsidRPr="00811241">
        <w:rPr>
          <w:sz w:val="18"/>
          <w:szCs w:val="18"/>
        </w:rPr>
        <w:t xml:space="preserve">seven </w:t>
      </w:r>
      <w:r w:rsidRPr="00811241">
        <w:rPr>
          <w:sz w:val="18"/>
          <w:szCs w:val="18"/>
        </w:rPr>
        <w:t>respondents indicated that measures were partially place, while their country had reported in its fourth national report that measures were fully in</w:t>
      </w:r>
      <w:r w:rsidRPr="00DD6EE4">
        <w:rPr>
          <w:sz w:val="18"/>
          <w:szCs w:val="18"/>
        </w:rPr>
        <w:t xml:space="preserve"> place. Seven other respondents indicated that measures were fully in place, while in their fourth national report their country had reported that measures were partially in place. One respondent that indicated that measures were fully in place and one respondent that indicated that measures were partially in place had reported in their fourth national report that only draft measures existed.</w:t>
      </w:r>
    </w:p>
  </w:footnote>
  <w:footnote w:id="28">
    <w:p w14:paraId="7C84F966" w14:textId="77777777" w:rsidR="005A7646" w:rsidRPr="00DD6EE4" w:rsidRDefault="005A7646" w:rsidP="005A7646">
      <w:pPr>
        <w:pStyle w:val="FootnoteText"/>
        <w:rPr>
          <w:sz w:val="18"/>
          <w:szCs w:val="18"/>
        </w:rPr>
      </w:pPr>
      <w:r w:rsidRPr="00DD6EE4">
        <w:rPr>
          <w:rStyle w:val="FootnoteReference"/>
          <w:sz w:val="18"/>
          <w:szCs w:val="18"/>
        </w:rPr>
        <w:footnoteRef/>
      </w:r>
      <w:r w:rsidRPr="00DD6EE4">
        <w:rPr>
          <w:sz w:val="18"/>
          <w:szCs w:val="18"/>
        </w:rPr>
        <w:t xml:space="preserve"> The percentage reflects the challenges faced by the 80 respondents.</w:t>
      </w:r>
    </w:p>
  </w:footnote>
  <w:footnote w:id="29">
    <w:p w14:paraId="5E9DB9A7" w14:textId="77777777" w:rsidR="005A7646" w:rsidRPr="00DD6EE4" w:rsidRDefault="005A7646" w:rsidP="005A7646">
      <w:pPr>
        <w:pStyle w:val="FootnoteText"/>
        <w:rPr>
          <w:sz w:val="18"/>
          <w:szCs w:val="18"/>
        </w:rPr>
      </w:pPr>
      <w:r w:rsidRPr="00DD6EE4">
        <w:rPr>
          <w:rStyle w:val="FootnoteReference"/>
          <w:sz w:val="18"/>
          <w:szCs w:val="18"/>
        </w:rPr>
        <w:footnoteRef/>
      </w:r>
      <w:r w:rsidRPr="00DD6EE4">
        <w:rPr>
          <w:sz w:val="18"/>
          <w:szCs w:val="18"/>
        </w:rPr>
        <w:t xml:space="preserve"> Of the 81 respondents indicating to have submitted their fourth national report in time, 12 Parties submitted after the submission deadline, while three have not yet submitted their fourth national report.</w:t>
      </w:r>
    </w:p>
  </w:footnote>
  <w:footnote w:id="30">
    <w:p w14:paraId="5ED39E90" w14:textId="727466A3" w:rsidR="00B908C7" w:rsidRPr="00E436C4" w:rsidRDefault="00B908C7" w:rsidP="001F6897">
      <w:pPr>
        <w:pStyle w:val="FootnoteText"/>
        <w:rPr>
          <w:lang w:val="en-US"/>
        </w:rPr>
      </w:pPr>
      <w:r>
        <w:rPr>
          <w:rStyle w:val="FootnoteReference"/>
        </w:rPr>
        <w:footnoteRef/>
      </w:r>
      <w:r>
        <w:t xml:space="preserve"> </w:t>
      </w:r>
      <w:r w:rsidR="001F6897" w:rsidRPr="00B92761">
        <w:rPr>
          <w:sz w:val="18"/>
          <w:szCs w:val="18"/>
        </w:rPr>
        <w:t>Parties that were requested by the Committee to develop a compliance action plan received a survey containing additional questions relating to the development of their compliance action plan</w:t>
      </w:r>
      <w:r w:rsidR="000168D4" w:rsidRPr="00B92761">
        <w:rPr>
          <w:sz w:val="18"/>
          <w:szCs w:val="18"/>
        </w:rPr>
        <w:t xml:space="preserve">. </w:t>
      </w:r>
      <w:r w:rsidRPr="00B92761">
        <w:rPr>
          <w:sz w:val="18"/>
          <w:szCs w:val="18"/>
          <w:lang w:val="en-US"/>
        </w:rPr>
        <w:t>The</w:t>
      </w:r>
      <w:r w:rsidR="001F6897" w:rsidRPr="00B92761">
        <w:rPr>
          <w:sz w:val="18"/>
          <w:szCs w:val="18"/>
          <w:lang w:val="en-US"/>
        </w:rPr>
        <w:t>se</w:t>
      </w:r>
      <w:r w:rsidRPr="00B92761">
        <w:rPr>
          <w:sz w:val="18"/>
          <w:szCs w:val="18"/>
          <w:lang w:val="en-US"/>
        </w:rPr>
        <w:t xml:space="preserve"> questions </w:t>
      </w:r>
      <w:r w:rsidR="00176693" w:rsidRPr="00B92761">
        <w:rPr>
          <w:sz w:val="18"/>
          <w:szCs w:val="18"/>
          <w:lang w:val="en-US"/>
        </w:rPr>
        <w:t xml:space="preserve">and the </w:t>
      </w:r>
      <w:r w:rsidR="00296649" w:rsidRPr="00B92761">
        <w:rPr>
          <w:sz w:val="18"/>
          <w:szCs w:val="18"/>
          <w:lang w:val="en-US"/>
        </w:rPr>
        <w:t xml:space="preserve">summary of the answers are presented in </w:t>
      </w:r>
      <w:r w:rsidR="00CD0704" w:rsidRPr="000B7BE8">
        <w:rPr>
          <w:sz w:val="18"/>
          <w:szCs w:val="18"/>
          <w:lang w:val="en-US"/>
        </w:rPr>
        <w:t>a</w:t>
      </w:r>
      <w:r w:rsidR="00296649" w:rsidRPr="00B92761">
        <w:rPr>
          <w:sz w:val="18"/>
          <w:szCs w:val="18"/>
          <w:lang w:val="en-US"/>
        </w:rPr>
        <w:t>nnex I to document CBD/CP/CC/18/4.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137802784"/>
  <w:bookmarkStart w:id="2" w:name="_Hlk137802785"/>
  <w:p w14:paraId="27E83D71" w14:textId="4B230CAE" w:rsidR="002B559C" w:rsidRPr="002B559C" w:rsidRDefault="00000000" w:rsidP="002B559C">
    <w:pPr>
      <w:pStyle w:val="Header"/>
      <w:pBdr>
        <w:bottom w:val="single" w:sz="4" w:space="1" w:color="auto"/>
      </w:pBdr>
      <w:spacing w:after="240"/>
      <w:rPr>
        <w:sz w:val="20"/>
        <w:szCs w:val="20"/>
        <w:lang w:val="fr-FR"/>
      </w:rPr>
    </w:pPr>
    <w:sdt>
      <w:sdtPr>
        <w:rPr>
          <w:sz w:val="20"/>
          <w:szCs w:val="20"/>
          <w:lang w:val="fr-FR"/>
        </w:rPr>
        <w:alias w:val="Subject"/>
        <w:tag w:val=""/>
        <w:id w:val="967328729"/>
        <w:dataBinding w:prefixMappings="xmlns:ns0='http://purl.org/dc/elements/1.1/' xmlns:ns1='http://schemas.openxmlformats.org/package/2006/metadata/core-properties' " w:xpath="/ns1:coreProperties[1]/ns0:subject[1]" w:storeItemID="{6C3C8BC8-F283-45AE-878A-BAB7291924A1}"/>
        <w:text/>
      </w:sdtPr>
      <w:sdtContent>
        <w:r w:rsidR="002B559C" w:rsidRPr="002B559C">
          <w:rPr>
            <w:sz w:val="20"/>
            <w:szCs w:val="20"/>
            <w:lang w:val="fr-FR"/>
          </w:rPr>
          <w:t>CBD/</w:t>
        </w:r>
        <w:r w:rsidR="009E51D0">
          <w:rPr>
            <w:sz w:val="20"/>
            <w:szCs w:val="20"/>
            <w:lang w:val="fr-FR"/>
          </w:rPr>
          <w:t>CP</w:t>
        </w:r>
        <w:r w:rsidR="00FB71CD">
          <w:rPr>
            <w:sz w:val="20"/>
            <w:szCs w:val="20"/>
            <w:lang w:val="fr-FR"/>
          </w:rPr>
          <w:t>/CC/18/3</w:t>
        </w:r>
      </w:sdtContent>
    </w:sdt>
    <w:bookmarkEnd w:id="1"/>
    <w:bookmarkEnd w:id="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lang w:val="fr-FR"/>
      </w:rPr>
      <w:alias w:val="Subject"/>
      <w:tag w:val=""/>
      <w:id w:val="-1885015078"/>
      <w:dataBinding w:prefixMappings="xmlns:ns0='http://purl.org/dc/elements/1.1/' xmlns:ns1='http://schemas.openxmlformats.org/package/2006/metadata/core-properties' " w:xpath="/ns1:coreProperties[1]/ns0:subject[1]" w:storeItemID="{6C3C8BC8-F283-45AE-878A-BAB7291924A1}"/>
      <w:text/>
    </w:sdtPr>
    <w:sdtContent>
      <w:p w14:paraId="2C00A14C" w14:textId="1A435E93" w:rsidR="002B559C" w:rsidRPr="002B559C" w:rsidRDefault="00FB71CD" w:rsidP="002B559C">
        <w:pPr>
          <w:pStyle w:val="Header"/>
          <w:pBdr>
            <w:bottom w:val="single" w:sz="4" w:space="1" w:color="auto"/>
          </w:pBdr>
          <w:spacing w:after="240"/>
          <w:jc w:val="right"/>
          <w:rPr>
            <w:sz w:val="20"/>
            <w:szCs w:val="20"/>
            <w:lang w:val="fr-FR"/>
          </w:rPr>
        </w:pPr>
        <w:r>
          <w:rPr>
            <w:sz w:val="20"/>
            <w:szCs w:val="20"/>
            <w:lang w:val="fr-FR"/>
          </w:rPr>
          <w:t>CBD/CP/CC/18/3</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264DD"/>
    <w:multiLevelType w:val="hybridMultilevel"/>
    <w:tmpl w:val="6584D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1E43E9"/>
    <w:multiLevelType w:val="hybridMultilevel"/>
    <w:tmpl w:val="168A20A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B6017B"/>
    <w:multiLevelType w:val="hybridMultilevel"/>
    <w:tmpl w:val="F734265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C01E10"/>
    <w:multiLevelType w:val="hybridMultilevel"/>
    <w:tmpl w:val="219CD6A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6991A95"/>
    <w:multiLevelType w:val="hybridMultilevel"/>
    <w:tmpl w:val="D4A07AB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F9F6015"/>
    <w:multiLevelType w:val="hybridMultilevel"/>
    <w:tmpl w:val="58A87F02"/>
    <w:lvl w:ilvl="0" w:tplc="9BA23310">
      <w:start w:val="10"/>
      <w:numFmt w:val="bullet"/>
      <w:lvlText w:val="-"/>
      <w:lvlJc w:val="left"/>
      <w:pPr>
        <w:ind w:left="927" w:hanging="360"/>
      </w:pPr>
      <w:rPr>
        <w:rFonts w:ascii="Times New Roman" w:eastAsia="Times New Roman" w:hAnsi="Times New Roman" w:cs="Times New Roman" w:hint="default"/>
      </w:rPr>
    </w:lvl>
    <w:lvl w:ilvl="1" w:tplc="10090003" w:tentative="1">
      <w:start w:val="1"/>
      <w:numFmt w:val="bullet"/>
      <w:lvlText w:val="o"/>
      <w:lvlJc w:val="left"/>
      <w:pPr>
        <w:ind w:left="1647" w:hanging="360"/>
      </w:pPr>
      <w:rPr>
        <w:rFonts w:ascii="Courier New" w:hAnsi="Courier New" w:cs="Courier New" w:hint="default"/>
      </w:rPr>
    </w:lvl>
    <w:lvl w:ilvl="2" w:tplc="10090005" w:tentative="1">
      <w:start w:val="1"/>
      <w:numFmt w:val="bullet"/>
      <w:lvlText w:val=""/>
      <w:lvlJc w:val="left"/>
      <w:pPr>
        <w:ind w:left="2367" w:hanging="360"/>
      </w:pPr>
      <w:rPr>
        <w:rFonts w:ascii="Wingdings" w:hAnsi="Wingdings" w:hint="default"/>
      </w:rPr>
    </w:lvl>
    <w:lvl w:ilvl="3" w:tplc="10090001" w:tentative="1">
      <w:start w:val="1"/>
      <w:numFmt w:val="bullet"/>
      <w:lvlText w:val=""/>
      <w:lvlJc w:val="left"/>
      <w:pPr>
        <w:ind w:left="3087" w:hanging="360"/>
      </w:pPr>
      <w:rPr>
        <w:rFonts w:ascii="Symbol" w:hAnsi="Symbol" w:hint="default"/>
      </w:rPr>
    </w:lvl>
    <w:lvl w:ilvl="4" w:tplc="10090003" w:tentative="1">
      <w:start w:val="1"/>
      <w:numFmt w:val="bullet"/>
      <w:lvlText w:val="o"/>
      <w:lvlJc w:val="left"/>
      <w:pPr>
        <w:ind w:left="3807" w:hanging="360"/>
      </w:pPr>
      <w:rPr>
        <w:rFonts w:ascii="Courier New" w:hAnsi="Courier New" w:cs="Courier New" w:hint="default"/>
      </w:rPr>
    </w:lvl>
    <w:lvl w:ilvl="5" w:tplc="10090005" w:tentative="1">
      <w:start w:val="1"/>
      <w:numFmt w:val="bullet"/>
      <w:lvlText w:val=""/>
      <w:lvlJc w:val="left"/>
      <w:pPr>
        <w:ind w:left="4527" w:hanging="360"/>
      </w:pPr>
      <w:rPr>
        <w:rFonts w:ascii="Wingdings" w:hAnsi="Wingdings" w:hint="default"/>
      </w:rPr>
    </w:lvl>
    <w:lvl w:ilvl="6" w:tplc="10090001" w:tentative="1">
      <w:start w:val="1"/>
      <w:numFmt w:val="bullet"/>
      <w:lvlText w:val=""/>
      <w:lvlJc w:val="left"/>
      <w:pPr>
        <w:ind w:left="5247" w:hanging="360"/>
      </w:pPr>
      <w:rPr>
        <w:rFonts w:ascii="Symbol" w:hAnsi="Symbol" w:hint="default"/>
      </w:rPr>
    </w:lvl>
    <w:lvl w:ilvl="7" w:tplc="10090003" w:tentative="1">
      <w:start w:val="1"/>
      <w:numFmt w:val="bullet"/>
      <w:lvlText w:val="o"/>
      <w:lvlJc w:val="left"/>
      <w:pPr>
        <w:ind w:left="5967" w:hanging="360"/>
      </w:pPr>
      <w:rPr>
        <w:rFonts w:ascii="Courier New" w:hAnsi="Courier New" w:cs="Courier New" w:hint="default"/>
      </w:rPr>
    </w:lvl>
    <w:lvl w:ilvl="8" w:tplc="10090005" w:tentative="1">
      <w:start w:val="1"/>
      <w:numFmt w:val="bullet"/>
      <w:lvlText w:val=""/>
      <w:lvlJc w:val="left"/>
      <w:pPr>
        <w:ind w:left="6687" w:hanging="360"/>
      </w:pPr>
      <w:rPr>
        <w:rFonts w:ascii="Wingdings" w:hAnsi="Wingdings" w:hint="default"/>
      </w:rPr>
    </w:lvl>
  </w:abstractNum>
  <w:abstractNum w:abstractNumId="6" w15:restartNumberingAfterBreak="0">
    <w:nsid w:val="1FFA6E10"/>
    <w:multiLevelType w:val="hybridMultilevel"/>
    <w:tmpl w:val="0CF80BDC"/>
    <w:lvl w:ilvl="0" w:tplc="807A2ECE">
      <w:start w:val="1"/>
      <w:numFmt w:val="decimal"/>
      <w:pStyle w:val="StylePara1Kernat11pt"/>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7" w15:restartNumberingAfterBreak="0">
    <w:nsid w:val="2247306A"/>
    <w:multiLevelType w:val="hybridMultilevel"/>
    <w:tmpl w:val="6E60F7DC"/>
    <w:lvl w:ilvl="0" w:tplc="5906913C">
      <w:start w:val="1"/>
      <w:numFmt w:val="decimal"/>
      <w:lvlText w:val="%1."/>
      <w:lvlJc w:val="right"/>
      <w:pPr>
        <w:ind w:left="927" w:hanging="360"/>
      </w:pPr>
      <w:rPr>
        <w:rFonts w:hint="default"/>
      </w:rPr>
    </w:lvl>
    <w:lvl w:ilvl="1" w:tplc="10090019" w:tentative="1">
      <w:start w:val="1"/>
      <w:numFmt w:val="lowerLetter"/>
      <w:lvlText w:val="%2."/>
      <w:lvlJc w:val="left"/>
      <w:pPr>
        <w:ind w:left="2313" w:hanging="360"/>
      </w:pPr>
    </w:lvl>
    <w:lvl w:ilvl="2" w:tplc="1009001B" w:tentative="1">
      <w:start w:val="1"/>
      <w:numFmt w:val="lowerRoman"/>
      <w:lvlText w:val="%3."/>
      <w:lvlJc w:val="right"/>
      <w:pPr>
        <w:ind w:left="3033" w:hanging="180"/>
      </w:pPr>
    </w:lvl>
    <w:lvl w:ilvl="3" w:tplc="1009000F" w:tentative="1">
      <w:start w:val="1"/>
      <w:numFmt w:val="decimal"/>
      <w:lvlText w:val="%4."/>
      <w:lvlJc w:val="left"/>
      <w:pPr>
        <w:ind w:left="3753" w:hanging="360"/>
      </w:pPr>
    </w:lvl>
    <w:lvl w:ilvl="4" w:tplc="10090019" w:tentative="1">
      <w:start w:val="1"/>
      <w:numFmt w:val="lowerLetter"/>
      <w:lvlText w:val="%5."/>
      <w:lvlJc w:val="left"/>
      <w:pPr>
        <w:ind w:left="4473" w:hanging="360"/>
      </w:pPr>
    </w:lvl>
    <w:lvl w:ilvl="5" w:tplc="1009001B" w:tentative="1">
      <w:start w:val="1"/>
      <w:numFmt w:val="lowerRoman"/>
      <w:lvlText w:val="%6."/>
      <w:lvlJc w:val="right"/>
      <w:pPr>
        <w:ind w:left="5193" w:hanging="180"/>
      </w:pPr>
    </w:lvl>
    <w:lvl w:ilvl="6" w:tplc="1009000F" w:tentative="1">
      <w:start w:val="1"/>
      <w:numFmt w:val="decimal"/>
      <w:lvlText w:val="%7."/>
      <w:lvlJc w:val="left"/>
      <w:pPr>
        <w:ind w:left="5913" w:hanging="360"/>
      </w:pPr>
    </w:lvl>
    <w:lvl w:ilvl="7" w:tplc="10090019" w:tentative="1">
      <w:start w:val="1"/>
      <w:numFmt w:val="lowerLetter"/>
      <w:lvlText w:val="%8."/>
      <w:lvlJc w:val="left"/>
      <w:pPr>
        <w:ind w:left="6633" w:hanging="360"/>
      </w:pPr>
    </w:lvl>
    <w:lvl w:ilvl="8" w:tplc="1009001B" w:tentative="1">
      <w:start w:val="1"/>
      <w:numFmt w:val="lowerRoman"/>
      <w:lvlText w:val="%9."/>
      <w:lvlJc w:val="right"/>
      <w:pPr>
        <w:ind w:left="7353" w:hanging="180"/>
      </w:pPr>
    </w:lvl>
  </w:abstractNum>
  <w:abstractNum w:abstractNumId="8" w15:restartNumberingAfterBreak="0">
    <w:nsid w:val="26636F7C"/>
    <w:multiLevelType w:val="multilevel"/>
    <w:tmpl w:val="6A128E68"/>
    <w:lvl w:ilvl="0">
      <w:start w:val="1"/>
      <w:numFmt w:val="lowerLetter"/>
      <w:lvlText w:val="(%1)"/>
      <w:lvlJc w:val="left"/>
      <w:pPr>
        <w:tabs>
          <w:tab w:val="num" w:pos="360"/>
        </w:tabs>
        <w:ind w:left="0" w:firstLine="0"/>
      </w:pPr>
      <w:rPr>
        <w:rFonts w:hint="default"/>
        <w:b w:val="0"/>
        <w:i w:val="0"/>
        <w:color w:val="auto"/>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8A90C32"/>
    <w:multiLevelType w:val="hybridMultilevel"/>
    <w:tmpl w:val="F4A86298"/>
    <w:lvl w:ilvl="0" w:tplc="CFF47566">
      <w:start w:val="1"/>
      <w:numFmt w:val="decimal"/>
      <w:lvlText w:val="%1."/>
      <w:lvlJc w:val="left"/>
      <w:pPr>
        <w:ind w:left="1494" w:hanging="360"/>
      </w:pPr>
      <w:rPr>
        <w:rFonts w:hint="default"/>
      </w:r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10" w15:restartNumberingAfterBreak="0">
    <w:nsid w:val="28F31E2A"/>
    <w:multiLevelType w:val="hybridMultilevel"/>
    <w:tmpl w:val="28629C36"/>
    <w:lvl w:ilvl="0" w:tplc="367A5790">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1" w15:restartNumberingAfterBreak="0">
    <w:nsid w:val="2A511391"/>
    <w:multiLevelType w:val="multilevel"/>
    <w:tmpl w:val="C5A85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20351C1"/>
    <w:multiLevelType w:val="hybridMultilevel"/>
    <w:tmpl w:val="49466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165C05"/>
    <w:multiLevelType w:val="hybridMultilevel"/>
    <w:tmpl w:val="D7C2A86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4590377"/>
    <w:multiLevelType w:val="hybridMultilevel"/>
    <w:tmpl w:val="81B2F26C"/>
    <w:lvl w:ilvl="0" w:tplc="EDE63760">
      <w:start w:val="1"/>
      <w:numFmt w:val="lowerLetter"/>
      <w:lvlText w:val="(%1)"/>
      <w:lvlJc w:val="left"/>
      <w:pPr>
        <w:ind w:left="927" w:hanging="360"/>
      </w:pPr>
      <w:rPr>
        <w:rFonts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15" w15:restartNumberingAfterBreak="0">
    <w:nsid w:val="34B25DF8"/>
    <w:multiLevelType w:val="hybridMultilevel"/>
    <w:tmpl w:val="59D813A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15:restartNumberingAfterBreak="0">
    <w:nsid w:val="38D5003B"/>
    <w:multiLevelType w:val="multilevel"/>
    <w:tmpl w:val="FDDC851E"/>
    <w:lvl w:ilvl="0">
      <w:start w:val="1"/>
      <w:numFmt w:val="lowerLetter"/>
      <w:lvlText w:val="(%1)"/>
      <w:lvlJc w:val="left"/>
      <w:pPr>
        <w:tabs>
          <w:tab w:val="num" w:pos="360"/>
        </w:tabs>
        <w:ind w:left="0" w:firstLine="0"/>
      </w:pPr>
      <w:rPr>
        <w:rFonts w:hint="default"/>
        <w:b w:val="0"/>
        <w:i w:val="0"/>
        <w:color w:val="auto"/>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39292A1D"/>
    <w:multiLevelType w:val="hybridMultilevel"/>
    <w:tmpl w:val="1E54F15A"/>
    <w:lvl w:ilvl="0" w:tplc="A0F20746">
      <w:numFmt w:val="bullet"/>
      <w:lvlText w:val=""/>
      <w:lvlJc w:val="left"/>
      <w:pPr>
        <w:ind w:left="720" w:hanging="360"/>
      </w:pPr>
      <w:rPr>
        <w:rFonts w:ascii="Symbol" w:eastAsiaTheme="minorHAnsi" w:hAnsi="Symbol" w:cstheme="majorBidi" w:hint="default"/>
      </w:rPr>
    </w:lvl>
    <w:lvl w:ilvl="1" w:tplc="0E345038">
      <w:numFmt w:val="bullet"/>
      <w:lvlText w:val="-"/>
      <w:lvlJc w:val="left"/>
      <w:pPr>
        <w:ind w:left="1740" w:hanging="6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CC21A0"/>
    <w:multiLevelType w:val="hybridMultilevel"/>
    <w:tmpl w:val="D3BEA36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76BEEAB0">
      <w:start w:val="1"/>
      <w:numFmt w:val="decimal"/>
      <w:lvlText w:val="%3."/>
      <w:lvlJc w:val="left"/>
      <w:pPr>
        <w:ind w:left="2160" w:hanging="180"/>
      </w:pPr>
      <w:rPr>
        <w:i w:val="0"/>
        <w:iCs/>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0331BB2"/>
    <w:multiLevelType w:val="hybridMultilevel"/>
    <w:tmpl w:val="C8DEAB40"/>
    <w:lvl w:ilvl="0" w:tplc="628E529E">
      <w:start w:val="1"/>
      <w:numFmt w:val="decimal"/>
      <w:lvlText w:val="%1."/>
      <w:lvlJc w:val="left"/>
      <w:pPr>
        <w:ind w:left="720" w:hanging="360"/>
      </w:pPr>
      <w:rPr>
        <w:rFonts w:hint="default"/>
        <w:color w:val="2424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9F6497"/>
    <w:multiLevelType w:val="hybridMultilevel"/>
    <w:tmpl w:val="7F16E74A"/>
    <w:lvl w:ilvl="0" w:tplc="EDE63760">
      <w:start w:val="1"/>
      <w:numFmt w:val="lowerLetter"/>
      <w:lvlText w:val="(%1)"/>
      <w:lvlJc w:val="left"/>
      <w:pPr>
        <w:ind w:left="927" w:hanging="360"/>
      </w:pPr>
      <w:rPr>
        <w:rFonts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21" w15:restartNumberingAfterBreak="0">
    <w:nsid w:val="44621365"/>
    <w:multiLevelType w:val="hybridMultilevel"/>
    <w:tmpl w:val="587A9A5A"/>
    <w:lvl w:ilvl="0" w:tplc="3E3C0E14">
      <w:start w:val="10"/>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67961CE"/>
    <w:multiLevelType w:val="hybridMultilevel"/>
    <w:tmpl w:val="AFDCF908"/>
    <w:lvl w:ilvl="0" w:tplc="371C7C0E">
      <w:start w:val="1"/>
      <w:numFmt w:val="upperRoman"/>
      <w:pStyle w:val="Heading1"/>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4CD21596"/>
    <w:multiLevelType w:val="hybridMultilevel"/>
    <w:tmpl w:val="5DDA0132"/>
    <w:lvl w:ilvl="0" w:tplc="14F8B9F2">
      <w:start w:val="1"/>
      <w:numFmt w:val="bullet"/>
      <w:lvlText w:val=""/>
      <w:lvlJc w:val="left"/>
      <w:pPr>
        <w:ind w:left="720" w:hanging="360"/>
      </w:pPr>
      <w:rPr>
        <w:rFonts w:ascii="Symbol" w:hAnsi="Symbol" w:hint="default"/>
      </w:rPr>
    </w:lvl>
    <w:lvl w:ilvl="1" w:tplc="2BD0219C">
      <w:start w:val="1"/>
      <w:numFmt w:val="bullet"/>
      <w:lvlText w:val="o"/>
      <w:lvlJc w:val="left"/>
      <w:pPr>
        <w:ind w:left="1440" w:hanging="360"/>
      </w:pPr>
      <w:rPr>
        <w:rFonts w:ascii="Courier New" w:hAnsi="Courier New" w:hint="default"/>
      </w:rPr>
    </w:lvl>
    <w:lvl w:ilvl="2" w:tplc="BAE20CAE">
      <w:start w:val="1"/>
      <w:numFmt w:val="bullet"/>
      <w:lvlText w:val=""/>
      <w:lvlJc w:val="left"/>
      <w:pPr>
        <w:ind w:left="2160" w:hanging="360"/>
      </w:pPr>
      <w:rPr>
        <w:rFonts w:ascii="Wingdings" w:hAnsi="Wingdings" w:hint="default"/>
      </w:rPr>
    </w:lvl>
    <w:lvl w:ilvl="3" w:tplc="B69292A8">
      <w:start w:val="1"/>
      <w:numFmt w:val="bullet"/>
      <w:lvlText w:val=""/>
      <w:lvlJc w:val="left"/>
      <w:pPr>
        <w:ind w:left="2880" w:hanging="360"/>
      </w:pPr>
      <w:rPr>
        <w:rFonts w:ascii="Symbol" w:hAnsi="Symbol" w:hint="default"/>
      </w:rPr>
    </w:lvl>
    <w:lvl w:ilvl="4" w:tplc="A964CE88">
      <w:start w:val="1"/>
      <w:numFmt w:val="bullet"/>
      <w:lvlText w:val="o"/>
      <w:lvlJc w:val="left"/>
      <w:pPr>
        <w:ind w:left="3600" w:hanging="360"/>
      </w:pPr>
      <w:rPr>
        <w:rFonts w:ascii="Courier New" w:hAnsi="Courier New" w:hint="default"/>
      </w:rPr>
    </w:lvl>
    <w:lvl w:ilvl="5" w:tplc="E238FAD0">
      <w:start w:val="1"/>
      <w:numFmt w:val="bullet"/>
      <w:lvlText w:val=""/>
      <w:lvlJc w:val="left"/>
      <w:pPr>
        <w:ind w:left="4320" w:hanging="360"/>
      </w:pPr>
      <w:rPr>
        <w:rFonts w:ascii="Wingdings" w:hAnsi="Wingdings" w:hint="default"/>
      </w:rPr>
    </w:lvl>
    <w:lvl w:ilvl="6" w:tplc="C4546F6A">
      <w:start w:val="1"/>
      <w:numFmt w:val="bullet"/>
      <w:lvlText w:val=""/>
      <w:lvlJc w:val="left"/>
      <w:pPr>
        <w:ind w:left="5040" w:hanging="360"/>
      </w:pPr>
      <w:rPr>
        <w:rFonts w:ascii="Symbol" w:hAnsi="Symbol" w:hint="default"/>
      </w:rPr>
    </w:lvl>
    <w:lvl w:ilvl="7" w:tplc="ADFE9694">
      <w:start w:val="1"/>
      <w:numFmt w:val="bullet"/>
      <w:lvlText w:val="o"/>
      <w:lvlJc w:val="left"/>
      <w:pPr>
        <w:ind w:left="5760" w:hanging="360"/>
      </w:pPr>
      <w:rPr>
        <w:rFonts w:ascii="Courier New" w:hAnsi="Courier New" w:hint="default"/>
      </w:rPr>
    </w:lvl>
    <w:lvl w:ilvl="8" w:tplc="439C0E92">
      <w:start w:val="1"/>
      <w:numFmt w:val="bullet"/>
      <w:lvlText w:val=""/>
      <w:lvlJc w:val="left"/>
      <w:pPr>
        <w:ind w:left="6480" w:hanging="360"/>
      </w:pPr>
      <w:rPr>
        <w:rFonts w:ascii="Wingdings" w:hAnsi="Wingdings" w:hint="default"/>
      </w:rPr>
    </w:lvl>
  </w:abstractNum>
  <w:abstractNum w:abstractNumId="24"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5395409C"/>
    <w:multiLevelType w:val="hybridMultilevel"/>
    <w:tmpl w:val="07B4D422"/>
    <w:lvl w:ilvl="0" w:tplc="2DEE47E4">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26" w15:restartNumberingAfterBreak="0">
    <w:nsid w:val="5812679C"/>
    <w:multiLevelType w:val="hybridMultilevel"/>
    <w:tmpl w:val="292E4B1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99F7710"/>
    <w:multiLevelType w:val="hybridMultilevel"/>
    <w:tmpl w:val="1D280138"/>
    <w:lvl w:ilvl="0" w:tplc="3DF4418A">
      <w:start w:val="1"/>
      <w:numFmt w:val="decimal"/>
      <w:pStyle w:val="Heading3"/>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5BB27DFA"/>
    <w:multiLevelType w:val="hybridMultilevel"/>
    <w:tmpl w:val="56F45226"/>
    <w:lvl w:ilvl="0" w:tplc="EDE63760">
      <w:start w:val="1"/>
      <w:numFmt w:val="lowerLetter"/>
      <w:lvlText w:val="(%1)"/>
      <w:lvlJc w:val="left"/>
      <w:pPr>
        <w:ind w:left="927" w:hanging="360"/>
      </w:pPr>
      <w:rPr>
        <w:rFonts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29" w15:restartNumberingAfterBreak="0">
    <w:nsid w:val="5CF56664"/>
    <w:multiLevelType w:val="hybridMultilevel"/>
    <w:tmpl w:val="95461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180578"/>
    <w:multiLevelType w:val="hybridMultilevel"/>
    <w:tmpl w:val="251AB796"/>
    <w:lvl w:ilvl="0" w:tplc="8862B882">
      <w:start w:val="1"/>
      <w:numFmt w:val="lowerLetter"/>
      <w:pStyle w:val="Para2"/>
      <w:lvlText w:val="(%1)"/>
      <w:lvlJc w:val="left"/>
      <w:pPr>
        <w:ind w:left="927" w:hanging="360"/>
      </w:pPr>
      <w:rPr>
        <w:rFonts w:ascii="Times New Roman" w:hAnsi="Times New Roman" w:hint="default"/>
        <w:b w:val="0"/>
        <w:i w:val="0"/>
        <w:caps w:val="0"/>
        <w:strike w:val="0"/>
        <w:dstrike w:val="0"/>
        <w:vanish w:val="0"/>
        <w:color w:val="auto"/>
        <w:spacing w:val="0"/>
        <w:kern w:val="22"/>
        <w:position w:val="0"/>
        <w:sz w:val="22"/>
        <w:vertAlign w:val="baseline"/>
      </w:rPr>
    </w:lvl>
    <w:lvl w:ilvl="1" w:tplc="10090019" w:tentative="1">
      <w:start w:val="1"/>
      <w:numFmt w:val="lowerLetter"/>
      <w:lvlText w:val="%2."/>
      <w:lvlJc w:val="left"/>
      <w:pPr>
        <w:ind w:left="2466" w:hanging="360"/>
      </w:pPr>
    </w:lvl>
    <w:lvl w:ilvl="2" w:tplc="1009001B" w:tentative="1">
      <w:start w:val="1"/>
      <w:numFmt w:val="lowerRoman"/>
      <w:lvlText w:val="%3."/>
      <w:lvlJc w:val="right"/>
      <w:pPr>
        <w:ind w:left="3186" w:hanging="180"/>
      </w:pPr>
    </w:lvl>
    <w:lvl w:ilvl="3" w:tplc="1009000F" w:tentative="1">
      <w:start w:val="1"/>
      <w:numFmt w:val="decimal"/>
      <w:lvlText w:val="%4."/>
      <w:lvlJc w:val="left"/>
      <w:pPr>
        <w:ind w:left="3906" w:hanging="360"/>
      </w:pPr>
    </w:lvl>
    <w:lvl w:ilvl="4" w:tplc="10090019" w:tentative="1">
      <w:start w:val="1"/>
      <w:numFmt w:val="lowerLetter"/>
      <w:lvlText w:val="%5."/>
      <w:lvlJc w:val="left"/>
      <w:pPr>
        <w:ind w:left="4626" w:hanging="360"/>
      </w:pPr>
    </w:lvl>
    <w:lvl w:ilvl="5" w:tplc="1009001B" w:tentative="1">
      <w:start w:val="1"/>
      <w:numFmt w:val="lowerRoman"/>
      <w:lvlText w:val="%6."/>
      <w:lvlJc w:val="right"/>
      <w:pPr>
        <w:ind w:left="5346" w:hanging="180"/>
      </w:pPr>
    </w:lvl>
    <w:lvl w:ilvl="6" w:tplc="1009000F" w:tentative="1">
      <w:start w:val="1"/>
      <w:numFmt w:val="decimal"/>
      <w:lvlText w:val="%7."/>
      <w:lvlJc w:val="left"/>
      <w:pPr>
        <w:ind w:left="6066" w:hanging="360"/>
      </w:pPr>
    </w:lvl>
    <w:lvl w:ilvl="7" w:tplc="10090019" w:tentative="1">
      <w:start w:val="1"/>
      <w:numFmt w:val="lowerLetter"/>
      <w:lvlText w:val="%8."/>
      <w:lvlJc w:val="left"/>
      <w:pPr>
        <w:ind w:left="6786" w:hanging="360"/>
      </w:pPr>
    </w:lvl>
    <w:lvl w:ilvl="8" w:tplc="1009001B" w:tentative="1">
      <w:start w:val="1"/>
      <w:numFmt w:val="lowerRoman"/>
      <w:lvlText w:val="%9."/>
      <w:lvlJc w:val="right"/>
      <w:pPr>
        <w:ind w:left="7506" w:hanging="180"/>
      </w:pPr>
    </w:lvl>
  </w:abstractNum>
  <w:abstractNum w:abstractNumId="31" w15:restartNumberingAfterBreak="0">
    <w:nsid w:val="601262FE"/>
    <w:multiLevelType w:val="hybridMultilevel"/>
    <w:tmpl w:val="6D9093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6C48C3"/>
    <w:multiLevelType w:val="hybridMultilevel"/>
    <w:tmpl w:val="325A09B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53730A5"/>
    <w:multiLevelType w:val="hybridMultilevel"/>
    <w:tmpl w:val="EF5A0DAC"/>
    <w:lvl w:ilvl="0" w:tplc="0B8E98AE">
      <w:start w:val="1"/>
      <w:numFmt w:val="decimal"/>
      <w:lvlText w:val="%1."/>
      <w:lvlJc w:val="left"/>
      <w:pPr>
        <w:ind w:left="1287" w:hanging="360"/>
      </w:pPr>
      <w:rPr>
        <w:rFonts w:hint="default"/>
      </w:r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34" w15:restartNumberingAfterBreak="0">
    <w:nsid w:val="65D441B4"/>
    <w:multiLevelType w:val="hybridMultilevel"/>
    <w:tmpl w:val="7C10E144"/>
    <w:lvl w:ilvl="0" w:tplc="2DEE47E4">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35" w15:restartNumberingAfterBreak="0">
    <w:nsid w:val="68B70991"/>
    <w:multiLevelType w:val="hybridMultilevel"/>
    <w:tmpl w:val="E0944F9E"/>
    <w:lvl w:ilvl="0" w:tplc="CCE032EE">
      <w:start w:val="1"/>
      <w:numFmt w:val="decimal"/>
      <w:pStyle w:val="Para10"/>
      <w:lvlText w:val="%1."/>
      <w:lvlJc w:val="left"/>
      <w:pPr>
        <w:ind w:left="927" w:hanging="360"/>
      </w:pPr>
      <w:rPr>
        <w:rFonts w:hint="default"/>
        <w:i w:val="0"/>
        <w:iCs w:val="0"/>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36" w15:restartNumberingAfterBreak="0">
    <w:nsid w:val="6EE23244"/>
    <w:multiLevelType w:val="multilevel"/>
    <w:tmpl w:val="B2202624"/>
    <w:lvl w:ilvl="0">
      <w:start w:val="1"/>
      <w:numFmt w:val="decimal"/>
      <w:lvlText w:val="%1."/>
      <w:lvlJc w:val="left"/>
      <w:pPr>
        <w:tabs>
          <w:tab w:val="num" w:pos="644"/>
        </w:tabs>
        <w:ind w:left="284" w:firstLine="0"/>
      </w:pPr>
      <w:rPr>
        <w:rFonts w:ascii="Times New Roman" w:hAnsi="Times New Roman" w:cs="Times New Roman" w:hint="default"/>
        <w:b w:val="0"/>
        <w:i w:val="0"/>
        <w:sz w:val="22"/>
        <w:lang w:val="en-GB"/>
      </w:rPr>
    </w:lvl>
    <w:lvl w:ilvl="1">
      <w:start w:val="1"/>
      <w:numFmt w:val="lowerLetter"/>
      <w:lvlText w:val="(%2)"/>
      <w:lvlJc w:val="left"/>
      <w:pPr>
        <w:tabs>
          <w:tab w:val="num" w:pos="1570"/>
        </w:tabs>
        <w:ind w:left="490" w:firstLine="720"/>
      </w:pPr>
      <w:rPr>
        <w:rFonts w:hint="default"/>
        <w:b w:val="0"/>
        <w:bCs/>
        <w:i w:val="0"/>
      </w:rPr>
    </w:lvl>
    <w:lvl w:ilvl="2">
      <w:start w:val="1"/>
      <w:numFmt w:val="lowerRoman"/>
      <w:lvlText w:val="(%3)"/>
      <w:lvlJc w:val="right"/>
      <w:pPr>
        <w:tabs>
          <w:tab w:val="num" w:pos="2591"/>
        </w:tabs>
        <w:ind w:left="2591" w:hanging="431"/>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7" w15:restartNumberingAfterBreak="0">
    <w:nsid w:val="712BFC43"/>
    <w:multiLevelType w:val="hybridMultilevel"/>
    <w:tmpl w:val="8BC446B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65F023BA">
      <w:start w:val="1"/>
      <w:numFmt w:val="lowerRoman"/>
      <w:lvlText w:val="%3."/>
      <w:lvlJc w:val="right"/>
      <w:pPr>
        <w:ind w:left="2160" w:hanging="180"/>
      </w:pPr>
    </w:lvl>
    <w:lvl w:ilvl="3" w:tplc="03FAD4FA">
      <w:start w:val="1"/>
      <w:numFmt w:val="decimal"/>
      <w:lvlText w:val="%4."/>
      <w:lvlJc w:val="left"/>
      <w:pPr>
        <w:ind w:left="2880" w:hanging="360"/>
      </w:pPr>
    </w:lvl>
    <w:lvl w:ilvl="4" w:tplc="0032C60A">
      <w:start w:val="1"/>
      <w:numFmt w:val="lowerLetter"/>
      <w:lvlText w:val="%5."/>
      <w:lvlJc w:val="left"/>
      <w:pPr>
        <w:ind w:left="3600" w:hanging="360"/>
      </w:pPr>
    </w:lvl>
    <w:lvl w:ilvl="5" w:tplc="171043F2">
      <w:start w:val="1"/>
      <w:numFmt w:val="lowerRoman"/>
      <w:lvlText w:val="%6."/>
      <w:lvlJc w:val="right"/>
      <w:pPr>
        <w:ind w:left="4320" w:hanging="180"/>
      </w:pPr>
    </w:lvl>
    <w:lvl w:ilvl="6" w:tplc="FA784FC2">
      <w:start w:val="1"/>
      <w:numFmt w:val="decimal"/>
      <w:lvlText w:val="%7."/>
      <w:lvlJc w:val="left"/>
      <w:pPr>
        <w:ind w:left="5040" w:hanging="360"/>
      </w:pPr>
    </w:lvl>
    <w:lvl w:ilvl="7" w:tplc="2384F258">
      <w:start w:val="1"/>
      <w:numFmt w:val="lowerLetter"/>
      <w:lvlText w:val="%8."/>
      <w:lvlJc w:val="left"/>
      <w:pPr>
        <w:ind w:left="5760" w:hanging="360"/>
      </w:pPr>
    </w:lvl>
    <w:lvl w:ilvl="8" w:tplc="BF00D72C">
      <w:start w:val="1"/>
      <w:numFmt w:val="lowerRoman"/>
      <w:lvlText w:val="%9."/>
      <w:lvlJc w:val="right"/>
      <w:pPr>
        <w:ind w:left="6480" w:hanging="180"/>
      </w:pPr>
    </w:lvl>
  </w:abstractNum>
  <w:abstractNum w:abstractNumId="38" w15:restartNumberingAfterBreak="0">
    <w:nsid w:val="72F3174F"/>
    <w:multiLevelType w:val="hybridMultilevel"/>
    <w:tmpl w:val="DF3EF552"/>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9" w15:restartNumberingAfterBreak="0">
    <w:nsid w:val="74F368B8"/>
    <w:multiLevelType w:val="hybridMultilevel"/>
    <w:tmpl w:val="CB8E8B36"/>
    <w:lvl w:ilvl="0" w:tplc="43B25192">
      <w:start w:val="1"/>
      <w:numFmt w:val="upperLetter"/>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40" w15:restartNumberingAfterBreak="0">
    <w:nsid w:val="7BFF494A"/>
    <w:multiLevelType w:val="hybridMultilevel"/>
    <w:tmpl w:val="B8C27F8A"/>
    <w:lvl w:ilvl="0" w:tplc="48DEED9E">
      <w:start w:val="1"/>
      <w:numFmt w:val="lowerRoman"/>
      <w:pStyle w:val="Para30"/>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050370327">
    <w:abstractNumId w:val="22"/>
  </w:num>
  <w:num w:numId="2" w16cid:durableId="2069499237">
    <w:abstractNumId w:val="35"/>
  </w:num>
  <w:num w:numId="3" w16cid:durableId="158270868">
    <w:abstractNumId w:val="39"/>
  </w:num>
  <w:num w:numId="4" w16cid:durableId="159275565">
    <w:abstractNumId w:val="6"/>
  </w:num>
  <w:num w:numId="5" w16cid:durableId="271714945">
    <w:abstractNumId w:val="7"/>
  </w:num>
  <w:num w:numId="6" w16cid:durableId="1351487209">
    <w:abstractNumId w:val="7"/>
  </w:num>
  <w:num w:numId="7" w16cid:durableId="1612737127">
    <w:abstractNumId w:val="10"/>
  </w:num>
  <w:num w:numId="8" w16cid:durableId="1334139419">
    <w:abstractNumId w:val="27"/>
  </w:num>
  <w:num w:numId="9" w16cid:durableId="935023265">
    <w:abstractNumId w:val="34"/>
  </w:num>
  <w:num w:numId="10" w16cid:durableId="268247158">
    <w:abstractNumId w:val="33"/>
  </w:num>
  <w:num w:numId="11" w16cid:durableId="143207059">
    <w:abstractNumId w:val="25"/>
  </w:num>
  <w:num w:numId="12" w16cid:durableId="445121453">
    <w:abstractNumId w:val="9"/>
  </w:num>
  <w:num w:numId="13" w16cid:durableId="1263953771">
    <w:abstractNumId w:val="9"/>
    <w:lvlOverride w:ilvl="0">
      <w:startOverride w:val="1"/>
    </w:lvlOverride>
  </w:num>
  <w:num w:numId="14" w16cid:durableId="199586161">
    <w:abstractNumId w:val="30"/>
  </w:num>
  <w:num w:numId="15" w16cid:durableId="584072443">
    <w:abstractNumId w:val="30"/>
    <w:lvlOverride w:ilvl="0">
      <w:startOverride w:val="1"/>
    </w:lvlOverride>
  </w:num>
  <w:num w:numId="16" w16cid:durableId="1638680439">
    <w:abstractNumId w:val="35"/>
    <w:lvlOverride w:ilvl="0">
      <w:startOverride w:val="1"/>
    </w:lvlOverride>
  </w:num>
  <w:num w:numId="17" w16cid:durableId="1376001245">
    <w:abstractNumId w:val="30"/>
    <w:lvlOverride w:ilvl="0">
      <w:startOverride w:val="1"/>
    </w:lvlOverride>
  </w:num>
  <w:num w:numId="18" w16cid:durableId="1480611021">
    <w:abstractNumId w:val="40"/>
  </w:num>
  <w:num w:numId="19" w16cid:durableId="1967006738">
    <w:abstractNumId w:val="35"/>
    <w:lvlOverride w:ilvl="0">
      <w:startOverride w:val="1"/>
    </w:lvlOverride>
  </w:num>
  <w:num w:numId="20" w16cid:durableId="323556548">
    <w:abstractNumId w:val="35"/>
    <w:lvlOverride w:ilvl="0">
      <w:startOverride w:val="1"/>
    </w:lvlOverride>
  </w:num>
  <w:num w:numId="21" w16cid:durableId="208959761">
    <w:abstractNumId w:val="36"/>
  </w:num>
  <w:num w:numId="22" w16cid:durableId="327681417">
    <w:abstractNumId w:val="24"/>
  </w:num>
  <w:num w:numId="23" w16cid:durableId="1316252867">
    <w:abstractNumId w:val="31"/>
  </w:num>
  <w:num w:numId="24" w16cid:durableId="682510713">
    <w:abstractNumId w:val="24"/>
  </w:num>
  <w:num w:numId="25" w16cid:durableId="1048724061">
    <w:abstractNumId w:val="18"/>
  </w:num>
  <w:num w:numId="26" w16cid:durableId="856507212">
    <w:abstractNumId w:val="0"/>
  </w:num>
  <w:num w:numId="27" w16cid:durableId="1282803986">
    <w:abstractNumId w:val="32"/>
  </w:num>
  <w:num w:numId="28" w16cid:durableId="248544389">
    <w:abstractNumId w:val="16"/>
  </w:num>
  <w:num w:numId="29" w16cid:durableId="1708410782">
    <w:abstractNumId w:val="6"/>
  </w:num>
  <w:num w:numId="30" w16cid:durableId="1022436419">
    <w:abstractNumId w:val="21"/>
  </w:num>
  <w:num w:numId="31" w16cid:durableId="2036344320">
    <w:abstractNumId w:val="8"/>
  </w:num>
  <w:num w:numId="32" w16cid:durableId="161512503">
    <w:abstractNumId w:val="6"/>
  </w:num>
  <w:num w:numId="33" w16cid:durableId="1376810441">
    <w:abstractNumId w:val="6"/>
  </w:num>
  <w:num w:numId="34" w16cid:durableId="365103105">
    <w:abstractNumId w:val="15"/>
  </w:num>
  <w:num w:numId="35" w16cid:durableId="351036363">
    <w:abstractNumId w:val="19"/>
  </w:num>
  <w:num w:numId="36" w16cid:durableId="1079670669">
    <w:abstractNumId w:val="4"/>
  </w:num>
  <w:num w:numId="37" w16cid:durableId="689337600">
    <w:abstractNumId w:val="3"/>
  </w:num>
  <w:num w:numId="38" w16cid:durableId="1276863742">
    <w:abstractNumId w:val="1"/>
  </w:num>
  <w:num w:numId="39" w16cid:durableId="637539387">
    <w:abstractNumId w:val="26"/>
  </w:num>
  <w:num w:numId="40" w16cid:durableId="1052772089">
    <w:abstractNumId w:val="2"/>
  </w:num>
  <w:num w:numId="41" w16cid:durableId="643051283">
    <w:abstractNumId w:val="13"/>
  </w:num>
  <w:num w:numId="42" w16cid:durableId="685403204">
    <w:abstractNumId w:val="37"/>
  </w:num>
  <w:num w:numId="43" w16cid:durableId="741368658">
    <w:abstractNumId w:val="23"/>
  </w:num>
  <w:num w:numId="44" w16cid:durableId="469901757">
    <w:abstractNumId w:val="17"/>
  </w:num>
  <w:num w:numId="45" w16cid:durableId="405155707">
    <w:abstractNumId w:val="11"/>
  </w:num>
  <w:num w:numId="46" w16cid:durableId="992104403">
    <w:abstractNumId w:val="12"/>
  </w:num>
  <w:num w:numId="47" w16cid:durableId="640695584">
    <w:abstractNumId w:val="29"/>
  </w:num>
  <w:num w:numId="48" w16cid:durableId="1291089093">
    <w:abstractNumId w:val="38"/>
  </w:num>
  <w:num w:numId="49" w16cid:durableId="648635800">
    <w:abstractNumId w:val="5"/>
  </w:num>
  <w:num w:numId="50" w16cid:durableId="183446217">
    <w:abstractNumId w:val="24"/>
    <w:lvlOverride w:ilvl="0">
      <w:startOverride w:val="1"/>
    </w:lvlOverride>
    <w:lvlOverride w:ilvl="1">
      <w:startOverride w:val="3"/>
    </w:lvlOverride>
  </w:num>
  <w:num w:numId="51" w16cid:durableId="15075546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531502565">
    <w:abstractNumId w:val="6"/>
  </w:num>
  <w:num w:numId="53" w16cid:durableId="188763669">
    <w:abstractNumId w:val="6"/>
  </w:num>
  <w:num w:numId="54" w16cid:durableId="1381244504">
    <w:abstractNumId w:val="6"/>
  </w:num>
  <w:num w:numId="55" w16cid:durableId="1622102578">
    <w:abstractNumId w:val="6"/>
  </w:num>
  <w:num w:numId="56" w16cid:durableId="1134253839">
    <w:abstractNumId w:val="6"/>
  </w:num>
  <w:num w:numId="57" w16cid:durableId="553341">
    <w:abstractNumId w:val="6"/>
  </w:num>
  <w:num w:numId="58" w16cid:durableId="1465924819">
    <w:abstractNumId w:val="6"/>
  </w:num>
  <w:num w:numId="59" w16cid:durableId="1083642861">
    <w:abstractNumId w:val="6"/>
  </w:num>
  <w:num w:numId="60" w16cid:durableId="1046218234">
    <w:abstractNumId w:val="6"/>
  </w:num>
  <w:num w:numId="61" w16cid:durableId="1917668847">
    <w:abstractNumId w:val="6"/>
  </w:num>
  <w:num w:numId="62" w16cid:durableId="1553929330">
    <w:abstractNumId w:val="6"/>
  </w:num>
  <w:num w:numId="63" w16cid:durableId="889002824">
    <w:abstractNumId w:val="6"/>
  </w:num>
  <w:num w:numId="64" w16cid:durableId="1187209822">
    <w:abstractNumId w:val="6"/>
  </w:num>
  <w:num w:numId="65" w16cid:durableId="1802654284">
    <w:abstractNumId w:val="6"/>
  </w:num>
  <w:num w:numId="66" w16cid:durableId="100829215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694309291">
    <w:abstractNumId w:val="14"/>
  </w:num>
  <w:num w:numId="68" w16cid:durableId="847446943">
    <w:abstractNumId w:val="28"/>
  </w:num>
  <w:num w:numId="69" w16cid:durableId="1028337528">
    <w:abstractNumId w:val="20"/>
  </w:num>
  <w:num w:numId="70" w16cid:durableId="67839277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6030644">
    <w:abstractNumId w:val="35"/>
    <w:lvlOverride w:ilvl="0">
      <w:startOverride w:val="1"/>
    </w:lvlOverride>
  </w:num>
  <w:num w:numId="72" w16cid:durableId="709913817">
    <w:abstractNumId w:val="35"/>
    <w:lvlOverride w:ilvl="0">
      <w:startOverride w:val="1"/>
    </w:lvlOverride>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223"/>
    <w:rsid w:val="00000733"/>
    <w:rsid w:val="0000152E"/>
    <w:rsid w:val="000058E2"/>
    <w:rsid w:val="000070E9"/>
    <w:rsid w:val="0001027C"/>
    <w:rsid w:val="000116F5"/>
    <w:rsid w:val="000133FC"/>
    <w:rsid w:val="0001374E"/>
    <w:rsid w:val="00015731"/>
    <w:rsid w:val="000168D4"/>
    <w:rsid w:val="000201BC"/>
    <w:rsid w:val="000224B6"/>
    <w:rsid w:val="00025E5A"/>
    <w:rsid w:val="00026890"/>
    <w:rsid w:val="00031742"/>
    <w:rsid w:val="00033064"/>
    <w:rsid w:val="00040598"/>
    <w:rsid w:val="000423AD"/>
    <w:rsid w:val="00042FF0"/>
    <w:rsid w:val="00045CFA"/>
    <w:rsid w:val="00047EB6"/>
    <w:rsid w:val="0005402E"/>
    <w:rsid w:val="0005592D"/>
    <w:rsid w:val="000604FE"/>
    <w:rsid w:val="000606B3"/>
    <w:rsid w:val="00061CA7"/>
    <w:rsid w:val="00062A56"/>
    <w:rsid w:val="00063EAB"/>
    <w:rsid w:val="00064FD0"/>
    <w:rsid w:val="00065E05"/>
    <w:rsid w:val="00066F69"/>
    <w:rsid w:val="00070D53"/>
    <w:rsid w:val="0007281A"/>
    <w:rsid w:val="00072E79"/>
    <w:rsid w:val="00073D2A"/>
    <w:rsid w:val="00074A74"/>
    <w:rsid w:val="00074BA4"/>
    <w:rsid w:val="00074BD9"/>
    <w:rsid w:val="0007551F"/>
    <w:rsid w:val="00076279"/>
    <w:rsid w:val="000777B1"/>
    <w:rsid w:val="00077978"/>
    <w:rsid w:val="00080503"/>
    <w:rsid w:val="000819FC"/>
    <w:rsid w:val="00085519"/>
    <w:rsid w:val="00085F79"/>
    <w:rsid w:val="000879FA"/>
    <w:rsid w:val="00090420"/>
    <w:rsid w:val="00090561"/>
    <w:rsid w:val="00093200"/>
    <w:rsid w:val="00094108"/>
    <w:rsid w:val="00095CF2"/>
    <w:rsid w:val="00095FBC"/>
    <w:rsid w:val="0009612B"/>
    <w:rsid w:val="00096992"/>
    <w:rsid w:val="000969D6"/>
    <w:rsid w:val="000969FD"/>
    <w:rsid w:val="0009794B"/>
    <w:rsid w:val="00097A50"/>
    <w:rsid w:val="000A196A"/>
    <w:rsid w:val="000A1ED0"/>
    <w:rsid w:val="000A2E8C"/>
    <w:rsid w:val="000A4F3F"/>
    <w:rsid w:val="000A51A0"/>
    <w:rsid w:val="000A51B0"/>
    <w:rsid w:val="000A5450"/>
    <w:rsid w:val="000A5897"/>
    <w:rsid w:val="000A6040"/>
    <w:rsid w:val="000B0840"/>
    <w:rsid w:val="000B135B"/>
    <w:rsid w:val="000B2CEB"/>
    <w:rsid w:val="000B5F01"/>
    <w:rsid w:val="000B638A"/>
    <w:rsid w:val="000B7BE8"/>
    <w:rsid w:val="000C1DE9"/>
    <w:rsid w:val="000C25B3"/>
    <w:rsid w:val="000C32D2"/>
    <w:rsid w:val="000C53DE"/>
    <w:rsid w:val="000C73D5"/>
    <w:rsid w:val="000D1CBE"/>
    <w:rsid w:val="000D4266"/>
    <w:rsid w:val="000D449D"/>
    <w:rsid w:val="000D7439"/>
    <w:rsid w:val="000E1C69"/>
    <w:rsid w:val="000E42B8"/>
    <w:rsid w:val="000E451A"/>
    <w:rsid w:val="000E61CF"/>
    <w:rsid w:val="000F0F94"/>
    <w:rsid w:val="000F3B69"/>
    <w:rsid w:val="000F45FA"/>
    <w:rsid w:val="000F5F06"/>
    <w:rsid w:val="000F7A8C"/>
    <w:rsid w:val="00101633"/>
    <w:rsid w:val="0010188F"/>
    <w:rsid w:val="00101E4F"/>
    <w:rsid w:val="00102F71"/>
    <w:rsid w:val="001035C1"/>
    <w:rsid w:val="0010645E"/>
    <w:rsid w:val="0010660D"/>
    <w:rsid w:val="00111C26"/>
    <w:rsid w:val="00112006"/>
    <w:rsid w:val="00114B97"/>
    <w:rsid w:val="0011524A"/>
    <w:rsid w:val="00115B76"/>
    <w:rsid w:val="00117D6B"/>
    <w:rsid w:val="00117F96"/>
    <w:rsid w:val="0012182B"/>
    <w:rsid w:val="0012342A"/>
    <w:rsid w:val="00124FE6"/>
    <w:rsid w:val="00125500"/>
    <w:rsid w:val="00132581"/>
    <w:rsid w:val="0013441D"/>
    <w:rsid w:val="0013578F"/>
    <w:rsid w:val="00140FD2"/>
    <w:rsid w:val="0014296E"/>
    <w:rsid w:val="00142D0A"/>
    <w:rsid w:val="001446EE"/>
    <w:rsid w:val="001459C3"/>
    <w:rsid w:val="00150F55"/>
    <w:rsid w:val="00151C0F"/>
    <w:rsid w:val="0015349B"/>
    <w:rsid w:val="00155742"/>
    <w:rsid w:val="00155AB7"/>
    <w:rsid w:val="001567A9"/>
    <w:rsid w:val="00160CCC"/>
    <w:rsid w:val="001620DF"/>
    <w:rsid w:val="0016464E"/>
    <w:rsid w:val="00164FCF"/>
    <w:rsid w:val="0016524D"/>
    <w:rsid w:val="00166314"/>
    <w:rsid w:val="00167463"/>
    <w:rsid w:val="00167B49"/>
    <w:rsid w:val="001732D7"/>
    <w:rsid w:val="00173A64"/>
    <w:rsid w:val="00173F6A"/>
    <w:rsid w:val="00174BE5"/>
    <w:rsid w:val="00175D71"/>
    <w:rsid w:val="00176693"/>
    <w:rsid w:val="00176713"/>
    <w:rsid w:val="00182B51"/>
    <w:rsid w:val="00184647"/>
    <w:rsid w:val="001846EA"/>
    <w:rsid w:val="00184909"/>
    <w:rsid w:val="00186F6A"/>
    <w:rsid w:val="00190975"/>
    <w:rsid w:val="001921D0"/>
    <w:rsid w:val="00192C06"/>
    <w:rsid w:val="00193836"/>
    <w:rsid w:val="00193DCC"/>
    <w:rsid w:val="00194CAB"/>
    <w:rsid w:val="00194D95"/>
    <w:rsid w:val="0019528F"/>
    <w:rsid w:val="001959FF"/>
    <w:rsid w:val="001A6F5E"/>
    <w:rsid w:val="001A7981"/>
    <w:rsid w:val="001A79A3"/>
    <w:rsid w:val="001B1E90"/>
    <w:rsid w:val="001B22D7"/>
    <w:rsid w:val="001B5DE5"/>
    <w:rsid w:val="001C4D48"/>
    <w:rsid w:val="001C50E9"/>
    <w:rsid w:val="001C51D3"/>
    <w:rsid w:val="001C5244"/>
    <w:rsid w:val="001C7749"/>
    <w:rsid w:val="001C7F00"/>
    <w:rsid w:val="001D2873"/>
    <w:rsid w:val="001D2FC5"/>
    <w:rsid w:val="001D44E5"/>
    <w:rsid w:val="001D53F0"/>
    <w:rsid w:val="001D62C1"/>
    <w:rsid w:val="001E0CD5"/>
    <w:rsid w:val="001E1084"/>
    <w:rsid w:val="001E2CC8"/>
    <w:rsid w:val="001E3181"/>
    <w:rsid w:val="001E326E"/>
    <w:rsid w:val="001E3BD5"/>
    <w:rsid w:val="001E5D64"/>
    <w:rsid w:val="001E6504"/>
    <w:rsid w:val="001E7FC0"/>
    <w:rsid w:val="001F0B87"/>
    <w:rsid w:val="001F15B8"/>
    <w:rsid w:val="001F1860"/>
    <w:rsid w:val="001F2401"/>
    <w:rsid w:val="001F2856"/>
    <w:rsid w:val="001F2962"/>
    <w:rsid w:val="001F2CE1"/>
    <w:rsid w:val="001F6897"/>
    <w:rsid w:val="0020118A"/>
    <w:rsid w:val="0020167C"/>
    <w:rsid w:val="00202CF8"/>
    <w:rsid w:val="00204F9F"/>
    <w:rsid w:val="002078E9"/>
    <w:rsid w:val="00210609"/>
    <w:rsid w:val="00215F86"/>
    <w:rsid w:val="00220062"/>
    <w:rsid w:val="002217FC"/>
    <w:rsid w:val="0022556D"/>
    <w:rsid w:val="00226FFB"/>
    <w:rsid w:val="0023191D"/>
    <w:rsid w:val="00235442"/>
    <w:rsid w:val="002360E5"/>
    <w:rsid w:val="00240632"/>
    <w:rsid w:val="00241EBD"/>
    <w:rsid w:val="00243242"/>
    <w:rsid w:val="00243CA6"/>
    <w:rsid w:val="00243DC0"/>
    <w:rsid w:val="00244392"/>
    <w:rsid w:val="002464B3"/>
    <w:rsid w:val="00246BE0"/>
    <w:rsid w:val="0025089D"/>
    <w:rsid w:val="00252748"/>
    <w:rsid w:val="002528E5"/>
    <w:rsid w:val="00252AB0"/>
    <w:rsid w:val="00253B4D"/>
    <w:rsid w:val="002559B3"/>
    <w:rsid w:val="00261778"/>
    <w:rsid w:val="002617E7"/>
    <w:rsid w:val="00261EF3"/>
    <w:rsid w:val="0026229A"/>
    <w:rsid w:val="00262731"/>
    <w:rsid w:val="00262767"/>
    <w:rsid w:val="0026778B"/>
    <w:rsid w:val="0027010A"/>
    <w:rsid w:val="0027057A"/>
    <w:rsid w:val="00273978"/>
    <w:rsid w:val="00274411"/>
    <w:rsid w:val="00274B80"/>
    <w:rsid w:val="00277CC6"/>
    <w:rsid w:val="00281CCF"/>
    <w:rsid w:val="00284E9C"/>
    <w:rsid w:val="00285403"/>
    <w:rsid w:val="00285A4A"/>
    <w:rsid w:val="0029220A"/>
    <w:rsid w:val="002922FE"/>
    <w:rsid w:val="00296649"/>
    <w:rsid w:val="002A1A36"/>
    <w:rsid w:val="002A3127"/>
    <w:rsid w:val="002A6286"/>
    <w:rsid w:val="002B00CA"/>
    <w:rsid w:val="002B0E30"/>
    <w:rsid w:val="002B0FC8"/>
    <w:rsid w:val="002B1870"/>
    <w:rsid w:val="002B38C5"/>
    <w:rsid w:val="002B41CE"/>
    <w:rsid w:val="002B487B"/>
    <w:rsid w:val="002B4897"/>
    <w:rsid w:val="002B50FE"/>
    <w:rsid w:val="002B53EA"/>
    <w:rsid w:val="002B559C"/>
    <w:rsid w:val="002C2F6E"/>
    <w:rsid w:val="002C41BE"/>
    <w:rsid w:val="002C61A9"/>
    <w:rsid w:val="002C7200"/>
    <w:rsid w:val="002D6933"/>
    <w:rsid w:val="002D7524"/>
    <w:rsid w:val="002D7DB9"/>
    <w:rsid w:val="002E0479"/>
    <w:rsid w:val="002E0939"/>
    <w:rsid w:val="002E1B37"/>
    <w:rsid w:val="002E1EBF"/>
    <w:rsid w:val="002E5312"/>
    <w:rsid w:val="002E6523"/>
    <w:rsid w:val="002E74EF"/>
    <w:rsid w:val="002E765C"/>
    <w:rsid w:val="002E7FEE"/>
    <w:rsid w:val="002F34C4"/>
    <w:rsid w:val="002F3FF5"/>
    <w:rsid w:val="002F71FA"/>
    <w:rsid w:val="00301CD6"/>
    <w:rsid w:val="00301F79"/>
    <w:rsid w:val="003030EF"/>
    <w:rsid w:val="0030392B"/>
    <w:rsid w:val="00304505"/>
    <w:rsid w:val="00306E98"/>
    <w:rsid w:val="00307754"/>
    <w:rsid w:val="0031031A"/>
    <w:rsid w:val="00310608"/>
    <w:rsid w:val="0031128B"/>
    <w:rsid w:val="003119FF"/>
    <w:rsid w:val="00311DF0"/>
    <w:rsid w:val="00311E3D"/>
    <w:rsid w:val="00312783"/>
    <w:rsid w:val="00312CA8"/>
    <w:rsid w:val="003170D7"/>
    <w:rsid w:val="00317873"/>
    <w:rsid w:val="00317E4B"/>
    <w:rsid w:val="003216A7"/>
    <w:rsid w:val="00322D22"/>
    <w:rsid w:val="003232D5"/>
    <w:rsid w:val="00323F22"/>
    <w:rsid w:val="00324875"/>
    <w:rsid w:val="003251E1"/>
    <w:rsid w:val="0032561B"/>
    <w:rsid w:val="00325CE7"/>
    <w:rsid w:val="00327077"/>
    <w:rsid w:val="00330270"/>
    <w:rsid w:val="0033046D"/>
    <w:rsid w:val="003309D8"/>
    <w:rsid w:val="00331294"/>
    <w:rsid w:val="003379FC"/>
    <w:rsid w:val="00343581"/>
    <w:rsid w:val="00343928"/>
    <w:rsid w:val="0034473E"/>
    <w:rsid w:val="003476A9"/>
    <w:rsid w:val="00352B45"/>
    <w:rsid w:val="00354122"/>
    <w:rsid w:val="003543AC"/>
    <w:rsid w:val="00356B12"/>
    <w:rsid w:val="00357AD5"/>
    <w:rsid w:val="003618C3"/>
    <w:rsid w:val="003635A9"/>
    <w:rsid w:val="003645F9"/>
    <w:rsid w:val="0036529D"/>
    <w:rsid w:val="00366C65"/>
    <w:rsid w:val="003679D0"/>
    <w:rsid w:val="00370EF9"/>
    <w:rsid w:val="003712A4"/>
    <w:rsid w:val="00371633"/>
    <w:rsid w:val="003723E4"/>
    <w:rsid w:val="00372C6F"/>
    <w:rsid w:val="00374E9F"/>
    <w:rsid w:val="00376D92"/>
    <w:rsid w:val="003810CD"/>
    <w:rsid w:val="00381B07"/>
    <w:rsid w:val="003825E6"/>
    <w:rsid w:val="0038292C"/>
    <w:rsid w:val="00383B6A"/>
    <w:rsid w:val="00384B3D"/>
    <w:rsid w:val="00384FA8"/>
    <w:rsid w:val="00386B39"/>
    <w:rsid w:val="00387CE4"/>
    <w:rsid w:val="00390B1A"/>
    <w:rsid w:val="003913D6"/>
    <w:rsid w:val="00392807"/>
    <w:rsid w:val="00393554"/>
    <w:rsid w:val="00393BF4"/>
    <w:rsid w:val="00394F51"/>
    <w:rsid w:val="00396639"/>
    <w:rsid w:val="003A2AB9"/>
    <w:rsid w:val="003A3E7D"/>
    <w:rsid w:val="003A69F7"/>
    <w:rsid w:val="003B3D09"/>
    <w:rsid w:val="003B6D84"/>
    <w:rsid w:val="003B6FFC"/>
    <w:rsid w:val="003B7558"/>
    <w:rsid w:val="003B7E0C"/>
    <w:rsid w:val="003B7F51"/>
    <w:rsid w:val="003C2475"/>
    <w:rsid w:val="003C5672"/>
    <w:rsid w:val="003C6F10"/>
    <w:rsid w:val="003C781F"/>
    <w:rsid w:val="003C7F7B"/>
    <w:rsid w:val="003D0135"/>
    <w:rsid w:val="003D0F7A"/>
    <w:rsid w:val="003D3277"/>
    <w:rsid w:val="003D3D4A"/>
    <w:rsid w:val="003D4CFC"/>
    <w:rsid w:val="003D4D82"/>
    <w:rsid w:val="003D5179"/>
    <w:rsid w:val="003D5422"/>
    <w:rsid w:val="003E0095"/>
    <w:rsid w:val="003E34E1"/>
    <w:rsid w:val="003E48DC"/>
    <w:rsid w:val="003F005E"/>
    <w:rsid w:val="003F0131"/>
    <w:rsid w:val="003F22BB"/>
    <w:rsid w:val="003F2CB5"/>
    <w:rsid w:val="003F3675"/>
    <w:rsid w:val="003F5FC7"/>
    <w:rsid w:val="003F7355"/>
    <w:rsid w:val="004008C7"/>
    <w:rsid w:val="0040296A"/>
    <w:rsid w:val="00402DC5"/>
    <w:rsid w:val="00403A5E"/>
    <w:rsid w:val="0040433F"/>
    <w:rsid w:val="00406CB1"/>
    <w:rsid w:val="00407581"/>
    <w:rsid w:val="00407BF2"/>
    <w:rsid w:val="00410DAC"/>
    <w:rsid w:val="00412942"/>
    <w:rsid w:val="004138EB"/>
    <w:rsid w:val="004149D0"/>
    <w:rsid w:val="0042168B"/>
    <w:rsid w:val="00422734"/>
    <w:rsid w:val="00423747"/>
    <w:rsid w:val="00423F3F"/>
    <w:rsid w:val="00431BEA"/>
    <w:rsid w:val="00431F6E"/>
    <w:rsid w:val="00433C44"/>
    <w:rsid w:val="0043465B"/>
    <w:rsid w:val="00434E4D"/>
    <w:rsid w:val="00436249"/>
    <w:rsid w:val="004409C8"/>
    <w:rsid w:val="00440CCF"/>
    <w:rsid w:val="004449EA"/>
    <w:rsid w:val="004450FD"/>
    <w:rsid w:val="004456BE"/>
    <w:rsid w:val="00450E58"/>
    <w:rsid w:val="004510B3"/>
    <w:rsid w:val="00453A72"/>
    <w:rsid w:val="00453AC2"/>
    <w:rsid w:val="00454C27"/>
    <w:rsid w:val="00456E56"/>
    <w:rsid w:val="00460AD4"/>
    <w:rsid w:val="00463198"/>
    <w:rsid w:val="00467696"/>
    <w:rsid w:val="004701EE"/>
    <w:rsid w:val="00471AF3"/>
    <w:rsid w:val="00472131"/>
    <w:rsid w:val="00475761"/>
    <w:rsid w:val="00483DD8"/>
    <w:rsid w:val="00484998"/>
    <w:rsid w:val="00485C77"/>
    <w:rsid w:val="00485C78"/>
    <w:rsid w:val="00490A3E"/>
    <w:rsid w:val="004938BE"/>
    <w:rsid w:val="004973A8"/>
    <w:rsid w:val="004A2A2D"/>
    <w:rsid w:val="004A36CF"/>
    <w:rsid w:val="004A3A35"/>
    <w:rsid w:val="004A7A38"/>
    <w:rsid w:val="004B0D19"/>
    <w:rsid w:val="004B48EB"/>
    <w:rsid w:val="004B52DF"/>
    <w:rsid w:val="004B5B18"/>
    <w:rsid w:val="004B5ED2"/>
    <w:rsid w:val="004C02BD"/>
    <w:rsid w:val="004C718E"/>
    <w:rsid w:val="004D4982"/>
    <w:rsid w:val="004F1296"/>
    <w:rsid w:val="004F1A4F"/>
    <w:rsid w:val="004F220F"/>
    <w:rsid w:val="004F26F6"/>
    <w:rsid w:val="004F29F2"/>
    <w:rsid w:val="004F2AA1"/>
    <w:rsid w:val="004F2E35"/>
    <w:rsid w:val="004F4608"/>
    <w:rsid w:val="004F7161"/>
    <w:rsid w:val="0050057E"/>
    <w:rsid w:val="00504AC0"/>
    <w:rsid w:val="00507B3D"/>
    <w:rsid w:val="00510FA0"/>
    <w:rsid w:val="00512ADB"/>
    <w:rsid w:val="005143DA"/>
    <w:rsid w:val="00515E4C"/>
    <w:rsid w:val="005172FE"/>
    <w:rsid w:val="00517487"/>
    <w:rsid w:val="00520289"/>
    <w:rsid w:val="00520790"/>
    <w:rsid w:val="00520A22"/>
    <w:rsid w:val="0052325E"/>
    <w:rsid w:val="005243AA"/>
    <w:rsid w:val="00524876"/>
    <w:rsid w:val="005253DC"/>
    <w:rsid w:val="005257C9"/>
    <w:rsid w:val="00526DDF"/>
    <w:rsid w:val="005275FC"/>
    <w:rsid w:val="005307E3"/>
    <w:rsid w:val="00530D94"/>
    <w:rsid w:val="005313D3"/>
    <w:rsid w:val="00532346"/>
    <w:rsid w:val="00533CA6"/>
    <w:rsid w:val="00534954"/>
    <w:rsid w:val="00535F51"/>
    <w:rsid w:val="0053659E"/>
    <w:rsid w:val="00536EED"/>
    <w:rsid w:val="00537248"/>
    <w:rsid w:val="00540379"/>
    <w:rsid w:val="00540579"/>
    <w:rsid w:val="0054202B"/>
    <w:rsid w:val="00542817"/>
    <w:rsid w:val="005434D1"/>
    <w:rsid w:val="00543683"/>
    <w:rsid w:val="00544481"/>
    <w:rsid w:val="00545150"/>
    <w:rsid w:val="00546E92"/>
    <w:rsid w:val="00547A04"/>
    <w:rsid w:val="00547FF2"/>
    <w:rsid w:val="005525E3"/>
    <w:rsid w:val="0055290D"/>
    <w:rsid w:val="00553188"/>
    <w:rsid w:val="00553CF4"/>
    <w:rsid w:val="0055593F"/>
    <w:rsid w:val="00564596"/>
    <w:rsid w:val="0056530E"/>
    <w:rsid w:val="00566C25"/>
    <w:rsid w:val="00570E19"/>
    <w:rsid w:val="00571563"/>
    <w:rsid w:val="00571930"/>
    <w:rsid w:val="00571AC4"/>
    <w:rsid w:val="00573ED8"/>
    <w:rsid w:val="00574690"/>
    <w:rsid w:val="005749F0"/>
    <w:rsid w:val="00574BD4"/>
    <w:rsid w:val="00574C9E"/>
    <w:rsid w:val="00575A58"/>
    <w:rsid w:val="005765FC"/>
    <w:rsid w:val="00577E7E"/>
    <w:rsid w:val="00580080"/>
    <w:rsid w:val="0058058B"/>
    <w:rsid w:val="00581E4D"/>
    <w:rsid w:val="00585CE5"/>
    <w:rsid w:val="005925ED"/>
    <w:rsid w:val="005941A1"/>
    <w:rsid w:val="0059604B"/>
    <w:rsid w:val="005A206E"/>
    <w:rsid w:val="005A52F4"/>
    <w:rsid w:val="005A5757"/>
    <w:rsid w:val="005A7646"/>
    <w:rsid w:val="005A7859"/>
    <w:rsid w:val="005B2759"/>
    <w:rsid w:val="005C0162"/>
    <w:rsid w:val="005C086A"/>
    <w:rsid w:val="005C0E39"/>
    <w:rsid w:val="005C1B63"/>
    <w:rsid w:val="005C271E"/>
    <w:rsid w:val="005C4D37"/>
    <w:rsid w:val="005C6228"/>
    <w:rsid w:val="005C798E"/>
    <w:rsid w:val="005D05F7"/>
    <w:rsid w:val="005D0FB1"/>
    <w:rsid w:val="005D2368"/>
    <w:rsid w:val="005D290F"/>
    <w:rsid w:val="005D5DFE"/>
    <w:rsid w:val="005D6AF4"/>
    <w:rsid w:val="005D6C31"/>
    <w:rsid w:val="005D7222"/>
    <w:rsid w:val="005E000B"/>
    <w:rsid w:val="005E0815"/>
    <w:rsid w:val="005E17AC"/>
    <w:rsid w:val="005E2605"/>
    <w:rsid w:val="005E2E42"/>
    <w:rsid w:val="005E3B0A"/>
    <w:rsid w:val="005E3EBF"/>
    <w:rsid w:val="005E5516"/>
    <w:rsid w:val="005E5904"/>
    <w:rsid w:val="005E7427"/>
    <w:rsid w:val="005E7E67"/>
    <w:rsid w:val="005F0033"/>
    <w:rsid w:val="005F0325"/>
    <w:rsid w:val="005F297B"/>
    <w:rsid w:val="005F34CC"/>
    <w:rsid w:val="005F3B0F"/>
    <w:rsid w:val="005F7B3D"/>
    <w:rsid w:val="00603678"/>
    <w:rsid w:val="00603D00"/>
    <w:rsid w:val="0060451E"/>
    <w:rsid w:val="006066FF"/>
    <w:rsid w:val="006076E6"/>
    <w:rsid w:val="00610CDC"/>
    <w:rsid w:val="00610F11"/>
    <w:rsid w:val="00611025"/>
    <w:rsid w:val="00612CC0"/>
    <w:rsid w:val="00614C01"/>
    <w:rsid w:val="00620EE9"/>
    <w:rsid w:val="006222B0"/>
    <w:rsid w:val="00624F57"/>
    <w:rsid w:val="00632A60"/>
    <w:rsid w:val="006347A5"/>
    <w:rsid w:val="006355DD"/>
    <w:rsid w:val="006363BD"/>
    <w:rsid w:val="00637BC7"/>
    <w:rsid w:val="0064190D"/>
    <w:rsid w:val="00642B05"/>
    <w:rsid w:val="006443E5"/>
    <w:rsid w:val="00644857"/>
    <w:rsid w:val="00644D0A"/>
    <w:rsid w:val="006450C5"/>
    <w:rsid w:val="00647AB8"/>
    <w:rsid w:val="006507FC"/>
    <w:rsid w:val="0065105A"/>
    <w:rsid w:val="00651E84"/>
    <w:rsid w:val="00653509"/>
    <w:rsid w:val="0065549C"/>
    <w:rsid w:val="00656BE4"/>
    <w:rsid w:val="00657ED6"/>
    <w:rsid w:val="00660A9B"/>
    <w:rsid w:val="006618B6"/>
    <w:rsid w:val="006622C9"/>
    <w:rsid w:val="00662BA0"/>
    <w:rsid w:val="00666060"/>
    <w:rsid w:val="00666A22"/>
    <w:rsid w:val="0067057E"/>
    <w:rsid w:val="00670D3F"/>
    <w:rsid w:val="00671458"/>
    <w:rsid w:val="00671843"/>
    <w:rsid w:val="00672D9E"/>
    <w:rsid w:val="006732EC"/>
    <w:rsid w:val="00681757"/>
    <w:rsid w:val="00682E12"/>
    <w:rsid w:val="00682E81"/>
    <w:rsid w:val="00687083"/>
    <w:rsid w:val="00687653"/>
    <w:rsid w:val="00690E42"/>
    <w:rsid w:val="00690F61"/>
    <w:rsid w:val="006923E3"/>
    <w:rsid w:val="00692AAC"/>
    <w:rsid w:val="00693F77"/>
    <w:rsid w:val="00697952"/>
    <w:rsid w:val="00697B24"/>
    <w:rsid w:val="00697B3C"/>
    <w:rsid w:val="006A0AC7"/>
    <w:rsid w:val="006A0F6D"/>
    <w:rsid w:val="006A199F"/>
    <w:rsid w:val="006A1DFE"/>
    <w:rsid w:val="006A234B"/>
    <w:rsid w:val="006A2C4D"/>
    <w:rsid w:val="006A510A"/>
    <w:rsid w:val="006A554A"/>
    <w:rsid w:val="006A7C91"/>
    <w:rsid w:val="006B293D"/>
    <w:rsid w:val="006B5B8B"/>
    <w:rsid w:val="006B5E50"/>
    <w:rsid w:val="006B7A4A"/>
    <w:rsid w:val="006C18AE"/>
    <w:rsid w:val="006C613A"/>
    <w:rsid w:val="006D0873"/>
    <w:rsid w:val="006D0C34"/>
    <w:rsid w:val="006D56F4"/>
    <w:rsid w:val="006D60FD"/>
    <w:rsid w:val="006E334B"/>
    <w:rsid w:val="006E692B"/>
    <w:rsid w:val="006F2A2C"/>
    <w:rsid w:val="0070212D"/>
    <w:rsid w:val="00702441"/>
    <w:rsid w:val="00702A46"/>
    <w:rsid w:val="00704D89"/>
    <w:rsid w:val="007104AD"/>
    <w:rsid w:val="0071084C"/>
    <w:rsid w:val="007158FC"/>
    <w:rsid w:val="00720ADE"/>
    <w:rsid w:val="00721A38"/>
    <w:rsid w:val="00723E64"/>
    <w:rsid w:val="00724381"/>
    <w:rsid w:val="00725C8F"/>
    <w:rsid w:val="0072700E"/>
    <w:rsid w:val="0072790E"/>
    <w:rsid w:val="00730A4E"/>
    <w:rsid w:val="00732CAB"/>
    <w:rsid w:val="00735FD3"/>
    <w:rsid w:val="00740DCC"/>
    <w:rsid w:val="007429B8"/>
    <w:rsid w:val="00746725"/>
    <w:rsid w:val="00747853"/>
    <w:rsid w:val="00750D2A"/>
    <w:rsid w:val="00750F4C"/>
    <w:rsid w:val="0075311E"/>
    <w:rsid w:val="00753367"/>
    <w:rsid w:val="007550E3"/>
    <w:rsid w:val="00760322"/>
    <w:rsid w:val="00760978"/>
    <w:rsid w:val="00761C25"/>
    <w:rsid w:val="007624B6"/>
    <w:rsid w:val="00764480"/>
    <w:rsid w:val="00765C70"/>
    <w:rsid w:val="007668AF"/>
    <w:rsid w:val="007702C5"/>
    <w:rsid w:val="00770AC0"/>
    <w:rsid w:val="00773757"/>
    <w:rsid w:val="00773A50"/>
    <w:rsid w:val="0077442F"/>
    <w:rsid w:val="00776804"/>
    <w:rsid w:val="0078011A"/>
    <w:rsid w:val="007825C4"/>
    <w:rsid w:val="007834EA"/>
    <w:rsid w:val="0078431A"/>
    <w:rsid w:val="00785004"/>
    <w:rsid w:val="007861DD"/>
    <w:rsid w:val="00791B6E"/>
    <w:rsid w:val="00792AFF"/>
    <w:rsid w:val="00795C13"/>
    <w:rsid w:val="00797485"/>
    <w:rsid w:val="007A041E"/>
    <w:rsid w:val="007A1891"/>
    <w:rsid w:val="007A1CF4"/>
    <w:rsid w:val="007A3FD6"/>
    <w:rsid w:val="007A5C22"/>
    <w:rsid w:val="007A5F82"/>
    <w:rsid w:val="007A6194"/>
    <w:rsid w:val="007A66E3"/>
    <w:rsid w:val="007A6883"/>
    <w:rsid w:val="007A748B"/>
    <w:rsid w:val="007A7849"/>
    <w:rsid w:val="007A7B95"/>
    <w:rsid w:val="007B1937"/>
    <w:rsid w:val="007B5436"/>
    <w:rsid w:val="007B61D3"/>
    <w:rsid w:val="007B69F9"/>
    <w:rsid w:val="007C0756"/>
    <w:rsid w:val="007C15D8"/>
    <w:rsid w:val="007C23A7"/>
    <w:rsid w:val="007C3C0C"/>
    <w:rsid w:val="007C54B9"/>
    <w:rsid w:val="007C77BC"/>
    <w:rsid w:val="007C7C25"/>
    <w:rsid w:val="007D15F4"/>
    <w:rsid w:val="007D4C3D"/>
    <w:rsid w:val="007D5133"/>
    <w:rsid w:val="007E649D"/>
    <w:rsid w:val="007E66DF"/>
    <w:rsid w:val="007E7C72"/>
    <w:rsid w:val="007F07D0"/>
    <w:rsid w:val="007F0978"/>
    <w:rsid w:val="007F245F"/>
    <w:rsid w:val="007F2E16"/>
    <w:rsid w:val="007F3581"/>
    <w:rsid w:val="007F3D94"/>
    <w:rsid w:val="007F3EDA"/>
    <w:rsid w:val="007F43F4"/>
    <w:rsid w:val="007F4BD0"/>
    <w:rsid w:val="007F54B6"/>
    <w:rsid w:val="007F7B87"/>
    <w:rsid w:val="00801D9D"/>
    <w:rsid w:val="008032F6"/>
    <w:rsid w:val="00803995"/>
    <w:rsid w:val="00803B61"/>
    <w:rsid w:val="00803B96"/>
    <w:rsid w:val="00805AD1"/>
    <w:rsid w:val="00806B2A"/>
    <w:rsid w:val="00807C34"/>
    <w:rsid w:val="00807F97"/>
    <w:rsid w:val="0081066C"/>
    <w:rsid w:val="00811241"/>
    <w:rsid w:val="008119AC"/>
    <w:rsid w:val="00812393"/>
    <w:rsid w:val="00812B87"/>
    <w:rsid w:val="0081360B"/>
    <w:rsid w:val="00813936"/>
    <w:rsid w:val="008151CA"/>
    <w:rsid w:val="00815495"/>
    <w:rsid w:val="00815964"/>
    <w:rsid w:val="00815A2D"/>
    <w:rsid w:val="00816DC8"/>
    <w:rsid w:val="00816F97"/>
    <w:rsid w:val="00820775"/>
    <w:rsid w:val="0082281E"/>
    <w:rsid w:val="00823486"/>
    <w:rsid w:val="008274C9"/>
    <w:rsid w:val="00830F07"/>
    <w:rsid w:val="008333B6"/>
    <w:rsid w:val="00833725"/>
    <w:rsid w:val="008351A3"/>
    <w:rsid w:val="0083580B"/>
    <w:rsid w:val="00840486"/>
    <w:rsid w:val="008406B7"/>
    <w:rsid w:val="0084110A"/>
    <w:rsid w:val="00841972"/>
    <w:rsid w:val="00842858"/>
    <w:rsid w:val="0084292F"/>
    <w:rsid w:val="00845895"/>
    <w:rsid w:val="00845A7C"/>
    <w:rsid w:val="008460BA"/>
    <w:rsid w:val="008469C7"/>
    <w:rsid w:val="00846D7E"/>
    <w:rsid w:val="00846F47"/>
    <w:rsid w:val="0085035A"/>
    <w:rsid w:val="008546D4"/>
    <w:rsid w:val="008551ED"/>
    <w:rsid w:val="00855B7F"/>
    <w:rsid w:val="008619B9"/>
    <w:rsid w:val="008622A7"/>
    <w:rsid w:val="00862F7E"/>
    <w:rsid w:val="00863639"/>
    <w:rsid w:val="008639B1"/>
    <w:rsid w:val="00865019"/>
    <w:rsid w:val="00866870"/>
    <w:rsid w:val="00866AB8"/>
    <w:rsid w:val="00866FAA"/>
    <w:rsid w:val="00867F68"/>
    <w:rsid w:val="008727FE"/>
    <w:rsid w:val="00872D74"/>
    <w:rsid w:val="008735A5"/>
    <w:rsid w:val="00874541"/>
    <w:rsid w:val="00874CE6"/>
    <w:rsid w:val="00876ABC"/>
    <w:rsid w:val="008844E2"/>
    <w:rsid w:val="0088475D"/>
    <w:rsid w:val="008852F3"/>
    <w:rsid w:val="008907AA"/>
    <w:rsid w:val="008907F3"/>
    <w:rsid w:val="0089235A"/>
    <w:rsid w:val="00892C69"/>
    <w:rsid w:val="0089321A"/>
    <w:rsid w:val="00893438"/>
    <w:rsid w:val="00894399"/>
    <w:rsid w:val="00894863"/>
    <w:rsid w:val="00895E32"/>
    <w:rsid w:val="00897820"/>
    <w:rsid w:val="008A0071"/>
    <w:rsid w:val="008A23B9"/>
    <w:rsid w:val="008A40CA"/>
    <w:rsid w:val="008A431E"/>
    <w:rsid w:val="008A4C3D"/>
    <w:rsid w:val="008A4F14"/>
    <w:rsid w:val="008A6A72"/>
    <w:rsid w:val="008A75BF"/>
    <w:rsid w:val="008B1554"/>
    <w:rsid w:val="008B35A5"/>
    <w:rsid w:val="008B40CD"/>
    <w:rsid w:val="008B4785"/>
    <w:rsid w:val="008B65B2"/>
    <w:rsid w:val="008B72FA"/>
    <w:rsid w:val="008B7FFE"/>
    <w:rsid w:val="008C01E5"/>
    <w:rsid w:val="008C2087"/>
    <w:rsid w:val="008C210C"/>
    <w:rsid w:val="008C6518"/>
    <w:rsid w:val="008C6CA5"/>
    <w:rsid w:val="008C6EC0"/>
    <w:rsid w:val="008C6FC0"/>
    <w:rsid w:val="008D2495"/>
    <w:rsid w:val="008D372F"/>
    <w:rsid w:val="008D554D"/>
    <w:rsid w:val="008D6F0D"/>
    <w:rsid w:val="008D71E8"/>
    <w:rsid w:val="008D761B"/>
    <w:rsid w:val="008D78A1"/>
    <w:rsid w:val="008E0581"/>
    <w:rsid w:val="008E2143"/>
    <w:rsid w:val="008E2C75"/>
    <w:rsid w:val="008E5DB8"/>
    <w:rsid w:val="008E6C25"/>
    <w:rsid w:val="008E761A"/>
    <w:rsid w:val="008F093A"/>
    <w:rsid w:val="008F0B30"/>
    <w:rsid w:val="008F28EB"/>
    <w:rsid w:val="008F2C0C"/>
    <w:rsid w:val="008F6B90"/>
    <w:rsid w:val="008F7BD4"/>
    <w:rsid w:val="009002BF"/>
    <w:rsid w:val="00900590"/>
    <w:rsid w:val="00900FE3"/>
    <w:rsid w:val="0090162B"/>
    <w:rsid w:val="00901ABC"/>
    <w:rsid w:val="00902B6F"/>
    <w:rsid w:val="0090380B"/>
    <w:rsid w:val="0090563C"/>
    <w:rsid w:val="009070F0"/>
    <w:rsid w:val="009104A3"/>
    <w:rsid w:val="009109A7"/>
    <w:rsid w:val="00910E87"/>
    <w:rsid w:val="00912BE7"/>
    <w:rsid w:val="0091492D"/>
    <w:rsid w:val="00915165"/>
    <w:rsid w:val="00916221"/>
    <w:rsid w:val="00917ABF"/>
    <w:rsid w:val="00922891"/>
    <w:rsid w:val="0092439E"/>
    <w:rsid w:val="00925263"/>
    <w:rsid w:val="00926B36"/>
    <w:rsid w:val="0093398F"/>
    <w:rsid w:val="00934672"/>
    <w:rsid w:val="00935461"/>
    <w:rsid w:val="00937A01"/>
    <w:rsid w:val="00940113"/>
    <w:rsid w:val="0094151F"/>
    <w:rsid w:val="00942D80"/>
    <w:rsid w:val="00943736"/>
    <w:rsid w:val="0094766B"/>
    <w:rsid w:val="00947C76"/>
    <w:rsid w:val="009504C8"/>
    <w:rsid w:val="00953309"/>
    <w:rsid w:val="00954294"/>
    <w:rsid w:val="00955D9E"/>
    <w:rsid w:val="009570DF"/>
    <w:rsid w:val="0095728A"/>
    <w:rsid w:val="00960C83"/>
    <w:rsid w:val="009620EB"/>
    <w:rsid w:val="00962BF5"/>
    <w:rsid w:val="00963D2E"/>
    <w:rsid w:val="009653D5"/>
    <w:rsid w:val="00966035"/>
    <w:rsid w:val="0096673C"/>
    <w:rsid w:val="00970C54"/>
    <w:rsid w:val="00973686"/>
    <w:rsid w:val="00974137"/>
    <w:rsid w:val="00975425"/>
    <w:rsid w:val="00980CDB"/>
    <w:rsid w:val="00981BFF"/>
    <w:rsid w:val="00982109"/>
    <w:rsid w:val="0098459A"/>
    <w:rsid w:val="009876E0"/>
    <w:rsid w:val="009905A9"/>
    <w:rsid w:val="00990F0C"/>
    <w:rsid w:val="0099146C"/>
    <w:rsid w:val="00992D01"/>
    <w:rsid w:val="00993BC5"/>
    <w:rsid w:val="009950F2"/>
    <w:rsid w:val="00995DDC"/>
    <w:rsid w:val="00996F98"/>
    <w:rsid w:val="00996FC9"/>
    <w:rsid w:val="009A0425"/>
    <w:rsid w:val="009A168F"/>
    <w:rsid w:val="009A1AE4"/>
    <w:rsid w:val="009A6DE4"/>
    <w:rsid w:val="009B3059"/>
    <w:rsid w:val="009C0149"/>
    <w:rsid w:val="009C05F4"/>
    <w:rsid w:val="009C085C"/>
    <w:rsid w:val="009C1114"/>
    <w:rsid w:val="009C30EC"/>
    <w:rsid w:val="009C3FDF"/>
    <w:rsid w:val="009C59D6"/>
    <w:rsid w:val="009C7A6D"/>
    <w:rsid w:val="009D06ED"/>
    <w:rsid w:val="009D0DA9"/>
    <w:rsid w:val="009D3F82"/>
    <w:rsid w:val="009D4AD3"/>
    <w:rsid w:val="009D535D"/>
    <w:rsid w:val="009D7D2C"/>
    <w:rsid w:val="009E13EC"/>
    <w:rsid w:val="009E51D0"/>
    <w:rsid w:val="009E57FE"/>
    <w:rsid w:val="009E614E"/>
    <w:rsid w:val="009E6CB9"/>
    <w:rsid w:val="009F0A9E"/>
    <w:rsid w:val="009F2AF8"/>
    <w:rsid w:val="009F3968"/>
    <w:rsid w:val="009F48DD"/>
    <w:rsid w:val="009F6C75"/>
    <w:rsid w:val="009F768A"/>
    <w:rsid w:val="00A0182A"/>
    <w:rsid w:val="00A01E70"/>
    <w:rsid w:val="00A02CC1"/>
    <w:rsid w:val="00A03955"/>
    <w:rsid w:val="00A07324"/>
    <w:rsid w:val="00A07411"/>
    <w:rsid w:val="00A1225A"/>
    <w:rsid w:val="00A12486"/>
    <w:rsid w:val="00A13139"/>
    <w:rsid w:val="00A136A8"/>
    <w:rsid w:val="00A1757E"/>
    <w:rsid w:val="00A17D88"/>
    <w:rsid w:val="00A22DE6"/>
    <w:rsid w:val="00A23268"/>
    <w:rsid w:val="00A237C3"/>
    <w:rsid w:val="00A23FE4"/>
    <w:rsid w:val="00A24E42"/>
    <w:rsid w:val="00A260E5"/>
    <w:rsid w:val="00A26701"/>
    <w:rsid w:val="00A2692E"/>
    <w:rsid w:val="00A26A7F"/>
    <w:rsid w:val="00A27CED"/>
    <w:rsid w:val="00A30953"/>
    <w:rsid w:val="00A309B1"/>
    <w:rsid w:val="00A318E4"/>
    <w:rsid w:val="00A31BB7"/>
    <w:rsid w:val="00A33696"/>
    <w:rsid w:val="00A365B4"/>
    <w:rsid w:val="00A36A41"/>
    <w:rsid w:val="00A45653"/>
    <w:rsid w:val="00A5114A"/>
    <w:rsid w:val="00A51AFF"/>
    <w:rsid w:val="00A51E0F"/>
    <w:rsid w:val="00A54485"/>
    <w:rsid w:val="00A54FA0"/>
    <w:rsid w:val="00A55FF3"/>
    <w:rsid w:val="00A6168D"/>
    <w:rsid w:val="00A61F66"/>
    <w:rsid w:val="00A634FE"/>
    <w:rsid w:val="00A6511E"/>
    <w:rsid w:val="00A65A14"/>
    <w:rsid w:val="00A660F0"/>
    <w:rsid w:val="00A67AA1"/>
    <w:rsid w:val="00A7197A"/>
    <w:rsid w:val="00A74044"/>
    <w:rsid w:val="00A75841"/>
    <w:rsid w:val="00A759C8"/>
    <w:rsid w:val="00A76911"/>
    <w:rsid w:val="00A831FD"/>
    <w:rsid w:val="00A907CA"/>
    <w:rsid w:val="00A96390"/>
    <w:rsid w:val="00A96B21"/>
    <w:rsid w:val="00A9728C"/>
    <w:rsid w:val="00AA48FF"/>
    <w:rsid w:val="00AA5162"/>
    <w:rsid w:val="00AA5EDF"/>
    <w:rsid w:val="00AB10C8"/>
    <w:rsid w:val="00AB4A64"/>
    <w:rsid w:val="00AB5223"/>
    <w:rsid w:val="00AB5D3D"/>
    <w:rsid w:val="00AB6F51"/>
    <w:rsid w:val="00AB7F28"/>
    <w:rsid w:val="00AC304C"/>
    <w:rsid w:val="00AC4976"/>
    <w:rsid w:val="00AC6191"/>
    <w:rsid w:val="00AD34C0"/>
    <w:rsid w:val="00AD60EA"/>
    <w:rsid w:val="00AD77AC"/>
    <w:rsid w:val="00AD7A56"/>
    <w:rsid w:val="00AD7BED"/>
    <w:rsid w:val="00AE1A95"/>
    <w:rsid w:val="00AE22D8"/>
    <w:rsid w:val="00AE2EBC"/>
    <w:rsid w:val="00AE3A1A"/>
    <w:rsid w:val="00AE6392"/>
    <w:rsid w:val="00AF0E3E"/>
    <w:rsid w:val="00B03C4B"/>
    <w:rsid w:val="00B04D84"/>
    <w:rsid w:val="00B05909"/>
    <w:rsid w:val="00B12BEF"/>
    <w:rsid w:val="00B1320C"/>
    <w:rsid w:val="00B169C3"/>
    <w:rsid w:val="00B2079E"/>
    <w:rsid w:val="00B20DE8"/>
    <w:rsid w:val="00B22A79"/>
    <w:rsid w:val="00B26170"/>
    <w:rsid w:val="00B26282"/>
    <w:rsid w:val="00B3295B"/>
    <w:rsid w:val="00B32DEA"/>
    <w:rsid w:val="00B353C4"/>
    <w:rsid w:val="00B36EA9"/>
    <w:rsid w:val="00B3733C"/>
    <w:rsid w:val="00B428EB"/>
    <w:rsid w:val="00B42B89"/>
    <w:rsid w:val="00B46B93"/>
    <w:rsid w:val="00B47FF9"/>
    <w:rsid w:val="00B5133A"/>
    <w:rsid w:val="00B519BD"/>
    <w:rsid w:val="00B52ECC"/>
    <w:rsid w:val="00B543EC"/>
    <w:rsid w:val="00B54E66"/>
    <w:rsid w:val="00B56F2F"/>
    <w:rsid w:val="00B60DC9"/>
    <w:rsid w:val="00B60E2D"/>
    <w:rsid w:val="00B6308A"/>
    <w:rsid w:val="00B641AD"/>
    <w:rsid w:val="00B64322"/>
    <w:rsid w:val="00B64D91"/>
    <w:rsid w:val="00B65572"/>
    <w:rsid w:val="00B66069"/>
    <w:rsid w:val="00B663AA"/>
    <w:rsid w:val="00B67020"/>
    <w:rsid w:val="00B678B1"/>
    <w:rsid w:val="00B67CFC"/>
    <w:rsid w:val="00B702BA"/>
    <w:rsid w:val="00B70818"/>
    <w:rsid w:val="00B71D4A"/>
    <w:rsid w:val="00B73709"/>
    <w:rsid w:val="00B740BC"/>
    <w:rsid w:val="00B76003"/>
    <w:rsid w:val="00B81B4F"/>
    <w:rsid w:val="00B83457"/>
    <w:rsid w:val="00B83E87"/>
    <w:rsid w:val="00B83FC6"/>
    <w:rsid w:val="00B84C6B"/>
    <w:rsid w:val="00B858B5"/>
    <w:rsid w:val="00B8595A"/>
    <w:rsid w:val="00B86657"/>
    <w:rsid w:val="00B87392"/>
    <w:rsid w:val="00B900D2"/>
    <w:rsid w:val="00B906A6"/>
    <w:rsid w:val="00B908C7"/>
    <w:rsid w:val="00B915A5"/>
    <w:rsid w:val="00B91CB8"/>
    <w:rsid w:val="00B92761"/>
    <w:rsid w:val="00B9328D"/>
    <w:rsid w:val="00B949C7"/>
    <w:rsid w:val="00B95297"/>
    <w:rsid w:val="00B9562C"/>
    <w:rsid w:val="00B96DF2"/>
    <w:rsid w:val="00B970A7"/>
    <w:rsid w:val="00BA271C"/>
    <w:rsid w:val="00BA2EE5"/>
    <w:rsid w:val="00BA495F"/>
    <w:rsid w:val="00BA5608"/>
    <w:rsid w:val="00BA583C"/>
    <w:rsid w:val="00BA585D"/>
    <w:rsid w:val="00BA59DF"/>
    <w:rsid w:val="00BA75F6"/>
    <w:rsid w:val="00BB0E55"/>
    <w:rsid w:val="00BB293A"/>
    <w:rsid w:val="00BB355E"/>
    <w:rsid w:val="00BB598A"/>
    <w:rsid w:val="00BB7A3A"/>
    <w:rsid w:val="00BB7FA7"/>
    <w:rsid w:val="00BC09FA"/>
    <w:rsid w:val="00BC264F"/>
    <w:rsid w:val="00BC2B57"/>
    <w:rsid w:val="00BC2F43"/>
    <w:rsid w:val="00BC4158"/>
    <w:rsid w:val="00BC4DC6"/>
    <w:rsid w:val="00BC563A"/>
    <w:rsid w:val="00BC5E8A"/>
    <w:rsid w:val="00BD38DF"/>
    <w:rsid w:val="00BD4D48"/>
    <w:rsid w:val="00BD689D"/>
    <w:rsid w:val="00BD6D39"/>
    <w:rsid w:val="00BD6D82"/>
    <w:rsid w:val="00BE0F5D"/>
    <w:rsid w:val="00BE40F9"/>
    <w:rsid w:val="00BE4A2F"/>
    <w:rsid w:val="00BE4B1D"/>
    <w:rsid w:val="00BE64F7"/>
    <w:rsid w:val="00BE6AAF"/>
    <w:rsid w:val="00BF4FA4"/>
    <w:rsid w:val="00BF5350"/>
    <w:rsid w:val="00BF6D64"/>
    <w:rsid w:val="00C0018A"/>
    <w:rsid w:val="00C019FC"/>
    <w:rsid w:val="00C02A4F"/>
    <w:rsid w:val="00C031C7"/>
    <w:rsid w:val="00C033D9"/>
    <w:rsid w:val="00C105A7"/>
    <w:rsid w:val="00C10D60"/>
    <w:rsid w:val="00C12200"/>
    <w:rsid w:val="00C15DFD"/>
    <w:rsid w:val="00C16508"/>
    <w:rsid w:val="00C167BE"/>
    <w:rsid w:val="00C170D9"/>
    <w:rsid w:val="00C21596"/>
    <w:rsid w:val="00C22342"/>
    <w:rsid w:val="00C2354A"/>
    <w:rsid w:val="00C279A3"/>
    <w:rsid w:val="00C319BE"/>
    <w:rsid w:val="00C334DA"/>
    <w:rsid w:val="00C348E9"/>
    <w:rsid w:val="00C42EB3"/>
    <w:rsid w:val="00C45956"/>
    <w:rsid w:val="00C46187"/>
    <w:rsid w:val="00C46E8A"/>
    <w:rsid w:val="00C47DD1"/>
    <w:rsid w:val="00C500A5"/>
    <w:rsid w:val="00C528B7"/>
    <w:rsid w:val="00C53085"/>
    <w:rsid w:val="00C53752"/>
    <w:rsid w:val="00C538D9"/>
    <w:rsid w:val="00C53CDC"/>
    <w:rsid w:val="00C54027"/>
    <w:rsid w:val="00C542AA"/>
    <w:rsid w:val="00C62FCE"/>
    <w:rsid w:val="00C64903"/>
    <w:rsid w:val="00C65632"/>
    <w:rsid w:val="00C659A1"/>
    <w:rsid w:val="00C6619C"/>
    <w:rsid w:val="00C66349"/>
    <w:rsid w:val="00C67372"/>
    <w:rsid w:val="00C73F70"/>
    <w:rsid w:val="00C740D3"/>
    <w:rsid w:val="00C7428D"/>
    <w:rsid w:val="00C7468D"/>
    <w:rsid w:val="00C74D09"/>
    <w:rsid w:val="00C758AD"/>
    <w:rsid w:val="00C77EA9"/>
    <w:rsid w:val="00C80641"/>
    <w:rsid w:val="00C82B6E"/>
    <w:rsid w:val="00C83196"/>
    <w:rsid w:val="00C83D72"/>
    <w:rsid w:val="00C848E0"/>
    <w:rsid w:val="00C85B60"/>
    <w:rsid w:val="00C90457"/>
    <w:rsid w:val="00C90C34"/>
    <w:rsid w:val="00C91717"/>
    <w:rsid w:val="00C95102"/>
    <w:rsid w:val="00C9688E"/>
    <w:rsid w:val="00C968A8"/>
    <w:rsid w:val="00C975E6"/>
    <w:rsid w:val="00CA15EB"/>
    <w:rsid w:val="00CA1665"/>
    <w:rsid w:val="00CA2516"/>
    <w:rsid w:val="00CA2F10"/>
    <w:rsid w:val="00CA52BD"/>
    <w:rsid w:val="00CA6059"/>
    <w:rsid w:val="00CA6EED"/>
    <w:rsid w:val="00CA737D"/>
    <w:rsid w:val="00CA7E2D"/>
    <w:rsid w:val="00CA7F4C"/>
    <w:rsid w:val="00CB1F4F"/>
    <w:rsid w:val="00CB3D9B"/>
    <w:rsid w:val="00CB43ED"/>
    <w:rsid w:val="00CB5754"/>
    <w:rsid w:val="00CB6B25"/>
    <w:rsid w:val="00CC01A4"/>
    <w:rsid w:val="00CC1CA6"/>
    <w:rsid w:val="00CC2BF8"/>
    <w:rsid w:val="00CC35D3"/>
    <w:rsid w:val="00CC36A4"/>
    <w:rsid w:val="00CC5154"/>
    <w:rsid w:val="00CD0704"/>
    <w:rsid w:val="00CD25F7"/>
    <w:rsid w:val="00CD53A0"/>
    <w:rsid w:val="00CD5747"/>
    <w:rsid w:val="00CD6CF7"/>
    <w:rsid w:val="00CE1302"/>
    <w:rsid w:val="00CE13B3"/>
    <w:rsid w:val="00CE2D0B"/>
    <w:rsid w:val="00CE6396"/>
    <w:rsid w:val="00CE705A"/>
    <w:rsid w:val="00CF0294"/>
    <w:rsid w:val="00CF19FC"/>
    <w:rsid w:val="00CF70AB"/>
    <w:rsid w:val="00D0063C"/>
    <w:rsid w:val="00D00D9D"/>
    <w:rsid w:val="00D0154E"/>
    <w:rsid w:val="00D03572"/>
    <w:rsid w:val="00D05A35"/>
    <w:rsid w:val="00D06D9D"/>
    <w:rsid w:val="00D111A6"/>
    <w:rsid w:val="00D1162F"/>
    <w:rsid w:val="00D12A1F"/>
    <w:rsid w:val="00D145DA"/>
    <w:rsid w:val="00D14FF4"/>
    <w:rsid w:val="00D171DE"/>
    <w:rsid w:val="00D17C20"/>
    <w:rsid w:val="00D21607"/>
    <w:rsid w:val="00D218F0"/>
    <w:rsid w:val="00D234FF"/>
    <w:rsid w:val="00D24AF0"/>
    <w:rsid w:val="00D257DB"/>
    <w:rsid w:val="00D25AE4"/>
    <w:rsid w:val="00D265EC"/>
    <w:rsid w:val="00D3059B"/>
    <w:rsid w:val="00D30960"/>
    <w:rsid w:val="00D30BCB"/>
    <w:rsid w:val="00D32FFA"/>
    <w:rsid w:val="00D338D7"/>
    <w:rsid w:val="00D42BF7"/>
    <w:rsid w:val="00D463E1"/>
    <w:rsid w:val="00D46667"/>
    <w:rsid w:val="00D52653"/>
    <w:rsid w:val="00D557BF"/>
    <w:rsid w:val="00D568A6"/>
    <w:rsid w:val="00D60046"/>
    <w:rsid w:val="00D620B8"/>
    <w:rsid w:val="00D634F9"/>
    <w:rsid w:val="00D65E60"/>
    <w:rsid w:val="00D66193"/>
    <w:rsid w:val="00D67060"/>
    <w:rsid w:val="00D679FE"/>
    <w:rsid w:val="00D70E42"/>
    <w:rsid w:val="00D71D9C"/>
    <w:rsid w:val="00D71FFB"/>
    <w:rsid w:val="00D72559"/>
    <w:rsid w:val="00D72F4D"/>
    <w:rsid w:val="00D73C11"/>
    <w:rsid w:val="00D74049"/>
    <w:rsid w:val="00D775CE"/>
    <w:rsid w:val="00D77BCA"/>
    <w:rsid w:val="00D82B53"/>
    <w:rsid w:val="00D8546E"/>
    <w:rsid w:val="00D86C0D"/>
    <w:rsid w:val="00D87683"/>
    <w:rsid w:val="00D909E1"/>
    <w:rsid w:val="00D911E3"/>
    <w:rsid w:val="00D9146D"/>
    <w:rsid w:val="00D91627"/>
    <w:rsid w:val="00D925D5"/>
    <w:rsid w:val="00D93BA9"/>
    <w:rsid w:val="00D948D6"/>
    <w:rsid w:val="00D95199"/>
    <w:rsid w:val="00DA0CDC"/>
    <w:rsid w:val="00DA1404"/>
    <w:rsid w:val="00DA32AF"/>
    <w:rsid w:val="00DA3E42"/>
    <w:rsid w:val="00DA6DF4"/>
    <w:rsid w:val="00DA7AD2"/>
    <w:rsid w:val="00DA7DE4"/>
    <w:rsid w:val="00DB0963"/>
    <w:rsid w:val="00DB1067"/>
    <w:rsid w:val="00DB4594"/>
    <w:rsid w:val="00DB51A0"/>
    <w:rsid w:val="00DB59B9"/>
    <w:rsid w:val="00DB6BE8"/>
    <w:rsid w:val="00DB71CA"/>
    <w:rsid w:val="00DC6D9C"/>
    <w:rsid w:val="00DC6F16"/>
    <w:rsid w:val="00DD3141"/>
    <w:rsid w:val="00DD3AF8"/>
    <w:rsid w:val="00DD4EFE"/>
    <w:rsid w:val="00DD6A8F"/>
    <w:rsid w:val="00DD6D87"/>
    <w:rsid w:val="00DD74CA"/>
    <w:rsid w:val="00DE1ACB"/>
    <w:rsid w:val="00DE221A"/>
    <w:rsid w:val="00DE31A4"/>
    <w:rsid w:val="00DE31B8"/>
    <w:rsid w:val="00DE355F"/>
    <w:rsid w:val="00DE43F0"/>
    <w:rsid w:val="00DE4B12"/>
    <w:rsid w:val="00DF03D5"/>
    <w:rsid w:val="00DF3246"/>
    <w:rsid w:val="00DF55C3"/>
    <w:rsid w:val="00E00364"/>
    <w:rsid w:val="00E01B10"/>
    <w:rsid w:val="00E02334"/>
    <w:rsid w:val="00E03F03"/>
    <w:rsid w:val="00E04820"/>
    <w:rsid w:val="00E06E21"/>
    <w:rsid w:val="00E12F77"/>
    <w:rsid w:val="00E1439E"/>
    <w:rsid w:val="00E1597C"/>
    <w:rsid w:val="00E17C84"/>
    <w:rsid w:val="00E2100E"/>
    <w:rsid w:val="00E2207F"/>
    <w:rsid w:val="00E2561E"/>
    <w:rsid w:val="00E267E4"/>
    <w:rsid w:val="00E26858"/>
    <w:rsid w:val="00E27A03"/>
    <w:rsid w:val="00E317EB"/>
    <w:rsid w:val="00E33D91"/>
    <w:rsid w:val="00E37E9D"/>
    <w:rsid w:val="00E4186E"/>
    <w:rsid w:val="00E436C4"/>
    <w:rsid w:val="00E448B0"/>
    <w:rsid w:val="00E45696"/>
    <w:rsid w:val="00E460A3"/>
    <w:rsid w:val="00E473C8"/>
    <w:rsid w:val="00E51C36"/>
    <w:rsid w:val="00E56EF0"/>
    <w:rsid w:val="00E5735A"/>
    <w:rsid w:val="00E60807"/>
    <w:rsid w:val="00E60BF4"/>
    <w:rsid w:val="00E614DA"/>
    <w:rsid w:val="00E62170"/>
    <w:rsid w:val="00E62240"/>
    <w:rsid w:val="00E62F8A"/>
    <w:rsid w:val="00E645F6"/>
    <w:rsid w:val="00E64D80"/>
    <w:rsid w:val="00E65E8C"/>
    <w:rsid w:val="00E66364"/>
    <w:rsid w:val="00E667B3"/>
    <w:rsid w:val="00E73906"/>
    <w:rsid w:val="00E73E6B"/>
    <w:rsid w:val="00E75D39"/>
    <w:rsid w:val="00E766A7"/>
    <w:rsid w:val="00E77E33"/>
    <w:rsid w:val="00E80476"/>
    <w:rsid w:val="00E83291"/>
    <w:rsid w:val="00E834B0"/>
    <w:rsid w:val="00E855F4"/>
    <w:rsid w:val="00E85708"/>
    <w:rsid w:val="00E91973"/>
    <w:rsid w:val="00E9376C"/>
    <w:rsid w:val="00E946B1"/>
    <w:rsid w:val="00E96335"/>
    <w:rsid w:val="00EA20DA"/>
    <w:rsid w:val="00EA3058"/>
    <w:rsid w:val="00EA443B"/>
    <w:rsid w:val="00EA5513"/>
    <w:rsid w:val="00EA7061"/>
    <w:rsid w:val="00EB19EF"/>
    <w:rsid w:val="00EB68C6"/>
    <w:rsid w:val="00EC0D1A"/>
    <w:rsid w:val="00EC1014"/>
    <w:rsid w:val="00EC1B1D"/>
    <w:rsid w:val="00EC1C45"/>
    <w:rsid w:val="00EC2843"/>
    <w:rsid w:val="00EC2F65"/>
    <w:rsid w:val="00EC3673"/>
    <w:rsid w:val="00EC52F6"/>
    <w:rsid w:val="00EC56D9"/>
    <w:rsid w:val="00ED0573"/>
    <w:rsid w:val="00ED0C09"/>
    <w:rsid w:val="00ED3849"/>
    <w:rsid w:val="00ED489A"/>
    <w:rsid w:val="00ED578F"/>
    <w:rsid w:val="00ED69A9"/>
    <w:rsid w:val="00EE1D1E"/>
    <w:rsid w:val="00EE25DF"/>
    <w:rsid w:val="00EE4637"/>
    <w:rsid w:val="00EE5CDF"/>
    <w:rsid w:val="00EF007A"/>
    <w:rsid w:val="00EF135E"/>
    <w:rsid w:val="00EF2FF7"/>
    <w:rsid w:val="00EF3358"/>
    <w:rsid w:val="00EF35C0"/>
    <w:rsid w:val="00EF3D7C"/>
    <w:rsid w:val="00EF591E"/>
    <w:rsid w:val="00EF5FEF"/>
    <w:rsid w:val="00EF694C"/>
    <w:rsid w:val="00EF6BC8"/>
    <w:rsid w:val="00F0197D"/>
    <w:rsid w:val="00F0210B"/>
    <w:rsid w:val="00F02D6E"/>
    <w:rsid w:val="00F040B0"/>
    <w:rsid w:val="00F05635"/>
    <w:rsid w:val="00F05A8E"/>
    <w:rsid w:val="00F05BFC"/>
    <w:rsid w:val="00F201DF"/>
    <w:rsid w:val="00F21138"/>
    <w:rsid w:val="00F258FB"/>
    <w:rsid w:val="00F2603D"/>
    <w:rsid w:val="00F3020E"/>
    <w:rsid w:val="00F31C8F"/>
    <w:rsid w:val="00F3290B"/>
    <w:rsid w:val="00F33B7C"/>
    <w:rsid w:val="00F341D7"/>
    <w:rsid w:val="00F365EB"/>
    <w:rsid w:val="00F36E47"/>
    <w:rsid w:val="00F37562"/>
    <w:rsid w:val="00F37EC0"/>
    <w:rsid w:val="00F44806"/>
    <w:rsid w:val="00F455FB"/>
    <w:rsid w:val="00F463D8"/>
    <w:rsid w:val="00F51BC2"/>
    <w:rsid w:val="00F547F6"/>
    <w:rsid w:val="00F56630"/>
    <w:rsid w:val="00F61846"/>
    <w:rsid w:val="00F63C23"/>
    <w:rsid w:val="00F67002"/>
    <w:rsid w:val="00F67619"/>
    <w:rsid w:val="00F67D5E"/>
    <w:rsid w:val="00F731B9"/>
    <w:rsid w:val="00F76357"/>
    <w:rsid w:val="00F7656B"/>
    <w:rsid w:val="00F76D93"/>
    <w:rsid w:val="00F80644"/>
    <w:rsid w:val="00F85990"/>
    <w:rsid w:val="00F86D68"/>
    <w:rsid w:val="00F878D0"/>
    <w:rsid w:val="00F92088"/>
    <w:rsid w:val="00F93B1F"/>
    <w:rsid w:val="00F94534"/>
    <w:rsid w:val="00F94E33"/>
    <w:rsid w:val="00F95652"/>
    <w:rsid w:val="00F967A9"/>
    <w:rsid w:val="00FA18C9"/>
    <w:rsid w:val="00FA23E8"/>
    <w:rsid w:val="00FA3092"/>
    <w:rsid w:val="00FA47BF"/>
    <w:rsid w:val="00FA4A26"/>
    <w:rsid w:val="00FA594A"/>
    <w:rsid w:val="00FA6407"/>
    <w:rsid w:val="00FB0FF4"/>
    <w:rsid w:val="00FB1631"/>
    <w:rsid w:val="00FB6CD0"/>
    <w:rsid w:val="00FB71CD"/>
    <w:rsid w:val="00FC118B"/>
    <w:rsid w:val="00FC1331"/>
    <w:rsid w:val="00FC1706"/>
    <w:rsid w:val="00FC2D15"/>
    <w:rsid w:val="00FC2F50"/>
    <w:rsid w:val="00FC4663"/>
    <w:rsid w:val="00FC4B08"/>
    <w:rsid w:val="00FC5A5C"/>
    <w:rsid w:val="00FC7A7A"/>
    <w:rsid w:val="00FD0FF9"/>
    <w:rsid w:val="00FD220E"/>
    <w:rsid w:val="00FD33E5"/>
    <w:rsid w:val="00FD4849"/>
    <w:rsid w:val="00FE06A4"/>
    <w:rsid w:val="00FE0C2F"/>
    <w:rsid w:val="00FE1147"/>
    <w:rsid w:val="00FE5C5B"/>
    <w:rsid w:val="00FE5D4B"/>
    <w:rsid w:val="00FE6D6E"/>
    <w:rsid w:val="62CD1165"/>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E7FE1A"/>
  <w15:chartTrackingRefBased/>
  <w15:docId w15:val="{61F98561-2BC5-4540-98DC-0047F1711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B21"/>
    <w:pPr>
      <w:spacing w:after="0" w:line="240" w:lineRule="auto"/>
      <w:jc w:val="both"/>
    </w:pPr>
    <w:rPr>
      <w:rFonts w:ascii="Times New Roman" w:eastAsia="Times New Roman" w:hAnsi="Times New Roman" w:cs="Times New Roman"/>
      <w:kern w:val="0"/>
      <w:szCs w:val="24"/>
      <w:lang w:val="en-GB"/>
      <w14:ligatures w14:val="none"/>
    </w:rPr>
  </w:style>
  <w:style w:type="paragraph" w:styleId="Heading1">
    <w:name w:val="heading 1"/>
    <w:basedOn w:val="Normal"/>
    <w:next w:val="Normal"/>
    <w:link w:val="Heading1Char"/>
    <w:uiPriority w:val="9"/>
    <w:qFormat/>
    <w:rsid w:val="007C77BC"/>
    <w:pPr>
      <w:keepNext/>
      <w:keepLines/>
      <w:numPr>
        <w:numId w:val="1"/>
      </w:numPr>
      <w:spacing w:before="240" w:after="120"/>
      <w:ind w:left="567" w:hanging="567"/>
      <w:jc w:val="left"/>
      <w:outlineLvl w:val="0"/>
    </w:pPr>
    <w:rPr>
      <w:rFonts w:eastAsiaTheme="majorEastAsia" w:cstheme="majorBidi"/>
      <w:b/>
      <w:bCs/>
      <w:kern w:val="2"/>
      <w:sz w:val="28"/>
      <w:szCs w:val="32"/>
      <w:lang w:val="en-CA"/>
      <w14:ligatures w14:val="standardContextual"/>
    </w:rPr>
  </w:style>
  <w:style w:type="paragraph" w:styleId="Heading2">
    <w:name w:val="heading 2"/>
    <w:basedOn w:val="Normal"/>
    <w:next w:val="Normal"/>
    <w:link w:val="Heading2Char"/>
    <w:uiPriority w:val="9"/>
    <w:unhideWhenUsed/>
    <w:qFormat/>
    <w:rsid w:val="007C77BC"/>
    <w:pPr>
      <w:keepNext/>
      <w:keepLines/>
      <w:spacing w:before="120" w:after="120"/>
      <w:ind w:left="567" w:hanging="567"/>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7C77BC"/>
    <w:pPr>
      <w:keepNext/>
      <w:keepLines/>
      <w:numPr>
        <w:numId w:val="8"/>
      </w:numPr>
      <w:spacing w:before="120" w:after="120"/>
      <w:ind w:left="567" w:hanging="578"/>
      <w:outlineLvl w:val="2"/>
    </w:pPr>
    <w:rPr>
      <w:rFonts w:eastAsiaTheme="majorEastAsia"/>
      <w:b/>
      <w:bCs/>
      <w:szCs w:val="22"/>
    </w:rPr>
  </w:style>
  <w:style w:type="paragraph" w:styleId="Heading4">
    <w:name w:val="heading 4"/>
    <w:basedOn w:val="Normal"/>
    <w:next w:val="Normal"/>
    <w:link w:val="Heading4Char"/>
    <w:uiPriority w:val="9"/>
    <w:unhideWhenUsed/>
    <w:qFormat/>
    <w:rsid w:val="00310608"/>
    <w:pPr>
      <w:keepNext/>
      <w:spacing w:before="120" w:after="120"/>
      <w:ind w:left="567" w:hanging="567"/>
      <w:outlineLvl w:val="3"/>
    </w:pPr>
    <w:rPr>
      <w:rFonts w:eastAsiaTheme="majorEastAsia"/>
      <w:b/>
      <w:bCs/>
    </w:rPr>
  </w:style>
  <w:style w:type="paragraph" w:styleId="Heading5">
    <w:name w:val="heading 5"/>
    <w:basedOn w:val="Normal"/>
    <w:next w:val="Normal"/>
    <w:link w:val="Heading5Char"/>
    <w:uiPriority w:val="9"/>
    <w:unhideWhenUsed/>
    <w:qFormat/>
    <w:rsid w:val="00310608"/>
    <w:pPr>
      <w:keepNext/>
      <w:spacing w:before="120" w:after="120"/>
      <w:ind w:left="567" w:hanging="567"/>
      <w:outlineLvl w:val="4"/>
    </w:pPr>
    <w:rPr>
      <w:rFonts w:eastAsiaTheme="majorEastAsia"/>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em">
    <w:name w:val="Item"/>
    <w:basedOn w:val="BodyText"/>
    <w:qFormat/>
    <w:rsid w:val="00657ED6"/>
    <w:pPr>
      <w:suppressLineNumbers/>
      <w:suppressAutoHyphens/>
      <w:spacing w:before="120" w:line="240" w:lineRule="auto"/>
    </w:pPr>
    <w:rPr>
      <w:rFonts w:ascii="Times New Roman" w:eastAsia="Times New Roman" w:hAnsi="Times New Roman" w:cs="Times New Roman"/>
      <w:b/>
      <w:iCs/>
      <w:snapToGrid w:val="0"/>
      <w:kern w:val="22"/>
      <w:sz w:val="24"/>
      <w:lang w:val="en-GB"/>
      <w14:ligatures w14:val="none"/>
    </w:rPr>
  </w:style>
  <w:style w:type="paragraph" w:styleId="BodyText">
    <w:name w:val="Body Text"/>
    <w:basedOn w:val="Normal"/>
    <w:link w:val="BodyTextChar"/>
    <w:uiPriority w:val="99"/>
    <w:semiHidden/>
    <w:unhideWhenUsed/>
    <w:rsid w:val="00657ED6"/>
    <w:pPr>
      <w:spacing w:after="120" w:line="259" w:lineRule="auto"/>
      <w:jc w:val="left"/>
    </w:pPr>
    <w:rPr>
      <w:rFonts w:asciiTheme="minorHAnsi" w:eastAsiaTheme="minorHAnsi" w:hAnsiTheme="minorHAnsi" w:cstheme="minorBidi"/>
      <w:kern w:val="2"/>
      <w:szCs w:val="22"/>
      <w:lang w:val="en-CA"/>
      <w14:ligatures w14:val="standardContextual"/>
    </w:rPr>
  </w:style>
  <w:style w:type="character" w:customStyle="1" w:styleId="BodyTextChar">
    <w:name w:val="Body Text Char"/>
    <w:basedOn w:val="DefaultParagraphFont"/>
    <w:link w:val="BodyText"/>
    <w:uiPriority w:val="99"/>
    <w:semiHidden/>
    <w:rsid w:val="00657ED6"/>
  </w:style>
  <w:style w:type="paragraph" w:styleId="Title">
    <w:name w:val="Title"/>
    <w:basedOn w:val="Normal"/>
    <w:next w:val="Normal"/>
    <w:link w:val="TitleChar"/>
    <w:uiPriority w:val="10"/>
    <w:qFormat/>
    <w:rsid w:val="00ED3849"/>
    <w:pPr>
      <w:keepNext/>
      <w:spacing w:before="240" w:after="240"/>
      <w:ind w:left="567"/>
    </w:pPr>
    <w:rPr>
      <w:rFonts w:ascii="Times New Roman Bold" w:eastAsiaTheme="majorEastAsia" w:hAnsi="Times New Roman Bold"/>
      <w:b/>
      <w:bCs/>
      <w:spacing w:val="5"/>
      <w:kern w:val="28"/>
      <w:sz w:val="28"/>
      <w:szCs w:val="28"/>
      <w14:ligatures w14:val="standardContextual"/>
    </w:rPr>
  </w:style>
  <w:style w:type="character" w:customStyle="1" w:styleId="TitleChar">
    <w:name w:val="Title Char"/>
    <w:basedOn w:val="DefaultParagraphFont"/>
    <w:link w:val="Title"/>
    <w:uiPriority w:val="10"/>
    <w:rsid w:val="00ED3849"/>
    <w:rPr>
      <w:rFonts w:ascii="Times New Roman Bold" w:eastAsiaTheme="majorEastAsia" w:hAnsi="Times New Roman Bold" w:cs="Times New Roman"/>
      <w:b/>
      <w:bCs/>
      <w:spacing w:val="5"/>
      <w:kern w:val="28"/>
      <w:sz w:val="28"/>
      <w:szCs w:val="28"/>
      <w:lang w:val="en-GB"/>
    </w:rPr>
  </w:style>
  <w:style w:type="character" w:customStyle="1" w:styleId="Heading1Char">
    <w:name w:val="Heading 1 Char"/>
    <w:basedOn w:val="DefaultParagraphFont"/>
    <w:link w:val="Heading1"/>
    <w:uiPriority w:val="9"/>
    <w:rsid w:val="007C77BC"/>
    <w:rPr>
      <w:rFonts w:ascii="Times New Roman" w:eastAsiaTheme="majorEastAsia" w:hAnsi="Times New Roman" w:cstheme="majorBidi"/>
      <w:b/>
      <w:bCs/>
      <w:sz w:val="28"/>
      <w:szCs w:val="32"/>
    </w:rPr>
  </w:style>
  <w:style w:type="paragraph" w:customStyle="1" w:styleId="Cornernotation">
    <w:name w:val="Corner notation"/>
    <w:basedOn w:val="Normal"/>
    <w:rsid w:val="00A96B21"/>
    <w:pPr>
      <w:ind w:left="170" w:right="3119" w:hanging="170"/>
      <w:jc w:val="left"/>
    </w:pPr>
    <w:rPr>
      <w:b/>
      <w:sz w:val="24"/>
    </w:rPr>
  </w:style>
  <w:style w:type="table" w:customStyle="1" w:styleId="TableGrid1">
    <w:name w:val="Table Grid1"/>
    <w:basedOn w:val="TableNormal"/>
    <w:next w:val="TableGrid"/>
    <w:uiPriority w:val="59"/>
    <w:rsid w:val="00A96B21"/>
    <w:pPr>
      <w:spacing w:after="0" w:line="240" w:lineRule="auto"/>
    </w:pPr>
    <w:rPr>
      <w:rFonts w:eastAsiaTheme="minorEastAsia"/>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96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nuedate">
    <w:name w:val="Venue&amp;date"/>
    <w:basedOn w:val="Cornernotation"/>
    <w:qFormat/>
    <w:rsid w:val="00A96B21"/>
    <w:rPr>
      <w:b w:val="0"/>
      <w:bCs/>
      <w:sz w:val="22"/>
      <w:szCs w:val="22"/>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unhideWhenUsed/>
    <w:qFormat/>
    <w:rsid w:val="00A96B21"/>
    <w:rPr>
      <w:sz w:val="20"/>
      <w:szCs w:val="20"/>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A96B21"/>
    <w:rPr>
      <w:rFonts w:ascii="Times New Roman" w:eastAsia="Times New Roman" w:hAnsi="Times New Roman" w:cs="Times New Roman"/>
      <w:kern w:val="0"/>
      <w:sz w:val="20"/>
      <w:szCs w:val="20"/>
      <w:lang w:val="en-GB"/>
      <w14:ligatures w14:val="none"/>
    </w:rPr>
  </w:style>
  <w:style w:type="character" w:styleId="FootnoteReference">
    <w:name w:val="footnote reference"/>
    <w:aliases w:val="BVI fnr Char Char,BVI fnr Car Car Char Char,BVI fnr Car Char Char,BVI fnr Car Car Car Car Char Char Char,BVI fnr Car Car Car Car Char Char1,BVI fnr Car Car Car Char Char,BVI fnr Car Car Car Car Car Char Char"/>
    <w:basedOn w:val="DefaultParagraphFont"/>
    <w:link w:val="BVIfnrChar"/>
    <w:uiPriority w:val="99"/>
    <w:unhideWhenUsed/>
    <w:qFormat/>
    <w:rsid w:val="00A96B21"/>
    <w:rPr>
      <w:vertAlign w:val="superscript"/>
    </w:rPr>
  </w:style>
  <w:style w:type="paragraph" w:customStyle="1" w:styleId="Footnote">
    <w:name w:val="Footnote"/>
    <w:basedOn w:val="FootnoteText"/>
    <w:qFormat/>
    <w:rsid w:val="00D71FFB"/>
    <w:rPr>
      <w:sz w:val="18"/>
      <w:szCs w:val="18"/>
      <w:lang w:val="en-CA"/>
    </w:rPr>
  </w:style>
  <w:style w:type="paragraph" w:customStyle="1" w:styleId="Cornernotation-Item">
    <w:name w:val="Corner notation - Item"/>
    <w:basedOn w:val="Venuedate"/>
    <w:qFormat/>
    <w:rsid w:val="00A96B21"/>
    <w:rPr>
      <w:b/>
    </w:rPr>
  </w:style>
  <w:style w:type="paragraph" w:styleId="Subtitle">
    <w:name w:val="Subtitle"/>
    <w:basedOn w:val="Normal"/>
    <w:next w:val="Normal"/>
    <w:link w:val="SubtitleChar"/>
    <w:uiPriority w:val="11"/>
    <w:qFormat/>
    <w:rsid w:val="00A96B21"/>
    <w:pPr>
      <w:numPr>
        <w:ilvl w:val="1"/>
      </w:numPr>
      <w:spacing w:after="160"/>
    </w:pPr>
    <w:rPr>
      <w:rFonts w:ascii="Times New Roman Bold" w:eastAsiaTheme="minorEastAsia" w:hAnsi="Times New Roman Bold" w:cstheme="minorBidi"/>
      <w:b/>
      <w:color w:val="5A5A5A" w:themeColor="text1" w:themeTint="A5"/>
      <w:szCs w:val="22"/>
    </w:rPr>
  </w:style>
  <w:style w:type="character" w:customStyle="1" w:styleId="SubtitleChar">
    <w:name w:val="Subtitle Char"/>
    <w:basedOn w:val="DefaultParagraphFont"/>
    <w:link w:val="Subtitle"/>
    <w:uiPriority w:val="11"/>
    <w:rsid w:val="00A96B21"/>
    <w:rPr>
      <w:rFonts w:ascii="Times New Roman Bold" w:eastAsiaTheme="minorEastAsia" w:hAnsi="Times New Roman Bold"/>
      <w:b/>
      <w:color w:val="5A5A5A" w:themeColor="text1" w:themeTint="A5"/>
      <w:kern w:val="0"/>
      <w:lang w:val="en-GB"/>
      <w14:ligatures w14:val="none"/>
    </w:rPr>
  </w:style>
  <w:style w:type="paragraph" w:customStyle="1" w:styleId="Para10">
    <w:name w:val="Para 1"/>
    <w:basedOn w:val="Normal"/>
    <w:qFormat/>
    <w:rsid w:val="00A26A7F"/>
    <w:pPr>
      <w:numPr>
        <w:numId w:val="2"/>
      </w:numPr>
      <w:tabs>
        <w:tab w:val="left" w:pos="1134"/>
      </w:tabs>
      <w:spacing w:before="120" w:after="120"/>
      <w:ind w:left="567" w:firstLine="0"/>
    </w:pPr>
    <w:rPr>
      <w:lang w:val="en-CA"/>
    </w:rPr>
  </w:style>
  <w:style w:type="character" w:customStyle="1" w:styleId="Heading2Char">
    <w:name w:val="Heading 2 Char"/>
    <w:basedOn w:val="DefaultParagraphFont"/>
    <w:link w:val="Heading2"/>
    <w:uiPriority w:val="9"/>
    <w:rsid w:val="007C77BC"/>
    <w:rPr>
      <w:rFonts w:ascii="Times New Roman" w:eastAsiaTheme="majorEastAsia" w:hAnsi="Times New Roman" w:cstheme="majorBidi"/>
      <w:b/>
      <w:kern w:val="0"/>
      <w:sz w:val="24"/>
      <w:szCs w:val="26"/>
      <w:lang w:val="en-GB"/>
      <w14:ligatures w14:val="none"/>
    </w:rPr>
  </w:style>
  <w:style w:type="character" w:styleId="PlaceholderText">
    <w:name w:val="Placeholder Text"/>
    <w:basedOn w:val="DefaultParagraphFont"/>
    <w:uiPriority w:val="99"/>
    <w:semiHidden/>
    <w:rsid w:val="00995DDC"/>
    <w:rPr>
      <w:color w:val="808080"/>
    </w:rPr>
  </w:style>
  <w:style w:type="paragraph" w:styleId="Header">
    <w:name w:val="header"/>
    <w:basedOn w:val="Normal"/>
    <w:link w:val="HeaderChar"/>
    <w:unhideWhenUsed/>
    <w:rsid w:val="00D71FFB"/>
    <w:pPr>
      <w:tabs>
        <w:tab w:val="center" w:pos="4680"/>
        <w:tab w:val="right" w:pos="9360"/>
      </w:tabs>
    </w:pPr>
    <w:rPr>
      <w:caps/>
    </w:rPr>
  </w:style>
  <w:style w:type="character" w:customStyle="1" w:styleId="HeaderChar">
    <w:name w:val="Header Char"/>
    <w:basedOn w:val="DefaultParagraphFont"/>
    <w:link w:val="Header"/>
    <w:rsid w:val="00D71FFB"/>
    <w:rPr>
      <w:rFonts w:ascii="Times New Roman" w:eastAsia="Times New Roman" w:hAnsi="Times New Roman" w:cs="Times New Roman"/>
      <w:caps/>
      <w:kern w:val="0"/>
      <w:szCs w:val="24"/>
      <w:lang w:val="en-GB"/>
      <w14:ligatures w14:val="none"/>
    </w:rPr>
  </w:style>
  <w:style w:type="paragraph" w:styleId="Footer">
    <w:name w:val="footer"/>
    <w:basedOn w:val="Normal"/>
    <w:link w:val="FooterChar"/>
    <w:uiPriority w:val="99"/>
    <w:unhideWhenUsed/>
    <w:rsid w:val="002B559C"/>
    <w:pPr>
      <w:tabs>
        <w:tab w:val="center" w:pos="4680"/>
        <w:tab w:val="right" w:pos="9360"/>
      </w:tabs>
    </w:pPr>
  </w:style>
  <w:style w:type="character" w:customStyle="1" w:styleId="FooterChar">
    <w:name w:val="Footer Char"/>
    <w:basedOn w:val="DefaultParagraphFont"/>
    <w:link w:val="Footer"/>
    <w:uiPriority w:val="99"/>
    <w:rsid w:val="002B559C"/>
    <w:rPr>
      <w:rFonts w:ascii="Times New Roman" w:eastAsia="Times New Roman" w:hAnsi="Times New Roman" w:cs="Times New Roman"/>
      <w:kern w:val="0"/>
      <w:szCs w:val="24"/>
      <w:lang w:val="en-GB"/>
      <w14:ligatures w14:val="none"/>
    </w:rPr>
  </w:style>
  <w:style w:type="character" w:customStyle="1" w:styleId="Heading3Char">
    <w:name w:val="Heading 3 Char"/>
    <w:basedOn w:val="DefaultParagraphFont"/>
    <w:link w:val="Heading3"/>
    <w:uiPriority w:val="9"/>
    <w:rsid w:val="007C77BC"/>
    <w:rPr>
      <w:rFonts w:ascii="Times New Roman" w:eastAsiaTheme="majorEastAsia" w:hAnsi="Times New Roman" w:cs="Times New Roman"/>
      <w:b/>
      <w:bCs/>
      <w:kern w:val="0"/>
      <w:lang w:val="en-GB"/>
      <w14:ligatures w14:val="none"/>
    </w:rPr>
  </w:style>
  <w:style w:type="paragraph" w:customStyle="1" w:styleId="Para2">
    <w:name w:val="Para 2"/>
    <w:qFormat/>
    <w:rsid w:val="00537248"/>
    <w:pPr>
      <w:numPr>
        <w:numId w:val="14"/>
      </w:numPr>
      <w:tabs>
        <w:tab w:val="left" w:pos="1701"/>
      </w:tabs>
      <w:spacing w:before="120" w:after="120" w:line="240" w:lineRule="auto"/>
      <w:ind w:left="567" w:firstLine="567"/>
      <w:jc w:val="both"/>
    </w:pPr>
    <w:rPr>
      <w:rFonts w:ascii="Times New Roman" w:eastAsia="Times New Roman" w:hAnsi="Times New Roman" w:cs="Times New Roman"/>
      <w:kern w:val="0"/>
      <w:szCs w:val="24"/>
      <w14:ligatures w14:val="none"/>
    </w:rPr>
  </w:style>
  <w:style w:type="paragraph" w:customStyle="1" w:styleId="Annex">
    <w:name w:val="Annex"/>
    <w:basedOn w:val="Normal"/>
    <w:qFormat/>
    <w:rsid w:val="003C6F10"/>
    <w:rPr>
      <w:b/>
      <w:sz w:val="28"/>
    </w:rPr>
  </w:style>
  <w:style w:type="paragraph" w:customStyle="1" w:styleId="Para30">
    <w:name w:val="Para 3"/>
    <w:basedOn w:val="Normal"/>
    <w:qFormat/>
    <w:rsid w:val="002B00CA"/>
    <w:pPr>
      <w:numPr>
        <w:numId w:val="18"/>
      </w:numPr>
      <w:tabs>
        <w:tab w:val="left" w:pos="1701"/>
      </w:tabs>
      <w:spacing w:before="120" w:after="120"/>
      <w:ind w:left="1134" w:firstLine="0"/>
    </w:pPr>
  </w:style>
  <w:style w:type="character" w:customStyle="1" w:styleId="Heading4Char">
    <w:name w:val="Heading 4 Char"/>
    <w:basedOn w:val="DefaultParagraphFont"/>
    <w:link w:val="Heading4"/>
    <w:uiPriority w:val="9"/>
    <w:rsid w:val="00310608"/>
    <w:rPr>
      <w:rFonts w:ascii="Times New Roman" w:eastAsiaTheme="majorEastAsia" w:hAnsi="Times New Roman" w:cs="Times New Roman"/>
      <w:b/>
      <w:bCs/>
      <w:kern w:val="0"/>
      <w:szCs w:val="24"/>
      <w:lang w:val="en-GB"/>
      <w14:ligatures w14:val="none"/>
    </w:rPr>
  </w:style>
  <w:style w:type="character" w:customStyle="1" w:styleId="Heading5Char">
    <w:name w:val="Heading 5 Char"/>
    <w:basedOn w:val="DefaultParagraphFont"/>
    <w:link w:val="Heading5"/>
    <w:uiPriority w:val="9"/>
    <w:rsid w:val="00310608"/>
    <w:rPr>
      <w:rFonts w:ascii="Times New Roman" w:eastAsiaTheme="majorEastAsia" w:hAnsi="Times New Roman" w:cs="Times New Roman"/>
      <w:i/>
      <w:iCs/>
      <w:kern w:val="0"/>
      <w:szCs w:val="24"/>
      <w:lang w:val="en-GB"/>
      <w14:ligatures w14:val="none"/>
    </w:rPr>
  </w:style>
  <w:style w:type="character" w:styleId="CommentReference">
    <w:name w:val="annotation reference"/>
    <w:basedOn w:val="DefaultParagraphFont"/>
    <w:semiHidden/>
    <w:unhideWhenUsed/>
    <w:rsid w:val="00CF70AB"/>
    <w:rPr>
      <w:sz w:val="16"/>
      <w:szCs w:val="16"/>
    </w:rPr>
  </w:style>
  <w:style w:type="paragraph" w:styleId="CommentText">
    <w:name w:val="annotation text"/>
    <w:basedOn w:val="Normal"/>
    <w:link w:val="CommentTextChar"/>
    <w:unhideWhenUsed/>
    <w:rsid w:val="00CF70AB"/>
    <w:rPr>
      <w:sz w:val="20"/>
      <w:szCs w:val="20"/>
    </w:rPr>
  </w:style>
  <w:style w:type="character" w:customStyle="1" w:styleId="CommentTextChar">
    <w:name w:val="Comment Text Char"/>
    <w:basedOn w:val="DefaultParagraphFont"/>
    <w:link w:val="CommentText"/>
    <w:rsid w:val="00CF70AB"/>
    <w:rPr>
      <w:rFonts w:ascii="Times New Roman" w:eastAsia="Times New Roman" w:hAnsi="Times New Roman" w:cs="Times New Roman"/>
      <w:kern w:val="0"/>
      <w:sz w:val="20"/>
      <w:szCs w:val="20"/>
      <w:lang w:val="en-GB"/>
      <w14:ligatures w14:val="none"/>
    </w:rPr>
  </w:style>
  <w:style w:type="paragraph" w:styleId="CommentSubject">
    <w:name w:val="annotation subject"/>
    <w:basedOn w:val="CommentText"/>
    <w:next w:val="CommentText"/>
    <w:link w:val="CommentSubjectChar"/>
    <w:uiPriority w:val="99"/>
    <w:semiHidden/>
    <w:unhideWhenUsed/>
    <w:rsid w:val="00CF70AB"/>
    <w:rPr>
      <w:b/>
      <w:bCs/>
    </w:rPr>
  </w:style>
  <w:style w:type="character" w:customStyle="1" w:styleId="CommentSubjectChar">
    <w:name w:val="Comment Subject Char"/>
    <w:basedOn w:val="CommentTextChar"/>
    <w:link w:val="CommentSubject"/>
    <w:uiPriority w:val="99"/>
    <w:semiHidden/>
    <w:rsid w:val="00CF70AB"/>
    <w:rPr>
      <w:rFonts w:ascii="Times New Roman" w:eastAsia="Times New Roman" w:hAnsi="Times New Roman" w:cs="Times New Roman"/>
      <w:b/>
      <w:bCs/>
      <w:kern w:val="0"/>
      <w:sz w:val="20"/>
      <w:szCs w:val="20"/>
      <w:lang w:val="en-GB"/>
      <w14:ligatures w14:val="none"/>
    </w:rPr>
  </w:style>
  <w:style w:type="character" w:styleId="Hyperlink">
    <w:name w:val="Hyperlink"/>
    <w:rsid w:val="0031031A"/>
    <w:rPr>
      <w:color w:val="0000FF"/>
      <w:u w:val="single"/>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uiPriority w:val="99"/>
    <w:rsid w:val="0031031A"/>
    <w:pPr>
      <w:spacing w:after="160" w:line="240" w:lineRule="exact"/>
      <w:jc w:val="left"/>
    </w:pPr>
    <w:rPr>
      <w:rFonts w:asciiTheme="minorHAnsi" w:eastAsiaTheme="minorHAnsi" w:hAnsiTheme="minorHAnsi" w:cstheme="minorBidi"/>
      <w:kern w:val="2"/>
      <w:szCs w:val="22"/>
      <w:vertAlign w:val="superscript"/>
      <w:lang w:val="en-CA"/>
      <w14:ligatures w14:val="standardContextual"/>
    </w:rPr>
  </w:style>
  <w:style w:type="paragraph" w:customStyle="1" w:styleId="Para1">
    <w:name w:val="Para1"/>
    <w:basedOn w:val="Normal"/>
    <w:link w:val="Para1Char"/>
    <w:rsid w:val="008406B7"/>
    <w:pPr>
      <w:numPr>
        <w:numId w:val="22"/>
      </w:numPr>
      <w:spacing w:before="120" w:after="120"/>
      <w:jc w:val="left"/>
    </w:pPr>
    <w:rPr>
      <w:snapToGrid w:val="0"/>
      <w:sz w:val="24"/>
      <w:szCs w:val="18"/>
      <w:lang w:val="en-CA" w:eastAsia="ja-JP"/>
    </w:rPr>
  </w:style>
  <w:style w:type="paragraph" w:customStyle="1" w:styleId="Para3">
    <w:name w:val="Para3"/>
    <w:basedOn w:val="Normal"/>
    <w:rsid w:val="008406B7"/>
    <w:pPr>
      <w:numPr>
        <w:ilvl w:val="2"/>
        <w:numId w:val="22"/>
      </w:numPr>
      <w:tabs>
        <w:tab w:val="left" w:pos="1980"/>
      </w:tabs>
      <w:spacing w:before="80" w:after="80"/>
      <w:jc w:val="left"/>
    </w:pPr>
    <w:rPr>
      <w:sz w:val="24"/>
      <w:szCs w:val="20"/>
      <w:lang w:val="en-CA" w:eastAsia="ja-JP"/>
    </w:rPr>
  </w:style>
  <w:style w:type="character" w:customStyle="1" w:styleId="Para1Char">
    <w:name w:val="Para1 Char"/>
    <w:link w:val="Para1"/>
    <w:rsid w:val="008406B7"/>
    <w:rPr>
      <w:rFonts w:ascii="Times New Roman" w:eastAsia="Times New Roman" w:hAnsi="Times New Roman" w:cs="Times New Roman"/>
      <w:snapToGrid w:val="0"/>
      <w:kern w:val="0"/>
      <w:sz w:val="24"/>
      <w:szCs w:val="18"/>
      <w:lang w:eastAsia="ja-JP"/>
      <w14:ligatures w14:val="none"/>
    </w:rPr>
  </w:style>
  <w:style w:type="paragraph" w:styleId="ListParagraph">
    <w:name w:val="List Paragraph"/>
    <w:basedOn w:val="Normal"/>
    <w:uiPriority w:val="34"/>
    <w:qFormat/>
    <w:rsid w:val="002B50FE"/>
    <w:pPr>
      <w:ind w:left="720"/>
      <w:contextualSpacing/>
      <w:jc w:val="left"/>
    </w:pPr>
    <w:rPr>
      <w:sz w:val="24"/>
      <w:lang w:val="en-CA" w:eastAsia="ja-JP"/>
    </w:rPr>
  </w:style>
  <w:style w:type="paragraph" w:customStyle="1" w:styleId="StylePara1Kernat11pt">
    <w:name w:val="Style Para1 + Kern at 11 pt"/>
    <w:basedOn w:val="Para1"/>
    <w:rsid w:val="00193836"/>
    <w:pPr>
      <w:numPr>
        <w:numId w:val="4"/>
      </w:numPr>
      <w:jc w:val="both"/>
    </w:pPr>
    <w:rPr>
      <w:kern w:val="22"/>
      <w:sz w:val="22"/>
      <w:lang w:val="en-GB" w:eastAsia="x-none"/>
    </w:rPr>
  </w:style>
  <w:style w:type="paragraph" w:styleId="Revision">
    <w:name w:val="Revision"/>
    <w:hidden/>
    <w:uiPriority w:val="99"/>
    <w:semiHidden/>
    <w:rsid w:val="00FC118B"/>
    <w:pPr>
      <w:spacing w:after="0" w:line="240" w:lineRule="auto"/>
    </w:pPr>
    <w:rPr>
      <w:rFonts w:ascii="Times New Roman" w:eastAsia="Times New Roman" w:hAnsi="Times New Roman" w:cs="Times New Roman"/>
      <w:kern w:val="0"/>
      <w:szCs w:val="24"/>
      <w:lang w:val="en-GB"/>
      <w14:ligatures w14:val="none"/>
    </w:rPr>
  </w:style>
  <w:style w:type="paragraph" w:customStyle="1" w:styleId="Default">
    <w:name w:val="Default"/>
    <w:rsid w:val="005A7646"/>
    <w:pPr>
      <w:autoSpaceDE w:val="0"/>
      <w:autoSpaceDN w:val="0"/>
      <w:adjustRightInd w:val="0"/>
      <w:spacing w:after="0" w:line="240" w:lineRule="auto"/>
    </w:pPr>
    <w:rPr>
      <w:rFonts w:ascii="Segoe UI" w:eastAsiaTheme="minorEastAsia" w:hAnsi="Segoe UI" w:cs="Segoe UI"/>
      <w:color w:val="000000"/>
      <w:kern w:val="0"/>
      <w:sz w:val="24"/>
      <w:szCs w:val="24"/>
      <w:lang w:val="en-US" w:eastAsia="zh-CN"/>
      <w14:ligatures w14:val="none"/>
    </w:rPr>
  </w:style>
  <w:style w:type="character" w:styleId="Mention">
    <w:name w:val="Mention"/>
    <w:basedOn w:val="DefaultParagraphFont"/>
    <w:uiPriority w:val="99"/>
    <w:unhideWhenUsed/>
    <w:rsid w:val="006A0AC7"/>
    <w:rPr>
      <w:color w:val="2B579A"/>
      <w:shd w:val="clear" w:color="auto" w:fill="E1DFDD"/>
    </w:rPr>
  </w:style>
  <w:style w:type="character" w:styleId="UnresolvedMention">
    <w:name w:val="Unresolved Mention"/>
    <w:basedOn w:val="DefaultParagraphFont"/>
    <w:uiPriority w:val="99"/>
    <w:semiHidden/>
    <w:unhideWhenUsed/>
    <w:rsid w:val="00C77E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5"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image" Target="media/image8.png"/><Relationship Id="rId5" Type="http://schemas.openxmlformats.org/officeDocument/2006/relationships/numbering" Target="numbering.xml"/><Relationship Id="rId15" Type="http://schemas.openxmlformats.org/officeDocument/2006/relationships/hyperlink" Target="https://www.cbd.int/doc/decisions/cp-mop-10/cp-mop-10-dec-02-en.pdf" TargetMode="External"/><Relationship Id="rId23" Type="http://schemas.openxmlformats.org/officeDocument/2006/relationships/image" Target="media/image7.png"/><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oc/decisions/cp-mop-10/cp-mop-10-dec-07-en.pdf" TargetMode="External"/><Relationship Id="rId22" Type="http://schemas.openxmlformats.org/officeDocument/2006/relationships/image" Target="media/image6.png"/><Relationship Id="rId27"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s://www.cbd.int/decision/mop/?id=828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bd\Downloads\template-general%20(2).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9CCC1EF6EA74C1FA69465BB67D46B85"/>
        <w:category>
          <w:name w:val="General"/>
          <w:gallery w:val="placeholder"/>
        </w:category>
        <w:types>
          <w:type w:val="bbPlcHdr"/>
        </w:types>
        <w:behaviors>
          <w:behavior w:val="content"/>
        </w:behaviors>
        <w:guid w:val="{EC330558-AAC6-437E-BB84-B79DA46E542C}"/>
      </w:docPartPr>
      <w:docPartBody>
        <w:p w:rsidR="000B25BE" w:rsidRDefault="00074BA4" w:rsidP="00074BA4">
          <w:pPr>
            <w:pStyle w:val="79CCC1EF6EA74C1FA69465BB67D46B85"/>
          </w:pPr>
          <w:r w:rsidRPr="009B5A4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BA4"/>
    <w:rsid w:val="00074BA4"/>
    <w:rsid w:val="000B25BE"/>
    <w:rsid w:val="000F1E07"/>
    <w:rsid w:val="001D06D4"/>
    <w:rsid w:val="00383E70"/>
    <w:rsid w:val="004274FE"/>
    <w:rsid w:val="00517E41"/>
    <w:rsid w:val="0058764F"/>
    <w:rsid w:val="007B0992"/>
    <w:rsid w:val="0081140C"/>
    <w:rsid w:val="00C44CEA"/>
    <w:rsid w:val="00F73AB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4BA4"/>
    <w:rPr>
      <w:color w:val="808080"/>
    </w:rPr>
  </w:style>
  <w:style w:type="paragraph" w:customStyle="1" w:styleId="79CCC1EF6EA74C1FA69465BB67D46B85">
    <w:name w:val="79CCC1EF6EA74C1FA69465BB67D46B85"/>
    <w:rsid w:val="00074B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7" ma:contentTypeDescription="Create a new document." ma:contentTypeScope="" ma:versionID="9f63964816a7cce6b1ca53e677056f3a">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333d8c2498e699af44bad658629b0083"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B887EC-ACD4-4F1D-8FA9-040A4F171191}">
  <ds:schemaRefs>
    <ds:schemaRef ds:uri="http://schemas.openxmlformats.org/officeDocument/2006/bibliography"/>
  </ds:schemaRefs>
</ds:datastoreItem>
</file>

<file path=customXml/itemProps2.xml><?xml version="1.0" encoding="utf-8"?>
<ds:datastoreItem xmlns:ds="http://schemas.openxmlformats.org/officeDocument/2006/customXml" ds:itemID="{8D6D9F93-A4E4-43A8-9C25-9E4C0F3AB9B1}">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customXml/itemProps3.xml><?xml version="1.0" encoding="utf-8"?>
<ds:datastoreItem xmlns:ds="http://schemas.openxmlformats.org/officeDocument/2006/customXml" ds:itemID="{E56DACA2-8C2E-46A4-AF4A-CE8311E2CCEE}">
  <ds:schemaRefs>
    <ds:schemaRef ds:uri="http://schemas.microsoft.com/sharepoint/v3/contenttype/forms"/>
  </ds:schemaRefs>
</ds:datastoreItem>
</file>

<file path=customXml/itemProps4.xml><?xml version="1.0" encoding="utf-8"?>
<ds:datastoreItem xmlns:ds="http://schemas.openxmlformats.org/officeDocument/2006/customXml" ds:itemID="{86B0555B-5853-40CC-963F-624F7BD8F1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template-general (2).dotm</Template>
  <TotalTime>25</TotalTime>
  <Pages>17</Pages>
  <Words>6958</Words>
  <Characters>42864</Characters>
  <Application>Microsoft Office Word</Application>
  <DocSecurity>0</DocSecurity>
  <Lines>680</Lines>
  <Paragraphs>355</Paragraphs>
  <ScaleCrop>false</ScaleCrop>
  <HeadingPairs>
    <vt:vector size="2" baseType="variant">
      <vt:variant>
        <vt:lpstr>Title</vt:lpstr>
      </vt:variant>
      <vt:variant>
        <vt:i4>1</vt:i4>
      </vt:variant>
    </vt:vector>
  </HeadingPairs>
  <TitlesOfParts>
    <vt:vector size="1" baseType="lpstr">
      <vt:lpstr>Title of the document</vt:lpstr>
    </vt:vector>
  </TitlesOfParts>
  <Company/>
  <LinksUpToDate>false</LinksUpToDate>
  <CharactersWithSpaces>49467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compliance in priority areas on the basis of information in the national reports and general issues of compliance</dc:title>
  <dc:subject>CBD/CP/CC/18/3</dc:subject>
  <dc:creator>scbd</dc:creator>
  <cp:keywords/>
  <dc:description/>
  <cp:lastModifiedBy>Veronique Lefebvre</cp:lastModifiedBy>
  <cp:revision>25</cp:revision>
  <dcterms:created xsi:type="dcterms:W3CDTF">2023-10-02T19:37:00Z</dcterms:created>
  <dcterms:modified xsi:type="dcterms:W3CDTF">2023-10-03T13:22:00Z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MediaServiceImageTags">
    <vt:lpwstr/>
  </property>
</Properties>
</file>