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77777777" w:rsidR="000A4D5C" w:rsidRPr="00021D3E" w:rsidRDefault="000A4D5C" w:rsidP="0070122D">
            <w:pPr>
              <w:pStyle w:val="Heading6"/>
              <w:bidi/>
              <w:rPr>
                <w:lang w:bidi="ar-EG"/>
              </w:rPr>
            </w:pPr>
            <w:bookmarkStart w:id="0" w:name="_GoBack"/>
          </w:p>
          <w:p w14:paraId="3D2FA33F" w14:textId="77777777" w:rsidR="000A4D5C" w:rsidRPr="00AC5317" w:rsidRDefault="000A4D5C" w:rsidP="00A1113E">
            <w:pPr>
              <w:bidi w:val="0"/>
              <w:rPr>
                <w:rFonts w:ascii="Univers" w:hAnsi="Univers" w:cs="Arial"/>
                <w:b/>
                <w:bCs/>
                <w:iCs/>
                <w:sz w:val="32"/>
                <w:szCs w:val="32"/>
                <w:lang w:val="en-CA" w:bidi="ar-EG"/>
              </w:rPr>
            </w:pPr>
            <w:bookmarkStart w:id="1" w:name="_Toc341821748"/>
            <w:bookmarkStart w:id="2" w:name="_Toc341823158"/>
            <w:r w:rsidRPr="00AC5317">
              <w:rPr>
                <w:rFonts w:ascii="Univers" w:hAnsi="Univers" w:cs="Arial"/>
                <w:b/>
                <w:bCs/>
                <w:iCs/>
                <w:sz w:val="32"/>
                <w:szCs w:val="32"/>
              </w:rPr>
              <w:t>CBD</w:t>
            </w:r>
            <w:bookmarkEnd w:id="1"/>
            <w:bookmarkEnd w:id="2"/>
          </w:p>
        </w:tc>
        <w:tc>
          <w:tcPr>
            <w:tcW w:w="1440" w:type="dxa"/>
            <w:tcBorders>
              <w:top w:val="nil"/>
              <w:left w:val="nil"/>
              <w:bottom w:val="single" w:sz="12" w:space="0" w:color="auto"/>
              <w:right w:val="nil"/>
            </w:tcBorders>
          </w:tcPr>
          <w:p w14:paraId="67968851" w14:textId="77777777" w:rsidR="000A4D5C" w:rsidRPr="00AC5317" w:rsidRDefault="0070122D" w:rsidP="00C4441D">
            <w:pPr>
              <w:rPr>
                <w:b/>
                <w:bCs/>
              </w:rPr>
            </w:pPr>
            <w:r w:rsidRPr="00AC5317">
              <w:rPr>
                <w:b/>
                <w:noProof/>
                <w:lang w:val="en-GB" w:eastAsia="zh-CN"/>
              </w:rPr>
              <w:drawing>
                <wp:inline distT="0" distB="0" distL="0" distR="0" wp14:anchorId="40E6EF43" wp14:editId="64EE4C99">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14F882DD" w14:textId="77777777" w:rsidR="000A4D5C" w:rsidRPr="00AC5317" w:rsidRDefault="0070122D" w:rsidP="00C4441D">
            <w:r w:rsidRPr="00AC5317">
              <w:rPr>
                <w:noProof/>
                <w:lang w:val="en-GB" w:eastAsia="zh-CN"/>
              </w:rPr>
              <w:drawing>
                <wp:inline distT="0" distB="0" distL="0" distR="0" wp14:anchorId="1ED2DC6F" wp14:editId="1A5F5848">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14:paraId="1CC1204B" w14:textId="77777777" w:rsidR="000A4D5C" w:rsidRPr="00AC5317" w:rsidRDefault="000A4D5C" w:rsidP="00C4441D">
            <w:pPr>
              <w:rPr>
                <w:lang w:bidi="ar-EG"/>
              </w:rPr>
            </w:pPr>
          </w:p>
        </w:tc>
      </w:tr>
      <w:tr w:rsidR="00FD36C4" w:rsidRPr="00AC5317" w14:paraId="2F40588B" w14:textId="77777777" w:rsidTr="00C4441D">
        <w:trPr>
          <w:cantSplit/>
          <w:trHeight w:val="1401"/>
        </w:trPr>
        <w:tc>
          <w:tcPr>
            <w:tcW w:w="3810" w:type="dxa"/>
            <w:tcBorders>
              <w:top w:val="nil"/>
              <w:left w:val="nil"/>
              <w:bottom w:val="single" w:sz="24" w:space="0" w:color="auto"/>
              <w:right w:val="nil"/>
            </w:tcBorders>
          </w:tcPr>
          <w:p w14:paraId="05626BF9" w14:textId="77777777" w:rsidR="00FD36C4" w:rsidRPr="00AC5317" w:rsidRDefault="00FD36C4" w:rsidP="00FD36C4">
            <w:pPr>
              <w:bidi w:val="0"/>
              <w:spacing w:line="240" w:lineRule="auto"/>
              <w:rPr>
                <w:sz w:val="22"/>
                <w:szCs w:val="22"/>
                <w:lang w:val="en-CA"/>
              </w:rPr>
            </w:pPr>
            <w:r w:rsidRPr="00AC5317">
              <w:rPr>
                <w:sz w:val="22"/>
                <w:szCs w:val="22"/>
                <w:lang w:val="en-CA"/>
              </w:rPr>
              <w:t>Distr.</w:t>
            </w:r>
          </w:p>
          <w:p w14:paraId="2BD4D260" w14:textId="7A73B1C4" w:rsidR="00FD36C4" w:rsidRPr="00AC5317" w:rsidRDefault="00871579" w:rsidP="00FD36C4">
            <w:pPr>
              <w:bidi w:val="0"/>
              <w:rPr>
                <w:sz w:val="22"/>
                <w:szCs w:val="22"/>
                <w:lang w:val="en-CA"/>
              </w:rPr>
            </w:pPr>
            <w:r>
              <w:rPr>
                <w:sz w:val="22"/>
                <w:szCs w:val="22"/>
                <w:lang w:val="en-CA"/>
              </w:rPr>
              <w:t>LIMITED</w:t>
            </w:r>
          </w:p>
          <w:p w14:paraId="1E977914" w14:textId="77777777" w:rsidR="00FD36C4" w:rsidRPr="00AC5317" w:rsidRDefault="00FD36C4" w:rsidP="00FD36C4">
            <w:pPr>
              <w:bidi w:val="0"/>
              <w:rPr>
                <w:sz w:val="22"/>
                <w:szCs w:val="22"/>
              </w:rPr>
            </w:pPr>
          </w:p>
          <w:p w14:paraId="340CC3B1" w14:textId="5F1702A3" w:rsidR="00FD36C4" w:rsidRPr="00AC5317" w:rsidRDefault="007A12FB" w:rsidP="00FD36C4">
            <w:pPr>
              <w:bidi w:val="0"/>
              <w:spacing w:before="60"/>
              <w:rPr>
                <w:sz w:val="22"/>
                <w:szCs w:val="22"/>
              </w:rPr>
            </w:pPr>
            <w:r w:rsidRPr="007A12FB">
              <w:rPr>
                <w:sz w:val="22"/>
                <w:szCs w:val="22"/>
                <w:lang w:val="en-CA"/>
              </w:rPr>
              <w:t>CBD/NP/MOP/3/L.13</w:t>
            </w:r>
          </w:p>
          <w:p w14:paraId="68BC2574" w14:textId="42101E70" w:rsidR="00FD36C4" w:rsidRPr="00AC5317" w:rsidRDefault="007A12FB" w:rsidP="00FD36C4">
            <w:pPr>
              <w:bidi w:val="0"/>
              <w:spacing w:before="60"/>
              <w:rPr>
                <w:sz w:val="22"/>
                <w:szCs w:val="22"/>
                <w:lang w:val="en-CA"/>
              </w:rPr>
            </w:pPr>
            <w:r>
              <w:rPr>
                <w:sz w:val="22"/>
                <w:szCs w:val="22"/>
                <w:lang w:val="en-CA"/>
              </w:rPr>
              <w:t>29</w:t>
            </w:r>
            <w:r w:rsidR="00FD36C4">
              <w:rPr>
                <w:sz w:val="22"/>
                <w:szCs w:val="22"/>
                <w:lang w:val="en-CA"/>
              </w:rPr>
              <w:t xml:space="preserve"> </w:t>
            </w:r>
            <w:r w:rsidR="00871579">
              <w:rPr>
                <w:sz w:val="22"/>
                <w:szCs w:val="22"/>
                <w:lang w:val="en-CA"/>
              </w:rPr>
              <w:t>November</w:t>
            </w:r>
            <w:r w:rsidR="00FD36C4" w:rsidRPr="00AC5317">
              <w:rPr>
                <w:sz w:val="22"/>
                <w:szCs w:val="22"/>
                <w:lang w:val="en-CA"/>
              </w:rPr>
              <w:t xml:space="preserve"> 2018</w:t>
            </w:r>
          </w:p>
          <w:p w14:paraId="14F5D046" w14:textId="77777777" w:rsidR="00FD36C4" w:rsidRPr="00AC5317" w:rsidRDefault="00FD36C4" w:rsidP="00FD36C4">
            <w:pPr>
              <w:bidi w:val="0"/>
              <w:rPr>
                <w:sz w:val="22"/>
                <w:szCs w:val="22"/>
                <w:lang w:val="en-CA"/>
              </w:rPr>
            </w:pPr>
          </w:p>
          <w:p w14:paraId="3543CDF2" w14:textId="77777777" w:rsidR="00FD36C4" w:rsidRPr="00AC5317" w:rsidRDefault="00FD36C4" w:rsidP="00FD36C4">
            <w:pPr>
              <w:bidi w:val="0"/>
              <w:rPr>
                <w:sz w:val="22"/>
                <w:szCs w:val="22"/>
                <w:lang w:val="en-CA"/>
              </w:rPr>
            </w:pPr>
            <w:r w:rsidRPr="00AC5317">
              <w:rPr>
                <w:sz w:val="22"/>
                <w:szCs w:val="22"/>
                <w:lang w:val="en-CA"/>
              </w:rPr>
              <w:t>ARABIC</w:t>
            </w:r>
          </w:p>
          <w:p w14:paraId="773EB526" w14:textId="05407F74" w:rsidR="00FD36C4" w:rsidRPr="00AC5317" w:rsidRDefault="00FD36C4" w:rsidP="00FD36C4">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FD36C4" w:rsidRPr="00AC5317" w:rsidRDefault="00FD36C4" w:rsidP="00FD36C4">
            <w:pPr>
              <w:tabs>
                <w:tab w:val="left" w:pos="-720"/>
              </w:tabs>
              <w:suppressAutoHyphens/>
              <w:spacing w:before="120"/>
              <w:rPr>
                <w:rtl/>
                <w:lang w:bidi="ar-EG"/>
              </w:rPr>
            </w:pPr>
            <w:r w:rsidRPr="00AC5317">
              <w:rPr>
                <w:b/>
                <w:bCs/>
                <w:noProof/>
                <w:sz w:val="36"/>
                <w:szCs w:val="36"/>
                <w:lang w:val="en-GB" w:eastAsia="zh-CN"/>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6F220CA2" w14:textId="77777777" w:rsidR="007A12FB" w:rsidRPr="00DC35DE" w:rsidRDefault="007A12FB" w:rsidP="007A12FB">
      <w:pPr>
        <w:spacing w:before="60"/>
        <w:ind w:left="302" w:right="302" w:hanging="302"/>
        <w:rPr>
          <w:b/>
          <w:bCs/>
          <w:sz w:val="22"/>
          <w:szCs w:val="26"/>
          <w:rtl/>
          <w:lang w:bidi="ar-EG"/>
        </w:rPr>
      </w:pPr>
      <w:r w:rsidRPr="00DC35DE">
        <w:rPr>
          <w:rFonts w:hint="cs"/>
          <w:b/>
          <w:bCs/>
          <w:sz w:val="22"/>
          <w:szCs w:val="26"/>
          <w:rtl/>
        </w:rPr>
        <w:t>مؤتمر الأطراف في الاتفاقية</w:t>
      </w:r>
      <w:r w:rsidRPr="00DC35DE">
        <w:rPr>
          <w:rFonts w:hint="cs"/>
          <w:b/>
          <w:bCs/>
          <w:sz w:val="22"/>
          <w:szCs w:val="26"/>
          <w:rtl/>
          <w:lang w:bidi="ar-EG"/>
        </w:rPr>
        <w:t xml:space="preserve"> المتعلقة بالتنوع البيولوجي</w:t>
      </w:r>
    </w:p>
    <w:p w14:paraId="084B8982" w14:textId="77777777" w:rsidR="007A12FB" w:rsidRPr="00DC35DE" w:rsidRDefault="007A12FB" w:rsidP="007A12FB">
      <w:pPr>
        <w:ind w:left="270" w:right="302"/>
        <w:rPr>
          <w:b/>
          <w:bCs/>
          <w:sz w:val="22"/>
          <w:szCs w:val="26"/>
          <w:rtl/>
        </w:rPr>
      </w:pPr>
      <w:r w:rsidRPr="00DC35DE">
        <w:rPr>
          <w:rFonts w:hint="cs"/>
          <w:b/>
          <w:bCs/>
          <w:sz w:val="22"/>
          <w:szCs w:val="26"/>
          <w:rtl/>
          <w:lang w:bidi="ar-EG"/>
        </w:rPr>
        <w:t>العامل كاجتماع للأطراف في</w:t>
      </w:r>
      <w:r w:rsidRPr="00DC35DE">
        <w:rPr>
          <w:rFonts w:hint="cs"/>
          <w:b/>
          <w:bCs/>
          <w:sz w:val="22"/>
          <w:szCs w:val="26"/>
          <w:rtl/>
        </w:rPr>
        <w:t xml:space="preserve"> بروتوكول ناغويا</w:t>
      </w:r>
    </w:p>
    <w:p w14:paraId="54E6EE02" w14:textId="77777777" w:rsidR="007A12FB" w:rsidRPr="00DC35DE" w:rsidRDefault="007A12FB" w:rsidP="007A12FB">
      <w:pPr>
        <w:ind w:left="270" w:right="302"/>
        <w:rPr>
          <w:b/>
          <w:bCs/>
          <w:sz w:val="22"/>
          <w:szCs w:val="26"/>
          <w:rtl/>
        </w:rPr>
      </w:pPr>
      <w:r w:rsidRPr="00DC35DE">
        <w:rPr>
          <w:rFonts w:hint="cs"/>
          <w:b/>
          <w:bCs/>
          <w:sz w:val="22"/>
          <w:szCs w:val="26"/>
          <w:rtl/>
        </w:rPr>
        <w:t>بشأن الحصول على الموارد الجينية والتقاسم</w:t>
      </w:r>
    </w:p>
    <w:p w14:paraId="4390726F" w14:textId="3A459BE4" w:rsidR="00E43397" w:rsidRPr="00AC5317" w:rsidRDefault="007A12FB" w:rsidP="007A12FB">
      <w:pPr>
        <w:ind w:left="270" w:right="302"/>
        <w:rPr>
          <w:b/>
          <w:bCs/>
          <w:sz w:val="26"/>
          <w:szCs w:val="26"/>
          <w:rtl/>
        </w:rPr>
      </w:pPr>
      <w:r w:rsidRPr="00DC35DE">
        <w:rPr>
          <w:rFonts w:hint="cs"/>
          <w:b/>
          <w:bCs/>
          <w:sz w:val="22"/>
          <w:szCs w:val="26"/>
          <w:rtl/>
        </w:rPr>
        <w:t>العادل والمنصف للمنافع الناشئة عن استخدامها</w:t>
      </w:r>
    </w:p>
    <w:p w14:paraId="1782DFDF" w14:textId="279EFF7A" w:rsidR="000A4D5C" w:rsidRPr="00AC5317" w:rsidRDefault="000A4D5C" w:rsidP="004F0617">
      <w:pPr>
        <w:pStyle w:val="Heading7"/>
        <w:spacing w:before="0" w:after="0"/>
        <w:jc w:val="both"/>
        <w:rPr>
          <w:rFonts w:cs="Simplified Arabic"/>
          <w:sz w:val="26"/>
          <w:szCs w:val="26"/>
          <w:rtl/>
          <w:lang w:bidi="ar-EG"/>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7A12FB">
        <w:rPr>
          <w:rFonts w:cs="Simplified Arabic" w:hint="cs"/>
          <w:sz w:val="26"/>
          <w:szCs w:val="26"/>
          <w:rtl/>
          <w:lang w:bidi="ar-EG"/>
        </w:rPr>
        <w:t>الثالث</w:t>
      </w:r>
    </w:p>
    <w:p w14:paraId="12D335CC" w14:textId="733A1A80" w:rsidR="000A4D5C" w:rsidRPr="00AC5317" w:rsidRDefault="004F0617" w:rsidP="00D35BE9">
      <w:pPr>
        <w:jc w:val="both"/>
        <w:rPr>
          <w:sz w:val="26"/>
          <w:szCs w:val="26"/>
          <w:rtl/>
          <w:lang w:bidi="ar-LY"/>
        </w:rPr>
      </w:pPr>
      <w:r w:rsidRPr="00AC5317">
        <w:rPr>
          <w:rFonts w:hint="cs"/>
          <w:sz w:val="26"/>
          <w:szCs w:val="26"/>
          <w:rtl/>
          <w:lang w:bidi="ar-LY"/>
        </w:rPr>
        <w:t>شرم الشيخ، مصر</w:t>
      </w:r>
      <w:r w:rsidR="0021294E" w:rsidRPr="00AC5317">
        <w:rPr>
          <w:rFonts w:hint="cs"/>
          <w:sz w:val="26"/>
          <w:szCs w:val="26"/>
          <w:rtl/>
          <w:lang w:bidi="ar-LY"/>
        </w:rPr>
        <w:t xml:space="preserve">، </w:t>
      </w:r>
      <w:r w:rsidR="00D35BE9" w:rsidRPr="00742C70">
        <w:rPr>
          <w:rFonts w:hint="cs"/>
          <w:sz w:val="22"/>
          <w:szCs w:val="26"/>
          <w:rtl/>
          <w:lang w:bidi="ar-LY"/>
        </w:rPr>
        <w:t>17</w:t>
      </w:r>
      <w:r w:rsidRPr="00AC5317">
        <w:rPr>
          <w:rFonts w:hint="cs"/>
          <w:sz w:val="26"/>
          <w:szCs w:val="26"/>
          <w:rtl/>
          <w:lang w:bidi="ar-LY"/>
        </w:rPr>
        <w:t>-</w:t>
      </w:r>
      <w:r w:rsidR="00D35BE9" w:rsidRPr="00742C70">
        <w:rPr>
          <w:rFonts w:hint="cs"/>
          <w:sz w:val="22"/>
          <w:szCs w:val="26"/>
          <w:rtl/>
          <w:lang w:bidi="ar-LY"/>
        </w:rPr>
        <w:t>29</w:t>
      </w:r>
      <w:r w:rsidR="000A4D5C" w:rsidRPr="00AC5317">
        <w:rPr>
          <w:rFonts w:hint="cs"/>
          <w:sz w:val="26"/>
          <w:szCs w:val="26"/>
          <w:rtl/>
          <w:lang w:bidi="ar-LY"/>
        </w:rPr>
        <w:t xml:space="preserve"> </w:t>
      </w:r>
      <w:r w:rsidR="00BB20CE">
        <w:rPr>
          <w:rFonts w:hint="cs"/>
          <w:sz w:val="26"/>
          <w:szCs w:val="26"/>
          <w:rtl/>
          <w:lang w:bidi="ar-LY"/>
        </w:rPr>
        <w:t>نوفمبر/تشرين الثاني</w:t>
      </w:r>
      <w:r w:rsidR="0021294E" w:rsidRPr="00AC5317">
        <w:rPr>
          <w:rFonts w:hint="cs"/>
          <w:sz w:val="26"/>
          <w:szCs w:val="26"/>
          <w:rtl/>
          <w:lang w:bidi="ar-LY"/>
        </w:rPr>
        <w:t xml:space="preserve"> </w:t>
      </w:r>
      <w:r w:rsidR="0021294E" w:rsidRPr="00742C70">
        <w:rPr>
          <w:rFonts w:hint="cs"/>
          <w:sz w:val="22"/>
          <w:szCs w:val="26"/>
          <w:rtl/>
          <w:lang w:bidi="ar-LY"/>
        </w:rPr>
        <w:t>201</w:t>
      </w:r>
      <w:r w:rsidRPr="00742C70">
        <w:rPr>
          <w:rFonts w:hint="cs"/>
          <w:sz w:val="22"/>
          <w:szCs w:val="26"/>
          <w:rtl/>
          <w:lang w:bidi="ar-LY"/>
        </w:rPr>
        <w:t>8</w:t>
      </w:r>
    </w:p>
    <w:p w14:paraId="4BC38709" w14:textId="0FF31CAA" w:rsidR="00370C6E" w:rsidRPr="00AC5317" w:rsidRDefault="00370C6E" w:rsidP="004F0617">
      <w:pPr>
        <w:jc w:val="both"/>
        <w:rPr>
          <w:sz w:val="26"/>
          <w:szCs w:val="26"/>
          <w:rtl/>
          <w:lang w:bidi="ar-EG"/>
        </w:rPr>
      </w:pPr>
      <w:r w:rsidRPr="00AC5317">
        <w:rPr>
          <w:rFonts w:hint="cs"/>
          <w:sz w:val="26"/>
          <w:szCs w:val="26"/>
          <w:rtl/>
          <w:lang w:bidi="ar-LY"/>
        </w:rPr>
        <w:t xml:space="preserve">البند </w:t>
      </w:r>
      <w:r w:rsidR="007A12FB">
        <w:rPr>
          <w:rFonts w:hint="cs"/>
          <w:sz w:val="22"/>
          <w:szCs w:val="26"/>
          <w:rtl/>
          <w:lang w:bidi="ar-LY"/>
        </w:rPr>
        <w:t>19</w:t>
      </w:r>
      <w:r w:rsidRPr="00AC5317">
        <w:rPr>
          <w:rFonts w:hint="cs"/>
          <w:sz w:val="26"/>
          <w:szCs w:val="26"/>
          <w:rtl/>
          <w:lang w:bidi="ar-LY"/>
        </w:rPr>
        <w:t xml:space="preserve"> من جدول الأعمال</w:t>
      </w:r>
    </w:p>
    <w:p w14:paraId="60EDFE15" w14:textId="4615F722" w:rsidR="007A12FB" w:rsidRPr="007A12FB" w:rsidRDefault="007A12FB" w:rsidP="007A12FB">
      <w:pPr>
        <w:spacing w:before="120" w:after="120"/>
        <w:jc w:val="center"/>
        <w:rPr>
          <w:rFonts w:eastAsia="Malgun Gothic"/>
          <w:bCs/>
          <w:kern w:val="0"/>
          <w:sz w:val="24"/>
          <w:szCs w:val="28"/>
          <w:rtl/>
          <w:lang w:val="fr-CA"/>
        </w:rPr>
      </w:pPr>
      <w:r w:rsidRPr="007A12FB">
        <w:rPr>
          <w:rFonts w:hint="cs"/>
          <w:bCs/>
          <w:sz w:val="24"/>
          <w:szCs w:val="28"/>
          <w:rtl/>
          <w:lang w:val="fr-CA"/>
        </w:rPr>
        <w:t>الآلية العالمية المتعددة الأطراف لتقاسم المنافع (المادة 10)</w:t>
      </w:r>
      <w:r w:rsidR="00E851CF">
        <w:rPr>
          <w:rFonts w:hint="cs"/>
          <w:bCs/>
          <w:sz w:val="24"/>
          <w:szCs w:val="28"/>
          <w:rtl/>
          <w:lang w:val="fr-CA"/>
        </w:rPr>
        <w:t xml:space="preserve"> </w:t>
      </w:r>
    </w:p>
    <w:p w14:paraId="25395235" w14:textId="77777777" w:rsidR="007A12FB" w:rsidRPr="000A35E3" w:rsidRDefault="007A12FB" w:rsidP="007A12FB">
      <w:pPr>
        <w:spacing w:after="120"/>
        <w:jc w:val="center"/>
        <w:rPr>
          <w:rFonts w:eastAsia="Malgun Gothic"/>
          <w:bCs/>
          <w:kern w:val="0"/>
          <w:sz w:val="22"/>
          <w:rtl/>
          <w:lang w:val="fr-CA"/>
        </w:rPr>
      </w:pPr>
      <w:r w:rsidRPr="000A35E3">
        <w:rPr>
          <w:rFonts w:eastAsia="Malgun Gothic" w:hint="cs"/>
          <w:bCs/>
          <w:kern w:val="0"/>
          <w:sz w:val="22"/>
          <w:rtl/>
          <w:lang w:val="fr-CA"/>
        </w:rPr>
        <w:t>مشروع مقرر مقدم من رئيس الفريق العامل الأول</w:t>
      </w:r>
    </w:p>
    <w:p w14:paraId="23138848" w14:textId="77777777" w:rsidR="007A12FB" w:rsidRPr="000A35E3" w:rsidRDefault="007A12FB" w:rsidP="007A12FB">
      <w:pPr>
        <w:spacing w:after="120"/>
        <w:ind w:firstLine="720"/>
        <w:rPr>
          <w:b/>
          <w:i/>
          <w:iCs/>
          <w:sz w:val="22"/>
          <w:rtl/>
          <w:lang w:val="fr-CA"/>
        </w:rPr>
      </w:pPr>
      <w:r w:rsidRPr="000A35E3">
        <w:rPr>
          <w:rFonts w:hint="cs"/>
          <w:b/>
          <w:i/>
          <w:iCs/>
          <w:sz w:val="22"/>
          <w:rtl/>
          <w:lang w:val="fr-CA"/>
        </w:rPr>
        <w:t>إن مؤتمر الأطراف العامل كاجتماع للأطراف في بروتوكول ناغويا،</w:t>
      </w:r>
    </w:p>
    <w:p w14:paraId="3F600181" w14:textId="77777777" w:rsidR="007A12FB" w:rsidRPr="000A35E3" w:rsidRDefault="007A12FB" w:rsidP="007A12FB">
      <w:pPr>
        <w:spacing w:after="120"/>
        <w:ind w:firstLine="720"/>
        <w:rPr>
          <w:rFonts w:eastAsia="Times New Roman"/>
          <w:sz w:val="22"/>
          <w:rtl/>
          <w:lang w:val="en-CA" w:eastAsia="en-CA"/>
        </w:rPr>
      </w:pPr>
      <w:r w:rsidRPr="000A35E3">
        <w:rPr>
          <w:rFonts w:eastAsia="Times New Roman" w:hint="cs"/>
          <w:i/>
          <w:iCs/>
          <w:sz w:val="22"/>
          <w:rtl/>
          <w:lang w:val="en-CA" w:eastAsia="en-CA"/>
        </w:rPr>
        <w:t>إذ يضع في اعتباره</w:t>
      </w:r>
      <w:r w:rsidRPr="000A35E3">
        <w:rPr>
          <w:rFonts w:eastAsia="Times New Roman" w:hint="cs"/>
          <w:sz w:val="22"/>
          <w:rtl/>
          <w:lang w:val="en-CA" w:eastAsia="en-CA"/>
        </w:rPr>
        <w:t xml:space="preserve"> هدف بروتوكول ناغويا،</w:t>
      </w:r>
    </w:p>
    <w:p w14:paraId="6126996A" w14:textId="77777777" w:rsidR="007A12FB" w:rsidRPr="000A35E3" w:rsidRDefault="007A12FB" w:rsidP="007A12FB">
      <w:pPr>
        <w:spacing w:after="120"/>
        <w:ind w:firstLine="720"/>
        <w:rPr>
          <w:rFonts w:eastAsia="Times New Roman"/>
          <w:sz w:val="22"/>
          <w:rtl/>
          <w:lang w:val="en-CA" w:eastAsia="en-CA"/>
        </w:rPr>
      </w:pPr>
      <w:r w:rsidRPr="000A35E3">
        <w:rPr>
          <w:rFonts w:eastAsia="Times New Roman" w:hint="cs"/>
          <w:i/>
          <w:iCs/>
          <w:sz w:val="22"/>
          <w:rtl/>
          <w:lang w:val="en-CA" w:eastAsia="en-CA"/>
        </w:rPr>
        <w:t>وإذ يشير</w:t>
      </w:r>
      <w:r w:rsidRPr="000A35E3">
        <w:rPr>
          <w:rFonts w:eastAsia="Times New Roman" w:hint="cs"/>
          <w:sz w:val="22"/>
          <w:rtl/>
          <w:lang w:val="en-CA" w:eastAsia="en-CA"/>
        </w:rPr>
        <w:t xml:space="preserve"> إلى الحقوق السيادية للدول في مواردها الجينية،</w:t>
      </w:r>
    </w:p>
    <w:p w14:paraId="20D85266" w14:textId="77777777" w:rsidR="007A12FB" w:rsidRPr="000A35E3" w:rsidRDefault="007A12FB" w:rsidP="007A12FB">
      <w:pPr>
        <w:spacing w:after="120"/>
        <w:ind w:firstLine="720"/>
        <w:rPr>
          <w:rFonts w:eastAsia="Times New Roman"/>
          <w:sz w:val="22"/>
          <w:rtl/>
          <w:lang w:val="en-CA" w:eastAsia="en-CA"/>
        </w:rPr>
      </w:pPr>
      <w:r w:rsidRPr="000A35E3">
        <w:rPr>
          <w:rFonts w:eastAsia="Times New Roman" w:hint="cs"/>
          <w:i/>
          <w:iCs/>
          <w:sz w:val="22"/>
          <w:rtl/>
          <w:lang w:val="en-CA" w:eastAsia="en-CA"/>
        </w:rPr>
        <w:t>وإذ يشير</w:t>
      </w:r>
      <w:r w:rsidRPr="000A35E3">
        <w:rPr>
          <w:rFonts w:eastAsia="Times New Roman" w:hint="cs"/>
          <w:i/>
          <w:iCs/>
          <w:sz w:val="22"/>
          <w:rtl/>
          <w:lang w:val="en-CA" w:eastAsia="en-CA" w:bidi="ar-EG"/>
        </w:rPr>
        <w:t xml:space="preserve"> أيضا</w:t>
      </w:r>
      <w:r w:rsidRPr="000A35E3">
        <w:rPr>
          <w:rFonts w:eastAsia="Times New Roman" w:hint="cs"/>
          <w:sz w:val="22"/>
          <w:rtl/>
          <w:lang w:val="en-CA" w:eastAsia="en-CA"/>
        </w:rPr>
        <w:t xml:space="preserve"> إلى المادة 10 من بروتوكول ناغويا،</w:t>
      </w:r>
    </w:p>
    <w:p w14:paraId="25DDD332" w14:textId="77777777" w:rsidR="007A12FB" w:rsidRDefault="007A12FB" w:rsidP="007A12FB">
      <w:pPr>
        <w:spacing w:after="120"/>
        <w:ind w:firstLine="720"/>
        <w:rPr>
          <w:rFonts w:eastAsia="Times New Roman"/>
          <w:sz w:val="22"/>
          <w:rtl/>
          <w:lang w:val="en-CA" w:eastAsia="en-CA"/>
        </w:rPr>
      </w:pPr>
      <w:r w:rsidRPr="000A35E3">
        <w:rPr>
          <w:rFonts w:eastAsia="Times New Roman" w:hint="cs"/>
          <w:i/>
          <w:iCs/>
          <w:sz w:val="22"/>
          <w:rtl/>
          <w:lang w:val="en-CA" w:eastAsia="en-CA"/>
        </w:rPr>
        <w:t>وإذ يشير كذلك</w:t>
      </w:r>
      <w:r w:rsidRPr="000A35E3">
        <w:rPr>
          <w:rFonts w:eastAsia="Times New Roman" w:hint="cs"/>
          <w:sz w:val="22"/>
          <w:rtl/>
          <w:lang w:val="en-CA" w:eastAsia="en-CA"/>
        </w:rPr>
        <w:t xml:space="preserve"> إلى الم</w:t>
      </w:r>
      <w:r>
        <w:rPr>
          <w:rFonts w:eastAsia="Times New Roman" w:hint="cs"/>
          <w:sz w:val="22"/>
          <w:rtl/>
          <w:lang w:val="en-CA" w:eastAsia="en-CA"/>
        </w:rPr>
        <w:t>واد 9</w:t>
      </w:r>
      <w:r w:rsidRPr="000A35E3">
        <w:rPr>
          <w:rFonts w:eastAsia="Times New Roman" w:hint="cs"/>
          <w:sz w:val="22"/>
          <w:rtl/>
          <w:lang w:val="en-CA" w:eastAsia="en-CA"/>
        </w:rPr>
        <w:t xml:space="preserve"> </w:t>
      </w:r>
      <w:r>
        <w:rPr>
          <w:rFonts w:eastAsia="Times New Roman" w:hint="cs"/>
          <w:sz w:val="22"/>
          <w:rtl/>
          <w:lang w:val="en-CA" w:eastAsia="en-CA"/>
        </w:rPr>
        <w:t>و</w:t>
      </w:r>
      <w:r w:rsidRPr="000A35E3">
        <w:rPr>
          <w:rFonts w:eastAsia="Times New Roman" w:hint="cs"/>
          <w:sz w:val="22"/>
          <w:rtl/>
          <w:lang w:val="en-CA" w:eastAsia="en-CA"/>
        </w:rPr>
        <w:t>11 و22 من بروتوكول ناغويا،</w:t>
      </w:r>
    </w:p>
    <w:p w14:paraId="49FBEB39" w14:textId="77777777" w:rsidR="007A12FB" w:rsidRPr="000A35E3" w:rsidRDefault="007A12FB" w:rsidP="007A12FB">
      <w:pPr>
        <w:spacing w:after="120"/>
        <w:ind w:firstLine="720"/>
        <w:rPr>
          <w:rFonts w:eastAsia="Times New Roman"/>
          <w:sz w:val="22"/>
          <w:rtl/>
          <w:lang w:val="en-CA" w:eastAsia="en-CA"/>
        </w:rPr>
      </w:pPr>
      <w:r w:rsidRPr="008029F9">
        <w:rPr>
          <w:rFonts w:eastAsia="Times New Roman" w:hint="cs"/>
          <w:i/>
          <w:iCs/>
          <w:sz w:val="22"/>
          <w:rtl/>
          <w:lang w:val="en-CA" w:eastAsia="en-CA"/>
        </w:rPr>
        <w:t>وإذ يشير</w:t>
      </w:r>
      <w:r>
        <w:rPr>
          <w:rFonts w:eastAsia="Times New Roman" w:hint="cs"/>
          <w:sz w:val="22"/>
          <w:rtl/>
          <w:lang w:val="en-CA" w:eastAsia="en-CA"/>
        </w:rPr>
        <w:t xml:space="preserve"> إلى المقررات 11/1 باء، و</w:t>
      </w:r>
      <w:r>
        <w:rPr>
          <w:rFonts w:eastAsia="Times New Roman"/>
          <w:sz w:val="22"/>
          <w:lang w:eastAsia="en-CA"/>
        </w:rPr>
        <w:t>NP-1/10</w:t>
      </w:r>
      <w:r>
        <w:rPr>
          <w:rFonts w:eastAsia="Times New Roman" w:hint="cs"/>
          <w:sz w:val="22"/>
          <w:rtl/>
          <w:lang w:val="en-CA" w:eastAsia="en-CA"/>
        </w:rPr>
        <w:t xml:space="preserve"> و</w:t>
      </w:r>
      <w:r>
        <w:rPr>
          <w:rFonts w:eastAsia="Times New Roman"/>
          <w:sz w:val="22"/>
          <w:lang w:eastAsia="en-CA"/>
        </w:rPr>
        <w:t>NP-2/10</w:t>
      </w:r>
      <w:r>
        <w:rPr>
          <w:rFonts w:eastAsia="Times New Roman" w:hint="cs"/>
          <w:sz w:val="22"/>
          <w:rtl/>
          <w:lang w:val="en-CA" w:eastAsia="en-CA"/>
        </w:rPr>
        <w:t xml:space="preserve"> ومع الاستعانة بالعمل المضطلع به عملا لهذه المقررات،</w:t>
      </w:r>
    </w:p>
    <w:p w14:paraId="607BBD2D" w14:textId="77777777" w:rsidR="007A12FB" w:rsidRPr="000A35E3" w:rsidRDefault="007A12FB" w:rsidP="007A12FB">
      <w:pPr>
        <w:spacing w:after="120"/>
        <w:ind w:firstLine="720"/>
        <w:rPr>
          <w:rFonts w:eastAsia="Malgun Gothic"/>
          <w:sz w:val="22"/>
          <w:szCs w:val="22"/>
        </w:rPr>
      </w:pPr>
      <w:r w:rsidRPr="000A35E3">
        <w:rPr>
          <w:rFonts w:eastAsia="Times New Roman" w:hint="cs"/>
          <w:i/>
          <w:iCs/>
          <w:sz w:val="22"/>
          <w:rtl/>
          <w:lang w:val="en-CA" w:eastAsia="en-CA"/>
        </w:rPr>
        <w:t>وإذ يدرك</w:t>
      </w:r>
      <w:r w:rsidRPr="000A35E3">
        <w:rPr>
          <w:rFonts w:eastAsia="Times New Roman" w:hint="cs"/>
          <w:sz w:val="22"/>
          <w:rtl/>
          <w:lang w:val="en-CA" w:eastAsia="en-CA"/>
        </w:rPr>
        <w:t xml:space="preserve"> الخبرات المكتسبة من تنفيذ بروتوكول ناغويا منذ دخوله حيز النفاذ مع الإقرار بأن الكثير من الأطراف ما زالت في عملية </w:t>
      </w:r>
      <w:r>
        <w:rPr>
          <w:rFonts w:eastAsia="Times New Roman" w:hint="cs"/>
          <w:sz w:val="22"/>
          <w:rtl/>
          <w:lang w:val="en-CA" w:eastAsia="en-CA"/>
        </w:rPr>
        <w:t>تطوير</w:t>
      </w:r>
      <w:r w:rsidRPr="000A35E3">
        <w:rPr>
          <w:rFonts w:eastAsia="Times New Roman" w:hint="cs"/>
          <w:sz w:val="22"/>
          <w:rtl/>
          <w:lang w:val="en-CA" w:eastAsia="en-CA"/>
        </w:rPr>
        <w:t xml:space="preserve"> تدابير قانونية وإدارية وسياساتية وترتيبات مؤسسية بشأن الحصول وتقاسم المنافع،</w:t>
      </w:r>
    </w:p>
    <w:p w14:paraId="06154E87" w14:textId="77777777" w:rsidR="007A12FB" w:rsidRPr="000A35E3" w:rsidRDefault="007A12FB" w:rsidP="007A12FB">
      <w:pPr>
        <w:spacing w:after="120"/>
        <w:ind w:firstLine="720"/>
        <w:rPr>
          <w:rFonts w:eastAsia="Times New Roman"/>
          <w:sz w:val="22"/>
          <w:rtl/>
          <w:lang w:val="en-CA" w:eastAsia="en-CA"/>
        </w:rPr>
      </w:pPr>
      <w:r w:rsidRPr="000A35E3">
        <w:rPr>
          <w:rFonts w:eastAsia="Times New Roman" w:hint="cs"/>
          <w:i/>
          <w:iCs/>
          <w:sz w:val="22"/>
          <w:rtl/>
          <w:lang w:val="en-CA" w:eastAsia="en-CA"/>
        </w:rPr>
        <w:t>وإذ يدرك أيضا</w:t>
      </w:r>
      <w:r w:rsidRPr="000A35E3">
        <w:rPr>
          <w:rFonts w:eastAsia="Times New Roman" w:hint="cs"/>
          <w:sz w:val="22"/>
          <w:rtl/>
          <w:lang w:val="en-CA" w:eastAsia="en-CA"/>
        </w:rPr>
        <w:t xml:space="preserve"> الحاجة الجارية إلى بناء القدرات من أجل دعم الأطراف والشعوب الأصلية والمجتمعات المحلية في إعداد وتنفيذ التدابير التشريعية والإدارية والسياساتية بشأن الحصول وتقاسم المنافع،</w:t>
      </w:r>
    </w:p>
    <w:p w14:paraId="7A724916" w14:textId="77777777" w:rsidR="007A12FB" w:rsidRPr="000A35E3" w:rsidRDefault="007A12FB" w:rsidP="007A12FB">
      <w:pPr>
        <w:numPr>
          <w:ilvl w:val="0"/>
          <w:numId w:val="35"/>
        </w:numPr>
        <w:spacing w:after="120"/>
        <w:ind w:left="0" w:firstLine="720"/>
        <w:jc w:val="both"/>
        <w:rPr>
          <w:rFonts w:eastAsia="Times New Roman"/>
          <w:sz w:val="22"/>
          <w:lang w:val="en-CA" w:eastAsia="en-CA" w:bidi="ar-EG"/>
        </w:rPr>
      </w:pPr>
      <w:r w:rsidRPr="000A35E3">
        <w:rPr>
          <w:rFonts w:eastAsia="Times New Roman" w:hint="cs"/>
          <w:i/>
          <w:iCs/>
          <w:sz w:val="22"/>
          <w:rtl/>
          <w:lang w:val="en-CA" w:eastAsia="en-CA" w:bidi="ar-EG"/>
        </w:rPr>
        <w:t>يرحب</w:t>
      </w:r>
      <w:r w:rsidRPr="000A35E3">
        <w:rPr>
          <w:rFonts w:eastAsia="Times New Roman" w:hint="cs"/>
          <w:sz w:val="22"/>
          <w:rtl/>
          <w:lang w:val="en-CA" w:eastAsia="en-CA" w:bidi="ar-EG"/>
        </w:rPr>
        <w:t xml:space="preserve"> بالمعلومات التي جمّعتها الأمينة التنفيذية من خلال التقارير الوطنية المؤقتة وغرفة تبادل معلومات الحصول وتقاسم المنافع ذات الصلة بالمادة 10؛</w:t>
      </w:r>
    </w:p>
    <w:p w14:paraId="0D6ACC1A" w14:textId="77777777" w:rsidR="007A12FB" w:rsidRPr="000A35E3" w:rsidRDefault="007A12FB" w:rsidP="007A12FB">
      <w:pPr>
        <w:numPr>
          <w:ilvl w:val="0"/>
          <w:numId w:val="35"/>
        </w:numPr>
        <w:spacing w:after="120"/>
        <w:ind w:left="0" w:firstLine="720"/>
        <w:jc w:val="both"/>
        <w:rPr>
          <w:rFonts w:eastAsia="Times New Roman"/>
          <w:sz w:val="22"/>
          <w:lang w:val="en-CA" w:eastAsia="en-CA" w:bidi="ar-EG"/>
        </w:rPr>
      </w:pPr>
      <w:r w:rsidRPr="000A35E3">
        <w:rPr>
          <w:rFonts w:eastAsia="Times New Roman" w:hint="cs"/>
          <w:i/>
          <w:iCs/>
          <w:sz w:val="22"/>
          <w:rtl/>
          <w:lang w:val="en-CA" w:eastAsia="en-CA" w:bidi="ar-EG"/>
        </w:rPr>
        <w:t>يحيط علماً</w:t>
      </w:r>
      <w:r w:rsidRPr="000A35E3">
        <w:rPr>
          <w:rFonts w:eastAsia="Times New Roman" w:hint="cs"/>
          <w:sz w:val="22"/>
          <w:rtl/>
          <w:lang w:val="en-CA" w:eastAsia="en-CA" w:bidi="ar-EG"/>
        </w:rPr>
        <w:t xml:space="preserve"> بالمعلومات عن التطورات في العمليات والمنظمات الدولية ذات الصلة؛</w:t>
      </w:r>
      <w:r w:rsidRPr="000A35E3">
        <w:rPr>
          <w:rStyle w:val="FootnoteReference"/>
          <w:rFonts w:eastAsia="Times New Roman"/>
          <w:sz w:val="22"/>
          <w:lang w:val="en-CA" w:eastAsia="en-CA" w:bidi="ar-EG"/>
        </w:rPr>
        <w:footnoteReference w:id="1"/>
      </w:r>
    </w:p>
    <w:p w14:paraId="5524C5B4" w14:textId="39094C9A" w:rsidR="007A12FB" w:rsidRPr="00F85ADC" w:rsidRDefault="007A12FB" w:rsidP="007A12FB">
      <w:pPr>
        <w:spacing w:after="120"/>
        <w:ind w:firstLine="720"/>
        <w:rPr>
          <w:rFonts w:eastAsia="Times New Roman"/>
          <w:sz w:val="22"/>
          <w:lang w:eastAsia="en-CA" w:bidi="ar-EG"/>
        </w:rPr>
      </w:pPr>
      <w:r w:rsidRPr="000A35E3">
        <w:rPr>
          <w:rFonts w:eastAsia="Times New Roman" w:hint="cs"/>
          <w:sz w:val="22"/>
          <w:rtl/>
          <w:lang w:val="en-CA" w:eastAsia="en-CA" w:bidi="ar-EG"/>
        </w:rPr>
        <w:t>3-</w:t>
      </w:r>
      <w:r w:rsidRPr="000A35E3">
        <w:rPr>
          <w:rFonts w:eastAsia="Times New Roman" w:hint="cs"/>
          <w:sz w:val="22"/>
          <w:rtl/>
          <w:lang w:val="en-CA" w:eastAsia="en-CA" w:bidi="ar-EG"/>
        </w:rPr>
        <w:tab/>
      </w:r>
      <w:r w:rsidRPr="00F85ADC">
        <w:rPr>
          <w:rFonts w:eastAsia="Times New Roman" w:hint="cs"/>
          <w:i/>
          <w:iCs/>
          <w:sz w:val="22"/>
          <w:rtl/>
          <w:lang w:val="en-CA" w:eastAsia="en-CA" w:bidi="ar-EG"/>
        </w:rPr>
        <w:t>يرى</w:t>
      </w:r>
      <w:r>
        <w:rPr>
          <w:rFonts w:eastAsia="Times New Roman" w:hint="cs"/>
          <w:sz w:val="22"/>
          <w:rtl/>
          <w:lang w:val="en-CA" w:eastAsia="en-CA" w:bidi="ar-EG"/>
        </w:rPr>
        <w:t xml:space="preserve"> أن المزيد من المعلومات عن حالات محددة للموارد الجينية والمعارف التقليدية المرتبطة بالموارد الجينية </w:t>
      </w:r>
      <w:r>
        <w:rPr>
          <w:rFonts w:eastAsia="Times New Roman" w:hint="cs"/>
          <w:sz w:val="22"/>
          <w:rtl/>
          <w:lang w:val="en-CA" w:eastAsia="en-CA" w:bidi="ar-EG"/>
        </w:rPr>
        <w:t xml:space="preserve">التي تحدث </w:t>
      </w:r>
      <w:r>
        <w:rPr>
          <w:rFonts w:eastAsia="Times New Roman" w:hint="cs"/>
          <w:sz w:val="22"/>
          <w:rtl/>
          <w:lang w:val="en-CA" w:eastAsia="en-CA" w:bidi="ar-EG"/>
        </w:rPr>
        <w:t xml:space="preserve">في الحالات العابرة للحدود أو التي لم يكن من الممكن منح أو الحصول على الموافقة المسبقة عن علم، مصحوبة </w:t>
      </w:r>
      <w:r>
        <w:rPr>
          <w:rFonts w:eastAsia="Times New Roman" w:hint="cs"/>
          <w:sz w:val="22"/>
          <w:rtl/>
          <w:lang w:val="en-CA" w:eastAsia="en-CA" w:bidi="ar-EG"/>
        </w:rPr>
        <w:t>بتوضيح عن سبب</w:t>
      </w:r>
      <w:r>
        <w:rPr>
          <w:rFonts w:eastAsia="Times New Roman" w:hint="cs"/>
          <w:sz w:val="22"/>
          <w:rtl/>
          <w:lang w:val="en-CA" w:eastAsia="en-CA" w:bidi="ar-EG"/>
        </w:rPr>
        <w:t xml:space="preserve"> عدم تغطية هذه الحالات في إطار النهج الثنائي لبروتوكول ناغويا، فضلا عن خيارات </w:t>
      </w:r>
      <w:r>
        <w:rPr>
          <w:rFonts w:eastAsia="Times New Roman" w:hint="cs"/>
          <w:sz w:val="22"/>
          <w:rtl/>
          <w:lang w:val="en-CA" w:eastAsia="en-CA" w:bidi="ar-EG"/>
        </w:rPr>
        <w:t xml:space="preserve">لتناول هذه الحالات، بما في ذلك من خلال </w:t>
      </w:r>
      <w:r>
        <w:rPr>
          <w:rFonts w:eastAsia="Times New Roman" w:hint="cs"/>
          <w:sz w:val="22"/>
          <w:rtl/>
          <w:lang w:val="en-CA" w:eastAsia="en-CA" w:bidi="ar-EG"/>
        </w:rPr>
        <w:t xml:space="preserve">آلية عالمية متعددة الأطراف لتقاسم المنافع من شأنه أن يساعد في النظر في </w:t>
      </w:r>
      <w:r>
        <w:rPr>
          <w:rFonts w:eastAsia="Times New Roman" w:hint="cs"/>
          <w:sz w:val="22"/>
          <w:rtl/>
          <w:lang w:val="en-CA" w:eastAsia="en-CA" w:bidi="ar-EG"/>
        </w:rPr>
        <w:t>المادة 10</w:t>
      </w:r>
      <w:r>
        <w:rPr>
          <w:rFonts w:eastAsia="Times New Roman" w:hint="cs"/>
          <w:sz w:val="22"/>
          <w:rtl/>
          <w:lang w:val="en-CA" w:eastAsia="en-CA" w:bidi="ar-EG"/>
        </w:rPr>
        <w:t>؛</w:t>
      </w:r>
    </w:p>
    <w:p w14:paraId="7EC1766F" w14:textId="77777777" w:rsidR="007A12FB" w:rsidRPr="00F85ADC" w:rsidRDefault="007A12FB" w:rsidP="007A12FB">
      <w:pPr>
        <w:numPr>
          <w:ilvl w:val="0"/>
          <w:numId w:val="37"/>
        </w:numPr>
        <w:spacing w:after="120"/>
        <w:ind w:left="0" w:firstLine="720"/>
        <w:jc w:val="both"/>
        <w:rPr>
          <w:rFonts w:eastAsia="Times New Roman"/>
          <w:sz w:val="22"/>
          <w:lang w:val="en-CA" w:eastAsia="en-CA" w:bidi="ar-EG"/>
        </w:rPr>
      </w:pPr>
      <w:r w:rsidRPr="00F85ADC">
        <w:rPr>
          <w:rFonts w:eastAsia="Times New Roman" w:hint="cs"/>
          <w:i/>
          <w:iCs/>
          <w:sz w:val="22"/>
          <w:rtl/>
          <w:lang w:val="en-CA" w:eastAsia="en-CA" w:bidi="ar-EG"/>
        </w:rPr>
        <w:t xml:space="preserve">يدعو </w:t>
      </w:r>
      <w:r>
        <w:rPr>
          <w:rFonts w:eastAsia="Times New Roman" w:hint="cs"/>
          <w:sz w:val="22"/>
          <w:rtl/>
          <w:lang w:val="en-CA" w:eastAsia="en-CA" w:bidi="ar-EG"/>
        </w:rPr>
        <w:t>الأطراف، والحكومات الأخرى، والشعوب الأصلية والمجتمعات المحلية، وأصحاب المصلحة والمنظمات ذات الصلة إلى تزويد الأمينة التنفيذية بما يلي:</w:t>
      </w:r>
    </w:p>
    <w:p w14:paraId="5EE97DAD" w14:textId="77777777" w:rsidR="007A12FB" w:rsidRDefault="007A12FB" w:rsidP="007A12FB">
      <w:pPr>
        <w:numPr>
          <w:ilvl w:val="0"/>
          <w:numId w:val="36"/>
        </w:numPr>
        <w:spacing w:after="120"/>
        <w:ind w:left="0" w:firstLine="720"/>
        <w:jc w:val="both"/>
        <w:rPr>
          <w:rFonts w:eastAsia="Times New Roman"/>
          <w:sz w:val="22"/>
          <w:lang w:val="en-CA" w:eastAsia="en-CA" w:bidi="ar-EG"/>
        </w:rPr>
      </w:pPr>
      <w:r>
        <w:rPr>
          <w:rFonts w:eastAsia="Times New Roman" w:hint="cs"/>
          <w:sz w:val="22"/>
          <w:rtl/>
          <w:lang w:val="en-CA" w:eastAsia="en-CA" w:bidi="ar-EG"/>
        </w:rPr>
        <w:t>معلومات عن حالات محددة التي يمكن أن تدعم الحاجة إلى آلية عالمية متعددة الأطراف لتقاسم المنافع التي لم تكن مشمولة في إطار النهج الثنائي، مصحوبة بشرح لماذا لا يمكن تغطية هذه الحالات في إطار النهج الثنائي المنصوص عليه في بروتوكول ناغويا؛</w:t>
      </w:r>
    </w:p>
    <w:p w14:paraId="3E8751B4" w14:textId="68723894" w:rsidR="007A12FB" w:rsidRDefault="007A12FB" w:rsidP="007A12FB">
      <w:pPr>
        <w:spacing w:after="120"/>
        <w:ind w:firstLine="720"/>
        <w:jc w:val="both"/>
        <w:rPr>
          <w:rFonts w:eastAsia="Times New Roman"/>
          <w:sz w:val="22"/>
          <w:rtl/>
          <w:lang w:val="en-CA" w:eastAsia="en-CA" w:bidi="ar-EG"/>
        </w:rPr>
      </w:pPr>
      <w:r>
        <w:rPr>
          <w:rFonts w:eastAsia="Times New Roman" w:hint="cs"/>
          <w:sz w:val="22"/>
          <w:rtl/>
          <w:lang w:val="en-CA" w:eastAsia="en-CA" w:bidi="ar-EG"/>
        </w:rPr>
        <w:t>(ب)</w:t>
      </w:r>
      <w:r>
        <w:rPr>
          <w:rFonts w:eastAsia="Times New Roman" w:hint="cs"/>
          <w:sz w:val="22"/>
          <w:rtl/>
          <w:lang w:val="en-CA" w:eastAsia="en-CA" w:bidi="ar-EG"/>
        </w:rPr>
        <w:tab/>
        <w:t>خيارات لطرائق ممكنة لمعالجة هذه الحالات، بما في ذلك من خلال آلية عالمية متعددة الأطراف لتقاسم المنافع؛</w:t>
      </w:r>
    </w:p>
    <w:p w14:paraId="685649E5" w14:textId="77777777" w:rsidR="007A12FB" w:rsidRDefault="007A12FB" w:rsidP="007A12FB">
      <w:pPr>
        <w:spacing w:after="120"/>
        <w:ind w:firstLine="720"/>
        <w:jc w:val="both"/>
        <w:rPr>
          <w:rFonts w:eastAsia="Times New Roman"/>
          <w:sz w:val="22"/>
          <w:lang w:val="en-CA" w:eastAsia="en-CA" w:bidi="ar-EG"/>
        </w:rPr>
      </w:pPr>
      <w:r>
        <w:rPr>
          <w:rFonts w:eastAsia="Times New Roman" w:hint="cs"/>
          <w:sz w:val="22"/>
          <w:rtl/>
          <w:lang w:val="en-CA" w:eastAsia="en-CA" w:bidi="ar-EG"/>
        </w:rPr>
        <w:t>5-</w:t>
      </w:r>
      <w:r>
        <w:rPr>
          <w:rFonts w:eastAsia="Times New Roman" w:hint="cs"/>
          <w:sz w:val="22"/>
          <w:rtl/>
          <w:lang w:val="en-CA" w:eastAsia="en-CA" w:bidi="ar-EG"/>
        </w:rPr>
        <w:tab/>
      </w:r>
      <w:r w:rsidRPr="00054AFB">
        <w:rPr>
          <w:rFonts w:eastAsia="Times New Roman" w:hint="cs"/>
          <w:i/>
          <w:iCs/>
          <w:sz w:val="22"/>
          <w:rtl/>
          <w:lang w:val="en-CA" w:eastAsia="en-CA" w:bidi="ar-EG"/>
        </w:rPr>
        <w:t>يطلب إلى</w:t>
      </w:r>
      <w:r>
        <w:rPr>
          <w:rFonts w:eastAsia="Times New Roman" w:hint="cs"/>
          <w:sz w:val="22"/>
          <w:rtl/>
          <w:lang w:val="en-CA" w:eastAsia="en-CA" w:bidi="ar-EG"/>
        </w:rPr>
        <w:t xml:space="preserve"> الأمينة التنفيذية الاضطلاع بما يلي:</w:t>
      </w:r>
    </w:p>
    <w:p w14:paraId="515DB86C" w14:textId="3FF60FD2" w:rsidR="007A12FB" w:rsidRDefault="007A12FB" w:rsidP="007A12FB">
      <w:pPr>
        <w:spacing w:after="120"/>
        <w:ind w:firstLine="720"/>
        <w:jc w:val="both"/>
        <w:rPr>
          <w:rFonts w:eastAsia="Times New Roman"/>
          <w:sz w:val="22"/>
          <w:rtl/>
          <w:lang w:val="en-CA" w:eastAsia="en-CA" w:bidi="ar-EG"/>
        </w:rPr>
      </w:pPr>
      <w:r>
        <w:rPr>
          <w:rFonts w:eastAsia="Times New Roman" w:hint="cs"/>
          <w:sz w:val="22"/>
          <w:rtl/>
          <w:lang w:val="en-CA" w:eastAsia="en-CA" w:bidi="ar-EG"/>
        </w:rPr>
        <w:t>(أ)</w:t>
      </w:r>
      <w:r>
        <w:rPr>
          <w:rFonts w:eastAsia="Times New Roman" w:hint="cs"/>
          <w:sz w:val="22"/>
          <w:rtl/>
          <w:lang w:val="en-CA" w:eastAsia="en-CA" w:bidi="ar-EG"/>
        </w:rPr>
        <w:tab/>
        <w:t>التكليف، رهنا بتوافر الموارد، بإجراء دراسة لاستعراض النظراء لتحديد الحالات المحددة للموارد الجينية والمعارف التقليدية المرتبطة بالموارد الجينية التي حدثت في الحالات العابرة للحدود أو التي لم يكن من الممكن منح أو الحصول على الموافقة المسبقة عن علم؛</w:t>
      </w:r>
    </w:p>
    <w:p w14:paraId="1378E619" w14:textId="77777777" w:rsidR="007A12FB" w:rsidRPr="000A35E3" w:rsidRDefault="007A12FB" w:rsidP="007A12FB">
      <w:pPr>
        <w:spacing w:after="120"/>
        <w:ind w:firstLine="720"/>
        <w:jc w:val="both"/>
        <w:rPr>
          <w:rFonts w:eastAsia="Times New Roman"/>
          <w:sz w:val="22"/>
          <w:lang w:val="en-CA" w:eastAsia="en-CA" w:bidi="ar-EG"/>
        </w:rPr>
      </w:pPr>
      <w:r>
        <w:rPr>
          <w:rFonts w:eastAsia="Times New Roman" w:hint="cs"/>
          <w:sz w:val="22"/>
          <w:rtl/>
          <w:lang w:val="en-CA" w:eastAsia="en-CA" w:bidi="ar-EG"/>
        </w:rPr>
        <w:t>(ب)</w:t>
      </w:r>
      <w:r>
        <w:rPr>
          <w:rFonts w:eastAsia="Times New Roman" w:hint="cs"/>
          <w:sz w:val="22"/>
          <w:rtl/>
          <w:lang w:val="en-CA" w:eastAsia="en-CA" w:bidi="ar-EG"/>
        </w:rPr>
        <w:tab/>
      </w:r>
      <w:r w:rsidRPr="000A35E3">
        <w:rPr>
          <w:rFonts w:eastAsia="Times New Roman" w:hint="cs"/>
          <w:sz w:val="22"/>
          <w:rtl/>
          <w:lang w:val="en-CA" w:eastAsia="en-CA" w:bidi="ar-EG"/>
        </w:rPr>
        <w:t xml:space="preserve">تجميع نتائج المناقشات على شبكة الإنترنت </w:t>
      </w:r>
      <w:r>
        <w:rPr>
          <w:rFonts w:eastAsia="Times New Roman" w:hint="cs"/>
          <w:sz w:val="22"/>
          <w:rtl/>
          <w:lang w:val="en-CA" w:eastAsia="en-CA" w:bidi="ar-EG"/>
        </w:rPr>
        <w:t>المقدمة عملا بالفقرتين 4(أ) و(ب)</w:t>
      </w:r>
      <w:r w:rsidRPr="000A35E3">
        <w:rPr>
          <w:rFonts w:eastAsia="Times New Roman" w:hint="cs"/>
          <w:sz w:val="22"/>
          <w:rtl/>
          <w:lang w:val="en-CA" w:eastAsia="en-CA" w:bidi="ar-EG"/>
        </w:rPr>
        <w:t>؛</w:t>
      </w:r>
    </w:p>
    <w:p w14:paraId="201FFEE9" w14:textId="77777777" w:rsidR="007A12FB" w:rsidRPr="00054AFB" w:rsidRDefault="007A12FB" w:rsidP="007A12FB">
      <w:pPr>
        <w:spacing w:after="120"/>
        <w:ind w:firstLine="720"/>
        <w:rPr>
          <w:lang w:val="en-CA" w:eastAsia="en-CA" w:bidi="ar-EG"/>
        </w:rPr>
      </w:pPr>
      <w:r>
        <w:rPr>
          <w:rFonts w:hint="cs"/>
          <w:rtl/>
          <w:lang w:val="en-CA" w:eastAsia="en-CA" w:bidi="ar-EG"/>
        </w:rPr>
        <w:t>(ج)</w:t>
      </w:r>
      <w:r>
        <w:rPr>
          <w:rFonts w:hint="cs"/>
          <w:rtl/>
          <w:lang w:val="en-CA" w:eastAsia="en-CA" w:bidi="ar-EG"/>
        </w:rPr>
        <w:tab/>
        <w:t>تقديم الدراسة والتجميع لنظر الهيئة الفرعية للتنفيذ</w:t>
      </w:r>
      <w:r w:rsidRPr="00054AFB">
        <w:rPr>
          <w:rFonts w:hint="cs"/>
          <w:rtl/>
          <w:lang w:val="en-CA" w:eastAsia="en-CA" w:bidi="ar-EG"/>
        </w:rPr>
        <w:t>؛</w:t>
      </w:r>
    </w:p>
    <w:p w14:paraId="06830278" w14:textId="66A203F9" w:rsidR="007A12FB" w:rsidRDefault="007A12FB" w:rsidP="007A12FB">
      <w:pPr>
        <w:spacing w:after="120"/>
        <w:ind w:firstLine="720"/>
        <w:rPr>
          <w:rFonts w:eastAsia="Times New Roman"/>
          <w:sz w:val="22"/>
          <w:rtl/>
          <w:lang w:val="en-CA" w:eastAsia="en-CA" w:bidi="ar-EG"/>
        </w:rPr>
      </w:pPr>
      <w:r w:rsidRPr="000A35E3">
        <w:rPr>
          <w:rFonts w:eastAsia="Times New Roman" w:hint="cs"/>
          <w:sz w:val="22"/>
          <w:rtl/>
          <w:lang w:val="en-CA" w:eastAsia="en-CA" w:bidi="ar-EG"/>
        </w:rPr>
        <w:t>6-</w:t>
      </w:r>
      <w:r w:rsidRPr="000A35E3">
        <w:rPr>
          <w:rFonts w:eastAsia="Times New Roman"/>
          <w:sz w:val="22"/>
          <w:rtl/>
          <w:lang w:val="en-CA" w:eastAsia="en-CA" w:bidi="ar-EG"/>
        </w:rPr>
        <w:tab/>
      </w:r>
      <w:r w:rsidRPr="000A35E3">
        <w:rPr>
          <w:rFonts w:eastAsia="Times New Roman" w:hint="cs"/>
          <w:i/>
          <w:iCs/>
          <w:sz w:val="22"/>
          <w:rtl/>
          <w:lang w:val="en-CA" w:eastAsia="en-CA" w:bidi="ar-EG"/>
        </w:rPr>
        <w:t>يطلب</w:t>
      </w:r>
      <w:r w:rsidRPr="000A35E3">
        <w:rPr>
          <w:rFonts w:eastAsia="Times New Roman" w:hint="cs"/>
          <w:sz w:val="22"/>
          <w:rtl/>
          <w:lang w:val="en-CA" w:eastAsia="en-CA" w:bidi="ar-EG"/>
        </w:rPr>
        <w:t xml:space="preserve"> إلى الهيئة الفرعية للتنفيذ </w:t>
      </w:r>
      <w:r>
        <w:rPr>
          <w:rFonts w:eastAsia="Times New Roman" w:hint="cs"/>
          <w:sz w:val="22"/>
          <w:rtl/>
          <w:lang w:val="en-CA" w:eastAsia="en-CA" w:bidi="ar-EG"/>
        </w:rPr>
        <w:t xml:space="preserve">أن تنظر في الدراسة والتجميع بهدف تحديد: (أ) الحالات المحددة، إن وجدت، التي لا يمكن معالجتها من خلال النهج الثنائي؛ (ب) </w:t>
      </w:r>
      <w:r>
        <w:rPr>
          <w:rFonts w:eastAsia="Times New Roman" w:hint="cs"/>
          <w:sz w:val="22"/>
          <w:rtl/>
          <w:lang w:val="en-CA" w:eastAsia="en-CA" w:bidi="ar-EG"/>
        </w:rPr>
        <w:t xml:space="preserve">وفي حالة تحديدها، الخيارات </w:t>
      </w:r>
      <w:r>
        <w:rPr>
          <w:rFonts w:eastAsia="Times New Roman" w:hint="cs"/>
          <w:sz w:val="22"/>
          <w:rtl/>
          <w:lang w:val="en-CA" w:eastAsia="en-CA" w:bidi="ar-EG"/>
        </w:rPr>
        <w:t>لمعالجة هذه الحالات، بما في ذلك آلية عالمية محتملة متعددة الأطراف لتقاسم المنافع، وتقديم توصية إلى الاجتماع الرابع لمؤتمر الأطراف العامل كاجتماع للأطراف في بروتوكول ناغويا.</w:t>
      </w:r>
    </w:p>
    <w:p w14:paraId="6B02768E" w14:textId="77777777" w:rsidR="007A12FB" w:rsidRDefault="007A12FB" w:rsidP="007A12FB">
      <w:pPr>
        <w:spacing w:after="120"/>
        <w:rPr>
          <w:rFonts w:eastAsia="Times New Roman"/>
          <w:sz w:val="22"/>
          <w:rtl/>
          <w:lang w:val="en-CA" w:eastAsia="en-CA" w:bidi="ar-EG"/>
        </w:rPr>
      </w:pPr>
    </w:p>
    <w:p w14:paraId="588B11EE" w14:textId="77777777" w:rsidR="007A12FB" w:rsidRPr="00FC04E0" w:rsidRDefault="007A12FB" w:rsidP="007A12FB">
      <w:pPr>
        <w:shd w:val="clear" w:color="auto" w:fill="FFFFFF" w:themeFill="background1"/>
        <w:spacing w:after="120"/>
        <w:jc w:val="center"/>
        <w:rPr>
          <w:kern w:val="22"/>
          <w:szCs w:val="22"/>
        </w:rPr>
      </w:pPr>
      <w:r>
        <w:rPr>
          <w:iCs/>
          <w:kern w:val="22"/>
          <w:szCs w:val="22"/>
        </w:rPr>
        <w:t>__________</w:t>
      </w:r>
    </w:p>
    <w:p w14:paraId="6A3BCA79" w14:textId="77777777" w:rsidR="007A12FB" w:rsidRDefault="007A12FB" w:rsidP="007A12FB">
      <w:pPr>
        <w:shd w:val="clear" w:color="auto" w:fill="FFFFFF" w:themeFill="background1"/>
        <w:jc w:val="both"/>
        <w:rPr>
          <w:rtl/>
          <w:lang w:bidi="ar-EG"/>
        </w:rPr>
      </w:pPr>
    </w:p>
    <w:bookmarkEnd w:id="0"/>
    <w:p w14:paraId="045CD580" w14:textId="77777777" w:rsidR="00300D96" w:rsidRPr="00AC5317" w:rsidRDefault="00300D96" w:rsidP="007A12FB">
      <w:pPr>
        <w:spacing w:before="120" w:after="240"/>
        <w:jc w:val="center"/>
        <w:rPr>
          <w:sz w:val="24"/>
          <w:rtl/>
          <w:lang w:val="en-GB" w:bidi="ar-EG"/>
        </w:rPr>
      </w:pPr>
    </w:p>
    <w:sectPr w:rsidR="00300D96" w:rsidRPr="00AC5317"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panose1 w:val="00000000000000000000"/>
    <w:charset w:val="86"/>
    <w:family w:val="modern"/>
    <w:notTrueType/>
    <w:pitch w:val="fixed"/>
    <w:sig w:usb0="00000001"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 w:id="1">
    <w:p w14:paraId="12D37D32" w14:textId="77777777" w:rsidR="007A12FB" w:rsidRDefault="007A12FB" w:rsidP="007A12FB">
      <w:pPr>
        <w:pStyle w:val="FootnoteText"/>
        <w:rPr>
          <w:rtl/>
          <w:lang w:bidi="ar-EG"/>
        </w:rPr>
      </w:pPr>
      <w:r>
        <w:rPr>
          <w:rStyle w:val="FootnoteReference"/>
        </w:rPr>
        <w:footnoteRef/>
      </w:r>
      <w:r>
        <w:rPr>
          <w:rtl/>
        </w:rPr>
        <w:t xml:space="preserve"> </w:t>
      </w:r>
      <w:r w:rsidRPr="00F85ADC">
        <w:rPr>
          <w:kern w:val="18"/>
          <w:sz w:val="18"/>
          <w:szCs w:val="18"/>
        </w:rPr>
        <w:t>CBD/SBI/2/5</w:t>
      </w:r>
      <w:r>
        <w:rPr>
          <w:rFonts w:hint="cs"/>
          <w:rtl/>
          <w:lang w:bidi="ar-EG"/>
        </w:rPr>
        <w:t>، القسم الثالث.</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B10C4" w14:textId="39D73835" w:rsidR="000E6A07" w:rsidRPr="004C2976" w:rsidRDefault="007A12FB" w:rsidP="0009256E">
    <w:pPr>
      <w:bidi w:val="0"/>
      <w:ind w:firstLine="11070"/>
      <w:jc w:val="right"/>
      <w:rPr>
        <w:sz w:val="22"/>
        <w:szCs w:val="22"/>
      </w:rPr>
    </w:pPr>
    <w:r w:rsidRPr="007A12FB">
      <w:rPr>
        <w:sz w:val="22"/>
        <w:szCs w:val="22"/>
      </w:rPr>
      <w:t>C</w:t>
    </w:r>
    <w:r>
      <w:rPr>
        <w:sz w:val="22"/>
        <w:szCs w:val="22"/>
      </w:rPr>
      <w:t>C</w:t>
    </w:r>
    <w:r w:rsidRPr="007A12FB">
      <w:rPr>
        <w:sz w:val="22"/>
        <w:szCs w:val="22"/>
      </w:rPr>
      <w:t>BD/NP/MOP/3/L.13</w:t>
    </w:r>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3F5FA" w14:textId="2B1759A7" w:rsidR="000E6A07" w:rsidRPr="004C2976" w:rsidRDefault="007A12FB" w:rsidP="004C2976">
    <w:pPr>
      <w:bidi w:val="0"/>
      <w:ind w:firstLine="11070"/>
      <w:jc w:val="left"/>
      <w:rPr>
        <w:sz w:val="22"/>
        <w:szCs w:val="22"/>
      </w:rPr>
    </w:pPr>
    <w:r w:rsidRPr="007A12FB">
      <w:rPr>
        <w:sz w:val="22"/>
        <w:szCs w:val="22"/>
      </w:rPr>
      <w:t>C</w:t>
    </w:r>
    <w:r>
      <w:rPr>
        <w:sz w:val="22"/>
        <w:szCs w:val="22"/>
      </w:rPr>
      <w:t>C</w:t>
    </w:r>
    <w:r w:rsidRPr="007A12FB">
      <w:rPr>
        <w:sz w:val="22"/>
        <w:szCs w:val="22"/>
      </w:rPr>
      <w:t>BD/NP/MOP/3/L.13</w:t>
    </w:r>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38B64E0"/>
    <w:multiLevelType w:val="hybridMultilevel"/>
    <w:tmpl w:val="DBDE7E42"/>
    <w:lvl w:ilvl="0" w:tplc="2C8C861E">
      <w:start w:val="1"/>
      <w:numFmt w:val="arabicAbjad"/>
      <w:lvlText w:val="(%1)"/>
      <w:lvlJc w:val="left"/>
      <w:pPr>
        <w:ind w:left="467" w:hanging="360"/>
      </w:pPr>
      <w:rPr>
        <w:rFonts w:hint="default"/>
        <w:sz w:val="24"/>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7" w15:restartNumberingAfterBreak="0">
    <w:nsid w:val="171113A7"/>
    <w:multiLevelType w:val="multilevel"/>
    <w:tmpl w:val="48241D10"/>
    <w:numStyleLink w:val="Normallist"/>
  </w:abstractNum>
  <w:abstractNum w:abstractNumId="8"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9"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0" w15:restartNumberingAfterBreak="0">
    <w:nsid w:val="24992B9D"/>
    <w:multiLevelType w:val="hybridMultilevel"/>
    <w:tmpl w:val="7532987E"/>
    <w:lvl w:ilvl="0" w:tplc="B600B7A2">
      <w:start w:val="1"/>
      <w:numFmt w:val="decimal"/>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11"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A036B01"/>
    <w:multiLevelType w:val="hybridMultilevel"/>
    <w:tmpl w:val="92B8442A"/>
    <w:lvl w:ilvl="0" w:tplc="9EB04584">
      <w:start w:val="4"/>
      <w:numFmt w:val="decimal"/>
      <w:lvlText w:val="%1-"/>
      <w:lvlJc w:val="left"/>
      <w:pPr>
        <w:ind w:left="216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6"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7"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8"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9"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1"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2"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4"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5"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10D300D"/>
    <w:multiLevelType w:val="multilevel"/>
    <w:tmpl w:val="AD4A7A1A"/>
    <w:lvl w:ilvl="0">
      <w:start w:val="1"/>
      <w:numFmt w:val="decimal"/>
      <w:lvlText w:val="%1-"/>
      <w:lvlJc w:val="left"/>
      <w:pPr>
        <w:tabs>
          <w:tab w:val="num" w:pos="1080"/>
        </w:tabs>
        <w:ind w:left="720" w:firstLine="0"/>
      </w:pPr>
      <w:rPr>
        <w:rFonts w:ascii="Simplified Arabic" w:hAnsi="Simplified Arabic" w:cs="Simplified Arabic" w:hint="default"/>
        <w:b w:val="0"/>
        <w:i w:val="0"/>
        <w:sz w:val="24"/>
        <w:szCs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7"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9"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1" w15:restartNumberingAfterBreak="0">
    <w:nsid w:val="5C445E93"/>
    <w:multiLevelType w:val="hybridMultilevel"/>
    <w:tmpl w:val="8766F3AC"/>
    <w:lvl w:ilvl="0" w:tplc="19F04E2C">
      <w:start w:val="1"/>
      <w:numFmt w:val="arabicAlpha"/>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2"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3"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6"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7"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25"/>
  </w:num>
  <w:num w:numId="2">
    <w:abstractNumId w:val="14"/>
  </w:num>
  <w:num w:numId="3">
    <w:abstractNumId w:val="32"/>
  </w:num>
  <w:num w:numId="4">
    <w:abstractNumId w:val="8"/>
  </w:num>
  <w:num w:numId="5">
    <w:abstractNumId w:val="16"/>
  </w:num>
  <w:num w:numId="6">
    <w:abstractNumId w:val="36"/>
  </w:num>
  <w:num w:numId="7">
    <w:abstractNumId w:val="23"/>
  </w:num>
  <w:num w:numId="8">
    <w:abstractNumId w:val="27"/>
  </w:num>
  <w:num w:numId="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9"/>
  </w:num>
  <w:num w:numId="12">
    <w:abstractNumId w:val="22"/>
  </w:num>
  <w:num w:numId="13">
    <w:abstractNumId w:val="20"/>
  </w:num>
  <w:num w:numId="14">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4"/>
  </w:num>
  <w:num w:numId="16">
    <w:abstractNumId w:val="3"/>
  </w:num>
  <w:num w:numId="17">
    <w:abstractNumId w:val="33"/>
  </w:num>
  <w:num w:numId="18">
    <w:abstractNumId w:val="28"/>
  </w:num>
  <w:num w:numId="19">
    <w:abstractNumId w:val="7"/>
  </w:num>
  <w:num w:numId="20">
    <w:abstractNumId w:val="0"/>
  </w:num>
  <w:num w:numId="21">
    <w:abstractNumId w:val="5"/>
  </w:num>
  <w:num w:numId="22">
    <w:abstractNumId w:val="30"/>
  </w:num>
  <w:num w:numId="23">
    <w:abstractNumId w:val="21"/>
  </w:num>
  <w:num w:numId="24">
    <w:abstractNumId w:val="17"/>
  </w:num>
  <w:num w:numId="25">
    <w:abstractNumId w:val="35"/>
  </w:num>
  <w:num w:numId="26">
    <w:abstractNumId w:val="24"/>
  </w:num>
  <w:num w:numId="27">
    <w:abstractNumId w:val="13"/>
  </w:num>
  <w:num w:numId="28">
    <w:abstractNumId w:val="4"/>
  </w:num>
  <w:num w:numId="29">
    <w:abstractNumId w:val="11"/>
  </w:num>
  <w:num w:numId="30">
    <w:abstractNumId w:val="2"/>
  </w:num>
  <w:num w:numId="31">
    <w:abstractNumId w:val="18"/>
  </w:num>
  <w:num w:numId="32">
    <w:abstractNumId w:val="9"/>
  </w:num>
  <w:num w:numId="33">
    <w:abstractNumId w:val="26"/>
  </w:num>
  <w:num w:numId="34">
    <w:abstractNumId w:val="6"/>
  </w:num>
  <w:num w:numId="35">
    <w:abstractNumId w:val="10"/>
  </w:num>
  <w:num w:numId="36">
    <w:abstractNumId w:val="31"/>
  </w:num>
  <w:num w:numId="37">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4C59"/>
    <w:rsid w:val="00074EA3"/>
    <w:rsid w:val="00075B40"/>
    <w:rsid w:val="00076D39"/>
    <w:rsid w:val="00077768"/>
    <w:rsid w:val="00080DE7"/>
    <w:rsid w:val="000812CF"/>
    <w:rsid w:val="000823B3"/>
    <w:rsid w:val="0008262D"/>
    <w:rsid w:val="00083307"/>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D96"/>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B30"/>
    <w:rsid w:val="007704FE"/>
    <w:rsid w:val="00771613"/>
    <w:rsid w:val="00775ECB"/>
    <w:rsid w:val="00777425"/>
    <w:rsid w:val="00777E60"/>
    <w:rsid w:val="007812FB"/>
    <w:rsid w:val="0078226D"/>
    <w:rsid w:val="00783EE7"/>
    <w:rsid w:val="00783F0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12FB"/>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5F7"/>
    <w:rsid w:val="007C48D6"/>
    <w:rsid w:val="007C7D42"/>
    <w:rsid w:val="007D0010"/>
    <w:rsid w:val="007D03A5"/>
    <w:rsid w:val="007D03F7"/>
    <w:rsid w:val="007D1CEC"/>
    <w:rsid w:val="007D3115"/>
    <w:rsid w:val="007D43C1"/>
    <w:rsid w:val="007D48D6"/>
    <w:rsid w:val="007D4A7A"/>
    <w:rsid w:val="007D55FC"/>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4596"/>
    <w:rsid w:val="008E61A9"/>
    <w:rsid w:val="008F088B"/>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392F"/>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731"/>
    <w:rsid w:val="00CE2A30"/>
    <w:rsid w:val="00CE3498"/>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463B8"/>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F54"/>
    <w:rsid w:val="00DA342B"/>
    <w:rsid w:val="00DA34D2"/>
    <w:rsid w:val="00DA36D5"/>
    <w:rsid w:val="00DA3872"/>
    <w:rsid w:val="00DA5C5E"/>
    <w:rsid w:val="00DA5E63"/>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11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1CF"/>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6321"/>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semiHidden/>
    <w:rsid w:val="00300D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14D321-DA4D-4EB1-8098-667F8A447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SCBD</dc:creator>
  <cp:lastModifiedBy>Mohamed El Sehemawi</cp:lastModifiedBy>
  <cp:revision>6</cp:revision>
  <cp:lastPrinted>2018-10-11T20:31:00Z</cp:lastPrinted>
  <dcterms:created xsi:type="dcterms:W3CDTF">2018-11-29T00:15:00Z</dcterms:created>
  <dcterms:modified xsi:type="dcterms:W3CDTF">2018-11-29T00:25:00Z</dcterms:modified>
</cp:coreProperties>
</file>