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B307F" w14:paraId="11249B19" w14:textId="77777777" w:rsidTr="00B60E5F">
        <w:trPr>
          <w:trHeight w:val="851"/>
        </w:trPr>
        <w:tc>
          <w:tcPr>
            <w:tcW w:w="465" w:type="pct"/>
            <w:tcBorders>
              <w:bottom w:val="single" w:sz="8" w:space="0" w:color="auto"/>
            </w:tcBorders>
            <w:vAlign w:val="bottom"/>
          </w:tcPr>
          <w:p w14:paraId="7BE82539" w14:textId="77777777" w:rsidR="00A96B21" w:rsidRPr="005B307F" w:rsidRDefault="00A96B21" w:rsidP="00B60E5F">
            <w:pPr>
              <w:spacing w:after="120"/>
              <w:jc w:val="left"/>
              <w:rPr>
                <w:lang w:val="es-ES"/>
              </w:rPr>
            </w:pPr>
            <w:bookmarkStart w:id="0" w:name="_Hlk137651738"/>
            <w:r w:rsidRPr="005B307F">
              <w:rPr>
                <w:lang w:val="es-ES"/>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436AE6AB" w:rsidR="00A96B21" w:rsidRPr="005B307F" w:rsidRDefault="00D35278" w:rsidP="00B60E5F">
            <w:pPr>
              <w:spacing w:after="120"/>
              <w:jc w:val="left"/>
              <w:rPr>
                <w:lang w:val="es-ES"/>
              </w:rPr>
            </w:pPr>
            <w:r w:rsidRPr="005B307F">
              <w:rPr>
                <w:lang w:val="es-ES" w:eastAsia="es-ES"/>
              </w:rPr>
              <w:drawing>
                <wp:inline distT="0" distB="0" distL="0" distR="0" wp14:anchorId="771FFE11" wp14:editId="2162CB1D">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6E9CE42C" w:rsidR="00A96B21" w:rsidRPr="005B307F" w:rsidRDefault="00A96B21" w:rsidP="00F6660F">
            <w:pPr>
              <w:pStyle w:val="ABSymbol"/>
              <w:rPr>
                <w:lang w:val="es-ES"/>
              </w:rPr>
            </w:pPr>
            <w:r w:rsidRPr="005B307F">
              <w:rPr>
                <w:sz w:val="40"/>
                <w:szCs w:val="40"/>
                <w:lang w:val="es-ES"/>
              </w:rPr>
              <w:t>CBD</w:t>
            </w:r>
            <w:r w:rsidRPr="005B307F">
              <w:rPr>
                <w:lang w:val="es-ES"/>
              </w:rPr>
              <w:t>/</w:t>
            </w:r>
            <w:r w:rsidR="00D23F1E" w:rsidRPr="005B307F">
              <w:rPr>
                <w:lang w:val="es-ES"/>
              </w:rPr>
              <w:t>NP/MOP/5/</w:t>
            </w:r>
            <w:r w:rsidR="00343445" w:rsidRPr="005B307F">
              <w:rPr>
                <w:lang w:val="es-ES"/>
              </w:rPr>
              <w:t>WG.</w:t>
            </w:r>
            <w:r w:rsidR="00E15315" w:rsidRPr="005B307F">
              <w:rPr>
                <w:lang w:val="es-ES"/>
              </w:rPr>
              <w:t>I</w:t>
            </w:r>
            <w:r w:rsidR="00343445" w:rsidRPr="005B307F">
              <w:rPr>
                <w:lang w:val="es-ES"/>
              </w:rPr>
              <w:t>I/CRP.</w:t>
            </w:r>
            <w:r w:rsidR="003412B7" w:rsidRPr="005B307F">
              <w:rPr>
                <w:lang w:val="es-ES"/>
              </w:rPr>
              <w:t>5</w:t>
            </w:r>
          </w:p>
        </w:tc>
      </w:tr>
      <w:tr w:rsidR="00A96B21" w:rsidRPr="005B307F" w14:paraId="1819DB77" w14:textId="77777777" w:rsidTr="00B60E5F">
        <w:tc>
          <w:tcPr>
            <w:tcW w:w="2297" w:type="pct"/>
            <w:gridSpan w:val="2"/>
            <w:tcBorders>
              <w:top w:val="single" w:sz="8" w:space="0" w:color="auto"/>
              <w:bottom w:val="single" w:sz="12" w:space="0" w:color="auto"/>
            </w:tcBorders>
          </w:tcPr>
          <w:p w14:paraId="445EC18F" w14:textId="6088615B" w:rsidR="00A96B21" w:rsidRPr="005B307F" w:rsidRDefault="00D35278" w:rsidP="00B60E5F">
            <w:pPr>
              <w:pStyle w:val="Cornernotation"/>
              <w:suppressLineNumbers/>
              <w:suppressAutoHyphens/>
              <w:spacing w:before="120" w:after="120"/>
              <w:ind w:left="0" w:right="0" w:firstLine="0"/>
              <w:rPr>
                <w:lang w:val="es-ES"/>
              </w:rPr>
            </w:pPr>
            <w:r w:rsidRPr="005B307F">
              <w:rPr>
                <w:b w:val="0"/>
                <w:bCs/>
                <w:lang w:val="es-ES" w:eastAsia="es-ES"/>
              </w:rPr>
              <w:drawing>
                <wp:inline distT="0" distB="0" distL="0" distR="0" wp14:anchorId="6B0BC090" wp14:editId="3CE752B8">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7140C301" w:rsidR="00A96B21" w:rsidRPr="005B307F" w:rsidRDefault="00A96B21" w:rsidP="003C6F10">
            <w:pPr>
              <w:ind w:left="2584"/>
              <w:rPr>
                <w:sz w:val="22"/>
                <w:szCs w:val="22"/>
                <w:lang w:val="es-ES"/>
              </w:rPr>
            </w:pPr>
            <w:r w:rsidRPr="005B307F">
              <w:rPr>
                <w:sz w:val="22"/>
                <w:szCs w:val="22"/>
                <w:lang w:val="es-ES"/>
              </w:rPr>
              <w:t>Distr.</w:t>
            </w:r>
            <w:r w:rsidR="00D35278" w:rsidRPr="005B307F">
              <w:rPr>
                <w:sz w:val="22"/>
                <w:szCs w:val="22"/>
                <w:lang w:val="es-ES"/>
              </w:rPr>
              <w:t xml:space="preserve"> limitada</w:t>
            </w:r>
          </w:p>
          <w:p w14:paraId="2DD21927" w14:textId="057F9ABF" w:rsidR="00A96B21" w:rsidRPr="005B307F" w:rsidRDefault="003412B7" w:rsidP="003C6F10">
            <w:pPr>
              <w:ind w:left="2584"/>
              <w:rPr>
                <w:sz w:val="22"/>
                <w:szCs w:val="22"/>
                <w:lang w:val="es-ES"/>
              </w:rPr>
            </w:pPr>
            <w:r w:rsidRPr="005B307F">
              <w:rPr>
                <w:sz w:val="22"/>
                <w:szCs w:val="22"/>
                <w:lang w:val="es-ES"/>
              </w:rPr>
              <w:t>21</w:t>
            </w:r>
            <w:r w:rsidR="007A7F22" w:rsidRPr="005B307F">
              <w:rPr>
                <w:sz w:val="22"/>
                <w:szCs w:val="22"/>
                <w:lang w:val="es-ES"/>
              </w:rPr>
              <w:t xml:space="preserve"> </w:t>
            </w:r>
            <w:r w:rsidR="00D35278" w:rsidRPr="005B307F">
              <w:rPr>
                <w:sz w:val="22"/>
                <w:szCs w:val="22"/>
                <w:lang w:val="es-ES"/>
              </w:rPr>
              <w:t>de octubre de</w:t>
            </w:r>
            <w:r w:rsidR="00A96B21" w:rsidRPr="005B307F">
              <w:rPr>
                <w:sz w:val="22"/>
                <w:szCs w:val="22"/>
                <w:lang w:val="es-ES"/>
              </w:rPr>
              <w:t xml:space="preserve"> 202</w:t>
            </w:r>
            <w:r w:rsidR="00D23F1E" w:rsidRPr="005B307F">
              <w:rPr>
                <w:sz w:val="22"/>
                <w:szCs w:val="22"/>
                <w:lang w:val="es-ES"/>
              </w:rPr>
              <w:t>4</w:t>
            </w:r>
          </w:p>
          <w:p w14:paraId="3C39EA0E" w14:textId="77777777" w:rsidR="00D35278" w:rsidRPr="005B307F" w:rsidRDefault="00D35278" w:rsidP="00D35278">
            <w:pPr>
              <w:ind w:left="2584"/>
              <w:rPr>
                <w:sz w:val="22"/>
                <w:szCs w:val="22"/>
                <w:lang w:val="es-ES"/>
              </w:rPr>
            </w:pPr>
            <w:r w:rsidRPr="005B307F">
              <w:rPr>
                <w:sz w:val="22"/>
                <w:szCs w:val="22"/>
                <w:lang w:val="es-ES"/>
              </w:rPr>
              <w:t>Español</w:t>
            </w:r>
          </w:p>
          <w:p w14:paraId="14D4F381" w14:textId="77777777" w:rsidR="00D35278" w:rsidRPr="005B307F" w:rsidRDefault="00D35278" w:rsidP="00D35278">
            <w:pPr>
              <w:ind w:left="2584"/>
              <w:rPr>
                <w:sz w:val="22"/>
                <w:szCs w:val="22"/>
                <w:lang w:val="es-ES"/>
              </w:rPr>
            </w:pPr>
            <w:r w:rsidRPr="005B307F">
              <w:rPr>
                <w:sz w:val="22"/>
                <w:szCs w:val="22"/>
                <w:lang w:val="es-ES"/>
              </w:rPr>
              <w:t>Original: inglés</w:t>
            </w:r>
          </w:p>
          <w:p w14:paraId="20DEA2D7" w14:textId="77777777" w:rsidR="00A96B21" w:rsidRPr="005B307F" w:rsidRDefault="00A96B21" w:rsidP="00B60E5F">
            <w:pPr>
              <w:rPr>
                <w:sz w:val="22"/>
                <w:szCs w:val="22"/>
                <w:lang w:val="es-ES"/>
              </w:rPr>
            </w:pPr>
          </w:p>
        </w:tc>
      </w:tr>
    </w:tbl>
    <w:p w14:paraId="5A47053D" w14:textId="77777777" w:rsidR="00D35278" w:rsidRPr="005B307F" w:rsidRDefault="00D35278" w:rsidP="005B307F">
      <w:pPr>
        <w:pStyle w:val="Cornernotation"/>
        <w:ind w:left="0" w:right="3690" w:firstLine="0"/>
        <w:rPr>
          <w:bCs/>
          <w:lang w:val="es-ES"/>
        </w:rPr>
      </w:pPr>
      <w:r w:rsidRPr="005B307F">
        <w:rPr>
          <w:bCs/>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A47028E" w14:textId="77777777" w:rsidR="00D35278" w:rsidRPr="005B307F" w:rsidRDefault="00D35278" w:rsidP="00D35278">
      <w:pPr>
        <w:pStyle w:val="Cornernotation"/>
        <w:rPr>
          <w:bCs/>
          <w:sz w:val="22"/>
          <w:lang w:val="es-ES"/>
        </w:rPr>
      </w:pPr>
      <w:r w:rsidRPr="005B307F">
        <w:rPr>
          <w:bCs/>
          <w:sz w:val="22"/>
          <w:lang w:val="es-ES"/>
        </w:rPr>
        <w:t>Quinta reunión</w:t>
      </w:r>
    </w:p>
    <w:p w14:paraId="09E4FAB9" w14:textId="2139CE9E" w:rsidR="00A96B21" w:rsidRPr="005B307F" w:rsidRDefault="00D35278" w:rsidP="00D35278">
      <w:pPr>
        <w:pStyle w:val="Venuedate"/>
        <w:rPr>
          <w:lang w:val="es-ES"/>
        </w:rPr>
      </w:pPr>
      <w:r w:rsidRPr="005B307F">
        <w:rPr>
          <w:lang w:val="es-ES"/>
        </w:rPr>
        <w:t>Cali (Colombia), 21 de octubre a 1 de noviembre de 2024</w:t>
      </w:r>
    </w:p>
    <w:p w14:paraId="30733817" w14:textId="085173B1" w:rsidR="00A96B21" w:rsidRPr="005B307F" w:rsidRDefault="00D35278" w:rsidP="00A96B21">
      <w:pPr>
        <w:pStyle w:val="Cornernotation-Item"/>
        <w:rPr>
          <w:b w:val="0"/>
          <w:bCs w:val="0"/>
          <w:lang w:val="es-ES"/>
        </w:rPr>
      </w:pPr>
      <w:r w:rsidRPr="005B307F">
        <w:rPr>
          <w:b w:val="0"/>
          <w:bCs w:val="0"/>
          <w:lang w:val="es-ES"/>
        </w:rPr>
        <w:t xml:space="preserve">Tema </w:t>
      </w:r>
      <w:r w:rsidR="00A22B61" w:rsidRPr="005B307F">
        <w:rPr>
          <w:b w:val="0"/>
          <w:bCs w:val="0"/>
          <w:lang w:val="es-ES"/>
        </w:rPr>
        <w:t>13</w:t>
      </w:r>
      <w:r w:rsidR="00A96B21" w:rsidRPr="005B307F">
        <w:rPr>
          <w:b w:val="0"/>
          <w:bCs w:val="0"/>
          <w:lang w:val="es-ES"/>
        </w:rPr>
        <w:t xml:space="preserve"> </w:t>
      </w:r>
      <w:r w:rsidRPr="005B307F">
        <w:rPr>
          <w:b w:val="0"/>
          <w:bCs w:val="0"/>
          <w:lang w:val="es-ES"/>
        </w:rPr>
        <w:t>del programa</w:t>
      </w:r>
    </w:p>
    <w:p w14:paraId="4F3B9CA0" w14:textId="54117D5D" w:rsidR="00A96B21" w:rsidRPr="005B307F" w:rsidRDefault="00D35278" w:rsidP="00BA3309">
      <w:pPr>
        <w:pStyle w:val="AFCorNotBold"/>
        <w:jc w:val="left"/>
        <w:rPr>
          <w:lang w:val="es-ES"/>
        </w:rPr>
      </w:pPr>
      <w:r w:rsidRPr="005B307F">
        <w:rPr>
          <w:lang w:val="es-ES"/>
        </w:rPr>
        <w:t xml:space="preserve">Mejora de la aplicación del Protocolo </w:t>
      </w:r>
      <w:r w:rsidRPr="005B307F">
        <w:rPr>
          <w:lang w:val="es-ES"/>
        </w:rPr>
        <w:t>de</w:t>
      </w:r>
      <w:r w:rsidR="00A22B61" w:rsidRPr="005B307F">
        <w:rPr>
          <w:lang w:val="es-ES"/>
        </w:rPr>
        <w:br/>
      </w:r>
      <w:r w:rsidRPr="005B307F">
        <w:rPr>
          <w:lang w:val="es-ES"/>
        </w:rPr>
        <w:t xml:space="preserve">Nagoya en el contexto del Marco Mundial </w:t>
      </w:r>
      <w:r w:rsidRPr="005B307F">
        <w:rPr>
          <w:lang w:val="es-ES"/>
        </w:rPr>
        <w:t>de</w:t>
      </w:r>
      <w:r w:rsidR="00A22B61" w:rsidRPr="005B307F">
        <w:rPr>
          <w:lang w:val="es-ES"/>
        </w:rPr>
        <w:br/>
      </w:r>
      <w:r w:rsidRPr="005B307F">
        <w:rPr>
          <w:lang w:val="es-ES"/>
        </w:rPr>
        <w:t>Biodiversidad de Kunming-Montreal</w:t>
      </w:r>
    </w:p>
    <w:p w14:paraId="11AD0D22" w14:textId="652BA4D7" w:rsidR="007A7F22" w:rsidRPr="005B307F" w:rsidRDefault="00D35278" w:rsidP="00A96B21">
      <w:pPr>
        <w:pStyle w:val="Cornernotation-Item"/>
        <w:rPr>
          <w:b w:val="0"/>
          <w:bCs w:val="0"/>
          <w:lang w:val="es-ES"/>
        </w:rPr>
      </w:pPr>
      <w:r w:rsidRPr="005B307F">
        <w:rPr>
          <w:b w:val="0"/>
          <w:bCs w:val="0"/>
          <w:lang w:val="es-ES"/>
        </w:rPr>
        <w:t>Grupo de Trabajo</w:t>
      </w:r>
      <w:r w:rsidR="007A7F22" w:rsidRPr="005B307F">
        <w:rPr>
          <w:b w:val="0"/>
          <w:bCs w:val="0"/>
          <w:lang w:val="es-ES"/>
        </w:rPr>
        <w:t xml:space="preserve"> I</w:t>
      </w:r>
      <w:r w:rsidR="00E15315" w:rsidRPr="005B307F">
        <w:rPr>
          <w:b w:val="0"/>
          <w:bCs w:val="0"/>
          <w:lang w:val="es-ES"/>
        </w:rPr>
        <w:t>I</w:t>
      </w:r>
    </w:p>
    <w:bookmarkEnd w:id="0"/>
    <w:p w14:paraId="3CF490E6" w14:textId="4DC57070" w:rsidR="00A96B21" w:rsidRPr="005B307F" w:rsidRDefault="009C513C" w:rsidP="00A22B61">
      <w:pPr>
        <w:pStyle w:val="Ttulo"/>
        <w:jc w:val="left"/>
        <w:rPr>
          <w:lang w:val="es-ES"/>
        </w:rPr>
      </w:pPr>
      <w:sdt>
        <w:sdtPr>
          <w:rPr>
            <w:lang w:val="es-ES"/>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bookmarkStart w:id="1" w:name="_Hlk180484280"/>
          <w:r w:rsidRPr="005B307F">
            <w:rPr>
              <w:lang w:val="es-ES"/>
            </w:rPr>
            <w:t>Mejora de la aplicación del Protocolo de Nagoya en el contexto del Marco Mundial de Biodiversidad de Kunming-Montreal</w:t>
          </w:r>
          <w:bookmarkEnd w:id="1"/>
        </w:sdtContent>
      </w:sdt>
    </w:p>
    <w:p w14:paraId="0D679B2E" w14:textId="6710B611" w:rsidR="00A96B21" w:rsidRPr="005B307F" w:rsidRDefault="009C513C" w:rsidP="00A96B21">
      <w:pPr>
        <w:pStyle w:val="Subttulo"/>
        <w:spacing w:before="120" w:after="120"/>
        <w:ind w:left="567"/>
        <w:jc w:val="left"/>
        <w:rPr>
          <w:rFonts w:ascii="Times New Roman" w:hAnsi="Times New Roman" w:cs="Times New Roman"/>
          <w:color w:val="auto"/>
          <w:lang w:val="es-ES"/>
        </w:rPr>
      </w:pPr>
      <w:r w:rsidRPr="005B307F">
        <w:rPr>
          <w:rFonts w:ascii="Times New Roman" w:hAnsi="Times New Roman" w:cs="Times New Roman"/>
          <w:color w:val="auto"/>
          <w:lang w:val="es-ES"/>
        </w:rPr>
        <w:t>Proyecto de decisión presentado por el Presidente del Grupo de Trabajo II</w:t>
      </w:r>
    </w:p>
    <w:p w14:paraId="0EEA85C8" w14:textId="355B87AB" w:rsidR="00CC1768" w:rsidRPr="005B307F" w:rsidRDefault="009C513C" w:rsidP="00CC1768">
      <w:pPr>
        <w:tabs>
          <w:tab w:val="clear" w:pos="1134"/>
        </w:tabs>
        <w:spacing w:before="120" w:after="120"/>
        <w:ind w:left="567" w:firstLine="567"/>
        <w:rPr>
          <w:i/>
          <w:iCs/>
          <w:lang w:val="es-ES"/>
        </w:rPr>
      </w:pPr>
      <w:r w:rsidRPr="005B307F">
        <w:rPr>
          <w:i/>
          <w:lang w:val="es-ES"/>
        </w:rPr>
        <w:t>La Conferencia de las Partes que actúa como reunión de las Partes en el Protocolo de Nagoya</w:t>
      </w:r>
      <w:r w:rsidR="00CC1768" w:rsidRPr="005B307F">
        <w:rPr>
          <w:lang w:val="es-ES"/>
        </w:rPr>
        <w:t>,</w:t>
      </w:r>
    </w:p>
    <w:p w14:paraId="561B0BF7" w14:textId="748EBEB5" w:rsidR="00CC1768" w:rsidRPr="005B307F" w:rsidRDefault="009C513C" w:rsidP="00CC1768">
      <w:pPr>
        <w:tabs>
          <w:tab w:val="clear" w:pos="1134"/>
        </w:tabs>
        <w:spacing w:before="120" w:after="120"/>
        <w:ind w:left="567" w:firstLine="567"/>
        <w:rPr>
          <w:i/>
          <w:iCs/>
          <w:lang w:val="es-ES"/>
        </w:rPr>
      </w:pPr>
      <w:r w:rsidRPr="005B307F">
        <w:rPr>
          <w:i/>
          <w:lang w:val="es-ES"/>
        </w:rPr>
        <w:t>Recordando</w:t>
      </w:r>
      <w:r w:rsidRPr="005B307F">
        <w:rPr>
          <w:lang w:val="es-ES"/>
        </w:rPr>
        <w:t xml:space="preserve"> sus decisiones NP-4/3 del 10 de diciembre de 2022 y NP-4/5 del 19 de diciembre de 2022</w:t>
      </w:r>
      <w:r w:rsidR="00CC1768" w:rsidRPr="005B307F">
        <w:rPr>
          <w:lang w:val="es-ES"/>
        </w:rPr>
        <w:t>,</w:t>
      </w:r>
    </w:p>
    <w:p w14:paraId="66A6F96A" w14:textId="0E3436C2" w:rsidR="00CC1768" w:rsidRPr="005B307F" w:rsidRDefault="009C513C" w:rsidP="00CC1768">
      <w:pPr>
        <w:tabs>
          <w:tab w:val="clear" w:pos="1134"/>
        </w:tabs>
        <w:spacing w:before="120" w:after="120"/>
        <w:ind w:left="567" w:firstLine="567"/>
        <w:rPr>
          <w:lang w:val="es-ES"/>
        </w:rPr>
      </w:pPr>
      <w:r w:rsidRPr="005B307F">
        <w:rPr>
          <w:i/>
          <w:lang w:val="es-ES"/>
        </w:rPr>
        <w:t>Recordando también</w:t>
      </w:r>
      <w:r w:rsidRPr="005B307F">
        <w:rPr>
          <w:lang w:val="es-ES"/>
        </w:rPr>
        <w:t xml:space="preserve"> que los objetivos y metas del Marco Mundial de Biodiversidad de Kunming-Montreal</w:t>
      </w:r>
      <w:r w:rsidRPr="005B307F">
        <w:rPr>
          <w:rStyle w:val="Refdenotaalpie"/>
          <w:lang w:val="es-ES"/>
        </w:rPr>
        <w:footnoteReference w:id="1"/>
      </w:r>
      <w:r w:rsidRPr="005B307F">
        <w:rPr>
          <w:lang w:val="es-ES"/>
        </w:rPr>
        <w:t>están integrados en los tres objetivos del Convenio sobre la Diversidad Biológica y tienen por objeto contribuir de manera equilibrada a ellos</w:t>
      </w:r>
      <w:r w:rsidR="00CC1768" w:rsidRPr="005B307F">
        <w:rPr>
          <w:rStyle w:val="Refdenotaalpie"/>
          <w:lang w:val="es-ES"/>
        </w:rPr>
        <w:footnoteReference w:id="2"/>
      </w:r>
      <w:r w:rsidRPr="005B307F">
        <w:rPr>
          <w:lang w:val="es-ES"/>
        </w:rPr>
        <w:t>,</w:t>
      </w:r>
    </w:p>
    <w:p w14:paraId="2EBB4CEC" w14:textId="2533BA51" w:rsidR="00CC1768" w:rsidRPr="005B307F" w:rsidRDefault="00CC1768" w:rsidP="00CC1768">
      <w:pPr>
        <w:spacing w:before="120" w:after="120"/>
        <w:ind w:left="567" w:firstLine="567"/>
        <w:rPr>
          <w:iCs/>
          <w:lang w:val="es-ES"/>
        </w:rPr>
      </w:pPr>
      <w:r w:rsidRPr="005B307F">
        <w:rPr>
          <w:iCs/>
          <w:lang w:val="es-ES"/>
        </w:rPr>
        <w:t>1.</w:t>
      </w:r>
      <w:r w:rsidRPr="005B307F">
        <w:rPr>
          <w:i/>
          <w:lang w:val="es-ES"/>
        </w:rPr>
        <w:tab/>
      </w:r>
      <w:r w:rsidR="009C513C" w:rsidRPr="005B307F">
        <w:rPr>
          <w:i/>
          <w:lang w:val="es-ES"/>
        </w:rPr>
        <w:t>Toma nota</w:t>
      </w:r>
      <w:r w:rsidR="009C513C" w:rsidRPr="005B307F">
        <w:rPr>
          <w:lang w:val="es-ES"/>
        </w:rPr>
        <w:t xml:space="preserve"> de la decisión 16/-- de la Conferencia de las Partes en el Convenio sobre los progresos realizados en la revisión o actualización por las Partes de las estrategias y planes de acción nacionales en materia de diversidad biológica, incluidas las metas nacionales, en consonancia con el Marco Mundial de Biodiversidad de Kunming-Montreal, y acoge con beneplácito los progresos realizados por las Partes y otros Gobiernos en la presentación de metas nacionales para alcanzar la meta 13 y el objetivo C del Marco</w:t>
      </w:r>
      <w:r w:rsidRPr="005B307F">
        <w:rPr>
          <w:iCs/>
          <w:lang w:val="es-ES"/>
        </w:rPr>
        <w:t>;</w:t>
      </w:r>
    </w:p>
    <w:p w14:paraId="6282C569" w14:textId="6A56D6BE" w:rsidR="00CC1768" w:rsidRPr="005B307F" w:rsidRDefault="00CC1768" w:rsidP="00CC1768">
      <w:pPr>
        <w:spacing w:before="120" w:after="120"/>
        <w:ind w:left="567" w:firstLine="567"/>
        <w:rPr>
          <w:lang w:val="es-ES"/>
        </w:rPr>
      </w:pPr>
      <w:r w:rsidRPr="005B307F">
        <w:rPr>
          <w:lang w:val="es-ES"/>
        </w:rPr>
        <w:t>2.</w:t>
      </w:r>
      <w:r w:rsidRPr="005B307F">
        <w:rPr>
          <w:i/>
          <w:iCs/>
          <w:lang w:val="es-ES"/>
        </w:rPr>
        <w:tab/>
      </w:r>
      <w:r w:rsidR="009C513C" w:rsidRPr="005B307F">
        <w:rPr>
          <w:i/>
          <w:lang w:val="es-ES"/>
        </w:rPr>
        <w:t>Toma nota también</w:t>
      </w:r>
      <w:r w:rsidR="009C513C" w:rsidRPr="005B307F">
        <w:rPr>
          <w:lang w:val="es-ES"/>
        </w:rPr>
        <w:t xml:space="preserve"> de la decisión 16/-- de la Conferencia de las Partes en el Convenio sobre el enfoque multidimensional mejorado para la planificación, el seguimiento, la presentación de informes y la revisión; la decisión 16/-- sobre el marco de seguimiento para el Marco Mundial de Biodiversidad de Kunming-Montreal, que incluye indicadores para el objetivo C y la meta 13 del Marco, y las metodologías pertinentes propuestas que figuran en el documento CBD/COP/16/INF/3</w:t>
      </w:r>
      <w:r w:rsidRPr="005B307F">
        <w:rPr>
          <w:lang w:val="es-ES"/>
        </w:rPr>
        <w:t xml:space="preserve">; </w:t>
      </w:r>
    </w:p>
    <w:p w14:paraId="4DDC3884" w14:textId="04324CD0" w:rsidR="00CC1768" w:rsidRPr="005B307F" w:rsidRDefault="00CC1768" w:rsidP="00CC1768">
      <w:pPr>
        <w:spacing w:before="120" w:after="120"/>
        <w:ind w:left="567" w:firstLine="567"/>
        <w:rPr>
          <w:iCs/>
          <w:lang w:val="es-ES"/>
        </w:rPr>
      </w:pPr>
      <w:r w:rsidRPr="005B307F">
        <w:rPr>
          <w:iCs/>
          <w:lang w:val="es-ES"/>
        </w:rPr>
        <w:t>3.</w:t>
      </w:r>
      <w:r w:rsidRPr="005B307F">
        <w:rPr>
          <w:iCs/>
          <w:lang w:val="es-ES"/>
        </w:rPr>
        <w:tab/>
      </w:r>
      <w:r w:rsidR="009C513C" w:rsidRPr="005B307F">
        <w:rPr>
          <w:i/>
          <w:lang w:val="es-ES"/>
        </w:rPr>
        <w:t>Invita</w:t>
      </w:r>
      <w:r w:rsidR="009C513C" w:rsidRPr="005B307F">
        <w:rPr>
          <w:lang w:val="es-ES"/>
        </w:rPr>
        <w:t xml:space="preserve"> a las Partes y alienta a otros Gobiernos a</w:t>
      </w:r>
      <w:r w:rsidRPr="005B307F">
        <w:rPr>
          <w:iCs/>
          <w:lang w:val="es-ES"/>
        </w:rPr>
        <w:t>:</w:t>
      </w:r>
    </w:p>
    <w:p w14:paraId="147104F6" w14:textId="0E27DD31" w:rsidR="00CC1768" w:rsidRPr="005B307F" w:rsidRDefault="00CC1768" w:rsidP="00CC1768">
      <w:pPr>
        <w:spacing w:before="120" w:after="120"/>
        <w:ind w:left="567" w:firstLine="567"/>
        <w:rPr>
          <w:lang w:val="es-ES"/>
        </w:rPr>
      </w:pPr>
      <w:r w:rsidRPr="005B307F">
        <w:rPr>
          <w:iCs/>
          <w:lang w:val="es-ES"/>
        </w:rPr>
        <w:lastRenderedPageBreak/>
        <w:t>a)</w:t>
      </w:r>
      <w:r w:rsidRPr="005B307F">
        <w:rPr>
          <w:iCs/>
          <w:lang w:val="es-ES"/>
        </w:rPr>
        <w:tab/>
      </w:r>
      <w:r w:rsidR="009C513C" w:rsidRPr="005B307F">
        <w:rPr>
          <w:lang w:val="es-ES"/>
        </w:rPr>
        <w:t>abordar todos los elementos del objetivo C y la meta 13 del Marco cuando fijen metas nacionales y revisen o actualicen las estrategias y planes de acción nacionales en materia de diversidad biológica</w:t>
      </w:r>
      <w:r w:rsidRPr="005B307F">
        <w:rPr>
          <w:rStyle w:val="Refdenotaalpie"/>
          <w:lang w:val="es-ES"/>
        </w:rPr>
        <w:footnoteReference w:id="3"/>
      </w:r>
      <w:r w:rsidR="009C513C" w:rsidRPr="005B307F">
        <w:rPr>
          <w:lang w:val="es-ES"/>
        </w:rPr>
        <w:t>;</w:t>
      </w:r>
      <w:r w:rsidRPr="005B307F">
        <w:rPr>
          <w:lang w:val="es-ES"/>
        </w:rPr>
        <w:t xml:space="preserve"> </w:t>
      </w:r>
    </w:p>
    <w:p w14:paraId="4ED7FF26" w14:textId="30176FC6" w:rsidR="00CC1768" w:rsidRPr="005B307F" w:rsidRDefault="00CC1768" w:rsidP="00CC1768">
      <w:pPr>
        <w:tabs>
          <w:tab w:val="clear" w:pos="567"/>
        </w:tabs>
        <w:spacing w:before="120" w:after="120"/>
        <w:ind w:left="567" w:firstLine="567"/>
        <w:rPr>
          <w:lang w:val="es-ES"/>
        </w:rPr>
      </w:pPr>
      <w:r w:rsidRPr="005B307F">
        <w:rPr>
          <w:lang w:val="es-ES"/>
        </w:rPr>
        <w:t>b)</w:t>
      </w:r>
      <w:r w:rsidRPr="005B307F">
        <w:rPr>
          <w:lang w:val="es-ES"/>
        </w:rPr>
        <w:tab/>
      </w:r>
      <w:r w:rsidR="009C513C" w:rsidRPr="005B307F">
        <w:rPr>
          <w:lang w:val="es-ES"/>
        </w:rPr>
        <w:t>establecer, teniendo en cuenta las circunstancias y prioridades nacionales, los mecanismos e instrumentos necesarios para recopilar información nacional sobre los beneficios monetarios y no monetarios recibidos, con el fin de poder informar sobre los progresos realizados hacia el objetivo C del Marco</w:t>
      </w:r>
      <w:r w:rsidRPr="005B307F">
        <w:rPr>
          <w:lang w:val="es-ES"/>
        </w:rPr>
        <w:t>;</w:t>
      </w:r>
    </w:p>
    <w:p w14:paraId="4F642DF8" w14:textId="1E25ED90" w:rsidR="00CC1768" w:rsidRPr="005B307F" w:rsidRDefault="00CC1768" w:rsidP="00CC1768">
      <w:pPr>
        <w:tabs>
          <w:tab w:val="clear" w:pos="567"/>
        </w:tabs>
        <w:spacing w:before="120" w:after="120"/>
        <w:ind w:left="567" w:firstLine="567"/>
        <w:rPr>
          <w:lang w:val="es-ES"/>
        </w:rPr>
      </w:pPr>
      <w:r w:rsidRPr="005B307F">
        <w:rPr>
          <w:lang w:val="es-ES"/>
        </w:rPr>
        <w:t>c)</w:t>
      </w:r>
      <w:r w:rsidRPr="005B307F">
        <w:rPr>
          <w:lang w:val="es-ES"/>
        </w:rPr>
        <w:tab/>
      </w:r>
      <w:r w:rsidR="009C513C" w:rsidRPr="005B307F">
        <w:rPr>
          <w:lang w:val="es-ES"/>
        </w:rPr>
        <w:t>incluir las necesidades de capacidad y financieras para recopilar información nacional sobre los beneficios monetarios y no monetarios recibidos y aplicar el Protocolo de Nagoya sobre Acceso a los Recursos Genéticos y Participación Justa y Equitativa en los Beneficios que se Deriven de su Utilización</w:t>
      </w:r>
      <w:r w:rsidR="009C513C" w:rsidRPr="005B307F">
        <w:rPr>
          <w:rStyle w:val="Refdenotaalpie"/>
          <w:lang w:val="es-ES"/>
        </w:rPr>
        <w:footnoteReference w:id="4"/>
      </w:r>
      <w:r w:rsidR="009C513C" w:rsidRPr="005B307F">
        <w:rPr>
          <w:lang w:val="es-ES"/>
        </w:rPr>
        <w:t>,según proceda, en la actualización o revisión de las estrategias y planes de acción nacionales en materia de diversidad biológica y de los planes nacionales conexos de financiación, creación de capacidad y desarrollo</w:t>
      </w:r>
      <w:r w:rsidRPr="005B307F">
        <w:rPr>
          <w:lang w:val="es-ES"/>
        </w:rPr>
        <w:t>;</w:t>
      </w:r>
    </w:p>
    <w:p w14:paraId="514462C7" w14:textId="37099536" w:rsidR="00CC1768" w:rsidRPr="005B307F" w:rsidRDefault="00CC1768" w:rsidP="00CC1768">
      <w:pPr>
        <w:tabs>
          <w:tab w:val="clear" w:pos="567"/>
        </w:tabs>
        <w:spacing w:before="120" w:after="120"/>
        <w:ind w:left="567" w:firstLine="567"/>
        <w:rPr>
          <w:lang w:val="es-ES"/>
        </w:rPr>
      </w:pPr>
      <w:r w:rsidRPr="005B307F">
        <w:rPr>
          <w:lang w:val="es-ES"/>
        </w:rPr>
        <w:t>4.</w:t>
      </w:r>
      <w:r w:rsidRPr="005B307F">
        <w:rPr>
          <w:lang w:val="es-ES"/>
        </w:rPr>
        <w:tab/>
      </w:r>
      <w:bookmarkStart w:id="2" w:name="_Hlk175658648"/>
      <w:r w:rsidR="009C513C" w:rsidRPr="005B307F">
        <w:rPr>
          <w:i/>
          <w:lang w:val="es-ES"/>
        </w:rPr>
        <w:t>Invita</w:t>
      </w:r>
      <w:r w:rsidR="009C513C" w:rsidRPr="005B307F">
        <w:rPr>
          <w:lang w:val="es-ES"/>
        </w:rPr>
        <w:t xml:space="preserve"> a las Partes y alienta a otros Gobiernos y organizaciones pertinentes a</w:t>
      </w:r>
      <w:r w:rsidRPr="005B307F">
        <w:rPr>
          <w:lang w:val="es-ES"/>
        </w:rPr>
        <w:t>:</w:t>
      </w:r>
    </w:p>
    <w:p w14:paraId="478E4469" w14:textId="606B31AC" w:rsidR="00CC1768" w:rsidRPr="005B307F" w:rsidRDefault="00CC1768" w:rsidP="00CC1768">
      <w:pPr>
        <w:tabs>
          <w:tab w:val="clear" w:pos="567"/>
        </w:tabs>
        <w:spacing w:before="120" w:after="120"/>
        <w:ind w:left="567" w:firstLine="567"/>
        <w:rPr>
          <w:iCs/>
          <w:lang w:val="es-ES"/>
        </w:rPr>
      </w:pPr>
      <w:r w:rsidRPr="005B307F">
        <w:rPr>
          <w:iCs/>
          <w:lang w:val="es-ES"/>
        </w:rPr>
        <w:t>a)</w:t>
      </w:r>
      <w:r w:rsidRPr="005B307F">
        <w:rPr>
          <w:iCs/>
          <w:lang w:val="es-ES"/>
        </w:rPr>
        <w:tab/>
      </w:r>
      <w:r w:rsidR="009C513C" w:rsidRPr="005B307F">
        <w:rPr>
          <w:lang w:val="es-ES"/>
        </w:rPr>
        <w:t>mejorar la integración del Protocolo de Nagoya en los mecanismos para la planificación, el seguimiento, la presentación de informes y la revisión mencionados en las decisiones 16/-- y 16/-- así como la participación de las autoridades nacionales pertinentes en dichos mecanismos</w:t>
      </w:r>
      <w:r w:rsidRPr="005B307F">
        <w:rPr>
          <w:iCs/>
          <w:lang w:val="es-ES"/>
        </w:rPr>
        <w:t>;</w:t>
      </w:r>
      <w:r w:rsidRPr="005B307F">
        <w:rPr>
          <w:rStyle w:val="Refdenotaalpie"/>
          <w:iCs/>
          <w:lang w:val="es-ES"/>
        </w:rPr>
        <w:footnoteReference w:id="5"/>
      </w:r>
    </w:p>
    <w:p w14:paraId="37E33B00" w14:textId="0B5D878D" w:rsidR="00CC1768" w:rsidRPr="005B307F" w:rsidRDefault="00CC1768" w:rsidP="00CC1768">
      <w:pPr>
        <w:tabs>
          <w:tab w:val="clear" w:pos="567"/>
        </w:tabs>
        <w:spacing w:before="120" w:after="120"/>
        <w:ind w:left="567" w:firstLine="567"/>
        <w:rPr>
          <w:iCs/>
          <w:lang w:val="es-ES"/>
        </w:rPr>
      </w:pPr>
      <w:r w:rsidRPr="005B307F">
        <w:rPr>
          <w:iCs/>
          <w:lang w:val="es-ES"/>
        </w:rPr>
        <w:t>b)</w:t>
      </w:r>
      <w:r w:rsidRPr="005B307F">
        <w:rPr>
          <w:iCs/>
          <w:lang w:val="es-ES"/>
        </w:rPr>
        <w:tab/>
      </w:r>
      <w:r w:rsidR="00F83C61" w:rsidRPr="005B307F">
        <w:rPr>
          <w:lang w:val="es-ES"/>
        </w:rPr>
        <w:t>apoyar la creación de los mecanismos e instrumentos mencionados en el apartado 3 b) anterior y la continuación y mejora de la metodología para recopilar información mundial sobre ciertos tipos de participación en beneficios no monetarios con el fin de desglosarlos por país</w:t>
      </w:r>
      <w:r w:rsidRPr="005B307F">
        <w:rPr>
          <w:iCs/>
          <w:lang w:val="es-ES"/>
        </w:rPr>
        <w:t>.</w:t>
      </w:r>
      <w:bookmarkEnd w:id="2"/>
    </w:p>
    <w:p w14:paraId="36CE006D" w14:textId="77777777" w:rsidR="00537248" w:rsidRPr="005B307F" w:rsidRDefault="00537248" w:rsidP="005C0058">
      <w:pPr>
        <w:pStyle w:val="Para2"/>
        <w:rPr>
          <w:lang w:val="es-ES"/>
        </w:rPr>
      </w:pPr>
    </w:p>
    <w:p w14:paraId="17F31E5B" w14:textId="77777777" w:rsidR="002B559C" w:rsidRPr="005B307F" w:rsidRDefault="00ED3849" w:rsidP="007A7F22">
      <w:pPr>
        <w:pStyle w:val="Para1"/>
        <w:numPr>
          <w:ilvl w:val="0"/>
          <w:numId w:val="0"/>
        </w:numPr>
        <w:jc w:val="center"/>
        <w:rPr>
          <w:lang w:val="es-ES"/>
        </w:rPr>
      </w:pPr>
      <w:r w:rsidRPr="005B307F">
        <w:rPr>
          <w:lang w:val="es-ES"/>
        </w:rPr>
        <w:t>__________</w:t>
      </w:r>
    </w:p>
    <w:sectPr w:rsidR="002B559C" w:rsidRPr="005B307F"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7B9D0" w14:textId="77777777" w:rsidR="007D6B13" w:rsidRDefault="007D6B13" w:rsidP="00A96B21">
      <w:r>
        <w:separator/>
      </w:r>
    </w:p>
  </w:endnote>
  <w:endnote w:type="continuationSeparator" w:id="0">
    <w:p w14:paraId="28774CE2" w14:textId="77777777" w:rsidR="007D6B13" w:rsidRDefault="007D6B1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8B000" w14:textId="77777777" w:rsidR="007D6B13" w:rsidRDefault="007D6B13" w:rsidP="00A96B21">
      <w:r>
        <w:separator/>
      </w:r>
    </w:p>
  </w:footnote>
  <w:footnote w:type="continuationSeparator" w:id="0">
    <w:p w14:paraId="405EAA32" w14:textId="77777777" w:rsidR="007D6B13" w:rsidRDefault="007D6B13" w:rsidP="00A96B21">
      <w:r>
        <w:continuationSeparator/>
      </w:r>
    </w:p>
  </w:footnote>
  <w:footnote w:id="1">
    <w:p w14:paraId="2035FE3E" w14:textId="77777777" w:rsidR="009C513C" w:rsidRPr="005B307F" w:rsidRDefault="009C513C" w:rsidP="009C513C">
      <w:pPr>
        <w:pStyle w:val="Textonotapie"/>
        <w:rPr>
          <w:lang w:val="es-ES"/>
        </w:rPr>
      </w:pPr>
      <w:r w:rsidRPr="005B307F">
        <w:rPr>
          <w:rStyle w:val="Refdenotaalpie"/>
          <w:lang w:val="es-ES"/>
        </w:rPr>
        <w:footnoteRef/>
      </w:r>
      <w:r w:rsidRPr="005B307F">
        <w:rPr>
          <w:lang w:val="es-ES"/>
        </w:rPr>
        <w:t xml:space="preserve"> Decisión 15/4, anexo.</w:t>
      </w:r>
    </w:p>
  </w:footnote>
  <w:footnote w:id="2">
    <w:p w14:paraId="7CE9F599" w14:textId="31452D4D" w:rsidR="00CC1768" w:rsidRPr="005B307F" w:rsidRDefault="00CC1768" w:rsidP="00CC1768">
      <w:pPr>
        <w:pStyle w:val="Textonotapie"/>
        <w:rPr>
          <w:lang w:val="es-ES"/>
        </w:rPr>
      </w:pPr>
      <w:r w:rsidRPr="005B307F">
        <w:rPr>
          <w:rStyle w:val="Refdenotaalpie"/>
          <w:lang w:val="es-ES"/>
        </w:rPr>
        <w:footnoteRef/>
      </w:r>
      <w:r w:rsidRPr="005B307F">
        <w:rPr>
          <w:lang w:val="es-ES"/>
        </w:rPr>
        <w:t xml:space="preserve"> </w:t>
      </w:r>
      <w:r w:rsidR="00F83C61" w:rsidRPr="005B307F">
        <w:rPr>
          <w:lang w:val="es-ES"/>
        </w:rPr>
        <w:t xml:space="preserve">Naciones Unidas, </w:t>
      </w:r>
      <w:r w:rsidR="00F83C61" w:rsidRPr="005B307F">
        <w:rPr>
          <w:i/>
          <w:iCs/>
          <w:lang w:val="es-ES"/>
        </w:rPr>
        <w:t>Treaty Series</w:t>
      </w:r>
      <w:r w:rsidR="00F83C61" w:rsidRPr="005B307F">
        <w:rPr>
          <w:lang w:val="es-ES"/>
        </w:rPr>
        <w:t>, vol. 1760, núm. 30619</w:t>
      </w:r>
      <w:r w:rsidRPr="005B307F">
        <w:rPr>
          <w:lang w:val="es-ES"/>
        </w:rPr>
        <w:t>.</w:t>
      </w:r>
    </w:p>
  </w:footnote>
  <w:footnote w:id="3">
    <w:p w14:paraId="367FE4F8" w14:textId="07B8B544" w:rsidR="00CC1768" w:rsidRPr="005B307F" w:rsidRDefault="00CC1768" w:rsidP="00CC1768">
      <w:pPr>
        <w:pStyle w:val="Textonotapie"/>
        <w:rPr>
          <w:lang w:val="es-ES"/>
        </w:rPr>
      </w:pPr>
      <w:r w:rsidRPr="005B307F">
        <w:rPr>
          <w:rStyle w:val="Refdenotaalpie"/>
          <w:lang w:val="es-ES"/>
        </w:rPr>
        <w:footnoteRef/>
      </w:r>
      <w:r w:rsidR="00F83C61" w:rsidRPr="005B307F">
        <w:rPr>
          <w:lang w:val="es-ES"/>
        </w:rPr>
        <w:t xml:space="preserve"> </w:t>
      </w:r>
      <w:r w:rsidR="00F83C61" w:rsidRPr="005B307F">
        <w:rPr>
          <w:lang w:val="es-ES"/>
        </w:rPr>
        <w:t>Véanse las notas de orientación preparadas por la Secretaría para la meta 13 en</w:t>
      </w:r>
      <w:r w:rsidR="00F83C61" w:rsidRPr="005B307F">
        <w:rPr>
          <w:lang w:val="es-ES"/>
        </w:rPr>
        <w:t xml:space="preserve"> </w:t>
      </w:r>
      <w:hyperlink r:id="rId1" w:history="1">
        <w:r w:rsidR="00F83C61" w:rsidRPr="005B307F">
          <w:rPr>
            <w:rStyle w:val="Hipervnculo"/>
            <w:lang w:val="es-ES"/>
          </w:rPr>
          <w:t>www.cbd.int/gbf/targets/13</w:t>
        </w:r>
      </w:hyperlink>
      <w:r w:rsidRPr="005B307F">
        <w:rPr>
          <w:lang w:val="es-ES"/>
        </w:rPr>
        <w:t>.</w:t>
      </w:r>
    </w:p>
  </w:footnote>
  <w:footnote w:id="4">
    <w:p w14:paraId="2E325E7B" w14:textId="1A1D5BC5" w:rsidR="009C513C" w:rsidRPr="005B307F" w:rsidRDefault="009C513C" w:rsidP="009C513C">
      <w:pPr>
        <w:pStyle w:val="Textonotapie"/>
        <w:rPr>
          <w:lang w:val="es-ES"/>
        </w:rPr>
      </w:pPr>
      <w:r w:rsidRPr="005B307F">
        <w:rPr>
          <w:rStyle w:val="Refdenotaalpie"/>
          <w:lang w:val="es-ES"/>
        </w:rPr>
        <w:footnoteRef/>
      </w:r>
      <w:r w:rsidRPr="005B307F">
        <w:rPr>
          <w:szCs w:val="18"/>
          <w:lang w:val="es-ES"/>
        </w:rPr>
        <w:t xml:space="preserve"> </w:t>
      </w:r>
      <w:r w:rsidR="00F83C61" w:rsidRPr="005B307F">
        <w:rPr>
          <w:szCs w:val="18"/>
          <w:lang w:val="es-ES"/>
        </w:rPr>
        <w:t xml:space="preserve">Naciones Unidas, </w:t>
      </w:r>
      <w:r w:rsidR="00F83C61" w:rsidRPr="005B307F">
        <w:rPr>
          <w:i/>
          <w:iCs/>
          <w:szCs w:val="18"/>
          <w:lang w:val="es-ES"/>
        </w:rPr>
        <w:t>Treaty Series</w:t>
      </w:r>
      <w:r w:rsidR="00F83C61" w:rsidRPr="005B307F">
        <w:rPr>
          <w:szCs w:val="18"/>
          <w:lang w:val="es-ES"/>
        </w:rPr>
        <w:t>, vol. 3008, núm. 30619</w:t>
      </w:r>
      <w:r w:rsidRPr="005B307F">
        <w:rPr>
          <w:szCs w:val="18"/>
          <w:lang w:val="es-ES"/>
        </w:rPr>
        <w:t>.</w:t>
      </w:r>
    </w:p>
  </w:footnote>
  <w:footnote w:id="5">
    <w:p w14:paraId="3A803E04" w14:textId="53F8FEAD" w:rsidR="00CC1768" w:rsidRPr="005B307F" w:rsidRDefault="00CC1768" w:rsidP="00CC1768">
      <w:pPr>
        <w:pStyle w:val="Textonotapie"/>
        <w:rPr>
          <w:lang w:val="es-ES"/>
        </w:rPr>
      </w:pPr>
      <w:r w:rsidRPr="005B307F">
        <w:rPr>
          <w:rStyle w:val="Refdenotaalpie"/>
          <w:lang w:val="es-ES"/>
        </w:rPr>
        <w:footnoteRef/>
      </w:r>
      <w:r w:rsidRPr="005B307F">
        <w:rPr>
          <w:lang w:val="es-ES"/>
        </w:rPr>
        <w:t xml:space="preserve"> </w:t>
      </w:r>
      <w:r w:rsidR="00F83C61" w:rsidRPr="005B307F">
        <w:rPr>
          <w:lang w:val="es-ES"/>
        </w:rPr>
        <w:t>Las decisiones son las mismas que las mencionadas en el párrafo 2 de la parte dispositiva. Los números se añadirán una vez que las decisiones estén adoptadas</w:t>
      </w:r>
      <w:r w:rsidRPr="005B307F">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6D06861D" w:rsidR="002B559C" w:rsidRPr="002B559C" w:rsidRDefault="00000000"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21940" w:rsidRPr="00807CD3">
          <w:rPr>
            <w:szCs w:val="20"/>
            <w:lang w:val="fr-FR"/>
          </w:rPr>
          <w:t>CBD/NP/MOP/5/</w:t>
        </w:r>
        <w:r w:rsidR="00021940">
          <w:rPr>
            <w:szCs w:val="20"/>
            <w:lang w:val="fr-FR"/>
          </w:rPr>
          <w:t>WG.II/CRP.5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2E540A7C" w:rsidR="002B559C" w:rsidRPr="002B559C" w:rsidRDefault="00021940" w:rsidP="002B559C">
        <w:pPr>
          <w:pStyle w:val="Encabezado"/>
          <w:spacing w:after="240"/>
          <w:jc w:val="right"/>
          <w:rPr>
            <w:szCs w:val="20"/>
            <w:lang w:val="fr-FR"/>
          </w:rPr>
        </w:pPr>
        <w:r>
          <w:rPr>
            <w:szCs w:val="20"/>
            <w:lang w:val="fr-FR"/>
          </w:rPr>
          <w:t>CBD/NP/MOP/5/WG.II/CRP.5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1940"/>
    <w:rsid w:val="00040598"/>
    <w:rsid w:val="00052B03"/>
    <w:rsid w:val="000A69AC"/>
    <w:rsid w:val="000B0607"/>
    <w:rsid w:val="000C04BB"/>
    <w:rsid w:val="000D11FE"/>
    <w:rsid w:val="00132581"/>
    <w:rsid w:val="00170D3D"/>
    <w:rsid w:val="00173C53"/>
    <w:rsid w:val="00184909"/>
    <w:rsid w:val="001B1E9C"/>
    <w:rsid w:val="001D7501"/>
    <w:rsid w:val="0021066C"/>
    <w:rsid w:val="002B00CA"/>
    <w:rsid w:val="002B559C"/>
    <w:rsid w:val="002D4858"/>
    <w:rsid w:val="002E4427"/>
    <w:rsid w:val="00303F0B"/>
    <w:rsid w:val="00310608"/>
    <w:rsid w:val="00317EA5"/>
    <w:rsid w:val="00323F22"/>
    <w:rsid w:val="003412B7"/>
    <w:rsid w:val="00343445"/>
    <w:rsid w:val="003476A9"/>
    <w:rsid w:val="00394E74"/>
    <w:rsid w:val="003B0DF4"/>
    <w:rsid w:val="003C6F10"/>
    <w:rsid w:val="004202A4"/>
    <w:rsid w:val="00434349"/>
    <w:rsid w:val="00441498"/>
    <w:rsid w:val="004701EE"/>
    <w:rsid w:val="00480A8D"/>
    <w:rsid w:val="004A2A2D"/>
    <w:rsid w:val="00537248"/>
    <w:rsid w:val="005A206E"/>
    <w:rsid w:val="005B307F"/>
    <w:rsid w:val="005C0058"/>
    <w:rsid w:val="005D02AF"/>
    <w:rsid w:val="005E2605"/>
    <w:rsid w:val="00657ED6"/>
    <w:rsid w:val="00695A2A"/>
    <w:rsid w:val="006B293D"/>
    <w:rsid w:val="00722D66"/>
    <w:rsid w:val="0076622F"/>
    <w:rsid w:val="007A7F22"/>
    <w:rsid w:val="007C77BC"/>
    <w:rsid w:val="007D6B13"/>
    <w:rsid w:val="00807CD3"/>
    <w:rsid w:val="00807F58"/>
    <w:rsid w:val="00851C72"/>
    <w:rsid w:val="00855E32"/>
    <w:rsid w:val="00874541"/>
    <w:rsid w:val="008E0581"/>
    <w:rsid w:val="00913955"/>
    <w:rsid w:val="00935461"/>
    <w:rsid w:val="009459E3"/>
    <w:rsid w:val="00992BAB"/>
    <w:rsid w:val="00995DDC"/>
    <w:rsid w:val="009C1114"/>
    <w:rsid w:val="009C513C"/>
    <w:rsid w:val="00A15E68"/>
    <w:rsid w:val="00A22B61"/>
    <w:rsid w:val="00A54FA0"/>
    <w:rsid w:val="00A96B21"/>
    <w:rsid w:val="00AE1A95"/>
    <w:rsid w:val="00B36EA9"/>
    <w:rsid w:val="00B75168"/>
    <w:rsid w:val="00B75632"/>
    <w:rsid w:val="00BA3309"/>
    <w:rsid w:val="00BF1608"/>
    <w:rsid w:val="00C2354A"/>
    <w:rsid w:val="00C35912"/>
    <w:rsid w:val="00CC1768"/>
    <w:rsid w:val="00CF70AB"/>
    <w:rsid w:val="00D23F1E"/>
    <w:rsid w:val="00D3059B"/>
    <w:rsid w:val="00D35278"/>
    <w:rsid w:val="00D5077B"/>
    <w:rsid w:val="00D60046"/>
    <w:rsid w:val="00D668AA"/>
    <w:rsid w:val="00D71FFB"/>
    <w:rsid w:val="00DD74C2"/>
    <w:rsid w:val="00DF4433"/>
    <w:rsid w:val="00E15315"/>
    <w:rsid w:val="00E1597C"/>
    <w:rsid w:val="00ED3849"/>
    <w:rsid w:val="00F258FB"/>
    <w:rsid w:val="00F6660F"/>
    <w:rsid w:val="00F7593A"/>
    <w:rsid w:val="00F75F90"/>
    <w:rsid w:val="00F83C61"/>
    <w:rsid w:val="00FA18C9"/>
    <w:rsid w:val="00FC0705"/>
    <w:rsid w:val="00FD47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17EA5"/>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17EA5"/>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317EA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17EA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17EA5"/>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17EA5"/>
    <w:rPr>
      <w:vertAlign w:val="superscript"/>
    </w:rPr>
  </w:style>
  <w:style w:type="paragraph" w:customStyle="1" w:styleId="Footnote">
    <w:name w:val="Footnote"/>
    <w:basedOn w:val="Textonotapie"/>
    <w:qFormat/>
    <w:rsid w:val="00317EA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317EA5"/>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317EA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17EA5"/>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317EA5"/>
    <w:pPr>
      <w:tabs>
        <w:tab w:val="center" w:pos="4680"/>
        <w:tab w:val="right" w:pos="9360"/>
      </w:tabs>
    </w:pPr>
    <w:rPr>
      <w:sz w:val="20"/>
    </w:rPr>
  </w:style>
  <w:style w:type="character" w:customStyle="1" w:styleId="PiedepginaCar">
    <w:name w:val="Pie de página Car"/>
    <w:basedOn w:val="Fuentedeprrafopredeter"/>
    <w:link w:val="Piedepgina"/>
    <w:uiPriority w:val="99"/>
    <w:rsid w:val="00317EA5"/>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317EA5"/>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317EA5"/>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317EA5"/>
    <w:rPr>
      <w:sz w:val="16"/>
      <w:szCs w:val="16"/>
    </w:rPr>
  </w:style>
  <w:style w:type="paragraph" w:styleId="Textocomentario">
    <w:name w:val="annotation text"/>
    <w:basedOn w:val="Normal"/>
    <w:link w:val="TextocomentarioCar"/>
    <w:uiPriority w:val="99"/>
    <w:rsid w:val="00317EA5"/>
    <w:rPr>
      <w:sz w:val="20"/>
      <w:szCs w:val="20"/>
    </w:rPr>
  </w:style>
  <w:style w:type="character" w:customStyle="1" w:styleId="TextocomentarioCar">
    <w:name w:val="Texto comentario Car"/>
    <w:basedOn w:val="Fuentedeprrafopredeter"/>
    <w:link w:val="Textocomentario"/>
    <w:uiPriority w:val="99"/>
    <w:rsid w:val="00317EA5"/>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317EA5"/>
    <w:rPr>
      <w:b/>
      <w:bCs/>
    </w:rPr>
  </w:style>
  <w:style w:type="character" w:customStyle="1" w:styleId="AsuntodelcomentarioCar">
    <w:name w:val="Asunto del comentario Car"/>
    <w:basedOn w:val="TextocomentarioCar"/>
    <w:link w:val="Asuntodelcomentario"/>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317EA5"/>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317EA5"/>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317EA5"/>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317EA5"/>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317EA5"/>
    <w:rPr>
      <w:rFonts w:ascii="Times New Roman" w:hAnsi="Times New Roman"/>
      <w:color w:val="0563C1" w:themeColor="hyperlink"/>
      <w:u w:val="single"/>
    </w:rPr>
  </w:style>
  <w:style w:type="paragraph" w:styleId="Lista">
    <w:name w:val="List"/>
    <w:basedOn w:val="Normal"/>
    <w:semiHidden/>
    <w:rsid w:val="00317EA5"/>
    <w:pPr>
      <w:contextualSpacing/>
    </w:pPr>
  </w:style>
  <w:style w:type="paragraph" w:styleId="Prrafodelista">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 w:type="character" w:styleId="Mencinsinresolver">
    <w:name w:val="Unresolved Mention"/>
    <w:basedOn w:val="Fuentedeprrafopredeter"/>
    <w:uiPriority w:val="99"/>
    <w:semiHidden/>
    <w:unhideWhenUsed/>
    <w:rsid w:val="00F83C61"/>
    <w:rPr>
      <w:color w:val="605E5C"/>
      <w:shd w:val="clear" w:color="auto" w:fill="E1DFDD"/>
    </w:rPr>
  </w:style>
  <w:style w:type="character" w:styleId="Hipervnculovisitado">
    <w:name w:val="FollowedHyperlink"/>
    <w:basedOn w:val="Fuentedeprrafopredeter"/>
    <w:uiPriority w:val="99"/>
    <w:semiHidden/>
    <w:unhideWhenUsed/>
    <w:rsid w:val="005B30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5220C"/>
    <w:rsid w:val="001F2607"/>
    <w:rsid w:val="002B32C3"/>
    <w:rsid w:val="002E4427"/>
    <w:rsid w:val="00303F0B"/>
    <w:rsid w:val="004202A4"/>
    <w:rsid w:val="0058270C"/>
    <w:rsid w:val="006C13B7"/>
    <w:rsid w:val="00760256"/>
    <w:rsid w:val="00851C72"/>
    <w:rsid w:val="00967CF3"/>
    <w:rsid w:val="00986A85"/>
    <w:rsid w:val="00C05839"/>
    <w:rsid w:val="00DC2AEA"/>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6FDBE8F-63C5-4F33-B621-F8EF6CBE4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10</TotalTime>
  <Pages>2</Pages>
  <Words>625</Words>
  <Characters>3338</Characters>
  <Application>Microsoft Office Word</Application>
  <DocSecurity>0</DocSecurity>
  <Lines>64</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Enhancing the implementation of the Nagoya Protocol in the context of the Kunming-Montreal Global Biodiversity Framework</vt:lpstr>
      <vt:lpstr>Title of the document</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 en el contexto del Marco Mundial de Biodiversidad de Kunming-Montreal</dc:title>
  <dc:subject>CBD/NP/MOP/5/WG.II/CRP.5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Elena Valdevi</cp:lastModifiedBy>
  <cp:revision>4</cp:revision>
  <dcterms:created xsi:type="dcterms:W3CDTF">2024-10-22T08:12:00Z</dcterms:created>
  <dcterms:modified xsi:type="dcterms:W3CDTF">2024-10-22T08:24:00Z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