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1F4589" w14:paraId="3C82EFF3" w14:textId="77777777" w:rsidTr="00CF1848">
        <w:trPr>
          <w:trHeight w:val="709"/>
        </w:trPr>
        <w:tc>
          <w:tcPr>
            <w:tcW w:w="976" w:type="dxa"/>
            <w:tcBorders>
              <w:bottom w:val="single" w:sz="12" w:space="0" w:color="auto"/>
            </w:tcBorders>
          </w:tcPr>
          <w:p w14:paraId="06E99AEF" w14:textId="77777777" w:rsidR="00C9161D" w:rsidRPr="001F4589" w:rsidRDefault="00C9161D" w:rsidP="00887122">
            <w:pPr>
              <w:suppressLineNumbers/>
              <w:suppressAutoHyphens/>
              <w:rPr>
                <w:kern w:val="22"/>
              </w:rPr>
            </w:pPr>
            <w:r w:rsidRPr="001F4589">
              <w:rPr>
                <w:noProof/>
                <w:kern w:val="22"/>
              </w:rPr>
              <w:drawing>
                <wp:inline distT="0" distB="0" distL="0" distR="0" wp14:anchorId="4D325686" wp14:editId="1F2E2D5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AE9661D" w14:textId="076ED3BB" w:rsidR="00C9161D" w:rsidRPr="001F4589" w:rsidRDefault="00C9161D" w:rsidP="00482485">
            <w:pPr>
              <w:suppressLineNumbers/>
              <w:suppressAutoHyphens/>
              <w:rPr>
                <w:kern w:val="22"/>
              </w:rPr>
            </w:pPr>
          </w:p>
        </w:tc>
        <w:tc>
          <w:tcPr>
            <w:tcW w:w="4090" w:type="dxa"/>
            <w:tcBorders>
              <w:bottom w:val="single" w:sz="12" w:space="0" w:color="auto"/>
            </w:tcBorders>
          </w:tcPr>
          <w:p w14:paraId="76FF5593" w14:textId="77777777" w:rsidR="00C9161D" w:rsidRPr="001F4589" w:rsidRDefault="00C9161D" w:rsidP="001F4589">
            <w:pPr>
              <w:suppressLineNumbers/>
              <w:suppressAutoHyphens/>
              <w:jc w:val="right"/>
              <w:rPr>
                <w:rFonts w:ascii="Arial" w:hAnsi="Arial" w:cs="Arial"/>
                <w:b/>
                <w:kern w:val="22"/>
                <w:sz w:val="32"/>
                <w:szCs w:val="32"/>
              </w:rPr>
            </w:pPr>
            <w:r w:rsidRPr="001F4589">
              <w:rPr>
                <w:rFonts w:ascii="Arial" w:hAnsi="Arial" w:cs="Arial"/>
                <w:b/>
                <w:kern w:val="22"/>
                <w:sz w:val="32"/>
                <w:szCs w:val="32"/>
              </w:rPr>
              <w:t>CBD</w:t>
            </w:r>
          </w:p>
        </w:tc>
      </w:tr>
      <w:tr w:rsidR="00C9161D" w:rsidRPr="001F4589" w14:paraId="1078384E" w14:textId="77777777" w:rsidTr="00CF1848">
        <w:tc>
          <w:tcPr>
            <w:tcW w:w="6117" w:type="dxa"/>
            <w:gridSpan w:val="2"/>
            <w:tcBorders>
              <w:top w:val="single" w:sz="12" w:space="0" w:color="auto"/>
              <w:bottom w:val="single" w:sz="36" w:space="0" w:color="auto"/>
            </w:tcBorders>
            <w:vAlign w:val="center"/>
          </w:tcPr>
          <w:p w14:paraId="063C0763" w14:textId="77777777" w:rsidR="00C9161D" w:rsidRPr="001F4589" w:rsidRDefault="00C9161D" w:rsidP="00482485">
            <w:pPr>
              <w:suppressLineNumbers/>
              <w:suppressAutoHyphens/>
              <w:rPr>
                <w:kern w:val="22"/>
              </w:rPr>
            </w:pPr>
            <w:r w:rsidRPr="001F4589">
              <w:rPr>
                <w:noProof/>
                <w:kern w:val="22"/>
              </w:rPr>
              <w:drawing>
                <wp:inline distT="0" distB="0" distL="0" distR="0" wp14:anchorId="16C2746E" wp14:editId="3CF96B6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47F406BB" w14:textId="77777777" w:rsidR="00C9161D" w:rsidRPr="002A7780" w:rsidRDefault="00C9161D" w:rsidP="00615C3F">
            <w:pPr>
              <w:suppressLineNumbers/>
              <w:suppressAutoHyphens/>
              <w:ind w:left="1215"/>
              <w:jc w:val="left"/>
              <w:rPr>
                <w:kern w:val="22"/>
                <w:szCs w:val="22"/>
              </w:rPr>
            </w:pPr>
            <w:r w:rsidRPr="006023C7">
              <w:rPr>
                <w:kern w:val="22"/>
                <w:szCs w:val="22"/>
              </w:rPr>
              <w:t>Distr.</w:t>
            </w:r>
          </w:p>
          <w:p w14:paraId="77B2FC63" w14:textId="295CDD0D" w:rsidR="00C9161D" w:rsidRPr="006023C7" w:rsidRDefault="00172AF6" w:rsidP="00615C3F">
            <w:pPr>
              <w:suppressLineNumbers/>
              <w:suppressAutoHyphens/>
              <w:ind w:left="1215"/>
              <w:jc w:val="left"/>
              <w:rPr>
                <w:kern w:val="22"/>
                <w:szCs w:val="22"/>
              </w:rPr>
            </w:pPr>
            <w:r w:rsidRPr="00615C3F">
              <w:rPr>
                <w:kern w:val="22"/>
                <w:szCs w:val="22"/>
              </w:rPr>
              <w:t>GENERAL</w:t>
            </w:r>
          </w:p>
          <w:p w14:paraId="2889549B" w14:textId="77777777" w:rsidR="00C9161D" w:rsidRPr="00185E4B" w:rsidRDefault="00C9161D" w:rsidP="00615C3F">
            <w:pPr>
              <w:suppressLineNumbers/>
              <w:suppressAutoHyphens/>
              <w:ind w:left="1215"/>
              <w:jc w:val="left"/>
              <w:rPr>
                <w:kern w:val="22"/>
                <w:szCs w:val="22"/>
              </w:rPr>
            </w:pPr>
          </w:p>
          <w:p w14:paraId="377F94DA" w14:textId="255EE015" w:rsidR="00C9161D" w:rsidRPr="006023C7" w:rsidRDefault="005400B1" w:rsidP="00615C3F">
            <w:pPr>
              <w:suppressLineNumbers/>
              <w:suppressAutoHyphens/>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F57A56" w:rsidRPr="006023C7">
                  <w:rPr>
                    <w:kern w:val="22"/>
                  </w:rPr>
                  <w:t>CBD/SBI/3/</w:t>
                </w:r>
                <w:r w:rsidR="00E634F5" w:rsidRPr="006023C7">
                  <w:rPr>
                    <w:kern w:val="22"/>
                  </w:rPr>
                  <w:t>8</w:t>
                </w:r>
                <w:r w:rsidR="00F57A56" w:rsidRPr="006023C7">
                  <w:rPr>
                    <w:kern w:val="22"/>
                  </w:rPr>
                  <w:t>/Add.1</w:t>
                </w:r>
              </w:sdtContent>
            </w:sdt>
          </w:p>
          <w:p w14:paraId="347E412B" w14:textId="3B988901" w:rsidR="00C9161D" w:rsidRPr="00135207" w:rsidRDefault="00BE5763" w:rsidP="00615C3F">
            <w:pPr>
              <w:suppressLineNumbers/>
              <w:suppressAutoHyphens/>
              <w:ind w:left="1215"/>
              <w:jc w:val="left"/>
              <w:rPr>
                <w:kern w:val="22"/>
                <w:szCs w:val="22"/>
              </w:rPr>
            </w:pPr>
            <w:r w:rsidRPr="00185E4B">
              <w:rPr>
                <w:kern w:val="22"/>
                <w:szCs w:val="22"/>
              </w:rPr>
              <w:t>6</w:t>
            </w:r>
            <w:r w:rsidR="00F64256" w:rsidRPr="00185E4B">
              <w:rPr>
                <w:kern w:val="22"/>
                <w:szCs w:val="22"/>
              </w:rPr>
              <w:t xml:space="preserve"> </w:t>
            </w:r>
            <w:r w:rsidR="006D0106" w:rsidRPr="002A694F">
              <w:rPr>
                <w:kern w:val="22"/>
                <w:szCs w:val="22"/>
              </w:rPr>
              <w:t>October</w:t>
            </w:r>
            <w:r w:rsidR="00F57A56" w:rsidRPr="002A694F">
              <w:rPr>
                <w:kern w:val="22"/>
                <w:szCs w:val="22"/>
              </w:rPr>
              <w:t xml:space="preserve"> </w:t>
            </w:r>
            <w:r w:rsidR="00BA769C" w:rsidRPr="00135207">
              <w:rPr>
                <w:kern w:val="22"/>
                <w:szCs w:val="22"/>
              </w:rPr>
              <w:t>2020</w:t>
            </w:r>
          </w:p>
          <w:p w14:paraId="6A96DD85" w14:textId="77777777" w:rsidR="00C9161D" w:rsidRPr="00AA35F8" w:rsidRDefault="00C9161D" w:rsidP="00615C3F">
            <w:pPr>
              <w:suppressLineNumbers/>
              <w:suppressAutoHyphens/>
              <w:ind w:left="1215"/>
              <w:jc w:val="left"/>
              <w:rPr>
                <w:kern w:val="22"/>
                <w:szCs w:val="22"/>
              </w:rPr>
            </w:pPr>
          </w:p>
          <w:p w14:paraId="38BD1B6C" w14:textId="77777777" w:rsidR="00C9161D" w:rsidRPr="00AA35F8" w:rsidRDefault="006B2290" w:rsidP="00615C3F">
            <w:pPr>
              <w:suppressLineNumbers/>
              <w:suppressAutoHyphens/>
              <w:ind w:left="1215"/>
              <w:jc w:val="left"/>
              <w:rPr>
                <w:kern w:val="22"/>
                <w:szCs w:val="22"/>
              </w:rPr>
            </w:pPr>
            <w:r w:rsidRPr="00AA35F8">
              <w:rPr>
                <w:kern w:val="22"/>
                <w:szCs w:val="22"/>
              </w:rPr>
              <w:t xml:space="preserve">ORIGINAL: </w:t>
            </w:r>
            <w:r w:rsidR="00C9161D" w:rsidRPr="00AA35F8">
              <w:rPr>
                <w:kern w:val="22"/>
                <w:szCs w:val="22"/>
              </w:rPr>
              <w:t>ENGLISH</w:t>
            </w:r>
          </w:p>
          <w:p w14:paraId="49D1CB7C" w14:textId="77777777" w:rsidR="00C9161D" w:rsidRPr="008C196B" w:rsidRDefault="00C9161D" w:rsidP="00615C3F">
            <w:pPr>
              <w:suppressLineNumbers/>
              <w:suppressAutoHyphens/>
              <w:jc w:val="left"/>
              <w:rPr>
                <w:kern w:val="22"/>
              </w:rPr>
            </w:pPr>
          </w:p>
        </w:tc>
      </w:tr>
    </w:tbl>
    <w:p w14:paraId="6F14BD28" w14:textId="2600DA7B" w:rsidR="00BA769C" w:rsidRPr="006023C7" w:rsidRDefault="0003695D" w:rsidP="00482485">
      <w:pPr>
        <w:pStyle w:val="meetingname"/>
        <w:suppressLineNumbers/>
        <w:suppressAutoHyphens/>
        <w:ind w:left="284" w:right="4398" w:hanging="284"/>
        <w:rPr>
          <w:kern w:val="22"/>
        </w:rPr>
      </w:pPr>
      <w:bookmarkStart w:id="0" w:name="Meeting"/>
      <w:r w:rsidRPr="006023C7">
        <w:rPr>
          <w:noProof/>
          <w:kern w:val="22"/>
        </w:rPr>
        <w:drawing>
          <wp:anchor distT="0" distB="0" distL="114300" distR="114300" simplePos="0" relativeHeight="251659264" behindDoc="0" locked="0" layoutInCell="1" allowOverlap="1" wp14:anchorId="5FB8357E" wp14:editId="26C17400">
            <wp:simplePos x="0" y="0"/>
            <wp:positionH relativeFrom="column">
              <wp:posOffset>357293</wp:posOffset>
            </wp:positionH>
            <wp:positionV relativeFrom="page">
              <wp:posOffset>287020</wp:posOffset>
            </wp:positionV>
            <wp:extent cx="803910" cy="5067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03910" cy="506730"/>
                    </a:xfrm>
                    <a:prstGeom prst="rect">
                      <a:avLst/>
                    </a:prstGeom>
                  </pic:spPr>
                </pic:pic>
              </a:graphicData>
            </a:graphic>
            <wp14:sizeRelH relativeFrom="margin">
              <wp14:pctWidth>0</wp14:pctWidth>
            </wp14:sizeRelH>
            <wp14:sizeRelV relativeFrom="margin">
              <wp14:pctHeight>0</wp14:pctHeight>
            </wp14:sizeRelV>
          </wp:anchor>
        </w:drawing>
      </w:r>
      <w:r w:rsidR="00BA769C" w:rsidRPr="006023C7">
        <w:rPr>
          <w:kern w:val="22"/>
        </w:rPr>
        <w:t>SUBSIDIARY BODY ON IMPLEMENTATION</w:t>
      </w:r>
      <w:bookmarkEnd w:id="0"/>
    </w:p>
    <w:p w14:paraId="09A9A9E9" w14:textId="77777777" w:rsidR="00BA769C" w:rsidRPr="006023C7" w:rsidRDefault="00BA769C" w:rsidP="001F4589">
      <w:pPr>
        <w:suppressLineNumbers/>
        <w:suppressAutoHyphens/>
        <w:ind w:left="284" w:hanging="284"/>
        <w:jc w:val="left"/>
        <w:rPr>
          <w:snapToGrid w:val="0"/>
          <w:kern w:val="22"/>
          <w:szCs w:val="22"/>
          <w:lang w:eastAsia="nb-NO"/>
        </w:rPr>
      </w:pPr>
      <w:bookmarkStart w:id="1" w:name="_Hlk47946195"/>
      <w:r w:rsidRPr="006023C7">
        <w:rPr>
          <w:snapToGrid w:val="0"/>
          <w:kern w:val="22"/>
          <w:szCs w:val="22"/>
          <w:lang w:eastAsia="nb-NO"/>
        </w:rPr>
        <w:t>Third meeting</w:t>
      </w:r>
    </w:p>
    <w:p w14:paraId="2AD5841D" w14:textId="77777777" w:rsidR="005B753C" w:rsidRPr="006023C7" w:rsidRDefault="005B753C" w:rsidP="001F4589">
      <w:pPr>
        <w:pStyle w:val="Cornernotation"/>
        <w:suppressLineNumbers/>
        <w:suppressAutoHyphens/>
        <w:kinsoku w:val="0"/>
        <w:overflowPunct w:val="0"/>
        <w:autoSpaceDE w:val="0"/>
        <w:autoSpaceDN w:val="0"/>
        <w:ind w:left="227" w:right="3970" w:hanging="227"/>
        <w:rPr>
          <w:rFonts w:eastAsia="Batang"/>
          <w:color w:val="000000"/>
          <w:kern w:val="22"/>
          <w:szCs w:val="22"/>
          <w:lang w:eastAsia="ko-KR"/>
        </w:rPr>
      </w:pPr>
      <w:r w:rsidRPr="006023C7">
        <w:rPr>
          <w:rFonts w:eastAsia="Batang"/>
          <w:color w:val="000000"/>
          <w:kern w:val="22"/>
          <w:lang w:eastAsia="ko-KR"/>
        </w:rPr>
        <w:t>Venue and dates to be determined</w:t>
      </w:r>
    </w:p>
    <w:bookmarkEnd w:id="1"/>
    <w:p w14:paraId="51C5B7F1" w14:textId="77777777" w:rsidR="002270F4" w:rsidRPr="006023C7" w:rsidRDefault="00BA769C" w:rsidP="001F4589">
      <w:pPr>
        <w:pStyle w:val="Cornernotation"/>
        <w:suppressLineNumbers/>
        <w:suppressAutoHyphens/>
        <w:kinsoku w:val="0"/>
        <w:overflowPunct w:val="0"/>
        <w:autoSpaceDE w:val="0"/>
        <w:autoSpaceDN w:val="0"/>
        <w:ind w:left="227" w:right="3970" w:hanging="227"/>
        <w:rPr>
          <w:rFonts w:eastAsia="Batang"/>
          <w:color w:val="000000"/>
          <w:kern w:val="22"/>
          <w:lang w:eastAsia="ko-KR"/>
        </w:rPr>
      </w:pPr>
      <w:r w:rsidRPr="006023C7">
        <w:rPr>
          <w:snapToGrid w:val="0"/>
          <w:kern w:val="22"/>
          <w:szCs w:val="22"/>
        </w:rPr>
        <w:t xml:space="preserve">Item </w:t>
      </w:r>
      <w:r w:rsidR="00F57A56" w:rsidRPr="006023C7">
        <w:rPr>
          <w:snapToGrid w:val="0"/>
          <w:kern w:val="22"/>
          <w:szCs w:val="22"/>
        </w:rPr>
        <w:t>7</w:t>
      </w:r>
      <w:r w:rsidRPr="006023C7">
        <w:rPr>
          <w:snapToGrid w:val="0"/>
          <w:kern w:val="22"/>
          <w:szCs w:val="22"/>
        </w:rPr>
        <w:t xml:space="preserve"> of the provisional agenda</w:t>
      </w:r>
      <w:bookmarkStart w:id="2" w:name="_Hlk35353706"/>
      <w:r w:rsidR="00317363" w:rsidRPr="006023C7">
        <w:rPr>
          <w:rStyle w:val="FootnoteReference"/>
          <w:snapToGrid w:val="0"/>
          <w:kern w:val="22"/>
          <w:szCs w:val="22"/>
          <w:vertAlign w:val="baseline"/>
        </w:rPr>
        <w:footnoteReference w:customMarkFollows="1" w:id="1"/>
        <w:t>*</w:t>
      </w:r>
      <w:bookmarkEnd w:id="2"/>
    </w:p>
    <w:sdt>
      <w:sdtPr>
        <w:rPr>
          <w:rFonts w:ascii="Times New Roman Bold" w:hAnsi="Times New Roman Bold"/>
          <w:b/>
          <w:caps/>
          <w:kern w:val="22"/>
          <w:szCs w:val="22"/>
          <w:lang w:eastAsia="ko-KR"/>
        </w:rPr>
        <w:alias w:val="Title"/>
        <w:tag w:val=""/>
        <w:id w:val="772832786"/>
        <w:placeholder>
          <w:docPart w:val="BEB20ED685304A1C91A992BF91A9937D"/>
        </w:placeholder>
        <w:dataBinding w:prefixMappings="xmlns:ns0='http://purl.org/dc/elements/1.1/' xmlns:ns1='http://schemas.openxmlformats.org/package/2006/metadata/core-properties' " w:xpath="/ns1:coreProperties[1]/ns0:title[1]" w:storeItemID="{6C3C8BC8-F283-45AE-878A-BAB7291924A1}"/>
        <w:text/>
      </w:sdtPr>
      <w:sdtEndPr/>
      <w:sdtContent>
        <w:p w14:paraId="292E83A0" w14:textId="265C7807" w:rsidR="002270F4" w:rsidRPr="00D022B6" w:rsidRDefault="007E6400" w:rsidP="00615C3F">
          <w:pPr>
            <w:suppressLineNumbers/>
            <w:suppressAutoHyphens/>
            <w:kinsoku w:val="0"/>
            <w:overflowPunct w:val="0"/>
            <w:autoSpaceDE w:val="0"/>
            <w:autoSpaceDN w:val="0"/>
            <w:spacing w:before="240" w:after="120"/>
            <w:ind w:left="284"/>
            <w:jc w:val="center"/>
            <w:rPr>
              <w:rFonts w:ascii="Times New Roman Bold" w:hAnsi="Times New Roman Bold"/>
              <w:b/>
              <w:caps/>
              <w:kern w:val="22"/>
              <w:szCs w:val="22"/>
              <w:lang w:eastAsia="ko-KR"/>
            </w:rPr>
          </w:pPr>
          <w:r w:rsidRPr="00D022B6">
            <w:rPr>
              <w:rFonts w:ascii="Times New Roman Bold" w:hAnsi="Times New Roman Bold"/>
              <w:b/>
              <w:caps/>
              <w:kern w:val="22"/>
              <w:szCs w:val="22"/>
              <w:lang w:eastAsia="ko-KR"/>
            </w:rPr>
            <w:t>Knowledge management component of the post-2020 global biodiversity framework</w:t>
          </w:r>
        </w:p>
      </w:sdtContent>
    </w:sdt>
    <w:p w14:paraId="6E50C869" w14:textId="0EBAC4F3" w:rsidR="00D57DEB" w:rsidRPr="006023C7" w:rsidRDefault="00BE1FE4" w:rsidP="00615C3F">
      <w:pPr>
        <w:pStyle w:val="Para1"/>
        <w:numPr>
          <w:ilvl w:val="0"/>
          <w:numId w:val="0"/>
        </w:numPr>
        <w:suppressLineNumbers/>
        <w:suppressAutoHyphens/>
        <w:kinsoku w:val="0"/>
        <w:overflowPunct w:val="0"/>
        <w:autoSpaceDE w:val="0"/>
        <w:autoSpaceDN w:val="0"/>
        <w:adjustRightInd w:val="0"/>
        <w:snapToGrid w:val="0"/>
        <w:jc w:val="center"/>
        <w:rPr>
          <w:i/>
          <w:kern w:val="22"/>
        </w:rPr>
      </w:pPr>
      <w:r w:rsidRPr="006023C7">
        <w:rPr>
          <w:i/>
          <w:snapToGrid/>
          <w:kern w:val="22"/>
        </w:rPr>
        <w:t>Note by the Executive Secretary</w:t>
      </w:r>
    </w:p>
    <w:p w14:paraId="6CF04934" w14:textId="3CB0D87E" w:rsidR="00964A8F" w:rsidRPr="00615C3F" w:rsidRDefault="00B13D66" w:rsidP="00615C3F">
      <w:pPr>
        <w:pStyle w:val="Heading1"/>
        <w:numPr>
          <w:ilvl w:val="0"/>
          <w:numId w:val="5"/>
        </w:numPr>
        <w:suppressLineNumbers/>
        <w:tabs>
          <w:tab w:val="clear" w:pos="720"/>
          <w:tab w:val="left" w:pos="284"/>
        </w:tabs>
        <w:suppressAutoHyphens/>
        <w:spacing w:before="120"/>
        <w:ind w:left="0" w:firstLine="0"/>
        <w:rPr>
          <w:kern w:val="22"/>
        </w:rPr>
      </w:pPr>
      <w:r w:rsidRPr="00615C3F">
        <w:rPr>
          <w:kern w:val="22"/>
        </w:rPr>
        <w:t>Introduction</w:t>
      </w:r>
    </w:p>
    <w:p w14:paraId="5DA8E21D" w14:textId="667375D4" w:rsidR="004F18CC" w:rsidRPr="008C196B" w:rsidRDefault="004F18CC" w:rsidP="00482485">
      <w:pPr>
        <w:pStyle w:val="Para1"/>
        <w:numPr>
          <w:ilvl w:val="0"/>
          <w:numId w:val="10"/>
        </w:numPr>
        <w:suppressLineNumbers/>
        <w:tabs>
          <w:tab w:val="clear" w:pos="360"/>
        </w:tabs>
        <w:suppressAutoHyphens/>
        <w:rPr>
          <w:kern w:val="22"/>
          <w:szCs w:val="22"/>
        </w:rPr>
      </w:pPr>
      <w:r w:rsidRPr="006023C7">
        <w:rPr>
          <w:kern w:val="22"/>
          <w:szCs w:val="22"/>
        </w:rPr>
        <w:t xml:space="preserve">In decision </w:t>
      </w:r>
      <w:hyperlink r:id="rId15" w:history="1">
        <w:r w:rsidRPr="006023C7">
          <w:rPr>
            <w:rStyle w:val="Hyperlink"/>
            <w:kern w:val="22"/>
            <w:sz w:val="22"/>
            <w:szCs w:val="22"/>
          </w:rPr>
          <w:t>14/25</w:t>
        </w:r>
      </w:hyperlink>
      <w:r w:rsidRPr="006023C7">
        <w:rPr>
          <w:kern w:val="22"/>
          <w:szCs w:val="22"/>
        </w:rPr>
        <w:t xml:space="preserve">, the Conference of the Parties requested the Executive Secretary to develop, in consultation with the informal advisory </w:t>
      </w:r>
      <w:r w:rsidRPr="00185E4B">
        <w:rPr>
          <w:kern w:val="22"/>
          <w:szCs w:val="22"/>
        </w:rPr>
        <w:t>committees to the Clearing-House Mechanism (CHM), the Biosafety Clearing-House and the Access and Benefit</w:t>
      </w:r>
      <w:r w:rsidR="00A87995" w:rsidRPr="00AA35F8">
        <w:rPr>
          <w:kern w:val="22"/>
          <w:szCs w:val="22"/>
        </w:rPr>
        <w:t>-s</w:t>
      </w:r>
      <w:r w:rsidRPr="00AA35F8">
        <w:rPr>
          <w:kern w:val="22"/>
          <w:szCs w:val="22"/>
        </w:rPr>
        <w:t>haring Clearing-House, a knowledge management component as a part of the preparatory process for the post-2020 global biodiversity framework.</w:t>
      </w:r>
    </w:p>
    <w:p w14:paraId="5C7F5D19" w14:textId="04F5B2C9" w:rsidR="00595DA4" w:rsidRPr="00185E4B" w:rsidRDefault="004F18CC" w:rsidP="001F4589">
      <w:pPr>
        <w:pStyle w:val="Para1"/>
        <w:numPr>
          <w:ilvl w:val="0"/>
          <w:numId w:val="10"/>
        </w:numPr>
        <w:suppressLineNumbers/>
        <w:tabs>
          <w:tab w:val="clear" w:pos="360"/>
        </w:tabs>
        <w:suppressAutoHyphens/>
        <w:rPr>
          <w:kern w:val="22"/>
          <w:szCs w:val="22"/>
        </w:rPr>
      </w:pPr>
      <w:r w:rsidRPr="006023C7">
        <w:rPr>
          <w:kern w:val="22"/>
          <w:szCs w:val="22"/>
        </w:rPr>
        <w:t>Various provisions and decisions of biodiversity-related conventions and processes recogni</w:t>
      </w:r>
      <w:r w:rsidR="005E15FB" w:rsidRPr="006023C7">
        <w:rPr>
          <w:kern w:val="22"/>
          <w:szCs w:val="22"/>
        </w:rPr>
        <w:t>z</w:t>
      </w:r>
      <w:r w:rsidRPr="006023C7">
        <w:rPr>
          <w:kern w:val="22"/>
          <w:szCs w:val="22"/>
        </w:rPr>
        <w:t>e the critical importance of information and knowledge management to the achievement of their objectives</w:t>
      </w:r>
      <w:r w:rsidR="004541D6" w:rsidRPr="006023C7">
        <w:rPr>
          <w:kern w:val="22"/>
          <w:szCs w:val="22"/>
        </w:rPr>
        <w:t>.</w:t>
      </w:r>
      <w:r w:rsidR="004541D6" w:rsidRPr="006023C7">
        <w:rPr>
          <w:rStyle w:val="FootnoteReference"/>
          <w:kern w:val="22"/>
          <w:szCs w:val="22"/>
        </w:rPr>
        <w:footnoteReference w:id="2"/>
      </w:r>
      <w:r w:rsidRPr="006023C7">
        <w:rPr>
          <w:kern w:val="22"/>
          <w:szCs w:val="22"/>
        </w:rPr>
        <w:t xml:space="preserve">  The Strategic Plan for Biodiversity 2011-2020, included Goal E:</w:t>
      </w:r>
      <w:r w:rsidRPr="00185E4B">
        <w:rPr>
          <w:kern w:val="22"/>
          <w:szCs w:val="22"/>
        </w:rPr>
        <w:t xml:space="preserve"> to enhance implementation through participatory planning, knowledge management and capacity-building</w:t>
      </w:r>
      <w:r w:rsidR="002E091F" w:rsidRPr="002A694F">
        <w:rPr>
          <w:kern w:val="22"/>
          <w:szCs w:val="22"/>
        </w:rPr>
        <w:t>.</w:t>
      </w:r>
      <w:r w:rsidR="002E091F" w:rsidRPr="006023C7">
        <w:rPr>
          <w:rStyle w:val="FootnoteReference"/>
          <w:kern w:val="22"/>
          <w:szCs w:val="22"/>
        </w:rPr>
        <w:footnoteReference w:id="3"/>
      </w:r>
      <w:r w:rsidR="002E091F" w:rsidRPr="006023C7">
        <w:rPr>
          <w:kern w:val="22"/>
          <w:szCs w:val="22"/>
        </w:rPr>
        <w:t xml:space="preserve"> </w:t>
      </w:r>
      <w:r w:rsidRPr="006023C7">
        <w:rPr>
          <w:kern w:val="22"/>
          <w:szCs w:val="22"/>
        </w:rPr>
        <w:t>It also included Target 19 that “by 2020, knowledge, the science base and technologies relating to biodiversity, its values, functioning, status and t</w:t>
      </w:r>
      <w:r w:rsidRPr="00185E4B">
        <w:rPr>
          <w:kern w:val="22"/>
          <w:szCs w:val="22"/>
        </w:rPr>
        <w:t>rends, and the consequences of its loss, are improved, widely shared and transferred, and applied.”</w:t>
      </w:r>
    </w:p>
    <w:p w14:paraId="54734DF6" w14:textId="60D87381" w:rsidR="004F18CC" w:rsidRPr="00135207" w:rsidRDefault="004F18CC" w:rsidP="001F4589">
      <w:pPr>
        <w:pStyle w:val="Para1"/>
        <w:numPr>
          <w:ilvl w:val="0"/>
          <w:numId w:val="10"/>
        </w:numPr>
        <w:suppressLineNumbers/>
        <w:tabs>
          <w:tab w:val="clear" w:pos="360"/>
        </w:tabs>
        <w:suppressAutoHyphens/>
        <w:rPr>
          <w:kern w:val="22"/>
          <w:szCs w:val="22"/>
        </w:rPr>
      </w:pPr>
      <w:r w:rsidRPr="00AA35F8">
        <w:rPr>
          <w:kern w:val="22"/>
          <w:szCs w:val="22"/>
        </w:rPr>
        <w:t xml:space="preserve">The </w:t>
      </w:r>
      <w:r w:rsidR="002E44EF" w:rsidRPr="00AA35F8">
        <w:rPr>
          <w:kern w:val="22"/>
          <w:szCs w:val="22"/>
        </w:rPr>
        <w:t xml:space="preserve">Strategic Plan for Biodiversity 2011-2020 </w:t>
      </w:r>
      <w:r w:rsidRPr="00AA35F8">
        <w:rPr>
          <w:kern w:val="22"/>
          <w:szCs w:val="22"/>
        </w:rPr>
        <w:t>recogni</w:t>
      </w:r>
      <w:r w:rsidR="00C74A70" w:rsidRPr="00AA35F8">
        <w:rPr>
          <w:kern w:val="22"/>
          <w:szCs w:val="22"/>
        </w:rPr>
        <w:t>z</w:t>
      </w:r>
      <w:r w:rsidRPr="008C196B">
        <w:rPr>
          <w:kern w:val="22"/>
          <w:szCs w:val="22"/>
        </w:rPr>
        <w:t>ed that achievement of its goals and targets would require enhanced support mechanisms</w:t>
      </w:r>
      <w:r w:rsidR="00E36D45">
        <w:rPr>
          <w:kern w:val="22"/>
          <w:szCs w:val="22"/>
        </w:rPr>
        <w:t>,</w:t>
      </w:r>
      <w:r w:rsidRPr="00E36D45">
        <w:rPr>
          <w:kern w:val="22"/>
          <w:szCs w:val="22"/>
        </w:rPr>
        <w:t xml:space="preserve"> including the </w:t>
      </w:r>
      <w:r w:rsidRPr="00135207">
        <w:rPr>
          <w:kern w:val="22"/>
          <w:szCs w:val="22"/>
        </w:rPr>
        <w:t>generation, use and sharing of knowledge</w:t>
      </w:r>
      <w:r w:rsidR="00135207">
        <w:rPr>
          <w:kern w:val="22"/>
          <w:szCs w:val="22"/>
        </w:rPr>
        <w:t>,</w:t>
      </w:r>
      <w:r w:rsidRPr="00135207">
        <w:rPr>
          <w:kern w:val="22"/>
          <w:szCs w:val="22"/>
        </w:rPr>
        <w:t xml:space="preserve"> and noted that, collectively, Parties and stakeholders have a wealth of experience, good practice cases, tools and guidance and that there is additional useful information beyond this community. It thus called for </w:t>
      </w:r>
      <w:r w:rsidR="00135207">
        <w:rPr>
          <w:kern w:val="22"/>
          <w:szCs w:val="22"/>
        </w:rPr>
        <w:t xml:space="preserve">the </w:t>
      </w:r>
      <w:r w:rsidRPr="00135207">
        <w:rPr>
          <w:kern w:val="22"/>
          <w:szCs w:val="22"/>
        </w:rPr>
        <w:t>establishment of a biodiversity knowledge network, including a database and network of practitioners, to bring together this knowledge and experience and to make it available through the clearing-house mechanism.</w:t>
      </w:r>
    </w:p>
    <w:p w14:paraId="3DC2FD88" w14:textId="6AD3F553" w:rsidR="004F18CC" w:rsidRPr="006023C7" w:rsidRDefault="002E44EF" w:rsidP="001F4589">
      <w:pPr>
        <w:pStyle w:val="Para1"/>
        <w:numPr>
          <w:ilvl w:val="0"/>
          <w:numId w:val="10"/>
        </w:numPr>
        <w:suppressLineNumbers/>
        <w:tabs>
          <w:tab w:val="clear" w:pos="360"/>
        </w:tabs>
        <w:suppressAutoHyphens/>
        <w:rPr>
          <w:kern w:val="22"/>
          <w:szCs w:val="22"/>
        </w:rPr>
      </w:pPr>
      <w:r w:rsidRPr="00AA35F8">
        <w:rPr>
          <w:kern w:val="22"/>
          <w:szCs w:val="22"/>
        </w:rPr>
        <w:t xml:space="preserve">The </w:t>
      </w:r>
      <w:r w:rsidR="004F18CC" w:rsidRPr="00AA35F8">
        <w:rPr>
          <w:kern w:val="22"/>
          <w:szCs w:val="22"/>
        </w:rPr>
        <w:t xml:space="preserve">fifth edition of the </w:t>
      </w:r>
      <w:r w:rsidR="004F18CC" w:rsidRPr="00AA35F8">
        <w:rPr>
          <w:i/>
          <w:iCs/>
          <w:kern w:val="22"/>
          <w:szCs w:val="22"/>
        </w:rPr>
        <w:t>Global Biodiversity Outlook</w:t>
      </w:r>
      <w:r w:rsidR="004F18CC" w:rsidRPr="008C196B">
        <w:rPr>
          <w:kern w:val="22"/>
          <w:szCs w:val="22"/>
        </w:rPr>
        <w:t xml:space="preserve"> noted that significant progress has been made since 2010 in the generation, sharing and assessment of knowledge, information and data on biodiversity, with big-data aggregation, advances in modelling and artificial intelligence opening up new opp</w:t>
      </w:r>
      <w:r w:rsidR="004F18CC" w:rsidRPr="006023C7">
        <w:rPr>
          <w:kern w:val="22"/>
          <w:szCs w:val="22"/>
        </w:rPr>
        <w:t>ortunities for improved understanding of the biosphere. However, major imbalances remain in the location and taxonomic focus of studies and monitoring. Information gaps also remain in the consequences of biodiversity loss for people, and the application of biodiversity knowledge in decision</w:t>
      </w:r>
      <w:r w:rsidR="002A7EDC" w:rsidRPr="006023C7">
        <w:rPr>
          <w:kern w:val="22"/>
          <w:szCs w:val="22"/>
        </w:rPr>
        <w:t>-</w:t>
      </w:r>
      <w:r w:rsidR="004F18CC" w:rsidRPr="006023C7">
        <w:rPr>
          <w:kern w:val="22"/>
          <w:szCs w:val="22"/>
        </w:rPr>
        <w:t>making is limited</w:t>
      </w:r>
      <w:r w:rsidR="006435AA" w:rsidRPr="006023C7">
        <w:rPr>
          <w:kern w:val="22"/>
          <w:szCs w:val="22"/>
        </w:rPr>
        <w:t>.</w:t>
      </w:r>
      <w:r w:rsidR="006435AA" w:rsidRPr="006023C7">
        <w:rPr>
          <w:rStyle w:val="FootnoteReference"/>
          <w:kern w:val="22"/>
          <w:szCs w:val="22"/>
        </w:rPr>
        <w:footnoteReference w:id="4"/>
      </w:r>
    </w:p>
    <w:p w14:paraId="19A16403" w14:textId="60776CB5" w:rsidR="004F18CC" w:rsidRPr="008C196B" w:rsidRDefault="004F18CC" w:rsidP="001F4589">
      <w:pPr>
        <w:pStyle w:val="Para1"/>
        <w:numPr>
          <w:ilvl w:val="0"/>
          <w:numId w:val="10"/>
        </w:numPr>
        <w:suppressLineNumbers/>
        <w:tabs>
          <w:tab w:val="clear" w:pos="360"/>
        </w:tabs>
        <w:suppressAutoHyphens/>
        <w:rPr>
          <w:kern w:val="22"/>
          <w:szCs w:val="22"/>
        </w:rPr>
      </w:pPr>
      <w:r w:rsidRPr="00185E4B">
        <w:rPr>
          <w:kern w:val="22"/>
          <w:szCs w:val="22"/>
        </w:rPr>
        <w:t xml:space="preserve">During the meetings of the Open-Ended Working Group on the </w:t>
      </w:r>
      <w:r w:rsidR="00CA048E" w:rsidRPr="00185E4B">
        <w:rPr>
          <w:kern w:val="22"/>
          <w:szCs w:val="22"/>
        </w:rPr>
        <w:t>Post-2020 Global Biodiversity Framework</w:t>
      </w:r>
      <w:r w:rsidRPr="00AA35F8">
        <w:rPr>
          <w:kern w:val="22"/>
          <w:szCs w:val="22"/>
        </w:rPr>
        <w:t xml:space="preserve"> and in the associated regional and thematic consultations, knowledge management has been </w:t>
      </w:r>
      <w:r w:rsidRPr="00AA35F8">
        <w:rPr>
          <w:kern w:val="22"/>
          <w:szCs w:val="22"/>
        </w:rPr>
        <w:lastRenderedPageBreak/>
        <w:t xml:space="preserve">identified as one of the critical means for the successful implementation </w:t>
      </w:r>
      <w:r w:rsidR="00814392">
        <w:rPr>
          <w:kern w:val="22"/>
          <w:szCs w:val="22"/>
        </w:rPr>
        <w:t>of</w:t>
      </w:r>
      <w:r w:rsidR="00814392" w:rsidRPr="00814392">
        <w:rPr>
          <w:kern w:val="22"/>
          <w:szCs w:val="22"/>
        </w:rPr>
        <w:t xml:space="preserve"> </w:t>
      </w:r>
      <w:r w:rsidRPr="00814392">
        <w:rPr>
          <w:kern w:val="22"/>
          <w:szCs w:val="22"/>
        </w:rPr>
        <w:t>the post-2020 global biodiversity framework, together with resource mobilization, capacity</w:t>
      </w:r>
      <w:r w:rsidR="00E75B37" w:rsidRPr="00AA35F8">
        <w:rPr>
          <w:kern w:val="22"/>
          <w:szCs w:val="22"/>
        </w:rPr>
        <w:t>-</w:t>
      </w:r>
      <w:r w:rsidRPr="00AA35F8">
        <w:rPr>
          <w:kern w:val="22"/>
          <w:szCs w:val="22"/>
        </w:rPr>
        <w:t>building, technical and scientific cooperation, and communication.</w:t>
      </w:r>
    </w:p>
    <w:p w14:paraId="00BCC0D4" w14:textId="696EF924" w:rsidR="004B35C3" w:rsidRPr="006023C7" w:rsidRDefault="004F18CC" w:rsidP="001F4589">
      <w:pPr>
        <w:pStyle w:val="Para1"/>
        <w:numPr>
          <w:ilvl w:val="0"/>
          <w:numId w:val="10"/>
        </w:numPr>
        <w:suppressLineNumbers/>
        <w:tabs>
          <w:tab w:val="clear" w:pos="360"/>
        </w:tabs>
        <w:suppressAutoHyphens/>
        <w:rPr>
          <w:kern w:val="22"/>
          <w:szCs w:val="22"/>
        </w:rPr>
      </w:pPr>
      <w:r w:rsidRPr="006023C7">
        <w:rPr>
          <w:kern w:val="22"/>
          <w:szCs w:val="22"/>
        </w:rPr>
        <w:t>The present document outlines elements of the knowledge management component of the post-2020 global biodiversity framework and possible strategies to operationali</w:t>
      </w:r>
      <w:r w:rsidR="00A11AC7" w:rsidRPr="006023C7">
        <w:rPr>
          <w:kern w:val="22"/>
          <w:szCs w:val="22"/>
        </w:rPr>
        <w:t>z</w:t>
      </w:r>
      <w:r w:rsidRPr="006023C7">
        <w:rPr>
          <w:kern w:val="22"/>
          <w:szCs w:val="22"/>
        </w:rPr>
        <w:t xml:space="preserve">e it. Section II provides an introduction and a conceptual framework for the knowledge management component, section III outlines the rationale, objectives and expected impact of the </w:t>
      </w:r>
      <w:r w:rsidR="007B1542" w:rsidRPr="006023C7">
        <w:rPr>
          <w:kern w:val="22"/>
          <w:szCs w:val="22"/>
        </w:rPr>
        <w:t>k</w:t>
      </w:r>
      <w:r w:rsidRPr="006023C7">
        <w:rPr>
          <w:kern w:val="22"/>
          <w:szCs w:val="22"/>
        </w:rPr>
        <w:t xml:space="preserve">nowledge </w:t>
      </w:r>
      <w:r w:rsidR="007B1542" w:rsidRPr="006023C7">
        <w:rPr>
          <w:kern w:val="22"/>
          <w:szCs w:val="22"/>
        </w:rPr>
        <w:t>m</w:t>
      </w:r>
      <w:r w:rsidRPr="006023C7">
        <w:rPr>
          <w:kern w:val="22"/>
          <w:szCs w:val="22"/>
        </w:rPr>
        <w:t>anagement component; section IV presents strategies to enhance knowledge management in support of the post-2020 global biodiversity framework and section V describes possible options for an implementation framework</w:t>
      </w:r>
      <w:r w:rsidR="00964A8F" w:rsidRPr="006023C7">
        <w:rPr>
          <w:kern w:val="22"/>
          <w:szCs w:val="22"/>
        </w:rPr>
        <w:t>.</w:t>
      </w:r>
    </w:p>
    <w:p w14:paraId="6B5A50F7" w14:textId="4FA3DB03" w:rsidR="00964A8F" w:rsidRPr="006023C7" w:rsidRDefault="005E356C" w:rsidP="00615C3F">
      <w:pPr>
        <w:pStyle w:val="Heading2"/>
        <w:numPr>
          <w:ilvl w:val="0"/>
          <w:numId w:val="6"/>
        </w:numPr>
        <w:suppressLineNumbers/>
        <w:tabs>
          <w:tab w:val="clear" w:pos="720"/>
        </w:tabs>
        <w:suppressAutoHyphens/>
        <w:spacing w:before="0" w:after="0"/>
        <w:ind w:left="714" w:hanging="357"/>
        <w:rPr>
          <w:kern w:val="22"/>
        </w:rPr>
      </w:pPr>
      <w:bookmarkStart w:id="3" w:name="_Toc39228075"/>
      <w:r w:rsidRPr="006023C7">
        <w:rPr>
          <w:kern w:val="22"/>
        </w:rPr>
        <w:t xml:space="preserve">Rationale for the </w:t>
      </w:r>
      <w:r w:rsidR="007A2F98" w:rsidRPr="006023C7">
        <w:rPr>
          <w:kern w:val="22"/>
        </w:rPr>
        <w:t>k</w:t>
      </w:r>
      <w:r w:rsidRPr="006023C7">
        <w:rPr>
          <w:kern w:val="22"/>
        </w:rPr>
        <w:t xml:space="preserve">nowledge </w:t>
      </w:r>
      <w:r w:rsidR="007A2F98" w:rsidRPr="006023C7">
        <w:rPr>
          <w:kern w:val="22"/>
        </w:rPr>
        <w:t>m</w:t>
      </w:r>
      <w:r w:rsidRPr="006023C7">
        <w:rPr>
          <w:kern w:val="22"/>
        </w:rPr>
        <w:t xml:space="preserve">anagement </w:t>
      </w:r>
      <w:r w:rsidR="007A2F98" w:rsidRPr="006023C7">
        <w:rPr>
          <w:kern w:val="22"/>
        </w:rPr>
        <w:t>c</w:t>
      </w:r>
      <w:r w:rsidRPr="006023C7">
        <w:rPr>
          <w:kern w:val="22"/>
        </w:rPr>
        <w:t>omponent</w:t>
      </w:r>
      <w:bookmarkEnd w:id="3"/>
    </w:p>
    <w:p w14:paraId="02E10E9E" w14:textId="53D40A82" w:rsidR="00964A8F" w:rsidRPr="006023C7" w:rsidRDefault="00E32CAD" w:rsidP="001F4589">
      <w:pPr>
        <w:pStyle w:val="Para1"/>
        <w:numPr>
          <w:ilvl w:val="0"/>
          <w:numId w:val="10"/>
        </w:numPr>
        <w:suppressLineNumbers/>
        <w:tabs>
          <w:tab w:val="clear" w:pos="360"/>
        </w:tabs>
        <w:suppressAutoHyphens/>
        <w:rPr>
          <w:kern w:val="22"/>
          <w:szCs w:val="22"/>
        </w:rPr>
      </w:pPr>
      <w:r w:rsidRPr="006023C7">
        <w:rPr>
          <w:kern w:val="22"/>
          <w:szCs w:val="22"/>
        </w:rPr>
        <w:t>Knowledge management is one of the key strategic means of implementation that will underpin the achievement of the goals and targets of the post-2020 global biodiversity framework. Easy and timely access to the best available, fit-for-purpose biodiversity data, information and knowledge assets is critical for effective planning, policy formulation, decision</w:t>
      </w:r>
      <w:r w:rsidR="00A8150F" w:rsidRPr="006023C7">
        <w:rPr>
          <w:kern w:val="22"/>
          <w:szCs w:val="22"/>
        </w:rPr>
        <w:t>-</w:t>
      </w:r>
      <w:r w:rsidRPr="006023C7">
        <w:rPr>
          <w:kern w:val="22"/>
          <w:szCs w:val="22"/>
        </w:rPr>
        <w:t xml:space="preserve">making and implementation. However, many </w:t>
      </w:r>
      <w:r w:rsidR="00B13028" w:rsidRPr="006023C7">
        <w:rPr>
          <w:kern w:val="22"/>
          <w:szCs w:val="22"/>
        </w:rPr>
        <w:t>G</w:t>
      </w:r>
      <w:r w:rsidRPr="006023C7">
        <w:rPr>
          <w:kern w:val="22"/>
          <w:szCs w:val="22"/>
        </w:rPr>
        <w:t>overnments and organizations still face several challenges in implementing effective processes and initiatives for knowledge management. In many countries, especially developing countries and countries with economies in transition, data, information and knowledge on biodiversity that policymakers, practitioners, indigenous peoples and local communities, and scientists require is limited. Moreover, much of what is available is fragmented, difficult to find, or inaccessible</w:t>
      </w:r>
      <w:r w:rsidR="00964A8F" w:rsidRPr="006023C7">
        <w:rPr>
          <w:kern w:val="22"/>
          <w:szCs w:val="22"/>
        </w:rPr>
        <w:t>.</w:t>
      </w:r>
    </w:p>
    <w:p w14:paraId="4CE3A3CB" w14:textId="3300DC1D" w:rsidR="009A2A94" w:rsidRPr="006023C7" w:rsidRDefault="009A2A94" w:rsidP="001F4589">
      <w:pPr>
        <w:pStyle w:val="Para1"/>
        <w:numPr>
          <w:ilvl w:val="0"/>
          <w:numId w:val="10"/>
        </w:numPr>
        <w:suppressLineNumbers/>
        <w:tabs>
          <w:tab w:val="clear" w:pos="360"/>
        </w:tabs>
        <w:suppressAutoHyphens/>
        <w:rPr>
          <w:kern w:val="22"/>
          <w:szCs w:val="22"/>
        </w:rPr>
      </w:pPr>
      <w:r w:rsidRPr="006023C7">
        <w:rPr>
          <w:kern w:val="22"/>
          <w:szCs w:val="22"/>
        </w:rPr>
        <w:t xml:space="preserve">An expert meeting convened by the Cambridge Conservation Initiative </w:t>
      </w:r>
      <w:r w:rsidR="00E019AD" w:rsidRPr="006023C7">
        <w:rPr>
          <w:kern w:val="22"/>
          <w:szCs w:val="22"/>
        </w:rPr>
        <w:t xml:space="preserve">in Cambridge, United Kingdom, </w:t>
      </w:r>
      <w:r w:rsidRPr="006023C7">
        <w:rPr>
          <w:kern w:val="22"/>
          <w:szCs w:val="22"/>
        </w:rPr>
        <w:t>from 10 to 12 April 2018, to advance understanding of the need to base development of the post</w:t>
      </w:r>
      <w:r w:rsidR="00E019AD" w:rsidRPr="006023C7">
        <w:rPr>
          <w:kern w:val="22"/>
          <w:szCs w:val="22"/>
        </w:rPr>
        <w:noBreakHyphen/>
      </w:r>
      <w:r w:rsidRPr="006023C7">
        <w:rPr>
          <w:kern w:val="22"/>
          <w:szCs w:val="22"/>
        </w:rPr>
        <w:t xml:space="preserve">2020 global biodiversity framework on available evidence noted, </w:t>
      </w:r>
      <w:r w:rsidR="00AA35F8">
        <w:rPr>
          <w:kern w:val="22"/>
          <w:szCs w:val="22"/>
        </w:rPr>
        <w:t>among other things</w:t>
      </w:r>
      <w:r w:rsidRPr="00AA35F8">
        <w:rPr>
          <w:kern w:val="22"/>
          <w:szCs w:val="22"/>
        </w:rPr>
        <w:t>, that there is significant data, information and knowledge available, but it is often not readily accessible to those who could use it to good effect</w:t>
      </w:r>
      <w:r w:rsidR="00740DC1" w:rsidRPr="00AA35F8">
        <w:rPr>
          <w:kern w:val="22"/>
          <w:szCs w:val="22"/>
        </w:rPr>
        <w:t xml:space="preserve">. </w:t>
      </w:r>
      <w:r w:rsidR="0079419D" w:rsidRPr="00AA35F8">
        <w:rPr>
          <w:kern w:val="22"/>
          <w:szCs w:val="22"/>
        </w:rPr>
        <w:t xml:space="preserve">Some of the </w:t>
      </w:r>
      <w:r w:rsidRPr="00AA35F8">
        <w:rPr>
          <w:kern w:val="22"/>
          <w:szCs w:val="22"/>
        </w:rPr>
        <w:t>reasons</w:t>
      </w:r>
      <w:r w:rsidR="002D58E2" w:rsidRPr="00AA35F8">
        <w:rPr>
          <w:kern w:val="22"/>
          <w:szCs w:val="22"/>
        </w:rPr>
        <w:t xml:space="preserve"> for this situation</w:t>
      </w:r>
      <w:r w:rsidRPr="00F0626D">
        <w:rPr>
          <w:kern w:val="22"/>
          <w:szCs w:val="22"/>
        </w:rPr>
        <w:t xml:space="preserve"> </w:t>
      </w:r>
      <w:r w:rsidR="00F0626D">
        <w:rPr>
          <w:kern w:val="22"/>
          <w:szCs w:val="22"/>
        </w:rPr>
        <w:t>are</w:t>
      </w:r>
      <w:r w:rsidR="00F0626D" w:rsidRPr="00F0626D">
        <w:rPr>
          <w:kern w:val="22"/>
          <w:szCs w:val="22"/>
        </w:rPr>
        <w:t xml:space="preserve"> </w:t>
      </w:r>
      <w:r w:rsidRPr="00F0626D">
        <w:rPr>
          <w:kern w:val="22"/>
          <w:szCs w:val="22"/>
        </w:rPr>
        <w:t xml:space="preserve">journal paywalls, confidentiality, or simply not knowing it exists or not knowing how to use it. Participants underlined the need to facilitate </w:t>
      </w:r>
      <w:r w:rsidR="005E03B1">
        <w:rPr>
          <w:kern w:val="22"/>
          <w:szCs w:val="22"/>
        </w:rPr>
        <w:t>“</w:t>
      </w:r>
      <w:r w:rsidRPr="00F0626D">
        <w:rPr>
          <w:kern w:val="22"/>
          <w:szCs w:val="22"/>
        </w:rPr>
        <w:t>discovery</w:t>
      </w:r>
      <w:r w:rsidR="005E03B1">
        <w:rPr>
          <w:kern w:val="22"/>
          <w:szCs w:val="22"/>
        </w:rPr>
        <w:t>”</w:t>
      </w:r>
      <w:r w:rsidRPr="00F0626D">
        <w:rPr>
          <w:kern w:val="22"/>
          <w:szCs w:val="22"/>
        </w:rPr>
        <w:t xml:space="preserve"> of relevant data, information and knowledge from all sources and to facilitate its use. They also h</w:t>
      </w:r>
      <w:r w:rsidRPr="005E03B1">
        <w:rPr>
          <w:kern w:val="22"/>
          <w:szCs w:val="22"/>
        </w:rPr>
        <w:t xml:space="preserve">ighlighted the potential value of developing a knowledge generation or research strategy to clearly identify the knowledge needed to support implementation of a post-2020 global biodiversity framework. Finally, the </w:t>
      </w:r>
      <w:r w:rsidR="005759EF">
        <w:rPr>
          <w:kern w:val="22"/>
          <w:szCs w:val="22"/>
        </w:rPr>
        <w:t>experts</w:t>
      </w:r>
      <w:r w:rsidR="005759EF" w:rsidRPr="005E03B1">
        <w:rPr>
          <w:kern w:val="22"/>
          <w:szCs w:val="22"/>
        </w:rPr>
        <w:t xml:space="preserve"> </w:t>
      </w:r>
      <w:r w:rsidRPr="005E03B1">
        <w:rPr>
          <w:kern w:val="22"/>
          <w:szCs w:val="22"/>
        </w:rPr>
        <w:t>underscored the need to include e</w:t>
      </w:r>
      <w:r w:rsidRPr="00F0626D">
        <w:rPr>
          <w:kern w:val="22"/>
          <w:szCs w:val="22"/>
        </w:rPr>
        <w:t xml:space="preserve">vidence from different knowledge systems, </w:t>
      </w:r>
      <w:proofErr w:type="gramStart"/>
      <w:r w:rsidRPr="00F0626D">
        <w:rPr>
          <w:kern w:val="22"/>
          <w:szCs w:val="22"/>
        </w:rPr>
        <w:t>in particular traditional</w:t>
      </w:r>
      <w:proofErr w:type="gramEnd"/>
      <w:r w:rsidRPr="00F0626D">
        <w:rPr>
          <w:kern w:val="22"/>
          <w:szCs w:val="22"/>
        </w:rPr>
        <w:t xml:space="preserve"> knowledge systems, in any knowledge generation or research strategy if it is to be effective</w:t>
      </w:r>
      <w:r w:rsidR="00740DC1" w:rsidRPr="00F0626D">
        <w:rPr>
          <w:kern w:val="22"/>
        </w:rPr>
        <w:t>.</w:t>
      </w:r>
      <w:r w:rsidR="00740DC1" w:rsidRPr="006023C7">
        <w:rPr>
          <w:rStyle w:val="FootnoteReference"/>
          <w:kern w:val="22"/>
        </w:rPr>
        <w:footnoteReference w:id="5"/>
      </w:r>
    </w:p>
    <w:p w14:paraId="73F82FDF" w14:textId="4D2AF760" w:rsidR="00964A8F" w:rsidRPr="008C196B" w:rsidRDefault="009A2A94" w:rsidP="001F4589">
      <w:pPr>
        <w:pStyle w:val="Para1"/>
        <w:numPr>
          <w:ilvl w:val="0"/>
          <w:numId w:val="10"/>
        </w:numPr>
        <w:suppressLineNumbers/>
        <w:tabs>
          <w:tab w:val="clear" w:pos="360"/>
        </w:tabs>
        <w:suppressAutoHyphens/>
        <w:rPr>
          <w:kern w:val="22"/>
          <w:szCs w:val="22"/>
        </w:rPr>
      </w:pPr>
      <w:r w:rsidRPr="00185E4B">
        <w:rPr>
          <w:kern w:val="22"/>
          <w:szCs w:val="22"/>
        </w:rPr>
        <w:t>The knowledge management component seeks to address some of the above issues, including the barriers that prevent the effective utilization of existing biodiversity data, information and knowledge, by leveraging existing biodiversity knowledge management initiatives and networks, bridging the gaps that prevent their full usage and enhancing c</w:t>
      </w:r>
      <w:r w:rsidRPr="00AA35F8">
        <w:rPr>
          <w:kern w:val="22"/>
          <w:szCs w:val="22"/>
        </w:rPr>
        <w:t>oordination and collaboration among them. Such efforts call for recognizing and optimizing the contributions of various government and non-government institutions, regional and international organizations, researchers, practitioners and other stakeholders involved in biodiversity knowledge management</w:t>
      </w:r>
      <w:r w:rsidR="00252F9D" w:rsidRPr="008C196B">
        <w:rPr>
          <w:kern w:val="22"/>
          <w:szCs w:val="22"/>
        </w:rPr>
        <w:t>.</w:t>
      </w:r>
    </w:p>
    <w:p w14:paraId="37E55B6B" w14:textId="5CB4D15A" w:rsidR="00964A8F" w:rsidRPr="006023C7" w:rsidRDefault="000A72C7" w:rsidP="001F4589">
      <w:pPr>
        <w:pStyle w:val="Heading2"/>
        <w:numPr>
          <w:ilvl w:val="0"/>
          <w:numId w:val="6"/>
        </w:numPr>
        <w:suppressLineNumbers/>
        <w:tabs>
          <w:tab w:val="clear" w:pos="720"/>
        </w:tabs>
        <w:suppressAutoHyphens/>
        <w:ind w:left="714" w:hanging="357"/>
        <w:rPr>
          <w:kern w:val="22"/>
        </w:rPr>
      </w:pPr>
      <w:bookmarkStart w:id="4" w:name="_Toc39228076"/>
      <w:r w:rsidRPr="006023C7">
        <w:rPr>
          <w:kern w:val="22"/>
        </w:rPr>
        <w:t>S</w:t>
      </w:r>
      <w:r w:rsidR="00964A8F" w:rsidRPr="006023C7">
        <w:rPr>
          <w:kern w:val="22"/>
        </w:rPr>
        <w:t xml:space="preserve">cope of </w:t>
      </w:r>
      <w:r w:rsidRPr="006023C7">
        <w:rPr>
          <w:kern w:val="22"/>
        </w:rPr>
        <w:t xml:space="preserve">the </w:t>
      </w:r>
      <w:r w:rsidR="00092C1F" w:rsidRPr="006023C7">
        <w:rPr>
          <w:kern w:val="22"/>
        </w:rPr>
        <w:t>k</w:t>
      </w:r>
      <w:r w:rsidRPr="006023C7">
        <w:rPr>
          <w:kern w:val="22"/>
        </w:rPr>
        <w:t xml:space="preserve">nowledge </w:t>
      </w:r>
      <w:r w:rsidR="00092C1F" w:rsidRPr="006023C7">
        <w:rPr>
          <w:kern w:val="22"/>
        </w:rPr>
        <w:t>m</w:t>
      </w:r>
      <w:r w:rsidRPr="006023C7">
        <w:rPr>
          <w:kern w:val="22"/>
        </w:rPr>
        <w:t xml:space="preserve">anagement </w:t>
      </w:r>
      <w:r w:rsidR="00092C1F" w:rsidRPr="006023C7">
        <w:rPr>
          <w:kern w:val="22"/>
        </w:rPr>
        <w:t>c</w:t>
      </w:r>
      <w:r w:rsidRPr="006023C7">
        <w:rPr>
          <w:kern w:val="22"/>
        </w:rPr>
        <w:t>omponent</w:t>
      </w:r>
      <w:bookmarkEnd w:id="4"/>
    </w:p>
    <w:p w14:paraId="17B3BAC3" w14:textId="4E3C8CC4" w:rsidR="000A72C7" w:rsidRPr="006023C7" w:rsidRDefault="00DA6F94" w:rsidP="001F4589">
      <w:pPr>
        <w:pStyle w:val="Para1"/>
        <w:numPr>
          <w:ilvl w:val="0"/>
          <w:numId w:val="10"/>
        </w:numPr>
        <w:suppressLineNumbers/>
        <w:tabs>
          <w:tab w:val="clear" w:pos="360"/>
        </w:tabs>
        <w:suppressAutoHyphens/>
        <w:rPr>
          <w:kern w:val="22"/>
          <w:szCs w:val="22"/>
        </w:rPr>
      </w:pPr>
      <w:bookmarkStart w:id="5" w:name="_Hlk33447232"/>
      <w:r w:rsidRPr="006023C7">
        <w:rPr>
          <w:kern w:val="22"/>
          <w:szCs w:val="22"/>
        </w:rPr>
        <w:t>In the context of this component, knowledge management encompasses a range of processes, strategies and practices through which biodiversity knowledge, information and data are generated, discovered and collected, organized/curated, stored, shared and used/applied to achieve biodiversity-related objectives and outcomes. Such objectives may include informed policy development, decision</w:t>
      </w:r>
      <w:r w:rsidR="00092C1F" w:rsidRPr="006023C7">
        <w:rPr>
          <w:kern w:val="22"/>
          <w:szCs w:val="22"/>
        </w:rPr>
        <w:t>-</w:t>
      </w:r>
      <w:r w:rsidRPr="006023C7">
        <w:rPr>
          <w:kern w:val="22"/>
          <w:szCs w:val="22"/>
        </w:rPr>
        <w:t>making, planning and implementation or ongoing organizational learning through the collection and sharing of best practices and lessons learned from past activities in order to inform or improve future activities.</w:t>
      </w:r>
    </w:p>
    <w:p w14:paraId="47B63A26" w14:textId="4309166F" w:rsidR="008F4690" w:rsidRPr="002A694F" w:rsidRDefault="000829DD" w:rsidP="001F4589">
      <w:pPr>
        <w:pStyle w:val="Para1"/>
        <w:numPr>
          <w:ilvl w:val="0"/>
          <w:numId w:val="10"/>
        </w:numPr>
        <w:suppressLineNumbers/>
        <w:tabs>
          <w:tab w:val="clear" w:pos="360"/>
        </w:tabs>
        <w:suppressAutoHyphens/>
        <w:rPr>
          <w:kern w:val="22"/>
          <w:szCs w:val="22"/>
        </w:rPr>
      </w:pPr>
      <w:r w:rsidRPr="006023C7">
        <w:rPr>
          <w:kern w:val="22"/>
        </w:rPr>
        <w:lastRenderedPageBreak/>
        <w:t xml:space="preserve">The knowledge management component uses the following working descriptions </w:t>
      </w:r>
      <w:r w:rsidRPr="006023C7">
        <w:rPr>
          <w:rFonts w:eastAsia="Malgun Gothic"/>
          <w:kern w:val="22"/>
        </w:rPr>
        <w:t>based on the Data, Information, Knowledge and Wisdom (DIKW) hierarchy</w:t>
      </w:r>
      <w:r w:rsidRPr="006023C7">
        <w:rPr>
          <w:rStyle w:val="FootnoteReference"/>
          <w:rFonts w:eastAsia="Malgun Gothic"/>
          <w:kern w:val="22"/>
        </w:rPr>
        <w:footnoteReference w:id="6"/>
      </w:r>
      <w:r w:rsidR="000D4E4C" w:rsidRPr="006023C7">
        <w:rPr>
          <w:rFonts w:eastAsia="Malgun Gothic"/>
          <w:kern w:val="22"/>
        </w:rPr>
        <w:t xml:space="preserve"> </w:t>
      </w:r>
      <w:r w:rsidR="001C5448" w:rsidRPr="00185E4B">
        <w:rPr>
          <w:rFonts w:eastAsia="Malgun Gothic"/>
          <w:kern w:val="22"/>
        </w:rPr>
        <w:t xml:space="preserve">(see </w:t>
      </w:r>
      <w:r w:rsidR="00BA706D">
        <w:rPr>
          <w:rFonts w:eastAsia="Malgun Gothic"/>
          <w:kern w:val="22"/>
        </w:rPr>
        <w:t>f</w:t>
      </w:r>
      <w:r w:rsidR="001C5448" w:rsidRPr="00185E4B">
        <w:rPr>
          <w:rFonts w:eastAsia="Malgun Gothic"/>
          <w:kern w:val="22"/>
        </w:rPr>
        <w:t>igure 1 below)</w:t>
      </w:r>
      <w:r w:rsidR="00072DF2" w:rsidRPr="002A694F">
        <w:rPr>
          <w:rFonts w:eastAsia="Malgun Gothic"/>
          <w:kern w:val="22"/>
        </w:rPr>
        <w:t>:</w:t>
      </w:r>
    </w:p>
    <w:p w14:paraId="131B9034" w14:textId="4EAE6841" w:rsidR="007F238A" w:rsidRPr="00F0626D" w:rsidRDefault="007F238A" w:rsidP="001F4589">
      <w:pPr>
        <w:pStyle w:val="Para1"/>
        <w:numPr>
          <w:ilvl w:val="1"/>
          <w:numId w:val="10"/>
        </w:numPr>
        <w:suppressLineNumbers/>
        <w:suppressAutoHyphens/>
        <w:rPr>
          <w:kern w:val="22"/>
          <w:szCs w:val="22"/>
        </w:rPr>
      </w:pPr>
      <w:r w:rsidRPr="00AA35F8">
        <w:rPr>
          <w:kern w:val="22"/>
          <w:szCs w:val="22"/>
        </w:rPr>
        <w:t>Data are raw figures, facts or products of observations which often have no meaning on their own until they are organized, processed and interpreted</w:t>
      </w:r>
      <w:r w:rsidR="00072DF2" w:rsidRPr="00AA35F8">
        <w:rPr>
          <w:kern w:val="22"/>
          <w:szCs w:val="22"/>
        </w:rPr>
        <w:t>;</w:t>
      </w:r>
    </w:p>
    <w:p w14:paraId="2377E872" w14:textId="4DFC4822" w:rsidR="007F238A" w:rsidRPr="006023C7" w:rsidRDefault="007F238A" w:rsidP="001F4589">
      <w:pPr>
        <w:pStyle w:val="Para1"/>
        <w:numPr>
          <w:ilvl w:val="1"/>
          <w:numId w:val="10"/>
        </w:numPr>
        <w:suppressLineNumbers/>
        <w:suppressAutoHyphens/>
        <w:rPr>
          <w:kern w:val="22"/>
          <w:szCs w:val="22"/>
        </w:rPr>
      </w:pPr>
      <w:r w:rsidRPr="008C196B">
        <w:rPr>
          <w:kern w:val="22"/>
          <w:szCs w:val="22"/>
        </w:rPr>
        <w:t xml:space="preserve">Information can be referred to as </w:t>
      </w:r>
      <w:r w:rsidR="001022DD" w:rsidRPr="008C196B">
        <w:rPr>
          <w:kern w:val="22"/>
          <w:szCs w:val="22"/>
        </w:rPr>
        <w:t xml:space="preserve">data that </w:t>
      </w:r>
      <w:r w:rsidR="00B75DE8" w:rsidRPr="00C62754">
        <w:rPr>
          <w:kern w:val="22"/>
          <w:szCs w:val="22"/>
        </w:rPr>
        <w:t xml:space="preserve">is </w:t>
      </w:r>
      <w:r w:rsidRPr="00E0113A">
        <w:rPr>
          <w:kern w:val="22"/>
          <w:szCs w:val="22"/>
        </w:rPr>
        <w:t>organized</w:t>
      </w:r>
      <w:r w:rsidR="00B75DE8" w:rsidRPr="00530448">
        <w:rPr>
          <w:kern w:val="22"/>
          <w:szCs w:val="22"/>
        </w:rPr>
        <w:t xml:space="preserve">, </w:t>
      </w:r>
      <w:r w:rsidRPr="00E85FC4">
        <w:rPr>
          <w:kern w:val="22"/>
          <w:szCs w:val="22"/>
        </w:rPr>
        <w:t>structured</w:t>
      </w:r>
      <w:r w:rsidR="00570E55" w:rsidRPr="006023C7">
        <w:rPr>
          <w:kern w:val="22"/>
          <w:szCs w:val="22"/>
        </w:rPr>
        <w:t xml:space="preserve">, </w:t>
      </w:r>
      <w:r w:rsidR="00F83795" w:rsidRPr="006023C7">
        <w:rPr>
          <w:kern w:val="22"/>
          <w:szCs w:val="22"/>
        </w:rPr>
        <w:t xml:space="preserve">processed and </w:t>
      </w:r>
      <w:r w:rsidRPr="006023C7">
        <w:rPr>
          <w:kern w:val="22"/>
          <w:szCs w:val="22"/>
        </w:rPr>
        <w:t>contextuali</w:t>
      </w:r>
      <w:r w:rsidR="00072DF2" w:rsidRPr="006023C7">
        <w:rPr>
          <w:kern w:val="22"/>
          <w:szCs w:val="22"/>
        </w:rPr>
        <w:t>z</w:t>
      </w:r>
      <w:r w:rsidRPr="006023C7">
        <w:rPr>
          <w:kern w:val="22"/>
          <w:szCs w:val="22"/>
        </w:rPr>
        <w:t>ed</w:t>
      </w:r>
      <w:r w:rsidR="00072DF2" w:rsidRPr="006023C7">
        <w:rPr>
          <w:kern w:val="22"/>
          <w:szCs w:val="22"/>
        </w:rPr>
        <w:t>,</w:t>
      </w:r>
      <w:r w:rsidRPr="006023C7">
        <w:rPr>
          <w:kern w:val="22"/>
          <w:szCs w:val="22"/>
        </w:rPr>
        <w:t xml:space="preserve"> thus making it meaningful, useful and relevant for a specific purpose or context</w:t>
      </w:r>
      <w:r w:rsidR="00072DF2" w:rsidRPr="006023C7">
        <w:rPr>
          <w:kern w:val="22"/>
          <w:szCs w:val="22"/>
        </w:rPr>
        <w:t>;</w:t>
      </w:r>
    </w:p>
    <w:p w14:paraId="4A1D10D1" w14:textId="62681A0A" w:rsidR="007F238A" w:rsidRPr="006023C7" w:rsidRDefault="007F238A" w:rsidP="001F4589">
      <w:pPr>
        <w:pStyle w:val="Para1"/>
        <w:numPr>
          <w:ilvl w:val="1"/>
          <w:numId w:val="10"/>
        </w:numPr>
        <w:suppressLineNumbers/>
        <w:suppressAutoHyphens/>
        <w:rPr>
          <w:kern w:val="22"/>
          <w:szCs w:val="22"/>
        </w:rPr>
      </w:pPr>
      <w:r w:rsidRPr="006023C7">
        <w:rPr>
          <w:kern w:val="22"/>
          <w:szCs w:val="22"/>
        </w:rPr>
        <w:t xml:space="preserve">Knowledge </w:t>
      </w:r>
      <w:r w:rsidR="006E5E85" w:rsidRPr="006023C7">
        <w:rPr>
          <w:kern w:val="22"/>
          <w:szCs w:val="22"/>
        </w:rPr>
        <w:t>refers</w:t>
      </w:r>
      <w:r w:rsidR="002F4A2A" w:rsidRPr="006023C7">
        <w:rPr>
          <w:kern w:val="22"/>
          <w:szCs w:val="22"/>
        </w:rPr>
        <w:t xml:space="preserve"> </w:t>
      </w:r>
      <w:r w:rsidR="00F8639E" w:rsidRPr="006023C7">
        <w:rPr>
          <w:kern w:val="22"/>
          <w:szCs w:val="22"/>
        </w:rPr>
        <w:t xml:space="preserve">to </w:t>
      </w:r>
      <w:r w:rsidR="006E5E85" w:rsidRPr="006023C7">
        <w:rPr>
          <w:kern w:val="22"/>
          <w:szCs w:val="22"/>
        </w:rPr>
        <w:t>i</w:t>
      </w:r>
      <w:r w:rsidR="00F8639E" w:rsidRPr="006023C7">
        <w:rPr>
          <w:kern w:val="22"/>
          <w:szCs w:val="22"/>
        </w:rPr>
        <w:t xml:space="preserve">nformation that is transformed through cognitive processing, reflection and application </w:t>
      </w:r>
      <w:r w:rsidR="0033234D" w:rsidRPr="006023C7">
        <w:rPr>
          <w:kern w:val="22"/>
          <w:szCs w:val="22"/>
        </w:rPr>
        <w:t>resu</w:t>
      </w:r>
      <w:r w:rsidR="00DF07EB" w:rsidRPr="006023C7">
        <w:rPr>
          <w:kern w:val="22"/>
          <w:szCs w:val="22"/>
        </w:rPr>
        <w:t>lting in</w:t>
      </w:r>
      <w:r w:rsidR="00534DD9" w:rsidRPr="006023C7">
        <w:rPr>
          <w:kern w:val="22"/>
        </w:rPr>
        <w:t xml:space="preserve"> </w:t>
      </w:r>
      <w:r w:rsidR="00534DD9" w:rsidRPr="006023C7">
        <w:rPr>
          <w:kern w:val="22"/>
          <w:szCs w:val="22"/>
        </w:rPr>
        <w:t>awareness or understanding</w:t>
      </w:r>
      <w:r w:rsidRPr="006023C7">
        <w:rPr>
          <w:kern w:val="22"/>
          <w:szCs w:val="22"/>
        </w:rPr>
        <w:t xml:space="preserve"> by</w:t>
      </w:r>
      <w:r w:rsidR="00F06E66" w:rsidRPr="006023C7">
        <w:rPr>
          <w:kern w:val="22"/>
          <w:szCs w:val="22"/>
        </w:rPr>
        <w:t xml:space="preserve"> </w:t>
      </w:r>
      <w:r w:rsidRPr="006023C7">
        <w:rPr>
          <w:kern w:val="22"/>
          <w:szCs w:val="22"/>
        </w:rPr>
        <w:t>individuals or communities for a specific purpose or within a given context.</w:t>
      </w:r>
      <w:r w:rsidR="00A717EB" w:rsidRPr="006023C7">
        <w:rPr>
          <w:kern w:val="22"/>
        </w:rPr>
        <w:t xml:space="preserve"> </w:t>
      </w:r>
      <w:r w:rsidR="00A717EB" w:rsidRPr="006023C7">
        <w:rPr>
          <w:kern w:val="22"/>
          <w:szCs w:val="22"/>
        </w:rPr>
        <w:t xml:space="preserve">Knowledge can be gained </w:t>
      </w:r>
      <w:r w:rsidR="00A560B5" w:rsidRPr="006023C7">
        <w:rPr>
          <w:kern w:val="22"/>
          <w:szCs w:val="22"/>
        </w:rPr>
        <w:t>through</w:t>
      </w:r>
      <w:r w:rsidR="00A717EB" w:rsidRPr="006023C7">
        <w:rPr>
          <w:kern w:val="22"/>
          <w:szCs w:val="22"/>
        </w:rPr>
        <w:t xml:space="preserve"> learning, experience or practice</w:t>
      </w:r>
      <w:r w:rsidR="00072DF2" w:rsidRPr="006023C7">
        <w:rPr>
          <w:kern w:val="22"/>
          <w:szCs w:val="22"/>
        </w:rPr>
        <w:t>;</w:t>
      </w:r>
    </w:p>
    <w:p w14:paraId="4A334C4E" w14:textId="709C9DFB" w:rsidR="00292964" w:rsidRPr="006023C7" w:rsidRDefault="007F238A" w:rsidP="001F4589">
      <w:pPr>
        <w:pStyle w:val="Para1"/>
        <w:numPr>
          <w:ilvl w:val="1"/>
          <w:numId w:val="10"/>
        </w:numPr>
        <w:suppressLineNumbers/>
        <w:suppressAutoHyphens/>
        <w:rPr>
          <w:kern w:val="22"/>
          <w:szCs w:val="22"/>
        </w:rPr>
      </w:pPr>
      <w:r w:rsidRPr="006023C7">
        <w:rPr>
          <w:kern w:val="22"/>
          <w:szCs w:val="22"/>
        </w:rPr>
        <w:t xml:space="preserve">Wisdom </w:t>
      </w:r>
      <w:r w:rsidR="00BE29D1" w:rsidRPr="006023C7">
        <w:rPr>
          <w:kern w:val="22"/>
          <w:szCs w:val="22"/>
        </w:rPr>
        <w:t xml:space="preserve">relates to </w:t>
      </w:r>
      <w:r w:rsidRPr="006023C7">
        <w:rPr>
          <w:kern w:val="22"/>
          <w:szCs w:val="22"/>
        </w:rPr>
        <w:t xml:space="preserve">human intuition and insight based on </w:t>
      </w:r>
      <w:r w:rsidR="008B3654" w:rsidRPr="006023C7">
        <w:rPr>
          <w:kern w:val="22"/>
          <w:szCs w:val="22"/>
        </w:rPr>
        <w:t xml:space="preserve">repeated </w:t>
      </w:r>
      <w:r w:rsidR="006B112D" w:rsidRPr="006023C7">
        <w:rPr>
          <w:kern w:val="22"/>
          <w:szCs w:val="22"/>
        </w:rPr>
        <w:t>application</w:t>
      </w:r>
      <w:r w:rsidR="008B3654" w:rsidRPr="006023C7">
        <w:rPr>
          <w:kern w:val="22"/>
          <w:szCs w:val="22"/>
        </w:rPr>
        <w:t xml:space="preserve"> of knowledge </w:t>
      </w:r>
      <w:r w:rsidR="00E51686" w:rsidRPr="006023C7">
        <w:rPr>
          <w:kern w:val="22"/>
          <w:szCs w:val="22"/>
        </w:rPr>
        <w:t xml:space="preserve">and </w:t>
      </w:r>
      <w:r w:rsidRPr="006023C7">
        <w:rPr>
          <w:kern w:val="22"/>
          <w:szCs w:val="22"/>
        </w:rPr>
        <w:t>years of experience</w:t>
      </w:r>
      <w:r w:rsidR="00E51686" w:rsidRPr="006023C7">
        <w:rPr>
          <w:kern w:val="22"/>
          <w:szCs w:val="22"/>
        </w:rPr>
        <w:t>.</w:t>
      </w:r>
      <w:r w:rsidRPr="006023C7">
        <w:rPr>
          <w:kern w:val="22"/>
          <w:szCs w:val="22"/>
        </w:rPr>
        <w:t xml:space="preserve"> Wisdom is often codified into beliefs, traditions, philosophies and principles. Most of the traditional knowledge of indigenous peoples and local communities could be considered “wisdom”</w:t>
      </w:r>
      <w:r w:rsidR="00292964" w:rsidRPr="006023C7">
        <w:rPr>
          <w:kern w:val="22"/>
        </w:rPr>
        <w:t>.</w:t>
      </w:r>
    </w:p>
    <w:p w14:paraId="2D031BB0" w14:textId="7AE36FF0" w:rsidR="00292964" w:rsidRPr="00615C3F" w:rsidRDefault="00292964" w:rsidP="001F4589">
      <w:pPr>
        <w:pStyle w:val="CBD-Para"/>
        <w:keepLines w:val="0"/>
        <w:widowControl w:val="0"/>
        <w:numPr>
          <w:ilvl w:val="0"/>
          <w:numId w:val="0"/>
        </w:numPr>
        <w:spacing w:before="240" w:after="240"/>
        <w:jc w:val="center"/>
        <w:rPr>
          <w:b/>
          <w:bCs/>
          <w:kern w:val="22"/>
          <w:lang w:val="en-GB"/>
        </w:rPr>
      </w:pPr>
      <w:r w:rsidRPr="00615C3F">
        <w:rPr>
          <w:b/>
          <w:bCs/>
          <w:kern w:val="22"/>
          <w:lang w:val="en-GB"/>
        </w:rPr>
        <w:t>Figure</w:t>
      </w:r>
      <w:r w:rsidR="00B61127">
        <w:rPr>
          <w:b/>
          <w:bCs/>
          <w:kern w:val="22"/>
          <w:lang w:val="en-GB"/>
        </w:rPr>
        <w:t>.</w:t>
      </w:r>
      <w:r w:rsidRPr="00615C3F">
        <w:rPr>
          <w:b/>
          <w:bCs/>
          <w:kern w:val="22"/>
          <w:lang w:val="en-GB"/>
        </w:rPr>
        <w:t xml:space="preserve"> The Data, Information, Knowledge and Wisdom (DIKW) Pyramid</w:t>
      </w:r>
    </w:p>
    <w:p w14:paraId="224708A3" w14:textId="3BDFC240" w:rsidR="00B240FE" w:rsidRPr="006023C7" w:rsidRDefault="002A2096" w:rsidP="001F4589">
      <w:pPr>
        <w:pStyle w:val="CBD-Para"/>
        <w:keepLines w:val="0"/>
        <w:widowControl w:val="0"/>
        <w:numPr>
          <w:ilvl w:val="0"/>
          <w:numId w:val="0"/>
        </w:numPr>
        <w:spacing w:before="240" w:after="240"/>
        <w:jc w:val="center"/>
        <w:rPr>
          <w:i/>
          <w:iCs/>
          <w:kern w:val="22"/>
          <w:lang w:val="en-GB"/>
        </w:rPr>
      </w:pPr>
      <w:r w:rsidRPr="006023C7">
        <w:rPr>
          <w:noProof/>
          <w:kern w:val="22"/>
          <w:lang w:val="en-GB"/>
        </w:rPr>
        <w:drawing>
          <wp:inline distT="0" distB="0" distL="0" distR="0" wp14:anchorId="41DE5A8D" wp14:editId="0514CA4D">
            <wp:extent cx="4400221" cy="2298700"/>
            <wp:effectExtent l="0" t="0" r="635" b="6350"/>
            <wp:docPr id="6" name="Picture 6" descr="The data-information-knowledge-wisdom (DIKW) hierarchy as a pyramid to manage knowledge. Reproduced with permission from Tedesch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ata-information-knowledge-wisdom (DIKW) hierarchy as a pyramid to manage knowledge. Reproduced with permission from Tedeschi (20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2003" cy="2325751"/>
                    </a:xfrm>
                    <a:prstGeom prst="rect">
                      <a:avLst/>
                    </a:prstGeom>
                    <a:noFill/>
                    <a:ln>
                      <a:noFill/>
                    </a:ln>
                  </pic:spPr>
                </pic:pic>
              </a:graphicData>
            </a:graphic>
          </wp:inline>
        </w:drawing>
      </w:r>
    </w:p>
    <w:p w14:paraId="6FC064E5" w14:textId="44B4610A" w:rsidR="00CF3687" w:rsidRPr="005400B1" w:rsidRDefault="00CF3687" w:rsidP="001F4589">
      <w:pPr>
        <w:pStyle w:val="CBD-Para"/>
        <w:keepLines w:val="0"/>
        <w:widowControl w:val="0"/>
        <w:numPr>
          <w:ilvl w:val="0"/>
          <w:numId w:val="0"/>
        </w:numPr>
        <w:spacing w:before="240" w:after="240"/>
        <w:jc w:val="center"/>
        <w:rPr>
          <w:kern w:val="22"/>
          <w:lang w:val="fr-FR"/>
        </w:rPr>
      </w:pPr>
      <w:r w:rsidRPr="005400B1">
        <w:rPr>
          <w:i/>
          <w:iCs/>
          <w:kern w:val="22"/>
          <w:lang w:val="fr-FR"/>
        </w:rPr>
        <w:t>Source</w:t>
      </w:r>
      <w:r w:rsidRPr="005400B1">
        <w:rPr>
          <w:kern w:val="22"/>
          <w:lang w:val="fr-FR"/>
        </w:rPr>
        <w:t>:</w:t>
      </w:r>
      <w:r w:rsidR="003E6CD8" w:rsidRPr="005400B1">
        <w:rPr>
          <w:kern w:val="22"/>
          <w:lang w:val="fr-FR"/>
        </w:rPr>
        <w:t xml:space="preserve"> </w:t>
      </w:r>
      <w:hyperlink r:id="rId17" w:history="1">
        <w:r w:rsidR="003F400E" w:rsidRPr="005400B1">
          <w:rPr>
            <w:rStyle w:val="Hyperlink"/>
            <w:kern w:val="22"/>
            <w:sz w:val="22"/>
            <w:lang w:val="fr-FR"/>
          </w:rPr>
          <w:t>https://academic.oup.com/jas/article/97/5/1921/5382308</w:t>
        </w:r>
      </w:hyperlink>
      <w:r w:rsidR="003F400E" w:rsidRPr="005400B1">
        <w:rPr>
          <w:kern w:val="22"/>
          <w:lang w:val="fr-FR"/>
        </w:rPr>
        <w:t xml:space="preserve"> </w:t>
      </w:r>
      <w:r w:rsidRPr="005400B1">
        <w:rPr>
          <w:kern w:val="22"/>
          <w:lang w:val="fr-FR"/>
        </w:rPr>
        <w:t xml:space="preserve"> </w:t>
      </w:r>
    </w:p>
    <w:p w14:paraId="26C197A8" w14:textId="2A03DFE0" w:rsidR="001D464B" w:rsidRPr="008C196B" w:rsidRDefault="001D464B" w:rsidP="001F4589">
      <w:pPr>
        <w:pStyle w:val="Para1"/>
        <w:numPr>
          <w:ilvl w:val="0"/>
          <w:numId w:val="10"/>
        </w:numPr>
        <w:suppressLineNumbers/>
        <w:tabs>
          <w:tab w:val="clear" w:pos="360"/>
        </w:tabs>
        <w:suppressAutoHyphens/>
        <w:rPr>
          <w:kern w:val="22"/>
          <w:szCs w:val="22"/>
        </w:rPr>
      </w:pPr>
      <w:r w:rsidRPr="00AA35F8">
        <w:rPr>
          <w:kern w:val="22"/>
          <w:szCs w:val="22"/>
        </w:rPr>
        <w:t xml:space="preserve">From the above definitions, </w:t>
      </w:r>
      <w:proofErr w:type="gramStart"/>
      <w:r w:rsidRPr="00AA35F8">
        <w:rPr>
          <w:kern w:val="22"/>
          <w:szCs w:val="22"/>
        </w:rPr>
        <w:t>it is clear that the</w:t>
      </w:r>
      <w:proofErr w:type="gramEnd"/>
      <w:r w:rsidRPr="00AA35F8">
        <w:rPr>
          <w:kern w:val="22"/>
          <w:szCs w:val="22"/>
        </w:rPr>
        <w:t xml:space="preserve"> knowledge management component encompasses, data management</w:t>
      </w:r>
      <w:r w:rsidR="00C07F5E" w:rsidRPr="002314B1">
        <w:rPr>
          <w:kern w:val="22"/>
          <w:szCs w:val="22"/>
        </w:rPr>
        <w:t>,</w:t>
      </w:r>
      <w:r w:rsidRPr="00FD27AD">
        <w:rPr>
          <w:kern w:val="22"/>
          <w:szCs w:val="22"/>
        </w:rPr>
        <w:t xml:space="preserve"> </w:t>
      </w:r>
      <w:r w:rsidR="00C07F5E" w:rsidRPr="00FD27AD">
        <w:rPr>
          <w:kern w:val="22"/>
          <w:szCs w:val="22"/>
        </w:rPr>
        <w:t xml:space="preserve">information management </w:t>
      </w:r>
      <w:r w:rsidRPr="008E67D5">
        <w:rPr>
          <w:kern w:val="22"/>
          <w:szCs w:val="22"/>
        </w:rPr>
        <w:t xml:space="preserve">and </w:t>
      </w:r>
      <w:r w:rsidR="00A22787" w:rsidRPr="008C196B">
        <w:rPr>
          <w:kern w:val="22"/>
          <w:szCs w:val="22"/>
        </w:rPr>
        <w:t xml:space="preserve">other </w:t>
      </w:r>
      <w:r w:rsidR="002B4802" w:rsidRPr="008C196B">
        <w:rPr>
          <w:kern w:val="22"/>
          <w:szCs w:val="22"/>
        </w:rPr>
        <w:t xml:space="preserve">related </w:t>
      </w:r>
      <w:r w:rsidRPr="008C196B">
        <w:rPr>
          <w:kern w:val="22"/>
          <w:szCs w:val="22"/>
        </w:rPr>
        <w:t xml:space="preserve">disciplines </w:t>
      </w:r>
      <w:r w:rsidR="002B4802" w:rsidRPr="0023314C">
        <w:rPr>
          <w:kern w:val="22"/>
          <w:szCs w:val="22"/>
        </w:rPr>
        <w:t>and practices</w:t>
      </w:r>
      <w:r w:rsidR="002314B1">
        <w:rPr>
          <w:kern w:val="22"/>
          <w:szCs w:val="22"/>
        </w:rPr>
        <w:t>,</w:t>
      </w:r>
      <w:r w:rsidR="002B4802" w:rsidRPr="002314B1">
        <w:rPr>
          <w:kern w:val="22"/>
          <w:szCs w:val="22"/>
        </w:rPr>
        <w:t xml:space="preserve"> </w:t>
      </w:r>
      <w:r w:rsidRPr="00FD27AD">
        <w:rPr>
          <w:kern w:val="22"/>
          <w:szCs w:val="22"/>
        </w:rPr>
        <w:t xml:space="preserve">such as records management, document management, </w:t>
      </w:r>
      <w:r w:rsidR="00593556">
        <w:rPr>
          <w:kern w:val="22"/>
          <w:szCs w:val="22"/>
        </w:rPr>
        <w:t xml:space="preserve">and </w:t>
      </w:r>
      <w:r w:rsidRPr="00593556">
        <w:rPr>
          <w:kern w:val="22"/>
          <w:szCs w:val="22"/>
        </w:rPr>
        <w:t>content management. While these terms are sometimes used interchangeably, it is important to recognize that</w:t>
      </w:r>
      <w:r w:rsidR="00593556">
        <w:rPr>
          <w:kern w:val="22"/>
          <w:szCs w:val="22"/>
        </w:rPr>
        <w:t>,</w:t>
      </w:r>
      <w:r w:rsidRPr="00593556">
        <w:rPr>
          <w:kern w:val="22"/>
          <w:szCs w:val="22"/>
        </w:rPr>
        <w:t xml:space="preserve"> in th</w:t>
      </w:r>
      <w:r w:rsidR="00A66461" w:rsidRPr="00593556">
        <w:rPr>
          <w:kern w:val="22"/>
          <w:szCs w:val="22"/>
        </w:rPr>
        <w:t>e context of this component</w:t>
      </w:r>
      <w:r w:rsidR="00593556">
        <w:rPr>
          <w:kern w:val="22"/>
          <w:szCs w:val="22"/>
        </w:rPr>
        <w:t>,</w:t>
      </w:r>
      <w:r w:rsidRPr="00593556">
        <w:rPr>
          <w:kern w:val="22"/>
          <w:szCs w:val="22"/>
        </w:rPr>
        <w:t xml:space="preserve"> </w:t>
      </w:r>
      <w:r w:rsidR="00560E58" w:rsidRPr="00FD27AD">
        <w:rPr>
          <w:kern w:val="22"/>
          <w:szCs w:val="22"/>
        </w:rPr>
        <w:t xml:space="preserve">all </w:t>
      </w:r>
      <w:r w:rsidRPr="00FD27AD">
        <w:rPr>
          <w:kern w:val="22"/>
          <w:szCs w:val="22"/>
        </w:rPr>
        <w:t>these activities are constituent elements that contribute to different stages of the knowledge management cycle.</w:t>
      </w:r>
    </w:p>
    <w:p w14:paraId="5FC1FCE2" w14:textId="13D81B53" w:rsidR="001D464B" w:rsidRPr="006023C7" w:rsidRDefault="001D464B" w:rsidP="001F4589">
      <w:pPr>
        <w:pStyle w:val="Para1"/>
        <w:numPr>
          <w:ilvl w:val="0"/>
          <w:numId w:val="10"/>
        </w:numPr>
        <w:suppressLineNumbers/>
        <w:tabs>
          <w:tab w:val="clear" w:pos="360"/>
        </w:tabs>
        <w:suppressAutoHyphens/>
        <w:rPr>
          <w:kern w:val="22"/>
          <w:szCs w:val="22"/>
        </w:rPr>
      </w:pPr>
      <w:r w:rsidRPr="006023C7">
        <w:rPr>
          <w:kern w:val="22"/>
          <w:szCs w:val="22"/>
        </w:rPr>
        <w:t>The knowledge management component complements strategies and mechanisms already in place or in</w:t>
      </w:r>
      <w:r w:rsidR="007B6AF2">
        <w:rPr>
          <w:kern w:val="22"/>
          <w:szCs w:val="22"/>
        </w:rPr>
        <w:t xml:space="preserve"> the </w:t>
      </w:r>
      <w:r w:rsidRPr="007B6AF2">
        <w:rPr>
          <w:kern w:val="22"/>
          <w:szCs w:val="22"/>
        </w:rPr>
        <w:t xml:space="preserve">process of being developed to support the implementation of the post-2020 </w:t>
      </w:r>
      <w:r w:rsidR="00482485" w:rsidRPr="007B6AF2">
        <w:rPr>
          <w:kern w:val="22"/>
          <w:szCs w:val="22"/>
        </w:rPr>
        <w:t>g</w:t>
      </w:r>
      <w:r w:rsidRPr="007B6AF2">
        <w:rPr>
          <w:kern w:val="22"/>
          <w:szCs w:val="22"/>
        </w:rPr>
        <w:t xml:space="preserve">lobal </w:t>
      </w:r>
      <w:r w:rsidR="00482485" w:rsidRPr="007B6AF2">
        <w:rPr>
          <w:kern w:val="22"/>
          <w:szCs w:val="22"/>
        </w:rPr>
        <w:t>b</w:t>
      </w:r>
      <w:r w:rsidRPr="00FD27AD">
        <w:rPr>
          <w:kern w:val="22"/>
          <w:szCs w:val="22"/>
        </w:rPr>
        <w:t xml:space="preserve">iodiversity </w:t>
      </w:r>
      <w:r w:rsidR="00482485" w:rsidRPr="008C196B">
        <w:rPr>
          <w:kern w:val="22"/>
          <w:szCs w:val="22"/>
        </w:rPr>
        <w:t>f</w:t>
      </w:r>
      <w:r w:rsidRPr="008C196B">
        <w:rPr>
          <w:kern w:val="22"/>
          <w:szCs w:val="22"/>
        </w:rPr>
        <w:t xml:space="preserve">ramework. These include the framework for a global communications strategy, the long-term strategic framework for capacity development, the proposals to enhance technical and scientific cooperation in support of </w:t>
      </w:r>
      <w:r w:rsidRPr="006023C7">
        <w:rPr>
          <w:kern w:val="22"/>
          <w:szCs w:val="22"/>
        </w:rPr>
        <w:t>the post-2020 global biodiversity framework and the mechanisms for reporting, assessment and review of implementation.</w:t>
      </w:r>
    </w:p>
    <w:p w14:paraId="2097A90D" w14:textId="4339B8F7" w:rsidR="0022217D" w:rsidRPr="006023C7" w:rsidRDefault="001D464B" w:rsidP="001F4589">
      <w:pPr>
        <w:pStyle w:val="Para1"/>
        <w:numPr>
          <w:ilvl w:val="0"/>
          <w:numId w:val="10"/>
        </w:numPr>
        <w:suppressLineNumbers/>
        <w:tabs>
          <w:tab w:val="clear" w:pos="360"/>
          <w:tab w:val="num" w:pos="720"/>
        </w:tabs>
        <w:suppressAutoHyphens/>
        <w:rPr>
          <w:kern w:val="22"/>
          <w:szCs w:val="22"/>
        </w:rPr>
      </w:pPr>
      <w:r w:rsidRPr="006023C7">
        <w:rPr>
          <w:kern w:val="22"/>
          <w:szCs w:val="22"/>
        </w:rPr>
        <w:t xml:space="preserve">This component covers various types of data, information and knowledge relevant for the conservation and sustainable use of biological diversity, ranging from scientific, technical, technological, legal and policy data and information to implementation-related information and knowledge, including case studies on experiences, best practices and lessons learned in the development and implementation of national </w:t>
      </w:r>
      <w:r w:rsidRPr="006023C7">
        <w:rPr>
          <w:kern w:val="22"/>
          <w:szCs w:val="22"/>
        </w:rPr>
        <w:lastRenderedPageBreak/>
        <w:t xml:space="preserve">biodiversity policies, plans and programmes. It also includes the decisions, recommendations and official documentation created by biodiversity-related </w:t>
      </w:r>
      <w:r w:rsidR="00235171" w:rsidRPr="006023C7">
        <w:rPr>
          <w:kern w:val="22"/>
          <w:szCs w:val="22"/>
        </w:rPr>
        <w:t>c</w:t>
      </w:r>
      <w:r w:rsidRPr="006023C7">
        <w:rPr>
          <w:kern w:val="22"/>
          <w:szCs w:val="22"/>
        </w:rPr>
        <w:t>onventions, other Rio conventions and related processes</w:t>
      </w:r>
      <w:r w:rsidR="00964A8F" w:rsidRPr="006023C7">
        <w:rPr>
          <w:kern w:val="22"/>
          <w:szCs w:val="22"/>
        </w:rPr>
        <w:t>.</w:t>
      </w:r>
    </w:p>
    <w:p w14:paraId="5ABE99D5" w14:textId="279FB25C" w:rsidR="0022217D" w:rsidRPr="006023C7" w:rsidRDefault="002C6686" w:rsidP="001F4589">
      <w:pPr>
        <w:pStyle w:val="Para1"/>
        <w:numPr>
          <w:ilvl w:val="0"/>
          <w:numId w:val="10"/>
        </w:numPr>
        <w:suppressLineNumbers/>
        <w:tabs>
          <w:tab w:val="clear" w:pos="360"/>
          <w:tab w:val="num" w:pos="720"/>
        </w:tabs>
        <w:suppressAutoHyphens/>
        <w:rPr>
          <w:kern w:val="22"/>
          <w:szCs w:val="22"/>
        </w:rPr>
      </w:pPr>
      <w:r w:rsidRPr="006023C7">
        <w:rPr>
          <w:kern w:val="22"/>
        </w:rPr>
        <w:t xml:space="preserve">The knowledge management component seeks to enhance interoperability, accessibility and use of relevant information and knowledge management systems, tools and mechanisms to support the post-2020 global biodiversity framework. These include but </w:t>
      </w:r>
      <w:r w:rsidR="00FD27AD">
        <w:rPr>
          <w:kern w:val="22"/>
        </w:rPr>
        <w:t xml:space="preserve">are </w:t>
      </w:r>
      <w:r w:rsidRPr="00FD27AD">
        <w:rPr>
          <w:kern w:val="22"/>
        </w:rPr>
        <w:t xml:space="preserve">not limited to </w:t>
      </w:r>
      <w:r w:rsidR="00F45484" w:rsidRPr="00FD27AD">
        <w:rPr>
          <w:kern w:val="22"/>
        </w:rPr>
        <w:t xml:space="preserve">the systems of biodiversity-related conventions, including </w:t>
      </w:r>
      <w:r w:rsidRPr="008C196B">
        <w:rPr>
          <w:kern w:val="22"/>
        </w:rPr>
        <w:t>the c</w:t>
      </w:r>
      <w:r w:rsidRPr="00C62754">
        <w:rPr>
          <w:kern w:val="22"/>
        </w:rPr>
        <w:t xml:space="preserve">learing-house mechanism of the Convention on Biological Diversity, the Biosafety Clearing-House and the Access and Benefit-sharing Clearing-House, the Ramsar Sites Information Service, </w:t>
      </w:r>
      <w:r w:rsidR="00F45484" w:rsidRPr="006023C7">
        <w:rPr>
          <w:kern w:val="22"/>
        </w:rPr>
        <w:t xml:space="preserve">and </w:t>
      </w:r>
      <w:r w:rsidRPr="006023C7">
        <w:rPr>
          <w:kern w:val="22"/>
        </w:rPr>
        <w:t>the CITES Trade Database</w:t>
      </w:r>
      <w:r w:rsidR="00DC15E7" w:rsidRPr="006023C7">
        <w:rPr>
          <w:kern w:val="22"/>
        </w:rPr>
        <w:t>.</w:t>
      </w:r>
      <w:r w:rsidR="00F45484" w:rsidRPr="006023C7">
        <w:rPr>
          <w:rStyle w:val="FootnoteReference"/>
          <w:kern w:val="22"/>
        </w:rPr>
        <w:footnoteReference w:id="7"/>
      </w:r>
      <w:r w:rsidR="00F45484" w:rsidRPr="006023C7">
        <w:rPr>
          <w:kern w:val="22"/>
        </w:rPr>
        <w:t xml:space="preserve"> Others include</w:t>
      </w:r>
      <w:r w:rsidRPr="00185E4B">
        <w:rPr>
          <w:kern w:val="22"/>
        </w:rPr>
        <w:t xml:space="preserve"> the U</w:t>
      </w:r>
      <w:r w:rsidR="0024290D">
        <w:rPr>
          <w:kern w:val="22"/>
        </w:rPr>
        <w:t xml:space="preserve">nited </w:t>
      </w:r>
      <w:r w:rsidRPr="00185E4B">
        <w:rPr>
          <w:kern w:val="22"/>
        </w:rPr>
        <w:t>N</w:t>
      </w:r>
      <w:r w:rsidR="0024290D">
        <w:rPr>
          <w:kern w:val="22"/>
        </w:rPr>
        <w:t>ations</w:t>
      </w:r>
      <w:r w:rsidRPr="00185E4B">
        <w:rPr>
          <w:kern w:val="22"/>
        </w:rPr>
        <w:t xml:space="preserve"> Information Portal on Multilateral Environmental Agreements (</w:t>
      </w:r>
      <w:proofErr w:type="spellStart"/>
      <w:r w:rsidRPr="00185E4B">
        <w:rPr>
          <w:kern w:val="22"/>
        </w:rPr>
        <w:t>InforMEA</w:t>
      </w:r>
      <w:proofErr w:type="spellEnd"/>
      <w:r w:rsidRPr="00185E4B">
        <w:rPr>
          <w:kern w:val="22"/>
        </w:rPr>
        <w:t>),</w:t>
      </w:r>
      <w:r w:rsidRPr="006023C7">
        <w:rPr>
          <w:rStyle w:val="FootnoteReference"/>
          <w:kern w:val="22"/>
        </w:rPr>
        <w:footnoteReference w:id="8"/>
      </w:r>
      <w:r w:rsidRPr="006023C7">
        <w:rPr>
          <w:kern w:val="22"/>
        </w:rPr>
        <w:t xml:space="preserve"> the Species Information Service</w:t>
      </w:r>
      <w:r w:rsidR="009F4A24" w:rsidRPr="00185E4B">
        <w:rPr>
          <w:kern w:val="22"/>
        </w:rPr>
        <w:t xml:space="preserve"> of the International Union for Conservation of Nature (IUCN),</w:t>
      </w:r>
      <w:r w:rsidRPr="006023C7">
        <w:rPr>
          <w:rStyle w:val="FootnoteReference"/>
          <w:kern w:val="22"/>
        </w:rPr>
        <w:footnoteReference w:id="9"/>
      </w:r>
      <w:r w:rsidRPr="006023C7">
        <w:rPr>
          <w:kern w:val="22"/>
        </w:rPr>
        <w:t xml:space="preserve"> </w:t>
      </w:r>
      <w:r w:rsidR="008E67D5">
        <w:rPr>
          <w:kern w:val="22"/>
        </w:rPr>
        <w:t>the United Nations</w:t>
      </w:r>
      <w:r w:rsidR="008E67D5" w:rsidRPr="006023C7">
        <w:rPr>
          <w:kern w:val="22"/>
        </w:rPr>
        <w:t xml:space="preserve"> </w:t>
      </w:r>
      <w:r w:rsidRPr="006023C7">
        <w:rPr>
          <w:kern w:val="22"/>
        </w:rPr>
        <w:t>Biodiversity Lab</w:t>
      </w:r>
      <w:r w:rsidR="002D216E" w:rsidRPr="00185E4B">
        <w:rPr>
          <w:kern w:val="22"/>
        </w:rPr>
        <w:t>,</w:t>
      </w:r>
      <w:r w:rsidRPr="006023C7">
        <w:rPr>
          <w:rStyle w:val="FootnoteReference"/>
          <w:kern w:val="22"/>
        </w:rPr>
        <w:footnoteReference w:id="10"/>
      </w:r>
      <w:r w:rsidRPr="006023C7">
        <w:rPr>
          <w:kern w:val="22"/>
        </w:rPr>
        <w:t xml:space="preserve"> the World Database on Protected Areas (WDPA), </w:t>
      </w:r>
      <w:r w:rsidRPr="00185E4B">
        <w:rPr>
          <w:kern w:val="22"/>
          <w:sz w:val="24"/>
          <w:szCs w:val="24"/>
        </w:rPr>
        <w:t xml:space="preserve">the </w:t>
      </w:r>
      <w:r w:rsidRPr="00185E4B">
        <w:rPr>
          <w:kern w:val="22"/>
        </w:rPr>
        <w:t>Global Database on Protected A</w:t>
      </w:r>
      <w:r w:rsidRPr="002A694F">
        <w:rPr>
          <w:kern w:val="22"/>
        </w:rPr>
        <w:t>rea Management Effectiveness (GDPAME), the registry of territories and areas conserved by indigenous peoples and local communities (ICCA Registry)</w:t>
      </w:r>
      <w:r w:rsidRPr="006023C7">
        <w:rPr>
          <w:rStyle w:val="FootnoteReference"/>
          <w:kern w:val="22"/>
        </w:rPr>
        <w:footnoteReference w:id="11"/>
      </w:r>
      <w:r w:rsidRPr="006023C7">
        <w:rPr>
          <w:kern w:val="22"/>
        </w:rPr>
        <w:t xml:space="preserve"> and others.</w:t>
      </w:r>
      <w:r w:rsidRPr="006023C7">
        <w:rPr>
          <w:rStyle w:val="FootnoteReference"/>
          <w:kern w:val="22"/>
        </w:rPr>
        <w:footnoteReference w:id="12"/>
      </w:r>
    </w:p>
    <w:p w14:paraId="669D2AEF" w14:textId="348A3C07" w:rsidR="002C6686" w:rsidRPr="0074040E" w:rsidRDefault="002C6686" w:rsidP="001F4589">
      <w:pPr>
        <w:pStyle w:val="Para1"/>
        <w:numPr>
          <w:ilvl w:val="0"/>
          <w:numId w:val="10"/>
        </w:numPr>
        <w:suppressLineNumbers/>
        <w:tabs>
          <w:tab w:val="clear" w:pos="360"/>
          <w:tab w:val="num" w:pos="720"/>
        </w:tabs>
        <w:suppressAutoHyphens/>
        <w:rPr>
          <w:kern w:val="22"/>
          <w:szCs w:val="22"/>
        </w:rPr>
      </w:pPr>
      <w:r w:rsidRPr="008E67D5">
        <w:rPr>
          <w:kern w:val="22"/>
          <w:szCs w:val="22"/>
        </w:rPr>
        <w:t xml:space="preserve">The knowledge management component also proposes actions to foster coordination, </w:t>
      </w:r>
      <w:r w:rsidRPr="00F87CFE">
        <w:rPr>
          <w:kern w:val="22"/>
          <w:szCs w:val="22"/>
        </w:rPr>
        <w:t>collaboration and complementarity between various initiatives and institutions supporting the generation, capture, management and use of biodiversity-related data, information and knowledge and encourage global data providers to support national stakeholde</w:t>
      </w:r>
      <w:r w:rsidRPr="008C196B">
        <w:rPr>
          <w:kern w:val="22"/>
          <w:szCs w:val="22"/>
        </w:rPr>
        <w:t>rs and national statistical systems, which are key to national monitoring. These include: the U</w:t>
      </w:r>
      <w:r w:rsidR="00B9613F" w:rsidRPr="00615C3F">
        <w:rPr>
          <w:kern w:val="22"/>
          <w:szCs w:val="22"/>
        </w:rPr>
        <w:t xml:space="preserve">nited </w:t>
      </w:r>
      <w:r w:rsidRPr="00615C3F">
        <w:rPr>
          <w:kern w:val="22"/>
          <w:szCs w:val="22"/>
        </w:rPr>
        <w:t>N</w:t>
      </w:r>
      <w:r w:rsidR="00B9613F" w:rsidRPr="00615C3F">
        <w:rPr>
          <w:kern w:val="22"/>
          <w:szCs w:val="22"/>
        </w:rPr>
        <w:t>ations</w:t>
      </w:r>
      <w:r w:rsidRPr="00615C3F">
        <w:rPr>
          <w:kern w:val="22"/>
          <w:szCs w:val="22"/>
        </w:rPr>
        <w:t xml:space="preserve"> Environment Programme</w:t>
      </w:r>
      <w:r w:rsidR="008F07B1" w:rsidRPr="00615C3F">
        <w:rPr>
          <w:kern w:val="22"/>
          <w:szCs w:val="22"/>
        </w:rPr>
        <w:t>’s</w:t>
      </w:r>
      <w:r w:rsidRPr="00615C3F">
        <w:rPr>
          <w:kern w:val="22"/>
          <w:szCs w:val="22"/>
        </w:rPr>
        <w:t xml:space="preserve"> </w:t>
      </w:r>
      <w:r w:rsidRPr="00615C3F">
        <w:rPr>
          <w:kern w:val="22"/>
          <w:szCs w:val="22"/>
          <w:shd w:val="clear" w:color="auto" w:fill="FFFFFF"/>
        </w:rPr>
        <w:t>World Conservation Monitoring Centre</w:t>
      </w:r>
      <w:r w:rsidRPr="00615C3F">
        <w:rPr>
          <w:kern w:val="22"/>
          <w:szCs w:val="22"/>
        </w:rPr>
        <w:t>,</w:t>
      </w:r>
      <w:r w:rsidRPr="008E67D5">
        <w:rPr>
          <w:kern w:val="22"/>
          <w:szCs w:val="22"/>
        </w:rPr>
        <w:t xml:space="preserve"> the </w:t>
      </w:r>
      <w:r w:rsidR="009458DA" w:rsidRPr="00F87CFE">
        <w:rPr>
          <w:kern w:val="22"/>
          <w:szCs w:val="22"/>
        </w:rPr>
        <w:t xml:space="preserve">task force on knowledge and data under the </w:t>
      </w:r>
      <w:r w:rsidR="008F07B1" w:rsidRPr="00DB6A02">
        <w:rPr>
          <w:kern w:val="22"/>
          <w:szCs w:val="22"/>
        </w:rPr>
        <w:t>Intergovernmental Science-Policy Platf</w:t>
      </w:r>
      <w:r w:rsidR="008F07B1" w:rsidRPr="008A3F7A">
        <w:rPr>
          <w:kern w:val="22"/>
          <w:szCs w:val="22"/>
        </w:rPr>
        <w:t>orm on Biodiversity and Ecosystem Services (</w:t>
      </w:r>
      <w:r w:rsidRPr="008A3F7A">
        <w:rPr>
          <w:kern w:val="22"/>
          <w:szCs w:val="22"/>
        </w:rPr>
        <w:t>IPBES</w:t>
      </w:r>
      <w:r w:rsidR="008F07B1" w:rsidRPr="008C196B">
        <w:rPr>
          <w:kern w:val="22"/>
          <w:szCs w:val="22"/>
        </w:rPr>
        <w:t>)</w:t>
      </w:r>
      <w:r w:rsidRPr="008C196B">
        <w:rPr>
          <w:kern w:val="22"/>
          <w:szCs w:val="22"/>
        </w:rPr>
        <w:t>, the U</w:t>
      </w:r>
      <w:r w:rsidR="009458DA" w:rsidRPr="008C196B">
        <w:rPr>
          <w:kern w:val="22"/>
          <w:szCs w:val="22"/>
        </w:rPr>
        <w:t xml:space="preserve">nited </w:t>
      </w:r>
      <w:r w:rsidRPr="0023314C">
        <w:rPr>
          <w:kern w:val="22"/>
          <w:szCs w:val="22"/>
        </w:rPr>
        <w:t>N</w:t>
      </w:r>
      <w:r w:rsidR="009458DA" w:rsidRPr="00C62754">
        <w:rPr>
          <w:kern w:val="22"/>
          <w:szCs w:val="22"/>
        </w:rPr>
        <w:t>ations</w:t>
      </w:r>
      <w:r w:rsidRPr="00C62754">
        <w:rPr>
          <w:kern w:val="22"/>
          <w:szCs w:val="22"/>
        </w:rPr>
        <w:t xml:space="preserve"> </w:t>
      </w:r>
      <w:r w:rsidR="00F87CFE" w:rsidRPr="00F87CFE">
        <w:rPr>
          <w:kern w:val="22"/>
          <w:szCs w:val="22"/>
        </w:rPr>
        <w:t xml:space="preserve">Collaborative </w:t>
      </w:r>
      <w:r w:rsidRPr="00DB6A02">
        <w:rPr>
          <w:kern w:val="22"/>
          <w:szCs w:val="22"/>
        </w:rPr>
        <w:t>Programme on Reducing Emissions from Deforestation and Forest Degradation</w:t>
      </w:r>
      <w:r w:rsidR="00FA782F" w:rsidRPr="00FA782F">
        <w:t xml:space="preserve"> </w:t>
      </w:r>
      <w:r w:rsidR="00FA782F" w:rsidRPr="00FA782F">
        <w:rPr>
          <w:kern w:val="22"/>
          <w:szCs w:val="22"/>
        </w:rPr>
        <w:t>in Developing Countries</w:t>
      </w:r>
      <w:r w:rsidRPr="00FA782F">
        <w:rPr>
          <w:kern w:val="22"/>
          <w:szCs w:val="22"/>
        </w:rPr>
        <w:t xml:space="preserve"> (UN</w:t>
      </w:r>
      <w:r w:rsidR="00FA782F">
        <w:rPr>
          <w:kern w:val="22"/>
          <w:szCs w:val="22"/>
        </w:rPr>
        <w:t>-</w:t>
      </w:r>
      <w:r w:rsidRPr="00FA782F">
        <w:rPr>
          <w:kern w:val="22"/>
          <w:szCs w:val="22"/>
        </w:rPr>
        <w:t xml:space="preserve">REDD), </w:t>
      </w:r>
      <w:r w:rsidR="00C03AA0">
        <w:rPr>
          <w:kern w:val="22"/>
          <w:szCs w:val="22"/>
        </w:rPr>
        <w:t xml:space="preserve">the </w:t>
      </w:r>
      <w:r w:rsidRPr="00FA782F">
        <w:rPr>
          <w:kern w:val="22"/>
          <w:szCs w:val="22"/>
        </w:rPr>
        <w:t xml:space="preserve">Global Biodiversity Information Facility (GBIF), </w:t>
      </w:r>
      <w:r w:rsidRPr="00615C3F">
        <w:rPr>
          <w:kern w:val="22"/>
          <w:szCs w:val="22"/>
          <w:lang w:val="en-US"/>
        </w:rPr>
        <w:t>Encyclopedia</w:t>
      </w:r>
      <w:r w:rsidRPr="00FA782F">
        <w:rPr>
          <w:kern w:val="22"/>
          <w:szCs w:val="22"/>
        </w:rPr>
        <w:t xml:space="preserve"> of Life (EOL), the International Barco</w:t>
      </w:r>
      <w:r w:rsidRPr="008A54BC">
        <w:rPr>
          <w:kern w:val="22"/>
          <w:szCs w:val="22"/>
        </w:rPr>
        <w:t xml:space="preserve">de of Life </w:t>
      </w:r>
      <w:r w:rsidR="006B112D" w:rsidRPr="008C196B">
        <w:rPr>
          <w:kern w:val="22"/>
          <w:szCs w:val="22"/>
        </w:rPr>
        <w:t>I</w:t>
      </w:r>
      <w:r w:rsidRPr="00C62754">
        <w:rPr>
          <w:kern w:val="22"/>
          <w:szCs w:val="22"/>
        </w:rPr>
        <w:t>ni</w:t>
      </w:r>
      <w:r w:rsidR="006B112D" w:rsidRPr="00C62754">
        <w:rPr>
          <w:kern w:val="22"/>
          <w:szCs w:val="22"/>
        </w:rPr>
        <w:t>ti</w:t>
      </w:r>
      <w:r w:rsidRPr="00E0113A">
        <w:rPr>
          <w:kern w:val="22"/>
          <w:szCs w:val="22"/>
        </w:rPr>
        <w:t>ative (</w:t>
      </w:r>
      <w:proofErr w:type="spellStart"/>
      <w:r w:rsidRPr="00E0113A">
        <w:rPr>
          <w:kern w:val="22"/>
          <w:szCs w:val="22"/>
        </w:rPr>
        <w:t>iBOL</w:t>
      </w:r>
      <w:proofErr w:type="spellEnd"/>
      <w:r w:rsidRPr="00E0113A">
        <w:rPr>
          <w:kern w:val="22"/>
          <w:szCs w:val="22"/>
        </w:rPr>
        <w:t>), the Group on Earth Observations Biodiversity Observation Network (GEO BON), the Digital Observatory for Protected Areas (DOPA), the Data and Reporting Tool (</w:t>
      </w:r>
      <w:proofErr w:type="spellStart"/>
      <w:r w:rsidRPr="00E0113A">
        <w:rPr>
          <w:kern w:val="22"/>
          <w:szCs w:val="22"/>
        </w:rPr>
        <w:t>DaRT</w:t>
      </w:r>
      <w:proofErr w:type="spellEnd"/>
      <w:r w:rsidRPr="00E0113A">
        <w:rPr>
          <w:kern w:val="22"/>
          <w:szCs w:val="22"/>
        </w:rPr>
        <w:t>), the Knowledge Hub of the United Nations Convention to Combat D</w:t>
      </w:r>
      <w:r w:rsidRPr="00615C3F">
        <w:rPr>
          <w:kern w:val="22"/>
          <w:szCs w:val="22"/>
        </w:rPr>
        <w:t>esertification and the UN</w:t>
      </w:r>
      <w:r w:rsidR="0074040E">
        <w:rPr>
          <w:kern w:val="22"/>
          <w:szCs w:val="22"/>
        </w:rPr>
        <w:t xml:space="preserve"> </w:t>
      </w:r>
      <w:r w:rsidR="00DB6A02">
        <w:rPr>
          <w:kern w:val="22"/>
          <w:szCs w:val="22"/>
        </w:rPr>
        <w:t>S</w:t>
      </w:r>
      <w:r w:rsidR="0074040E">
        <w:rPr>
          <w:kern w:val="22"/>
          <w:szCs w:val="22"/>
        </w:rPr>
        <w:t>tats</w:t>
      </w:r>
      <w:r w:rsidRPr="00DB6A02">
        <w:rPr>
          <w:kern w:val="22"/>
          <w:szCs w:val="22"/>
        </w:rPr>
        <w:t xml:space="preserve"> Open Sustainable Development Goals (SDG) Data Hub. These and other initiatives and institutions are described in information document CBD/SBI/3/INF/</w:t>
      </w:r>
      <w:r w:rsidR="00887122" w:rsidRPr="00DB6A02">
        <w:rPr>
          <w:kern w:val="22"/>
          <w:szCs w:val="22"/>
        </w:rPr>
        <w:t>13</w:t>
      </w:r>
      <w:r w:rsidRPr="0074040E">
        <w:rPr>
          <w:kern w:val="22"/>
          <w:szCs w:val="22"/>
        </w:rPr>
        <w:t>.</w:t>
      </w:r>
    </w:p>
    <w:p w14:paraId="779F9999" w14:textId="1BDC6AC2" w:rsidR="006A7231" w:rsidRPr="006023C7" w:rsidRDefault="00FB0041" w:rsidP="001F4589">
      <w:pPr>
        <w:pStyle w:val="Heading2"/>
        <w:numPr>
          <w:ilvl w:val="0"/>
          <w:numId w:val="6"/>
        </w:numPr>
        <w:suppressLineNumbers/>
        <w:tabs>
          <w:tab w:val="clear" w:pos="720"/>
        </w:tabs>
        <w:suppressAutoHyphens/>
        <w:ind w:left="714" w:hanging="357"/>
        <w:rPr>
          <w:kern w:val="22"/>
        </w:rPr>
      </w:pPr>
      <w:r w:rsidRPr="008C196B">
        <w:rPr>
          <w:kern w:val="22"/>
        </w:rPr>
        <w:t xml:space="preserve">Pillars of the </w:t>
      </w:r>
      <w:r w:rsidR="00362E93" w:rsidRPr="00C62754">
        <w:rPr>
          <w:kern w:val="22"/>
        </w:rPr>
        <w:t>k</w:t>
      </w:r>
      <w:r w:rsidRPr="00C62754">
        <w:rPr>
          <w:kern w:val="22"/>
        </w:rPr>
        <w:t xml:space="preserve">nowledge </w:t>
      </w:r>
      <w:r w:rsidR="00362E93" w:rsidRPr="00E0113A">
        <w:rPr>
          <w:kern w:val="22"/>
        </w:rPr>
        <w:t>m</w:t>
      </w:r>
      <w:r w:rsidRPr="00530448">
        <w:rPr>
          <w:kern w:val="22"/>
        </w:rPr>
        <w:t xml:space="preserve">anagement </w:t>
      </w:r>
      <w:r w:rsidR="00362E93" w:rsidRPr="00E85FC4">
        <w:rPr>
          <w:kern w:val="22"/>
        </w:rPr>
        <w:t>c</w:t>
      </w:r>
      <w:r w:rsidRPr="006023C7">
        <w:rPr>
          <w:kern w:val="22"/>
        </w:rPr>
        <w:t>omponent</w:t>
      </w:r>
    </w:p>
    <w:p w14:paraId="193A94EA" w14:textId="77777777" w:rsidR="00095274" w:rsidRPr="006023C7" w:rsidRDefault="00095274" w:rsidP="001F4589">
      <w:pPr>
        <w:pStyle w:val="Para1"/>
        <w:numPr>
          <w:ilvl w:val="0"/>
          <w:numId w:val="10"/>
        </w:numPr>
        <w:suppressLineNumbers/>
        <w:tabs>
          <w:tab w:val="clear" w:pos="360"/>
          <w:tab w:val="num" w:pos="720"/>
        </w:tabs>
        <w:suppressAutoHyphens/>
        <w:rPr>
          <w:kern w:val="22"/>
          <w:szCs w:val="22"/>
        </w:rPr>
      </w:pPr>
      <w:r w:rsidRPr="006023C7">
        <w:rPr>
          <w:kern w:val="22"/>
        </w:rPr>
        <w:t>The knowledge management component comprises four pillars:</w:t>
      </w:r>
    </w:p>
    <w:p w14:paraId="776F8C3A" w14:textId="362DB2C2" w:rsidR="00095274" w:rsidRPr="006023C7" w:rsidRDefault="00095274" w:rsidP="001F4589">
      <w:pPr>
        <w:pStyle w:val="Para1"/>
        <w:numPr>
          <w:ilvl w:val="1"/>
          <w:numId w:val="10"/>
        </w:numPr>
        <w:suppressLineNumbers/>
        <w:suppressAutoHyphens/>
        <w:rPr>
          <w:color w:val="000000" w:themeColor="text1"/>
          <w:kern w:val="22"/>
        </w:rPr>
      </w:pPr>
      <w:r w:rsidRPr="006023C7">
        <w:rPr>
          <w:rFonts w:eastAsia="Malgun Gothic"/>
          <w:i/>
          <w:iCs/>
          <w:kern w:val="22"/>
        </w:rPr>
        <w:t>People</w:t>
      </w:r>
      <w:r w:rsidRPr="006023C7">
        <w:rPr>
          <w:rFonts w:eastAsia="Malgun Gothic"/>
          <w:kern w:val="22"/>
        </w:rPr>
        <w:t>:  This includes various actors (creators, custodians, managers, curators and users of biodiversity knowledge), who are the foundation of the knowledge management component. Their roles, responsibilities and expectations need to be clarified.</w:t>
      </w:r>
      <w:r w:rsidRPr="006023C7">
        <w:rPr>
          <w:color w:val="000000" w:themeColor="text1"/>
          <w:kern w:val="22"/>
        </w:rPr>
        <w:t xml:space="preserve"> It is also important to promote and nurture a culture of knowledge sharing and to recognize and reward knowledge champions</w:t>
      </w:r>
      <w:r w:rsidR="00F96840" w:rsidRPr="006023C7">
        <w:rPr>
          <w:color w:val="000000" w:themeColor="text1"/>
          <w:kern w:val="22"/>
        </w:rPr>
        <w:t>;</w:t>
      </w:r>
    </w:p>
    <w:p w14:paraId="0D638841" w14:textId="122F8AA1" w:rsidR="00095274" w:rsidRPr="006023C7" w:rsidRDefault="00095274" w:rsidP="001F4589">
      <w:pPr>
        <w:pStyle w:val="Para1"/>
        <w:numPr>
          <w:ilvl w:val="1"/>
          <w:numId w:val="10"/>
        </w:numPr>
        <w:suppressLineNumbers/>
        <w:suppressAutoHyphens/>
        <w:rPr>
          <w:color w:val="000000" w:themeColor="text1"/>
          <w:kern w:val="22"/>
        </w:rPr>
      </w:pPr>
      <w:r w:rsidRPr="006023C7">
        <w:rPr>
          <w:i/>
          <w:iCs/>
          <w:color w:val="000000" w:themeColor="text1"/>
          <w:kern w:val="22"/>
        </w:rPr>
        <w:t>Processes</w:t>
      </w:r>
      <w:r w:rsidRPr="006023C7">
        <w:rPr>
          <w:color w:val="000000" w:themeColor="text1"/>
          <w:kern w:val="22"/>
        </w:rPr>
        <w:t>: This includes the processes, procedures and policies guiding knowledge generation, capture, management, sharing and utilization. This also entails vision, leadership and oversight, alignment of knowledge management with goals and provision of the required resources</w:t>
      </w:r>
      <w:r w:rsidR="00F96840" w:rsidRPr="006023C7">
        <w:rPr>
          <w:color w:val="000000" w:themeColor="text1"/>
          <w:kern w:val="22"/>
        </w:rPr>
        <w:t>;</w:t>
      </w:r>
    </w:p>
    <w:p w14:paraId="3E6EF0C4" w14:textId="44E60746" w:rsidR="00095274" w:rsidRPr="002A694F" w:rsidRDefault="00095274" w:rsidP="001F4589">
      <w:pPr>
        <w:pStyle w:val="Para1"/>
        <w:numPr>
          <w:ilvl w:val="1"/>
          <w:numId w:val="10"/>
        </w:numPr>
        <w:suppressLineNumbers/>
        <w:suppressAutoHyphens/>
        <w:rPr>
          <w:color w:val="000000" w:themeColor="text1"/>
          <w:kern w:val="22"/>
        </w:rPr>
      </w:pPr>
      <w:r w:rsidRPr="006023C7">
        <w:rPr>
          <w:i/>
          <w:iCs/>
          <w:color w:val="000000" w:themeColor="text1"/>
          <w:kern w:val="22"/>
        </w:rPr>
        <w:t>Technology</w:t>
      </w:r>
      <w:r w:rsidRPr="006023C7">
        <w:rPr>
          <w:color w:val="000000" w:themeColor="text1"/>
          <w:kern w:val="22"/>
        </w:rPr>
        <w:t xml:space="preserve">: Technology plays a key role in delivering and supporting </w:t>
      </w:r>
      <w:r w:rsidR="00920FDC" w:rsidRPr="006023C7">
        <w:rPr>
          <w:kern w:val="22"/>
          <w:szCs w:val="22"/>
        </w:rPr>
        <w:t>k</w:t>
      </w:r>
      <w:r w:rsidRPr="006023C7">
        <w:rPr>
          <w:kern w:val="22"/>
          <w:szCs w:val="22"/>
        </w:rPr>
        <w:t xml:space="preserve">nowledge </w:t>
      </w:r>
      <w:r w:rsidR="00920FDC" w:rsidRPr="006023C7">
        <w:rPr>
          <w:kern w:val="22"/>
          <w:szCs w:val="22"/>
        </w:rPr>
        <w:t>m</w:t>
      </w:r>
      <w:r w:rsidRPr="006023C7">
        <w:rPr>
          <w:kern w:val="22"/>
          <w:szCs w:val="22"/>
        </w:rPr>
        <w:t>anagement</w:t>
      </w:r>
      <w:r w:rsidRPr="006023C7" w:rsidDel="007D5491">
        <w:rPr>
          <w:kern w:val="22"/>
        </w:rPr>
        <w:t xml:space="preserve"> </w:t>
      </w:r>
      <w:r w:rsidRPr="006023C7">
        <w:rPr>
          <w:color w:val="000000" w:themeColor="text1"/>
          <w:kern w:val="22"/>
        </w:rPr>
        <w:t>services. This includes technological tools, systems</w:t>
      </w:r>
      <w:r w:rsidRPr="006023C7">
        <w:rPr>
          <w:color w:val="000000" w:themeColor="text1"/>
          <w:kern w:val="22"/>
          <w:vertAlign w:val="superscript"/>
        </w:rPr>
        <w:footnoteReference w:id="13"/>
      </w:r>
      <w:r w:rsidRPr="006023C7">
        <w:rPr>
          <w:color w:val="000000" w:themeColor="text1"/>
          <w:kern w:val="22"/>
        </w:rPr>
        <w:t xml:space="preserve"> and platforms that enable relevant actors (the people) to collect, analyse, organi</w:t>
      </w:r>
      <w:r w:rsidR="00920FDC" w:rsidRPr="00185E4B">
        <w:rPr>
          <w:color w:val="000000" w:themeColor="text1"/>
          <w:kern w:val="22"/>
        </w:rPr>
        <w:t>z</w:t>
      </w:r>
      <w:r w:rsidRPr="00185E4B">
        <w:rPr>
          <w:color w:val="000000" w:themeColor="text1"/>
          <w:kern w:val="22"/>
        </w:rPr>
        <w:t>e, store, retrieve and share knowledge related to biodiversity;</w:t>
      </w:r>
    </w:p>
    <w:p w14:paraId="41177029" w14:textId="0CCC938E" w:rsidR="00095274" w:rsidRPr="008A3F7A" w:rsidRDefault="00095274" w:rsidP="001F4589">
      <w:pPr>
        <w:pStyle w:val="Para1"/>
        <w:numPr>
          <w:ilvl w:val="1"/>
          <w:numId w:val="10"/>
        </w:numPr>
        <w:suppressLineNumbers/>
        <w:suppressAutoHyphens/>
        <w:rPr>
          <w:color w:val="000000"/>
          <w:kern w:val="22"/>
        </w:rPr>
      </w:pPr>
      <w:r w:rsidRPr="00135207">
        <w:rPr>
          <w:i/>
          <w:iCs/>
          <w:color w:val="000000" w:themeColor="text1"/>
          <w:kern w:val="22"/>
        </w:rPr>
        <w:lastRenderedPageBreak/>
        <w:t>Content</w:t>
      </w:r>
      <w:r w:rsidRPr="002C5308">
        <w:rPr>
          <w:color w:val="000000" w:themeColor="text1"/>
          <w:kern w:val="22"/>
        </w:rPr>
        <w:t>: This entails the</w:t>
      </w:r>
      <w:r w:rsidRPr="002C5308">
        <w:rPr>
          <w:rFonts w:eastAsia="Malgun Gothic"/>
          <w:kern w:val="22"/>
        </w:rPr>
        <w:t xml:space="preserve"> scope of</w:t>
      </w:r>
      <w:r w:rsidRPr="00814392">
        <w:rPr>
          <w:rFonts w:eastAsia="Malgun Gothic"/>
          <w:kern w:val="22"/>
        </w:rPr>
        <w:t xml:space="preserve"> the biodiversity knowledge content and how it is managed </w:t>
      </w:r>
      <w:r w:rsidR="008A3F7A">
        <w:rPr>
          <w:rFonts w:eastAsia="Malgun Gothic"/>
          <w:kern w:val="22"/>
        </w:rPr>
        <w:t>—</w:t>
      </w:r>
      <w:r w:rsidRPr="00814392">
        <w:rPr>
          <w:rFonts w:eastAsia="Malgun Gothic"/>
          <w:kern w:val="22"/>
        </w:rPr>
        <w:t xml:space="preserve"> the taxonomy and metadata, the tools and templates, and the analysis and validation (for quality assurance), the cataloguing, tagging and indexing, digitization and organization of the information</w:t>
      </w:r>
      <w:r w:rsidRPr="00AA35F8">
        <w:rPr>
          <w:rFonts w:eastAsia="Malgun Gothic"/>
          <w:kern w:val="22"/>
        </w:rPr>
        <w:t xml:space="preserve"> and knowledge resources to facilitate easy search and retrieval</w:t>
      </w:r>
      <w:r w:rsidRPr="006702BD">
        <w:rPr>
          <w:color w:val="000000" w:themeColor="text1"/>
          <w:kern w:val="22"/>
        </w:rPr>
        <w:t>.</w:t>
      </w:r>
    </w:p>
    <w:p w14:paraId="3E938F65" w14:textId="1F456044" w:rsidR="001C7F0C" w:rsidRPr="006023C7" w:rsidRDefault="00B7317B" w:rsidP="001F4589">
      <w:pPr>
        <w:pStyle w:val="Para1"/>
        <w:numPr>
          <w:ilvl w:val="0"/>
          <w:numId w:val="10"/>
        </w:numPr>
        <w:suppressLineNumbers/>
        <w:tabs>
          <w:tab w:val="clear" w:pos="360"/>
        </w:tabs>
        <w:suppressAutoHyphens/>
        <w:rPr>
          <w:kern w:val="22"/>
          <w:szCs w:val="22"/>
        </w:rPr>
      </w:pPr>
      <w:r w:rsidRPr="008C196B">
        <w:rPr>
          <w:kern w:val="22"/>
        </w:rPr>
        <w:t xml:space="preserve">The above four pillars are interdependent and need to be addressed in a balanced and complementary manner. Knowledge management </w:t>
      </w:r>
      <w:r w:rsidR="001529C1">
        <w:rPr>
          <w:kern w:val="22"/>
        </w:rPr>
        <w:t>will</w:t>
      </w:r>
      <w:r w:rsidR="001529C1" w:rsidRPr="008C196B">
        <w:rPr>
          <w:kern w:val="22"/>
        </w:rPr>
        <w:t xml:space="preserve"> </w:t>
      </w:r>
      <w:r w:rsidRPr="008C196B">
        <w:rPr>
          <w:kern w:val="22"/>
        </w:rPr>
        <w:t>not be effective if only the technology aspects are add</w:t>
      </w:r>
      <w:r w:rsidRPr="001529C1">
        <w:rPr>
          <w:kern w:val="22"/>
        </w:rPr>
        <w:t xml:space="preserve">ressed and not the process and people-related aspects. The knowledge management component will be closely linked to biodiversity monitoring information systems and the </w:t>
      </w:r>
      <w:r w:rsidRPr="00C62754">
        <w:rPr>
          <w:kern w:val="22"/>
          <w:szCs w:val="22"/>
        </w:rPr>
        <w:t>enhanced planning, reporting and review mechanism</w:t>
      </w:r>
      <w:r w:rsidRPr="00C62754">
        <w:rPr>
          <w:kern w:val="22"/>
        </w:rPr>
        <w:t xml:space="preserve"> of the post-2020 global biodiversity f</w:t>
      </w:r>
      <w:r w:rsidRPr="006023C7">
        <w:rPr>
          <w:kern w:val="22"/>
        </w:rPr>
        <w:t>ramework to facilitate the achievement of the targets. It will also promote a whole system approach, including raw data, such as satellite data and citizen science, processed and geospatial data, such as land cover maps, the algorithms needed to process data, indicator data, analysis and predictive analytics and insights, and publications</w:t>
      </w:r>
      <w:bookmarkStart w:id="6" w:name="_Toc39228079"/>
      <w:r w:rsidR="00D36849" w:rsidRPr="006023C7">
        <w:rPr>
          <w:kern w:val="22"/>
          <w:szCs w:val="22"/>
        </w:rPr>
        <w:t>.</w:t>
      </w:r>
    </w:p>
    <w:p w14:paraId="297E6F2A" w14:textId="5C2A30D8" w:rsidR="00964A8F" w:rsidRPr="00615C3F" w:rsidRDefault="00C77CE9" w:rsidP="001F4589">
      <w:pPr>
        <w:pStyle w:val="Heading1"/>
        <w:suppressLineNumbers/>
        <w:tabs>
          <w:tab w:val="clear" w:pos="720"/>
          <w:tab w:val="left" w:pos="426"/>
        </w:tabs>
        <w:suppressAutoHyphens/>
        <w:spacing w:before="120"/>
        <w:rPr>
          <w:rFonts w:ascii="Times New Roman Bold" w:hAnsi="Times New Roman Bold"/>
          <w:bCs/>
          <w:caps w:val="0"/>
          <w:kern w:val="22"/>
        </w:rPr>
      </w:pPr>
      <w:bookmarkStart w:id="7" w:name="_Toc39228081"/>
      <w:bookmarkStart w:id="8" w:name="_Hlk52838994"/>
      <w:bookmarkEnd w:id="5"/>
      <w:bookmarkEnd w:id="6"/>
      <w:r w:rsidRPr="00252793">
        <w:rPr>
          <w:rFonts w:ascii="Times New Roman Bold" w:hAnsi="Times New Roman Bold"/>
          <w:bCs/>
          <w:caps w:val="0"/>
          <w:kern w:val="22"/>
        </w:rPr>
        <w:t>II.</w:t>
      </w:r>
      <w:bookmarkEnd w:id="7"/>
      <w:r w:rsidRPr="00252793">
        <w:rPr>
          <w:rFonts w:ascii="Times New Roman Bold" w:hAnsi="Times New Roman Bold"/>
          <w:bCs/>
          <w:caps w:val="0"/>
          <w:kern w:val="22"/>
        </w:rPr>
        <w:tab/>
        <w:t>OBJECTIVES AND EXPECTED OUTCOME</w:t>
      </w:r>
      <w:r w:rsidRPr="00252793">
        <w:rPr>
          <w:rFonts w:ascii="Times New Roman Bold" w:hAnsi="Times New Roman Bold"/>
          <w:caps w:val="0"/>
          <w:kern w:val="22"/>
        </w:rPr>
        <w:t>S</w:t>
      </w:r>
    </w:p>
    <w:bookmarkEnd w:id="8"/>
    <w:p w14:paraId="37956ADA" w14:textId="6E69B146" w:rsidR="00CF782F" w:rsidRPr="006023C7" w:rsidRDefault="000546B2" w:rsidP="001F4589">
      <w:pPr>
        <w:pStyle w:val="Para1"/>
        <w:numPr>
          <w:ilvl w:val="0"/>
          <w:numId w:val="10"/>
        </w:numPr>
        <w:suppressLineNumbers/>
        <w:tabs>
          <w:tab w:val="clear" w:pos="360"/>
          <w:tab w:val="num" w:pos="720"/>
        </w:tabs>
        <w:suppressAutoHyphens/>
        <w:rPr>
          <w:kern w:val="22"/>
          <w:szCs w:val="22"/>
        </w:rPr>
      </w:pPr>
      <w:r w:rsidRPr="006023C7">
        <w:rPr>
          <w:kern w:val="22"/>
          <w:szCs w:val="22"/>
        </w:rPr>
        <w:t xml:space="preserve">This </w:t>
      </w:r>
      <w:r w:rsidR="005375A4" w:rsidRPr="006023C7">
        <w:rPr>
          <w:kern w:val="22"/>
          <w:szCs w:val="22"/>
        </w:rPr>
        <w:t>k</w:t>
      </w:r>
      <w:r w:rsidRPr="006023C7">
        <w:rPr>
          <w:kern w:val="22"/>
          <w:szCs w:val="22"/>
        </w:rPr>
        <w:t xml:space="preserve">nowledge </w:t>
      </w:r>
      <w:r w:rsidR="005375A4" w:rsidRPr="006023C7">
        <w:rPr>
          <w:kern w:val="22"/>
          <w:szCs w:val="22"/>
        </w:rPr>
        <w:t>m</w:t>
      </w:r>
      <w:r w:rsidRPr="006023C7">
        <w:rPr>
          <w:kern w:val="22"/>
          <w:szCs w:val="22"/>
        </w:rPr>
        <w:t xml:space="preserve">anagement component is intended to guide knowledge management by the biodiversity community in support of the post-2020 global biodiversity framework. The proposed actions will be implemented and coordinated, as appropriate, by </w:t>
      </w:r>
      <w:r w:rsidRPr="006023C7">
        <w:rPr>
          <w:kern w:val="22"/>
        </w:rPr>
        <w:t>government and non-government actors</w:t>
      </w:r>
      <w:r w:rsidRPr="006023C7">
        <w:rPr>
          <w:kern w:val="22"/>
          <w:szCs w:val="22"/>
        </w:rPr>
        <w:t>, including Parties to the biodiversity-related conventions and processes, the Convention secretariats, partner organizations and other stakeholders. The component seeks to enhance the sharing of data, information and knowledge across biodiversity-related conventions and organizations.</w:t>
      </w:r>
    </w:p>
    <w:p w14:paraId="7E5AAAE2" w14:textId="4D814A72" w:rsidR="005E55C2" w:rsidRPr="0023314C" w:rsidRDefault="000546B2" w:rsidP="001F4589">
      <w:pPr>
        <w:pStyle w:val="Para1"/>
        <w:numPr>
          <w:ilvl w:val="0"/>
          <w:numId w:val="10"/>
        </w:numPr>
        <w:suppressLineNumbers/>
        <w:tabs>
          <w:tab w:val="clear" w:pos="360"/>
          <w:tab w:val="num" w:pos="720"/>
        </w:tabs>
        <w:suppressAutoHyphens/>
        <w:rPr>
          <w:kern w:val="22"/>
          <w:szCs w:val="22"/>
        </w:rPr>
      </w:pPr>
      <w:r w:rsidRPr="006023C7">
        <w:rPr>
          <w:kern w:val="22"/>
        </w:rPr>
        <w:t>The</w:t>
      </w:r>
      <w:r w:rsidRPr="006023C7">
        <w:rPr>
          <w:rFonts w:eastAsia="Malgun Gothic"/>
          <w:kern w:val="22"/>
        </w:rPr>
        <w:t xml:space="preserve"> overall goal is to facilitate and support effective implementation of the post-2020 global biodiversity framework through enhancing the generation, collection, organization, sharing and utili</w:t>
      </w:r>
      <w:r w:rsidR="00DE18E4" w:rsidRPr="006023C7">
        <w:rPr>
          <w:rFonts w:eastAsia="Malgun Gothic"/>
          <w:kern w:val="22"/>
        </w:rPr>
        <w:t>z</w:t>
      </w:r>
      <w:r w:rsidRPr="006023C7">
        <w:rPr>
          <w:rFonts w:eastAsia="Malgun Gothic"/>
          <w:kern w:val="22"/>
        </w:rPr>
        <w:t xml:space="preserve">ation of relevant data, information and knowledge by the global community. </w:t>
      </w:r>
      <w:r w:rsidRPr="006023C7">
        <w:rPr>
          <w:kern w:val="22"/>
        </w:rPr>
        <w:t>This would require building a culture of knowledge sharing and fostering collaborative networks and online communities of practice. It would also require analysing, sharing and leveraging experiences and lessons learned from various biodiversity knowledge management initiatives. In addition, national planning and the monitoring of national plans and commitments is essential for identifying where action is needed. The knowledge management component should directly contribute to the monitoring of the post-2020 global biodiversity framework and ensure that data and indictors are at the centr</w:t>
      </w:r>
      <w:r w:rsidR="00432855">
        <w:rPr>
          <w:kern w:val="22"/>
        </w:rPr>
        <w:t>e</w:t>
      </w:r>
      <w:r w:rsidRPr="00432855">
        <w:rPr>
          <w:kern w:val="22"/>
        </w:rPr>
        <w:t xml:space="preserve"> of national reporting.</w:t>
      </w:r>
    </w:p>
    <w:p w14:paraId="775A89D3" w14:textId="640A4468" w:rsidR="005E55C2" w:rsidRPr="006023C7" w:rsidRDefault="00FA5508" w:rsidP="001F4589">
      <w:pPr>
        <w:pStyle w:val="Heading2"/>
        <w:numPr>
          <w:ilvl w:val="0"/>
          <w:numId w:val="7"/>
        </w:numPr>
        <w:suppressLineNumbers/>
        <w:tabs>
          <w:tab w:val="clear" w:pos="720"/>
        </w:tabs>
        <w:suppressAutoHyphens/>
        <w:ind w:left="714" w:hanging="357"/>
        <w:rPr>
          <w:kern w:val="22"/>
        </w:rPr>
      </w:pPr>
      <w:r w:rsidRPr="006023C7">
        <w:rPr>
          <w:kern w:val="22"/>
        </w:rPr>
        <w:t>Specific objectives</w:t>
      </w:r>
    </w:p>
    <w:p w14:paraId="0B81D282" w14:textId="6ACC19D3" w:rsidR="006164D8" w:rsidRPr="00C62754" w:rsidRDefault="006164D8" w:rsidP="001F4589">
      <w:pPr>
        <w:pStyle w:val="Para1"/>
        <w:numPr>
          <w:ilvl w:val="0"/>
          <w:numId w:val="10"/>
        </w:numPr>
        <w:suppressLineNumbers/>
        <w:tabs>
          <w:tab w:val="clear" w:pos="360"/>
          <w:tab w:val="num" w:pos="720"/>
        </w:tabs>
        <w:suppressAutoHyphens/>
        <w:rPr>
          <w:kern w:val="22"/>
        </w:rPr>
      </w:pPr>
      <w:r w:rsidRPr="006023C7">
        <w:rPr>
          <w:kern w:val="22"/>
          <w:szCs w:val="22"/>
        </w:rPr>
        <w:t>The</w:t>
      </w:r>
      <w:r w:rsidRPr="006023C7">
        <w:rPr>
          <w:kern w:val="22"/>
        </w:rPr>
        <w:t xml:space="preserve"> specific objectives of the </w:t>
      </w:r>
      <w:r w:rsidR="009F1444">
        <w:rPr>
          <w:kern w:val="22"/>
        </w:rPr>
        <w:t>k</w:t>
      </w:r>
      <w:r w:rsidRPr="009F1444">
        <w:rPr>
          <w:kern w:val="22"/>
        </w:rPr>
        <w:t xml:space="preserve">nowledge </w:t>
      </w:r>
      <w:r w:rsidR="009F1444">
        <w:rPr>
          <w:kern w:val="22"/>
        </w:rPr>
        <w:t>m</w:t>
      </w:r>
      <w:r w:rsidRPr="0023314C">
        <w:rPr>
          <w:kern w:val="22"/>
        </w:rPr>
        <w:t>anagement component are to enab</w:t>
      </w:r>
      <w:r w:rsidRPr="00E97017">
        <w:rPr>
          <w:kern w:val="22"/>
        </w:rPr>
        <w:t>le government and non-government actors to have easy and timely access to quality data, information and knowledge to do their work and also enable the biodiversity information providers to collaborate, share and harness the information together across vari</w:t>
      </w:r>
      <w:r w:rsidRPr="00C62754">
        <w:rPr>
          <w:kern w:val="22"/>
        </w:rPr>
        <w:t>ous platforms, treaties and related processes by:</w:t>
      </w:r>
    </w:p>
    <w:p w14:paraId="0E75799B" w14:textId="32AE8B06"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C62754">
        <w:rPr>
          <w:kern w:val="22"/>
          <w:lang w:val="en-GB"/>
        </w:rPr>
        <w:t>Creating enabling environments and mechanisms for improved generation, management, sharing and utili</w:t>
      </w:r>
      <w:r w:rsidR="003A319E" w:rsidRPr="006023C7">
        <w:rPr>
          <w:kern w:val="22"/>
          <w:lang w:val="en-GB"/>
        </w:rPr>
        <w:t>z</w:t>
      </w:r>
      <w:r w:rsidRPr="006023C7">
        <w:rPr>
          <w:kern w:val="22"/>
          <w:lang w:val="en-GB"/>
        </w:rPr>
        <w:t>ation of biodiversity-related data, information and knowledge;</w:t>
      </w:r>
    </w:p>
    <w:p w14:paraId="4BC6E183" w14:textId="77777777"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6023C7">
        <w:rPr>
          <w:kern w:val="22"/>
          <w:lang w:val="en-GB"/>
        </w:rPr>
        <w:t>Leveraging existing relevant biodiversity knowledge management systems, initiatives and networks through coordinated and collaborative multi-stakeholder processes;</w:t>
      </w:r>
    </w:p>
    <w:p w14:paraId="27C62CE4" w14:textId="77777777"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6023C7">
        <w:rPr>
          <w:kern w:val="22"/>
          <w:lang w:val="en-GB"/>
        </w:rPr>
        <w:t>Improving discoverability and accessibility of biodiversity-related data, information and knowledge across multiple sources;</w:t>
      </w:r>
    </w:p>
    <w:p w14:paraId="78B4F98C" w14:textId="6D182311"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6023C7">
        <w:rPr>
          <w:kern w:val="22"/>
          <w:lang w:val="en-GB"/>
        </w:rPr>
        <w:t>Encouraging and enabling relevant stakeholders to participate in biodiversity knowledge</w:t>
      </w:r>
      <w:r w:rsidR="00EC4105" w:rsidRPr="006023C7">
        <w:rPr>
          <w:kern w:val="22"/>
          <w:lang w:val="en-GB"/>
        </w:rPr>
        <w:noBreakHyphen/>
      </w:r>
      <w:r w:rsidRPr="006023C7">
        <w:rPr>
          <w:kern w:val="22"/>
          <w:lang w:val="en-GB"/>
        </w:rPr>
        <w:t>sharing processes and networks;</w:t>
      </w:r>
    </w:p>
    <w:p w14:paraId="51D65E14" w14:textId="520644BA"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6023C7">
        <w:rPr>
          <w:kern w:val="22"/>
          <w:lang w:val="en-GB"/>
        </w:rPr>
        <w:t>Strengthening the capacities of relevant stakeholders to access and utili</w:t>
      </w:r>
      <w:r w:rsidR="00EC4105" w:rsidRPr="006023C7">
        <w:rPr>
          <w:kern w:val="22"/>
          <w:lang w:val="en-GB"/>
        </w:rPr>
        <w:t>z</w:t>
      </w:r>
      <w:r w:rsidRPr="006023C7">
        <w:rPr>
          <w:kern w:val="22"/>
          <w:lang w:val="en-GB"/>
        </w:rPr>
        <w:t>e existing biodiversity-related data, information and knowledge at the national, regional and international levels;</w:t>
      </w:r>
    </w:p>
    <w:p w14:paraId="27E40699" w14:textId="77777777"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6023C7">
        <w:rPr>
          <w:kern w:val="22"/>
          <w:lang w:val="en-GB"/>
        </w:rPr>
        <w:t>Facilitating monitoring and assessment;</w:t>
      </w:r>
    </w:p>
    <w:p w14:paraId="71DDF38C" w14:textId="3307B1E8" w:rsidR="006164D8" w:rsidRPr="006023C7" w:rsidRDefault="006164D8" w:rsidP="00615C3F">
      <w:pPr>
        <w:pStyle w:val="CBD-Para-a"/>
        <w:keepLines w:val="0"/>
        <w:suppressLineNumbers/>
        <w:tabs>
          <w:tab w:val="clear" w:pos="360"/>
          <w:tab w:val="num" w:pos="1276"/>
        </w:tabs>
        <w:suppressAutoHyphens/>
        <w:ind w:firstLine="720"/>
        <w:rPr>
          <w:kern w:val="22"/>
          <w:lang w:val="en-GB"/>
        </w:rPr>
      </w:pPr>
      <w:r w:rsidRPr="006023C7">
        <w:rPr>
          <w:kern w:val="22"/>
          <w:lang w:val="en-GB"/>
        </w:rPr>
        <w:t>Promoting national and global data sharing and dialogues, as well open data, open metadata and quality assurance;</w:t>
      </w:r>
    </w:p>
    <w:p w14:paraId="6AD52523" w14:textId="4940EDAB" w:rsidR="006164D8" w:rsidRPr="006023C7" w:rsidRDefault="006164D8" w:rsidP="001F4589">
      <w:pPr>
        <w:pStyle w:val="CBD-Para-a"/>
        <w:keepLines w:val="0"/>
        <w:tabs>
          <w:tab w:val="clear" w:pos="360"/>
          <w:tab w:val="num" w:pos="1276"/>
        </w:tabs>
        <w:ind w:firstLine="720"/>
        <w:rPr>
          <w:kern w:val="22"/>
          <w:lang w:val="en-GB"/>
        </w:rPr>
      </w:pPr>
      <w:r w:rsidRPr="006023C7">
        <w:rPr>
          <w:kern w:val="22"/>
          <w:lang w:val="en-GB"/>
        </w:rPr>
        <w:lastRenderedPageBreak/>
        <w:t xml:space="preserve">Enhancing synergies among biodiversity-related </w:t>
      </w:r>
      <w:r w:rsidR="006B59D8" w:rsidRPr="006023C7">
        <w:rPr>
          <w:kern w:val="22"/>
          <w:lang w:val="en-GB"/>
        </w:rPr>
        <w:t>c</w:t>
      </w:r>
      <w:r w:rsidRPr="006023C7">
        <w:rPr>
          <w:kern w:val="22"/>
          <w:lang w:val="en-GB"/>
        </w:rPr>
        <w:t>onventions to facilitate more coordinated national reporting.</w:t>
      </w:r>
    </w:p>
    <w:p w14:paraId="0DFEA37C" w14:textId="5AEA9189" w:rsidR="006164D8" w:rsidRPr="00615C3F" w:rsidRDefault="006164D8" w:rsidP="001F4589">
      <w:pPr>
        <w:pStyle w:val="Para1"/>
        <w:numPr>
          <w:ilvl w:val="0"/>
          <w:numId w:val="10"/>
        </w:numPr>
        <w:suppressLineNumbers/>
        <w:tabs>
          <w:tab w:val="clear" w:pos="360"/>
          <w:tab w:val="num" w:pos="720"/>
        </w:tabs>
        <w:suppressAutoHyphens/>
        <w:rPr>
          <w:b/>
          <w:bCs/>
          <w:iCs/>
          <w:snapToGrid/>
          <w:kern w:val="22"/>
          <w:szCs w:val="24"/>
        </w:rPr>
      </w:pPr>
      <w:r w:rsidRPr="00E97017">
        <w:rPr>
          <w:kern w:val="22"/>
          <w:szCs w:val="22"/>
        </w:rPr>
        <w:t>These</w:t>
      </w:r>
      <w:r w:rsidRPr="00615C3F">
        <w:rPr>
          <w:kern w:val="22"/>
          <w:szCs w:val="22"/>
        </w:rPr>
        <w:t xml:space="preserve"> objectives are complementary to those set out in the long-term strategic framework for capacity development</w:t>
      </w:r>
      <w:r w:rsidR="000959C9" w:rsidRPr="00615C3F">
        <w:rPr>
          <w:kern w:val="22"/>
          <w:szCs w:val="22"/>
        </w:rPr>
        <w:t xml:space="preserve"> (</w:t>
      </w:r>
      <w:r w:rsidR="00C442FB" w:rsidRPr="00615C3F">
        <w:rPr>
          <w:kern w:val="22"/>
          <w:szCs w:val="22"/>
        </w:rPr>
        <w:t>CBD/SBI/3/7/Add.1</w:t>
      </w:r>
      <w:r w:rsidR="00E31FB5" w:rsidRPr="00615C3F">
        <w:rPr>
          <w:kern w:val="22"/>
          <w:szCs w:val="22"/>
        </w:rPr>
        <w:t>)</w:t>
      </w:r>
      <w:r w:rsidR="00463687" w:rsidRPr="00615C3F">
        <w:rPr>
          <w:kern w:val="22"/>
          <w:szCs w:val="22"/>
        </w:rPr>
        <w:t xml:space="preserve">, </w:t>
      </w:r>
      <w:r w:rsidRPr="00615C3F">
        <w:rPr>
          <w:kern w:val="22"/>
          <w:szCs w:val="22"/>
        </w:rPr>
        <w:t>the proposals for enhancing technical and scientific cooperation</w:t>
      </w:r>
      <w:r w:rsidR="008A1F0C" w:rsidRPr="00615C3F">
        <w:rPr>
          <w:kern w:val="22"/>
          <w:szCs w:val="22"/>
        </w:rPr>
        <w:t xml:space="preserve"> (CBD/SBI/3/7/Add.2)</w:t>
      </w:r>
      <w:r w:rsidR="00463687" w:rsidRPr="00615C3F">
        <w:rPr>
          <w:kern w:val="22"/>
          <w:szCs w:val="22"/>
        </w:rPr>
        <w:t xml:space="preserve"> and </w:t>
      </w:r>
      <w:r w:rsidR="002563A8" w:rsidRPr="00615C3F">
        <w:rPr>
          <w:kern w:val="22"/>
          <w:szCs w:val="22"/>
        </w:rPr>
        <w:t xml:space="preserve">proposals for </w:t>
      </w:r>
      <w:r w:rsidR="00DB2AC2" w:rsidRPr="00615C3F">
        <w:rPr>
          <w:kern w:val="22"/>
          <w:szCs w:val="22"/>
        </w:rPr>
        <w:t xml:space="preserve">an </w:t>
      </w:r>
      <w:r w:rsidR="001E3221" w:rsidRPr="00E97017">
        <w:rPr>
          <w:kern w:val="22"/>
          <w:szCs w:val="22"/>
        </w:rPr>
        <w:t>enhanced planning, reporting and review mechanism</w:t>
      </w:r>
      <w:r w:rsidR="001E3221" w:rsidRPr="00615C3F">
        <w:rPr>
          <w:kern w:val="22"/>
          <w:szCs w:val="22"/>
        </w:rPr>
        <w:t xml:space="preserve"> of the post-2020 global biodiversity framework (</w:t>
      </w:r>
      <w:r w:rsidR="00726FC2" w:rsidRPr="00615C3F">
        <w:rPr>
          <w:kern w:val="22"/>
          <w:szCs w:val="22"/>
        </w:rPr>
        <w:t>CBD/SBI/3/</w:t>
      </w:r>
      <w:r w:rsidR="002563A8" w:rsidRPr="00615C3F">
        <w:rPr>
          <w:kern w:val="22"/>
          <w:szCs w:val="22"/>
        </w:rPr>
        <w:t>11</w:t>
      </w:r>
      <w:r w:rsidR="00726FC2" w:rsidRPr="00615C3F">
        <w:rPr>
          <w:kern w:val="22"/>
          <w:szCs w:val="22"/>
        </w:rPr>
        <w:t>)</w:t>
      </w:r>
      <w:r w:rsidRPr="00615C3F">
        <w:rPr>
          <w:kern w:val="22"/>
          <w:szCs w:val="22"/>
        </w:rPr>
        <w:t>.</w:t>
      </w:r>
    </w:p>
    <w:p w14:paraId="7CD27195" w14:textId="77777777" w:rsidR="006164D8" w:rsidRPr="006023C7" w:rsidRDefault="006164D8" w:rsidP="001F4589">
      <w:pPr>
        <w:pStyle w:val="Heading2"/>
        <w:numPr>
          <w:ilvl w:val="0"/>
          <w:numId w:val="7"/>
        </w:numPr>
        <w:suppressLineNumbers/>
        <w:tabs>
          <w:tab w:val="clear" w:pos="720"/>
        </w:tabs>
        <w:suppressAutoHyphens/>
        <w:ind w:left="714" w:hanging="357"/>
        <w:rPr>
          <w:kern w:val="22"/>
        </w:rPr>
      </w:pPr>
      <w:r w:rsidRPr="006023C7">
        <w:rPr>
          <w:kern w:val="22"/>
        </w:rPr>
        <w:t>Expected outcomes and milestones</w:t>
      </w:r>
    </w:p>
    <w:p w14:paraId="305C6168" w14:textId="48E2C872" w:rsidR="006164D8" w:rsidRPr="006023C7" w:rsidRDefault="006164D8" w:rsidP="001F4589">
      <w:pPr>
        <w:pStyle w:val="Para1"/>
        <w:numPr>
          <w:ilvl w:val="0"/>
          <w:numId w:val="10"/>
        </w:numPr>
        <w:suppressLineNumbers/>
        <w:tabs>
          <w:tab w:val="clear" w:pos="360"/>
          <w:tab w:val="num" w:pos="720"/>
        </w:tabs>
        <w:suppressAutoHyphens/>
        <w:rPr>
          <w:kern w:val="22"/>
        </w:rPr>
      </w:pPr>
      <w:r w:rsidRPr="006023C7">
        <w:rPr>
          <w:kern w:val="22"/>
        </w:rPr>
        <w:t xml:space="preserve">The </w:t>
      </w:r>
      <w:r w:rsidRPr="006023C7">
        <w:rPr>
          <w:kern w:val="22"/>
          <w:szCs w:val="22"/>
        </w:rPr>
        <w:t>implementation</w:t>
      </w:r>
      <w:r w:rsidRPr="006023C7">
        <w:rPr>
          <w:kern w:val="22"/>
        </w:rPr>
        <w:t xml:space="preserve"> of the </w:t>
      </w:r>
      <w:r w:rsidR="00EC4105" w:rsidRPr="006023C7">
        <w:rPr>
          <w:kern w:val="22"/>
        </w:rPr>
        <w:t>k</w:t>
      </w:r>
      <w:r w:rsidRPr="006023C7">
        <w:rPr>
          <w:kern w:val="22"/>
        </w:rPr>
        <w:t xml:space="preserve">nowledge </w:t>
      </w:r>
      <w:r w:rsidR="00EC4105" w:rsidRPr="006023C7">
        <w:rPr>
          <w:kern w:val="22"/>
        </w:rPr>
        <w:t>m</w:t>
      </w:r>
      <w:r w:rsidRPr="006023C7">
        <w:rPr>
          <w:kern w:val="22"/>
        </w:rPr>
        <w:t>anagement component is expected to result in:</w:t>
      </w:r>
    </w:p>
    <w:p w14:paraId="6311AB6B" w14:textId="0F3EBD0F" w:rsidR="006164D8" w:rsidRPr="006023C7" w:rsidRDefault="006164D8" w:rsidP="001F4589">
      <w:pPr>
        <w:pStyle w:val="CBD-Para-a"/>
        <w:numPr>
          <w:ilvl w:val="1"/>
          <w:numId w:val="13"/>
        </w:numPr>
        <w:tabs>
          <w:tab w:val="clear" w:pos="1080"/>
          <w:tab w:val="num" w:pos="1276"/>
        </w:tabs>
        <w:ind w:left="0" w:firstLine="720"/>
        <w:rPr>
          <w:kern w:val="22"/>
          <w:lang w:val="en-GB"/>
        </w:rPr>
      </w:pPr>
      <w:r w:rsidRPr="006023C7">
        <w:rPr>
          <w:kern w:val="22"/>
          <w:lang w:val="en-GB"/>
        </w:rPr>
        <w:t xml:space="preserve">Increased availability and accessibility of </w:t>
      </w:r>
      <w:r w:rsidR="002A0FE6" w:rsidRPr="006023C7">
        <w:rPr>
          <w:kern w:val="22"/>
          <w:lang w:val="en-GB"/>
        </w:rPr>
        <w:t xml:space="preserve">relevant </w:t>
      </w:r>
      <w:r w:rsidRPr="006023C7">
        <w:rPr>
          <w:kern w:val="22"/>
          <w:lang w:val="en-GB"/>
        </w:rPr>
        <w:t>data, information and knowledge at all levels;</w:t>
      </w:r>
    </w:p>
    <w:p w14:paraId="37EA2381" w14:textId="77777777" w:rsidR="006164D8" w:rsidRPr="006023C7" w:rsidRDefault="006164D8" w:rsidP="001F4589">
      <w:pPr>
        <w:pStyle w:val="CBD-Para-a"/>
        <w:numPr>
          <w:ilvl w:val="1"/>
          <w:numId w:val="13"/>
        </w:numPr>
        <w:tabs>
          <w:tab w:val="clear" w:pos="1080"/>
          <w:tab w:val="num" w:pos="1276"/>
        </w:tabs>
        <w:ind w:left="0" w:firstLine="720"/>
        <w:rPr>
          <w:kern w:val="22"/>
          <w:lang w:val="en-GB"/>
        </w:rPr>
      </w:pPr>
      <w:r w:rsidRPr="006023C7">
        <w:rPr>
          <w:kern w:val="22"/>
          <w:lang w:val="en-GB"/>
        </w:rPr>
        <w:t>Increased uptake and utilization of data, information and knowledge to support the implementation of the post-2020 global biodiversity framework;</w:t>
      </w:r>
    </w:p>
    <w:p w14:paraId="2C60DA77" w14:textId="73DE1B7E" w:rsidR="006164D8" w:rsidRPr="006023C7" w:rsidRDefault="006164D8" w:rsidP="001F4589">
      <w:pPr>
        <w:pStyle w:val="CBD-Para-a"/>
        <w:numPr>
          <w:ilvl w:val="1"/>
          <w:numId w:val="13"/>
        </w:numPr>
        <w:tabs>
          <w:tab w:val="clear" w:pos="1080"/>
          <w:tab w:val="num" w:pos="1276"/>
        </w:tabs>
        <w:ind w:left="0" w:firstLine="720"/>
        <w:rPr>
          <w:kern w:val="22"/>
          <w:lang w:val="en-GB"/>
        </w:rPr>
      </w:pPr>
      <w:r w:rsidRPr="006023C7">
        <w:rPr>
          <w:kern w:val="22"/>
          <w:lang w:val="en-GB"/>
        </w:rPr>
        <w:t xml:space="preserve">Increased capacity of </w:t>
      </w:r>
      <w:r w:rsidR="009D6B5A" w:rsidRPr="006023C7">
        <w:rPr>
          <w:kern w:val="22"/>
          <w:lang w:val="en-GB"/>
        </w:rPr>
        <w:t>G</w:t>
      </w:r>
      <w:r w:rsidRPr="006023C7">
        <w:rPr>
          <w:kern w:val="22"/>
          <w:lang w:val="en-GB"/>
        </w:rPr>
        <w:t>overnments and relevant stakeholders to capture, manage and utilize biodiversity-related data, information and knowledge;</w:t>
      </w:r>
    </w:p>
    <w:p w14:paraId="1AA9CF77" w14:textId="77777777" w:rsidR="006164D8" w:rsidRPr="006023C7" w:rsidRDefault="006164D8" w:rsidP="001F4589">
      <w:pPr>
        <w:pStyle w:val="CBD-Para-a"/>
        <w:numPr>
          <w:ilvl w:val="1"/>
          <w:numId w:val="13"/>
        </w:numPr>
        <w:tabs>
          <w:tab w:val="clear" w:pos="1080"/>
          <w:tab w:val="num" w:pos="1276"/>
        </w:tabs>
        <w:ind w:left="0" w:firstLine="720"/>
        <w:rPr>
          <w:kern w:val="22"/>
          <w:lang w:val="en-GB"/>
        </w:rPr>
      </w:pPr>
      <w:r w:rsidRPr="006023C7">
        <w:rPr>
          <w:kern w:val="22"/>
          <w:lang w:val="en-GB"/>
        </w:rPr>
        <w:t>Increased number of active biodiversity knowledge management support networks and communities of practice;</w:t>
      </w:r>
    </w:p>
    <w:p w14:paraId="7F88BF99" w14:textId="7D4952EE" w:rsidR="006164D8" w:rsidRPr="006023C7" w:rsidRDefault="00E02201" w:rsidP="001F4589">
      <w:pPr>
        <w:pStyle w:val="CBD-Para-a"/>
        <w:numPr>
          <w:ilvl w:val="1"/>
          <w:numId w:val="13"/>
        </w:numPr>
        <w:tabs>
          <w:tab w:val="clear" w:pos="1080"/>
          <w:tab w:val="num" w:pos="1276"/>
        </w:tabs>
        <w:ind w:left="0" w:firstLine="720"/>
        <w:rPr>
          <w:kern w:val="22"/>
          <w:lang w:val="en-GB"/>
        </w:rPr>
      </w:pPr>
      <w:r w:rsidRPr="006023C7">
        <w:rPr>
          <w:kern w:val="22"/>
          <w:lang w:val="en-GB"/>
        </w:rPr>
        <w:t>E</w:t>
      </w:r>
      <w:r w:rsidR="006164D8" w:rsidRPr="006023C7">
        <w:rPr>
          <w:kern w:val="22"/>
          <w:lang w:val="en-GB"/>
        </w:rPr>
        <w:t>nhanced real-time access to</w:t>
      </w:r>
      <w:r w:rsidR="00B86D46" w:rsidRPr="006023C7">
        <w:rPr>
          <w:kern w:val="22"/>
          <w:lang w:val="en-GB"/>
        </w:rPr>
        <w:t xml:space="preserve"> data and</w:t>
      </w:r>
      <w:r w:rsidR="006164D8" w:rsidRPr="006023C7">
        <w:rPr>
          <w:kern w:val="22"/>
          <w:lang w:val="en-GB"/>
        </w:rPr>
        <w:t xml:space="preserve"> information for national planning and reportin</w:t>
      </w:r>
      <w:r w:rsidR="00CE1EDF" w:rsidRPr="006023C7">
        <w:rPr>
          <w:kern w:val="22"/>
          <w:lang w:val="en-GB"/>
        </w:rPr>
        <w:t xml:space="preserve">g in the context of biodiversity-related </w:t>
      </w:r>
      <w:r w:rsidR="006B59D8" w:rsidRPr="006023C7">
        <w:rPr>
          <w:kern w:val="22"/>
          <w:lang w:val="en-GB"/>
        </w:rPr>
        <w:t>c</w:t>
      </w:r>
      <w:r w:rsidR="00CE1EDF" w:rsidRPr="006023C7">
        <w:rPr>
          <w:kern w:val="22"/>
          <w:lang w:val="en-GB"/>
        </w:rPr>
        <w:t>onv</w:t>
      </w:r>
      <w:r w:rsidR="001403D9" w:rsidRPr="006023C7">
        <w:rPr>
          <w:kern w:val="22"/>
          <w:lang w:val="en-GB"/>
        </w:rPr>
        <w:t>entions</w:t>
      </w:r>
      <w:r w:rsidR="006164D8" w:rsidRPr="006023C7">
        <w:rPr>
          <w:kern w:val="22"/>
          <w:lang w:val="en-GB"/>
        </w:rPr>
        <w:t xml:space="preserve"> and</w:t>
      </w:r>
      <w:r w:rsidR="007651B6" w:rsidRPr="006023C7">
        <w:rPr>
          <w:kern w:val="22"/>
          <w:lang w:val="en-GB"/>
        </w:rPr>
        <w:t xml:space="preserve"> </w:t>
      </w:r>
      <w:r w:rsidR="001403D9" w:rsidRPr="006023C7">
        <w:rPr>
          <w:kern w:val="22"/>
          <w:lang w:val="en-GB"/>
        </w:rPr>
        <w:t xml:space="preserve">for </w:t>
      </w:r>
      <w:r w:rsidR="007651B6" w:rsidRPr="006023C7">
        <w:rPr>
          <w:kern w:val="22"/>
          <w:lang w:val="en-GB"/>
        </w:rPr>
        <w:t>global reviews</w:t>
      </w:r>
      <w:r w:rsidR="0070716E" w:rsidRPr="006023C7">
        <w:rPr>
          <w:kern w:val="22"/>
          <w:lang w:val="en-GB"/>
        </w:rPr>
        <w:t>, including in the context</w:t>
      </w:r>
      <w:r w:rsidR="005E20BD" w:rsidRPr="006023C7">
        <w:rPr>
          <w:kern w:val="22"/>
          <w:lang w:val="en-GB"/>
        </w:rPr>
        <w:t xml:space="preserve"> of</w:t>
      </w:r>
      <w:r w:rsidR="0070716E" w:rsidRPr="006023C7">
        <w:rPr>
          <w:kern w:val="22"/>
          <w:lang w:val="en-GB"/>
        </w:rPr>
        <w:t xml:space="preserve"> </w:t>
      </w:r>
      <w:r w:rsidR="00D00C0E" w:rsidRPr="006023C7">
        <w:rPr>
          <w:kern w:val="22"/>
          <w:lang w:val="en-GB"/>
        </w:rPr>
        <w:t>IPBES</w:t>
      </w:r>
      <w:r w:rsidR="005E20BD" w:rsidRPr="006023C7">
        <w:rPr>
          <w:kern w:val="22"/>
          <w:lang w:val="en-GB"/>
        </w:rPr>
        <w:t>;</w:t>
      </w:r>
    </w:p>
    <w:p w14:paraId="3C2B59B4" w14:textId="00FF7498" w:rsidR="006164D8" w:rsidRPr="006023C7" w:rsidRDefault="006164D8" w:rsidP="001F4589">
      <w:pPr>
        <w:pStyle w:val="CBD-Para-a"/>
        <w:numPr>
          <w:ilvl w:val="1"/>
          <w:numId w:val="13"/>
        </w:numPr>
        <w:tabs>
          <w:tab w:val="clear" w:pos="1080"/>
          <w:tab w:val="num" w:pos="1276"/>
        </w:tabs>
        <w:ind w:left="0" w:firstLine="720"/>
        <w:rPr>
          <w:kern w:val="22"/>
          <w:lang w:val="en-GB"/>
        </w:rPr>
      </w:pPr>
      <w:r w:rsidRPr="006023C7">
        <w:rPr>
          <w:kern w:val="22"/>
          <w:lang w:val="en-GB"/>
        </w:rPr>
        <w:t xml:space="preserve">Increased information sharing across biodiversity-related </w:t>
      </w:r>
      <w:r w:rsidR="006B59D8" w:rsidRPr="006023C7">
        <w:rPr>
          <w:kern w:val="22"/>
          <w:lang w:val="en-GB"/>
        </w:rPr>
        <w:t>c</w:t>
      </w:r>
      <w:r w:rsidRPr="006023C7">
        <w:rPr>
          <w:kern w:val="22"/>
          <w:lang w:val="en-GB"/>
        </w:rPr>
        <w:t>onventions and organizations.</w:t>
      </w:r>
    </w:p>
    <w:p w14:paraId="661D1173" w14:textId="49AA56B4" w:rsidR="006164D8" w:rsidRPr="00C62754" w:rsidRDefault="006164D8" w:rsidP="001F4589">
      <w:pPr>
        <w:pStyle w:val="Para1"/>
        <w:numPr>
          <w:ilvl w:val="0"/>
          <w:numId w:val="10"/>
        </w:numPr>
        <w:suppressLineNumbers/>
        <w:tabs>
          <w:tab w:val="clear" w:pos="360"/>
          <w:tab w:val="num" w:pos="720"/>
        </w:tabs>
        <w:suppressAutoHyphens/>
        <w:rPr>
          <w:kern w:val="22"/>
        </w:rPr>
      </w:pPr>
      <w:r w:rsidRPr="006023C7">
        <w:rPr>
          <w:kern w:val="22"/>
          <w:szCs w:val="22"/>
        </w:rPr>
        <w:t>Ultimately</w:t>
      </w:r>
      <w:r w:rsidRPr="006023C7">
        <w:rPr>
          <w:kern w:val="22"/>
        </w:rPr>
        <w:t xml:space="preserve">, it </w:t>
      </w:r>
      <w:r w:rsidR="005E20BD" w:rsidRPr="006023C7">
        <w:rPr>
          <w:kern w:val="22"/>
        </w:rPr>
        <w:t xml:space="preserve">is </w:t>
      </w:r>
      <w:r w:rsidRPr="006023C7">
        <w:rPr>
          <w:kern w:val="22"/>
        </w:rPr>
        <w:t xml:space="preserve">expected that the above improvements will enable </w:t>
      </w:r>
      <w:r w:rsidR="007F2B09" w:rsidRPr="006023C7">
        <w:rPr>
          <w:kern w:val="22"/>
        </w:rPr>
        <w:t>G</w:t>
      </w:r>
      <w:r w:rsidRPr="006023C7">
        <w:rPr>
          <w:kern w:val="22"/>
        </w:rPr>
        <w:t>overnments, indigenous peoples and local communities, and all stakeholders, as appropriate</w:t>
      </w:r>
      <w:r w:rsidR="00F641DD">
        <w:rPr>
          <w:kern w:val="22"/>
        </w:rPr>
        <w:t>,</w:t>
      </w:r>
      <w:r w:rsidR="00F641DD" w:rsidRPr="00F641DD">
        <w:rPr>
          <w:kern w:val="22"/>
        </w:rPr>
        <w:t xml:space="preserve"> </w:t>
      </w:r>
      <w:r w:rsidR="00F641DD" w:rsidRPr="0018400E">
        <w:rPr>
          <w:kern w:val="22"/>
        </w:rPr>
        <w:t>to</w:t>
      </w:r>
      <w:r w:rsidRPr="00F641DD">
        <w:rPr>
          <w:kern w:val="22"/>
        </w:rPr>
        <w:t>:</w:t>
      </w:r>
    </w:p>
    <w:p w14:paraId="0433586D" w14:textId="26CD0744" w:rsidR="006164D8" w:rsidRPr="006023C7" w:rsidRDefault="006164D8" w:rsidP="001F4589">
      <w:pPr>
        <w:pStyle w:val="CBD-Para-a"/>
        <w:keepLines w:val="0"/>
        <w:numPr>
          <w:ilvl w:val="0"/>
          <w:numId w:val="14"/>
        </w:numPr>
        <w:tabs>
          <w:tab w:val="clear" w:pos="1080"/>
          <w:tab w:val="num" w:pos="1276"/>
        </w:tabs>
        <w:ind w:left="0" w:firstLine="720"/>
        <w:rPr>
          <w:kern w:val="22"/>
          <w:lang w:val="en-GB"/>
        </w:rPr>
      </w:pPr>
      <w:r w:rsidRPr="006023C7">
        <w:rPr>
          <w:rFonts w:eastAsia="Malgun Gothic"/>
          <w:kern w:val="22"/>
          <w:lang w:val="en-GB"/>
        </w:rPr>
        <w:t>Improve</w:t>
      </w:r>
      <w:r w:rsidRPr="006023C7">
        <w:rPr>
          <w:kern w:val="22"/>
          <w:lang w:val="en-GB"/>
        </w:rPr>
        <w:t xml:space="preserve"> implementation and decision</w:t>
      </w:r>
      <w:r w:rsidR="007F2B09" w:rsidRPr="006023C7">
        <w:rPr>
          <w:kern w:val="22"/>
          <w:lang w:val="en-GB"/>
        </w:rPr>
        <w:t>-</w:t>
      </w:r>
      <w:r w:rsidRPr="006023C7">
        <w:rPr>
          <w:kern w:val="22"/>
          <w:lang w:val="en-GB"/>
        </w:rPr>
        <w:t>making through more effective use of available data, information and knowledge;</w:t>
      </w:r>
    </w:p>
    <w:p w14:paraId="40D3F370" w14:textId="229C874F" w:rsidR="006164D8" w:rsidRPr="006023C7" w:rsidRDefault="006164D8" w:rsidP="001F4589">
      <w:pPr>
        <w:pStyle w:val="CBD-Para-a"/>
        <w:keepLines w:val="0"/>
        <w:numPr>
          <w:ilvl w:val="0"/>
          <w:numId w:val="14"/>
        </w:numPr>
        <w:tabs>
          <w:tab w:val="clear" w:pos="1080"/>
          <w:tab w:val="num" w:pos="1276"/>
        </w:tabs>
        <w:ind w:left="0" w:firstLine="720"/>
        <w:rPr>
          <w:kern w:val="22"/>
          <w:lang w:val="en-GB"/>
        </w:rPr>
      </w:pPr>
      <w:r w:rsidRPr="006023C7">
        <w:rPr>
          <w:kern w:val="22"/>
          <w:lang w:val="en-GB"/>
        </w:rPr>
        <w:t>Increase efficiency by accessing and leveraging previous work rather than repeating it, and</w:t>
      </w:r>
      <w:r w:rsidRPr="006023C7" w:rsidDel="00D36F73">
        <w:rPr>
          <w:kern w:val="22"/>
          <w:lang w:val="en-GB"/>
        </w:rPr>
        <w:t xml:space="preserve"> </w:t>
      </w:r>
      <w:r w:rsidRPr="006023C7">
        <w:rPr>
          <w:kern w:val="22"/>
          <w:lang w:val="en-GB"/>
        </w:rPr>
        <w:t>learning from the experiences of others;</w:t>
      </w:r>
    </w:p>
    <w:p w14:paraId="1E2EDF1D" w14:textId="69FF9FBD" w:rsidR="006164D8" w:rsidRPr="006023C7" w:rsidRDefault="006164D8" w:rsidP="001F4589">
      <w:pPr>
        <w:pStyle w:val="CBD-Para-a"/>
        <w:keepLines w:val="0"/>
        <w:numPr>
          <w:ilvl w:val="0"/>
          <w:numId w:val="14"/>
        </w:numPr>
        <w:tabs>
          <w:tab w:val="clear" w:pos="1080"/>
          <w:tab w:val="num" w:pos="1276"/>
        </w:tabs>
        <w:ind w:left="0" w:firstLine="720"/>
        <w:rPr>
          <w:kern w:val="22"/>
          <w:lang w:val="en-GB"/>
        </w:rPr>
      </w:pPr>
      <w:r w:rsidRPr="006023C7">
        <w:rPr>
          <w:kern w:val="22"/>
          <w:lang w:val="en-GB"/>
        </w:rPr>
        <w:t>Reduce inefficiencies in service delivery by getting the information needed in a timely manner or by reducing the amount of time spent searching for information;</w:t>
      </w:r>
    </w:p>
    <w:p w14:paraId="073223B2" w14:textId="0E9FFECA" w:rsidR="006164D8" w:rsidRPr="006023C7" w:rsidRDefault="006164D8" w:rsidP="001F4589">
      <w:pPr>
        <w:pStyle w:val="CBD-Para-a"/>
        <w:keepLines w:val="0"/>
        <w:numPr>
          <w:ilvl w:val="0"/>
          <w:numId w:val="14"/>
        </w:numPr>
        <w:tabs>
          <w:tab w:val="clear" w:pos="1080"/>
          <w:tab w:val="num" w:pos="1276"/>
        </w:tabs>
        <w:ind w:left="0" w:firstLine="720"/>
        <w:rPr>
          <w:kern w:val="22"/>
          <w:lang w:val="en-GB"/>
        </w:rPr>
      </w:pPr>
      <w:r w:rsidRPr="006023C7">
        <w:rPr>
          <w:kern w:val="22"/>
          <w:lang w:val="en-GB"/>
        </w:rPr>
        <w:t>Improve communication</w:t>
      </w:r>
      <w:r w:rsidR="000520B7" w:rsidRPr="006023C7">
        <w:rPr>
          <w:kern w:val="22"/>
          <w:lang w:val="en-GB"/>
        </w:rPr>
        <w:t xml:space="preserve"> and</w:t>
      </w:r>
      <w:r w:rsidRPr="006023C7">
        <w:rPr>
          <w:kern w:val="22"/>
          <w:lang w:val="en-GB"/>
        </w:rPr>
        <w:t xml:space="preserve"> professional </w:t>
      </w:r>
      <w:r w:rsidR="00A65127" w:rsidRPr="006023C7">
        <w:rPr>
          <w:kern w:val="22"/>
          <w:lang w:val="en-GB"/>
        </w:rPr>
        <w:t xml:space="preserve">and organizational </w:t>
      </w:r>
      <w:r w:rsidRPr="006023C7">
        <w:rPr>
          <w:kern w:val="22"/>
          <w:lang w:val="en-GB"/>
        </w:rPr>
        <w:t xml:space="preserve">development by increasing learning across </w:t>
      </w:r>
      <w:r w:rsidR="004A1266" w:rsidRPr="006023C7">
        <w:rPr>
          <w:kern w:val="22"/>
          <w:lang w:val="en-GB"/>
        </w:rPr>
        <w:t xml:space="preserve">governments and </w:t>
      </w:r>
      <w:r w:rsidRPr="006023C7">
        <w:rPr>
          <w:kern w:val="22"/>
          <w:lang w:val="en-GB"/>
        </w:rPr>
        <w:t>organizations;</w:t>
      </w:r>
    </w:p>
    <w:p w14:paraId="2A6BBBFD" w14:textId="39102163" w:rsidR="00225D2C" w:rsidRPr="006023C7" w:rsidRDefault="006164D8" w:rsidP="001F4589">
      <w:pPr>
        <w:pStyle w:val="CBD-Para-a"/>
        <w:keepLines w:val="0"/>
        <w:numPr>
          <w:ilvl w:val="0"/>
          <w:numId w:val="14"/>
        </w:numPr>
        <w:tabs>
          <w:tab w:val="clear" w:pos="1080"/>
          <w:tab w:val="num" w:pos="1276"/>
        </w:tabs>
        <w:ind w:left="0" w:firstLine="720"/>
        <w:rPr>
          <w:kern w:val="22"/>
          <w:lang w:val="en-GB"/>
        </w:rPr>
      </w:pPr>
      <w:r w:rsidRPr="006023C7">
        <w:rPr>
          <w:kern w:val="22"/>
          <w:lang w:val="en-GB"/>
        </w:rPr>
        <w:t>Facilitate innovation by leveraging existing knowledge resources to create new products</w:t>
      </w:r>
      <w:r w:rsidR="00225D2C" w:rsidRPr="006023C7">
        <w:rPr>
          <w:kern w:val="22"/>
          <w:lang w:val="en-GB"/>
        </w:rPr>
        <w:t>.</w:t>
      </w:r>
    </w:p>
    <w:p w14:paraId="2396E374" w14:textId="2AFE38CA" w:rsidR="009A6964" w:rsidRPr="00615C3F" w:rsidRDefault="00C62754" w:rsidP="00786D15">
      <w:pPr>
        <w:pStyle w:val="Heading1"/>
        <w:suppressLineNumbers/>
        <w:tabs>
          <w:tab w:val="clear" w:pos="720"/>
          <w:tab w:val="left" w:pos="426"/>
        </w:tabs>
        <w:suppressAutoHyphens/>
        <w:spacing w:before="120"/>
        <w:rPr>
          <w:rFonts w:ascii="Times New Roman Bold" w:hAnsi="Times New Roman Bold"/>
          <w:bCs/>
          <w:caps w:val="0"/>
          <w:kern w:val="22"/>
        </w:rPr>
      </w:pPr>
      <w:r w:rsidRPr="00C62754">
        <w:rPr>
          <w:rFonts w:ascii="Times New Roman Bold" w:hAnsi="Times New Roman Bold"/>
          <w:bCs/>
          <w:caps w:val="0"/>
          <w:kern w:val="22"/>
        </w:rPr>
        <w:t>III.</w:t>
      </w:r>
      <w:r w:rsidRPr="00C62754">
        <w:rPr>
          <w:rFonts w:ascii="Times New Roman Bold" w:hAnsi="Times New Roman Bold"/>
          <w:bCs/>
          <w:caps w:val="0"/>
          <w:kern w:val="22"/>
        </w:rPr>
        <w:tab/>
        <w:t>STRATEGIES TO ENHANCE BIODIVERSITY KNOWLEDGE MANAGEMENT</w:t>
      </w:r>
    </w:p>
    <w:p w14:paraId="14141D96" w14:textId="14C288BD" w:rsidR="00964A8F" w:rsidRPr="006023C7" w:rsidRDefault="002243DF" w:rsidP="00482485">
      <w:pPr>
        <w:pStyle w:val="Para1"/>
        <w:numPr>
          <w:ilvl w:val="0"/>
          <w:numId w:val="10"/>
        </w:numPr>
        <w:suppressLineNumbers/>
        <w:tabs>
          <w:tab w:val="clear" w:pos="360"/>
          <w:tab w:val="num" w:pos="720"/>
        </w:tabs>
        <w:suppressAutoHyphens/>
        <w:rPr>
          <w:kern w:val="22"/>
          <w:szCs w:val="22"/>
        </w:rPr>
      </w:pPr>
      <w:r w:rsidRPr="00004754">
        <w:rPr>
          <w:rFonts w:eastAsia="Malgun Gothic"/>
          <w:kern w:val="22"/>
        </w:rPr>
        <w:t xml:space="preserve">This </w:t>
      </w:r>
      <w:r w:rsidRPr="00004754">
        <w:rPr>
          <w:kern w:val="22"/>
        </w:rPr>
        <w:t>section</w:t>
      </w:r>
      <w:r w:rsidRPr="00786D15">
        <w:rPr>
          <w:rFonts w:eastAsia="Malgun Gothic"/>
          <w:kern w:val="22"/>
        </w:rPr>
        <w:t xml:space="preserve"> outlines broad categories of strategies to be undertaken by Parties, relevant organizations and convention secretariats, as appropriate, to enhance the following stages of the knowledge management cycle in </w:t>
      </w:r>
      <w:r w:rsidRPr="00E0113A">
        <w:rPr>
          <w:kern w:val="22"/>
        </w:rPr>
        <w:t xml:space="preserve">support of the post-2020 global biodiversity framework. The key specific strategic actions to facilitate the implementation of this component, including the proposed timeframes and an indicative list of lead implementers of the respective actions are presented in </w:t>
      </w:r>
      <w:r w:rsidR="00462858" w:rsidRPr="006023C7">
        <w:rPr>
          <w:kern w:val="22"/>
        </w:rPr>
        <w:t>a</w:t>
      </w:r>
      <w:r w:rsidRPr="006023C7">
        <w:rPr>
          <w:kern w:val="22"/>
        </w:rPr>
        <w:t xml:space="preserve">nnex </w:t>
      </w:r>
      <w:r w:rsidR="00462858" w:rsidRPr="006023C7">
        <w:rPr>
          <w:kern w:val="22"/>
        </w:rPr>
        <w:t>I</w:t>
      </w:r>
      <w:r w:rsidRPr="006023C7">
        <w:rPr>
          <w:kern w:val="22"/>
        </w:rPr>
        <w:t xml:space="preserve">. The proposed strategic actions are grouped under the following stages of the </w:t>
      </w:r>
      <w:r w:rsidRPr="006023C7">
        <w:rPr>
          <w:rFonts w:eastAsia="Malgun Gothic"/>
          <w:kern w:val="22"/>
        </w:rPr>
        <w:t xml:space="preserve">knowledge management cycle: </w:t>
      </w:r>
      <w:r w:rsidR="00BE29D1" w:rsidRPr="006023C7">
        <w:rPr>
          <w:rFonts w:eastAsia="Malgun Gothic"/>
          <w:kern w:val="22"/>
        </w:rPr>
        <w:t>k</w:t>
      </w:r>
      <w:r w:rsidRPr="006023C7">
        <w:rPr>
          <w:kern w:val="22"/>
        </w:rPr>
        <w:t xml:space="preserve">nowledge generation and synthesis; </w:t>
      </w:r>
      <w:r w:rsidR="00BE29D1" w:rsidRPr="006023C7">
        <w:rPr>
          <w:kern w:val="22"/>
        </w:rPr>
        <w:t>k</w:t>
      </w:r>
      <w:r w:rsidRPr="006023C7">
        <w:rPr>
          <w:kern w:val="22"/>
        </w:rPr>
        <w:t>nowledge discovery and collection;</w:t>
      </w:r>
      <w:r w:rsidR="00BE29D1" w:rsidRPr="006023C7">
        <w:rPr>
          <w:kern w:val="22"/>
        </w:rPr>
        <w:t xml:space="preserve"> k</w:t>
      </w:r>
      <w:r w:rsidRPr="006023C7">
        <w:rPr>
          <w:kern w:val="22"/>
        </w:rPr>
        <w:t xml:space="preserve">nowledge organization and sharing; </w:t>
      </w:r>
      <w:r w:rsidR="002A0FE6" w:rsidRPr="006023C7">
        <w:rPr>
          <w:kern w:val="22"/>
        </w:rPr>
        <w:t>u</w:t>
      </w:r>
      <w:r w:rsidRPr="006023C7">
        <w:rPr>
          <w:kern w:val="22"/>
        </w:rPr>
        <w:t>se/application of knowledge; and</w:t>
      </w:r>
      <w:r w:rsidR="002A0FE6" w:rsidRPr="006023C7">
        <w:rPr>
          <w:kern w:val="22"/>
        </w:rPr>
        <w:t xml:space="preserve"> k</w:t>
      </w:r>
      <w:r w:rsidRPr="006023C7">
        <w:rPr>
          <w:kern w:val="22"/>
        </w:rPr>
        <w:t>nowledge audit and review to identify knowledge gaps and improve national planning and priority setting, while considering global priorities.</w:t>
      </w:r>
    </w:p>
    <w:p w14:paraId="62BFCEDE" w14:textId="110283D1" w:rsidR="00964A8F" w:rsidRPr="006023C7" w:rsidRDefault="000862A2" w:rsidP="00482485">
      <w:pPr>
        <w:pStyle w:val="Heading2"/>
        <w:numPr>
          <w:ilvl w:val="0"/>
          <w:numId w:val="11"/>
        </w:numPr>
        <w:suppressLineNumbers/>
        <w:tabs>
          <w:tab w:val="clear" w:pos="720"/>
        </w:tabs>
        <w:suppressAutoHyphens/>
        <w:ind w:left="714" w:hanging="357"/>
        <w:rPr>
          <w:kern w:val="22"/>
        </w:rPr>
      </w:pPr>
      <w:bookmarkStart w:id="9" w:name="_Toc39228094"/>
      <w:r w:rsidRPr="006023C7">
        <w:rPr>
          <w:kern w:val="22"/>
        </w:rPr>
        <w:t>Promoting k</w:t>
      </w:r>
      <w:r w:rsidR="007825C0" w:rsidRPr="006023C7">
        <w:rPr>
          <w:kern w:val="22"/>
        </w:rPr>
        <w:t>nowledge generation and synthesis</w:t>
      </w:r>
      <w:bookmarkEnd w:id="9"/>
    </w:p>
    <w:p w14:paraId="73701082" w14:textId="19B8D278" w:rsidR="00964A8F" w:rsidRPr="00E971D7" w:rsidRDefault="00BD4EC2" w:rsidP="00482485">
      <w:pPr>
        <w:pStyle w:val="Para1"/>
        <w:numPr>
          <w:ilvl w:val="0"/>
          <w:numId w:val="10"/>
        </w:numPr>
        <w:suppressLineNumbers/>
        <w:tabs>
          <w:tab w:val="clear" w:pos="360"/>
        </w:tabs>
        <w:suppressAutoHyphens/>
        <w:rPr>
          <w:kern w:val="22"/>
          <w:szCs w:val="22"/>
        </w:rPr>
      </w:pPr>
      <w:r w:rsidRPr="006023C7">
        <w:rPr>
          <w:kern w:val="22"/>
        </w:rPr>
        <w:t xml:space="preserve">Knowledge generation and synthesis encompass the creation and advancement of new knowledge and </w:t>
      </w:r>
      <w:r w:rsidR="00EF3278">
        <w:rPr>
          <w:kern w:val="22"/>
        </w:rPr>
        <w:t xml:space="preserve">the </w:t>
      </w:r>
      <w:r w:rsidRPr="00EF3278">
        <w:rPr>
          <w:kern w:val="22"/>
        </w:rPr>
        <w:t xml:space="preserve">building of an evidence base, primarily through research and academic initiatives, as well as analysis of information provided by </w:t>
      </w:r>
      <w:r w:rsidR="002E45F0" w:rsidRPr="00E0113A">
        <w:rPr>
          <w:kern w:val="22"/>
        </w:rPr>
        <w:t>G</w:t>
      </w:r>
      <w:r w:rsidRPr="00E0113A">
        <w:rPr>
          <w:kern w:val="22"/>
        </w:rPr>
        <w:t>overnments, relevant organizat</w:t>
      </w:r>
      <w:r w:rsidRPr="00530448">
        <w:rPr>
          <w:kern w:val="22"/>
        </w:rPr>
        <w:t xml:space="preserve">ions and other sources. Examples of organizations and processes contributing to the generation and synthesis of biodiversity-related information </w:t>
      </w:r>
      <w:r w:rsidRPr="00530448">
        <w:rPr>
          <w:kern w:val="22"/>
        </w:rPr>
        <w:lastRenderedPageBreak/>
        <w:t>and knowledge include</w:t>
      </w:r>
      <w:r w:rsidRPr="00E85FC4">
        <w:rPr>
          <w:kern w:val="22"/>
        </w:rPr>
        <w:t xml:space="preserve"> university research institutions, GEO-BON, IPBES,</w:t>
      </w:r>
      <w:r w:rsidRPr="006023C7">
        <w:rPr>
          <w:rStyle w:val="FootnoteReference"/>
          <w:kern w:val="22"/>
        </w:rPr>
        <w:footnoteReference w:id="14"/>
      </w:r>
      <w:r w:rsidRPr="006023C7">
        <w:rPr>
          <w:kern w:val="22"/>
        </w:rPr>
        <w:t xml:space="preserve"> global assessments by </w:t>
      </w:r>
      <w:r w:rsidR="003C72C7" w:rsidRPr="006023C7">
        <w:rPr>
          <w:kern w:val="22"/>
        </w:rPr>
        <w:t>the Food and A</w:t>
      </w:r>
      <w:r w:rsidR="003C72C7" w:rsidRPr="00185E4B">
        <w:rPr>
          <w:kern w:val="22"/>
        </w:rPr>
        <w:t xml:space="preserve">griculture Organization of the United Nations </w:t>
      </w:r>
      <w:r w:rsidR="00906B7C" w:rsidRPr="00185E4B">
        <w:rPr>
          <w:kern w:val="22"/>
        </w:rPr>
        <w:t>(</w:t>
      </w:r>
      <w:r w:rsidRPr="002A694F">
        <w:rPr>
          <w:kern w:val="22"/>
        </w:rPr>
        <w:t>FAO</w:t>
      </w:r>
      <w:r w:rsidR="00906B7C" w:rsidRPr="00135207">
        <w:rPr>
          <w:kern w:val="22"/>
        </w:rPr>
        <w:t>),</w:t>
      </w:r>
      <w:r w:rsidRPr="00E971D7">
        <w:rPr>
          <w:kern w:val="22"/>
        </w:rPr>
        <w:t xml:space="preserve"> UNEP-WCMC and others.</w:t>
      </w:r>
    </w:p>
    <w:p w14:paraId="155D7F21" w14:textId="77D59635" w:rsidR="00964A8F" w:rsidRPr="008C196B" w:rsidRDefault="00DD0AD0" w:rsidP="001F4589">
      <w:pPr>
        <w:pStyle w:val="Heading2"/>
        <w:numPr>
          <w:ilvl w:val="0"/>
          <w:numId w:val="11"/>
        </w:numPr>
        <w:suppressLineNumbers/>
        <w:tabs>
          <w:tab w:val="clear" w:pos="720"/>
        </w:tabs>
        <w:suppressAutoHyphens/>
        <w:ind w:left="714" w:hanging="357"/>
        <w:rPr>
          <w:kern w:val="22"/>
        </w:rPr>
      </w:pPr>
      <w:bookmarkStart w:id="10" w:name="_Toc39228095"/>
      <w:r w:rsidRPr="00AA35F8">
        <w:rPr>
          <w:kern w:val="22"/>
        </w:rPr>
        <w:t>Facilitating k</w:t>
      </w:r>
      <w:r w:rsidR="00861CB6" w:rsidRPr="00AA35F8">
        <w:rPr>
          <w:kern w:val="22"/>
        </w:rPr>
        <w:t>nowledge discovery and collection</w:t>
      </w:r>
      <w:bookmarkEnd w:id="10"/>
    </w:p>
    <w:p w14:paraId="7722ED13" w14:textId="6B08A170" w:rsidR="00964A8F" w:rsidRPr="006023C7" w:rsidRDefault="00FE4FAB" w:rsidP="001F4589">
      <w:pPr>
        <w:pStyle w:val="Para1"/>
        <w:numPr>
          <w:ilvl w:val="0"/>
          <w:numId w:val="10"/>
        </w:numPr>
        <w:suppressLineNumbers/>
        <w:tabs>
          <w:tab w:val="clear" w:pos="360"/>
        </w:tabs>
        <w:suppressAutoHyphens/>
        <w:rPr>
          <w:kern w:val="22"/>
          <w:szCs w:val="22"/>
        </w:rPr>
      </w:pPr>
      <w:r w:rsidRPr="006023C7">
        <w:rPr>
          <w:kern w:val="22"/>
        </w:rPr>
        <w:t>Knowledge discovery and collection are a critical element of this component.</w:t>
      </w:r>
      <w:r w:rsidRPr="006023C7">
        <w:rPr>
          <w:rStyle w:val="FootnoteReference"/>
          <w:kern w:val="22"/>
        </w:rPr>
        <w:footnoteReference w:id="15"/>
      </w:r>
      <w:r w:rsidRPr="006023C7">
        <w:rPr>
          <w:kern w:val="22"/>
        </w:rPr>
        <w:t xml:space="preserve"> As knowledge generation grows and massive amounts of </w:t>
      </w:r>
      <w:r w:rsidRPr="00185E4B">
        <w:rPr>
          <w:kern w:val="22"/>
        </w:rPr>
        <w:t>data, information and knowledge are stored in digital libraries and databases around the world, it becomes a challenge to identify and access them. There is a need to understand the breadth of what is being collected across the spectrum of sources and keep</w:t>
      </w:r>
      <w:r w:rsidRPr="00AA35F8">
        <w:rPr>
          <w:kern w:val="22"/>
        </w:rPr>
        <w:t xml:space="preserve"> track of relevant sources. Some of the sources are publicly available while others are maintained as for-pay and/or private resources. There are </w:t>
      </w:r>
      <w:proofErr w:type="gramStart"/>
      <w:r w:rsidRPr="00AA35F8">
        <w:rPr>
          <w:kern w:val="22"/>
        </w:rPr>
        <w:t>a number of</w:t>
      </w:r>
      <w:proofErr w:type="gramEnd"/>
      <w:r w:rsidRPr="00AA35F8">
        <w:rPr>
          <w:kern w:val="22"/>
        </w:rPr>
        <w:t xml:space="preserve"> ongoing efforts to identify and compile existing sources of biodiversity data, information and kno</w:t>
      </w:r>
      <w:r w:rsidRPr="008C196B">
        <w:rPr>
          <w:kern w:val="22"/>
        </w:rPr>
        <w:t>wledge</w:t>
      </w:r>
      <w:r w:rsidR="002A0FE6" w:rsidRPr="00C62754">
        <w:rPr>
          <w:kern w:val="22"/>
        </w:rPr>
        <w:t>, including those identified in the UNEP-WCMC compendia referred to above</w:t>
      </w:r>
      <w:r w:rsidRPr="00C62754">
        <w:rPr>
          <w:kern w:val="22"/>
        </w:rPr>
        <w:t>. Th</w:t>
      </w:r>
      <w:r w:rsidR="002A0FE6" w:rsidRPr="006023C7">
        <w:rPr>
          <w:kern w:val="22"/>
        </w:rPr>
        <w:t>o</w:t>
      </w:r>
      <w:r w:rsidRPr="006023C7">
        <w:rPr>
          <w:kern w:val="22"/>
        </w:rPr>
        <w:t>se efforts need to be broadened and expanded to support the post-2020 global biodiversity framework</w:t>
      </w:r>
      <w:r w:rsidR="00E60A62" w:rsidRPr="006023C7">
        <w:rPr>
          <w:kern w:val="22"/>
        </w:rPr>
        <w:t>.</w:t>
      </w:r>
    </w:p>
    <w:p w14:paraId="11EDD7E2" w14:textId="5A68A363" w:rsidR="00964A8F" w:rsidRPr="006023C7" w:rsidRDefault="00327580" w:rsidP="001F4589">
      <w:pPr>
        <w:pStyle w:val="Heading2"/>
        <w:numPr>
          <w:ilvl w:val="0"/>
          <w:numId w:val="11"/>
        </w:numPr>
        <w:suppressLineNumbers/>
        <w:tabs>
          <w:tab w:val="clear" w:pos="720"/>
        </w:tabs>
        <w:suppressAutoHyphens/>
        <w:ind w:left="714" w:hanging="357"/>
        <w:rPr>
          <w:kern w:val="22"/>
        </w:rPr>
      </w:pPr>
      <w:r w:rsidRPr="006023C7">
        <w:rPr>
          <w:kern w:val="22"/>
        </w:rPr>
        <w:t>Enhancing k</w:t>
      </w:r>
      <w:r w:rsidR="00335258" w:rsidRPr="006023C7">
        <w:rPr>
          <w:kern w:val="22"/>
        </w:rPr>
        <w:t>nowledge organization and sharing</w:t>
      </w:r>
    </w:p>
    <w:p w14:paraId="1DCAFDE9" w14:textId="79D49730" w:rsidR="000862A2" w:rsidRPr="006023C7" w:rsidRDefault="00126717" w:rsidP="001F4589">
      <w:pPr>
        <w:pStyle w:val="Para1"/>
        <w:numPr>
          <w:ilvl w:val="0"/>
          <w:numId w:val="10"/>
        </w:numPr>
        <w:suppressLineNumbers/>
        <w:tabs>
          <w:tab w:val="clear" w:pos="360"/>
        </w:tabs>
        <w:suppressAutoHyphens/>
        <w:rPr>
          <w:kern w:val="22"/>
          <w:szCs w:val="22"/>
        </w:rPr>
      </w:pPr>
      <w:r w:rsidRPr="006023C7">
        <w:rPr>
          <w:kern w:val="22"/>
          <w:szCs w:val="22"/>
        </w:rPr>
        <w:t>The knowledge generated or collected must be organized, catalogued and mapped using appropriate metadata and descriptors for easy searchability, accessibility and retrieval. Key players</w:t>
      </w:r>
      <w:r w:rsidR="00BA1927">
        <w:rPr>
          <w:kern w:val="22"/>
          <w:szCs w:val="22"/>
        </w:rPr>
        <w:t>,</w:t>
      </w:r>
      <w:r w:rsidRPr="00BA1927">
        <w:rPr>
          <w:kern w:val="22"/>
          <w:szCs w:val="22"/>
        </w:rPr>
        <w:t xml:space="preserve"> such as GBIF, GEO-BON, </w:t>
      </w:r>
      <w:proofErr w:type="spellStart"/>
      <w:r w:rsidRPr="00BA1927">
        <w:rPr>
          <w:kern w:val="22"/>
          <w:szCs w:val="22"/>
        </w:rPr>
        <w:t>InforMEA</w:t>
      </w:r>
      <w:proofErr w:type="spellEnd"/>
      <w:r w:rsidRPr="00BA1927">
        <w:rPr>
          <w:kern w:val="22"/>
          <w:szCs w:val="22"/>
        </w:rPr>
        <w:t xml:space="preserve"> and UNEP-WCMC</w:t>
      </w:r>
      <w:r w:rsidR="007A4620">
        <w:rPr>
          <w:kern w:val="22"/>
          <w:szCs w:val="22"/>
        </w:rPr>
        <w:t>,</w:t>
      </w:r>
      <w:r w:rsidRPr="00BA1927">
        <w:rPr>
          <w:kern w:val="22"/>
          <w:szCs w:val="22"/>
        </w:rPr>
        <w:t xml:space="preserve"> have developed standards</w:t>
      </w:r>
      <w:r w:rsidRPr="007A4620">
        <w:rPr>
          <w:kern w:val="22"/>
          <w:szCs w:val="22"/>
        </w:rPr>
        <w:t xml:space="preserve"> that can be further elaborated and shared. Increasing access to information can be </w:t>
      </w:r>
      <w:r w:rsidRPr="006023C7">
        <w:rPr>
          <w:kern w:val="22"/>
          <w:szCs w:val="22"/>
        </w:rPr>
        <w:t>addressed by ensuring full and complete metadata tagging, including subject tagging of knowledge objects. Consistent use of shared terminology increases findability, as does full-text indexing. Increasing the interoperability of search systems and standardization and the use of common descriptors will allow for better findability of information.</w:t>
      </w:r>
    </w:p>
    <w:p w14:paraId="5839B1BC" w14:textId="626EF579" w:rsidR="00311425" w:rsidRPr="006023C7" w:rsidRDefault="00126717" w:rsidP="001F4589">
      <w:pPr>
        <w:pStyle w:val="Para1"/>
        <w:numPr>
          <w:ilvl w:val="0"/>
          <w:numId w:val="10"/>
        </w:numPr>
        <w:suppressLineNumbers/>
        <w:tabs>
          <w:tab w:val="clear" w:pos="360"/>
        </w:tabs>
        <w:suppressAutoHyphens/>
        <w:rPr>
          <w:kern w:val="22"/>
          <w:szCs w:val="22"/>
        </w:rPr>
      </w:pPr>
      <w:r w:rsidRPr="006023C7">
        <w:rPr>
          <w:kern w:val="22"/>
          <w:szCs w:val="22"/>
        </w:rPr>
        <w:t xml:space="preserve">While there are many existing collections of biodiversity data, information and knowledge, finding and sharing them remains difficult. In addition, not all information is made available in an open-access manner, making it difficult for all stakeholders, most especially for those in developing countries to access and use it. Further work is needed to make it easier for users to find and access available information and knowledge in comprehensible formats. The latter could be achieved </w:t>
      </w:r>
      <w:r w:rsidR="00FF3BB5">
        <w:rPr>
          <w:kern w:val="22"/>
          <w:szCs w:val="22"/>
        </w:rPr>
        <w:t>by</w:t>
      </w:r>
      <w:r w:rsidR="00FF3BB5" w:rsidRPr="00FF3BB5">
        <w:rPr>
          <w:kern w:val="22"/>
          <w:szCs w:val="22"/>
        </w:rPr>
        <w:t xml:space="preserve"> </w:t>
      </w:r>
      <w:r w:rsidRPr="00FF3BB5">
        <w:rPr>
          <w:kern w:val="22"/>
          <w:szCs w:val="22"/>
        </w:rPr>
        <w:t>taking advantage of modern technologies to enhance data, information and know</w:t>
      </w:r>
      <w:r w:rsidRPr="006023C7">
        <w:rPr>
          <w:kern w:val="22"/>
          <w:szCs w:val="22"/>
        </w:rPr>
        <w:t>ledge integration and visualization of search results. Following international standards and best practices, biodiversity-related convention secretariats have developed a variety of “common formats” that are used to describe frequently collected information.</w:t>
      </w:r>
    </w:p>
    <w:p w14:paraId="2ECF74C4" w14:textId="408BE763" w:rsidR="005F2238" w:rsidRPr="006023C7" w:rsidRDefault="002B6870" w:rsidP="001F4589">
      <w:pPr>
        <w:pStyle w:val="Heading2"/>
        <w:numPr>
          <w:ilvl w:val="0"/>
          <w:numId w:val="11"/>
        </w:numPr>
        <w:suppressLineNumbers/>
        <w:tabs>
          <w:tab w:val="clear" w:pos="720"/>
        </w:tabs>
        <w:suppressAutoHyphens/>
        <w:spacing w:after="0"/>
        <w:ind w:left="714" w:hanging="357"/>
        <w:rPr>
          <w:kern w:val="22"/>
        </w:rPr>
      </w:pPr>
      <w:r w:rsidRPr="006023C7">
        <w:rPr>
          <w:kern w:val="22"/>
        </w:rPr>
        <w:t>Promoting the effective u</w:t>
      </w:r>
      <w:r w:rsidR="00745470" w:rsidRPr="006023C7">
        <w:rPr>
          <w:kern w:val="22"/>
        </w:rPr>
        <w:t>se</w:t>
      </w:r>
      <w:r w:rsidRPr="006023C7">
        <w:rPr>
          <w:kern w:val="22"/>
        </w:rPr>
        <w:t xml:space="preserve"> and a</w:t>
      </w:r>
      <w:r w:rsidR="00745470" w:rsidRPr="006023C7">
        <w:rPr>
          <w:kern w:val="22"/>
        </w:rPr>
        <w:t>pplication of knowledge</w:t>
      </w:r>
    </w:p>
    <w:p w14:paraId="0D958CB0" w14:textId="659615D9" w:rsidR="00375343" w:rsidRPr="006023C7" w:rsidRDefault="007C6FBE" w:rsidP="001F4589">
      <w:pPr>
        <w:pStyle w:val="Para1"/>
        <w:numPr>
          <w:ilvl w:val="0"/>
          <w:numId w:val="10"/>
        </w:numPr>
        <w:suppressLineNumbers/>
        <w:tabs>
          <w:tab w:val="clear" w:pos="360"/>
        </w:tabs>
        <w:suppressAutoHyphens/>
        <w:rPr>
          <w:kern w:val="22"/>
          <w:szCs w:val="22"/>
        </w:rPr>
      </w:pPr>
      <w:r w:rsidRPr="006023C7">
        <w:rPr>
          <w:kern w:val="22"/>
          <w:szCs w:val="22"/>
        </w:rPr>
        <w:t xml:space="preserve">As noted above, collectively, </w:t>
      </w:r>
      <w:r w:rsidR="00274AF0" w:rsidRPr="006023C7">
        <w:rPr>
          <w:kern w:val="22"/>
          <w:szCs w:val="22"/>
        </w:rPr>
        <w:t>G</w:t>
      </w:r>
      <w:r w:rsidRPr="006023C7">
        <w:rPr>
          <w:kern w:val="22"/>
          <w:szCs w:val="22"/>
        </w:rPr>
        <w:t>overnments, organizations and other stakeholders have a wealth of biodiversity data, information and knowledge stored in databases, libraries and other repositories. However, this wealth of data is only of value if it is shared and effectively used to support biodiversity planning, policy development, decision</w:t>
      </w:r>
      <w:r w:rsidR="00051E42" w:rsidRPr="006023C7">
        <w:rPr>
          <w:kern w:val="22"/>
          <w:szCs w:val="22"/>
        </w:rPr>
        <w:t>-</w:t>
      </w:r>
      <w:r w:rsidRPr="006023C7">
        <w:rPr>
          <w:kern w:val="22"/>
          <w:szCs w:val="22"/>
        </w:rPr>
        <w:t>making, implementation, monitoring, review and reporting processes.</w:t>
      </w:r>
    </w:p>
    <w:p w14:paraId="32CEFE03" w14:textId="0E128B42" w:rsidR="00745470" w:rsidRPr="006023C7" w:rsidRDefault="007C6FBE" w:rsidP="001F4589">
      <w:pPr>
        <w:pStyle w:val="Para1"/>
        <w:numPr>
          <w:ilvl w:val="0"/>
          <w:numId w:val="10"/>
        </w:numPr>
        <w:suppressLineNumbers/>
        <w:tabs>
          <w:tab w:val="clear" w:pos="360"/>
        </w:tabs>
        <w:suppressAutoHyphens/>
        <w:rPr>
          <w:kern w:val="22"/>
          <w:szCs w:val="22"/>
        </w:rPr>
      </w:pPr>
      <w:r w:rsidRPr="006023C7">
        <w:rPr>
          <w:kern w:val="22"/>
          <w:szCs w:val="22"/>
        </w:rPr>
        <w:t>Various initiatives</w:t>
      </w:r>
      <w:r w:rsidR="005D3CB5">
        <w:rPr>
          <w:kern w:val="22"/>
          <w:szCs w:val="22"/>
        </w:rPr>
        <w:t>,</w:t>
      </w:r>
      <w:r w:rsidRPr="005D3CB5">
        <w:rPr>
          <w:kern w:val="22"/>
          <w:szCs w:val="22"/>
        </w:rPr>
        <w:t xml:space="preserve"> such as IPBES and the Connect Project</w:t>
      </w:r>
      <w:r w:rsidR="005D3CB5">
        <w:rPr>
          <w:kern w:val="22"/>
          <w:szCs w:val="22"/>
        </w:rPr>
        <w:t>,</w:t>
      </w:r>
      <w:r w:rsidRPr="005D3CB5">
        <w:rPr>
          <w:kern w:val="22"/>
          <w:szCs w:val="22"/>
        </w:rPr>
        <w:t xml:space="preserve"> have made progress in providing support for </w:t>
      </w:r>
      <w:r w:rsidR="00051E42" w:rsidRPr="008A5462">
        <w:rPr>
          <w:kern w:val="22"/>
          <w:szCs w:val="22"/>
        </w:rPr>
        <w:t>G</w:t>
      </w:r>
      <w:r w:rsidRPr="008A5462">
        <w:rPr>
          <w:kern w:val="22"/>
          <w:szCs w:val="22"/>
        </w:rPr>
        <w:t>overnments and stakeholders to integrate biodiversity data into decision</w:t>
      </w:r>
      <w:r w:rsidR="00051E42" w:rsidRPr="008A5462">
        <w:rPr>
          <w:kern w:val="22"/>
          <w:szCs w:val="22"/>
        </w:rPr>
        <w:t>-</w:t>
      </w:r>
      <w:r w:rsidRPr="008A5462">
        <w:rPr>
          <w:kern w:val="22"/>
          <w:szCs w:val="22"/>
        </w:rPr>
        <w:t xml:space="preserve">making. The </w:t>
      </w:r>
      <w:r w:rsidR="008A5462" w:rsidRPr="006C1BE4">
        <w:rPr>
          <w:kern w:val="22"/>
          <w:szCs w:val="22"/>
        </w:rPr>
        <w:t xml:space="preserve">objective </w:t>
      </w:r>
      <w:r w:rsidR="008A5462">
        <w:rPr>
          <w:kern w:val="22"/>
          <w:szCs w:val="22"/>
        </w:rPr>
        <w:t xml:space="preserve">of the </w:t>
      </w:r>
      <w:r w:rsidRPr="008A5462">
        <w:rPr>
          <w:kern w:val="22"/>
          <w:szCs w:val="22"/>
        </w:rPr>
        <w:t xml:space="preserve">Connect Project </w:t>
      </w:r>
      <w:r w:rsidR="008A5462">
        <w:rPr>
          <w:kern w:val="22"/>
          <w:szCs w:val="22"/>
        </w:rPr>
        <w:t>is</w:t>
      </w:r>
      <w:r w:rsidRPr="008A5462">
        <w:rPr>
          <w:kern w:val="22"/>
          <w:szCs w:val="22"/>
        </w:rPr>
        <w:t xml:space="preserve"> to ensure </w:t>
      </w:r>
      <w:r w:rsidR="00514820">
        <w:rPr>
          <w:kern w:val="22"/>
          <w:szCs w:val="22"/>
        </w:rPr>
        <w:t xml:space="preserve">that </w:t>
      </w:r>
      <w:r w:rsidRPr="008A5462">
        <w:rPr>
          <w:kern w:val="22"/>
          <w:szCs w:val="22"/>
        </w:rPr>
        <w:t xml:space="preserve">biodiversity is </w:t>
      </w:r>
      <w:proofErr w:type="gramStart"/>
      <w:r w:rsidRPr="008A5462">
        <w:rPr>
          <w:kern w:val="22"/>
          <w:szCs w:val="22"/>
        </w:rPr>
        <w:t>taken into account</w:t>
      </w:r>
      <w:proofErr w:type="gramEnd"/>
      <w:r w:rsidRPr="008A5462">
        <w:rPr>
          <w:kern w:val="22"/>
          <w:szCs w:val="22"/>
        </w:rPr>
        <w:t xml:space="preserve"> in decision</w:t>
      </w:r>
      <w:r w:rsidR="00051E42" w:rsidRPr="008A5462">
        <w:rPr>
          <w:kern w:val="22"/>
          <w:szCs w:val="22"/>
        </w:rPr>
        <w:t>-</w:t>
      </w:r>
      <w:r w:rsidRPr="008A5462">
        <w:rPr>
          <w:kern w:val="22"/>
          <w:szCs w:val="22"/>
        </w:rPr>
        <w:t>making across government sectors by improving development decision makers’ access to and use of biodiversity information and embedding biodiversity information within national development decision</w:t>
      </w:r>
      <w:r w:rsidR="002B61E7" w:rsidRPr="008A5462">
        <w:rPr>
          <w:kern w:val="22"/>
          <w:szCs w:val="22"/>
        </w:rPr>
        <w:noBreakHyphen/>
      </w:r>
      <w:r w:rsidRPr="00514820">
        <w:rPr>
          <w:kern w:val="22"/>
          <w:szCs w:val="22"/>
        </w:rPr>
        <w:t>making processes. Such initiatives need to promote contextualization and util</w:t>
      </w:r>
      <w:r w:rsidRPr="00E0113A">
        <w:rPr>
          <w:kern w:val="22"/>
          <w:szCs w:val="22"/>
        </w:rPr>
        <w:t>ization of existing information knowledge to support policy, planning, decision-making, implementation, monitoring and reporting.</w:t>
      </w:r>
    </w:p>
    <w:p w14:paraId="4C45B0DF" w14:textId="5816BCD8" w:rsidR="00964A8F" w:rsidRPr="006023C7" w:rsidRDefault="00D43195" w:rsidP="001F4589">
      <w:pPr>
        <w:pStyle w:val="Heading2"/>
        <w:numPr>
          <w:ilvl w:val="0"/>
          <w:numId w:val="11"/>
        </w:numPr>
        <w:suppressLineNumbers/>
        <w:tabs>
          <w:tab w:val="clear" w:pos="720"/>
        </w:tabs>
        <w:suppressAutoHyphens/>
        <w:ind w:left="714" w:hanging="357"/>
        <w:rPr>
          <w:kern w:val="22"/>
        </w:rPr>
      </w:pPr>
      <w:bookmarkStart w:id="11" w:name="_Toc39228096"/>
      <w:r w:rsidRPr="006023C7">
        <w:rPr>
          <w:kern w:val="22"/>
        </w:rPr>
        <w:t>Conducting k</w:t>
      </w:r>
      <w:r w:rsidR="00710798" w:rsidRPr="006023C7">
        <w:rPr>
          <w:kern w:val="22"/>
        </w:rPr>
        <w:t>nowledge audit</w:t>
      </w:r>
      <w:r w:rsidRPr="006023C7">
        <w:rPr>
          <w:kern w:val="22"/>
        </w:rPr>
        <w:t>s</w:t>
      </w:r>
      <w:r w:rsidR="00710798" w:rsidRPr="006023C7">
        <w:rPr>
          <w:kern w:val="22"/>
        </w:rPr>
        <w:t xml:space="preserve"> and review</w:t>
      </w:r>
      <w:bookmarkEnd w:id="11"/>
      <w:r w:rsidRPr="006023C7">
        <w:rPr>
          <w:kern w:val="22"/>
        </w:rPr>
        <w:t>s</w:t>
      </w:r>
    </w:p>
    <w:p w14:paraId="5DC25958" w14:textId="7B578C66" w:rsidR="00964A8F" w:rsidRPr="006023C7" w:rsidRDefault="00D43195" w:rsidP="001F4589">
      <w:pPr>
        <w:pStyle w:val="Para1"/>
        <w:numPr>
          <w:ilvl w:val="0"/>
          <w:numId w:val="10"/>
        </w:numPr>
        <w:suppressLineNumbers/>
        <w:tabs>
          <w:tab w:val="clear" w:pos="360"/>
        </w:tabs>
        <w:suppressAutoHyphens/>
        <w:rPr>
          <w:kern w:val="22"/>
          <w:szCs w:val="22"/>
        </w:rPr>
      </w:pPr>
      <w:r w:rsidRPr="006023C7">
        <w:rPr>
          <w:kern w:val="22"/>
        </w:rPr>
        <w:t xml:space="preserve">Knowledge audits and reviews will be conducted periodically to assess how the knowledge management component is contributing to the achievement of the goals and targets of the post-2020 global biodiversity framework, to identify knowledge gaps and improve national planning and priority setting, </w:t>
      </w:r>
      <w:r w:rsidRPr="006023C7">
        <w:rPr>
          <w:kern w:val="22"/>
        </w:rPr>
        <w:lastRenderedPageBreak/>
        <w:t>while considering global priorities. Different methods, including the strengths, weaknesses, opportunities and threats (SWOT) analysis, will be used, as appropriate</w:t>
      </w:r>
      <w:r w:rsidR="00964A8F" w:rsidRPr="006023C7">
        <w:rPr>
          <w:kern w:val="22"/>
          <w:szCs w:val="22"/>
        </w:rPr>
        <w:t>.</w:t>
      </w:r>
    </w:p>
    <w:p w14:paraId="03EA79A3" w14:textId="30D0C9F7" w:rsidR="00964A8F" w:rsidRPr="00615C3F" w:rsidRDefault="00623AF9" w:rsidP="00615C3F">
      <w:pPr>
        <w:pStyle w:val="Heading1"/>
        <w:suppressLineNumbers/>
        <w:tabs>
          <w:tab w:val="clear" w:pos="720"/>
          <w:tab w:val="left" w:pos="426"/>
        </w:tabs>
        <w:suppressAutoHyphens/>
        <w:spacing w:before="120"/>
        <w:rPr>
          <w:rFonts w:ascii="Times New Roman Bold" w:hAnsi="Times New Roman Bold"/>
          <w:bCs/>
          <w:caps w:val="0"/>
          <w:kern w:val="22"/>
        </w:rPr>
      </w:pPr>
      <w:r w:rsidRPr="001F6566">
        <w:rPr>
          <w:rFonts w:ascii="Times New Roman Bold" w:hAnsi="Times New Roman Bold"/>
          <w:bCs/>
          <w:caps w:val="0"/>
          <w:kern w:val="22"/>
        </w:rPr>
        <w:t>IV.</w:t>
      </w:r>
      <w:r w:rsidRPr="001F6566">
        <w:rPr>
          <w:rFonts w:ascii="Times New Roman Bold" w:hAnsi="Times New Roman Bold"/>
          <w:bCs/>
          <w:caps w:val="0"/>
          <w:kern w:val="22"/>
        </w:rPr>
        <w:tab/>
        <w:t>IMPLEMENTATION OF THE KNOWLEDGE MANAGEMENT COMPONENT</w:t>
      </w:r>
    </w:p>
    <w:p w14:paraId="1547D2CE" w14:textId="250117A9" w:rsidR="000A35A2" w:rsidRPr="006023C7" w:rsidRDefault="000A35A2" w:rsidP="00482485">
      <w:pPr>
        <w:pStyle w:val="Para1"/>
        <w:numPr>
          <w:ilvl w:val="0"/>
          <w:numId w:val="10"/>
        </w:numPr>
        <w:suppressLineNumbers/>
        <w:tabs>
          <w:tab w:val="clear" w:pos="360"/>
          <w:tab w:val="num" w:pos="720"/>
        </w:tabs>
        <w:suppressAutoHyphens/>
        <w:rPr>
          <w:kern w:val="22"/>
          <w:szCs w:val="22"/>
        </w:rPr>
      </w:pPr>
      <w:r w:rsidRPr="00623AF9">
        <w:rPr>
          <w:kern w:val="22"/>
        </w:rPr>
        <w:t>The knowledge management component will be operationali</w:t>
      </w:r>
      <w:r w:rsidR="00101A1A" w:rsidRPr="00623AF9">
        <w:rPr>
          <w:kern w:val="22"/>
        </w:rPr>
        <w:t>z</w:t>
      </w:r>
      <w:r w:rsidRPr="00623AF9">
        <w:rPr>
          <w:kern w:val="22"/>
        </w:rPr>
        <w:t xml:space="preserve">ed by </w:t>
      </w:r>
      <w:r w:rsidR="00101A1A" w:rsidRPr="00623AF9">
        <w:rPr>
          <w:kern w:val="22"/>
        </w:rPr>
        <w:t>G</w:t>
      </w:r>
      <w:r w:rsidRPr="00623AF9">
        <w:rPr>
          <w:kern w:val="22"/>
        </w:rPr>
        <w:t>overnments and relevant stakeholders in line with their strategic priorities to implement the post-2020 global biodiversity framework. Possible actions to facilitate the implementation o</w:t>
      </w:r>
      <w:r w:rsidRPr="00E0113A">
        <w:rPr>
          <w:kern w:val="22"/>
        </w:rPr>
        <w:t xml:space="preserve">f this component are presented in </w:t>
      </w:r>
      <w:r w:rsidR="006F6E30" w:rsidRPr="00E0113A">
        <w:rPr>
          <w:kern w:val="22"/>
        </w:rPr>
        <w:t>a</w:t>
      </w:r>
      <w:r w:rsidRPr="00530448">
        <w:rPr>
          <w:kern w:val="22"/>
        </w:rPr>
        <w:t xml:space="preserve">nnex </w:t>
      </w:r>
      <w:r w:rsidR="006F6E30" w:rsidRPr="00E85FC4">
        <w:rPr>
          <w:kern w:val="22"/>
        </w:rPr>
        <w:t>II</w:t>
      </w:r>
      <w:r w:rsidRPr="00E85FC4">
        <w:rPr>
          <w:kern w:val="22"/>
        </w:rPr>
        <w:t xml:space="preserve">. These build on the key actions for enhancing synergies and cooperation among the biodiversity-related </w:t>
      </w:r>
      <w:r w:rsidR="006B59D8" w:rsidRPr="006023C7">
        <w:rPr>
          <w:kern w:val="22"/>
        </w:rPr>
        <w:t>c</w:t>
      </w:r>
      <w:r w:rsidRPr="006023C7">
        <w:rPr>
          <w:kern w:val="22"/>
        </w:rPr>
        <w:t xml:space="preserve">onventions and international organizations in the area of information and knowledge management identified in decision </w:t>
      </w:r>
      <w:hyperlink r:id="rId18" w:history="1">
        <w:r w:rsidRPr="006023C7">
          <w:rPr>
            <w:rStyle w:val="Hyperlink"/>
            <w:kern w:val="22"/>
            <w:sz w:val="22"/>
          </w:rPr>
          <w:t>XIII/24</w:t>
        </w:r>
      </w:hyperlink>
      <w:r w:rsidRPr="006023C7">
        <w:rPr>
          <w:kern w:val="22"/>
        </w:rPr>
        <w:t>. Those actions will be implemented in manner complementary to the long-term strategic framework for capacity development, the proposals to strengthen technical a</w:t>
      </w:r>
      <w:r w:rsidRPr="00185E4B">
        <w:rPr>
          <w:kern w:val="22"/>
        </w:rPr>
        <w:t xml:space="preserve">nd scientific cooperation, the framework for a global communications strategy, the data strategy for the Secretariat </w:t>
      </w:r>
      <w:r w:rsidR="00B71D5E" w:rsidRPr="00AA35F8">
        <w:rPr>
          <w:kern w:val="22"/>
        </w:rPr>
        <w:t xml:space="preserve">of the Convention on Biological Diversity </w:t>
      </w:r>
      <w:r w:rsidRPr="008C196B">
        <w:rPr>
          <w:kern w:val="22"/>
        </w:rPr>
        <w:t xml:space="preserve">and the </w:t>
      </w:r>
      <w:r w:rsidRPr="00C62754">
        <w:rPr>
          <w:kern w:val="22"/>
          <w:szCs w:val="22"/>
        </w:rPr>
        <w:t>enhanced planning, reporting and review mechanism</w:t>
      </w:r>
      <w:r w:rsidRPr="00E0113A">
        <w:rPr>
          <w:kern w:val="22"/>
        </w:rPr>
        <w:t xml:space="preserve"> of the post-2020 global biodiversity fr</w:t>
      </w:r>
      <w:r w:rsidRPr="006023C7">
        <w:rPr>
          <w:kern w:val="22"/>
        </w:rPr>
        <w:t>amework.</w:t>
      </w:r>
    </w:p>
    <w:p w14:paraId="1BD49DCE" w14:textId="5E565A7C" w:rsidR="000A35A2" w:rsidRPr="006023C7" w:rsidRDefault="000A35A2" w:rsidP="00482485">
      <w:pPr>
        <w:pStyle w:val="Para1"/>
        <w:numPr>
          <w:ilvl w:val="0"/>
          <w:numId w:val="10"/>
        </w:numPr>
        <w:suppressLineNumbers/>
        <w:tabs>
          <w:tab w:val="clear" w:pos="360"/>
          <w:tab w:val="num" w:pos="720"/>
        </w:tabs>
        <w:suppressAutoHyphens/>
        <w:rPr>
          <w:kern w:val="22"/>
          <w:szCs w:val="22"/>
        </w:rPr>
      </w:pPr>
      <w:r w:rsidRPr="006023C7">
        <w:rPr>
          <w:kern w:val="22"/>
        </w:rPr>
        <w:t xml:space="preserve">Enhanced knowledge management will require effective collaboration, cooperation and coordination among </w:t>
      </w:r>
      <w:r w:rsidR="00EC4D7F" w:rsidRPr="006023C7">
        <w:rPr>
          <w:kern w:val="22"/>
        </w:rPr>
        <w:t>G</w:t>
      </w:r>
      <w:r w:rsidRPr="006023C7">
        <w:rPr>
          <w:kern w:val="22"/>
        </w:rPr>
        <w:t xml:space="preserve">overnments and relevant organizations in biodiversity data, information and knowledge processes. It may also require </w:t>
      </w:r>
      <w:r w:rsidR="00324E56" w:rsidRPr="006023C7">
        <w:rPr>
          <w:kern w:val="22"/>
        </w:rPr>
        <w:t>input and support</w:t>
      </w:r>
      <w:r w:rsidRPr="006023C7">
        <w:rPr>
          <w:kern w:val="22"/>
        </w:rPr>
        <w:t xml:space="preserve"> from relevant institutional bodies and mechanisms to </w:t>
      </w:r>
      <w:r w:rsidR="00EC4D7F" w:rsidRPr="006023C7">
        <w:rPr>
          <w:kern w:val="22"/>
        </w:rPr>
        <w:t>G</w:t>
      </w:r>
      <w:r w:rsidRPr="006023C7">
        <w:rPr>
          <w:kern w:val="22"/>
        </w:rPr>
        <w:t xml:space="preserve">overnments and other key actors (including knowledge creators, managers, brokers, practitioners and users) involved. Such </w:t>
      </w:r>
      <w:r w:rsidR="00324E56" w:rsidRPr="006023C7">
        <w:rPr>
          <w:kern w:val="22"/>
        </w:rPr>
        <w:t>support</w:t>
      </w:r>
      <w:r w:rsidRPr="006023C7">
        <w:rPr>
          <w:kern w:val="22"/>
        </w:rPr>
        <w:t xml:space="preserve"> could be provided, as appropriate, by:</w:t>
      </w:r>
    </w:p>
    <w:p w14:paraId="46B69F22" w14:textId="4CCFDA4B" w:rsidR="000A35A2" w:rsidRPr="006023C7" w:rsidRDefault="000A35A2" w:rsidP="00615C3F">
      <w:pPr>
        <w:pStyle w:val="CBD-Para-a"/>
        <w:keepLines w:val="0"/>
        <w:numPr>
          <w:ilvl w:val="0"/>
          <w:numId w:val="16"/>
        </w:numPr>
        <w:suppressLineNumbers/>
        <w:tabs>
          <w:tab w:val="clear" w:pos="1080"/>
          <w:tab w:val="num" w:pos="1276"/>
        </w:tabs>
        <w:suppressAutoHyphens/>
        <w:ind w:left="0" w:firstLine="720"/>
        <w:rPr>
          <w:kern w:val="22"/>
          <w:lang w:val="en-GB"/>
        </w:rPr>
      </w:pPr>
      <w:r w:rsidRPr="006023C7">
        <w:rPr>
          <w:kern w:val="22"/>
          <w:lang w:val="en-GB"/>
        </w:rPr>
        <w:t>Existing advisory committees, such as the Steering Committee of the MEA Information and Knowledge Management Initiative led by UNEP;</w:t>
      </w:r>
    </w:p>
    <w:p w14:paraId="6703B723" w14:textId="78751F37" w:rsidR="000A35A2" w:rsidRPr="006023C7" w:rsidRDefault="000A35A2" w:rsidP="00615C3F">
      <w:pPr>
        <w:pStyle w:val="CBD-Para-a"/>
        <w:keepLines w:val="0"/>
        <w:numPr>
          <w:ilvl w:val="0"/>
          <w:numId w:val="16"/>
        </w:numPr>
        <w:suppressLineNumbers/>
        <w:tabs>
          <w:tab w:val="clear" w:pos="1080"/>
          <w:tab w:val="num" w:pos="1276"/>
        </w:tabs>
        <w:suppressAutoHyphens/>
        <w:ind w:left="0" w:firstLine="720"/>
        <w:rPr>
          <w:kern w:val="22"/>
          <w:lang w:val="en-GB"/>
        </w:rPr>
      </w:pPr>
      <w:r w:rsidRPr="006023C7">
        <w:rPr>
          <w:kern w:val="22"/>
          <w:lang w:val="en-GB"/>
        </w:rPr>
        <w:t>Advisory groups, such as the Informal Advisory Group on Technical and Scientific Cooperation</w:t>
      </w:r>
      <w:r w:rsidRPr="006023C7">
        <w:rPr>
          <w:rStyle w:val="FootnoteReference"/>
          <w:kern w:val="22"/>
          <w:lang w:val="en-GB"/>
        </w:rPr>
        <w:footnoteReference w:id="16"/>
      </w:r>
      <w:r w:rsidRPr="006023C7">
        <w:rPr>
          <w:kern w:val="22"/>
          <w:lang w:val="en-GB"/>
        </w:rPr>
        <w:t xml:space="preserve"> to be established pursuant to decision </w:t>
      </w:r>
      <w:hyperlink r:id="rId19" w:history="1">
        <w:r w:rsidRPr="006023C7">
          <w:rPr>
            <w:rStyle w:val="Hyperlink"/>
            <w:kern w:val="22"/>
            <w:sz w:val="22"/>
            <w:lang w:val="en-GB"/>
          </w:rPr>
          <w:t>14/24 B</w:t>
        </w:r>
      </w:hyperlink>
      <w:r w:rsidRPr="006023C7">
        <w:rPr>
          <w:kern w:val="22"/>
          <w:lang w:val="en-GB"/>
        </w:rPr>
        <w:t>, paragraph 5;</w:t>
      </w:r>
    </w:p>
    <w:p w14:paraId="1495A71D" w14:textId="1B6850E5" w:rsidR="000A35A2" w:rsidRPr="002A694F" w:rsidRDefault="000A35A2" w:rsidP="00615C3F">
      <w:pPr>
        <w:pStyle w:val="CBD-Para-a"/>
        <w:keepLines w:val="0"/>
        <w:numPr>
          <w:ilvl w:val="0"/>
          <w:numId w:val="16"/>
        </w:numPr>
        <w:suppressLineNumbers/>
        <w:tabs>
          <w:tab w:val="clear" w:pos="1080"/>
          <w:tab w:val="num" w:pos="1276"/>
        </w:tabs>
        <w:suppressAutoHyphens/>
        <w:ind w:left="0" w:firstLine="720"/>
        <w:rPr>
          <w:kern w:val="22"/>
          <w:lang w:val="en-GB"/>
        </w:rPr>
      </w:pPr>
      <w:r w:rsidRPr="00185E4B">
        <w:rPr>
          <w:kern w:val="22"/>
          <w:lang w:val="en-GB"/>
        </w:rPr>
        <w:t>Informal networks, such as the Alliance for Biodiversity Knowledge</w:t>
      </w:r>
      <w:r w:rsidR="005F18A1" w:rsidRPr="002A694F">
        <w:rPr>
          <w:kern w:val="22"/>
          <w:lang w:val="en-GB"/>
        </w:rPr>
        <w:t>,</w:t>
      </w:r>
      <w:r w:rsidRPr="006023C7">
        <w:rPr>
          <w:rStyle w:val="FootnoteReference"/>
          <w:kern w:val="22"/>
          <w:lang w:val="en-GB"/>
        </w:rPr>
        <w:footnoteReference w:id="17"/>
      </w:r>
      <w:r w:rsidRPr="006023C7">
        <w:rPr>
          <w:kern w:val="22"/>
          <w:lang w:val="en-GB"/>
        </w:rPr>
        <w:t xml:space="preserve"> which brings together </w:t>
      </w:r>
      <w:r w:rsidR="004A1266" w:rsidRPr="00185E4B">
        <w:rPr>
          <w:kern w:val="22"/>
          <w:lang w:val="en-GB"/>
        </w:rPr>
        <w:t>stakeholders</w:t>
      </w:r>
      <w:r w:rsidRPr="00185E4B">
        <w:rPr>
          <w:kern w:val="22"/>
          <w:lang w:val="en-GB"/>
        </w:rPr>
        <w:t xml:space="preserve"> working on the collection, curation or sharing of biodiversity data, information and knowledge;</w:t>
      </w:r>
    </w:p>
    <w:p w14:paraId="4C38BE81" w14:textId="403B82AF" w:rsidR="000A35A2" w:rsidRPr="006B315E" w:rsidRDefault="000A35A2" w:rsidP="00615C3F">
      <w:pPr>
        <w:pStyle w:val="CBD-Para-a"/>
        <w:keepLines w:val="0"/>
        <w:numPr>
          <w:ilvl w:val="0"/>
          <w:numId w:val="16"/>
        </w:numPr>
        <w:suppressLineNumbers/>
        <w:tabs>
          <w:tab w:val="clear" w:pos="1080"/>
          <w:tab w:val="num" w:pos="1276"/>
        </w:tabs>
        <w:suppressAutoHyphens/>
        <w:ind w:left="0" w:firstLine="720"/>
        <w:rPr>
          <w:kern w:val="22"/>
          <w:lang w:val="en-GB"/>
        </w:rPr>
      </w:pPr>
      <w:r w:rsidRPr="00AA35F8">
        <w:rPr>
          <w:kern w:val="22"/>
          <w:lang w:val="en-GB"/>
        </w:rPr>
        <w:t xml:space="preserve">The expanded Biodiversity Indicators Partnership (BIP) which will include more users and foster </w:t>
      </w:r>
      <w:r w:rsidRPr="008C196B">
        <w:rPr>
          <w:kern w:val="22"/>
          <w:lang w:val="en-GB"/>
        </w:rPr>
        <w:t>collaboration with the U</w:t>
      </w:r>
      <w:r w:rsidR="00C73871" w:rsidRPr="00C62754">
        <w:rPr>
          <w:kern w:val="22"/>
          <w:lang w:val="en-GB"/>
        </w:rPr>
        <w:t xml:space="preserve">nited </w:t>
      </w:r>
      <w:r w:rsidRPr="006B315E">
        <w:rPr>
          <w:kern w:val="22"/>
          <w:lang w:val="en-GB"/>
        </w:rPr>
        <w:t>N</w:t>
      </w:r>
      <w:r w:rsidR="00C73871" w:rsidRPr="006B315E">
        <w:rPr>
          <w:kern w:val="22"/>
          <w:lang w:val="en-GB"/>
        </w:rPr>
        <w:t>ations</w:t>
      </w:r>
      <w:r w:rsidRPr="006B315E">
        <w:rPr>
          <w:kern w:val="22"/>
          <w:lang w:val="en-GB"/>
        </w:rPr>
        <w:t xml:space="preserve"> Statistical Commission;</w:t>
      </w:r>
    </w:p>
    <w:p w14:paraId="37F132D4" w14:textId="4611373C" w:rsidR="000A35A2" w:rsidRPr="00F83938" w:rsidRDefault="000A35A2" w:rsidP="00615C3F">
      <w:pPr>
        <w:pStyle w:val="CBD-Para-a"/>
        <w:keepLines w:val="0"/>
        <w:numPr>
          <w:ilvl w:val="0"/>
          <w:numId w:val="16"/>
        </w:numPr>
        <w:suppressLineNumbers/>
        <w:tabs>
          <w:tab w:val="clear" w:pos="1080"/>
          <w:tab w:val="num" w:pos="1276"/>
        </w:tabs>
        <w:suppressAutoHyphens/>
        <w:ind w:left="0" w:firstLine="720"/>
        <w:rPr>
          <w:kern w:val="22"/>
          <w:lang w:val="en-GB"/>
        </w:rPr>
      </w:pPr>
      <w:r w:rsidRPr="00615C01">
        <w:rPr>
          <w:kern w:val="22"/>
          <w:lang w:val="en-GB"/>
        </w:rPr>
        <w:t>An informal coalition or partnership involving relevant organizations</w:t>
      </w:r>
      <w:r w:rsidR="00615C01">
        <w:rPr>
          <w:kern w:val="22"/>
          <w:lang w:val="en-GB"/>
        </w:rPr>
        <w:t>,</w:t>
      </w:r>
      <w:r w:rsidRPr="00615C01">
        <w:rPr>
          <w:kern w:val="22"/>
          <w:lang w:val="en-GB"/>
        </w:rPr>
        <w:t xml:space="preserve"> such as UNEP, </w:t>
      </w:r>
      <w:r w:rsidR="00C73871" w:rsidRPr="00E0113A">
        <w:rPr>
          <w:kern w:val="22"/>
          <w:lang w:val="en-GB"/>
        </w:rPr>
        <w:t>the United Nations Development Programme (</w:t>
      </w:r>
      <w:r w:rsidRPr="00E0113A">
        <w:rPr>
          <w:kern w:val="22"/>
          <w:lang w:val="en-GB"/>
        </w:rPr>
        <w:t>UNDP</w:t>
      </w:r>
      <w:r w:rsidR="00C73871" w:rsidRPr="00E0113A">
        <w:rPr>
          <w:kern w:val="22"/>
          <w:lang w:val="en-GB"/>
        </w:rPr>
        <w:t>)</w:t>
      </w:r>
      <w:r w:rsidRPr="00530448">
        <w:rPr>
          <w:kern w:val="22"/>
          <w:lang w:val="en-GB"/>
        </w:rPr>
        <w:t xml:space="preserve">, </w:t>
      </w:r>
      <w:r w:rsidR="00DE6A9A" w:rsidRPr="00E85FC4">
        <w:rPr>
          <w:kern w:val="22"/>
          <w:lang w:val="en-GB"/>
        </w:rPr>
        <w:t>the Global Biodiversity Information Facility</w:t>
      </w:r>
      <w:r w:rsidR="004E5083" w:rsidRPr="00E85FC4">
        <w:rPr>
          <w:kern w:val="22"/>
          <w:lang w:val="en-GB"/>
        </w:rPr>
        <w:t xml:space="preserve"> (</w:t>
      </w:r>
      <w:r w:rsidRPr="00E85FC4">
        <w:rPr>
          <w:kern w:val="22"/>
          <w:lang w:val="en-GB"/>
        </w:rPr>
        <w:t>GBIF</w:t>
      </w:r>
      <w:r w:rsidR="004E5083" w:rsidRPr="006023C7">
        <w:rPr>
          <w:kern w:val="22"/>
          <w:lang w:val="en-GB"/>
        </w:rPr>
        <w:t>),</w:t>
      </w:r>
      <w:r w:rsidRPr="006023C7">
        <w:rPr>
          <w:kern w:val="22"/>
          <w:lang w:val="en-GB"/>
        </w:rPr>
        <w:t xml:space="preserve"> </w:t>
      </w:r>
      <w:r w:rsidR="00F83938">
        <w:rPr>
          <w:kern w:val="22"/>
          <w:lang w:val="en-GB"/>
        </w:rPr>
        <w:t xml:space="preserve">and </w:t>
      </w:r>
      <w:r w:rsidRPr="00F83938">
        <w:rPr>
          <w:kern w:val="22"/>
          <w:lang w:val="en-GB"/>
        </w:rPr>
        <w:t>GEO BON.</w:t>
      </w:r>
    </w:p>
    <w:p w14:paraId="095B87DE" w14:textId="6FE872F7" w:rsidR="009A6964" w:rsidRPr="006023C7" w:rsidRDefault="000A35A2" w:rsidP="00482485">
      <w:pPr>
        <w:pStyle w:val="Para1"/>
        <w:numPr>
          <w:ilvl w:val="0"/>
          <w:numId w:val="10"/>
        </w:numPr>
        <w:suppressLineNumbers/>
        <w:tabs>
          <w:tab w:val="clear" w:pos="360"/>
          <w:tab w:val="num" w:pos="720"/>
        </w:tabs>
        <w:suppressAutoHyphens/>
        <w:rPr>
          <w:kern w:val="22"/>
          <w:szCs w:val="22"/>
        </w:rPr>
      </w:pPr>
      <w:r w:rsidRPr="00E0113A">
        <w:rPr>
          <w:kern w:val="22"/>
          <w:szCs w:val="22"/>
        </w:rPr>
        <w:t>Relevant</w:t>
      </w:r>
      <w:r w:rsidRPr="00E0113A">
        <w:rPr>
          <w:kern w:val="22"/>
        </w:rPr>
        <w:t xml:space="preserve"> k</w:t>
      </w:r>
      <w:r w:rsidRPr="00530448">
        <w:rPr>
          <w:kern w:val="22"/>
          <w:szCs w:val="22"/>
        </w:rPr>
        <w:t>nowledge management</w:t>
      </w:r>
      <w:r w:rsidRPr="00E85FC4">
        <w:rPr>
          <w:kern w:val="22"/>
        </w:rPr>
        <w:t xml:space="preserve"> organizations, initiatives and processes will be leveraged to support the effective implementation </w:t>
      </w:r>
      <w:r w:rsidR="004E5083" w:rsidRPr="006023C7">
        <w:rPr>
          <w:kern w:val="22"/>
        </w:rPr>
        <w:t xml:space="preserve">of </w:t>
      </w:r>
      <w:r w:rsidRPr="006023C7">
        <w:rPr>
          <w:kern w:val="22"/>
        </w:rPr>
        <w:t>the knowledge management component of the post-2020 global biodiversity framework. An interactive online database of such organizations, initiatives and processes will be established to help foster coordination, collaboration and complementarity in the generation, collection, management, sharing and use of biodiversity-related data, information and knowledge</w:t>
      </w:r>
      <w:r w:rsidR="009A6964" w:rsidRPr="006023C7">
        <w:rPr>
          <w:kern w:val="22"/>
          <w:szCs w:val="22"/>
        </w:rPr>
        <w:t>.</w:t>
      </w:r>
    </w:p>
    <w:p w14:paraId="1777FACF" w14:textId="4AA3D998" w:rsidR="009A6964" w:rsidRPr="00615C3F" w:rsidRDefault="00324E56" w:rsidP="00F83938">
      <w:pPr>
        <w:pStyle w:val="Heading1"/>
        <w:suppressLineNumbers/>
        <w:tabs>
          <w:tab w:val="clear" w:pos="720"/>
          <w:tab w:val="left" w:pos="1134"/>
        </w:tabs>
        <w:suppressAutoHyphens/>
        <w:kinsoku w:val="0"/>
        <w:overflowPunct w:val="0"/>
        <w:autoSpaceDE w:val="0"/>
        <w:autoSpaceDN w:val="0"/>
        <w:spacing w:before="120"/>
        <w:ind w:left="720"/>
        <w:rPr>
          <w:rFonts w:ascii="Times New Roman Bold" w:hAnsi="Times New Roman Bold"/>
          <w:caps w:val="0"/>
          <w:kern w:val="22"/>
        </w:rPr>
      </w:pPr>
      <w:r w:rsidRPr="00615C3F">
        <w:rPr>
          <w:rFonts w:ascii="Times New Roman Bold" w:hAnsi="Times New Roman Bold"/>
          <w:caps w:val="0"/>
          <w:kern w:val="22"/>
        </w:rPr>
        <w:t>V.</w:t>
      </w:r>
      <w:r w:rsidRPr="00615C3F">
        <w:rPr>
          <w:rFonts w:ascii="Times New Roman Bold" w:hAnsi="Times New Roman Bold"/>
          <w:caps w:val="0"/>
          <w:kern w:val="22"/>
        </w:rPr>
        <w:tab/>
      </w:r>
      <w:r w:rsidR="009A6964" w:rsidRPr="00615C3F">
        <w:rPr>
          <w:rFonts w:ascii="Times New Roman Bold" w:hAnsi="Times New Roman Bold"/>
          <w:caps w:val="0"/>
          <w:kern w:val="22"/>
        </w:rPr>
        <w:t>MONITORING AND REVIEW</w:t>
      </w:r>
    </w:p>
    <w:p w14:paraId="5DFA5343" w14:textId="3E00E7DC" w:rsidR="00B9399F" w:rsidRPr="00E0113A" w:rsidRDefault="009A6964" w:rsidP="00615C3F">
      <w:pPr>
        <w:pStyle w:val="Para1"/>
        <w:numPr>
          <w:ilvl w:val="0"/>
          <w:numId w:val="10"/>
        </w:numPr>
        <w:suppressLineNumbers/>
        <w:tabs>
          <w:tab w:val="clear" w:pos="360"/>
          <w:tab w:val="num" w:pos="720"/>
        </w:tabs>
        <w:suppressAutoHyphens/>
        <w:rPr>
          <w:kern w:val="22"/>
          <w:szCs w:val="22"/>
        </w:rPr>
        <w:sectPr w:rsidR="00B9399F" w:rsidRPr="00E0113A" w:rsidSect="009141D4">
          <w:headerReference w:type="even" r:id="rId20"/>
          <w:headerReference w:type="default" r:id="rId21"/>
          <w:pgSz w:w="12240" w:h="15840"/>
          <w:pgMar w:top="567" w:right="1389" w:bottom="1134" w:left="1389" w:header="565" w:footer="709" w:gutter="0"/>
          <w:cols w:space="708"/>
          <w:titlePg/>
          <w:docGrid w:linePitch="360"/>
        </w:sectPr>
      </w:pPr>
      <w:r w:rsidRPr="00F83938">
        <w:rPr>
          <w:kern w:val="22"/>
        </w:rPr>
        <w:t xml:space="preserve">The implementation of </w:t>
      </w:r>
      <w:r w:rsidRPr="00F83938">
        <w:rPr>
          <w:kern w:val="22"/>
          <w:szCs w:val="22"/>
        </w:rPr>
        <w:t>the</w:t>
      </w:r>
      <w:r w:rsidRPr="00E0113A">
        <w:rPr>
          <w:kern w:val="22"/>
        </w:rPr>
        <w:t xml:space="preserve"> knowledge management component will be monitored </w:t>
      </w:r>
      <w:r w:rsidR="004A1266" w:rsidRPr="00E0113A">
        <w:rPr>
          <w:kern w:val="22"/>
        </w:rPr>
        <w:t xml:space="preserve">using </w:t>
      </w:r>
      <w:r w:rsidRPr="00E0113A">
        <w:rPr>
          <w:kern w:val="22"/>
        </w:rPr>
        <w:t>the information provided by Parties in their national reports</w:t>
      </w:r>
      <w:r w:rsidR="00324E56" w:rsidRPr="006023C7">
        <w:rPr>
          <w:kern w:val="22"/>
        </w:rPr>
        <w:t xml:space="preserve"> to the respective biodiversity-related </w:t>
      </w:r>
      <w:r w:rsidR="00453909" w:rsidRPr="006023C7">
        <w:rPr>
          <w:kern w:val="22"/>
        </w:rPr>
        <w:t>c</w:t>
      </w:r>
      <w:r w:rsidR="00324E56" w:rsidRPr="006023C7">
        <w:rPr>
          <w:kern w:val="22"/>
        </w:rPr>
        <w:t>onventions</w:t>
      </w:r>
      <w:r w:rsidRPr="006023C7">
        <w:rPr>
          <w:kern w:val="22"/>
        </w:rPr>
        <w:t xml:space="preserve"> and by organizations through their voluntary submissions to the </w:t>
      </w:r>
      <w:r w:rsidR="009225CA">
        <w:rPr>
          <w:kern w:val="22"/>
        </w:rPr>
        <w:t>s</w:t>
      </w:r>
      <w:r w:rsidRPr="009225CA">
        <w:rPr>
          <w:kern w:val="22"/>
        </w:rPr>
        <w:t xml:space="preserve">ecretariats of </w:t>
      </w:r>
      <w:r w:rsidR="009225CA">
        <w:rPr>
          <w:kern w:val="22"/>
        </w:rPr>
        <w:t xml:space="preserve">the </w:t>
      </w:r>
      <w:r w:rsidRPr="009225CA">
        <w:rPr>
          <w:kern w:val="22"/>
        </w:rPr>
        <w:t xml:space="preserve">biodiversity-related conventions. </w:t>
      </w:r>
      <w:bookmarkStart w:id="12" w:name="_Hlk49788243"/>
      <w:bookmarkStart w:id="13" w:name="_Hlk50341369"/>
      <w:r w:rsidRPr="009225CA">
        <w:rPr>
          <w:kern w:val="22"/>
        </w:rPr>
        <w:t>A headline indicator for knowledge management will be included in the monitoring framework for the post-2020 global biodiversity framework</w:t>
      </w:r>
      <w:bookmarkStart w:id="14" w:name="_Hlk49788308"/>
      <w:bookmarkEnd w:id="12"/>
      <w:r w:rsidRPr="009225CA">
        <w:rPr>
          <w:kern w:val="22"/>
        </w:rPr>
        <w:t>, and a complementary</w:t>
      </w:r>
      <w:r w:rsidRPr="006023C7">
        <w:rPr>
          <w:kern w:val="22"/>
        </w:rPr>
        <w:t xml:space="preserve"> set of indicators </w:t>
      </w:r>
      <w:bookmarkEnd w:id="14"/>
      <w:r w:rsidRPr="006023C7">
        <w:rPr>
          <w:kern w:val="22"/>
        </w:rPr>
        <w:t>which government and non</w:t>
      </w:r>
      <w:r w:rsidR="009225CA">
        <w:rPr>
          <w:kern w:val="22"/>
        </w:rPr>
        <w:t>-</w:t>
      </w:r>
      <w:r w:rsidRPr="00F460A0">
        <w:rPr>
          <w:kern w:val="22"/>
        </w:rPr>
        <w:t xml:space="preserve">government actors </w:t>
      </w:r>
      <w:r w:rsidR="00F460A0">
        <w:rPr>
          <w:kern w:val="22"/>
        </w:rPr>
        <w:t>can</w:t>
      </w:r>
      <w:r w:rsidR="00F460A0" w:rsidRPr="00F460A0">
        <w:rPr>
          <w:kern w:val="22"/>
        </w:rPr>
        <w:t xml:space="preserve"> </w:t>
      </w:r>
      <w:r w:rsidRPr="00F460A0">
        <w:rPr>
          <w:kern w:val="22"/>
        </w:rPr>
        <w:t>also adapt and use to monitor, assess and report on the outcomes and impact of their knowledge management efforts at the national and regional levels will be developed by the Secretariat i</w:t>
      </w:r>
      <w:r w:rsidRPr="006023C7">
        <w:rPr>
          <w:kern w:val="22"/>
        </w:rPr>
        <w:t xml:space="preserve">n collaboration with </w:t>
      </w:r>
      <w:r w:rsidR="00324E56" w:rsidRPr="006023C7">
        <w:rPr>
          <w:kern w:val="22"/>
        </w:rPr>
        <w:t xml:space="preserve">experts and practitioners from </w:t>
      </w:r>
      <w:r w:rsidRPr="006023C7">
        <w:rPr>
          <w:kern w:val="22"/>
        </w:rPr>
        <w:t xml:space="preserve">Parties and </w:t>
      </w:r>
      <w:r w:rsidR="00324E56" w:rsidRPr="006023C7">
        <w:rPr>
          <w:kern w:val="22"/>
        </w:rPr>
        <w:t>relevant organizations</w:t>
      </w:r>
      <w:r w:rsidRPr="006023C7">
        <w:rPr>
          <w:kern w:val="22"/>
        </w:rPr>
        <w:t>. The information generated from the monitoring process will inform the review and updat</w:t>
      </w:r>
      <w:r w:rsidR="00E0113A">
        <w:rPr>
          <w:kern w:val="22"/>
        </w:rPr>
        <w:t>ing</w:t>
      </w:r>
      <w:r w:rsidRPr="00E0113A">
        <w:rPr>
          <w:kern w:val="22"/>
        </w:rPr>
        <w:t xml:space="preserve"> of the </w:t>
      </w:r>
      <w:bookmarkEnd w:id="13"/>
      <w:r w:rsidRPr="00E0113A">
        <w:rPr>
          <w:kern w:val="22"/>
        </w:rPr>
        <w:t>knowledge management component, as appropriate, in 2030.</w:t>
      </w:r>
    </w:p>
    <w:p w14:paraId="2C3F3456" w14:textId="20770C0C" w:rsidR="006B112D" w:rsidRPr="00615C3F" w:rsidRDefault="006B112D" w:rsidP="001F4589">
      <w:pPr>
        <w:keepNext/>
        <w:spacing w:after="120"/>
        <w:jc w:val="center"/>
        <w:rPr>
          <w:i/>
          <w:iCs/>
          <w:kern w:val="22"/>
        </w:rPr>
      </w:pPr>
      <w:r w:rsidRPr="00615C3F">
        <w:rPr>
          <w:i/>
          <w:iCs/>
          <w:kern w:val="22"/>
        </w:rPr>
        <w:lastRenderedPageBreak/>
        <w:t>A</w:t>
      </w:r>
      <w:r w:rsidR="0021415C" w:rsidRPr="00615C3F">
        <w:rPr>
          <w:i/>
          <w:iCs/>
          <w:kern w:val="22"/>
        </w:rPr>
        <w:t>nnex</w:t>
      </w:r>
      <w:r w:rsidRPr="00615C3F">
        <w:rPr>
          <w:i/>
          <w:iCs/>
          <w:kern w:val="22"/>
        </w:rPr>
        <w:t xml:space="preserve"> </w:t>
      </w:r>
      <w:r w:rsidR="0021415C" w:rsidRPr="00615C3F">
        <w:rPr>
          <w:i/>
          <w:iCs/>
          <w:kern w:val="22"/>
        </w:rPr>
        <w:t>I</w:t>
      </w:r>
    </w:p>
    <w:p w14:paraId="0FC7A3EF" w14:textId="77777777" w:rsidR="006B112D" w:rsidRPr="00615C3F" w:rsidRDefault="006B112D" w:rsidP="00482485">
      <w:pPr>
        <w:keepNext/>
        <w:ind w:left="1440" w:right="1181"/>
        <w:jc w:val="center"/>
        <w:rPr>
          <w:b/>
          <w:bCs/>
          <w:kern w:val="22"/>
        </w:rPr>
      </w:pPr>
      <w:r w:rsidRPr="00615C3F">
        <w:rPr>
          <w:b/>
          <w:bCs/>
          <w:kern w:val="22"/>
        </w:rPr>
        <w:t>STRATEGIC ACTIONS TO ENHANCE KNOWLEDGE MANAGEMENT FOR THE EFFECTIVE IMPLEMENTATION OF THE POST-2020 GLOBAL BIODIVERSITY FRAMEWORK</w:t>
      </w:r>
    </w:p>
    <w:p w14:paraId="78E8AF62" w14:textId="77777777" w:rsidR="006B112D" w:rsidRPr="00615C3F" w:rsidRDefault="006B112D" w:rsidP="00615C3F">
      <w:pPr>
        <w:keepNext/>
        <w:jc w:val="left"/>
        <w:rPr>
          <w:kern w:val="22"/>
        </w:rPr>
      </w:pPr>
    </w:p>
    <w:tbl>
      <w:tblPr>
        <w:tblpPr w:leftFromText="180" w:rightFromText="180" w:vertAnchor="text" w:tblpXSpec="center" w:tblpY="1"/>
        <w:tblOverlap w:val="neve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269"/>
        <w:gridCol w:w="1622"/>
        <w:gridCol w:w="1631"/>
      </w:tblGrid>
      <w:tr w:rsidR="00BE29D1" w:rsidRPr="00E85FC4" w14:paraId="1D7CA972" w14:textId="77777777" w:rsidTr="00615C3F">
        <w:trPr>
          <w:cantSplit/>
          <w:tblHeader/>
          <w:jc w:val="center"/>
        </w:trPr>
        <w:tc>
          <w:tcPr>
            <w:tcW w:w="708" w:type="pct"/>
            <w:tcBorders>
              <w:bottom w:val="nil"/>
            </w:tcBorders>
            <w:shd w:val="clear" w:color="auto" w:fill="auto"/>
            <w:vAlign w:val="center"/>
          </w:tcPr>
          <w:p w14:paraId="119D3F36" w14:textId="43CBA921" w:rsidR="006B112D" w:rsidRPr="00615C3F" w:rsidRDefault="006B112D" w:rsidP="00343052">
            <w:pPr>
              <w:keepNext/>
              <w:spacing w:before="60" w:after="60"/>
              <w:jc w:val="center"/>
              <w:rPr>
                <w:rFonts w:eastAsia="MS Mincho"/>
                <w:b/>
                <w:noProof/>
                <w:snapToGrid w:val="0"/>
                <w:spacing w:val="-12"/>
                <w:kern w:val="22"/>
                <w:sz w:val="21"/>
                <w:szCs w:val="21"/>
              </w:rPr>
            </w:pPr>
            <w:r w:rsidRPr="00615C3F">
              <w:rPr>
                <w:rFonts w:eastAsia="MS Mincho"/>
                <w:b/>
                <w:noProof/>
                <w:snapToGrid w:val="0"/>
                <w:spacing w:val="-12"/>
                <w:kern w:val="22"/>
                <w:sz w:val="21"/>
                <w:szCs w:val="21"/>
              </w:rPr>
              <w:t xml:space="preserve">Strategic </w:t>
            </w:r>
            <w:r w:rsidR="00E0113A">
              <w:rPr>
                <w:rFonts w:eastAsia="MS Mincho"/>
                <w:b/>
                <w:noProof/>
                <w:snapToGrid w:val="0"/>
                <w:spacing w:val="-12"/>
                <w:kern w:val="22"/>
                <w:sz w:val="21"/>
                <w:szCs w:val="21"/>
              </w:rPr>
              <w:t>a</w:t>
            </w:r>
            <w:r w:rsidRPr="00615C3F">
              <w:rPr>
                <w:rFonts w:eastAsia="MS Mincho"/>
                <w:b/>
                <w:noProof/>
                <w:snapToGrid w:val="0"/>
                <w:spacing w:val="-12"/>
                <w:kern w:val="22"/>
                <w:sz w:val="21"/>
                <w:szCs w:val="21"/>
              </w:rPr>
              <w:t>rea</w:t>
            </w:r>
          </w:p>
        </w:tc>
        <w:tc>
          <w:tcPr>
            <w:tcW w:w="3177" w:type="pct"/>
            <w:tcBorders>
              <w:bottom w:val="nil"/>
            </w:tcBorders>
            <w:shd w:val="clear" w:color="auto" w:fill="auto"/>
            <w:vAlign w:val="center"/>
          </w:tcPr>
          <w:p w14:paraId="588EB0CA" w14:textId="77777777" w:rsidR="006B112D" w:rsidRPr="006023C7" w:rsidRDefault="006B112D" w:rsidP="00343052">
            <w:pPr>
              <w:keepNext/>
              <w:spacing w:before="60" w:after="60"/>
              <w:jc w:val="center"/>
              <w:rPr>
                <w:rFonts w:eastAsia="MS Mincho"/>
                <w:b/>
                <w:noProof/>
                <w:snapToGrid w:val="0"/>
                <w:kern w:val="22"/>
                <w:sz w:val="21"/>
                <w:szCs w:val="21"/>
              </w:rPr>
            </w:pPr>
            <w:r w:rsidRPr="006023C7">
              <w:rPr>
                <w:rFonts w:eastAsia="MS Mincho"/>
                <w:b/>
                <w:noProof/>
                <w:snapToGrid w:val="0"/>
                <w:kern w:val="22"/>
                <w:sz w:val="21"/>
                <w:szCs w:val="21"/>
              </w:rPr>
              <w:t>Strategic action</w:t>
            </w:r>
          </w:p>
        </w:tc>
        <w:tc>
          <w:tcPr>
            <w:tcW w:w="556" w:type="pct"/>
            <w:tcBorders>
              <w:bottom w:val="nil"/>
            </w:tcBorders>
            <w:vAlign w:val="center"/>
          </w:tcPr>
          <w:p w14:paraId="75211BBB" w14:textId="2379F05B" w:rsidR="006B112D" w:rsidRPr="00B658FF" w:rsidRDefault="006B112D" w:rsidP="00343052">
            <w:pPr>
              <w:keepNext/>
              <w:spacing w:before="60" w:after="60"/>
              <w:jc w:val="center"/>
              <w:rPr>
                <w:rFonts w:eastAsia="MS Mincho"/>
                <w:b/>
                <w:noProof/>
                <w:snapToGrid w:val="0"/>
                <w:kern w:val="22"/>
                <w:sz w:val="21"/>
                <w:szCs w:val="21"/>
              </w:rPr>
            </w:pPr>
            <w:r w:rsidRPr="00B658FF">
              <w:rPr>
                <w:rFonts w:eastAsia="MS Mincho"/>
                <w:b/>
                <w:noProof/>
                <w:snapToGrid w:val="0"/>
                <w:kern w:val="22"/>
                <w:sz w:val="21"/>
                <w:szCs w:val="21"/>
              </w:rPr>
              <w:t>Time</w:t>
            </w:r>
            <w:r w:rsidR="0098017F">
              <w:rPr>
                <w:rFonts w:eastAsia="MS Mincho"/>
                <w:b/>
                <w:noProof/>
                <w:snapToGrid w:val="0"/>
                <w:kern w:val="22"/>
                <w:sz w:val="21"/>
                <w:szCs w:val="21"/>
              </w:rPr>
              <w:t xml:space="preserve"> </w:t>
            </w:r>
            <w:r w:rsidRPr="00B658FF">
              <w:rPr>
                <w:rFonts w:eastAsia="MS Mincho"/>
                <w:b/>
                <w:noProof/>
                <w:snapToGrid w:val="0"/>
                <w:kern w:val="22"/>
                <w:sz w:val="21"/>
                <w:szCs w:val="21"/>
              </w:rPr>
              <w:t>frame</w:t>
            </w:r>
            <w:r w:rsidRPr="00B658FF">
              <w:rPr>
                <w:rStyle w:val="FootnoteReference"/>
                <w:rFonts w:eastAsia="MS Mincho"/>
                <w:b/>
                <w:noProof/>
                <w:snapToGrid w:val="0"/>
                <w:kern w:val="22"/>
                <w:sz w:val="21"/>
                <w:szCs w:val="21"/>
              </w:rPr>
              <w:footnoteReference w:id="18"/>
            </w:r>
          </w:p>
        </w:tc>
        <w:tc>
          <w:tcPr>
            <w:tcW w:w="559" w:type="pct"/>
            <w:tcBorders>
              <w:bottom w:val="nil"/>
            </w:tcBorders>
            <w:shd w:val="clear" w:color="auto" w:fill="auto"/>
            <w:vAlign w:val="center"/>
          </w:tcPr>
          <w:p w14:paraId="1231D9C9" w14:textId="77243864" w:rsidR="006B112D" w:rsidRPr="006023C7" w:rsidRDefault="006B112D" w:rsidP="00343052">
            <w:pPr>
              <w:keepNext/>
              <w:spacing w:before="60" w:after="60"/>
              <w:jc w:val="center"/>
              <w:rPr>
                <w:rFonts w:eastAsia="MS Mincho"/>
                <w:b/>
                <w:noProof/>
                <w:snapToGrid w:val="0"/>
                <w:kern w:val="22"/>
                <w:sz w:val="21"/>
                <w:szCs w:val="21"/>
              </w:rPr>
            </w:pPr>
            <w:r w:rsidRPr="00185E4B">
              <w:rPr>
                <w:rFonts w:eastAsia="MS Mincho"/>
                <w:b/>
                <w:noProof/>
                <w:snapToGrid w:val="0"/>
                <w:kern w:val="22"/>
                <w:sz w:val="21"/>
                <w:szCs w:val="21"/>
              </w:rPr>
              <w:t xml:space="preserve">Potential </w:t>
            </w:r>
            <w:r w:rsidR="00AD2E9E">
              <w:rPr>
                <w:rFonts w:eastAsia="MS Mincho"/>
                <w:b/>
                <w:noProof/>
                <w:snapToGrid w:val="0"/>
                <w:kern w:val="22"/>
                <w:sz w:val="21"/>
                <w:szCs w:val="21"/>
              </w:rPr>
              <w:t>c</w:t>
            </w:r>
            <w:r w:rsidRPr="00185E4B">
              <w:rPr>
                <w:rFonts w:eastAsia="MS Mincho"/>
                <w:b/>
                <w:noProof/>
                <w:snapToGrid w:val="0"/>
                <w:kern w:val="22"/>
                <w:sz w:val="21"/>
                <w:szCs w:val="21"/>
              </w:rPr>
              <w:t>ontributors</w:t>
            </w:r>
            <w:r w:rsidRPr="006023C7">
              <w:rPr>
                <w:rStyle w:val="FootnoteReference"/>
                <w:rFonts w:eastAsia="MS Mincho"/>
                <w:b/>
                <w:noProof/>
                <w:snapToGrid w:val="0"/>
                <w:kern w:val="22"/>
                <w:sz w:val="21"/>
                <w:szCs w:val="21"/>
              </w:rPr>
              <w:footnoteReference w:id="19"/>
            </w:r>
          </w:p>
        </w:tc>
      </w:tr>
      <w:tr w:rsidR="00BE29D1" w:rsidRPr="00E85FC4" w14:paraId="26791526" w14:textId="77777777" w:rsidTr="00615C3F">
        <w:trPr>
          <w:jc w:val="center"/>
        </w:trPr>
        <w:tc>
          <w:tcPr>
            <w:tcW w:w="708" w:type="pct"/>
            <w:vMerge w:val="restart"/>
            <w:shd w:val="clear" w:color="auto" w:fill="auto"/>
          </w:tcPr>
          <w:p w14:paraId="527D4172" w14:textId="77777777" w:rsidR="006B112D" w:rsidRPr="00615C3F" w:rsidRDefault="006B112D" w:rsidP="00343052">
            <w:pPr>
              <w:pStyle w:val="ListParagraph"/>
              <w:keepNext/>
              <w:numPr>
                <w:ilvl w:val="0"/>
                <w:numId w:val="20"/>
              </w:numPr>
              <w:ind w:left="430" w:hanging="430"/>
              <w:jc w:val="left"/>
              <w:rPr>
                <w:rFonts w:eastAsia="MS Mincho"/>
                <w:bCs/>
                <w:noProof/>
                <w:snapToGrid w:val="0"/>
                <w:spacing w:val="-12"/>
                <w:kern w:val="22"/>
                <w:sz w:val="21"/>
                <w:szCs w:val="21"/>
              </w:rPr>
            </w:pPr>
            <w:r w:rsidRPr="00615C3F">
              <w:rPr>
                <w:rFonts w:eastAsia="MS Mincho"/>
                <w:bCs/>
                <w:noProof/>
                <w:snapToGrid w:val="0"/>
                <w:kern w:val="22"/>
                <w:sz w:val="21"/>
                <w:szCs w:val="21"/>
              </w:rPr>
              <w:t>Promoting knowledge generation and synthesis</w:t>
            </w:r>
          </w:p>
        </w:tc>
        <w:tc>
          <w:tcPr>
            <w:tcW w:w="3177" w:type="pct"/>
            <w:tcBorders>
              <w:bottom w:val="nil"/>
            </w:tcBorders>
            <w:shd w:val="clear" w:color="auto" w:fill="auto"/>
          </w:tcPr>
          <w:p w14:paraId="2A4493BF" w14:textId="77777777" w:rsidR="006B112D" w:rsidRPr="006023C7" w:rsidRDefault="006B112D" w:rsidP="00343052">
            <w:pPr>
              <w:pStyle w:val="ListParagraph"/>
              <w:keepNext/>
              <w:numPr>
                <w:ilvl w:val="0"/>
                <w:numId w:val="19"/>
              </w:numPr>
              <w:spacing w:after="60"/>
              <w:jc w:val="left"/>
              <w:rPr>
                <w:rFonts w:eastAsia="MS Mincho"/>
                <w:bCs/>
                <w:noProof/>
                <w:snapToGrid w:val="0"/>
                <w:kern w:val="22"/>
                <w:sz w:val="21"/>
                <w:szCs w:val="21"/>
              </w:rPr>
            </w:pPr>
            <w:r w:rsidRPr="006023C7">
              <w:rPr>
                <w:rFonts w:eastAsia="MS Mincho"/>
                <w:bCs/>
                <w:noProof/>
                <w:snapToGrid w:val="0"/>
                <w:kern w:val="22"/>
                <w:sz w:val="21"/>
                <w:szCs w:val="21"/>
              </w:rPr>
              <w:t>Identification of gaps in biodiversity knowledge and options for addressing them</w:t>
            </w:r>
          </w:p>
        </w:tc>
        <w:tc>
          <w:tcPr>
            <w:tcW w:w="556" w:type="pct"/>
            <w:tcBorders>
              <w:bottom w:val="nil"/>
            </w:tcBorders>
          </w:tcPr>
          <w:p w14:paraId="23E4DE5B" w14:textId="77777777" w:rsidR="006B112D" w:rsidRPr="00185E4B"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1E3305FA" w14:textId="77777777" w:rsidR="006B112D" w:rsidRPr="00AA35F8" w:rsidRDefault="006B112D" w:rsidP="00343052">
            <w:pPr>
              <w:keepNext/>
              <w:jc w:val="left"/>
              <w:rPr>
                <w:rFonts w:eastAsia="MS Mincho"/>
                <w:bCs/>
                <w:noProof/>
                <w:snapToGrid w:val="0"/>
                <w:kern w:val="22"/>
                <w:sz w:val="21"/>
                <w:szCs w:val="21"/>
              </w:rPr>
            </w:pPr>
          </w:p>
        </w:tc>
      </w:tr>
      <w:tr w:rsidR="00BE29D1" w:rsidRPr="00E85FC4" w14:paraId="7F6374F4" w14:textId="77777777" w:rsidTr="00615C3F">
        <w:trPr>
          <w:jc w:val="center"/>
        </w:trPr>
        <w:tc>
          <w:tcPr>
            <w:tcW w:w="708" w:type="pct"/>
            <w:vMerge/>
            <w:shd w:val="clear" w:color="auto" w:fill="auto"/>
          </w:tcPr>
          <w:p w14:paraId="0E2D17AB" w14:textId="77777777" w:rsidR="006B112D" w:rsidRPr="00615C3F" w:rsidRDefault="006B112D" w:rsidP="00343052">
            <w:pPr>
              <w:keepNext/>
              <w:jc w:val="center"/>
              <w:rPr>
                <w:rFonts w:eastAsia="MS Mincho"/>
                <w:b/>
                <w:noProof/>
                <w:snapToGrid w:val="0"/>
                <w:spacing w:val="-12"/>
                <w:kern w:val="22"/>
                <w:sz w:val="21"/>
                <w:szCs w:val="21"/>
              </w:rPr>
            </w:pPr>
          </w:p>
        </w:tc>
        <w:tc>
          <w:tcPr>
            <w:tcW w:w="3177" w:type="pct"/>
            <w:tcBorders>
              <w:bottom w:val="nil"/>
            </w:tcBorders>
            <w:shd w:val="clear" w:color="auto" w:fill="auto"/>
          </w:tcPr>
          <w:p w14:paraId="72F1ABD2" w14:textId="77D50477" w:rsidR="006B112D" w:rsidRPr="00185E4B" w:rsidRDefault="006B112D" w:rsidP="00343052">
            <w:pPr>
              <w:pStyle w:val="ListParagraph"/>
              <w:keepNext/>
              <w:numPr>
                <w:ilvl w:val="0"/>
                <w:numId w:val="19"/>
              </w:numPr>
              <w:spacing w:after="60"/>
              <w:jc w:val="left"/>
              <w:rPr>
                <w:rFonts w:eastAsia="MS Mincho"/>
                <w:bCs/>
                <w:noProof/>
                <w:snapToGrid w:val="0"/>
                <w:kern w:val="22"/>
                <w:sz w:val="21"/>
                <w:szCs w:val="21"/>
              </w:rPr>
            </w:pPr>
            <w:r w:rsidRPr="006023C7">
              <w:rPr>
                <w:rFonts w:eastAsia="MS Mincho"/>
                <w:bCs/>
                <w:noProof/>
                <w:snapToGrid w:val="0"/>
                <w:kern w:val="22"/>
                <w:sz w:val="21"/>
                <w:szCs w:val="21"/>
              </w:rPr>
              <w:t xml:space="preserve">Expansion of collaboration </w:t>
            </w:r>
            <w:r w:rsidR="008B7C21" w:rsidRPr="006023C7">
              <w:rPr>
                <w:rFonts w:eastAsia="MS Mincho"/>
                <w:bCs/>
                <w:noProof/>
                <w:snapToGrid w:val="0"/>
                <w:kern w:val="22"/>
                <w:sz w:val="21"/>
                <w:szCs w:val="21"/>
              </w:rPr>
              <w:t>among</w:t>
            </w:r>
            <w:r w:rsidRPr="00185E4B">
              <w:rPr>
                <w:rFonts w:eastAsia="MS Mincho"/>
                <w:bCs/>
                <w:noProof/>
                <w:snapToGrid w:val="0"/>
                <w:kern w:val="22"/>
                <w:sz w:val="21"/>
                <w:szCs w:val="21"/>
              </w:rPr>
              <w:t xml:space="preserve"> organizations and institutions to promote knowledge generation</w:t>
            </w:r>
          </w:p>
        </w:tc>
        <w:tc>
          <w:tcPr>
            <w:tcW w:w="556" w:type="pct"/>
            <w:tcBorders>
              <w:bottom w:val="nil"/>
            </w:tcBorders>
          </w:tcPr>
          <w:p w14:paraId="3C599A0A"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54774A1F"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567F847C" w14:textId="77777777" w:rsidTr="00615C3F">
        <w:trPr>
          <w:jc w:val="center"/>
        </w:trPr>
        <w:tc>
          <w:tcPr>
            <w:tcW w:w="708" w:type="pct"/>
            <w:vMerge/>
            <w:shd w:val="clear" w:color="auto" w:fill="auto"/>
          </w:tcPr>
          <w:p w14:paraId="258AB1D9" w14:textId="77777777" w:rsidR="006B112D" w:rsidRPr="00615C3F" w:rsidRDefault="006B112D" w:rsidP="00343052">
            <w:pPr>
              <w:keepNext/>
              <w:jc w:val="center"/>
              <w:rPr>
                <w:rFonts w:eastAsia="MS Mincho"/>
                <w:b/>
                <w:noProof/>
                <w:snapToGrid w:val="0"/>
                <w:spacing w:val="-12"/>
                <w:kern w:val="22"/>
                <w:sz w:val="21"/>
                <w:szCs w:val="21"/>
              </w:rPr>
            </w:pPr>
          </w:p>
        </w:tc>
        <w:tc>
          <w:tcPr>
            <w:tcW w:w="3177" w:type="pct"/>
            <w:tcBorders>
              <w:bottom w:val="nil"/>
            </w:tcBorders>
            <w:shd w:val="clear" w:color="auto" w:fill="auto"/>
          </w:tcPr>
          <w:p w14:paraId="54D59963" w14:textId="77777777" w:rsidR="006B112D" w:rsidRPr="00185E4B" w:rsidRDefault="006B112D" w:rsidP="00343052">
            <w:pPr>
              <w:pStyle w:val="ListParagraph"/>
              <w:keepNext/>
              <w:numPr>
                <w:ilvl w:val="0"/>
                <w:numId w:val="19"/>
              </w:numPr>
              <w:spacing w:after="60"/>
              <w:jc w:val="left"/>
              <w:rPr>
                <w:rFonts w:eastAsia="MS Mincho"/>
                <w:bCs/>
                <w:noProof/>
                <w:snapToGrid w:val="0"/>
                <w:kern w:val="22"/>
                <w:sz w:val="21"/>
                <w:szCs w:val="21"/>
              </w:rPr>
            </w:pPr>
            <w:r w:rsidRPr="006023C7">
              <w:rPr>
                <w:rFonts w:eastAsia="MS Mincho"/>
                <w:bCs/>
                <w:noProof/>
                <w:snapToGrid w:val="0"/>
                <w:kern w:val="22"/>
                <w:sz w:val="21"/>
                <w:szCs w:val="21"/>
              </w:rPr>
              <w:t xml:space="preserve">Enhancement of outreach to relevant research and academic communities and other institutions to encourage them to share relevant research data, </w:t>
            </w:r>
            <w:r w:rsidRPr="00185E4B">
              <w:rPr>
                <w:rFonts w:eastAsia="MS Mincho"/>
                <w:bCs/>
                <w:noProof/>
                <w:snapToGrid w:val="0"/>
                <w:kern w:val="22"/>
                <w:sz w:val="21"/>
                <w:szCs w:val="21"/>
              </w:rPr>
              <w:t>information and knowledge</w:t>
            </w:r>
          </w:p>
        </w:tc>
        <w:tc>
          <w:tcPr>
            <w:tcW w:w="556" w:type="pct"/>
            <w:tcBorders>
              <w:bottom w:val="nil"/>
            </w:tcBorders>
          </w:tcPr>
          <w:p w14:paraId="216A56B7"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078D659A"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3812A8B6" w14:textId="77777777" w:rsidTr="00615C3F">
        <w:trPr>
          <w:jc w:val="center"/>
        </w:trPr>
        <w:tc>
          <w:tcPr>
            <w:tcW w:w="708" w:type="pct"/>
            <w:vMerge/>
            <w:shd w:val="clear" w:color="auto" w:fill="auto"/>
          </w:tcPr>
          <w:p w14:paraId="750A6415" w14:textId="77777777" w:rsidR="006B112D" w:rsidRPr="00615C3F" w:rsidRDefault="006B112D" w:rsidP="00343052">
            <w:pPr>
              <w:keepNext/>
              <w:jc w:val="center"/>
              <w:rPr>
                <w:rFonts w:eastAsia="MS Mincho"/>
                <w:b/>
                <w:noProof/>
                <w:snapToGrid w:val="0"/>
                <w:spacing w:val="-12"/>
                <w:kern w:val="22"/>
                <w:sz w:val="21"/>
                <w:szCs w:val="21"/>
              </w:rPr>
            </w:pPr>
          </w:p>
        </w:tc>
        <w:tc>
          <w:tcPr>
            <w:tcW w:w="3177" w:type="pct"/>
            <w:tcBorders>
              <w:bottom w:val="nil"/>
            </w:tcBorders>
            <w:shd w:val="clear" w:color="auto" w:fill="auto"/>
          </w:tcPr>
          <w:p w14:paraId="2AAE6E12" w14:textId="439459A0" w:rsidR="006B112D" w:rsidRPr="00615C3F" w:rsidRDefault="006B112D" w:rsidP="00343052">
            <w:pPr>
              <w:pStyle w:val="ListParagraph"/>
              <w:keepNext/>
              <w:numPr>
                <w:ilvl w:val="0"/>
                <w:numId w:val="19"/>
              </w:numPr>
              <w:spacing w:after="60"/>
              <w:jc w:val="left"/>
              <w:rPr>
                <w:rFonts w:eastAsia="MS Mincho"/>
                <w:bCs/>
                <w:noProof/>
                <w:snapToGrid w:val="0"/>
                <w:kern w:val="22"/>
                <w:sz w:val="21"/>
                <w:szCs w:val="21"/>
              </w:rPr>
            </w:pPr>
            <w:r w:rsidRPr="00615C3F">
              <w:rPr>
                <w:rFonts w:eastAsia="MS Mincho"/>
                <w:bCs/>
                <w:noProof/>
                <w:snapToGrid w:val="0"/>
                <w:kern w:val="22"/>
                <w:sz w:val="21"/>
                <w:szCs w:val="21"/>
              </w:rPr>
              <w:t>Developing local and national capacity for knowledge generation through citizen science by incentivizing the collection of data, information and knowledge at the local level</w:t>
            </w:r>
          </w:p>
        </w:tc>
        <w:tc>
          <w:tcPr>
            <w:tcW w:w="556" w:type="pct"/>
            <w:tcBorders>
              <w:bottom w:val="nil"/>
            </w:tcBorders>
          </w:tcPr>
          <w:p w14:paraId="00C16682"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16864506"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7F8F8201" w14:textId="77777777" w:rsidTr="00615C3F">
        <w:trPr>
          <w:jc w:val="center"/>
        </w:trPr>
        <w:tc>
          <w:tcPr>
            <w:tcW w:w="708" w:type="pct"/>
            <w:vMerge/>
            <w:shd w:val="clear" w:color="auto" w:fill="auto"/>
          </w:tcPr>
          <w:p w14:paraId="3EDF0F91" w14:textId="77777777" w:rsidR="006B112D" w:rsidRPr="00615C3F" w:rsidRDefault="006B112D" w:rsidP="00343052">
            <w:pPr>
              <w:keepNext/>
              <w:jc w:val="center"/>
              <w:rPr>
                <w:rFonts w:eastAsia="MS Mincho"/>
                <w:b/>
                <w:noProof/>
                <w:snapToGrid w:val="0"/>
                <w:spacing w:val="-12"/>
                <w:kern w:val="22"/>
                <w:sz w:val="21"/>
                <w:szCs w:val="21"/>
              </w:rPr>
            </w:pPr>
          </w:p>
        </w:tc>
        <w:tc>
          <w:tcPr>
            <w:tcW w:w="3177" w:type="pct"/>
            <w:tcBorders>
              <w:bottom w:val="nil"/>
            </w:tcBorders>
            <w:shd w:val="clear" w:color="auto" w:fill="auto"/>
          </w:tcPr>
          <w:p w14:paraId="0E650DBD" w14:textId="77777777" w:rsidR="006B112D" w:rsidRPr="00615C3F" w:rsidRDefault="006B112D" w:rsidP="00343052">
            <w:pPr>
              <w:pStyle w:val="ListParagraph"/>
              <w:keepNext/>
              <w:numPr>
                <w:ilvl w:val="0"/>
                <w:numId w:val="19"/>
              </w:numPr>
              <w:spacing w:after="60"/>
              <w:jc w:val="left"/>
              <w:rPr>
                <w:rFonts w:eastAsia="MS Mincho"/>
                <w:bCs/>
                <w:noProof/>
                <w:snapToGrid w:val="0"/>
                <w:kern w:val="22"/>
                <w:sz w:val="21"/>
                <w:szCs w:val="21"/>
              </w:rPr>
            </w:pPr>
            <w:r w:rsidRPr="00615C3F">
              <w:rPr>
                <w:rFonts w:eastAsia="MS Mincho"/>
                <w:bCs/>
                <w:noProof/>
                <w:snapToGrid w:val="0"/>
                <w:kern w:val="22"/>
                <w:sz w:val="21"/>
                <w:szCs w:val="21"/>
              </w:rPr>
              <w:t>Enhancement of the use of all types of big data, including remote sensing and IoT, as well as ensuring data standards and sharing</w:t>
            </w:r>
          </w:p>
        </w:tc>
        <w:tc>
          <w:tcPr>
            <w:tcW w:w="556" w:type="pct"/>
            <w:tcBorders>
              <w:bottom w:val="nil"/>
            </w:tcBorders>
          </w:tcPr>
          <w:p w14:paraId="55CCB9E4"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2A043C71"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3F8CBFCF" w14:textId="77777777" w:rsidTr="00615C3F">
        <w:trPr>
          <w:jc w:val="center"/>
        </w:trPr>
        <w:tc>
          <w:tcPr>
            <w:tcW w:w="708" w:type="pct"/>
            <w:vMerge w:val="restart"/>
            <w:shd w:val="clear" w:color="auto" w:fill="auto"/>
          </w:tcPr>
          <w:p w14:paraId="3F7B6117" w14:textId="77777777" w:rsidR="006B112D" w:rsidRPr="00615C3F" w:rsidRDefault="006B112D" w:rsidP="00343052">
            <w:pPr>
              <w:pStyle w:val="ListParagraph"/>
              <w:keepNext/>
              <w:numPr>
                <w:ilvl w:val="0"/>
                <w:numId w:val="20"/>
              </w:numPr>
              <w:ind w:left="430" w:hanging="430"/>
              <w:jc w:val="left"/>
              <w:rPr>
                <w:rFonts w:eastAsia="MS Mincho"/>
                <w:b/>
                <w:noProof/>
                <w:snapToGrid w:val="0"/>
                <w:spacing w:val="-12"/>
                <w:kern w:val="22"/>
                <w:sz w:val="21"/>
                <w:szCs w:val="21"/>
              </w:rPr>
            </w:pPr>
            <w:r w:rsidRPr="00615C3F">
              <w:rPr>
                <w:rFonts w:eastAsia="MS Mincho"/>
                <w:bCs/>
                <w:noProof/>
                <w:snapToGrid w:val="0"/>
                <w:kern w:val="22"/>
                <w:sz w:val="21"/>
                <w:szCs w:val="21"/>
              </w:rPr>
              <w:t>Facilitating knowledge discovery and collection</w:t>
            </w:r>
          </w:p>
        </w:tc>
        <w:tc>
          <w:tcPr>
            <w:tcW w:w="3177" w:type="pct"/>
            <w:tcBorders>
              <w:bottom w:val="nil"/>
            </w:tcBorders>
            <w:shd w:val="clear" w:color="auto" w:fill="auto"/>
          </w:tcPr>
          <w:p w14:paraId="7B488B97" w14:textId="40248271" w:rsidR="006B112D" w:rsidRPr="00615C3F" w:rsidRDefault="006B112D" w:rsidP="00343052">
            <w:pPr>
              <w:pStyle w:val="ListParagraph"/>
              <w:keepNext/>
              <w:numPr>
                <w:ilvl w:val="0"/>
                <w:numId w:val="21"/>
              </w:numPr>
              <w:spacing w:after="60"/>
              <w:ind w:left="350"/>
              <w:jc w:val="left"/>
              <w:rPr>
                <w:rFonts w:eastAsia="MS Mincho"/>
                <w:bCs/>
                <w:noProof/>
                <w:snapToGrid w:val="0"/>
                <w:kern w:val="22"/>
                <w:sz w:val="21"/>
                <w:szCs w:val="21"/>
              </w:rPr>
            </w:pPr>
            <w:r w:rsidRPr="00615C3F">
              <w:rPr>
                <w:kern w:val="22"/>
                <w:sz w:val="21"/>
                <w:szCs w:val="21"/>
              </w:rPr>
              <w:t>Development or enhancement of web-based tools to identify and collect information and knowledge from various sources in an interactive, real-time and user-friendly manner</w:t>
            </w:r>
            <w:r w:rsidRPr="006023C7">
              <w:rPr>
                <w:rStyle w:val="FootnoteReference"/>
                <w:kern w:val="22"/>
                <w:sz w:val="21"/>
                <w:szCs w:val="21"/>
              </w:rPr>
              <w:footnoteReference w:id="20"/>
            </w:r>
          </w:p>
        </w:tc>
        <w:tc>
          <w:tcPr>
            <w:tcW w:w="556" w:type="pct"/>
            <w:tcBorders>
              <w:bottom w:val="nil"/>
            </w:tcBorders>
          </w:tcPr>
          <w:p w14:paraId="292010B3"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4E2D6BC8"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6C9376B5" w14:textId="77777777" w:rsidTr="00615C3F">
        <w:trPr>
          <w:jc w:val="center"/>
        </w:trPr>
        <w:tc>
          <w:tcPr>
            <w:tcW w:w="708" w:type="pct"/>
            <w:vMerge/>
            <w:shd w:val="clear" w:color="auto" w:fill="auto"/>
          </w:tcPr>
          <w:p w14:paraId="15A72E1C" w14:textId="77777777" w:rsidR="006B112D" w:rsidRPr="00615C3F" w:rsidRDefault="006B112D" w:rsidP="00343052">
            <w:pPr>
              <w:keepNext/>
              <w:jc w:val="center"/>
              <w:rPr>
                <w:rFonts w:eastAsia="MS Mincho"/>
                <w:b/>
                <w:noProof/>
                <w:snapToGrid w:val="0"/>
                <w:spacing w:val="-12"/>
                <w:kern w:val="22"/>
                <w:sz w:val="21"/>
                <w:szCs w:val="21"/>
              </w:rPr>
            </w:pPr>
          </w:p>
        </w:tc>
        <w:tc>
          <w:tcPr>
            <w:tcW w:w="3177" w:type="pct"/>
            <w:tcBorders>
              <w:bottom w:val="nil"/>
            </w:tcBorders>
            <w:shd w:val="clear" w:color="auto" w:fill="auto"/>
          </w:tcPr>
          <w:p w14:paraId="49A0ADB4" w14:textId="77777777" w:rsidR="006B112D" w:rsidRPr="00615C3F" w:rsidRDefault="006B112D" w:rsidP="00343052">
            <w:pPr>
              <w:pStyle w:val="ListParagraph"/>
              <w:keepNext/>
              <w:numPr>
                <w:ilvl w:val="0"/>
                <w:numId w:val="21"/>
              </w:numPr>
              <w:spacing w:after="60"/>
              <w:ind w:left="350"/>
              <w:jc w:val="left"/>
              <w:rPr>
                <w:rFonts w:eastAsia="MS Mincho"/>
                <w:bCs/>
                <w:noProof/>
                <w:snapToGrid w:val="0"/>
                <w:kern w:val="22"/>
                <w:sz w:val="21"/>
                <w:szCs w:val="21"/>
              </w:rPr>
            </w:pPr>
            <w:r w:rsidRPr="00615C3F">
              <w:rPr>
                <w:rFonts w:eastAsia="MS Mincho"/>
                <w:bCs/>
                <w:noProof/>
                <w:snapToGrid w:val="0"/>
                <w:kern w:val="22"/>
                <w:sz w:val="21"/>
                <w:szCs w:val="21"/>
              </w:rPr>
              <w:t>Promotion of knowledge discovery tools and techniques, including data mining and machine learning tools, as appropriate</w:t>
            </w:r>
          </w:p>
        </w:tc>
        <w:tc>
          <w:tcPr>
            <w:tcW w:w="556" w:type="pct"/>
            <w:tcBorders>
              <w:bottom w:val="nil"/>
            </w:tcBorders>
          </w:tcPr>
          <w:p w14:paraId="3434C1CF"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66FBFFDC"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53D176FD" w14:textId="77777777" w:rsidTr="00615C3F">
        <w:trPr>
          <w:jc w:val="center"/>
        </w:trPr>
        <w:tc>
          <w:tcPr>
            <w:tcW w:w="708" w:type="pct"/>
            <w:vMerge/>
            <w:shd w:val="clear" w:color="auto" w:fill="auto"/>
          </w:tcPr>
          <w:p w14:paraId="703DEB26" w14:textId="77777777" w:rsidR="006B112D" w:rsidRPr="00615C3F" w:rsidRDefault="006B112D" w:rsidP="00343052">
            <w:pPr>
              <w:keepNext/>
              <w:jc w:val="center"/>
              <w:rPr>
                <w:rFonts w:eastAsia="MS Mincho"/>
                <w:b/>
                <w:noProof/>
                <w:snapToGrid w:val="0"/>
                <w:spacing w:val="-12"/>
                <w:kern w:val="22"/>
                <w:sz w:val="21"/>
                <w:szCs w:val="21"/>
              </w:rPr>
            </w:pPr>
          </w:p>
        </w:tc>
        <w:tc>
          <w:tcPr>
            <w:tcW w:w="3177" w:type="pct"/>
            <w:tcBorders>
              <w:bottom w:val="nil"/>
            </w:tcBorders>
            <w:shd w:val="clear" w:color="auto" w:fill="auto"/>
          </w:tcPr>
          <w:p w14:paraId="1272F224" w14:textId="1215DCF6" w:rsidR="006B112D" w:rsidRPr="00615C3F" w:rsidRDefault="006B112D" w:rsidP="00343052">
            <w:pPr>
              <w:pStyle w:val="ListParagraph"/>
              <w:keepNext/>
              <w:numPr>
                <w:ilvl w:val="0"/>
                <w:numId w:val="21"/>
              </w:numPr>
              <w:spacing w:after="60"/>
              <w:ind w:left="350"/>
              <w:jc w:val="left"/>
              <w:rPr>
                <w:kern w:val="22"/>
                <w:sz w:val="21"/>
                <w:szCs w:val="21"/>
              </w:rPr>
            </w:pPr>
            <w:r w:rsidRPr="00615C3F">
              <w:rPr>
                <w:kern w:val="22"/>
                <w:sz w:val="21"/>
                <w:szCs w:val="21"/>
              </w:rPr>
              <w:t>Engagement of relevant stakeholders, including knowledge creators, brokers and users in implementing agencies, conservation organizations, academic institutions, and others at the national and subnational levels in the creation and collation of knowledge</w:t>
            </w:r>
          </w:p>
        </w:tc>
        <w:tc>
          <w:tcPr>
            <w:tcW w:w="556" w:type="pct"/>
            <w:tcBorders>
              <w:bottom w:val="nil"/>
            </w:tcBorders>
          </w:tcPr>
          <w:p w14:paraId="5EC000C1" w14:textId="77777777" w:rsidR="006B112D" w:rsidRPr="00615C3F" w:rsidRDefault="006B112D" w:rsidP="00343052">
            <w:pPr>
              <w:keepNext/>
              <w:jc w:val="center"/>
              <w:rPr>
                <w:rFonts w:eastAsia="MS Mincho"/>
                <w:bCs/>
                <w:noProof/>
                <w:snapToGrid w:val="0"/>
                <w:kern w:val="22"/>
                <w:sz w:val="21"/>
                <w:szCs w:val="21"/>
              </w:rPr>
            </w:pPr>
          </w:p>
        </w:tc>
        <w:tc>
          <w:tcPr>
            <w:tcW w:w="559" w:type="pct"/>
            <w:tcBorders>
              <w:bottom w:val="nil"/>
            </w:tcBorders>
            <w:shd w:val="clear" w:color="auto" w:fill="auto"/>
          </w:tcPr>
          <w:p w14:paraId="06E9D65E" w14:textId="77777777" w:rsidR="006B112D" w:rsidRPr="00615C3F" w:rsidRDefault="006B112D" w:rsidP="00343052">
            <w:pPr>
              <w:keepNext/>
              <w:jc w:val="left"/>
              <w:rPr>
                <w:rFonts w:eastAsia="MS Mincho"/>
                <w:bCs/>
                <w:noProof/>
                <w:snapToGrid w:val="0"/>
                <w:kern w:val="22"/>
                <w:sz w:val="21"/>
                <w:szCs w:val="21"/>
              </w:rPr>
            </w:pPr>
          </w:p>
        </w:tc>
      </w:tr>
      <w:tr w:rsidR="00BE29D1" w:rsidRPr="00E85FC4" w14:paraId="5C01FEE6" w14:textId="77777777" w:rsidTr="00615C3F">
        <w:trPr>
          <w:jc w:val="center"/>
        </w:trPr>
        <w:tc>
          <w:tcPr>
            <w:tcW w:w="708" w:type="pct"/>
            <w:vMerge/>
            <w:shd w:val="clear" w:color="auto" w:fill="auto"/>
          </w:tcPr>
          <w:p w14:paraId="25CEB382" w14:textId="77777777" w:rsidR="006B112D" w:rsidRPr="00615C3F" w:rsidRDefault="006B112D" w:rsidP="00343052">
            <w:pPr>
              <w:widowControl w:val="0"/>
              <w:jc w:val="center"/>
              <w:rPr>
                <w:rFonts w:eastAsia="MS Mincho"/>
                <w:b/>
                <w:noProof/>
                <w:snapToGrid w:val="0"/>
                <w:spacing w:val="-12"/>
                <w:kern w:val="22"/>
                <w:sz w:val="21"/>
                <w:szCs w:val="21"/>
              </w:rPr>
            </w:pPr>
          </w:p>
        </w:tc>
        <w:tc>
          <w:tcPr>
            <w:tcW w:w="3177" w:type="pct"/>
            <w:tcBorders>
              <w:bottom w:val="nil"/>
            </w:tcBorders>
            <w:shd w:val="clear" w:color="auto" w:fill="auto"/>
          </w:tcPr>
          <w:p w14:paraId="05C955C7" w14:textId="711FC506" w:rsidR="006B112D" w:rsidRPr="006023C7" w:rsidRDefault="006B112D" w:rsidP="00343052">
            <w:pPr>
              <w:pStyle w:val="ListParagraph"/>
              <w:widowControl w:val="0"/>
              <w:numPr>
                <w:ilvl w:val="0"/>
                <w:numId w:val="21"/>
              </w:numPr>
              <w:spacing w:after="60"/>
              <w:ind w:left="346"/>
              <w:jc w:val="left"/>
              <w:rPr>
                <w:kern w:val="22"/>
                <w:sz w:val="21"/>
                <w:szCs w:val="21"/>
              </w:rPr>
            </w:pPr>
            <w:r w:rsidRPr="00615C3F">
              <w:rPr>
                <w:kern w:val="22"/>
                <w:sz w:val="21"/>
                <w:szCs w:val="21"/>
              </w:rPr>
              <w:t xml:space="preserve">Identification, collection and sharing, where authorized, of traditional knowledge from indigenous </w:t>
            </w:r>
            <w:r w:rsidR="00FD7618" w:rsidRPr="00615C3F">
              <w:rPr>
                <w:kern w:val="22"/>
                <w:sz w:val="21"/>
                <w:szCs w:val="21"/>
              </w:rPr>
              <w:t xml:space="preserve">peoples </w:t>
            </w:r>
            <w:r w:rsidRPr="00615C3F">
              <w:rPr>
                <w:kern w:val="22"/>
                <w:sz w:val="21"/>
                <w:szCs w:val="21"/>
              </w:rPr>
              <w:t xml:space="preserve">and local communities as well as women’s knowledge, in an appropriate way </w:t>
            </w:r>
            <w:r w:rsidR="00FD7618" w:rsidRPr="00615C3F">
              <w:rPr>
                <w:kern w:val="22"/>
                <w:sz w:val="21"/>
                <w:szCs w:val="21"/>
              </w:rPr>
              <w:t xml:space="preserve">and </w:t>
            </w:r>
            <w:r w:rsidRPr="00615C3F">
              <w:rPr>
                <w:kern w:val="22"/>
                <w:sz w:val="21"/>
                <w:szCs w:val="21"/>
              </w:rPr>
              <w:t>with clear acknowledgements of the</w:t>
            </w:r>
            <w:r w:rsidRPr="006023C7">
              <w:rPr>
                <w:kern w:val="22"/>
                <w:sz w:val="21"/>
                <w:szCs w:val="21"/>
              </w:rPr>
              <w:t xml:space="preserve"> source</w:t>
            </w:r>
            <w:r w:rsidRPr="006023C7">
              <w:rPr>
                <w:rStyle w:val="FootnoteReference"/>
                <w:kern w:val="22"/>
                <w:sz w:val="21"/>
                <w:szCs w:val="21"/>
              </w:rPr>
              <w:footnoteReference w:id="21"/>
            </w:r>
          </w:p>
        </w:tc>
        <w:tc>
          <w:tcPr>
            <w:tcW w:w="556" w:type="pct"/>
            <w:tcBorders>
              <w:bottom w:val="nil"/>
            </w:tcBorders>
          </w:tcPr>
          <w:p w14:paraId="17EC54B7" w14:textId="77777777" w:rsidR="006B112D" w:rsidRPr="00615C3F" w:rsidRDefault="006B112D" w:rsidP="00343052">
            <w:pPr>
              <w:widowControl w:val="0"/>
              <w:jc w:val="center"/>
              <w:rPr>
                <w:rFonts w:eastAsia="MS Mincho"/>
                <w:bCs/>
                <w:noProof/>
                <w:snapToGrid w:val="0"/>
                <w:kern w:val="22"/>
                <w:sz w:val="21"/>
                <w:szCs w:val="21"/>
              </w:rPr>
            </w:pPr>
          </w:p>
        </w:tc>
        <w:tc>
          <w:tcPr>
            <w:tcW w:w="559" w:type="pct"/>
            <w:tcBorders>
              <w:bottom w:val="nil"/>
            </w:tcBorders>
            <w:shd w:val="clear" w:color="auto" w:fill="auto"/>
          </w:tcPr>
          <w:p w14:paraId="607AA467"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09C99C1A" w14:textId="77777777" w:rsidTr="00615C3F">
        <w:trPr>
          <w:jc w:val="center"/>
        </w:trPr>
        <w:tc>
          <w:tcPr>
            <w:tcW w:w="708" w:type="pct"/>
            <w:vMerge w:val="restart"/>
            <w:shd w:val="clear" w:color="auto" w:fill="auto"/>
          </w:tcPr>
          <w:p w14:paraId="539CA495" w14:textId="77777777" w:rsidR="006B112D" w:rsidRPr="00615C3F" w:rsidRDefault="006B112D" w:rsidP="00343052">
            <w:pPr>
              <w:pStyle w:val="ListParagraph"/>
              <w:widowControl w:val="0"/>
              <w:numPr>
                <w:ilvl w:val="0"/>
                <w:numId w:val="20"/>
              </w:numPr>
              <w:ind w:left="430" w:hanging="430"/>
              <w:jc w:val="left"/>
              <w:rPr>
                <w:rFonts w:eastAsia="MS Mincho"/>
                <w:bCs/>
                <w:noProof/>
                <w:snapToGrid w:val="0"/>
                <w:kern w:val="22"/>
                <w:sz w:val="21"/>
                <w:szCs w:val="21"/>
              </w:rPr>
            </w:pPr>
            <w:r w:rsidRPr="00615C3F">
              <w:rPr>
                <w:rFonts w:eastAsia="MS Mincho"/>
                <w:bCs/>
                <w:noProof/>
                <w:snapToGrid w:val="0"/>
                <w:kern w:val="22"/>
                <w:sz w:val="21"/>
                <w:szCs w:val="21"/>
              </w:rPr>
              <w:t>Enhancing knowledge organization and sharing</w:t>
            </w:r>
          </w:p>
        </w:tc>
        <w:tc>
          <w:tcPr>
            <w:tcW w:w="3177" w:type="pct"/>
          </w:tcPr>
          <w:p w14:paraId="3B62B89A" w14:textId="77777777" w:rsidR="006B112D" w:rsidRPr="00615C3F" w:rsidRDefault="006B112D" w:rsidP="00343052">
            <w:pPr>
              <w:pStyle w:val="ListParagraph"/>
              <w:widowControl w:val="0"/>
              <w:numPr>
                <w:ilvl w:val="0"/>
                <w:numId w:val="22"/>
              </w:numPr>
              <w:spacing w:after="60"/>
              <w:jc w:val="left"/>
              <w:rPr>
                <w:rFonts w:eastAsia="MS Mincho"/>
                <w:bCs/>
                <w:noProof/>
                <w:snapToGrid w:val="0"/>
                <w:kern w:val="22"/>
                <w:sz w:val="21"/>
                <w:szCs w:val="21"/>
              </w:rPr>
            </w:pPr>
            <w:r w:rsidRPr="006023C7">
              <w:rPr>
                <w:kern w:val="22"/>
                <w:sz w:val="21"/>
                <w:szCs w:val="21"/>
              </w:rPr>
              <w:t xml:space="preserve">Continued improvement of metadata quality, tagging and mapping of knowledge objects from biodiversity-related conventions through </w:t>
            </w:r>
            <w:proofErr w:type="spellStart"/>
            <w:r w:rsidRPr="006023C7">
              <w:rPr>
                <w:kern w:val="22"/>
                <w:sz w:val="21"/>
                <w:szCs w:val="21"/>
              </w:rPr>
              <w:t>InforMEA</w:t>
            </w:r>
            <w:proofErr w:type="spellEnd"/>
            <w:r w:rsidRPr="006023C7">
              <w:rPr>
                <w:kern w:val="22"/>
                <w:sz w:val="21"/>
                <w:szCs w:val="21"/>
              </w:rPr>
              <w:t xml:space="preserve"> and other sources to allow for increased findability</w:t>
            </w:r>
          </w:p>
        </w:tc>
        <w:tc>
          <w:tcPr>
            <w:tcW w:w="556" w:type="pct"/>
          </w:tcPr>
          <w:p w14:paraId="5550C8EE" w14:textId="77777777" w:rsidR="006B112D" w:rsidRPr="00615C3F" w:rsidRDefault="006B112D" w:rsidP="00343052">
            <w:pPr>
              <w:widowControl w:val="0"/>
              <w:jc w:val="center"/>
              <w:rPr>
                <w:rFonts w:eastAsia="MS Mincho"/>
                <w:bCs/>
                <w:noProof/>
                <w:snapToGrid w:val="0"/>
                <w:kern w:val="22"/>
                <w:sz w:val="21"/>
                <w:szCs w:val="21"/>
              </w:rPr>
            </w:pPr>
          </w:p>
        </w:tc>
        <w:tc>
          <w:tcPr>
            <w:tcW w:w="559" w:type="pct"/>
            <w:shd w:val="clear" w:color="auto" w:fill="auto"/>
          </w:tcPr>
          <w:p w14:paraId="17393C43"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2CABCCAB" w14:textId="77777777" w:rsidTr="00615C3F">
        <w:trPr>
          <w:jc w:val="center"/>
        </w:trPr>
        <w:tc>
          <w:tcPr>
            <w:tcW w:w="708" w:type="pct"/>
            <w:vMerge/>
            <w:shd w:val="clear" w:color="auto" w:fill="auto"/>
          </w:tcPr>
          <w:p w14:paraId="1676490C"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52DCFC4B" w14:textId="77777777" w:rsidR="006B112D" w:rsidRPr="00615C3F" w:rsidRDefault="006B112D" w:rsidP="00343052">
            <w:pPr>
              <w:pStyle w:val="ListParagraph"/>
              <w:widowControl w:val="0"/>
              <w:numPr>
                <w:ilvl w:val="0"/>
                <w:numId w:val="22"/>
              </w:numPr>
              <w:spacing w:after="60"/>
              <w:jc w:val="left"/>
              <w:rPr>
                <w:rFonts w:eastAsia="MS Mincho"/>
                <w:bCs/>
                <w:noProof/>
                <w:snapToGrid w:val="0"/>
                <w:kern w:val="22"/>
                <w:sz w:val="21"/>
                <w:szCs w:val="21"/>
              </w:rPr>
            </w:pPr>
            <w:r w:rsidRPr="006023C7">
              <w:rPr>
                <w:kern w:val="22"/>
                <w:sz w:val="21"/>
                <w:szCs w:val="21"/>
              </w:rPr>
              <w:t>Development, publicization and promotion of standards for metadata quality and tagging of biodiversity information and knowledge resources to ensure quality and compatibility</w:t>
            </w:r>
          </w:p>
        </w:tc>
        <w:tc>
          <w:tcPr>
            <w:tcW w:w="556" w:type="pct"/>
          </w:tcPr>
          <w:p w14:paraId="02C7A629" w14:textId="77777777" w:rsidR="006B112D" w:rsidRPr="00615C3F" w:rsidRDefault="006B112D" w:rsidP="00343052">
            <w:pPr>
              <w:widowControl w:val="0"/>
              <w:jc w:val="center"/>
              <w:rPr>
                <w:rFonts w:eastAsia="MS Mincho"/>
                <w:bCs/>
                <w:noProof/>
                <w:snapToGrid w:val="0"/>
                <w:kern w:val="22"/>
                <w:sz w:val="21"/>
                <w:szCs w:val="21"/>
              </w:rPr>
            </w:pPr>
          </w:p>
        </w:tc>
        <w:tc>
          <w:tcPr>
            <w:tcW w:w="559" w:type="pct"/>
            <w:shd w:val="clear" w:color="auto" w:fill="auto"/>
          </w:tcPr>
          <w:p w14:paraId="403E2F5D"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39095057" w14:textId="77777777" w:rsidTr="00615C3F">
        <w:trPr>
          <w:jc w:val="center"/>
        </w:trPr>
        <w:tc>
          <w:tcPr>
            <w:tcW w:w="708" w:type="pct"/>
            <w:vMerge/>
            <w:shd w:val="clear" w:color="auto" w:fill="auto"/>
          </w:tcPr>
          <w:p w14:paraId="55D78A58"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48E34416" w14:textId="6BCA9079" w:rsidR="006B112D" w:rsidRPr="00615C3F" w:rsidRDefault="006B112D" w:rsidP="00343052">
            <w:pPr>
              <w:pStyle w:val="ListParagraph"/>
              <w:widowControl w:val="0"/>
              <w:numPr>
                <w:ilvl w:val="0"/>
                <w:numId w:val="22"/>
              </w:numPr>
              <w:spacing w:after="60"/>
              <w:jc w:val="left"/>
              <w:rPr>
                <w:rFonts w:eastAsia="MS Mincho"/>
                <w:bCs/>
                <w:noProof/>
                <w:snapToGrid w:val="0"/>
                <w:kern w:val="22"/>
                <w:sz w:val="21"/>
                <w:szCs w:val="21"/>
              </w:rPr>
            </w:pPr>
            <w:r w:rsidRPr="00615C3F">
              <w:rPr>
                <w:rFonts w:eastAsia="MS Mincho"/>
                <w:bCs/>
                <w:noProof/>
                <w:snapToGrid w:val="0"/>
                <w:kern w:val="22"/>
                <w:sz w:val="21"/>
                <w:szCs w:val="21"/>
              </w:rPr>
              <w:t xml:space="preserve">Improvement of interoperability of information and knowledge systems of biodiversity-related </w:t>
            </w:r>
            <w:r w:rsidR="00803459" w:rsidRPr="00615C3F">
              <w:rPr>
                <w:rFonts w:eastAsia="MS Mincho"/>
                <w:bCs/>
                <w:noProof/>
                <w:snapToGrid w:val="0"/>
                <w:kern w:val="22"/>
                <w:sz w:val="21"/>
                <w:szCs w:val="21"/>
              </w:rPr>
              <w:t>c</w:t>
            </w:r>
            <w:r w:rsidRPr="00615C3F">
              <w:rPr>
                <w:rFonts w:eastAsia="MS Mincho"/>
                <w:bCs/>
                <w:noProof/>
                <w:snapToGrid w:val="0"/>
                <w:kern w:val="22"/>
                <w:sz w:val="21"/>
                <w:szCs w:val="21"/>
              </w:rPr>
              <w:t>onventions and other information providers across the biodiversity community</w:t>
            </w:r>
          </w:p>
        </w:tc>
        <w:tc>
          <w:tcPr>
            <w:tcW w:w="556" w:type="pct"/>
          </w:tcPr>
          <w:p w14:paraId="51B7CBF8" w14:textId="77777777" w:rsidR="006B112D" w:rsidRPr="00615C3F" w:rsidRDefault="006B112D" w:rsidP="00343052">
            <w:pPr>
              <w:widowControl w:val="0"/>
              <w:jc w:val="center"/>
              <w:rPr>
                <w:kern w:val="22"/>
                <w:sz w:val="21"/>
                <w:szCs w:val="21"/>
              </w:rPr>
            </w:pPr>
          </w:p>
        </w:tc>
        <w:tc>
          <w:tcPr>
            <w:tcW w:w="559" w:type="pct"/>
            <w:shd w:val="clear" w:color="auto" w:fill="auto"/>
          </w:tcPr>
          <w:p w14:paraId="1318C9FB"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1369D01C" w14:textId="77777777" w:rsidTr="00615C3F">
        <w:trPr>
          <w:jc w:val="center"/>
        </w:trPr>
        <w:tc>
          <w:tcPr>
            <w:tcW w:w="708" w:type="pct"/>
            <w:vMerge/>
            <w:shd w:val="clear" w:color="auto" w:fill="auto"/>
          </w:tcPr>
          <w:p w14:paraId="355BEF40"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22F63555" w14:textId="44F42493" w:rsidR="006B112D" w:rsidRPr="00615C3F" w:rsidRDefault="006B112D" w:rsidP="00343052">
            <w:pPr>
              <w:pStyle w:val="ListParagraph"/>
              <w:widowControl w:val="0"/>
              <w:numPr>
                <w:ilvl w:val="0"/>
                <w:numId w:val="22"/>
              </w:numPr>
              <w:spacing w:after="60"/>
              <w:jc w:val="left"/>
              <w:rPr>
                <w:kern w:val="22"/>
                <w:sz w:val="21"/>
                <w:szCs w:val="21"/>
              </w:rPr>
            </w:pPr>
            <w:r w:rsidRPr="00615C3F">
              <w:rPr>
                <w:kern w:val="22"/>
                <w:sz w:val="21"/>
                <w:szCs w:val="21"/>
              </w:rPr>
              <w:t xml:space="preserve">Promotion of outreach for and development of bioinformatics and descriptive metadata training modules, in conjunction with existing capacity-development projects and plans at </w:t>
            </w:r>
            <w:r w:rsidR="006D33E8">
              <w:rPr>
                <w:kern w:val="22"/>
                <w:sz w:val="21"/>
                <w:szCs w:val="21"/>
              </w:rPr>
              <w:t xml:space="preserve">the </w:t>
            </w:r>
            <w:r w:rsidRPr="00615C3F">
              <w:rPr>
                <w:kern w:val="22"/>
                <w:sz w:val="21"/>
                <w:szCs w:val="21"/>
              </w:rPr>
              <w:t>international, national and subnational levels, aimed at increasing related competencies</w:t>
            </w:r>
          </w:p>
        </w:tc>
        <w:tc>
          <w:tcPr>
            <w:tcW w:w="556" w:type="pct"/>
          </w:tcPr>
          <w:p w14:paraId="5A68B181" w14:textId="77777777" w:rsidR="006B112D" w:rsidRPr="00615C3F" w:rsidRDefault="006B112D" w:rsidP="00343052">
            <w:pPr>
              <w:widowControl w:val="0"/>
              <w:jc w:val="center"/>
              <w:rPr>
                <w:kern w:val="22"/>
                <w:sz w:val="21"/>
                <w:szCs w:val="21"/>
              </w:rPr>
            </w:pPr>
          </w:p>
        </w:tc>
        <w:tc>
          <w:tcPr>
            <w:tcW w:w="559" w:type="pct"/>
            <w:shd w:val="clear" w:color="auto" w:fill="auto"/>
          </w:tcPr>
          <w:p w14:paraId="7D6E8178" w14:textId="77777777" w:rsidR="006B112D" w:rsidRPr="00615C3F" w:rsidRDefault="006B112D" w:rsidP="00343052">
            <w:pPr>
              <w:widowControl w:val="0"/>
              <w:jc w:val="left"/>
              <w:rPr>
                <w:kern w:val="22"/>
                <w:sz w:val="21"/>
                <w:szCs w:val="21"/>
              </w:rPr>
            </w:pPr>
          </w:p>
        </w:tc>
      </w:tr>
      <w:tr w:rsidR="00BE29D1" w:rsidRPr="00E85FC4" w14:paraId="7084DFF4" w14:textId="77777777" w:rsidTr="00615C3F">
        <w:trPr>
          <w:jc w:val="center"/>
        </w:trPr>
        <w:tc>
          <w:tcPr>
            <w:tcW w:w="708" w:type="pct"/>
            <w:vMerge/>
            <w:shd w:val="clear" w:color="auto" w:fill="auto"/>
          </w:tcPr>
          <w:p w14:paraId="5D616ADB"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7D4D4599" w14:textId="77777777" w:rsidR="006B112D" w:rsidRPr="00615C3F" w:rsidRDefault="006B112D" w:rsidP="00343052">
            <w:pPr>
              <w:pStyle w:val="ListParagraph"/>
              <w:widowControl w:val="0"/>
              <w:numPr>
                <w:ilvl w:val="0"/>
                <w:numId w:val="22"/>
              </w:numPr>
              <w:spacing w:after="60"/>
              <w:jc w:val="left"/>
              <w:rPr>
                <w:kern w:val="22"/>
                <w:sz w:val="21"/>
                <w:szCs w:val="21"/>
              </w:rPr>
            </w:pPr>
            <w:r w:rsidRPr="00615C3F">
              <w:rPr>
                <w:kern w:val="22"/>
                <w:sz w:val="21"/>
                <w:szCs w:val="21"/>
              </w:rPr>
              <w:t>Promotion of voluntary guidance to improve accessibility to biodiversity data, information and knowledge</w:t>
            </w:r>
          </w:p>
        </w:tc>
        <w:tc>
          <w:tcPr>
            <w:tcW w:w="556" w:type="pct"/>
          </w:tcPr>
          <w:p w14:paraId="1873E9F5" w14:textId="77777777" w:rsidR="006B112D" w:rsidRPr="00615C3F" w:rsidRDefault="006B112D" w:rsidP="00343052">
            <w:pPr>
              <w:widowControl w:val="0"/>
              <w:jc w:val="center"/>
              <w:rPr>
                <w:kern w:val="22"/>
                <w:sz w:val="21"/>
                <w:szCs w:val="21"/>
              </w:rPr>
            </w:pPr>
          </w:p>
        </w:tc>
        <w:tc>
          <w:tcPr>
            <w:tcW w:w="559" w:type="pct"/>
            <w:shd w:val="clear" w:color="auto" w:fill="auto"/>
          </w:tcPr>
          <w:p w14:paraId="31E31AB8" w14:textId="77777777" w:rsidR="006B112D" w:rsidRPr="00615C3F" w:rsidRDefault="006B112D" w:rsidP="00343052">
            <w:pPr>
              <w:widowControl w:val="0"/>
              <w:jc w:val="left"/>
              <w:rPr>
                <w:kern w:val="22"/>
                <w:sz w:val="21"/>
                <w:szCs w:val="21"/>
              </w:rPr>
            </w:pPr>
          </w:p>
        </w:tc>
      </w:tr>
      <w:tr w:rsidR="00BE29D1" w:rsidRPr="00E85FC4" w14:paraId="37EF62A1" w14:textId="77777777" w:rsidTr="00615C3F">
        <w:trPr>
          <w:jc w:val="center"/>
        </w:trPr>
        <w:tc>
          <w:tcPr>
            <w:tcW w:w="708" w:type="pct"/>
            <w:vMerge/>
            <w:shd w:val="clear" w:color="auto" w:fill="auto"/>
          </w:tcPr>
          <w:p w14:paraId="34908F0C"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28CC9F7E" w14:textId="55758F19" w:rsidR="006B112D" w:rsidRPr="00615C3F" w:rsidRDefault="006B112D" w:rsidP="00343052">
            <w:pPr>
              <w:pStyle w:val="ListParagraph"/>
              <w:widowControl w:val="0"/>
              <w:numPr>
                <w:ilvl w:val="0"/>
                <w:numId w:val="22"/>
              </w:numPr>
              <w:spacing w:after="60"/>
              <w:jc w:val="left"/>
              <w:rPr>
                <w:kern w:val="22"/>
                <w:sz w:val="21"/>
                <w:szCs w:val="21"/>
              </w:rPr>
            </w:pPr>
            <w:r w:rsidRPr="00615C3F">
              <w:rPr>
                <w:kern w:val="22"/>
                <w:sz w:val="21"/>
                <w:szCs w:val="21"/>
              </w:rPr>
              <w:t xml:space="preserve">Strengthening the capacity of Governments </w:t>
            </w:r>
            <w:r w:rsidR="0030342B">
              <w:rPr>
                <w:kern w:val="22"/>
                <w:sz w:val="21"/>
                <w:szCs w:val="21"/>
              </w:rPr>
              <w:t>to</w:t>
            </w:r>
            <w:r w:rsidR="0030342B" w:rsidRPr="00615C3F">
              <w:rPr>
                <w:kern w:val="22"/>
                <w:sz w:val="21"/>
                <w:szCs w:val="21"/>
              </w:rPr>
              <w:t xml:space="preserve"> </w:t>
            </w:r>
            <w:r w:rsidRPr="00615C3F">
              <w:rPr>
                <w:kern w:val="22"/>
                <w:sz w:val="21"/>
                <w:szCs w:val="21"/>
              </w:rPr>
              <w:t>efficiently manag</w:t>
            </w:r>
            <w:r w:rsidR="0030342B">
              <w:rPr>
                <w:kern w:val="22"/>
                <w:sz w:val="21"/>
                <w:szCs w:val="21"/>
              </w:rPr>
              <w:t>e</w:t>
            </w:r>
            <w:r w:rsidRPr="00615C3F">
              <w:rPr>
                <w:kern w:val="22"/>
                <w:sz w:val="21"/>
                <w:szCs w:val="21"/>
              </w:rPr>
              <w:t xml:space="preserve"> and shar</w:t>
            </w:r>
            <w:r w:rsidR="0030342B">
              <w:rPr>
                <w:kern w:val="22"/>
                <w:sz w:val="21"/>
                <w:szCs w:val="21"/>
              </w:rPr>
              <w:t>e</w:t>
            </w:r>
            <w:r w:rsidRPr="00615C3F">
              <w:rPr>
                <w:kern w:val="22"/>
                <w:sz w:val="21"/>
                <w:szCs w:val="21"/>
              </w:rPr>
              <w:t xml:space="preserve"> information and knowledge across conventions, </w:t>
            </w:r>
            <w:r w:rsidR="00AA35F8">
              <w:rPr>
                <w:kern w:val="22"/>
                <w:sz w:val="21"/>
                <w:szCs w:val="21"/>
              </w:rPr>
              <w:t>among other things</w:t>
            </w:r>
            <w:r w:rsidRPr="00615C3F">
              <w:rPr>
                <w:kern w:val="22"/>
                <w:sz w:val="21"/>
                <w:szCs w:val="21"/>
              </w:rPr>
              <w:t>, through making use of tools, such as the Data Reporting tool (</w:t>
            </w:r>
            <w:proofErr w:type="spellStart"/>
            <w:r w:rsidRPr="00615C3F">
              <w:rPr>
                <w:kern w:val="22"/>
                <w:sz w:val="21"/>
                <w:szCs w:val="21"/>
              </w:rPr>
              <w:t>DaRT</w:t>
            </w:r>
            <w:proofErr w:type="spellEnd"/>
            <w:r w:rsidRPr="00615C3F">
              <w:rPr>
                <w:kern w:val="22"/>
                <w:sz w:val="21"/>
                <w:szCs w:val="21"/>
              </w:rPr>
              <w:t>) and the adoption of coherent and synergistic approaches</w:t>
            </w:r>
          </w:p>
        </w:tc>
        <w:tc>
          <w:tcPr>
            <w:tcW w:w="556" w:type="pct"/>
          </w:tcPr>
          <w:p w14:paraId="4D0F8056" w14:textId="77777777" w:rsidR="006B112D" w:rsidRPr="00615C3F" w:rsidRDefault="006B112D" w:rsidP="00343052">
            <w:pPr>
              <w:widowControl w:val="0"/>
              <w:jc w:val="center"/>
              <w:rPr>
                <w:kern w:val="22"/>
                <w:sz w:val="21"/>
                <w:szCs w:val="21"/>
              </w:rPr>
            </w:pPr>
          </w:p>
        </w:tc>
        <w:tc>
          <w:tcPr>
            <w:tcW w:w="559" w:type="pct"/>
            <w:shd w:val="clear" w:color="auto" w:fill="auto"/>
          </w:tcPr>
          <w:p w14:paraId="66BB3BBB" w14:textId="77777777" w:rsidR="006B112D" w:rsidRPr="00615C3F" w:rsidRDefault="006B112D" w:rsidP="00343052">
            <w:pPr>
              <w:widowControl w:val="0"/>
              <w:jc w:val="left"/>
              <w:rPr>
                <w:kern w:val="22"/>
                <w:sz w:val="21"/>
                <w:szCs w:val="21"/>
              </w:rPr>
            </w:pPr>
          </w:p>
        </w:tc>
      </w:tr>
      <w:tr w:rsidR="00BE29D1" w:rsidRPr="00E85FC4" w14:paraId="02BD604E" w14:textId="77777777" w:rsidTr="00615C3F">
        <w:trPr>
          <w:jc w:val="center"/>
        </w:trPr>
        <w:tc>
          <w:tcPr>
            <w:tcW w:w="708" w:type="pct"/>
            <w:vMerge/>
            <w:shd w:val="clear" w:color="auto" w:fill="auto"/>
          </w:tcPr>
          <w:p w14:paraId="75A79154"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387F315C" w14:textId="77777777" w:rsidR="006B112D" w:rsidRPr="00615C3F" w:rsidRDefault="006B112D" w:rsidP="00343052">
            <w:pPr>
              <w:pStyle w:val="ListParagraph"/>
              <w:widowControl w:val="0"/>
              <w:numPr>
                <w:ilvl w:val="0"/>
                <w:numId w:val="22"/>
              </w:numPr>
              <w:spacing w:after="60"/>
              <w:jc w:val="left"/>
              <w:rPr>
                <w:kern w:val="22"/>
                <w:sz w:val="21"/>
                <w:szCs w:val="21"/>
              </w:rPr>
            </w:pPr>
            <w:r w:rsidRPr="00615C3F">
              <w:rPr>
                <w:kern w:val="22"/>
                <w:sz w:val="21"/>
                <w:szCs w:val="21"/>
              </w:rPr>
              <w:t>Development of more scalable biodiversity observation data that allows for both the unbiased aggregation of national data and disaggregation of global data utilizing common standards</w:t>
            </w:r>
          </w:p>
        </w:tc>
        <w:tc>
          <w:tcPr>
            <w:tcW w:w="556" w:type="pct"/>
          </w:tcPr>
          <w:p w14:paraId="02957B5B" w14:textId="77777777" w:rsidR="006B112D" w:rsidRPr="00615C3F" w:rsidRDefault="006B112D" w:rsidP="00343052">
            <w:pPr>
              <w:widowControl w:val="0"/>
              <w:jc w:val="center"/>
              <w:rPr>
                <w:kern w:val="22"/>
                <w:sz w:val="21"/>
                <w:szCs w:val="21"/>
              </w:rPr>
            </w:pPr>
          </w:p>
        </w:tc>
        <w:tc>
          <w:tcPr>
            <w:tcW w:w="559" w:type="pct"/>
            <w:shd w:val="clear" w:color="auto" w:fill="auto"/>
          </w:tcPr>
          <w:p w14:paraId="3BA9F8DF" w14:textId="77777777" w:rsidR="006B112D" w:rsidRPr="00615C3F" w:rsidRDefault="006B112D" w:rsidP="00343052">
            <w:pPr>
              <w:widowControl w:val="0"/>
              <w:jc w:val="left"/>
              <w:rPr>
                <w:kern w:val="22"/>
                <w:sz w:val="21"/>
                <w:szCs w:val="21"/>
              </w:rPr>
            </w:pPr>
          </w:p>
        </w:tc>
      </w:tr>
      <w:tr w:rsidR="00BE29D1" w:rsidRPr="00E85FC4" w14:paraId="20BA4B3D" w14:textId="77777777" w:rsidTr="00615C3F">
        <w:trPr>
          <w:jc w:val="center"/>
        </w:trPr>
        <w:tc>
          <w:tcPr>
            <w:tcW w:w="708" w:type="pct"/>
            <w:vMerge/>
            <w:shd w:val="clear" w:color="auto" w:fill="auto"/>
          </w:tcPr>
          <w:p w14:paraId="362439EC"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26CEE54F" w14:textId="27CF1BD9" w:rsidR="006B112D" w:rsidRPr="00615C3F" w:rsidRDefault="006B112D" w:rsidP="00343052">
            <w:pPr>
              <w:pStyle w:val="ListParagraph"/>
              <w:widowControl w:val="0"/>
              <w:numPr>
                <w:ilvl w:val="0"/>
                <w:numId w:val="22"/>
              </w:numPr>
              <w:spacing w:after="60"/>
              <w:jc w:val="left"/>
              <w:rPr>
                <w:rFonts w:eastAsia="MS Mincho"/>
                <w:bCs/>
                <w:noProof/>
                <w:snapToGrid w:val="0"/>
                <w:kern w:val="22"/>
                <w:sz w:val="21"/>
                <w:szCs w:val="21"/>
              </w:rPr>
            </w:pPr>
            <w:r w:rsidRPr="00615C3F">
              <w:rPr>
                <w:rFonts w:eastAsia="MS Mincho"/>
                <w:bCs/>
                <w:noProof/>
                <w:snapToGrid w:val="0"/>
                <w:kern w:val="22"/>
                <w:sz w:val="21"/>
                <w:szCs w:val="21"/>
              </w:rPr>
              <w:t xml:space="preserve">Provision of guidance </w:t>
            </w:r>
            <w:r w:rsidR="004D13FC" w:rsidRPr="00615C3F">
              <w:rPr>
                <w:rFonts w:eastAsia="MS Mincho"/>
                <w:bCs/>
                <w:noProof/>
                <w:snapToGrid w:val="0"/>
                <w:kern w:val="22"/>
                <w:sz w:val="21"/>
                <w:szCs w:val="21"/>
              </w:rPr>
              <w:t xml:space="preserve">to </w:t>
            </w:r>
            <w:r w:rsidRPr="00615C3F">
              <w:rPr>
                <w:rFonts w:eastAsia="MS Mincho"/>
                <w:bCs/>
                <w:noProof/>
                <w:snapToGrid w:val="0"/>
                <w:kern w:val="22"/>
                <w:sz w:val="21"/>
                <w:szCs w:val="21"/>
              </w:rPr>
              <w:t>governments and non-government actors on how to incentivize the engagement of various actors in knowledge management, particularly to develop a better culture of knowledge sharing and application</w:t>
            </w:r>
          </w:p>
        </w:tc>
        <w:tc>
          <w:tcPr>
            <w:tcW w:w="556" w:type="pct"/>
          </w:tcPr>
          <w:p w14:paraId="6A3FD89F" w14:textId="77777777" w:rsidR="006B112D" w:rsidRPr="00615C3F" w:rsidRDefault="006B112D" w:rsidP="00343052">
            <w:pPr>
              <w:widowControl w:val="0"/>
              <w:jc w:val="center"/>
              <w:rPr>
                <w:kern w:val="22"/>
                <w:sz w:val="21"/>
                <w:szCs w:val="21"/>
              </w:rPr>
            </w:pPr>
          </w:p>
        </w:tc>
        <w:tc>
          <w:tcPr>
            <w:tcW w:w="559" w:type="pct"/>
            <w:shd w:val="clear" w:color="auto" w:fill="auto"/>
          </w:tcPr>
          <w:p w14:paraId="2E662C32" w14:textId="77777777" w:rsidR="006B112D" w:rsidRPr="00615C3F" w:rsidRDefault="006B112D" w:rsidP="00343052">
            <w:pPr>
              <w:widowControl w:val="0"/>
              <w:jc w:val="left"/>
              <w:rPr>
                <w:kern w:val="22"/>
                <w:sz w:val="21"/>
                <w:szCs w:val="21"/>
              </w:rPr>
            </w:pPr>
          </w:p>
        </w:tc>
      </w:tr>
      <w:tr w:rsidR="00BE29D1" w:rsidRPr="00E85FC4" w14:paraId="427DE1E1" w14:textId="77777777" w:rsidTr="00615C3F">
        <w:trPr>
          <w:jc w:val="center"/>
        </w:trPr>
        <w:tc>
          <w:tcPr>
            <w:tcW w:w="708" w:type="pct"/>
            <w:vMerge w:val="restart"/>
            <w:shd w:val="clear" w:color="auto" w:fill="auto"/>
          </w:tcPr>
          <w:p w14:paraId="25E52B2B" w14:textId="77777777" w:rsidR="006B112D" w:rsidRPr="00615C3F" w:rsidRDefault="006B112D" w:rsidP="00343052">
            <w:pPr>
              <w:pStyle w:val="ListParagraph"/>
              <w:widowControl w:val="0"/>
              <w:numPr>
                <w:ilvl w:val="0"/>
                <w:numId w:val="20"/>
              </w:numPr>
              <w:ind w:left="430" w:hanging="430"/>
              <w:jc w:val="left"/>
              <w:rPr>
                <w:rFonts w:eastAsia="MS Mincho"/>
                <w:bCs/>
                <w:noProof/>
                <w:snapToGrid w:val="0"/>
                <w:kern w:val="22"/>
                <w:sz w:val="21"/>
                <w:szCs w:val="21"/>
              </w:rPr>
            </w:pPr>
            <w:r w:rsidRPr="00615C3F">
              <w:rPr>
                <w:rFonts w:eastAsia="MS Mincho"/>
                <w:bCs/>
                <w:noProof/>
                <w:snapToGrid w:val="0"/>
                <w:kern w:val="22"/>
                <w:sz w:val="21"/>
                <w:szCs w:val="21"/>
              </w:rPr>
              <w:t>Promoting the effective use of knowledge</w:t>
            </w:r>
          </w:p>
        </w:tc>
        <w:tc>
          <w:tcPr>
            <w:tcW w:w="3177" w:type="pct"/>
          </w:tcPr>
          <w:p w14:paraId="63B5D973" w14:textId="77777777" w:rsidR="006B112D" w:rsidRPr="00615C3F" w:rsidRDefault="006B112D" w:rsidP="00343052">
            <w:pPr>
              <w:pStyle w:val="ListParagraph"/>
              <w:widowControl w:val="0"/>
              <w:numPr>
                <w:ilvl w:val="0"/>
                <w:numId w:val="26"/>
              </w:numPr>
              <w:spacing w:after="60"/>
              <w:ind w:left="310"/>
              <w:jc w:val="left"/>
              <w:rPr>
                <w:rFonts w:eastAsia="MS Mincho"/>
                <w:bCs/>
                <w:noProof/>
                <w:snapToGrid w:val="0"/>
                <w:kern w:val="22"/>
                <w:sz w:val="21"/>
                <w:szCs w:val="21"/>
              </w:rPr>
            </w:pPr>
            <w:r w:rsidRPr="00615C3F">
              <w:rPr>
                <w:rFonts w:eastAsia="MS Mincho"/>
                <w:bCs/>
                <w:noProof/>
                <w:snapToGrid w:val="0"/>
                <w:kern w:val="22"/>
                <w:sz w:val="21"/>
                <w:szCs w:val="21"/>
              </w:rPr>
              <w:t>Development of a change management strategy, including communication and marketing, to increase the uptake, utilization and application of existing biodiversity data, information and knowledge</w:t>
            </w:r>
          </w:p>
        </w:tc>
        <w:tc>
          <w:tcPr>
            <w:tcW w:w="556" w:type="pct"/>
          </w:tcPr>
          <w:p w14:paraId="5263FFE5" w14:textId="77777777" w:rsidR="006B112D" w:rsidRPr="00615C3F" w:rsidRDefault="006B112D" w:rsidP="00343052">
            <w:pPr>
              <w:widowControl w:val="0"/>
              <w:jc w:val="center"/>
              <w:rPr>
                <w:kern w:val="22"/>
                <w:sz w:val="21"/>
                <w:szCs w:val="21"/>
              </w:rPr>
            </w:pPr>
          </w:p>
        </w:tc>
        <w:tc>
          <w:tcPr>
            <w:tcW w:w="559" w:type="pct"/>
            <w:shd w:val="clear" w:color="auto" w:fill="auto"/>
          </w:tcPr>
          <w:p w14:paraId="615CDC57" w14:textId="77777777" w:rsidR="006B112D" w:rsidRPr="00615C3F" w:rsidRDefault="006B112D" w:rsidP="00343052">
            <w:pPr>
              <w:widowControl w:val="0"/>
              <w:jc w:val="left"/>
              <w:rPr>
                <w:kern w:val="22"/>
                <w:sz w:val="21"/>
                <w:szCs w:val="21"/>
              </w:rPr>
            </w:pPr>
          </w:p>
        </w:tc>
      </w:tr>
      <w:tr w:rsidR="00BE29D1" w:rsidRPr="00E85FC4" w14:paraId="42336E92" w14:textId="77777777" w:rsidTr="00615C3F">
        <w:trPr>
          <w:jc w:val="center"/>
        </w:trPr>
        <w:tc>
          <w:tcPr>
            <w:tcW w:w="708" w:type="pct"/>
            <w:vMerge/>
            <w:shd w:val="clear" w:color="auto" w:fill="auto"/>
          </w:tcPr>
          <w:p w14:paraId="724F3A45"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647B587C" w14:textId="77777777" w:rsidR="006B112D" w:rsidRPr="00615C3F" w:rsidRDefault="006B112D" w:rsidP="00343052">
            <w:pPr>
              <w:pStyle w:val="ListParagraph"/>
              <w:widowControl w:val="0"/>
              <w:numPr>
                <w:ilvl w:val="0"/>
                <w:numId w:val="26"/>
              </w:numPr>
              <w:spacing w:after="60"/>
              <w:ind w:left="310"/>
              <w:jc w:val="left"/>
              <w:rPr>
                <w:rFonts w:eastAsia="MS Mincho"/>
                <w:bCs/>
                <w:noProof/>
                <w:snapToGrid w:val="0"/>
                <w:kern w:val="22"/>
                <w:sz w:val="21"/>
                <w:szCs w:val="21"/>
              </w:rPr>
            </w:pPr>
            <w:r w:rsidRPr="00615C3F">
              <w:rPr>
                <w:rFonts w:eastAsia="MS Mincho"/>
                <w:bCs/>
                <w:noProof/>
                <w:snapToGrid w:val="0"/>
                <w:kern w:val="22"/>
                <w:sz w:val="21"/>
                <w:szCs w:val="21"/>
              </w:rPr>
              <w:t>Promotion and facilitation of the sharing of experience in the use of information and knowledge, including through communities of practice</w:t>
            </w:r>
          </w:p>
        </w:tc>
        <w:tc>
          <w:tcPr>
            <w:tcW w:w="556" w:type="pct"/>
          </w:tcPr>
          <w:p w14:paraId="6AFE6AC8" w14:textId="77777777" w:rsidR="006B112D" w:rsidRPr="00615C3F" w:rsidRDefault="006B112D" w:rsidP="00343052">
            <w:pPr>
              <w:widowControl w:val="0"/>
              <w:jc w:val="center"/>
              <w:rPr>
                <w:kern w:val="22"/>
                <w:sz w:val="21"/>
                <w:szCs w:val="21"/>
              </w:rPr>
            </w:pPr>
          </w:p>
        </w:tc>
        <w:tc>
          <w:tcPr>
            <w:tcW w:w="559" w:type="pct"/>
            <w:shd w:val="clear" w:color="auto" w:fill="auto"/>
          </w:tcPr>
          <w:p w14:paraId="3D535D6A" w14:textId="77777777" w:rsidR="006B112D" w:rsidRPr="00615C3F" w:rsidRDefault="006B112D" w:rsidP="00343052">
            <w:pPr>
              <w:widowControl w:val="0"/>
              <w:jc w:val="left"/>
              <w:rPr>
                <w:kern w:val="22"/>
                <w:sz w:val="21"/>
                <w:szCs w:val="21"/>
              </w:rPr>
            </w:pPr>
          </w:p>
        </w:tc>
      </w:tr>
      <w:tr w:rsidR="00BE29D1" w:rsidRPr="00E85FC4" w14:paraId="3F0A50D7" w14:textId="77777777" w:rsidTr="00615C3F">
        <w:trPr>
          <w:jc w:val="center"/>
        </w:trPr>
        <w:tc>
          <w:tcPr>
            <w:tcW w:w="708" w:type="pct"/>
            <w:vMerge/>
            <w:shd w:val="clear" w:color="auto" w:fill="auto"/>
          </w:tcPr>
          <w:p w14:paraId="4A25A052"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208435FE" w14:textId="77777777" w:rsidR="006B112D" w:rsidRPr="00615C3F" w:rsidRDefault="006B112D" w:rsidP="00343052">
            <w:pPr>
              <w:pStyle w:val="ListParagraph"/>
              <w:widowControl w:val="0"/>
              <w:numPr>
                <w:ilvl w:val="0"/>
                <w:numId w:val="26"/>
              </w:numPr>
              <w:spacing w:after="60"/>
              <w:ind w:left="310"/>
              <w:jc w:val="left"/>
              <w:rPr>
                <w:rFonts w:eastAsia="MS Mincho"/>
                <w:bCs/>
                <w:noProof/>
                <w:snapToGrid w:val="0"/>
                <w:kern w:val="22"/>
                <w:sz w:val="21"/>
                <w:szCs w:val="21"/>
              </w:rPr>
            </w:pPr>
            <w:r w:rsidRPr="00615C3F">
              <w:rPr>
                <w:rFonts w:eastAsia="MS Mincho"/>
                <w:bCs/>
                <w:noProof/>
                <w:snapToGrid w:val="0"/>
                <w:kern w:val="22"/>
                <w:sz w:val="21"/>
                <w:szCs w:val="21"/>
              </w:rPr>
              <w:t>Engagement of a broader range of stakeholders in the use of new knowledge sharing tools, including social media</w:t>
            </w:r>
          </w:p>
        </w:tc>
        <w:tc>
          <w:tcPr>
            <w:tcW w:w="556" w:type="pct"/>
          </w:tcPr>
          <w:p w14:paraId="0B1820B3" w14:textId="77777777" w:rsidR="006B112D" w:rsidRPr="00615C3F" w:rsidRDefault="006B112D" w:rsidP="00343052">
            <w:pPr>
              <w:widowControl w:val="0"/>
              <w:jc w:val="center"/>
              <w:rPr>
                <w:kern w:val="22"/>
                <w:sz w:val="21"/>
                <w:szCs w:val="21"/>
              </w:rPr>
            </w:pPr>
          </w:p>
        </w:tc>
        <w:tc>
          <w:tcPr>
            <w:tcW w:w="559" w:type="pct"/>
            <w:shd w:val="clear" w:color="auto" w:fill="auto"/>
          </w:tcPr>
          <w:p w14:paraId="37AB3B2F" w14:textId="77777777" w:rsidR="006B112D" w:rsidRPr="00615C3F" w:rsidRDefault="006B112D" w:rsidP="00343052">
            <w:pPr>
              <w:widowControl w:val="0"/>
              <w:jc w:val="left"/>
              <w:rPr>
                <w:kern w:val="22"/>
                <w:sz w:val="21"/>
                <w:szCs w:val="21"/>
              </w:rPr>
            </w:pPr>
          </w:p>
        </w:tc>
      </w:tr>
      <w:tr w:rsidR="00BE29D1" w:rsidRPr="00E85FC4" w14:paraId="2A39A559" w14:textId="77777777" w:rsidTr="00615C3F">
        <w:trPr>
          <w:jc w:val="center"/>
        </w:trPr>
        <w:tc>
          <w:tcPr>
            <w:tcW w:w="708" w:type="pct"/>
            <w:vMerge/>
            <w:shd w:val="clear" w:color="auto" w:fill="auto"/>
          </w:tcPr>
          <w:p w14:paraId="09CC2EFC"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79333C14" w14:textId="2F3469D3" w:rsidR="006B112D" w:rsidRPr="00615C3F" w:rsidRDefault="006B112D" w:rsidP="00343052">
            <w:pPr>
              <w:pStyle w:val="ListParagraph"/>
              <w:widowControl w:val="0"/>
              <w:numPr>
                <w:ilvl w:val="0"/>
                <w:numId w:val="26"/>
              </w:numPr>
              <w:spacing w:after="60"/>
              <w:ind w:left="310"/>
              <w:jc w:val="left"/>
              <w:rPr>
                <w:rFonts w:eastAsia="MS Mincho"/>
                <w:bCs/>
                <w:noProof/>
                <w:snapToGrid w:val="0"/>
                <w:kern w:val="22"/>
                <w:sz w:val="21"/>
                <w:szCs w:val="21"/>
              </w:rPr>
            </w:pPr>
            <w:r w:rsidRPr="00615C3F">
              <w:rPr>
                <w:rFonts w:eastAsia="MS Mincho"/>
                <w:bCs/>
                <w:noProof/>
                <w:snapToGrid w:val="0"/>
                <w:kern w:val="22"/>
                <w:sz w:val="21"/>
                <w:szCs w:val="21"/>
              </w:rPr>
              <w:t>Creation of mechanisms and initiatives to facilitate ongoing dialogue between the research community and policymakers, decision</w:t>
            </w:r>
            <w:r w:rsidR="002970F0" w:rsidRPr="00615C3F">
              <w:rPr>
                <w:rFonts w:eastAsia="MS Mincho"/>
                <w:bCs/>
                <w:noProof/>
                <w:snapToGrid w:val="0"/>
                <w:kern w:val="22"/>
                <w:sz w:val="21"/>
                <w:szCs w:val="21"/>
              </w:rPr>
              <w:t> </w:t>
            </w:r>
            <w:r w:rsidRPr="00615C3F">
              <w:rPr>
                <w:rFonts w:eastAsia="MS Mincho"/>
                <w:bCs/>
                <w:noProof/>
                <w:snapToGrid w:val="0"/>
                <w:kern w:val="22"/>
                <w:sz w:val="21"/>
                <w:szCs w:val="21"/>
              </w:rPr>
              <w:t>makers and practitioners</w:t>
            </w:r>
          </w:p>
        </w:tc>
        <w:tc>
          <w:tcPr>
            <w:tcW w:w="556" w:type="pct"/>
          </w:tcPr>
          <w:p w14:paraId="3D94D6DC" w14:textId="77777777" w:rsidR="006B112D" w:rsidRPr="00615C3F" w:rsidRDefault="006B112D" w:rsidP="00343052">
            <w:pPr>
              <w:widowControl w:val="0"/>
              <w:jc w:val="center"/>
              <w:rPr>
                <w:kern w:val="22"/>
                <w:sz w:val="21"/>
                <w:szCs w:val="21"/>
              </w:rPr>
            </w:pPr>
          </w:p>
        </w:tc>
        <w:tc>
          <w:tcPr>
            <w:tcW w:w="559" w:type="pct"/>
            <w:shd w:val="clear" w:color="auto" w:fill="auto"/>
          </w:tcPr>
          <w:p w14:paraId="120378B0" w14:textId="77777777" w:rsidR="006B112D" w:rsidRPr="00615C3F" w:rsidRDefault="006B112D" w:rsidP="00343052">
            <w:pPr>
              <w:widowControl w:val="0"/>
              <w:jc w:val="left"/>
              <w:rPr>
                <w:kern w:val="22"/>
                <w:sz w:val="21"/>
                <w:szCs w:val="21"/>
              </w:rPr>
            </w:pPr>
          </w:p>
        </w:tc>
      </w:tr>
      <w:tr w:rsidR="00BE29D1" w:rsidRPr="00E85FC4" w14:paraId="540B8EE7" w14:textId="77777777" w:rsidTr="00615C3F">
        <w:trPr>
          <w:jc w:val="center"/>
        </w:trPr>
        <w:tc>
          <w:tcPr>
            <w:tcW w:w="708" w:type="pct"/>
            <w:vMerge/>
            <w:shd w:val="clear" w:color="auto" w:fill="auto"/>
          </w:tcPr>
          <w:p w14:paraId="0088FDA9"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2277E3F5" w14:textId="19FF93CB" w:rsidR="006B112D" w:rsidRPr="00615C3F" w:rsidRDefault="006B112D" w:rsidP="00343052">
            <w:pPr>
              <w:pStyle w:val="ListParagraph"/>
              <w:widowControl w:val="0"/>
              <w:numPr>
                <w:ilvl w:val="0"/>
                <w:numId w:val="26"/>
              </w:numPr>
              <w:spacing w:after="60"/>
              <w:ind w:left="310"/>
              <w:jc w:val="left"/>
              <w:rPr>
                <w:rFonts w:eastAsia="MS Mincho"/>
                <w:bCs/>
                <w:noProof/>
                <w:snapToGrid w:val="0"/>
                <w:kern w:val="22"/>
                <w:sz w:val="21"/>
                <w:szCs w:val="21"/>
              </w:rPr>
            </w:pPr>
            <w:r w:rsidRPr="00615C3F">
              <w:rPr>
                <w:rFonts w:eastAsia="MS Mincho"/>
                <w:bCs/>
                <w:noProof/>
                <w:snapToGrid w:val="0"/>
                <w:kern w:val="22"/>
                <w:sz w:val="21"/>
                <w:szCs w:val="21"/>
              </w:rPr>
              <w:t>Establishment of linkages between scientific and citizens</w:t>
            </w:r>
            <w:r w:rsidR="0032230D">
              <w:rPr>
                <w:rFonts w:eastAsia="MS Mincho"/>
                <w:bCs/>
                <w:noProof/>
                <w:snapToGrid w:val="0"/>
                <w:kern w:val="22"/>
                <w:sz w:val="21"/>
                <w:szCs w:val="21"/>
              </w:rPr>
              <w:t>’</w:t>
            </w:r>
            <w:r w:rsidRPr="00615C3F">
              <w:rPr>
                <w:rFonts w:eastAsia="MS Mincho"/>
                <w:bCs/>
                <w:noProof/>
                <w:snapToGrid w:val="0"/>
                <w:kern w:val="22"/>
                <w:sz w:val="21"/>
                <w:szCs w:val="21"/>
              </w:rPr>
              <w:t xml:space="preserve"> networks and communication experts to enable the translation of scien</w:t>
            </w:r>
            <w:r w:rsidR="004D7EB3">
              <w:rPr>
                <w:rFonts w:eastAsia="MS Mincho"/>
                <w:bCs/>
                <w:noProof/>
                <w:snapToGrid w:val="0"/>
                <w:kern w:val="22"/>
                <w:sz w:val="21"/>
                <w:szCs w:val="21"/>
              </w:rPr>
              <w:t>tific</w:t>
            </w:r>
            <w:r w:rsidRPr="00615C3F">
              <w:rPr>
                <w:rFonts w:eastAsia="MS Mincho"/>
                <w:bCs/>
                <w:noProof/>
                <w:snapToGrid w:val="0"/>
                <w:kern w:val="22"/>
                <w:sz w:val="21"/>
                <w:szCs w:val="21"/>
              </w:rPr>
              <w:t xml:space="preserve"> outcomes </w:t>
            </w:r>
            <w:r w:rsidR="00EC7339">
              <w:rPr>
                <w:rFonts w:eastAsia="MS Mincho"/>
                <w:bCs/>
                <w:noProof/>
                <w:snapToGrid w:val="0"/>
                <w:kern w:val="22"/>
                <w:sz w:val="21"/>
                <w:szCs w:val="21"/>
              </w:rPr>
              <w:t>in</w:t>
            </w:r>
            <w:r w:rsidRPr="00615C3F">
              <w:rPr>
                <w:rFonts w:eastAsia="MS Mincho"/>
                <w:bCs/>
                <w:noProof/>
                <w:snapToGrid w:val="0"/>
                <w:kern w:val="22"/>
                <w:sz w:val="21"/>
                <w:szCs w:val="21"/>
              </w:rPr>
              <w:t>to knowledge products</w:t>
            </w:r>
          </w:p>
        </w:tc>
        <w:tc>
          <w:tcPr>
            <w:tcW w:w="556" w:type="pct"/>
          </w:tcPr>
          <w:p w14:paraId="6C71043F" w14:textId="77777777" w:rsidR="006B112D" w:rsidRPr="00615C3F" w:rsidRDefault="006B112D" w:rsidP="00343052">
            <w:pPr>
              <w:widowControl w:val="0"/>
              <w:jc w:val="center"/>
              <w:rPr>
                <w:kern w:val="22"/>
                <w:sz w:val="21"/>
                <w:szCs w:val="21"/>
              </w:rPr>
            </w:pPr>
          </w:p>
        </w:tc>
        <w:tc>
          <w:tcPr>
            <w:tcW w:w="559" w:type="pct"/>
            <w:shd w:val="clear" w:color="auto" w:fill="auto"/>
          </w:tcPr>
          <w:p w14:paraId="46BCCCDA"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02DB26B9" w14:textId="77777777" w:rsidTr="00615C3F">
        <w:trPr>
          <w:jc w:val="center"/>
        </w:trPr>
        <w:tc>
          <w:tcPr>
            <w:tcW w:w="708" w:type="pct"/>
            <w:vMerge/>
            <w:shd w:val="clear" w:color="auto" w:fill="auto"/>
          </w:tcPr>
          <w:p w14:paraId="5A76073D"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7D008865" w14:textId="77777777" w:rsidR="006B112D" w:rsidRPr="00615C3F" w:rsidRDefault="006B112D" w:rsidP="00343052">
            <w:pPr>
              <w:pStyle w:val="ListParagraph"/>
              <w:widowControl w:val="0"/>
              <w:numPr>
                <w:ilvl w:val="0"/>
                <w:numId w:val="26"/>
              </w:numPr>
              <w:spacing w:after="60"/>
              <w:ind w:left="310"/>
              <w:jc w:val="left"/>
              <w:rPr>
                <w:rFonts w:eastAsia="MS Mincho"/>
                <w:bCs/>
                <w:noProof/>
                <w:snapToGrid w:val="0"/>
                <w:kern w:val="22"/>
                <w:sz w:val="21"/>
                <w:szCs w:val="21"/>
              </w:rPr>
            </w:pPr>
            <w:r w:rsidRPr="00615C3F">
              <w:rPr>
                <w:rFonts w:eastAsia="MS Mincho"/>
                <w:bCs/>
                <w:noProof/>
                <w:snapToGrid w:val="0"/>
                <w:kern w:val="22"/>
                <w:sz w:val="21"/>
                <w:szCs w:val="21"/>
              </w:rPr>
              <w:t>Promotion and facilitation of the use of biodiversity data, information and knowledge in the planning processes of other sectors and in a cross-departmental way within governments</w:t>
            </w:r>
          </w:p>
        </w:tc>
        <w:tc>
          <w:tcPr>
            <w:tcW w:w="556" w:type="pct"/>
          </w:tcPr>
          <w:p w14:paraId="187D97B6" w14:textId="77777777" w:rsidR="006B112D" w:rsidRPr="00615C3F" w:rsidRDefault="006B112D" w:rsidP="00343052">
            <w:pPr>
              <w:widowControl w:val="0"/>
              <w:jc w:val="center"/>
              <w:rPr>
                <w:kern w:val="22"/>
                <w:sz w:val="21"/>
                <w:szCs w:val="21"/>
              </w:rPr>
            </w:pPr>
          </w:p>
        </w:tc>
        <w:tc>
          <w:tcPr>
            <w:tcW w:w="559" w:type="pct"/>
            <w:shd w:val="clear" w:color="auto" w:fill="auto"/>
          </w:tcPr>
          <w:p w14:paraId="2531CEE6" w14:textId="77777777" w:rsidR="006B112D" w:rsidRPr="00615C3F" w:rsidRDefault="006B112D" w:rsidP="00343052">
            <w:pPr>
              <w:widowControl w:val="0"/>
              <w:jc w:val="left"/>
              <w:rPr>
                <w:kern w:val="22"/>
                <w:sz w:val="21"/>
                <w:szCs w:val="21"/>
              </w:rPr>
            </w:pPr>
          </w:p>
        </w:tc>
      </w:tr>
      <w:tr w:rsidR="00BE29D1" w:rsidRPr="00E85FC4" w14:paraId="11AC3BCA" w14:textId="77777777" w:rsidTr="00615C3F">
        <w:trPr>
          <w:trHeight w:val="470"/>
          <w:jc w:val="center"/>
        </w:trPr>
        <w:tc>
          <w:tcPr>
            <w:tcW w:w="708" w:type="pct"/>
            <w:vMerge w:val="restart"/>
            <w:shd w:val="clear" w:color="auto" w:fill="auto"/>
          </w:tcPr>
          <w:p w14:paraId="2C694087" w14:textId="7CD580D3" w:rsidR="006B112D" w:rsidRPr="00615C3F" w:rsidRDefault="006B112D" w:rsidP="00343052">
            <w:pPr>
              <w:pStyle w:val="ListParagraph"/>
              <w:widowControl w:val="0"/>
              <w:numPr>
                <w:ilvl w:val="0"/>
                <w:numId w:val="20"/>
              </w:numPr>
              <w:ind w:left="430" w:hanging="430"/>
              <w:jc w:val="left"/>
              <w:rPr>
                <w:rFonts w:eastAsia="MS Mincho"/>
                <w:bCs/>
                <w:noProof/>
                <w:snapToGrid w:val="0"/>
                <w:kern w:val="22"/>
                <w:sz w:val="21"/>
                <w:szCs w:val="21"/>
              </w:rPr>
            </w:pPr>
            <w:r w:rsidRPr="00615C3F">
              <w:rPr>
                <w:rFonts w:eastAsia="MS Mincho"/>
                <w:bCs/>
                <w:noProof/>
                <w:snapToGrid w:val="0"/>
                <w:kern w:val="22"/>
                <w:sz w:val="21"/>
                <w:szCs w:val="21"/>
              </w:rPr>
              <w:t>Conducting knowledge audits and  reviews</w:t>
            </w:r>
          </w:p>
        </w:tc>
        <w:tc>
          <w:tcPr>
            <w:tcW w:w="3177" w:type="pct"/>
          </w:tcPr>
          <w:p w14:paraId="5CDD5329" w14:textId="3B4C3CA7" w:rsidR="006B112D" w:rsidRPr="00615C3F" w:rsidRDefault="006B112D" w:rsidP="00343052">
            <w:pPr>
              <w:pStyle w:val="ListParagraph"/>
              <w:widowControl w:val="0"/>
              <w:numPr>
                <w:ilvl w:val="0"/>
                <w:numId w:val="23"/>
              </w:numPr>
              <w:spacing w:after="60"/>
              <w:jc w:val="left"/>
              <w:rPr>
                <w:rFonts w:eastAsia="MS Mincho"/>
                <w:bCs/>
                <w:noProof/>
                <w:snapToGrid w:val="0"/>
                <w:kern w:val="22"/>
                <w:sz w:val="21"/>
                <w:szCs w:val="21"/>
              </w:rPr>
            </w:pPr>
            <w:r w:rsidRPr="00615C3F">
              <w:rPr>
                <w:rFonts w:eastAsia="MS Mincho"/>
                <w:bCs/>
                <w:noProof/>
                <w:snapToGrid w:val="0"/>
                <w:kern w:val="22"/>
                <w:sz w:val="21"/>
                <w:szCs w:val="21"/>
              </w:rPr>
              <w:t xml:space="preserve">Undertaking periodic knowlegement management surveys </w:t>
            </w:r>
            <w:r w:rsidR="006C787C">
              <w:rPr>
                <w:rFonts w:eastAsia="MS Mincho"/>
                <w:bCs/>
                <w:noProof/>
                <w:snapToGrid w:val="0"/>
                <w:kern w:val="22"/>
                <w:sz w:val="21"/>
                <w:szCs w:val="21"/>
              </w:rPr>
              <w:t>t</w:t>
            </w:r>
            <w:r w:rsidRPr="00615C3F">
              <w:rPr>
                <w:rFonts w:eastAsia="MS Mincho"/>
                <w:bCs/>
                <w:noProof/>
                <w:snapToGrid w:val="0"/>
                <w:kern w:val="22"/>
                <w:sz w:val="21"/>
                <w:szCs w:val="21"/>
              </w:rPr>
              <w:t>o</w:t>
            </w:r>
            <w:r w:rsidRPr="006023C7">
              <w:rPr>
                <w:kern w:val="22"/>
                <w:sz w:val="21"/>
                <w:szCs w:val="21"/>
              </w:rPr>
              <w:t xml:space="preserve"> </w:t>
            </w:r>
            <w:r w:rsidRPr="00615C3F">
              <w:rPr>
                <w:rFonts w:eastAsia="MS Mincho"/>
                <w:bCs/>
                <w:noProof/>
                <w:snapToGrid w:val="0"/>
                <w:kern w:val="22"/>
                <w:sz w:val="21"/>
                <w:szCs w:val="21"/>
              </w:rPr>
              <w:t xml:space="preserve">assess, </w:t>
            </w:r>
            <w:r w:rsidR="00AA35F8">
              <w:rPr>
                <w:rFonts w:eastAsia="MS Mincho"/>
                <w:bCs/>
                <w:noProof/>
                <w:snapToGrid w:val="0"/>
                <w:kern w:val="22"/>
                <w:sz w:val="21"/>
                <w:szCs w:val="21"/>
              </w:rPr>
              <w:t>among other things</w:t>
            </w:r>
            <w:r w:rsidRPr="00615C3F">
              <w:rPr>
                <w:rFonts w:eastAsia="MS Mincho"/>
                <w:bCs/>
                <w:noProof/>
                <w:snapToGrid w:val="0"/>
                <w:kern w:val="22"/>
                <w:sz w:val="21"/>
                <w:szCs w:val="21"/>
              </w:rPr>
              <w:t>, the types of information and knowledge they seek most frequently, the ease of access to the information they need, existing knowledge gaps, level of knowledge-sharing and</w:t>
            </w:r>
            <w:r w:rsidRPr="006023C7">
              <w:rPr>
                <w:kern w:val="22"/>
                <w:sz w:val="21"/>
                <w:szCs w:val="21"/>
              </w:rPr>
              <w:t xml:space="preserve"> </w:t>
            </w:r>
            <w:r w:rsidRPr="00615C3F">
              <w:rPr>
                <w:rFonts w:eastAsia="MS Mincho"/>
                <w:bCs/>
                <w:noProof/>
                <w:snapToGrid w:val="0"/>
                <w:kern w:val="22"/>
                <w:sz w:val="21"/>
                <w:szCs w:val="21"/>
              </w:rPr>
              <w:t>the channels they prefer</w:t>
            </w:r>
          </w:p>
        </w:tc>
        <w:tc>
          <w:tcPr>
            <w:tcW w:w="556" w:type="pct"/>
          </w:tcPr>
          <w:p w14:paraId="31CC2DC1" w14:textId="77777777" w:rsidR="006B112D" w:rsidRPr="00615C3F" w:rsidRDefault="006B112D" w:rsidP="00343052">
            <w:pPr>
              <w:widowControl w:val="0"/>
              <w:jc w:val="center"/>
              <w:rPr>
                <w:rFonts w:eastAsia="MS Mincho"/>
                <w:bCs/>
                <w:noProof/>
                <w:snapToGrid w:val="0"/>
                <w:kern w:val="22"/>
                <w:sz w:val="21"/>
                <w:szCs w:val="21"/>
              </w:rPr>
            </w:pPr>
          </w:p>
        </w:tc>
        <w:tc>
          <w:tcPr>
            <w:tcW w:w="559" w:type="pct"/>
            <w:shd w:val="clear" w:color="auto" w:fill="auto"/>
          </w:tcPr>
          <w:p w14:paraId="01040123"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032517AA" w14:textId="77777777" w:rsidTr="00615C3F">
        <w:trPr>
          <w:trHeight w:val="296"/>
          <w:jc w:val="center"/>
        </w:trPr>
        <w:tc>
          <w:tcPr>
            <w:tcW w:w="708" w:type="pct"/>
            <w:vMerge/>
            <w:shd w:val="clear" w:color="auto" w:fill="auto"/>
          </w:tcPr>
          <w:p w14:paraId="177E5DF9"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65E7D12A" w14:textId="77777777" w:rsidR="006B112D" w:rsidRPr="00615C3F" w:rsidRDefault="006B112D" w:rsidP="00343052">
            <w:pPr>
              <w:pStyle w:val="ListParagraph"/>
              <w:widowControl w:val="0"/>
              <w:numPr>
                <w:ilvl w:val="0"/>
                <w:numId w:val="23"/>
              </w:numPr>
              <w:spacing w:after="60"/>
              <w:jc w:val="left"/>
              <w:rPr>
                <w:rFonts w:eastAsia="MS Mincho"/>
                <w:bCs/>
                <w:noProof/>
                <w:snapToGrid w:val="0"/>
                <w:kern w:val="22"/>
                <w:sz w:val="21"/>
                <w:szCs w:val="21"/>
              </w:rPr>
            </w:pPr>
            <w:r w:rsidRPr="00615C3F">
              <w:rPr>
                <w:rFonts w:eastAsia="MS Mincho"/>
                <w:bCs/>
                <w:noProof/>
                <w:snapToGrid w:val="0"/>
                <w:kern w:val="22"/>
                <w:sz w:val="21"/>
                <w:szCs w:val="21"/>
              </w:rPr>
              <w:t>Analysis of major knowledge gaps and identification of options to address them</w:t>
            </w:r>
          </w:p>
        </w:tc>
        <w:tc>
          <w:tcPr>
            <w:tcW w:w="556" w:type="pct"/>
          </w:tcPr>
          <w:p w14:paraId="09502731" w14:textId="77777777" w:rsidR="006B112D" w:rsidRPr="00615C3F" w:rsidRDefault="006B112D" w:rsidP="00343052">
            <w:pPr>
              <w:widowControl w:val="0"/>
              <w:jc w:val="center"/>
              <w:rPr>
                <w:rFonts w:eastAsia="MS Mincho"/>
                <w:bCs/>
                <w:noProof/>
                <w:snapToGrid w:val="0"/>
                <w:kern w:val="22"/>
                <w:sz w:val="21"/>
                <w:szCs w:val="21"/>
              </w:rPr>
            </w:pPr>
          </w:p>
        </w:tc>
        <w:tc>
          <w:tcPr>
            <w:tcW w:w="559" w:type="pct"/>
            <w:shd w:val="clear" w:color="auto" w:fill="auto"/>
          </w:tcPr>
          <w:p w14:paraId="62FC4662" w14:textId="77777777" w:rsidR="006B112D" w:rsidRPr="00615C3F" w:rsidRDefault="006B112D" w:rsidP="00343052">
            <w:pPr>
              <w:widowControl w:val="0"/>
              <w:jc w:val="left"/>
              <w:rPr>
                <w:rFonts w:eastAsia="MS Mincho"/>
                <w:bCs/>
                <w:noProof/>
                <w:snapToGrid w:val="0"/>
                <w:kern w:val="22"/>
                <w:sz w:val="21"/>
                <w:szCs w:val="21"/>
              </w:rPr>
            </w:pPr>
          </w:p>
        </w:tc>
      </w:tr>
      <w:tr w:rsidR="00BE29D1" w:rsidRPr="00E85FC4" w14:paraId="264F62D3" w14:textId="77777777" w:rsidTr="00615C3F">
        <w:trPr>
          <w:jc w:val="center"/>
        </w:trPr>
        <w:tc>
          <w:tcPr>
            <w:tcW w:w="708" w:type="pct"/>
            <w:vMerge/>
            <w:shd w:val="clear" w:color="auto" w:fill="auto"/>
          </w:tcPr>
          <w:p w14:paraId="4109841D" w14:textId="77777777" w:rsidR="006B112D" w:rsidRPr="00615C3F" w:rsidRDefault="006B112D" w:rsidP="00343052">
            <w:pPr>
              <w:widowControl w:val="0"/>
              <w:rPr>
                <w:rFonts w:eastAsia="MS Mincho"/>
                <w:bCs/>
                <w:noProof/>
                <w:snapToGrid w:val="0"/>
                <w:kern w:val="22"/>
                <w:sz w:val="21"/>
                <w:szCs w:val="21"/>
              </w:rPr>
            </w:pPr>
          </w:p>
        </w:tc>
        <w:tc>
          <w:tcPr>
            <w:tcW w:w="3177" w:type="pct"/>
          </w:tcPr>
          <w:p w14:paraId="251E1E96" w14:textId="77777777" w:rsidR="006B112D" w:rsidRPr="00615C3F" w:rsidRDefault="006B112D" w:rsidP="00343052">
            <w:pPr>
              <w:pStyle w:val="ListParagraph"/>
              <w:widowControl w:val="0"/>
              <w:numPr>
                <w:ilvl w:val="0"/>
                <w:numId w:val="23"/>
              </w:numPr>
              <w:jc w:val="left"/>
              <w:rPr>
                <w:rFonts w:eastAsia="MS Mincho"/>
                <w:bCs/>
                <w:noProof/>
                <w:snapToGrid w:val="0"/>
                <w:kern w:val="22"/>
                <w:sz w:val="21"/>
                <w:szCs w:val="21"/>
              </w:rPr>
            </w:pPr>
            <w:r w:rsidRPr="00615C3F">
              <w:rPr>
                <w:rFonts w:eastAsia="MS Mincho"/>
                <w:bCs/>
                <w:noProof/>
                <w:snapToGrid w:val="0"/>
                <w:kern w:val="22"/>
                <w:sz w:val="21"/>
                <w:szCs w:val="21"/>
              </w:rPr>
              <w:t>Comprehensive review of the knowledge management component</w:t>
            </w:r>
          </w:p>
        </w:tc>
        <w:tc>
          <w:tcPr>
            <w:tcW w:w="556" w:type="pct"/>
          </w:tcPr>
          <w:p w14:paraId="0F882701" w14:textId="77777777" w:rsidR="006B112D" w:rsidRPr="00615C3F" w:rsidRDefault="006B112D" w:rsidP="00343052">
            <w:pPr>
              <w:widowControl w:val="0"/>
              <w:jc w:val="center"/>
              <w:rPr>
                <w:rFonts w:eastAsia="MS Mincho"/>
                <w:bCs/>
                <w:noProof/>
                <w:snapToGrid w:val="0"/>
                <w:kern w:val="22"/>
                <w:sz w:val="21"/>
                <w:szCs w:val="21"/>
              </w:rPr>
            </w:pPr>
          </w:p>
        </w:tc>
        <w:tc>
          <w:tcPr>
            <w:tcW w:w="559" w:type="pct"/>
            <w:shd w:val="clear" w:color="auto" w:fill="auto"/>
          </w:tcPr>
          <w:p w14:paraId="754D01EA" w14:textId="77777777" w:rsidR="006B112D" w:rsidRPr="00615C3F" w:rsidRDefault="006B112D" w:rsidP="00343052">
            <w:pPr>
              <w:widowControl w:val="0"/>
              <w:jc w:val="left"/>
              <w:rPr>
                <w:rFonts w:eastAsia="MS Mincho"/>
                <w:bCs/>
                <w:noProof/>
                <w:snapToGrid w:val="0"/>
                <w:kern w:val="22"/>
                <w:sz w:val="21"/>
                <w:szCs w:val="21"/>
              </w:rPr>
            </w:pPr>
          </w:p>
        </w:tc>
      </w:tr>
    </w:tbl>
    <w:p w14:paraId="5D0DF3C3" w14:textId="2B7D61CF" w:rsidR="006B112D" w:rsidRPr="00615C3F" w:rsidRDefault="006B112D" w:rsidP="001F4589">
      <w:pPr>
        <w:keepNext/>
        <w:widowControl w:val="0"/>
        <w:tabs>
          <w:tab w:val="left" w:pos="6500"/>
          <w:tab w:val="center" w:pos="7069"/>
        </w:tabs>
        <w:spacing w:after="120"/>
        <w:jc w:val="center"/>
        <w:rPr>
          <w:i/>
          <w:iCs/>
          <w:kern w:val="22"/>
        </w:rPr>
      </w:pPr>
      <w:r w:rsidRPr="00615C3F">
        <w:rPr>
          <w:i/>
          <w:iCs/>
          <w:kern w:val="22"/>
        </w:rPr>
        <w:lastRenderedPageBreak/>
        <w:t>A</w:t>
      </w:r>
      <w:r w:rsidR="007C5B1A" w:rsidRPr="00615C3F">
        <w:rPr>
          <w:i/>
          <w:iCs/>
          <w:kern w:val="22"/>
        </w:rPr>
        <w:t>nnex</w:t>
      </w:r>
      <w:r w:rsidRPr="00615C3F">
        <w:rPr>
          <w:i/>
          <w:iCs/>
          <w:kern w:val="22"/>
        </w:rPr>
        <w:t xml:space="preserve"> </w:t>
      </w:r>
      <w:r w:rsidR="007C5B1A" w:rsidRPr="00615C3F">
        <w:rPr>
          <w:i/>
          <w:iCs/>
          <w:kern w:val="22"/>
        </w:rPr>
        <w:t>II</w:t>
      </w:r>
    </w:p>
    <w:p w14:paraId="621172E6" w14:textId="6DFE9F09" w:rsidR="006B112D" w:rsidRPr="00615C3F" w:rsidRDefault="006B112D" w:rsidP="001F4589">
      <w:pPr>
        <w:keepNext/>
        <w:widowControl w:val="0"/>
        <w:spacing w:before="120" w:after="120"/>
        <w:jc w:val="center"/>
        <w:rPr>
          <w:b/>
          <w:bCs/>
          <w:kern w:val="22"/>
        </w:rPr>
      </w:pPr>
      <w:r w:rsidRPr="00615C3F">
        <w:rPr>
          <w:b/>
          <w:bCs/>
          <w:kern w:val="22"/>
        </w:rPr>
        <w:t>STRATEGIC ACTIONS TO FACILITATE THE IMPLEMENTATION OF THE KNOWLEDGE MANAGEMENT COMPONENT</w:t>
      </w:r>
    </w:p>
    <w:tbl>
      <w:tblPr>
        <w:tblpPr w:leftFromText="180" w:rightFromText="180" w:vertAnchor="text" w:tblpX="-550" w:tblpY="1"/>
        <w:tblOverlap w:val="neve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019"/>
        <w:gridCol w:w="1621"/>
        <w:gridCol w:w="1635"/>
      </w:tblGrid>
      <w:tr w:rsidR="00BE29D1" w:rsidRPr="002822B4" w14:paraId="45079273" w14:textId="77777777" w:rsidTr="001F4589">
        <w:tc>
          <w:tcPr>
            <w:tcW w:w="819" w:type="pct"/>
            <w:tcBorders>
              <w:bottom w:val="nil"/>
            </w:tcBorders>
            <w:shd w:val="clear" w:color="auto" w:fill="auto"/>
            <w:vAlign w:val="center"/>
          </w:tcPr>
          <w:p w14:paraId="5271C296" w14:textId="76BF93DA" w:rsidR="006B112D" w:rsidRPr="00615C3F" w:rsidRDefault="006B112D" w:rsidP="00482485">
            <w:pPr>
              <w:widowControl w:val="0"/>
              <w:spacing w:before="60" w:after="60"/>
              <w:jc w:val="center"/>
              <w:rPr>
                <w:rFonts w:ascii="Times New Roman Bold" w:eastAsia="MS Mincho" w:hAnsi="Times New Roman Bold"/>
                <w:b/>
                <w:noProof/>
                <w:snapToGrid w:val="0"/>
                <w:kern w:val="22"/>
                <w:sz w:val="21"/>
                <w:szCs w:val="21"/>
              </w:rPr>
            </w:pPr>
            <w:r w:rsidRPr="00615C3F">
              <w:rPr>
                <w:rFonts w:ascii="Times New Roman Bold" w:eastAsia="MS Mincho" w:hAnsi="Times New Roman Bold"/>
                <w:b/>
                <w:noProof/>
                <w:snapToGrid w:val="0"/>
                <w:kern w:val="22"/>
                <w:sz w:val="21"/>
                <w:szCs w:val="21"/>
              </w:rPr>
              <w:t xml:space="preserve">Strategic </w:t>
            </w:r>
            <w:r w:rsidR="00B464BB">
              <w:rPr>
                <w:rFonts w:ascii="Times New Roman Bold" w:eastAsia="MS Mincho" w:hAnsi="Times New Roman Bold"/>
                <w:b/>
                <w:noProof/>
                <w:snapToGrid w:val="0"/>
                <w:kern w:val="22"/>
                <w:sz w:val="21"/>
                <w:szCs w:val="21"/>
              </w:rPr>
              <w:t>a</w:t>
            </w:r>
            <w:r w:rsidRPr="00615C3F">
              <w:rPr>
                <w:rFonts w:ascii="Times New Roman Bold" w:eastAsia="MS Mincho" w:hAnsi="Times New Roman Bold"/>
                <w:b/>
                <w:noProof/>
                <w:snapToGrid w:val="0"/>
                <w:kern w:val="22"/>
                <w:sz w:val="21"/>
                <w:szCs w:val="21"/>
              </w:rPr>
              <w:t>rea</w:t>
            </w:r>
          </w:p>
        </w:tc>
        <w:tc>
          <w:tcPr>
            <w:tcW w:w="3072" w:type="pct"/>
            <w:tcBorders>
              <w:bottom w:val="nil"/>
            </w:tcBorders>
            <w:shd w:val="clear" w:color="auto" w:fill="auto"/>
            <w:vAlign w:val="center"/>
          </w:tcPr>
          <w:p w14:paraId="7142D6F2" w14:textId="77777777" w:rsidR="006B112D" w:rsidRPr="006023C7" w:rsidRDefault="006B112D" w:rsidP="001F4589">
            <w:pPr>
              <w:widowControl w:val="0"/>
              <w:spacing w:before="60" w:after="60"/>
              <w:jc w:val="center"/>
              <w:rPr>
                <w:rFonts w:eastAsia="MS Mincho"/>
                <w:b/>
                <w:noProof/>
                <w:snapToGrid w:val="0"/>
                <w:kern w:val="22"/>
                <w:sz w:val="21"/>
                <w:szCs w:val="21"/>
              </w:rPr>
            </w:pPr>
            <w:r w:rsidRPr="006023C7">
              <w:rPr>
                <w:rFonts w:eastAsia="MS Mincho"/>
                <w:b/>
                <w:noProof/>
                <w:snapToGrid w:val="0"/>
                <w:kern w:val="22"/>
                <w:sz w:val="21"/>
                <w:szCs w:val="21"/>
              </w:rPr>
              <w:t>Strategic action</w:t>
            </w:r>
          </w:p>
        </w:tc>
        <w:tc>
          <w:tcPr>
            <w:tcW w:w="552" w:type="pct"/>
            <w:tcBorders>
              <w:bottom w:val="nil"/>
            </w:tcBorders>
          </w:tcPr>
          <w:p w14:paraId="2C3CF5AE" w14:textId="311F8D33" w:rsidR="006B112D" w:rsidRPr="002A694F" w:rsidRDefault="006B112D" w:rsidP="001F4589">
            <w:pPr>
              <w:widowControl w:val="0"/>
              <w:spacing w:before="60" w:after="60"/>
              <w:jc w:val="center"/>
              <w:rPr>
                <w:rFonts w:eastAsia="MS Mincho"/>
                <w:b/>
                <w:noProof/>
                <w:snapToGrid w:val="0"/>
                <w:kern w:val="22"/>
                <w:sz w:val="21"/>
                <w:szCs w:val="21"/>
              </w:rPr>
            </w:pPr>
            <w:r w:rsidRPr="00185E4B">
              <w:rPr>
                <w:rFonts w:eastAsia="MS Mincho"/>
                <w:b/>
                <w:noProof/>
                <w:snapToGrid w:val="0"/>
                <w:kern w:val="22"/>
                <w:sz w:val="21"/>
                <w:szCs w:val="21"/>
              </w:rPr>
              <w:t>Time</w:t>
            </w:r>
            <w:r w:rsidR="0066465A">
              <w:rPr>
                <w:rFonts w:eastAsia="MS Mincho"/>
                <w:b/>
                <w:noProof/>
                <w:snapToGrid w:val="0"/>
                <w:kern w:val="22"/>
                <w:sz w:val="21"/>
                <w:szCs w:val="21"/>
              </w:rPr>
              <w:t xml:space="preserve"> </w:t>
            </w:r>
            <w:r w:rsidRPr="00185E4B">
              <w:rPr>
                <w:rFonts w:eastAsia="MS Mincho"/>
                <w:b/>
                <w:noProof/>
                <w:snapToGrid w:val="0"/>
                <w:kern w:val="22"/>
                <w:sz w:val="21"/>
                <w:szCs w:val="21"/>
              </w:rPr>
              <w:t>frame</w:t>
            </w:r>
          </w:p>
        </w:tc>
        <w:tc>
          <w:tcPr>
            <w:tcW w:w="557" w:type="pct"/>
            <w:tcBorders>
              <w:bottom w:val="nil"/>
            </w:tcBorders>
            <w:shd w:val="clear" w:color="auto" w:fill="auto"/>
            <w:vAlign w:val="center"/>
          </w:tcPr>
          <w:p w14:paraId="39A9E01D" w14:textId="7A3137CA" w:rsidR="006B112D" w:rsidRPr="00AA35F8" w:rsidRDefault="006B112D" w:rsidP="001F4589">
            <w:pPr>
              <w:widowControl w:val="0"/>
              <w:spacing w:before="60" w:after="60"/>
              <w:jc w:val="center"/>
              <w:rPr>
                <w:rFonts w:eastAsia="MS Mincho"/>
                <w:b/>
                <w:noProof/>
                <w:snapToGrid w:val="0"/>
                <w:kern w:val="22"/>
                <w:sz w:val="21"/>
                <w:szCs w:val="21"/>
              </w:rPr>
            </w:pPr>
            <w:r w:rsidRPr="00AA35F8">
              <w:rPr>
                <w:rFonts w:eastAsia="MS Mincho"/>
                <w:b/>
                <w:noProof/>
                <w:snapToGrid w:val="0"/>
                <w:kern w:val="22"/>
                <w:sz w:val="21"/>
                <w:szCs w:val="21"/>
              </w:rPr>
              <w:t>Contributors</w:t>
            </w:r>
          </w:p>
        </w:tc>
      </w:tr>
      <w:tr w:rsidR="005400B1" w:rsidRPr="002822B4" w14:paraId="7A833AC8" w14:textId="77777777" w:rsidTr="001F4589">
        <w:tc>
          <w:tcPr>
            <w:tcW w:w="819" w:type="pct"/>
            <w:vMerge w:val="restart"/>
            <w:shd w:val="clear" w:color="auto" w:fill="auto"/>
          </w:tcPr>
          <w:p w14:paraId="4E8A1E6B" w14:textId="77777777" w:rsidR="005400B1" w:rsidRPr="00615C3F" w:rsidRDefault="005400B1" w:rsidP="00482485">
            <w:pPr>
              <w:pStyle w:val="ListParagraph"/>
              <w:widowControl w:val="0"/>
              <w:numPr>
                <w:ilvl w:val="0"/>
                <w:numId w:val="25"/>
              </w:numPr>
              <w:ind w:left="250" w:hanging="270"/>
              <w:jc w:val="left"/>
              <w:rPr>
                <w:rFonts w:eastAsia="MS Mincho"/>
                <w:bCs/>
                <w:noProof/>
                <w:snapToGrid w:val="0"/>
                <w:spacing w:val="-12"/>
                <w:kern w:val="22"/>
                <w:sz w:val="21"/>
                <w:szCs w:val="21"/>
              </w:rPr>
            </w:pPr>
            <w:r w:rsidRPr="00615C3F">
              <w:rPr>
                <w:rFonts w:eastAsia="MS Mincho"/>
                <w:bCs/>
                <w:noProof/>
                <w:snapToGrid w:val="0"/>
                <w:kern w:val="22"/>
                <w:sz w:val="21"/>
                <w:szCs w:val="21"/>
              </w:rPr>
              <w:t>Capacity-building in data, information and knowledge managem</w:t>
            </w:r>
            <w:bookmarkStart w:id="15" w:name="_GoBack"/>
            <w:bookmarkEnd w:id="15"/>
            <w:r w:rsidRPr="00615C3F">
              <w:rPr>
                <w:rFonts w:eastAsia="MS Mincho"/>
                <w:bCs/>
                <w:noProof/>
                <w:snapToGrid w:val="0"/>
                <w:kern w:val="22"/>
                <w:sz w:val="21"/>
                <w:szCs w:val="21"/>
              </w:rPr>
              <w:t>ent</w:t>
            </w:r>
          </w:p>
        </w:tc>
        <w:tc>
          <w:tcPr>
            <w:tcW w:w="3072" w:type="pct"/>
            <w:tcBorders>
              <w:bottom w:val="nil"/>
            </w:tcBorders>
            <w:shd w:val="clear" w:color="auto" w:fill="auto"/>
          </w:tcPr>
          <w:p w14:paraId="23BDC424" w14:textId="77777777" w:rsidR="005400B1" w:rsidRPr="006023C7" w:rsidRDefault="005400B1" w:rsidP="001F4589">
            <w:pPr>
              <w:pStyle w:val="ListParagraph"/>
              <w:widowControl w:val="0"/>
              <w:numPr>
                <w:ilvl w:val="0"/>
                <w:numId w:val="24"/>
              </w:numPr>
              <w:spacing w:after="60"/>
              <w:jc w:val="left"/>
              <w:rPr>
                <w:rFonts w:eastAsia="MS Mincho"/>
                <w:b/>
                <w:noProof/>
                <w:snapToGrid w:val="0"/>
                <w:kern w:val="22"/>
                <w:sz w:val="21"/>
                <w:szCs w:val="21"/>
              </w:rPr>
            </w:pPr>
            <w:r w:rsidRPr="00615C3F">
              <w:rPr>
                <w:kern w:val="22"/>
                <w:sz w:val="21"/>
                <w:szCs w:val="21"/>
              </w:rPr>
              <w:t>Strengthen the capacity of relevant institutions in bioinformatics, information and knowledge management, including through education, training and mentoring of experts and young scientists</w:t>
            </w:r>
          </w:p>
        </w:tc>
        <w:tc>
          <w:tcPr>
            <w:tcW w:w="552" w:type="pct"/>
            <w:tcBorders>
              <w:bottom w:val="nil"/>
            </w:tcBorders>
          </w:tcPr>
          <w:p w14:paraId="421A67AE" w14:textId="77777777" w:rsidR="005400B1" w:rsidRPr="00185E4B" w:rsidRDefault="005400B1" w:rsidP="001F4589">
            <w:pPr>
              <w:widowControl w:val="0"/>
              <w:rPr>
                <w:rFonts w:eastAsia="MS Mincho"/>
                <w:bCs/>
                <w:noProof/>
                <w:snapToGrid w:val="0"/>
                <w:kern w:val="22"/>
                <w:sz w:val="21"/>
                <w:szCs w:val="21"/>
              </w:rPr>
            </w:pPr>
          </w:p>
        </w:tc>
        <w:tc>
          <w:tcPr>
            <w:tcW w:w="557" w:type="pct"/>
            <w:tcBorders>
              <w:bottom w:val="nil"/>
            </w:tcBorders>
            <w:shd w:val="clear" w:color="auto" w:fill="auto"/>
          </w:tcPr>
          <w:p w14:paraId="0A084672" w14:textId="77777777" w:rsidR="005400B1" w:rsidRPr="00AA35F8" w:rsidRDefault="005400B1" w:rsidP="001F4589">
            <w:pPr>
              <w:widowControl w:val="0"/>
              <w:jc w:val="left"/>
              <w:rPr>
                <w:rFonts w:eastAsia="MS Mincho"/>
                <w:bCs/>
                <w:noProof/>
                <w:snapToGrid w:val="0"/>
                <w:kern w:val="22"/>
                <w:sz w:val="21"/>
                <w:szCs w:val="21"/>
              </w:rPr>
            </w:pPr>
          </w:p>
        </w:tc>
      </w:tr>
      <w:tr w:rsidR="005400B1" w:rsidRPr="002822B4" w14:paraId="137B6DA0" w14:textId="77777777" w:rsidTr="001F4589">
        <w:tc>
          <w:tcPr>
            <w:tcW w:w="819" w:type="pct"/>
            <w:vMerge/>
            <w:shd w:val="clear" w:color="auto" w:fill="auto"/>
          </w:tcPr>
          <w:p w14:paraId="177313C7" w14:textId="77777777" w:rsidR="005400B1" w:rsidRPr="00615C3F" w:rsidRDefault="005400B1" w:rsidP="001F4589">
            <w:pPr>
              <w:widowControl w:val="0"/>
              <w:jc w:val="center"/>
              <w:rPr>
                <w:rFonts w:eastAsia="MS Mincho"/>
                <w:b/>
                <w:noProof/>
                <w:snapToGrid w:val="0"/>
                <w:spacing w:val="-12"/>
                <w:kern w:val="22"/>
                <w:sz w:val="21"/>
                <w:szCs w:val="21"/>
              </w:rPr>
            </w:pPr>
          </w:p>
        </w:tc>
        <w:tc>
          <w:tcPr>
            <w:tcW w:w="3072" w:type="pct"/>
            <w:tcBorders>
              <w:bottom w:val="nil"/>
            </w:tcBorders>
            <w:shd w:val="clear" w:color="auto" w:fill="auto"/>
          </w:tcPr>
          <w:p w14:paraId="34CA7C5B" w14:textId="2E981373" w:rsidR="005400B1" w:rsidRPr="006023C7" w:rsidRDefault="005400B1" w:rsidP="001F4589">
            <w:pPr>
              <w:pStyle w:val="ListParagraph"/>
              <w:widowControl w:val="0"/>
              <w:numPr>
                <w:ilvl w:val="0"/>
                <w:numId w:val="24"/>
              </w:numPr>
              <w:spacing w:after="60"/>
              <w:jc w:val="left"/>
              <w:rPr>
                <w:rFonts w:eastAsia="MS Mincho"/>
                <w:b/>
                <w:noProof/>
                <w:snapToGrid w:val="0"/>
                <w:kern w:val="22"/>
                <w:sz w:val="21"/>
                <w:szCs w:val="21"/>
              </w:rPr>
            </w:pPr>
            <w:r w:rsidRPr="00615C3F">
              <w:rPr>
                <w:rFonts w:eastAsia="MS Mincho"/>
                <w:bCs/>
                <w:noProof/>
                <w:snapToGrid w:val="0"/>
                <w:kern w:val="22"/>
                <w:sz w:val="21"/>
                <w:szCs w:val="21"/>
              </w:rPr>
              <w:t>Support Governments to put in place enabling policies and laws, institutional arrangements and incentives for knowledge management</w:t>
            </w:r>
          </w:p>
        </w:tc>
        <w:tc>
          <w:tcPr>
            <w:tcW w:w="552" w:type="pct"/>
            <w:tcBorders>
              <w:bottom w:val="nil"/>
            </w:tcBorders>
          </w:tcPr>
          <w:p w14:paraId="57117856" w14:textId="77777777" w:rsidR="005400B1" w:rsidRPr="00615C3F" w:rsidRDefault="005400B1" w:rsidP="001F4589">
            <w:pPr>
              <w:widowControl w:val="0"/>
              <w:rPr>
                <w:rFonts w:eastAsia="MS Mincho"/>
                <w:bCs/>
                <w:noProof/>
                <w:snapToGrid w:val="0"/>
                <w:kern w:val="22"/>
                <w:sz w:val="21"/>
                <w:szCs w:val="21"/>
              </w:rPr>
            </w:pPr>
          </w:p>
        </w:tc>
        <w:tc>
          <w:tcPr>
            <w:tcW w:w="557" w:type="pct"/>
            <w:tcBorders>
              <w:bottom w:val="nil"/>
            </w:tcBorders>
            <w:shd w:val="clear" w:color="auto" w:fill="auto"/>
          </w:tcPr>
          <w:p w14:paraId="54426DCE" w14:textId="77777777" w:rsidR="005400B1" w:rsidRPr="00615C3F" w:rsidRDefault="005400B1" w:rsidP="001F4589">
            <w:pPr>
              <w:widowControl w:val="0"/>
              <w:jc w:val="left"/>
              <w:rPr>
                <w:rFonts w:eastAsia="MS Mincho"/>
                <w:bCs/>
                <w:noProof/>
                <w:snapToGrid w:val="0"/>
                <w:kern w:val="22"/>
                <w:sz w:val="21"/>
                <w:szCs w:val="21"/>
              </w:rPr>
            </w:pPr>
          </w:p>
        </w:tc>
      </w:tr>
      <w:tr w:rsidR="005400B1" w:rsidRPr="002822B4" w14:paraId="65D05660" w14:textId="77777777" w:rsidTr="001F4589">
        <w:tc>
          <w:tcPr>
            <w:tcW w:w="819" w:type="pct"/>
            <w:vMerge/>
            <w:shd w:val="clear" w:color="auto" w:fill="auto"/>
          </w:tcPr>
          <w:p w14:paraId="01295B49" w14:textId="77777777" w:rsidR="005400B1" w:rsidRPr="00615C3F" w:rsidRDefault="005400B1" w:rsidP="001F4589">
            <w:pPr>
              <w:widowControl w:val="0"/>
              <w:jc w:val="center"/>
              <w:rPr>
                <w:rFonts w:eastAsia="MS Mincho"/>
                <w:b/>
                <w:noProof/>
                <w:snapToGrid w:val="0"/>
                <w:spacing w:val="-12"/>
                <w:kern w:val="22"/>
                <w:sz w:val="21"/>
                <w:szCs w:val="21"/>
              </w:rPr>
            </w:pPr>
          </w:p>
        </w:tc>
        <w:tc>
          <w:tcPr>
            <w:tcW w:w="3072" w:type="pct"/>
            <w:tcBorders>
              <w:bottom w:val="nil"/>
            </w:tcBorders>
            <w:shd w:val="clear" w:color="auto" w:fill="auto"/>
          </w:tcPr>
          <w:p w14:paraId="2A9FAFED" w14:textId="1B2EE2FE" w:rsidR="005400B1" w:rsidRPr="006023C7" w:rsidRDefault="005400B1" w:rsidP="001F4589">
            <w:pPr>
              <w:pStyle w:val="ListParagraph"/>
              <w:widowControl w:val="0"/>
              <w:numPr>
                <w:ilvl w:val="0"/>
                <w:numId w:val="24"/>
              </w:numPr>
              <w:spacing w:after="60"/>
              <w:jc w:val="left"/>
              <w:rPr>
                <w:rFonts w:eastAsia="MS Mincho"/>
                <w:b/>
                <w:noProof/>
                <w:snapToGrid w:val="0"/>
                <w:kern w:val="22"/>
                <w:sz w:val="21"/>
                <w:szCs w:val="21"/>
              </w:rPr>
            </w:pPr>
            <w:r w:rsidRPr="00615C3F">
              <w:rPr>
                <w:rFonts w:eastAsia="MS Mincho"/>
                <w:bCs/>
                <w:noProof/>
                <w:snapToGrid w:val="0"/>
                <w:kern w:val="22"/>
                <w:sz w:val="21"/>
                <w:szCs w:val="21"/>
              </w:rPr>
              <w:t>Provide information and guidance on knowledge management and national database development, and share experience in data access and use</w:t>
            </w:r>
          </w:p>
        </w:tc>
        <w:tc>
          <w:tcPr>
            <w:tcW w:w="552" w:type="pct"/>
            <w:tcBorders>
              <w:bottom w:val="nil"/>
            </w:tcBorders>
          </w:tcPr>
          <w:p w14:paraId="4B2CD79D" w14:textId="77777777" w:rsidR="005400B1" w:rsidRPr="00615C3F" w:rsidRDefault="005400B1" w:rsidP="001F4589">
            <w:pPr>
              <w:widowControl w:val="0"/>
              <w:rPr>
                <w:rFonts w:eastAsia="MS Mincho"/>
                <w:bCs/>
                <w:noProof/>
                <w:snapToGrid w:val="0"/>
                <w:kern w:val="22"/>
                <w:sz w:val="21"/>
                <w:szCs w:val="21"/>
              </w:rPr>
            </w:pPr>
          </w:p>
        </w:tc>
        <w:tc>
          <w:tcPr>
            <w:tcW w:w="557" w:type="pct"/>
            <w:tcBorders>
              <w:bottom w:val="nil"/>
            </w:tcBorders>
            <w:shd w:val="clear" w:color="auto" w:fill="auto"/>
          </w:tcPr>
          <w:p w14:paraId="12587013" w14:textId="77777777" w:rsidR="005400B1" w:rsidRPr="00615C3F" w:rsidRDefault="005400B1" w:rsidP="001F4589">
            <w:pPr>
              <w:widowControl w:val="0"/>
              <w:jc w:val="left"/>
              <w:rPr>
                <w:rFonts w:eastAsia="MS Mincho"/>
                <w:bCs/>
                <w:noProof/>
                <w:snapToGrid w:val="0"/>
                <w:kern w:val="22"/>
                <w:sz w:val="21"/>
                <w:szCs w:val="21"/>
              </w:rPr>
            </w:pPr>
          </w:p>
        </w:tc>
      </w:tr>
      <w:tr w:rsidR="005400B1" w:rsidRPr="002822B4" w14:paraId="5908A736" w14:textId="77777777" w:rsidTr="001F4589">
        <w:tc>
          <w:tcPr>
            <w:tcW w:w="819" w:type="pct"/>
            <w:vMerge/>
            <w:shd w:val="clear" w:color="auto" w:fill="auto"/>
          </w:tcPr>
          <w:p w14:paraId="048E9A0A" w14:textId="77777777" w:rsidR="005400B1" w:rsidRPr="00615C3F" w:rsidRDefault="005400B1" w:rsidP="001F4589">
            <w:pPr>
              <w:widowControl w:val="0"/>
              <w:jc w:val="center"/>
              <w:rPr>
                <w:rFonts w:eastAsia="MS Mincho"/>
                <w:b/>
                <w:noProof/>
                <w:snapToGrid w:val="0"/>
                <w:spacing w:val="-12"/>
                <w:kern w:val="22"/>
                <w:sz w:val="21"/>
                <w:szCs w:val="21"/>
              </w:rPr>
            </w:pPr>
          </w:p>
        </w:tc>
        <w:tc>
          <w:tcPr>
            <w:tcW w:w="3072" w:type="pct"/>
            <w:tcBorders>
              <w:bottom w:val="nil"/>
            </w:tcBorders>
            <w:shd w:val="clear" w:color="auto" w:fill="auto"/>
          </w:tcPr>
          <w:p w14:paraId="6DB81A17" w14:textId="0A54BA39" w:rsidR="005400B1" w:rsidRPr="00615C3F" w:rsidRDefault="005400B1" w:rsidP="001F4589">
            <w:pPr>
              <w:pStyle w:val="ListParagraph"/>
              <w:widowControl w:val="0"/>
              <w:numPr>
                <w:ilvl w:val="0"/>
                <w:numId w:val="24"/>
              </w:numPr>
              <w:spacing w:after="60"/>
              <w:jc w:val="left"/>
              <w:rPr>
                <w:rFonts w:eastAsia="MS Mincho"/>
                <w:bCs/>
                <w:noProof/>
                <w:snapToGrid w:val="0"/>
                <w:kern w:val="22"/>
                <w:sz w:val="21"/>
                <w:szCs w:val="21"/>
              </w:rPr>
            </w:pPr>
            <w:r w:rsidRPr="00615C3F">
              <w:rPr>
                <w:rFonts w:eastAsia="MS Mincho"/>
                <w:bCs/>
                <w:noProof/>
                <w:snapToGrid w:val="0"/>
                <w:kern w:val="22"/>
                <w:sz w:val="21"/>
                <w:szCs w:val="21"/>
              </w:rPr>
              <w:t>Support Governments and, in accordance with national legislation, relevant stakeholders, in accessing existing knowledge sources</w:t>
            </w:r>
          </w:p>
        </w:tc>
        <w:tc>
          <w:tcPr>
            <w:tcW w:w="552" w:type="pct"/>
            <w:tcBorders>
              <w:bottom w:val="nil"/>
            </w:tcBorders>
          </w:tcPr>
          <w:p w14:paraId="4ACDE7DB" w14:textId="77777777" w:rsidR="005400B1" w:rsidRPr="00615C3F" w:rsidRDefault="005400B1" w:rsidP="001F4589">
            <w:pPr>
              <w:widowControl w:val="0"/>
              <w:rPr>
                <w:rFonts w:eastAsia="MS Mincho"/>
                <w:bCs/>
                <w:noProof/>
                <w:snapToGrid w:val="0"/>
                <w:kern w:val="22"/>
                <w:sz w:val="21"/>
                <w:szCs w:val="21"/>
              </w:rPr>
            </w:pPr>
          </w:p>
        </w:tc>
        <w:tc>
          <w:tcPr>
            <w:tcW w:w="557" w:type="pct"/>
            <w:tcBorders>
              <w:bottom w:val="nil"/>
            </w:tcBorders>
            <w:shd w:val="clear" w:color="auto" w:fill="auto"/>
          </w:tcPr>
          <w:p w14:paraId="58448E01" w14:textId="77777777" w:rsidR="005400B1" w:rsidRPr="00615C3F" w:rsidRDefault="005400B1" w:rsidP="001F4589">
            <w:pPr>
              <w:widowControl w:val="0"/>
              <w:jc w:val="left"/>
              <w:rPr>
                <w:rFonts w:eastAsia="MS Mincho"/>
                <w:bCs/>
                <w:noProof/>
                <w:snapToGrid w:val="0"/>
                <w:kern w:val="22"/>
                <w:sz w:val="21"/>
                <w:szCs w:val="21"/>
              </w:rPr>
            </w:pPr>
          </w:p>
        </w:tc>
      </w:tr>
      <w:tr w:rsidR="005400B1" w:rsidRPr="002822B4" w14:paraId="16A566DB" w14:textId="77777777" w:rsidTr="001F4589">
        <w:tc>
          <w:tcPr>
            <w:tcW w:w="819" w:type="pct"/>
            <w:vMerge/>
            <w:shd w:val="clear" w:color="auto" w:fill="auto"/>
          </w:tcPr>
          <w:p w14:paraId="3C039D35" w14:textId="77777777" w:rsidR="005400B1" w:rsidRPr="00615C3F" w:rsidRDefault="005400B1" w:rsidP="001F4589">
            <w:pPr>
              <w:widowControl w:val="0"/>
              <w:jc w:val="center"/>
              <w:rPr>
                <w:rFonts w:eastAsia="MS Mincho"/>
                <w:b/>
                <w:noProof/>
                <w:snapToGrid w:val="0"/>
                <w:spacing w:val="-12"/>
                <w:kern w:val="22"/>
                <w:sz w:val="21"/>
                <w:szCs w:val="21"/>
              </w:rPr>
            </w:pPr>
          </w:p>
        </w:tc>
        <w:tc>
          <w:tcPr>
            <w:tcW w:w="3072" w:type="pct"/>
            <w:tcBorders>
              <w:bottom w:val="nil"/>
            </w:tcBorders>
            <w:shd w:val="clear" w:color="auto" w:fill="auto"/>
          </w:tcPr>
          <w:p w14:paraId="71B2C4E1" w14:textId="70C6F74C" w:rsidR="005400B1" w:rsidRPr="00615C3F" w:rsidRDefault="005400B1" w:rsidP="001F4589">
            <w:pPr>
              <w:pStyle w:val="ListParagraph"/>
              <w:widowControl w:val="0"/>
              <w:numPr>
                <w:ilvl w:val="0"/>
                <w:numId w:val="24"/>
              </w:numPr>
              <w:spacing w:after="60"/>
              <w:jc w:val="left"/>
              <w:rPr>
                <w:rFonts w:eastAsia="MS Mincho"/>
                <w:bCs/>
                <w:noProof/>
                <w:snapToGrid w:val="0"/>
                <w:kern w:val="22"/>
                <w:sz w:val="21"/>
                <w:szCs w:val="21"/>
              </w:rPr>
            </w:pPr>
            <w:r w:rsidRPr="00615C3F">
              <w:rPr>
                <w:rFonts w:eastAsia="MS Mincho"/>
                <w:bCs/>
                <w:noProof/>
                <w:snapToGrid w:val="0"/>
                <w:kern w:val="22"/>
                <w:sz w:val="21"/>
                <w:szCs w:val="21"/>
              </w:rPr>
              <w:t>Undertake an analysis of gaps in existing information and knowledge management tools and approaches supporting biodiversity management efforts</w:t>
            </w:r>
          </w:p>
        </w:tc>
        <w:tc>
          <w:tcPr>
            <w:tcW w:w="552" w:type="pct"/>
            <w:tcBorders>
              <w:bottom w:val="nil"/>
            </w:tcBorders>
          </w:tcPr>
          <w:p w14:paraId="7237E8A4" w14:textId="77777777" w:rsidR="005400B1" w:rsidRPr="00615C3F" w:rsidRDefault="005400B1" w:rsidP="001F4589">
            <w:pPr>
              <w:widowControl w:val="0"/>
              <w:rPr>
                <w:rFonts w:eastAsia="MS Mincho"/>
                <w:bCs/>
                <w:noProof/>
                <w:snapToGrid w:val="0"/>
                <w:kern w:val="22"/>
                <w:sz w:val="21"/>
                <w:szCs w:val="21"/>
              </w:rPr>
            </w:pPr>
          </w:p>
        </w:tc>
        <w:tc>
          <w:tcPr>
            <w:tcW w:w="557" w:type="pct"/>
            <w:tcBorders>
              <w:bottom w:val="nil"/>
            </w:tcBorders>
            <w:shd w:val="clear" w:color="auto" w:fill="auto"/>
          </w:tcPr>
          <w:p w14:paraId="65E4D3FC" w14:textId="77777777" w:rsidR="005400B1" w:rsidRPr="00615C3F" w:rsidRDefault="005400B1" w:rsidP="001F4589">
            <w:pPr>
              <w:widowControl w:val="0"/>
              <w:jc w:val="left"/>
              <w:rPr>
                <w:rFonts w:eastAsia="MS Mincho"/>
                <w:bCs/>
                <w:noProof/>
                <w:snapToGrid w:val="0"/>
                <w:kern w:val="22"/>
                <w:sz w:val="21"/>
                <w:szCs w:val="21"/>
              </w:rPr>
            </w:pPr>
          </w:p>
        </w:tc>
      </w:tr>
      <w:tr w:rsidR="005400B1" w:rsidRPr="002822B4" w14:paraId="689F319E" w14:textId="77777777" w:rsidTr="001F4589">
        <w:tc>
          <w:tcPr>
            <w:tcW w:w="819" w:type="pct"/>
            <w:vMerge/>
            <w:shd w:val="clear" w:color="auto" w:fill="auto"/>
          </w:tcPr>
          <w:p w14:paraId="6267A025" w14:textId="77777777" w:rsidR="005400B1" w:rsidRPr="00615C3F" w:rsidRDefault="005400B1" w:rsidP="00615C3F">
            <w:pPr>
              <w:widowControl w:val="0"/>
              <w:jc w:val="left"/>
              <w:rPr>
                <w:rFonts w:eastAsia="MS Mincho"/>
                <w:bCs/>
                <w:noProof/>
                <w:snapToGrid w:val="0"/>
                <w:spacing w:val="-12"/>
                <w:kern w:val="22"/>
                <w:sz w:val="21"/>
                <w:szCs w:val="21"/>
              </w:rPr>
            </w:pPr>
          </w:p>
        </w:tc>
        <w:tc>
          <w:tcPr>
            <w:tcW w:w="3072" w:type="pct"/>
            <w:tcBorders>
              <w:bottom w:val="nil"/>
            </w:tcBorders>
            <w:shd w:val="clear" w:color="auto" w:fill="auto"/>
          </w:tcPr>
          <w:p w14:paraId="3C779B4F" w14:textId="6F78C5EA" w:rsidR="005400B1" w:rsidRPr="00615C3F" w:rsidRDefault="005400B1" w:rsidP="001F4589">
            <w:pPr>
              <w:pStyle w:val="ListParagraph"/>
              <w:widowControl w:val="0"/>
              <w:numPr>
                <w:ilvl w:val="0"/>
                <w:numId w:val="24"/>
              </w:numPr>
              <w:spacing w:after="60"/>
              <w:jc w:val="left"/>
              <w:rPr>
                <w:rFonts w:eastAsia="MS Mincho"/>
                <w:bCs/>
                <w:noProof/>
                <w:snapToGrid w:val="0"/>
                <w:kern w:val="22"/>
                <w:sz w:val="21"/>
                <w:szCs w:val="21"/>
              </w:rPr>
            </w:pPr>
            <w:r w:rsidRPr="00615C3F">
              <w:rPr>
                <w:rFonts w:eastAsia="MS Mincho"/>
                <w:bCs/>
                <w:noProof/>
                <w:snapToGrid w:val="0"/>
                <w:kern w:val="22"/>
                <w:sz w:val="21"/>
                <w:szCs w:val="21"/>
              </w:rPr>
              <w:t>Undertake a gap analysis on national knowledge management expertise and needs, including capacity development on knowledge management in the implementation of national biodiversity strategies and action plans, as appropriate</w:t>
            </w:r>
          </w:p>
        </w:tc>
        <w:tc>
          <w:tcPr>
            <w:tcW w:w="552" w:type="pct"/>
            <w:tcBorders>
              <w:bottom w:val="nil"/>
            </w:tcBorders>
          </w:tcPr>
          <w:p w14:paraId="538E06CE" w14:textId="77777777" w:rsidR="005400B1" w:rsidRPr="00615C3F" w:rsidRDefault="005400B1" w:rsidP="001F4589">
            <w:pPr>
              <w:widowControl w:val="0"/>
              <w:rPr>
                <w:rFonts w:eastAsia="MS Mincho"/>
                <w:bCs/>
                <w:noProof/>
                <w:snapToGrid w:val="0"/>
                <w:kern w:val="22"/>
                <w:sz w:val="21"/>
                <w:szCs w:val="21"/>
              </w:rPr>
            </w:pPr>
          </w:p>
        </w:tc>
        <w:tc>
          <w:tcPr>
            <w:tcW w:w="557" w:type="pct"/>
            <w:tcBorders>
              <w:bottom w:val="nil"/>
            </w:tcBorders>
            <w:shd w:val="clear" w:color="auto" w:fill="auto"/>
          </w:tcPr>
          <w:p w14:paraId="0AA7F643" w14:textId="77777777" w:rsidR="005400B1" w:rsidRPr="00615C3F" w:rsidRDefault="005400B1" w:rsidP="001F4589">
            <w:pPr>
              <w:widowControl w:val="0"/>
              <w:jc w:val="left"/>
              <w:rPr>
                <w:rFonts w:eastAsia="MS Mincho"/>
                <w:bCs/>
                <w:noProof/>
                <w:snapToGrid w:val="0"/>
                <w:kern w:val="22"/>
                <w:sz w:val="21"/>
                <w:szCs w:val="21"/>
              </w:rPr>
            </w:pPr>
          </w:p>
        </w:tc>
      </w:tr>
      <w:tr w:rsidR="00BE29D1" w:rsidRPr="002822B4" w14:paraId="56623F44" w14:textId="77777777" w:rsidTr="001F4589">
        <w:tc>
          <w:tcPr>
            <w:tcW w:w="819" w:type="pct"/>
            <w:vMerge w:val="restart"/>
            <w:shd w:val="clear" w:color="auto" w:fill="auto"/>
          </w:tcPr>
          <w:p w14:paraId="3E3F6CF7" w14:textId="77777777" w:rsidR="006B112D" w:rsidRPr="00615C3F" w:rsidRDefault="006B112D" w:rsidP="00482485">
            <w:pPr>
              <w:pStyle w:val="ListParagraph"/>
              <w:widowControl w:val="0"/>
              <w:numPr>
                <w:ilvl w:val="0"/>
                <w:numId w:val="25"/>
              </w:numPr>
              <w:ind w:left="250" w:hanging="270"/>
              <w:jc w:val="left"/>
              <w:rPr>
                <w:rFonts w:eastAsia="MS Mincho"/>
                <w:bCs/>
                <w:noProof/>
                <w:snapToGrid w:val="0"/>
                <w:kern w:val="22"/>
                <w:sz w:val="21"/>
                <w:szCs w:val="21"/>
              </w:rPr>
            </w:pPr>
            <w:r w:rsidRPr="00615C3F">
              <w:rPr>
                <w:rFonts w:eastAsia="MS Mincho"/>
                <w:bCs/>
                <w:noProof/>
                <w:snapToGrid w:val="0"/>
                <w:kern w:val="22"/>
                <w:sz w:val="21"/>
                <w:szCs w:val="21"/>
              </w:rPr>
              <w:t>Network and partnership development</w:t>
            </w:r>
          </w:p>
        </w:tc>
        <w:tc>
          <w:tcPr>
            <w:tcW w:w="3072" w:type="pct"/>
          </w:tcPr>
          <w:p w14:paraId="22440F28" w14:textId="77777777" w:rsidR="006B112D" w:rsidRPr="00615C3F" w:rsidRDefault="006B112D" w:rsidP="001F4589">
            <w:pPr>
              <w:pStyle w:val="ListParagraph"/>
              <w:widowControl w:val="0"/>
              <w:numPr>
                <w:ilvl w:val="0"/>
                <w:numId w:val="17"/>
              </w:numPr>
              <w:spacing w:after="60"/>
              <w:jc w:val="left"/>
              <w:rPr>
                <w:rFonts w:eastAsia="MS Mincho"/>
                <w:bCs/>
                <w:noProof/>
                <w:snapToGrid w:val="0"/>
                <w:kern w:val="22"/>
                <w:sz w:val="21"/>
                <w:szCs w:val="21"/>
              </w:rPr>
            </w:pPr>
            <w:r w:rsidRPr="00615C3F">
              <w:rPr>
                <w:kern w:val="22"/>
                <w:sz w:val="21"/>
                <w:szCs w:val="21"/>
              </w:rPr>
              <w:t>Catalyse and strengthen international and regional networks on biodiversity-related data, information and knowledge management</w:t>
            </w:r>
          </w:p>
        </w:tc>
        <w:tc>
          <w:tcPr>
            <w:tcW w:w="552" w:type="pct"/>
          </w:tcPr>
          <w:p w14:paraId="280639B0" w14:textId="77777777" w:rsidR="006B112D" w:rsidRPr="00615C3F" w:rsidRDefault="006B112D" w:rsidP="001F4589">
            <w:pPr>
              <w:widowControl w:val="0"/>
              <w:rPr>
                <w:rFonts w:eastAsia="MS Mincho"/>
                <w:bCs/>
                <w:noProof/>
                <w:snapToGrid w:val="0"/>
                <w:kern w:val="22"/>
                <w:sz w:val="21"/>
                <w:szCs w:val="21"/>
              </w:rPr>
            </w:pPr>
          </w:p>
        </w:tc>
        <w:tc>
          <w:tcPr>
            <w:tcW w:w="557" w:type="pct"/>
            <w:shd w:val="clear" w:color="auto" w:fill="auto"/>
          </w:tcPr>
          <w:p w14:paraId="11DFEBB5" w14:textId="77777777" w:rsidR="006B112D" w:rsidRPr="00615C3F" w:rsidRDefault="006B112D" w:rsidP="001F4589">
            <w:pPr>
              <w:widowControl w:val="0"/>
              <w:jc w:val="left"/>
              <w:rPr>
                <w:rFonts w:eastAsia="MS Mincho"/>
                <w:bCs/>
                <w:noProof/>
                <w:snapToGrid w:val="0"/>
                <w:kern w:val="22"/>
                <w:sz w:val="21"/>
                <w:szCs w:val="21"/>
              </w:rPr>
            </w:pPr>
          </w:p>
        </w:tc>
      </w:tr>
      <w:tr w:rsidR="00BE29D1" w:rsidRPr="002822B4" w14:paraId="47C34359" w14:textId="77777777" w:rsidTr="001F4589">
        <w:tc>
          <w:tcPr>
            <w:tcW w:w="819" w:type="pct"/>
            <w:vMerge/>
            <w:shd w:val="clear" w:color="auto" w:fill="auto"/>
          </w:tcPr>
          <w:p w14:paraId="1221FC9B" w14:textId="77777777" w:rsidR="006B112D" w:rsidRPr="00615C3F" w:rsidRDefault="006B112D" w:rsidP="001F4589">
            <w:pPr>
              <w:widowControl w:val="0"/>
              <w:rPr>
                <w:rFonts w:eastAsia="MS Mincho"/>
                <w:bCs/>
                <w:noProof/>
                <w:snapToGrid w:val="0"/>
                <w:kern w:val="22"/>
                <w:sz w:val="21"/>
                <w:szCs w:val="21"/>
              </w:rPr>
            </w:pPr>
          </w:p>
        </w:tc>
        <w:tc>
          <w:tcPr>
            <w:tcW w:w="3072" w:type="pct"/>
          </w:tcPr>
          <w:p w14:paraId="3CE4852D" w14:textId="77777777" w:rsidR="006B112D" w:rsidRPr="00615C3F" w:rsidRDefault="006B112D" w:rsidP="001F4589">
            <w:pPr>
              <w:pStyle w:val="ListParagraph"/>
              <w:widowControl w:val="0"/>
              <w:numPr>
                <w:ilvl w:val="0"/>
                <w:numId w:val="17"/>
              </w:numPr>
              <w:spacing w:after="60"/>
              <w:jc w:val="left"/>
              <w:rPr>
                <w:rFonts w:eastAsia="MS Mincho"/>
                <w:bCs/>
                <w:noProof/>
                <w:snapToGrid w:val="0"/>
                <w:kern w:val="22"/>
                <w:sz w:val="21"/>
                <w:szCs w:val="21"/>
              </w:rPr>
            </w:pPr>
            <w:r w:rsidRPr="00615C3F">
              <w:rPr>
                <w:kern w:val="22"/>
                <w:sz w:val="21"/>
                <w:szCs w:val="21"/>
              </w:rPr>
              <w:t>Promote collaboration in biodiversity data, information and knowledge-sharing, including enhancing harmonization and interoperability between relevant information systems initiatives</w:t>
            </w:r>
          </w:p>
        </w:tc>
        <w:tc>
          <w:tcPr>
            <w:tcW w:w="552" w:type="pct"/>
          </w:tcPr>
          <w:p w14:paraId="25D5D209" w14:textId="77777777" w:rsidR="006B112D" w:rsidRPr="00615C3F" w:rsidRDefault="006B112D" w:rsidP="001F4589">
            <w:pPr>
              <w:widowControl w:val="0"/>
              <w:rPr>
                <w:rFonts w:eastAsia="MS Mincho"/>
                <w:bCs/>
                <w:noProof/>
                <w:snapToGrid w:val="0"/>
                <w:kern w:val="22"/>
                <w:sz w:val="21"/>
                <w:szCs w:val="21"/>
              </w:rPr>
            </w:pPr>
          </w:p>
        </w:tc>
        <w:tc>
          <w:tcPr>
            <w:tcW w:w="557" w:type="pct"/>
            <w:shd w:val="clear" w:color="auto" w:fill="auto"/>
          </w:tcPr>
          <w:p w14:paraId="16E77013" w14:textId="77777777" w:rsidR="006B112D" w:rsidRPr="00615C3F" w:rsidRDefault="006B112D" w:rsidP="001F4589">
            <w:pPr>
              <w:widowControl w:val="0"/>
              <w:jc w:val="left"/>
              <w:rPr>
                <w:rFonts w:eastAsia="MS Mincho"/>
                <w:bCs/>
                <w:noProof/>
                <w:snapToGrid w:val="0"/>
                <w:kern w:val="22"/>
                <w:sz w:val="21"/>
                <w:szCs w:val="21"/>
              </w:rPr>
            </w:pPr>
          </w:p>
        </w:tc>
      </w:tr>
      <w:tr w:rsidR="00BE29D1" w:rsidRPr="002822B4" w14:paraId="2586651B" w14:textId="77777777" w:rsidTr="001F4589">
        <w:tc>
          <w:tcPr>
            <w:tcW w:w="819" w:type="pct"/>
            <w:vMerge/>
            <w:shd w:val="clear" w:color="auto" w:fill="auto"/>
          </w:tcPr>
          <w:p w14:paraId="28FB7AE2" w14:textId="77777777" w:rsidR="006B112D" w:rsidRPr="00615C3F" w:rsidRDefault="006B112D" w:rsidP="001F4589">
            <w:pPr>
              <w:widowControl w:val="0"/>
              <w:rPr>
                <w:rFonts w:eastAsia="MS Mincho"/>
                <w:bCs/>
                <w:noProof/>
                <w:snapToGrid w:val="0"/>
                <w:kern w:val="22"/>
                <w:sz w:val="21"/>
                <w:szCs w:val="21"/>
              </w:rPr>
            </w:pPr>
          </w:p>
        </w:tc>
        <w:tc>
          <w:tcPr>
            <w:tcW w:w="3072" w:type="pct"/>
          </w:tcPr>
          <w:p w14:paraId="52A609DD" w14:textId="77777777" w:rsidR="006B112D" w:rsidRPr="00615C3F" w:rsidRDefault="006B112D" w:rsidP="001F4589">
            <w:pPr>
              <w:pStyle w:val="ListParagraph"/>
              <w:widowControl w:val="0"/>
              <w:numPr>
                <w:ilvl w:val="0"/>
                <w:numId w:val="17"/>
              </w:numPr>
              <w:spacing w:after="60"/>
              <w:jc w:val="left"/>
              <w:rPr>
                <w:rFonts w:eastAsia="MS Mincho"/>
                <w:bCs/>
                <w:noProof/>
                <w:snapToGrid w:val="0"/>
                <w:kern w:val="22"/>
                <w:sz w:val="21"/>
                <w:szCs w:val="21"/>
              </w:rPr>
            </w:pPr>
            <w:r w:rsidRPr="00615C3F">
              <w:rPr>
                <w:kern w:val="22"/>
                <w:sz w:val="21"/>
                <w:szCs w:val="21"/>
              </w:rPr>
              <w:t>Enhance biodiversity monitoring through cooperation to improve the acquisition, delivery and use of Earth observation data and related services</w:t>
            </w:r>
          </w:p>
        </w:tc>
        <w:tc>
          <w:tcPr>
            <w:tcW w:w="552" w:type="pct"/>
          </w:tcPr>
          <w:p w14:paraId="46D5545A" w14:textId="77777777" w:rsidR="006B112D" w:rsidRPr="00615C3F" w:rsidRDefault="006B112D" w:rsidP="001F4589">
            <w:pPr>
              <w:widowControl w:val="0"/>
              <w:rPr>
                <w:kern w:val="22"/>
                <w:sz w:val="21"/>
                <w:szCs w:val="21"/>
              </w:rPr>
            </w:pPr>
          </w:p>
        </w:tc>
        <w:tc>
          <w:tcPr>
            <w:tcW w:w="557" w:type="pct"/>
            <w:shd w:val="clear" w:color="auto" w:fill="auto"/>
          </w:tcPr>
          <w:p w14:paraId="0111DE36" w14:textId="77777777" w:rsidR="006B112D" w:rsidRPr="00615C3F" w:rsidRDefault="006B112D" w:rsidP="001F4589">
            <w:pPr>
              <w:widowControl w:val="0"/>
              <w:jc w:val="left"/>
              <w:rPr>
                <w:rFonts w:eastAsia="MS Mincho"/>
                <w:bCs/>
                <w:noProof/>
                <w:snapToGrid w:val="0"/>
                <w:kern w:val="22"/>
                <w:sz w:val="21"/>
                <w:szCs w:val="21"/>
              </w:rPr>
            </w:pPr>
          </w:p>
        </w:tc>
      </w:tr>
      <w:tr w:rsidR="00BE29D1" w:rsidRPr="002822B4" w14:paraId="4689FE41" w14:textId="77777777" w:rsidTr="001F4589">
        <w:tc>
          <w:tcPr>
            <w:tcW w:w="819" w:type="pct"/>
            <w:vMerge/>
            <w:shd w:val="clear" w:color="auto" w:fill="auto"/>
          </w:tcPr>
          <w:p w14:paraId="2FE18C16" w14:textId="77777777" w:rsidR="006B112D" w:rsidRPr="00615C3F" w:rsidRDefault="006B112D" w:rsidP="001F4589">
            <w:pPr>
              <w:widowControl w:val="0"/>
              <w:rPr>
                <w:rFonts w:eastAsia="MS Mincho"/>
                <w:bCs/>
                <w:noProof/>
                <w:snapToGrid w:val="0"/>
                <w:kern w:val="22"/>
                <w:sz w:val="21"/>
                <w:szCs w:val="21"/>
              </w:rPr>
            </w:pPr>
          </w:p>
        </w:tc>
        <w:tc>
          <w:tcPr>
            <w:tcW w:w="3072" w:type="pct"/>
          </w:tcPr>
          <w:p w14:paraId="7AC7EDB6" w14:textId="1C0A1453" w:rsidR="006B112D" w:rsidRPr="00615C3F" w:rsidRDefault="006B112D" w:rsidP="001F4589">
            <w:pPr>
              <w:pStyle w:val="ListParagraph"/>
              <w:widowControl w:val="0"/>
              <w:numPr>
                <w:ilvl w:val="0"/>
                <w:numId w:val="17"/>
              </w:numPr>
              <w:spacing w:after="60"/>
              <w:jc w:val="left"/>
              <w:rPr>
                <w:kern w:val="22"/>
                <w:sz w:val="21"/>
                <w:szCs w:val="21"/>
              </w:rPr>
            </w:pPr>
            <w:r w:rsidRPr="00615C3F">
              <w:rPr>
                <w:kern w:val="22"/>
                <w:sz w:val="21"/>
                <w:szCs w:val="21"/>
              </w:rPr>
              <w:t>Identify, publicize, link and strengthen centres of expertise, communities of practice and other knowledge sources</w:t>
            </w:r>
          </w:p>
        </w:tc>
        <w:tc>
          <w:tcPr>
            <w:tcW w:w="552" w:type="pct"/>
          </w:tcPr>
          <w:p w14:paraId="62F74CC6" w14:textId="77777777" w:rsidR="006B112D" w:rsidRPr="00615C3F" w:rsidRDefault="006B112D" w:rsidP="001F4589">
            <w:pPr>
              <w:widowControl w:val="0"/>
              <w:rPr>
                <w:kern w:val="22"/>
                <w:sz w:val="21"/>
                <w:szCs w:val="21"/>
              </w:rPr>
            </w:pPr>
          </w:p>
        </w:tc>
        <w:tc>
          <w:tcPr>
            <w:tcW w:w="557" w:type="pct"/>
            <w:shd w:val="clear" w:color="auto" w:fill="auto"/>
          </w:tcPr>
          <w:p w14:paraId="44492E82" w14:textId="77777777" w:rsidR="006B112D" w:rsidRPr="00615C3F" w:rsidRDefault="006B112D" w:rsidP="001F4589">
            <w:pPr>
              <w:widowControl w:val="0"/>
              <w:jc w:val="left"/>
              <w:rPr>
                <w:kern w:val="22"/>
                <w:sz w:val="21"/>
                <w:szCs w:val="21"/>
              </w:rPr>
            </w:pPr>
          </w:p>
        </w:tc>
      </w:tr>
      <w:tr w:rsidR="00BE29D1" w:rsidRPr="002822B4" w14:paraId="0587FEBF" w14:textId="77777777" w:rsidTr="001F4589">
        <w:tc>
          <w:tcPr>
            <w:tcW w:w="819" w:type="pct"/>
            <w:vMerge/>
            <w:shd w:val="clear" w:color="auto" w:fill="auto"/>
          </w:tcPr>
          <w:p w14:paraId="36EBD2F7" w14:textId="77777777" w:rsidR="006B112D" w:rsidRPr="00615C3F" w:rsidRDefault="006B112D" w:rsidP="001F4589">
            <w:pPr>
              <w:widowControl w:val="0"/>
              <w:rPr>
                <w:rFonts w:eastAsia="MS Mincho"/>
                <w:bCs/>
                <w:noProof/>
                <w:snapToGrid w:val="0"/>
                <w:kern w:val="22"/>
                <w:sz w:val="21"/>
                <w:szCs w:val="21"/>
              </w:rPr>
            </w:pPr>
          </w:p>
        </w:tc>
        <w:tc>
          <w:tcPr>
            <w:tcW w:w="3072" w:type="pct"/>
          </w:tcPr>
          <w:p w14:paraId="10090EEC" w14:textId="49BA756A" w:rsidR="006B112D" w:rsidRPr="00615C3F" w:rsidRDefault="006B112D" w:rsidP="001F4589">
            <w:pPr>
              <w:pStyle w:val="ListParagraph"/>
              <w:widowControl w:val="0"/>
              <w:numPr>
                <w:ilvl w:val="0"/>
                <w:numId w:val="17"/>
              </w:numPr>
              <w:spacing w:after="60"/>
              <w:jc w:val="left"/>
              <w:rPr>
                <w:rFonts w:eastAsia="MS Mincho"/>
                <w:bCs/>
                <w:noProof/>
                <w:snapToGrid w:val="0"/>
                <w:kern w:val="22"/>
                <w:sz w:val="21"/>
                <w:szCs w:val="21"/>
              </w:rPr>
            </w:pPr>
            <w:r w:rsidRPr="00615C3F">
              <w:rPr>
                <w:kern w:val="22"/>
                <w:sz w:val="21"/>
                <w:szCs w:val="21"/>
              </w:rPr>
              <w:t xml:space="preserve">Enhance outreach and collaboration among key stakeholders – academia, indigenous peoples and local communities, subnational governments and national </w:t>
            </w:r>
            <w:r w:rsidR="00530448">
              <w:rPr>
                <w:kern w:val="22"/>
                <w:sz w:val="21"/>
                <w:szCs w:val="21"/>
              </w:rPr>
              <w:t>G</w:t>
            </w:r>
            <w:r w:rsidRPr="00615C3F">
              <w:rPr>
                <w:kern w:val="22"/>
                <w:sz w:val="21"/>
                <w:szCs w:val="21"/>
              </w:rPr>
              <w:t>overnment institutions</w:t>
            </w:r>
          </w:p>
        </w:tc>
        <w:tc>
          <w:tcPr>
            <w:tcW w:w="552" w:type="pct"/>
          </w:tcPr>
          <w:p w14:paraId="468E2842" w14:textId="77777777" w:rsidR="006B112D" w:rsidRPr="00615C3F" w:rsidRDefault="006B112D" w:rsidP="001F4589">
            <w:pPr>
              <w:widowControl w:val="0"/>
              <w:rPr>
                <w:kern w:val="22"/>
                <w:sz w:val="21"/>
                <w:szCs w:val="21"/>
              </w:rPr>
            </w:pPr>
          </w:p>
        </w:tc>
        <w:tc>
          <w:tcPr>
            <w:tcW w:w="557" w:type="pct"/>
            <w:shd w:val="clear" w:color="auto" w:fill="auto"/>
          </w:tcPr>
          <w:p w14:paraId="56AB527A" w14:textId="77777777" w:rsidR="006B112D" w:rsidRPr="00615C3F" w:rsidRDefault="006B112D" w:rsidP="001F4589">
            <w:pPr>
              <w:widowControl w:val="0"/>
              <w:jc w:val="left"/>
              <w:rPr>
                <w:kern w:val="22"/>
                <w:sz w:val="21"/>
                <w:szCs w:val="21"/>
              </w:rPr>
            </w:pPr>
          </w:p>
        </w:tc>
      </w:tr>
      <w:tr w:rsidR="00BE29D1" w:rsidRPr="002822B4" w14:paraId="5D8E83C2" w14:textId="77777777" w:rsidTr="001F4589">
        <w:tc>
          <w:tcPr>
            <w:tcW w:w="819" w:type="pct"/>
            <w:vMerge w:val="restart"/>
            <w:shd w:val="clear" w:color="auto" w:fill="auto"/>
          </w:tcPr>
          <w:p w14:paraId="4D44927E" w14:textId="77777777" w:rsidR="006B112D" w:rsidRPr="00615C3F" w:rsidRDefault="006B112D" w:rsidP="00482485">
            <w:pPr>
              <w:pStyle w:val="ListParagraph"/>
              <w:widowControl w:val="0"/>
              <w:numPr>
                <w:ilvl w:val="0"/>
                <w:numId w:val="25"/>
              </w:numPr>
              <w:ind w:left="250" w:hanging="270"/>
              <w:jc w:val="left"/>
              <w:rPr>
                <w:rFonts w:eastAsia="MS Mincho"/>
                <w:bCs/>
                <w:noProof/>
                <w:snapToGrid w:val="0"/>
                <w:kern w:val="22"/>
                <w:sz w:val="21"/>
                <w:szCs w:val="21"/>
              </w:rPr>
            </w:pPr>
            <w:r w:rsidRPr="00615C3F">
              <w:rPr>
                <w:rFonts w:eastAsia="MS Mincho"/>
                <w:bCs/>
                <w:noProof/>
                <w:snapToGrid w:val="0"/>
                <w:kern w:val="22"/>
                <w:sz w:val="21"/>
                <w:szCs w:val="21"/>
              </w:rPr>
              <w:t>Identification and promotion of best practices and resources</w:t>
            </w:r>
          </w:p>
        </w:tc>
        <w:tc>
          <w:tcPr>
            <w:tcW w:w="3072" w:type="pct"/>
          </w:tcPr>
          <w:p w14:paraId="5AB4D2F3" w14:textId="77777777" w:rsidR="006B112D" w:rsidRPr="00615C3F" w:rsidRDefault="006B112D" w:rsidP="00615C3F">
            <w:pPr>
              <w:pStyle w:val="ListParagraph"/>
              <w:widowControl w:val="0"/>
              <w:numPr>
                <w:ilvl w:val="0"/>
                <w:numId w:val="18"/>
              </w:numPr>
              <w:spacing w:after="60"/>
              <w:ind w:left="357" w:hanging="357"/>
              <w:contextualSpacing w:val="0"/>
              <w:jc w:val="left"/>
              <w:rPr>
                <w:rFonts w:eastAsia="MS Mincho"/>
                <w:bCs/>
                <w:noProof/>
                <w:snapToGrid w:val="0"/>
                <w:kern w:val="22"/>
                <w:sz w:val="21"/>
                <w:szCs w:val="21"/>
              </w:rPr>
            </w:pPr>
            <w:r w:rsidRPr="00615C3F">
              <w:rPr>
                <w:rFonts w:eastAsia="MS Mincho"/>
                <w:bCs/>
                <w:noProof/>
                <w:snapToGrid w:val="0"/>
                <w:kern w:val="22"/>
                <w:sz w:val="21"/>
                <w:szCs w:val="21"/>
              </w:rPr>
              <w:t>Facilitate the sharing of relevant information, success stories and best practices in information and knowledgement management</w:t>
            </w:r>
          </w:p>
        </w:tc>
        <w:tc>
          <w:tcPr>
            <w:tcW w:w="552" w:type="pct"/>
          </w:tcPr>
          <w:p w14:paraId="660D92AF" w14:textId="77777777" w:rsidR="006B112D" w:rsidRPr="00615C3F" w:rsidRDefault="006B112D" w:rsidP="001F4589">
            <w:pPr>
              <w:widowControl w:val="0"/>
              <w:rPr>
                <w:rFonts w:eastAsia="MS Mincho"/>
                <w:bCs/>
                <w:noProof/>
                <w:snapToGrid w:val="0"/>
                <w:kern w:val="22"/>
                <w:sz w:val="21"/>
                <w:szCs w:val="21"/>
              </w:rPr>
            </w:pPr>
          </w:p>
        </w:tc>
        <w:tc>
          <w:tcPr>
            <w:tcW w:w="557" w:type="pct"/>
            <w:shd w:val="clear" w:color="auto" w:fill="auto"/>
          </w:tcPr>
          <w:p w14:paraId="31C13EAF" w14:textId="77777777" w:rsidR="006B112D" w:rsidRPr="00615C3F" w:rsidRDefault="006B112D" w:rsidP="001F4589">
            <w:pPr>
              <w:widowControl w:val="0"/>
              <w:jc w:val="left"/>
              <w:rPr>
                <w:rFonts w:eastAsia="MS Mincho"/>
                <w:bCs/>
                <w:noProof/>
                <w:snapToGrid w:val="0"/>
                <w:kern w:val="22"/>
                <w:sz w:val="21"/>
                <w:szCs w:val="21"/>
              </w:rPr>
            </w:pPr>
          </w:p>
        </w:tc>
      </w:tr>
      <w:tr w:rsidR="00BE29D1" w:rsidRPr="002822B4" w14:paraId="27A44C2E" w14:textId="77777777" w:rsidTr="001F4589">
        <w:tc>
          <w:tcPr>
            <w:tcW w:w="819" w:type="pct"/>
            <w:vMerge/>
            <w:tcBorders>
              <w:bottom w:val="nil"/>
            </w:tcBorders>
            <w:shd w:val="clear" w:color="auto" w:fill="auto"/>
          </w:tcPr>
          <w:p w14:paraId="3F618E8E" w14:textId="77777777" w:rsidR="006B112D" w:rsidRPr="00615C3F" w:rsidRDefault="006B112D" w:rsidP="001F4589">
            <w:pPr>
              <w:widowControl w:val="0"/>
              <w:rPr>
                <w:rFonts w:eastAsia="MS Mincho"/>
                <w:bCs/>
                <w:noProof/>
                <w:snapToGrid w:val="0"/>
                <w:kern w:val="22"/>
                <w:sz w:val="21"/>
                <w:szCs w:val="21"/>
              </w:rPr>
            </w:pPr>
          </w:p>
        </w:tc>
        <w:tc>
          <w:tcPr>
            <w:tcW w:w="3072" w:type="pct"/>
          </w:tcPr>
          <w:p w14:paraId="1CA6B8B4" w14:textId="77777777" w:rsidR="006B112D" w:rsidRPr="00615C3F" w:rsidRDefault="006B112D" w:rsidP="00615C3F">
            <w:pPr>
              <w:pStyle w:val="ListParagraph"/>
              <w:widowControl w:val="0"/>
              <w:numPr>
                <w:ilvl w:val="0"/>
                <w:numId w:val="18"/>
              </w:numPr>
              <w:spacing w:after="60"/>
              <w:ind w:left="357" w:hanging="357"/>
              <w:contextualSpacing w:val="0"/>
              <w:jc w:val="left"/>
              <w:rPr>
                <w:rFonts w:eastAsia="MS Mincho"/>
                <w:bCs/>
                <w:noProof/>
                <w:snapToGrid w:val="0"/>
                <w:kern w:val="22"/>
                <w:sz w:val="21"/>
                <w:szCs w:val="21"/>
              </w:rPr>
            </w:pPr>
            <w:r w:rsidRPr="00615C3F">
              <w:rPr>
                <w:rFonts w:eastAsia="MS Mincho"/>
                <w:bCs/>
                <w:noProof/>
                <w:snapToGrid w:val="0"/>
                <w:kern w:val="22"/>
                <w:sz w:val="21"/>
                <w:szCs w:val="21"/>
              </w:rPr>
              <w:t>Identify, map and publicize existing relevant biodiversity data, information and knowledge sources</w:t>
            </w:r>
          </w:p>
        </w:tc>
        <w:tc>
          <w:tcPr>
            <w:tcW w:w="552" w:type="pct"/>
          </w:tcPr>
          <w:p w14:paraId="43088012" w14:textId="77777777" w:rsidR="006B112D" w:rsidRPr="00615C3F" w:rsidRDefault="006B112D" w:rsidP="001F4589">
            <w:pPr>
              <w:widowControl w:val="0"/>
              <w:rPr>
                <w:rFonts w:eastAsia="MS Mincho"/>
                <w:bCs/>
                <w:noProof/>
                <w:snapToGrid w:val="0"/>
                <w:kern w:val="22"/>
                <w:sz w:val="21"/>
                <w:szCs w:val="21"/>
              </w:rPr>
            </w:pPr>
          </w:p>
        </w:tc>
        <w:tc>
          <w:tcPr>
            <w:tcW w:w="557" w:type="pct"/>
            <w:shd w:val="clear" w:color="auto" w:fill="auto"/>
          </w:tcPr>
          <w:p w14:paraId="38261299" w14:textId="77777777" w:rsidR="006B112D" w:rsidRPr="00615C3F" w:rsidRDefault="006B112D" w:rsidP="001F4589">
            <w:pPr>
              <w:widowControl w:val="0"/>
              <w:jc w:val="left"/>
              <w:rPr>
                <w:rFonts w:eastAsia="MS Mincho"/>
                <w:bCs/>
                <w:noProof/>
                <w:snapToGrid w:val="0"/>
                <w:kern w:val="22"/>
                <w:sz w:val="21"/>
                <w:szCs w:val="21"/>
              </w:rPr>
            </w:pPr>
          </w:p>
        </w:tc>
      </w:tr>
      <w:tr w:rsidR="00BE29D1" w:rsidRPr="002822B4" w14:paraId="33BE1A48" w14:textId="77777777" w:rsidTr="001F4589">
        <w:tc>
          <w:tcPr>
            <w:tcW w:w="819" w:type="pct"/>
            <w:tcBorders>
              <w:top w:val="nil"/>
              <w:bottom w:val="nil"/>
            </w:tcBorders>
            <w:shd w:val="clear" w:color="auto" w:fill="auto"/>
          </w:tcPr>
          <w:p w14:paraId="650B36F5" w14:textId="77777777" w:rsidR="006B112D" w:rsidRPr="00615C3F" w:rsidRDefault="006B112D" w:rsidP="00482485">
            <w:pPr>
              <w:widowControl w:val="0"/>
              <w:rPr>
                <w:rFonts w:eastAsia="MS Mincho"/>
                <w:bCs/>
                <w:noProof/>
                <w:snapToGrid w:val="0"/>
                <w:kern w:val="22"/>
                <w:sz w:val="21"/>
                <w:szCs w:val="21"/>
              </w:rPr>
            </w:pPr>
          </w:p>
        </w:tc>
        <w:tc>
          <w:tcPr>
            <w:tcW w:w="3072" w:type="pct"/>
          </w:tcPr>
          <w:p w14:paraId="7A484252" w14:textId="77777777" w:rsidR="006B112D" w:rsidRPr="00615C3F" w:rsidRDefault="006B112D" w:rsidP="001F4589">
            <w:pPr>
              <w:pStyle w:val="ListParagraph"/>
              <w:widowControl w:val="0"/>
              <w:numPr>
                <w:ilvl w:val="0"/>
                <w:numId w:val="18"/>
              </w:numPr>
              <w:jc w:val="left"/>
              <w:rPr>
                <w:rFonts w:eastAsia="MS Mincho"/>
                <w:bCs/>
                <w:noProof/>
                <w:snapToGrid w:val="0"/>
                <w:kern w:val="22"/>
                <w:sz w:val="21"/>
                <w:szCs w:val="21"/>
              </w:rPr>
            </w:pPr>
            <w:r w:rsidRPr="00615C3F">
              <w:rPr>
                <w:rFonts w:eastAsia="MS Mincho"/>
                <w:bCs/>
                <w:noProof/>
                <w:snapToGrid w:val="0"/>
                <w:kern w:val="22"/>
                <w:sz w:val="21"/>
                <w:szCs w:val="21"/>
              </w:rPr>
              <w:t>Identify, promote and facilitate the implementation and scaling up of innovative knowledge management tools</w:t>
            </w:r>
          </w:p>
        </w:tc>
        <w:tc>
          <w:tcPr>
            <w:tcW w:w="552" w:type="pct"/>
          </w:tcPr>
          <w:p w14:paraId="41254484" w14:textId="77777777" w:rsidR="006B112D" w:rsidRPr="00615C3F" w:rsidRDefault="006B112D" w:rsidP="001F4589">
            <w:pPr>
              <w:widowControl w:val="0"/>
              <w:rPr>
                <w:rFonts w:eastAsia="MS Mincho"/>
                <w:bCs/>
                <w:noProof/>
                <w:snapToGrid w:val="0"/>
                <w:kern w:val="22"/>
                <w:sz w:val="21"/>
                <w:szCs w:val="21"/>
              </w:rPr>
            </w:pPr>
          </w:p>
        </w:tc>
        <w:tc>
          <w:tcPr>
            <w:tcW w:w="557" w:type="pct"/>
            <w:shd w:val="clear" w:color="auto" w:fill="auto"/>
          </w:tcPr>
          <w:p w14:paraId="4DC25830" w14:textId="77777777" w:rsidR="006B112D" w:rsidRPr="00615C3F" w:rsidRDefault="006B112D" w:rsidP="001F4589">
            <w:pPr>
              <w:widowControl w:val="0"/>
              <w:jc w:val="left"/>
              <w:rPr>
                <w:rFonts w:eastAsia="MS Mincho"/>
                <w:bCs/>
                <w:noProof/>
                <w:snapToGrid w:val="0"/>
                <w:kern w:val="22"/>
                <w:sz w:val="21"/>
                <w:szCs w:val="21"/>
              </w:rPr>
            </w:pPr>
          </w:p>
        </w:tc>
      </w:tr>
      <w:tr w:rsidR="00BE29D1" w:rsidRPr="002822B4" w14:paraId="62915E03" w14:textId="77777777" w:rsidTr="001F4589">
        <w:tc>
          <w:tcPr>
            <w:tcW w:w="819" w:type="pct"/>
            <w:tcBorders>
              <w:top w:val="nil"/>
            </w:tcBorders>
            <w:shd w:val="clear" w:color="auto" w:fill="auto"/>
          </w:tcPr>
          <w:p w14:paraId="1F0304C4" w14:textId="77777777" w:rsidR="006B112D" w:rsidRPr="00615C3F" w:rsidRDefault="006B112D" w:rsidP="00482485">
            <w:pPr>
              <w:widowControl w:val="0"/>
              <w:rPr>
                <w:rFonts w:eastAsia="MS Mincho"/>
                <w:bCs/>
                <w:noProof/>
                <w:snapToGrid w:val="0"/>
                <w:kern w:val="22"/>
                <w:sz w:val="21"/>
                <w:szCs w:val="21"/>
              </w:rPr>
            </w:pPr>
          </w:p>
        </w:tc>
        <w:tc>
          <w:tcPr>
            <w:tcW w:w="3072" w:type="pct"/>
          </w:tcPr>
          <w:p w14:paraId="51DA870E" w14:textId="77777777" w:rsidR="006B112D" w:rsidRPr="00615C3F" w:rsidRDefault="006B112D" w:rsidP="001F4589">
            <w:pPr>
              <w:pStyle w:val="ListParagraph"/>
              <w:widowControl w:val="0"/>
              <w:numPr>
                <w:ilvl w:val="0"/>
                <w:numId w:val="18"/>
              </w:numPr>
              <w:jc w:val="left"/>
              <w:rPr>
                <w:rFonts w:eastAsia="MS Mincho"/>
                <w:bCs/>
                <w:noProof/>
                <w:snapToGrid w:val="0"/>
                <w:kern w:val="22"/>
                <w:sz w:val="21"/>
                <w:szCs w:val="21"/>
              </w:rPr>
            </w:pPr>
            <w:r w:rsidRPr="00615C3F">
              <w:rPr>
                <w:rFonts w:eastAsia="MS Mincho"/>
                <w:bCs/>
                <w:noProof/>
                <w:snapToGrid w:val="0"/>
                <w:kern w:val="22"/>
                <w:sz w:val="21"/>
                <w:szCs w:val="21"/>
              </w:rPr>
              <w:t>Promote the use of relevant case studies on information management</w:t>
            </w:r>
          </w:p>
        </w:tc>
        <w:tc>
          <w:tcPr>
            <w:tcW w:w="552" w:type="pct"/>
          </w:tcPr>
          <w:p w14:paraId="477BF23C" w14:textId="77777777" w:rsidR="006B112D" w:rsidRPr="00615C3F" w:rsidRDefault="006B112D" w:rsidP="001F4589">
            <w:pPr>
              <w:widowControl w:val="0"/>
              <w:rPr>
                <w:rFonts w:eastAsia="MS Mincho"/>
                <w:bCs/>
                <w:noProof/>
                <w:snapToGrid w:val="0"/>
                <w:kern w:val="22"/>
                <w:sz w:val="21"/>
                <w:szCs w:val="21"/>
              </w:rPr>
            </w:pPr>
          </w:p>
        </w:tc>
        <w:tc>
          <w:tcPr>
            <w:tcW w:w="557" w:type="pct"/>
            <w:shd w:val="clear" w:color="auto" w:fill="auto"/>
          </w:tcPr>
          <w:p w14:paraId="7908D2F1" w14:textId="77777777" w:rsidR="006B112D" w:rsidRPr="00615C3F" w:rsidRDefault="006B112D" w:rsidP="001F4589">
            <w:pPr>
              <w:widowControl w:val="0"/>
              <w:jc w:val="left"/>
              <w:rPr>
                <w:rFonts w:eastAsia="MS Mincho"/>
                <w:bCs/>
                <w:noProof/>
                <w:snapToGrid w:val="0"/>
                <w:kern w:val="22"/>
                <w:sz w:val="21"/>
                <w:szCs w:val="21"/>
              </w:rPr>
            </w:pPr>
          </w:p>
        </w:tc>
      </w:tr>
    </w:tbl>
    <w:p w14:paraId="28FB5681" w14:textId="40041553" w:rsidR="00B3369F" w:rsidRPr="006023C7" w:rsidRDefault="006B112D" w:rsidP="001F4589">
      <w:pPr>
        <w:pStyle w:val="CBD-Para"/>
        <w:keepLines w:val="0"/>
        <w:numPr>
          <w:ilvl w:val="0"/>
          <w:numId w:val="0"/>
        </w:numPr>
        <w:spacing w:before="0" w:after="0"/>
        <w:jc w:val="center"/>
        <w:rPr>
          <w:kern w:val="22"/>
          <w:lang w:val="en-GB"/>
        </w:rPr>
      </w:pPr>
      <w:r w:rsidRPr="006023C7">
        <w:rPr>
          <w:kern w:val="22"/>
          <w:lang w:val="en-GB"/>
        </w:rPr>
        <w:t>______</w:t>
      </w:r>
      <w:r w:rsidR="006023C7" w:rsidRPr="006023C7">
        <w:rPr>
          <w:kern w:val="22"/>
          <w:lang w:val="en-GB"/>
        </w:rPr>
        <w:t>____</w:t>
      </w:r>
    </w:p>
    <w:sectPr w:rsidR="00B3369F" w:rsidRPr="006023C7" w:rsidSect="001F4589">
      <w:pgSz w:w="15840" w:h="12240" w:orient="landscape"/>
      <w:pgMar w:top="1389" w:right="567" w:bottom="1389" w:left="1134" w:header="56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FC8E1" w14:textId="77777777" w:rsidR="000A7141" w:rsidRDefault="000A7141" w:rsidP="00CF1848">
      <w:r>
        <w:separator/>
      </w:r>
    </w:p>
  </w:endnote>
  <w:endnote w:type="continuationSeparator" w:id="0">
    <w:p w14:paraId="5CDAD8A6" w14:textId="77777777" w:rsidR="000A7141" w:rsidRDefault="000A714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4D33E" w14:textId="77777777" w:rsidR="000A7141" w:rsidRDefault="000A7141" w:rsidP="00CF1848">
      <w:r>
        <w:separator/>
      </w:r>
    </w:p>
  </w:footnote>
  <w:footnote w:type="continuationSeparator" w:id="0">
    <w:p w14:paraId="0A2E35BE" w14:textId="77777777" w:rsidR="000A7141" w:rsidRDefault="000A7141" w:rsidP="00CF1848">
      <w:r>
        <w:continuationSeparator/>
      </w:r>
    </w:p>
  </w:footnote>
  <w:footnote w:id="1">
    <w:p w14:paraId="3BC4B8E5" w14:textId="77777777" w:rsidR="00F45484" w:rsidRPr="00135207" w:rsidRDefault="00F45484" w:rsidP="00135207">
      <w:pPr>
        <w:pStyle w:val="FootnoteText"/>
        <w:suppressLineNumbers/>
        <w:suppressAutoHyphens/>
        <w:ind w:firstLine="0"/>
        <w:jc w:val="left"/>
        <w:rPr>
          <w:kern w:val="18"/>
          <w:szCs w:val="18"/>
        </w:rPr>
      </w:pPr>
      <w:r w:rsidRPr="00135207">
        <w:rPr>
          <w:rStyle w:val="FootnoteReference"/>
          <w:kern w:val="18"/>
          <w:sz w:val="18"/>
          <w:szCs w:val="18"/>
          <w:vertAlign w:val="baseline"/>
        </w:rPr>
        <w:t>*</w:t>
      </w:r>
      <w:r w:rsidRPr="00135207">
        <w:rPr>
          <w:kern w:val="18"/>
          <w:szCs w:val="18"/>
        </w:rPr>
        <w:t xml:space="preserve"> CBD/SBI/3/1.</w:t>
      </w:r>
    </w:p>
  </w:footnote>
  <w:footnote w:id="2">
    <w:p w14:paraId="6519E9BB" w14:textId="6CC91389"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135207">
        <w:rPr>
          <w:kern w:val="18"/>
          <w:szCs w:val="18"/>
        </w:rPr>
        <w:t xml:space="preserve"> </w:t>
      </w:r>
      <w:r w:rsidRPr="00615C3F">
        <w:rPr>
          <w:kern w:val="18"/>
          <w:szCs w:val="18"/>
        </w:rPr>
        <w:t>Examples include Articles 17 and 18 of the Convention on Biological Diversity, Article 20 of the Cartagena Protocol on Biosafety</w:t>
      </w:r>
      <w:r w:rsidR="00E971D7">
        <w:rPr>
          <w:kern w:val="18"/>
          <w:szCs w:val="18"/>
        </w:rPr>
        <w:t>,</w:t>
      </w:r>
      <w:r w:rsidRPr="00615C3F">
        <w:rPr>
          <w:kern w:val="18"/>
          <w:szCs w:val="18"/>
        </w:rPr>
        <w:t xml:space="preserve"> Article 14 of the Nagoya Protocol, Articles VI and VIII of the Convention on International Trade in Endangered Species of Wild Fauna and Flora, Articles 3 and 6 of the Ramsar Convention, </w:t>
      </w:r>
      <w:r w:rsidR="00C06417">
        <w:rPr>
          <w:kern w:val="18"/>
          <w:szCs w:val="18"/>
        </w:rPr>
        <w:t xml:space="preserve">and </w:t>
      </w:r>
      <w:r w:rsidRPr="00615C3F">
        <w:rPr>
          <w:kern w:val="18"/>
          <w:szCs w:val="18"/>
        </w:rPr>
        <w:t xml:space="preserve">Article V of </w:t>
      </w:r>
      <w:r w:rsidR="00814392">
        <w:rPr>
          <w:kern w:val="18"/>
          <w:szCs w:val="18"/>
        </w:rPr>
        <w:t xml:space="preserve">the </w:t>
      </w:r>
      <w:r w:rsidRPr="00615C3F">
        <w:rPr>
          <w:kern w:val="18"/>
          <w:szCs w:val="18"/>
        </w:rPr>
        <w:t>Convention on Migratory Species.</w:t>
      </w:r>
    </w:p>
  </w:footnote>
  <w:footnote w:id="3">
    <w:p w14:paraId="52844897" w14:textId="33619BC4"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135207">
        <w:rPr>
          <w:kern w:val="18"/>
          <w:szCs w:val="18"/>
        </w:rPr>
        <w:t xml:space="preserve"> Decision X/2</w:t>
      </w:r>
      <w:r w:rsidR="004320EF" w:rsidRPr="002C5308">
        <w:rPr>
          <w:kern w:val="18"/>
          <w:szCs w:val="18"/>
        </w:rPr>
        <w:t>.</w:t>
      </w:r>
    </w:p>
  </w:footnote>
  <w:footnote w:id="4">
    <w:p w14:paraId="7E5F7F29" w14:textId="274C04F7"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135207">
        <w:rPr>
          <w:kern w:val="18"/>
          <w:szCs w:val="18"/>
        </w:rPr>
        <w:t xml:space="preserve"> </w:t>
      </w:r>
      <w:hyperlink r:id="rId1" w:history="1">
        <w:r w:rsidR="002C5308" w:rsidRPr="00493814">
          <w:rPr>
            <w:rStyle w:val="Hyperlink"/>
            <w:kern w:val="18"/>
            <w:szCs w:val="18"/>
          </w:rPr>
          <w:t>https://www.cbd.int/gbo/</w:t>
        </w:r>
      </w:hyperlink>
    </w:p>
  </w:footnote>
  <w:footnote w:id="5">
    <w:p w14:paraId="3140EF59" w14:textId="1CB3CC5E"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w:t>
      </w:r>
      <w:r w:rsidR="00CD3D1F">
        <w:rPr>
          <w:kern w:val="18"/>
          <w:szCs w:val="18"/>
        </w:rPr>
        <w:t xml:space="preserve">See “Effective use of knowledge </w:t>
      </w:r>
      <w:r w:rsidR="00B64BE1">
        <w:rPr>
          <w:kern w:val="18"/>
          <w:szCs w:val="18"/>
        </w:rPr>
        <w:t>in developing the post-2020 global biodiversity framework</w:t>
      </w:r>
      <w:r w:rsidR="00CB3C9B">
        <w:rPr>
          <w:kern w:val="18"/>
          <w:szCs w:val="18"/>
        </w:rPr>
        <w:t>”</w:t>
      </w:r>
      <w:r w:rsidR="00CD3D1F" w:rsidRPr="00615C3F">
        <w:rPr>
          <w:kern w:val="18"/>
          <w:szCs w:val="18"/>
        </w:rPr>
        <w:t xml:space="preserve"> </w:t>
      </w:r>
      <w:r w:rsidR="00B64BE1">
        <w:rPr>
          <w:kern w:val="18"/>
          <w:szCs w:val="18"/>
        </w:rPr>
        <w:t>(</w:t>
      </w:r>
      <w:hyperlink r:id="rId2" w:history="1">
        <w:r w:rsidRPr="00615C3F">
          <w:rPr>
            <w:rStyle w:val="Hyperlink"/>
            <w:kern w:val="18"/>
          </w:rPr>
          <w:t>CBD/SBI/2/INF/33</w:t>
        </w:r>
      </w:hyperlink>
      <w:r w:rsidR="00B64BE1">
        <w:rPr>
          <w:kern w:val="18"/>
          <w:szCs w:val="18"/>
        </w:rPr>
        <w:t>).</w:t>
      </w:r>
      <w:hyperlink w:history="1"/>
    </w:p>
  </w:footnote>
  <w:footnote w:id="6">
    <w:p w14:paraId="3BDE9F06" w14:textId="77777777"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Source:  Rowley, J. 2007. “</w:t>
      </w:r>
      <w:hyperlink r:id="rId3" w:history="1">
        <w:r w:rsidRPr="00615C3F">
          <w:rPr>
            <w:rStyle w:val="Hyperlink"/>
            <w:kern w:val="18"/>
            <w:szCs w:val="18"/>
          </w:rPr>
          <w:t>The Wisdom Hierarchy: Representations of the DIKW Hierarchy</w:t>
        </w:r>
      </w:hyperlink>
      <w:r w:rsidRPr="00615C3F">
        <w:rPr>
          <w:kern w:val="18"/>
          <w:szCs w:val="18"/>
        </w:rPr>
        <w:t>.”</w:t>
      </w:r>
    </w:p>
  </w:footnote>
  <w:footnote w:id="7">
    <w:p w14:paraId="784E3A65" w14:textId="77777777"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w:t>
      </w:r>
      <w:hyperlink r:id="rId4" w:history="1">
        <w:r w:rsidRPr="00615C3F">
          <w:rPr>
            <w:rStyle w:val="Hyperlink"/>
            <w:kern w:val="18"/>
            <w:szCs w:val="18"/>
          </w:rPr>
          <w:t>https://www.cbd.int/chm/</w:t>
        </w:r>
      </w:hyperlink>
      <w:r w:rsidRPr="00615C3F">
        <w:rPr>
          <w:kern w:val="18"/>
          <w:szCs w:val="18"/>
        </w:rPr>
        <w:t xml:space="preserve">; </w:t>
      </w:r>
      <w:hyperlink r:id="rId5" w:history="1">
        <w:r w:rsidRPr="00615C3F">
          <w:rPr>
            <w:rStyle w:val="Hyperlink"/>
            <w:kern w:val="18"/>
            <w:szCs w:val="18"/>
          </w:rPr>
          <w:t>http://bch.cbd.int/</w:t>
        </w:r>
      </w:hyperlink>
      <w:r w:rsidRPr="00615C3F">
        <w:rPr>
          <w:kern w:val="18"/>
          <w:szCs w:val="18"/>
        </w:rPr>
        <w:t xml:space="preserve">; </w:t>
      </w:r>
      <w:hyperlink r:id="rId6" w:history="1">
        <w:r w:rsidRPr="00615C3F">
          <w:rPr>
            <w:rStyle w:val="Hyperlink"/>
            <w:kern w:val="18"/>
            <w:szCs w:val="18"/>
          </w:rPr>
          <w:t>https://absch.cbd.int/</w:t>
        </w:r>
      </w:hyperlink>
      <w:r w:rsidRPr="00615C3F">
        <w:rPr>
          <w:kern w:val="18"/>
          <w:szCs w:val="18"/>
        </w:rPr>
        <w:t xml:space="preserve">; </w:t>
      </w:r>
      <w:hyperlink r:id="rId7" w:history="1">
        <w:r w:rsidRPr="00615C3F">
          <w:rPr>
            <w:rStyle w:val="Hyperlink"/>
            <w:kern w:val="18"/>
            <w:szCs w:val="18"/>
          </w:rPr>
          <w:t>https://rsis.ramsar.org/</w:t>
        </w:r>
      </w:hyperlink>
      <w:r w:rsidRPr="00615C3F">
        <w:rPr>
          <w:kern w:val="18"/>
          <w:szCs w:val="18"/>
        </w:rPr>
        <w:t xml:space="preserve">; and </w:t>
      </w:r>
      <w:r w:rsidRPr="00615C3F">
        <w:rPr>
          <w:color w:val="1155CC"/>
          <w:kern w:val="18"/>
          <w:szCs w:val="18"/>
          <w:u w:val="single"/>
        </w:rPr>
        <w:t>https://trade.cites.org/</w:t>
      </w:r>
    </w:p>
  </w:footnote>
  <w:footnote w:id="8">
    <w:p w14:paraId="6E3EDF1F" w14:textId="77777777"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https://</w:t>
      </w:r>
      <w:hyperlink r:id="rId8" w:history="1">
        <w:r w:rsidRPr="00615C3F">
          <w:rPr>
            <w:rStyle w:val="Hyperlink"/>
            <w:kern w:val="18"/>
            <w:szCs w:val="18"/>
          </w:rPr>
          <w:t>www.informea.org</w:t>
        </w:r>
      </w:hyperlink>
    </w:p>
  </w:footnote>
  <w:footnote w:id="9">
    <w:p w14:paraId="7D02AD68" w14:textId="46DE8DEA"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w:t>
      </w:r>
      <w:hyperlink r:id="rId9" w:history="1">
        <w:r w:rsidR="00A01A90" w:rsidRPr="00615C3F">
          <w:rPr>
            <w:rStyle w:val="Hyperlink"/>
            <w:kern w:val="18"/>
            <w:szCs w:val="18"/>
          </w:rPr>
          <w:t>https://www.iucnredlist.org/assessment/sis</w:t>
        </w:r>
      </w:hyperlink>
    </w:p>
  </w:footnote>
  <w:footnote w:id="10">
    <w:p w14:paraId="6AC36670" w14:textId="30D78A5D"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w:t>
      </w:r>
      <w:hyperlink r:id="rId10" w:history="1">
        <w:r w:rsidR="00A01A90" w:rsidRPr="00615C3F">
          <w:rPr>
            <w:rStyle w:val="Hyperlink"/>
            <w:kern w:val="18"/>
            <w:szCs w:val="18"/>
          </w:rPr>
          <w:t>https://www.unbiodiversitylab.org/</w:t>
        </w:r>
      </w:hyperlink>
    </w:p>
  </w:footnote>
  <w:footnote w:id="11">
    <w:p w14:paraId="653DDA09" w14:textId="77777777"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See: </w:t>
      </w:r>
      <w:hyperlink r:id="rId11" w:history="1">
        <w:r w:rsidRPr="00615C3F">
          <w:rPr>
            <w:rStyle w:val="Hyperlink"/>
            <w:kern w:val="18"/>
            <w:szCs w:val="18"/>
          </w:rPr>
          <w:t>https://www.protectedplanet.net/</w:t>
        </w:r>
      </w:hyperlink>
      <w:r w:rsidRPr="00615C3F">
        <w:rPr>
          <w:kern w:val="18"/>
          <w:szCs w:val="18"/>
        </w:rPr>
        <w:t xml:space="preserve">; </w:t>
      </w:r>
      <w:hyperlink r:id="rId12" w:history="1">
        <w:r w:rsidRPr="00615C3F">
          <w:rPr>
            <w:rStyle w:val="Hyperlink"/>
            <w:kern w:val="18"/>
            <w:szCs w:val="18"/>
          </w:rPr>
          <w:t>https://pame.protectedplanet.net</w:t>
        </w:r>
      </w:hyperlink>
      <w:r w:rsidRPr="00615C3F">
        <w:rPr>
          <w:kern w:val="18"/>
          <w:szCs w:val="18"/>
        </w:rPr>
        <w:t xml:space="preserve">  and </w:t>
      </w:r>
      <w:hyperlink r:id="rId13" w:history="1">
        <w:r w:rsidRPr="00615C3F">
          <w:rPr>
            <w:rStyle w:val="Hyperlink"/>
            <w:kern w:val="18"/>
            <w:szCs w:val="18"/>
          </w:rPr>
          <w:t>https://www.iccaregistry.org/</w:t>
        </w:r>
      </w:hyperlink>
    </w:p>
  </w:footnote>
  <w:footnote w:id="12">
    <w:p w14:paraId="10E27512" w14:textId="05AA624E"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These and other sources are identified in the “Compendium of guidance on key global databases related to biodiversity-related conventions” developed by UNEP-WCMC, available at </w:t>
      </w:r>
      <w:hyperlink r:id="rId14" w:history="1">
        <w:r w:rsidRPr="00615C3F">
          <w:rPr>
            <w:rStyle w:val="Hyperlink"/>
            <w:kern w:val="18"/>
            <w:szCs w:val="18"/>
          </w:rPr>
          <w:t>https://www.unep-wcmc.org/resources-and-data/biodiversitysynergies</w:t>
        </w:r>
      </w:hyperlink>
      <w:r w:rsidRPr="00615C3F">
        <w:rPr>
          <w:kern w:val="18"/>
          <w:szCs w:val="18"/>
        </w:rPr>
        <w:t>.</w:t>
      </w:r>
    </w:p>
  </w:footnote>
  <w:footnote w:id="13">
    <w:p w14:paraId="3C197120" w14:textId="748A09DF"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These technologies could include web content management systems, electronic document and records management systems, collaboration tools, search engines, classification tools, and portals</w:t>
      </w:r>
      <w:r w:rsidR="004A1266" w:rsidRPr="00615C3F">
        <w:rPr>
          <w:kern w:val="18"/>
          <w:szCs w:val="18"/>
        </w:rPr>
        <w:t xml:space="preserve">, as well as </w:t>
      </w:r>
      <w:r w:rsidRPr="00615C3F">
        <w:rPr>
          <w:kern w:val="18"/>
          <w:szCs w:val="18"/>
        </w:rPr>
        <w:t>libraries and information centres.</w:t>
      </w:r>
    </w:p>
  </w:footnote>
  <w:footnote w:id="14">
    <w:p w14:paraId="7F519753" w14:textId="7A8D0BE9" w:rsidR="00F45484" w:rsidRPr="00615C3F" w:rsidRDefault="00F45484" w:rsidP="00615C3F">
      <w:pPr>
        <w:pStyle w:val="NormalWeb"/>
        <w:keepLines/>
        <w:suppressLineNumbers/>
        <w:suppressAutoHyphens/>
        <w:spacing w:before="0" w:beforeAutospacing="0" w:after="60" w:afterAutospacing="0"/>
        <w:rPr>
          <w:kern w:val="18"/>
          <w:sz w:val="18"/>
          <w:szCs w:val="18"/>
          <w:lang w:val="en-GB"/>
        </w:rPr>
      </w:pPr>
      <w:r w:rsidRPr="00615C3F">
        <w:rPr>
          <w:rStyle w:val="FootnoteReference"/>
          <w:kern w:val="18"/>
          <w:sz w:val="18"/>
          <w:szCs w:val="18"/>
          <w:lang w:val="en-GB"/>
        </w:rPr>
        <w:footnoteRef/>
      </w:r>
      <w:r w:rsidRPr="00615C3F">
        <w:rPr>
          <w:kern w:val="18"/>
          <w:sz w:val="18"/>
          <w:szCs w:val="18"/>
          <w:lang w:val="en-GB"/>
        </w:rPr>
        <w:t xml:space="preserve"> Some of the efforts are outlined in </w:t>
      </w:r>
      <w:r w:rsidR="003850F1" w:rsidRPr="00615C3F">
        <w:rPr>
          <w:kern w:val="18"/>
          <w:sz w:val="18"/>
          <w:szCs w:val="18"/>
          <w:lang w:val="en-GB"/>
        </w:rPr>
        <w:t>d</w:t>
      </w:r>
      <w:r w:rsidRPr="00615C3F">
        <w:rPr>
          <w:kern w:val="18"/>
          <w:sz w:val="18"/>
          <w:szCs w:val="18"/>
          <w:lang w:val="en-GB"/>
        </w:rPr>
        <w:t>ecision IPBES-7/1.</w:t>
      </w:r>
    </w:p>
  </w:footnote>
  <w:footnote w:id="15">
    <w:p w14:paraId="577807F5" w14:textId="77777777"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Knowledge discovery and collection involves searching, locating, identifying and acquiring data, information and knowledge.</w:t>
      </w:r>
    </w:p>
  </w:footnote>
  <w:footnote w:id="16">
    <w:p w14:paraId="69B669B4" w14:textId="058BF1C2"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w:t>
      </w:r>
      <w:r w:rsidR="000A2C67" w:rsidRPr="006C1BE4">
        <w:rPr>
          <w:kern w:val="18"/>
          <w:szCs w:val="18"/>
        </w:rPr>
        <w:t xml:space="preserve">See </w:t>
      </w:r>
      <w:r w:rsidRPr="00615C3F">
        <w:rPr>
          <w:kern w:val="18"/>
          <w:szCs w:val="18"/>
        </w:rPr>
        <w:t>CBD/SBI/3/7/Add.2</w:t>
      </w:r>
      <w:r w:rsidR="000A2C67">
        <w:rPr>
          <w:kern w:val="18"/>
          <w:szCs w:val="18"/>
        </w:rPr>
        <w:t>,</w:t>
      </w:r>
      <w:r w:rsidRPr="00615C3F">
        <w:rPr>
          <w:kern w:val="18"/>
          <w:szCs w:val="18"/>
        </w:rPr>
        <w:t xml:space="preserve"> </w:t>
      </w:r>
      <w:r w:rsidR="00406AC0" w:rsidRPr="00615C3F">
        <w:rPr>
          <w:kern w:val="18"/>
          <w:szCs w:val="18"/>
        </w:rPr>
        <w:t>a</w:t>
      </w:r>
      <w:r w:rsidRPr="00615C3F">
        <w:rPr>
          <w:kern w:val="18"/>
          <w:szCs w:val="18"/>
        </w:rPr>
        <w:t>nnex II</w:t>
      </w:r>
      <w:r w:rsidR="000A2C67">
        <w:rPr>
          <w:kern w:val="18"/>
          <w:szCs w:val="18"/>
        </w:rPr>
        <w:t>.</w:t>
      </w:r>
    </w:p>
  </w:footnote>
  <w:footnote w:id="17">
    <w:p w14:paraId="160213E2" w14:textId="6DEBA770"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w:t>
      </w:r>
      <w:hyperlink r:id="rId15" w:history="1">
        <w:r w:rsidRPr="00615C3F">
          <w:rPr>
            <w:rStyle w:val="Hyperlink"/>
            <w:kern w:val="18"/>
            <w:szCs w:val="18"/>
          </w:rPr>
          <w:t>https://www.allianceforbio.org/</w:t>
        </w:r>
      </w:hyperlink>
      <w:r w:rsidRPr="00615C3F">
        <w:rPr>
          <w:kern w:val="18"/>
          <w:szCs w:val="18"/>
        </w:rPr>
        <w:t xml:space="preserve"> </w:t>
      </w:r>
    </w:p>
  </w:footnote>
  <w:footnote w:id="18">
    <w:p w14:paraId="2F0B9C37" w14:textId="25876E84"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The timeframe for the different strategic actions will be completed after discussions at </w:t>
      </w:r>
      <w:r w:rsidR="009A6FAF" w:rsidRPr="00615C3F">
        <w:rPr>
          <w:kern w:val="18"/>
          <w:szCs w:val="18"/>
        </w:rPr>
        <w:t>the third meeting of the Subsidiary Body on Implementation</w:t>
      </w:r>
      <w:r w:rsidRPr="00615C3F">
        <w:rPr>
          <w:kern w:val="18"/>
          <w:szCs w:val="18"/>
        </w:rPr>
        <w:t>.</w:t>
      </w:r>
    </w:p>
  </w:footnote>
  <w:footnote w:id="19">
    <w:p w14:paraId="6B74A8EB" w14:textId="57A78F53"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This column will be completed after </w:t>
      </w:r>
      <w:r w:rsidR="009519D0" w:rsidRPr="00615C3F">
        <w:rPr>
          <w:kern w:val="18"/>
          <w:szCs w:val="18"/>
        </w:rPr>
        <w:t>the third meeting of the Subsidiary Body on Implementation</w:t>
      </w:r>
      <w:r w:rsidRPr="00615C3F">
        <w:rPr>
          <w:kern w:val="18"/>
          <w:szCs w:val="18"/>
        </w:rPr>
        <w:t xml:space="preserve"> and following voluntary expressions of interest from relevant partner organizations to contribute to the agreed strategic actions.</w:t>
      </w:r>
    </w:p>
  </w:footnote>
  <w:footnote w:id="20">
    <w:p w14:paraId="75812F63" w14:textId="64C65C8B" w:rsidR="00F45484" w:rsidRPr="00615C3F" w:rsidRDefault="00F45484" w:rsidP="00615C3F">
      <w:pPr>
        <w:pStyle w:val="NormalWeb"/>
        <w:keepLines/>
        <w:suppressLineNumbers/>
        <w:suppressAutoHyphens/>
        <w:spacing w:before="0" w:beforeAutospacing="0" w:after="60" w:afterAutospacing="0"/>
        <w:rPr>
          <w:kern w:val="18"/>
          <w:sz w:val="18"/>
          <w:szCs w:val="18"/>
          <w:lang w:val="en-GB"/>
        </w:rPr>
      </w:pPr>
      <w:r w:rsidRPr="00615C3F">
        <w:rPr>
          <w:rStyle w:val="FootnoteReference"/>
          <w:kern w:val="18"/>
          <w:sz w:val="18"/>
          <w:szCs w:val="18"/>
          <w:lang w:val="en-GB"/>
        </w:rPr>
        <w:footnoteRef/>
      </w:r>
      <w:r w:rsidRPr="00615C3F">
        <w:rPr>
          <w:kern w:val="18"/>
          <w:sz w:val="18"/>
          <w:szCs w:val="18"/>
          <w:lang w:val="en-GB"/>
        </w:rPr>
        <w:t xml:space="preserve"> These may include tools identified in the </w:t>
      </w:r>
      <w:hyperlink r:id="rId16" w:history="1">
        <w:r w:rsidRPr="00615C3F">
          <w:rPr>
            <w:rStyle w:val="Hyperlink"/>
            <w:kern w:val="18"/>
            <w:szCs w:val="18"/>
            <w:lang w:val="en-GB"/>
          </w:rPr>
          <w:t>UNEP-WCMC compendia</w:t>
        </w:r>
      </w:hyperlink>
      <w:r w:rsidRPr="00615C3F">
        <w:rPr>
          <w:kern w:val="18"/>
          <w:sz w:val="18"/>
          <w:szCs w:val="18"/>
          <w:lang w:val="en-GB"/>
        </w:rPr>
        <w:t>.</w:t>
      </w:r>
    </w:p>
  </w:footnote>
  <w:footnote w:id="21">
    <w:p w14:paraId="7803D815" w14:textId="28D91BC3" w:rsidR="00F45484" w:rsidRPr="00615C3F" w:rsidRDefault="00F45484" w:rsidP="00615C3F">
      <w:pPr>
        <w:pStyle w:val="FootnoteText"/>
        <w:suppressLineNumbers/>
        <w:suppressAutoHyphens/>
        <w:ind w:firstLine="0"/>
        <w:jc w:val="left"/>
        <w:rPr>
          <w:kern w:val="18"/>
          <w:szCs w:val="18"/>
        </w:rPr>
      </w:pPr>
      <w:r w:rsidRPr="00615C3F">
        <w:rPr>
          <w:rStyle w:val="FootnoteReference"/>
          <w:kern w:val="18"/>
          <w:sz w:val="18"/>
          <w:szCs w:val="18"/>
        </w:rPr>
        <w:footnoteRef/>
      </w:r>
      <w:r w:rsidRPr="00615C3F">
        <w:rPr>
          <w:kern w:val="18"/>
          <w:szCs w:val="18"/>
        </w:rPr>
        <w:t xml:space="preserve"> The Open-Ended Working Group on Article 8(j)</w:t>
      </w:r>
      <w:r w:rsidR="009519D0" w:rsidRPr="00615C3F">
        <w:rPr>
          <w:kern w:val="18"/>
          <w:szCs w:val="18"/>
        </w:rPr>
        <w:t xml:space="preserve"> and Related </w:t>
      </w:r>
      <w:r w:rsidR="00B464BB">
        <w:rPr>
          <w:kern w:val="18"/>
          <w:szCs w:val="18"/>
        </w:rPr>
        <w:t>P</w:t>
      </w:r>
      <w:r w:rsidR="009519D0" w:rsidRPr="00615C3F">
        <w:rPr>
          <w:kern w:val="18"/>
          <w:szCs w:val="18"/>
        </w:rPr>
        <w:t>rovisions</w:t>
      </w:r>
      <w:r w:rsidRPr="00615C3F">
        <w:rPr>
          <w:kern w:val="18"/>
          <w:szCs w:val="18"/>
        </w:rPr>
        <w:t>, and the IPBES task force on indigenous and local knowledge could play a role in this regard.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93381937"/>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709701DC" w14:textId="50088E66" w:rsidR="00F45484" w:rsidRPr="00AC4770" w:rsidRDefault="00F45484" w:rsidP="00AC4770">
        <w:pPr>
          <w:pStyle w:val="Header"/>
          <w:keepLines/>
          <w:suppressLineNumbers/>
          <w:suppressAutoHyphens/>
          <w:jc w:val="left"/>
          <w:rPr>
            <w:noProof/>
            <w:kern w:val="22"/>
          </w:rPr>
        </w:pPr>
        <w:r>
          <w:rPr>
            <w:noProof/>
            <w:kern w:val="22"/>
          </w:rPr>
          <w:t>CBD/SBI/3/8/Add.1</w:t>
        </w:r>
      </w:p>
    </w:sdtContent>
  </w:sdt>
  <w:p w14:paraId="50968D8A" w14:textId="1C22A280" w:rsidR="00F45484" w:rsidRPr="00AC4770" w:rsidRDefault="00F45484" w:rsidP="001F4589">
    <w:pPr>
      <w:pStyle w:val="Header"/>
      <w:keepLines/>
      <w:suppressLineNumbers/>
      <w:suppressAutoHyphens/>
      <w:spacing w:after="240"/>
      <w:jc w:val="left"/>
      <w:rPr>
        <w:noProof/>
      </w:rPr>
    </w:pPr>
    <w:r w:rsidRPr="00AC4770">
      <w:rPr>
        <w:noProof/>
        <w:kern w:val="22"/>
      </w:rPr>
      <w:t xml:space="preserve">Page </w:t>
    </w:r>
    <w:r w:rsidRPr="00AC4770">
      <w:rPr>
        <w:noProof/>
        <w:kern w:val="22"/>
      </w:rPr>
      <w:fldChar w:fldCharType="begin"/>
    </w:r>
    <w:r w:rsidRPr="00AC4770">
      <w:rPr>
        <w:noProof/>
        <w:kern w:val="22"/>
      </w:rPr>
      <w:instrText xml:space="preserve"> PAGE   \* MERGEFORMAT </w:instrText>
    </w:r>
    <w:r w:rsidRPr="00AC4770">
      <w:rPr>
        <w:noProof/>
        <w:kern w:val="22"/>
      </w:rPr>
      <w:fldChar w:fldCharType="separate"/>
    </w:r>
    <w:r w:rsidRPr="00AC4770">
      <w:rPr>
        <w:noProof/>
        <w:kern w:val="22"/>
      </w:rPr>
      <w:t>2</w:t>
    </w:r>
    <w:r w:rsidRPr="00AC4770">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15748941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E8D527C" w14:textId="3B1AD9B3" w:rsidR="00F45484" w:rsidRDefault="00F45484" w:rsidP="00AC4770">
        <w:pPr>
          <w:pStyle w:val="Header"/>
          <w:keepLines/>
          <w:suppressLineNumbers/>
          <w:tabs>
            <w:tab w:val="clear" w:pos="4320"/>
            <w:tab w:val="clear" w:pos="8640"/>
          </w:tabs>
          <w:suppressAutoHyphens/>
          <w:jc w:val="right"/>
          <w:rPr>
            <w:noProof/>
          </w:rPr>
        </w:pPr>
        <w:r>
          <w:rPr>
            <w:noProof/>
          </w:rPr>
          <w:t>CBD/SBI/3/8/Add.1</w:t>
        </w:r>
      </w:p>
    </w:sdtContent>
  </w:sdt>
  <w:p w14:paraId="0D0BF511" w14:textId="04638FB7" w:rsidR="00F45484" w:rsidRDefault="00F45484" w:rsidP="001F4589">
    <w:pPr>
      <w:pStyle w:val="Header"/>
      <w:keepLines/>
      <w:suppressLineNumbers/>
      <w:tabs>
        <w:tab w:val="clear" w:pos="4320"/>
        <w:tab w:val="clear" w:pos="8640"/>
      </w:tabs>
      <w:suppressAutoHyphens/>
      <w:spacing w:after="240"/>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781"/>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76277"/>
    <w:multiLevelType w:val="hybridMultilevel"/>
    <w:tmpl w:val="57E2E98C"/>
    <w:lvl w:ilvl="0" w:tplc="DF42636C">
      <w:start w:val="1"/>
      <w:numFmt w:val="lowerLetter"/>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D6323"/>
    <w:multiLevelType w:val="hybridMultilevel"/>
    <w:tmpl w:val="398E6B50"/>
    <w:lvl w:ilvl="0" w:tplc="4BFC5A3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F364BF"/>
    <w:multiLevelType w:val="multilevel"/>
    <w:tmpl w:val="9C68E1E2"/>
    <w:numStyleLink w:val="AnnexLettering"/>
  </w:abstractNum>
  <w:abstractNum w:abstractNumId="4"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CA2175"/>
    <w:multiLevelType w:val="hybridMultilevel"/>
    <w:tmpl w:val="E0107A06"/>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66668"/>
    <w:multiLevelType w:val="hybridMultilevel"/>
    <w:tmpl w:val="F0C662E0"/>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04485"/>
    <w:multiLevelType w:val="hybridMultilevel"/>
    <w:tmpl w:val="A55C2B4A"/>
    <w:lvl w:ilvl="0" w:tplc="450C6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420184"/>
    <w:multiLevelType w:val="hybridMultilevel"/>
    <w:tmpl w:val="7BF25866"/>
    <w:lvl w:ilvl="0" w:tplc="ABA44A26">
      <w:start w:val="1"/>
      <w:numFmt w:val="upperLetter"/>
      <w:lvlText w:val="%1."/>
      <w:lvlJc w:val="left"/>
      <w:pPr>
        <w:ind w:left="72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857FA2"/>
    <w:multiLevelType w:val="hybridMultilevel"/>
    <w:tmpl w:val="651417DA"/>
    <w:lvl w:ilvl="0" w:tplc="450C63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F5F92"/>
    <w:multiLevelType w:val="hybridMultilevel"/>
    <w:tmpl w:val="65D057E0"/>
    <w:lvl w:ilvl="0" w:tplc="A64C2B50">
      <w:start w:val="1"/>
      <w:numFmt w:val="decimal"/>
      <w:lvlText w:val="%1."/>
      <w:lvlJc w:val="left"/>
      <w:pPr>
        <w:tabs>
          <w:tab w:val="num" w:pos="720"/>
        </w:tabs>
        <w:ind w:left="0" w:firstLine="0"/>
      </w:pPr>
    </w:lvl>
    <w:lvl w:ilvl="1" w:tplc="7422AAFE">
      <w:start w:val="1"/>
      <w:numFmt w:val="lowerLetter"/>
      <w:lvlText w:val="(%2)"/>
      <w:lvlJc w:val="left"/>
      <w:pPr>
        <w:tabs>
          <w:tab w:val="num" w:pos="1080"/>
        </w:tabs>
        <w:ind w:left="1080" w:hanging="360"/>
      </w:pPr>
      <w:rPr>
        <w:rFonts w:hint="default"/>
      </w:rPr>
    </w:lvl>
    <w:lvl w:ilvl="2" w:tplc="E3E6A1D4">
      <w:start w:val="1"/>
      <w:numFmt w:val="lowerRoman"/>
      <w:lvlText w:val="(%3)"/>
      <w:lvlJc w:val="righ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CA410CD"/>
    <w:multiLevelType w:val="hybridMultilevel"/>
    <w:tmpl w:val="F774B88A"/>
    <w:lvl w:ilvl="0" w:tplc="E0FCDF18">
      <w:start w:val="1"/>
      <w:numFmt w:val="decimal"/>
      <w:pStyle w:val="CBD-Para"/>
      <w:lvlText w:val="%1."/>
      <w:lvlJc w:val="left"/>
      <w:pPr>
        <w:tabs>
          <w:tab w:val="num" w:pos="720"/>
        </w:tabs>
        <w:ind w:left="0" w:firstLine="0"/>
      </w:pPr>
      <w:rPr>
        <w:rFonts w:hint="default"/>
        <w:b w:val="0"/>
        <w:bCs w:val="0"/>
        <w:i w:val="0"/>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F746AC0"/>
    <w:multiLevelType w:val="hybridMultilevel"/>
    <w:tmpl w:val="BFA482FC"/>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245FA1"/>
    <w:multiLevelType w:val="multilevel"/>
    <w:tmpl w:val="C8E6C24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B8007AB"/>
    <w:multiLevelType w:val="hybridMultilevel"/>
    <w:tmpl w:val="BE822306"/>
    <w:lvl w:ilvl="0" w:tplc="0EEE2E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85284"/>
    <w:multiLevelType w:val="hybridMultilevel"/>
    <w:tmpl w:val="B660202E"/>
    <w:lvl w:ilvl="0" w:tplc="450C6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C6CDC"/>
    <w:multiLevelType w:val="hybridMultilevel"/>
    <w:tmpl w:val="D996D3B4"/>
    <w:lvl w:ilvl="0" w:tplc="776CFC40">
      <w:start w:val="1"/>
      <w:numFmt w:val="upperLetter"/>
      <w:lvlText w:val="%1."/>
      <w:lvlJc w:val="left"/>
      <w:pPr>
        <w:ind w:left="720" w:hanging="360"/>
      </w:pPr>
      <w:rPr>
        <w:rFonts w:asciiTheme="majorBidi" w:hAnsiTheme="majorBidi"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5"/>
  </w:num>
  <w:num w:numId="3">
    <w:abstractNumId w:val="14"/>
  </w:num>
  <w:num w:numId="4">
    <w:abstractNumId w:val="21"/>
  </w:num>
  <w:num w:numId="5">
    <w:abstractNumId w:val="19"/>
  </w:num>
  <w:num w:numId="6">
    <w:abstractNumId w:val="9"/>
  </w:num>
  <w:num w:numId="7">
    <w:abstractNumId w:val="9"/>
    <w:lvlOverride w:ilvl="0">
      <w:startOverride w:val="1"/>
    </w:lvlOverride>
  </w:num>
  <w:num w:numId="8">
    <w:abstractNumId w:val="4"/>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1"/>
  </w:num>
  <w:num w:numId="14">
    <w:abstractNumId w:val="1"/>
  </w:num>
  <w:num w:numId="15">
    <w:abstractNumId w:val="18"/>
  </w:num>
  <w:num w:numId="16">
    <w:abstractNumId w:val="24"/>
  </w:num>
  <w:num w:numId="17">
    <w:abstractNumId w:val="5"/>
  </w:num>
  <w:num w:numId="18">
    <w:abstractNumId w:val="16"/>
  </w:num>
  <w:num w:numId="19">
    <w:abstractNumId w:val="0"/>
  </w:num>
  <w:num w:numId="20">
    <w:abstractNumId w:val="23"/>
  </w:num>
  <w:num w:numId="21">
    <w:abstractNumId w:val="7"/>
  </w:num>
  <w:num w:numId="22">
    <w:abstractNumId w:val="20"/>
  </w:num>
  <w:num w:numId="23">
    <w:abstractNumId w:val="6"/>
  </w:num>
  <w:num w:numId="24">
    <w:abstractNumId w:val="2"/>
  </w:num>
  <w:num w:numId="25">
    <w:abstractNumId w:val="22"/>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4B5"/>
    <w:rsid w:val="00004754"/>
    <w:rsid w:val="00005467"/>
    <w:rsid w:val="00006218"/>
    <w:rsid w:val="0000649A"/>
    <w:rsid w:val="00006E65"/>
    <w:rsid w:val="00007B48"/>
    <w:rsid w:val="00010EA3"/>
    <w:rsid w:val="0001224D"/>
    <w:rsid w:val="00016583"/>
    <w:rsid w:val="000167F4"/>
    <w:rsid w:val="000203D5"/>
    <w:rsid w:val="000228DB"/>
    <w:rsid w:val="00026F7B"/>
    <w:rsid w:val="00035A5A"/>
    <w:rsid w:val="0003641E"/>
    <w:rsid w:val="00036635"/>
    <w:rsid w:val="0003695D"/>
    <w:rsid w:val="0003720B"/>
    <w:rsid w:val="00041B66"/>
    <w:rsid w:val="00043418"/>
    <w:rsid w:val="00043C53"/>
    <w:rsid w:val="000444EB"/>
    <w:rsid w:val="00051E42"/>
    <w:rsid w:val="000520B7"/>
    <w:rsid w:val="00053DBE"/>
    <w:rsid w:val="000546B2"/>
    <w:rsid w:val="000605E9"/>
    <w:rsid w:val="000715AB"/>
    <w:rsid w:val="00072DF2"/>
    <w:rsid w:val="000739DE"/>
    <w:rsid w:val="0007735E"/>
    <w:rsid w:val="000819EF"/>
    <w:rsid w:val="000829DD"/>
    <w:rsid w:val="00085AB4"/>
    <w:rsid w:val="000862A2"/>
    <w:rsid w:val="000871B5"/>
    <w:rsid w:val="000871C0"/>
    <w:rsid w:val="0009044A"/>
    <w:rsid w:val="00091456"/>
    <w:rsid w:val="00092C1F"/>
    <w:rsid w:val="00092E7D"/>
    <w:rsid w:val="00095274"/>
    <w:rsid w:val="000959C9"/>
    <w:rsid w:val="000A02F7"/>
    <w:rsid w:val="000A1E61"/>
    <w:rsid w:val="000A27F4"/>
    <w:rsid w:val="000A2C67"/>
    <w:rsid w:val="000A35A2"/>
    <w:rsid w:val="000A7141"/>
    <w:rsid w:val="000A72C7"/>
    <w:rsid w:val="000B2DF5"/>
    <w:rsid w:val="000B398E"/>
    <w:rsid w:val="000B7BAD"/>
    <w:rsid w:val="000C2181"/>
    <w:rsid w:val="000C24CF"/>
    <w:rsid w:val="000C2855"/>
    <w:rsid w:val="000C4BD2"/>
    <w:rsid w:val="000C4FF7"/>
    <w:rsid w:val="000C56EF"/>
    <w:rsid w:val="000C5BCA"/>
    <w:rsid w:val="000C5C4A"/>
    <w:rsid w:val="000C6B94"/>
    <w:rsid w:val="000C7649"/>
    <w:rsid w:val="000D006F"/>
    <w:rsid w:val="000D1127"/>
    <w:rsid w:val="000D4E4C"/>
    <w:rsid w:val="000D58D5"/>
    <w:rsid w:val="000D62B5"/>
    <w:rsid w:val="000E07E0"/>
    <w:rsid w:val="000E673A"/>
    <w:rsid w:val="000F0939"/>
    <w:rsid w:val="000F0F7F"/>
    <w:rsid w:val="000F4B88"/>
    <w:rsid w:val="000F5204"/>
    <w:rsid w:val="000F65D5"/>
    <w:rsid w:val="000F74F5"/>
    <w:rsid w:val="0010052F"/>
    <w:rsid w:val="00101A1A"/>
    <w:rsid w:val="001022DD"/>
    <w:rsid w:val="001024D6"/>
    <w:rsid w:val="00105372"/>
    <w:rsid w:val="001058D1"/>
    <w:rsid w:val="00107E3C"/>
    <w:rsid w:val="00110F2C"/>
    <w:rsid w:val="0011321E"/>
    <w:rsid w:val="00114BB7"/>
    <w:rsid w:val="00122E04"/>
    <w:rsid w:val="0012470B"/>
    <w:rsid w:val="00126717"/>
    <w:rsid w:val="0013060B"/>
    <w:rsid w:val="00130771"/>
    <w:rsid w:val="00130DDA"/>
    <w:rsid w:val="00130EA2"/>
    <w:rsid w:val="00131C30"/>
    <w:rsid w:val="00131E7A"/>
    <w:rsid w:val="00132445"/>
    <w:rsid w:val="0013396D"/>
    <w:rsid w:val="00135207"/>
    <w:rsid w:val="00136C7B"/>
    <w:rsid w:val="00140180"/>
    <w:rsid w:val="001403D9"/>
    <w:rsid w:val="001425DE"/>
    <w:rsid w:val="001429B7"/>
    <w:rsid w:val="00142C49"/>
    <w:rsid w:val="0014587B"/>
    <w:rsid w:val="00147769"/>
    <w:rsid w:val="00147D4B"/>
    <w:rsid w:val="00150E38"/>
    <w:rsid w:val="001516FC"/>
    <w:rsid w:val="001529C1"/>
    <w:rsid w:val="00152F57"/>
    <w:rsid w:val="00153BBB"/>
    <w:rsid w:val="001565F0"/>
    <w:rsid w:val="00164CDA"/>
    <w:rsid w:val="00172AF6"/>
    <w:rsid w:val="00175A6D"/>
    <w:rsid w:val="0017684D"/>
    <w:rsid w:val="00176CEE"/>
    <w:rsid w:val="001855DE"/>
    <w:rsid w:val="00185E4B"/>
    <w:rsid w:val="00192FFF"/>
    <w:rsid w:val="00195B55"/>
    <w:rsid w:val="001A2EE9"/>
    <w:rsid w:val="001A5071"/>
    <w:rsid w:val="001A7B4D"/>
    <w:rsid w:val="001B01E5"/>
    <w:rsid w:val="001B370C"/>
    <w:rsid w:val="001B54A3"/>
    <w:rsid w:val="001C017A"/>
    <w:rsid w:val="001C5448"/>
    <w:rsid w:val="001C5AD6"/>
    <w:rsid w:val="001C7F0C"/>
    <w:rsid w:val="001D0954"/>
    <w:rsid w:val="001D464B"/>
    <w:rsid w:val="001E2411"/>
    <w:rsid w:val="001E31FB"/>
    <w:rsid w:val="001E3221"/>
    <w:rsid w:val="001E3483"/>
    <w:rsid w:val="001E3DC5"/>
    <w:rsid w:val="001E52DE"/>
    <w:rsid w:val="001F4589"/>
    <w:rsid w:val="001F6566"/>
    <w:rsid w:val="001F6723"/>
    <w:rsid w:val="00200A18"/>
    <w:rsid w:val="00200E29"/>
    <w:rsid w:val="00203AD0"/>
    <w:rsid w:val="00207CA8"/>
    <w:rsid w:val="00210F27"/>
    <w:rsid w:val="00213DF3"/>
    <w:rsid w:val="0021415C"/>
    <w:rsid w:val="002172B1"/>
    <w:rsid w:val="002206E9"/>
    <w:rsid w:val="0022142E"/>
    <w:rsid w:val="00221459"/>
    <w:rsid w:val="0022157D"/>
    <w:rsid w:val="0022217D"/>
    <w:rsid w:val="002232DD"/>
    <w:rsid w:val="002236CC"/>
    <w:rsid w:val="002243DF"/>
    <w:rsid w:val="002252D3"/>
    <w:rsid w:val="00225D2C"/>
    <w:rsid w:val="002270F4"/>
    <w:rsid w:val="002314B1"/>
    <w:rsid w:val="0023314C"/>
    <w:rsid w:val="00235171"/>
    <w:rsid w:val="002408D2"/>
    <w:rsid w:val="0024290D"/>
    <w:rsid w:val="002501B3"/>
    <w:rsid w:val="00252793"/>
    <w:rsid w:val="00252F9D"/>
    <w:rsid w:val="00254A53"/>
    <w:rsid w:val="002563A8"/>
    <w:rsid w:val="00262C6F"/>
    <w:rsid w:val="0026403C"/>
    <w:rsid w:val="00274AF0"/>
    <w:rsid w:val="00280067"/>
    <w:rsid w:val="002822B4"/>
    <w:rsid w:val="00291C4F"/>
    <w:rsid w:val="00292964"/>
    <w:rsid w:val="00294E35"/>
    <w:rsid w:val="002970F0"/>
    <w:rsid w:val="002A0FE6"/>
    <w:rsid w:val="002A2096"/>
    <w:rsid w:val="002A2550"/>
    <w:rsid w:val="002A41E8"/>
    <w:rsid w:val="002A4B31"/>
    <w:rsid w:val="002A694F"/>
    <w:rsid w:val="002A6C3C"/>
    <w:rsid w:val="002A7780"/>
    <w:rsid w:val="002A7EDC"/>
    <w:rsid w:val="002B4802"/>
    <w:rsid w:val="002B4909"/>
    <w:rsid w:val="002B61E7"/>
    <w:rsid w:val="002B6870"/>
    <w:rsid w:val="002C33A8"/>
    <w:rsid w:val="002C5308"/>
    <w:rsid w:val="002C6686"/>
    <w:rsid w:val="002D13E5"/>
    <w:rsid w:val="002D216E"/>
    <w:rsid w:val="002D58E2"/>
    <w:rsid w:val="002D6A99"/>
    <w:rsid w:val="002D7092"/>
    <w:rsid w:val="002D755D"/>
    <w:rsid w:val="002E091F"/>
    <w:rsid w:val="002E44EF"/>
    <w:rsid w:val="002E45F0"/>
    <w:rsid w:val="002E61E9"/>
    <w:rsid w:val="002F3827"/>
    <w:rsid w:val="002F4A2A"/>
    <w:rsid w:val="002F56F7"/>
    <w:rsid w:val="002F5C4B"/>
    <w:rsid w:val="002F6923"/>
    <w:rsid w:val="00300490"/>
    <w:rsid w:val="003020A9"/>
    <w:rsid w:val="0030342B"/>
    <w:rsid w:val="003067B7"/>
    <w:rsid w:val="00311425"/>
    <w:rsid w:val="003121B6"/>
    <w:rsid w:val="00313CBF"/>
    <w:rsid w:val="00314EF6"/>
    <w:rsid w:val="00317363"/>
    <w:rsid w:val="0032230D"/>
    <w:rsid w:val="00324E56"/>
    <w:rsid w:val="00327580"/>
    <w:rsid w:val="00330D13"/>
    <w:rsid w:val="00331154"/>
    <w:rsid w:val="00332298"/>
    <w:rsid w:val="0033234D"/>
    <w:rsid w:val="003345D3"/>
    <w:rsid w:val="0033470C"/>
    <w:rsid w:val="00335258"/>
    <w:rsid w:val="00337D54"/>
    <w:rsid w:val="00337DE4"/>
    <w:rsid w:val="00341457"/>
    <w:rsid w:val="00343052"/>
    <w:rsid w:val="00344A87"/>
    <w:rsid w:val="00352E41"/>
    <w:rsid w:val="00353BBD"/>
    <w:rsid w:val="00354102"/>
    <w:rsid w:val="003600F4"/>
    <w:rsid w:val="003605B3"/>
    <w:rsid w:val="00362840"/>
    <w:rsid w:val="00362909"/>
    <w:rsid w:val="00362E93"/>
    <w:rsid w:val="00366916"/>
    <w:rsid w:val="00370F8E"/>
    <w:rsid w:val="00372F74"/>
    <w:rsid w:val="00373E70"/>
    <w:rsid w:val="00375343"/>
    <w:rsid w:val="00383BE1"/>
    <w:rsid w:val="003850F1"/>
    <w:rsid w:val="00386096"/>
    <w:rsid w:val="00386832"/>
    <w:rsid w:val="00391766"/>
    <w:rsid w:val="003A319E"/>
    <w:rsid w:val="003A6A9B"/>
    <w:rsid w:val="003B1507"/>
    <w:rsid w:val="003B153A"/>
    <w:rsid w:val="003B515E"/>
    <w:rsid w:val="003B68F4"/>
    <w:rsid w:val="003C02D3"/>
    <w:rsid w:val="003C4322"/>
    <w:rsid w:val="003C67F7"/>
    <w:rsid w:val="003C72C7"/>
    <w:rsid w:val="003D12C7"/>
    <w:rsid w:val="003D1E80"/>
    <w:rsid w:val="003D2913"/>
    <w:rsid w:val="003D3241"/>
    <w:rsid w:val="003D5240"/>
    <w:rsid w:val="003D5B4F"/>
    <w:rsid w:val="003D6680"/>
    <w:rsid w:val="003E0962"/>
    <w:rsid w:val="003E2DBE"/>
    <w:rsid w:val="003E6223"/>
    <w:rsid w:val="003E6CD8"/>
    <w:rsid w:val="003F400E"/>
    <w:rsid w:val="003F46AE"/>
    <w:rsid w:val="003F7224"/>
    <w:rsid w:val="0040036B"/>
    <w:rsid w:val="004009B1"/>
    <w:rsid w:val="00406AC0"/>
    <w:rsid w:val="0040743A"/>
    <w:rsid w:val="00413D40"/>
    <w:rsid w:val="00422499"/>
    <w:rsid w:val="00422EC0"/>
    <w:rsid w:val="004244B4"/>
    <w:rsid w:val="00424837"/>
    <w:rsid w:val="00426A01"/>
    <w:rsid w:val="00427D21"/>
    <w:rsid w:val="004320EF"/>
    <w:rsid w:val="00432855"/>
    <w:rsid w:val="004336B7"/>
    <w:rsid w:val="00433843"/>
    <w:rsid w:val="00437E85"/>
    <w:rsid w:val="00440EA0"/>
    <w:rsid w:val="00441E81"/>
    <w:rsid w:val="0044280C"/>
    <w:rsid w:val="00444488"/>
    <w:rsid w:val="0044522A"/>
    <w:rsid w:val="004466F8"/>
    <w:rsid w:val="00447CE4"/>
    <w:rsid w:val="00451283"/>
    <w:rsid w:val="00453909"/>
    <w:rsid w:val="00453FB8"/>
    <w:rsid w:val="004541D6"/>
    <w:rsid w:val="00456269"/>
    <w:rsid w:val="004571B8"/>
    <w:rsid w:val="0046106A"/>
    <w:rsid w:val="00462858"/>
    <w:rsid w:val="00462B75"/>
    <w:rsid w:val="00463687"/>
    <w:rsid w:val="004644C2"/>
    <w:rsid w:val="004669BA"/>
    <w:rsid w:val="00467F9C"/>
    <w:rsid w:val="00471765"/>
    <w:rsid w:val="00475FA3"/>
    <w:rsid w:val="00476DCA"/>
    <w:rsid w:val="00480D5D"/>
    <w:rsid w:val="00482485"/>
    <w:rsid w:val="0048590B"/>
    <w:rsid w:val="00490FF6"/>
    <w:rsid w:val="0049112E"/>
    <w:rsid w:val="0049449A"/>
    <w:rsid w:val="0049490B"/>
    <w:rsid w:val="004952A1"/>
    <w:rsid w:val="004957EF"/>
    <w:rsid w:val="0049602C"/>
    <w:rsid w:val="004976FB"/>
    <w:rsid w:val="004977DF"/>
    <w:rsid w:val="004A02FA"/>
    <w:rsid w:val="004A1266"/>
    <w:rsid w:val="004A4814"/>
    <w:rsid w:val="004A4AC5"/>
    <w:rsid w:val="004A4D7A"/>
    <w:rsid w:val="004A664B"/>
    <w:rsid w:val="004A72DA"/>
    <w:rsid w:val="004B35C3"/>
    <w:rsid w:val="004B4679"/>
    <w:rsid w:val="004C171C"/>
    <w:rsid w:val="004C42FD"/>
    <w:rsid w:val="004C52EC"/>
    <w:rsid w:val="004C58E1"/>
    <w:rsid w:val="004C660D"/>
    <w:rsid w:val="004D04F9"/>
    <w:rsid w:val="004D13FC"/>
    <w:rsid w:val="004D4EA1"/>
    <w:rsid w:val="004D7EB3"/>
    <w:rsid w:val="004E4AFB"/>
    <w:rsid w:val="004E5083"/>
    <w:rsid w:val="004E772F"/>
    <w:rsid w:val="004F18CC"/>
    <w:rsid w:val="004F4425"/>
    <w:rsid w:val="004F6845"/>
    <w:rsid w:val="00500A87"/>
    <w:rsid w:val="0050177F"/>
    <w:rsid w:val="005021FE"/>
    <w:rsid w:val="00502656"/>
    <w:rsid w:val="00502988"/>
    <w:rsid w:val="005036BF"/>
    <w:rsid w:val="005077E0"/>
    <w:rsid w:val="005146D4"/>
    <w:rsid w:val="00514820"/>
    <w:rsid w:val="00515BBE"/>
    <w:rsid w:val="00515C8D"/>
    <w:rsid w:val="00520A72"/>
    <w:rsid w:val="00524EF3"/>
    <w:rsid w:val="00530448"/>
    <w:rsid w:val="00530D16"/>
    <w:rsid w:val="00532EC0"/>
    <w:rsid w:val="005337DF"/>
    <w:rsid w:val="005343D0"/>
    <w:rsid w:val="00534681"/>
    <w:rsid w:val="00534747"/>
    <w:rsid w:val="00534DD9"/>
    <w:rsid w:val="00535924"/>
    <w:rsid w:val="005360BA"/>
    <w:rsid w:val="00537445"/>
    <w:rsid w:val="005375A4"/>
    <w:rsid w:val="00537F21"/>
    <w:rsid w:val="005400B1"/>
    <w:rsid w:val="00540E1A"/>
    <w:rsid w:val="00543E67"/>
    <w:rsid w:val="00547457"/>
    <w:rsid w:val="0055252D"/>
    <w:rsid w:val="00552ABB"/>
    <w:rsid w:val="0055555C"/>
    <w:rsid w:val="00556072"/>
    <w:rsid w:val="00560906"/>
    <w:rsid w:val="00560E58"/>
    <w:rsid w:val="005617AF"/>
    <w:rsid w:val="00563E04"/>
    <w:rsid w:val="00570E55"/>
    <w:rsid w:val="00571DAF"/>
    <w:rsid w:val="00572C1F"/>
    <w:rsid w:val="005759EF"/>
    <w:rsid w:val="005779E3"/>
    <w:rsid w:val="0058074E"/>
    <w:rsid w:val="0058170D"/>
    <w:rsid w:val="005819DB"/>
    <w:rsid w:val="00585F8E"/>
    <w:rsid w:val="00587F5D"/>
    <w:rsid w:val="00593556"/>
    <w:rsid w:val="00595DA4"/>
    <w:rsid w:val="005A0310"/>
    <w:rsid w:val="005A097F"/>
    <w:rsid w:val="005A3534"/>
    <w:rsid w:val="005B2105"/>
    <w:rsid w:val="005B2A5B"/>
    <w:rsid w:val="005B7036"/>
    <w:rsid w:val="005B753C"/>
    <w:rsid w:val="005C1C28"/>
    <w:rsid w:val="005C49AC"/>
    <w:rsid w:val="005C64E8"/>
    <w:rsid w:val="005C7022"/>
    <w:rsid w:val="005C7693"/>
    <w:rsid w:val="005D1439"/>
    <w:rsid w:val="005D2FCF"/>
    <w:rsid w:val="005D3CB5"/>
    <w:rsid w:val="005E03B1"/>
    <w:rsid w:val="005E1139"/>
    <w:rsid w:val="005E1574"/>
    <w:rsid w:val="005E15FB"/>
    <w:rsid w:val="005E20BD"/>
    <w:rsid w:val="005E356C"/>
    <w:rsid w:val="005E3C8A"/>
    <w:rsid w:val="005E55C2"/>
    <w:rsid w:val="005E7A71"/>
    <w:rsid w:val="005F157A"/>
    <w:rsid w:val="005F18A1"/>
    <w:rsid w:val="005F19B9"/>
    <w:rsid w:val="005F2238"/>
    <w:rsid w:val="005F2A31"/>
    <w:rsid w:val="006023C7"/>
    <w:rsid w:val="00603152"/>
    <w:rsid w:val="0060330F"/>
    <w:rsid w:val="00603E45"/>
    <w:rsid w:val="00604DC6"/>
    <w:rsid w:val="00606FB1"/>
    <w:rsid w:val="00607368"/>
    <w:rsid w:val="006122BA"/>
    <w:rsid w:val="00615C01"/>
    <w:rsid w:val="00615C3F"/>
    <w:rsid w:val="006164D8"/>
    <w:rsid w:val="006173AA"/>
    <w:rsid w:val="00617998"/>
    <w:rsid w:val="00620669"/>
    <w:rsid w:val="00620A77"/>
    <w:rsid w:val="00621167"/>
    <w:rsid w:val="00621976"/>
    <w:rsid w:val="00621AD3"/>
    <w:rsid w:val="00623AF9"/>
    <w:rsid w:val="00626DFC"/>
    <w:rsid w:val="00634F45"/>
    <w:rsid w:val="006361A3"/>
    <w:rsid w:val="00636E9B"/>
    <w:rsid w:val="00637294"/>
    <w:rsid w:val="006374C7"/>
    <w:rsid w:val="0064018B"/>
    <w:rsid w:val="00640376"/>
    <w:rsid w:val="00641A4F"/>
    <w:rsid w:val="0064270B"/>
    <w:rsid w:val="00642D2A"/>
    <w:rsid w:val="006435AA"/>
    <w:rsid w:val="006470A1"/>
    <w:rsid w:val="0064793F"/>
    <w:rsid w:val="00650954"/>
    <w:rsid w:val="006524AA"/>
    <w:rsid w:val="00653751"/>
    <w:rsid w:val="006543B0"/>
    <w:rsid w:val="006547B7"/>
    <w:rsid w:val="00656250"/>
    <w:rsid w:val="00661EB3"/>
    <w:rsid w:val="00663634"/>
    <w:rsid w:val="0066465A"/>
    <w:rsid w:val="006649E1"/>
    <w:rsid w:val="0066698A"/>
    <w:rsid w:val="00667204"/>
    <w:rsid w:val="006702BD"/>
    <w:rsid w:val="0067287C"/>
    <w:rsid w:val="006742E9"/>
    <w:rsid w:val="00674444"/>
    <w:rsid w:val="00674F2D"/>
    <w:rsid w:val="00676E32"/>
    <w:rsid w:val="00677024"/>
    <w:rsid w:val="00677219"/>
    <w:rsid w:val="00682573"/>
    <w:rsid w:val="00687B66"/>
    <w:rsid w:val="0069012E"/>
    <w:rsid w:val="006930D8"/>
    <w:rsid w:val="006947E5"/>
    <w:rsid w:val="00694CD2"/>
    <w:rsid w:val="006A1D78"/>
    <w:rsid w:val="006A3F9C"/>
    <w:rsid w:val="006A432B"/>
    <w:rsid w:val="006A7231"/>
    <w:rsid w:val="006B112D"/>
    <w:rsid w:val="006B1732"/>
    <w:rsid w:val="006B2290"/>
    <w:rsid w:val="006B315E"/>
    <w:rsid w:val="006B343B"/>
    <w:rsid w:val="006B3E31"/>
    <w:rsid w:val="006B59D8"/>
    <w:rsid w:val="006B63DC"/>
    <w:rsid w:val="006B7F67"/>
    <w:rsid w:val="006C2074"/>
    <w:rsid w:val="006C295E"/>
    <w:rsid w:val="006C4B6F"/>
    <w:rsid w:val="006C6278"/>
    <w:rsid w:val="006C7689"/>
    <w:rsid w:val="006C787C"/>
    <w:rsid w:val="006D0106"/>
    <w:rsid w:val="006D2724"/>
    <w:rsid w:val="006D33E8"/>
    <w:rsid w:val="006D45FE"/>
    <w:rsid w:val="006E460A"/>
    <w:rsid w:val="006E48AD"/>
    <w:rsid w:val="006E5912"/>
    <w:rsid w:val="006E5E85"/>
    <w:rsid w:val="006F3ED0"/>
    <w:rsid w:val="006F42AC"/>
    <w:rsid w:val="006F6E30"/>
    <w:rsid w:val="00702231"/>
    <w:rsid w:val="00703DF8"/>
    <w:rsid w:val="007047A8"/>
    <w:rsid w:val="007056E3"/>
    <w:rsid w:val="0070584A"/>
    <w:rsid w:val="007061C3"/>
    <w:rsid w:val="0070716E"/>
    <w:rsid w:val="00710798"/>
    <w:rsid w:val="00716E19"/>
    <w:rsid w:val="00717D88"/>
    <w:rsid w:val="00721CFB"/>
    <w:rsid w:val="00724E6E"/>
    <w:rsid w:val="007256EA"/>
    <w:rsid w:val="00725AD9"/>
    <w:rsid w:val="00726FC2"/>
    <w:rsid w:val="00733FE3"/>
    <w:rsid w:val="0074040E"/>
    <w:rsid w:val="00740DC1"/>
    <w:rsid w:val="0074468A"/>
    <w:rsid w:val="007451A2"/>
    <w:rsid w:val="00745470"/>
    <w:rsid w:val="007461FF"/>
    <w:rsid w:val="0074760E"/>
    <w:rsid w:val="00751025"/>
    <w:rsid w:val="007514A0"/>
    <w:rsid w:val="0075490E"/>
    <w:rsid w:val="00754FEF"/>
    <w:rsid w:val="00755C62"/>
    <w:rsid w:val="007623FF"/>
    <w:rsid w:val="007651B6"/>
    <w:rsid w:val="00773AF4"/>
    <w:rsid w:val="00781E97"/>
    <w:rsid w:val="007825C0"/>
    <w:rsid w:val="00783F02"/>
    <w:rsid w:val="007841E0"/>
    <w:rsid w:val="00786D15"/>
    <w:rsid w:val="00787E4B"/>
    <w:rsid w:val="007918CB"/>
    <w:rsid w:val="00791F44"/>
    <w:rsid w:val="007937A6"/>
    <w:rsid w:val="0079419D"/>
    <w:rsid w:val="007942D3"/>
    <w:rsid w:val="00797AA5"/>
    <w:rsid w:val="00797F05"/>
    <w:rsid w:val="007A262B"/>
    <w:rsid w:val="007A26ED"/>
    <w:rsid w:val="007A2DAB"/>
    <w:rsid w:val="007A2F98"/>
    <w:rsid w:val="007A311C"/>
    <w:rsid w:val="007A4620"/>
    <w:rsid w:val="007A767B"/>
    <w:rsid w:val="007A7F17"/>
    <w:rsid w:val="007A7F2E"/>
    <w:rsid w:val="007A7F67"/>
    <w:rsid w:val="007B1542"/>
    <w:rsid w:val="007B1B69"/>
    <w:rsid w:val="007B36E0"/>
    <w:rsid w:val="007B3E7A"/>
    <w:rsid w:val="007B5621"/>
    <w:rsid w:val="007B6699"/>
    <w:rsid w:val="007B6AF2"/>
    <w:rsid w:val="007B6C09"/>
    <w:rsid w:val="007B7B56"/>
    <w:rsid w:val="007C0966"/>
    <w:rsid w:val="007C0DD6"/>
    <w:rsid w:val="007C5B1A"/>
    <w:rsid w:val="007C6FBE"/>
    <w:rsid w:val="007C76CE"/>
    <w:rsid w:val="007D4781"/>
    <w:rsid w:val="007D4E59"/>
    <w:rsid w:val="007D6F0B"/>
    <w:rsid w:val="007E09DA"/>
    <w:rsid w:val="007E25BC"/>
    <w:rsid w:val="007E6400"/>
    <w:rsid w:val="007E6BDA"/>
    <w:rsid w:val="007F0A07"/>
    <w:rsid w:val="007F1B0D"/>
    <w:rsid w:val="007F238A"/>
    <w:rsid w:val="007F2B09"/>
    <w:rsid w:val="00801B64"/>
    <w:rsid w:val="00803459"/>
    <w:rsid w:val="0080630F"/>
    <w:rsid w:val="00812A02"/>
    <w:rsid w:val="00812CD2"/>
    <w:rsid w:val="00812DE3"/>
    <w:rsid w:val="00814392"/>
    <w:rsid w:val="008157E2"/>
    <w:rsid w:val="008178B6"/>
    <w:rsid w:val="008202C1"/>
    <w:rsid w:val="00821C11"/>
    <w:rsid w:val="00821D3B"/>
    <w:rsid w:val="00823AD8"/>
    <w:rsid w:val="00825B57"/>
    <w:rsid w:val="00825E63"/>
    <w:rsid w:val="00827A8E"/>
    <w:rsid w:val="00827E09"/>
    <w:rsid w:val="00830BD3"/>
    <w:rsid w:val="008538DA"/>
    <w:rsid w:val="008574B8"/>
    <w:rsid w:val="0086068F"/>
    <w:rsid w:val="00861CB6"/>
    <w:rsid w:val="00863662"/>
    <w:rsid w:val="00865B74"/>
    <w:rsid w:val="0086678D"/>
    <w:rsid w:val="00866DF3"/>
    <w:rsid w:val="00870BAA"/>
    <w:rsid w:val="00874B20"/>
    <w:rsid w:val="0087659D"/>
    <w:rsid w:val="0087730F"/>
    <w:rsid w:val="0088088D"/>
    <w:rsid w:val="00883B80"/>
    <w:rsid w:val="00883EB5"/>
    <w:rsid w:val="00884E5D"/>
    <w:rsid w:val="00887122"/>
    <w:rsid w:val="0089183B"/>
    <w:rsid w:val="008930CF"/>
    <w:rsid w:val="008932C0"/>
    <w:rsid w:val="008A1F0C"/>
    <w:rsid w:val="008A3F7A"/>
    <w:rsid w:val="008A5462"/>
    <w:rsid w:val="008A54BC"/>
    <w:rsid w:val="008A6E5A"/>
    <w:rsid w:val="008A6EEC"/>
    <w:rsid w:val="008A7080"/>
    <w:rsid w:val="008B14CF"/>
    <w:rsid w:val="008B3654"/>
    <w:rsid w:val="008B5806"/>
    <w:rsid w:val="008B7C21"/>
    <w:rsid w:val="008C005D"/>
    <w:rsid w:val="008C112E"/>
    <w:rsid w:val="008C196B"/>
    <w:rsid w:val="008C1E17"/>
    <w:rsid w:val="008C451E"/>
    <w:rsid w:val="008C715B"/>
    <w:rsid w:val="008C7FF5"/>
    <w:rsid w:val="008D28EC"/>
    <w:rsid w:val="008D419B"/>
    <w:rsid w:val="008D544C"/>
    <w:rsid w:val="008E45A4"/>
    <w:rsid w:val="008E67D5"/>
    <w:rsid w:val="008E69F7"/>
    <w:rsid w:val="008F066C"/>
    <w:rsid w:val="008F07B1"/>
    <w:rsid w:val="008F112F"/>
    <w:rsid w:val="008F33E9"/>
    <w:rsid w:val="008F4690"/>
    <w:rsid w:val="008F603D"/>
    <w:rsid w:val="009025E5"/>
    <w:rsid w:val="009033BD"/>
    <w:rsid w:val="00905BF9"/>
    <w:rsid w:val="00906B7C"/>
    <w:rsid w:val="00912620"/>
    <w:rsid w:val="009141D4"/>
    <w:rsid w:val="0091433E"/>
    <w:rsid w:val="009161B3"/>
    <w:rsid w:val="00920FDC"/>
    <w:rsid w:val="00921F9D"/>
    <w:rsid w:val="009225CA"/>
    <w:rsid w:val="0092357E"/>
    <w:rsid w:val="0092424F"/>
    <w:rsid w:val="009247DC"/>
    <w:rsid w:val="00926285"/>
    <w:rsid w:val="00930BA1"/>
    <w:rsid w:val="0093169E"/>
    <w:rsid w:val="00932BA7"/>
    <w:rsid w:val="009331E9"/>
    <w:rsid w:val="0093553A"/>
    <w:rsid w:val="0094053F"/>
    <w:rsid w:val="00940ECE"/>
    <w:rsid w:val="009422F9"/>
    <w:rsid w:val="009425CE"/>
    <w:rsid w:val="00943701"/>
    <w:rsid w:val="009458DA"/>
    <w:rsid w:val="009505C9"/>
    <w:rsid w:val="009519D0"/>
    <w:rsid w:val="0095476D"/>
    <w:rsid w:val="009557ED"/>
    <w:rsid w:val="00960B56"/>
    <w:rsid w:val="00960FF4"/>
    <w:rsid w:val="00964A8F"/>
    <w:rsid w:val="009712AB"/>
    <w:rsid w:val="00971DA8"/>
    <w:rsid w:val="009735A3"/>
    <w:rsid w:val="00973EAF"/>
    <w:rsid w:val="00976B58"/>
    <w:rsid w:val="00977A4D"/>
    <w:rsid w:val="0098017F"/>
    <w:rsid w:val="00980639"/>
    <w:rsid w:val="00982B78"/>
    <w:rsid w:val="00984BA4"/>
    <w:rsid w:val="0098571D"/>
    <w:rsid w:val="00991895"/>
    <w:rsid w:val="009A1A8F"/>
    <w:rsid w:val="009A2A94"/>
    <w:rsid w:val="009A4E27"/>
    <w:rsid w:val="009A6964"/>
    <w:rsid w:val="009A6FAF"/>
    <w:rsid w:val="009B3C3E"/>
    <w:rsid w:val="009B44A4"/>
    <w:rsid w:val="009B7751"/>
    <w:rsid w:val="009D0252"/>
    <w:rsid w:val="009D04A3"/>
    <w:rsid w:val="009D0D15"/>
    <w:rsid w:val="009D118A"/>
    <w:rsid w:val="009D49B2"/>
    <w:rsid w:val="009D6B5A"/>
    <w:rsid w:val="009E0C2A"/>
    <w:rsid w:val="009E7593"/>
    <w:rsid w:val="009F0179"/>
    <w:rsid w:val="009F1444"/>
    <w:rsid w:val="009F34BA"/>
    <w:rsid w:val="009F372E"/>
    <w:rsid w:val="009F4A24"/>
    <w:rsid w:val="009F5178"/>
    <w:rsid w:val="00A007C6"/>
    <w:rsid w:val="00A01A90"/>
    <w:rsid w:val="00A02836"/>
    <w:rsid w:val="00A103E9"/>
    <w:rsid w:val="00A110D6"/>
    <w:rsid w:val="00A11AC7"/>
    <w:rsid w:val="00A12B71"/>
    <w:rsid w:val="00A15DD2"/>
    <w:rsid w:val="00A22545"/>
    <w:rsid w:val="00A22787"/>
    <w:rsid w:val="00A23C82"/>
    <w:rsid w:val="00A24516"/>
    <w:rsid w:val="00A25045"/>
    <w:rsid w:val="00A2673D"/>
    <w:rsid w:val="00A34197"/>
    <w:rsid w:val="00A35CF3"/>
    <w:rsid w:val="00A36FB1"/>
    <w:rsid w:val="00A4164E"/>
    <w:rsid w:val="00A43465"/>
    <w:rsid w:val="00A44A33"/>
    <w:rsid w:val="00A47AD2"/>
    <w:rsid w:val="00A5448F"/>
    <w:rsid w:val="00A560B5"/>
    <w:rsid w:val="00A56BD6"/>
    <w:rsid w:val="00A63FF6"/>
    <w:rsid w:val="00A65127"/>
    <w:rsid w:val="00A66461"/>
    <w:rsid w:val="00A6754D"/>
    <w:rsid w:val="00A67E62"/>
    <w:rsid w:val="00A717EB"/>
    <w:rsid w:val="00A73A28"/>
    <w:rsid w:val="00A74153"/>
    <w:rsid w:val="00A7418D"/>
    <w:rsid w:val="00A76617"/>
    <w:rsid w:val="00A8150F"/>
    <w:rsid w:val="00A82793"/>
    <w:rsid w:val="00A83B8E"/>
    <w:rsid w:val="00A8608A"/>
    <w:rsid w:val="00A87995"/>
    <w:rsid w:val="00A94D5D"/>
    <w:rsid w:val="00A976E4"/>
    <w:rsid w:val="00A97FE6"/>
    <w:rsid w:val="00AA35F8"/>
    <w:rsid w:val="00AA39AA"/>
    <w:rsid w:val="00AA4996"/>
    <w:rsid w:val="00AB085D"/>
    <w:rsid w:val="00AB25E8"/>
    <w:rsid w:val="00AC3904"/>
    <w:rsid w:val="00AC401C"/>
    <w:rsid w:val="00AC4770"/>
    <w:rsid w:val="00AD2B7E"/>
    <w:rsid w:val="00AD2E9E"/>
    <w:rsid w:val="00AD42EB"/>
    <w:rsid w:val="00AE29E4"/>
    <w:rsid w:val="00AE45F5"/>
    <w:rsid w:val="00AE5359"/>
    <w:rsid w:val="00AE5580"/>
    <w:rsid w:val="00AF12EF"/>
    <w:rsid w:val="00AF2AE6"/>
    <w:rsid w:val="00AF3211"/>
    <w:rsid w:val="00AF7EEF"/>
    <w:rsid w:val="00B006CC"/>
    <w:rsid w:val="00B01B22"/>
    <w:rsid w:val="00B04293"/>
    <w:rsid w:val="00B0520C"/>
    <w:rsid w:val="00B057BD"/>
    <w:rsid w:val="00B11917"/>
    <w:rsid w:val="00B13028"/>
    <w:rsid w:val="00B1347B"/>
    <w:rsid w:val="00B13D66"/>
    <w:rsid w:val="00B15DC4"/>
    <w:rsid w:val="00B220C5"/>
    <w:rsid w:val="00B22509"/>
    <w:rsid w:val="00B240FE"/>
    <w:rsid w:val="00B30DB9"/>
    <w:rsid w:val="00B32D0B"/>
    <w:rsid w:val="00B3369F"/>
    <w:rsid w:val="00B349DD"/>
    <w:rsid w:val="00B36F4D"/>
    <w:rsid w:val="00B41355"/>
    <w:rsid w:val="00B41877"/>
    <w:rsid w:val="00B422F5"/>
    <w:rsid w:val="00B4300B"/>
    <w:rsid w:val="00B431A2"/>
    <w:rsid w:val="00B464BB"/>
    <w:rsid w:val="00B52D51"/>
    <w:rsid w:val="00B550BF"/>
    <w:rsid w:val="00B57931"/>
    <w:rsid w:val="00B57A25"/>
    <w:rsid w:val="00B61127"/>
    <w:rsid w:val="00B617ED"/>
    <w:rsid w:val="00B63CC7"/>
    <w:rsid w:val="00B64BE1"/>
    <w:rsid w:val="00B658FF"/>
    <w:rsid w:val="00B709D7"/>
    <w:rsid w:val="00B70AE7"/>
    <w:rsid w:val="00B71D5E"/>
    <w:rsid w:val="00B7317B"/>
    <w:rsid w:val="00B75CD0"/>
    <w:rsid w:val="00B75DE8"/>
    <w:rsid w:val="00B77710"/>
    <w:rsid w:val="00B81CB7"/>
    <w:rsid w:val="00B81D6C"/>
    <w:rsid w:val="00B82054"/>
    <w:rsid w:val="00B852E4"/>
    <w:rsid w:val="00B86D46"/>
    <w:rsid w:val="00B87AD2"/>
    <w:rsid w:val="00B91A58"/>
    <w:rsid w:val="00B9399F"/>
    <w:rsid w:val="00B9598F"/>
    <w:rsid w:val="00B9613F"/>
    <w:rsid w:val="00BA1927"/>
    <w:rsid w:val="00BA22DD"/>
    <w:rsid w:val="00BA2D0B"/>
    <w:rsid w:val="00BA5A0B"/>
    <w:rsid w:val="00BA706D"/>
    <w:rsid w:val="00BA769C"/>
    <w:rsid w:val="00BB0192"/>
    <w:rsid w:val="00BB0D75"/>
    <w:rsid w:val="00BB1044"/>
    <w:rsid w:val="00BB58FE"/>
    <w:rsid w:val="00BB609C"/>
    <w:rsid w:val="00BB6FB3"/>
    <w:rsid w:val="00BC22A4"/>
    <w:rsid w:val="00BC2404"/>
    <w:rsid w:val="00BC3074"/>
    <w:rsid w:val="00BC3BCF"/>
    <w:rsid w:val="00BC42CA"/>
    <w:rsid w:val="00BC4EF5"/>
    <w:rsid w:val="00BC7EA3"/>
    <w:rsid w:val="00BD3613"/>
    <w:rsid w:val="00BD4E6F"/>
    <w:rsid w:val="00BD4EC2"/>
    <w:rsid w:val="00BD5FC5"/>
    <w:rsid w:val="00BD70F5"/>
    <w:rsid w:val="00BD744D"/>
    <w:rsid w:val="00BD7F4F"/>
    <w:rsid w:val="00BE1FE4"/>
    <w:rsid w:val="00BE29D1"/>
    <w:rsid w:val="00BE5763"/>
    <w:rsid w:val="00BE6852"/>
    <w:rsid w:val="00BF2685"/>
    <w:rsid w:val="00BF64A6"/>
    <w:rsid w:val="00BF6A40"/>
    <w:rsid w:val="00BF7E62"/>
    <w:rsid w:val="00C00C5A"/>
    <w:rsid w:val="00C03AA0"/>
    <w:rsid w:val="00C06417"/>
    <w:rsid w:val="00C076F0"/>
    <w:rsid w:val="00C07F5E"/>
    <w:rsid w:val="00C14E54"/>
    <w:rsid w:val="00C2059B"/>
    <w:rsid w:val="00C20FE3"/>
    <w:rsid w:val="00C22511"/>
    <w:rsid w:val="00C229BA"/>
    <w:rsid w:val="00C276A8"/>
    <w:rsid w:val="00C314EE"/>
    <w:rsid w:val="00C339D3"/>
    <w:rsid w:val="00C34BA4"/>
    <w:rsid w:val="00C35B99"/>
    <w:rsid w:val="00C40265"/>
    <w:rsid w:val="00C442FB"/>
    <w:rsid w:val="00C52B4C"/>
    <w:rsid w:val="00C546E7"/>
    <w:rsid w:val="00C556E9"/>
    <w:rsid w:val="00C57F77"/>
    <w:rsid w:val="00C6250D"/>
    <w:rsid w:val="00C62754"/>
    <w:rsid w:val="00C6350E"/>
    <w:rsid w:val="00C63C4F"/>
    <w:rsid w:val="00C63D4E"/>
    <w:rsid w:val="00C6476D"/>
    <w:rsid w:val="00C654E8"/>
    <w:rsid w:val="00C658C9"/>
    <w:rsid w:val="00C72489"/>
    <w:rsid w:val="00C7340D"/>
    <w:rsid w:val="00C73871"/>
    <w:rsid w:val="00C74173"/>
    <w:rsid w:val="00C74A70"/>
    <w:rsid w:val="00C751CC"/>
    <w:rsid w:val="00C7545A"/>
    <w:rsid w:val="00C76A25"/>
    <w:rsid w:val="00C77CE9"/>
    <w:rsid w:val="00C812D6"/>
    <w:rsid w:val="00C8519F"/>
    <w:rsid w:val="00C86DB4"/>
    <w:rsid w:val="00C9161D"/>
    <w:rsid w:val="00C919C1"/>
    <w:rsid w:val="00C94683"/>
    <w:rsid w:val="00C94B5C"/>
    <w:rsid w:val="00C97423"/>
    <w:rsid w:val="00CA048E"/>
    <w:rsid w:val="00CA295A"/>
    <w:rsid w:val="00CA345B"/>
    <w:rsid w:val="00CB3C9B"/>
    <w:rsid w:val="00CB4CB9"/>
    <w:rsid w:val="00CB5D7A"/>
    <w:rsid w:val="00CC05D0"/>
    <w:rsid w:val="00CC19ED"/>
    <w:rsid w:val="00CC534C"/>
    <w:rsid w:val="00CC64F7"/>
    <w:rsid w:val="00CD1ADB"/>
    <w:rsid w:val="00CD3D1F"/>
    <w:rsid w:val="00CD7CF9"/>
    <w:rsid w:val="00CE1EDF"/>
    <w:rsid w:val="00CE3457"/>
    <w:rsid w:val="00CF0ADE"/>
    <w:rsid w:val="00CF0B8F"/>
    <w:rsid w:val="00CF1848"/>
    <w:rsid w:val="00CF3687"/>
    <w:rsid w:val="00CF4C1E"/>
    <w:rsid w:val="00CF4EDE"/>
    <w:rsid w:val="00CF576E"/>
    <w:rsid w:val="00CF603A"/>
    <w:rsid w:val="00CF6296"/>
    <w:rsid w:val="00CF782F"/>
    <w:rsid w:val="00D00C0E"/>
    <w:rsid w:val="00D022B6"/>
    <w:rsid w:val="00D03ACD"/>
    <w:rsid w:val="00D055A1"/>
    <w:rsid w:val="00D064B3"/>
    <w:rsid w:val="00D10C43"/>
    <w:rsid w:val="00D12044"/>
    <w:rsid w:val="00D13FCF"/>
    <w:rsid w:val="00D14A54"/>
    <w:rsid w:val="00D16C0D"/>
    <w:rsid w:val="00D2331D"/>
    <w:rsid w:val="00D275D6"/>
    <w:rsid w:val="00D3094B"/>
    <w:rsid w:val="00D30A53"/>
    <w:rsid w:val="00D33FB5"/>
    <w:rsid w:val="00D36849"/>
    <w:rsid w:val="00D378C1"/>
    <w:rsid w:val="00D40661"/>
    <w:rsid w:val="00D407C0"/>
    <w:rsid w:val="00D42CCB"/>
    <w:rsid w:val="00D43195"/>
    <w:rsid w:val="00D47DAB"/>
    <w:rsid w:val="00D5024B"/>
    <w:rsid w:val="00D53AE9"/>
    <w:rsid w:val="00D53FDA"/>
    <w:rsid w:val="00D54220"/>
    <w:rsid w:val="00D554AB"/>
    <w:rsid w:val="00D56BA9"/>
    <w:rsid w:val="00D56E03"/>
    <w:rsid w:val="00D57DEB"/>
    <w:rsid w:val="00D57E84"/>
    <w:rsid w:val="00D65389"/>
    <w:rsid w:val="00D679F5"/>
    <w:rsid w:val="00D76A18"/>
    <w:rsid w:val="00D775F8"/>
    <w:rsid w:val="00D8139C"/>
    <w:rsid w:val="00D81A77"/>
    <w:rsid w:val="00D82A57"/>
    <w:rsid w:val="00D85978"/>
    <w:rsid w:val="00D90691"/>
    <w:rsid w:val="00DA0DD1"/>
    <w:rsid w:val="00DA3167"/>
    <w:rsid w:val="00DA6F94"/>
    <w:rsid w:val="00DA7E07"/>
    <w:rsid w:val="00DB103B"/>
    <w:rsid w:val="00DB2AC2"/>
    <w:rsid w:val="00DB432B"/>
    <w:rsid w:val="00DB44F2"/>
    <w:rsid w:val="00DB6A02"/>
    <w:rsid w:val="00DB6E30"/>
    <w:rsid w:val="00DB7681"/>
    <w:rsid w:val="00DB7B0A"/>
    <w:rsid w:val="00DC15E7"/>
    <w:rsid w:val="00DC267C"/>
    <w:rsid w:val="00DD0AD0"/>
    <w:rsid w:val="00DD118C"/>
    <w:rsid w:val="00DD299A"/>
    <w:rsid w:val="00DD35FF"/>
    <w:rsid w:val="00DD3FAA"/>
    <w:rsid w:val="00DD542E"/>
    <w:rsid w:val="00DE18E4"/>
    <w:rsid w:val="00DE27DD"/>
    <w:rsid w:val="00DE421D"/>
    <w:rsid w:val="00DE6A9A"/>
    <w:rsid w:val="00DE6B9E"/>
    <w:rsid w:val="00DF07EB"/>
    <w:rsid w:val="00DF570D"/>
    <w:rsid w:val="00DF7CF6"/>
    <w:rsid w:val="00E0113A"/>
    <w:rsid w:val="00E019AD"/>
    <w:rsid w:val="00E02201"/>
    <w:rsid w:val="00E0357C"/>
    <w:rsid w:val="00E04A9A"/>
    <w:rsid w:val="00E04DE1"/>
    <w:rsid w:val="00E04E92"/>
    <w:rsid w:val="00E0671B"/>
    <w:rsid w:val="00E072B3"/>
    <w:rsid w:val="00E078D8"/>
    <w:rsid w:val="00E114A5"/>
    <w:rsid w:val="00E12A33"/>
    <w:rsid w:val="00E1470E"/>
    <w:rsid w:val="00E14DFB"/>
    <w:rsid w:val="00E151F2"/>
    <w:rsid w:val="00E21D43"/>
    <w:rsid w:val="00E226D1"/>
    <w:rsid w:val="00E309AD"/>
    <w:rsid w:val="00E31A39"/>
    <w:rsid w:val="00E31D33"/>
    <w:rsid w:val="00E31FB5"/>
    <w:rsid w:val="00E32CAD"/>
    <w:rsid w:val="00E33365"/>
    <w:rsid w:val="00E36AF4"/>
    <w:rsid w:val="00E36D45"/>
    <w:rsid w:val="00E40D58"/>
    <w:rsid w:val="00E50476"/>
    <w:rsid w:val="00E50E25"/>
    <w:rsid w:val="00E51686"/>
    <w:rsid w:val="00E52970"/>
    <w:rsid w:val="00E5305A"/>
    <w:rsid w:val="00E54783"/>
    <w:rsid w:val="00E569DD"/>
    <w:rsid w:val="00E60A62"/>
    <w:rsid w:val="00E61BC3"/>
    <w:rsid w:val="00E634F5"/>
    <w:rsid w:val="00E63943"/>
    <w:rsid w:val="00E6484B"/>
    <w:rsid w:val="00E66235"/>
    <w:rsid w:val="00E67096"/>
    <w:rsid w:val="00E67790"/>
    <w:rsid w:val="00E70D37"/>
    <w:rsid w:val="00E71AB9"/>
    <w:rsid w:val="00E726F0"/>
    <w:rsid w:val="00E74773"/>
    <w:rsid w:val="00E75B37"/>
    <w:rsid w:val="00E77561"/>
    <w:rsid w:val="00E815AC"/>
    <w:rsid w:val="00E81ABE"/>
    <w:rsid w:val="00E83C24"/>
    <w:rsid w:val="00E85E26"/>
    <w:rsid w:val="00E85FC4"/>
    <w:rsid w:val="00E86318"/>
    <w:rsid w:val="00E86693"/>
    <w:rsid w:val="00E9318D"/>
    <w:rsid w:val="00E93DE6"/>
    <w:rsid w:val="00E97017"/>
    <w:rsid w:val="00E971D7"/>
    <w:rsid w:val="00EA7B71"/>
    <w:rsid w:val="00EB0538"/>
    <w:rsid w:val="00EB0963"/>
    <w:rsid w:val="00EB36FE"/>
    <w:rsid w:val="00EB378D"/>
    <w:rsid w:val="00EB5FF0"/>
    <w:rsid w:val="00EB69BE"/>
    <w:rsid w:val="00EC04C1"/>
    <w:rsid w:val="00EC0503"/>
    <w:rsid w:val="00EC209B"/>
    <w:rsid w:val="00EC231C"/>
    <w:rsid w:val="00EC4105"/>
    <w:rsid w:val="00EC4D7F"/>
    <w:rsid w:val="00EC523D"/>
    <w:rsid w:val="00EC5D18"/>
    <w:rsid w:val="00EC6A1A"/>
    <w:rsid w:val="00EC7339"/>
    <w:rsid w:val="00EC7581"/>
    <w:rsid w:val="00EC7DC2"/>
    <w:rsid w:val="00ED0568"/>
    <w:rsid w:val="00ED12A4"/>
    <w:rsid w:val="00ED3443"/>
    <w:rsid w:val="00ED54AB"/>
    <w:rsid w:val="00EE06FE"/>
    <w:rsid w:val="00EE0EB5"/>
    <w:rsid w:val="00EE2ADB"/>
    <w:rsid w:val="00EF3278"/>
    <w:rsid w:val="00EF5CCA"/>
    <w:rsid w:val="00EF78AC"/>
    <w:rsid w:val="00F02F9F"/>
    <w:rsid w:val="00F035C1"/>
    <w:rsid w:val="00F055C5"/>
    <w:rsid w:val="00F0626D"/>
    <w:rsid w:val="00F06DA7"/>
    <w:rsid w:val="00F06E66"/>
    <w:rsid w:val="00F07928"/>
    <w:rsid w:val="00F111BA"/>
    <w:rsid w:val="00F13B32"/>
    <w:rsid w:val="00F1725E"/>
    <w:rsid w:val="00F17ED9"/>
    <w:rsid w:val="00F23BFD"/>
    <w:rsid w:val="00F254E7"/>
    <w:rsid w:val="00F255B2"/>
    <w:rsid w:val="00F267CD"/>
    <w:rsid w:val="00F342F7"/>
    <w:rsid w:val="00F368B9"/>
    <w:rsid w:val="00F379E3"/>
    <w:rsid w:val="00F433D0"/>
    <w:rsid w:val="00F44F8B"/>
    <w:rsid w:val="00F45484"/>
    <w:rsid w:val="00F45F63"/>
    <w:rsid w:val="00F460A0"/>
    <w:rsid w:val="00F463D9"/>
    <w:rsid w:val="00F54AB8"/>
    <w:rsid w:val="00F55C2E"/>
    <w:rsid w:val="00F570D1"/>
    <w:rsid w:val="00F571A2"/>
    <w:rsid w:val="00F57A56"/>
    <w:rsid w:val="00F606C1"/>
    <w:rsid w:val="00F60C99"/>
    <w:rsid w:val="00F61CA5"/>
    <w:rsid w:val="00F641DD"/>
    <w:rsid w:val="00F64256"/>
    <w:rsid w:val="00F64564"/>
    <w:rsid w:val="00F65509"/>
    <w:rsid w:val="00F657AB"/>
    <w:rsid w:val="00F73A70"/>
    <w:rsid w:val="00F74929"/>
    <w:rsid w:val="00F77D8C"/>
    <w:rsid w:val="00F8047B"/>
    <w:rsid w:val="00F81B4E"/>
    <w:rsid w:val="00F83795"/>
    <w:rsid w:val="00F83938"/>
    <w:rsid w:val="00F8639E"/>
    <w:rsid w:val="00F86B58"/>
    <w:rsid w:val="00F87CFE"/>
    <w:rsid w:val="00F9193E"/>
    <w:rsid w:val="00F938D0"/>
    <w:rsid w:val="00F94774"/>
    <w:rsid w:val="00F95814"/>
    <w:rsid w:val="00F95977"/>
    <w:rsid w:val="00F96840"/>
    <w:rsid w:val="00FA1890"/>
    <w:rsid w:val="00FA2718"/>
    <w:rsid w:val="00FA3F6E"/>
    <w:rsid w:val="00FA5280"/>
    <w:rsid w:val="00FA5508"/>
    <w:rsid w:val="00FA782F"/>
    <w:rsid w:val="00FA7853"/>
    <w:rsid w:val="00FB0041"/>
    <w:rsid w:val="00FB2FE7"/>
    <w:rsid w:val="00FB6044"/>
    <w:rsid w:val="00FC08D4"/>
    <w:rsid w:val="00FC236C"/>
    <w:rsid w:val="00FC4DF4"/>
    <w:rsid w:val="00FC50E4"/>
    <w:rsid w:val="00FC53DB"/>
    <w:rsid w:val="00FD25F1"/>
    <w:rsid w:val="00FD27AD"/>
    <w:rsid w:val="00FD4FD3"/>
    <w:rsid w:val="00FD5894"/>
    <w:rsid w:val="00FD5B7D"/>
    <w:rsid w:val="00FD64BD"/>
    <w:rsid w:val="00FD7618"/>
    <w:rsid w:val="00FE0E0C"/>
    <w:rsid w:val="00FE18B4"/>
    <w:rsid w:val="00FE4B2F"/>
    <w:rsid w:val="00FE4FAB"/>
    <w:rsid w:val="00FE5837"/>
    <w:rsid w:val="00FE7E1C"/>
    <w:rsid w:val="00FF048D"/>
    <w:rsid w:val="00FF1767"/>
    <w:rsid w:val="00FF1CB5"/>
    <w:rsid w:val="00FF3BB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7DE932C"/>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uiPriority w:val="99"/>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uiPriority w:val="9"/>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964A8F"/>
    <w:rPr>
      <w:color w:val="808080"/>
      <w:shd w:val="clear" w:color="auto" w:fill="E6E6E6"/>
    </w:rPr>
  </w:style>
  <w:style w:type="paragraph" w:styleId="Revision">
    <w:name w:val="Revision"/>
    <w:hidden/>
    <w:uiPriority w:val="99"/>
    <w:semiHidden/>
    <w:rsid w:val="00964A8F"/>
    <w:pPr>
      <w:jc w:val="both"/>
    </w:pPr>
    <w:rPr>
      <w:rFonts w:ascii="Times New Roman" w:eastAsia="Times New Roman" w:hAnsi="Times New Roman" w:cs="Times New Roman"/>
      <w:sz w:val="22"/>
      <w:szCs w:val="22"/>
      <w:lang w:val="en-GB" w:eastAsia="en-CA"/>
    </w:rPr>
  </w:style>
  <w:style w:type="character" w:customStyle="1" w:styleId="ListParagraphChar">
    <w:name w:val="List Paragraph Char"/>
    <w:basedOn w:val="DefaultParagraphFont"/>
    <w:link w:val="ListParagraph"/>
    <w:uiPriority w:val="34"/>
    <w:qFormat/>
    <w:locked/>
    <w:rsid w:val="00964A8F"/>
    <w:rPr>
      <w:rFonts w:ascii="Times New Roman" w:eastAsia="Times New Roman" w:hAnsi="Times New Roman" w:cs="Times New Roman"/>
      <w:sz w:val="22"/>
      <w:lang w:val="en-GB"/>
    </w:rPr>
  </w:style>
  <w:style w:type="paragraph" w:customStyle="1" w:styleId="Default">
    <w:name w:val="Default"/>
    <w:rsid w:val="00964A8F"/>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964A8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4A8F"/>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964A8F"/>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964A8F"/>
    <w:rPr>
      <w:color w:val="605E5C"/>
      <w:shd w:val="clear" w:color="auto" w:fill="E1DFDD"/>
    </w:rPr>
  </w:style>
  <w:style w:type="character" w:customStyle="1" w:styleId="UnresolvedMention4">
    <w:name w:val="Unresolved Mention4"/>
    <w:basedOn w:val="DefaultParagraphFont"/>
    <w:uiPriority w:val="99"/>
    <w:semiHidden/>
    <w:unhideWhenUsed/>
    <w:rsid w:val="00964A8F"/>
    <w:rPr>
      <w:color w:val="605E5C"/>
      <w:shd w:val="clear" w:color="auto" w:fill="E1DFDD"/>
    </w:rPr>
  </w:style>
  <w:style w:type="character" w:styleId="Strong">
    <w:name w:val="Strong"/>
    <w:basedOn w:val="DefaultParagraphFont"/>
    <w:uiPriority w:val="22"/>
    <w:qFormat/>
    <w:rsid w:val="00964A8F"/>
    <w:rPr>
      <w:b/>
      <w:bCs/>
    </w:rPr>
  </w:style>
  <w:style w:type="paragraph" w:styleId="NormalWeb">
    <w:name w:val="Normal (Web)"/>
    <w:basedOn w:val="Normal"/>
    <w:uiPriority w:val="99"/>
    <w:unhideWhenUsed/>
    <w:rsid w:val="00964A8F"/>
    <w:pPr>
      <w:spacing w:before="100" w:beforeAutospacing="1" w:after="100" w:afterAutospacing="1"/>
      <w:jc w:val="left"/>
    </w:pPr>
    <w:rPr>
      <w:sz w:val="24"/>
      <w:szCs w:val="22"/>
      <w:lang w:val="en-CA" w:eastAsia="en-CA"/>
    </w:rPr>
  </w:style>
  <w:style w:type="table" w:customStyle="1" w:styleId="3">
    <w:name w:val="3"/>
    <w:basedOn w:val="TableNormal"/>
    <w:rsid w:val="00964A8F"/>
    <w:pPr>
      <w:jc w:val="both"/>
    </w:pPr>
    <w:rPr>
      <w:rFonts w:ascii="Times New Roman" w:eastAsia="Times New Roman" w:hAnsi="Times New Roman" w:cs="Times New Roman"/>
      <w:sz w:val="22"/>
      <w:szCs w:val="22"/>
      <w:lang w:val="en-GB" w:eastAsia="en-CA"/>
    </w:rPr>
    <w:tblPr>
      <w:tblStyleRowBandSize w:val="1"/>
      <w:tblStyleColBandSize w:val="1"/>
    </w:tblPr>
  </w:style>
  <w:style w:type="table" w:customStyle="1" w:styleId="2">
    <w:name w:val="2"/>
    <w:basedOn w:val="TableNormal"/>
    <w:rsid w:val="00964A8F"/>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964A8F"/>
    <w:pPr>
      <w:jc w:val="both"/>
    </w:pPr>
    <w:rPr>
      <w:rFonts w:ascii="Times New Roman" w:eastAsia="Times New Roman" w:hAnsi="Times New Roman" w:cs="Times New Roman"/>
      <w:sz w:val="22"/>
      <w:szCs w:val="22"/>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964A8F"/>
    <w:pPr>
      <w:widowControl w:val="0"/>
      <w:spacing w:line="276" w:lineRule="auto"/>
    </w:pPr>
    <w:rPr>
      <w:rFonts w:ascii="Arial" w:eastAsia="Arial" w:hAnsi="Arial" w:cs="Arial"/>
      <w:color w:val="000000"/>
      <w:sz w:val="22"/>
      <w:szCs w:val="20"/>
      <w:lang w:val="en-CA"/>
    </w:rPr>
  </w:style>
  <w:style w:type="table" w:styleId="PlainTable2">
    <w:name w:val="Plain Table 2"/>
    <w:basedOn w:val="TableNormal"/>
    <w:uiPriority w:val="42"/>
    <w:rsid w:val="00964A8F"/>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64A8F"/>
    <w:pPr>
      <w:jc w:val="both"/>
    </w:pPr>
    <w:rPr>
      <w:rFonts w:ascii="Times New Roman" w:eastAsia="Times New Roman" w:hAnsi="Times New Roman" w:cs="Times New Roman"/>
      <w:sz w:val="22"/>
      <w:szCs w:val="22"/>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964A8F"/>
    <w:pPr>
      <w:jc w:val="both"/>
    </w:pPr>
    <w:rPr>
      <w:rFonts w:ascii="Times New Roman" w:eastAsia="Times New Roman" w:hAnsi="Times New Roman" w:cs="Times New Roman"/>
      <w:sz w:val="22"/>
      <w:szCs w:val="22"/>
      <w:lang w:val="en-GB" w:eastAsia="en-CA"/>
    </w:rPr>
  </w:style>
  <w:style w:type="character" w:styleId="UnresolvedMention">
    <w:name w:val="Unresolved Mention"/>
    <w:basedOn w:val="DefaultParagraphFont"/>
    <w:uiPriority w:val="99"/>
    <w:semiHidden/>
    <w:unhideWhenUsed/>
    <w:rsid w:val="00964A8F"/>
    <w:rPr>
      <w:color w:val="605E5C"/>
      <w:shd w:val="clear" w:color="auto" w:fill="E1DFDD"/>
    </w:rPr>
  </w:style>
  <w:style w:type="table" w:styleId="ListTable4-Accent5">
    <w:name w:val="List Table 4 Accent 5"/>
    <w:basedOn w:val="TableNormal"/>
    <w:uiPriority w:val="49"/>
    <w:rsid w:val="00964A8F"/>
    <w:rPr>
      <w:rFonts w:eastAsiaTheme="minorHAnsi"/>
      <w:sz w:val="22"/>
      <w:szCs w:val="22"/>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964A8F"/>
    <w:rPr>
      <w:rFonts w:ascii="Calibri" w:eastAsia="Calibri" w:hAnsi="Calibri" w:cs="Times New Roman"/>
      <w:sz w:val="22"/>
      <w:lang w:val="en-GB" w:eastAsia="en-GB"/>
    </w:rPr>
  </w:style>
  <w:style w:type="table" w:styleId="MediumShading2-Accent2">
    <w:name w:val="Medium Shading 2 Accent 2"/>
    <w:basedOn w:val="TableNormal"/>
    <w:uiPriority w:val="64"/>
    <w:rsid w:val="00964A8F"/>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5Dark-Accent1">
    <w:name w:val="Grid Table 5 Dark Accent 1"/>
    <w:basedOn w:val="TableNormal"/>
    <w:uiPriority w:val="50"/>
    <w:rsid w:val="00964A8F"/>
    <w:pPr>
      <w:jc w:val="both"/>
    </w:pPr>
    <w:rPr>
      <w:rFonts w:ascii="Times New Roman" w:eastAsia="Times New Roman" w:hAnsi="Times New Roman" w:cs="Times New Roman"/>
      <w:sz w:val="22"/>
      <w:szCs w:val="22"/>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964A8F"/>
    <w:pPr>
      <w:keepNext w:val="0"/>
      <w:numPr>
        <w:numId w:val="9"/>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964A8F"/>
    <w:pPr>
      <w:numPr>
        <w:numId w:val="8"/>
      </w:numPr>
    </w:pPr>
  </w:style>
  <w:style w:type="character" w:customStyle="1" w:styleId="StyleFootnoteReferencenumberFootnoteReferenceSuperscript-EF">
    <w:name w:val="Style Footnote ReferencenumberFootnote Reference Superscript-E F..."/>
    <w:basedOn w:val="FootnoteReference"/>
    <w:rsid w:val="00964A8F"/>
    <w:rPr>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BC2404"/>
    <w:pPr>
      <w:spacing w:after="160" w:line="240" w:lineRule="exac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rsid w:val="00292964"/>
    <w:pPr>
      <w:keepLines/>
      <w:numPr>
        <w:numId w:val="12"/>
      </w:numPr>
      <w:spacing w:before="120" w:after="120"/>
    </w:pPr>
    <w:rPr>
      <w:szCs w:val="22"/>
      <w:lang w:val="en-US"/>
    </w:rPr>
  </w:style>
  <w:style w:type="character" w:customStyle="1" w:styleId="CBD-ParaCharChar">
    <w:name w:val="CBD-Para Char Char"/>
    <w:link w:val="CBD-Para"/>
    <w:rsid w:val="00292964"/>
    <w:rPr>
      <w:rFonts w:ascii="Times New Roman" w:eastAsia="Times New Roman" w:hAnsi="Times New Roman" w:cs="Times New Roman"/>
      <w:sz w:val="22"/>
      <w:szCs w:val="22"/>
      <w:lang w:val="en-US"/>
    </w:rPr>
  </w:style>
  <w:style w:type="paragraph" w:customStyle="1" w:styleId="CBD-Para-a">
    <w:name w:val="CBD-Para-a"/>
    <w:basedOn w:val="CBD-Para"/>
    <w:rsid w:val="00292964"/>
    <w:pPr>
      <w:numPr>
        <w:ilvl w:val="1"/>
      </w:numPr>
      <w:tabs>
        <w:tab w:val="clear" w:pos="1080"/>
        <w:tab w:val="num" w:pos="360"/>
      </w:tabs>
      <w:spacing w:before="60" w:after="6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069118">
      <w:bodyDiv w:val="1"/>
      <w:marLeft w:val="0"/>
      <w:marRight w:val="0"/>
      <w:marTop w:val="0"/>
      <w:marBottom w:val="0"/>
      <w:divBdr>
        <w:top w:val="none" w:sz="0" w:space="0" w:color="auto"/>
        <w:left w:val="none" w:sz="0" w:space="0" w:color="auto"/>
        <w:bottom w:val="none" w:sz="0" w:space="0" w:color="auto"/>
        <w:right w:val="none" w:sz="0" w:space="0" w:color="auto"/>
      </w:divBdr>
    </w:div>
    <w:div w:id="850993956">
      <w:bodyDiv w:val="1"/>
      <w:marLeft w:val="0"/>
      <w:marRight w:val="0"/>
      <w:marTop w:val="0"/>
      <w:marBottom w:val="0"/>
      <w:divBdr>
        <w:top w:val="none" w:sz="0" w:space="0" w:color="auto"/>
        <w:left w:val="none" w:sz="0" w:space="0" w:color="auto"/>
        <w:bottom w:val="none" w:sz="0" w:space="0" w:color="auto"/>
        <w:right w:val="none" w:sz="0" w:space="0" w:color="auto"/>
      </w:divBdr>
    </w:div>
    <w:div w:id="1253316393">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63531583">
      <w:bodyDiv w:val="1"/>
      <w:marLeft w:val="0"/>
      <w:marRight w:val="0"/>
      <w:marTop w:val="0"/>
      <w:marBottom w:val="0"/>
      <w:divBdr>
        <w:top w:val="none" w:sz="0" w:space="0" w:color="auto"/>
        <w:left w:val="none" w:sz="0" w:space="0" w:color="auto"/>
        <w:bottom w:val="none" w:sz="0" w:space="0" w:color="auto"/>
        <w:right w:val="none" w:sz="0" w:space="0" w:color="auto"/>
      </w:divBdr>
    </w:div>
    <w:div w:id="192256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24-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academic.oup.com/jas/article/97/5/1921/5382308"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cop-14/cop-14-dec-25-en.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24-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formea.org" TargetMode="External"/><Relationship Id="rId13" Type="http://schemas.openxmlformats.org/officeDocument/2006/relationships/hyperlink" Target="https://www.iccaregistry.org/" TargetMode="External"/><Relationship Id="rId3" Type="http://schemas.openxmlformats.org/officeDocument/2006/relationships/hyperlink" Target="http://www-public.imtbs-tsp.eu/~gibson/Teaching/Teaching-ReadingMaterial/Rowley06.pdf" TargetMode="External"/><Relationship Id="rId7" Type="http://schemas.openxmlformats.org/officeDocument/2006/relationships/hyperlink" Target="https://rsis.ramsar.org/" TargetMode="External"/><Relationship Id="rId12" Type="http://schemas.openxmlformats.org/officeDocument/2006/relationships/hyperlink" Target="https://pame.protectedplanet.net" TargetMode="External"/><Relationship Id="rId2" Type="http://schemas.openxmlformats.org/officeDocument/2006/relationships/hyperlink" Target="https://www.cbd.int/doc/c/5ec1/d94f/60fb5937bc06b92013ec09dd/sbi-02-inf-33-en.pdf" TargetMode="External"/><Relationship Id="rId16" Type="http://schemas.openxmlformats.org/officeDocument/2006/relationships/hyperlink" Target="https://www.unep-wcmc.org/resources-and-data/biodiversitysynergies" TargetMode="External"/><Relationship Id="rId1" Type="http://schemas.openxmlformats.org/officeDocument/2006/relationships/hyperlink" Target="https://www.cbd.int/gbo/" TargetMode="External"/><Relationship Id="rId6" Type="http://schemas.openxmlformats.org/officeDocument/2006/relationships/hyperlink" Target="https://absch.cbd.int/" TargetMode="External"/><Relationship Id="rId11" Type="http://schemas.openxmlformats.org/officeDocument/2006/relationships/hyperlink" Target="https://www.protectedplanet.net/" TargetMode="External"/><Relationship Id="rId5" Type="http://schemas.openxmlformats.org/officeDocument/2006/relationships/hyperlink" Target="http://bch.cbd.int/" TargetMode="External"/><Relationship Id="rId15" Type="http://schemas.openxmlformats.org/officeDocument/2006/relationships/hyperlink" Target="https://www.allianceforbio.org/" TargetMode="External"/><Relationship Id="rId10" Type="http://schemas.openxmlformats.org/officeDocument/2006/relationships/hyperlink" Target="https://www.unbiodiversitylab.org/" TargetMode="External"/><Relationship Id="rId4" Type="http://schemas.openxmlformats.org/officeDocument/2006/relationships/hyperlink" Target="https://www.cbd.int/chm/" TargetMode="External"/><Relationship Id="rId9" Type="http://schemas.openxmlformats.org/officeDocument/2006/relationships/hyperlink" Target="https://www.iucnredlist.org/assessment/sis" TargetMode="External"/><Relationship Id="rId14" Type="http://schemas.openxmlformats.org/officeDocument/2006/relationships/hyperlink" Target="https://www.unep-wcmc.org/resources-and-data/biodiversitysyner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BEB20ED685304A1C91A992BF91A9937D"/>
        <w:category>
          <w:name w:val="General"/>
          <w:gallery w:val="placeholder"/>
        </w:category>
        <w:types>
          <w:type w:val="bbPlcHdr"/>
        </w:types>
        <w:behaviors>
          <w:behavior w:val="content"/>
        </w:behaviors>
        <w:guid w:val="{D810AD31-C83B-4CA0-AD30-FA99814E1DE6}"/>
      </w:docPartPr>
      <w:docPartBody>
        <w:p w:rsidR="00D34167" w:rsidRDefault="00C21165" w:rsidP="00C21165">
          <w:pPr>
            <w:pStyle w:val="BEB20ED685304A1C91A992BF91A9937D"/>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948"/>
    <w:rsid w:val="000D0297"/>
    <w:rsid w:val="000F11DC"/>
    <w:rsid w:val="000F5BAC"/>
    <w:rsid w:val="00117631"/>
    <w:rsid w:val="001B6F83"/>
    <w:rsid w:val="001D1A1F"/>
    <w:rsid w:val="002012A3"/>
    <w:rsid w:val="0029542F"/>
    <w:rsid w:val="0030091C"/>
    <w:rsid w:val="00303991"/>
    <w:rsid w:val="00397CA9"/>
    <w:rsid w:val="003A69E4"/>
    <w:rsid w:val="004D3FE5"/>
    <w:rsid w:val="004D5E28"/>
    <w:rsid w:val="00500A2B"/>
    <w:rsid w:val="0058288D"/>
    <w:rsid w:val="005D1605"/>
    <w:rsid w:val="005E174F"/>
    <w:rsid w:val="005E1873"/>
    <w:rsid w:val="005F4529"/>
    <w:rsid w:val="00616617"/>
    <w:rsid w:val="006801B3"/>
    <w:rsid w:val="006E7EB0"/>
    <w:rsid w:val="006F619D"/>
    <w:rsid w:val="007634AC"/>
    <w:rsid w:val="00807F12"/>
    <w:rsid w:val="00810A55"/>
    <w:rsid w:val="0083766C"/>
    <w:rsid w:val="0086239A"/>
    <w:rsid w:val="00865C77"/>
    <w:rsid w:val="008A7BD9"/>
    <w:rsid w:val="008C6619"/>
    <w:rsid w:val="008D420E"/>
    <w:rsid w:val="00901513"/>
    <w:rsid w:val="00911AAE"/>
    <w:rsid w:val="00950AEC"/>
    <w:rsid w:val="0098642F"/>
    <w:rsid w:val="00A8033D"/>
    <w:rsid w:val="00A856A1"/>
    <w:rsid w:val="00AA6880"/>
    <w:rsid w:val="00AA7B1C"/>
    <w:rsid w:val="00AE1C04"/>
    <w:rsid w:val="00C02070"/>
    <w:rsid w:val="00C21165"/>
    <w:rsid w:val="00C259AE"/>
    <w:rsid w:val="00C80416"/>
    <w:rsid w:val="00C960D0"/>
    <w:rsid w:val="00D22BEF"/>
    <w:rsid w:val="00D34167"/>
    <w:rsid w:val="00E25D43"/>
    <w:rsid w:val="00E4791A"/>
    <w:rsid w:val="00F243B6"/>
    <w:rsid w:val="00F3578B"/>
    <w:rsid w:val="00FA14C1"/>
    <w:rsid w:val="00FA56CC"/>
    <w:rsid w:val="00FC1C29"/>
    <w:rsid w:val="00FC26E3"/>
    <w:rsid w:val="00FE64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9AE"/>
    <w:rPr>
      <w:color w:val="808080"/>
    </w:rPr>
  </w:style>
  <w:style w:type="paragraph" w:customStyle="1" w:styleId="BEB20ED685304A1C91A992BF91A9937D">
    <w:name w:val="BEB20ED685304A1C91A992BF91A9937D"/>
    <w:rsid w:val="00C21165"/>
    <w:pPr>
      <w:spacing w:after="160" w:line="259" w:lineRule="auto"/>
    </w:pPr>
    <w:rPr>
      <w:lang w:val="en-CA" w:eastAsia="en-CA"/>
    </w:rPr>
  </w:style>
  <w:style w:type="paragraph" w:customStyle="1" w:styleId="A41714726B8D42959C6E06286E7BF05B">
    <w:name w:val="A41714726B8D42959C6E06286E7BF05B"/>
    <w:rsid w:val="00C259AE"/>
    <w:pPr>
      <w:spacing w:after="160" w:line="259" w:lineRule="auto"/>
    </w:pPr>
    <w:rPr>
      <w:lang w:eastAsia="zh-CN"/>
    </w:rPr>
  </w:style>
  <w:style w:type="paragraph" w:customStyle="1" w:styleId="B768ECD2292342A2BA57D0D6A1853017">
    <w:name w:val="B768ECD2292342A2BA57D0D6A1853017"/>
    <w:rsid w:val="00C259AE"/>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613BCE-3A36-44EE-97E4-4BD1367F7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4670B-CECA-4D06-B73C-CCAF212488F7}">
  <ds:schemaRefs>
    <ds:schemaRef ds:uri="http://schemas.microsoft.com/sharepoint/v3/contenttype/forms"/>
  </ds:schemaRefs>
</ds:datastoreItem>
</file>

<file path=customXml/itemProps4.xml><?xml version="1.0" encoding="utf-8"?>
<ds:datastoreItem xmlns:ds="http://schemas.openxmlformats.org/officeDocument/2006/customXml" ds:itemID="{78C055CD-4737-47BF-A85C-D59FF3F3B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1BF7D-F782-40C5-AD3B-ABCCA53B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5443</Words>
  <Characters>31026</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Knowledge management component of the post-2020 global biodiversity framework</vt:lpstr>
    </vt:vector>
  </TitlesOfParts>
  <Company>SCBD</Company>
  <LinksUpToDate>false</LinksUpToDate>
  <CharactersWithSpaces>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management component of the post-2020 global biodiversity framework</dc:title>
  <dc:subject>CBD/SBI/3/8/Add.1</dc:subject>
  <dc:creator>Secretariat of the Convention on Biological Diversity</dc:creator>
  <cp:keywords>Subsidiary Body on Implementation, third meeting, Convention on Biological Diversity</cp:keywords>
  <cp:lastModifiedBy>Veronique Lefebvre</cp:lastModifiedBy>
  <cp:revision>2</cp:revision>
  <dcterms:created xsi:type="dcterms:W3CDTF">2020-10-23T14:17:00Z</dcterms:created>
  <dcterms:modified xsi:type="dcterms:W3CDTF">2020-10-23T14:17:00Z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