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Look w:val="04A0" w:firstRow="1" w:lastRow="0" w:firstColumn="1" w:lastColumn="0" w:noHBand="0" w:noVBand="1"/>
      </w:tblPr>
      <w:tblGrid>
        <w:gridCol w:w="996"/>
        <w:gridCol w:w="5130"/>
        <w:gridCol w:w="4081"/>
      </w:tblGrid>
      <w:tr w:rsidR="0001430B" w:rsidRPr="00F600E5" w:rsidTr="0001430B">
        <w:trPr>
          <w:trHeight w:val="709"/>
        </w:trPr>
        <w:tc>
          <w:tcPr>
            <w:tcW w:w="976" w:type="dxa"/>
            <w:tcBorders>
              <w:bottom w:val="single" w:sz="12" w:space="0" w:color="auto"/>
            </w:tcBorders>
          </w:tcPr>
          <w:p w:rsidR="0001430B" w:rsidRPr="00F600E5" w:rsidRDefault="00594A82" w:rsidP="0001430B">
            <w:pPr>
              <w:suppressLineNumbers/>
              <w:suppressAutoHyphens/>
              <w:kinsoku w:val="0"/>
              <w:overflowPunct w:val="0"/>
              <w:autoSpaceDE w:val="0"/>
              <w:autoSpaceDN w:val="0"/>
              <w:adjustRightInd w:val="0"/>
              <w:snapToGrid w:val="0"/>
              <w:rPr>
                <w:kern w:val="22"/>
                <w:lang w:val="es-ES_tradnl"/>
              </w:rPr>
            </w:pPr>
            <w:r>
              <w:rPr>
                <w:noProof/>
                <w:kern w:val="22"/>
                <w:lang w:eastAsia="en-GB"/>
              </w:rPr>
              <w:drawing>
                <wp:inline distT="0" distB="0" distL="0" distR="0">
                  <wp:extent cx="476250" cy="407035"/>
                  <wp:effectExtent l="1905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a:srcRect/>
                          <a:stretch>
                            <a:fillRect/>
                          </a:stretch>
                        </pic:blipFill>
                        <pic:spPr bwMode="auto">
                          <a:xfrm>
                            <a:off x="0" y="0"/>
                            <a:ext cx="476250" cy="407035"/>
                          </a:xfrm>
                          <a:prstGeom prst="rect">
                            <a:avLst/>
                          </a:prstGeom>
                          <a:noFill/>
                          <a:ln w="9525">
                            <a:noFill/>
                            <a:miter lim="800000"/>
                            <a:headEnd/>
                            <a:tailEnd/>
                          </a:ln>
                        </pic:spPr>
                      </pic:pic>
                    </a:graphicData>
                  </a:graphic>
                </wp:inline>
              </w:drawing>
            </w:r>
          </w:p>
        </w:tc>
        <w:tc>
          <w:tcPr>
            <w:tcW w:w="5141" w:type="dxa"/>
            <w:tcBorders>
              <w:bottom w:val="single" w:sz="12" w:space="0" w:color="auto"/>
            </w:tcBorders>
          </w:tcPr>
          <w:p w:rsidR="0001430B" w:rsidRPr="00F600E5" w:rsidRDefault="00594A82" w:rsidP="0001430B">
            <w:pPr>
              <w:suppressLineNumbers/>
              <w:suppressAutoHyphens/>
              <w:kinsoku w:val="0"/>
              <w:overflowPunct w:val="0"/>
              <w:autoSpaceDE w:val="0"/>
              <w:autoSpaceDN w:val="0"/>
              <w:adjustRightInd w:val="0"/>
              <w:snapToGrid w:val="0"/>
              <w:rPr>
                <w:kern w:val="22"/>
                <w:lang w:val="es-ES_tradnl"/>
              </w:rPr>
            </w:pPr>
            <w:r>
              <w:rPr>
                <w:noProof/>
                <w:kern w:val="22"/>
                <w:lang w:eastAsia="en-GB"/>
              </w:rPr>
              <w:drawing>
                <wp:inline distT="0" distB="0" distL="0" distR="0">
                  <wp:extent cx="344170" cy="407035"/>
                  <wp:effectExtent l="1905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8"/>
                          <a:srcRect/>
                          <a:stretch>
                            <a:fillRect/>
                          </a:stretch>
                        </pic:blipFill>
                        <pic:spPr bwMode="auto">
                          <a:xfrm>
                            <a:off x="0" y="0"/>
                            <a:ext cx="344170" cy="407035"/>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01430B" w:rsidRPr="00F600E5" w:rsidRDefault="0001430B" w:rsidP="0001430B">
            <w:pPr>
              <w:suppressLineNumbers/>
              <w:suppressAutoHyphens/>
              <w:kinsoku w:val="0"/>
              <w:overflowPunct w:val="0"/>
              <w:autoSpaceDE w:val="0"/>
              <w:autoSpaceDN w:val="0"/>
              <w:adjustRightInd w:val="0"/>
              <w:snapToGrid w:val="0"/>
              <w:jc w:val="right"/>
              <w:rPr>
                <w:rFonts w:ascii="Arial" w:hAnsi="Arial" w:cs="Arial"/>
                <w:b/>
                <w:kern w:val="22"/>
                <w:sz w:val="32"/>
                <w:szCs w:val="32"/>
                <w:lang w:val="es-ES_tradnl"/>
              </w:rPr>
            </w:pPr>
            <w:r w:rsidRPr="00F600E5">
              <w:rPr>
                <w:rFonts w:ascii="Arial" w:hAnsi="Arial" w:cs="Arial"/>
                <w:b/>
                <w:kern w:val="22"/>
                <w:sz w:val="32"/>
                <w:szCs w:val="32"/>
                <w:lang w:val="es-ES_tradnl"/>
              </w:rPr>
              <w:t>CBD</w:t>
            </w:r>
          </w:p>
        </w:tc>
      </w:tr>
      <w:tr w:rsidR="0001430B" w:rsidRPr="00F600E5" w:rsidTr="0001430B">
        <w:tc>
          <w:tcPr>
            <w:tcW w:w="6117" w:type="dxa"/>
            <w:gridSpan w:val="2"/>
            <w:tcBorders>
              <w:top w:val="single" w:sz="12" w:space="0" w:color="auto"/>
              <w:bottom w:val="single" w:sz="36" w:space="0" w:color="auto"/>
            </w:tcBorders>
            <w:vAlign w:val="center"/>
          </w:tcPr>
          <w:p w:rsidR="0001430B" w:rsidRPr="00F600E5" w:rsidRDefault="00594A82" w:rsidP="0001430B">
            <w:pPr>
              <w:suppressLineNumbers/>
              <w:suppressAutoHyphens/>
              <w:kinsoku w:val="0"/>
              <w:overflowPunct w:val="0"/>
              <w:autoSpaceDE w:val="0"/>
              <w:autoSpaceDN w:val="0"/>
              <w:adjustRightInd w:val="0"/>
              <w:snapToGrid w:val="0"/>
              <w:rPr>
                <w:kern w:val="22"/>
                <w:lang w:val="es-ES_tradnl"/>
              </w:rPr>
            </w:pPr>
            <w:r>
              <w:rPr>
                <w:noProof/>
                <w:kern w:val="22"/>
                <w:lang w:eastAsia="en-GB"/>
              </w:rPr>
              <w:drawing>
                <wp:inline distT="0" distB="0" distL="0" distR="0">
                  <wp:extent cx="2699385" cy="1076960"/>
                  <wp:effectExtent l="19050" t="0" r="5715" b="0"/>
                  <wp:docPr id="3" name="Picture 1" descr="cbd-logo-web-blac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logo-web-black-es"/>
                          <pic:cNvPicPr>
                            <a:picLocks noChangeAspect="1" noChangeArrowheads="1"/>
                          </pic:cNvPicPr>
                        </pic:nvPicPr>
                        <pic:blipFill>
                          <a:blip r:embed="rId9"/>
                          <a:srcRect/>
                          <a:stretch>
                            <a:fillRect/>
                          </a:stretch>
                        </pic:blipFill>
                        <pic:spPr bwMode="auto">
                          <a:xfrm>
                            <a:off x="0" y="0"/>
                            <a:ext cx="2699385" cy="107696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01430B" w:rsidRPr="00F600E5" w:rsidRDefault="0001430B" w:rsidP="0001430B">
            <w:pPr>
              <w:suppressLineNumbers/>
              <w:suppressAutoHyphens/>
              <w:kinsoku w:val="0"/>
              <w:overflowPunct w:val="0"/>
              <w:autoSpaceDE w:val="0"/>
              <w:autoSpaceDN w:val="0"/>
              <w:adjustRightInd w:val="0"/>
              <w:snapToGrid w:val="0"/>
              <w:ind w:left="1215"/>
              <w:rPr>
                <w:kern w:val="22"/>
                <w:szCs w:val="22"/>
                <w:lang w:val="es-ES_tradnl"/>
              </w:rPr>
            </w:pPr>
            <w:proofErr w:type="spellStart"/>
            <w:r w:rsidRPr="00F600E5">
              <w:rPr>
                <w:kern w:val="22"/>
                <w:szCs w:val="22"/>
                <w:lang w:val="es-ES_tradnl"/>
              </w:rPr>
              <w:t>Distr</w:t>
            </w:r>
            <w:proofErr w:type="spellEnd"/>
            <w:r w:rsidRPr="00F600E5">
              <w:rPr>
                <w:kern w:val="22"/>
                <w:szCs w:val="22"/>
                <w:lang w:val="es-ES_tradnl"/>
              </w:rPr>
              <w:t>.</w:t>
            </w:r>
          </w:p>
          <w:p w:rsidR="0001430B" w:rsidRPr="00F600E5" w:rsidRDefault="0001430B" w:rsidP="0001430B">
            <w:pPr>
              <w:suppressLineNumbers/>
              <w:suppressAutoHyphens/>
              <w:kinsoku w:val="0"/>
              <w:overflowPunct w:val="0"/>
              <w:autoSpaceDE w:val="0"/>
              <w:autoSpaceDN w:val="0"/>
              <w:adjustRightInd w:val="0"/>
              <w:snapToGrid w:val="0"/>
              <w:ind w:left="1215"/>
              <w:rPr>
                <w:kern w:val="22"/>
                <w:szCs w:val="22"/>
                <w:lang w:val="es-ES_tradnl"/>
              </w:rPr>
            </w:pPr>
            <w:r w:rsidRPr="00F600E5">
              <w:rPr>
                <w:caps/>
                <w:kern w:val="22"/>
                <w:szCs w:val="22"/>
                <w:lang w:val="es-ES_tradnl"/>
              </w:rPr>
              <w:t>GENERAL</w:t>
            </w:r>
          </w:p>
          <w:p w:rsidR="0001430B" w:rsidRPr="00F600E5" w:rsidRDefault="0001430B" w:rsidP="0001430B">
            <w:pPr>
              <w:suppressLineNumbers/>
              <w:suppressAutoHyphens/>
              <w:kinsoku w:val="0"/>
              <w:overflowPunct w:val="0"/>
              <w:autoSpaceDE w:val="0"/>
              <w:autoSpaceDN w:val="0"/>
              <w:adjustRightInd w:val="0"/>
              <w:snapToGrid w:val="0"/>
              <w:ind w:left="1215"/>
              <w:rPr>
                <w:kern w:val="22"/>
                <w:szCs w:val="22"/>
                <w:lang w:val="es-ES_tradnl"/>
              </w:rPr>
            </w:pPr>
          </w:p>
          <w:p w:rsidR="0001430B" w:rsidRPr="00F600E5" w:rsidRDefault="0001430B" w:rsidP="0001430B">
            <w:pPr>
              <w:suppressLineNumbers/>
              <w:suppressAutoHyphens/>
              <w:kinsoku w:val="0"/>
              <w:overflowPunct w:val="0"/>
              <w:autoSpaceDE w:val="0"/>
              <w:autoSpaceDN w:val="0"/>
              <w:adjustRightInd w:val="0"/>
              <w:snapToGrid w:val="0"/>
              <w:ind w:left="1215"/>
              <w:rPr>
                <w:kern w:val="22"/>
                <w:szCs w:val="22"/>
                <w:lang w:val="es-ES_tradnl"/>
              </w:rPr>
            </w:pPr>
            <w:r w:rsidRPr="00F600E5">
              <w:rPr>
                <w:kern w:val="22"/>
                <w:lang w:val="es-ES_tradnl"/>
              </w:rPr>
              <w:t>CBD/SBI/2/7</w:t>
            </w:r>
          </w:p>
          <w:p w:rsidR="0001430B" w:rsidRPr="00F600E5" w:rsidRDefault="0001430B" w:rsidP="0001430B">
            <w:pPr>
              <w:suppressLineNumbers/>
              <w:suppressAutoHyphens/>
              <w:kinsoku w:val="0"/>
              <w:overflowPunct w:val="0"/>
              <w:autoSpaceDE w:val="0"/>
              <w:autoSpaceDN w:val="0"/>
              <w:adjustRightInd w:val="0"/>
              <w:snapToGrid w:val="0"/>
              <w:ind w:left="1215"/>
              <w:rPr>
                <w:kern w:val="22"/>
                <w:szCs w:val="22"/>
                <w:lang w:val="es-ES_tradnl"/>
              </w:rPr>
            </w:pPr>
            <w:r w:rsidRPr="00F600E5">
              <w:rPr>
                <w:kern w:val="22"/>
                <w:szCs w:val="22"/>
                <w:lang w:val="es-ES_tradnl"/>
              </w:rPr>
              <w:t>12 de mayo de 2018</w:t>
            </w:r>
          </w:p>
          <w:p w:rsidR="0001430B" w:rsidRPr="00F600E5" w:rsidRDefault="0001430B" w:rsidP="0001430B">
            <w:pPr>
              <w:suppressLineNumbers/>
              <w:suppressAutoHyphens/>
              <w:kinsoku w:val="0"/>
              <w:overflowPunct w:val="0"/>
              <w:autoSpaceDE w:val="0"/>
              <w:autoSpaceDN w:val="0"/>
              <w:adjustRightInd w:val="0"/>
              <w:snapToGrid w:val="0"/>
              <w:ind w:left="1215"/>
              <w:rPr>
                <w:kern w:val="22"/>
                <w:szCs w:val="22"/>
                <w:lang w:val="es-ES_tradnl"/>
              </w:rPr>
            </w:pPr>
          </w:p>
          <w:p w:rsidR="0001430B" w:rsidRPr="00F600E5" w:rsidRDefault="0001430B" w:rsidP="0001430B">
            <w:pPr>
              <w:suppressLineNumbers/>
              <w:suppressAutoHyphens/>
              <w:kinsoku w:val="0"/>
              <w:overflowPunct w:val="0"/>
              <w:autoSpaceDE w:val="0"/>
              <w:autoSpaceDN w:val="0"/>
              <w:adjustRightInd w:val="0"/>
              <w:snapToGrid w:val="0"/>
              <w:ind w:left="1215"/>
              <w:rPr>
                <w:kern w:val="22"/>
                <w:szCs w:val="22"/>
                <w:lang w:val="es-ES_tradnl"/>
              </w:rPr>
            </w:pPr>
            <w:r w:rsidRPr="00F600E5">
              <w:rPr>
                <w:kern w:val="22"/>
                <w:szCs w:val="22"/>
                <w:lang w:val="es-ES_tradnl"/>
              </w:rPr>
              <w:t>ESPAÑOL</w:t>
            </w:r>
          </w:p>
          <w:p w:rsidR="0001430B" w:rsidRPr="00F600E5" w:rsidRDefault="0001430B" w:rsidP="0001430B">
            <w:pPr>
              <w:suppressLineNumbers/>
              <w:suppressAutoHyphens/>
              <w:kinsoku w:val="0"/>
              <w:overflowPunct w:val="0"/>
              <w:autoSpaceDE w:val="0"/>
              <w:autoSpaceDN w:val="0"/>
              <w:adjustRightInd w:val="0"/>
              <w:snapToGrid w:val="0"/>
              <w:ind w:left="1215"/>
              <w:rPr>
                <w:kern w:val="22"/>
                <w:szCs w:val="22"/>
                <w:lang w:val="es-ES_tradnl"/>
              </w:rPr>
            </w:pPr>
            <w:r w:rsidRPr="00F600E5">
              <w:rPr>
                <w:kern w:val="22"/>
                <w:szCs w:val="22"/>
                <w:lang w:val="es-ES_tradnl"/>
              </w:rPr>
              <w:t>ORIGINAL: INGLÉS</w:t>
            </w:r>
          </w:p>
          <w:p w:rsidR="00097B34" w:rsidRPr="00F600E5" w:rsidRDefault="00097B34" w:rsidP="0001430B">
            <w:pPr>
              <w:suppressLineNumbers/>
              <w:suppressAutoHyphens/>
              <w:kinsoku w:val="0"/>
              <w:overflowPunct w:val="0"/>
              <w:autoSpaceDE w:val="0"/>
              <w:autoSpaceDN w:val="0"/>
              <w:adjustRightInd w:val="0"/>
              <w:snapToGrid w:val="0"/>
              <w:ind w:left="1215"/>
              <w:rPr>
                <w:kern w:val="22"/>
                <w:lang w:val="es-ES_tradnl"/>
              </w:rPr>
            </w:pPr>
          </w:p>
        </w:tc>
      </w:tr>
    </w:tbl>
    <w:p w:rsidR="00084813" w:rsidRPr="00F600E5" w:rsidRDefault="0001430B" w:rsidP="00AA30D9">
      <w:pPr>
        <w:pStyle w:val="Cornernotation"/>
        <w:rPr>
          <w:kern w:val="22"/>
          <w:szCs w:val="22"/>
          <w:lang w:val="es-ES_tradnl"/>
        </w:rPr>
      </w:pPr>
      <w:r w:rsidRPr="00F600E5">
        <w:rPr>
          <w:kern w:val="22"/>
          <w:szCs w:val="22"/>
          <w:lang w:val="es-ES_tradnl"/>
        </w:rPr>
        <w:t xml:space="preserve">ÓRGANO </w:t>
      </w:r>
      <w:r w:rsidR="00F2157E" w:rsidRPr="00F600E5">
        <w:rPr>
          <w:kern w:val="22"/>
          <w:szCs w:val="22"/>
          <w:lang w:val="es-ES_tradnl"/>
        </w:rPr>
        <w:t>SUBSIDIARIO SOBRE LA APLICACIÓN</w:t>
      </w:r>
    </w:p>
    <w:p w:rsidR="00084813" w:rsidRPr="00F600E5" w:rsidRDefault="00084813" w:rsidP="00B840DD">
      <w:pPr>
        <w:tabs>
          <w:tab w:val="left" w:pos="5954"/>
        </w:tabs>
        <w:autoSpaceDE w:val="0"/>
        <w:autoSpaceDN w:val="0"/>
        <w:adjustRightInd w:val="0"/>
        <w:ind w:left="170" w:right="3406"/>
        <w:jc w:val="left"/>
        <w:rPr>
          <w:kern w:val="22"/>
          <w:szCs w:val="22"/>
          <w:lang w:val="es-ES_tradnl"/>
        </w:rPr>
      </w:pPr>
      <w:r w:rsidRPr="00F600E5">
        <w:rPr>
          <w:kern w:val="22"/>
          <w:szCs w:val="22"/>
          <w:lang w:val="es-ES_tradnl"/>
        </w:rPr>
        <w:t>Se</w:t>
      </w:r>
      <w:r w:rsidR="00F2157E" w:rsidRPr="00F600E5">
        <w:rPr>
          <w:kern w:val="22"/>
          <w:szCs w:val="22"/>
          <w:lang w:val="es-ES_tradnl"/>
        </w:rPr>
        <w:t>gunda reunión</w:t>
      </w:r>
    </w:p>
    <w:p w:rsidR="00084813" w:rsidRPr="00F600E5" w:rsidRDefault="00084813" w:rsidP="00B840DD">
      <w:pPr>
        <w:autoSpaceDE w:val="0"/>
        <w:autoSpaceDN w:val="0"/>
        <w:adjustRightInd w:val="0"/>
        <w:ind w:left="170" w:right="3124"/>
        <w:jc w:val="left"/>
        <w:rPr>
          <w:kern w:val="22"/>
          <w:szCs w:val="22"/>
          <w:lang w:val="es-ES_tradnl"/>
        </w:rPr>
      </w:pPr>
      <w:r w:rsidRPr="00F600E5">
        <w:rPr>
          <w:kern w:val="22"/>
          <w:szCs w:val="22"/>
          <w:lang w:val="es-ES_tradnl"/>
        </w:rPr>
        <w:t>Montreal, Canad</w:t>
      </w:r>
      <w:r w:rsidR="00F2157E" w:rsidRPr="00F600E5">
        <w:rPr>
          <w:kern w:val="22"/>
          <w:szCs w:val="22"/>
          <w:lang w:val="es-ES_tradnl"/>
        </w:rPr>
        <w:t>á</w:t>
      </w:r>
      <w:r w:rsidRPr="00F600E5">
        <w:rPr>
          <w:kern w:val="22"/>
          <w:szCs w:val="22"/>
          <w:lang w:val="es-ES_tradnl"/>
        </w:rPr>
        <w:t xml:space="preserve">, 9-13 </w:t>
      </w:r>
      <w:r w:rsidR="00F2157E" w:rsidRPr="00F600E5">
        <w:rPr>
          <w:kern w:val="22"/>
          <w:szCs w:val="22"/>
          <w:lang w:val="es-ES_tradnl"/>
        </w:rPr>
        <w:t xml:space="preserve">de julio de </w:t>
      </w:r>
      <w:r w:rsidRPr="00F600E5">
        <w:rPr>
          <w:kern w:val="22"/>
          <w:szCs w:val="22"/>
          <w:lang w:val="es-ES_tradnl"/>
        </w:rPr>
        <w:t>2018</w:t>
      </w:r>
    </w:p>
    <w:p w:rsidR="00084813" w:rsidRPr="00F600E5" w:rsidRDefault="00370E10" w:rsidP="00B840DD">
      <w:pPr>
        <w:autoSpaceDE w:val="0"/>
        <w:autoSpaceDN w:val="0"/>
        <w:adjustRightInd w:val="0"/>
        <w:ind w:left="170" w:right="3124"/>
        <w:jc w:val="left"/>
        <w:rPr>
          <w:kern w:val="22"/>
          <w:szCs w:val="22"/>
          <w:lang w:val="es-ES_tradnl"/>
        </w:rPr>
      </w:pPr>
      <w:r w:rsidRPr="00F600E5">
        <w:rPr>
          <w:kern w:val="22"/>
          <w:szCs w:val="22"/>
          <w:lang w:val="es-ES_tradnl"/>
        </w:rPr>
        <w:t xml:space="preserve">Tema </w:t>
      </w:r>
      <w:r w:rsidR="00084813" w:rsidRPr="00F600E5">
        <w:rPr>
          <w:kern w:val="22"/>
          <w:szCs w:val="22"/>
          <w:lang w:val="es-ES_tradnl"/>
        </w:rPr>
        <w:t xml:space="preserve">8 </w:t>
      </w:r>
      <w:r w:rsidRPr="00F600E5">
        <w:rPr>
          <w:kern w:val="22"/>
          <w:szCs w:val="22"/>
          <w:lang w:val="es-ES_tradnl"/>
        </w:rPr>
        <w:t>del programa provisional</w:t>
      </w:r>
      <w:r w:rsidR="00084813" w:rsidRPr="00F600E5">
        <w:rPr>
          <w:rStyle w:val="FootnoteReference"/>
          <w:kern w:val="22"/>
          <w:szCs w:val="22"/>
          <w:lang w:val="es-ES_tradnl"/>
        </w:rPr>
        <w:footnoteReference w:customMarkFollows="1" w:id="1"/>
        <w:t>*</w:t>
      </w:r>
    </w:p>
    <w:p w:rsidR="00C9161D" w:rsidRPr="00F600E5" w:rsidRDefault="00C9161D" w:rsidP="00C9161D">
      <w:pPr>
        <w:rPr>
          <w:kern w:val="22"/>
          <w:lang w:val="es-ES_tradnl"/>
        </w:rPr>
      </w:pPr>
    </w:p>
    <w:p w:rsidR="00C9161D" w:rsidRPr="00F600E5" w:rsidRDefault="00647DAA" w:rsidP="00172AF6">
      <w:pPr>
        <w:spacing w:before="120" w:after="240"/>
        <w:jc w:val="center"/>
        <w:rPr>
          <w:b/>
          <w:caps/>
          <w:kern w:val="22"/>
          <w:lang w:val="es-ES_tradnl"/>
        </w:rPr>
      </w:pPr>
      <w:r w:rsidRPr="00F600E5">
        <w:rPr>
          <w:b/>
          <w:caps/>
          <w:kern w:val="22"/>
          <w:szCs w:val="22"/>
          <w:lang w:val="es-ES_tradnl"/>
        </w:rPr>
        <w:t>MOVILIZACIÓN DE RECURSOS</w:t>
      </w:r>
      <w:r w:rsidR="00105372" w:rsidRPr="00F600E5">
        <w:rPr>
          <w:b/>
          <w:caps/>
          <w:kern w:val="22"/>
          <w:lang w:val="es-ES_tradnl"/>
        </w:rPr>
        <w:t xml:space="preserve"> </w:t>
      </w:r>
    </w:p>
    <w:p w:rsidR="00084813" w:rsidRPr="00F600E5" w:rsidRDefault="00084813" w:rsidP="00084813">
      <w:pPr>
        <w:pStyle w:val="Heading2"/>
        <w:rPr>
          <w:b w:val="0"/>
          <w:bCs w:val="0"/>
          <w:i/>
          <w:iCs w:val="0"/>
          <w:kern w:val="22"/>
          <w:szCs w:val="22"/>
          <w:lang w:val="es-ES_tradnl"/>
        </w:rPr>
      </w:pPr>
      <w:r w:rsidRPr="00F600E5">
        <w:rPr>
          <w:b w:val="0"/>
          <w:bCs w:val="0"/>
          <w:i/>
          <w:iCs w:val="0"/>
          <w:kern w:val="22"/>
          <w:szCs w:val="22"/>
          <w:lang w:val="es-ES_tradnl"/>
        </w:rPr>
        <w:t>Not</w:t>
      </w:r>
      <w:r w:rsidR="00370E10" w:rsidRPr="00F600E5">
        <w:rPr>
          <w:b w:val="0"/>
          <w:bCs w:val="0"/>
          <w:i/>
          <w:iCs w:val="0"/>
          <w:kern w:val="22"/>
          <w:szCs w:val="22"/>
          <w:lang w:val="es-ES_tradnl"/>
        </w:rPr>
        <w:t>a del Secretario Ejecutivo</w:t>
      </w:r>
    </w:p>
    <w:p w:rsidR="00084813" w:rsidRPr="00F600E5" w:rsidRDefault="00084813" w:rsidP="00084813">
      <w:pPr>
        <w:pStyle w:val="Heading1"/>
        <w:spacing w:before="120"/>
        <w:rPr>
          <w:kern w:val="22"/>
          <w:szCs w:val="22"/>
          <w:lang w:val="es-ES_tradnl"/>
        </w:rPr>
      </w:pPr>
      <w:r w:rsidRPr="00F600E5">
        <w:rPr>
          <w:kern w:val="22"/>
          <w:szCs w:val="22"/>
          <w:lang w:val="es-ES_tradnl"/>
        </w:rPr>
        <w:t>Introdu</w:t>
      </w:r>
      <w:r w:rsidR="00370E10" w:rsidRPr="00F600E5">
        <w:rPr>
          <w:kern w:val="22"/>
          <w:szCs w:val="22"/>
          <w:lang w:val="es-ES_tradnl"/>
        </w:rPr>
        <w:t>cción</w:t>
      </w:r>
    </w:p>
    <w:p w:rsidR="00370E10" w:rsidRPr="00F600E5" w:rsidRDefault="00370E10" w:rsidP="00370E10">
      <w:pPr>
        <w:numPr>
          <w:ilvl w:val="0"/>
          <w:numId w:val="19"/>
        </w:numPr>
        <w:spacing w:after="120"/>
        <w:ind w:left="0" w:firstLine="0"/>
        <w:rPr>
          <w:kern w:val="22"/>
          <w:szCs w:val="22"/>
          <w:lang w:val="es-ES_tradnl"/>
        </w:rPr>
      </w:pPr>
      <w:r w:rsidRPr="00F600E5">
        <w:rPr>
          <w:w w:val="105"/>
          <w:szCs w:val="22"/>
          <w:lang w:val="es-ES_tradnl"/>
        </w:rPr>
        <w:t>En la decisión</w:t>
      </w:r>
      <w:r w:rsidRPr="00F600E5">
        <w:rPr>
          <w:color w:val="0000FF"/>
          <w:w w:val="105"/>
          <w:szCs w:val="22"/>
          <w:lang w:val="es-ES_tradnl"/>
        </w:rPr>
        <w:t xml:space="preserve"> </w:t>
      </w:r>
      <w:hyperlink r:id="rId10" w:history="1">
        <w:r w:rsidR="00D65355" w:rsidRPr="00D65355">
          <w:rPr>
            <w:rStyle w:val="Hyperlink"/>
            <w:kern w:val="22"/>
            <w:sz w:val="22"/>
            <w:szCs w:val="22"/>
            <w:lang w:val="es-ES"/>
          </w:rPr>
          <w:t>XII/3</w:t>
        </w:r>
      </w:hyperlink>
      <w:r w:rsidRPr="00F600E5">
        <w:rPr>
          <w:w w:val="105"/>
          <w:szCs w:val="22"/>
          <w:lang w:val="es-ES_tradnl"/>
        </w:rPr>
        <w:t>, párrafo 1, la Conferencia de las Partes adopt</w:t>
      </w:r>
      <w:r w:rsidR="00097B34" w:rsidRPr="00F600E5">
        <w:rPr>
          <w:w w:val="105"/>
          <w:szCs w:val="22"/>
          <w:lang w:val="es-ES_tradnl"/>
        </w:rPr>
        <w:t>ó</w:t>
      </w:r>
      <w:r w:rsidRPr="00F600E5">
        <w:rPr>
          <w:w w:val="105"/>
          <w:szCs w:val="22"/>
          <w:lang w:val="es-ES_tradnl"/>
        </w:rPr>
        <w:t xml:space="preserve"> </w:t>
      </w:r>
      <w:r w:rsidR="000F25E1" w:rsidRPr="00F600E5">
        <w:rPr>
          <w:w w:val="105"/>
          <w:szCs w:val="22"/>
          <w:lang w:val="es-ES_tradnl"/>
        </w:rPr>
        <w:t xml:space="preserve">las </w:t>
      </w:r>
      <w:r w:rsidRPr="00F600E5">
        <w:rPr>
          <w:w w:val="105"/>
          <w:szCs w:val="22"/>
          <w:lang w:val="es-ES_tradnl"/>
        </w:rPr>
        <w:t>metas para la movilización de recursos</w:t>
      </w:r>
      <w:r w:rsidR="006C31DF" w:rsidRPr="00F600E5">
        <w:rPr>
          <w:w w:val="105"/>
          <w:szCs w:val="22"/>
          <w:lang w:val="es-ES_tradnl"/>
        </w:rPr>
        <w:t xml:space="preserve"> </w:t>
      </w:r>
      <w:r w:rsidRPr="00F600E5">
        <w:rPr>
          <w:w w:val="105"/>
          <w:szCs w:val="22"/>
          <w:lang w:val="es-ES_tradnl"/>
        </w:rPr>
        <w:t>con arreglo a la Meta 20 de Aichi para la Diversidad Biológica del Plan Estratégico para la Diversidad Biológica 2011-2020. En su decimotercera reunión, la Conferencia de las Partes examin</w:t>
      </w:r>
      <w:r w:rsidR="00097B34" w:rsidRPr="00F600E5">
        <w:rPr>
          <w:w w:val="105"/>
          <w:szCs w:val="22"/>
          <w:lang w:val="es-ES_tradnl"/>
        </w:rPr>
        <w:t>ó</w:t>
      </w:r>
      <w:r w:rsidRPr="00F600E5">
        <w:rPr>
          <w:w w:val="105"/>
          <w:szCs w:val="22"/>
          <w:lang w:val="es-ES_tradnl"/>
        </w:rPr>
        <w:t xml:space="preserve"> </w:t>
      </w:r>
      <w:r w:rsidR="00097B34" w:rsidRPr="00F600E5">
        <w:rPr>
          <w:w w:val="105"/>
          <w:szCs w:val="22"/>
          <w:lang w:val="es-ES_tradnl"/>
        </w:rPr>
        <w:t xml:space="preserve">los avances </w:t>
      </w:r>
      <w:r w:rsidRPr="00F600E5">
        <w:rPr>
          <w:w w:val="105"/>
          <w:szCs w:val="22"/>
          <w:lang w:val="es-ES_tradnl"/>
        </w:rPr>
        <w:t xml:space="preserve">hacia </w:t>
      </w:r>
      <w:r w:rsidR="00097B34" w:rsidRPr="00F600E5">
        <w:rPr>
          <w:w w:val="105"/>
          <w:szCs w:val="22"/>
          <w:lang w:val="es-ES_tradnl"/>
        </w:rPr>
        <w:t xml:space="preserve">dichas </w:t>
      </w:r>
      <w:r w:rsidRPr="00F600E5">
        <w:rPr>
          <w:w w:val="105"/>
          <w:szCs w:val="22"/>
          <w:lang w:val="es-ES_tradnl"/>
        </w:rPr>
        <w:t xml:space="preserve">metas, basándose en </w:t>
      </w:r>
      <w:r w:rsidR="00097B34" w:rsidRPr="00F600E5">
        <w:rPr>
          <w:w w:val="105"/>
          <w:szCs w:val="22"/>
          <w:lang w:val="es-ES_tradnl"/>
        </w:rPr>
        <w:t>un</w:t>
      </w:r>
      <w:r w:rsidRPr="00F600E5">
        <w:rPr>
          <w:w w:val="105"/>
          <w:szCs w:val="22"/>
          <w:lang w:val="es-ES_tradnl"/>
        </w:rPr>
        <w:t xml:space="preserve"> análisis de la información facilitada por las Partes a través del marco de prese</w:t>
      </w:r>
      <w:r w:rsidR="000F25E1" w:rsidRPr="00F600E5">
        <w:rPr>
          <w:w w:val="105"/>
          <w:szCs w:val="22"/>
          <w:lang w:val="es-ES_tradnl"/>
        </w:rPr>
        <w:t>ntación de informes financieros</w:t>
      </w:r>
      <w:r w:rsidRPr="00F600E5">
        <w:rPr>
          <w:w w:val="105"/>
          <w:szCs w:val="22"/>
          <w:lang w:val="es-ES_tradnl"/>
        </w:rPr>
        <w:t xml:space="preserve"> y, en la decisión</w:t>
      </w:r>
      <w:r w:rsidR="00D65355">
        <w:rPr>
          <w:w w:val="105"/>
          <w:szCs w:val="22"/>
          <w:lang w:val="es-ES_tradnl"/>
        </w:rPr>
        <w:t xml:space="preserve"> </w:t>
      </w:r>
      <w:hyperlink r:id="rId11" w:history="1">
        <w:r w:rsidR="00D65355" w:rsidRPr="00D65355">
          <w:rPr>
            <w:rStyle w:val="Hyperlink"/>
            <w:kern w:val="22"/>
            <w:sz w:val="22"/>
            <w:szCs w:val="22"/>
            <w:lang w:val="es-ES"/>
          </w:rPr>
          <w:t>XIII/20</w:t>
        </w:r>
      </w:hyperlink>
      <w:r w:rsidRPr="00F600E5">
        <w:rPr>
          <w:w w:val="105"/>
          <w:szCs w:val="22"/>
          <w:lang w:val="es-ES_tradnl"/>
        </w:rPr>
        <w:t xml:space="preserve">, </w:t>
      </w:r>
      <w:r w:rsidR="002972AF" w:rsidRPr="00F600E5">
        <w:rPr>
          <w:w w:val="105"/>
          <w:szCs w:val="22"/>
          <w:lang w:val="es-ES_tradnl"/>
        </w:rPr>
        <w:t xml:space="preserve">párrafo 9, </w:t>
      </w:r>
      <w:r w:rsidRPr="00F600E5">
        <w:rPr>
          <w:w w:val="105"/>
          <w:szCs w:val="22"/>
          <w:lang w:val="es-ES_tradnl"/>
        </w:rPr>
        <w:t>pidió al Secretario Ejecutivo que preparase un balance y análisis actualizado de los informes financieros recibidos, para someterlo a la consideración del Órgano Subsidiario sobre la Aplicación en su segunda reunión, con el objeto de presentar recomendaciones a la Conferencia de las Partes en su 14</w:t>
      </w:r>
      <w:r w:rsidRPr="00F600E5">
        <w:rPr>
          <w:w w:val="105"/>
          <w:szCs w:val="22"/>
          <w:vertAlign w:val="superscript"/>
          <w:lang w:val="es-ES_tradnl"/>
        </w:rPr>
        <w:t>a</w:t>
      </w:r>
      <w:r w:rsidRPr="00F600E5">
        <w:rPr>
          <w:w w:val="105"/>
          <w:szCs w:val="22"/>
          <w:lang w:val="es-ES_tradnl"/>
        </w:rPr>
        <w:t xml:space="preserve"> reunión. La Conferencia de </w:t>
      </w:r>
      <w:r w:rsidR="00097B34" w:rsidRPr="00F600E5">
        <w:rPr>
          <w:w w:val="105"/>
          <w:szCs w:val="22"/>
          <w:lang w:val="es-ES_tradnl"/>
        </w:rPr>
        <w:t>las Partes también adoptó</w:t>
      </w:r>
      <w:r w:rsidRPr="00F600E5">
        <w:rPr>
          <w:w w:val="105"/>
          <w:szCs w:val="22"/>
          <w:lang w:val="es-ES_tradnl"/>
        </w:rPr>
        <w:t xml:space="preserve"> </w:t>
      </w:r>
      <w:r w:rsidR="007E392F" w:rsidRPr="00F600E5">
        <w:rPr>
          <w:w w:val="105"/>
          <w:szCs w:val="22"/>
          <w:lang w:val="es-ES_tradnl"/>
        </w:rPr>
        <w:t>decisi</w:t>
      </w:r>
      <w:r w:rsidR="009852F5" w:rsidRPr="00F600E5">
        <w:rPr>
          <w:w w:val="105"/>
          <w:szCs w:val="22"/>
          <w:lang w:val="es-ES_tradnl"/>
        </w:rPr>
        <w:t>ones</w:t>
      </w:r>
      <w:r w:rsidRPr="00F600E5">
        <w:rPr>
          <w:w w:val="105"/>
          <w:szCs w:val="22"/>
          <w:lang w:val="es-ES_tradnl"/>
        </w:rPr>
        <w:t xml:space="preserve"> en relación con una serie de actividades operacionales, </w:t>
      </w:r>
      <w:r w:rsidR="000F25E1" w:rsidRPr="00F600E5">
        <w:rPr>
          <w:w w:val="105"/>
          <w:szCs w:val="22"/>
          <w:lang w:val="es-ES_tradnl"/>
        </w:rPr>
        <w:t xml:space="preserve">expuestas más adelante, </w:t>
      </w:r>
      <w:r w:rsidRPr="00F600E5">
        <w:rPr>
          <w:w w:val="105"/>
          <w:szCs w:val="22"/>
          <w:lang w:val="es-ES_tradnl"/>
        </w:rPr>
        <w:t xml:space="preserve">que llevarán a cabo las Partes, otros Gobiernos, organizaciones e iniciativas </w:t>
      </w:r>
      <w:r w:rsidR="000F25E1" w:rsidRPr="00F600E5">
        <w:rPr>
          <w:w w:val="105"/>
          <w:szCs w:val="22"/>
          <w:lang w:val="es-ES_tradnl"/>
        </w:rPr>
        <w:t xml:space="preserve">internacionales </w:t>
      </w:r>
      <w:r w:rsidRPr="00F600E5">
        <w:rPr>
          <w:w w:val="105"/>
          <w:szCs w:val="22"/>
          <w:lang w:val="es-ES_tradnl"/>
        </w:rPr>
        <w:t>pertinentes, y el Secretario Ejecutivo.</w:t>
      </w:r>
    </w:p>
    <w:p w:rsidR="00370E10" w:rsidRPr="00F600E5" w:rsidRDefault="002972AF" w:rsidP="00084813">
      <w:pPr>
        <w:numPr>
          <w:ilvl w:val="0"/>
          <w:numId w:val="19"/>
        </w:numPr>
        <w:spacing w:after="120"/>
        <w:ind w:left="0" w:firstLine="0"/>
        <w:rPr>
          <w:kern w:val="22"/>
          <w:szCs w:val="22"/>
          <w:lang w:val="es-ES_tradnl"/>
        </w:rPr>
      </w:pPr>
      <w:r w:rsidRPr="00F600E5">
        <w:rPr>
          <w:snapToGrid w:val="0"/>
          <w:kern w:val="22"/>
          <w:szCs w:val="22"/>
          <w:lang w:val="es-ES_tradnl"/>
        </w:rPr>
        <w:t xml:space="preserve">El </w:t>
      </w:r>
      <w:r w:rsidR="00370E10" w:rsidRPr="00F600E5">
        <w:rPr>
          <w:snapToGrid w:val="0"/>
          <w:kern w:val="22"/>
          <w:szCs w:val="22"/>
          <w:lang w:val="es-ES_tradnl"/>
        </w:rPr>
        <w:t xml:space="preserve">presente </w:t>
      </w:r>
      <w:r w:rsidRPr="00F600E5">
        <w:rPr>
          <w:snapToGrid w:val="0"/>
          <w:kern w:val="22"/>
          <w:szCs w:val="22"/>
          <w:lang w:val="es-ES_tradnl"/>
        </w:rPr>
        <w:t xml:space="preserve">documento </w:t>
      </w:r>
      <w:r w:rsidR="00370E10" w:rsidRPr="00F600E5">
        <w:rPr>
          <w:snapToGrid w:val="0"/>
          <w:kern w:val="22"/>
          <w:szCs w:val="22"/>
          <w:lang w:val="es-ES_tradnl"/>
        </w:rPr>
        <w:t xml:space="preserve">facilita, en la sección II, una breve síntesis del balance y </w:t>
      </w:r>
      <w:r w:rsidR="000F25E1" w:rsidRPr="00F600E5">
        <w:rPr>
          <w:snapToGrid w:val="0"/>
          <w:kern w:val="22"/>
          <w:szCs w:val="22"/>
          <w:lang w:val="es-ES_tradnl"/>
        </w:rPr>
        <w:t xml:space="preserve">el </w:t>
      </w:r>
      <w:r w:rsidR="00370E10" w:rsidRPr="00F600E5">
        <w:rPr>
          <w:snapToGrid w:val="0"/>
          <w:kern w:val="22"/>
          <w:szCs w:val="22"/>
          <w:lang w:val="es-ES_tradnl"/>
        </w:rPr>
        <w:t xml:space="preserve">análisis financiero solicitado; el análisis completo se recoge en CBD/SBI/2/7/Add.1. En la sección III figura un análisis de las actividades en marcha y las conclusiones derivadas de la ejecución de las actividades incluidas en la decisión XIII/20. Dicha sección incluye un resumen del análisis de los avances alcanzados en el logro de los hitos para la plena aplicación de la Meta 3 de Aichi para la Diversidad Biológica, tal como se pide en el párrafo 25 de la decisión XIII/20. En la sección IV figuran consideraciones relacionadas con el proceso para la elaboración del marco mundial </w:t>
      </w:r>
      <w:r w:rsidR="000F25E1" w:rsidRPr="00F600E5">
        <w:rPr>
          <w:snapToGrid w:val="0"/>
          <w:kern w:val="22"/>
          <w:szCs w:val="22"/>
          <w:lang w:val="es-ES_tradnl"/>
        </w:rPr>
        <w:t xml:space="preserve">para </w:t>
      </w:r>
      <w:r w:rsidR="00370E10" w:rsidRPr="00F600E5">
        <w:rPr>
          <w:snapToGrid w:val="0"/>
          <w:kern w:val="22"/>
          <w:szCs w:val="22"/>
          <w:lang w:val="es-ES_tradnl"/>
        </w:rPr>
        <w:t xml:space="preserve">la diversidad biológica </w:t>
      </w:r>
      <w:r w:rsidR="000F25E1" w:rsidRPr="00F600E5">
        <w:rPr>
          <w:snapToGrid w:val="0"/>
          <w:kern w:val="22"/>
          <w:szCs w:val="22"/>
          <w:lang w:val="es-ES_tradnl"/>
        </w:rPr>
        <w:t xml:space="preserve">posterior a </w:t>
      </w:r>
      <w:r w:rsidR="00370E10" w:rsidRPr="00F600E5">
        <w:rPr>
          <w:snapToGrid w:val="0"/>
          <w:kern w:val="22"/>
          <w:szCs w:val="22"/>
          <w:lang w:val="es-ES_tradnl"/>
        </w:rPr>
        <w:t xml:space="preserve">2020, en particular sus elementos </w:t>
      </w:r>
      <w:r w:rsidR="000F25E1" w:rsidRPr="00F600E5">
        <w:rPr>
          <w:snapToGrid w:val="0"/>
          <w:kern w:val="22"/>
          <w:szCs w:val="22"/>
          <w:lang w:val="es-ES_tradnl"/>
        </w:rPr>
        <w:t xml:space="preserve">conexos </w:t>
      </w:r>
      <w:r w:rsidR="00370E10" w:rsidRPr="00F600E5">
        <w:rPr>
          <w:snapToGrid w:val="0"/>
          <w:kern w:val="22"/>
          <w:szCs w:val="22"/>
          <w:lang w:val="es-ES_tradnl"/>
        </w:rPr>
        <w:t>relacionados con la movilización de recursos. En la sección V figuran los elementos de un proyecto de recomendación para someterlo a la consideración del Órgano Subsidiario.</w:t>
      </w:r>
    </w:p>
    <w:p w:rsidR="00084813" w:rsidRPr="00F600E5" w:rsidRDefault="00084813" w:rsidP="00084813">
      <w:pPr>
        <w:pStyle w:val="Heading1"/>
        <w:spacing w:before="120"/>
        <w:rPr>
          <w:kern w:val="22"/>
          <w:szCs w:val="22"/>
          <w:lang w:val="es-ES_tradnl"/>
        </w:rPr>
      </w:pPr>
      <w:r w:rsidRPr="00F600E5">
        <w:rPr>
          <w:kern w:val="22"/>
          <w:szCs w:val="22"/>
          <w:lang w:val="es-ES_tradnl"/>
        </w:rPr>
        <w:t>I.</w:t>
      </w:r>
      <w:r w:rsidRPr="00F600E5">
        <w:rPr>
          <w:kern w:val="22"/>
          <w:szCs w:val="22"/>
          <w:lang w:val="es-ES_tradnl"/>
        </w:rPr>
        <w:tab/>
      </w:r>
      <w:r w:rsidR="00370E10" w:rsidRPr="00F600E5">
        <w:rPr>
          <w:kern w:val="22"/>
          <w:szCs w:val="22"/>
          <w:lang w:val="es-ES_tradnl"/>
        </w:rPr>
        <w:t>PRESENTACIÓN DE INFORMES FINANCIEROS</w:t>
      </w:r>
    </w:p>
    <w:p w:rsidR="00370E10" w:rsidRPr="00F600E5" w:rsidRDefault="00370E10" w:rsidP="00370E10">
      <w:pPr>
        <w:numPr>
          <w:ilvl w:val="0"/>
          <w:numId w:val="19"/>
        </w:numPr>
        <w:spacing w:after="120"/>
        <w:ind w:left="0" w:firstLine="0"/>
        <w:rPr>
          <w:kern w:val="22"/>
          <w:szCs w:val="22"/>
          <w:lang w:val="es-ES_tradnl"/>
        </w:rPr>
      </w:pPr>
      <w:r w:rsidRPr="00F600E5">
        <w:rPr>
          <w:w w:val="105"/>
          <w:szCs w:val="22"/>
          <w:lang w:val="es-ES_tradnl"/>
        </w:rPr>
        <w:t>La Meta 20 de Aichi para la Diversidad Biológica del Plan Estratégico para la Diversidad Biológica 2011-2020 pide, para 2020, a más tardar, aumentar de manera sustancia</w:t>
      </w:r>
      <w:r w:rsidR="000F25E1" w:rsidRPr="00F600E5">
        <w:rPr>
          <w:w w:val="105"/>
          <w:szCs w:val="22"/>
          <w:lang w:val="es-ES_tradnl"/>
        </w:rPr>
        <w:t>l</w:t>
      </w:r>
      <w:r w:rsidRPr="00F600E5">
        <w:rPr>
          <w:w w:val="105"/>
          <w:szCs w:val="22"/>
          <w:lang w:val="es-ES_tradnl"/>
        </w:rPr>
        <w:t xml:space="preserve">, en relación con los niveles actuales, la movilización de los recursos financieros provenientes de todas las fuentes. </w:t>
      </w:r>
      <w:r w:rsidR="002972AF" w:rsidRPr="00F600E5">
        <w:rPr>
          <w:w w:val="105"/>
          <w:szCs w:val="22"/>
          <w:lang w:val="es-ES_tradnl"/>
        </w:rPr>
        <w:t xml:space="preserve">Tras haber resuelto cumplir determinadas </w:t>
      </w:r>
      <w:r w:rsidRPr="00F600E5">
        <w:rPr>
          <w:w w:val="105"/>
          <w:szCs w:val="22"/>
          <w:lang w:val="es-ES_tradnl"/>
        </w:rPr>
        <w:t xml:space="preserve">metas preliminares </w:t>
      </w:r>
      <w:r w:rsidR="002972AF" w:rsidRPr="00F600E5">
        <w:rPr>
          <w:w w:val="105"/>
          <w:szCs w:val="22"/>
          <w:lang w:val="es-ES_tradnl"/>
        </w:rPr>
        <w:t xml:space="preserve">adoptadas </w:t>
      </w:r>
      <w:r w:rsidRPr="00F600E5">
        <w:rPr>
          <w:w w:val="105"/>
          <w:szCs w:val="22"/>
          <w:lang w:val="es-ES_tradnl"/>
        </w:rPr>
        <w:t xml:space="preserve">en su </w:t>
      </w:r>
      <w:r w:rsidR="00B66A1C" w:rsidRPr="00F600E5">
        <w:rPr>
          <w:w w:val="105"/>
          <w:szCs w:val="22"/>
          <w:lang w:val="es-ES_tradnl"/>
        </w:rPr>
        <w:t xml:space="preserve">undécima </w:t>
      </w:r>
      <w:r w:rsidRPr="00F600E5">
        <w:rPr>
          <w:w w:val="105"/>
          <w:szCs w:val="22"/>
          <w:lang w:val="es-ES_tradnl"/>
        </w:rPr>
        <w:t>reunión</w:t>
      </w:r>
      <w:r w:rsidR="00B66A1C" w:rsidRPr="00F600E5">
        <w:rPr>
          <w:rStyle w:val="FootnoteReference"/>
          <w:kern w:val="22"/>
          <w:szCs w:val="22"/>
          <w:lang w:val="es-ES_tradnl"/>
        </w:rPr>
        <w:footnoteReference w:id="2"/>
      </w:r>
      <w:r w:rsidRPr="00F600E5">
        <w:rPr>
          <w:w w:val="105"/>
          <w:szCs w:val="22"/>
          <w:lang w:val="es-ES_tradnl"/>
        </w:rPr>
        <w:t xml:space="preserve">, la Conferencia de las Partes en su duodécima reunión adoptó las metas para la movilización de recursos, </w:t>
      </w:r>
      <w:r w:rsidRPr="00F600E5">
        <w:rPr>
          <w:w w:val="105"/>
          <w:szCs w:val="22"/>
          <w:lang w:val="es-ES_tradnl"/>
        </w:rPr>
        <w:lastRenderedPageBreak/>
        <w:t xml:space="preserve">con arreglo a la Meta 20 de Aichi, y </w:t>
      </w:r>
      <w:r w:rsidR="002972AF" w:rsidRPr="00F600E5">
        <w:rPr>
          <w:w w:val="105"/>
          <w:szCs w:val="22"/>
          <w:lang w:val="es-ES_tradnl"/>
        </w:rPr>
        <w:t>un</w:t>
      </w:r>
      <w:r w:rsidRPr="00F600E5">
        <w:rPr>
          <w:w w:val="105"/>
          <w:szCs w:val="22"/>
          <w:lang w:val="es-ES_tradnl"/>
        </w:rPr>
        <w:t xml:space="preserve"> marco de presentación de informes financieros</w:t>
      </w:r>
      <w:r w:rsidR="002972AF" w:rsidRPr="00F600E5">
        <w:rPr>
          <w:w w:val="105"/>
          <w:szCs w:val="22"/>
          <w:lang w:val="es-ES_tradnl"/>
        </w:rPr>
        <w:t xml:space="preserve"> revisado</w:t>
      </w:r>
      <w:r w:rsidRPr="00F600E5">
        <w:rPr>
          <w:w w:val="105"/>
          <w:szCs w:val="22"/>
          <w:lang w:val="es-ES_tradnl"/>
        </w:rPr>
        <w:t>, destinado al uso de las Partes para proporcionar información de referencia y presentar informes sobre su contribución para alcanzar dichos objetivos financieros</w:t>
      </w:r>
      <w:r w:rsidR="002972AF" w:rsidRPr="00F600E5">
        <w:rPr>
          <w:rStyle w:val="FootnoteReference"/>
          <w:kern w:val="22"/>
          <w:szCs w:val="22"/>
          <w:lang w:val="es-ES_tradnl"/>
        </w:rPr>
        <w:footnoteReference w:id="3"/>
      </w:r>
      <w:r w:rsidRPr="00F600E5">
        <w:rPr>
          <w:w w:val="105"/>
          <w:szCs w:val="22"/>
          <w:lang w:val="es-ES_tradnl"/>
        </w:rPr>
        <w:t xml:space="preserve">. El marco de presentación de informes </w:t>
      </w:r>
      <w:r w:rsidR="000F25E1" w:rsidRPr="00F600E5">
        <w:rPr>
          <w:w w:val="105"/>
          <w:szCs w:val="22"/>
          <w:lang w:val="es-ES_tradnl"/>
        </w:rPr>
        <w:t xml:space="preserve">prevé </w:t>
      </w:r>
      <w:r w:rsidRPr="00F600E5">
        <w:rPr>
          <w:w w:val="105"/>
          <w:szCs w:val="22"/>
          <w:lang w:val="es-ES_tradnl"/>
        </w:rPr>
        <w:t xml:space="preserve">dos rondas: a) presentación de informes sobre la línea de base y progresos hacia 2015; y b) presentación de informes sobre progresos hacia 2020. Los análisis previos de la información recibida a través de los marcos de presentación de informes fueron preparados por el Secretario Ejecutivo con el objeto de someterlo a </w:t>
      </w:r>
      <w:r w:rsidR="000F25E1" w:rsidRPr="00F600E5">
        <w:rPr>
          <w:w w:val="105"/>
          <w:szCs w:val="22"/>
          <w:lang w:val="es-ES_tradnl"/>
        </w:rPr>
        <w:t xml:space="preserve">la </w:t>
      </w:r>
      <w:r w:rsidRPr="00F600E5">
        <w:rPr>
          <w:w w:val="105"/>
          <w:szCs w:val="22"/>
          <w:lang w:val="es-ES_tradnl"/>
        </w:rPr>
        <w:t>consideración del Órgano Subsidiario sobre la Aplicación en su primera reuni</w:t>
      </w:r>
      <w:r w:rsidR="00B66A1C" w:rsidRPr="00F600E5">
        <w:rPr>
          <w:w w:val="105"/>
          <w:szCs w:val="22"/>
          <w:lang w:val="es-ES_tradnl"/>
        </w:rPr>
        <w:t>ón</w:t>
      </w:r>
      <w:r w:rsidRPr="00F600E5">
        <w:rPr>
          <w:rStyle w:val="FootnoteReference"/>
          <w:kern w:val="22"/>
          <w:szCs w:val="22"/>
          <w:lang w:val="es-ES_tradnl"/>
        </w:rPr>
        <w:footnoteReference w:id="4"/>
      </w:r>
      <w:r w:rsidRPr="00F600E5">
        <w:rPr>
          <w:kern w:val="22"/>
          <w:szCs w:val="22"/>
          <w:lang w:val="es-ES_tradnl"/>
        </w:rPr>
        <w:t xml:space="preserve"> </w:t>
      </w:r>
      <w:r w:rsidRPr="00F600E5">
        <w:rPr>
          <w:w w:val="105"/>
          <w:szCs w:val="22"/>
          <w:lang w:val="es-ES_tradnl"/>
        </w:rPr>
        <w:t>y la Conferencia de las Partes en su decimotercera reunión</w:t>
      </w:r>
      <w:r w:rsidR="00B66A1C" w:rsidRPr="00F600E5">
        <w:rPr>
          <w:rStyle w:val="FootnoteReference"/>
          <w:kern w:val="22"/>
          <w:szCs w:val="22"/>
          <w:lang w:val="es-ES_tradnl"/>
        </w:rPr>
        <w:footnoteReference w:id="5"/>
      </w:r>
      <w:r w:rsidRPr="00F600E5">
        <w:rPr>
          <w:w w:val="105"/>
          <w:szCs w:val="22"/>
          <w:lang w:val="es-ES_tradnl"/>
        </w:rPr>
        <w:t>. Este último se basó en los 73 informes que se recibieron antes del 15 de noviembre de 2016.</w:t>
      </w:r>
    </w:p>
    <w:p w:rsidR="00714122" w:rsidRPr="00F600E5" w:rsidRDefault="002972AF" w:rsidP="00714122">
      <w:pPr>
        <w:numPr>
          <w:ilvl w:val="0"/>
          <w:numId w:val="19"/>
        </w:numPr>
        <w:spacing w:after="120"/>
        <w:ind w:left="0" w:firstLine="0"/>
        <w:rPr>
          <w:kern w:val="22"/>
          <w:szCs w:val="22"/>
          <w:lang w:val="es-ES_tradnl"/>
        </w:rPr>
      </w:pPr>
      <w:r w:rsidRPr="00F600E5">
        <w:rPr>
          <w:w w:val="105"/>
          <w:szCs w:val="22"/>
          <w:lang w:val="es-ES_tradnl"/>
        </w:rPr>
        <w:t xml:space="preserve">La </w:t>
      </w:r>
      <w:r w:rsidR="00714122" w:rsidRPr="00F600E5">
        <w:rPr>
          <w:w w:val="105"/>
          <w:szCs w:val="22"/>
          <w:lang w:val="es-ES_tradnl"/>
        </w:rPr>
        <w:t xml:space="preserve">Conferencia de las Partes en su decimotercera reunión instó a las Partes que aún no lo </w:t>
      </w:r>
      <w:r w:rsidRPr="00F600E5">
        <w:rPr>
          <w:w w:val="105"/>
          <w:szCs w:val="22"/>
          <w:lang w:val="es-ES_tradnl"/>
        </w:rPr>
        <w:t xml:space="preserve">habían </w:t>
      </w:r>
      <w:r w:rsidR="00714122" w:rsidRPr="00F600E5">
        <w:rPr>
          <w:w w:val="105"/>
          <w:szCs w:val="22"/>
          <w:lang w:val="es-ES_tradnl"/>
        </w:rPr>
        <w:t xml:space="preserve">hecho a que suministren, </w:t>
      </w:r>
      <w:r w:rsidR="009E460B" w:rsidRPr="00F600E5">
        <w:rPr>
          <w:w w:val="105"/>
          <w:szCs w:val="22"/>
          <w:lang w:val="es-ES_tradnl"/>
        </w:rPr>
        <w:t>en</w:t>
      </w:r>
      <w:r w:rsidR="00714122" w:rsidRPr="00F600E5">
        <w:rPr>
          <w:w w:val="105"/>
          <w:szCs w:val="22"/>
          <w:lang w:val="es-ES_tradnl"/>
        </w:rPr>
        <w:t xml:space="preserve"> la </w:t>
      </w:r>
      <w:r w:rsidR="00A529C5" w:rsidRPr="00F600E5">
        <w:rPr>
          <w:w w:val="105"/>
          <w:szCs w:val="22"/>
          <w:lang w:val="es-ES_tradnl"/>
        </w:rPr>
        <w:t>primera</w:t>
      </w:r>
      <w:r w:rsidR="00714122" w:rsidRPr="00F600E5">
        <w:rPr>
          <w:w w:val="105"/>
          <w:szCs w:val="22"/>
          <w:lang w:val="es-ES_tradnl"/>
        </w:rPr>
        <w:t xml:space="preserve"> ronda de presentación de informes, los datos de referencia necesarios e informes sobre los progresos con respecto a las metas de movilización de recursos a más tardar el 1 de julio de 2017, utilizando el marco de presentación de informes financieros</w:t>
      </w:r>
      <w:r w:rsidR="00DF1D13" w:rsidRPr="00F600E5">
        <w:rPr>
          <w:w w:val="105"/>
          <w:szCs w:val="22"/>
          <w:lang w:val="es-ES_tradnl"/>
        </w:rPr>
        <w:t>,</w:t>
      </w:r>
      <w:r w:rsidR="00714122" w:rsidRPr="00F600E5">
        <w:rPr>
          <w:w w:val="105"/>
          <w:szCs w:val="22"/>
          <w:lang w:val="es-ES_tradnl"/>
        </w:rPr>
        <w:t xml:space="preserve"> e invit</w:t>
      </w:r>
      <w:r w:rsidR="009E460B" w:rsidRPr="00F600E5">
        <w:rPr>
          <w:w w:val="105"/>
          <w:szCs w:val="22"/>
          <w:lang w:val="es-ES_tradnl"/>
        </w:rPr>
        <w:t>ó</w:t>
      </w:r>
      <w:r w:rsidR="00714122" w:rsidRPr="00F600E5">
        <w:rPr>
          <w:w w:val="105"/>
          <w:szCs w:val="22"/>
          <w:lang w:val="es-ES_tradnl"/>
        </w:rPr>
        <w:t xml:space="preserve"> a las Partes </w:t>
      </w:r>
      <w:r w:rsidR="009E460B" w:rsidRPr="00F600E5">
        <w:rPr>
          <w:w w:val="105"/>
          <w:szCs w:val="22"/>
          <w:lang w:val="es-ES_tradnl"/>
        </w:rPr>
        <w:t xml:space="preserve">a </w:t>
      </w:r>
      <w:r w:rsidR="00714122" w:rsidRPr="00F600E5">
        <w:rPr>
          <w:w w:val="105"/>
          <w:szCs w:val="22"/>
          <w:lang w:val="es-ES_tradnl"/>
        </w:rPr>
        <w:t>que actualizaran, según proceda, sus marcos de presentación financieros a medida</w:t>
      </w:r>
      <w:r w:rsidR="009E460B" w:rsidRPr="00F600E5">
        <w:rPr>
          <w:w w:val="105"/>
          <w:szCs w:val="22"/>
          <w:lang w:val="es-ES_tradnl"/>
        </w:rPr>
        <w:t xml:space="preserve"> de</w:t>
      </w:r>
      <w:r w:rsidR="00714122" w:rsidRPr="00F600E5">
        <w:rPr>
          <w:w w:val="105"/>
          <w:szCs w:val="22"/>
          <w:lang w:val="es-ES_tradnl"/>
        </w:rPr>
        <w:t xml:space="preserve"> que dispongan de los datos confirmados o definitivos de 2015, con miras a mejorar la solidez de los datos. </w:t>
      </w:r>
      <w:r w:rsidR="009E460B" w:rsidRPr="00F600E5">
        <w:rPr>
          <w:w w:val="105"/>
          <w:szCs w:val="22"/>
          <w:lang w:val="es-ES_tradnl"/>
        </w:rPr>
        <w:t xml:space="preserve">La </w:t>
      </w:r>
      <w:r w:rsidR="00714122" w:rsidRPr="00F600E5">
        <w:rPr>
          <w:w w:val="105"/>
          <w:szCs w:val="22"/>
          <w:lang w:val="es-ES_tradnl"/>
        </w:rPr>
        <w:t>Conferencia de las Partes pidió al Secretario Ejecutivo que publicase en línea el marco de presentación de informes financieros para la segunda ronda de presentación de informes a más tardar el 1 de julio de 2017,</w:t>
      </w:r>
      <w:r w:rsidR="00714122" w:rsidRPr="00F600E5">
        <w:rPr>
          <w:spacing w:val="-4"/>
          <w:w w:val="105"/>
          <w:szCs w:val="22"/>
          <w:lang w:val="es-ES_tradnl"/>
        </w:rPr>
        <w:t xml:space="preserve"> e invitó a las Partes a que informaran, utilizando el marco de presentación de informes financieros en línea</w:t>
      </w:r>
      <w:r w:rsidR="00714122" w:rsidRPr="00F600E5">
        <w:rPr>
          <w:w w:val="105"/>
          <w:szCs w:val="22"/>
          <w:lang w:val="es-ES_tradnl"/>
        </w:rPr>
        <w:t>, sus contribuciones adicionales a l</w:t>
      </w:r>
      <w:r w:rsidR="00DF1D13" w:rsidRPr="00F600E5">
        <w:rPr>
          <w:w w:val="105"/>
          <w:szCs w:val="22"/>
          <w:lang w:val="es-ES_tradnl"/>
        </w:rPr>
        <w:t xml:space="preserve">as iniciativas colectivas </w:t>
      </w:r>
      <w:r w:rsidR="00714122" w:rsidRPr="00F600E5">
        <w:rPr>
          <w:w w:val="105"/>
          <w:szCs w:val="22"/>
          <w:lang w:val="es-ES_tradnl"/>
        </w:rPr>
        <w:t xml:space="preserve">para alcanzar las metas mundiales </w:t>
      </w:r>
      <w:r w:rsidR="00DF1D13" w:rsidRPr="00F600E5">
        <w:rPr>
          <w:w w:val="105"/>
          <w:szCs w:val="22"/>
          <w:lang w:val="es-ES_tradnl"/>
        </w:rPr>
        <w:t xml:space="preserve">de </w:t>
      </w:r>
      <w:r w:rsidR="00714122" w:rsidRPr="00F600E5">
        <w:rPr>
          <w:w w:val="105"/>
          <w:szCs w:val="22"/>
          <w:lang w:val="es-ES_tradnl"/>
        </w:rPr>
        <w:t>movilización de recursos, con respecto a los datos de referencia establecidos, junto con sus sextos informes nacionales,</w:t>
      </w:r>
      <w:r w:rsidR="00714122" w:rsidRPr="00F600E5">
        <w:rPr>
          <w:spacing w:val="8"/>
          <w:w w:val="105"/>
          <w:szCs w:val="22"/>
          <w:lang w:val="es-ES_tradnl"/>
        </w:rPr>
        <w:t xml:space="preserve"> </w:t>
      </w:r>
      <w:r w:rsidR="00714122" w:rsidRPr="00F600E5">
        <w:rPr>
          <w:w w:val="105"/>
          <w:szCs w:val="22"/>
          <w:lang w:val="es-ES_tradnl"/>
        </w:rPr>
        <w:t>a más ta</w:t>
      </w:r>
      <w:r w:rsidR="009E460B" w:rsidRPr="00F600E5">
        <w:rPr>
          <w:w w:val="105"/>
          <w:szCs w:val="22"/>
          <w:lang w:val="es-ES_tradnl"/>
        </w:rPr>
        <w:t>rdar el 31 de diciembre de 2018</w:t>
      </w:r>
      <w:r w:rsidR="009E460B" w:rsidRPr="00F600E5">
        <w:rPr>
          <w:rStyle w:val="FootnoteReference"/>
          <w:kern w:val="22"/>
          <w:szCs w:val="22"/>
          <w:lang w:val="es-ES_tradnl"/>
        </w:rPr>
        <w:footnoteReference w:id="6"/>
      </w:r>
      <w:r w:rsidR="00714122" w:rsidRPr="00F600E5">
        <w:rPr>
          <w:w w:val="105"/>
          <w:szCs w:val="22"/>
          <w:lang w:val="es-ES_tradnl"/>
        </w:rPr>
        <w:t>.</w:t>
      </w:r>
    </w:p>
    <w:p w:rsidR="00714122" w:rsidRPr="00F600E5" w:rsidRDefault="00714122" w:rsidP="00253406">
      <w:pPr>
        <w:numPr>
          <w:ilvl w:val="0"/>
          <w:numId w:val="19"/>
        </w:numPr>
        <w:suppressLineNumbers/>
        <w:suppressAutoHyphens/>
        <w:kinsoku w:val="0"/>
        <w:overflowPunct w:val="0"/>
        <w:autoSpaceDE w:val="0"/>
        <w:autoSpaceDN w:val="0"/>
        <w:adjustRightInd w:val="0"/>
        <w:snapToGrid w:val="0"/>
        <w:spacing w:after="120" w:line="235" w:lineRule="auto"/>
        <w:ind w:left="0" w:firstLine="0"/>
        <w:rPr>
          <w:kern w:val="22"/>
          <w:szCs w:val="22"/>
          <w:lang w:val="es-ES_tradnl"/>
        </w:rPr>
      </w:pPr>
      <w:r w:rsidRPr="00F600E5">
        <w:rPr>
          <w:w w:val="105"/>
          <w:szCs w:val="22"/>
          <w:lang w:val="es-ES_tradnl"/>
        </w:rPr>
        <w:t xml:space="preserve">El Secretario Ejecutivo transmitió a las Partes la información anterior mediante </w:t>
      </w:r>
      <w:r w:rsidR="009E460B" w:rsidRPr="00F600E5">
        <w:rPr>
          <w:w w:val="105"/>
          <w:szCs w:val="22"/>
          <w:lang w:val="es-ES_tradnl"/>
        </w:rPr>
        <w:t xml:space="preserve">una </w:t>
      </w:r>
      <w:r w:rsidRPr="00F600E5">
        <w:rPr>
          <w:w w:val="105"/>
          <w:szCs w:val="22"/>
          <w:lang w:val="es-ES_tradnl"/>
        </w:rPr>
        <w:t xml:space="preserve">notificación </w:t>
      </w:r>
      <w:r w:rsidR="00DF1D13" w:rsidRPr="00F600E5">
        <w:rPr>
          <w:w w:val="105"/>
          <w:szCs w:val="22"/>
          <w:lang w:val="es-ES_tradnl"/>
        </w:rPr>
        <w:t>d</w:t>
      </w:r>
      <w:r w:rsidRPr="00F600E5">
        <w:rPr>
          <w:w w:val="105"/>
          <w:szCs w:val="22"/>
          <w:lang w:val="es-ES_tradnl"/>
        </w:rPr>
        <w:t>el 8 de febrero de 2017</w:t>
      </w:r>
      <w:r w:rsidR="009E460B" w:rsidRPr="00F600E5">
        <w:rPr>
          <w:rStyle w:val="FootnoteReference"/>
          <w:kern w:val="22"/>
          <w:szCs w:val="22"/>
          <w:lang w:val="es-ES_tradnl"/>
        </w:rPr>
        <w:footnoteReference w:id="7"/>
      </w:r>
      <w:r w:rsidRPr="00F600E5">
        <w:rPr>
          <w:w w:val="105"/>
          <w:szCs w:val="22"/>
          <w:lang w:val="es-ES_tradnl"/>
        </w:rPr>
        <w:t xml:space="preserve">. Debido al número limitado de documentos nuevos o actualizados recibidos antes del 1 de julio de 2017, y, en respuesta a peticiones de varias Partes, </w:t>
      </w:r>
      <w:r w:rsidR="009E460B" w:rsidRPr="00F600E5">
        <w:rPr>
          <w:w w:val="105"/>
          <w:szCs w:val="22"/>
          <w:lang w:val="es-ES_tradnl"/>
        </w:rPr>
        <w:t xml:space="preserve">el Secretario Ejecutivo envió una </w:t>
      </w:r>
      <w:r w:rsidRPr="00F600E5">
        <w:rPr>
          <w:w w:val="105"/>
          <w:szCs w:val="22"/>
          <w:lang w:val="es-ES_tradnl"/>
        </w:rPr>
        <w:t>notificación el 7 de julio de 2017</w:t>
      </w:r>
      <w:r w:rsidR="00253406" w:rsidRPr="00F600E5">
        <w:rPr>
          <w:rStyle w:val="FootnoteReference"/>
          <w:snapToGrid w:val="0"/>
          <w:kern w:val="22"/>
          <w:szCs w:val="22"/>
          <w:lang w:val="es-ES_tradnl"/>
        </w:rPr>
        <w:footnoteReference w:id="8"/>
      </w:r>
      <w:r w:rsidR="005B1376" w:rsidRPr="00F600E5">
        <w:rPr>
          <w:snapToGrid w:val="0"/>
          <w:kern w:val="22"/>
          <w:szCs w:val="22"/>
          <w:lang w:val="es-ES_tradnl"/>
        </w:rPr>
        <w:t xml:space="preserve">, </w:t>
      </w:r>
      <w:r w:rsidR="00253406" w:rsidRPr="00F600E5">
        <w:rPr>
          <w:snapToGrid w:val="0"/>
          <w:kern w:val="22"/>
          <w:szCs w:val="22"/>
          <w:lang w:val="es-ES_tradnl"/>
        </w:rPr>
        <w:t xml:space="preserve">mediante la cual </w:t>
      </w:r>
      <w:r w:rsidR="00DF1D13" w:rsidRPr="00F600E5">
        <w:rPr>
          <w:snapToGrid w:val="0"/>
          <w:kern w:val="22"/>
          <w:szCs w:val="22"/>
          <w:lang w:val="es-ES_tradnl"/>
        </w:rPr>
        <w:t xml:space="preserve">se </w:t>
      </w:r>
      <w:r w:rsidRPr="00F600E5">
        <w:rPr>
          <w:w w:val="105"/>
          <w:szCs w:val="22"/>
          <w:lang w:val="es-ES_tradnl"/>
        </w:rPr>
        <w:t xml:space="preserve">informó </w:t>
      </w:r>
      <w:r w:rsidR="00253406" w:rsidRPr="00F600E5">
        <w:rPr>
          <w:w w:val="105"/>
          <w:szCs w:val="22"/>
          <w:lang w:val="es-ES_tradnl"/>
        </w:rPr>
        <w:t xml:space="preserve">a las Partes </w:t>
      </w:r>
      <w:r w:rsidRPr="00F600E5">
        <w:rPr>
          <w:w w:val="105"/>
          <w:szCs w:val="22"/>
          <w:lang w:val="es-ES_tradnl"/>
        </w:rPr>
        <w:t xml:space="preserve">que el marco de presentación de informes </w:t>
      </w:r>
      <w:r w:rsidR="005B1376" w:rsidRPr="00F600E5">
        <w:rPr>
          <w:w w:val="105"/>
          <w:szCs w:val="22"/>
          <w:lang w:val="es-ES_tradnl"/>
        </w:rPr>
        <w:t xml:space="preserve">financieros </w:t>
      </w:r>
      <w:r w:rsidRPr="00F600E5">
        <w:rPr>
          <w:w w:val="105"/>
          <w:szCs w:val="22"/>
          <w:lang w:val="es-ES_tradnl"/>
        </w:rPr>
        <w:t>para la primera ronda de presentación de informes financieros se mantendría a disposición mediante el mecanismo de</w:t>
      </w:r>
      <w:r w:rsidR="001F39F4" w:rsidRPr="00F600E5">
        <w:rPr>
          <w:w w:val="105"/>
          <w:szCs w:val="22"/>
          <w:lang w:val="es-ES_tradnl"/>
        </w:rPr>
        <w:t xml:space="preserve"> facilitación</w:t>
      </w:r>
      <w:r w:rsidR="00253406" w:rsidRPr="00F600E5">
        <w:rPr>
          <w:w w:val="105"/>
          <w:szCs w:val="22"/>
          <w:lang w:val="es-ES_tradnl"/>
        </w:rPr>
        <w:t>,</w:t>
      </w:r>
      <w:r w:rsidRPr="00F600E5">
        <w:rPr>
          <w:spacing w:val="-4"/>
          <w:w w:val="105"/>
          <w:szCs w:val="22"/>
          <w:lang w:val="es-ES_tradnl"/>
        </w:rPr>
        <w:t xml:space="preserve"> y prorrogó el plazo para la presentación de toda información </w:t>
      </w:r>
      <w:r w:rsidR="00DF1D13" w:rsidRPr="00F600E5">
        <w:rPr>
          <w:spacing w:val="-4"/>
          <w:w w:val="105"/>
          <w:szCs w:val="22"/>
          <w:lang w:val="es-ES_tradnl"/>
        </w:rPr>
        <w:t xml:space="preserve">financiera </w:t>
      </w:r>
      <w:r w:rsidRPr="00F600E5">
        <w:rPr>
          <w:spacing w:val="-4"/>
          <w:w w:val="105"/>
          <w:szCs w:val="22"/>
          <w:lang w:val="es-ES_tradnl"/>
        </w:rPr>
        <w:t xml:space="preserve">nueva o actualizada al 1 de marzo de 2018, </w:t>
      </w:r>
      <w:r w:rsidR="00253406" w:rsidRPr="00F600E5">
        <w:rPr>
          <w:spacing w:val="-4"/>
          <w:w w:val="105"/>
          <w:szCs w:val="22"/>
          <w:lang w:val="es-ES_tradnl"/>
        </w:rPr>
        <w:t>a tiempo para su inclusión en el</w:t>
      </w:r>
      <w:r w:rsidRPr="00F600E5">
        <w:rPr>
          <w:spacing w:val="-4"/>
          <w:w w:val="105"/>
          <w:szCs w:val="22"/>
          <w:lang w:val="es-ES_tradnl"/>
        </w:rPr>
        <w:t xml:space="preserve"> presente </w:t>
      </w:r>
      <w:r w:rsidR="00253406" w:rsidRPr="00F600E5">
        <w:rPr>
          <w:spacing w:val="-4"/>
          <w:w w:val="105"/>
          <w:szCs w:val="22"/>
          <w:lang w:val="es-ES_tradnl"/>
        </w:rPr>
        <w:t>documento</w:t>
      </w:r>
      <w:r w:rsidRPr="00F600E5">
        <w:rPr>
          <w:w w:val="105"/>
          <w:szCs w:val="22"/>
          <w:lang w:val="es-ES_tradnl"/>
        </w:rPr>
        <w:t>. El 1 de febrero de 2018 se envió un documento recordatorio</w:t>
      </w:r>
      <w:r w:rsidR="00253406" w:rsidRPr="00F600E5">
        <w:rPr>
          <w:rStyle w:val="FootnoteReference"/>
          <w:kern w:val="22"/>
          <w:szCs w:val="22"/>
          <w:lang w:val="es-ES_tradnl"/>
        </w:rPr>
        <w:footnoteReference w:id="9"/>
      </w:r>
      <w:r w:rsidRPr="00F600E5">
        <w:rPr>
          <w:w w:val="105"/>
          <w:szCs w:val="22"/>
          <w:lang w:val="es-ES_tradnl"/>
        </w:rPr>
        <w:t>.</w:t>
      </w:r>
    </w:p>
    <w:p w:rsidR="00714122" w:rsidRPr="00F600E5" w:rsidRDefault="00714122" w:rsidP="00714122">
      <w:pPr>
        <w:numPr>
          <w:ilvl w:val="0"/>
          <w:numId w:val="19"/>
        </w:numPr>
        <w:spacing w:after="120"/>
        <w:ind w:left="0" w:firstLine="0"/>
        <w:rPr>
          <w:kern w:val="22"/>
          <w:szCs w:val="22"/>
          <w:lang w:val="es-ES_tradnl"/>
        </w:rPr>
      </w:pPr>
      <w:r w:rsidRPr="00F600E5">
        <w:rPr>
          <w:kern w:val="22"/>
          <w:szCs w:val="22"/>
          <w:lang w:val="es-ES_tradnl"/>
        </w:rPr>
        <w:t xml:space="preserve">Entre la fecha límite para el último análisis (15 de noviembre de 2016) y el 1 de marzo de 2018, se recibieron </w:t>
      </w:r>
      <w:r w:rsidR="00253406" w:rsidRPr="00F600E5">
        <w:rPr>
          <w:kern w:val="22"/>
          <w:szCs w:val="22"/>
          <w:lang w:val="es-ES_tradnl"/>
        </w:rPr>
        <w:t xml:space="preserve">(de Kuwait, Malta y Mauritania) </w:t>
      </w:r>
      <w:r w:rsidRPr="00F600E5">
        <w:rPr>
          <w:kern w:val="22"/>
          <w:szCs w:val="22"/>
          <w:lang w:val="es-ES_tradnl"/>
        </w:rPr>
        <w:t>tres nuevos informes sobre la línea de base y progresos ha</w:t>
      </w:r>
      <w:r w:rsidR="00DF1D13" w:rsidRPr="00F600E5">
        <w:rPr>
          <w:kern w:val="22"/>
          <w:szCs w:val="22"/>
          <w:lang w:val="es-ES_tradnl"/>
        </w:rPr>
        <w:t>sta</w:t>
      </w:r>
      <w:r w:rsidRPr="00F600E5">
        <w:rPr>
          <w:kern w:val="22"/>
          <w:szCs w:val="22"/>
          <w:lang w:val="es-ES_tradnl"/>
        </w:rPr>
        <w:t xml:space="preserve"> 2015, en tanto que se recibió informaci</w:t>
      </w:r>
      <w:r w:rsidR="001F39F4" w:rsidRPr="00F600E5">
        <w:rPr>
          <w:kern w:val="22"/>
          <w:szCs w:val="22"/>
          <w:lang w:val="es-ES_tradnl"/>
        </w:rPr>
        <w:t>ón</w:t>
      </w:r>
      <w:r w:rsidRPr="00F600E5">
        <w:rPr>
          <w:kern w:val="22"/>
          <w:szCs w:val="22"/>
          <w:lang w:val="es-ES_tradnl"/>
        </w:rPr>
        <w:t xml:space="preserve"> sobre la línea de base y progresos hacia 2015 de 12 Partes (Alemania, Austria, Dinamarca, Eslovenia, España, Estonia, Japón, Luxemburgo, </w:t>
      </w:r>
      <w:r w:rsidR="00DF1D13" w:rsidRPr="00F600E5">
        <w:rPr>
          <w:kern w:val="22"/>
          <w:szCs w:val="22"/>
          <w:lang w:val="es-ES_tradnl"/>
        </w:rPr>
        <w:t xml:space="preserve">Polonia, </w:t>
      </w:r>
      <w:r w:rsidRPr="00F600E5">
        <w:rPr>
          <w:kern w:val="22"/>
          <w:szCs w:val="22"/>
          <w:lang w:val="es-ES_tradnl"/>
        </w:rPr>
        <w:t>República Checa, Suecia y la Unión Europea)</w:t>
      </w:r>
      <w:r w:rsidRPr="00F600E5">
        <w:rPr>
          <w:rStyle w:val="FootnoteReference"/>
          <w:kern w:val="22"/>
          <w:szCs w:val="22"/>
          <w:lang w:val="es-ES_tradnl"/>
        </w:rPr>
        <w:footnoteReference w:id="10"/>
      </w:r>
      <w:r w:rsidRPr="00F600E5">
        <w:rPr>
          <w:kern w:val="22"/>
          <w:szCs w:val="22"/>
          <w:lang w:val="es-ES_tradnl"/>
        </w:rPr>
        <w:t xml:space="preserve">. Esto lleva a 76 el número de Partes que han presentado información mediante el marco de presentación de informes financieros. En el </w:t>
      </w:r>
      <w:r w:rsidR="005B1376" w:rsidRPr="00F600E5">
        <w:rPr>
          <w:kern w:val="22"/>
          <w:szCs w:val="22"/>
          <w:lang w:val="es-ES_tradnl"/>
        </w:rPr>
        <w:t>a</w:t>
      </w:r>
      <w:r w:rsidRPr="00F600E5">
        <w:rPr>
          <w:kern w:val="22"/>
          <w:szCs w:val="22"/>
          <w:lang w:val="es-ES_tradnl"/>
        </w:rPr>
        <w:t>nexo II de</w:t>
      </w:r>
      <w:r w:rsidR="00E62A43" w:rsidRPr="00F600E5">
        <w:rPr>
          <w:kern w:val="22"/>
          <w:szCs w:val="22"/>
          <w:lang w:val="es-ES_tradnl"/>
        </w:rPr>
        <w:t xml:space="preserve"> la </w:t>
      </w:r>
      <w:r w:rsidRPr="00F600E5">
        <w:rPr>
          <w:kern w:val="22"/>
          <w:szCs w:val="22"/>
          <w:lang w:val="es-ES_tradnl"/>
        </w:rPr>
        <w:t xml:space="preserve">adición figura la lista consolidada de </w:t>
      </w:r>
      <w:r w:rsidR="00E62A43" w:rsidRPr="00F600E5">
        <w:rPr>
          <w:kern w:val="22"/>
          <w:szCs w:val="22"/>
          <w:lang w:val="es-ES_tradnl"/>
        </w:rPr>
        <w:t xml:space="preserve">las </w:t>
      </w:r>
      <w:r w:rsidRPr="00F600E5">
        <w:rPr>
          <w:kern w:val="22"/>
          <w:szCs w:val="22"/>
          <w:lang w:val="es-ES_tradnl"/>
        </w:rPr>
        <w:t>Partes que presenta</w:t>
      </w:r>
      <w:r w:rsidR="001F39F4" w:rsidRPr="00F600E5">
        <w:rPr>
          <w:kern w:val="22"/>
          <w:szCs w:val="22"/>
          <w:lang w:val="es-ES_tradnl"/>
        </w:rPr>
        <w:t xml:space="preserve">ron información a través del </w:t>
      </w:r>
      <w:r w:rsidR="00253406" w:rsidRPr="00F600E5">
        <w:rPr>
          <w:kern w:val="22"/>
          <w:szCs w:val="22"/>
          <w:lang w:val="es-ES_tradnl"/>
        </w:rPr>
        <w:t xml:space="preserve">marco de presentación de informes </w:t>
      </w:r>
      <w:r w:rsidRPr="00F600E5">
        <w:rPr>
          <w:kern w:val="22"/>
          <w:szCs w:val="22"/>
          <w:lang w:val="es-ES_tradnl"/>
        </w:rPr>
        <w:t>financiero</w:t>
      </w:r>
      <w:r w:rsidR="00253406" w:rsidRPr="00F600E5">
        <w:rPr>
          <w:kern w:val="22"/>
          <w:szCs w:val="22"/>
          <w:lang w:val="es-ES_tradnl"/>
        </w:rPr>
        <w:t>s</w:t>
      </w:r>
      <w:r w:rsidRPr="00F600E5">
        <w:rPr>
          <w:kern w:val="22"/>
          <w:szCs w:val="22"/>
          <w:lang w:val="es-ES_tradnl"/>
        </w:rPr>
        <w:t xml:space="preserve"> al 1 de marzo de 2018. Al valorar la información cuantit</w:t>
      </w:r>
      <w:r w:rsidR="00DA5ADA" w:rsidRPr="00F600E5">
        <w:rPr>
          <w:kern w:val="22"/>
          <w:szCs w:val="22"/>
          <w:lang w:val="es-ES_tradnl"/>
        </w:rPr>
        <w:t>ati</w:t>
      </w:r>
      <w:r w:rsidRPr="00F600E5">
        <w:rPr>
          <w:kern w:val="22"/>
          <w:szCs w:val="22"/>
          <w:lang w:val="es-ES_tradnl"/>
        </w:rPr>
        <w:t>va y semicuant</w:t>
      </w:r>
      <w:r w:rsidR="00DA5ADA" w:rsidRPr="00F600E5">
        <w:rPr>
          <w:kern w:val="22"/>
          <w:szCs w:val="22"/>
          <w:lang w:val="es-ES_tradnl"/>
        </w:rPr>
        <w:t xml:space="preserve">itativa </w:t>
      </w:r>
      <w:r w:rsidRPr="00F600E5">
        <w:rPr>
          <w:kern w:val="22"/>
          <w:szCs w:val="22"/>
          <w:lang w:val="es-ES_tradnl"/>
        </w:rPr>
        <w:t xml:space="preserve">que se facilita </w:t>
      </w:r>
      <w:r w:rsidRPr="00F600E5">
        <w:rPr>
          <w:kern w:val="22"/>
          <w:szCs w:val="22"/>
          <w:lang w:val="es-ES_tradnl"/>
        </w:rPr>
        <w:lastRenderedPageBreak/>
        <w:t>en el resto de esta sección es necesario tener en cuenta el número aún limitado del total de informes presentados y el avance limitado en la presentación de informes desde 2015.</w:t>
      </w:r>
    </w:p>
    <w:p w:rsidR="00714122" w:rsidRPr="00F600E5" w:rsidRDefault="001F39F4" w:rsidP="00714122">
      <w:pPr>
        <w:numPr>
          <w:ilvl w:val="0"/>
          <w:numId w:val="19"/>
        </w:numPr>
        <w:spacing w:after="120"/>
        <w:ind w:left="0" w:firstLine="0"/>
        <w:rPr>
          <w:kern w:val="22"/>
          <w:szCs w:val="22"/>
          <w:lang w:val="es-ES_tradnl"/>
        </w:rPr>
      </w:pPr>
      <w:r w:rsidRPr="00F600E5">
        <w:rPr>
          <w:i/>
          <w:iCs/>
          <w:kern w:val="22"/>
          <w:szCs w:val="22"/>
          <w:lang w:val="es-ES_tradnl"/>
        </w:rPr>
        <w:t xml:space="preserve">Meta </w:t>
      </w:r>
      <w:r w:rsidR="00084813" w:rsidRPr="00F600E5">
        <w:rPr>
          <w:i/>
          <w:iCs/>
          <w:kern w:val="22"/>
          <w:szCs w:val="22"/>
          <w:lang w:val="es-ES_tradnl"/>
        </w:rPr>
        <w:t>1</w:t>
      </w:r>
      <w:r w:rsidRPr="00F600E5">
        <w:rPr>
          <w:i/>
          <w:iCs/>
          <w:kern w:val="22"/>
          <w:szCs w:val="22"/>
          <w:lang w:val="es-ES_tradnl"/>
        </w:rPr>
        <w:t xml:space="preserve"> </w:t>
      </w:r>
      <w:r w:rsidR="00084813" w:rsidRPr="00F600E5">
        <w:rPr>
          <w:i/>
          <w:iCs/>
          <w:kern w:val="22"/>
          <w:szCs w:val="22"/>
          <w:lang w:val="es-ES_tradnl"/>
        </w:rPr>
        <w:t>a) (</w:t>
      </w:r>
      <w:r w:rsidR="0063116B" w:rsidRPr="00F600E5">
        <w:rPr>
          <w:i/>
          <w:iCs/>
          <w:kern w:val="22"/>
          <w:szCs w:val="22"/>
          <w:lang w:val="es-ES_tradnl"/>
        </w:rPr>
        <w:t xml:space="preserve">la duplicación colectiva de los flujos internacionales para 2015 y mantener dicho nivel hasta </w:t>
      </w:r>
      <w:r w:rsidR="00084813" w:rsidRPr="00F600E5">
        <w:rPr>
          <w:i/>
          <w:iCs/>
          <w:kern w:val="22"/>
          <w:szCs w:val="22"/>
          <w:lang w:val="es-ES_tradnl"/>
        </w:rPr>
        <w:t>2020)</w:t>
      </w:r>
      <w:r w:rsidR="00084813" w:rsidRPr="00F600E5">
        <w:rPr>
          <w:kern w:val="22"/>
          <w:szCs w:val="22"/>
          <w:lang w:val="es-ES_tradnl"/>
        </w:rPr>
        <w:t xml:space="preserve">: </w:t>
      </w:r>
      <w:r w:rsidR="00714122" w:rsidRPr="00F600E5">
        <w:rPr>
          <w:kern w:val="22"/>
          <w:szCs w:val="22"/>
          <w:lang w:val="es-ES_tradnl"/>
        </w:rPr>
        <w:t>Un total de 30 Partes (23 de los 30 miembros de</w:t>
      </w:r>
      <w:r w:rsidR="00012A5F" w:rsidRPr="00F600E5">
        <w:rPr>
          <w:kern w:val="22"/>
          <w:szCs w:val="22"/>
          <w:lang w:val="es-ES_tradnl"/>
        </w:rPr>
        <w:t>l</w:t>
      </w:r>
      <w:r w:rsidR="00714122" w:rsidRPr="00F600E5">
        <w:rPr>
          <w:kern w:val="22"/>
          <w:szCs w:val="22"/>
          <w:lang w:val="es-ES_tradnl"/>
        </w:rPr>
        <w:t xml:space="preserve"> CAD y 7 no miembros) facilitaron información pertinente. </w:t>
      </w:r>
      <w:r w:rsidR="00253406" w:rsidRPr="00F600E5">
        <w:rPr>
          <w:kern w:val="22"/>
          <w:szCs w:val="22"/>
          <w:lang w:val="es-ES_tradnl"/>
        </w:rPr>
        <w:t xml:space="preserve">Un total de </w:t>
      </w:r>
      <w:r w:rsidR="00714122" w:rsidRPr="00F600E5">
        <w:rPr>
          <w:kern w:val="22"/>
          <w:szCs w:val="22"/>
          <w:lang w:val="es-ES_tradnl"/>
        </w:rPr>
        <w:t xml:space="preserve">26 Partes (22 miembros del CAD y 4 no miembros) presentaron información de base, y 23 Partes (16 miembros del CAD y las 7 Partes </w:t>
      </w:r>
      <w:r w:rsidR="00012A5F" w:rsidRPr="00F600E5">
        <w:rPr>
          <w:kern w:val="22"/>
          <w:szCs w:val="22"/>
          <w:lang w:val="es-ES_tradnl"/>
        </w:rPr>
        <w:t>n</w:t>
      </w:r>
      <w:r w:rsidR="00714122" w:rsidRPr="00F600E5">
        <w:rPr>
          <w:kern w:val="22"/>
          <w:szCs w:val="22"/>
          <w:lang w:val="es-ES_tradnl"/>
        </w:rPr>
        <w:t xml:space="preserve">o miembros) presentaron información de 2015, que representan en conjunto el 85% del total de la información de referencia. Estas 23 Partes han conseguido en conjunto un aumento del 92% en relación con su nivel de referencia, excluyendo los efectos del tipo de cambio debido a la reciente apreciación del dólar de los Estados Unidos. El progreso medido con respecto al total de la información de referencia representa un incremento del 62%. Empleando el tipo de interés promedio para 2015, dicho progreso ascienda al 70% y </w:t>
      </w:r>
      <w:r w:rsidR="00012A5F" w:rsidRPr="00F600E5">
        <w:rPr>
          <w:kern w:val="22"/>
          <w:szCs w:val="22"/>
          <w:lang w:val="es-ES_tradnl"/>
        </w:rPr>
        <w:t>a</w:t>
      </w:r>
      <w:r w:rsidR="00714122" w:rsidRPr="00F600E5">
        <w:rPr>
          <w:kern w:val="22"/>
          <w:szCs w:val="22"/>
          <w:lang w:val="es-ES_tradnl"/>
        </w:rPr>
        <w:t>l 44%, respectivamente.</w:t>
      </w:r>
    </w:p>
    <w:p w:rsidR="00084813" w:rsidRPr="00F600E5" w:rsidRDefault="0063116B" w:rsidP="00084813">
      <w:pPr>
        <w:numPr>
          <w:ilvl w:val="0"/>
          <w:numId w:val="19"/>
        </w:numPr>
        <w:spacing w:after="120"/>
        <w:ind w:left="0" w:firstLine="0"/>
        <w:rPr>
          <w:kern w:val="22"/>
          <w:szCs w:val="22"/>
          <w:lang w:val="es-ES_tradnl"/>
        </w:rPr>
      </w:pPr>
      <w:r w:rsidRPr="00F600E5">
        <w:rPr>
          <w:i/>
          <w:iCs/>
          <w:kern w:val="22"/>
          <w:szCs w:val="22"/>
          <w:lang w:val="es-ES_tradnl"/>
        </w:rPr>
        <w:t xml:space="preserve">Meta </w:t>
      </w:r>
      <w:r w:rsidR="00084813" w:rsidRPr="00F600E5">
        <w:rPr>
          <w:i/>
          <w:iCs/>
          <w:kern w:val="22"/>
          <w:szCs w:val="22"/>
          <w:lang w:val="es-ES_tradnl"/>
        </w:rPr>
        <w:t>1</w:t>
      </w:r>
      <w:r w:rsidRPr="00F600E5">
        <w:rPr>
          <w:i/>
          <w:iCs/>
          <w:kern w:val="22"/>
          <w:szCs w:val="22"/>
          <w:lang w:val="es-ES_tradnl"/>
        </w:rPr>
        <w:t xml:space="preserve"> b) (inclusión de la diversidad biológica </w:t>
      </w:r>
      <w:r w:rsidR="00253406" w:rsidRPr="00F600E5">
        <w:rPr>
          <w:i/>
          <w:iCs/>
          <w:kern w:val="22"/>
          <w:szCs w:val="22"/>
          <w:lang w:val="es-ES_tradnl"/>
        </w:rPr>
        <w:t xml:space="preserve">en las prioridades o planes de desarrollo nacionales </w:t>
      </w:r>
      <w:r w:rsidRPr="00F600E5">
        <w:rPr>
          <w:i/>
          <w:iCs/>
          <w:kern w:val="22"/>
          <w:szCs w:val="22"/>
          <w:lang w:val="es-ES_tradnl"/>
        </w:rPr>
        <w:t xml:space="preserve">para </w:t>
      </w:r>
      <w:r w:rsidR="00084813" w:rsidRPr="00F600E5">
        <w:rPr>
          <w:i/>
          <w:iCs/>
          <w:kern w:val="22"/>
          <w:szCs w:val="22"/>
          <w:lang w:val="es-ES_tradnl"/>
        </w:rPr>
        <w:t>2015)</w:t>
      </w:r>
      <w:r w:rsidR="00084813" w:rsidRPr="00F600E5">
        <w:rPr>
          <w:kern w:val="22"/>
          <w:szCs w:val="22"/>
          <w:lang w:val="es-ES_tradnl"/>
        </w:rPr>
        <w:t xml:space="preserve">: </w:t>
      </w:r>
      <w:r w:rsidRPr="00F600E5">
        <w:rPr>
          <w:kern w:val="22"/>
          <w:szCs w:val="22"/>
          <w:lang w:val="es-ES_tradnl"/>
        </w:rPr>
        <w:t xml:space="preserve">Teniendo en cuenta el número </w:t>
      </w:r>
      <w:r w:rsidR="000E74AD" w:rsidRPr="00F600E5">
        <w:rPr>
          <w:kern w:val="22"/>
          <w:szCs w:val="22"/>
          <w:lang w:val="es-ES_tradnl"/>
        </w:rPr>
        <w:t xml:space="preserve">limitado </w:t>
      </w:r>
      <w:r w:rsidRPr="00F600E5">
        <w:rPr>
          <w:kern w:val="22"/>
          <w:szCs w:val="22"/>
          <w:lang w:val="es-ES_tradnl"/>
        </w:rPr>
        <w:t xml:space="preserve">total </w:t>
      </w:r>
      <w:r w:rsidR="000E74AD" w:rsidRPr="00F600E5">
        <w:rPr>
          <w:kern w:val="22"/>
          <w:szCs w:val="22"/>
          <w:lang w:val="es-ES_tradnl"/>
        </w:rPr>
        <w:t>de los informes recibidos, las Parte</w:t>
      </w:r>
      <w:r w:rsidR="00012A5F" w:rsidRPr="00F600E5">
        <w:rPr>
          <w:kern w:val="22"/>
          <w:szCs w:val="22"/>
          <w:lang w:val="es-ES_tradnl"/>
        </w:rPr>
        <w:t xml:space="preserve">s que presentan informes en </w:t>
      </w:r>
      <w:r w:rsidR="000E74AD" w:rsidRPr="00F600E5">
        <w:rPr>
          <w:kern w:val="22"/>
          <w:szCs w:val="22"/>
          <w:lang w:val="es-ES_tradnl"/>
        </w:rPr>
        <w:t xml:space="preserve">general </w:t>
      </w:r>
      <w:r w:rsidR="00012A5F" w:rsidRPr="00F600E5">
        <w:rPr>
          <w:kern w:val="22"/>
          <w:szCs w:val="22"/>
          <w:lang w:val="es-ES_tradnl"/>
        </w:rPr>
        <w:t xml:space="preserve">parecen </w:t>
      </w:r>
      <w:r w:rsidR="000E74AD" w:rsidRPr="00F600E5">
        <w:rPr>
          <w:kern w:val="22"/>
          <w:szCs w:val="22"/>
          <w:lang w:val="es-ES_tradnl"/>
        </w:rPr>
        <w:t>estar en condiciones de lograr dicha meta, dado que todos notificaron al menos cierto avance</w:t>
      </w:r>
      <w:r w:rsidR="00084813" w:rsidRPr="00F600E5">
        <w:rPr>
          <w:kern w:val="22"/>
          <w:szCs w:val="22"/>
          <w:lang w:val="es-ES_tradnl"/>
        </w:rPr>
        <w:t>.</w:t>
      </w:r>
    </w:p>
    <w:p w:rsidR="00084813" w:rsidRPr="00F600E5" w:rsidRDefault="000E74AD" w:rsidP="00084813">
      <w:pPr>
        <w:numPr>
          <w:ilvl w:val="0"/>
          <w:numId w:val="19"/>
        </w:numPr>
        <w:spacing w:after="120"/>
        <w:ind w:left="0" w:firstLine="0"/>
        <w:rPr>
          <w:kern w:val="22"/>
          <w:szCs w:val="22"/>
          <w:lang w:val="es-ES_tradnl"/>
        </w:rPr>
      </w:pPr>
      <w:r w:rsidRPr="00F600E5">
        <w:rPr>
          <w:i/>
          <w:iCs/>
          <w:kern w:val="22"/>
          <w:szCs w:val="22"/>
          <w:lang w:val="es-ES_tradnl"/>
        </w:rPr>
        <w:t xml:space="preserve">Meta </w:t>
      </w:r>
      <w:r w:rsidR="00084813" w:rsidRPr="00F600E5">
        <w:rPr>
          <w:i/>
          <w:iCs/>
          <w:kern w:val="22"/>
          <w:szCs w:val="22"/>
          <w:lang w:val="es-ES_tradnl"/>
        </w:rPr>
        <w:t>1</w:t>
      </w:r>
      <w:r w:rsidRPr="00F600E5">
        <w:rPr>
          <w:i/>
          <w:iCs/>
          <w:kern w:val="22"/>
          <w:szCs w:val="22"/>
          <w:lang w:val="es-ES_tradnl"/>
        </w:rPr>
        <w:t xml:space="preserve"> </w:t>
      </w:r>
      <w:r w:rsidR="00084813" w:rsidRPr="00F600E5">
        <w:rPr>
          <w:i/>
          <w:iCs/>
          <w:kern w:val="22"/>
          <w:szCs w:val="22"/>
          <w:lang w:val="es-ES_tradnl"/>
        </w:rPr>
        <w:t>c) (</w:t>
      </w:r>
      <w:r w:rsidR="00D50775" w:rsidRPr="00F600E5">
        <w:rPr>
          <w:i/>
          <w:iCs/>
          <w:kern w:val="22"/>
          <w:szCs w:val="22"/>
          <w:lang w:val="es-ES_tradnl"/>
        </w:rPr>
        <w:t xml:space="preserve">presentación de informes para </w:t>
      </w:r>
      <w:r w:rsidR="00084813" w:rsidRPr="00F600E5">
        <w:rPr>
          <w:i/>
          <w:iCs/>
          <w:kern w:val="22"/>
          <w:szCs w:val="22"/>
          <w:lang w:val="es-ES_tradnl"/>
        </w:rPr>
        <w:t xml:space="preserve">2015 </w:t>
      </w:r>
      <w:r w:rsidR="00D50775" w:rsidRPr="00F600E5">
        <w:rPr>
          <w:i/>
          <w:iCs/>
          <w:kern w:val="22"/>
          <w:szCs w:val="22"/>
          <w:lang w:val="es-ES_tradnl"/>
        </w:rPr>
        <w:t xml:space="preserve">de los gastos nacionales relacionados con la diversidad biológica, </w:t>
      </w:r>
      <w:r w:rsidR="00084813" w:rsidRPr="00F600E5">
        <w:rPr>
          <w:i/>
          <w:iCs/>
          <w:kern w:val="22"/>
          <w:szCs w:val="22"/>
          <w:lang w:val="es-ES_tradnl"/>
        </w:rPr>
        <w:t>as</w:t>
      </w:r>
      <w:r w:rsidR="00D50775" w:rsidRPr="00F600E5">
        <w:rPr>
          <w:i/>
          <w:iCs/>
          <w:kern w:val="22"/>
          <w:szCs w:val="22"/>
          <w:lang w:val="es-ES_tradnl"/>
        </w:rPr>
        <w:t>í como sus necesidades, deficiencias y prioridades de financiación</w:t>
      </w:r>
      <w:r w:rsidR="00084813" w:rsidRPr="00F600E5">
        <w:rPr>
          <w:i/>
          <w:iCs/>
          <w:kern w:val="22"/>
          <w:szCs w:val="22"/>
          <w:lang w:val="es-ES_tradnl"/>
        </w:rPr>
        <w:t>)</w:t>
      </w:r>
      <w:r w:rsidR="00084813" w:rsidRPr="00F600E5">
        <w:rPr>
          <w:kern w:val="22"/>
          <w:szCs w:val="22"/>
          <w:lang w:val="es-ES_tradnl"/>
        </w:rPr>
        <w:t xml:space="preserve">: </w:t>
      </w:r>
      <w:r w:rsidR="0065726C" w:rsidRPr="00F600E5">
        <w:rPr>
          <w:lang w:val="es-ES_tradnl"/>
        </w:rPr>
        <w:t>Si se hace una interpretación estricta, la meta no se ha alcanzado en 2015</w:t>
      </w:r>
      <w:r w:rsidR="00084813" w:rsidRPr="00F600E5">
        <w:rPr>
          <w:kern w:val="22"/>
          <w:szCs w:val="22"/>
          <w:lang w:val="es-ES_tradnl"/>
        </w:rPr>
        <w:t xml:space="preserve">, </w:t>
      </w:r>
      <w:r w:rsidR="00D50775" w:rsidRPr="00F600E5">
        <w:rPr>
          <w:kern w:val="22"/>
          <w:szCs w:val="22"/>
          <w:lang w:val="es-ES_tradnl"/>
        </w:rPr>
        <w:t xml:space="preserve">dado que menos del </w:t>
      </w:r>
      <w:r w:rsidR="00084813" w:rsidRPr="00F600E5">
        <w:rPr>
          <w:kern w:val="22"/>
          <w:szCs w:val="22"/>
          <w:lang w:val="es-ES_tradnl"/>
        </w:rPr>
        <w:t>75</w:t>
      </w:r>
      <w:r w:rsidR="00D50775" w:rsidRPr="00F600E5">
        <w:rPr>
          <w:kern w:val="22"/>
          <w:szCs w:val="22"/>
          <w:lang w:val="es-ES_tradnl"/>
        </w:rPr>
        <w:t>% de las Partes notificaron gastos relacionados con la diversidad biológica, así como sus necesidades, deficiencias y prioridades de financiación</w:t>
      </w:r>
      <w:r w:rsidR="00084813" w:rsidRPr="00F600E5">
        <w:rPr>
          <w:kern w:val="22"/>
          <w:szCs w:val="22"/>
          <w:lang w:val="es-ES_tradnl"/>
        </w:rPr>
        <w:t xml:space="preserve">. </w:t>
      </w:r>
      <w:r w:rsidR="00D50775" w:rsidRPr="00F600E5">
        <w:rPr>
          <w:kern w:val="22"/>
          <w:szCs w:val="22"/>
          <w:lang w:val="es-ES_tradnl"/>
        </w:rPr>
        <w:t xml:space="preserve">No obstante, entre los países que presentan informes, </w:t>
      </w:r>
      <w:r w:rsidR="0065726C" w:rsidRPr="00F600E5">
        <w:rPr>
          <w:kern w:val="22"/>
          <w:szCs w:val="22"/>
          <w:lang w:val="es-ES_tradnl"/>
        </w:rPr>
        <w:t xml:space="preserve">el progreso </w:t>
      </w:r>
      <w:r w:rsidR="00D50775" w:rsidRPr="00F600E5">
        <w:rPr>
          <w:kern w:val="22"/>
          <w:szCs w:val="22"/>
          <w:lang w:val="es-ES_tradnl"/>
        </w:rPr>
        <w:t xml:space="preserve">en la presentación de informes sobre gastos nacionales </w:t>
      </w:r>
      <w:r w:rsidR="002F3D6F" w:rsidRPr="00F600E5">
        <w:rPr>
          <w:kern w:val="22"/>
          <w:szCs w:val="22"/>
          <w:lang w:val="es-ES_tradnl"/>
        </w:rPr>
        <w:t xml:space="preserve">en materia de </w:t>
      </w:r>
      <w:r w:rsidR="00D50775" w:rsidRPr="00F600E5">
        <w:rPr>
          <w:kern w:val="22"/>
          <w:szCs w:val="22"/>
          <w:lang w:val="es-ES_tradnl"/>
        </w:rPr>
        <w:t>diversida</w:t>
      </w:r>
      <w:r w:rsidR="002F3D6F" w:rsidRPr="00F600E5">
        <w:rPr>
          <w:kern w:val="22"/>
          <w:szCs w:val="22"/>
          <w:lang w:val="es-ES_tradnl"/>
        </w:rPr>
        <w:t>d</w:t>
      </w:r>
      <w:r w:rsidR="00D50775" w:rsidRPr="00F600E5">
        <w:rPr>
          <w:kern w:val="22"/>
          <w:szCs w:val="22"/>
          <w:lang w:val="es-ES_tradnl"/>
        </w:rPr>
        <w:t xml:space="preserve"> biológ</w:t>
      </w:r>
      <w:r w:rsidR="002F3D6F" w:rsidRPr="00F600E5">
        <w:rPr>
          <w:kern w:val="22"/>
          <w:szCs w:val="22"/>
          <w:lang w:val="es-ES_tradnl"/>
        </w:rPr>
        <w:t>i</w:t>
      </w:r>
      <w:r w:rsidR="00D50775" w:rsidRPr="00F600E5">
        <w:rPr>
          <w:kern w:val="22"/>
          <w:szCs w:val="22"/>
          <w:lang w:val="es-ES_tradnl"/>
        </w:rPr>
        <w:t>ca</w:t>
      </w:r>
      <w:r w:rsidR="002F3D6F" w:rsidRPr="00F600E5">
        <w:rPr>
          <w:kern w:val="22"/>
          <w:szCs w:val="22"/>
          <w:lang w:val="es-ES_tradnl"/>
        </w:rPr>
        <w:t xml:space="preserve"> es alentador</w:t>
      </w:r>
      <w:r w:rsidR="00084813" w:rsidRPr="00F600E5">
        <w:rPr>
          <w:kern w:val="22"/>
          <w:szCs w:val="22"/>
          <w:lang w:val="es-ES_tradnl"/>
        </w:rPr>
        <w:t xml:space="preserve">. </w:t>
      </w:r>
      <w:r w:rsidR="002F3D6F" w:rsidRPr="00F600E5">
        <w:rPr>
          <w:kern w:val="22"/>
          <w:szCs w:val="22"/>
          <w:lang w:val="es-ES_tradnl"/>
        </w:rPr>
        <w:t>La presentación de informes sobre las necesidades, deficiencias y prioridades de financiación parece ser más difícil</w:t>
      </w:r>
      <w:r w:rsidR="00084813" w:rsidRPr="00F600E5">
        <w:rPr>
          <w:kern w:val="22"/>
          <w:szCs w:val="22"/>
          <w:lang w:val="es-ES_tradnl"/>
        </w:rPr>
        <w:t>.</w:t>
      </w:r>
    </w:p>
    <w:p w:rsidR="00084813" w:rsidRPr="00F600E5" w:rsidRDefault="002F3D6F" w:rsidP="00084813">
      <w:pPr>
        <w:numPr>
          <w:ilvl w:val="0"/>
          <w:numId w:val="19"/>
        </w:numPr>
        <w:spacing w:after="120"/>
        <w:ind w:left="0" w:firstLine="0"/>
        <w:rPr>
          <w:kern w:val="22"/>
          <w:szCs w:val="22"/>
          <w:lang w:val="es-ES_tradnl"/>
        </w:rPr>
      </w:pPr>
      <w:r w:rsidRPr="00F600E5">
        <w:rPr>
          <w:i/>
          <w:iCs/>
          <w:kern w:val="22"/>
          <w:szCs w:val="22"/>
          <w:lang w:val="es-ES_tradnl"/>
        </w:rPr>
        <w:t xml:space="preserve">Meta </w:t>
      </w:r>
      <w:r w:rsidR="00084813" w:rsidRPr="00F600E5">
        <w:rPr>
          <w:i/>
          <w:iCs/>
          <w:kern w:val="22"/>
          <w:szCs w:val="22"/>
          <w:lang w:val="es-ES_tradnl"/>
        </w:rPr>
        <w:t>1</w:t>
      </w:r>
      <w:r w:rsidRPr="00F600E5">
        <w:rPr>
          <w:i/>
          <w:iCs/>
          <w:kern w:val="22"/>
          <w:szCs w:val="22"/>
          <w:lang w:val="es-ES_tradnl"/>
        </w:rPr>
        <w:t> </w:t>
      </w:r>
      <w:r w:rsidR="00084813" w:rsidRPr="00F600E5">
        <w:rPr>
          <w:i/>
          <w:iCs/>
          <w:kern w:val="22"/>
          <w:szCs w:val="22"/>
          <w:lang w:val="es-ES_tradnl"/>
        </w:rPr>
        <w:t>d) (</w:t>
      </w:r>
      <w:r w:rsidRPr="00F600E5">
        <w:rPr>
          <w:i/>
          <w:iCs/>
          <w:kern w:val="22"/>
          <w:szCs w:val="22"/>
          <w:lang w:val="es-ES_tradnl"/>
        </w:rPr>
        <w:t>preparación para</w:t>
      </w:r>
      <w:r w:rsidR="00084813" w:rsidRPr="00F600E5">
        <w:rPr>
          <w:i/>
          <w:iCs/>
          <w:kern w:val="22"/>
          <w:szCs w:val="22"/>
          <w:lang w:val="es-ES_tradnl"/>
        </w:rPr>
        <w:t xml:space="preserve"> 2015 </w:t>
      </w:r>
      <w:r w:rsidRPr="00F600E5">
        <w:rPr>
          <w:i/>
          <w:iCs/>
          <w:kern w:val="22"/>
          <w:szCs w:val="22"/>
          <w:lang w:val="es-ES_tradnl"/>
        </w:rPr>
        <w:t>de planes nacionales de financiación</w:t>
      </w:r>
      <w:r w:rsidR="00084813" w:rsidRPr="00F600E5">
        <w:rPr>
          <w:i/>
          <w:iCs/>
          <w:kern w:val="22"/>
          <w:szCs w:val="22"/>
          <w:lang w:val="es-ES_tradnl"/>
        </w:rPr>
        <w:t xml:space="preserve">, </w:t>
      </w:r>
      <w:r w:rsidRPr="00F600E5">
        <w:rPr>
          <w:i/>
          <w:iCs/>
          <w:kern w:val="22"/>
          <w:szCs w:val="22"/>
          <w:lang w:val="es-ES_tradnl"/>
        </w:rPr>
        <w:t>y evaluación de los valores</w:t>
      </w:r>
      <w:r w:rsidR="00084813" w:rsidRPr="00F600E5">
        <w:rPr>
          <w:i/>
          <w:iCs/>
          <w:kern w:val="22"/>
          <w:szCs w:val="22"/>
          <w:lang w:val="es-ES_tradnl"/>
        </w:rPr>
        <w:t>)</w:t>
      </w:r>
      <w:r w:rsidR="00084813" w:rsidRPr="00F600E5">
        <w:rPr>
          <w:kern w:val="22"/>
          <w:szCs w:val="22"/>
          <w:lang w:val="es-ES_tradnl"/>
        </w:rPr>
        <w:t xml:space="preserve">: </w:t>
      </w:r>
      <w:r w:rsidRPr="00F600E5">
        <w:rPr>
          <w:kern w:val="22"/>
          <w:szCs w:val="22"/>
          <w:lang w:val="es-ES_tradnl"/>
        </w:rPr>
        <w:t>El progreso realizado en lo que respeta al elemento sobre la evaluación de valores es aparentemente satisfactorio</w:t>
      </w:r>
      <w:r w:rsidR="00084813" w:rsidRPr="00F600E5">
        <w:rPr>
          <w:kern w:val="22"/>
          <w:szCs w:val="22"/>
          <w:lang w:val="es-ES_tradnl"/>
        </w:rPr>
        <w:t xml:space="preserve">, </w:t>
      </w:r>
      <w:r w:rsidR="0065726C" w:rsidRPr="00F600E5">
        <w:rPr>
          <w:kern w:val="22"/>
          <w:szCs w:val="22"/>
          <w:lang w:val="es-ES_tradnl"/>
        </w:rPr>
        <w:t xml:space="preserve">aunque las Partes parecen enfrentarse a </w:t>
      </w:r>
      <w:r w:rsidR="00012A5F" w:rsidRPr="00F600E5">
        <w:rPr>
          <w:kern w:val="22"/>
          <w:szCs w:val="22"/>
          <w:lang w:val="es-ES_tradnl"/>
        </w:rPr>
        <w:t xml:space="preserve">persistentes </w:t>
      </w:r>
      <w:r w:rsidR="0065726C" w:rsidRPr="00F600E5">
        <w:rPr>
          <w:kern w:val="22"/>
          <w:szCs w:val="22"/>
          <w:lang w:val="es-ES_tradnl"/>
        </w:rPr>
        <w:t>dificultades en la elaboración y presentación de informes sobre sus planes nacionales de financiación</w:t>
      </w:r>
      <w:r w:rsidR="00084813" w:rsidRPr="00F600E5">
        <w:rPr>
          <w:kern w:val="22"/>
          <w:szCs w:val="22"/>
          <w:lang w:val="es-ES_tradnl"/>
        </w:rPr>
        <w:t>.</w:t>
      </w:r>
    </w:p>
    <w:p w:rsidR="00084813" w:rsidRPr="00F600E5" w:rsidRDefault="0065726C" w:rsidP="00084813">
      <w:pPr>
        <w:numPr>
          <w:ilvl w:val="0"/>
          <w:numId w:val="19"/>
        </w:numPr>
        <w:spacing w:after="120"/>
        <w:ind w:left="0" w:firstLine="0"/>
        <w:rPr>
          <w:kern w:val="22"/>
          <w:szCs w:val="22"/>
          <w:lang w:val="es-ES_tradnl"/>
        </w:rPr>
      </w:pPr>
      <w:r w:rsidRPr="00F600E5">
        <w:rPr>
          <w:i/>
          <w:iCs/>
          <w:kern w:val="22"/>
          <w:szCs w:val="22"/>
          <w:lang w:val="es-ES_tradnl"/>
        </w:rPr>
        <w:t xml:space="preserve">Meta </w:t>
      </w:r>
      <w:r w:rsidR="00084813" w:rsidRPr="00F600E5">
        <w:rPr>
          <w:i/>
          <w:iCs/>
          <w:kern w:val="22"/>
          <w:szCs w:val="22"/>
          <w:lang w:val="es-ES_tradnl"/>
        </w:rPr>
        <w:t>1</w:t>
      </w:r>
      <w:r w:rsidRPr="00F600E5">
        <w:rPr>
          <w:i/>
          <w:iCs/>
          <w:kern w:val="22"/>
          <w:szCs w:val="22"/>
          <w:lang w:val="es-ES_tradnl"/>
        </w:rPr>
        <w:t xml:space="preserve"> </w:t>
      </w:r>
      <w:r w:rsidR="00084813" w:rsidRPr="00F600E5">
        <w:rPr>
          <w:i/>
          <w:iCs/>
          <w:kern w:val="22"/>
          <w:szCs w:val="22"/>
          <w:lang w:val="es-ES_tradnl"/>
        </w:rPr>
        <w:t>e) (</w:t>
      </w:r>
      <w:r w:rsidRPr="00F600E5">
        <w:rPr>
          <w:i/>
          <w:iCs/>
          <w:kern w:val="22"/>
          <w:szCs w:val="22"/>
          <w:lang w:val="es-ES_tradnl"/>
        </w:rPr>
        <w:t>movilización de recursos financieros nacionales</w:t>
      </w:r>
      <w:r w:rsidR="00084813" w:rsidRPr="00F600E5">
        <w:rPr>
          <w:i/>
          <w:iCs/>
          <w:kern w:val="22"/>
          <w:szCs w:val="22"/>
          <w:lang w:val="es-ES_tradnl"/>
        </w:rPr>
        <w:t>)</w:t>
      </w:r>
      <w:r w:rsidR="00084813" w:rsidRPr="00F600E5">
        <w:rPr>
          <w:kern w:val="22"/>
          <w:szCs w:val="22"/>
          <w:lang w:val="es-ES_tradnl"/>
        </w:rPr>
        <w:t xml:space="preserve">: </w:t>
      </w:r>
      <w:r w:rsidRPr="00F600E5">
        <w:rPr>
          <w:lang w:val="es-ES_tradnl"/>
        </w:rPr>
        <w:t xml:space="preserve">Esta meta no tiene un plazo para 2015 y los progresos realizados en relación con esta meta por lo tanto serían evaluados durante la segunda ronda de presentación de informes, </w:t>
      </w:r>
      <w:r w:rsidR="001F2E90" w:rsidRPr="00F600E5">
        <w:rPr>
          <w:lang w:val="es-ES_tradnl"/>
        </w:rPr>
        <w:t xml:space="preserve">junto con </w:t>
      </w:r>
      <w:r w:rsidRPr="00F600E5">
        <w:rPr>
          <w:lang w:val="es-ES_tradnl"/>
        </w:rPr>
        <w:t>los sextos informes nacionales</w:t>
      </w:r>
      <w:r w:rsidR="00084813" w:rsidRPr="00F600E5">
        <w:rPr>
          <w:lang w:val="es-ES_tradnl"/>
        </w:rPr>
        <w:t xml:space="preserve">. </w:t>
      </w:r>
      <w:r w:rsidRPr="00F600E5">
        <w:rPr>
          <w:lang w:val="es-ES_tradnl"/>
        </w:rPr>
        <w:t>Las dificultades mencionadas anteriormente también repercutirán a la hora de evaluar los progresos en relación con esta meta</w:t>
      </w:r>
      <w:r w:rsidR="00084813" w:rsidRPr="00F600E5">
        <w:rPr>
          <w:kern w:val="22"/>
          <w:szCs w:val="22"/>
          <w:lang w:val="es-ES_tradnl"/>
        </w:rPr>
        <w:t>.</w:t>
      </w:r>
    </w:p>
    <w:p w:rsidR="00084813" w:rsidRPr="00F600E5" w:rsidRDefault="0065726C" w:rsidP="00084813">
      <w:pPr>
        <w:numPr>
          <w:ilvl w:val="0"/>
          <w:numId w:val="19"/>
        </w:numPr>
        <w:suppressLineNumbers/>
        <w:suppressAutoHyphens/>
        <w:spacing w:after="120"/>
        <w:ind w:left="0" w:firstLine="0"/>
        <w:rPr>
          <w:kern w:val="22"/>
          <w:szCs w:val="22"/>
          <w:lang w:val="es-ES_tradnl"/>
        </w:rPr>
      </w:pPr>
      <w:r w:rsidRPr="00F600E5">
        <w:rPr>
          <w:snapToGrid w:val="0"/>
          <w:kern w:val="22"/>
          <w:szCs w:val="22"/>
          <w:lang w:val="es-ES_tradnl"/>
        </w:rPr>
        <w:t>El progreso en la presentación de informes en relación con las metas de movilización de recursos es en general lento</w:t>
      </w:r>
      <w:r w:rsidR="00084813" w:rsidRPr="00F600E5">
        <w:rPr>
          <w:snapToGrid w:val="0"/>
          <w:kern w:val="22"/>
          <w:szCs w:val="22"/>
          <w:lang w:val="es-ES_tradnl"/>
        </w:rPr>
        <w:t xml:space="preserve">. </w:t>
      </w:r>
      <w:r w:rsidR="00DB7F13" w:rsidRPr="00F600E5">
        <w:rPr>
          <w:snapToGrid w:val="0"/>
          <w:kern w:val="22"/>
          <w:szCs w:val="22"/>
          <w:lang w:val="es-ES_tradnl"/>
        </w:rPr>
        <w:t xml:space="preserve">De las 30 Partes que presentan informes </w:t>
      </w:r>
      <w:r w:rsidR="00402A8D" w:rsidRPr="00F600E5">
        <w:rPr>
          <w:snapToGrid w:val="0"/>
          <w:kern w:val="22"/>
          <w:szCs w:val="22"/>
          <w:lang w:val="es-ES_tradnl"/>
        </w:rPr>
        <w:t xml:space="preserve">en relación con la meta </w:t>
      </w:r>
      <w:r w:rsidR="00084813" w:rsidRPr="00F600E5">
        <w:rPr>
          <w:snapToGrid w:val="0"/>
          <w:kern w:val="22"/>
          <w:szCs w:val="22"/>
          <w:lang w:val="es-ES_tradnl"/>
        </w:rPr>
        <w:t>1</w:t>
      </w:r>
      <w:r w:rsidR="00402A8D" w:rsidRPr="00F600E5">
        <w:rPr>
          <w:snapToGrid w:val="0"/>
          <w:kern w:val="22"/>
          <w:szCs w:val="22"/>
          <w:lang w:val="es-ES_tradnl"/>
        </w:rPr>
        <w:t> </w:t>
      </w:r>
      <w:r w:rsidR="00084813" w:rsidRPr="00F600E5">
        <w:rPr>
          <w:snapToGrid w:val="0"/>
          <w:kern w:val="22"/>
          <w:szCs w:val="22"/>
          <w:lang w:val="es-ES_tradnl"/>
        </w:rPr>
        <w:t xml:space="preserve">a), </w:t>
      </w:r>
      <w:r w:rsidR="00402A8D" w:rsidRPr="00F600E5">
        <w:rPr>
          <w:snapToGrid w:val="0"/>
          <w:kern w:val="22"/>
          <w:szCs w:val="22"/>
          <w:lang w:val="es-ES_tradnl"/>
        </w:rPr>
        <w:t xml:space="preserve">un total de </w:t>
      </w:r>
      <w:r w:rsidR="00084813" w:rsidRPr="00F600E5">
        <w:rPr>
          <w:snapToGrid w:val="0"/>
          <w:kern w:val="22"/>
          <w:szCs w:val="22"/>
          <w:lang w:val="es-ES_tradnl"/>
        </w:rPr>
        <w:t xml:space="preserve">7 </w:t>
      </w:r>
      <w:r w:rsidR="00402A8D" w:rsidRPr="00F600E5">
        <w:rPr>
          <w:snapToGrid w:val="0"/>
          <w:kern w:val="22"/>
          <w:szCs w:val="22"/>
          <w:lang w:val="es-ES_tradnl"/>
        </w:rPr>
        <w:t>Partes, que representan el 15% de nivel de referencia comunicado</w:t>
      </w:r>
      <w:r w:rsidR="00084813" w:rsidRPr="00F600E5">
        <w:rPr>
          <w:snapToGrid w:val="0"/>
          <w:kern w:val="22"/>
          <w:szCs w:val="22"/>
          <w:lang w:val="es-ES_tradnl"/>
        </w:rPr>
        <w:t xml:space="preserve">, </w:t>
      </w:r>
      <w:r w:rsidR="008569A4" w:rsidRPr="00F600E5">
        <w:rPr>
          <w:snapToGrid w:val="0"/>
          <w:kern w:val="22"/>
          <w:szCs w:val="22"/>
          <w:lang w:val="es-ES_tradnl"/>
        </w:rPr>
        <w:t xml:space="preserve">aun tiene pendiente la entrega de sus </w:t>
      </w:r>
      <w:r w:rsidR="00402A8D" w:rsidRPr="00F600E5">
        <w:rPr>
          <w:snapToGrid w:val="0"/>
          <w:kern w:val="22"/>
          <w:szCs w:val="22"/>
          <w:lang w:val="es-ES_tradnl"/>
        </w:rPr>
        <w:t xml:space="preserve">datos para </w:t>
      </w:r>
      <w:r w:rsidR="00084813" w:rsidRPr="00F600E5">
        <w:rPr>
          <w:snapToGrid w:val="0"/>
          <w:kern w:val="22"/>
          <w:szCs w:val="22"/>
          <w:lang w:val="es-ES_tradnl"/>
        </w:rPr>
        <w:t xml:space="preserve">2015. </w:t>
      </w:r>
      <w:r w:rsidR="00402A8D" w:rsidRPr="00F600E5">
        <w:rPr>
          <w:snapToGrid w:val="0"/>
          <w:kern w:val="22"/>
          <w:szCs w:val="22"/>
          <w:lang w:val="es-ES_tradnl"/>
        </w:rPr>
        <w:t>En lo que respecta a otras metas, los escasos progresos probablemente se deb</w:t>
      </w:r>
      <w:r w:rsidR="008569A4" w:rsidRPr="00F600E5">
        <w:rPr>
          <w:snapToGrid w:val="0"/>
          <w:kern w:val="22"/>
          <w:szCs w:val="22"/>
          <w:lang w:val="es-ES_tradnl"/>
        </w:rPr>
        <w:t>a</w:t>
      </w:r>
      <w:r w:rsidR="00402A8D" w:rsidRPr="00F600E5">
        <w:rPr>
          <w:snapToGrid w:val="0"/>
          <w:kern w:val="22"/>
          <w:szCs w:val="22"/>
          <w:lang w:val="es-ES_tradnl"/>
        </w:rPr>
        <w:t xml:space="preserve">n a las continuas dificultades en la </w:t>
      </w:r>
      <w:r w:rsidR="005B1376" w:rsidRPr="00F600E5">
        <w:rPr>
          <w:snapToGrid w:val="0"/>
          <w:kern w:val="22"/>
          <w:szCs w:val="22"/>
          <w:lang w:val="es-ES_tradnl"/>
        </w:rPr>
        <w:t>ejecución</w:t>
      </w:r>
      <w:r w:rsidR="00084813" w:rsidRPr="00F600E5">
        <w:rPr>
          <w:snapToGrid w:val="0"/>
          <w:kern w:val="22"/>
          <w:szCs w:val="22"/>
          <w:lang w:val="es-ES_tradnl"/>
        </w:rPr>
        <w:t xml:space="preserve">, </w:t>
      </w:r>
      <w:r w:rsidR="00402A8D" w:rsidRPr="00F600E5">
        <w:rPr>
          <w:snapToGrid w:val="0"/>
          <w:kern w:val="22"/>
          <w:szCs w:val="22"/>
          <w:lang w:val="es-ES_tradnl"/>
        </w:rPr>
        <w:t>e</w:t>
      </w:r>
      <w:r w:rsidR="00084813" w:rsidRPr="00F600E5">
        <w:rPr>
          <w:snapToGrid w:val="0"/>
          <w:kern w:val="22"/>
          <w:szCs w:val="22"/>
          <w:lang w:val="es-ES_tradnl"/>
        </w:rPr>
        <w:t xml:space="preserve">n particular </w:t>
      </w:r>
      <w:r w:rsidR="005B1376" w:rsidRPr="00F600E5">
        <w:rPr>
          <w:snapToGrid w:val="0"/>
          <w:kern w:val="22"/>
          <w:szCs w:val="22"/>
          <w:lang w:val="es-ES_tradnl"/>
        </w:rPr>
        <w:t xml:space="preserve">con respecto a </w:t>
      </w:r>
      <w:r w:rsidR="00402A8D" w:rsidRPr="00F600E5">
        <w:rPr>
          <w:snapToGrid w:val="0"/>
          <w:kern w:val="22"/>
          <w:szCs w:val="22"/>
          <w:lang w:val="es-ES_tradnl"/>
        </w:rPr>
        <w:t xml:space="preserve">las metas </w:t>
      </w:r>
      <w:r w:rsidR="00084813" w:rsidRPr="00F600E5">
        <w:rPr>
          <w:snapToGrid w:val="0"/>
          <w:kern w:val="22"/>
          <w:szCs w:val="22"/>
          <w:lang w:val="es-ES_tradnl"/>
        </w:rPr>
        <w:t>1</w:t>
      </w:r>
      <w:r w:rsidR="00402A8D" w:rsidRPr="00F600E5">
        <w:rPr>
          <w:snapToGrid w:val="0"/>
          <w:kern w:val="22"/>
          <w:szCs w:val="22"/>
          <w:lang w:val="es-ES_tradnl"/>
        </w:rPr>
        <w:t> </w:t>
      </w:r>
      <w:r w:rsidR="00084813" w:rsidRPr="00F600E5">
        <w:rPr>
          <w:snapToGrid w:val="0"/>
          <w:kern w:val="22"/>
          <w:szCs w:val="22"/>
          <w:lang w:val="es-ES_tradnl"/>
        </w:rPr>
        <w:t xml:space="preserve">c) </w:t>
      </w:r>
      <w:r w:rsidR="00402A8D" w:rsidRPr="00F600E5">
        <w:rPr>
          <w:snapToGrid w:val="0"/>
          <w:kern w:val="22"/>
          <w:szCs w:val="22"/>
          <w:lang w:val="es-ES_tradnl"/>
        </w:rPr>
        <w:t xml:space="preserve">y </w:t>
      </w:r>
      <w:r w:rsidR="00084813" w:rsidRPr="00F600E5">
        <w:rPr>
          <w:snapToGrid w:val="0"/>
          <w:kern w:val="22"/>
          <w:szCs w:val="22"/>
          <w:lang w:val="es-ES_tradnl"/>
        </w:rPr>
        <w:t>1</w:t>
      </w:r>
      <w:r w:rsidR="00402A8D" w:rsidRPr="00F600E5">
        <w:rPr>
          <w:snapToGrid w:val="0"/>
          <w:kern w:val="22"/>
          <w:szCs w:val="22"/>
          <w:lang w:val="es-ES_tradnl"/>
        </w:rPr>
        <w:t> </w:t>
      </w:r>
      <w:r w:rsidR="00084813" w:rsidRPr="00F600E5">
        <w:rPr>
          <w:snapToGrid w:val="0"/>
          <w:kern w:val="22"/>
          <w:szCs w:val="22"/>
          <w:lang w:val="es-ES_tradnl"/>
        </w:rPr>
        <w:t xml:space="preserve">d), </w:t>
      </w:r>
      <w:r w:rsidR="008569A4" w:rsidRPr="00F600E5">
        <w:rPr>
          <w:snapToGrid w:val="0"/>
          <w:kern w:val="22"/>
          <w:szCs w:val="22"/>
          <w:lang w:val="es-ES_tradnl"/>
        </w:rPr>
        <w:t xml:space="preserve">relacionadas </w:t>
      </w:r>
      <w:r w:rsidR="00402A8D" w:rsidRPr="00F600E5">
        <w:rPr>
          <w:snapToGrid w:val="0"/>
          <w:kern w:val="22"/>
          <w:szCs w:val="22"/>
          <w:lang w:val="es-ES_tradnl"/>
        </w:rPr>
        <w:t>con una falta de capacidad general</w:t>
      </w:r>
      <w:r w:rsidR="00084813" w:rsidRPr="00F600E5">
        <w:rPr>
          <w:snapToGrid w:val="0"/>
          <w:kern w:val="22"/>
          <w:szCs w:val="22"/>
          <w:lang w:val="es-ES_tradnl"/>
        </w:rPr>
        <w:t xml:space="preserve">, </w:t>
      </w:r>
      <w:r w:rsidR="00402A8D" w:rsidRPr="00F600E5">
        <w:rPr>
          <w:snapToGrid w:val="0"/>
          <w:kern w:val="22"/>
          <w:szCs w:val="22"/>
          <w:lang w:val="es-ES_tradnl"/>
        </w:rPr>
        <w:t xml:space="preserve">en particular </w:t>
      </w:r>
      <w:r w:rsidR="005B1376" w:rsidRPr="00F600E5">
        <w:rPr>
          <w:snapToGrid w:val="0"/>
          <w:kern w:val="22"/>
          <w:szCs w:val="22"/>
          <w:lang w:val="es-ES_tradnl"/>
        </w:rPr>
        <w:t xml:space="preserve">para los </w:t>
      </w:r>
      <w:r w:rsidR="00402A8D" w:rsidRPr="00F600E5">
        <w:rPr>
          <w:snapToGrid w:val="0"/>
          <w:kern w:val="22"/>
          <w:szCs w:val="22"/>
          <w:lang w:val="es-ES_tradnl"/>
        </w:rPr>
        <w:t xml:space="preserve">países que no participan en la </w:t>
      </w:r>
      <w:r w:rsidR="00DA25B9" w:rsidRPr="00F600E5">
        <w:rPr>
          <w:snapToGrid w:val="0"/>
          <w:kern w:val="22"/>
          <w:szCs w:val="22"/>
          <w:lang w:val="es-ES_tradnl"/>
        </w:rPr>
        <w:t xml:space="preserve">Iniciativa para la Financiación de la Biodiversidad </w:t>
      </w:r>
      <w:r w:rsidR="00084813" w:rsidRPr="00F600E5">
        <w:rPr>
          <w:snapToGrid w:val="0"/>
          <w:kern w:val="22"/>
          <w:szCs w:val="22"/>
          <w:lang w:val="es-ES_tradnl"/>
        </w:rPr>
        <w:t xml:space="preserve">(BIOFIN) </w:t>
      </w:r>
      <w:r w:rsidR="00402A8D" w:rsidRPr="00F600E5">
        <w:rPr>
          <w:snapToGrid w:val="0"/>
          <w:kern w:val="22"/>
          <w:szCs w:val="22"/>
          <w:lang w:val="es-ES_tradnl"/>
        </w:rPr>
        <w:t xml:space="preserve">del </w:t>
      </w:r>
      <w:r w:rsidR="006C5FC8" w:rsidRPr="00F600E5">
        <w:rPr>
          <w:snapToGrid w:val="0"/>
          <w:kern w:val="22"/>
          <w:szCs w:val="22"/>
          <w:lang w:val="es-ES_tradnl"/>
        </w:rPr>
        <w:t>Programa de las Naciones Unidas para el Desarrollo</w:t>
      </w:r>
      <w:r w:rsidR="00084813" w:rsidRPr="00F600E5">
        <w:rPr>
          <w:snapToGrid w:val="0"/>
          <w:kern w:val="22"/>
          <w:szCs w:val="22"/>
          <w:lang w:val="es-ES_tradnl"/>
        </w:rPr>
        <w:t xml:space="preserve">, </w:t>
      </w:r>
      <w:r w:rsidR="00402A8D" w:rsidRPr="00F600E5">
        <w:rPr>
          <w:snapToGrid w:val="0"/>
          <w:kern w:val="22"/>
          <w:szCs w:val="22"/>
          <w:lang w:val="es-ES_tradnl"/>
        </w:rPr>
        <w:t xml:space="preserve">que ofrece capacidad de creación y apoyo técnico </w:t>
      </w:r>
      <w:r w:rsidR="005B1376" w:rsidRPr="00F600E5">
        <w:rPr>
          <w:snapToGrid w:val="0"/>
          <w:kern w:val="22"/>
          <w:szCs w:val="22"/>
          <w:lang w:val="es-ES_tradnl"/>
        </w:rPr>
        <w:t xml:space="preserve">para </w:t>
      </w:r>
      <w:r w:rsidR="00402A8D" w:rsidRPr="00F600E5">
        <w:rPr>
          <w:snapToGrid w:val="0"/>
          <w:kern w:val="22"/>
          <w:szCs w:val="22"/>
          <w:lang w:val="es-ES_tradnl"/>
        </w:rPr>
        <w:t>los países en desarrollo para medir los gastos actuales en materia de diversidad biológica</w:t>
      </w:r>
      <w:r w:rsidR="00084813" w:rsidRPr="00F600E5">
        <w:rPr>
          <w:snapToGrid w:val="0"/>
          <w:kern w:val="22"/>
          <w:szCs w:val="22"/>
          <w:lang w:val="es-ES_tradnl"/>
        </w:rPr>
        <w:t xml:space="preserve">, </w:t>
      </w:r>
      <w:r w:rsidR="00402A8D" w:rsidRPr="00F600E5">
        <w:rPr>
          <w:snapToGrid w:val="0"/>
          <w:kern w:val="22"/>
          <w:szCs w:val="22"/>
          <w:lang w:val="es-ES_tradnl"/>
        </w:rPr>
        <w:t>para evaluar sus necesidades de financiación</w:t>
      </w:r>
      <w:r w:rsidR="00084813" w:rsidRPr="00F600E5">
        <w:rPr>
          <w:snapToGrid w:val="0"/>
          <w:kern w:val="22"/>
          <w:szCs w:val="22"/>
          <w:lang w:val="es-ES_tradnl"/>
        </w:rPr>
        <w:t xml:space="preserve">, </w:t>
      </w:r>
      <w:r w:rsidR="00402A8D" w:rsidRPr="00F600E5">
        <w:rPr>
          <w:snapToGrid w:val="0"/>
          <w:kern w:val="22"/>
          <w:szCs w:val="22"/>
          <w:lang w:val="es-ES_tradnl"/>
        </w:rPr>
        <w:t>y para elaborar el plan nacional de financiación o la estrategia de movilización de recursos</w:t>
      </w:r>
      <w:r w:rsidR="00084813" w:rsidRPr="00F600E5">
        <w:rPr>
          <w:rStyle w:val="FootnoteReference"/>
          <w:snapToGrid w:val="0"/>
          <w:kern w:val="22"/>
          <w:szCs w:val="22"/>
          <w:lang w:val="es-ES_tradnl"/>
        </w:rPr>
        <w:footnoteReference w:id="11"/>
      </w:r>
      <w:r w:rsidR="00402A8D" w:rsidRPr="00F600E5">
        <w:rPr>
          <w:snapToGrid w:val="0"/>
          <w:kern w:val="22"/>
          <w:szCs w:val="22"/>
          <w:lang w:val="es-ES_tradnl"/>
        </w:rPr>
        <w:t>.</w:t>
      </w:r>
      <w:r w:rsidR="00084813" w:rsidRPr="00F600E5">
        <w:rPr>
          <w:snapToGrid w:val="0"/>
          <w:kern w:val="22"/>
          <w:szCs w:val="22"/>
          <w:lang w:val="es-ES_tradnl"/>
        </w:rPr>
        <w:t xml:space="preserve"> </w:t>
      </w:r>
      <w:r w:rsidR="005B1376" w:rsidRPr="00F600E5">
        <w:rPr>
          <w:snapToGrid w:val="0"/>
          <w:kern w:val="22"/>
          <w:szCs w:val="22"/>
          <w:lang w:val="es-ES_tradnl"/>
        </w:rPr>
        <w:t>Si bien</w:t>
      </w:r>
      <w:r w:rsidR="008569A4" w:rsidRPr="00F600E5">
        <w:rPr>
          <w:snapToGrid w:val="0"/>
          <w:kern w:val="22"/>
          <w:szCs w:val="22"/>
          <w:lang w:val="es-ES_tradnl"/>
        </w:rPr>
        <w:t xml:space="preserve"> avanza </w:t>
      </w:r>
      <w:r w:rsidR="005B1376" w:rsidRPr="00F600E5">
        <w:rPr>
          <w:snapToGrid w:val="0"/>
          <w:kern w:val="22"/>
          <w:szCs w:val="22"/>
          <w:lang w:val="es-ES_tradnl"/>
        </w:rPr>
        <w:t>l</w:t>
      </w:r>
      <w:r w:rsidR="00402A8D" w:rsidRPr="00F600E5">
        <w:rPr>
          <w:snapToGrid w:val="0"/>
          <w:kern w:val="22"/>
          <w:szCs w:val="22"/>
          <w:lang w:val="es-ES_tradnl"/>
        </w:rPr>
        <w:t xml:space="preserve">a ejecución en los países que cuentan con el apoyo directo de </w:t>
      </w:r>
      <w:r w:rsidR="00084813" w:rsidRPr="00F600E5">
        <w:rPr>
          <w:snapToGrid w:val="0"/>
          <w:kern w:val="22"/>
          <w:szCs w:val="22"/>
          <w:lang w:val="es-ES_tradnl"/>
        </w:rPr>
        <w:t>BIOFIN</w:t>
      </w:r>
      <w:r w:rsidR="00402A8D" w:rsidRPr="00F600E5">
        <w:rPr>
          <w:snapToGrid w:val="0"/>
          <w:kern w:val="22"/>
          <w:szCs w:val="22"/>
          <w:lang w:val="es-ES_tradnl"/>
        </w:rPr>
        <w:t xml:space="preserve">, ha </w:t>
      </w:r>
      <w:r w:rsidR="008569A4" w:rsidRPr="00F600E5">
        <w:rPr>
          <w:snapToGrid w:val="0"/>
          <w:kern w:val="22"/>
          <w:szCs w:val="22"/>
          <w:lang w:val="es-ES_tradnl"/>
        </w:rPr>
        <w:t xml:space="preserve">habido </w:t>
      </w:r>
      <w:r w:rsidR="00402A8D" w:rsidRPr="00F600E5">
        <w:rPr>
          <w:snapToGrid w:val="0"/>
          <w:kern w:val="22"/>
          <w:szCs w:val="22"/>
          <w:lang w:val="es-ES_tradnl"/>
        </w:rPr>
        <w:t>diversas dificultades de índole técnica y metodológica</w:t>
      </w:r>
      <w:r w:rsidR="00084813" w:rsidRPr="00F600E5">
        <w:rPr>
          <w:snapToGrid w:val="0"/>
          <w:kern w:val="22"/>
          <w:szCs w:val="22"/>
          <w:lang w:val="es-ES_tradnl"/>
        </w:rPr>
        <w:t>.</w:t>
      </w:r>
    </w:p>
    <w:p w:rsidR="00084813" w:rsidRPr="00F600E5" w:rsidRDefault="00084813" w:rsidP="00084813">
      <w:pPr>
        <w:pStyle w:val="Heading1"/>
        <w:tabs>
          <w:tab w:val="clear" w:pos="720"/>
        </w:tabs>
        <w:spacing w:before="120"/>
        <w:rPr>
          <w:kern w:val="22"/>
          <w:szCs w:val="22"/>
          <w:lang w:val="es-ES_tradnl"/>
        </w:rPr>
      </w:pPr>
      <w:r w:rsidRPr="00F600E5">
        <w:rPr>
          <w:kern w:val="22"/>
          <w:szCs w:val="22"/>
          <w:lang w:val="es-ES_tradnl"/>
        </w:rPr>
        <w:lastRenderedPageBreak/>
        <w:t>II.</w:t>
      </w:r>
      <w:r w:rsidRPr="00F600E5">
        <w:rPr>
          <w:kern w:val="22"/>
          <w:szCs w:val="22"/>
          <w:lang w:val="es-ES_tradnl"/>
        </w:rPr>
        <w:tab/>
      </w:r>
      <w:r w:rsidR="00D978DC" w:rsidRPr="00F600E5">
        <w:rPr>
          <w:kern w:val="22"/>
          <w:szCs w:val="22"/>
          <w:lang w:val="es-ES_tradnl"/>
        </w:rPr>
        <w:t>otros elementos de la decisión</w:t>
      </w:r>
      <w:r w:rsidRPr="00F600E5">
        <w:rPr>
          <w:kern w:val="22"/>
          <w:szCs w:val="22"/>
          <w:lang w:val="es-ES_tradnl"/>
        </w:rPr>
        <w:t xml:space="preserve"> XIII/20</w:t>
      </w:r>
    </w:p>
    <w:p w:rsidR="00084813" w:rsidRPr="00F600E5" w:rsidRDefault="00D978DC" w:rsidP="00B840DD">
      <w:pPr>
        <w:pStyle w:val="Heading2"/>
        <w:numPr>
          <w:ilvl w:val="0"/>
          <w:numId w:val="21"/>
        </w:numPr>
        <w:tabs>
          <w:tab w:val="clear" w:pos="720"/>
        </w:tabs>
        <w:ind w:left="0" w:firstLine="0"/>
        <w:rPr>
          <w:kern w:val="22"/>
          <w:lang w:val="es-ES_tradnl"/>
        </w:rPr>
      </w:pPr>
      <w:r w:rsidRPr="00F600E5">
        <w:rPr>
          <w:kern w:val="22"/>
          <w:lang w:val="es-ES_tradnl"/>
        </w:rPr>
        <w:t>Creación de capacidad y apoyo técnico</w:t>
      </w:r>
    </w:p>
    <w:p w:rsidR="00084813" w:rsidRPr="00F600E5" w:rsidRDefault="00A1052A" w:rsidP="00084813">
      <w:pPr>
        <w:numPr>
          <w:ilvl w:val="0"/>
          <w:numId w:val="19"/>
        </w:numPr>
        <w:spacing w:after="120"/>
        <w:ind w:left="0" w:firstLine="0"/>
        <w:rPr>
          <w:kern w:val="22"/>
          <w:szCs w:val="22"/>
          <w:lang w:val="es-ES_tradnl"/>
        </w:rPr>
      </w:pPr>
      <w:r w:rsidRPr="00F600E5">
        <w:rPr>
          <w:kern w:val="22"/>
          <w:szCs w:val="22"/>
          <w:lang w:val="es-ES_tradnl"/>
        </w:rPr>
        <w:t xml:space="preserve">En </w:t>
      </w:r>
      <w:r w:rsidR="005B1376" w:rsidRPr="00F600E5">
        <w:rPr>
          <w:kern w:val="22"/>
          <w:szCs w:val="22"/>
          <w:lang w:val="es-ES_tradnl"/>
        </w:rPr>
        <w:t xml:space="preserve">la decisión XIII/20, </w:t>
      </w:r>
      <w:r w:rsidRPr="00F600E5">
        <w:rPr>
          <w:kern w:val="22"/>
          <w:szCs w:val="22"/>
          <w:lang w:val="es-ES_tradnl"/>
        </w:rPr>
        <w:t>párrafo</w:t>
      </w:r>
      <w:r w:rsidR="00084813" w:rsidRPr="00F600E5">
        <w:rPr>
          <w:kern w:val="22"/>
          <w:szCs w:val="22"/>
          <w:lang w:val="es-ES_tradnl"/>
        </w:rPr>
        <w:t xml:space="preserve"> 10, </w:t>
      </w:r>
      <w:r w:rsidR="006C5FC8" w:rsidRPr="00F600E5">
        <w:rPr>
          <w:kern w:val="22"/>
          <w:szCs w:val="22"/>
          <w:lang w:val="es-ES_tradnl"/>
        </w:rPr>
        <w:t>la Conferencia de las Partes</w:t>
      </w:r>
      <w:r w:rsidR="004F6EE9" w:rsidRPr="00F600E5">
        <w:rPr>
          <w:kern w:val="22"/>
          <w:szCs w:val="22"/>
          <w:lang w:val="es-ES_tradnl"/>
        </w:rPr>
        <w:t xml:space="preserve"> </w:t>
      </w:r>
      <w:r w:rsidR="009A6D07" w:rsidRPr="00F600E5">
        <w:rPr>
          <w:kern w:val="22"/>
          <w:szCs w:val="22"/>
          <w:lang w:val="es-ES_tradnl"/>
        </w:rPr>
        <w:t xml:space="preserve">invitó a </w:t>
      </w:r>
      <w:r w:rsidR="008569A4" w:rsidRPr="00F600E5">
        <w:rPr>
          <w:kern w:val="22"/>
          <w:szCs w:val="22"/>
          <w:lang w:val="es-ES_tradnl"/>
        </w:rPr>
        <w:t xml:space="preserve">organizaciones e </w:t>
      </w:r>
      <w:r w:rsidR="008569A4" w:rsidRPr="00F600E5">
        <w:rPr>
          <w:snapToGrid w:val="0"/>
          <w:szCs w:val="22"/>
          <w:lang w:val="es-ES_tradnl"/>
        </w:rPr>
        <w:t xml:space="preserve">iniciativas </w:t>
      </w:r>
      <w:r w:rsidR="009A6D07" w:rsidRPr="00F600E5">
        <w:rPr>
          <w:snapToGrid w:val="0"/>
          <w:szCs w:val="22"/>
          <w:lang w:val="es-ES_tradnl"/>
        </w:rPr>
        <w:t xml:space="preserve">pertinentes, incluida la Iniciativa </w:t>
      </w:r>
      <w:r w:rsidR="009A6D07" w:rsidRPr="00F600E5">
        <w:rPr>
          <w:kern w:val="22"/>
          <w:szCs w:val="22"/>
          <w:lang w:val="es-ES_tradnl"/>
        </w:rPr>
        <w:t>BIOFIN</w:t>
      </w:r>
      <w:r w:rsidR="00084813" w:rsidRPr="00F600E5">
        <w:rPr>
          <w:kern w:val="22"/>
          <w:szCs w:val="22"/>
          <w:lang w:val="es-ES_tradnl"/>
        </w:rPr>
        <w:t xml:space="preserve">, </w:t>
      </w:r>
      <w:r w:rsidR="009A6D07" w:rsidRPr="00F600E5">
        <w:rPr>
          <w:kern w:val="22"/>
          <w:szCs w:val="22"/>
          <w:lang w:val="es-ES_tradnl"/>
        </w:rPr>
        <w:t xml:space="preserve">a que brindaran </w:t>
      </w:r>
      <w:r w:rsidR="009A6D07" w:rsidRPr="00F600E5">
        <w:rPr>
          <w:snapToGrid w:val="0"/>
          <w:szCs w:val="22"/>
          <w:lang w:val="es-ES_tradnl"/>
        </w:rPr>
        <w:t xml:space="preserve">apoyo técnico y creación de capacidad a las Partes interesadas y </w:t>
      </w:r>
      <w:r w:rsidR="008569A4" w:rsidRPr="00F600E5">
        <w:rPr>
          <w:snapToGrid w:val="0"/>
          <w:szCs w:val="22"/>
          <w:lang w:val="es-ES_tradnl"/>
        </w:rPr>
        <w:t xml:space="preserve">que </w:t>
      </w:r>
      <w:r w:rsidR="009A6D07" w:rsidRPr="00F600E5">
        <w:rPr>
          <w:snapToGrid w:val="0"/>
          <w:szCs w:val="22"/>
          <w:lang w:val="es-ES_tradnl"/>
        </w:rPr>
        <w:t>reúnan los requisitos, de las Partes que son países en desarrollo</w:t>
      </w:r>
      <w:r w:rsidR="008569A4" w:rsidRPr="00F600E5">
        <w:rPr>
          <w:snapToGrid w:val="0"/>
          <w:szCs w:val="22"/>
          <w:lang w:val="es-ES_tradnl"/>
        </w:rPr>
        <w:t xml:space="preserve">, respecto a </w:t>
      </w:r>
      <w:r w:rsidR="009A6D07" w:rsidRPr="00F600E5">
        <w:rPr>
          <w:snapToGrid w:val="0"/>
          <w:szCs w:val="22"/>
          <w:lang w:val="es-ES_tradnl"/>
        </w:rPr>
        <w:t xml:space="preserve">la identificación de necesidades, deficiencias y prioridades de financiación, la elaboración e implementación de estrategias nacionales de movilización de recursos y </w:t>
      </w:r>
      <w:r w:rsidR="008569A4" w:rsidRPr="00F600E5">
        <w:rPr>
          <w:snapToGrid w:val="0"/>
          <w:szCs w:val="22"/>
          <w:lang w:val="es-ES_tradnl"/>
        </w:rPr>
        <w:t xml:space="preserve">la </w:t>
      </w:r>
      <w:r w:rsidR="009A6D07" w:rsidRPr="00F600E5">
        <w:rPr>
          <w:snapToGrid w:val="0"/>
          <w:szCs w:val="22"/>
          <w:lang w:val="es-ES_tradnl"/>
        </w:rPr>
        <w:t>presentación de informes financieros</w:t>
      </w:r>
      <w:r w:rsidR="00084813" w:rsidRPr="00F600E5">
        <w:rPr>
          <w:kern w:val="22"/>
          <w:szCs w:val="22"/>
          <w:lang w:val="es-ES_tradnl"/>
        </w:rPr>
        <w:t xml:space="preserve">. </w:t>
      </w:r>
      <w:r w:rsidRPr="00F600E5">
        <w:rPr>
          <w:kern w:val="22"/>
          <w:szCs w:val="22"/>
          <w:lang w:val="es-ES_tradnl"/>
        </w:rPr>
        <w:t>En el párrafo</w:t>
      </w:r>
      <w:r w:rsidR="00084813" w:rsidRPr="00F600E5">
        <w:rPr>
          <w:kern w:val="22"/>
          <w:szCs w:val="22"/>
          <w:lang w:val="es-ES_tradnl"/>
        </w:rPr>
        <w:t xml:space="preserve"> 12, </w:t>
      </w:r>
      <w:r w:rsidR="006C5FC8" w:rsidRPr="00F600E5">
        <w:rPr>
          <w:kern w:val="22"/>
          <w:szCs w:val="22"/>
          <w:lang w:val="es-ES_tradnl"/>
        </w:rPr>
        <w:t>la Conferencia de las Partes</w:t>
      </w:r>
      <w:r w:rsidR="00084813" w:rsidRPr="00F600E5">
        <w:rPr>
          <w:kern w:val="22"/>
          <w:szCs w:val="22"/>
          <w:lang w:val="es-ES_tradnl"/>
        </w:rPr>
        <w:t xml:space="preserve"> </w:t>
      </w:r>
      <w:r w:rsidR="009A6D07" w:rsidRPr="00F600E5">
        <w:rPr>
          <w:kern w:val="22"/>
          <w:szCs w:val="22"/>
          <w:lang w:val="es-ES_tradnl"/>
        </w:rPr>
        <w:t xml:space="preserve">acogió con </w:t>
      </w:r>
      <w:r w:rsidR="009A6D07" w:rsidRPr="00F600E5">
        <w:rPr>
          <w:lang w:val="es-ES_tradnl"/>
        </w:rPr>
        <w:t xml:space="preserve">satisfacción la creación de nodos regionales del CDB-BIOFIN como medio para proporcionar apoyo técnico a los países interesados que no cuentan con el apoyo de </w:t>
      </w:r>
      <w:r w:rsidR="00913D03" w:rsidRPr="00F600E5">
        <w:rPr>
          <w:lang w:val="es-ES_tradnl"/>
        </w:rPr>
        <w:t>la Iniciativa para la Financiación de la Biodiversidad</w:t>
      </w:r>
      <w:r w:rsidR="00084813" w:rsidRPr="00F600E5">
        <w:rPr>
          <w:kern w:val="22"/>
          <w:szCs w:val="22"/>
          <w:lang w:val="es-ES_tradnl"/>
        </w:rPr>
        <w:t xml:space="preserve">, </w:t>
      </w:r>
      <w:r w:rsidR="00913D03" w:rsidRPr="00F600E5">
        <w:rPr>
          <w:kern w:val="22"/>
          <w:szCs w:val="22"/>
          <w:lang w:val="es-ES_tradnl"/>
        </w:rPr>
        <w:t xml:space="preserve">y alentó a dicha Iniciativa a tomar en consideración el marco conceptual de la </w:t>
      </w:r>
      <w:r w:rsidR="00450424" w:rsidRPr="00F600E5">
        <w:rPr>
          <w:kern w:val="22"/>
          <w:szCs w:val="22"/>
          <w:lang w:val="es-ES_tradnl"/>
        </w:rPr>
        <w:t>Plataforma intergubernamental científico-normativa sobre diversidad biológica y servicios de los ecosistemas (</w:t>
      </w:r>
      <w:r w:rsidR="00913D03" w:rsidRPr="00F600E5">
        <w:rPr>
          <w:kern w:val="22"/>
          <w:szCs w:val="22"/>
          <w:lang w:val="es-ES_tradnl"/>
        </w:rPr>
        <w:t>IPBES</w:t>
      </w:r>
      <w:r w:rsidR="00450424" w:rsidRPr="00F600E5">
        <w:rPr>
          <w:kern w:val="22"/>
          <w:szCs w:val="22"/>
          <w:lang w:val="es-ES_tradnl"/>
        </w:rPr>
        <w:t>)</w:t>
      </w:r>
      <w:r w:rsidR="00913D03" w:rsidRPr="00F600E5">
        <w:rPr>
          <w:kern w:val="22"/>
          <w:szCs w:val="22"/>
          <w:lang w:val="es-ES_tradnl"/>
        </w:rPr>
        <w:t xml:space="preserve"> sobre la diversidad biológica y los servicios de los ecosistemas en su futura labor</w:t>
      </w:r>
      <w:r w:rsidR="00AC05B4" w:rsidRPr="00F600E5">
        <w:rPr>
          <w:kern w:val="22"/>
          <w:szCs w:val="22"/>
          <w:lang w:val="es-ES_tradnl"/>
        </w:rPr>
        <w:t>.</w:t>
      </w:r>
    </w:p>
    <w:p w:rsidR="00084813" w:rsidRPr="00F600E5" w:rsidRDefault="00913D03" w:rsidP="00084813">
      <w:pPr>
        <w:numPr>
          <w:ilvl w:val="0"/>
          <w:numId w:val="19"/>
        </w:numPr>
        <w:spacing w:after="120"/>
        <w:ind w:left="0" w:firstLine="0"/>
        <w:rPr>
          <w:snapToGrid w:val="0"/>
          <w:kern w:val="22"/>
          <w:szCs w:val="22"/>
          <w:lang w:val="es-ES_tradnl"/>
        </w:rPr>
      </w:pPr>
      <w:r w:rsidRPr="00F600E5">
        <w:rPr>
          <w:snapToGrid w:val="0"/>
          <w:kern w:val="22"/>
          <w:szCs w:val="22"/>
          <w:lang w:val="es-ES_tradnl"/>
        </w:rPr>
        <w:t>En 2016 otros 11 países</w:t>
      </w:r>
      <w:r w:rsidR="00084813" w:rsidRPr="00F600E5">
        <w:rPr>
          <w:rStyle w:val="FootnoteReference"/>
          <w:snapToGrid w:val="0"/>
          <w:kern w:val="22"/>
          <w:szCs w:val="22"/>
          <w:lang w:val="es-ES_tradnl"/>
        </w:rPr>
        <w:footnoteReference w:id="12"/>
      </w:r>
      <w:r w:rsidR="00084813" w:rsidRPr="00F600E5">
        <w:rPr>
          <w:snapToGrid w:val="0"/>
          <w:kern w:val="22"/>
          <w:szCs w:val="22"/>
          <w:lang w:val="es-ES_tradnl"/>
        </w:rPr>
        <w:t xml:space="preserve"> </w:t>
      </w:r>
      <w:r w:rsidR="008569A4" w:rsidRPr="00F600E5">
        <w:rPr>
          <w:snapToGrid w:val="0"/>
          <w:kern w:val="22"/>
          <w:szCs w:val="22"/>
          <w:lang w:val="es-ES_tradnl"/>
        </w:rPr>
        <w:t xml:space="preserve">se unieron </w:t>
      </w:r>
      <w:r w:rsidRPr="00F600E5">
        <w:rPr>
          <w:snapToGrid w:val="0"/>
          <w:kern w:val="22"/>
          <w:szCs w:val="22"/>
          <w:lang w:val="es-ES_tradnl"/>
        </w:rPr>
        <w:t xml:space="preserve">a la Iniciativa </w:t>
      </w:r>
      <w:r w:rsidR="00084813" w:rsidRPr="00F600E5">
        <w:rPr>
          <w:snapToGrid w:val="0"/>
          <w:kern w:val="22"/>
          <w:szCs w:val="22"/>
          <w:lang w:val="es-ES_tradnl"/>
        </w:rPr>
        <w:t xml:space="preserve">BIOFIN, </w:t>
      </w:r>
      <w:r w:rsidRPr="00F600E5">
        <w:rPr>
          <w:snapToGrid w:val="0"/>
          <w:kern w:val="22"/>
          <w:szCs w:val="22"/>
          <w:lang w:val="es-ES_tradnl"/>
        </w:rPr>
        <w:t>elevando el número total de países que reciben apoyo a 30</w:t>
      </w:r>
      <w:r w:rsidR="00084813" w:rsidRPr="00F600E5">
        <w:rPr>
          <w:snapToGrid w:val="0"/>
          <w:kern w:val="22"/>
          <w:szCs w:val="22"/>
          <w:lang w:val="es-ES_tradnl"/>
        </w:rPr>
        <w:t xml:space="preserve">. </w:t>
      </w:r>
      <w:r w:rsidRPr="00F600E5">
        <w:rPr>
          <w:snapToGrid w:val="0"/>
          <w:kern w:val="22"/>
          <w:szCs w:val="22"/>
          <w:lang w:val="es-ES_tradnl"/>
        </w:rPr>
        <w:t xml:space="preserve">La segunda fase de la Iniciativa </w:t>
      </w:r>
      <w:r w:rsidR="00084813" w:rsidRPr="00F600E5">
        <w:rPr>
          <w:snapToGrid w:val="0"/>
          <w:kern w:val="22"/>
          <w:szCs w:val="22"/>
          <w:lang w:val="es-ES_tradnl"/>
        </w:rPr>
        <w:t xml:space="preserve">BIOFIN </w:t>
      </w:r>
      <w:r w:rsidRPr="00F600E5">
        <w:rPr>
          <w:snapToGrid w:val="0"/>
          <w:kern w:val="22"/>
          <w:szCs w:val="22"/>
          <w:lang w:val="es-ES_tradnl"/>
        </w:rPr>
        <w:t xml:space="preserve">comenzó en </w:t>
      </w:r>
      <w:r w:rsidR="00084813" w:rsidRPr="00F600E5">
        <w:rPr>
          <w:snapToGrid w:val="0"/>
          <w:kern w:val="22"/>
          <w:szCs w:val="22"/>
          <w:lang w:val="es-ES_tradnl"/>
        </w:rPr>
        <w:t xml:space="preserve">2018 </w:t>
      </w:r>
      <w:r w:rsidRPr="00F600E5">
        <w:rPr>
          <w:snapToGrid w:val="0"/>
          <w:kern w:val="22"/>
          <w:szCs w:val="22"/>
          <w:lang w:val="es-ES_tradnl"/>
        </w:rPr>
        <w:t>por un período de cinco años</w:t>
      </w:r>
      <w:r w:rsidR="00084813" w:rsidRPr="00F600E5">
        <w:rPr>
          <w:snapToGrid w:val="0"/>
          <w:kern w:val="22"/>
          <w:szCs w:val="22"/>
          <w:lang w:val="es-ES_tradnl"/>
        </w:rPr>
        <w:t xml:space="preserve">, </w:t>
      </w:r>
      <w:r w:rsidR="008569A4" w:rsidRPr="00F600E5">
        <w:rPr>
          <w:snapToGrid w:val="0"/>
          <w:kern w:val="22"/>
          <w:szCs w:val="22"/>
          <w:lang w:val="es-ES_tradnl"/>
        </w:rPr>
        <w:t xml:space="preserve">haciendo hincapié en </w:t>
      </w:r>
      <w:r w:rsidR="00F548CC" w:rsidRPr="00F600E5">
        <w:rPr>
          <w:snapToGrid w:val="0"/>
          <w:kern w:val="22"/>
          <w:szCs w:val="22"/>
          <w:lang w:val="es-ES_tradnl"/>
        </w:rPr>
        <w:t xml:space="preserve">apoyar a los países </w:t>
      </w:r>
      <w:r w:rsidR="00AE77DF" w:rsidRPr="00F600E5">
        <w:rPr>
          <w:snapToGrid w:val="0"/>
          <w:kern w:val="22"/>
          <w:szCs w:val="22"/>
          <w:lang w:val="es-ES_tradnl"/>
        </w:rPr>
        <w:t xml:space="preserve">en </w:t>
      </w:r>
      <w:r w:rsidR="00F548CC" w:rsidRPr="00F600E5">
        <w:rPr>
          <w:snapToGrid w:val="0"/>
          <w:kern w:val="22"/>
          <w:szCs w:val="22"/>
          <w:lang w:val="es-ES_tradnl"/>
        </w:rPr>
        <w:t>la aplicación de planes</w:t>
      </w:r>
      <w:r w:rsidR="006C31DF" w:rsidRPr="00F600E5">
        <w:rPr>
          <w:snapToGrid w:val="0"/>
          <w:kern w:val="22"/>
          <w:szCs w:val="22"/>
          <w:lang w:val="es-ES_tradnl"/>
        </w:rPr>
        <w:t xml:space="preserve"> </w:t>
      </w:r>
      <w:r w:rsidR="00F548CC" w:rsidRPr="00F600E5">
        <w:rPr>
          <w:snapToGrid w:val="0"/>
          <w:kern w:val="22"/>
          <w:szCs w:val="22"/>
          <w:lang w:val="es-ES_tradnl"/>
        </w:rPr>
        <w:t>y soluciones de financiación para la diversidad biológica</w:t>
      </w:r>
      <w:r w:rsidR="00084813" w:rsidRPr="00F600E5">
        <w:rPr>
          <w:snapToGrid w:val="0"/>
          <w:kern w:val="22"/>
          <w:szCs w:val="22"/>
          <w:lang w:val="es-ES_tradnl"/>
        </w:rPr>
        <w:t xml:space="preserve">. </w:t>
      </w:r>
      <w:r w:rsidR="00F548CC" w:rsidRPr="00F600E5">
        <w:rPr>
          <w:snapToGrid w:val="0"/>
          <w:kern w:val="22"/>
          <w:szCs w:val="22"/>
          <w:lang w:val="es-ES_tradnl"/>
        </w:rPr>
        <w:t xml:space="preserve">Los nodos regionales del </w:t>
      </w:r>
      <w:r w:rsidR="00084813" w:rsidRPr="00F600E5">
        <w:rPr>
          <w:kern w:val="22"/>
          <w:szCs w:val="22"/>
          <w:lang w:val="es-ES_tradnl"/>
        </w:rPr>
        <w:t xml:space="preserve">CBD-BIOFIN </w:t>
      </w:r>
      <w:r w:rsidR="00F548CC" w:rsidRPr="00F600E5">
        <w:rPr>
          <w:kern w:val="22"/>
          <w:szCs w:val="22"/>
          <w:lang w:val="es-ES_tradnl"/>
        </w:rPr>
        <w:t>están en funcionamiento en África, Asia y el Pacífico, Europa oriental, y América Latina y el Caribe</w:t>
      </w:r>
      <w:r w:rsidR="00084813" w:rsidRPr="00F600E5">
        <w:rPr>
          <w:kern w:val="22"/>
          <w:szCs w:val="22"/>
          <w:lang w:val="es-ES_tradnl"/>
        </w:rPr>
        <w:t xml:space="preserve">. </w:t>
      </w:r>
      <w:r w:rsidR="00F548CC" w:rsidRPr="00F600E5">
        <w:rPr>
          <w:kern w:val="22"/>
          <w:szCs w:val="22"/>
          <w:lang w:val="es-ES_tradnl"/>
        </w:rPr>
        <w:t xml:space="preserve">Un equipo de tres expertos regionales ofrece apoyo técnico a países </w:t>
      </w:r>
      <w:r w:rsidR="00AE77DF" w:rsidRPr="00F600E5">
        <w:rPr>
          <w:kern w:val="22"/>
          <w:szCs w:val="22"/>
          <w:lang w:val="es-ES_tradnl"/>
        </w:rPr>
        <w:t xml:space="preserve">beneficiarios </w:t>
      </w:r>
      <w:r w:rsidR="00F548CC" w:rsidRPr="00F600E5">
        <w:rPr>
          <w:kern w:val="22"/>
          <w:szCs w:val="22"/>
          <w:lang w:val="es-ES_tradnl"/>
        </w:rPr>
        <w:t>de dichas regiones que no contaban con el apoyo de la Iniciativa para la Financiación de la Biodiversidad</w:t>
      </w:r>
      <w:r w:rsidR="00084813" w:rsidRPr="00F600E5">
        <w:rPr>
          <w:kern w:val="22"/>
          <w:lang w:val="es-ES_tradnl"/>
        </w:rPr>
        <w:t>,</w:t>
      </w:r>
      <w:r w:rsidR="00084813" w:rsidRPr="00F600E5">
        <w:rPr>
          <w:kern w:val="22"/>
          <w:szCs w:val="22"/>
          <w:lang w:val="es-ES_tradnl"/>
        </w:rPr>
        <w:t xml:space="preserve"> </w:t>
      </w:r>
      <w:r w:rsidR="00F548CC" w:rsidRPr="00F600E5">
        <w:rPr>
          <w:kern w:val="22"/>
          <w:szCs w:val="22"/>
          <w:lang w:val="es-ES_tradnl"/>
        </w:rPr>
        <w:t xml:space="preserve">para que conozcan y apliquen la </w:t>
      </w:r>
      <w:r w:rsidR="00AE77DF" w:rsidRPr="00F600E5">
        <w:rPr>
          <w:kern w:val="22"/>
          <w:szCs w:val="22"/>
          <w:lang w:val="es-ES_tradnl"/>
        </w:rPr>
        <w:t>m</w:t>
      </w:r>
      <w:r w:rsidR="00F548CC" w:rsidRPr="00F600E5">
        <w:rPr>
          <w:kern w:val="22"/>
          <w:szCs w:val="22"/>
          <w:lang w:val="es-ES_tradnl"/>
        </w:rPr>
        <w:t>etodología BIOFIN</w:t>
      </w:r>
      <w:r w:rsidR="00084813" w:rsidRPr="00F600E5">
        <w:rPr>
          <w:rStyle w:val="FootnoteReference"/>
          <w:kern w:val="22"/>
          <w:szCs w:val="22"/>
          <w:lang w:val="es-ES_tradnl"/>
        </w:rPr>
        <w:footnoteReference w:id="13"/>
      </w:r>
      <w:r w:rsidR="00F548CC" w:rsidRPr="00F600E5">
        <w:rPr>
          <w:kern w:val="22"/>
          <w:szCs w:val="22"/>
          <w:lang w:val="es-ES_tradnl"/>
        </w:rPr>
        <w:t>.</w:t>
      </w:r>
      <w:r w:rsidR="00084813" w:rsidRPr="00F600E5">
        <w:rPr>
          <w:kern w:val="22"/>
          <w:szCs w:val="22"/>
          <w:lang w:val="es-ES_tradnl"/>
        </w:rPr>
        <w:t xml:space="preserve"> </w:t>
      </w:r>
      <w:r w:rsidR="00F548CC" w:rsidRPr="00F600E5">
        <w:rPr>
          <w:kern w:val="22"/>
          <w:szCs w:val="22"/>
          <w:lang w:val="es-ES_tradnl"/>
        </w:rPr>
        <w:t xml:space="preserve">Entre los servicios que se ofrecen se encuentran los seminarios en línea sobre los distintos pasos de la </w:t>
      </w:r>
      <w:r w:rsidR="00450424" w:rsidRPr="00F600E5">
        <w:rPr>
          <w:kern w:val="22"/>
          <w:szCs w:val="22"/>
          <w:lang w:val="es-ES_tradnl"/>
        </w:rPr>
        <w:t xml:space="preserve">metodología </w:t>
      </w:r>
      <w:r w:rsidR="00F548CC" w:rsidRPr="00F600E5">
        <w:rPr>
          <w:kern w:val="22"/>
          <w:szCs w:val="22"/>
          <w:lang w:val="es-ES_tradnl"/>
        </w:rPr>
        <w:t xml:space="preserve">BIOFIN y sus vínculos con la presentación de informes financieros con arreglo al Convenio, </w:t>
      </w:r>
      <w:r w:rsidR="00A277CC" w:rsidRPr="00F600E5">
        <w:rPr>
          <w:kern w:val="22"/>
          <w:szCs w:val="22"/>
          <w:lang w:val="es-ES_tradnl"/>
        </w:rPr>
        <w:t xml:space="preserve">un amplio </w:t>
      </w:r>
      <w:r w:rsidR="00F548CC" w:rsidRPr="00F600E5">
        <w:rPr>
          <w:kern w:val="22"/>
          <w:szCs w:val="22"/>
          <w:lang w:val="es-ES_tradnl"/>
        </w:rPr>
        <w:t xml:space="preserve">curso abierto en línea sobre la </w:t>
      </w:r>
      <w:r w:rsidR="00450424" w:rsidRPr="00F600E5">
        <w:rPr>
          <w:snapToGrid w:val="0"/>
          <w:szCs w:val="22"/>
          <w:lang w:val="es-ES_tradnl"/>
        </w:rPr>
        <w:t>financiación mundial para la diversidad biológica</w:t>
      </w:r>
      <w:r w:rsidR="00AE77DF" w:rsidRPr="00F600E5">
        <w:rPr>
          <w:snapToGrid w:val="0"/>
          <w:szCs w:val="22"/>
          <w:lang w:val="es-ES_tradnl"/>
        </w:rPr>
        <w:t xml:space="preserve"> que </w:t>
      </w:r>
      <w:r w:rsidR="00AE77DF" w:rsidRPr="00F600E5">
        <w:rPr>
          <w:kern w:val="22"/>
          <w:szCs w:val="22"/>
          <w:lang w:val="es-ES_tradnl"/>
        </w:rPr>
        <w:t>se pondrá en marcha en 2018</w:t>
      </w:r>
      <w:r w:rsidR="00084813" w:rsidRPr="00F600E5">
        <w:rPr>
          <w:kern w:val="22"/>
          <w:szCs w:val="22"/>
          <w:lang w:val="es-ES_tradnl"/>
        </w:rPr>
        <w:t xml:space="preserve">, </w:t>
      </w:r>
      <w:r w:rsidR="00450424" w:rsidRPr="00F600E5">
        <w:rPr>
          <w:kern w:val="22"/>
          <w:szCs w:val="22"/>
          <w:lang w:val="es-ES_tradnl"/>
        </w:rPr>
        <w:t xml:space="preserve">y </w:t>
      </w:r>
      <w:r w:rsidR="00A277CC" w:rsidRPr="00F600E5">
        <w:rPr>
          <w:kern w:val="22"/>
          <w:szCs w:val="22"/>
          <w:lang w:val="es-ES_tradnl"/>
        </w:rPr>
        <w:t xml:space="preserve">talleres </w:t>
      </w:r>
      <w:r w:rsidR="00450424" w:rsidRPr="00F600E5">
        <w:rPr>
          <w:kern w:val="22"/>
          <w:szCs w:val="22"/>
          <w:lang w:val="es-ES_tradnl"/>
        </w:rPr>
        <w:t>de alcance regional y mundial</w:t>
      </w:r>
      <w:r w:rsidR="00084813" w:rsidRPr="00F600E5">
        <w:rPr>
          <w:rStyle w:val="FootnoteReference"/>
          <w:kern w:val="22"/>
          <w:szCs w:val="22"/>
          <w:lang w:val="es-ES_tradnl"/>
        </w:rPr>
        <w:footnoteReference w:id="14"/>
      </w:r>
      <w:r w:rsidR="00A277CC" w:rsidRPr="00F600E5">
        <w:rPr>
          <w:kern w:val="22"/>
          <w:szCs w:val="22"/>
          <w:lang w:val="es-ES_tradnl"/>
        </w:rPr>
        <w:t>,</w:t>
      </w:r>
      <w:r w:rsidR="00084813" w:rsidRPr="00F600E5">
        <w:rPr>
          <w:kern w:val="22"/>
          <w:szCs w:val="22"/>
          <w:lang w:val="es-ES_tradnl"/>
        </w:rPr>
        <w:t xml:space="preserve"> </w:t>
      </w:r>
      <w:r w:rsidR="00A277CC" w:rsidRPr="00F600E5">
        <w:rPr>
          <w:kern w:val="22"/>
          <w:szCs w:val="22"/>
          <w:lang w:val="es-ES_tradnl"/>
        </w:rPr>
        <w:t>así como misiones en los países</w:t>
      </w:r>
      <w:r w:rsidR="00084813" w:rsidRPr="00F600E5">
        <w:rPr>
          <w:kern w:val="22"/>
          <w:szCs w:val="22"/>
          <w:lang w:val="es-ES_tradnl"/>
        </w:rPr>
        <w:t xml:space="preserve">, </w:t>
      </w:r>
      <w:r w:rsidR="00A277CC" w:rsidRPr="00F600E5">
        <w:rPr>
          <w:kern w:val="22"/>
          <w:szCs w:val="22"/>
          <w:lang w:val="es-ES_tradnl"/>
        </w:rPr>
        <w:t xml:space="preserve">apoyo para </w:t>
      </w:r>
      <w:r w:rsidR="00450424" w:rsidRPr="00F600E5">
        <w:rPr>
          <w:kern w:val="22"/>
          <w:szCs w:val="22"/>
          <w:lang w:val="es-ES_tradnl"/>
        </w:rPr>
        <w:t xml:space="preserve">la elaboración de </w:t>
      </w:r>
      <w:r w:rsidR="00A277CC" w:rsidRPr="00F600E5">
        <w:rPr>
          <w:kern w:val="22"/>
          <w:szCs w:val="22"/>
          <w:lang w:val="es-ES_tradnl"/>
        </w:rPr>
        <w:t>inventarios de los mecanismos de financiación existentes</w:t>
      </w:r>
      <w:r w:rsidR="00084813" w:rsidRPr="00F600E5">
        <w:rPr>
          <w:kern w:val="22"/>
          <w:szCs w:val="22"/>
          <w:lang w:val="es-ES_tradnl"/>
        </w:rPr>
        <w:t xml:space="preserve">, </w:t>
      </w:r>
      <w:r w:rsidR="00030A3C" w:rsidRPr="00F600E5">
        <w:rPr>
          <w:kern w:val="22"/>
          <w:szCs w:val="22"/>
          <w:lang w:val="es-ES_tradnl"/>
        </w:rPr>
        <w:t xml:space="preserve">y </w:t>
      </w:r>
      <w:r w:rsidR="00450424" w:rsidRPr="00F600E5">
        <w:rPr>
          <w:kern w:val="22"/>
          <w:szCs w:val="22"/>
          <w:lang w:val="es-ES_tradnl"/>
        </w:rPr>
        <w:t xml:space="preserve">el suministro de </w:t>
      </w:r>
      <w:r w:rsidR="00030A3C" w:rsidRPr="00F600E5">
        <w:rPr>
          <w:kern w:val="22"/>
          <w:szCs w:val="22"/>
          <w:lang w:val="es-ES_tradnl"/>
        </w:rPr>
        <w:t xml:space="preserve">orientaciones </w:t>
      </w:r>
      <w:r w:rsidR="00AE77DF" w:rsidRPr="00F600E5">
        <w:rPr>
          <w:kern w:val="22"/>
          <w:szCs w:val="22"/>
          <w:lang w:val="es-ES_tradnl"/>
        </w:rPr>
        <w:t>a medida</w:t>
      </w:r>
      <w:r w:rsidR="00030A3C" w:rsidRPr="00F600E5">
        <w:rPr>
          <w:kern w:val="22"/>
          <w:szCs w:val="22"/>
          <w:lang w:val="es-ES_tradnl"/>
        </w:rPr>
        <w:t xml:space="preserve"> para otros recursos</w:t>
      </w:r>
      <w:r w:rsidR="00084813" w:rsidRPr="00F600E5">
        <w:rPr>
          <w:kern w:val="22"/>
          <w:szCs w:val="22"/>
          <w:lang w:val="es-ES_tradnl"/>
        </w:rPr>
        <w:t xml:space="preserve">. </w:t>
      </w:r>
      <w:r w:rsidR="00030A3C" w:rsidRPr="00F600E5">
        <w:rPr>
          <w:kern w:val="22"/>
          <w:szCs w:val="22"/>
          <w:lang w:val="es-ES_tradnl"/>
        </w:rPr>
        <w:t>Se invita a los países que reúnan la</w:t>
      </w:r>
      <w:r w:rsidR="00DA5ADA" w:rsidRPr="00F600E5">
        <w:rPr>
          <w:kern w:val="22"/>
          <w:szCs w:val="22"/>
          <w:lang w:val="es-ES_tradnl"/>
        </w:rPr>
        <w:t>s</w:t>
      </w:r>
      <w:r w:rsidR="00030A3C" w:rsidRPr="00F600E5">
        <w:rPr>
          <w:kern w:val="22"/>
          <w:szCs w:val="22"/>
          <w:lang w:val="es-ES_tradnl"/>
        </w:rPr>
        <w:t xml:space="preserve"> condiciones a que presenten muestras de interés</w:t>
      </w:r>
      <w:r w:rsidR="00084813" w:rsidRPr="00F600E5">
        <w:rPr>
          <w:rStyle w:val="FootnoteReference"/>
          <w:kern w:val="22"/>
          <w:szCs w:val="22"/>
          <w:lang w:val="es-ES_tradnl"/>
        </w:rPr>
        <w:footnoteReference w:id="15"/>
      </w:r>
      <w:r w:rsidR="00084813" w:rsidRPr="00F600E5">
        <w:rPr>
          <w:kern w:val="22"/>
          <w:szCs w:val="22"/>
          <w:lang w:val="es-ES_tradnl"/>
        </w:rPr>
        <w:t xml:space="preserve"> </w:t>
      </w:r>
      <w:r w:rsidR="00030A3C" w:rsidRPr="00F600E5">
        <w:rPr>
          <w:kern w:val="22"/>
          <w:szCs w:val="22"/>
          <w:lang w:val="es-ES_tradnl"/>
        </w:rPr>
        <w:t>y, a más tardar marzo de</w:t>
      </w:r>
      <w:r w:rsidR="00084813" w:rsidRPr="00F600E5">
        <w:rPr>
          <w:kern w:val="22"/>
          <w:szCs w:val="22"/>
          <w:lang w:val="es-ES_tradnl"/>
        </w:rPr>
        <w:t xml:space="preserve"> 2018, </w:t>
      </w:r>
      <w:r w:rsidR="00030A3C" w:rsidRPr="00F600E5">
        <w:rPr>
          <w:kern w:val="22"/>
          <w:szCs w:val="22"/>
          <w:lang w:val="es-ES_tradnl"/>
        </w:rPr>
        <w:t xml:space="preserve">un total de </w:t>
      </w:r>
      <w:r w:rsidR="00084813" w:rsidRPr="00F600E5">
        <w:rPr>
          <w:kern w:val="22"/>
          <w:szCs w:val="22"/>
          <w:lang w:val="es-ES_tradnl"/>
        </w:rPr>
        <w:t xml:space="preserve">39 </w:t>
      </w:r>
      <w:r w:rsidR="00030A3C" w:rsidRPr="00F600E5">
        <w:rPr>
          <w:kern w:val="22"/>
          <w:szCs w:val="22"/>
          <w:lang w:val="es-ES_tradnl"/>
        </w:rPr>
        <w:t xml:space="preserve">países </w:t>
      </w:r>
      <w:r w:rsidR="00AE77DF" w:rsidRPr="00F600E5">
        <w:rPr>
          <w:kern w:val="22"/>
          <w:szCs w:val="22"/>
          <w:lang w:val="es-ES_tradnl"/>
        </w:rPr>
        <w:t xml:space="preserve">participaban en distintos niveles </w:t>
      </w:r>
      <w:r w:rsidR="00030A3C" w:rsidRPr="00F600E5">
        <w:rPr>
          <w:kern w:val="22"/>
          <w:szCs w:val="22"/>
          <w:lang w:val="es-ES_tradnl"/>
        </w:rPr>
        <w:t xml:space="preserve">con los nodos regionales de </w:t>
      </w:r>
      <w:r w:rsidR="00084813" w:rsidRPr="00F600E5">
        <w:rPr>
          <w:kern w:val="22"/>
          <w:szCs w:val="22"/>
          <w:lang w:val="es-ES_tradnl"/>
        </w:rPr>
        <w:t>BIOFIN.</w:t>
      </w:r>
    </w:p>
    <w:p w:rsidR="00084813" w:rsidRPr="00F600E5" w:rsidRDefault="00874B69" w:rsidP="00084813">
      <w:pPr>
        <w:numPr>
          <w:ilvl w:val="0"/>
          <w:numId w:val="19"/>
        </w:numPr>
        <w:spacing w:after="120"/>
        <w:ind w:left="0" w:firstLine="0"/>
        <w:rPr>
          <w:snapToGrid w:val="0"/>
          <w:kern w:val="22"/>
          <w:szCs w:val="22"/>
          <w:lang w:val="es-ES_tradnl"/>
        </w:rPr>
      </w:pPr>
      <w:r w:rsidRPr="00F600E5">
        <w:rPr>
          <w:snapToGrid w:val="0"/>
          <w:kern w:val="22"/>
          <w:szCs w:val="22"/>
          <w:lang w:val="es-ES_tradnl"/>
        </w:rPr>
        <w:t xml:space="preserve">La Iniciativa BIOFIN publicó traducciones al español, francés y ruso de su Manual de BIOFIN </w:t>
      </w:r>
      <w:r w:rsidR="00084813" w:rsidRPr="00F600E5">
        <w:rPr>
          <w:snapToGrid w:val="0"/>
          <w:kern w:val="22"/>
          <w:szCs w:val="22"/>
          <w:lang w:val="es-ES_tradnl"/>
        </w:rPr>
        <w:t xml:space="preserve">2016. </w:t>
      </w:r>
      <w:r w:rsidRPr="00F600E5">
        <w:rPr>
          <w:snapToGrid w:val="0"/>
          <w:kern w:val="22"/>
          <w:szCs w:val="22"/>
          <w:lang w:val="es-ES_tradnl"/>
        </w:rPr>
        <w:t xml:space="preserve">Se tiene previsto publicar una versión revisada del manual en noviembre de 2018, la cual, en su marco teórico, </w:t>
      </w:r>
      <w:r w:rsidR="00AE77DF" w:rsidRPr="00F600E5">
        <w:rPr>
          <w:snapToGrid w:val="0"/>
          <w:kern w:val="22"/>
          <w:szCs w:val="22"/>
          <w:lang w:val="es-ES_tradnl"/>
        </w:rPr>
        <w:t xml:space="preserve">estará armonizada </w:t>
      </w:r>
      <w:r w:rsidRPr="00F600E5">
        <w:rPr>
          <w:snapToGrid w:val="0"/>
          <w:kern w:val="22"/>
          <w:szCs w:val="22"/>
          <w:lang w:val="es-ES_tradnl"/>
        </w:rPr>
        <w:t>con el Marco conceptual de la IPBES</w:t>
      </w:r>
      <w:r w:rsidR="00084813" w:rsidRPr="00F600E5">
        <w:rPr>
          <w:rStyle w:val="FootnoteReference"/>
          <w:snapToGrid w:val="0"/>
          <w:kern w:val="22"/>
          <w:szCs w:val="22"/>
          <w:lang w:val="es-ES_tradnl"/>
        </w:rPr>
        <w:footnoteReference w:id="16"/>
      </w:r>
      <w:r w:rsidRPr="00F600E5">
        <w:rPr>
          <w:snapToGrid w:val="0"/>
          <w:kern w:val="22"/>
          <w:szCs w:val="22"/>
          <w:lang w:val="es-ES_tradnl"/>
        </w:rPr>
        <w:t xml:space="preserve">, respondiendo de ese modo a la invitación de la </w:t>
      </w:r>
      <w:r w:rsidR="006C5FC8" w:rsidRPr="00F600E5">
        <w:rPr>
          <w:snapToGrid w:val="0"/>
          <w:kern w:val="22"/>
          <w:szCs w:val="22"/>
          <w:lang w:val="es-ES_tradnl"/>
        </w:rPr>
        <w:t>Conferencia de las Partes</w:t>
      </w:r>
      <w:r w:rsidRPr="00F600E5">
        <w:rPr>
          <w:snapToGrid w:val="0"/>
          <w:kern w:val="22"/>
          <w:szCs w:val="22"/>
          <w:lang w:val="es-ES_tradnl"/>
        </w:rPr>
        <w:t xml:space="preserve"> que figura en </w:t>
      </w:r>
      <w:r w:rsidR="00A1052A" w:rsidRPr="00F600E5">
        <w:rPr>
          <w:snapToGrid w:val="0"/>
          <w:kern w:val="22"/>
          <w:szCs w:val="22"/>
          <w:lang w:val="es-ES_tradnl"/>
        </w:rPr>
        <w:t>la decisión</w:t>
      </w:r>
      <w:r w:rsidR="00084813" w:rsidRPr="00F600E5">
        <w:rPr>
          <w:snapToGrid w:val="0"/>
          <w:kern w:val="22"/>
          <w:szCs w:val="22"/>
          <w:lang w:val="es-ES_tradnl"/>
        </w:rPr>
        <w:t xml:space="preserve"> XIII/20</w:t>
      </w:r>
      <w:r w:rsidR="00E62A43" w:rsidRPr="00F600E5">
        <w:rPr>
          <w:snapToGrid w:val="0"/>
          <w:kern w:val="22"/>
          <w:szCs w:val="22"/>
          <w:lang w:val="es-ES_tradnl"/>
        </w:rPr>
        <w:t>, párrafo 11</w:t>
      </w:r>
      <w:r w:rsidRPr="00F600E5">
        <w:rPr>
          <w:snapToGrid w:val="0"/>
          <w:kern w:val="22"/>
          <w:szCs w:val="22"/>
          <w:lang w:val="es-ES_tradnl"/>
        </w:rPr>
        <w:t xml:space="preserve">. Se ofrecerá orientaciones adicionales sobre el cálculo de las deficiencias nacionales en materia de financiación, la institucionalización del proceso </w:t>
      </w:r>
      <w:r w:rsidR="00084813" w:rsidRPr="00F600E5">
        <w:rPr>
          <w:snapToGrid w:val="0"/>
          <w:kern w:val="22"/>
          <w:szCs w:val="22"/>
          <w:lang w:val="es-ES_tradnl"/>
        </w:rPr>
        <w:t xml:space="preserve">BIOFIN, </w:t>
      </w:r>
      <w:r w:rsidRPr="00F600E5">
        <w:rPr>
          <w:snapToGrid w:val="0"/>
          <w:kern w:val="22"/>
          <w:szCs w:val="22"/>
          <w:lang w:val="es-ES_tradnl"/>
        </w:rPr>
        <w:t>el trabajo con el sector privado y la elaboración de planes de comunicación para proponer soluciones de financiación para la diversidad biológica</w:t>
      </w:r>
      <w:r w:rsidR="00084813" w:rsidRPr="00F600E5">
        <w:rPr>
          <w:snapToGrid w:val="0"/>
          <w:kern w:val="22"/>
          <w:szCs w:val="22"/>
          <w:lang w:val="es-ES_tradnl"/>
        </w:rPr>
        <w:t xml:space="preserve">. </w:t>
      </w:r>
      <w:r w:rsidRPr="00F600E5">
        <w:rPr>
          <w:snapToGrid w:val="0"/>
          <w:kern w:val="22"/>
          <w:szCs w:val="22"/>
          <w:lang w:val="es-ES_tradnl"/>
        </w:rPr>
        <w:t xml:space="preserve">Por último, se ha elaborado un Catálogo de soluciones de financiación </w:t>
      </w:r>
      <w:r w:rsidR="00084813" w:rsidRPr="00F600E5">
        <w:rPr>
          <w:snapToGrid w:val="0"/>
          <w:kern w:val="22"/>
          <w:szCs w:val="22"/>
          <w:lang w:val="es-ES_tradnl"/>
        </w:rPr>
        <w:t xml:space="preserve">BIOFIN </w:t>
      </w:r>
      <w:r w:rsidRPr="00F600E5">
        <w:rPr>
          <w:snapToGrid w:val="0"/>
          <w:kern w:val="22"/>
          <w:szCs w:val="22"/>
          <w:lang w:val="es-ES_tradnl"/>
        </w:rPr>
        <w:t>en línea</w:t>
      </w:r>
      <w:r w:rsidR="00084813" w:rsidRPr="00F600E5">
        <w:rPr>
          <w:snapToGrid w:val="0"/>
          <w:kern w:val="22"/>
          <w:szCs w:val="22"/>
          <w:lang w:val="es-ES_tradnl"/>
        </w:rPr>
        <w:t xml:space="preserve">. </w:t>
      </w:r>
      <w:r w:rsidR="00994C50" w:rsidRPr="00F600E5">
        <w:rPr>
          <w:snapToGrid w:val="0"/>
          <w:kern w:val="22"/>
          <w:szCs w:val="22"/>
          <w:lang w:val="es-ES_tradnl"/>
        </w:rPr>
        <w:t>Presenta la gama de opciones para hacer avanzar la financiación para la diversidad biológica y la inclusión en su plan de financiación, y contiene breves explicaciones de las posibles opciones</w:t>
      </w:r>
      <w:r w:rsidR="00084813" w:rsidRPr="00F600E5">
        <w:rPr>
          <w:rStyle w:val="FootnoteReference"/>
          <w:snapToGrid w:val="0"/>
          <w:kern w:val="22"/>
          <w:szCs w:val="22"/>
          <w:lang w:val="es-ES_tradnl"/>
        </w:rPr>
        <w:footnoteReference w:id="17"/>
      </w:r>
      <w:r w:rsidR="00994C50" w:rsidRPr="00F600E5">
        <w:rPr>
          <w:snapToGrid w:val="0"/>
          <w:kern w:val="22"/>
          <w:szCs w:val="22"/>
          <w:lang w:val="es-ES_tradnl"/>
        </w:rPr>
        <w:t>.</w:t>
      </w:r>
    </w:p>
    <w:p w:rsidR="00084813" w:rsidRPr="00F600E5" w:rsidRDefault="001F735C" w:rsidP="00B840DD">
      <w:pPr>
        <w:pStyle w:val="Heading2"/>
        <w:numPr>
          <w:ilvl w:val="0"/>
          <w:numId w:val="21"/>
        </w:numPr>
        <w:tabs>
          <w:tab w:val="clear" w:pos="720"/>
        </w:tabs>
        <w:ind w:left="0" w:hanging="11"/>
        <w:rPr>
          <w:snapToGrid w:val="0"/>
          <w:kern w:val="22"/>
          <w:lang w:val="es-ES_tradnl"/>
        </w:rPr>
      </w:pPr>
      <w:r w:rsidRPr="00F600E5">
        <w:rPr>
          <w:snapToGrid w:val="0"/>
          <w:kern w:val="22"/>
          <w:lang w:val="es-ES_tradnl"/>
        </w:rPr>
        <w:lastRenderedPageBreak/>
        <w:t>Fortalecimiento de los sistemas de información financiera para la diversidad biológica</w:t>
      </w:r>
    </w:p>
    <w:p w:rsidR="00084813" w:rsidRPr="00F600E5" w:rsidRDefault="00A1052A" w:rsidP="00084813">
      <w:pPr>
        <w:numPr>
          <w:ilvl w:val="0"/>
          <w:numId w:val="19"/>
        </w:numPr>
        <w:spacing w:after="120"/>
        <w:ind w:left="0" w:firstLine="0"/>
        <w:rPr>
          <w:snapToGrid w:val="0"/>
          <w:kern w:val="22"/>
          <w:szCs w:val="22"/>
          <w:lang w:val="es-ES_tradnl"/>
        </w:rPr>
      </w:pPr>
      <w:r w:rsidRPr="00F600E5">
        <w:rPr>
          <w:snapToGrid w:val="0"/>
          <w:kern w:val="22"/>
          <w:szCs w:val="22"/>
          <w:lang w:val="es-ES_tradnl"/>
        </w:rPr>
        <w:t>En la decisión</w:t>
      </w:r>
      <w:r w:rsidR="00084813" w:rsidRPr="00F600E5">
        <w:rPr>
          <w:snapToGrid w:val="0"/>
          <w:kern w:val="22"/>
          <w:szCs w:val="22"/>
          <w:lang w:val="es-ES_tradnl"/>
        </w:rPr>
        <w:t xml:space="preserve"> XIII/20, </w:t>
      </w:r>
      <w:r w:rsidR="00E62A43" w:rsidRPr="00F600E5">
        <w:rPr>
          <w:snapToGrid w:val="0"/>
          <w:kern w:val="22"/>
          <w:szCs w:val="22"/>
          <w:lang w:val="es-ES_tradnl"/>
        </w:rPr>
        <w:t xml:space="preserve">párrafo 13, </w:t>
      </w:r>
      <w:r w:rsidR="006C5FC8" w:rsidRPr="00F600E5">
        <w:rPr>
          <w:snapToGrid w:val="0"/>
          <w:kern w:val="22"/>
          <w:szCs w:val="22"/>
          <w:lang w:val="es-ES_tradnl"/>
        </w:rPr>
        <w:t>la Conferencia de las Partes</w:t>
      </w:r>
      <w:r w:rsidR="00084813" w:rsidRPr="00F600E5">
        <w:rPr>
          <w:snapToGrid w:val="0"/>
          <w:kern w:val="22"/>
          <w:szCs w:val="22"/>
          <w:lang w:val="es-ES_tradnl"/>
        </w:rPr>
        <w:t xml:space="preserve"> </w:t>
      </w:r>
      <w:r w:rsidR="00994C50" w:rsidRPr="00F600E5">
        <w:rPr>
          <w:snapToGrid w:val="0"/>
          <w:kern w:val="22"/>
          <w:szCs w:val="22"/>
          <w:lang w:val="es-ES_tradnl"/>
        </w:rPr>
        <w:t xml:space="preserve">tomó nota de la labor del </w:t>
      </w:r>
      <w:r w:rsidR="00994C50" w:rsidRPr="00F600E5">
        <w:rPr>
          <w:szCs w:val="18"/>
          <w:shd w:val="clear" w:color="auto" w:fill="FFFFFF"/>
          <w:lang w:val="es-ES_tradnl"/>
        </w:rPr>
        <w:t>Comité de Ayuda al Desarrollo (CAD) de la Organización para la Cooperación y Desarrollo Económicos (OCDE) para perfeccionar la metodología de marcadores de Río</w:t>
      </w:r>
      <w:r w:rsidR="00084813" w:rsidRPr="00F600E5">
        <w:rPr>
          <w:rStyle w:val="FootnoteReference"/>
          <w:snapToGrid w:val="0"/>
          <w:kern w:val="22"/>
          <w:szCs w:val="22"/>
          <w:lang w:val="es-ES_tradnl"/>
        </w:rPr>
        <w:footnoteReference w:id="18"/>
      </w:r>
      <w:r w:rsidR="00994C50" w:rsidRPr="00F600E5">
        <w:rPr>
          <w:szCs w:val="18"/>
          <w:shd w:val="clear" w:color="auto" w:fill="FFFFFF"/>
          <w:lang w:val="es-ES_tradnl"/>
        </w:rPr>
        <w:t>, y alentó al comité a que continuara e intensificara dicha labor</w:t>
      </w:r>
      <w:r w:rsidR="00084813" w:rsidRPr="00F600E5">
        <w:rPr>
          <w:snapToGrid w:val="0"/>
          <w:kern w:val="22"/>
          <w:szCs w:val="22"/>
          <w:lang w:val="es-ES_tradnl"/>
        </w:rPr>
        <w:t>.</w:t>
      </w:r>
    </w:p>
    <w:p w:rsidR="00084813" w:rsidRPr="00F600E5" w:rsidRDefault="00994C50" w:rsidP="00084813">
      <w:pPr>
        <w:numPr>
          <w:ilvl w:val="0"/>
          <w:numId w:val="19"/>
        </w:numPr>
        <w:spacing w:after="120"/>
        <w:ind w:left="0" w:firstLine="0"/>
        <w:rPr>
          <w:snapToGrid w:val="0"/>
          <w:kern w:val="22"/>
          <w:szCs w:val="22"/>
          <w:lang w:val="es-ES_tradnl"/>
        </w:rPr>
      </w:pPr>
      <w:r w:rsidRPr="00F600E5">
        <w:rPr>
          <w:snapToGrid w:val="0"/>
          <w:kern w:val="22"/>
          <w:szCs w:val="22"/>
          <w:lang w:val="es-ES_tradnl"/>
        </w:rPr>
        <w:t>La OCDE</w:t>
      </w:r>
      <w:r w:rsidR="00084813" w:rsidRPr="00F600E5">
        <w:rPr>
          <w:snapToGrid w:val="0"/>
          <w:kern w:val="22"/>
          <w:szCs w:val="22"/>
          <w:lang w:val="es-ES_tradnl"/>
        </w:rPr>
        <w:t xml:space="preserve">, </w:t>
      </w:r>
      <w:r w:rsidRPr="00F600E5">
        <w:rPr>
          <w:snapToGrid w:val="0"/>
          <w:kern w:val="22"/>
          <w:szCs w:val="22"/>
          <w:lang w:val="es-ES_tradnl"/>
        </w:rPr>
        <w:t xml:space="preserve">en colaboración con miembros del Comité de Ayuda al Desarrollo </w:t>
      </w:r>
      <w:r w:rsidR="00084813" w:rsidRPr="00F600E5">
        <w:rPr>
          <w:snapToGrid w:val="0"/>
          <w:kern w:val="22"/>
          <w:szCs w:val="22"/>
          <w:lang w:val="es-ES_tradnl"/>
        </w:rPr>
        <w:t>(</w:t>
      </w:r>
      <w:r w:rsidRPr="00F600E5">
        <w:rPr>
          <w:snapToGrid w:val="0"/>
          <w:kern w:val="22"/>
          <w:szCs w:val="22"/>
          <w:lang w:val="es-ES_tradnl"/>
        </w:rPr>
        <w:t>CAD</w:t>
      </w:r>
      <w:r w:rsidR="00084813" w:rsidRPr="00F600E5">
        <w:rPr>
          <w:snapToGrid w:val="0"/>
          <w:kern w:val="22"/>
          <w:szCs w:val="22"/>
          <w:lang w:val="es-ES_tradnl"/>
        </w:rPr>
        <w:t>) ha</w:t>
      </w:r>
      <w:r w:rsidRPr="00F600E5">
        <w:rPr>
          <w:snapToGrid w:val="0"/>
          <w:kern w:val="22"/>
          <w:szCs w:val="22"/>
          <w:lang w:val="es-ES_tradnl"/>
        </w:rPr>
        <w:t xml:space="preserve"> revisado desde entonces el marcador de Río para la diversidad biológica con el objeto de armonizar mejor la presentación de informes </w:t>
      </w:r>
      <w:r w:rsidR="00860503" w:rsidRPr="00F600E5">
        <w:rPr>
          <w:snapToGrid w:val="0"/>
          <w:kern w:val="22"/>
          <w:szCs w:val="22"/>
          <w:lang w:val="es-ES_tradnl"/>
        </w:rPr>
        <w:t xml:space="preserve">relacionados con la financiación </w:t>
      </w:r>
      <w:r w:rsidRPr="00F600E5">
        <w:rPr>
          <w:snapToGrid w:val="0"/>
          <w:kern w:val="22"/>
          <w:szCs w:val="22"/>
          <w:lang w:val="es-ES_tradnl"/>
        </w:rPr>
        <w:t xml:space="preserve">para el desarrollo de la diversidad biológica con </w:t>
      </w:r>
      <w:r w:rsidR="00DA5ADA" w:rsidRPr="00F600E5">
        <w:rPr>
          <w:snapToGrid w:val="0"/>
          <w:kern w:val="22"/>
          <w:szCs w:val="22"/>
          <w:lang w:val="es-ES_tradnl"/>
        </w:rPr>
        <w:t>las</w:t>
      </w:r>
      <w:r w:rsidRPr="00F600E5">
        <w:rPr>
          <w:snapToGrid w:val="0"/>
          <w:kern w:val="22"/>
          <w:szCs w:val="22"/>
          <w:lang w:val="es-ES_tradnl"/>
        </w:rPr>
        <w:t xml:space="preserve"> últimas novedades de conformidad con el proceso del Convenio</w:t>
      </w:r>
      <w:r w:rsidR="00084813" w:rsidRPr="00F600E5">
        <w:rPr>
          <w:snapToGrid w:val="0"/>
          <w:kern w:val="22"/>
          <w:szCs w:val="22"/>
          <w:lang w:val="es-ES_tradnl"/>
        </w:rPr>
        <w:t xml:space="preserve">. </w:t>
      </w:r>
      <w:r w:rsidRPr="00F600E5">
        <w:rPr>
          <w:snapToGrid w:val="0"/>
          <w:kern w:val="22"/>
          <w:szCs w:val="22"/>
          <w:lang w:val="es-ES_tradnl"/>
        </w:rPr>
        <w:t>Si bien no se introducirán cambios en la definición del marcador</w:t>
      </w:r>
      <w:r w:rsidR="00084813" w:rsidRPr="00F600E5">
        <w:rPr>
          <w:snapToGrid w:val="0"/>
          <w:kern w:val="22"/>
          <w:szCs w:val="22"/>
          <w:lang w:val="es-ES_tradnl"/>
        </w:rPr>
        <w:t xml:space="preserve">, </w:t>
      </w:r>
      <w:r w:rsidRPr="00F600E5">
        <w:rPr>
          <w:snapToGrid w:val="0"/>
          <w:kern w:val="22"/>
          <w:szCs w:val="22"/>
          <w:lang w:val="es-ES_tradnl"/>
        </w:rPr>
        <w:t>se ajustarán los criterios complementarios de elegibilidad con objeto de reflejar las Metas de Aichi pertinentes y el Objetivo 15 para el Desarrollo Sostenible</w:t>
      </w:r>
      <w:r w:rsidR="00084813" w:rsidRPr="00F600E5">
        <w:rPr>
          <w:snapToGrid w:val="0"/>
          <w:kern w:val="22"/>
          <w:szCs w:val="22"/>
          <w:lang w:val="es-ES_tradnl"/>
        </w:rPr>
        <w:t xml:space="preserve">. </w:t>
      </w:r>
      <w:r w:rsidR="00C16D44" w:rsidRPr="00F600E5">
        <w:rPr>
          <w:snapToGrid w:val="0"/>
          <w:kern w:val="22"/>
          <w:szCs w:val="22"/>
          <w:lang w:val="es-ES_tradnl"/>
        </w:rPr>
        <w:t>En junio de 2018 el Grupo de Trabajo sobre Estadística para el Financiamiento del Desarrollo</w:t>
      </w:r>
      <w:r w:rsidR="00860503" w:rsidRPr="00F600E5">
        <w:rPr>
          <w:snapToGrid w:val="0"/>
          <w:kern w:val="22"/>
          <w:szCs w:val="22"/>
          <w:lang w:val="es-ES_tradnl"/>
        </w:rPr>
        <w:t xml:space="preserve"> de la OCDE examinará los cambios propuestos</w:t>
      </w:r>
      <w:r w:rsidR="00084813" w:rsidRPr="00F600E5">
        <w:rPr>
          <w:snapToGrid w:val="0"/>
          <w:kern w:val="22"/>
          <w:szCs w:val="22"/>
          <w:lang w:val="es-ES_tradnl"/>
        </w:rPr>
        <w:t xml:space="preserve">, </w:t>
      </w:r>
      <w:r w:rsidR="00C16D44" w:rsidRPr="00F600E5">
        <w:rPr>
          <w:snapToGrid w:val="0"/>
          <w:kern w:val="22"/>
          <w:szCs w:val="22"/>
          <w:lang w:val="es-ES_tradnl"/>
        </w:rPr>
        <w:t>con miras a aplicar dichos ajustes a los datos notificado</w:t>
      </w:r>
      <w:r w:rsidR="00860503" w:rsidRPr="00F600E5">
        <w:rPr>
          <w:snapToGrid w:val="0"/>
          <w:kern w:val="22"/>
          <w:szCs w:val="22"/>
          <w:lang w:val="es-ES_tradnl"/>
        </w:rPr>
        <w:t>s</w:t>
      </w:r>
      <w:r w:rsidR="00C16D44" w:rsidRPr="00F600E5">
        <w:rPr>
          <w:snapToGrid w:val="0"/>
          <w:kern w:val="22"/>
          <w:szCs w:val="22"/>
          <w:lang w:val="es-ES_tradnl"/>
        </w:rPr>
        <w:t xml:space="preserve"> a partir de 2019</w:t>
      </w:r>
      <w:r w:rsidR="00084813" w:rsidRPr="00F600E5">
        <w:rPr>
          <w:snapToGrid w:val="0"/>
          <w:kern w:val="22"/>
          <w:szCs w:val="22"/>
          <w:lang w:val="es-ES_tradnl"/>
        </w:rPr>
        <w:t xml:space="preserve">. </w:t>
      </w:r>
      <w:r w:rsidR="00C16D44" w:rsidRPr="00F600E5">
        <w:rPr>
          <w:snapToGrid w:val="0"/>
          <w:kern w:val="22"/>
          <w:szCs w:val="22"/>
          <w:lang w:val="es-ES_tradnl"/>
        </w:rPr>
        <w:t>A fin de facilitar y armonizar mejor la presentación de informes por parte de los miembros del CAD</w:t>
      </w:r>
      <w:r w:rsidR="00084813" w:rsidRPr="00F600E5">
        <w:rPr>
          <w:snapToGrid w:val="0"/>
          <w:kern w:val="22"/>
          <w:szCs w:val="22"/>
          <w:lang w:val="es-ES_tradnl"/>
        </w:rPr>
        <w:t xml:space="preserve">, </w:t>
      </w:r>
      <w:r w:rsidR="00C16D44" w:rsidRPr="00F600E5">
        <w:rPr>
          <w:snapToGrid w:val="0"/>
          <w:kern w:val="22"/>
          <w:szCs w:val="22"/>
          <w:lang w:val="es-ES_tradnl"/>
        </w:rPr>
        <w:t xml:space="preserve">se está elaborando </w:t>
      </w:r>
      <w:r w:rsidR="00860503" w:rsidRPr="00F600E5">
        <w:rPr>
          <w:snapToGrid w:val="0"/>
          <w:kern w:val="22"/>
          <w:szCs w:val="22"/>
          <w:lang w:val="es-ES_tradnl"/>
        </w:rPr>
        <w:t xml:space="preserve">además </w:t>
      </w:r>
      <w:r w:rsidR="00C16D44" w:rsidRPr="00F600E5">
        <w:rPr>
          <w:snapToGrid w:val="0"/>
          <w:kern w:val="22"/>
          <w:szCs w:val="22"/>
          <w:lang w:val="es-ES_tradnl"/>
        </w:rPr>
        <w:t>un cuadro con ejemplo</w:t>
      </w:r>
      <w:r w:rsidR="00860503" w:rsidRPr="00F600E5">
        <w:rPr>
          <w:snapToGrid w:val="0"/>
          <w:kern w:val="22"/>
          <w:szCs w:val="22"/>
          <w:lang w:val="es-ES_tradnl"/>
        </w:rPr>
        <w:t xml:space="preserve">s de </w:t>
      </w:r>
      <w:r w:rsidR="00C16D44" w:rsidRPr="00F600E5">
        <w:rPr>
          <w:snapToGrid w:val="0"/>
          <w:kern w:val="22"/>
          <w:szCs w:val="22"/>
          <w:lang w:val="es-ES_tradnl"/>
        </w:rPr>
        <w:t>cómo puede aplicarse el marcador a los distintos sectores</w:t>
      </w:r>
      <w:r w:rsidR="00084813" w:rsidRPr="00F600E5">
        <w:rPr>
          <w:snapToGrid w:val="0"/>
          <w:kern w:val="22"/>
          <w:szCs w:val="22"/>
          <w:lang w:val="es-ES_tradnl"/>
        </w:rPr>
        <w:t>.</w:t>
      </w:r>
    </w:p>
    <w:p w:rsidR="00084813" w:rsidRPr="00F600E5" w:rsidRDefault="00A1052A" w:rsidP="00084813">
      <w:pPr>
        <w:numPr>
          <w:ilvl w:val="0"/>
          <w:numId w:val="19"/>
        </w:numPr>
        <w:spacing w:after="120"/>
        <w:ind w:left="0" w:firstLine="0"/>
        <w:rPr>
          <w:snapToGrid w:val="0"/>
          <w:kern w:val="22"/>
          <w:szCs w:val="22"/>
          <w:lang w:val="es-ES_tradnl"/>
        </w:rPr>
      </w:pPr>
      <w:r w:rsidRPr="00F600E5">
        <w:rPr>
          <w:snapToGrid w:val="0"/>
          <w:kern w:val="22"/>
          <w:szCs w:val="22"/>
          <w:lang w:val="es-ES_tradnl"/>
        </w:rPr>
        <w:t xml:space="preserve">En la </w:t>
      </w:r>
      <w:r w:rsidR="007E392F" w:rsidRPr="00F600E5">
        <w:rPr>
          <w:snapToGrid w:val="0"/>
          <w:kern w:val="22"/>
          <w:szCs w:val="22"/>
          <w:lang w:val="es-ES_tradnl"/>
        </w:rPr>
        <w:t>decisión</w:t>
      </w:r>
      <w:r w:rsidR="00084813" w:rsidRPr="00F600E5">
        <w:rPr>
          <w:snapToGrid w:val="0"/>
          <w:kern w:val="22"/>
          <w:szCs w:val="22"/>
          <w:lang w:val="es-ES_tradnl"/>
        </w:rPr>
        <w:t xml:space="preserve"> XIII/20, </w:t>
      </w:r>
      <w:r w:rsidR="00A31DAA" w:rsidRPr="00F600E5">
        <w:rPr>
          <w:snapToGrid w:val="0"/>
          <w:kern w:val="22"/>
          <w:szCs w:val="22"/>
          <w:lang w:val="es-ES_tradnl"/>
        </w:rPr>
        <w:t xml:space="preserve">párrafo 14, </w:t>
      </w:r>
      <w:r w:rsidR="006C5FC8" w:rsidRPr="00F600E5">
        <w:rPr>
          <w:snapToGrid w:val="0"/>
          <w:kern w:val="22"/>
          <w:szCs w:val="22"/>
          <w:lang w:val="es-ES_tradnl"/>
        </w:rPr>
        <w:t>la Conferencia de las Partes</w:t>
      </w:r>
      <w:r w:rsidRPr="00F600E5">
        <w:rPr>
          <w:snapToGrid w:val="0"/>
          <w:kern w:val="22"/>
          <w:szCs w:val="22"/>
          <w:lang w:val="es-ES_tradnl"/>
        </w:rPr>
        <w:t xml:space="preserve"> tomó nota de la labor de los bancos multilaterales de desarrollo para </w:t>
      </w:r>
      <w:r w:rsidR="00860503" w:rsidRPr="00F600E5">
        <w:rPr>
          <w:snapToGrid w:val="0"/>
          <w:kern w:val="22"/>
          <w:szCs w:val="22"/>
          <w:lang w:val="es-ES_tradnl"/>
        </w:rPr>
        <w:t xml:space="preserve">supervisar y presentar informes sobre </w:t>
      </w:r>
      <w:r w:rsidRPr="00F600E5">
        <w:rPr>
          <w:snapToGrid w:val="0"/>
          <w:kern w:val="22"/>
          <w:szCs w:val="22"/>
          <w:lang w:val="es-ES_tradnl"/>
        </w:rPr>
        <w:t xml:space="preserve">los flujos de financiación </w:t>
      </w:r>
      <w:r w:rsidR="00860503" w:rsidRPr="00F600E5">
        <w:rPr>
          <w:snapToGrid w:val="0"/>
          <w:kern w:val="22"/>
          <w:szCs w:val="22"/>
          <w:lang w:val="es-ES_tradnl"/>
        </w:rPr>
        <w:t xml:space="preserve">para </w:t>
      </w:r>
      <w:r w:rsidRPr="00F600E5">
        <w:rPr>
          <w:snapToGrid w:val="0"/>
          <w:kern w:val="22"/>
          <w:szCs w:val="22"/>
          <w:lang w:val="es-ES_tradnl"/>
        </w:rPr>
        <w:t>la diversidad biológica, y los alentó a acelerar dicha labor</w:t>
      </w:r>
      <w:r w:rsidR="00084813" w:rsidRPr="00F600E5">
        <w:rPr>
          <w:snapToGrid w:val="0"/>
          <w:kern w:val="22"/>
          <w:szCs w:val="22"/>
          <w:lang w:val="es-ES_tradnl"/>
        </w:rPr>
        <w:t xml:space="preserve">. </w:t>
      </w:r>
      <w:r w:rsidRPr="00F600E5">
        <w:rPr>
          <w:snapToGrid w:val="0"/>
          <w:kern w:val="22"/>
          <w:szCs w:val="22"/>
          <w:lang w:val="es-ES_tradnl"/>
        </w:rPr>
        <w:t>Si bien ha continuado esta labor, dirigida por el Banco Europeo de Inversiones</w:t>
      </w:r>
      <w:r w:rsidR="00084813" w:rsidRPr="00F600E5">
        <w:rPr>
          <w:snapToGrid w:val="0"/>
          <w:kern w:val="22"/>
          <w:szCs w:val="22"/>
          <w:lang w:val="es-ES_tradnl"/>
        </w:rPr>
        <w:t xml:space="preserve">, </w:t>
      </w:r>
      <w:r w:rsidR="00184CA8" w:rsidRPr="00F600E5">
        <w:rPr>
          <w:snapToGrid w:val="0"/>
          <w:kern w:val="22"/>
          <w:szCs w:val="22"/>
          <w:lang w:val="es-ES_tradnl"/>
        </w:rPr>
        <w:t xml:space="preserve">todavía no </w:t>
      </w:r>
      <w:r w:rsidR="00262105" w:rsidRPr="00F600E5">
        <w:rPr>
          <w:snapToGrid w:val="0"/>
          <w:kern w:val="22"/>
          <w:szCs w:val="22"/>
          <w:lang w:val="es-ES_tradnl"/>
        </w:rPr>
        <w:t xml:space="preserve">se </w:t>
      </w:r>
      <w:r w:rsidR="00184CA8" w:rsidRPr="00F600E5">
        <w:rPr>
          <w:snapToGrid w:val="0"/>
          <w:kern w:val="22"/>
          <w:szCs w:val="22"/>
          <w:lang w:val="es-ES_tradnl"/>
        </w:rPr>
        <w:t>ha l</w:t>
      </w:r>
      <w:r w:rsidR="00262105" w:rsidRPr="00F600E5">
        <w:rPr>
          <w:snapToGrid w:val="0"/>
          <w:kern w:val="22"/>
          <w:szCs w:val="22"/>
          <w:lang w:val="es-ES_tradnl"/>
        </w:rPr>
        <w:t xml:space="preserve">legado a una </w:t>
      </w:r>
      <w:r w:rsidR="00184CA8" w:rsidRPr="00F600E5">
        <w:rPr>
          <w:snapToGrid w:val="0"/>
          <w:kern w:val="22"/>
          <w:szCs w:val="22"/>
          <w:lang w:val="es-ES_tradnl"/>
        </w:rPr>
        <w:t>metodología común</w:t>
      </w:r>
      <w:r w:rsidR="00084813" w:rsidRPr="00F600E5">
        <w:rPr>
          <w:snapToGrid w:val="0"/>
          <w:kern w:val="22"/>
          <w:szCs w:val="22"/>
          <w:lang w:val="es-ES_tradnl"/>
        </w:rPr>
        <w:t>.</w:t>
      </w:r>
    </w:p>
    <w:p w:rsidR="00084813" w:rsidRPr="00F600E5" w:rsidRDefault="00A1052A" w:rsidP="00084813">
      <w:pPr>
        <w:numPr>
          <w:ilvl w:val="0"/>
          <w:numId w:val="19"/>
        </w:numPr>
        <w:spacing w:after="120"/>
        <w:ind w:left="0" w:firstLine="0"/>
        <w:rPr>
          <w:snapToGrid w:val="0"/>
          <w:kern w:val="22"/>
          <w:szCs w:val="22"/>
          <w:lang w:val="es-ES_tradnl"/>
        </w:rPr>
      </w:pPr>
      <w:r w:rsidRPr="00F600E5">
        <w:rPr>
          <w:snapToGrid w:val="0"/>
          <w:kern w:val="22"/>
          <w:szCs w:val="22"/>
          <w:lang w:val="es-ES_tradnl"/>
        </w:rPr>
        <w:t>En la decisión</w:t>
      </w:r>
      <w:r w:rsidR="00084813" w:rsidRPr="00F600E5">
        <w:rPr>
          <w:snapToGrid w:val="0"/>
          <w:kern w:val="22"/>
          <w:szCs w:val="22"/>
          <w:lang w:val="es-ES_tradnl"/>
        </w:rPr>
        <w:t xml:space="preserve"> XIII/20, </w:t>
      </w:r>
      <w:r w:rsidR="00E62A43" w:rsidRPr="00F600E5">
        <w:rPr>
          <w:snapToGrid w:val="0"/>
          <w:kern w:val="22"/>
          <w:szCs w:val="22"/>
          <w:lang w:val="es-ES_tradnl"/>
        </w:rPr>
        <w:t xml:space="preserve">párrafo 17, </w:t>
      </w:r>
      <w:r w:rsidR="006C5FC8" w:rsidRPr="00F600E5">
        <w:rPr>
          <w:snapToGrid w:val="0"/>
          <w:kern w:val="22"/>
          <w:szCs w:val="22"/>
          <w:lang w:val="es-ES_tradnl"/>
        </w:rPr>
        <w:t>la Conferencia de las Partes</w:t>
      </w:r>
      <w:r w:rsidR="00084813" w:rsidRPr="00F600E5">
        <w:rPr>
          <w:snapToGrid w:val="0"/>
          <w:kern w:val="22"/>
          <w:szCs w:val="22"/>
          <w:lang w:val="es-ES_tradnl"/>
        </w:rPr>
        <w:t xml:space="preserve"> </w:t>
      </w:r>
      <w:r w:rsidR="00184CA8" w:rsidRPr="00F600E5">
        <w:rPr>
          <w:snapToGrid w:val="0"/>
          <w:kern w:val="22"/>
          <w:szCs w:val="22"/>
          <w:lang w:val="es-ES_tradnl"/>
        </w:rPr>
        <w:t>pidió al Secretario Ejecutivo que explorara</w:t>
      </w:r>
      <w:r w:rsidR="00084813" w:rsidRPr="00F600E5">
        <w:rPr>
          <w:snapToGrid w:val="0"/>
          <w:kern w:val="22"/>
          <w:szCs w:val="22"/>
          <w:lang w:val="es-ES_tradnl"/>
        </w:rPr>
        <w:t xml:space="preserve">, </w:t>
      </w:r>
      <w:r w:rsidR="00184CA8" w:rsidRPr="00F600E5">
        <w:rPr>
          <w:kern w:val="22"/>
          <w:szCs w:val="22"/>
          <w:lang w:val="es-ES_tradnl"/>
        </w:rPr>
        <w:t>a través del Equipo de Tareas Interinstitucional sobre Financiación para el Desarrollo, la viabilidad de vincular la presentación de informes financieros</w:t>
      </w:r>
      <w:r w:rsidR="00860503" w:rsidRPr="00F600E5">
        <w:rPr>
          <w:kern w:val="22"/>
          <w:szCs w:val="22"/>
          <w:lang w:val="es-ES_tradnl"/>
        </w:rPr>
        <w:t>,</w:t>
      </w:r>
      <w:r w:rsidR="00184CA8" w:rsidRPr="00F600E5">
        <w:rPr>
          <w:kern w:val="22"/>
          <w:szCs w:val="22"/>
          <w:lang w:val="es-ES_tradnl"/>
        </w:rPr>
        <w:t xml:space="preserve"> en el marco del Convenio</w:t>
      </w:r>
      <w:r w:rsidR="00860503" w:rsidRPr="00F600E5">
        <w:rPr>
          <w:kern w:val="22"/>
          <w:szCs w:val="22"/>
          <w:lang w:val="es-ES_tradnl"/>
        </w:rPr>
        <w:t>,</w:t>
      </w:r>
      <w:r w:rsidR="00184CA8" w:rsidRPr="00F600E5">
        <w:rPr>
          <w:kern w:val="22"/>
          <w:szCs w:val="22"/>
          <w:lang w:val="es-ES_tradnl"/>
        </w:rPr>
        <w:t xml:space="preserve"> con el proceso emergente de monitoreo para el seguimiento y examen de los compromisos de la Agenda de Acción de Addis Abeba</w:t>
      </w:r>
      <w:r w:rsidR="00E62A43" w:rsidRPr="00F600E5">
        <w:rPr>
          <w:kern w:val="22"/>
          <w:szCs w:val="22"/>
          <w:lang w:val="es-ES_tradnl"/>
        </w:rPr>
        <w:t xml:space="preserve">, </w:t>
      </w:r>
      <w:r w:rsidR="00E62A43" w:rsidRPr="00F600E5">
        <w:rPr>
          <w:snapToGrid w:val="0"/>
          <w:kern w:val="22"/>
          <w:szCs w:val="22"/>
          <w:lang w:val="es-ES_tradnl"/>
        </w:rPr>
        <w:t>que fue adoptada en la Tercera Conferencia Internacional sobre la Financiación para el Desarrollo (Addis Abeba, 13-16 de julio de 2015) y aprobada por la Asamblea General en su resolución 69/313 del 27 de julio de 2015</w:t>
      </w:r>
      <w:r w:rsidR="00084813" w:rsidRPr="00F600E5">
        <w:rPr>
          <w:rStyle w:val="FootnoteReference"/>
          <w:snapToGrid w:val="0"/>
          <w:kern w:val="22"/>
          <w:szCs w:val="22"/>
          <w:lang w:val="es-ES_tradnl"/>
        </w:rPr>
        <w:footnoteReference w:id="19"/>
      </w:r>
      <w:r w:rsidR="00184CA8" w:rsidRPr="00F600E5">
        <w:rPr>
          <w:kern w:val="22"/>
          <w:szCs w:val="22"/>
          <w:lang w:val="es-ES_tradnl"/>
        </w:rPr>
        <w:t xml:space="preserve">, y que actualizara, según proceda, las orientaciones proporcionadas en el informe del </w:t>
      </w:r>
      <w:r w:rsidR="002D6A9C" w:rsidRPr="00F600E5">
        <w:rPr>
          <w:kern w:val="22"/>
          <w:szCs w:val="22"/>
          <w:lang w:val="es-ES_tradnl"/>
        </w:rPr>
        <w:t xml:space="preserve">Taller internacional </w:t>
      </w:r>
      <w:r w:rsidR="002D6A9C" w:rsidRPr="00F600E5">
        <w:rPr>
          <w:kern w:val="20"/>
          <w:lang w:val="es-ES_tradnl"/>
        </w:rPr>
        <w:t>de expertos técnicos sobre la identificación, acceso, recopilación y agregación de inversiones nacionales e internacionales relacionadas con la diversidad biológica y sus efectos (Ciudad d</w:t>
      </w:r>
      <w:r w:rsidR="00184CA8" w:rsidRPr="00F600E5">
        <w:rPr>
          <w:kern w:val="22"/>
          <w:szCs w:val="22"/>
          <w:lang w:val="es-ES_tradnl"/>
        </w:rPr>
        <w:t>e México</w:t>
      </w:r>
      <w:r w:rsidR="002D6A9C" w:rsidRPr="00F600E5">
        <w:rPr>
          <w:kern w:val="22"/>
          <w:szCs w:val="22"/>
          <w:lang w:val="es-ES_tradnl"/>
        </w:rPr>
        <w:t>, 5-7 de mayo de 2015)</w:t>
      </w:r>
      <w:r w:rsidR="00184CA8" w:rsidRPr="00F600E5">
        <w:rPr>
          <w:rStyle w:val="FootnoteReference"/>
          <w:snapToGrid w:val="0"/>
          <w:kern w:val="22"/>
          <w:szCs w:val="22"/>
          <w:lang w:val="es-ES_tradnl"/>
        </w:rPr>
        <w:footnoteReference w:id="20"/>
      </w:r>
      <w:r w:rsidR="00184CA8" w:rsidRPr="00F600E5">
        <w:rPr>
          <w:snapToGrid w:val="0"/>
          <w:kern w:val="22"/>
          <w:szCs w:val="22"/>
          <w:lang w:val="es-ES_tradnl"/>
        </w:rPr>
        <w:t xml:space="preserve"> </w:t>
      </w:r>
      <w:r w:rsidR="00184CA8" w:rsidRPr="00F600E5">
        <w:rPr>
          <w:kern w:val="22"/>
          <w:szCs w:val="22"/>
          <w:lang w:val="es-ES_tradnl"/>
        </w:rPr>
        <w:t>con la</w:t>
      </w:r>
      <w:r w:rsidR="00A31DAA" w:rsidRPr="00F600E5">
        <w:rPr>
          <w:kern w:val="22"/>
          <w:szCs w:val="22"/>
          <w:lang w:val="es-ES_tradnl"/>
        </w:rPr>
        <w:t xml:space="preserve"> nueva</w:t>
      </w:r>
      <w:r w:rsidR="0001430B" w:rsidRPr="00F600E5">
        <w:rPr>
          <w:kern w:val="22"/>
          <w:szCs w:val="22"/>
          <w:lang w:val="es-ES_tradnl"/>
        </w:rPr>
        <w:t xml:space="preserve"> </w:t>
      </w:r>
      <w:r w:rsidR="00184CA8" w:rsidRPr="00F600E5">
        <w:rPr>
          <w:kern w:val="22"/>
          <w:szCs w:val="22"/>
          <w:lang w:val="es-ES_tradnl"/>
        </w:rPr>
        <w:t xml:space="preserve">información metodológica. En respuesta a dichas solicitudes, y tras consultas con la secretaría </w:t>
      </w:r>
      <w:r w:rsidR="00184CA8" w:rsidRPr="00F600E5">
        <w:rPr>
          <w:snapToGrid w:val="0"/>
          <w:kern w:val="22"/>
          <w:szCs w:val="22"/>
          <w:lang w:val="es-ES_tradnl"/>
        </w:rPr>
        <w:t xml:space="preserve">del </w:t>
      </w:r>
      <w:r w:rsidR="00184CA8" w:rsidRPr="00F600E5">
        <w:rPr>
          <w:kern w:val="22"/>
          <w:szCs w:val="22"/>
          <w:lang w:val="es-ES_tradnl"/>
        </w:rPr>
        <w:t>Equipo de Tareas Interinstitucional</w:t>
      </w:r>
      <w:r w:rsidR="00084813" w:rsidRPr="00F600E5">
        <w:rPr>
          <w:snapToGrid w:val="0"/>
          <w:kern w:val="22"/>
          <w:szCs w:val="22"/>
          <w:lang w:val="es-ES_tradnl"/>
        </w:rPr>
        <w:t xml:space="preserve">, </w:t>
      </w:r>
      <w:r w:rsidR="00184CA8" w:rsidRPr="00F600E5">
        <w:rPr>
          <w:snapToGrid w:val="0"/>
          <w:kern w:val="22"/>
          <w:szCs w:val="22"/>
          <w:lang w:val="es-ES_tradnl"/>
        </w:rPr>
        <w:t xml:space="preserve">se facilitaron enlaces con el marco de presentación de informes financieros, así como </w:t>
      </w:r>
      <w:r w:rsidR="0098066D" w:rsidRPr="00F600E5">
        <w:rPr>
          <w:snapToGrid w:val="0"/>
          <w:kern w:val="22"/>
          <w:szCs w:val="22"/>
          <w:lang w:val="es-ES_tradnl"/>
        </w:rPr>
        <w:t xml:space="preserve">análisis pertinentes con arreglo al Convenio como contribución a la elaboración del informe anual de </w:t>
      </w:r>
      <w:r w:rsidR="00084813" w:rsidRPr="00F600E5">
        <w:rPr>
          <w:snapToGrid w:val="0"/>
          <w:kern w:val="22"/>
          <w:szCs w:val="22"/>
          <w:lang w:val="es-ES_tradnl"/>
        </w:rPr>
        <w:t xml:space="preserve">2018 </w:t>
      </w:r>
      <w:r w:rsidR="0098066D" w:rsidRPr="00F600E5">
        <w:rPr>
          <w:snapToGrid w:val="0"/>
          <w:kern w:val="22"/>
          <w:szCs w:val="22"/>
          <w:lang w:val="es-ES_tradnl"/>
        </w:rPr>
        <w:t xml:space="preserve">del </w:t>
      </w:r>
      <w:r w:rsidR="0098066D" w:rsidRPr="00F600E5">
        <w:rPr>
          <w:kern w:val="22"/>
          <w:szCs w:val="22"/>
          <w:lang w:val="es-ES_tradnl"/>
        </w:rPr>
        <w:t>Equipo de Tareas Interinstitucional</w:t>
      </w:r>
      <w:r w:rsidR="00A31DAA" w:rsidRPr="00F600E5">
        <w:rPr>
          <w:rStyle w:val="FootnoteReference"/>
          <w:snapToGrid w:val="0"/>
          <w:kern w:val="22"/>
          <w:szCs w:val="22"/>
          <w:lang w:val="es-ES_tradnl"/>
        </w:rPr>
        <w:footnoteReference w:id="21"/>
      </w:r>
      <w:r w:rsidR="00084813" w:rsidRPr="00F600E5">
        <w:rPr>
          <w:snapToGrid w:val="0"/>
          <w:kern w:val="22"/>
          <w:szCs w:val="22"/>
          <w:lang w:val="es-ES_tradnl"/>
        </w:rPr>
        <w:t xml:space="preserve">. </w:t>
      </w:r>
      <w:r w:rsidR="002D6A9C" w:rsidRPr="00F600E5">
        <w:rPr>
          <w:snapToGrid w:val="0"/>
          <w:kern w:val="22"/>
          <w:szCs w:val="22"/>
          <w:lang w:val="es-ES_tradnl"/>
        </w:rPr>
        <w:t xml:space="preserve">Esta </w:t>
      </w:r>
      <w:r w:rsidR="0098066D" w:rsidRPr="00F600E5">
        <w:rPr>
          <w:snapToGrid w:val="0"/>
          <w:kern w:val="22"/>
          <w:szCs w:val="22"/>
          <w:lang w:val="es-ES_tradnl"/>
        </w:rPr>
        <w:t xml:space="preserve">contribución se incluyó en la sección sobre el Objetivo 15 de Desarrollo Sostenible del informe de </w:t>
      </w:r>
      <w:r w:rsidR="00084813" w:rsidRPr="00F600E5">
        <w:rPr>
          <w:snapToGrid w:val="0"/>
          <w:kern w:val="22"/>
          <w:szCs w:val="22"/>
          <w:lang w:val="es-ES_tradnl"/>
        </w:rPr>
        <w:t xml:space="preserve">2018 </w:t>
      </w:r>
      <w:r w:rsidR="0098066D" w:rsidRPr="00F600E5">
        <w:rPr>
          <w:snapToGrid w:val="0"/>
          <w:kern w:val="22"/>
          <w:szCs w:val="22"/>
          <w:lang w:val="es-ES_tradnl"/>
        </w:rPr>
        <w:t>de</w:t>
      </w:r>
      <w:r w:rsidR="002D6A9C" w:rsidRPr="00F600E5">
        <w:rPr>
          <w:snapToGrid w:val="0"/>
          <w:kern w:val="22"/>
          <w:szCs w:val="22"/>
          <w:lang w:val="es-ES_tradnl"/>
        </w:rPr>
        <w:t>l</w:t>
      </w:r>
      <w:r w:rsidR="0098066D" w:rsidRPr="00F600E5">
        <w:rPr>
          <w:snapToGrid w:val="0"/>
          <w:kern w:val="22"/>
          <w:szCs w:val="22"/>
          <w:lang w:val="es-ES_tradnl"/>
        </w:rPr>
        <w:t xml:space="preserve"> </w:t>
      </w:r>
      <w:r w:rsidR="002D6A9C" w:rsidRPr="00F600E5">
        <w:rPr>
          <w:kern w:val="22"/>
          <w:szCs w:val="22"/>
          <w:lang w:val="es-ES_tradnl"/>
        </w:rPr>
        <w:t>Equipo de Tareas Interinstitucional</w:t>
      </w:r>
      <w:r w:rsidR="0098066D" w:rsidRPr="00F600E5">
        <w:rPr>
          <w:snapToGrid w:val="0"/>
          <w:kern w:val="22"/>
          <w:szCs w:val="22"/>
          <w:lang w:val="es-ES_tradnl"/>
        </w:rPr>
        <w:t xml:space="preserve">, y en el </w:t>
      </w:r>
      <w:r w:rsidR="002D6A9C" w:rsidRPr="00F600E5">
        <w:rPr>
          <w:snapToGrid w:val="0"/>
          <w:kern w:val="22"/>
          <w:szCs w:val="22"/>
          <w:lang w:val="es-ES_tradnl"/>
        </w:rPr>
        <w:t>a</w:t>
      </w:r>
      <w:r w:rsidR="0098066D" w:rsidRPr="00F600E5">
        <w:rPr>
          <w:snapToGrid w:val="0"/>
          <w:kern w:val="22"/>
          <w:szCs w:val="22"/>
          <w:lang w:val="es-ES_tradnl"/>
        </w:rPr>
        <w:t xml:space="preserve">nexo del informe que </w:t>
      </w:r>
      <w:r w:rsidR="0098066D" w:rsidRPr="00F600E5">
        <w:rPr>
          <w:snapToGrid w:val="0"/>
          <w:kern w:val="22"/>
          <w:szCs w:val="22"/>
          <w:lang w:val="es-ES_tradnl"/>
        </w:rPr>
        <w:lastRenderedPageBreak/>
        <w:t>figura en línea</w:t>
      </w:r>
      <w:r w:rsidR="00084813" w:rsidRPr="00F600E5">
        <w:rPr>
          <w:rStyle w:val="FootnoteReference"/>
          <w:snapToGrid w:val="0"/>
          <w:kern w:val="22"/>
          <w:szCs w:val="22"/>
          <w:lang w:val="es-ES_tradnl"/>
        </w:rPr>
        <w:footnoteReference w:id="22"/>
      </w:r>
      <w:r w:rsidR="0098066D" w:rsidRPr="00F600E5">
        <w:rPr>
          <w:snapToGrid w:val="0"/>
          <w:kern w:val="22"/>
          <w:szCs w:val="22"/>
          <w:lang w:val="es-ES_tradnl"/>
        </w:rPr>
        <w:t>.</w:t>
      </w:r>
      <w:r w:rsidR="00084813" w:rsidRPr="00F600E5">
        <w:rPr>
          <w:snapToGrid w:val="0"/>
          <w:kern w:val="22"/>
          <w:szCs w:val="22"/>
          <w:lang w:val="es-ES_tradnl"/>
        </w:rPr>
        <w:t xml:space="preserve"> </w:t>
      </w:r>
      <w:r w:rsidR="0098066D" w:rsidRPr="00F600E5">
        <w:rPr>
          <w:snapToGrid w:val="0"/>
          <w:kern w:val="22"/>
          <w:szCs w:val="22"/>
          <w:lang w:val="es-ES_tradnl"/>
        </w:rPr>
        <w:t>Se hace un seguimiento continuo respecto a la necesidad de actualizar las orientaciones proporcionadas en el informe de metodología</w:t>
      </w:r>
      <w:r w:rsidR="00084813" w:rsidRPr="00F600E5">
        <w:rPr>
          <w:snapToGrid w:val="0"/>
          <w:kern w:val="22"/>
          <w:szCs w:val="22"/>
          <w:lang w:val="es-ES_tradnl"/>
        </w:rPr>
        <w:t>.</w:t>
      </w:r>
    </w:p>
    <w:p w:rsidR="00084813" w:rsidRPr="00F600E5" w:rsidRDefault="001F735C" w:rsidP="00B840DD">
      <w:pPr>
        <w:pStyle w:val="Heading2"/>
        <w:numPr>
          <w:ilvl w:val="0"/>
          <w:numId w:val="21"/>
        </w:numPr>
        <w:tabs>
          <w:tab w:val="clear" w:pos="720"/>
          <w:tab w:val="left" w:pos="1418"/>
        </w:tabs>
        <w:ind w:left="1418" w:right="531" w:hanging="567"/>
        <w:jc w:val="left"/>
        <w:rPr>
          <w:snapToGrid w:val="0"/>
          <w:kern w:val="22"/>
          <w:lang w:val="es-ES_tradnl"/>
        </w:rPr>
      </w:pPr>
      <w:r w:rsidRPr="00F600E5">
        <w:rPr>
          <w:snapToGrid w:val="0"/>
          <w:kern w:val="22"/>
          <w:lang w:val="es-ES_tradnl"/>
        </w:rPr>
        <w:t>Acción colectiva de los pueblos indígenas y las comunidades locales y salvaguardias en los mecanismos de financiación para la diversidad biológica</w:t>
      </w:r>
    </w:p>
    <w:p w:rsidR="004F25E2" w:rsidRPr="00F600E5" w:rsidRDefault="00C16D44" w:rsidP="004F25E2">
      <w:pPr>
        <w:numPr>
          <w:ilvl w:val="0"/>
          <w:numId w:val="19"/>
        </w:numPr>
        <w:spacing w:after="120"/>
        <w:ind w:left="0" w:firstLine="0"/>
        <w:rPr>
          <w:snapToGrid w:val="0"/>
          <w:kern w:val="22"/>
          <w:szCs w:val="22"/>
          <w:lang w:val="es-ES_tradnl"/>
        </w:rPr>
      </w:pPr>
      <w:r w:rsidRPr="00F600E5">
        <w:rPr>
          <w:snapToGrid w:val="0"/>
          <w:kern w:val="22"/>
          <w:szCs w:val="22"/>
          <w:lang w:val="es-ES_tradnl"/>
        </w:rPr>
        <w:t>La dec</w:t>
      </w:r>
      <w:r w:rsidR="007E392F" w:rsidRPr="00F600E5">
        <w:rPr>
          <w:snapToGrid w:val="0"/>
          <w:kern w:val="22"/>
          <w:szCs w:val="22"/>
          <w:lang w:val="es-ES_tradnl"/>
        </w:rPr>
        <w:t>isión</w:t>
      </w:r>
      <w:r w:rsidR="00084813" w:rsidRPr="00F600E5">
        <w:rPr>
          <w:snapToGrid w:val="0"/>
          <w:kern w:val="22"/>
          <w:szCs w:val="22"/>
          <w:lang w:val="es-ES_tradnl"/>
        </w:rPr>
        <w:t xml:space="preserve"> XIII/20 </w:t>
      </w:r>
      <w:r w:rsidRPr="00F600E5">
        <w:rPr>
          <w:snapToGrid w:val="0"/>
          <w:kern w:val="22"/>
          <w:szCs w:val="22"/>
          <w:lang w:val="es-ES_tradnl"/>
        </w:rPr>
        <w:t>contiene</w:t>
      </w:r>
      <w:r w:rsidR="00174912" w:rsidRPr="00F600E5">
        <w:rPr>
          <w:rStyle w:val="FootnoteReference"/>
          <w:snapToGrid w:val="0"/>
          <w:kern w:val="22"/>
          <w:szCs w:val="22"/>
          <w:lang w:val="es-ES_tradnl"/>
        </w:rPr>
        <w:footnoteReference w:id="23"/>
      </w:r>
      <w:r w:rsidR="00084813" w:rsidRPr="00F600E5">
        <w:rPr>
          <w:snapToGrid w:val="0"/>
          <w:kern w:val="22"/>
          <w:szCs w:val="22"/>
          <w:lang w:val="es-ES_tradnl"/>
        </w:rPr>
        <w:t xml:space="preserve"> </w:t>
      </w:r>
      <w:r w:rsidRPr="00F600E5">
        <w:rPr>
          <w:snapToGrid w:val="0"/>
          <w:kern w:val="22"/>
          <w:szCs w:val="22"/>
          <w:lang w:val="es-ES_tradnl"/>
        </w:rPr>
        <w:t xml:space="preserve">varias invitaciones </w:t>
      </w:r>
      <w:r w:rsidR="00A31DAA" w:rsidRPr="00F600E5">
        <w:rPr>
          <w:snapToGrid w:val="0"/>
          <w:kern w:val="22"/>
          <w:szCs w:val="22"/>
          <w:lang w:val="es-ES_tradnl"/>
        </w:rPr>
        <w:t xml:space="preserve">que atañen a las </w:t>
      </w:r>
      <w:r w:rsidRPr="00F600E5">
        <w:rPr>
          <w:snapToGrid w:val="0"/>
          <w:kern w:val="22"/>
          <w:szCs w:val="22"/>
          <w:lang w:val="es-ES_tradnl"/>
        </w:rPr>
        <w:t xml:space="preserve">Partes, otros Gobiernos, así como a </w:t>
      </w:r>
      <w:r w:rsidR="00A31DAA" w:rsidRPr="00F600E5">
        <w:rPr>
          <w:snapToGrid w:val="0"/>
          <w:kern w:val="22"/>
          <w:szCs w:val="22"/>
          <w:lang w:val="es-ES_tradnl"/>
        </w:rPr>
        <w:t xml:space="preserve">las organizaciones de </w:t>
      </w:r>
      <w:r w:rsidRPr="00F600E5">
        <w:rPr>
          <w:snapToGrid w:val="0"/>
          <w:kern w:val="22"/>
          <w:szCs w:val="22"/>
          <w:lang w:val="es-ES_tradnl"/>
        </w:rPr>
        <w:t xml:space="preserve">interesados </w:t>
      </w:r>
      <w:r w:rsidR="00A31DAA" w:rsidRPr="00F600E5">
        <w:rPr>
          <w:snapToGrid w:val="0"/>
          <w:kern w:val="22"/>
          <w:szCs w:val="22"/>
          <w:lang w:val="es-ES_tradnl"/>
        </w:rPr>
        <w:t>pertinentes</w:t>
      </w:r>
      <w:r w:rsidR="002C1F20" w:rsidRPr="00F600E5">
        <w:rPr>
          <w:snapToGrid w:val="0"/>
          <w:kern w:val="22"/>
          <w:szCs w:val="22"/>
          <w:lang w:val="es-ES_tradnl"/>
        </w:rPr>
        <w:t xml:space="preserve"> </w:t>
      </w:r>
      <w:r w:rsidRPr="00F600E5">
        <w:rPr>
          <w:snapToGrid w:val="0"/>
          <w:kern w:val="22"/>
          <w:szCs w:val="22"/>
          <w:lang w:val="es-ES_tradnl"/>
        </w:rPr>
        <w:t xml:space="preserve">y solicitudes al </w:t>
      </w:r>
      <w:r w:rsidR="00184CA8" w:rsidRPr="00F600E5">
        <w:rPr>
          <w:snapToGrid w:val="0"/>
          <w:kern w:val="22"/>
          <w:szCs w:val="22"/>
          <w:lang w:val="es-ES_tradnl"/>
        </w:rPr>
        <w:t>Secretario Ejecutivo</w:t>
      </w:r>
      <w:r w:rsidR="002C1F20" w:rsidRPr="00F600E5">
        <w:rPr>
          <w:snapToGrid w:val="0"/>
          <w:kern w:val="22"/>
          <w:szCs w:val="22"/>
          <w:lang w:val="es-ES_tradnl"/>
        </w:rPr>
        <w:t xml:space="preserve"> conexas</w:t>
      </w:r>
      <w:r w:rsidR="00084813" w:rsidRPr="00F600E5">
        <w:rPr>
          <w:snapToGrid w:val="0"/>
          <w:kern w:val="22"/>
          <w:szCs w:val="22"/>
          <w:lang w:val="es-ES_tradnl"/>
        </w:rPr>
        <w:t xml:space="preserve">. </w:t>
      </w:r>
      <w:r w:rsidR="0083369C" w:rsidRPr="00F600E5">
        <w:rPr>
          <w:snapToGrid w:val="0"/>
          <w:kern w:val="22"/>
          <w:szCs w:val="22"/>
          <w:lang w:val="es-ES_tradnl"/>
        </w:rPr>
        <w:t>En</w:t>
      </w:r>
      <w:r w:rsidR="00134823" w:rsidRPr="00F600E5">
        <w:rPr>
          <w:snapToGrid w:val="0"/>
          <w:kern w:val="22"/>
          <w:szCs w:val="22"/>
          <w:lang w:val="es-ES_tradnl"/>
        </w:rPr>
        <w:t xml:space="preserve"> las</w:t>
      </w:r>
      <w:r w:rsidR="0001430B" w:rsidRPr="00F600E5">
        <w:rPr>
          <w:snapToGrid w:val="0"/>
          <w:kern w:val="22"/>
          <w:szCs w:val="22"/>
          <w:lang w:val="es-ES_tradnl"/>
        </w:rPr>
        <w:t xml:space="preserve"> </w:t>
      </w:r>
      <w:r w:rsidR="00134823" w:rsidRPr="00F600E5">
        <w:rPr>
          <w:snapToGrid w:val="0"/>
          <w:kern w:val="22"/>
          <w:szCs w:val="22"/>
          <w:lang w:val="es-ES_tradnl"/>
        </w:rPr>
        <w:t>notas del Secretario Ejecutivo sobre los e</w:t>
      </w:r>
      <w:r w:rsidR="00084813" w:rsidRPr="00F600E5">
        <w:rPr>
          <w:snapToGrid w:val="0"/>
          <w:kern w:val="22"/>
          <w:szCs w:val="22"/>
          <w:lang w:val="es-ES_tradnl"/>
        </w:rPr>
        <w:t>lement</w:t>
      </w:r>
      <w:r w:rsidR="0083369C" w:rsidRPr="00F600E5">
        <w:rPr>
          <w:snapToGrid w:val="0"/>
          <w:kern w:val="22"/>
          <w:szCs w:val="22"/>
          <w:lang w:val="es-ES_tradnl"/>
        </w:rPr>
        <w:t>o</w:t>
      </w:r>
      <w:r w:rsidR="00084813" w:rsidRPr="00F600E5">
        <w:rPr>
          <w:snapToGrid w:val="0"/>
          <w:kern w:val="22"/>
          <w:szCs w:val="22"/>
          <w:lang w:val="es-ES_tradnl"/>
        </w:rPr>
        <w:t xml:space="preserve">s </w:t>
      </w:r>
      <w:r w:rsidR="0083369C" w:rsidRPr="00F600E5">
        <w:rPr>
          <w:snapToGrid w:val="0"/>
          <w:szCs w:val="22"/>
          <w:lang w:val="es-ES_tradnl"/>
        </w:rPr>
        <w:t>de orientación metodológica para la identificación, el seguimiento y la evaluación de la contribución de los pueblos indígenas y las comunidades locales</w:t>
      </w:r>
      <w:r w:rsidR="00134823" w:rsidRPr="00F600E5">
        <w:rPr>
          <w:snapToGrid w:val="0"/>
          <w:szCs w:val="22"/>
          <w:lang w:val="es-ES_tradnl"/>
        </w:rPr>
        <w:t xml:space="preserve"> (</w:t>
      </w:r>
      <w:hyperlink r:id="rId12" w:history="1">
        <w:r w:rsidR="00472B9C" w:rsidRPr="00E43667">
          <w:rPr>
            <w:rStyle w:val="Hyperlink"/>
            <w:snapToGrid w:val="0"/>
            <w:kern w:val="22"/>
            <w:sz w:val="22"/>
            <w:szCs w:val="22"/>
            <w:lang w:val="es-AR"/>
          </w:rPr>
          <w:t>CBD/SBI/2/19</w:t>
        </w:r>
      </w:hyperlink>
      <w:r w:rsidR="00084813" w:rsidRPr="00F600E5">
        <w:rPr>
          <w:snapToGrid w:val="0"/>
          <w:kern w:val="22"/>
          <w:szCs w:val="22"/>
          <w:lang w:val="es-ES_tradnl"/>
        </w:rPr>
        <w:t>)</w:t>
      </w:r>
      <w:r w:rsidR="0083369C" w:rsidRPr="00F600E5">
        <w:rPr>
          <w:snapToGrid w:val="0"/>
          <w:kern w:val="22"/>
          <w:szCs w:val="22"/>
          <w:lang w:val="es-ES_tradnl"/>
        </w:rPr>
        <w:t>,</w:t>
      </w:r>
      <w:r w:rsidR="00084813" w:rsidRPr="00F600E5">
        <w:rPr>
          <w:snapToGrid w:val="0"/>
          <w:kern w:val="22"/>
          <w:szCs w:val="22"/>
          <w:lang w:val="es-ES_tradnl"/>
        </w:rPr>
        <w:t xml:space="preserve"> </w:t>
      </w:r>
      <w:r w:rsidR="0083369C" w:rsidRPr="00F600E5">
        <w:rPr>
          <w:snapToGrid w:val="0"/>
          <w:kern w:val="22"/>
          <w:szCs w:val="22"/>
          <w:lang w:val="es-ES_tradnl"/>
        </w:rPr>
        <w:t xml:space="preserve">y </w:t>
      </w:r>
      <w:r w:rsidR="00134823" w:rsidRPr="00F600E5">
        <w:rPr>
          <w:snapToGrid w:val="0"/>
          <w:kern w:val="22"/>
          <w:szCs w:val="22"/>
          <w:lang w:val="es-ES_tradnl"/>
        </w:rPr>
        <w:t>sobre las f</w:t>
      </w:r>
      <w:r w:rsidR="004F25E2" w:rsidRPr="00F600E5">
        <w:rPr>
          <w:lang w:val="es-ES_tradnl"/>
        </w:rPr>
        <w:t>ormas de tomar en consideración las directrices voluntarias sobre salvaguardias en los mecanismos de financiación para la diversidad biológica al seleccionar, diseñar y aplicar mecanismos de financiación para la diversidad biológica y al idear salvaguardias específicas para los instrumentos</w:t>
      </w:r>
      <w:r w:rsidR="00134823" w:rsidRPr="00F600E5">
        <w:rPr>
          <w:lang w:val="es-ES_tradnl"/>
        </w:rPr>
        <w:t xml:space="preserve"> (</w:t>
      </w:r>
      <w:hyperlink r:id="rId13" w:history="1">
        <w:r w:rsidR="00472B9C" w:rsidRPr="00E43667">
          <w:rPr>
            <w:rStyle w:val="Hyperlink"/>
            <w:snapToGrid w:val="0"/>
            <w:kern w:val="22"/>
            <w:sz w:val="22"/>
            <w:szCs w:val="22"/>
            <w:lang w:val="es-AR"/>
          </w:rPr>
          <w:t>CBD/SBI/2/20</w:t>
        </w:r>
      </w:hyperlink>
      <w:r w:rsidR="00134823" w:rsidRPr="00F600E5">
        <w:rPr>
          <w:snapToGrid w:val="0"/>
          <w:kern w:val="22"/>
          <w:szCs w:val="22"/>
          <w:lang w:val="es-ES_tradnl"/>
        </w:rPr>
        <w:t>),</w:t>
      </w:r>
      <w:r w:rsidR="0083369C" w:rsidRPr="00F600E5">
        <w:rPr>
          <w:snapToGrid w:val="0"/>
          <w:kern w:val="22"/>
          <w:szCs w:val="22"/>
          <w:lang w:val="es-ES_tradnl"/>
        </w:rPr>
        <w:t xml:space="preserve"> figura un resumen de los párrafos dispositivos y de las medidas adoptadas posteriormente, así como los elementos de un proyecto de recomendación.</w:t>
      </w:r>
    </w:p>
    <w:p w:rsidR="00084813" w:rsidRPr="00F600E5" w:rsidRDefault="001F735C" w:rsidP="00B840DD">
      <w:pPr>
        <w:pStyle w:val="Heading2"/>
        <w:numPr>
          <w:ilvl w:val="0"/>
          <w:numId w:val="21"/>
        </w:numPr>
        <w:tabs>
          <w:tab w:val="clear" w:pos="720"/>
        </w:tabs>
        <w:ind w:left="0" w:hanging="11"/>
        <w:rPr>
          <w:snapToGrid w:val="0"/>
          <w:kern w:val="22"/>
          <w:lang w:val="es-ES_tradnl"/>
        </w:rPr>
      </w:pPr>
      <w:r w:rsidRPr="00F600E5">
        <w:rPr>
          <w:snapToGrid w:val="0"/>
          <w:kern w:val="22"/>
          <w:lang w:val="es-ES_tradnl"/>
        </w:rPr>
        <w:t>Hitos para la aplicación plena de la Meta 3 de Aichi para la Diversidad Biológica</w:t>
      </w:r>
    </w:p>
    <w:p w:rsidR="003574F1" w:rsidRPr="00F600E5" w:rsidRDefault="00A1052A" w:rsidP="007B4F1E">
      <w:pPr>
        <w:pStyle w:val="ListParagraph"/>
        <w:numPr>
          <w:ilvl w:val="0"/>
          <w:numId w:val="19"/>
        </w:numPr>
        <w:spacing w:after="120"/>
        <w:ind w:left="0" w:firstLine="0"/>
        <w:rPr>
          <w:snapToGrid w:val="0"/>
          <w:kern w:val="22"/>
          <w:szCs w:val="22"/>
          <w:lang w:val="es-ES_tradnl"/>
        </w:rPr>
      </w:pPr>
      <w:r w:rsidRPr="00F600E5">
        <w:rPr>
          <w:snapToGrid w:val="0"/>
          <w:kern w:val="22"/>
          <w:szCs w:val="22"/>
          <w:lang w:val="es-ES_tradnl"/>
        </w:rPr>
        <w:t>En la decisión</w:t>
      </w:r>
      <w:r w:rsidR="00084813" w:rsidRPr="00F600E5">
        <w:rPr>
          <w:snapToGrid w:val="0"/>
          <w:kern w:val="22"/>
          <w:szCs w:val="22"/>
          <w:lang w:val="es-ES_tradnl"/>
        </w:rPr>
        <w:t xml:space="preserve"> XIII/20, </w:t>
      </w:r>
      <w:r w:rsidR="00CC5E87" w:rsidRPr="00F600E5">
        <w:rPr>
          <w:snapToGrid w:val="0"/>
          <w:kern w:val="22"/>
          <w:szCs w:val="22"/>
          <w:lang w:val="es-ES_tradnl"/>
        </w:rPr>
        <w:t xml:space="preserve">párrafo 23, </w:t>
      </w:r>
      <w:r w:rsidR="006C5FC8" w:rsidRPr="00F600E5">
        <w:rPr>
          <w:snapToGrid w:val="0"/>
          <w:kern w:val="22"/>
          <w:szCs w:val="22"/>
          <w:lang w:val="es-ES_tradnl"/>
        </w:rPr>
        <w:t>la Conferencia de las Partes</w:t>
      </w:r>
      <w:r w:rsidR="00084813" w:rsidRPr="00F600E5">
        <w:rPr>
          <w:snapToGrid w:val="0"/>
          <w:kern w:val="22"/>
          <w:szCs w:val="22"/>
          <w:lang w:val="es-ES_tradnl"/>
        </w:rPr>
        <w:t xml:space="preserve"> r</w:t>
      </w:r>
      <w:r w:rsidR="009E2839" w:rsidRPr="00F600E5">
        <w:rPr>
          <w:snapToGrid w:val="0"/>
          <w:kern w:val="22"/>
          <w:szCs w:val="22"/>
          <w:lang w:val="es-ES_tradnl"/>
        </w:rPr>
        <w:t xml:space="preserve">ecordó su invitación a las Partes a que </w:t>
      </w:r>
      <w:r w:rsidR="009E2839" w:rsidRPr="00F600E5">
        <w:rPr>
          <w:snapToGrid w:val="0"/>
          <w:szCs w:val="22"/>
          <w:lang w:val="es-ES_tradnl"/>
        </w:rPr>
        <w:t>informaran sobre los progresos alcanzados en el cumplimiento de los hitos</w:t>
      </w:r>
      <w:r w:rsidR="009E2839" w:rsidRPr="00F600E5">
        <w:rPr>
          <w:snapToGrid w:val="0"/>
          <w:kern w:val="22"/>
          <w:szCs w:val="22"/>
          <w:lang w:val="es-ES_tradnl"/>
        </w:rPr>
        <w:t xml:space="preserve"> para la </w:t>
      </w:r>
      <w:r w:rsidR="002C1F20" w:rsidRPr="00F600E5">
        <w:rPr>
          <w:snapToGrid w:val="0"/>
          <w:kern w:val="22"/>
          <w:szCs w:val="22"/>
          <w:lang w:val="es-ES_tradnl"/>
        </w:rPr>
        <w:t>aplicación</w:t>
      </w:r>
      <w:r w:rsidR="009E2839" w:rsidRPr="00F600E5">
        <w:rPr>
          <w:snapToGrid w:val="0"/>
          <w:kern w:val="22"/>
          <w:szCs w:val="22"/>
          <w:lang w:val="es-ES_tradnl"/>
        </w:rPr>
        <w:t xml:space="preserve"> plena de la Meta 3 de Aichi para la Diversidad Biológica</w:t>
      </w:r>
      <w:r w:rsidR="00084813" w:rsidRPr="00F600E5">
        <w:rPr>
          <w:snapToGrid w:val="0"/>
          <w:kern w:val="22"/>
          <w:szCs w:val="22"/>
          <w:lang w:val="es-ES_tradnl"/>
        </w:rPr>
        <w:t xml:space="preserve">, </w:t>
      </w:r>
      <w:r w:rsidR="009E2839" w:rsidRPr="00F600E5">
        <w:rPr>
          <w:snapToGrid w:val="0"/>
          <w:szCs w:val="22"/>
          <w:lang w:val="es-ES_tradnl"/>
        </w:rPr>
        <w:t xml:space="preserve">así como de otros hitos y cronogramas adicionales que se hubieran establecido a nivel nacional, a través de sus informes nacionales, </w:t>
      </w:r>
      <w:r w:rsidR="00615B26" w:rsidRPr="00F600E5">
        <w:rPr>
          <w:snapToGrid w:val="0"/>
          <w:szCs w:val="22"/>
          <w:lang w:val="es-ES_tradnl"/>
        </w:rPr>
        <w:t>e invitó a las Partes</w:t>
      </w:r>
      <w:r w:rsidR="006C31DF" w:rsidRPr="00F600E5">
        <w:rPr>
          <w:snapToGrid w:val="0"/>
          <w:szCs w:val="22"/>
          <w:lang w:val="es-ES_tradnl"/>
        </w:rPr>
        <w:t xml:space="preserve"> </w:t>
      </w:r>
      <w:r w:rsidR="00615B26" w:rsidRPr="00F600E5">
        <w:rPr>
          <w:snapToGrid w:val="0"/>
          <w:szCs w:val="22"/>
          <w:lang w:val="es-ES_tradnl"/>
        </w:rPr>
        <w:t xml:space="preserve">a que incluyeran también información sobre estudios analíticos nacionales que identifiquen candidatos para la eliminación, eliminación gradual o reforma de incentivos, incluidos </w:t>
      </w:r>
      <w:r w:rsidR="008D0583" w:rsidRPr="00F600E5">
        <w:rPr>
          <w:snapToGrid w:val="0"/>
          <w:szCs w:val="22"/>
          <w:lang w:val="es-ES_tradnl"/>
        </w:rPr>
        <w:t xml:space="preserve">los </w:t>
      </w:r>
      <w:r w:rsidR="00615B26" w:rsidRPr="00F600E5">
        <w:rPr>
          <w:snapToGrid w:val="0"/>
          <w:szCs w:val="22"/>
          <w:lang w:val="es-ES_tradnl"/>
        </w:rPr>
        <w:t>subsidios</w:t>
      </w:r>
      <w:r w:rsidR="008D0583" w:rsidRPr="00F600E5">
        <w:rPr>
          <w:snapToGrid w:val="0"/>
          <w:szCs w:val="22"/>
          <w:lang w:val="es-ES_tradnl"/>
        </w:rPr>
        <w:t>, que son</w:t>
      </w:r>
      <w:r w:rsidR="00615B26" w:rsidRPr="00F600E5">
        <w:rPr>
          <w:snapToGrid w:val="0"/>
          <w:szCs w:val="22"/>
          <w:lang w:val="es-ES_tradnl"/>
        </w:rPr>
        <w:t xml:space="preserve"> perjudiciales para la diversidad biológica, y que identifiquen oportunidades para promover el diseño y la implementación de incentivos positivos, tales como </w:t>
      </w:r>
      <w:r w:rsidR="008D0583" w:rsidRPr="00F600E5">
        <w:rPr>
          <w:snapToGrid w:val="0"/>
          <w:szCs w:val="22"/>
          <w:lang w:val="es-ES_tradnl"/>
        </w:rPr>
        <w:t xml:space="preserve">el </w:t>
      </w:r>
      <w:r w:rsidR="00615B26" w:rsidRPr="00F600E5">
        <w:rPr>
          <w:snapToGrid w:val="0"/>
          <w:szCs w:val="22"/>
          <w:lang w:val="es-ES_tradnl"/>
        </w:rPr>
        <w:t xml:space="preserve">reconocimiento y </w:t>
      </w:r>
      <w:r w:rsidR="008D0583" w:rsidRPr="00F600E5">
        <w:rPr>
          <w:snapToGrid w:val="0"/>
          <w:szCs w:val="22"/>
          <w:lang w:val="es-ES_tradnl"/>
        </w:rPr>
        <w:t>el apoyo adecuado</w:t>
      </w:r>
      <w:r w:rsidR="00615B26" w:rsidRPr="00F600E5">
        <w:rPr>
          <w:snapToGrid w:val="0"/>
          <w:szCs w:val="22"/>
          <w:lang w:val="es-ES_tradnl"/>
        </w:rPr>
        <w:t xml:space="preserve"> para los pueblos indígenas y las comunidades locales que conserven </w:t>
      </w:r>
      <w:r w:rsidR="008D0583" w:rsidRPr="00F600E5">
        <w:rPr>
          <w:snapToGrid w:val="0"/>
          <w:szCs w:val="22"/>
          <w:lang w:val="es-ES_tradnl"/>
        </w:rPr>
        <w:t>regiones</w:t>
      </w:r>
      <w:r w:rsidR="00615B26" w:rsidRPr="00F600E5">
        <w:rPr>
          <w:snapToGrid w:val="0"/>
          <w:szCs w:val="22"/>
          <w:lang w:val="es-ES_tradnl"/>
        </w:rPr>
        <w:t xml:space="preserve"> y territorios, así como para otras iniciativas comunitarias de conservación</w:t>
      </w:r>
      <w:r w:rsidR="008D0583" w:rsidRPr="00F600E5">
        <w:rPr>
          <w:snapToGrid w:val="0"/>
          <w:szCs w:val="22"/>
          <w:lang w:val="es-ES_tradnl"/>
        </w:rPr>
        <w:t xml:space="preserve"> eficaces</w:t>
      </w:r>
      <w:r w:rsidR="00615B26" w:rsidRPr="00F600E5">
        <w:rPr>
          <w:snapToGrid w:val="0"/>
          <w:szCs w:val="22"/>
          <w:lang w:val="es-ES_tradnl"/>
        </w:rPr>
        <w:t>.</w:t>
      </w:r>
      <w:r w:rsidR="00084813" w:rsidRPr="00F600E5">
        <w:rPr>
          <w:snapToGrid w:val="0"/>
          <w:kern w:val="22"/>
          <w:szCs w:val="22"/>
          <w:lang w:val="es-ES_tradnl"/>
        </w:rPr>
        <w:t xml:space="preserve"> </w:t>
      </w:r>
      <w:r w:rsidRPr="00F600E5">
        <w:rPr>
          <w:snapToGrid w:val="0"/>
          <w:kern w:val="22"/>
          <w:szCs w:val="22"/>
          <w:lang w:val="es-ES_tradnl"/>
        </w:rPr>
        <w:t>En el párrafo</w:t>
      </w:r>
      <w:r w:rsidR="00084813" w:rsidRPr="00F600E5">
        <w:rPr>
          <w:snapToGrid w:val="0"/>
          <w:kern w:val="22"/>
          <w:szCs w:val="22"/>
          <w:lang w:val="es-ES_tradnl"/>
        </w:rPr>
        <w:t xml:space="preserve"> 25, </w:t>
      </w:r>
      <w:r w:rsidR="006C5FC8" w:rsidRPr="00F600E5">
        <w:rPr>
          <w:snapToGrid w:val="0"/>
          <w:kern w:val="22"/>
          <w:szCs w:val="22"/>
          <w:lang w:val="es-ES_tradnl"/>
        </w:rPr>
        <w:t>la Conferencia de las Partes</w:t>
      </w:r>
      <w:r w:rsidR="00084813" w:rsidRPr="00F600E5">
        <w:rPr>
          <w:snapToGrid w:val="0"/>
          <w:kern w:val="22"/>
          <w:szCs w:val="22"/>
          <w:lang w:val="es-ES_tradnl"/>
        </w:rPr>
        <w:t xml:space="preserve"> </w:t>
      </w:r>
      <w:r w:rsidR="00615B26" w:rsidRPr="00F600E5">
        <w:rPr>
          <w:snapToGrid w:val="0"/>
          <w:kern w:val="22"/>
          <w:szCs w:val="22"/>
          <w:lang w:val="es-ES_tradnl"/>
        </w:rPr>
        <w:t xml:space="preserve">pidió al </w:t>
      </w:r>
      <w:r w:rsidR="00184CA8" w:rsidRPr="00F600E5">
        <w:rPr>
          <w:snapToGrid w:val="0"/>
          <w:kern w:val="22"/>
          <w:szCs w:val="22"/>
          <w:lang w:val="es-ES_tradnl"/>
        </w:rPr>
        <w:t>Secretario Ejecutivo</w:t>
      </w:r>
      <w:r w:rsidR="00084813" w:rsidRPr="00F600E5">
        <w:rPr>
          <w:snapToGrid w:val="0"/>
          <w:kern w:val="22"/>
          <w:szCs w:val="22"/>
          <w:lang w:val="es-ES_tradnl"/>
        </w:rPr>
        <w:t xml:space="preserve"> </w:t>
      </w:r>
      <w:r w:rsidR="00615B26" w:rsidRPr="00F600E5">
        <w:rPr>
          <w:snapToGrid w:val="0"/>
          <w:szCs w:val="22"/>
          <w:lang w:val="es-ES_tradnl"/>
        </w:rPr>
        <w:t>que recopilara y analizara información pertinente</w:t>
      </w:r>
      <w:r w:rsidR="00084813" w:rsidRPr="00F600E5">
        <w:rPr>
          <w:snapToGrid w:val="0"/>
          <w:kern w:val="22"/>
          <w:szCs w:val="22"/>
          <w:lang w:val="es-ES_tradnl"/>
        </w:rPr>
        <w:t xml:space="preserve">, </w:t>
      </w:r>
      <w:r w:rsidR="00615B26" w:rsidRPr="00F600E5">
        <w:rPr>
          <w:snapToGrid w:val="0"/>
          <w:szCs w:val="22"/>
          <w:lang w:val="es-ES_tradnl"/>
        </w:rPr>
        <w:t>incluido un análisis de cómo el logro de la Meta 3 de Aichi para la Diversidad Biológica contribuye también al logro de la Meta 20, y que presentara la recopilación y el análisis al Órgano Subsidiario sobre la Aplicación</w:t>
      </w:r>
      <w:r w:rsidR="00084813" w:rsidRPr="00F600E5">
        <w:rPr>
          <w:snapToGrid w:val="0"/>
          <w:kern w:val="22"/>
          <w:szCs w:val="22"/>
          <w:lang w:val="es-ES_tradnl"/>
        </w:rPr>
        <w:t xml:space="preserve">. </w:t>
      </w:r>
      <w:r w:rsidR="00615B26" w:rsidRPr="00F600E5">
        <w:rPr>
          <w:snapToGrid w:val="0"/>
          <w:kern w:val="22"/>
          <w:szCs w:val="22"/>
          <w:lang w:val="es-ES_tradnl"/>
        </w:rPr>
        <w:t xml:space="preserve">Este apartado contiene un resumen del análisis solicitado, </w:t>
      </w:r>
      <w:r w:rsidR="008D0583" w:rsidRPr="00F600E5">
        <w:rPr>
          <w:snapToGrid w:val="0"/>
          <w:kern w:val="22"/>
          <w:szCs w:val="22"/>
          <w:lang w:val="es-ES_tradnl"/>
        </w:rPr>
        <w:t xml:space="preserve">mientras </w:t>
      </w:r>
      <w:r w:rsidR="00615B26" w:rsidRPr="00F600E5">
        <w:rPr>
          <w:snapToGrid w:val="0"/>
          <w:kern w:val="22"/>
          <w:szCs w:val="22"/>
          <w:lang w:val="es-ES_tradnl"/>
        </w:rPr>
        <w:t xml:space="preserve">que en </w:t>
      </w:r>
      <w:r w:rsidR="00CC5E87" w:rsidRPr="00F600E5">
        <w:rPr>
          <w:snapToGrid w:val="0"/>
          <w:kern w:val="22"/>
          <w:szCs w:val="22"/>
          <w:lang w:val="es-ES_tradnl"/>
        </w:rPr>
        <w:t xml:space="preserve">un documento </w:t>
      </w:r>
      <w:r w:rsidR="00615B26" w:rsidRPr="00F600E5">
        <w:rPr>
          <w:snapToGrid w:val="0"/>
          <w:kern w:val="22"/>
          <w:szCs w:val="22"/>
          <w:lang w:val="es-ES_tradnl"/>
        </w:rPr>
        <w:t>de información (CBD/SBI/2/INF/15) figura el análisis completo y la recopilación</w:t>
      </w:r>
      <w:r w:rsidR="00084813" w:rsidRPr="00F600E5">
        <w:rPr>
          <w:snapToGrid w:val="0"/>
          <w:kern w:val="22"/>
          <w:szCs w:val="22"/>
          <w:lang w:val="es-ES_tradnl"/>
        </w:rPr>
        <w:t>.</w:t>
      </w:r>
    </w:p>
    <w:p w:rsidR="003574F1" w:rsidRPr="00F600E5" w:rsidRDefault="002E6B4D" w:rsidP="002E6B4D">
      <w:pPr>
        <w:numPr>
          <w:ilvl w:val="0"/>
          <w:numId w:val="19"/>
        </w:numPr>
        <w:spacing w:after="120"/>
        <w:ind w:left="0" w:firstLine="0"/>
        <w:rPr>
          <w:snapToGrid w:val="0"/>
          <w:kern w:val="22"/>
          <w:szCs w:val="22"/>
          <w:lang w:val="es-ES_tradnl"/>
        </w:rPr>
      </w:pPr>
      <w:r w:rsidRPr="00F600E5">
        <w:rPr>
          <w:snapToGrid w:val="0"/>
          <w:kern w:val="22"/>
          <w:szCs w:val="22"/>
          <w:lang w:val="es-ES_tradnl"/>
        </w:rPr>
        <w:t>El análisis tuvo en cuenta los quintos informes nacionales con respecto al progreso en el cumplimiento de la Meta 3 de Aichi para la Diversidad Biológica</w:t>
      </w:r>
      <w:r w:rsidR="003574F1" w:rsidRPr="00F600E5">
        <w:rPr>
          <w:snapToGrid w:val="0"/>
          <w:kern w:val="22"/>
          <w:szCs w:val="22"/>
          <w:lang w:val="es-ES_tradnl"/>
        </w:rPr>
        <w:t xml:space="preserve">, </w:t>
      </w:r>
      <w:r w:rsidR="00CC5E87" w:rsidRPr="00F600E5">
        <w:rPr>
          <w:snapToGrid w:val="0"/>
          <w:kern w:val="22"/>
          <w:szCs w:val="22"/>
          <w:lang w:val="es-ES_tradnl"/>
        </w:rPr>
        <w:t xml:space="preserve">también </w:t>
      </w:r>
      <w:r w:rsidRPr="00F600E5">
        <w:rPr>
          <w:snapToGrid w:val="0"/>
          <w:kern w:val="22"/>
          <w:szCs w:val="22"/>
          <w:lang w:val="es-ES_tradnl"/>
        </w:rPr>
        <w:t xml:space="preserve">teniendo en cuenta </w:t>
      </w:r>
      <w:r w:rsidR="00213F0A" w:rsidRPr="00F600E5">
        <w:rPr>
          <w:snapToGrid w:val="0"/>
          <w:kern w:val="22"/>
          <w:szCs w:val="22"/>
          <w:lang w:val="es-ES_tradnl"/>
        </w:rPr>
        <w:t xml:space="preserve">la </w:t>
      </w:r>
      <w:r w:rsidRPr="00F600E5">
        <w:rPr>
          <w:snapToGrid w:val="0"/>
          <w:kern w:val="22"/>
          <w:szCs w:val="22"/>
          <w:lang w:val="es-ES_tradnl"/>
        </w:rPr>
        <w:t>información pertinente notificada con arreglo a la Meta 20 de Aichi para la Diversidad Biológica</w:t>
      </w:r>
      <w:r w:rsidR="003574F1" w:rsidRPr="00F600E5">
        <w:rPr>
          <w:snapToGrid w:val="0"/>
          <w:kern w:val="22"/>
          <w:szCs w:val="22"/>
          <w:lang w:val="es-ES_tradnl"/>
        </w:rPr>
        <w:t xml:space="preserve">. </w:t>
      </w:r>
      <w:r w:rsidRPr="00F600E5">
        <w:rPr>
          <w:snapToGrid w:val="0"/>
          <w:kern w:val="22"/>
          <w:szCs w:val="22"/>
          <w:lang w:val="es-ES_tradnl"/>
        </w:rPr>
        <w:t xml:space="preserve">Como en el primer hito se pide que la Meta 3 de Aichi para la Diversidad Biológica se vea reflejada en una meta nacional y que se incluyan puntos conexos en las estrategias y planes de acción nacionales sobre diversidad biológica </w:t>
      </w:r>
      <w:r w:rsidR="003574F1" w:rsidRPr="00F600E5">
        <w:rPr>
          <w:snapToGrid w:val="0"/>
          <w:kern w:val="22"/>
          <w:szCs w:val="22"/>
          <w:lang w:val="es-ES_tradnl"/>
        </w:rPr>
        <w:t>(</w:t>
      </w:r>
      <w:r w:rsidRPr="00F600E5">
        <w:rPr>
          <w:snapToGrid w:val="0"/>
          <w:kern w:val="22"/>
          <w:szCs w:val="22"/>
          <w:lang w:val="es-ES_tradnl"/>
        </w:rPr>
        <w:t>EPANB</w:t>
      </w:r>
      <w:r w:rsidR="003574F1" w:rsidRPr="00F600E5">
        <w:rPr>
          <w:snapToGrid w:val="0"/>
          <w:kern w:val="22"/>
          <w:szCs w:val="22"/>
          <w:lang w:val="es-ES_tradnl"/>
        </w:rPr>
        <w:t>)</w:t>
      </w:r>
      <w:r w:rsidR="00CC5E87" w:rsidRPr="00F600E5">
        <w:rPr>
          <w:snapToGrid w:val="0"/>
          <w:kern w:val="22"/>
          <w:szCs w:val="22"/>
          <w:lang w:val="es-ES_tradnl"/>
        </w:rPr>
        <w:t xml:space="preserve"> revisadas</w:t>
      </w:r>
      <w:r w:rsidR="003574F1" w:rsidRPr="00F600E5">
        <w:rPr>
          <w:snapToGrid w:val="0"/>
          <w:kern w:val="22"/>
          <w:szCs w:val="22"/>
          <w:lang w:val="es-ES_tradnl"/>
        </w:rPr>
        <w:t xml:space="preserve">, </w:t>
      </w:r>
      <w:r w:rsidRPr="00F600E5">
        <w:rPr>
          <w:snapToGrid w:val="0"/>
          <w:kern w:val="22"/>
          <w:szCs w:val="22"/>
          <w:lang w:val="es-ES_tradnl"/>
        </w:rPr>
        <w:t>el análisis tuvo en cuenta también la información pertinente de l</w:t>
      </w:r>
      <w:r w:rsidR="00CC5E87" w:rsidRPr="00F600E5">
        <w:rPr>
          <w:snapToGrid w:val="0"/>
          <w:kern w:val="22"/>
          <w:szCs w:val="22"/>
          <w:lang w:val="es-ES_tradnl"/>
        </w:rPr>
        <w:t>a</w:t>
      </w:r>
      <w:r w:rsidRPr="00F600E5">
        <w:rPr>
          <w:snapToGrid w:val="0"/>
          <w:kern w:val="22"/>
          <w:szCs w:val="22"/>
          <w:lang w:val="es-ES_tradnl"/>
        </w:rPr>
        <w:t>s EPANB</w:t>
      </w:r>
      <w:r w:rsidR="003574F1" w:rsidRPr="00F600E5">
        <w:rPr>
          <w:snapToGrid w:val="0"/>
          <w:kern w:val="22"/>
          <w:szCs w:val="22"/>
          <w:lang w:val="es-ES_tradnl"/>
        </w:rPr>
        <w:t xml:space="preserve">. </w:t>
      </w:r>
      <w:r w:rsidRPr="00F600E5">
        <w:rPr>
          <w:snapToGrid w:val="0"/>
          <w:kern w:val="22"/>
          <w:szCs w:val="22"/>
          <w:lang w:val="es-ES_tradnl"/>
        </w:rPr>
        <w:t xml:space="preserve">Basándose en dicha información </w:t>
      </w:r>
      <w:r w:rsidR="00213F0A" w:rsidRPr="00F600E5">
        <w:rPr>
          <w:snapToGrid w:val="0"/>
          <w:kern w:val="22"/>
          <w:szCs w:val="22"/>
          <w:lang w:val="es-ES_tradnl"/>
        </w:rPr>
        <w:t xml:space="preserve">y </w:t>
      </w:r>
      <w:r w:rsidRPr="00F600E5">
        <w:rPr>
          <w:snapToGrid w:val="0"/>
          <w:kern w:val="22"/>
          <w:szCs w:val="22"/>
          <w:lang w:val="es-ES_tradnl"/>
        </w:rPr>
        <w:t>en recientes publicaciones pertinentes de organizaciones internacionales, se analiz</w:t>
      </w:r>
      <w:r w:rsidR="00EB0ACF" w:rsidRPr="00F600E5">
        <w:rPr>
          <w:snapToGrid w:val="0"/>
          <w:kern w:val="22"/>
          <w:szCs w:val="22"/>
          <w:lang w:val="es-ES_tradnl"/>
        </w:rPr>
        <w:t xml:space="preserve">ó la manera en que </w:t>
      </w:r>
      <w:r w:rsidRPr="00F600E5">
        <w:rPr>
          <w:snapToGrid w:val="0"/>
          <w:kern w:val="22"/>
          <w:szCs w:val="22"/>
          <w:lang w:val="es-ES_tradnl"/>
        </w:rPr>
        <w:t xml:space="preserve">contribuye la Meta 3 de Aichi para la Diversidad Biológica </w:t>
      </w:r>
      <w:r w:rsidR="00EB0ACF" w:rsidRPr="00F600E5">
        <w:rPr>
          <w:snapToGrid w:val="0"/>
          <w:kern w:val="22"/>
          <w:szCs w:val="22"/>
          <w:lang w:val="es-ES_tradnl"/>
        </w:rPr>
        <w:t>a la Meta 20 de Aichi para la Diversidad Biológica.</w:t>
      </w:r>
    </w:p>
    <w:p w:rsidR="008040B0" w:rsidRPr="00F600E5" w:rsidRDefault="007B4F1E" w:rsidP="008040B0">
      <w:pPr>
        <w:numPr>
          <w:ilvl w:val="0"/>
          <w:numId w:val="19"/>
        </w:numPr>
        <w:spacing w:after="120"/>
        <w:ind w:left="0" w:firstLine="0"/>
        <w:rPr>
          <w:snapToGrid w:val="0"/>
          <w:kern w:val="22"/>
          <w:szCs w:val="22"/>
          <w:lang w:val="es-ES_tradnl"/>
        </w:rPr>
      </w:pPr>
      <w:r w:rsidRPr="00F600E5">
        <w:rPr>
          <w:i/>
          <w:snapToGrid w:val="0"/>
          <w:kern w:val="22"/>
          <w:szCs w:val="22"/>
          <w:lang w:val="es-ES_tradnl"/>
        </w:rPr>
        <w:t xml:space="preserve">El primer hito </w:t>
      </w:r>
      <w:r w:rsidR="00084813" w:rsidRPr="00F600E5">
        <w:rPr>
          <w:i/>
          <w:snapToGrid w:val="0"/>
          <w:kern w:val="22"/>
          <w:szCs w:val="22"/>
          <w:lang w:val="es-ES_tradnl"/>
        </w:rPr>
        <w:t>(</w:t>
      </w:r>
      <w:r w:rsidRPr="00F600E5">
        <w:rPr>
          <w:i/>
          <w:snapToGrid w:val="0"/>
          <w:kern w:val="22"/>
          <w:szCs w:val="22"/>
          <w:lang w:val="es-ES_tradnl"/>
        </w:rPr>
        <w:t>un objetivo nacional que refleja la Meta 3 de Aichi para la Diversidad Biológica</w:t>
      </w:r>
      <w:r w:rsidR="00213F0A" w:rsidRPr="00F600E5">
        <w:rPr>
          <w:i/>
          <w:snapToGrid w:val="0"/>
          <w:kern w:val="22"/>
          <w:szCs w:val="22"/>
          <w:lang w:val="es-ES_tradnl"/>
        </w:rPr>
        <w:t>,</w:t>
      </w:r>
      <w:r w:rsidRPr="00F600E5">
        <w:rPr>
          <w:i/>
          <w:snapToGrid w:val="0"/>
          <w:kern w:val="22"/>
          <w:szCs w:val="22"/>
          <w:lang w:val="es-ES_tradnl"/>
        </w:rPr>
        <w:t xml:space="preserve"> </w:t>
      </w:r>
      <w:r w:rsidR="0051304F" w:rsidRPr="00F600E5">
        <w:rPr>
          <w:i/>
          <w:snapToGrid w:val="0"/>
          <w:kern w:val="22"/>
          <w:szCs w:val="22"/>
          <w:lang w:val="es-ES_tradnl"/>
        </w:rPr>
        <w:t>y en la estrategia y plan nacional de acción sobre la diversidad biológica (EPANB) revisada</w:t>
      </w:r>
      <w:r w:rsidR="00213F0A" w:rsidRPr="00F600E5">
        <w:rPr>
          <w:i/>
          <w:snapToGrid w:val="0"/>
          <w:kern w:val="22"/>
          <w:szCs w:val="22"/>
          <w:lang w:val="es-ES_tradnl"/>
        </w:rPr>
        <w:t xml:space="preserve"> se incluyen elementos de acción</w:t>
      </w:r>
      <w:r w:rsidR="00084813" w:rsidRPr="00F600E5">
        <w:rPr>
          <w:i/>
          <w:snapToGrid w:val="0"/>
          <w:kern w:val="22"/>
          <w:szCs w:val="22"/>
          <w:lang w:val="es-ES_tradnl"/>
        </w:rPr>
        <w:t xml:space="preserve">): </w:t>
      </w:r>
      <w:r w:rsidR="00CC5E87" w:rsidRPr="00F600E5">
        <w:rPr>
          <w:snapToGrid w:val="0"/>
          <w:kern w:val="22"/>
          <w:szCs w:val="22"/>
          <w:lang w:val="es-ES_tradnl"/>
        </w:rPr>
        <w:t>Un total de 52 EPAN</w:t>
      </w:r>
      <w:r w:rsidR="0051304F" w:rsidRPr="00F600E5">
        <w:rPr>
          <w:snapToGrid w:val="0"/>
          <w:kern w:val="22"/>
          <w:szCs w:val="22"/>
          <w:lang w:val="es-ES_tradnl"/>
        </w:rPr>
        <w:t>B</w:t>
      </w:r>
      <w:r w:rsidR="00084813" w:rsidRPr="00F600E5">
        <w:rPr>
          <w:snapToGrid w:val="0"/>
          <w:kern w:val="22"/>
          <w:szCs w:val="22"/>
          <w:lang w:val="es-ES_tradnl"/>
        </w:rPr>
        <w:t xml:space="preserve">, </w:t>
      </w:r>
      <w:r w:rsidR="0051304F" w:rsidRPr="00F600E5">
        <w:rPr>
          <w:snapToGrid w:val="0"/>
          <w:kern w:val="22"/>
          <w:szCs w:val="22"/>
          <w:lang w:val="es-ES_tradnl"/>
        </w:rPr>
        <w:t xml:space="preserve">o alrededor de un </w:t>
      </w:r>
      <w:r w:rsidR="00084813" w:rsidRPr="00F600E5">
        <w:rPr>
          <w:snapToGrid w:val="0"/>
          <w:kern w:val="22"/>
          <w:szCs w:val="22"/>
          <w:lang w:val="es-ES_tradnl"/>
        </w:rPr>
        <w:t>40</w:t>
      </w:r>
      <w:r w:rsidR="0051304F" w:rsidRPr="00F600E5">
        <w:rPr>
          <w:snapToGrid w:val="0"/>
          <w:kern w:val="22"/>
          <w:szCs w:val="22"/>
          <w:lang w:val="es-ES_tradnl"/>
        </w:rPr>
        <w:t>%</w:t>
      </w:r>
      <w:r w:rsidR="00084813" w:rsidRPr="00F600E5">
        <w:rPr>
          <w:snapToGrid w:val="0"/>
          <w:kern w:val="22"/>
          <w:szCs w:val="22"/>
          <w:lang w:val="es-ES_tradnl"/>
        </w:rPr>
        <w:t xml:space="preserve">, </w:t>
      </w:r>
      <w:r w:rsidR="0051304F" w:rsidRPr="00F600E5">
        <w:rPr>
          <w:snapToGrid w:val="0"/>
          <w:kern w:val="22"/>
          <w:szCs w:val="22"/>
          <w:lang w:val="es-ES_tradnl"/>
        </w:rPr>
        <w:t>contiene</w:t>
      </w:r>
      <w:r w:rsidR="00C758A5" w:rsidRPr="00F600E5">
        <w:rPr>
          <w:snapToGrid w:val="0"/>
          <w:kern w:val="22"/>
          <w:szCs w:val="22"/>
          <w:lang w:val="es-ES_tradnl"/>
        </w:rPr>
        <w:t>n</w:t>
      </w:r>
      <w:r w:rsidR="0051304F" w:rsidRPr="00F600E5">
        <w:rPr>
          <w:snapToGrid w:val="0"/>
          <w:kern w:val="22"/>
          <w:szCs w:val="22"/>
          <w:lang w:val="es-ES_tradnl"/>
        </w:rPr>
        <w:t xml:space="preserve"> una meta nacional, o metas nacionales</w:t>
      </w:r>
      <w:r w:rsidR="00084813" w:rsidRPr="00F600E5">
        <w:rPr>
          <w:snapToGrid w:val="0"/>
          <w:kern w:val="22"/>
          <w:szCs w:val="22"/>
          <w:lang w:val="es-ES_tradnl"/>
        </w:rPr>
        <w:t xml:space="preserve">, </w:t>
      </w:r>
      <w:r w:rsidR="0051304F" w:rsidRPr="00F600E5">
        <w:rPr>
          <w:snapToGrid w:val="0"/>
          <w:kern w:val="22"/>
          <w:szCs w:val="22"/>
          <w:lang w:val="es-ES_tradnl"/>
        </w:rPr>
        <w:t>que reflejan como mínimo en cierto grado la Meta 3 de Aichi para la Diversidad Biológica</w:t>
      </w:r>
      <w:r w:rsidR="00084813" w:rsidRPr="00F600E5">
        <w:rPr>
          <w:snapToGrid w:val="0"/>
          <w:kern w:val="22"/>
          <w:szCs w:val="22"/>
          <w:lang w:val="es-ES_tradnl"/>
        </w:rPr>
        <w:t xml:space="preserve">. </w:t>
      </w:r>
      <w:r w:rsidR="0051304F" w:rsidRPr="00F600E5">
        <w:rPr>
          <w:snapToGrid w:val="0"/>
          <w:kern w:val="22"/>
          <w:szCs w:val="22"/>
          <w:lang w:val="es-ES_tradnl"/>
        </w:rPr>
        <w:t xml:space="preserve">Un total de 24 EPANB </w:t>
      </w:r>
      <w:r w:rsidR="00CC5E87" w:rsidRPr="00F600E5">
        <w:rPr>
          <w:snapToGrid w:val="0"/>
          <w:kern w:val="22"/>
          <w:szCs w:val="22"/>
          <w:lang w:val="es-ES_tradnl"/>
        </w:rPr>
        <w:t>(casi un 20%) contiene</w:t>
      </w:r>
      <w:r w:rsidR="00C758A5" w:rsidRPr="00F600E5">
        <w:rPr>
          <w:snapToGrid w:val="0"/>
          <w:kern w:val="22"/>
          <w:szCs w:val="22"/>
          <w:lang w:val="es-ES_tradnl"/>
        </w:rPr>
        <w:t>n</w:t>
      </w:r>
      <w:r w:rsidR="0051304F" w:rsidRPr="00F600E5">
        <w:rPr>
          <w:snapToGrid w:val="0"/>
          <w:kern w:val="22"/>
          <w:szCs w:val="22"/>
          <w:lang w:val="es-ES_tradnl"/>
        </w:rPr>
        <w:t xml:space="preserve"> metas solamente sobre incentivos positivos</w:t>
      </w:r>
      <w:r w:rsidR="00084813" w:rsidRPr="00F600E5">
        <w:rPr>
          <w:snapToGrid w:val="0"/>
          <w:kern w:val="22"/>
          <w:szCs w:val="22"/>
          <w:lang w:val="es-ES_tradnl"/>
        </w:rPr>
        <w:t xml:space="preserve">, </w:t>
      </w:r>
      <w:r w:rsidR="0051304F" w:rsidRPr="00F600E5">
        <w:rPr>
          <w:snapToGrid w:val="0"/>
          <w:kern w:val="22"/>
          <w:szCs w:val="22"/>
          <w:lang w:val="es-ES_tradnl"/>
        </w:rPr>
        <w:t>y solo 4 contienen una meta sobre incentivos perjudiciales</w:t>
      </w:r>
      <w:r w:rsidR="00084813" w:rsidRPr="00F600E5">
        <w:rPr>
          <w:snapToGrid w:val="0"/>
          <w:kern w:val="22"/>
          <w:szCs w:val="22"/>
          <w:lang w:val="es-ES_tradnl"/>
        </w:rPr>
        <w:t xml:space="preserve">, </w:t>
      </w:r>
      <w:r w:rsidR="0051304F" w:rsidRPr="00F600E5">
        <w:rPr>
          <w:snapToGrid w:val="0"/>
          <w:kern w:val="22"/>
          <w:szCs w:val="22"/>
          <w:lang w:val="es-ES_tradnl"/>
        </w:rPr>
        <w:t xml:space="preserve">en tanto que las metas de </w:t>
      </w:r>
      <w:r w:rsidR="00084813" w:rsidRPr="00F600E5">
        <w:rPr>
          <w:snapToGrid w:val="0"/>
          <w:kern w:val="22"/>
          <w:szCs w:val="22"/>
          <w:lang w:val="es-ES_tradnl"/>
        </w:rPr>
        <w:t xml:space="preserve">25 </w:t>
      </w:r>
      <w:r w:rsidR="0051304F" w:rsidRPr="00F600E5">
        <w:rPr>
          <w:snapToGrid w:val="0"/>
          <w:kern w:val="22"/>
          <w:szCs w:val="22"/>
          <w:lang w:val="es-ES_tradnl"/>
        </w:rPr>
        <w:t>EPANB abordan ambos elementos de la Meta 3 de Aichi para la Diversidad Biológica</w:t>
      </w:r>
      <w:r w:rsidR="00084813" w:rsidRPr="00F600E5">
        <w:rPr>
          <w:snapToGrid w:val="0"/>
          <w:kern w:val="22"/>
          <w:szCs w:val="22"/>
          <w:lang w:val="es-ES_tradnl"/>
        </w:rPr>
        <w:t xml:space="preserve">. </w:t>
      </w:r>
      <w:r w:rsidR="0051304F" w:rsidRPr="00F600E5">
        <w:rPr>
          <w:snapToGrid w:val="0"/>
          <w:kern w:val="22"/>
          <w:szCs w:val="22"/>
          <w:lang w:val="es-ES_tradnl"/>
        </w:rPr>
        <w:t xml:space="preserve">Un total de </w:t>
      </w:r>
      <w:r w:rsidR="00084813" w:rsidRPr="00F600E5">
        <w:rPr>
          <w:snapToGrid w:val="0"/>
          <w:kern w:val="22"/>
          <w:szCs w:val="22"/>
          <w:lang w:val="es-ES_tradnl"/>
        </w:rPr>
        <w:t xml:space="preserve">21 </w:t>
      </w:r>
      <w:r w:rsidR="0051304F" w:rsidRPr="00F600E5">
        <w:rPr>
          <w:snapToGrid w:val="0"/>
          <w:kern w:val="22"/>
          <w:szCs w:val="22"/>
          <w:lang w:val="es-ES_tradnl"/>
        </w:rPr>
        <w:t>EPANB</w:t>
      </w:r>
      <w:r w:rsidR="00084813" w:rsidRPr="00F600E5">
        <w:rPr>
          <w:snapToGrid w:val="0"/>
          <w:kern w:val="22"/>
          <w:szCs w:val="22"/>
          <w:lang w:val="es-ES_tradnl"/>
        </w:rPr>
        <w:t xml:space="preserve">, </w:t>
      </w:r>
      <w:r w:rsidR="0051304F" w:rsidRPr="00F600E5">
        <w:rPr>
          <w:snapToGrid w:val="0"/>
          <w:kern w:val="22"/>
          <w:szCs w:val="22"/>
          <w:lang w:val="es-ES_tradnl"/>
        </w:rPr>
        <w:t xml:space="preserve">o </w:t>
      </w:r>
      <w:r w:rsidR="00C758A5" w:rsidRPr="00F600E5">
        <w:rPr>
          <w:snapToGrid w:val="0"/>
          <w:kern w:val="22"/>
          <w:szCs w:val="22"/>
          <w:lang w:val="es-ES_tradnl"/>
        </w:rPr>
        <w:t xml:space="preserve">sea </w:t>
      </w:r>
      <w:r w:rsidR="0051304F" w:rsidRPr="00F600E5">
        <w:rPr>
          <w:snapToGrid w:val="0"/>
          <w:kern w:val="22"/>
          <w:szCs w:val="22"/>
          <w:lang w:val="es-ES_tradnl"/>
        </w:rPr>
        <w:t>ligeramente por encima del 15%</w:t>
      </w:r>
      <w:r w:rsidR="00084813" w:rsidRPr="00F600E5">
        <w:rPr>
          <w:snapToGrid w:val="0"/>
          <w:kern w:val="22"/>
          <w:szCs w:val="22"/>
          <w:lang w:val="es-ES_tradnl"/>
        </w:rPr>
        <w:t xml:space="preserve">, </w:t>
      </w:r>
      <w:r w:rsidR="0051304F" w:rsidRPr="00F600E5">
        <w:rPr>
          <w:snapToGrid w:val="0"/>
          <w:kern w:val="22"/>
          <w:szCs w:val="22"/>
          <w:lang w:val="es-ES_tradnl"/>
        </w:rPr>
        <w:t xml:space="preserve">contenían metas secundarias o </w:t>
      </w:r>
      <w:r w:rsidR="00F23E7A" w:rsidRPr="00F600E5">
        <w:rPr>
          <w:snapToGrid w:val="0"/>
          <w:kern w:val="22"/>
          <w:szCs w:val="22"/>
          <w:lang w:val="es-ES_tradnl"/>
        </w:rPr>
        <w:t xml:space="preserve">puntos </w:t>
      </w:r>
      <w:r w:rsidR="0051304F" w:rsidRPr="00F600E5">
        <w:rPr>
          <w:snapToGrid w:val="0"/>
          <w:kern w:val="22"/>
          <w:szCs w:val="22"/>
          <w:lang w:val="es-ES_tradnl"/>
        </w:rPr>
        <w:t>adicionales</w:t>
      </w:r>
      <w:r w:rsidR="00084813" w:rsidRPr="00F600E5">
        <w:rPr>
          <w:snapToGrid w:val="0"/>
          <w:kern w:val="22"/>
          <w:szCs w:val="22"/>
          <w:lang w:val="es-ES_tradnl"/>
        </w:rPr>
        <w:t xml:space="preserve">, </w:t>
      </w:r>
      <w:r w:rsidR="0051304F" w:rsidRPr="00F600E5">
        <w:rPr>
          <w:snapToGrid w:val="0"/>
          <w:kern w:val="22"/>
          <w:szCs w:val="22"/>
          <w:lang w:val="es-ES_tradnl"/>
        </w:rPr>
        <w:t xml:space="preserve">que pueden </w:t>
      </w:r>
      <w:r w:rsidR="0051304F" w:rsidRPr="00F600E5">
        <w:rPr>
          <w:snapToGrid w:val="0"/>
          <w:kern w:val="22"/>
          <w:szCs w:val="22"/>
          <w:lang w:val="es-ES_tradnl"/>
        </w:rPr>
        <w:lastRenderedPageBreak/>
        <w:t>considerarse hitos</w:t>
      </w:r>
      <w:r w:rsidR="00084813" w:rsidRPr="00F600E5">
        <w:rPr>
          <w:snapToGrid w:val="0"/>
          <w:kern w:val="22"/>
          <w:szCs w:val="22"/>
          <w:lang w:val="es-ES_tradnl"/>
        </w:rPr>
        <w:t xml:space="preserve">. </w:t>
      </w:r>
      <w:r w:rsidR="0051304F" w:rsidRPr="00F600E5">
        <w:rPr>
          <w:snapToGrid w:val="0"/>
          <w:kern w:val="22"/>
          <w:szCs w:val="22"/>
          <w:lang w:val="es-ES_tradnl"/>
        </w:rPr>
        <w:t xml:space="preserve">Un total de 23 países </w:t>
      </w:r>
      <w:r w:rsidR="00084813" w:rsidRPr="00F600E5">
        <w:rPr>
          <w:snapToGrid w:val="0"/>
          <w:kern w:val="22"/>
          <w:szCs w:val="22"/>
          <w:lang w:val="es-ES_tradnl"/>
        </w:rPr>
        <w:t>(</w:t>
      </w:r>
      <w:r w:rsidR="0051304F" w:rsidRPr="00F600E5">
        <w:rPr>
          <w:snapToGrid w:val="0"/>
          <w:kern w:val="22"/>
          <w:szCs w:val="22"/>
          <w:lang w:val="es-ES_tradnl"/>
        </w:rPr>
        <w:t>casi un 20</w:t>
      </w:r>
      <w:r w:rsidR="00084813" w:rsidRPr="00F600E5">
        <w:rPr>
          <w:snapToGrid w:val="0"/>
          <w:kern w:val="22"/>
          <w:szCs w:val="22"/>
          <w:lang w:val="es-ES_tradnl"/>
        </w:rPr>
        <w:t xml:space="preserve">%) </w:t>
      </w:r>
      <w:r w:rsidR="00DB2741" w:rsidRPr="00F600E5">
        <w:rPr>
          <w:snapToGrid w:val="0"/>
          <w:kern w:val="22"/>
          <w:szCs w:val="22"/>
          <w:lang w:val="es-ES_tradnl"/>
        </w:rPr>
        <w:t xml:space="preserve">previeron </w:t>
      </w:r>
      <w:r w:rsidR="00F23E7A" w:rsidRPr="00F600E5">
        <w:rPr>
          <w:snapToGrid w:val="0"/>
          <w:kern w:val="22"/>
          <w:szCs w:val="22"/>
          <w:lang w:val="es-ES_tradnl"/>
        </w:rPr>
        <w:t>calendarios para lograr dichos hitos, los cuales a veces divergen de los calendarios propuestos en los hitos</w:t>
      </w:r>
      <w:r w:rsidR="00084813" w:rsidRPr="00F600E5">
        <w:rPr>
          <w:snapToGrid w:val="0"/>
          <w:kern w:val="22"/>
          <w:szCs w:val="22"/>
          <w:lang w:val="es-ES_tradnl"/>
        </w:rPr>
        <w:t>.</w:t>
      </w:r>
    </w:p>
    <w:p w:rsidR="00084813" w:rsidRPr="00F600E5" w:rsidRDefault="00F23E7A" w:rsidP="00615B26">
      <w:pPr>
        <w:pStyle w:val="ListParagraph"/>
        <w:numPr>
          <w:ilvl w:val="0"/>
          <w:numId w:val="19"/>
        </w:numPr>
        <w:spacing w:after="120"/>
        <w:ind w:left="0" w:firstLine="0"/>
        <w:rPr>
          <w:snapToGrid w:val="0"/>
          <w:kern w:val="22"/>
          <w:szCs w:val="22"/>
          <w:lang w:val="es-ES_tradnl"/>
        </w:rPr>
      </w:pPr>
      <w:r w:rsidRPr="00F600E5">
        <w:rPr>
          <w:snapToGrid w:val="0"/>
          <w:kern w:val="22"/>
          <w:szCs w:val="22"/>
          <w:lang w:val="es-ES_tradnl"/>
        </w:rPr>
        <w:t>Este primer hito también especifica un par de puntos qu</w:t>
      </w:r>
      <w:r w:rsidR="00CC5E87" w:rsidRPr="00F600E5">
        <w:rPr>
          <w:snapToGrid w:val="0"/>
          <w:kern w:val="22"/>
          <w:szCs w:val="22"/>
          <w:lang w:val="es-ES_tradnl"/>
        </w:rPr>
        <w:t>e podrían incluirse en la EPANB</w:t>
      </w:r>
      <w:r w:rsidR="00084813" w:rsidRPr="00F600E5">
        <w:rPr>
          <w:snapToGrid w:val="0"/>
          <w:kern w:val="22"/>
          <w:szCs w:val="22"/>
          <w:lang w:val="es-ES_tradnl"/>
        </w:rPr>
        <w:t>:</w:t>
      </w:r>
    </w:p>
    <w:p w:rsidR="00084813" w:rsidRPr="00F600E5" w:rsidRDefault="009476D9" w:rsidP="00B840DD">
      <w:pPr>
        <w:numPr>
          <w:ilvl w:val="1"/>
          <w:numId w:val="22"/>
        </w:numPr>
        <w:spacing w:after="120"/>
        <w:ind w:left="0" w:firstLine="709"/>
        <w:rPr>
          <w:snapToGrid w:val="0"/>
          <w:kern w:val="22"/>
          <w:szCs w:val="22"/>
          <w:lang w:val="es-ES_tradnl"/>
        </w:rPr>
      </w:pPr>
      <w:r w:rsidRPr="00F600E5">
        <w:rPr>
          <w:i/>
          <w:snapToGrid w:val="0"/>
          <w:kern w:val="22"/>
          <w:szCs w:val="22"/>
          <w:lang w:val="es-ES_tradnl"/>
        </w:rPr>
        <w:t>Realización de estudios analíticos nacionales que identifiquen candidatos para adoptar medidas respecto de incentivos perjudiciales, incluidos los subsidios, y que detecten oportunidades</w:t>
      </w:r>
      <w:r w:rsidR="006C31DF" w:rsidRPr="00F600E5">
        <w:rPr>
          <w:i/>
          <w:snapToGrid w:val="0"/>
          <w:kern w:val="22"/>
          <w:szCs w:val="22"/>
          <w:lang w:val="es-ES_tradnl"/>
        </w:rPr>
        <w:t xml:space="preserve"> </w:t>
      </w:r>
      <w:r w:rsidRPr="00F600E5">
        <w:rPr>
          <w:i/>
          <w:snapToGrid w:val="0"/>
          <w:kern w:val="22"/>
          <w:szCs w:val="22"/>
          <w:lang w:val="es-ES_tradnl"/>
        </w:rPr>
        <w:t>para promover la puesta en práctica de incentivos positivos</w:t>
      </w:r>
      <w:r w:rsidR="00084813" w:rsidRPr="00F600E5">
        <w:rPr>
          <w:i/>
          <w:snapToGrid w:val="0"/>
          <w:kern w:val="22"/>
          <w:szCs w:val="22"/>
          <w:lang w:val="es-ES_tradnl"/>
        </w:rPr>
        <w:t>:</w:t>
      </w:r>
      <w:r w:rsidR="00084813" w:rsidRPr="00F600E5">
        <w:rPr>
          <w:snapToGrid w:val="0"/>
          <w:kern w:val="22"/>
          <w:szCs w:val="22"/>
          <w:lang w:val="es-ES_tradnl"/>
        </w:rPr>
        <w:t xml:space="preserve"> </w:t>
      </w:r>
      <w:r w:rsidRPr="00F600E5">
        <w:rPr>
          <w:snapToGrid w:val="0"/>
          <w:kern w:val="22"/>
          <w:szCs w:val="22"/>
          <w:lang w:val="es-ES_tradnl"/>
        </w:rPr>
        <w:t xml:space="preserve">Un total de </w:t>
      </w:r>
      <w:r w:rsidR="00084813" w:rsidRPr="00F600E5">
        <w:rPr>
          <w:snapToGrid w:val="0"/>
          <w:kern w:val="22"/>
          <w:szCs w:val="22"/>
          <w:lang w:val="es-ES_tradnl"/>
        </w:rPr>
        <w:t xml:space="preserve">7 </w:t>
      </w:r>
      <w:r w:rsidRPr="00F600E5">
        <w:rPr>
          <w:snapToGrid w:val="0"/>
          <w:kern w:val="22"/>
          <w:szCs w:val="22"/>
          <w:lang w:val="es-ES_tradnl"/>
        </w:rPr>
        <w:t xml:space="preserve">EPANB hacen referencia a dichos </w:t>
      </w:r>
      <w:r w:rsidR="0051533C" w:rsidRPr="00F600E5">
        <w:rPr>
          <w:snapToGrid w:val="0"/>
          <w:kern w:val="22"/>
          <w:szCs w:val="22"/>
          <w:lang w:val="es-ES_tradnl"/>
        </w:rPr>
        <w:t>análisis y estudios</w:t>
      </w:r>
      <w:r w:rsidR="00D35A80" w:rsidRPr="00F600E5">
        <w:rPr>
          <w:snapToGrid w:val="0"/>
          <w:kern w:val="22"/>
          <w:szCs w:val="22"/>
          <w:lang w:val="es-ES_tradnl"/>
        </w:rPr>
        <w:t>;</w:t>
      </w:r>
    </w:p>
    <w:p w:rsidR="00084813" w:rsidRPr="00F600E5" w:rsidRDefault="002F29E8" w:rsidP="00B840DD">
      <w:pPr>
        <w:numPr>
          <w:ilvl w:val="1"/>
          <w:numId w:val="22"/>
        </w:numPr>
        <w:spacing w:after="120"/>
        <w:ind w:left="0" w:firstLine="709"/>
        <w:rPr>
          <w:snapToGrid w:val="0"/>
          <w:kern w:val="22"/>
          <w:szCs w:val="22"/>
          <w:lang w:val="es-ES_tradnl"/>
        </w:rPr>
      </w:pPr>
      <w:r w:rsidRPr="00F600E5">
        <w:rPr>
          <w:i/>
          <w:snapToGrid w:val="0"/>
          <w:kern w:val="22"/>
          <w:szCs w:val="22"/>
          <w:lang w:val="es-ES_tradnl"/>
        </w:rPr>
        <w:t>Elaboración de planes de política que identifiquen incentivos perjudiciales que son candidatos para acciones normativas y proporcionar listas priorizadas de medidas</w:t>
      </w:r>
      <w:r w:rsidR="00084813" w:rsidRPr="00F600E5">
        <w:rPr>
          <w:i/>
          <w:snapToGrid w:val="0"/>
          <w:kern w:val="22"/>
          <w:szCs w:val="22"/>
          <w:lang w:val="es-ES_tradnl"/>
        </w:rPr>
        <w:t>:</w:t>
      </w:r>
      <w:r w:rsidR="00084813" w:rsidRPr="00F600E5">
        <w:rPr>
          <w:snapToGrid w:val="0"/>
          <w:kern w:val="22"/>
          <w:szCs w:val="22"/>
          <w:lang w:val="es-ES_tradnl"/>
        </w:rPr>
        <w:t xml:space="preserve"> </w:t>
      </w:r>
      <w:r w:rsidRPr="00F600E5">
        <w:rPr>
          <w:snapToGrid w:val="0"/>
          <w:kern w:val="22"/>
          <w:szCs w:val="22"/>
          <w:lang w:val="es-ES_tradnl"/>
        </w:rPr>
        <w:t>Un total de 12 pa</w:t>
      </w:r>
      <w:r w:rsidR="00663384" w:rsidRPr="00F600E5">
        <w:rPr>
          <w:snapToGrid w:val="0"/>
          <w:kern w:val="22"/>
          <w:szCs w:val="22"/>
          <w:lang w:val="es-ES_tradnl"/>
        </w:rPr>
        <w:t xml:space="preserve">íses </w:t>
      </w:r>
      <w:r w:rsidRPr="00F600E5">
        <w:rPr>
          <w:snapToGrid w:val="0"/>
          <w:kern w:val="22"/>
          <w:szCs w:val="22"/>
          <w:lang w:val="es-ES_tradnl"/>
        </w:rPr>
        <w:t>h</w:t>
      </w:r>
      <w:r w:rsidR="00663384" w:rsidRPr="00F600E5">
        <w:rPr>
          <w:snapToGrid w:val="0"/>
          <w:kern w:val="22"/>
          <w:szCs w:val="22"/>
          <w:lang w:val="es-ES_tradnl"/>
        </w:rPr>
        <w:t>acen referencia a la elaboració</w:t>
      </w:r>
      <w:r w:rsidRPr="00F600E5">
        <w:rPr>
          <w:snapToGrid w:val="0"/>
          <w:kern w:val="22"/>
          <w:szCs w:val="22"/>
          <w:lang w:val="es-ES_tradnl"/>
        </w:rPr>
        <w:t>n de dichas normativas o planes de acción</w:t>
      </w:r>
      <w:r w:rsidR="00D35A80" w:rsidRPr="00F600E5">
        <w:rPr>
          <w:snapToGrid w:val="0"/>
          <w:kern w:val="22"/>
          <w:szCs w:val="22"/>
          <w:lang w:val="es-ES_tradnl"/>
        </w:rPr>
        <w:t>;</w:t>
      </w:r>
    </w:p>
    <w:p w:rsidR="003574F1" w:rsidRPr="00F600E5" w:rsidRDefault="002F29E8" w:rsidP="003574F1">
      <w:pPr>
        <w:numPr>
          <w:ilvl w:val="1"/>
          <w:numId w:val="22"/>
        </w:numPr>
        <w:spacing w:after="120"/>
        <w:ind w:left="0" w:firstLine="709"/>
        <w:rPr>
          <w:i/>
          <w:snapToGrid w:val="0"/>
          <w:kern w:val="22"/>
          <w:szCs w:val="22"/>
          <w:lang w:val="es-ES_tradnl"/>
        </w:rPr>
      </w:pPr>
      <w:r w:rsidRPr="00F600E5">
        <w:rPr>
          <w:i/>
          <w:snapToGrid w:val="0"/>
          <w:kern w:val="22"/>
          <w:szCs w:val="22"/>
          <w:lang w:val="es-ES_tradnl"/>
        </w:rPr>
        <w:t>Prever a</w:t>
      </w:r>
      <w:r w:rsidR="00663384" w:rsidRPr="00F600E5">
        <w:rPr>
          <w:i/>
          <w:snapToGrid w:val="0"/>
          <w:kern w:val="22"/>
          <w:szCs w:val="22"/>
          <w:lang w:val="es-ES_tradnl"/>
        </w:rPr>
        <w:t>c</w:t>
      </w:r>
      <w:r w:rsidRPr="00F600E5">
        <w:rPr>
          <w:i/>
          <w:snapToGrid w:val="0"/>
          <w:kern w:val="22"/>
          <w:szCs w:val="22"/>
          <w:lang w:val="es-ES_tradnl"/>
        </w:rPr>
        <w:t>c</w:t>
      </w:r>
      <w:r w:rsidR="00663384" w:rsidRPr="00F600E5">
        <w:rPr>
          <w:i/>
          <w:snapToGrid w:val="0"/>
          <w:kern w:val="22"/>
          <w:szCs w:val="22"/>
          <w:lang w:val="es-ES_tradnl"/>
        </w:rPr>
        <w:t xml:space="preserve">iones </w:t>
      </w:r>
      <w:r w:rsidRPr="00F600E5">
        <w:rPr>
          <w:i/>
          <w:snapToGrid w:val="0"/>
          <w:kern w:val="22"/>
          <w:szCs w:val="22"/>
          <w:lang w:val="es-ES_tradnl"/>
        </w:rPr>
        <w:t>normativas inmediatas en casos de incentivos conocidos con efectos perjudiciales</w:t>
      </w:r>
      <w:r w:rsidR="00084813" w:rsidRPr="00F600E5">
        <w:rPr>
          <w:i/>
          <w:snapToGrid w:val="0"/>
          <w:kern w:val="22"/>
          <w:szCs w:val="22"/>
          <w:lang w:val="es-ES_tradnl"/>
        </w:rPr>
        <w:t>:</w:t>
      </w:r>
      <w:r w:rsidR="00084813" w:rsidRPr="00F600E5">
        <w:rPr>
          <w:snapToGrid w:val="0"/>
          <w:kern w:val="22"/>
          <w:szCs w:val="22"/>
          <w:lang w:val="es-ES_tradnl"/>
        </w:rPr>
        <w:t xml:space="preserve"> </w:t>
      </w:r>
      <w:r w:rsidRPr="00F600E5">
        <w:rPr>
          <w:snapToGrid w:val="0"/>
          <w:kern w:val="22"/>
          <w:szCs w:val="22"/>
          <w:lang w:val="es-ES_tradnl"/>
        </w:rPr>
        <w:t xml:space="preserve">solamente </w:t>
      </w:r>
      <w:r w:rsidR="00CC5E87" w:rsidRPr="00F600E5">
        <w:rPr>
          <w:snapToGrid w:val="0"/>
          <w:kern w:val="22"/>
          <w:szCs w:val="22"/>
          <w:lang w:val="es-ES_tradnl"/>
        </w:rPr>
        <w:t xml:space="preserve">cinco </w:t>
      </w:r>
      <w:r w:rsidRPr="00F600E5">
        <w:rPr>
          <w:snapToGrid w:val="0"/>
          <w:kern w:val="22"/>
          <w:szCs w:val="22"/>
          <w:lang w:val="es-ES_tradnl"/>
        </w:rPr>
        <w:t>EPANB de las Partes</w:t>
      </w:r>
      <w:r w:rsidR="00084813" w:rsidRPr="00F600E5">
        <w:rPr>
          <w:snapToGrid w:val="0"/>
          <w:kern w:val="22"/>
          <w:szCs w:val="22"/>
          <w:lang w:val="es-ES_tradnl"/>
        </w:rPr>
        <w:t xml:space="preserve"> </w:t>
      </w:r>
      <w:r w:rsidRPr="00F600E5">
        <w:rPr>
          <w:snapToGrid w:val="0"/>
          <w:kern w:val="22"/>
          <w:szCs w:val="22"/>
          <w:lang w:val="es-ES_tradnl"/>
        </w:rPr>
        <w:t>prevén dichas acciones inmediatas en programas específicos de incentivos</w:t>
      </w:r>
      <w:r w:rsidR="00084813" w:rsidRPr="00F600E5">
        <w:rPr>
          <w:snapToGrid w:val="0"/>
          <w:kern w:val="22"/>
          <w:szCs w:val="22"/>
          <w:lang w:val="es-ES_tradnl"/>
        </w:rPr>
        <w:t xml:space="preserve">, </w:t>
      </w:r>
      <w:r w:rsidRPr="00F600E5">
        <w:rPr>
          <w:snapToGrid w:val="0"/>
          <w:kern w:val="22"/>
          <w:szCs w:val="22"/>
          <w:lang w:val="es-ES_tradnl"/>
        </w:rPr>
        <w:t>tal vez debido a sus efectos perjudiciales</w:t>
      </w:r>
      <w:r w:rsidR="00084813" w:rsidRPr="00F600E5">
        <w:rPr>
          <w:snapToGrid w:val="0"/>
          <w:kern w:val="22"/>
          <w:szCs w:val="22"/>
          <w:lang w:val="es-ES_tradnl"/>
        </w:rPr>
        <w:t>.</w:t>
      </w:r>
    </w:p>
    <w:p w:rsidR="008040B0" w:rsidRPr="00F600E5" w:rsidRDefault="00663384" w:rsidP="008040B0">
      <w:pPr>
        <w:pStyle w:val="ListParagraph"/>
        <w:numPr>
          <w:ilvl w:val="0"/>
          <w:numId w:val="19"/>
        </w:numPr>
        <w:spacing w:after="120"/>
        <w:ind w:left="0" w:firstLine="0"/>
        <w:rPr>
          <w:snapToGrid w:val="0"/>
          <w:kern w:val="22"/>
          <w:szCs w:val="22"/>
          <w:lang w:val="es-ES_tradnl"/>
        </w:rPr>
      </w:pPr>
      <w:r w:rsidRPr="00F600E5">
        <w:rPr>
          <w:i/>
          <w:snapToGrid w:val="0"/>
          <w:kern w:val="22"/>
          <w:szCs w:val="22"/>
          <w:lang w:val="es-ES_tradnl"/>
        </w:rPr>
        <w:t>Segundo hito</w:t>
      </w:r>
      <w:r w:rsidR="00084813" w:rsidRPr="00F600E5">
        <w:rPr>
          <w:i/>
          <w:snapToGrid w:val="0"/>
          <w:kern w:val="22"/>
          <w:szCs w:val="22"/>
          <w:lang w:val="es-ES_tradnl"/>
        </w:rPr>
        <w:t xml:space="preserve"> (</w:t>
      </w:r>
      <w:r w:rsidRPr="00F600E5">
        <w:rPr>
          <w:i/>
          <w:snapToGrid w:val="0"/>
          <w:kern w:val="22"/>
          <w:szCs w:val="22"/>
          <w:lang w:val="es-ES_tradnl"/>
        </w:rPr>
        <w:t>acción normativa o legislativa en relación con incentivos</w:t>
      </w:r>
      <w:r w:rsidR="00084813" w:rsidRPr="00F600E5">
        <w:rPr>
          <w:i/>
          <w:snapToGrid w:val="0"/>
          <w:kern w:val="22"/>
          <w:szCs w:val="22"/>
          <w:lang w:val="es-ES_tradnl"/>
        </w:rPr>
        <w:t xml:space="preserve">, </w:t>
      </w:r>
      <w:r w:rsidRPr="00F600E5">
        <w:rPr>
          <w:i/>
          <w:snapToGrid w:val="0"/>
          <w:kern w:val="22"/>
          <w:szCs w:val="22"/>
          <w:lang w:val="es-ES_tradnl"/>
        </w:rPr>
        <w:t>incluidos subsidios, de los cuales se sabe tienen efectos perjudiciales</w:t>
      </w:r>
      <w:r w:rsidR="00084813" w:rsidRPr="00F600E5">
        <w:rPr>
          <w:i/>
          <w:snapToGrid w:val="0"/>
          <w:kern w:val="22"/>
          <w:szCs w:val="22"/>
          <w:lang w:val="es-ES_tradnl"/>
        </w:rPr>
        <w:t>):</w:t>
      </w:r>
      <w:r w:rsidR="00084813" w:rsidRPr="00F600E5">
        <w:rPr>
          <w:snapToGrid w:val="0"/>
          <w:kern w:val="22"/>
          <w:szCs w:val="22"/>
          <w:lang w:val="es-ES_tradnl"/>
        </w:rPr>
        <w:t xml:space="preserve"> </w:t>
      </w:r>
      <w:r w:rsidRPr="00F600E5">
        <w:rPr>
          <w:snapToGrid w:val="0"/>
          <w:kern w:val="22"/>
          <w:szCs w:val="22"/>
          <w:lang w:val="es-ES_tradnl"/>
        </w:rPr>
        <w:t>Solamente 5 Partes incluyeron expresamente este hito como punto en sus EPANB</w:t>
      </w:r>
      <w:r w:rsidR="00084813" w:rsidRPr="00F600E5">
        <w:rPr>
          <w:snapToGrid w:val="0"/>
          <w:kern w:val="22"/>
          <w:szCs w:val="22"/>
          <w:lang w:val="es-ES_tradnl"/>
        </w:rPr>
        <w:t xml:space="preserve">, </w:t>
      </w:r>
      <w:r w:rsidRPr="00F600E5">
        <w:rPr>
          <w:snapToGrid w:val="0"/>
          <w:kern w:val="22"/>
          <w:szCs w:val="22"/>
          <w:lang w:val="es-ES_tradnl"/>
        </w:rPr>
        <w:t>por lo general en forma de referencia a un programa particular con probables efectos perjudiciales</w:t>
      </w:r>
      <w:r w:rsidR="00084813" w:rsidRPr="00F600E5">
        <w:rPr>
          <w:snapToGrid w:val="0"/>
          <w:kern w:val="22"/>
          <w:szCs w:val="22"/>
          <w:lang w:val="es-ES_tradnl"/>
        </w:rPr>
        <w:t xml:space="preserve">. </w:t>
      </w:r>
      <w:r w:rsidRPr="00F600E5">
        <w:rPr>
          <w:snapToGrid w:val="0"/>
          <w:kern w:val="22"/>
          <w:szCs w:val="22"/>
          <w:lang w:val="es-ES_tradnl"/>
        </w:rPr>
        <w:t xml:space="preserve">Sin embargo, </w:t>
      </w:r>
      <w:r w:rsidR="00084813" w:rsidRPr="00F600E5">
        <w:rPr>
          <w:snapToGrid w:val="0"/>
          <w:kern w:val="22"/>
          <w:szCs w:val="22"/>
          <w:lang w:val="es-ES_tradnl"/>
        </w:rPr>
        <w:t xml:space="preserve">25 </w:t>
      </w:r>
      <w:r w:rsidRPr="00F600E5">
        <w:rPr>
          <w:snapToGrid w:val="0"/>
          <w:kern w:val="22"/>
          <w:szCs w:val="22"/>
          <w:lang w:val="es-ES_tradnl"/>
        </w:rPr>
        <w:t>Partes notificaron sobre medidas pertinentes que ya habían adoptado en sus quintos informes nacionales, ya sea como referencias generales para reformar medidas o dando ejemplos concretos</w:t>
      </w:r>
      <w:r w:rsidR="00084813" w:rsidRPr="00F600E5">
        <w:rPr>
          <w:snapToGrid w:val="0"/>
          <w:kern w:val="22"/>
          <w:szCs w:val="22"/>
          <w:lang w:val="es-ES_tradnl"/>
        </w:rPr>
        <w:t>.</w:t>
      </w:r>
    </w:p>
    <w:p w:rsidR="0001430B" w:rsidRPr="00F600E5" w:rsidRDefault="0001430B" w:rsidP="0001430B">
      <w:pPr>
        <w:pStyle w:val="ListParagraph"/>
        <w:spacing w:after="120"/>
        <w:ind w:left="0"/>
        <w:rPr>
          <w:snapToGrid w:val="0"/>
          <w:kern w:val="22"/>
          <w:szCs w:val="22"/>
          <w:lang w:val="es-ES_tradnl"/>
        </w:rPr>
      </w:pPr>
    </w:p>
    <w:p w:rsidR="00583760" w:rsidRPr="00F600E5" w:rsidRDefault="003574F1" w:rsidP="008040B0">
      <w:pPr>
        <w:pStyle w:val="ListParagraph"/>
        <w:numPr>
          <w:ilvl w:val="0"/>
          <w:numId w:val="19"/>
        </w:numPr>
        <w:spacing w:after="120"/>
        <w:ind w:left="0" w:firstLine="0"/>
        <w:rPr>
          <w:snapToGrid w:val="0"/>
          <w:kern w:val="22"/>
          <w:szCs w:val="22"/>
          <w:lang w:val="es-ES_tradnl"/>
        </w:rPr>
      </w:pPr>
      <w:r w:rsidRPr="00F600E5">
        <w:rPr>
          <w:i/>
          <w:snapToGrid w:val="0"/>
          <w:kern w:val="22"/>
          <w:szCs w:val="22"/>
          <w:lang w:val="es-ES_tradnl"/>
        </w:rPr>
        <w:t>T</w:t>
      </w:r>
      <w:r w:rsidR="00663384" w:rsidRPr="00F600E5">
        <w:rPr>
          <w:i/>
          <w:snapToGrid w:val="0"/>
          <w:kern w:val="22"/>
          <w:szCs w:val="22"/>
          <w:lang w:val="es-ES_tradnl"/>
        </w:rPr>
        <w:t>ercer hito</w:t>
      </w:r>
      <w:r w:rsidR="00084813" w:rsidRPr="00F600E5">
        <w:rPr>
          <w:i/>
          <w:snapToGrid w:val="0"/>
          <w:kern w:val="22"/>
          <w:szCs w:val="22"/>
          <w:lang w:val="es-ES_tradnl"/>
        </w:rPr>
        <w:t xml:space="preserve"> (</w:t>
      </w:r>
      <w:r w:rsidR="00663384" w:rsidRPr="00F600E5">
        <w:rPr>
          <w:i/>
          <w:snapToGrid w:val="0"/>
          <w:kern w:val="22"/>
          <w:szCs w:val="22"/>
          <w:lang w:val="es-ES_tradnl"/>
        </w:rPr>
        <w:t>realización de estudios analíticos nacionales que identifiquen candidatos para adoptar medidas respecto de incentivos perjudiciales, incluidos los subsidios, y que detecten oportunidades</w:t>
      </w:r>
      <w:r w:rsidR="006C31DF" w:rsidRPr="00F600E5">
        <w:rPr>
          <w:i/>
          <w:snapToGrid w:val="0"/>
          <w:kern w:val="22"/>
          <w:szCs w:val="22"/>
          <w:lang w:val="es-ES_tradnl"/>
        </w:rPr>
        <w:t xml:space="preserve"> </w:t>
      </w:r>
      <w:r w:rsidR="00663384" w:rsidRPr="00F600E5">
        <w:rPr>
          <w:i/>
          <w:snapToGrid w:val="0"/>
          <w:kern w:val="22"/>
          <w:szCs w:val="22"/>
          <w:lang w:val="es-ES_tradnl"/>
        </w:rPr>
        <w:t>para promover la puesta en práctica de incentivos positivos</w:t>
      </w:r>
      <w:r w:rsidR="00084813" w:rsidRPr="00F600E5">
        <w:rPr>
          <w:i/>
          <w:snapToGrid w:val="0"/>
          <w:kern w:val="22"/>
          <w:szCs w:val="22"/>
          <w:lang w:val="es-ES_tradnl"/>
        </w:rPr>
        <w:t>):</w:t>
      </w:r>
      <w:r w:rsidR="00084813" w:rsidRPr="00F600E5">
        <w:rPr>
          <w:snapToGrid w:val="0"/>
          <w:kern w:val="22"/>
          <w:szCs w:val="22"/>
          <w:lang w:val="es-ES_tradnl"/>
        </w:rPr>
        <w:t xml:space="preserve"> </w:t>
      </w:r>
      <w:r w:rsidR="00663384" w:rsidRPr="00F600E5">
        <w:rPr>
          <w:snapToGrid w:val="0"/>
          <w:kern w:val="22"/>
          <w:szCs w:val="22"/>
          <w:lang w:val="es-ES_tradnl"/>
        </w:rPr>
        <w:t>Un total de 11 Partes</w:t>
      </w:r>
      <w:r w:rsidR="003E3363" w:rsidRPr="00F600E5">
        <w:rPr>
          <w:snapToGrid w:val="0"/>
          <w:kern w:val="22"/>
          <w:szCs w:val="22"/>
          <w:lang w:val="es-ES_tradnl"/>
        </w:rPr>
        <w:t>, es decir menos de 10% de</w:t>
      </w:r>
      <w:r w:rsidR="00663384" w:rsidRPr="00F600E5">
        <w:rPr>
          <w:snapToGrid w:val="0"/>
          <w:kern w:val="22"/>
          <w:szCs w:val="22"/>
          <w:lang w:val="es-ES_tradnl"/>
        </w:rPr>
        <w:t xml:space="preserve"> las Partes que presentaron informes</w:t>
      </w:r>
      <w:r w:rsidR="00C758A5" w:rsidRPr="00F600E5">
        <w:rPr>
          <w:snapToGrid w:val="0"/>
          <w:kern w:val="22"/>
          <w:szCs w:val="22"/>
          <w:lang w:val="es-ES_tradnl"/>
        </w:rPr>
        <w:t>,</w:t>
      </w:r>
      <w:r w:rsidR="00663384" w:rsidRPr="00F600E5">
        <w:rPr>
          <w:snapToGrid w:val="0"/>
          <w:kern w:val="22"/>
          <w:szCs w:val="22"/>
          <w:lang w:val="es-ES_tradnl"/>
        </w:rPr>
        <w:t xml:space="preserve"> mencionaron </w:t>
      </w:r>
      <w:r w:rsidR="003E3363" w:rsidRPr="00F600E5">
        <w:rPr>
          <w:snapToGrid w:val="0"/>
          <w:kern w:val="22"/>
          <w:szCs w:val="22"/>
          <w:lang w:val="es-ES_tradnl"/>
        </w:rPr>
        <w:t xml:space="preserve">exámenes </w:t>
      </w:r>
      <w:r w:rsidR="00663384" w:rsidRPr="00F600E5">
        <w:rPr>
          <w:snapToGrid w:val="0"/>
          <w:kern w:val="22"/>
          <w:szCs w:val="22"/>
          <w:lang w:val="es-ES_tradnl"/>
        </w:rPr>
        <w:t xml:space="preserve">o evaluaciones </w:t>
      </w:r>
      <w:r w:rsidR="003E3363" w:rsidRPr="00F600E5">
        <w:rPr>
          <w:snapToGrid w:val="0"/>
          <w:kern w:val="22"/>
          <w:szCs w:val="22"/>
          <w:lang w:val="es-ES_tradnl"/>
        </w:rPr>
        <w:t xml:space="preserve">dirigidas a </w:t>
      </w:r>
      <w:r w:rsidR="00663384" w:rsidRPr="00F600E5">
        <w:rPr>
          <w:snapToGrid w:val="0"/>
          <w:kern w:val="22"/>
          <w:szCs w:val="22"/>
          <w:lang w:val="es-ES_tradnl"/>
        </w:rPr>
        <w:t>identificar incentivos</w:t>
      </w:r>
      <w:r w:rsidR="00084813" w:rsidRPr="00F600E5">
        <w:rPr>
          <w:snapToGrid w:val="0"/>
          <w:kern w:val="22"/>
          <w:szCs w:val="22"/>
          <w:lang w:val="es-ES_tradnl"/>
        </w:rPr>
        <w:t xml:space="preserve">, </w:t>
      </w:r>
      <w:r w:rsidR="00663384" w:rsidRPr="00F600E5">
        <w:rPr>
          <w:snapToGrid w:val="0"/>
          <w:kern w:val="22"/>
          <w:szCs w:val="22"/>
          <w:lang w:val="es-ES_tradnl"/>
        </w:rPr>
        <w:t>incluidos subsidios, que son perjudiciales para la diversidad biológica</w:t>
      </w:r>
      <w:r w:rsidR="00084813" w:rsidRPr="00F600E5">
        <w:rPr>
          <w:snapToGrid w:val="0"/>
          <w:kern w:val="22"/>
          <w:szCs w:val="22"/>
          <w:lang w:val="es-ES_tradnl"/>
        </w:rPr>
        <w:t xml:space="preserve">, </w:t>
      </w:r>
      <w:r w:rsidR="00663384" w:rsidRPr="00F600E5">
        <w:rPr>
          <w:snapToGrid w:val="0"/>
          <w:kern w:val="22"/>
          <w:szCs w:val="22"/>
          <w:lang w:val="es-ES_tradnl"/>
        </w:rPr>
        <w:t xml:space="preserve">y solo </w:t>
      </w:r>
      <w:r w:rsidR="00CC5E87" w:rsidRPr="00F600E5">
        <w:rPr>
          <w:snapToGrid w:val="0"/>
          <w:kern w:val="22"/>
          <w:szCs w:val="22"/>
          <w:lang w:val="es-ES_tradnl"/>
        </w:rPr>
        <w:t xml:space="preserve">4 </w:t>
      </w:r>
      <w:r w:rsidR="00663384" w:rsidRPr="00F600E5">
        <w:rPr>
          <w:snapToGrid w:val="0"/>
          <w:kern w:val="22"/>
          <w:szCs w:val="22"/>
          <w:lang w:val="es-ES_tradnl"/>
        </w:rPr>
        <w:t xml:space="preserve">indicaron que </w:t>
      </w:r>
      <w:r w:rsidR="003E3363" w:rsidRPr="00F600E5">
        <w:rPr>
          <w:snapToGrid w:val="0"/>
          <w:kern w:val="22"/>
          <w:szCs w:val="22"/>
          <w:lang w:val="es-ES_tradnl"/>
        </w:rPr>
        <w:t>se</w:t>
      </w:r>
      <w:r w:rsidR="00C758A5" w:rsidRPr="00F600E5">
        <w:rPr>
          <w:snapToGrid w:val="0"/>
          <w:kern w:val="22"/>
          <w:szCs w:val="22"/>
          <w:lang w:val="es-ES_tradnl"/>
        </w:rPr>
        <w:t xml:space="preserve"> habían realizado </w:t>
      </w:r>
      <w:r w:rsidR="003E3363" w:rsidRPr="00F600E5">
        <w:rPr>
          <w:snapToGrid w:val="0"/>
          <w:kern w:val="22"/>
          <w:szCs w:val="22"/>
          <w:lang w:val="es-ES_tradnl"/>
        </w:rPr>
        <w:t xml:space="preserve">tales exámenes </w:t>
      </w:r>
      <w:r w:rsidR="00663384" w:rsidRPr="00F600E5">
        <w:rPr>
          <w:snapToGrid w:val="0"/>
          <w:kern w:val="22"/>
          <w:szCs w:val="22"/>
          <w:lang w:val="es-ES_tradnl"/>
        </w:rPr>
        <w:t>o evaluaciones</w:t>
      </w:r>
      <w:r w:rsidR="00084813" w:rsidRPr="00F600E5">
        <w:rPr>
          <w:snapToGrid w:val="0"/>
          <w:kern w:val="22"/>
          <w:szCs w:val="22"/>
          <w:lang w:val="es-ES_tradnl"/>
        </w:rPr>
        <w:t xml:space="preserve">. </w:t>
      </w:r>
      <w:r w:rsidR="00663384" w:rsidRPr="00F600E5">
        <w:rPr>
          <w:snapToGrid w:val="0"/>
          <w:kern w:val="22"/>
          <w:szCs w:val="22"/>
          <w:lang w:val="es-ES_tradnl"/>
        </w:rPr>
        <w:t xml:space="preserve">Además, 25 Partes, o sea 15% de las Partes que presentaron informes, </w:t>
      </w:r>
      <w:r w:rsidR="003E3363" w:rsidRPr="00F600E5">
        <w:rPr>
          <w:snapToGrid w:val="0"/>
          <w:kern w:val="22"/>
          <w:szCs w:val="22"/>
          <w:lang w:val="es-ES_tradnl"/>
        </w:rPr>
        <w:t xml:space="preserve">dieron </w:t>
      </w:r>
      <w:r w:rsidR="00663384" w:rsidRPr="00F600E5">
        <w:rPr>
          <w:snapToGrid w:val="0"/>
          <w:kern w:val="22"/>
          <w:szCs w:val="22"/>
          <w:lang w:val="es-ES_tradnl"/>
        </w:rPr>
        <w:t>ejempl</w:t>
      </w:r>
      <w:r w:rsidR="003E3363" w:rsidRPr="00F600E5">
        <w:rPr>
          <w:snapToGrid w:val="0"/>
          <w:kern w:val="22"/>
          <w:szCs w:val="22"/>
          <w:lang w:val="es-ES_tradnl"/>
        </w:rPr>
        <w:t>o</w:t>
      </w:r>
      <w:r w:rsidR="00663384" w:rsidRPr="00F600E5">
        <w:rPr>
          <w:snapToGrid w:val="0"/>
          <w:kern w:val="22"/>
          <w:szCs w:val="22"/>
          <w:lang w:val="es-ES_tradnl"/>
        </w:rPr>
        <w:t xml:space="preserve">s de </w:t>
      </w:r>
      <w:r w:rsidR="003E3363" w:rsidRPr="00F600E5">
        <w:rPr>
          <w:snapToGrid w:val="0"/>
          <w:kern w:val="22"/>
          <w:szCs w:val="22"/>
          <w:lang w:val="es-ES_tradnl"/>
        </w:rPr>
        <w:t xml:space="preserve">políticas </w:t>
      </w:r>
      <w:r w:rsidR="00663384" w:rsidRPr="00F600E5">
        <w:rPr>
          <w:snapToGrid w:val="0"/>
          <w:kern w:val="22"/>
          <w:szCs w:val="22"/>
          <w:lang w:val="es-ES_tradnl"/>
        </w:rPr>
        <w:t xml:space="preserve">o programas específicos que </w:t>
      </w:r>
      <w:r w:rsidR="003E3363" w:rsidRPr="00F600E5">
        <w:rPr>
          <w:snapToGrid w:val="0"/>
          <w:kern w:val="22"/>
          <w:szCs w:val="22"/>
          <w:lang w:val="es-ES_tradnl"/>
        </w:rPr>
        <w:t>fueron identificados como generadores</w:t>
      </w:r>
      <w:r w:rsidR="006C31DF" w:rsidRPr="00F600E5">
        <w:rPr>
          <w:snapToGrid w:val="0"/>
          <w:kern w:val="22"/>
          <w:szCs w:val="22"/>
          <w:lang w:val="es-ES_tradnl"/>
        </w:rPr>
        <w:t xml:space="preserve"> </w:t>
      </w:r>
      <w:r w:rsidR="003E3363" w:rsidRPr="00F600E5">
        <w:rPr>
          <w:snapToGrid w:val="0"/>
          <w:kern w:val="22"/>
          <w:szCs w:val="22"/>
          <w:lang w:val="es-ES_tradnl"/>
        </w:rPr>
        <w:t xml:space="preserve">de incentivos, o que se sospecha pueden generar </w:t>
      </w:r>
      <w:r w:rsidR="00F600E5" w:rsidRPr="00F600E5">
        <w:rPr>
          <w:snapToGrid w:val="0"/>
          <w:kern w:val="22"/>
          <w:szCs w:val="22"/>
          <w:lang w:val="es-ES_tradnl"/>
        </w:rPr>
        <w:t>incentivos</w:t>
      </w:r>
      <w:r w:rsidR="003E3363" w:rsidRPr="00F600E5">
        <w:rPr>
          <w:snapToGrid w:val="0"/>
          <w:kern w:val="22"/>
          <w:szCs w:val="22"/>
          <w:lang w:val="es-ES_tradnl"/>
        </w:rPr>
        <w:t xml:space="preserve"> perjudiciales para la diversidad biológica</w:t>
      </w:r>
      <w:r w:rsidR="00084813" w:rsidRPr="00F600E5">
        <w:rPr>
          <w:snapToGrid w:val="0"/>
          <w:kern w:val="22"/>
          <w:szCs w:val="22"/>
          <w:lang w:val="es-ES_tradnl"/>
        </w:rPr>
        <w:t>.</w:t>
      </w:r>
    </w:p>
    <w:p w:rsidR="00583760" w:rsidRPr="00F600E5" w:rsidRDefault="00583760" w:rsidP="00583760">
      <w:pPr>
        <w:pStyle w:val="ListParagraph"/>
        <w:spacing w:after="120"/>
        <w:ind w:left="0"/>
        <w:rPr>
          <w:snapToGrid w:val="0"/>
          <w:kern w:val="22"/>
          <w:szCs w:val="22"/>
          <w:lang w:val="es-ES_tradnl"/>
        </w:rPr>
      </w:pPr>
    </w:p>
    <w:p w:rsidR="00583760" w:rsidRPr="00F600E5" w:rsidRDefault="003E3363" w:rsidP="003574F1">
      <w:pPr>
        <w:pStyle w:val="ListParagraph"/>
        <w:numPr>
          <w:ilvl w:val="0"/>
          <w:numId w:val="19"/>
        </w:numPr>
        <w:spacing w:after="120"/>
        <w:ind w:left="0" w:firstLine="0"/>
        <w:rPr>
          <w:snapToGrid w:val="0"/>
          <w:kern w:val="22"/>
          <w:szCs w:val="22"/>
          <w:lang w:val="es-ES_tradnl"/>
        </w:rPr>
      </w:pPr>
      <w:r w:rsidRPr="00F600E5">
        <w:rPr>
          <w:i/>
          <w:snapToGrid w:val="0"/>
          <w:kern w:val="22"/>
          <w:szCs w:val="22"/>
          <w:lang w:val="es-ES_tradnl"/>
        </w:rPr>
        <w:t>Cuarto hito</w:t>
      </w:r>
      <w:r w:rsidR="00084813" w:rsidRPr="00F600E5">
        <w:rPr>
          <w:i/>
          <w:snapToGrid w:val="0"/>
          <w:kern w:val="22"/>
          <w:szCs w:val="22"/>
          <w:lang w:val="es-ES_tradnl"/>
        </w:rPr>
        <w:t xml:space="preserve"> (</w:t>
      </w:r>
      <w:r w:rsidRPr="00F600E5">
        <w:rPr>
          <w:i/>
          <w:snapToGrid w:val="0"/>
          <w:kern w:val="22"/>
          <w:szCs w:val="22"/>
          <w:lang w:val="es-ES_tradnl"/>
        </w:rPr>
        <w:t>finalización de planes de política que identifiquen candidatos para la acción normativa y listas priorizadas de medidas que deberán adoptarse</w:t>
      </w:r>
      <w:r w:rsidR="00084813" w:rsidRPr="00F600E5">
        <w:rPr>
          <w:i/>
          <w:snapToGrid w:val="0"/>
          <w:kern w:val="22"/>
          <w:szCs w:val="22"/>
          <w:lang w:val="es-ES_tradnl"/>
        </w:rPr>
        <w:t>):</w:t>
      </w:r>
      <w:r w:rsidR="00084813" w:rsidRPr="00F600E5">
        <w:rPr>
          <w:snapToGrid w:val="0"/>
          <w:kern w:val="22"/>
          <w:szCs w:val="22"/>
          <w:lang w:val="es-ES_tradnl"/>
        </w:rPr>
        <w:t xml:space="preserve"> </w:t>
      </w:r>
      <w:r w:rsidRPr="00F600E5">
        <w:rPr>
          <w:snapToGrid w:val="0"/>
          <w:kern w:val="22"/>
          <w:szCs w:val="22"/>
          <w:lang w:val="es-ES_tradnl"/>
        </w:rPr>
        <w:t xml:space="preserve">Un total de </w:t>
      </w:r>
      <w:r w:rsidR="00084813" w:rsidRPr="00F600E5">
        <w:rPr>
          <w:snapToGrid w:val="0"/>
          <w:kern w:val="22"/>
          <w:szCs w:val="22"/>
          <w:lang w:val="es-ES_tradnl"/>
        </w:rPr>
        <w:t xml:space="preserve">10 </w:t>
      </w:r>
      <w:r w:rsidRPr="00F600E5">
        <w:rPr>
          <w:snapToGrid w:val="0"/>
          <w:kern w:val="22"/>
          <w:szCs w:val="22"/>
          <w:lang w:val="es-ES_tradnl"/>
        </w:rPr>
        <w:t>países hace</w:t>
      </w:r>
      <w:r w:rsidR="005B5DAC" w:rsidRPr="00F600E5">
        <w:rPr>
          <w:snapToGrid w:val="0"/>
          <w:kern w:val="22"/>
          <w:szCs w:val="22"/>
          <w:lang w:val="es-ES_tradnl"/>
        </w:rPr>
        <w:t>n referencia</w:t>
      </w:r>
      <w:r w:rsidRPr="00F600E5">
        <w:rPr>
          <w:snapToGrid w:val="0"/>
          <w:kern w:val="22"/>
          <w:szCs w:val="22"/>
          <w:lang w:val="es-ES_tradnl"/>
        </w:rPr>
        <w:t xml:space="preserve"> a la elaboración de tales políticas o planes de acción en sus EPANB</w:t>
      </w:r>
      <w:r w:rsidR="00084813" w:rsidRPr="00F600E5">
        <w:rPr>
          <w:snapToGrid w:val="0"/>
          <w:kern w:val="22"/>
          <w:szCs w:val="22"/>
          <w:lang w:val="es-ES_tradnl"/>
        </w:rPr>
        <w:t>, 4</w:t>
      </w:r>
      <w:r w:rsidRPr="00F600E5">
        <w:rPr>
          <w:snapToGrid w:val="0"/>
          <w:kern w:val="22"/>
          <w:szCs w:val="22"/>
          <w:lang w:val="es-ES_tradnl"/>
        </w:rPr>
        <w:t xml:space="preserve"> de ellos </w:t>
      </w:r>
      <w:r w:rsidR="00CC5E87" w:rsidRPr="00F600E5">
        <w:rPr>
          <w:snapToGrid w:val="0"/>
          <w:kern w:val="22"/>
          <w:szCs w:val="22"/>
          <w:lang w:val="es-ES_tradnl"/>
        </w:rPr>
        <w:t>tenían</w:t>
      </w:r>
      <w:r w:rsidRPr="00F600E5">
        <w:rPr>
          <w:snapToGrid w:val="0"/>
          <w:kern w:val="22"/>
          <w:szCs w:val="22"/>
          <w:lang w:val="es-ES_tradnl"/>
        </w:rPr>
        <w:t xml:space="preserve"> calendarios adicionales</w:t>
      </w:r>
      <w:r w:rsidR="00084813" w:rsidRPr="00F600E5">
        <w:rPr>
          <w:snapToGrid w:val="0"/>
          <w:kern w:val="22"/>
          <w:szCs w:val="22"/>
          <w:lang w:val="es-ES_tradnl"/>
        </w:rPr>
        <w:t>.</w:t>
      </w:r>
    </w:p>
    <w:p w:rsidR="003574F1" w:rsidRPr="00F600E5" w:rsidRDefault="003574F1" w:rsidP="00583760">
      <w:pPr>
        <w:pStyle w:val="ListParagraph"/>
        <w:spacing w:after="120"/>
        <w:ind w:left="0"/>
        <w:rPr>
          <w:snapToGrid w:val="0"/>
          <w:kern w:val="22"/>
          <w:szCs w:val="22"/>
          <w:lang w:val="es-ES_tradnl"/>
        </w:rPr>
      </w:pPr>
    </w:p>
    <w:p w:rsidR="003574F1" w:rsidRPr="00F600E5" w:rsidRDefault="003574F1" w:rsidP="003574F1">
      <w:pPr>
        <w:pStyle w:val="ListParagraph"/>
        <w:numPr>
          <w:ilvl w:val="0"/>
          <w:numId w:val="19"/>
        </w:numPr>
        <w:spacing w:after="120"/>
        <w:ind w:left="0" w:firstLine="0"/>
        <w:rPr>
          <w:snapToGrid w:val="0"/>
          <w:kern w:val="22"/>
          <w:szCs w:val="22"/>
          <w:lang w:val="es-ES_tradnl"/>
        </w:rPr>
      </w:pPr>
      <w:r w:rsidRPr="00F600E5">
        <w:rPr>
          <w:snapToGrid w:val="0"/>
          <w:kern w:val="22"/>
          <w:szCs w:val="22"/>
          <w:lang w:val="es-ES_tradnl"/>
        </w:rPr>
        <w:t>Más</w:t>
      </w:r>
      <w:r w:rsidR="003E3363" w:rsidRPr="00F600E5">
        <w:rPr>
          <w:snapToGrid w:val="0"/>
          <w:kern w:val="22"/>
          <w:szCs w:val="22"/>
          <w:lang w:val="es-ES_tradnl"/>
        </w:rPr>
        <w:t xml:space="preserve"> allá de la presentación de informes pertinentes a los hitos, un número importante de Partes informa sobre los progresos ya logrados en la</w:t>
      </w:r>
      <w:r w:rsidR="007C4BD0" w:rsidRPr="00F600E5">
        <w:rPr>
          <w:snapToGrid w:val="0"/>
          <w:kern w:val="22"/>
          <w:szCs w:val="22"/>
          <w:lang w:val="es-ES_tradnl"/>
        </w:rPr>
        <w:t xml:space="preserve"> aplicación </w:t>
      </w:r>
      <w:r w:rsidR="003E3363" w:rsidRPr="00F600E5">
        <w:rPr>
          <w:snapToGrid w:val="0"/>
          <w:kern w:val="22"/>
          <w:szCs w:val="22"/>
          <w:lang w:val="es-ES_tradnl"/>
        </w:rPr>
        <w:t>de la Meta 3 de Aichi para la Diversidad Biológica</w:t>
      </w:r>
      <w:r w:rsidR="00084813" w:rsidRPr="00F600E5">
        <w:rPr>
          <w:snapToGrid w:val="0"/>
          <w:kern w:val="22"/>
          <w:szCs w:val="22"/>
          <w:lang w:val="es-ES_tradnl"/>
        </w:rPr>
        <w:t xml:space="preserve">, </w:t>
      </w:r>
      <w:r w:rsidR="003E3363" w:rsidRPr="00F600E5">
        <w:rPr>
          <w:snapToGrid w:val="0"/>
          <w:kern w:val="22"/>
          <w:szCs w:val="22"/>
          <w:lang w:val="es-ES_tradnl"/>
        </w:rPr>
        <w:t>haciendo hincapié en la concepción y aplicación de incentivos positivos</w:t>
      </w:r>
      <w:r w:rsidR="00084813" w:rsidRPr="00F600E5">
        <w:rPr>
          <w:snapToGrid w:val="0"/>
          <w:kern w:val="22"/>
          <w:szCs w:val="22"/>
          <w:lang w:val="es-ES_tradnl"/>
        </w:rPr>
        <w:t xml:space="preserve">. </w:t>
      </w:r>
      <w:r w:rsidR="003E3363" w:rsidRPr="00F600E5">
        <w:rPr>
          <w:snapToGrid w:val="0"/>
          <w:kern w:val="22"/>
          <w:szCs w:val="22"/>
          <w:lang w:val="es-ES_tradnl"/>
        </w:rPr>
        <w:t>Como se ha mencionado</w:t>
      </w:r>
      <w:r w:rsidR="00084813" w:rsidRPr="00F600E5">
        <w:rPr>
          <w:snapToGrid w:val="0"/>
          <w:kern w:val="22"/>
          <w:szCs w:val="22"/>
          <w:lang w:val="es-ES_tradnl"/>
        </w:rPr>
        <w:t xml:space="preserve">, </w:t>
      </w:r>
      <w:r w:rsidR="00311F6C" w:rsidRPr="00F600E5">
        <w:rPr>
          <w:snapToGrid w:val="0"/>
          <w:kern w:val="22"/>
          <w:szCs w:val="22"/>
          <w:lang w:val="es-ES_tradnl"/>
        </w:rPr>
        <w:t xml:space="preserve">solo poco más de 10% de las Partes que presentaron informes hacen referencia a la </w:t>
      </w:r>
      <w:r w:rsidR="00311F6C" w:rsidRPr="00F600E5">
        <w:rPr>
          <w:snapToGrid w:val="0"/>
          <w:szCs w:val="22"/>
          <w:lang w:val="es-ES_tradnl"/>
        </w:rPr>
        <w:t xml:space="preserve">eliminación, eliminación gradual o reforma de incentivos, incluidos </w:t>
      </w:r>
      <w:r w:rsidR="00FA6667" w:rsidRPr="00F600E5">
        <w:rPr>
          <w:snapToGrid w:val="0"/>
          <w:szCs w:val="22"/>
          <w:lang w:val="es-ES_tradnl"/>
        </w:rPr>
        <w:t xml:space="preserve">los </w:t>
      </w:r>
      <w:r w:rsidR="00311F6C" w:rsidRPr="00F600E5">
        <w:rPr>
          <w:snapToGrid w:val="0"/>
          <w:szCs w:val="22"/>
          <w:lang w:val="es-ES_tradnl"/>
        </w:rPr>
        <w:t>subsidios</w:t>
      </w:r>
      <w:r w:rsidR="00084813" w:rsidRPr="00F600E5">
        <w:rPr>
          <w:snapToGrid w:val="0"/>
          <w:kern w:val="22"/>
          <w:szCs w:val="22"/>
          <w:lang w:val="es-ES_tradnl"/>
        </w:rPr>
        <w:t xml:space="preserve">. </w:t>
      </w:r>
      <w:r w:rsidR="00311F6C" w:rsidRPr="00F600E5">
        <w:rPr>
          <w:snapToGrid w:val="0"/>
          <w:kern w:val="22"/>
          <w:szCs w:val="22"/>
          <w:lang w:val="es-ES_tradnl"/>
        </w:rPr>
        <w:t>Un total de 20% de las Partes que presentaron informes mencionan la aplicación de medidas fiscales, tales como impuestos ecológicos</w:t>
      </w:r>
      <w:r w:rsidR="00FA6667" w:rsidRPr="00F600E5">
        <w:rPr>
          <w:snapToGrid w:val="0"/>
          <w:kern w:val="22"/>
          <w:szCs w:val="22"/>
          <w:lang w:val="es-ES_tradnl"/>
        </w:rPr>
        <w:t xml:space="preserve"> o exenciones fiscales para </w:t>
      </w:r>
      <w:r w:rsidR="00311F6C" w:rsidRPr="00F600E5">
        <w:rPr>
          <w:snapToGrid w:val="0"/>
          <w:kern w:val="22"/>
          <w:szCs w:val="22"/>
          <w:lang w:val="es-ES_tradnl"/>
        </w:rPr>
        <w:t>actividades beneficiosas</w:t>
      </w:r>
      <w:r w:rsidR="00D1274F" w:rsidRPr="00F600E5">
        <w:rPr>
          <w:snapToGrid w:val="0"/>
          <w:kern w:val="22"/>
          <w:szCs w:val="22"/>
          <w:lang w:val="es-ES_tradnl"/>
        </w:rPr>
        <w:t xml:space="preserve"> para el medio ambiente</w:t>
      </w:r>
      <w:r w:rsidR="00084813" w:rsidRPr="00F600E5">
        <w:rPr>
          <w:snapToGrid w:val="0"/>
          <w:kern w:val="22"/>
          <w:szCs w:val="22"/>
          <w:lang w:val="es-ES_tradnl"/>
        </w:rPr>
        <w:t xml:space="preserve">. </w:t>
      </w:r>
      <w:r w:rsidR="00311F6C" w:rsidRPr="00F600E5">
        <w:rPr>
          <w:snapToGrid w:val="0"/>
          <w:kern w:val="22"/>
          <w:szCs w:val="22"/>
          <w:lang w:val="es-ES_tradnl"/>
        </w:rPr>
        <w:t xml:space="preserve">Más de la mitad de las Partes que presentaron informes mencionan la introducción </w:t>
      </w:r>
      <w:r w:rsidR="00D1274F" w:rsidRPr="00F600E5">
        <w:rPr>
          <w:snapToGrid w:val="0"/>
          <w:kern w:val="22"/>
          <w:szCs w:val="22"/>
          <w:lang w:val="es-ES_tradnl"/>
        </w:rPr>
        <w:t xml:space="preserve">o fortalecimiento </w:t>
      </w:r>
      <w:r w:rsidR="00311F6C" w:rsidRPr="00F600E5">
        <w:rPr>
          <w:snapToGrid w:val="0"/>
          <w:kern w:val="22"/>
          <w:szCs w:val="22"/>
          <w:lang w:val="es-ES_tradnl"/>
        </w:rPr>
        <w:t>de planes de pagos para los servicios de los ecosistemas o la introducción o fortalecimiento de incentivos positivos que podrían comprender conceptos similares, por ejemplo pagos agroambientales.</w:t>
      </w:r>
      <w:r w:rsidRPr="00F600E5">
        <w:rPr>
          <w:snapToGrid w:val="0"/>
          <w:kern w:val="22"/>
          <w:szCs w:val="22"/>
          <w:lang w:val="es-ES_tradnl"/>
        </w:rPr>
        <w:t xml:space="preserve"> </w:t>
      </w:r>
    </w:p>
    <w:p w:rsidR="00583760" w:rsidRPr="00F600E5" w:rsidRDefault="00583760" w:rsidP="00583760">
      <w:pPr>
        <w:pStyle w:val="ListParagraph"/>
        <w:spacing w:after="120"/>
        <w:ind w:left="0"/>
        <w:rPr>
          <w:snapToGrid w:val="0"/>
          <w:kern w:val="22"/>
          <w:szCs w:val="22"/>
          <w:lang w:val="es-ES_tradnl"/>
        </w:rPr>
      </w:pPr>
    </w:p>
    <w:p w:rsidR="00084813" w:rsidRPr="00F600E5" w:rsidRDefault="00311F6C" w:rsidP="003574F1">
      <w:pPr>
        <w:pStyle w:val="ListParagraph"/>
        <w:numPr>
          <w:ilvl w:val="0"/>
          <w:numId w:val="19"/>
        </w:numPr>
        <w:spacing w:after="120"/>
        <w:ind w:left="0" w:firstLine="0"/>
        <w:rPr>
          <w:snapToGrid w:val="0"/>
          <w:kern w:val="22"/>
          <w:szCs w:val="22"/>
          <w:lang w:val="es-ES_tradnl"/>
        </w:rPr>
      </w:pPr>
      <w:r w:rsidRPr="00F600E5">
        <w:rPr>
          <w:snapToGrid w:val="0"/>
          <w:kern w:val="22"/>
          <w:szCs w:val="22"/>
          <w:lang w:val="es-ES_tradnl"/>
        </w:rPr>
        <w:t>En lo que respecta a los incentivos no monetarios, tales como el reconocimiento y apoyo adecuado para los pueblos indígenas y las comunidades locales que conservan</w:t>
      </w:r>
      <w:r w:rsidR="00D1274F" w:rsidRPr="00F600E5">
        <w:rPr>
          <w:snapToGrid w:val="0"/>
          <w:kern w:val="22"/>
          <w:szCs w:val="22"/>
          <w:lang w:val="es-ES_tradnl"/>
        </w:rPr>
        <w:t xml:space="preserve"> regiones y </w:t>
      </w:r>
      <w:r w:rsidRPr="00F600E5">
        <w:rPr>
          <w:snapToGrid w:val="0"/>
          <w:kern w:val="22"/>
          <w:szCs w:val="22"/>
          <w:lang w:val="es-ES_tradnl"/>
        </w:rPr>
        <w:t>territorios, y otras iniciativas eficaces de conservación comunitaria</w:t>
      </w:r>
      <w:r w:rsidR="00084813" w:rsidRPr="00F600E5">
        <w:rPr>
          <w:snapToGrid w:val="0"/>
          <w:kern w:val="22"/>
          <w:szCs w:val="22"/>
          <w:lang w:val="es-ES_tradnl"/>
        </w:rPr>
        <w:t xml:space="preserve">, </w:t>
      </w:r>
      <w:r w:rsidRPr="00F600E5">
        <w:rPr>
          <w:snapToGrid w:val="0"/>
          <w:kern w:val="22"/>
          <w:szCs w:val="22"/>
          <w:lang w:val="es-ES_tradnl"/>
        </w:rPr>
        <w:t xml:space="preserve">un porcentaje menor, pero todavía considerable, </w:t>
      </w:r>
      <w:r w:rsidR="00084813" w:rsidRPr="00F600E5">
        <w:rPr>
          <w:snapToGrid w:val="0"/>
          <w:kern w:val="22"/>
          <w:szCs w:val="22"/>
          <w:lang w:val="es-ES_tradnl"/>
        </w:rPr>
        <w:t>30</w:t>
      </w:r>
      <w:r w:rsidRPr="00F600E5">
        <w:rPr>
          <w:snapToGrid w:val="0"/>
          <w:kern w:val="22"/>
          <w:szCs w:val="22"/>
          <w:lang w:val="es-ES_tradnl"/>
        </w:rPr>
        <w:t>% de los países que presentaron informes</w:t>
      </w:r>
      <w:r w:rsidR="00D1274F" w:rsidRPr="00F600E5">
        <w:rPr>
          <w:snapToGrid w:val="0"/>
          <w:kern w:val="22"/>
          <w:szCs w:val="22"/>
          <w:lang w:val="es-ES_tradnl"/>
        </w:rPr>
        <w:t>,</w:t>
      </w:r>
      <w:r w:rsidRPr="00F600E5">
        <w:rPr>
          <w:snapToGrid w:val="0"/>
          <w:kern w:val="22"/>
          <w:szCs w:val="22"/>
          <w:lang w:val="es-ES_tradnl"/>
        </w:rPr>
        <w:t xml:space="preserve"> mencionaron la participación en la gestión de la diversidad biológica </w:t>
      </w:r>
      <w:r w:rsidRPr="00F600E5">
        <w:rPr>
          <w:snapToGrid w:val="0"/>
          <w:kern w:val="22"/>
          <w:szCs w:val="22"/>
          <w:lang w:val="es-ES_tradnl"/>
        </w:rPr>
        <w:lastRenderedPageBreak/>
        <w:t>y la introducción o fortalecimiento de los incentivos conexos</w:t>
      </w:r>
      <w:r w:rsidR="00084813" w:rsidRPr="00F600E5">
        <w:rPr>
          <w:snapToGrid w:val="0"/>
          <w:kern w:val="22"/>
          <w:szCs w:val="22"/>
          <w:lang w:val="es-ES_tradnl"/>
        </w:rPr>
        <w:t xml:space="preserve">, </w:t>
      </w:r>
      <w:r w:rsidRPr="00F600E5">
        <w:rPr>
          <w:snapToGrid w:val="0"/>
          <w:kern w:val="22"/>
          <w:szCs w:val="22"/>
          <w:lang w:val="es-ES_tradnl"/>
        </w:rPr>
        <w:t>por ejemplos acuerdos para compartir los ingresos</w:t>
      </w:r>
      <w:r w:rsidR="00F23568" w:rsidRPr="00F600E5">
        <w:rPr>
          <w:snapToGrid w:val="0"/>
          <w:kern w:val="22"/>
          <w:szCs w:val="22"/>
          <w:lang w:val="es-ES_tradnl"/>
        </w:rPr>
        <w:t xml:space="preserve"> derivados del </w:t>
      </w:r>
      <w:r w:rsidRPr="00F600E5">
        <w:rPr>
          <w:snapToGrid w:val="0"/>
          <w:kern w:val="22"/>
          <w:szCs w:val="22"/>
          <w:lang w:val="es-ES_tradnl"/>
        </w:rPr>
        <w:t>turismo</w:t>
      </w:r>
      <w:r w:rsidR="00084813" w:rsidRPr="00F600E5">
        <w:rPr>
          <w:snapToGrid w:val="0"/>
          <w:kern w:val="22"/>
          <w:szCs w:val="22"/>
          <w:lang w:val="es-ES_tradnl"/>
        </w:rPr>
        <w:t xml:space="preserve">, </w:t>
      </w:r>
      <w:r w:rsidR="00F23568" w:rsidRPr="00F600E5">
        <w:rPr>
          <w:snapToGrid w:val="0"/>
          <w:kern w:val="22"/>
          <w:szCs w:val="22"/>
          <w:lang w:val="es-ES_tradnl"/>
        </w:rPr>
        <w:t>tal como en el contexto de la gestión comunitaria de los recursos naturales</w:t>
      </w:r>
      <w:r w:rsidR="00084813" w:rsidRPr="00F600E5">
        <w:rPr>
          <w:snapToGrid w:val="0"/>
          <w:kern w:val="22"/>
          <w:szCs w:val="22"/>
          <w:lang w:val="es-ES_tradnl"/>
        </w:rPr>
        <w:t xml:space="preserve">, </w:t>
      </w:r>
      <w:r w:rsidR="00F23568" w:rsidRPr="00F600E5">
        <w:rPr>
          <w:snapToGrid w:val="0"/>
          <w:kern w:val="22"/>
          <w:szCs w:val="22"/>
          <w:lang w:val="es-ES_tradnl"/>
        </w:rPr>
        <w:t>la gestión conjunta de las áreas protegidas con pueblos indígenas o comunidades locales</w:t>
      </w:r>
      <w:r w:rsidR="00084813" w:rsidRPr="00F600E5">
        <w:rPr>
          <w:snapToGrid w:val="0"/>
          <w:kern w:val="22"/>
          <w:szCs w:val="22"/>
          <w:lang w:val="es-ES_tradnl"/>
        </w:rPr>
        <w:t xml:space="preserve">, </w:t>
      </w:r>
      <w:r w:rsidR="00F23568" w:rsidRPr="00F600E5">
        <w:rPr>
          <w:snapToGrid w:val="0"/>
          <w:kern w:val="22"/>
          <w:szCs w:val="22"/>
          <w:lang w:val="es-ES_tradnl"/>
        </w:rPr>
        <w:t>o la creación o el reconocimiento oficial de las áreas protegidas comunitarias</w:t>
      </w:r>
      <w:r w:rsidR="00084813" w:rsidRPr="00F600E5">
        <w:rPr>
          <w:snapToGrid w:val="0"/>
          <w:kern w:val="22"/>
          <w:szCs w:val="22"/>
          <w:lang w:val="es-ES_tradnl"/>
        </w:rPr>
        <w:t>.</w:t>
      </w:r>
    </w:p>
    <w:p w:rsidR="00084813" w:rsidRPr="00F600E5" w:rsidRDefault="001F735C" w:rsidP="00084813">
      <w:pPr>
        <w:pStyle w:val="Heading3"/>
        <w:rPr>
          <w:snapToGrid w:val="0"/>
          <w:kern w:val="22"/>
          <w:lang w:val="es-ES_tradnl"/>
        </w:rPr>
      </w:pPr>
      <w:r w:rsidRPr="00F600E5">
        <w:rPr>
          <w:snapToGrid w:val="0"/>
          <w:kern w:val="22"/>
          <w:lang w:val="es-ES_tradnl"/>
        </w:rPr>
        <w:t xml:space="preserve">Contribución de la Meta 3 de Aichi para </w:t>
      </w:r>
      <w:r w:rsidR="00CC5E87" w:rsidRPr="00F600E5">
        <w:rPr>
          <w:snapToGrid w:val="0"/>
          <w:kern w:val="22"/>
          <w:lang w:val="es-ES_tradnl"/>
        </w:rPr>
        <w:t xml:space="preserve">la Diversidad Biológica para </w:t>
      </w:r>
      <w:r w:rsidR="00ED4111" w:rsidRPr="00F600E5">
        <w:rPr>
          <w:snapToGrid w:val="0"/>
          <w:kern w:val="22"/>
          <w:lang w:val="es-ES_tradnl"/>
        </w:rPr>
        <w:t xml:space="preserve">el logro de </w:t>
      </w:r>
      <w:r w:rsidRPr="00F600E5">
        <w:rPr>
          <w:snapToGrid w:val="0"/>
          <w:kern w:val="22"/>
          <w:lang w:val="es-ES_tradnl"/>
        </w:rPr>
        <w:t>la Meta 20 de Aichi</w:t>
      </w:r>
    </w:p>
    <w:p w:rsidR="0049225D" w:rsidRPr="00F600E5" w:rsidRDefault="00EE185F" w:rsidP="0049225D">
      <w:pPr>
        <w:pStyle w:val="ListParagraph"/>
        <w:numPr>
          <w:ilvl w:val="0"/>
          <w:numId w:val="19"/>
        </w:numPr>
        <w:spacing w:after="120"/>
        <w:ind w:left="0" w:firstLine="0"/>
        <w:rPr>
          <w:snapToGrid w:val="0"/>
          <w:kern w:val="22"/>
          <w:szCs w:val="22"/>
          <w:lang w:val="es-ES_tradnl"/>
        </w:rPr>
      </w:pPr>
      <w:r w:rsidRPr="00F600E5">
        <w:rPr>
          <w:kern w:val="22"/>
          <w:lang w:val="es-ES_tradnl"/>
        </w:rPr>
        <w:t xml:space="preserve">En un texto anterior adoptado por la </w:t>
      </w:r>
      <w:r w:rsidR="006C5FC8" w:rsidRPr="00F600E5">
        <w:rPr>
          <w:kern w:val="22"/>
          <w:lang w:val="es-ES_tradnl"/>
        </w:rPr>
        <w:t>Conferencia de las Partes</w:t>
      </w:r>
      <w:r w:rsidR="00084813" w:rsidRPr="00F600E5">
        <w:rPr>
          <w:rStyle w:val="FootnoteReference"/>
          <w:kern w:val="22"/>
          <w:lang w:val="es-ES_tradnl"/>
        </w:rPr>
        <w:footnoteReference w:id="24"/>
      </w:r>
      <w:r w:rsidR="00ED4111" w:rsidRPr="00F600E5">
        <w:rPr>
          <w:kern w:val="22"/>
          <w:lang w:val="es-ES_tradnl"/>
        </w:rPr>
        <w:t>,</w:t>
      </w:r>
      <w:r w:rsidR="00084813" w:rsidRPr="00F600E5">
        <w:rPr>
          <w:kern w:val="22"/>
          <w:lang w:val="es-ES_tradnl"/>
        </w:rPr>
        <w:t xml:space="preserve"> </w:t>
      </w:r>
      <w:r w:rsidRPr="00F600E5">
        <w:rPr>
          <w:kern w:val="22"/>
          <w:lang w:val="es-ES_tradnl"/>
        </w:rPr>
        <w:t xml:space="preserve">se señala que los incentivos perjudiciales para la diversidad biológica </w:t>
      </w:r>
      <w:r w:rsidR="00084813" w:rsidRPr="00F600E5">
        <w:rPr>
          <w:i/>
          <w:kern w:val="22"/>
          <w:lang w:val="es-ES_tradnl"/>
        </w:rPr>
        <w:t>“</w:t>
      </w:r>
      <w:r w:rsidR="00F600E5" w:rsidRPr="00F600E5">
        <w:rPr>
          <w:i/>
          <w:kern w:val="22"/>
          <w:lang w:val="es-ES_tradnl"/>
        </w:rPr>
        <w:t xml:space="preserve">con frecuencia </w:t>
      </w:r>
      <w:r w:rsidRPr="00F600E5">
        <w:rPr>
          <w:i/>
          <w:kern w:val="22"/>
          <w:lang w:val="es-ES_tradnl"/>
        </w:rPr>
        <w:t>no son eficaces en función de los costos y/o no son eficaces en cumplir los objetivos sociales, en tanto que en algunos casos utilizan escasos fondos públicos escasos</w:t>
      </w:r>
      <w:r w:rsidR="00084813" w:rsidRPr="00F600E5">
        <w:rPr>
          <w:i/>
          <w:kern w:val="22"/>
          <w:lang w:val="es-ES_tradnl"/>
        </w:rPr>
        <w:t>”</w:t>
      </w:r>
      <w:r w:rsidRPr="00F600E5">
        <w:rPr>
          <w:i/>
          <w:kern w:val="22"/>
          <w:lang w:val="es-ES_tradnl"/>
        </w:rPr>
        <w:t xml:space="preserve">, </w:t>
      </w:r>
      <w:r w:rsidRPr="00F600E5">
        <w:rPr>
          <w:kern w:val="22"/>
          <w:lang w:val="es-ES_tradnl"/>
        </w:rPr>
        <w:t>y por tanto</w:t>
      </w:r>
      <w:r w:rsidR="006C31DF" w:rsidRPr="00F600E5">
        <w:rPr>
          <w:i/>
          <w:kern w:val="22"/>
          <w:lang w:val="es-ES_tradnl"/>
        </w:rPr>
        <w:t xml:space="preserve"> </w:t>
      </w:r>
      <w:r w:rsidR="00F600E5" w:rsidRPr="00F600E5">
        <w:rPr>
          <w:kern w:val="22"/>
          <w:lang w:val="es-ES_tradnl"/>
        </w:rPr>
        <w:t>ya indica los posibles efectos en</w:t>
      </w:r>
      <w:r w:rsidRPr="00F600E5">
        <w:rPr>
          <w:kern w:val="22"/>
          <w:lang w:val="es-ES_tradnl"/>
        </w:rPr>
        <w:t xml:space="preserve"> la movilización de recursos </w:t>
      </w:r>
      <w:r w:rsidR="00F600E5" w:rsidRPr="00F600E5">
        <w:rPr>
          <w:kern w:val="22"/>
          <w:lang w:val="es-ES_tradnl"/>
        </w:rPr>
        <w:t xml:space="preserve">al </w:t>
      </w:r>
      <w:r w:rsidRPr="00F600E5">
        <w:rPr>
          <w:kern w:val="22"/>
          <w:lang w:val="es-ES_tradnl"/>
        </w:rPr>
        <w:t>tomar decisiones políticas respecto a los incentivos perjudiciales</w:t>
      </w:r>
      <w:r w:rsidR="00084813" w:rsidRPr="00F600E5">
        <w:rPr>
          <w:kern w:val="22"/>
          <w:lang w:val="es-ES_tradnl"/>
        </w:rPr>
        <w:t>.</w:t>
      </w:r>
    </w:p>
    <w:p w:rsidR="00583760" w:rsidRPr="00F600E5" w:rsidRDefault="00583760" w:rsidP="00583760">
      <w:pPr>
        <w:pStyle w:val="ListParagraph"/>
        <w:spacing w:after="120"/>
        <w:ind w:left="0"/>
        <w:rPr>
          <w:snapToGrid w:val="0"/>
          <w:kern w:val="22"/>
          <w:szCs w:val="22"/>
          <w:lang w:val="es-ES_tradnl"/>
        </w:rPr>
      </w:pPr>
    </w:p>
    <w:p w:rsidR="00583760" w:rsidRPr="00F600E5" w:rsidRDefault="00EE185F" w:rsidP="00583760">
      <w:pPr>
        <w:pStyle w:val="ListParagraph"/>
        <w:numPr>
          <w:ilvl w:val="0"/>
          <w:numId w:val="19"/>
        </w:numPr>
        <w:spacing w:after="120"/>
        <w:ind w:left="0" w:firstLine="0"/>
        <w:rPr>
          <w:snapToGrid w:val="0"/>
          <w:kern w:val="22"/>
          <w:szCs w:val="22"/>
          <w:lang w:val="es-ES_tradnl"/>
        </w:rPr>
      </w:pPr>
      <w:r w:rsidRPr="00F600E5">
        <w:rPr>
          <w:kern w:val="22"/>
          <w:lang w:val="es-ES_tradnl"/>
        </w:rPr>
        <w:t>En primer lugar, tomar decisiones políticas respecto a los incentivos perjudiciales, en igualdad de circunstancias, disminuirá la necesidad de obtener recursos financieros para las políticas en materia de diversidad biológica</w:t>
      </w:r>
      <w:r w:rsidR="00084813" w:rsidRPr="00F600E5">
        <w:rPr>
          <w:kern w:val="22"/>
          <w:lang w:val="es-ES_tradnl"/>
        </w:rPr>
        <w:t xml:space="preserve">. </w:t>
      </w:r>
      <w:r w:rsidRPr="00F600E5">
        <w:rPr>
          <w:kern w:val="22"/>
          <w:lang w:val="es-ES_tradnl"/>
        </w:rPr>
        <w:t xml:space="preserve">Esto es aun más notorio cuando dichas decisiones políticas adoptan la forma de una eliminación total o gradual del incentivo perjudicial, dado que, por definición, eliminarán los efectos perjudiciales </w:t>
      </w:r>
      <w:r w:rsidR="00F600E5" w:rsidRPr="00F600E5">
        <w:rPr>
          <w:kern w:val="22"/>
          <w:lang w:val="es-ES_tradnl"/>
        </w:rPr>
        <w:t>para</w:t>
      </w:r>
      <w:r w:rsidRPr="00F600E5">
        <w:rPr>
          <w:kern w:val="22"/>
          <w:lang w:val="es-ES_tradnl"/>
        </w:rPr>
        <w:t xml:space="preserve"> la diversidad biológica y, por tanto, reducirán la necesidad de contar con políticas en materia de diversidad biológica para simplemente </w:t>
      </w:r>
      <w:r w:rsidR="00084813" w:rsidRPr="00F600E5">
        <w:rPr>
          <w:kern w:val="22"/>
          <w:lang w:val="es-ES_tradnl"/>
        </w:rPr>
        <w:t>“repa</w:t>
      </w:r>
      <w:r w:rsidR="00B6280C" w:rsidRPr="00F600E5">
        <w:rPr>
          <w:kern w:val="22"/>
          <w:lang w:val="es-ES_tradnl"/>
        </w:rPr>
        <w:t>rar</w:t>
      </w:r>
      <w:r w:rsidR="00084813" w:rsidRPr="00F600E5">
        <w:rPr>
          <w:kern w:val="22"/>
          <w:lang w:val="es-ES_tradnl"/>
        </w:rPr>
        <w:t xml:space="preserve">” </w:t>
      </w:r>
      <w:r w:rsidR="00B6280C" w:rsidRPr="00F600E5">
        <w:rPr>
          <w:kern w:val="22"/>
          <w:lang w:val="es-ES_tradnl"/>
        </w:rPr>
        <w:t xml:space="preserve">los daños ocasionados por </w:t>
      </w:r>
      <w:r w:rsidR="00F600E5" w:rsidRPr="00F600E5">
        <w:rPr>
          <w:kern w:val="22"/>
          <w:lang w:val="es-ES_tradnl"/>
        </w:rPr>
        <w:t xml:space="preserve">la </w:t>
      </w:r>
      <w:r w:rsidR="00B6280C" w:rsidRPr="00F600E5">
        <w:rPr>
          <w:kern w:val="22"/>
          <w:lang w:val="es-ES_tradnl"/>
        </w:rPr>
        <w:t>otra política, y las necesidades de recursos conexas</w:t>
      </w:r>
      <w:r w:rsidR="00084813" w:rsidRPr="00F600E5">
        <w:rPr>
          <w:kern w:val="22"/>
          <w:lang w:val="es-ES_tradnl"/>
        </w:rPr>
        <w:t>.</w:t>
      </w:r>
    </w:p>
    <w:p w:rsidR="00583760" w:rsidRPr="00F600E5" w:rsidRDefault="00583760" w:rsidP="00583760">
      <w:pPr>
        <w:pStyle w:val="ListParagraph"/>
        <w:spacing w:after="120"/>
        <w:ind w:left="0"/>
        <w:rPr>
          <w:snapToGrid w:val="0"/>
          <w:kern w:val="22"/>
          <w:szCs w:val="22"/>
          <w:lang w:val="es-ES_tradnl"/>
        </w:rPr>
      </w:pPr>
    </w:p>
    <w:p w:rsidR="0049225D" w:rsidRPr="00F600E5" w:rsidRDefault="00B6280C" w:rsidP="0049225D">
      <w:pPr>
        <w:pStyle w:val="ListParagraph"/>
        <w:numPr>
          <w:ilvl w:val="0"/>
          <w:numId w:val="19"/>
        </w:numPr>
        <w:spacing w:after="120"/>
        <w:ind w:left="0" w:firstLine="0"/>
        <w:rPr>
          <w:snapToGrid w:val="0"/>
          <w:kern w:val="22"/>
          <w:szCs w:val="22"/>
          <w:lang w:val="es-ES_tradnl"/>
        </w:rPr>
      </w:pPr>
      <w:r w:rsidRPr="00F600E5">
        <w:rPr>
          <w:kern w:val="22"/>
          <w:lang w:val="es-ES_tradnl"/>
        </w:rPr>
        <w:t xml:space="preserve">La información disponible relacionada con el alcance de dicho efecto para la diversidad biológica es un su mayor parte anecdótica y a menudo </w:t>
      </w:r>
      <w:r w:rsidR="00F600E5" w:rsidRPr="00F600E5">
        <w:rPr>
          <w:kern w:val="22"/>
          <w:lang w:val="es-ES_tradnl"/>
        </w:rPr>
        <w:t>no se cuantifica</w:t>
      </w:r>
      <w:r w:rsidR="00084813" w:rsidRPr="00F600E5">
        <w:rPr>
          <w:kern w:val="22"/>
          <w:lang w:val="es-ES_tradnl"/>
        </w:rPr>
        <w:t xml:space="preserve">. </w:t>
      </w:r>
      <w:r w:rsidRPr="00F600E5">
        <w:rPr>
          <w:kern w:val="22"/>
          <w:lang w:val="es-ES_tradnl"/>
        </w:rPr>
        <w:t xml:space="preserve">Los efectos positivos se notifican en particular en caso de importantes iniciativas de reforma, aunque con frecuencia resulta difícil separar el </w:t>
      </w:r>
      <w:r w:rsidR="00F600E5" w:rsidRPr="00F600E5">
        <w:rPr>
          <w:kern w:val="22"/>
          <w:lang w:val="es-ES_tradnl"/>
        </w:rPr>
        <w:t xml:space="preserve">verdadero </w:t>
      </w:r>
      <w:r w:rsidRPr="00F600E5">
        <w:rPr>
          <w:kern w:val="22"/>
          <w:lang w:val="es-ES_tradnl"/>
        </w:rPr>
        <w:t>efecto que tiene la eliminación de subsidios de otros efectos</w:t>
      </w:r>
      <w:r w:rsidR="00084813" w:rsidRPr="00F600E5">
        <w:rPr>
          <w:kern w:val="22"/>
          <w:lang w:val="es-ES_tradnl"/>
        </w:rPr>
        <w:t xml:space="preserve">, </w:t>
      </w:r>
      <w:r w:rsidR="0049225D" w:rsidRPr="00F600E5">
        <w:rPr>
          <w:kern w:val="22"/>
          <w:lang w:val="es-ES_tradnl"/>
        </w:rPr>
        <w:t>en particular a largo plazo</w:t>
      </w:r>
      <w:r w:rsidR="00084813" w:rsidRPr="00F600E5">
        <w:rPr>
          <w:kern w:val="22"/>
          <w:lang w:val="es-ES_tradnl"/>
        </w:rPr>
        <w:t>.</w:t>
      </w:r>
    </w:p>
    <w:p w:rsidR="0049225D" w:rsidRPr="00F600E5" w:rsidRDefault="0049225D" w:rsidP="0049225D">
      <w:pPr>
        <w:pStyle w:val="ListParagraph"/>
        <w:spacing w:after="120"/>
        <w:ind w:left="0"/>
        <w:rPr>
          <w:snapToGrid w:val="0"/>
          <w:kern w:val="22"/>
          <w:szCs w:val="22"/>
          <w:lang w:val="es-ES_tradnl"/>
        </w:rPr>
      </w:pPr>
    </w:p>
    <w:p w:rsidR="00583760" w:rsidRPr="00F600E5" w:rsidRDefault="00B6280C" w:rsidP="0049225D">
      <w:pPr>
        <w:pStyle w:val="ListParagraph"/>
        <w:numPr>
          <w:ilvl w:val="0"/>
          <w:numId w:val="19"/>
        </w:numPr>
        <w:spacing w:after="120"/>
        <w:ind w:left="0" w:firstLine="0"/>
        <w:rPr>
          <w:snapToGrid w:val="0"/>
          <w:kern w:val="22"/>
          <w:szCs w:val="22"/>
          <w:lang w:val="es-ES_tradnl"/>
        </w:rPr>
      </w:pPr>
      <w:r w:rsidRPr="00F600E5">
        <w:rPr>
          <w:kern w:val="22"/>
          <w:lang w:val="es-ES_tradnl"/>
        </w:rPr>
        <w:t xml:space="preserve">En segundo lugar, un efecto directo en los ingresos </w:t>
      </w:r>
      <w:r w:rsidR="00F600E5" w:rsidRPr="00F600E5">
        <w:rPr>
          <w:kern w:val="22"/>
          <w:lang w:val="es-ES_tradnl"/>
        </w:rPr>
        <w:t xml:space="preserve">supondría </w:t>
      </w:r>
      <w:r w:rsidRPr="00F600E5">
        <w:rPr>
          <w:kern w:val="22"/>
          <w:lang w:val="es-ES_tradnl"/>
        </w:rPr>
        <w:t xml:space="preserve">en particular adoptar decisiones políticas respecto a los subsidios perjudiciales, </w:t>
      </w:r>
      <w:r w:rsidR="004A4128" w:rsidRPr="00F600E5">
        <w:rPr>
          <w:kern w:val="22"/>
          <w:lang w:val="es-ES_tradnl"/>
        </w:rPr>
        <w:t>en este caso muy pronunciados cuando dicha</w:t>
      </w:r>
      <w:r w:rsidR="00F600E5" w:rsidRPr="00F600E5">
        <w:rPr>
          <w:kern w:val="22"/>
          <w:lang w:val="es-ES_tradnl"/>
        </w:rPr>
        <w:t>s decisiones</w:t>
      </w:r>
      <w:r w:rsidR="004A4128" w:rsidRPr="00F600E5">
        <w:rPr>
          <w:kern w:val="22"/>
          <w:lang w:val="es-ES_tradnl"/>
        </w:rPr>
        <w:t xml:space="preserve"> política</w:t>
      </w:r>
      <w:r w:rsidR="00F600E5" w:rsidRPr="00F600E5">
        <w:rPr>
          <w:kern w:val="22"/>
          <w:lang w:val="es-ES_tradnl"/>
        </w:rPr>
        <w:t>s</w:t>
      </w:r>
      <w:r w:rsidR="004A4128" w:rsidRPr="00F600E5">
        <w:rPr>
          <w:kern w:val="22"/>
          <w:lang w:val="es-ES_tradnl"/>
        </w:rPr>
        <w:t xml:space="preserve"> adopt</w:t>
      </w:r>
      <w:r w:rsidR="00F600E5" w:rsidRPr="00F600E5">
        <w:rPr>
          <w:kern w:val="22"/>
          <w:lang w:val="es-ES_tradnl"/>
        </w:rPr>
        <w:t>an</w:t>
      </w:r>
      <w:r w:rsidR="004A4128" w:rsidRPr="00F600E5">
        <w:rPr>
          <w:kern w:val="22"/>
          <w:lang w:val="es-ES_tradnl"/>
        </w:rPr>
        <w:t xml:space="preserve"> la forma de una eliminación total o gradual del subsidio perjudicial</w:t>
      </w:r>
      <w:r w:rsidR="00084813" w:rsidRPr="00F600E5">
        <w:rPr>
          <w:kern w:val="22"/>
          <w:lang w:val="es-ES_tradnl"/>
        </w:rPr>
        <w:t xml:space="preserve">, </w:t>
      </w:r>
      <w:r w:rsidR="004A4128" w:rsidRPr="00F600E5">
        <w:rPr>
          <w:kern w:val="22"/>
          <w:lang w:val="es-ES_tradnl"/>
        </w:rPr>
        <w:t>dado que esto liberaría los escasos recursos públicos</w:t>
      </w:r>
      <w:r w:rsidR="00084813" w:rsidRPr="00F600E5">
        <w:rPr>
          <w:kern w:val="22"/>
          <w:lang w:val="es-ES_tradnl"/>
        </w:rPr>
        <w:t xml:space="preserve">, </w:t>
      </w:r>
      <w:r w:rsidR="00F600E5" w:rsidRPr="00F600E5">
        <w:rPr>
          <w:kern w:val="22"/>
          <w:lang w:val="es-ES_tradnl"/>
        </w:rPr>
        <w:t xml:space="preserve">lo cual </w:t>
      </w:r>
      <w:r w:rsidR="004A4128" w:rsidRPr="00F600E5">
        <w:rPr>
          <w:kern w:val="22"/>
          <w:lang w:val="es-ES_tradnl"/>
        </w:rPr>
        <w:t>en principio, aunque no necesariamente, podría</w:t>
      </w:r>
      <w:r w:rsidR="006C31DF" w:rsidRPr="00F600E5">
        <w:rPr>
          <w:kern w:val="22"/>
          <w:lang w:val="es-ES_tradnl"/>
        </w:rPr>
        <w:t xml:space="preserve"> </w:t>
      </w:r>
      <w:r w:rsidR="004A4128" w:rsidRPr="00F600E5">
        <w:rPr>
          <w:kern w:val="22"/>
          <w:lang w:val="es-ES_tradnl"/>
        </w:rPr>
        <w:t>utilizarse para financiar las políticas en materia de diversidad biológica</w:t>
      </w:r>
      <w:r w:rsidR="00084813" w:rsidRPr="00F600E5">
        <w:rPr>
          <w:kern w:val="22"/>
          <w:lang w:val="es-ES_tradnl"/>
        </w:rPr>
        <w:t xml:space="preserve">. </w:t>
      </w:r>
      <w:r w:rsidR="00B136D3" w:rsidRPr="00F600E5">
        <w:rPr>
          <w:kern w:val="22"/>
          <w:lang w:val="es-ES_tradnl"/>
        </w:rPr>
        <w:t xml:space="preserve">Una reforma a un subsidio perjudicial podrá tener también un efecto positivo en materia de ingresos si el consiguiente aumento </w:t>
      </w:r>
      <w:r w:rsidR="00F600E5" w:rsidRPr="00F600E5">
        <w:rPr>
          <w:kern w:val="22"/>
          <w:lang w:val="es-ES_tradnl"/>
        </w:rPr>
        <w:t xml:space="preserve">de la rentabilidad </w:t>
      </w:r>
      <w:r w:rsidR="00B136D3" w:rsidRPr="00F600E5">
        <w:rPr>
          <w:kern w:val="22"/>
          <w:lang w:val="es-ES_tradnl"/>
        </w:rPr>
        <w:t xml:space="preserve">se traduce en ahorros netos, teniendo en cuenta que los Gobiernos tal vez deseen </w:t>
      </w:r>
      <w:r w:rsidR="003A4553" w:rsidRPr="00F600E5">
        <w:rPr>
          <w:kern w:val="22"/>
          <w:lang w:val="es-ES_tradnl"/>
        </w:rPr>
        <w:t xml:space="preserve">que los </w:t>
      </w:r>
      <w:r w:rsidR="00B136D3" w:rsidRPr="00F600E5">
        <w:rPr>
          <w:kern w:val="22"/>
          <w:lang w:val="es-ES_tradnl"/>
        </w:rPr>
        <w:t xml:space="preserve">objetivos de </w:t>
      </w:r>
      <w:r w:rsidR="003A4553" w:rsidRPr="00F600E5">
        <w:rPr>
          <w:kern w:val="22"/>
          <w:lang w:val="es-ES_tradnl"/>
        </w:rPr>
        <w:t>normativa propuestos sean más ambiciosos</w:t>
      </w:r>
      <w:r w:rsidR="0049225D" w:rsidRPr="00F600E5">
        <w:rPr>
          <w:kern w:val="22"/>
          <w:lang w:val="es-ES_tradnl"/>
        </w:rPr>
        <w:t>.</w:t>
      </w:r>
    </w:p>
    <w:p w:rsidR="0049225D" w:rsidRPr="00F600E5" w:rsidRDefault="00583760" w:rsidP="00583760">
      <w:pPr>
        <w:pStyle w:val="ListParagraph"/>
        <w:spacing w:after="120"/>
        <w:ind w:left="0"/>
        <w:rPr>
          <w:snapToGrid w:val="0"/>
          <w:kern w:val="22"/>
          <w:szCs w:val="22"/>
          <w:lang w:val="es-ES_tradnl"/>
        </w:rPr>
      </w:pPr>
      <w:r w:rsidRPr="00F600E5">
        <w:rPr>
          <w:snapToGrid w:val="0"/>
          <w:kern w:val="22"/>
          <w:szCs w:val="22"/>
          <w:lang w:val="es-ES_tradnl"/>
        </w:rPr>
        <w:t xml:space="preserve"> </w:t>
      </w:r>
    </w:p>
    <w:p w:rsidR="0049225D" w:rsidRPr="00F600E5" w:rsidRDefault="00B136D3" w:rsidP="0049225D">
      <w:pPr>
        <w:pStyle w:val="ListParagraph"/>
        <w:numPr>
          <w:ilvl w:val="0"/>
          <w:numId w:val="19"/>
        </w:numPr>
        <w:spacing w:after="120"/>
        <w:ind w:left="0" w:firstLine="0"/>
        <w:rPr>
          <w:snapToGrid w:val="0"/>
          <w:kern w:val="22"/>
          <w:szCs w:val="22"/>
          <w:lang w:val="es-ES_tradnl"/>
        </w:rPr>
      </w:pPr>
      <w:r w:rsidRPr="00F600E5">
        <w:rPr>
          <w:kern w:val="22"/>
          <w:lang w:val="es-ES_tradnl"/>
        </w:rPr>
        <w:t xml:space="preserve">La información global cuantitativa sobre la magnitud los incentivos, incluidos los subsidios, </w:t>
      </w:r>
      <w:r w:rsidR="003A4553" w:rsidRPr="00F600E5">
        <w:rPr>
          <w:kern w:val="22"/>
          <w:lang w:val="es-ES_tradnl"/>
        </w:rPr>
        <w:t xml:space="preserve">que son </w:t>
      </w:r>
      <w:r w:rsidRPr="00F600E5">
        <w:rPr>
          <w:kern w:val="22"/>
          <w:lang w:val="es-ES_tradnl"/>
        </w:rPr>
        <w:t xml:space="preserve">perjudiciales para la diversidad biológica, consisten en general en cálculos aislados y no aportan </w:t>
      </w:r>
      <w:r w:rsidR="00976F7A" w:rsidRPr="00F600E5">
        <w:rPr>
          <w:kern w:val="22"/>
          <w:lang w:val="es-ES_tradnl"/>
        </w:rPr>
        <w:t xml:space="preserve">series cronológicas de </w:t>
      </w:r>
      <w:r w:rsidRPr="00F600E5">
        <w:rPr>
          <w:kern w:val="22"/>
          <w:lang w:val="es-ES_tradnl"/>
        </w:rPr>
        <w:t xml:space="preserve">datos </w:t>
      </w:r>
      <w:r w:rsidR="00976F7A" w:rsidRPr="00F600E5">
        <w:rPr>
          <w:kern w:val="22"/>
          <w:lang w:val="es-ES_tradnl"/>
        </w:rPr>
        <w:t xml:space="preserve">que permitirían separar </w:t>
      </w:r>
      <w:r w:rsidR="003A4553" w:rsidRPr="00F600E5">
        <w:rPr>
          <w:kern w:val="22"/>
          <w:lang w:val="es-ES_tradnl"/>
        </w:rPr>
        <w:t xml:space="preserve">sistemáticamente </w:t>
      </w:r>
      <w:r w:rsidR="00976F7A" w:rsidRPr="00F600E5">
        <w:rPr>
          <w:kern w:val="22"/>
          <w:lang w:val="es-ES_tradnl"/>
        </w:rPr>
        <w:t xml:space="preserve">los efectos </w:t>
      </w:r>
      <w:r w:rsidR="003A4553" w:rsidRPr="00F600E5">
        <w:rPr>
          <w:kern w:val="22"/>
          <w:lang w:val="es-ES_tradnl"/>
        </w:rPr>
        <w:t xml:space="preserve">sobre </w:t>
      </w:r>
      <w:r w:rsidR="00976F7A" w:rsidRPr="00F600E5">
        <w:rPr>
          <w:kern w:val="22"/>
          <w:lang w:val="es-ES_tradnl"/>
        </w:rPr>
        <w:t>la diversidad biológica descritos anteriormente</w:t>
      </w:r>
      <w:r w:rsidR="00742E7E" w:rsidRPr="00F600E5">
        <w:rPr>
          <w:kern w:val="22"/>
          <w:lang w:val="es-ES_tradnl"/>
        </w:rPr>
        <w:t>,</w:t>
      </w:r>
      <w:r w:rsidR="00976F7A" w:rsidRPr="00F600E5">
        <w:rPr>
          <w:kern w:val="22"/>
          <w:lang w:val="es-ES_tradnl"/>
        </w:rPr>
        <w:t xml:space="preserve"> o </w:t>
      </w:r>
      <w:r w:rsidR="003A4553" w:rsidRPr="00F600E5">
        <w:rPr>
          <w:kern w:val="22"/>
          <w:lang w:val="es-ES_tradnl"/>
        </w:rPr>
        <w:t xml:space="preserve">llevar a cabo </w:t>
      </w:r>
      <w:r w:rsidR="00976F7A" w:rsidRPr="00F600E5">
        <w:rPr>
          <w:kern w:val="22"/>
          <w:lang w:val="es-ES_tradnl"/>
        </w:rPr>
        <w:t>una evaluación de los progresos alcanzados</w:t>
      </w:r>
      <w:r w:rsidR="00084813" w:rsidRPr="00F600E5">
        <w:rPr>
          <w:kern w:val="22"/>
          <w:lang w:val="es-ES_tradnl"/>
        </w:rPr>
        <w:t xml:space="preserve">. </w:t>
      </w:r>
      <w:r w:rsidR="00976F7A" w:rsidRPr="00F600E5">
        <w:rPr>
          <w:kern w:val="22"/>
          <w:lang w:val="es-ES_tradnl"/>
        </w:rPr>
        <w:t xml:space="preserve">Sin embargo, </w:t>
      </w:r>
      <w:r w:rsidR="00F600E5" w:rsidRPr="00F600E5">
        <w:rPr>
          <w:kern w:val="22"/>
          <w:lang w:val="es-ES_tradnl"/>
        </w:rPr>
        <w:t xml:space="preserve">se dispone de </w:t>
      </w:r>
      <w:r w:rsidR="00976F7A" w:rsidRPr="00F600E5">
        <w:rPr>
          <w:kern w:val="22"/>
          <w:lang w:val="es-ES_tradnl"/>
        </w:rPr>
        <w:t xml:space="preserve">información cuantitativa que </w:t>
      </w:r>
      <w:r w:rsidR="00F600E5" w:rsidRPr="00F600E5">
        <w:rPr>
          <w:kern w:val="22"/>
          <w:lang w:val="es-ES_tradnl"/>
        </w:rPr>
        <w:t xml:space="preserve">señalan </w:t>
      </w:r>
      <w:r w:rsidR="00976F7A" w:rsidRPr="00F600E5">
        <w:rPr>
          <w:kern w:val="22"/>
          <w:lang w:val="es-ES_tradnl"/>
        </w:rPr>
        <w:t>dichos efectos en los subsidios potencialmente perjudiciales para el medio ambiente en los países de la OCDE</w:t>
      </w:r>
      <w:r w:rsidR="00084813" w:rsidRPr="00F600E5">
        <w:rPr>
          <w:kern w:val="22"/>
          <w:lang w:val="es-ES_tradnl"/>
        </w:rPr>
        <w:t xml:space="preserve">. </w:t>
      </w:r>
      <w:r w:rsidR="00976F7A" w:rsidRPr="00F600E5">
        <w:rPr>
          <w:kern w:val="22"/>
          <w:lang w:val="es-ES_tradnl"/>
        </w:rPr>
        <w:t>Basándose en la metodología de la OCDE para determinar el apoyo agrícola, la OCDE clasifica los tipos de apoyo agrícola según su impacto pote</w:t>
      </w:r>
      <w:r w:rsidR="00F600E5" w:rsidRPr="00F600E5">
        <w:rPr>
          <w:kern w:val="22"/>
          <w:lang w:val="es-ES_tradnl"/>
        </w:rPr>
        <w:t>ncial para</w:t>
      </w:r>
      <w:r w:rsidR="00976F7A" w:rsidRPr="00F600E5">
        <w:rPr>
          <w:kern w:val="22"/>
          <w:lang w:val="es-ES_tradnl"/>
        </w:rPr>
        <w:t xml:space="preserve"> el medio ambiente</w:t>
      </w:r>
      <w:r w:rsidR="00084813" w:rsidRPr="00F600E5">
        <w:rPr>
          <w:kern w:val="22"/>
          <w:lang w:val="es-ES_tradnl"/>
        </w:rPr>
        <w:t xml:space="preserve">. </w:t>
      </w:r>
      <w:r w:rsidR="00976F7A" w:rsidRPr="00F600E5">
        <w:rPr>
          <w:kern w:val="22"/>
          <w:lang w:val="es-ES_tradnl"/>
        </w:rPr>
        <w:t>De acuerdo con evaluaciones recientes de la OCDE basadas en esta metodología</w:t>
      </w:r>
      <w:r w:rsidR="00084813" w:rsidRPr="00F600E5">
        <w:rPr>
          <w:kern w:val="22"/>
          <w:lang w:val="es-ES_tradnl"/>
        </w:rPr>
        <w:t xml:space="preserve">, </w:t>
      </w:r>
      <w:r w:rsidR="00976F7A" w:rsidRPr="00F600E5">
        <w:rPr>
          <w:kern w:val="22"/>
          <w:lang w:val="es-ES_tradnl"/>
        </w:rPr>
        <w:t>en las últimas décadas ha descendido considerablemente el nivel de apoyo agrícola potencialmente más perjudicial para el medio ambiente</w:t>
      </w:r>
      <w:r w:rsidR="00084813" w:rsidRPr="00F600E5">
        <w:rPr>
          <w:kern w:val="22"/>
          <w:lang w:val="es-ES_tradnl"/>
        </w:rPr>
        <w:t xml:space="preserve">, </w:t>
      </w:r>
      <w:r w:rsidR="00976F7A" w:rsidRPr="00F600E5">
        <w:rPr>
          <w:kern w:val="22"/>
          <w:lang w:val="es-ES_tradnl"/>
        </w:rPr>
        <w:t xml:space="preserve">tanto en números absolutos </w:t>
      </w:r>
      <w:r w:rsidR="00084813" w:rsidRPr="00F600E5">
        <w:rPr>
          <w:kern w:val="22"/>
          <w:lang w:val="es-ES_tradnl"/>
        </w:rPr>
        <w:t>(</w:t>
      </w:r>
      <w:r w:rsidR="00976F7A" w:rsidRPr="00F600E5">
        <w:rPr>
          <w:kern w:val="22"/>
          <w:lang w:val="es-ES_tradnl"/>
        </w:rPr>
        <w:t>de</w:t>
      </w:r>
      <w:r w:rsidR="003A4553" w:rsidRPr="00F600E5">
        <w:rPr>
          <w:kern w:val="22"/>
          <w:lang w:val="es-ES_tradnl"/>
        </w:rPr>
        <w:t>sde</w:t>
      </w:r>
      <w:r w:rsidR="00976F7A" w:rsidRPr="00F600E5">
        <w:rPr>
          <w:kern w:val="22"/>
          <w:lang w:val="es-ES_tradnl"/>
        </w:rPr>
        <w:t xml:space="preserve"> más de 200 000 millones de dólares de EE. UU. en 1990 </w:t>
      </w:r>
      <w:r w:rsidR="003A4553" w:rsidRPr="00F600E5">
        <w:rPr>
          <w:kern w:val="22"/>
          <w:lang w:val="es-ES_tradnl"/>
        </w:rPr>
        <w:t>hast</w:t>
      </w:r>
      <w:r w:rsidR="00976F7A" w:rsidRPr="00F600E5">
        <w:rPr>
          <w:kern w:val="22"/>
          <w:lang w:val="es-ES_tradnl"/>
        </w:rPr>
        <w:t xml:space="preserve">a ligeramente </w:t>
      </w:r>
      <w:r w:rsidR="001F5F0B" w:rsidRPr="00F600E5">
        <w:rPr>
          <w:kern w:val="22"/>
          <w:lang w:val="es-ES_tradnl"/>
        </w:rPr>
        <w:t xml:space="preserve">por encima de los </w:t>
      </w:r>
      <w:r w:rsidR="00976F7A" w:rsidRPr="00F600E5">
        <w:rPr>
          <w:kern w:val="22"/>
          <w:lang w:val="es-ES_tradnl"/>
        </w:rPr>
        <w:t>100 000 millones de dólares de EE.</w:t>
      </w:r>
      <w:r w:rsidR="001F5F0B" w:rsidRPr="00F600E5">
        <w:rPr>
          <w:kern w:val="22"/>
          <w:lang w:val="es-ES_tradnl"/>
        </w:rPr>
        <w:t> </w:t>
      </w:r>
      <w:r w:rsidR="00976F7A" w:rsidRPr="00F600E5">
        <w:rPr>
          <w:kern w:val="22"/>
          <w:lang w:val="es-ES_tradnl"/>
        </w:rPr>
        <w:t xml:space="preserve">UU. en 2015), </w:t>
      </w:r>
      <w:r w:rsidR="003A4553" w:rsidRPr="00F600E5">
        <w:rPr>
          <w:kern w:val="22"/>
          <w:lang w:val="es-ES_tradnl"/>
        </w:rPr>
        <w:t xml:space="preserve">y </w:t>
      </w:r>
      <w:r w:rsidR="00976F7A" w:rsidRPr="00F600E5">
        <w:rPr>
          <w:kern w:val="22"/>
          <w:lang w:val="es-ES_tradnl"/>
        </w:rPr>
        <w:t xml:space="preserve">en </w:t>
      </w:r>
      <w:r w:rsidR="003A4553" w:rsidRPr="00F600E5">
        <w:rPr>
          <w:kern w:val="22"/>
          <w:lang w:val="es-ES_tradnl"/>
        </w:rPr>
        <w:t xml:space="preserve">el </w:t>
      </w:r>
      <w:r w:rsidR="003574F1" w:rsidRPr="00F600E5">
        <w:rPr>
          <w:kern w:val="22"/>
          <w:lang w:val="es-ES_tradnl"/>
        </w:rPr>
        <w:t xml:space="preserve">porcentaje relativo </w:t>
      </w:r>
      <w:r w:rsidR="003A4553" w:rsidRPr="00F600E5">
        <w:rPr>
          <w:kern w:val="22"/>
          <w:lang w:val="es-ES_tradnl"/>
        </w:rPr>
        <w:t xml:space="preserve">de los </w:t>
      </w:r>
      <w:r w:rsidR="003574F1" w:rsidRPr="00F600E5">
        <w:rPr>
          <w:kern w:val="22"/>
          <w:lang w:val="es-ES_tradnl"/>
        </w:rPr>
        <w:t xml:space="preserve">subsidios </w:t>
      </w:r>
      <w:r w:rsidR="003A4553" w:rsidRPr="00F600E5">
        <w:rPr>
          <w:kern w:val="22"/>
          <w:lang w:val="es-ES_tradnl"/>
        </w:rPr>
        <w:t xml:space="preserve">totales </w:t>
      </w:r>
      <w:r w:rsidR="00084813" w:rsidRPr="00F600E5">
        <w:rPr>
          <w:kern w:val="22"/>
          <w:lang w:val="es-ES_tradnl"/>
        </w:rPr>
        <w:t>(</w:t>
      </w:r>
      <w:r w:rsidR="003A4553" w:rsidRPr="00F600E5">
        <w:rPr>
          <w:kern w:val="22"/>
          <w:lang w:val="es-ES_tradnl"/>
        </w:rPr>
        <w:t xml:space="preserve">desde </w:t>
      </w:r>
      <w:r w:rsidR="003574F1" w:rsidRPr="00F600E5">
        <w:rPr>
          <w:kern w:val="22"/>
          <w:lang w:val="es-ES_tradnl"/>
        </w:rPr>
        <w:t>más de</w:t>
      </w:r>
      <w:r w:rsidR="003A4553" w:rsidRPr="00F600E5">
        <w:rPr>
          <w:kern w:val="22"/>
          <w:lang w:val="es-ES_tradnl"/>
        </w:rPr>
        <w:t>l</w:t>
      </w:r>
      <w:r w:rsidR="003574F1" w:rsidRPr="00F600E5">
        <w:rPr>
          <w:kern w:val="22"/>
          <w:lang w:val="es-ES_tradnl"/>
        </w:rPr>
        <w:t xml:space="preserve"> </w:t>
      </w:r>
      <w:r w:rsidR="00084813" w:rsidRPr="00F600E5">
        <w:rPr>
          <w:kern w:val="22"/>
          <w:lang w:val="es-ES_tradnl"/>
        </w:rPr>
        <w:t xml:space="preserve">80% </w:t>
      </w:r>
      <w:r w:rsidR="003574F1" w:rsidRPr="00F600E5">
        <w:rPr>
          <w:kern w:val="22"/>
          <w:lang w:val="es-ES_tradnl"/>
        </w:rPr>
        <w:t>e</w:t>
      </w:r>
      <w:r w:rsidR="00084813" w:rsidRPr="00F600E5">
        <w:rPr>
          <w:kern w:val="22"/>
          <w:lang w:val="es-ES_tradnl"/>
        </w:rPr>
        <w:t xml:space="preserve">n 1990 </w:t>
      </w:r>
      <w:r w:rsidR="003A4553" w:rsidRPr="00F600E5">
        <w:rPr>
          <w:kern w:val="22"/>
          <w:lang w:val="es-ES_tradnl"/>
        </w:rPr>
        <w:t>hasta</w:t>
      </w:r>
      <w:r w:rsidR="003574F1" w:rsidRPr="00F600E5">
        <w:rPr>
          <w:kern w:val="22"/>
          <w:lang w:val="es-ES_tradnl"/>
        </w:rPr>
        <w:t xml:space="preserve"> </w:t>
      </w:r>
      <w:r w:rsidR="003A4553" w:rsidRPr="00F600E5">
        <w:rPr>
          <w:kern w:val="22"/>
          <w:lang w:val="es-ES_tradnl"/>
        </w:rPr>
        <w:t xml:space="preserve">alrededor </w:t>
      </w:r>
      <w:r w:rsidR="003574F1" w:rsidRPr="00F600E5">
        <w:rPr>
          <w:kern w:val="22"/>
          <w:lang w:val="es-ES_tradnl"/>
        </w:rPr>
        <w:t>de</w:t>
      </w:r>
      <w:r w:rsidR="003A4553" w:rsidRPr="00F600E5">
        <w:rPr>
          <w:kern w:val="22"/>
          <w:lang w:val="es-ES_tradnl"/>
        </w:rPr>
        <w:t>l</w:t>
      </w:r>
      <w:r w:rsidR="003574F1" w:rsidRPr="00F600E5">
        <w:rPr>
          <w:kern w:val="22"/>
          <w:lang w:val="es-ES_tradnl"/>
        </w:rPr>
        <w:t xml:space="preserve"> </w:t>
      </w:r>
      <w:r w:rsidR="00084813" w:rsidRPr="00F600E5">
        <w:rPr>
          <w:kern w:val="22"/>
          <w:lang w:val="es-ES_tradnl"/>
        </w:rPr>
        <w:t xml:space="preserve">50% </w:t>
      </w:r>
      <w:r w:rsidR="003574F1" w:rsidRPr="00F600E5">
        <w:rPr>
          <w:kern w:val="22"/>
          <w:lang w:val="es-ES_tradnl"/>
        </w:rPr>
        <w:t>e</w:t>
      </w:r>
      <w:r w:rsidR="00084813" w:rsidRPr="00F600E5">
        <w:rPr>
          <w:kern w:val="22"/>
          <w:lang w:val="es-ES_tradnl"/>
        </w:rPr>
        <w:t xml:space="preserve">n 2015). </w:t>
      </w:r>
      <w:r w:rsidR="003574F1" w:rsidRPr="00F600E5">
        <w:rPr>
          <w:kern w:val="22"/>
          <w:lang w:val="es-ES_tradnl"/>
        </w:rPr>
        <w:t xml:space="preserve">Esto podría interpretarse como una contribución significativa </w:t>
      </w:r>
      <w:r w:rsidR="00DA5ADA" w:rsidRPr="00F600E5">
        <w:rPr>
          <w:kern w:val="22"/>
          <w:lang w:val="es-ES_tradnl"/>
        </w:rPr>
        <w:t>a los efectos</w:t>
      </w:r>
      <w:r w:rsidR="003574F1" w:rsidRPr="00F600E5">
        <w:rPr>
          <w:kern w:val="22"/>
          <w:lang w:val="es-ES_tradnl"/>
        </w:rPr>
        <w:t xml:space="preserve"> de los incentivos descritos anteriormente</w:t>
      </w:r>
      <w:r w:rsidR="00084813" w:rsidRPr="00F600E5">
        <w:rPr>
          <w:kern w:val="22"/>
          <w:lang w:val="es-ES_tradnl"/>
        </w:rPr>
        <w:t xml:space="preserve">. </w:t>
      </w:r>
      <w:r w:rsidR="003574F1" w:rsidRPr="00F600E5">
        <w:rPr>
          <w:kern w:val="22"/>
          <w:lang w:val="es-ES_tradnl"/>
        </w:rPr>
        <w:t>Los tipos de apoyo menos perjudiciales, tales como los pagos basados en criterios no referidos a productos, incluido el retiro de las tierras y otras prácticas que apoyan la diversidad biológica</w:t>
      </w:r>
      <w:r w:rsidR="00084813" w:rsidRPr="00F600E5">
        <w:rPr>
          <w:kern w:val="22"/>
          <w:lang w:val="es-ES_tradnl"/>
        </w:rPr>
        <w:t xml:space="preserve">, </w:t>
      </w:r>
      <w:r w:rsidR="00F600E5" w:rsidRPr="00F600E5">
        <w:rPr>
          <w:kern w:val="22"/>
          <w:lang w:val="es-ES_tradnl"/>
        </w:rPr>
        <w:t xml:space="preserve">se han incrementado considerablemente </w:t>
      </w:r>
      <w:r w:rsidR="003574F1" w:rsidRPr="00F600E5">
        <w:rPr>
          <w:kern w:val="22"/>
          <w:lang w:val="es-ES_tradnl"/>
        </w:rPr>
        <w:t xml:space="preserve">desde </w:t>
      </w:r>
      <w:r w:rsidR="00084813" w:rsidRPr="00F600E5">
        <w:rPr>
          <w:kern w:val="22"/>
          <w:lang w:val="es-ES_tradnl"/>
        </w:rPr>
        <w:t xml:space="preserve">1990 </w:t>
      </w:r>
      <w:r w:rsidR="003574F1" w:rsidRPr="00F600E5">
        <w:rPr>
          <w:kern w:val="22"/>
          <w:lang w:val="es-ES_tradnl"/>
        </w:rPr>
        <w:t xml:space="preserve">y han aumentado de </w:t>
      </w:r>
      <w:r w:rsidR="00084813" w:rsidRPr="00F600E5">
        <w:rPr>
          <w:kern w:val="22"/>
          <w:lang w:val="es-ES_tradnl"/>
        </w:rPr>
        <w:t>3</w:t>
      </w:r>
      <w:r w:rsidR="006C31DF" w:rsidRPr="00F600E5">
        <w:rPr>
          <w:kern w:val="22"/>
          <w:lang w:val="es-ES_tradnl"/>
        </w:rPr>
        <w:t xml:space="preserve"> </w:t>
      </w:r>
      <w:r w:rsidR="003574F1" w:rsidRPr="00F600E5">
        <w:rPr>
          <w:kern w:val="22"/>
          <w:lang w:val="es-ES_tradnl"/>
        </w:rPr>
        <w:t xml:space="preserve">000 </w:t>
      </w:r>
      <w:r w:rsidR="003574F1" w:rsidRPr="00F600E5">
        <w:rPr>
          <w:kern w:val="22"/>
          <w:lang w:val="es-ES_tradnl"/>
        </w:rPr>
        <w:lastRenderedPageBreak/>
        <w:t xml:space="preserve">millones de dólares EE.UU. en </w:t>
      </w:r>
      <w:r w:rsidR="00084813" w:rsidRPr="00F600E5">
        <w:rPr>
          <w:kern w:val="22"/>
          <w:lang w:val="es-ES_tradnl"/>
        </w:rPr>
        <w:t xml:space="preserve">2000 </w:t>
      </w:r>
      <w:r w:rsidR="003574F1" w:rsidRPr="00F600E5">
        <w:rPr>
          <w:kern w:val="22"/>
          <w:lang w:val="es-ES_tradnl"/>
        </w:rPr>
        <w:t xml:space="preserve">a más de </w:t>
      </w:r>
      <w:r w:rsidR="00084813" w:rsidRPr="00F600E5">
        <w:rPr>
          <w:kern w:val="22"/>
          <w:lang w:val="es-ES_tradnl"/>
        </w:rPr>
        <w:t>5</w:t>
      </w:r>
      <w:r w:rsidR="006C31DF" w:rsidRPr="00F600E5">
        <w:rPr>
          <w:kern w:val="22"/>
          <w:lang w:val="es-ES_tradnl"/>
        </w:rPr>
        <w:t xml:space="preserve"> </w:t>
      </w:r>
      <w:r w:rsidR="003574F1" w:rsidRPr="00F600E5">
        <w:rPr>
          <w:kern w:val="22"/>
          <w:lang w:val="es-ES_tradnl"/>
        </w:rPr>
        <w:t>000 millones de dólares EE.UU.</w:t>
      </w:r>
      <w:r w:rsidR="00084813" w:rsidRPr="00F600E5">
        <w:rPr>
          <w:kern w:val="22"/>
          <w:lang w:val="es-ES_tradnl"/>
        </w:rPr>
        <w:t xml:space="preserve">, </w:t>
      </w:r>
      <w:r w:rsidR="003574F1" w:rsidRPr="00F600E5">
        <w:rPr>
          <w:kern w:val="22"/>
          <w:lang w:val="es-ES_tradnl"/>
        </w:rPr>
        <w:t>pero se han mantenido esencialmente invariables desde entonces, lo cual indica un efecto en los ingresos más limitado de las recientes reformas en materia de política para las políticas respetuosas con la diversidad biológica</w:t>
      </w:r>
      <w:r w:rsidR="00084813" w:rsidRPr="00F600E5">
        <w:rPr>
          <w:kern w:val="22"/>
          <w:lang w:val="es-ES_tradnl"/>
        </w:rPr>
        <w:t>.</w:t>
      </w:r>
    </w:p>
    <w:p w:rsidR="00583760" w:rsidRPr="00F600E5" w:rsidRDefault="00583760" w:rsidP="00583760">
      <w:pPr>
        <w:pStyle w:val="ListParagraph"/>
        <w:spacing w:after="120"/>
        <w:ind w:left="0"/>
        <w:rPr>
          <w:snapToGrid w:val="0"/>
          <w:kern w:val="22"/>
          <w:szCs w:val="22"/>
          <w:lang w:val="es-ES_tradnl"/>
        </w:rPr>
      </w:pPr>
    </w:p>
    <w:p w:rsidR="00F56185" w:rsidRPr="00F600E5" w:rsidRDefault="00793C40" w:rsidP="00F56185">
      <w:pPr>
        <w:pStyle w:val="ListParagraph"/>
        <w:numPr>
          <w:ilvl w:val="0"/>
          <w:numId w:val="19"/>
        </w:numPr>
        <w:spacing w:after="120"/>
        <w:ind w:left="0" w:firstLine="0"/>
        <w:rPr>
          <w:snapToGrid w:val="0"/>
          <w:kern w:val="22"/>
          <w:szCs w:val="22"/>
          <w:lang w:val="es-ES_tradnl"/>
        </w:rPr>
      </w:pPr>
      <w:r w:rsidRPr="00F600E5">
        <w:rPr>
          <w:snapToGrid w:val="0"/>
          <w:kern w:val="22"/>
          <w:szCs w:val="22"/>
          <w:lang w:val="es-ES_tradnl"/>
        </w:rPr>
        <w:t>El apoyo agrícola que se clasifica como potencialmente perjudicial o más perjudicial para al medio ambiente sigue siendo de alrededor de 100 000 millones de dólares EE.UU. en los países de la OCDE</w:t>
      </w:r>
      <w:r w:rsidR="00084813" w:rsidRPr="00F600E5">
        <w:rPr>
          <w:snapToGrid w:val="0"/>
          <w:kern w:val="22"/>
          <w:szCs w:val="22"/>
          <w:lang w:val="es-ES_tradnl"/>
        </w:rPr>
        <w:t xml:space="preserve">. </w:t>
      </w:r>
      <w:r w:rsidR="001A2551" w:rsidRPr="00F600E5">
        <w:rPr>
          <w:snapToGrid w:val="0"/>
          <w:kern w:val="22"/>
          <w:szCs w:val="22"/>
          <w:lang w:val="es-ES_tradnl"/>
        </w:rPr>
        <w:t>Esto indica que, pese a los avances ya alcanzados</w:t>
      </w:r>
      <w:r w:rsidR="00084813" w:rsidRPr="00F600E5">
        <w:rPr>
          <w:snapToGrid w:val="0"/>
          <w:kern w:val="22"/>
          <w:szCs w:val="22"/>
          <w:lang w:val="es-ES_tradnl"/>
        </w:rPr>
        <w:t xml:space="preserve">, </w:t>
      </w:r>
      <w:r w:rsidR="001A2551" w:rsidRPr="00F600E5">
        <w:rPr>
          <w:snapToGrid w:val="0"/>
          <w:kern w:val="22"/>
          <w:szCs w:val="22"/>
          <w:lang w:val="es-ES_tradnl"/>
        </w:rPr>
        <w:t>como se describe anteriormente, hay importantes oportunidades para la adopción de medidas adicionales de política en la Meta 3 de Aichi para la Diversidad Biológica en este sector en los países de la OCDE</w:t>
      </w:r>
      <w:r w:rsidR="00084813" w:rsidRPr="00F600E5">
        <w:rPr>
          <w:snapToGrid w:val="0"/>
          <w:kern w:val="22"/>
          <w:szCs w:val="22"/>
          <w:lang w:val="es-ES_tradnl"/>
        </w:rPr>
        <w:t xml:space="preserve">. </w:t>
      </w:r>
      <w:r w:rsidR="001A2551" w:rsidRPr="00F600E5">
        <w:rPr>
          <w:snapToGrid w:val="0"/>
          <w:kern w:val="22"/>
          <w:szCs w:val="22"/>
          <w:lang w:val="es-ES_tradnl"/>
        </w:rPr>
        <w:t xml:space="preserve">También existen otras oportunidades a nivel mundial de adoptar medidas en otros sectores, tales como el sector </w:t>
      </w:r>
      <w:r w:rsidR="003A4553" w:rsidRPr="00F600E5">
        <w:rPr>
          <w:snapToGrid w:val="0"/>
          <w:kern w:val="22"/>
          <w:szCs w:val="22"/>
          <w:lang w:val="es-ES_tradnl"/>
        </w:rPr>
        <w:t xml:space="preserve">energético </w:t>
      </w:r>
      <w:r w:rsidR="00084813" w:rsidRPr="00F600E5">
        <w:rPr>
          <w:snapToGrid w:val="0"/>
          <w:kern w:val="22"/>
          <w:szCs w:val="22"/>
          <w:lang w:val="es-ES_tradnl"/>
        </w:rPr>
        <w:t>(</w:t>
      </w:r>
      <w:r w:rsidR="001F5F0B" w:rsidRPr="00F600E5">
        <w:rPr>
          <w:snapToGrid w:val="0"/>
          <w:kern w:val="22"/>
          <w:szCs w:val="22"/>
          <w:lang w:val="es-ES_tradnl"/>
        </w:rPr>
        <w:t xml:space="preserve">que cuenta con </w:t>
      </w:r>
      <w:r w:rsidR="00084813" w:rsidRPr="00F600E5">
        <w:rPr>
          <w:snapToGrid w:val="0"/>
          <w:kern w:val="22"/>
          <w:szCs w:val="22"/>
          <w:lang w:val="es-ES_tradnl"/>
        </w:rPr>
        <w:t xml:space="preserve">260 </w:t>
      </w:r>
      <w:r w:rsidR="001A2551" w:rsidRPr="00F600E5">
        <w:rPr>
          <w:snapToGrid w:val="0"/>
          <w:kern w:val="22"/>
          <w:szCs w:val="22"/>
          <w:lang w:val="es-ES_tradnl"/>
        </w:rPr>
        <w:t>000 millones de dólares EE.UU. de subsidios al consumo</w:t>
      </w:r>
      <w:r w:rsidR="003A4553" w:rsidRPr="00F600E5">
        <w:rPr>
          <w:snapToGrid w:val="0"/>
          <w:kern w:val="22"/>
          <w:szCs w:val="22"/>
          <w:lang w:val="es-ES_tradnl"/>
        </w:rPr>
        <w:t xml:space="preserve"> anuales</w:t>
      </w:r>
      <w:r w:rsidR="001A2551" w:rsidRPr="00F600E5">
        <w:rPr>
          <w:snapToGrid w:val="0"/>
          <w:kern w:val="22"/>
          <w:szCs w:val="22"/>
          <w:lang w:val="es-ES_tradnl"/>
        </w:rPr>
        <w:t>, según la Agencia Internacional de la Energía</w:t>
      </w:r>
      <w:r w:rsidR="00084813" w:rsidRPr="00F600E5">
        <w:rPr>
          <w:snapToGrid w:val="0"/>
          <w:kern w:val="22"/>
          <w:szCs w:val="22"/>
          <w:lang w:val="es-ES_tradnl"/>
        </w:rPr>
        <w:t xml:space="preserve">) </w:t>
      </w:r>
      <w:r w:rsidR="001A2551" w:rsidRPr="00F600E5">
        <w:rPr>
          <w:snapToGrid w:val="0"/>
          <w:kern w:val="22"/>
          <w:szCs w:val="22"/>
          <w:lang w:val="es-ES_tradnl"/>
        </w:rPr>
        <w:t xml:space="preserve">y el sector de la pesca </w:t>
      </w:r>
      <w:r w:rsidR="00084813" w:rsidRPr="00F600E5">
        <w:rPr>
          <w:snapToGrid w:val="0"/>
          <w:kern w:val="22"/>
          <w:szCs w:val="22"/>
          <w:lang w:val="es-ES_tradnl"/>
        </w:rPr>
        <w:t>(</w:t>
      </w:r>
      <w:r w:rsidR="001A2551" w:rsidRPr="00F600E5">
        <w:rPr>
          <w:snapToGrid w:val="0"/>
          <w:kern w:val="22"/>
          <w:szCs w:val="22"/>
          <w:lang w:val="es-ES_tradnl"/>
        </w:rPr>
        <w:t>35 000 millones de dólares EE.UU. anuales, de los cuales 20 000 millones de dólares son perjudiciales, según un cálculo reciente</w:t>
      </w:r>
      <w:r w:rsidR="00084813" w:rsidRPr="00F600E5">
        <w:rPr>
          <w:snapToGrid w:val="0"/>
          <w:kern w:val="22"/>
          <w:szCs w:val="22"/>
          <w:lang w:val="es-ES_tradnl"/>
        </w:rPr>
        <w:t xml:space="preserve">). </w:t>
      </w:r>
      <w:r w:rsidR="001A2551" w:rsidRPr="00F600E5">
        <w:rPr>
          <w:snapToGrid w:val="0"/>
          <w:kern w:val="22"/>
          <w:szCs w:val="22"/>
          <w:lang w:val="es-ES_tradnl"/>
        </w:rPr>
        <w:t>En los países en desarrollo existen oportunidades, posiblemente en el contexto de las reforma fiscales ambientales, en los sectores de la energía y agua</w:t>
      </w:r>
      <w:r w:rsidR="00084813" w:rsidRPr="00F600E5">
        <w:rPr>
          <w:snapToGrid w:val="0"/>
          <w:kern w:val="22"/>
          <w:szCs w:val="22"/>
          <w:lang w:val="es-ES_tradnl"/>
        </w:rPr>
        <w:t xml:space="preserve">, </w:t>
      </w:r>
      <w:r w:rsidR="001A2551" w:rsidRPr="00F600E5">
        <w:rPr>
          <w:snapToGrid w:val="0"/>
          <w:kern w:val="22"/>
          <w:szCs w:val="22"/>
          <w:lang w:val="es-ES_tradnl"/>
        </w:rPr>
        <w:t>tal como se ha señalado en recientes estudios del Programa de las Naciones Unidas para el Medio Ambiente, así como conforme a la Iniciativa BIOFIN</w:t>
      </w:r>
      <w:r w:rsidR="00084813" w:rsidRPr="00F600E5">
        <w:rPr>
          <w:snapToGrid w:val="0"/>
          <w:kern w:val="22"/>
          <w:szCs w:val="22"/>
          <w:lang w:val="es-ES_tradnl"/>
        </w:rPr>
        <w:t>.</w:t>
      </w:r>
    </w:p>
    <w:p w:rsidR="00583760" w:rsidRPr="00F600E5" w:rsidRDefault="00583760" w:rsidP="00583760">
      <w:pPr>
        <w:pStyle w:val="ListParagraph"/>
        <w:spacing w:after="120"/>
        <w:ind w:left="0"/>
        <w:rPr>
          <w:snapToGrid w:val="0"/>
          <w:kern w:val="22"/>
          <w:szCs w:val="22"/>
          <w:lang w:val="es-ES_tradnl"/>
        </w:rPr>
      </w:pPr>
    </w:p>
    <w:p w:rsidR="0049225D" w:rsidRPr="00F600E5" w:rsidRDefault="004F4A96" w:rsidP="00583760">
      <w:pPr>
        <w:pStyle w:val="ListParagraph"/>
        <w:numPr>
          <w:ilvl w:val="0"/>
          <w:numId w:val="19"/>
        </w:numPr>
        <w:spacing w:after="120"/>
        <w:ind w:left="0" w:firstLine="0"/>
        <w:rPr>
          <w:snapToGrid w:val="0"/>
          <w:kern w:val="22"/>
          <w:szCs w:val="22"/>
          <w:lang w:val="es-ES_tradnl"/>
        </w:rPr>
      </w:pPr>
      <w:r w:rsidRPr="00F600E5">
        <w:rPr>
          <w:snapToGrid w:val="0"/>
          <w:kern w:val="22"/>
          <w:szCs w:val="22"/>
          <w:lang w:val="es-ES_tradnl"/>
        </w:rPr>
        <w:t>En lo que respecta a los incentivos positivos, su efecto inmediato en los ingresos es más ambiguo que en el caso de los incentivos perjudiciales</w:t>
      </w:r>
      <w:r w:rsidR="00084813" w:rsidRPr="00F600E5">
        <w:rPr>
          <w:snapToGrid w:val="0"/>
          <w:kern w:val="22"/>
          <w:szCs w:val="22"/>
          <w:lang w:val="es-ES_tradnl"/>
        </w:rPr>
        <w:t xml:space="preserve">. </w:t>
      </w:r>
      <w:r w:rsidRPr="00F600E5">
        <w:rPr>
          <w:snapToGrid w:val="0"/>
          <w:kern w:val="22"/>
          <w:szCs w:val="22"/>
          <w:lang w:val="es-ES_tradnl"/>
        </w:rPr>
        <w:t>En el caso de programas de pago públicos o exenciones fiscales que ofrecen incentivos monetarios directos a los productores o consumidores, el efecto en los ingresos es en realidad negativo</w:t>
      </w:r>
      <w:r w:rsidR="00084813" w:rsidRPr="00F600E5">
        <w:rPr>
          <w:snapToGrid w:val="0"/>
          <w:kern w:val="22"/>
          <w:szCs w:val="22"/>
          <w:lang w:val="es-ES_tradnl"/>
        </w:rPr>
        <w:t xml:space="preserve">: </w:t>
      </w:r>
      <w:r w:rsidRPr="00F600E5">
        <w:rPr>
          <w:snapToGrid w:val="0"/>
          <w:kern w:val="22"/>
          <w:szCs w:val="22"/>
          <w:lang w:val="es-ES_tradnl"/>
        </w:rPr>
        <w:t>la creación de dichos programas requerirán recursos financieros, por medio de asignaciones presupuestarias o por herramientas más innovadoras</w:t>
      </w:r>
      <w:r w:rsidR="00084813" w:rsidRPr="00F600E5">
        <w:rPr>
          <w:snapToGrid w:val="0"/>
          <w:kern w:val="22"/>
          <w:szCs w:val="22"/>
          <w:lang w:val="es-ES_tradnl"/>
        </w:rPr>
        <w:t xml:space="preserve">. </w:t>
      </w:r>
      <w:r w:rsidRPr="00F600E5">
        <w:rPr>
          <w:snapToGrid w:val="0"/>
          <w:kern w:val="22"/>
          <w:szCs w:val="22"/>
          <w:lang w:val="es-ES_tradnl"/>
        </w:rPr>
        <w:t>Sin embargo, se producirá un efecto positivo en los ingresos cuando la propia medida está financiada por entidades privadas, por ejemplo porque desean estimular a los beneficiarios a ir “más allá del cumplimiento reglamentario”.</w:t>
      </w:r>
    </w:p>
    <w:p w:rsidR="00583760" w:rsidRPr="00F600E5" w:rsidRDefault="00583760" w:rsidP="00583760">
      <w:pPr>
        <w:pStyle w:val="ListParagraph"/>
        <w:spacing w:after="120"/>
        <w:ind w:left="0"/>
        <w:rPr>
          <w:snapToGrid w:val="0"/>
          <w:kern w:val="22"/>
          <w:szCs w:val="22"/>
          <w:lang w:val="es-ES_tradnl"/>
        </w:rPr>
      </w:pPr>
    </w:p>
    <w:p w:rsidR="0049225D" w:rsidRPr="00F600E5" w:rsidRDefault="004F4A96" w:rsidP="0049225D">
      <w:pPr>
        <w:pStyle w:val="ListParagraph"/>
        <w:numPr>
          <w:ilvl w:val="0"/>
          <w:numId w:val="19"/>
        </w:numPr>
        <w:spacing w:after="120"/>
        <w:ind w:left="0" w:firstLine="0"/>
        <w:rPr>
          <w:snapToGrid w:val="0"/>
          <w:kern w:val="22"/>
          <w:szCs w:val="22"/>
          <w:lang w:val="es-ES_tradnl"/>
        </w:rPr>
      </w:pPr>
      <w:r w:rsidRPr="00F600E5">
        <w:rPr>
          <w:snapToGrid w:val="0"/>
          <w:kern w:val="22"/>
          <w:szCs w:val="22"/>
          <w:lang w:val="es-ES_tradnl"/>
        </w:rPr>
        <w:t xml:space="preserve">En dicho contexto, un análisis reciente del Instituto Internacional para el Desarrollo Sostenible analizó una gama amplia de normas de sostenibilidad voluntarias y planes de certificación conexos </w:t>
      </w:r>
      <w:r w:rsidR="00084813" w:rsidRPr="00F600E5">
        <w:rPr>
          <w:snapToGrid w:val="0"/>
          <w:kern w:val="22"/>
          <w:szCs w:val="22"/>
          <w:lang w:val="es-ES_tradnl"/>
        </w:rPr>
        <w:t>(</w:t>
      </w:r>
      <w:r w:rsidR="00F56185" w:rsidRPr="00F600E5">
        <w:rPr>
          <w:snapToGrid w:val="0"/>
          <w:kern w:val="22"/>
          <w:szCs w:val="22"/>
          <w:lang w:val="es-ES_tradnl"/>
        </w:rPr>
        <w:t>o “etiquetado ecológico</w:t>
      </w:r>
      <w:r w:rsidR="001800EA" w:rsidRPr="00F600E5">
        <w:rPr>
          <w:snapToGrid w:val="0"/>
          <w:kern w:val="22"/>
          <w:szCs w:val="22"/>
          <w:lang w:val="es-ES_tradnl"/>
        </w:rPr>
        <w:t>”</w:t>
      </w:r>
      <w:r w:rsidR="00084813" w:rsidRPr="00F600E5">
        <w:rPr>
          <w:snapToGrid w:val="0"/>
          <w:kern w:val="22"/>
          <w:szCs w:val="22"/>
          <w:lang w:val="es-ES_tradnl"/>
        </w:rPr>
        <w:t xml:space="preserve">) </w:t>
      </w:r>
      <w:r w:rsidR="00F56185" w:rsidRPr="00F600E5">
        <w:rPr>
          <w:snapToGrid w:val="0"/>
          <w:kern w:val="22"/>
          <w:szCs w:val="22"/>
          <w:lang w:val="es-ES_tradnl"/>
        </w:rPr>
        <w:t>para diversos productos básicos</w:t>
      </w:r>
      <w:r w:rsidR="00084813" w:rsidRPr="00F600E5">
        <w:rPr>
          <w:snapToGrid w:val="0"/>
          <w:kern w:val="22"/>
          <w:szCs w:val="22"/>
          <w:lang w:val="es-ES_tradnl"/>
        </w:rPr>
        <w:t xml:space="preserve">. </w:t>
      </w:r>
      <w:r w:rsidR="00F56185" w:rsidRPr="00F600E5">
        <w:rPr>
          <w:snapToGrid w:val="0"/>
          <w:kern w:val="22"/>
          <w:szCs w:val="22"/>
          <w:lang w:val="es-ES_tradnl"/>
        </w:rPr>
        <w:t>El informe señala que los mercados para los productos certificados han crecido rápidamente en la última década, pero que todavía representan solamente una pequeña proporción de la producción agrícola total</w:t>
      </w:r>
      <w:r w:rsidR="001800EA" w:rsidRPr="00F600E5">
        <w:rPr>
          <w:snapToGrid w:val="0"/>
          <w:kern w:val="22"/>
          <w:szCs w:val="22"/>
          <w:lang w:val="es-ES_tradnl"/>
        </w:rPr>
        <w:t xml:space="preserve">; </w:t>
      </w:r>
      <w:r w:rsidR="00F56185" w:rsidRPr="00F600E5">
        <w:rPr>
          <w:snapToGrid w:val="0"/>
          <w:kern w:val="22"/>
          <w:szCs w:val="22"/>
          <w:lang w:val="es-ES_tradnl"/>
        </w:rPr>
        <w:t>identifica un número de opciones concretas que los encar</w:t>
      </w:r>
      <w:r w:rsidR="00F600E5" w:rsidRPr="00F600E5">
        <w:rPr>
          <w:snapToGrid w:val="0"/>
          <w:kern w:val="22"/>
          <w:szCs w:val="22"/>
          <w:lang w:val="es-ES_tradnl"/>
        </w:rPr>
        <w:t xml:space="preserve">gados de formular políticas </w:t>
      </w:r>
      <w:r w:rsidR="00F56185" w:rsidRPr="00F600E5">
        <w:rPr>
          <w:snapToGrid w:val="0"/>
          <w:kern w:val="22"/>
          <w:szCs w:val="22"/>
          <w:lang w:val="es-ES_tradnl"/>
        </w:rPr>
        <w:t xml:space="preserve">pueden adoptar para fomentar una </w:t>
      </w:r>
      <w:r w:rsidR="00F600E5" w:rsidRPr="00F600E5">
        <w:rPr>
          <w:snapToGrid w:val="0"/>
          <w:kern w:val="22"/>
          <w:szCs w:val="22"/>
          <w:lang w:val="es-ES_tradnl"/>
        </w:rPr>
        <w:t>aplicación</w:t>
      </w:r>
      <w:r w:rsidR="00F56185" w:rsidRPr="00F600E5">
        <w:rPr>
          <w:snapToGrid w:val="0"/>
          <w:kern w:val="22"/>
          <w:szCs w:val="22"/>
          <w:lang w:val="es-ES_tradnl"/>
        </w:rPr>
        <w:t xml:space="preserve"> más estratégica y eficaz de las normas voluntarias para la conservación de la diversidad biológica</w:t>
      </w:r>
      <w:r w:rsidR="00084813" w:rsidRPr="00F600E5">
        <w:rPr>
          <w:snapToGrid w:val="0"/>
          <w:kern w:val="22"/>
          <w:szCs w:val="22"/>
          <w:lang w:val="es-ES_tradnl"/>
        </w:rPr>
        <w:t>.</w:t>
      </w:r>
      <w:r w:rsidR="0049225D" w:rsidRPr="00F600E5">
        <w:rPr>
          <w:snapToGrid w:val="0"/>
          <w:kern w:val="22"/>
          <w:szCs w:val="22"/>
          <w:lang w:val="es-ES_tradnl"/>
        </w:rPr>
        <w:t xml:space="preserve"> </w:t>
      </w:r>
    </w:p>
    <w:p w:rsidR="00583760" w:rsidRPr="00F600E5" w:rsidRDefault="00583760" w:rsidP="00583760">
      <w:pPr>
        <w:pStyle w:val="ListParagraph"/>
        <w:spacing w:after="120"/>
        <w:ind w:left="0"/>
        <w:rPr>
          <w:snapToGrid w:val="0"/>
          <w:kern w:val="22"/>
          <w:szCs w:val="22"/>
          <w:lang w:val="es-ES_tradnl"/>
        </w:rPr>
      </w:pPr>
    </w:p>
    <w:p w:rsidR="0049225D" w:rsidRPr="00F600E5" w:rsidRDefault="00F56185" w:rsidP="00583760">
      <w:pPr>
        <w:pStyle w:val="ListParagraph"/>
        <w:numPr>
          <w:ilvl w:val="0"/>
          <w:numId w:val="19"/>
        </w:numPr>
        <w:spacing w:after="120"/>
        <w:ind w:left="0" w:firstLine="0"/>
        <w:rPr>
          <w:snapToGrid w:val="0"/>
          <w:kern w:val="22"/>
          <w:szCs w:val="22"/>
          <w:lang w:val="es-ES_tradnl"/>
        </w:rPr>
      </w:pPr>
      <w:r w:rsidRPr="00F600E5">
        <w:rPr>
          <w:snapToGrid w:val="0"/>
          <w:kern w:val="22"/>
          <w:szCs w:val="22"/>
          <w:lang w:val="es-ES_tradnl"/>
        </w:rPr>
        <w:t xml:space="preserve">En el contexto financiero, </w:t>
      </w:r>
      <w:r w:rsidR="009B68D5" w:rsidRPr="00F600E5">
        <w:rPr>
          <w:snapToGrid w:val="0"/>
          <w:kern w:val="22"/>
          <w:szCs w:val="22"/>
          <w:lang w:val="es-ES_tradnl"/>
        </w:rPr>
        <w:t xml:space="preserve">la prestación de </w:t>
      </w:r>
      <w:r w:rsidRPr="00F600E5">
        <w:rPr>
          <w:snapToGrid w:val="0"/>
          <w:kern w:val="22"/>
          <w:szCs w:val="22"/>
          <w:lang w:val="es-ES_tradnl"/>
        </w:rPr>
        <w:t>financiació</w:t>
      </w:r>
      <w:r w:rsidR="009B68D5" w:rsidRPr="00F600E5">
        <w:rPr>
          <w:snapToGrid w:val="0"/>
          <w:kern w:val="22"/>
          <w:szCs w:val="22"/>
          <w:lang w:val="es-ES_tradnl"/>
        </w:rPr>
        <w:t>n</w:t>
      </w:r>
      <w:r w:rsidRPr="00F600E5">
        <w:rPr>
          <w:snapToGrid w:val="0"/>
          <w:kern w:val="22"/>
          <w:szCs w:val="22"/>
          <w:lang w:val="es-ES_tradnl"/>
        </w:rPr>
        <w:t xml:space="preserve"> pública puede, conforme a los </w:t>
      </w:r>
      <w:r w:rsidR="0032546D" w:rsidRPr="00F600E5">
        <w:rPr>
          <w:snapToGrid w:val="0"/>
          <w:kern w:val="22"/>
          <w:szCs w:val="22"/>
          <w:lang w:val="es-ES_tradnl"/>
        </w:rPr>
        <w:t xml:space="preserve">que se conoce como </w:t>
      </w:r>
      <w:r w:rsidRPr="00F600E5">
        <w:rPr>
          <w:snapToGrid w:val="0"/>
          <w:kern w:val="22"/>
          <w:szCs w:val="22"/>
          <w:lang w:val="es-ES_tradnl"/>
        </w:rPr>
        <w:t>acuerdos de financiación</w:t>
      </w:r>
      <w:r w:rsidR="009B68D5" w:rsidRPr="00F600E5">
        <w:rPr>
          <w:snapToGrid w:val="0"/>
          <w:kern w:val="22"/>
          <w:szCs w:val="22"/>
          <w:lang w:val="es-ES_tradnl"/>
        </w:rPr>
        <w:t xml:space="preserve"> combinados</w:t>
      </w:r>
      <w:r w:rsidR="00084813" w:rsidRPr="00F600E5">
        <w:rPr>
          <w:snapToGrid w:val="0"/>
          <w:kern w:val="22"/>
          <w:szCs w:val="22"/>
          <w:lang w:val="es-ES_tradnl"/>
        </w:rPr>
        <w:t xml:space="preserve">, </w:t>
      </w:r>
      <w:r w:rsidR="009B68D5" w:rsidRPr="00F600E5">
        <w:rPr>
          <w:snapToGrid w:val="0"/>
          <w:kern w:val="22"/>
          <w:szCs w:val="22"/>
          <w:lang w:val="es-ES_tradnl"/>
        </w:rPr>
        <w:t>reducir el riesgo de financiación privada y, de ese modo, incentivar o dar un impulso</w:t>
      </w:r>
      <w:r w:rsidR="006C31DF" w:rsidRPr="00F600E5">
        <w:rPr>
          <w:snapToGrid w:val="0"/>
          <w:kern w:val="22"/>
          <w:szCs w:val="22"/>
          <w:lang w:val="es-ES_tradnl"/>
        </w:rPr>
        <w:t xml:space="preserve"> </w:t>
      </w:r>
      <w:r w:rsidR="009B68D5" w:rsidRPr="00F600E5">
        <w:rPr>
          <w:snapToGrid w:val="0"/>
          <w:kern w:val="22"/>
          <w:szCs w:val="22"/>
          <w:lang w:val="es-ES_tradnl"/>
        </w:rPr>
        <w:t>a la prestación de financiación privada</w:t>
      </w:r>
      <w:r w:rsidR="00084813" w:rsidRPr="00F600E5">
        <w:rPr>
          <w:snapToGrid w:val="0"/>
          <w:kern w:val="22"/>
          <w:szCs w:val="22"/>
          <w:lang w:val="es-ES_tradnl"/>
        </w:rPr>
        <w:t xml:space="preserve">. </w:t>
      </w:r>
      <w:r w:rsidR="009B68D5" w:rsidRPr="00F600E5">
        <w:rPr>
          <w:snapToGrid w:val="0"/>
          <w:kern w:val="22"/>
          <w:szCs w:val="22"/>
          <w:lang w:val="es-ES_tradnl"/>
        </w:rPr>
        <w:t xml:space="preserve">El informe de 2018 del </w:t>
      </w:r>
      <w:r w:rsidR="009B68D5" w:rsidRPr="00F600E5">
        <w:rPr>
          <w:kern w:val="22"/>
          <w:szCs w:val="22"/>
          <w:lang w:val="es-ES_tradnl"/>
        </w:rPr>
        <w:t>Equipo de Tareas Interinstitucional sobre Financiación para el Desarrollo</w:t>
      </w:r>
      <w:r w:rsidR="009B68D5" w:rsidRPr="00F600E5">
        <w:rPr>
          <w:snapToGrid w:val="0"/>
          <w:kern w:val="22"/>
          <w:szCs w:val="22"/>
          <w:lang w:val="es-ES_tradnl"/>
        </w:rPr>
        <w:t xml:space="preserve"> advierte que el uso de financiación privada es má</w:t>
      </w:r>
      <w:r w:rsidR="00B10EC7" w:rsidRPr="00F600E5">
        <w:rPr>
          <w:snapToGrid w:val="0"/>
          <w:kern w:val="22"/>
          <w:szCs w:val="22"/>
          <w:lang w:val="es-ES_tradnl"/>
        </w:rPr>
        <w:t>s</w:t>
      </w:r>
      <w:r w:rsidR="009B68D5" w:rsidRPr="00F600E5">
        <w:rPr>
          <w:snapToGrid w:val="0"/>
          <w:kern w:val="22"/>
          <w:szCs w:val="22"/>
          <w:lang w:val="es-ES_tradnl"/>
        </w:rPr>
        <w:t xml:space="preserve"> problemático en </w:t>
      </w:r>
      <w:r w:rsidR="00B10EC7" w:rsidRPr="00F600E5">
        <w:rPr>
          <w:snapToGrid w:val="0"/>
          <w:kern w:val="22"/>
          <w:szCs w:val="22"/>
          <w:lang w:val="es-ES_tradnl"/>
        </w:rPr>
        <w:t>áreas en los que las consideraciones de equidad y déficits de financiación importantes reducen las perspectivas de beneficio</w:t>
      </w:r>
      <w:r w:rsidR="00084813" w:rsidRPr="00F600E5">
        <w:rPr>
          <w:snapToGrid w:val="0"/>
          <w:kern w:val="22"/>
          <w:szCs w:val="22"/>
          <w:lang w:val="es-ES_tradnl"/>
        </w:rPr>
        <w:t xml:space="preserve">. </w:t>
      </w:r>
      <w:r w:rsidR="00B10EC7" w:rsidRPr="00F600E5">
        <w:rPr>
          <w:snapToGrid w:val="0"/>
          <w:kern w:val="22"/>
          <w:szCs w:val="22"/>
          <w:lang w:val="es-ES_tradnl"/>
        </w:rPr>
        <w:t>El informe señala que las inversiones en los ecosistemas se financiarán en parte públicamente debido al carácter de “bien público”</w:t>
      </w:r>
      <w:r w:rsidR="00583760" w:rsidRPr="00F600E5">
        <w:rPr>
          <w:snapToGrid w:val="0"/>
          <w:kern w:val="22"/>
          <w:szCs w:val="22"/>
          <w:lang w:val="es-ES_tradnl"/>
        </w:rPr>
        <w:t xml:space="preserve"> </w:t>
      </w:r>
      <w:r w:rsidR="00B10EC7" w:rsidRPr="00F600E5">
        <w:rPr>
          <w:snapToGrid w:val="0"/>
          <w:kern w:val="22"/>
          <w:szCs w:val="22"/>
          <w:lang w:val="es-ES_tradnl"/>
        </w:rPr>
        <w:t>del sector</w:t>
      </w:r>
      <w:r w:rsidR="00084813" w:rsidRPr="00F600E5">
        <w:rPr>
          <w:snapToGrid w:val="0"/>
          <w:kern w:val="22"/>
          <w:szCs w:val="22"/>
          <w:lang w:val="es-ES_tradnl"/>
        </w:rPr>
        <w:t xml:space="preserve">. </w:t>
      </w:r>
      <w:r w:rsidR="00B10EC7" w:rsidRPr="00F600E5">
        <w:rPr>
          <w:snapToGrid w:val="0"/>
          <w:kern w:val="22"/>
          <w:szCs w:val="22"/>
          <w:lang w:val="es-ES_tradnl"/>
        </w:rPr>
        <w:t xml:space="preserve">Si bien las iniciativas privadas a veces </w:t>
      </w:r>
      <w:r w:rsidR="0058356B" w:rsidRPr="00F600E5">
        <w:rPr>
          <w:snapToGrid w:val="0"/>
          <w:kern w:val="22"/>
          <w:szCs w:val="22"/>
          <w:lang w:val="es-ES_tradnl"/>
        </w:rPr>
        <w:t>desempeñan un papel</w:t>
      </w:r>
      <w:r w:rsidR="00084813" w:rsidRPr="00F600E5">
        <w:rPr>
          <w:rStyle w:val="FootnoteReference"/>
          <w:snapToGrid w:val="0"/>
          <w:kern w:val="22"/>
          <w:szCs w:val="22"/>
          <w:lang w:val="es-ES_tradnl"/>
        </w:rPr>
        <w:footnoteReference w:id="25"/>
      </w:r>
      <w:r w:rsidR="00084813" w:rsidRPr="00F600E5">
        <w:rPr>
          <w:snapToGrid w:val="0"/>
          <w:kern w:val="22"/>
          <w:szCs w:val="22"/>
          <w:lang w:val="es-ES_tradnl"/>
        </w:rPr>
        <w:t xml:space="preserve"> </w:t>
      </w:r>
      <w:r w:rsidR="00B10EC7" w:rsidRPr="00F600E5">
        <w:rPr>
          <w:snapToGrid w:val="0"/>
          <w:kern w:val="22"/>
          <w:szCs w:val="22"/>
          <w:lang w:val="es-ES_tradnl"/>
        </w:rPr>
        <w:t>y crece el interés por la movilización de la financiación privada</w:t>
      </w:r>
      <w:r w:rsidR="00084813" w:rsidRPr="00F600E5">
        <w:rPr>
          <w:rStyle w:val="FootnoteReference"/>
          <w:snapToGrid w:val="0"/>
          <w:kern w:val="22"/>
          <w:szCs w:val="22"/>
          <w:lang w:val="es-ES_tradnl"/>
        </w:rPr>
        <w:footnoteReference w:id="26"/>
      </w:r>
      <w:r w:rsidR="00B10EC7" w:rsidRPr="00F600E5">
        <w:rPr>
          <w:snapToGrid w:val="0"/>
          <w:kern w:val="22"/>
          <w:szCs w:val="22"/>
          <w:lang w:val="es-ES_tradnl"/>
        </w:rPr>
        <w:t xml:space="preserve">, un desafío </w:t>
      </w:r>
      <w:r w:rsidR="00F600E5" w:rsidRPr="00F600E5">
        <w:rPr>
          <w:snapToGrid w:val="0"/>
          <w:kern w:val="22"/>
          <w:szCs w:val="22"/>
          <w:lang w:val="es-ES_tradnl"/>
        </w:rPr>
        <w:t xml:space="preserve">consiste en </w:t>
      </w:r>
      <w:r w:rsidR="00B10EC7" w:rsidRPr="00F600E5">
        <w:rPr>
          <w:snapToGrid w:val="0"/>
          <w:kern w:val="22"/>
          <w:szCs w:val="22"/>
          <w:lang w:val="es-ES_tradnl"/>
        </w:rPr>
        <w:t>elaborar suficientes propuestas</w:t>
      </w:r>
      <w:r w:rsidR="006C31DF" w:rsidRPr="00F600E5">
        <w:rPr>
          <w:snapToGrid w:val="0"/>
          <w:kern w:val="22"/>
          <w:szCs w:val="22"/>
          <w:lang w:val="es-ES_tradnl"/>
        </w:rPr>
        <w:t xml:space="preserve"> </w:t>
      </w:r>
      <w:r w:rsidR="0058356B" w:rsidRPr="00F600E5">
        <w:rPr>
          <w:snapToGrid w:val="0"/>
          <w:kern w:val="22"/>
          <w:szCs w:val="22"/>
          <w:lang w:val="es-ES_tradnl"/>
        </w:rPr>
        <w:t>que cre</w:t>
      </w:r>
      <w:r w:rsidR="00F600E5" w:rsidRPr="00F600E5">
        <w:rPr>
          <w:snapToGrid w:val="0"/>
          <w:kern w:val="22"/>
          <w:szCs w:val="22"/>
          <w:lang w:val="es-ES_tradnl"/>
        </w:rPr>
        <w:t>en</w:t>
      </w:r>
      <w:r w:rsidR="0058356B" w:rsidRPr="00F600E5">
        <w:rPr>
          <w:snapToGrid w:val="0"/>
          <w:kern w:val="22"/>
          <w:szCs w:val="22"/>
          <w:lang w:val="es-ES_tradnl"/>
        </w:rPr>
        <w:t xml:space="preserve"> flujos de efectivo junto con un impacto cuantificable en la conservación</w:t>
      </w:r>
      <w:r w:rsidR="00084813" w:rsidRPr="00F600E5">
        <w:rPr>
          <w:rStyle w:val="FootnoteReference"/>
          <w:snapToGrid w:val="0"/>
          <w:kern w:val="22"/>
          <w:szCs w:val="22"/>
          <w:lang w:val="es-ES_tradnl"/>
        </w:rPr>
        <w:footnoteReference w:id="27"/>
      </w:r>
      <w:r w:rsidR="0058356B" w:rsidRPr="00F600E5">
        <w:rPr>
          <w:snapToGrid w:val="0"/>
          <w:kern w:val="22"/>
          <w:szCs w:val="22"/>
          <w:lang w:val="es-ES_tradnl"/>
        </w:rPr>
        <w:t>.</w:t>
      </w:r>
    </w:p>
    <w:p w:rsidR="00583760" w:rsidRPr="00F600E5" w:rsidRDefault="00583760" w:rsidP="00583760">
      <w:pPr>
        <w:pStyle w:val="ListParagraph"/>
        <w:spacing w:after="120"/>
        <w:ind w:left="0"/>
        <w:rPr>
          <w:snapToGrid w:val="0"/>
          <w:kern w:val="22"/>
          <w:szCs w:val="22"/>
          <w:lang w:val="es-ES_tradnl"/>
        </w:rPr>
      </w:pPr>
    </w:p>
    <w:p w:rsidR="00084813" w:rsidRPr="00F600E5" w:rsidRDefault="0058356B" w:rsidP="0049225D">
      <w:pPr>
        <w:pStyle w:val="ListParagraph"/>
        <w:numPr>
          <w:ilvl w:val="0"/>
          <w:numId w:val="19"/>
        </w:numPr>
        <w:spacing w:after="120"/>
        <w:ind w:left="0" w:firstLine="0"/>
        <w:rPr>
          <w:snapToGrid w:val="0"/>
          <w:kern w:val="22"/>
          <w:szCs w:val="22"/>
          <w:lang w:val="es-ES_tradnl"/>
        </w:rPr>
      </w:pPr>
      <w:r w:rsidRPr="00F600E5">
        <w:rPr>
          <w:snapToGrid w:val="0"/>
          <w:kern w:val="22"/>
          <w:szCs w:val="22"/>
          <w:lang w:val="es-ES_tradnl"/>
        </w:rPr>
        <w:t>Varias contribuciones destacaron que el propio diseño de las medidas positivas desempeña un papel importante por su eficacia en función de los costos</w:t>
      </w:r>
      <w:r w:rsidR="00084813" w:rsidRPr="00F600E5">
        <w:rPr>
          <w:snapToGrid w:val="0"/>
          <w:kern w:val="22"/>
          <w:szCs w:val="22"/>
          <w:lang w:val="es-ES_tradnl"/>
        </w:rPr>
        <w:t xml:space="preserve">. </w:t>
      </w:r>
      <w:r w:rsidRPr="00F600E5">
        <w:rPr>
          <w:snapToGrid w:val="0"/>
          <w:kern w:val="22"/>
          <w:szCs w:val="22"/>
          <w:lang w:val="es-ES_tradnl"/>
        </w:rPr>
        <w:t xml:space="preserve">Por </w:t>
      </w:r>
      <w:r w:rsidR="00296461" w:rsidRPr="00F600E5">
        <w:rPr>
          <w:snapToGrid w:val="0"/>
          <w:kern w:val="22"/>
          <w:szCs w:val="22"/>
          <w:lang w:val="es-ES_tradnl"/>
        </w:rPr>
        <w:t xml:space="preserve">ejemplo, en pagos de programas, los </w:t>
      </w:r>
      <w:r w:rsidR="00296461" w:rsidRPr="00F600E5">
        <w:rPr>
          <w:snapToGrid w:val="0"/>
          <w:kern w:val="22"/>
          <w:szCs w:val="22"/>
          <w:lang w:val="es-ES_tradnl"/>
        </w:rPr>
        <w:lastRenderedPageBreak/>
        <w:t xml:space="preserve">procedimientos de selección más exigentes, junto con </w:t>
      </w:r>
      <w:r w:rsidR="00F600E5" w:rsidRPr="00F600E5">
        <w:rPr>
          <w:snapToGrid w:val="0"/>
          <w:kern w:val="22"/>
          <w:szCs w:val="22"/>
          <w:lang w:val="es-ES_tradnl"/>
        </w:rPr>
        <w:t xml:space="preserve">los </w:t>
      </w:r>
      <w:r w:rsidR="00296461" w:rsidRPr="00F600E5">
        <w:rPr>
          <w:snapToGrid w:val="0"/>
          <w:kern w:val="22"/>
          <w:szCs w:val="22"/>
          <w:lang w:val="es-ES_tradnl"/>
        </w:rPr>
        <w:t>pagos diferenciados</w:t>
      </w:r>
      <w:r w:rsidR="00084813" w:rsidRPr="00F600E5">
        <w:rPr>
          <w:snapToGrid w:val="0"/>
          <w:kern w:val="22"/>
          <w:szCs w:val="22"/>
          <w:lang w:val="es-ES_tradnl"/>
        </w:rPr>
        <w:t xml:space="preserve">, </w:t>
      </w:r>
      <w:r w:rsidR="00296461" w:rsidRPr="00F600E5">
        <w:rPr>
          <w:snapToGrid w:val="0"/>
          <w:kern w:val="22"/>
          <w:szCs w:val="22"/>
          <w:lang w:val="es-ES_tradnl"/>
        </w:rPr>
        <w:t>pueden contribuir a importantes ahorros en los gastos</w:t>
      </w:r>
      <w:r w:rsidR="00084813" w:rsidRPr="00F600E5">
        <w:rPr>
          <w:snapToGrid w:val="0"/>
          <w:kern w:val="22"/>
          <w:szCs w:val="22"/>
          <w:lang w:val="es-ES_tradnl"/>
        </w:rPr>
        <w:t xml:space="preserve">. </w:t>
      </w:r>
      <w:r w:rsidR="00296461" w:rsidRPr="00F600E5">
        <w:rPr>
          <w:snapToGrid w:val="0"/>
          <w:kern w:val="22"/>
          <w:szCs w:val="22"/>
          <w:lang w:val="es-ES_tradnl"/>
        </w:rPr>
        <w:t>Sin embargo, dado que dichos planes suelen ser sofisticados, es necesario tener en cuenta las limitaciones de diseño y capacidad de supervisión del organismo de ejecución</w:t>
      </w:r>
      <w:r w:rsidR="00084813" w:rsidRPr="00F600E5">
        <w:rPr>
          <w:snapToGrid w:val="0"/>
          <w:kern w:val="22"/>
          <w:szCs w:val="22"/>
          <w:lang w:val="es-ES_tradnl"/>
        </w:rPr>
        <w:t xml:space="preserve">. </w:t>
      </w:r>
      <w:r w:rsidR="00296461" w:rsidRPr="00F600E5">
        <w:rPr>
          <w:snapToGrid w:val="0"/>
          <w:kern w:val="22"/>
          <w:szCs w:val="22"/>
          <w:lang w:val="es-ES_tradnl"/>
        </w:rPr>
        <w:t xml:space="preserve">El </w:t>
      </w:r>
      <w:r w:rsidR="00296461" w:rsidRPr="00F600E5">
        <w:rPr>
          <w:w w:val="105"/>
          <w:szCs w:val="22"/>
          <w:lang w:val="es-ES_tradnl"/>
        </w:rPr>
        <w:t xml:space="preserve">Órgano Subsidiario sobre la Aplicación tal vez desee </w:t>
      </w:r>
      <w:r w:rsidR="0032546D" w:rsidRPr="00F600E5">
        <w:rPr>
          <w:w w:val="105"/>
          <w:szCs w:val="22"/>
          <w:lang w:val="es-ES_tradnl"/>
        </w:rPr>
        <w:t xml:space="preserve">recomendar </w:t>
      </w:r>
      <w:r w:rsidR="00296461" w:rsidRPr="00F600E5">
        <w:rPr>
          <w:w w:val="105"/>
          <w:szCs w:val="22"/>
          <w:lang w:val="es-ES_tradnl"/>
        </w:rPr>
        <w:t xml:space="preserve">a la </w:t>
      </w:r>
      <w:r w:rsidR="006C5FC8" w:rsidRPr="00F600E5">
        <w:rPr>
          <w:snapToGrid w:val="0"/>
          <w:kern w:val="22"/>
          <w:szCs w:val="22"/>
          <w:lang w:val="es-ES_tradnl"/>
        </w:rPr>
        <w:t>Conferencia de las Partes</w:t>
      </w:r>
      <w:r w:rsidR="00084813" w:rsidRPr="00F600E5">
        <w:rPr>
          <w:snapToGrid w:val="0"/>
          <w:kern w:val="22"/>
          <w:szCs w:val="22"/>
          <w:lang w:val="es-ES_tradnl"/>
        </w:rPr>
        <w:t xml:space="preserve"> </w:t>
      </w:r>
      <w:r w:rsidR="00296461" w:rsidRPr="00F600E5">
        <w:rPr>
          <w:snapToGrid w:val="0"/>
          <w:kern w:val="22"/>
          <w:szCs w:val="22"/>
          <w:lang w:val="es-ES_tradnl"/>
        </w:rPr>
        <w:t xml:space="preserve">que invite a las Partes y organizaciones competentes que estén en condiciones de hacerlo, </w:t>
      </w:r>
      <w:r w:rsidR="001F5F0B" w:rsidRPr="00F600E5">
        <w:rPr>
          <w:snapToGrid w:val="0"/>
          <w:kern w:val="22"/>
          <w:szCs w:val="22"/>
          <w:lang w:val="es-ES_tradnl"/>
        </w:rPr>
        <w:t xml:space="preserve">a </w:t>
      </w:r>
      <w:r w:rsidR="00F600E5" w:rsidRPr="00F600E5">
        <w:rPr>
          <w:snapToGrid w:val="0"/>
          <w:kern w:val="22"/>
          <w:szCs w:val="22"/>
          <w:lang w:val="es-ES_tradnl"/>
        </w:rPr>
        <w:t xml:space="preserve">asistir a </w:t>
      </w:r>
      <w:r w:rsidR="00296461" w:rsidRPr="00F600E5">
        <w:rPr>
          <w:snapToGrid w:val="0"/>
          <w:kern w:val="22"/>
          <w:szCs w:val="22"/>
          <w:lang w:val="es-ES_tradnl"/>
        </w:rPr>
        <w:t xml:space="preserve">las Partes que son países en desarrollo y </w:t>
      </w:r>
      <w:r w:rsidR="00F600E5" w:rsidRPr="00F600E5">
        <w:rPr>
          <w:snapToGrid w:val="0"/>
          <w:kern w:val="22"/>
          <w:szCs w:val="22"/>
          <w:lang w:val="es-ES_tradnl"/>
        </w:rPr>
        <w:t xml:space="preserve">a </w:t>
      </w:r>
      <w:r w:rsidR="00296461" w:rsidRPr="00F600E5">
        <w:rPr>
          <w:snapToGrid w:val="0"/>
          <w:kern w:val="22"/>
          <w:szCs w:val="22"/>
          <w:lang w:val="es-ES_tradnl"/>
        </w:rPr>
        <w:t xml:space="preserve">las Partes con economías </w:t>
      </w:r>
      <w:r w:rsidR="00F600E5" w:rsidRPr="00F600E5">
        <w:rPr>
          <w:snapToGrid w:val="0"/>
          <w:kern w:val="22"/>
          <w:szCs w:val="22"/>
          <w:lang w:val="es-ES_tradnl"/>
        </w:rPr>
        <w:t xml:space="preserve">para </w:t>
      </w:r>
      <w:r w:rsidR="00DA00FD" w:rsidRPr="00F600E5">
        <w:rPr>
          <w:snapToGrid w:val="0"/>
          <w:kern w:val="22"/>
          <w:szCs w:val="22"/>
          <w:lang w:val="es-ES_tradnl"/>
        </w:rPr>
        <w:t xml:space="preserve">crear </w:t>
      </w:r>
      <w:r w:rsidR="00296461" w:rsidRPr="00F600E5">
        <w:rPr>
          <w:snapToGrid w:val="0"/>
          <w:kern w:val="22"/>
          <w:szCs w:val="22"/>
          <w:lang w:val="es-ES_tradnl"/>
        </w:rPr>
        <w:t>dicha capacidad</w:t>
      </w:r>
      <w:r w:rsidR="00084813" w:rsidRPr="00F600E5">
        <w:rPr>
          <w:snapToGrid w:val="0"/>
          <w:kern w:val="22"/>
          <w:szCs w:val="22"/>
          <w:lang w:val="es-ES_tradnl"/>
        </w:rPr>
        <w:t xml:space="preserve">. </w:t>
      </w:r>
    </w:p>
    <w:p w:rsidR="00084813" w:rsidRPr="00F600E5" w:rsidRDefault="006E6D40" w:rsidP="00B840DD">
      <w:pPr>
        <w:keepNext/>
        <w:suppressLineNumbers/>
        <w:suppressAutoHyphens/>
        <w:spacing w:before="240" w:after="120"/>
        <w:ind w:left="1701" w:hanging="992"/>
        <w:jc w:val="left"/>
        <w:outlineLvl w:val="0"/>
        <w:rPr>
          <w:b/>
          <w:caps/>
          <w:snapToGrid w:val="0"/>
          <w:kern w:val="22"/>
          <w:szCs w:val="22"/>
          <w:lang w:val="es-ES_tradnl"/>
        </w:rPr>
      </w:pPr>
      <w:r w:rsidRPr="00F600E5">
        <w:rPr>
          <w:b/>
          <w:caps/>
          <w:snapToGrid w:val="0"/>
          <w:kern w:val="22"/>
          <w:szCs w:val="22"/>
          <w:lang w:val="es-ES_tradnl"/>
        </w:rPr>
        <w:t>I</w:t>
      </w:r>
      <w:r w:rsidR="00084813" w:rsidRPr="00F600E5">
        <w:rPr>
          <w:b/>
          <w:caps/>
          <w:snapToGrid w:val="0"/>
          <w:kern w:val="22"/>
          <w:szCs w:val="22"/>
          <w:lang w:val="es-ES_tradnl"/>
        </w:rPr>
        <w:t>II.</w:t>
      </w:r>
      <w:r w:rsidR="00084813" w:rsidRPr="00F600E5">
        <w:rPr>
          <w:b/>
          <w:caps/>
          <w:snapToGrid w:val="0"/>
          <w:kern w:val="22"/>
          <w:szCs w:val="22"/>
          <w:lang w:val="es-ES_tradnl"/>
        </w:rPr>
        <w:tab/>
      </w:r>
      <w:r w:rsidR="001F735C" w:rsidRPr="00F600E5">
        <w:rPr>
          <w:b/>
          <w:caps/>
          <w:snapToGrid w:val="0"/>
          <w:kern w:val="22"/>
          <w:szCs w:val="22"/>
          <w:lang w:val="es-ES_tradnl"/>
        </w:rPr>
        <w:t xml:space="preserve">CONSIDERACIONES RELACIONADAS CON EL COMPONENTE DE MOVILIZACIÓN DE RECURSOS DEL MARCO </w:t>
      </w:r>
      <w:r w:rsidR="00F600E5" w:rsidRPr="00F600E5">
        <w:rPr>
          <w:b/>
          <w:caps/>
          <w:snapToGrid w:val="0"/>
          <w:kern w:val="22"/>
          <w:szCs w:val="22"/>
          <w:lang w:val="es-ES_tradnl"/>
        </w:rPr>
        <w:t xml:space="preserve">PARA </w:t>
      </w:r>
      <w:r w:rsidR="007E392F" w:rsidRPr="00F600E5">
        <w:rPr>
          <w:b/>
          <w:caps/>
          <w:snapToGrid w:val="0"/>
          <w:kern w:val="22"/>
          <w:szCs w:val="22"/>
          <w:lang w:val="es-ES_tradnl"/>
        </w:rPr>
        <w:t xml:space="preserve">LA </w:t>
      </w:r>
      <w:r w:rsidR="001F735C" w:rsidRPr="00F600E5">
        <w:rPr>
          <w:b/>
          <w:caps/>
          <w:snapToGrid w:val="0"/>
          <w:kern w:val="22"/>
          <w:szCs w:val="22"/>
          <w:lang w:val="es-ES_tradnl"/>
        </w:rPr>
        <w:t xml:space="preserve">DIVERSIDAD BIOLÓGICA </w:t>
      </w:r>
      <w:r w:rsidR="007E392F" w:rsidRPr="00F600E5">
        <w:rPr>
          <w:b/>
          <w:caps/>
          <w:snapToGrid w:val="0"/>
          <w:kern w:val="22"/>
          <w:szCs w:val="22"/>
          <w:lang w:val="es-ES_tradnl"/>
        </w:rPr>
        <w:t>posterior a 2020</w:t>
      </w:r>
    </w:p>
    <w:p w:rsidR="007A4093" w:rsidRPr="00F600E5" w:rsidRDefault="007A4093" w:rsidP="0049225D">
      <w:pPr>
        <w:pStyle w:val="ListParagraph"/>
        <w:numPr>
          <w:ilvl w:val="0"/>
          <w:numId w:val="19"/>
        </w:numPr>
        <w:spacing w:after="120"/>
        <w:ind w:left="0" w:firstLine="0"/>
        <w:rPr>
          <w:snapToGrid w:val="0"/>
          <w:kern w:val="22"/>
          <w:szCs w:val="22"/>
          <w:lang w:val="es-ES_tradnl"/>
        </w:rPr>
      </w:pPr>
      <w:r w:rsidRPr="00F600E5">
        <w:rPr>
          <w:snapToGrid w:val="0"/>
          <w:kern w:val="22"/>
          <w:szCs w:val="22"/>
          <w:lang w:val="es-ES_tradnl"/>
        </w:rPr>
        <w:t xml:space="preserve">El actual Plan Estratégico para la Diversidad Biológica </w:t>
      </w:r>
      <w:r w:rsidR="0032546D" w:rsidRPr="00F600E5">
        <w:rPr>
          <w:snapToGrid w:val="0"/>
          <w:kern w:val="22"/>
          <w:szCs w:val="22"/>
          <w:lang w:val="es-ES_tradnl"/>
        </w:rPr>
        <w:t xml:space="preserve">2011-2020 </w:t>
      </w:r>
      <w:r w:rsidRPr="00F600E5">
        <w:rPr>
          <w:snapToGrid w:val="0"/>
          <w:kern w:val="22"/>
          <w:szCs w:val="22"/>
          <w:lang w:val="es-ES_tradnl"/>
        </w:rPr>
        <w:t xml:space="preserve">y sus 20 Metas de Aichi para la Diversidad Biológica expirará en </w:t>
      </w:r>
      <w:r w:rsidR="00084813" w:rsidRPr="00F600E5">
        <w:rPr>
          <w:snapToGrid w:val="0"/>
          <w:kern w:val="22"/>
          <w:szCs w:val="22"/>
          <w:lang w:val="es-ES_tradnl"/>
        </w:rPr>
        <w:t>2020</w:t>
      </w:r>
      <w:r w:rsidRPr="00F600E5">
        <w:rPr>
          <w:snapToGrid w:val="0"/>
          <w:kern w:val="22"/>
          <w:szCs w:val="22"/>
          <w:lang w:val="es-ES_tradnl"/>
        </w:rPr>
        <w:t xml:space="preserve">, </w:t>
      </w:r>
      <w:r w:rsidR="00F600E5" w:rsidRPr="00F600E5">
        <w:rPr>
          <w:snapToGrid w:val="0"/>
          <w:kern w:val="22"/>
          <w:szCs w:val="22"/>
          <w:lang w:val="es-ES_tradnl"/>
        </w:rPr>
        <w:t xml:space="preserve">y </w:t>
      </w:r>
      <w:r w:rsidRPr="00F600E5">
        <w:rPr>
          <w:snapToGrid w:val="0"/>
          <w:kern w:val="22"/>
          <w:szCs w:val="22"/>
          <w:lang w:val="es-ES_tradnl"/>
        </w:rPr>
        <w:t xml:space="preserve">se ha empezado a trabajar </w:t>
      </w:r>
      <w:r w:rsidR="0032546D" w:rsidRPr="00F600E5">
        <w:rPr>
          <w:snapToGrid w:val="0"/>
          <w:kern w:val="22"/>
          <w:szCs w:val="22"/>
          <w:lang w:val="es-ES_tradnl"/>
        </w:rPr>
        <w:t xml:space="preserve">en </w:t>
      </w:r>
      <w:r w:rsidRPr="00F600E5">
        <w:rPr>
          <w:snapToGrid w:val="0"/>
          <w:kern w:val="22"/>
          <w:szCs w:val="22"/>
          <w:lang w:val="es-ES_tradnl"/>
        </w:rPr>
        <w:t xml:space="preserve">un </w:t>
      </w:r>
      <w:r w:rsidR="000F25E1" w:rsidRPr="00F600E5">
        <w:rPr>
          <w:snapToGrid w:val="0"/>
          <w:kern w:val="22"/>
          <w:szCs w:val="22"/>
          <w:lang w:val="es-ES_tradnl"/>
        </w:rPr>
        <w:t>marco mundial para</w:t>
      </w:r>
      <w:r w:rsidRPr="00F600E5">
        <w:rPr>
          <w:snapToGrid w:val="0"/>
          <w:kern w:val="22"/>
          <w:szCs w:val="22"/>
          <w:lang w:val="es-ES_tradnl"/>
        </w:rPr>
        <w:t xml:space="preserve"> la diversidad biológica posterior a 2020</w:t>
      </w:r>
      <w:r w:rsidR="00084813" w:rsidRPr="00F600E5">
        <w:rPr>
          <w:snapToGrid w:val="0"/>
          <w:kern w:val="22"/>
          <w:szCs w:val="22"/>
          <w:lang w:val="es-ES_tradnl"/>
        </w:rPr>
        <w:t xml:space="preserve">. </w:t>
      </w:r>
      <w:r w:rsidR="0032546D" w:rsidRPr="00F600E5">
        <w:rPr>
          <w:snapToGrid w:val="0"/>
          <w:kern w:val="22"/>
          <w:szCs w:val="22"/>
          <w:lang w:val="es-ES_tradnl"/>
        </w:rPr>
        <w:t>La nota del Secretario Ejecutivo sobre la preparación del</w:t>
      </w:r>
      <w:r w:rsidR="0032546D" w:rsidRPr="00F600E5">
        <w:rPr>
          <w:kern w:val="22"/>
          <w:lang w:val="es-ES_tradnl"/>
        </w:rPr>
        <w:t xml:space="preserve"> instrumento sucesor del Plan Estratégico para la Diversidad Biológica 2011-2020 (</w:t>
      </w:r>
      <w:r w:rsidR="00084813" w:rsidRPr="00F600E5">
        <w:rPr>
          <w:snapToGrid w:val="0"/>
          <w:kern w:val="22"/>
          <w:szCs w:val="22"/>
          <w:lang w:val="es-ES_tradnl"/>
        </w:rPr>
        <w:t>CBD/SBI/2/17</w:t>
      </w:r>
      <w:r w:rsidR="0032546D" w:rsidRPr="00F600E5">
        <w:rPr>
          <w:snapToGrid w:val="0"/>
          <w:kern w:val="22"/>
          <w:szCs w:val="22"/>
          <w:lang w:val="es-ES_tradnl"/>
        </w:rPr>
        <w:t>)</w:t>
      </w:r>
      <w:r w:rsidR="00084813" w:rsidRPr="00F600E5">
        <w:rPr>
          <w:snapToGrid w:val="0"/>
          <w:kern w:val="22"/>
          <w:szCs w:val="22"/>
          <w:lang w:val="es-ES_tradnl"/>
        </w:rPr>
        <w:t xml:space="preserve"> </w:t>
      </w:r>
      <w:r w:rsidRPr="00F600E5">
        <w:rPr>
          <w:snapToGrid w:val="0"/>
          <w:kern w:val="22"/>
          <w:szCs w:val="22"/>
          <w:lang w:val="es-ES_tradnl"/>
        </w:rPr>
        <w:t xml:space="preserve">ofrece propuestas de modalidades de un proceso para preparar el </w:t>
      </w:r>
      <w:r w:rsidR="000F25E1" w:rsidRPr="00F600E5">
        <w:rPr>
          <w:snapToGrid w:val="0"/>
          <w:kern w:val="22"/>
          <w:szCs w:val="22"/>
          <w:lang w:val="es-ES_tradnl"/>
        </w:rPr>
        <w:t>marco mundial para</w:t>
      </w:r>
      <w:r w:rsidRPr="00F600E5">
        <w:rPr>
          <w:snapToGrid w:val="0"/>
          <w:kern w:val="22"/>
          <w:szCs w:val="22"/>
          <w:lang w:val="es-ES_tradnl"/>
        </w:rPr>
        <w:t xml:space="preserve"> la diversidad biológica posterior a 2020</w:t>
      </w:r>
      <w:r w:rsidR="00084813" w:rsidRPr="00F600E5">
        <w:rPr>
          <w:snapToGrid w:val="0"/>
          <w:kern w:val="22"/>
          <w:szCs w:val="22"/>
          <w:lang w:val="es-ES_tradnl"/>
        </w:rPr>
        <w:t xml:space="preserve">, </w:t>
      </w:r>
      <w:r w:rsidRPr="00F600E5">
        <w:rPr>
          <w:snapToGrid w:val="0"/>
          <w:kern w:val="22"/>
          <w:szCs w:val="22"/>
          <w:lang w:val="es-ES_tradnl"/>
        </w:rPr>
        <w:t xml:space="preserve">para someterlo a la consideración del Órgano Subsidiario con miras a su adopción por parte de la </w:t>
      </w:r>
      <w:r w:rsidR="006C5FC8" w:rsidRPr="00F600E5">
        <w:rPr>
          <w:snapToGrid w:val="0"/>
          <w:kern w:val="22"/>
          <w:szCs w:val="22"/>
          <w:lang w:val="es-ES_tradnl"/>
        </w:rPr>
        <w:t>Conferencia de las Partes</w:t>
      </w:r>
      <w:r w:rsidR="00084813" w:rsidRPr="00F600E5">
        <w:rPr>
          <w:snapToGrid w:val="0"/>
          <w:kern w:val="22"/>
          <w:szCs w:val="22"/>
          <w:lang w:val="es-ES_tradnl"/>
        </w:rPr>
        <w:t xml:space="preserve"> </w:t>
      </w:r>
      <w:r w:rsidRPr="00F600E5">
        <w:rPr>
          <w:snapToGrid w:val="0"/>
          <w:kern w:val="22"/>
          <w:szCs w:val="22"/>
          <w:lang w:val="es-ES_tradnl"/>
        </w:rPr>
        <w:t>en su 14ª reunión</w:t>
      </w:r>
      <w:r w:rsidR="00084813" w:rsidRPr="00F600E5">
        <w:rPr>
          <w:snapToGrid w:val="0"/>
          <w:kern w:val="22"/>
          <w:szCs w:val="22"/>
          <w:lang w:val="es-ES_tradnl"/>
        </w:rPr>
        <w:t xml:space="preserve">. </w:t>
      </w:r>
      <w:r w:rsidRPr="00F600E5">
        <w:rPr>
          <w:snapToGrid w:val="0"/>
          <w:kern w:val="22"/>
          <w:szCs w:val="22"/>
          <w:lang w:val="es-ES_tradnl"/>
        </w:rPr>
        <w:t xml:space="preserve">El debate a continuación resume las novedades pertinentes </w:t>
      </w:r>
      <w:r w:rsidR="00F600E5" w:rsidRPr="00F600E5">
        <w:rPr>
          <w:snapToGrid w:val="0"/>
          <w:kern w:val="22"/>
          <w:szCs w:val="22"/>
          <w:lang w:val="es-ES_tradnl"/>
        </w:rPr>
        <w:t>a</w:t>
      </w:r>
      <w:r w:rsidRPr="00F600E5">
        <w:rPr>
          <w:snapToGrid w:val="0"/>
          <w:kern w:val="22"/>
          <w:szCs w:val="22"/>
          <w:lang w:val="es-ES_tradnl"/>
        </w:rPr>
        <w:t xml:space="preserve"> la labor sobre la movilización de recursos con arreglo al Plan Estratégico para la Diversidad Biológica </w:t>
      </w:r>
      <w:r w:rsidR="00084813" w:rsidRPr="00F600E5">
        <w:rPr>
          <w:snapToGrid w:val="0"/>
          <w:kern w:val="22"/>
          <w:szCs w:val="22"/>
          <w:lang w:val="es-ES_tradnl"/>
        </w:rPr>
        <w:t xml:space="preserve">2011-2020, </w:t>
      </w:r>
      <w:r w:rsidRPr="00F600E5">
        <w:rPr>
          <w:snapToGrid w:val="0"/>
          <w:kern w:val="22"/>
          <w:szCs w:val="22"/>
          <w:lang w:val="es-ES_tradnl"/>
        </w:rPr>
        <w:t>y consideraciones para</w:t>
      </w:r>
      <w:r w:rsidR="006C31DF" w:rsidRPr="00F600E5">
        <w:rPr>
          <w:snapToGrid w:val="0"/>
          <w:kern w:val="22"/>
          <w:szCs w:val="22"/>
          <w:lang w:val="es-ES_tradnl"/>
        </w:rPr>
        <w:t xml:space="preserve"> </w:t>
      </w:r>
      <w:r w:rsidRPr="00F600E5">
        <w:rPr>
          <w:snapToGrid w:val="0"/>
          <w:kern w:val="22"/>
          <w:szCs w:val="22"/>
          <w:lang w:val="es-ES_tradnl"/>
        </w:rPr>
        <w:t xml:space="preserve">el marco </w:t>
      </w:r>
      <w:r w:rsidR="00F600E5" w:rsidRPr="00F600E5">
        <w:rPr>
          <w:snapToGrid w:val="0"/>
          <w:kern w:val="22"/>
          <w:szCs w:val="22"/>
          <w:lang w:val="es-ES_tradnl"/>
        </w:rPr>
        <w:t xml:space="preserve">para </w:t>
      </w:r>
      <w:r w:rsidR="00F86C0E" w:rsidRPr="00F600E5">
        <w:rPr>
          <w:snapToGrid w:val="0"/>
          <w:kern w:val="22"/>
          <w:szCs w:val="22"/>
          <w:lang w:val="es-ES_tradnl"/>
        </w:rPr>
        <w:t xml:space="preserve">la </w:t>
      </w:r>
      <w:r w:rsidRPr="00F600E5">
        <w:rPr>
          <w:snapToGrid w:val="0"/>
          <w:kern w:val="22"/>
          <w:szCs w:val="22"/>
          <w:lang w:val="es-ES_tradnl"/>
        </w:rPr>
        <w:t>diversidad biol</w:t>
      </w:r>
      <w:r w:rsidR="00F86C0E" w:rsidRPr="00F600E5">
        <w:rPr>
          <w:snapToGrid w:val="0"/>
          <w:kern w:val="22"/>
          <w:szCs w:val="22"/>
          <w:lang w:val="es-ES_tradnl"/>
        </w:rPr>
        <w:t>ógica posterior a 2020</w:t>
      </w:r>
      <w:r w:rsidR="00084813" w:rsidRPr="00F600E5">
        <w:rPr>
          <w:snapToGrid w:val="0"/>
          <w:kern w:val="22"/>
          <w:szCs w:val="22"/>
          <w:lang w:val="es-ES_tradnl"/>
        </w:rPr>
        <w:t>.</w:t>
      </w:r>
      <w:bookmarkStart w:id="0" w:name="_Ref511742343"/>
    </w:p>
    <w:p w:rsidR="00583760" w:rsidRPr="00F600E5" w:rsidRDefault="00583760" w:rsidP="00583760">
      <w:pPr>
        <w:pStyle w:val="ListParagraph"/>
        <w:spacing w:after="120"/>
        <w:ind w:left="0"/>
        <w:rPr>
          <w:snapToGrid w:val="0"/>
          <w:kern w:val="22"/>
          <w:szCs w:val="22"/>
          <w:lang w:val="es-ES_tradnl"/>
        </w:rPr>
      </w:pPr>
    </w:p>
    <w:p w:rsidR="0049225D" w:rsidRPr="00F600E5" w:rsidRDefault="008040B0" w:rsidP="0049225D">
      <w:pPr>
        <w:pStyle w:val="ListParagraph"/>
        <w:numPr>
          <w:ilvl w:val="0"/>
          <w:numId w:val="19"/>
        </w:numPr>
        <w:spacing w:after="120"/>
        <w:ind w:left="0" w:firstLine="0"/>
        <w:rPr>
          <w:snapToGrid w:val="0"/>
          <w:kern w:val="22"/>
          <w:szCs w:val="22"/>
          <w:lang w:val="es-ES_tradnl"/>
        </w:rPr>
      </w:pPr>
      <w:r w:rsidRPr="00F600E5">
        <w:rPr>
          <w:snapToGrid w:val="0"/>
          <w:kern w:val="22"/>
          <w:szCs w:val="22"/>
          <w:lang w:val="es-ES_tradnl"/>
        </w:rPr>
        <w:t>El actual Plan Estratégico incluye un marco para la movilización de recursos financiero</w:t>
      </w:r>
      <w:r w:rsidR="00F600E5" w:rsidRPr="00F600E5">
        <w:rPr>
          <w:snapToGrid w:val="0"/>
          <w:kern w:val="22"/>
          <w:szCs w:val="22"/>
          <w:lang w:val="es-ES_tradnl"/>
        </w:rPr>
        <w:t>s</w:t>
      </w:r>
      <w:r w:rsidRPr="00F600E5">
        <w:rPr>
          <w:snapToGrid w:val="0"/>
          <w:kern w:val="22"/>
          <w:szCs w:val="22"/>
          <w:lang w:val="es-ES_tradnl"/>
        </w:rPr>
        <w:t xml:space="preserve"> para su aplicación eficaz</w:t>
      </w:r>
      <w:r w:rsidR="00084813" w:rsidRPr="00F600E5">
        <w:rPr>
          <w:snapToGrid w:val="0"/>
          <w:kern w:val="22"/>
          <w:szCs w:val="22"/>
          <w:lang w:val="es-ES_tradnl"/>
        </w:rPr>
        <w:t xml:space="preserve">. </w:t>
      </w:r>
      <w:r w:rsidRPr="00F600E5">
        <w:rPr>
          <w:snapToGrid w:val="0"/>
          <w:kern w:val="22"/>
          <w:szCs w:val="22"/>
          <w:lang w:val="es-ES_tradnl"/>
        </w:rPr>
        <w:t>Regido en general por el artículo 20 del Convenio</w:t>
      </w:r>
      <w:r w:rsidR="00084813" w:rsidRPr="00F600E5">
        <w:rPr>
          <w:snapToGrid w:val="0"/>
          <w:kern w:val="22"/>
          <w:szCs w:val="22"/>
          <w:lang w:val="es-ES_tradnl"/>
        </w:rPr>
        <w:t xml:space="preserve">, </w:t>
      </w:r>
      <w:r w:rsidRPr="00F600E5">
        <w:rPr>
          <w:snapToGrid w:val="0"/>
          <w:kern w:val="22"/>
          <w:szCs w:val="22"/>
          <w:lang w:val="es-ES_tradnl"/>
        </w:rPr>
        <w:t xml:space="preserve">dicho marcho </w:t>
      </w:r>
      <w:r w:rsidR="006829A8" w:rsidRPr="00F600E5">
        <w:rPr>
          <w:snapToGrid w:val="0"/>
          <w:kern w:val="22"/>
          <w:szCs w:val="22"/>
          <w:lang w:val="es-ES_tradnl"/>
        </w:rPr>
        <w:t>comprende</w:t>
      </w:r>
      <w:r w:rsidRPr="00F600E5">
        <w:rPr>
          <w:snapToGrid w:val="0"/>
          <w:kern w:val="22"/>
          <w:szCs w:val="22"/>
          <w:lang w:val="es-ES_tradnl"/>
        </w:rPr>
        <w:t xml:space="preserve"> la Meta 20 de Aichi para la Diversidad Biológica</w:t>
      </w:r>
      <w:r w:rsidR="00084813" w:rsidRPr="00F600E5">
        <w:rPr>
          <w:snapToGrid w:val="0"/>
          <w:kern w:val="22"/>
          <w:szCs w:val="22"/>
          <w:lang w:val="es-ES_tradnl"/>
        </w:rPr>
        <w:t xml:space="preserve">, </w:t>
      </w:r>
      <w:r w:rsidRPr="00F600E5">
        <w:rPr>
          <w:snapToGrid w:val="0"/>
          <w:kern w:val="22"/>
          <w:szCs w:val="22"/>
          <w:lang w:val="es-ES_tradnl"/>
        </w:rPr>
        <w:t xml:space="preserve">las metas para la movilización de recursos adoptadas en la </w:t>
      </w:r>
      <w:r w:rsidR="007E392F" w:rsidRPr="00F600E5">
        <w:rPr>
          <w:snapToGrid w:val="0"/>
          <w:kern w:val="22"/>
          <w:szCs w:val="22"/>
          <w:lang w:val="es-ES_tradnl"/>
        </w:rPr>
        <w:t>decisión</w:t>
      </w:r>
      <w:r w:rsidR="00084813" w:rsidRPr="00F600E5">
        <w:rPr>
          <w:snapToGrid w:val="0"/>
          <w:kern w:val="22"/>
          <w:szCs w:val="22"/>
          <w:lang w:val="es-ES_tradnl"/>
        </w:rPr>
        <w:t xml:space="preserve"> XII/3, </w:t>
      </w:r>
      <w:r w:rsidR="006829A8" w:rsidRPr="00F600E5">
        <w:rPr>
          <w:snapToGrid w:val="0"/>
          <w:kern w:val="22"/>
          <w:szCs w:val="22"/>
          <w:lang w:val="es-ES_tradnl"/>
        </w:rPr>
        <w:t>y la presentación de informes financieros conexos</w:t>
      </w:r>
      <w:r w:rsidR="00084813" w:rsidRPr="00F600E5">
        <w:rPr>
          <w:snapToGrid w:val="0"/>
          <w:kern w:val="22"/>
          <w:szCs w:val="22"/>
          <w:lang w:val="es-ES_tradnl"/>
        </w:rPr>
        <w:t xml:space="preserve">, </w:t>
      </w:r>
      <w:r w:rsidR="006829A8" w:rsidRPr="00F600E5">
        <w:rPr>
          <w:snapToGrid w:val="0"/>
          <w:kern w:val="22"/>
          <w:szCs w:val="22"/>
          <w:lang w:val="es-ES_tradnl"/>
        </w:rPr>
        <w:t>que se trata</w:t>
      </w:r>
      <w:r w:rsidR="00F600E5" w:rsidRPr="00F600E5">
        <w:rPr>
          <w:snapToGrid w:val="0"/>
          <w:kern w:val="22"/>
          <w:szCs w:val="22"/>
          <w:lang w:val="es-ES_tradnl"/>
        </w:rPr>
        <w:t>n</w:t>
      </w:r>
      <w:r w:rsidR="006829A8" w:rsidRPr="00F600E5">
        <w:rPr>
          <w:snapToGrid w:val="0"/>
          <w:kern w:val="22"/>
          <w:szCs w:val="22"/>
          <w:lang w:val="es-ES_tradnl"/>
        </w:rPr>
        <w:t xml:space="preserve"> en la sección </w:t>
      </w:r>
      <w:r w:rsidR="00084813" w:rsidRPr="00F600E5">
        <w:rPr>
          <w:snapToGrid w:val="0"/>
          <w:kern w:val="22"/>
          <w:szCs w:val="22"/>
          <w:lang w:val="es-ES_tradnl"/>
        </w:rPr>
        <w:t xml:space="preserve">I </w:t>
      </w:r>
      <w:r w:rsidR="00A46AD9" w:rsidRPr="00F600E5">
        <w:rPr>
          <w:i/>
          <w:snapToGrid w:val="0"/>
          <w:kern w:val="22"/>
          <w:szCs w:val="22"/>
          <w:lang w:val="es-ES_tradnl"/>
        </w:rPr>
        <w:t>supra</w:t>
      </w:r>
      <w:r w:rsidR="00084813" w:rsidRPr="00F600E5">
        <w:rPr>
          <w:snapToGrid w:val="0"/>
          <w:kern w:val="22"/>
          <w:szCs w:val="22"/>
          <w:lang w:val="es-ES_tradnl"/>
        </w:rPr>
        <w:t xml:space="preserve">. </w:t>
      </w:r>
      <w:r w:rsidR="006829A8" w:rsidRPr="00F600E5">
        <w:rPr>
          <w:snapToGrid w:val="0"/>
          <w:kern w:val="22"/>
          <w:szCs w:val="22"/>
          <w:lang w:val="es-ES_tradnl"/>
        </w:rPr>
        <w:t>Además, la Meta 20 de Aichi para la Diversidad Biológica hace referencia a la estrategia para la movilización de recursos, que fue adoptada por la</w:t>
      </w:r>
      <w:r w:rsidR="006C5FC8" w:rsidRPr="00F600E5">
        <w:rPr>
          <w:snapToGrid w:val="0"/>
          <w:kern w:val="22"/>
          <w:szCs w:val="22"/>
          <w:lang w:val="es-ES_tradnl"/>
        </w:rPr>
        <w:t xml:space="preserve"> Conferencia de las Partes</w:t>
      </w:r>
      <w:r w:rsidR="00084813" w:rsidRPr="00F600E5">
        <w:rPr>
          <w:snapToGrid w:val="0"/>
          <w:kern w:val="22"/>
          <w:szCs w:val="22"/>
          <w:lang w:val="es-ES_tradnl"/>
        </w:rPr>
        <w:t xml:space="preserve"> </w:t>
      </w:r>
      <w:r w:rsidR="006829A8" w:rsidRPr="00F600E5">
        <w:rPr>
          <w:snapToGrid w:val="0"/>
          <w:kern w:val="22"/>
          <w:szCs w:val="22"/>
          <w:lang w:val="es-ES_tradnl"/>
        </w:rPr>
        <w:t>en su novena reunión</w:t>
      </w:r>
      <w:r w:rsidR="00084813" w:rsidRPr="00F600E5">
        <w:rPr>
          <w:snapToGrid w:val="0"/>
          <w:kern w:val="22"/>
          <w:szCs w:val="22"/>
          <w:lang w:val="es-ES_tradnl"/>
        </w:rPr>
        <w:t xml:space="preserve">, </w:t>
      </w:r>
      <w:r w:rsidR="006829A8" w:rsidRPr="00F600E5">
        <w:rPr>
          <w:snapToGrid w:val="0"/>
          <w:kern w:val="22"/>
          <w:szCs w:val="22"/>
          <w:lang w:val="es-ES_tradnl"/>
        </w:rPr>
        <w:t>e</w:t>
      </w:r>
      <w:r w:rsidR="00084813" w:rsidRPr="00F600E5">
        <w:rPr>
          <w:snapToGrid w:val="0"/>
          <w:kern w:val="22"/>
          <w:szCs w:val="22"/>
          <w:lang w:val="es-ES_tradnl"/>
        </w:rPr>
        <w:t xml:space="preserve">n 2008, </w:t>
      </w:r>
      <w:r w:rsidR="006829A8" w:rsidRPr="00F600E5">
        <w:rPr>
          <w:snapToGrid w:val="0"/>
          <w:kern w:val="22"/>
          <w:szCs w:val="22"/>
          <w:lang w:val="es-ES_tradnl"/>
        </w:rPr>
        <w:t xml:space="preserve">y ampliada hasta </w:t>
      </w:r>
      <w:r w:rsidR="00084813" w:rsidRPr="00F600E5">
        <w:rPr>
          <w:snapToGrid w:val="0"/>
          <w:kern w:val="22"/>
          <w:szCs w:val="22"/>
          <w:lang w:val="es-ES_tradnl"/>
        </w:rPr>
        <w:t xml:space="preserve">2020 </w:t>
      </w:r>
      <w:r w:rsidR="006829A8" w:rsidRPr="00F600E5">
        <w:rPr>
          <w:snapToGrid w:val="0"/>
          <w:kern w:val="22"/>
          <w:szCs w:val="22"/>
          <w:lang w:val="es-ES_tradnl"/>
        </w:rPr>
        <w:t xml:space="preserve">por la </w:t>
      </w:r>
      <w:r w:rsidR="006C5FC8" w:rsidRPr="00F600E5">
        <w:rPr>
          <w:snapToGrid w:val="0"/>
          <w:kern w:val="22"/>
          <w:szCs w:val="22"/>
          <w:lang w:val="es-ES_tradnl"/>
        </w:rPr>
        <w:t>Conferencia de las Partes</w:t>
      </w:r>
      <w:r w:rsidR="00084813" w:rsidRPr="00F600E5">
        <w:rPr>
          <w:snapToGrid w:val="0"/>
          <w:kern w:val="22"/>
          <w:szCs w:val="22"/>
          <w:lang w:val="es-ES_tradnl"/>
        </w:rPr>
        <w:t xml:space="preserve"> </w:t>
      </w:r>
      <w:r w:rsidR="006829A8" w:rsidRPr="00F600E5">
        <w:rPr>
          <w:snapToGrid w:val="0"/>
          <w:kern w:val="22"/>
          <w:szCs w:val="22"/>
          <w:lang w:val="es-ES_tradnl"/>
        </w:rPr>
        <w:t>en su duodécima reunión, en</w:t>
      </w:r>
      <w:r w:rsidR="00084813" w:rsidRPr="00F600E5">
        <w:rPr>
          <w:snapToGrid w:val="0"/>
          <w:kern w:val="22"/>
          <w:szCs w:val="22"/>
          <w:lang w:val="es-ES_tradnl"/>
        </w:rPr>
        <w:t xml:space="preserve"> 2014</w:t>
      </w:r>
      <w:r w:rsidR="00084813" w:rsidRPr="00F600E5">
        <w:rPr>
          <w:rStyle w:val="FootnoteReference"/>
          <w:snapToGrid w:val="0"/>
          <w:kern w:val="22"/>
          <w:szCs w:val="22"/>
          <w:lang w:val="es-ES_tradnl"/>
        </w:rPr>
        <w:footnoteReference w:id="28"/>
      </w:r>
      <w:bookmarkStart w:id="1" w:name="_Ref511742366"/>
      <w:bookmarkEnd w:id="0"/>
      <w:r w:rsidR="006829A8" w:rsidRPr="00F600E5">
        <w:rPr>
          <w:snapToGrid w:val="0"/>
          <w:kern w:val="22"/>
          <w:szCs w:val="22"/>
          <w:lang w:val="es-ES_tradnl"/>
        </w:rPr>
        <w:t>;</w:t>
      </w:r>
    </w:p>
    <w:p w:rsidR="00583760" w:rsidRPr="00F600E5" w:rsidRDefault="00583760" w:rsidP="00583760">
      <w:pPr>
        <w:pStyle w:val="ListParagraph"/>
        <w:spacing w:after="120"/>
        <w:ind w:left="0"/>
        <w:rPr>
          <w:snapToGrid w:val="0"/>
          <w:kern w:val="22"/>
          <w:szCs w:val="22"/>
          <w:lang w:val="es-ES_tradnl"/>
        </w:rPr>
      </w:pPr>
    </w:p>
    <w:p w:rsidR="00084813" w:rsidRPr="00F600E5" w:rsidRDefault="006C5FC8" w:rsidP="0049225D">
      <w:pPr>
        <w:pStyle w:val="ListParagraph"/>
        <w:numPr>
          <w:ilvl w:val="0"/>
          <w:numId w:val="19"/>
        </w:numPr>
        <w:spacing w:after="120"/>
        <w:ind w:left="0" w:firstLine="0"/>
        <w:rPr>
          <w:snapToGrid w:val="0"/>
          <w:kern w:val="22"/>
          <w:szCs w:val="22"/>
          <w:lang w:val="es-ES_tradnl"/>
        </w:rPr>
      </w:pPr>
      <w:r w:rsidRPr="00F600E5">
        <w:rPr>
          <w:snapToGrid w:val="0"/>
          <w:kern w:val="22"/>
          <w:szCs w:val="22"/>
          <w:lang w:val="es-ES_tradnl"/>
        </w:rPr>
        <w:t>La Conferencia de las Partes</w:t>
      </w:r>
      <w:r w:rsidR="00084813" w:rsidRPr="00F600E5">
        <w:rPr>
          <w:snapToGrid w:val="0"/>
          <w:kern w:val="22"/>
          <w:szCs w:val="22"/>
          <w:lang w:val="es-ES_tradnl"/>
        </w:rPr>
        <w:t xml:space="preserve"> </w:t>
      </w:r>
      <w:r w:rsidR="006829A8" w:rsidRPr="00F600E5">
        <w:rPr>
          <w:snapToGrid w:val="0"/>
          <w:kern w:val="22"/>
          <w:szCs w:val="22"/>
          <w:lang w:val="es-ES_tradnl"/>
        </w:rPr>
        <w:t xml:space="preserve">también elaboró importantes orientaciones adicionales para aplicar el marco de movilización de los recursos </w:t>
      </w:r>
      <w:r w:rsidR="006829A8" w:rsidRPr="00F600E5">
        <w:rPr>
          <w:i/>
          <w:snapToGrid w:val="0"/>
          <w:kern w:val="22"/>
          <w:szCs w:val="22"/>
          <w:lang w:val="es-ES_tradnl"/>
        </w:rPr>
        <w:t>supra</w:t>
      </w:r>
      <w:r w:rsidR="00084813" w:rsidRPr="00F600E5">
        <w:rPr>
          <w:snapToGrid w:val="0"/>
          <w:kern w:val="22"/>
          <w:szCs w:val="22"/>
          <w:lang w:val="es-ES_tradnl"/>
        </w:rPr>
        <w:t xml:space="preserve">, </w:t>
      </w:r>
      <w:r w:rsidR="006829A8" w:rsidRPr="00F600E5">
        <w:rPr>
          <w:snapToGrid w:val="0"/>
          <w:kern w:val="22"/>
          <w:szCs w:val="22"/>
          <w:lang w:val="es-ES_tradnl"/>
        </w:rPr>
        <w:t>en particular</w:t>
      </w:r>
      <w:r w:rsidR="00084813" w:rsidRPr="00F600E5">
        <w:rPr>
          <w:snapToGrid w:val="0"/>
          <w:kern w:val="22"/>
          <w:szCs w:val="22"/>
          <w:lang w:val="es-ES_tradnl"/>
        </w:rPr>
        <w:t>:</w:t>
      </w:r>
      <w:bookmarkEnd w:id="1"/>
    </w:p>
    <w:p w:rsidR="00084813" w:rsidRPr="00F600E5" w:rsidRDefault="006F5F3A" w:rsidP="00B840DD">
      <w:pPr>
        <w:numPr>
          <w:ilvl w:val="0"/>
          <w:numId w:val="23"/>
        </w:numPr>
        <w:spacing w:after="120"/>
        <w:ind w:left="0" w:firstLine="709"/>
        <w:rPr>
          <w:snapToGrid w:val="0"/>
          <w:kern w:val="22"/>
          <w:szCs w:val="22"/>
          <w:lang w:val="es-ES_tradnl"/>
        </w:rPr>
      </w:pPr>
      <w:r w:rsidRPr="00F600E5">
        <w:rPr>
          <w:snapToGrid w:val="0"/>
          <w:kern w:val="22"/>
          <w:szCs w:val="22"/>
          <w:lang w:val="es-ES_tradnl"/>
        </w:rPr>
        <w:t xml:space="preserve">Los indicadores para la movilización de recursos adoptados por la </w:t>
      </w:r>
      <w:r w:rsidR="006C5FC8" w:rsidRPr="00F600E5">
        <w:rPr>
          <w:snapToGrid w:val="0"/>
          <w:kern w:val="22"/>
          <w:szCs w:val="22"/>
          <w:lang w:val="es-ES_tradnl"/>
        </w:rPr>
        <w:t>Conferencia de las Partes</w:t>
      </w:r>
      <w:r w:rsidR="00084813" w:rsidRPr="00F600E5">
        <w:rPr>
          <w:snapToGrid w:val="0"/>
          <w:kern w:val="22"/>
          <w:szCs w:val="22"/>
          <w:lang w:val="es-ES_tradnl"/>
        </w:rPr>
        <w:t xml:space="preserve"> </w:t>
      </w:r>
      <w:r w:rsidRPr="00F600E5">
        <w:rPr>
          <w:snapToGrid w:val="0"/>
          <w:kern w:val="22"/>
          <w:szCs w:val="22"/>
          <w:lang w:val="es-ES_tradnl"/>
        </w:rPr>
        <w:t>en su décima reunión, aprovechando la estrategia para la movilización de recursos</w:t>
      </w:r>
      <w:r w:rsidR="00084813" w:rsidRPr="00F600E5">
        <w:rPr>
          <w:rStyle w:val="FootnoteReference"/>
          <w:snapToGrid w:val="0"/>
          <w:kern w:val="22"/>
          <w:szCs w:val="22"/>
          <w:lang w:val="es-ES_tradnl"/>
        </w:rPr>
        <w:footnoteReference w:id="29"/>
      </w:r>
      <w:r w:rsidRPr="00F600E5">
        <w:rPr>
          <w:snapToGrid w:val="0"/>
          <w:kern w:val="22"/>
          <w:szCs w:val="22"/>
          <w:lang w:val="es-ES_tradnl"/>
        </w:rPr>
        <w:t>;</w:t>
      </w:r>
    </w:p>
    <w:p w:rsidR="00084813" w:rsidRPr="00F600E5" w:rsidRDefault="006F5F3A" w:rsidP="00B840DD">
      <w:pPr>
        <w:numPr>
          <w:ilvl w:val="0"/>
          <w:numId w:val="23"/>
        </w:numPr>
        <w:spacing w:after="120"/>
        <w:ind w:left="0" w:firstLine="709"/>
        <w:rPr>
          <w:snapToGrid w:val="0"/>
          <w:kern w:val="22"/>
          <w:szCs w:val="22"/>
          <w:lang w:val="es-ES_tradnl"/>
        </w:rPr>
      </w:pPr>
      <w:r w:rsidRPr="00F600E5">
        <w:rPr>
          <w:snapToGrid w:val="0"/>
          <w:kern w:val="22"/>
          <w:szCs w:val="22"/>
          <w:lang w:val="es-ES_tradnl"/>
        </w:rPr>
        <w:t>Las propuestas de adoptar medidas concretas y eficaces para dar cumplimiento a los objetivos de las movilización de recurso</w:t>
      </w:r>
      <w:r w:rsidR="00F600E5" w:rsidRPr="00F600E5">
        <w:rPr>
          <w:snapToGrid w:val="0"/>
          <w:kern w:val="22"/>
          <w:szCs w:val="22"/>
          <w:lang w:val="es-ES_tradnl"/>
        </w:rPr>
        <w:t>s</w:t>
      </w:r>
      <w:r w:rsidRPr="00F600E5">
        <w:rPr>
          <w:snapToGrid w:val="0"/>
          <w:kern w:val="22"/>
          <w:szCs w:val="22"/>
          <w:lang w:val="es-ES_tradnl"/>
        </w:rPr>
        <w:t>, adjuntas a la decisión</w:t>
      </w:r>
      <w:r w:rsidR="00084813" w:rsidRPr="00F600E5">
        <w:rPr>
          <w:snapToGrid w:val="0"/>
          <w:kern w:val="22"/>
          <w:szCs w:val="22"/>
          <w:lang w:val="es-ES_tradnl"/>
        </w:rPr>
        <w:t xml:space="preserve"> XII/3, </w:t>
      </w:r>
      <w:r w:rsidRPr="00F600E5">
        <w:rPr>
          <w:snapToGrid w:val="0"/>
          <w:kern w:val="22"/>
          <w:szCs w:val="22"/>
          <w:lang w:val="es-ES_tradnl"/>
        </w:rPr>
        <w:t>que proporcionan información detallada de los distintos elementos de la estrategia de</w:t>
      </w:r>
      <w:r w:rsidR="00F600E5" w:rsidRPr="00F600E5">
        <w:rPr>
          <w:snapToGrid w:val="0"/>
          <w:kern w:val="22"/>
          <w:szCs w:val="22"/>
          <w:lang w:val="es-ES_tradnl"/>
        </w:rPr>
        <w:t xml:space="preserve"> movilización de recursos en</w:t>
      </w:r>
      <w:r w:rsidRPr="00F600E5">
        <w:rPr>
          <w:snapToGrid w:val="0"/>
          <w:kern w:val="22"/>
          <w:szCs w:val="22"/>
          <w:lang w:val="es-ES_tradnl"/>
        </w:rPr>
        <w:t xml:space="preserve"> las distintas me</w:t>
      </w:r>
      <w:r w:rsidR="00F600E5" w:rsidRPr="00F600E5">
        <w:rPr>
          <w:snapToGrid w:val="0"/>
          <w:kern w:val="22"/>
          <w:szCs w:val="22"/>
          <w:lang w:val="es-ES_tradnl"/>
        </w:rPr>
        <w:t xml:space="preserve">tas de </w:t>
      </w:r>
      <w:r w:rsidRPr="00F600E5">
        <w:rPr>
          <w:snapToGrid w:val="0"/>
          <w:kern w:val="22"/>
          <w:szCs w:val="22"/>
          <w:lang w:val="es-ES_tradnl"/>
        </w:rPr>
        <w:t>movilización de recurso</w:t>
      </w:r>
      <w:r w:rsidR="00F600E5" w:rsidRPr="00F600E5">
        <w:rPr>
          <w:snapToGrid w:val="0"/>
          <w:kern w:val="22"/>
          <w:szCs w:val="22"/>
          <w:lang w:val="es-ES_tradnl"/>
        </w:rPr>
        <w:t>s</w:t>
      </w:r>
      <w:r w:rsidRPr="00F600E5">
        <w:rPr>
          <w:snapToGrid w:val="0"/>
          <w:kern w:val="22"/>
          <w:szCs w:val="22"/>
          <w:lang w:val="es-ES_tradnl"/>
        </w:rPr>
        <w:t xml:space="preserve">, y complementándolos con </w:t>
      </w:r>
      <w:r w:rsidR="006C3039" w:rsidRPr="00F600E5">
        <w:rPr>
          <w:snapToGrid w:val="0"/>
          <w:kern w:val="22"/>
          <w:szCs w:val="22"/>
          <w:lang w:val="es-ES_tradnl"/>
        </w:rPr>
        <w:t xml:space="preserve">propuestas de </w:t>
      </w:r>
      <w:r w:rsidRPr="00F600E5">
        <w:rPr>
          <w:snapToGrid w:val="0"/>
          <w:kern w:val="22"/>
          <w:szCs w:val="22"/>
          <w:lang w:val="es-ES_tradnl"/>
        </w:rPr>
        <w:t>medidas concretas y eficac</w:t>
      </w:r>
      <w:r w:rsidR="006C3039" w:rsidRPr="00F600E5">
        <w:rPr>
          <w:snapToGrid w:val="0"/>
          <w:kern w:val="22"/>
          <w:szCs w:val="22"/>
          <w:lang w:val="es-ES_tradnl"/>
        </w:rPr>
        <w:t>es</w:t>
      </w:r>
      <w:r w:rsidR="00084813" w:rsidRPr="00F600E5">
        <w:rPr>
          <w:rStyle w:val="FootnoteReference"/>
          <w:snapToGrid w:val="0"/>
          <w:kern w:val="22"/>
          <w:szCs w:val="22"/>
          <w:lang w:val="es-ES_tradnl"/>
        </w:rPr>
        <w:footnoteReference w:id="30"/>
      </w:r>
      <w:r w:rsidR="006C3039" w:rsidRPr="00F600E5">
        <w:rPr>
          <w:snapToGrid w:val="0"/>
          <w:kern w:val="22"/>
          <w:szCs w:val="22"/>
          <w:lang w:val="es-ES_tradnl"/>
        </w:rPr>
        <w:t>;</w:t>
      </w:r>
    </w:p>
    <w:p w:rsidR="00084813" w:rsidRPr="00F600E5" w:rsidRDefault="006C3039" w:rsidP="00B840DD">
      <w:pPr>
        <w:numPr>
          <w:ilvl w:val="0"/>
          <w:numId w:val="23"/>
        </w:numPr>
        <w:spacing w:after="120"/>
        <w:ind w:left="0" w:firstLine="709"/>
        <w:rPr>
          <w:snapToGrid w:val="0"/>
          <w:kern w:val="22"/>
          <w:szCs w:val="22"/>
          <w:lang w:val="es-ES_tradnl"/>
        </w:rPr>
      </w:pPr>
      <w:r w:rsidRPr="00F600E5">
        <w:rPr>
          <w:snapToGrid w:val="0"/>
          <w:kern w:val="22"/>
          <w:szCs w:val="22"/>
          <w:lang w:val="es-ES_tradnl"/>
        </w:rPr>
        <w:t xml:space="preserve">Como se </w:t>
      </w:r>
      <w:r w:rsidR="00A46AD9" w:rsidRPr="00F600E5">
        <w:rPr>
          <w:snapToGrid w:val="0"/>
          <w:kern w:val="22"/>
          <w:szCs w:val="22"/>
          <w:lang w:val="es-ES_tradnl"/>
        </w:rPr>
        <w:t xml:space="preserve">señaló </w:t>
      </w:r>
      <w:r w:rsidRPr="00F600E5">
        <w:rPr>
          <w:snapToGrid w:val="0"/>
          <w:kern w:val="22"/>
          <w:szCs w:val="22"/>
          <w:lang w:val="es-ES_tradnl"/>
        </w:rPr>
        <w:t>anteriormente, los hitos para la Meta 3 de Aichi para la Diversidad Biológica</w:t>
      </w:r>
      <w:r w:rsidR="00084813" w:rsidRPr="00F600E5">
        <w:rPr>
          <w:rStyle w:val="FootnoteReference"/>
          <w:snapToGrid w:val="0"/>
          <w:kern w:val="22"/>
          <w:szCs w:val="22"/>
          <w:lang w:val="es-ES_tradnl"/>
        </w:rPr>
        <w:footnoteReference w:id="31"/>
      </w:r>
      <w:r w:rsidRPr="00F600E5">
        <w:rPr>
          <w:snapToGrid w:val="0"/>
          <w:kern w:val="22"/>
          <w:szCs w:val="22"/>
          <w:lang w:val="es-ES_tradnl"/>
        </w:rPr>
        <w:t>;</w:t>
      </w:r>
    </w:p>
    <w:p w:rsidR="00084813" w:rsidRPr="00F600E5" w:rsidRDefault="006C3039" w:rsidP="00B840DD">
      <w:pPr>
        <w:numPr>
          <w:ilvl w:val="0"/>
          <w:numId w:val="23"/>
        </w:numPr>
        <w:spacing w:after="120"/>
        <w:ind w:left="0" w:firstLine="709"/>
        <w:rPr>
          <w:snapToGrid w:val="0"/>
          <w:kern w:val="22"/>
          <w:szCs w:val="22"/>
          <w:lang w:val="es-ES_tradnl"/>
        </w:rPr>
      </w:pPr>
      <w:r w:rsidRPr="00F600E5">
        <w:rPr>
          <w:snapToGrid w:val="0"/>
          <w:kern w:val="22"/>
          <w:szCs w:val="22"/>
          <w:lang w:val="es-ES_tradnl"/>
        </w:rPr>
        <w:t>Las directrices voluntarias sobre salvaguardias en los mecanismos de financiación de la diversidad biológica</w:t>
      </w:r>
      <w:r w:rsidR="00084813" w:rsidRPr="00F600E5">
        <w:rPr>
          <w:rStyle w:val="FootnoteReference"/>
          <w:snapToGrid w:val="0"/>
          <w:kern w:val="22"/>
          <w:szCs w:val="22"/>
          <w:lang w:val="es-ES_tradnl"/>
        </w:rPr>
        <w:footnoteReference w:id="32"/>
      </w:r>
      <w:r w:rsidRPr="00F600E5">
        <w:rPr>
          <w:snapToGrid w:val="0"/>
          <w:kern w:val="22"/>
          <w:szCs w:val="22"/>
          <w:lang w:val="es-ES_tradnl"/>
        </w:rPr>
        <w:t>;</w:t>
      </w:r>
    </w:p>
    <w:p w:rsidR="0049225D" w:rsidRPr="00F600E5" w:rsidRDefault="006C3039" w:rsidP="0049225D">
      <w:pPr>
        <w:numPr>
          <w:ilvl w:val="0"/>
          <w:numId w:val="23"/>
        </w:numPr>
        <w:spacing w:after="120"/>
        <w:ind w:left="0" w:firstLine="709"/>
        <w:rPr>
          <w:snapToGrid w:val="0"/>
          <w:kern w:val="22"/>
          <w:szCs w:val="22"/>
          <w:lang w:val="es-ES_tradnl"/>
        </w:rPr>
      </w:pPr>
      <w:r w:rsidRPr="00F600E5">
        <w:rPr>
          <w:snapToGrid w:val="0"/>
          <w:kern w:val="22"/>
          <w:szCs w:val="22"/>
          <w:lang w:val="es-ES_tradnl"/>
        </w:rPr>
        <w:t xml:space="preserve">Los principios rectores sobre la evaluación de la contribución de las medidas colectivas por parte de los pueblos indígenas y </w:t>
      </w:r>
      <w:r w:rsidR="00F600E5" w:rsidRPr="00F600E5">
        <w:rPr>
          <w:snapToGrid w:val="0"/>
          <w:kern w:val="22"/>
          <w:szCs w:val="22"/>
          <w:lang w:val="es-ES_tradnl"/>
        </w:rPr>
        <w:t xml:space="preserve">las </w:t>
      </w:r>
      <w:r w:rsidRPr="00F600E5">
        <w:rPr>
          <w:snapToGrid w:val="0"/>
          <w:kern w:val="22"/>
          <w:szCs w:val="22"/>
          <w:lang w:val="es-ES_tradnl"/>
        </w:rPr>
        <w:t>comunidades locales</w:t>
      </w:r>
      <w:r w:rsidR="00084813" w:rsidRPr="00F600E5">
        <w:rPr>
          <w:rStyle w:val="FootnoteReference"/>
          <w:snapToGrid w:val="0"/>
          <w:kern w:val="22"/>
          <w:szCs w:val="22"/>
          <w:lang w:val="es-ES_tradnl"/>
        </w:rPr>
        <w:footnoteReference w:id="33"/>
      </w:r>
      <w:r w:rsidRPr="00F600E5">
        <w:rPr>
          <w:snapToGrid w:val="0"/>
          <w:kern w:val="22"/>
          <w:szCs w:val="22"/>
          <w:lang w:val="es-ES_tradnl"/>
        </w:rPr>
        <w:t>.</w:t>
      </w:r>
    </w:p>
    <w:p w:rsidR="0049225D" w:rsidRPr="00F600E5" w:rsidRDefault="00ED4111" w:rsidP="0049225D">
      <w:pPr>
        <w:pStyle w:val="ListParagraph"/>
        <w:numPr>
          <w:ilvl w:val="0"/>
          <w:numId w:val="19"/>
        </w:numPr>
        <w:spacing w:after="120"/>
        <w:ind w:left="0" w:firstLine="0"/>
        <w:rPr>
          <w:snapToGrid w:val="0"/>
          <w:kern w:val="22"/>
          <w:szCs w:val="22"/>
          <w:lang w:val="es-ES_tradnl"/>
        </w:rPr>
      </w:pPr>
      <w:r w:rsidRPr="00F600E5">
        <w:rPr>
          <w:snapToGrid w:val="0"/>
          <w:kern w:val="22"/>
          <w:szCs w:val="22"/>
          <w:lang w:val="es-ES_tradnl"/>
        </w:rPr>
        <w:lastRenderedPageBreak/>
        <w:t>Además, dos informes del</w:t>
      </w:r>
      <w:r w:rsidR="00084813" w:rsidRPr="00F600E5">
        <w:rPr>
          <w:snapToGrid w:val="0"/>
          <w:kern w:val="22"/>
          <w:szCs w:val="22"/>
          <w:lang w:val="es-ES_tradnl"/>
        </w:rPr>
        <w:t xml:space="preserve"> </w:t>
      </w:r>
      <w:r w:rsidRPr="00F600E5">
        <w:rPr>
          <w:snapToGrid w:val="0"/>
          <w:kern w:val="22"/>
          <w:szCs w:val="22"/>
          <w:lang w:val="es-ES_tradnl"/>
        </w:rPr>
        <w:t>Grupo de alto nivel para la movilización de recursos</w:t>
      </w:r>
      <w:r w:rsidR="005F2518" w:rsidRPr="00F600E5">
        <w:rPr>
          <w:rStyle w:val="FootnoteReference"/>
          <w:snapToGrid w:val="0"/>
          <w:kern w:val="22"/>
          <w:szCs w:val="22"/>
          <w:lang w:val="es-ES_tradnl"/>
        </w:rPr>
        <w:footnoteReference w:id="34"/>
      </w:r>
      <w:r w:rsidR="00084813" w:rsidRPr="00F600E5">
        <w:rPr>
          <w:snapToGrid w:val="0"/>
          <w:kern w:val="22"/>
          <w:szCs w:val="22"/>
          <w:lang w:val="es-ES_tradnl"/>
        </w:rPr>
        <w:t xml:space="preserve"> </w:t>
      </w:r>
      <w:r w:rsidRPr="00F600E5">
        <w:rPr>
          <w:snapToGrid w:val="0"/>
          <w:kern w:val="22"/>
          <w:szCs w:val="22"/>
          <w:lang w:val="es-ES_tradnl"/>
        </w:rPr>
        <w:t xml:space="preserve">presentaron evaluaciones de las necesidades de financiación para la </w:t>
      </w:r>
      <w:r w:rsidR="00F600E5" w:rsidRPr="00F600E5">
        <w:rPr>
          <w:snapToGrid w:val="0"/>
          <w:kern w:val="22"/>
          <w:szCs w:val="22"/>
          <w:lang w:val="es-ES_tradnl"/>
        </w:rPr>
        <w:t>ejecu</w:t>
      </w:r>
      <w:r w:rsidRPr="00F600E5">
        <w:rPr>
          <w:snapToGrid w:val="0"/>
          <w:kern w:val="22"/>
          <w:szCs w:val="22"/>
          <w:lang w:val="es-ES_tradnl"/>
        </w:rPr>
        <w:t>ción del Plan Estratégico para la Diversidad Biológica, preparado, de conformidad con el</w:t>
      </w:r>
      <w:r w:rsidR="006C31DF" w:rsidRPr="00F600E5">
        <w:rPr>
          <w:snapToGrid w:val="0"/>
          <w:kern w:val="22"/>
          <w:szCs w:val="22"/>
          <w:lang w:val="es-ES_tradnl"/>
        </w:rPr>
        <w:t xml:space="preserve"> </w:t>
      </w:r>
      <w:r w:rsidRPr="00F600E5">
        <w:rPr>
          <w:snapToGrid w:val="0"/>
          <w:kern w:val="22"/>
          <w:szCs w:val="22"/>
          <w:lang w:val="es-ES_tradnl"/>
        </w:rPr>
        <w:t>texto pertinente de la Meta 20 de Aichi</w:t>
      </w:r>
      <w:r w:rsidR="00084813" w:rsidRPr="00F600E5">
        <w:rPr>
          <w:snapToGrid w:val="0"/>
          <w:kern w:val="22"/>
          <w:szCs w:val="22"/>
          <w:lang w:val="es-ES_tradnl"/>
        </w:rPr>
        <w:t xml:space="preserve">, </w:t>
      </w:r>
      <w:r w:rsidRPr="00F600E5">
        <w:rPr>
          <w:snapToGrid w:val="0"/>
          <w:kern w:val="22"/>
          <w:szCs w:val="22"/>
          <w:lang w:val="es-ES_tradnl"/>
        </w:rPr>
        <w:t xml:space="preserve">para someterlo a la consideración de </w:t>
      </w:r>
      <w:r w:rsidR="006C5FC8" w:rsidRPr="00F600E5">
        <w:rPr>
          <w:snapToGrid w:val="0"/>
          <w:kern w:val="22"/>
          <w:szCs w:val="22"/>
          <w:lang w:val="es-ES_tradnl"/>
        </w:rPr>
        <w:t>la Conferencia de las Partes</w:t>
      </w:r>
      <w:r w:rsidR="00084813" w:rsidRPr="00F600E5">
        <w:rPr>
          <w:snapToGrid w:val="0"/>
          <w:kern w:val="22"/>
          <w:szCs w:val="22"/>
          <w:lang w:val="es-ES_tradnl"/>
        </w:rPr>
        <w:t xml:space="preserve"> </w:t>
      </w:r>
      <w:r w:rsidRPr="00F600E5">
        <w:rPr>
          <w:snapToGrid w:val="0"/>
          <w:kern w:val="22"/>
          <w:szCs w:val="22"/>
          <w:lang w:val="es-ES_tradnl"/>
        </w:rPr>
        <w:t>en su duodé</w:t>
      </w:r>
      <w:r w:rsidR="00B6303E" w:rsidRPr="00F600E5">
        <w:rPr>
          <w:snapToGrid w:val="0"/>
          <w:kern w:val="22"/>
          <w:szCs w:val="22"/>
          <w:lang w:val="es-ES_tradnl"/>
        </w:rPr>
        <w:t>c</w:t>
      </w:r>
      <w:r w:rsidRPr="00F600E5">
        <w:rPr>
          <w:snapToGrid w:val="0"/>
          <w:kern w:val="22"/>
          <w:szCs w:val="22"/>
          <w:lang w:val="es-ES_tradnl"/>
        </w:rPr>
        <w:t>ima y decimotercera reuniones</w:t>
      </w:r>
      <w:r w:rsidR="00084813" w:rsidRPr="00F600E5">
        <w:rPr>
          <w:rStyle w:val="FootnoteReference"/>
          <w:snapToGrid w:val="0"/>
          <w:kern w:val="22"/>
          <w:szCs w:val="22"/>
          <w:lang w:val="es-ES_tradnl"/>
        </w:rPr>
        <w:footnoteReference w:id="35"/>
      </w:r>
      <w:r w:rsidRPr="00F600E5">
        <w:rPr>
          <w:snapToGrid w:val="0"/>
          <w:kern w:val="22"/>
          <w:szCs w:val="22"/>
          <w:lang w:val="es-ES_tradnl"/>
        </w:rPr>
        <w:t>.</w:t>
      </w:r>
      <w:r w:rsidR="00084813" w:rsidRPr="00F600E5">
        <w:rPr>
          <w:snapToGrid w:val="0"/>
          <w:kern w:val="22"/>
          <w:szCs w:val="22"/>
          <w:lang w:val="es-ES_tradnl"/>
        </w:rPr>
        <w:t xml:space="preserve"> </w:t>
      </w:r>
      <w:r w:rsidRPr="00F600E5">
        <w:rPr>
          <w:snapToGrid w:val="0"/>
          <w:kern w:val="22"/>
          <w:szCs w:val="22"/>
          <w:lang w:val="es-ES_tradnl"/>
        </w:rPr>
        <w:t xml:space="preserve">Se </w:t>
      </w:r>
      <w:r w:rsidR="00B6303E" w:rsidRPr="00F600E5">
        <w:rPr>
          <w:snapToGrid w:val="0"/>
          <w:kern w:val="22"/>
          <w:szCs w:val="22"/>
          <w:lang w:val="es-ES_tradnl"/>
        </w:rPr>
        <w:t xml:space="preserve">celebraron </w:t>
      </w:r>
      <w:r w:rsidRPr="00F600E5">
        <w:rPr>
          <w:snapToGrid w:val="0"/>
          <w:kern w:val="22"/>
          <w:szCs w:val="22"/>
          <w:lang w:val="es-ES_tradnl"/>
        </w:rPr>
        <w:t xml:space="preserve">varios talleres </w:t>
      </w:r>
      <w:r w:rsidR="00B6303E" w:rsidRPr="00F600E5">
        <w:rPr>
          <w:snapToGrid w:val="0"/>
          <w:kern w:val="22"/>
          <w:szCs w:val="22"/>
          <w:lang w:val="es-ES_tradnl"/>
        </w:rPr>
        <w:t xml:space="preserve">de diálogo sobre </w:t>
      </w:r>
      <w:r w:rsidR="00F600E5" w:rsidRPr="00F600E5">
        <w:rPr>
          <w:snapToGrid w:val="0"/>
          <w:kern w:val="22"/>
          <w:szCs w:val="22"/>
          <w:lang w:val="es-ES_tradnl"/>
        </w:rPr>
        <w:t xml:space="preserve">cómo </w:t>
      </w:r>
      <w:r w:rsidR="00B6303E" w:rsidRPr="00F600E5">
        <w:rPr>
          <w:snapToGrid w:val="0"/>
          <w:kern w:val="22"/>
          <w:szCs w:val="22"/>
          <w:lang w:val="es-ES_tradnl"/>
        </w:rPr>
        <w:t xml:space="preserve">aumentar proporcionalmente la financiación para la diversidad biológica </w:t>
      </w:r>
      <w:r w:rsidR="00084813" w:rsidRPr="00F600E5">
        <w:rPr>
          <w:snapToGrid w:val="0"/>
          <w:kern w:val="22"/>
          <w:szCs w:val="22"/>
          <w:lang w:val="es-ES_tradnl"/>
        </w:rPr>
        <w:t>(</w:t>
      </w:r>
      <w:r w:rsidR="00B6303E" w:rsidRPr="00F600E5">
        <w:rPr>
          <w:snapToGrid w:val="0"/>
          <w:kern w:val="22"/>
          <w:szCs w:val="22"/>
          <w:lang w:val="es-ES_tradnl"/>
        </w:rPr>
        <w:t>e</w:t>
      </w:r>
      <w:r w:rsidR="00084813" w:rsidRPr="00F600E5">
        <w:rPr>
          <w:snapToGrid w:val="0"/>
          <w:kern w:val="22"/>
          <w:szCs w:val="22"/>
          <w:lang w:val="es-ES_tradnl"/>
        </w:rPr>
        <w:t xml:space="preserve">n 2012 </w:t>
      </w:r>
      <w:r w:rsidR="00B6303E" w:rsidRPr="00F600E5">
        <w:rPr>
          <w:snapToGrid w:val="0"/>
          <w:kern w:val="22"/>
          <w:szCs w:val="22"/>
          <w:lang w:val="es-ES_tradnl"/>
        </w:rPr>
        <w:t xml:space="preserve">y </w:t>
      </w:r>
      <w:r w:rsidR="00084813" w:rsidRPr="00F600E5">
        <w:rPr>
          <w:snapToGrid w:val="0"/>
          <w:kern w:val="22"/>
          <w:szCs w:val="22"/>
          <w:lang w:val="es-ES_tradnl"/>
        </w:rPr>
        <w:t xml:space="preserve">2014), </w:t>
      </w:r>
      <w:r w:rsidR="00B6303E" w:rsidRPr="00F600E5">
        <w:rPr>
          <w:snapToGrid w:val="0"/>
          <w:kern w:val="22"/>
          <w:szCs w:val="22"/>
          <w:lang w:val="es-ES_tradnl"/>
        </w:rPr>
        <w:t xml:space="preserve">y sobre la acción colectiva </w:t>
      </w:r>
      <w:r w:rsidR="00084813" w:rsidRPr="00F600E5">
        <w:rPr>
          <w:snapToGrid w:val="0"/>
          <w:kern w:val="22"/>
          <w:szCs w:val="22"/>
          <w:lang w:val="es-ES_tradnl"/>
        </w:rPr>
        <w:t>(in 2015)</w:t>
      </w:r>
      <w:r w:rsidR="00084813" w:rsidRPr="00F600E5">
        <w:rPr>
          <w:rStyle w:val="FootnoteReference"/>
          <w:snapToGrid w:val="0"/>
          <w:kern w:val="22"/>
          <w:szCs w:val="22"/>
          <w:lang w:val="es-ES_tradnl"/>
        </w:rPr>
        <w:footnoteReference w:id="36"/>
      </w:r>
      <w:r w:rsidR="00B6303E" w:rsidRPr="00F600E5">
        <w:rPr>
          <w:snapToGrid w:val="0"/>
          <w:kern w:val="22"/>
          <w:szCs w:val="22"/>
          <w:lang w:val="es-ES_tradnl"/>
        </w:rPr>
        <w:t>.</w:t>
      </w:r>
    </w:p>
    <w:p w:rsidR="00583760" w:rsidRPr="00F600E5" w:rsidRDefault="00583760" w:rsidP="00583760">
      <w:pPr>
        <w:pStyle w:val="ListParagraph"/>
        <w:spacing w:after="120"/>
        <w:ind w:left="0"/>
        <w:rPr>
          <w:snapToGrid w:val="0"/>
          <w:kern w:val="22"/>
          <w:szCs w:val="22"/>
          <w:highlight w:val="yellow"/>
          <w:lang w:val="es-ES_tradnl"/>
        </w:rPr>
      </w:pPr>
    </w:p>
    <w:p w:rsidR="0049225D" w:rsidRPr="00F600E5" w:rsidRDefault="00B6303E" w:rsidP="0049225D">
      <w:pPr>
        <w:pStyle w:val="ListParagraph"/>
        <w:numPr>
          <w:ilvl w:val="0"/>
          <w:numId w:val="19"/>
        </w:numPr>
        <w:spacing w:after="120"/>
        <w:ind w:left="0" w:firstLine="0"/>
        <w:rPr>
          <w:snapToGrid w:val="0"/>
          <w:kern w:val="22"/>
          <w:szCs w:val="22"/>
          <w:lang w:val="es-ES_tradnl"/>
        </w:rPr>
      </w:pPr>
      <w:r w:rsidRPr="00F600E5">
        <w:rPr>
          <w:snapToGrid w:val="0"/>
          <w:kern w:val="22"/>
          <w:szCs w:val="22"/>
          <w:lang w:val="es-ES_tradnl"/>
        </w:rPr>
        <w:t xml:space="preserve">La metodología de la </w:t>
      </w:r>
      <w:r w:rsidR="00A46AD9" w:rsidRPr="00F600E5">
        <w:rPr>
          <w:snapToGrid w:val="0"/>
          <w:kern w:val="22"/>
          <w:szCs w:val="22"/>
          <w:lang w:val="es-ES_tradnl"/>
        </w:rPr>
        <w:t xml:space="preserve">Iniciativa </w:t>
      </w:r>
      <w:r w:rsidR="00084813" w:rsidRPr="00F600E5">
        <w:rPr>
          <w:snapToGrid w:val="0"/>
          <w:kern w:val="22"/>
          <w:szCs w:val="22"/>
          <w:lang w:val="es-ES_tradnl"/>
        </w:rPr>
        <w:t xml:space="preserve">BIOFIN, </w:t>
      </w:r>
      <w:r w:rsidRPr="00F600E5">
        <w:rPr>
          <w:snapToGrid w:val="0"/>
          <w:kern w:val="22"/>
          <w:szCs w:val="22"/>
          <w:lang w:val="es-ES_tradnl"/>
        </w:rPr>
        <w:t xml:space="preserve">elaborada en varias rondas desde </w:t>
      </w:r>
      <w:r w:rsidR="00084813" w:rsidRPr="00F600E5">
        <w:rPr>
          <w:snapToGrid w:val="0"/>
          <w:kern w:val="22"/>
          <w:szCs w:val="22"/>
          <w:lang w:val="es-ES_tradnl"/>
        </w:rPr>
        <w:t xml:space="preserve">2010, </w:t>
      </w:r>
      <w:r w:rsidRPr="00F600E5">
        <w:rPr>
          <w:snapToGrid w:val="0"/>
          <w:kern w:val="22"/>
          <w:szCs w:val="22"/>
          <w:lang w:val="es-ES_tradnl"/>
        </w:rPr>
        <w:t>refleja de cerca, a través de sus distintos pasos</w:t>
      </w:r>
      <w:r w:rsidR="00084813" w:rsidRPr="00F600E5">
        <w:rPr>
          <w:snapToGrid w:val="0"/>
          <w:kern w:val="22"/>
          <w:szCs w:val="22"/>
          <w:lang w:val="es-ES_tradnl"/>
        </w:rPr>
        <w:t>, element</w:t>
      </w:r>
      <w:r w:rsidRPr="00F600E5">
        <w:rPr>
          <w:snapToGrid w:val="0"/>
          <w:kern w:val="22"/>
          <w:szCs w:val="22"/>
          <w:lang w:val="es-ES_tradnl"/>
        </w:rPr>
        <w:t>os de las metas para la movilización de recurso</w:t>
      </w:r>
      <w:r w:rsidR="00F600E5" w:rsidRPr="00F600E5">
        <w:rPr>
          <w:snapToGrid w:val="0"/>
          <w:kern w:val="22"/>
          <w:szCs w:val="22"/>
          <w:lang w:val="es-ES_tradnl"/>
        </w:rPr>
        <w:t>s</w:t>
      </w:r>
      <w:r w:rsidRPr="00F600E5">
        <w:rPr>
          <w:snapToGrid w:val="0"/>
          <w:kern w:val="22"/>
          <w:szCs w:val="22"/>
          <w:lang w:val="es-ES_tradnl"/>
        </w:rPr>
        <w:t>, y presenta orientaciones para su aplicación a nivel nacional</w:t>
      </w:r>
      <w:r w:rsidR="00084813" w:rsidRPr="00F600E5">
        <w:rPr>
          <w:snapToGrid w:val="0"/>
          <w:kern w:val="22"/>
          <w:sz w:val="18"/>
          <w:szCs w:val="18"/>
          <w:vertAlign w:val="superscript"/>
          <w:lang w:val="es-ES_tradnl"/>
        </w:rPr>
        <w:footnoteReference w:id="37"/>
      </w:r>
      <w:r w:rsidR="00583760" w:rsidRPr="00F600E5">
        <w:rPr>
          <w:snapToGrid w:val="0"/>
          <w:kern w:val="22"/>
          <w:szCs w:val="22"/>
          <w:lang w:val="es-ES_tradnl"/>
        </w:rPr>
        <w:t>.</w:t>
      </w:r>
    </w:p>
    <w:p w:rsidR="00583760" w:rsidRPr="00F600E5" w:rsidRDefault="00583760" w:rsidP="00583760">
      <w:pPr>
        <w:pStyle w:val="ListParagraph"/>
        <w:spacing w:after="120"/>
        <w:ind w:left="0"/>
        <w:rPr>
          <w:snapToGrid w:val="0"/>
          <w:kern w:val="22"/>
          <w:szCs w:val="22"/>
          <w:lang w:val="es-ES_tradnl"/>
        </w:rPr>
      </w:pPr>
    </w:p>
    <w:p w:rsidR="0049225D" w:rsidRPr="00F600E5" w:rsidRDefault="00B6303E" w:rsidP="0049225D">
      <w:pPr>
        <w:pStyle w:val="ListParagraph"/>
        <w:numPr>
          <w:ilvl w:val="0"/>
          <w:numId w:val="19"/>
        </w:numPr>
        <w:spacing w:after="120"/>
        <w:ind w:left="0" w:firstLine="0"/>
        <w:rPr>
          <w:snapToGrid w:val="0"/>
          <w:kern w:val="22"/>
          <w:szCs w:val="22"/>
          <w:lang w:val="es-ES_tradnl"/>
        </w:rPr>
      </w:pPr>
      <w:r w:rsidRPr="00F600E5">
        <w:rPr>
          <w:snapToGrid w:val="0"/>
          <w:kern w:val="22"/>
          <w:szCs w:val="22"/>
          <w:lang w:val="es-ES_tradnl"/>
        </w:rPr>
        <w:t>La labor relativa a las metas para la movilización de rec</w:t>
      </w:r>
      <w:r w:rsidR="00F600E5" w:rsidRPr="00F600E5">
        <w:rPr>
          <w:snapToGrid w:val="0"/>
          <w:kern w:val="22"/>
          <w:szCs w:val="22"/>
          <w:lang w:val="es-ES_tradnl"/>
        </w:rPr>
        <w:t>ursos, como elemento importante</w:t>
      </w:r>
      <w:r w:rsidRPr="00F600E5">
        <w:rPr>
          <w:snapToGrid w:val="0"/>
          <w:kern w:val="22"/>
          <w:szCs w:val="22"/>
          <w:lang w:val="es-ES_tradnl"/>
        </w:rPr>
        <w:t xml:space="preserve"> del marco para la movilización de recursos</w:t>
      </w:r>
      <w:r w:rsidR="00084813" w:rsidRPr="00F600E5">
        <w:rPr>
          <w:snapToGrid w:val="0"/>
          <w:kern w:val="22"/>
          <w:szCs w:val="22"/>
          <w:lang w:val="es-ES_tradnl"/>
        </w:rPr>
        <w:t xml:space="preserve">, </w:t>
      </w:r>
      <w:r w:rsidR="003A35A4" w:rsidRPr="00F600E5">
        <w:rPr>
          <w:snapToGrid w:val="0"/>
          <w:kern w:val="22"/>
          <w:szCs w:val="22"/>
          <w:lang w:val="es-ES_tradnl"/>
        </w:rPr>
        <w:t xml:space="preserve">se emprendió tras la adopción del </w:t>
      </w:r>
      <w:r w:rsidR="00ED4111" w:rsidRPr="00F600E5">
        <w:rPr>
          <w:snapToGrid w:val="0"/>
          <w:kern w:val="22"/>
          <w:szCs w:val="22"/>
          <w:lang w:val="es-ES_tradnl"/>
        </w:rPr>
        <w:t>Plan Estratégico para la Diversidad Biológica</w:t>
      </w:r>
      <w:r w:rsidR="00084813" w:rsidRPr="00F600E5">
        <w:rPr>
          <w:snapToGrid w:val="0"/>
          <w:kern w:val="22"/>
          <w:szCs w:val="22"/>
          <w:lang w:val="es-ES_tradnl"/>
        </w:rPr>
        <w:t xml:space="preserve"> </w:t>
      </w:r>
      <w:r w:rsidR="005F2518" w:rsidRPr="00F600E5">
        <w:rPr>
          <w:snapToGrid w:val="0"/>
          <w:kern w:val="22"/>
          <w:szCs w:val="22"/>
          <w:lang w:val="es-ES_tradnl"/>
        </w:rPr>
        <w:t xml:space="preserve">2011-2020 </w:t>
      </w:r>
      <w:r w:rsidR="003A35A4" w:rsidRPr="00F600E5">
        <w:rPr>
          <w:snapToGrid w:val="0"/>
          <w:kern w:val="22"/>
          <w:szCs w:val="22"/>
          <w:lang w:val="es-ES_tradnl"/>
        </w:rPr>
        <w:t>e</w:t>
      </w:r>
      <w:r w:rsidR="00084813" w:rsidRPr="00F600E5">
        <w:rPr>
          <w:snapToGrid w:val="0"/>
          <w:kern w:val="22"/>
          <w:szCs w:val="22"/>
          <w:lang w:val="es-ES_tradnl"/>
        </w:rPr>
        <w:t xml:space="preserve">n </w:t>
      </w:r>
      <w:r w:rsidR="00A46AD9" w:rsidRPr="00F600E5">
        <w:rPr>
          <w:snapToGrid w:val="0"/>
          <w:kern w:val="22"/>
          <w:szCs w:val="22"/>
          <w:lang w:val="es-ES_tradnl"/>
        </w:rPr>
        <w:t>la décima reunión de la Conferencia de las Partes</w:t>
      </w:r>
      <w:r w:rsidR="003A35A4" w:rsidRPr="00F600E5">
        <w:rPr>
          <w:snapToGrid w:val="0"/>
          <w:kern w:val="22"/>
          <w:szCs w:val="22"/>
          <w:lang w:val="es-ES_tradnl"/>
        </w:rPr>
        <w:t xml:space="preserve"> e</w:t>
      </w:r>
      <w:r w:rsidR="00084813" w:rsidRPr="00F600E5">
        <w:rPr>
          <w:snapToGrid w:val="0"/>
          <w:kern w:val="22"/>
          <w:szCs w:val="22"/>
          <w:lang w:val="es-ES_tradnl"/>
        </w:rPr>
        <w:t xml:space="preserve">n 2010. </w:t>
      </w:r>
      <w:r w:rsidR="003A35A4" w:rsidRPr="00F600E5">
        <w:rPr>
          <w:snapToGrid w:val="0"/>
          <w:kern w:val="22"/>
          <w:szCs w:val="22"/>
          <w:lang w:val="es-ES_tradnl"/>
        </w:rPr>
        <w:t xml:space="preserve">Se acordaron metas preliminares en la undécima reunión de la </w:t>
      </w:r>
      <w:r w:rsidR="006C5FC8" w:rsidRPr="00F600E5">
        <w:rPr>
          <w:snapToGrid w:val="0"/>
          <w:kern w:val="22"/>
          <w:szCs w:val="22"/>
          <w:lang w:val="es-ES_tradnl"/>
        </w:rPr>
        <w:t>Conferencia de las Partes</w:t>
      </w:r>
      <w:r w:rsidR="00084813" w:rsidRPr="00F600E5">
        <w:rPr>
          <w:snapToGrid w:val="0"/>
          <w:kern w:val="22"/>
          <w:szCs w:val="22"/>
          <w:lang w:val="es-ES_tradnl"/>
        </w:rPr>
        <w:t xml:space="preserve">, </w:t>
      </w:r>
      <w:r w:rsidR="003A35A4" w:rsidRPr="00F600E5">
        <w:rPr>
          <w:snapToGrid w:val="0"/>
          <w:kern w:val="22"/>
          <w:szCs w:val="22"/>
          <w:lang w:val="es-ES_tradnl"/>
        </w:rPr>
        <w:t>e</w:t>
      </w:r>
      <w:r w:rsidR="00084813" w:rsidRPr="00F600E5">
        <w:rPr>
          <w:snapToGrid w:val="0"/>
          <w:kern w:val="22"/>
          <w:szCs w:val="22"/>
          <w:lang w:val="es-ES_tradnl"/>
        </w:rPr>
        <w:t xml:space="preserve">n 2012, </w:t>
      </w:r>
      <w:r w:rsidR="003A35A4" w:rsidRPr="00F600E5">
        <w:rPr>
          <w:snapToGrid w:val="0"/>
          <w:kern w:val="22"/>
          <w:szCs w:val="22"/>
          <w:lang w:val="es-ES_tradnl"/>
        </w:rPr>
        <w:t>y</w:t>
      </w:r>
      <w:r w:rsidR="00084813" w:rsidRPr="00F600E5">
        <w:rPr>
          <w:snapToGrid w:val="0"/>
          <w:kern w:val="22"/>
          <w:szCs w:val="22"/>
          <w:lang w:val="es-ES_tradnl"/>
        </w:rPr>
        <w:t xml:space="preserve">, </w:t>
      </w:r>
      <w:r w:rsidR="003A35A4" w:rsidRPr="00F600E5">
        <w:rPr>
          <w:snapToGrid w:val="0"/>
          <w:kern w:val="22"/>
          <w:szCs w:val="22"/>
          <w:lang w:val="es-ES_tradnl"/>
        </w:rPr>
        <w:t>tal como se menciona anteriormente</w:t>
      </w:r>
      <w:r w:rsidR="00084813" w:rsidRPr="00F600E5">
        <w:rPr>
          <w:snapToGrid w:val="0"/>
          <w:kern w:val="22"/>
          <w:szCs w:val="22"/>
          <w:lang w:val="es-ES_tradnl"/>
        </w:rPr>
        <w:t xml:space="preserve">, </w:t>
      </w:r>
      <w:r w:rsidR="003A35A4" w:rsidRPr="00F600E5">
        <w:rPr>
          <w:snapToGrid w:val="0"/>
          <w:kern w:val="22"/>
          <w:szCs w:val="22"/>
          <w:lang w:val="es-ES_tradnl"/>
        </w:rPr>
        <w:t xml:space="preserve">la adopción de la serie de metas </w:t>
      </w:r>
      <w:r w:rsidR="00A46AD9" w:rsidRPr="00F600E5">
        <w:rPr>
          <w:snapToGrid w:val="0"/>
          <w:kern w:val="22"/>
          <w:szCs w:val="22"/>
          <w:lang w:val="es-ES_tradnl"/>
        </w:rPr>
        <w:t xml:space="preserve">se produjo </w:t>
      </w:r>
      <w:r w:rsidR="003A35A4" w:rsidRPr="00F600E5">
        <w:rPr>
          <w:snapToGrid w:val="0"/>
          <w:kern w:val="22"/>
          <w:szCs w:val="22"/>
          <w:lang w:val="es-ES_tradnl"/>
        </w:rPr>
        <w:t>en la duodécima reunión, en</w:t>
      </w:r>
      <w:r w:rsidR="00084813" w:rsidRPr="00F600E5">
        <w:rPr>
          <w:snapToGrid w:val="0"/>
          <w:kern w:val="22"/>
          <w:szCs w:val="22"/>
          <w:lang w:val="es-ES_tradnl"/>
        </w:rPr>
        <w:t xml:space="preserve"> 2014. </w:t>
      </w:r>
      <w:r w:rsidR="003A35A4" w:rsidRPr="00F600E5">
        <w:rPr>
          <w:snapToGrid w:val="0"/>
          <w:kern w:val="22"/>
          <w:szCs w:val="22"/>
          <w:lang w:val="es-ES_tradnl"/>
        </w:rPr>
        <w:t>Las metas exigi</w:t>
      </w:r>
      <w:r w:rsidR="00F600E5" w:rsidRPr="00F600E5">
        <w:rPr>
          <w:snapToGrid w:val="0"/>
          <w:kern w:val="22"/>
          <w:szCs w:val="22"/>
          <w:lang w:val="es-ES_tradnl"/>
        </w:rPr>
        <w:t>eron</w:t>
      </w:r>
      <w:r w:rsidR="003A35A4" w:rsidRPr="00F600E5">
        <w:rPr>
          <w:snapToGrid w:val="0"/>
          <w:kern w:val="22"/>
          <w:szCs w:val="22"/>
          <w:lang w:val="es-ES_tradnl"/>
        </w:rPr>
        <w:t xml:space="preserve"> una importante labor de </w:t>
      </w:r>
      <w:r w:rsidR="00F600E5" w:rsidRPr="00F600E5">
        <w:rPr>
          <w:snapToGrid w:val="0"/>
          <w:kern w:val="22"/>
          <w:szCs w:val="22"/>
          <w:lang w:val="es-ES_tradnl"/>
        </w:rPr>
        <w:t>aplicación</w:t>
      </w:r>
      <w:r w:rsidR="003A35A4" w:rsidRPr="00F600E5">
        <w:rPr>
          <w:snapToGrid w:val="0"/>
          <w:kern w:val="22"/>
          <w:szCs w:val="22"/>
          <w:lang w:val="es-ES_tradnl"/>
        </w:rPr>
        <w:t xml:space="preserve"> por las Partes en muy poco tiempo</w:t>
      </w:r>
      <w:r w:rsidR="00084813" w:rsidRPr="00F600E5">
        <w:rPr>
          <w:snapToGrid w:val="0"/>
          <w:kern w:val="22"/>
          <w:szCs w:val="22"/>
          <w:lang w:val="es-ES_tradnl"/>
        </w:rPr>
        <w:t xml:space="preserve">, </w:t>
      </w:r>
      <w:r w:rsidR="003A35A4" w:rsidRPr="00F600E5">
        <w:rPr>
          <w:snapToGrid w:val="0"/>
          <w:kern w:val="22"/>
          <w:szCs w:val="22"/>
          <w:lang w:val="es-ES_tradnl"/>
        </w:rPr>
        <w:t xml:space="preserve">dado que la mayoría de las metas tienen un cronograma de </w:t>
      </w:r>
      <w:r w:rsidR="00084813" w:rsidRPr="00F600E5">
        <w:rPr>
          <w:snapToGrid w:val="0"/>
          <w:kern w:val="22"/>
          <w:szCs w:val="22"/>
          <w:lang w:val="es-ES_tradnl"/>
        </w:rPr>
        <w:t xml:space="preserve">2015. </w:t>
      </w:r>
      <w:r w:rsidR="003A35A4" w:rsidRPr="00F600E5">
        <w:rPr>
          <w:snapToGrid w:val="0"/>
          <w:kern w:val="22"/>
          <w:szCs w:val="22"/>
          <w:lang w:val="es-ES_tradnl"/>
        </w:rPr>
        <w:t>A la luz de los dificultadas en las capacidades institucionales y técnicas que afrontan las Partes que son países en desarrollo y las Partes con economías en transición</w:t>
      </w:r>
      <w:r w:rsidR="00084813" w:rsidRPr="00F600E5">
        <w:rPr>
          <w:snapToGrid w:val="0"/>
          <w:kern w:val="22"/>
          <w:szCs w:val="22"/>
          <w:lang w:val="es-ES_tradnl"/>
        </w:rPr>
        <w:t xml:space="preserve">, </w:t>
      </w:r>
      <w:r w:rsidR="00F600E5" w:rsidRPr="00F600E5">
        <w:rPr>
          <w:snapToGrid w:val="0"/>
          <w:kern w:val="22"/>
          <w:szCs w:val="22"/>
          <w:lang w:val="es-ES_tradnl"/>
        </w:rPr>
        <w:t>su aplicación</w:t>
      </w:r>
      <w:r w:rsidR="003A35A4" w:rsidRPr="00F600E5">
        <w:rPr>
          <w:snapToGrid w:val="0"/>
          <w:kern w:val="22"/>
          <w:szCs w:val="22"/>
          <w:lang w:val="es-ES_tradnl"/>
        </w:rPr>
        <w:t xml:space="preserve"> exigió una importante labor de creación de</w:t>
      </w:r>
      <w:r w:rsidR="006C31DF" w:rsidRPr="00F600E5">
        <w:rPr>
          <w:snapToGrid w:val="0"/>
          <w:kern w:val="22"/>
          <w:szCs w:val="22"/>
          <w:lang w:val="es-ES_tradnl"/>
        </w:rPr>
        <w:t xml:space="preserve"> </w:t>
      </w:r>
      <w:r w:rsidR="003A35A4" w:rsidRPr="00F600E5">
        <w:rPr>
          <w:snapToGrid w:val="0"/>
          <w:kern w:val="22"/>
          <w:szCs w:val="22"/>
          <w:lang w:val="es-ES_tradnl"/>
        </w:rPr>
        <w:t xml:space="preserve">capacidad y </w:t>
      </w:r>
      <w:r w:rsidR="00A46AD9" w:rsidRPr="00F600E5">
        <w:rPr>
          <w:snapToGrid w:val="0"/>
          <w:kern w:val="22"/>
          <w:szCs w:val="22"/>
          <w:lang w:val="es-ES_tradnl"/>
        </w:rPr>
        <w:t xml:space="preserve">la prestación de </w:t>
      </w:r>
      <w:r w:rsidR="00175B7C" w:rsidRPr="00F600E5">
        <w:rPr>
          <w:snapToGrid w:val="0"/>
          <w:kern w:val="22"/>
          <w:szCs w:val="22"/>
          <w:lang w:val="es-ES_tradnl"/>
        </w:rPr>
        <w:t xml:space="preserve">apoyo técnico. </w:t>
      </w:r>
      <w:r w:rsidR="00F600E5" w:rsidRPr="00F600E5">
        <w:rPr>
          <w:snapToGrid w:val="0"/>
          <w:kern w:val="22"/>
          <w:szCs w:val="22"/>
          <w:lang w:val="es-ES_tradnl"/>
        </w:rPr>
        <w:t xml:space="preserve">De esto pueden derivarse </w:t>
      </w:r>
      <w:r w:rsidR="00175B7C" w:rsidRPr="00F600E5">
        <w:rPr>
          <w:snapToGrid w:val="0"/>
          <w:kern w:val="22"/>
          <w:szCs w:val="22"/>
          <w:lang w:val="es-ES_tradnl"/>
        </w:rPr>
        <w:t>varias conclusiones</w:t>
      </w:r>
      <w:r w:rsidR="00084813" w:rsidRPr="00F600E5">
        <w:rPr>
          <w:snapToGrid w:val="0"/>
          <w:kern w:val="22"/>
          <w:szCs w:val="22"/>
          <w:lang w:val="es-ES_tradnl"/>
        </w:rPr>
        <w:t>.</w:t>
      </w:r>
    </w:p>
    <w:p w:rsidR="00583760" w:rsidRPr="00F600E5" w:rsidRDefault="00583760" w:rsidP="00583760">
      <w:pPr>
        <w:pStyle w:val="ListParagraph"/>
        <w:spacing w:after="120"/>
        <w:ind w:left="0"/>
        <w:rPr>
          <w:snapToGrid w:val="0"/>
          <w:kern w:val="22"/>
          <w:szCs w:val="22"/>
          <w:lang w:val="es-ES_tradnl"/>
        </w:rPr>
      </w:pPr>
    </w:p>
    <w:p w:rsidR="0049225D" w:rsidRPr="00F600E5" w:rsidRDefault="00175B7C" w:rsidP="0049225D">
      <w:pPr>
        <w:pStyle w:val="ListParagraph"/>
        <w:numPr>
          <w:ilvl w:val="0"/>
          <w:numId w:val="19"/>
        </w:numPr>
        <w:spacing w:after="120"/>
        <w:ind w:left="0" w:firstLine="0"/>
        <w:rPr>
          <w:snapToGrid w:val="0"/>
          <w:kern w:val="22"/>
          <w:szCs w:val="22"/>
          <w:lang w:val="es-ES_tradnl"/>
        </w:rPr>
      </w:pPr>
      <w:r w:rsidRPr="00F600E5">
        <w:rPr>
          <w:snapToGrid w:val="0"/>
          <w:kern w:val="22"/>
          <w:szCs w:val="22"/>
          <w:lang w:val="es-ES_tradnl"/>
        </w:rPr>
        <w:t>En primer lugar, el acuerdo y la adopción de las metas en</w:t>
      </w:r>
      <w:r w:rsidR="00084813" w:rsidRPr="00F600E5">
        <w:rPr>
          <w:snapToGrid w:val="0"/>
          <w:kern w:val="22"/>
          <w:szCs w:val="22"/>
          <w:lang w:val="es-ES_tradnl"/>
        </w:rPr>
        <w:t xml:space="preserve"> 2012 </w:t>
      </w:r>
      <w:r w:rsidRPr="00F600E5">
        <w:rPr>
          <w:snapToGrid w:val="0"/>
          <w:kern w:val="22"/>
          <w:szCs w:val="22"/>
          <w:lang w:val="es-ES_tradnl"/>
        </w:rPr>
        <w:t xml:space="preserve">y </w:t>
      </w:r>
      <w:r w:rsidR="00084813" w:rsidRPr="00F600E5">
        <w:rPr>
          <w:snapToGrid w:val="0"/>
          <w:kern w:val="22"/>
          <w:szCs w:val="22"/>
          <w:lang w:val="es-ES_tradnl"/>
        </w:rPr>
        <w:t xml:space="preserve">2014, </w:t>
      </w:r>
      <w:r w:rsidRPr="00F600E5">
        <w:rPr>
          <w:snapToGrid w:val="0"/>
          <w:kern w:val="22"/>
          <w:szCs w:val="22"/>
          <w:lang w:val="es-ES_tradnl"/>
        </w:rPr>
        <w:t>y la consiguiente adopción ta</w:t>
      </w:r>
      <w:r w:rsidR="00F600E5" w:rsidRPr="00F600E5">
        <w:rPr>
          <w:snapToGrid w:val="0"/>
          <w:kern w:val="22"/>
          <w:szCs w:val="22"/>
          <w:lang w:val="es-ES_tradnl"/>
        </w:rPr>
        <w:t>rdía de medidas para apoyar su aplicación</w:t>
      </w:r>
      <w:r w:rsidR="00084813" w:rsidRPr="00F600E5">
        <w:rPr>
          <w:snapToGrid w:val="0"/>
          <w:kern w:val="22"/>
          <w:szCs w:val="22"/>
          <w:lang w:val="es-ES_tradnl"/>
        </w:rPr>
        <w:t xml:space="preserve">, </w:t>
      </w:r>
      <w:r w:rsidRPr="00F600E5">
        <w:rPr>
          <w:snapToGrid w:val="0"/>
          <w:kern w:val="22"/>
          <w:szCs w:val="22"/>
          <w:lang w:val="es-ES_tradnl"/>
        </w:rPr>
        <w:t xml:space="preserve">es probable que obstaculizaron su eficacia </w:t>
      </w:r>
      <w:r w:rsidR="00F600E5" w:rsidRPr="00F600E5">
        <w:rPr>
          <w:snapToGrid w:val="0"/>
          <w:kern w:val="22"/>
          <w:szCs w:val="22"/>
          <w:lang w:val="es-ES_tradnl"/>
        </w:rPr>
        <w:t xml:space="preserve">para </w:t>
      </w:r>
      <w:r w:rsidRPr="00F600E5">
        <w:rPr>
          <w:snapToGrid w:val="0"/>
          <w:kern w:val="22"/>
          <w:szCs w:val="22"/>
          <w:lang w:val="es-ES_tradnl"/>
        </w:rPr>
        <w:t xml:space="preserve">apoyar la </w:t>
      </w:r>
      <w:r w:rsidR="00F600E5" w:rsidRPr="00F600E5">
        <w:rPr>
          <w:snapToGrid w:val="0"/>
          <w:kern w:val="22"/>
          <w:szCs w:val="22"/>
          <w:lang w:val="es-ES_tradnl"/>
        </w:rPr>
        <w:t>ejecución</w:t>
      </w:r>
      <w:r w:rsidRPr="00F600E5">
        <w:rPr>
          <w:snapToGrid w:val="0"/>
          <w:kern w:val="22"/>
          <w:szCs w:val="22"/>
          <w:lang w:val="es-ES_tradnl"/>
        </w:rPr>
        <w:t xml:space="preserve"> del Plan Estratégico en su conjunto, en particular durante sus primeros años</w:t>
      </w:r>
      <w:r w:rsidR="00084813" w:rsidRPr="00F600E5">
        <w:rPr>
          <w:snapToGrid w:val="0"/>
          <w:kern w:val="22"/>
          <w:szCs w:val="22"/>
          <w:lang w:val="es-ES_tradnl"/>
        </w:rPr>
        <w:t xml:space="preserve">. </w:t>
      </w:r>
      <w:r w:rsidRPr="00F600E5">
        <w:rPr>
          <w:snapToGrid w:val="0"/>
          <w:kern w:val="22"/>
          <w:szCs w:val="22"/>
          <w:lang w:val="es-ES_tradnl"/>
        </w:rPr>
        <w:t>El lento avance de las Partes del que se informa mediante el marco de presentación de informes financieros parece corroborar esto</w:t>
      </w:r>
      <w:r w:rsidR="00084813" w:rsidRPr="00F600E5">
        <w:rPr>
          <w:snapToGrid w:val="0"/>
          <w:kern w:val="22"/>
          <w:szCs w:val="22"/>
          <w:lang w:val="es-ES_tradnl"/>
        </w:rPr>
        <w:t xml:space="preserve">. </w:t>
      </w:r>
      <w:r w:rsidRPr="00F600E5">
        <w:rPr>
          <w:snapToGrid w:val="0"/>
          <w:kern w:val="22"/>
          <w:szCs w:val="22"/>
          <w:lang w:val="es-ES_tradnl"/>
        </w:rPr>
        <w:t>Por tanto, podría ser conveniente iniciar el examen del componente de movilización de recursos del marco para la diversidad biológica posterior a 2020 en una fase temprana del proceso</w:t>
      </w:r>
      <w:r w:rsidR="00084813" w:rsidRPr="00F600E5">
        <w:rPr>
          <w:snapToGrid w:val="0"/>
          <w:kern w:val="22"/>
          <w:szCs w:val="22"/>
          <w:lang w:val="es-ES_tradnl"/>
        </w:rPr>
        <w:t>.</w:t>
      </w:r>
    </w:p>
    <w:p w:rsidR="0049225D" w:rsidRPr="00F600E5" w:rsidRDefault="0049225D" w:rsidP="0049225D">
      <w:pPr>
        <w:pStyle w:val="ListParagraph"/>
        <w:spacing w:after="120"/>
        <w:ind w:left="0"/>
        <w:rPr>
          <w:snapToGrid w:val="0"/>
          <w:kern w:val="22"/>
          <w:szCs w:val="22"/>
          <w:lang w:val="es-ES_tradnl"/>
        </w:rPr>
      </w:pPr>
    </w:p>
    <w:p w:rsidR="0049225D" w:rsidRPr="00F600E5" w:rsidRDefault="00CF5EAC" w:rsidP="0049225D">
      <w:pPr>
        <w:pStyle w:val="ListParagraph"/>
        <w:numPr>
          <w:ilvl w:val="0"/>
          <w:numId w:val="19"/>
        </w:numPr>
        <w:spacing w:after="120"/>
        <w:ind w:left="0" w:firstLine="0"/>
        <w:rPr>
          <w:snapToGrid w:val="0"/>
          <w:kern w:val="22"/>
          <w:szCs w:val="22"/>
          <w:lang w:val="es-ES_tradnl"/>
        </w:rPr>
      </w:pPr>
      <w:r w:rsidRPr="00F600E5">
        <w:rPr>
          <w:snapToGrid w:val="0"/>
          <w:kern w:val="22"/>
          <w:szCs w:val="22"/>
          <w:lang w:val="es-ES_tradnl"/>
        </w:rPr>
        <w:t xml:space="preserve">En segundo lugar, si bien el progreso </w:t>
      </w:r>
      <w:r w:rsidR="00A46AD9" w:rsidRPr="00F600E5">
        <w:rPr>
          <w:snapToGrid w:val="0"/>
          <w:kern w:val="22"/>
          <w:szCs w:val="22"/>
          <w:lang w:val="es-ES_tradnl"/>
        </w:rPr>
        <w:t xml:space="preserve">general </w:t>
      </w:r>
      <w:r w:rsidRPr="00F600E5">
        <w:rPr>
          <w:snapToGrid w:val="0"/>
          <w:kern w:val="22"/>
          <w:szCs w:val="22"/>
          <w:lang w:val="es-ES_tradnl"/>
        </w:rPr>
        <w:t>ha sido demasiado lento comparado con el grado de ambición de las metas, se ha</w:t>
      </w:r>
      <w:r w:rsidR="00F600E5" w:rsidRPr="00F600E5">
        <w:rPr>
          <w:snapToGrid w:val="0"/>
          <w:kern w:val="22"/>
          <w:szCs w:val="22"/>
          <w:lang w:val="es-ES_tradnl"/>
        </w:rPr>
        <w:t xml:space="preserve">n logrado avances </w:t>
      </w:r>
      <w:r w:rsidRPr="00F600E5">
        <w:rPr>
          <w:snapToGrid w:val="0"/>
          <w:kern w:val="22"/>
          <w:szCs w:val="22"/>
          <w:lang w:val="es-ES_tradnl"/>
        </w:rPr>
        <w:t>desde 2010, por ejemplo en lo que respecta a las corrientes de financiación</w:t>
      </w:r>
      <w:r w:rsidR="00F600E5" w:rsidRPr="00F600E5">
        <w:rPr>
          <w:snapToGrid w:val="0"/>
          <w:kern w:val="22"/>
          <w:szCs w:val="22"/>
          <w:lang w:val="es-ES_tradnl"/>
        </w:rPr>
        <w:t xml:space="preserve"> reales</w:t>
      </w:r>
      <w:r w:rsidR="00084813" w:rsidRPr="00F600E5">
        <w:rPr>
          <w:snapToGrid w:val="0"/>
          <w:kern w:val="22"/>
          <w:szCs w:val="22"/>
          <w:lang w:val="es-ES_tradnl"/>
        </w:rPr>
        <w:t xml:space="preserve">, </w:t>
      </w:r>
      <w:r w:rsidRPr="00F600E5">
        <w:rPr>
          <w:snapToGrid w:val="0"/>
          <w:kern w:val="22"/>
          <w:szCs w:val="22"/>
          <w:lang w:val="es-ES_tradnl"/>
        </w:rPr>
        <w:t xml:space="preserve">tales como el aumento </w:t>
      </w:r>
      <w:r w:rsidR="00F600E5" w:rsidRPr="00F600E5">
        <w:rPr>
          <w:snapToGrid w:val="0"/>
          <w:kern w:val="22"/>
          <w:szCs w:val="22"/>
          <w:lang w:val="es-ES_tradnl"/>
        </w:rPr>
        <w:t xml:space="preserve">registrado </w:t>
      </w:r>
      <w:r w:rsidRPr="00F600E5">
        <w:rPr>
          <w:snapToGrid w:val="0"/>
          <w:kern w:val="22"/>
          <w:szCs w:val="22"/>
          <w:lang w:val="es-ES_tradnl"/>
        </w:rPr>
        <w:t>en los flujos internacionales relacionado</w:t>
      </w:r>
      <w:r w:rsidR="00F600E5" w:rsidRPr="00F600E5">
        <w:rPr>
          <w:snapToGrid w:val="0"/>
          <w:kern w:val="22"/>
          <w:szCs w:val="22"/>
          <w:lang w:val="es-ES_tradnl"/>
        </w:rPr>
        <w:t>s</w:t>
      </w:r>
      <w:r w:rsidRPr="00F600E5">
        <w:rPr>
          <w:snapToGrid w:val="0"/>
          <w:kern w:val="22"/>
          <w:szCs w:val="22"/>
          <w:lang w:val="es-ES_tradnl"/>
        </w:rPr>
        <w:t xml:space="preserve"> con la diversidad biológica</w:t>
      </w:r>
      <w:r w:rsidR="00084813" w:rsidRPr="00F600E5">
        <w:rPr>
          <w:snapToGrid w:val="0"/>
          <w:kern w:val="22"/>
          <w:szCs w:val="22"/>
          <w:lang w:val="es-ES_tradnl"/>
        </w:rPr>
        <w:t xml:space="preserve">; </w:t>
      </w:r>
      <w:r w:rsidRPr="00F600E5">
        <w:rPr>
          <w:snapToGrid w:val="0"/>
          <w:kern w:val="22"/>
          <w:szCs w:val="22"/>
          <w:lang w:val="es-ES_tradnl"/>
        </w:rPr>
        <w:t>en lo que respecta al progreso metodológico</w:t>
      </w:r>
      <w:r w:rsidR="00084813" w:rsidRPr="00F600E5">
        <w:rPr>
          <w:snapToGrid w:val="0"/>
          <w:kern w:val="22"/>
          <w:szCs w:val="22"/>
          <w:lang w:val="es-ES_tradnl"/>
        </w:rPr>
        <w:t xml:space="preserve">, </w:t>
      </w:r>
      <w:r w:rsidRPr="00F600E5">
        <w:rPr>
          <w:snapToGrid w:val="0"/>
          <w:kern w:val="22"/>
          <w:szCs w:val="22"/>
          <w:lang w:val="es-ES_tradnl"/>
        </w:rPr>
        <w:t>tales como la creciente madurez de la metodología del BIOFIN</w:t>
      </w:r>
      <w:r w:rsidR="00084813" w:rsidRPr="00F600E5">
        <w:rPr>
          <w:snapToGrid w:val="0"/>
          <w:kern w:val="22"/>
          <w:szCs w:val="22"/>
          <w:lang w:val="es-ES_tradnl"/>
        </w:rPr>
        <w:t xml:space="preserve">; </w:t>
      </w:r>
      <w:r w:rsidRPr="00F600E5">
        <w:rPr>
          <w:snapToGrid w:val="0"/>
          <w:kern w:val="22"/>
          <w:szCs w:val="22"/>
          <w:lang w:val="es-ES_tradnl"/>
        </w:rPr>
        <w:t>y en lo que respecta al impulso de su aplicación en los países en desarrollo y en los países con economías en transición</w:t>
      </w:r>
      <w:r w:rsidR="00084813" w:rsidRPr="00F600E5">
        <w:rPr>
          <w:snapToGrid w:val="0"/>
          <w:kern w:val="22"/>
          <w:szCs w:val="22"/>
          <w:lang w:val="es-ES_tradnl"/>
        </w:rPr>
        <w:t xml:space="preserve">. </w:t>
      </w:r>
      <w:r w:rsidRPr="00F600E5">
        <w:rPr>
          <w:snapToGrid w:val="0"/>
          <w:kern w:val="22"/>
          <w:szCs w:val="22"/>
          <w:lang w:val="es-ES_tradnl"/>
        </w:rPr>
        <w:t>Por tanto</w:t>
      </w:r>
      <w:r w:rsidR="00F600E5" w:rsidRPr="00F600E5">
        <w:rPr>
          <w:snapToGrid w:val="0"/>
          <w:kern w:val="22"/>
          <w:szCs w:val="22"/>
          <w:lang w:val="es-ES_tradnl"/>
        </w:rPr>
        <w:t>,</w:t>
      </w:r>
      <w:r w:rsidRPr="00F600E5">
        <w:rPr>
          <w:snapToGrid w:val="0"/>
          <w:kern w:val="22"/>
          <w:szCs w:val="22"/>
          <w:lang w:val="es-ES_tradnl"/>
        </w:rPr>
        <w:t xml:space="preserve"> podría ser conveniente, a la hora de elaborar el componente de movilización de recursos del marco para la diversidad biológica posterior a </w:t>
      </w:r>
      <w:r w:rsidR="00084813" w:rsidRPr="00F600E5">
        <w:rPr>
          <w:snapToGrid w:val="0"/>
          <w:kern w:val="22"/>
          <w:szCs w:val="22"/>
          <w:lang w:val="es-ES_tradnl"/>
        </w:rPr>
        <w:t xml:space="preserve">2020, </w:t>
      </w:r>
      <w:r w:rsidRPr="00F600E5">
        <w:rPr>
          <w:snapToGrid w:val="0"/>
          <w:kern w:val="22"/>
          <w:szCs w:val="22"/>
          <w:lang w:val="es-ES_tradnl"/>
        </w:rPr>
        <w:t>aprovechar y reforzar el progreso alcanzado</w:t>
      </w:r>
      <w:r w:rsidR="00084813" w:rsidRPr="00F600E5">
        <w:rPr>
          <w:snapToGrid w:val="0"/>
          <w:kern w:val="22"/>
          <w:szCs w:val="22"/>
          <w:lang w:val="es-ES_tradnl"/>
        </w:rPr>
        <w:t>.</w:t>
      </w:r>
    </w:p>
    <w:p w:rsidR="00583760" w:rsidRPr="00F600E5" w:rsidRDefault="00583760" w:rsidP="00583760">
      <w:pPr>
        <w:pStyle w:val="ListParagraph"/>
        <w:spacing w:after="120"/>
        <w:ind w:left="0"/>
        <w:rPr>
          <w:snapToGrid w:val="0"/>
          <w:kern w:val="22"/>
          <w:szCs w:val="22"/>
          <w:lang w:val="es-ES_tradnl"/>
        </w:rPr>
      </w:pPr>
    </w:p>
    <w:p w:rsidR="0049225D" w:rsidRPr="00F600E5" w:rsidRDefault="000560FA" w:rsidP="0049225D">
      <w:pPr>
        <w:pStyle w:val="ListParagraph"/>
        <w:numPr>
          <w:ilvl w:val="0"/>
          <w:numId w:val="19"/>
        </w:numPr>
        <w:spacing w:after="120"/>
        <w:ind w:left="0" w:firstLine="0"/>
        <w:rPr>
          <w:snapToGrid w:val="0"/>
          <w:kern w:val="22"/>
          <w:szCs w:val="22"/>
          <w:lang w:val="es-ES_tradnl"/>
        </w:rPr>
      </w:pPr>
      <w:r w:rsidRPr="00F600E5">
        <w:rPr>
          <w:snapToGrid w:val="0"/>
          <w:kern w:val="22"/>
          <w:szCs w:val="22"/>
          <w:lang w:val="es-ES_tradnl"/>
        </w:rPr>
        <w:t>En tercer lugar, considera</w:t>
      </w:r>
      <w:r w:rsidR="00E50DEA" w:rsidRPr="00F600E5">
        <w:rPr>
          <w:snapToGrid w:val="0"/>
          <w:kern w:val="22"/>
          <w:szCs w:val="22"/>
          <w:lang w:val="es-ES_tradnl"/>
        </w:rPr>
        <w:t>r</w:t>
      </w:r>
      <w:r w:rsidRPr="00F600E5">
        <w:rPr>
          <w:snapToGrid w:val="0"/>
          <w:kern w:val="22"/>
          <w:szCs w:val="22"/>
          <w:lang w:val="es-ES_tradnl"/>
        </w:rPr>
        <w:t xml:space="preserve"> el componente de movilización de recurso</w:t>
      </w:r>
      <w:r w:rsidR="00F600E5" w:rsidRPr="00F600E5">
        <w:rPr>
          <w:snapToGrid w:val="0"/>
          <w:kern w:val="22"/>
          <w:szCs w:val="22"/>
          <w:lang w:val="es-ES_tradnl"/>
        </w:rPr>
        <w:t>s</w:t>
      </w:r>
      <w:r w:rsidRPr="00F600E5">
        <w:rPr>
          <w:snapToGrid w:val="0"/>
          <w:kern w:val="22"/>
          <w:szCs w:val="22"/>
          <w:lang w:val="es-ES_tradnl"/>
        </w:rPr>
        <w:t xml:space="preserve"> en estrecha sincronía con la elaboración de un marco general posterior a 2020 contribuiría a garantizar que la ambición general del componente de financiación sea acorde con la ambición del marco global para la diversidad posterior a 2020</w:t>
      </w:r>
      <w:r w:rsidR="00084813" w:rsidRPr="00F600E5">
        <w:rPr>
          <w:snapToGrid w:val="0"/>
          <w:kern w:val="22"/>
          <w:szCs w:val="22"/>
          <w:lang w:val="es-ES_tradnl"/>
        </w:rPr>
        <w:t xml:space="preserve">, </w:t>
      </w:r>
      <w:r w:rsidRPr="00F600E5">
        <w:rPr>
          <w:snapToGrid w:val="0"/>
          <w:kern w:val="22"/>
          <w:szCs w:val="22"/>
          <w:lang w:val="es-ES_tradnl"/>
        </w:rPr>
        <w:t xml:space="preserve">incluido en </w:t>
      </w:r>
      <w:r w:rsidR="00084813" w:rsidRPr="00F600E5">
        <w:rPr>
          <w:snapToGrid w:val="0"/>
          <w:kern w:val="22"/>
          <w:szCs w:val="22"/>
          <w:lang w:val="es-ES_tradnl"/>
        </w:rPr>
        <w:t xml:space="preserve">particular </w:t>
      </w:r>
      <w:r w:rsidRPr="00F600E5">
        <w:rPr>
          <w:snapToGrid w:val="0"/>
          <w:kern w:val="22"/>
          <w:szCs w:val="22"/>
          <w:lang w:val="es-ES_tradnl"/>
        </w:rPr>
        <w:t xml:space="preserve">la ambición para lograr medidas importantes en la próxima década en pos del </w:t>
      </w:r>
      <w:r w:rsidRPr="00F600E5">
        <w:rPr>
          <w:snapToGrid w:val="0"/>
          <w:kern w:val="22"/>
          <w:szCs w:val="22"/>
          <w:lang w:val="es-ES_tradnl"/>
        </w:rPr>
        <w:lastRenderedPageBreak/>
        <w:t>cambio transformado</w:t>
      </w:r>
      <w:r w:rsidR="00DA00FD" w:rsidRPr="00F600E5">
        <w:rPr>
          <w:snapToGrid w:val="0"/>
          <w:kern w:val="22"/>
          <w:szCs w:val="22"/>
          <w:lang w:val="es-ES_tradnl"/>
        </w:rPr>
        <w:t>r</w:t>
      </w:r>
      <w:r w:rsidRPr="00F600E5">
        <w:rPr>
          <w:snapToGrid w:val="0"/>
          <w:kern w:val="22"/>
          <w:szCs w:val="22"/>
          <w:lang w:val="es-ES_tradnl"/>
        </w:rPr>
        <w:t xml:space="preserve"> del régimen de la diversidad biológica </w:t>
      </w:r>
      <w:r w:rsidR="00E50DEA" w:rsidRPr="00F600E5">
        <w:rPr>
          <w:snapToGrid w:val="0"/>
          <w:kern w:val="22"/>
          <w:szCs w:val="22"/>
          <w:lang w:val="es-ES_tradnl"/>
        </w:rPr>
        <w:t xml:space="preserve">para </w:t>
      </w:r>
      <w:r w:rsidR="00084813" w:rsidRPr="00F600E5">
        <w:rPr>
          <w:snapToGrid w:val="0"/>
          <w:kern w:val="22"/>
          <w:szCs w:val="22"/>
          <w:lang w:val="es-ES_tradnl"/>
        </w:rPr>
        <w:t xml:space="preserve">2050, </w:t>
      </w:r>
      <w:r w:rsidRPr="00F600E5">
        <w:rPr>
          <w:snapToGrid w:val="0"/>
          <w:kern w:val="22"/>
          <w:szCs w:val="22"/>
          <w:lang w:val="es-ES_tradnl"/>
        </w:rPr>
        <w:t>tal como se expone en</w:t>
      </w:r>
      <w:r w:rsidR="00A46AD9" w:rsidRPr="00F600E5">
        <w:rPr>
          <w:snapToGrid w:val="0"/>
          <w:kern w:val="22"/>
          <w:szCs w:val="22"/>
          <w:lang w:val="es-ES_tradnl"/>
        </w:rPr>
        <w:t xml:space="preserve"> la adición (</w:t>
      </w:r>
      <w:r w:rsidR="00084813" w:rsidRPr="00F600E5">
        <w:rPr>
          <w:snapToGrid w:val="0"/>
          <w:kern w:val="22"/>
          <w:szCs w:val="22"/>
          <w:lang w:val="es-ES_tradnl"/>
        </w:rPr>
        <w:t>CBD/SBI/2/17/Add.1</w:t>
      </w:r>
      <w:r w:rsidR="00A46AD9" w:rsidRPr="00F600E5">
        <w:rPr>
          <w:snapToGrid w:val="0"/>
          <w:kern w:val="22"/>
          <w:szCs w:val="22"/>
          <w:lang w:val="es-ES_tradnl"/>
        </w:rPr>
        <w:t>)</w:t>
      </w:r>
      <w:r w:rsidR="00084813" w:rsidRPr="00F600E5">
        <w:rPr>
          <w:snapToGrid w:val="0"/>
          <w:kern w:val="22"/>
          <w:szCs w:val="22"/>
          <w:lang w:val="es-ES_tradnl"/>
        </w:rPr>
        <w:t>.</w:t>
      </w:r>
      <w:r w:rsidR="00084813" w:rsidRPr="00F600E5">
        <w:rPr>
          <w:kern w:val="22"/>
          <w:lang w:val="es-ES_tradnl"/>
        </w:rPr>
        <w:t xml:space="preserve"> </w:t>
      </w:r>
      <w:r w:rsidRPr="00F600E5">
        <w:rPr>
          <w:kern w:val="22"/>
          <w:lang w:val="es-ES_tradnl"/>
        </w:rPr>
        <w:t>Por tanto, convendría elaborar el componente de movilización de recurso</w:t>
      </w:r>
      <w:r w:rsidR="00F600E5" w:rsidRPr="00F600E5">
        <w:rPr>
          <w:kern w:val="22"/>
          <w:lang w:val="es-ES_tradnl"/>
        </w:rPr>
        <w:t>s</w:t>
      </w:r>
      <w:r w:rsidRPr="00F600E5">
        <w:rPr>
          <w:kern w:val="22"/>
          <w:lang w:val="es-ES_tradnl"/>
        </w:rPr>
        <w:t xml:space="preserve"> del marco </w:t>
      </w:r>
      <w:r w:rsidR="00F600E5" w:rsidRPr="00F600E5">
        <w:rPr>
          <w:kern w:val="22"/>
          <w:lang w:val="es-ES_tradnl"/>
        </w:rPr>
        <w:t>para</w:t>
      </w:r>
      <w:r w:rsidR="00DA00FD" w:rsidRPr="00F600E5">
        <w:rPr>
          <w:kern w:val="22"/>
          <w:lang w:val="es-ES_tradnl"/>
        </w:rPr>
        <w:t xml:space="preserve"> la diversidad biológica posterior a 2020 de manera integral</w:t>
      </w:r>
      <w:r w:rsidR="006C31DF" w:rsidRPr="00F600E5">
        <w:rPr>
          <w:kern w:val="22"/>
          <w:lang w:val="es-ES_tradnl"/>
        </w:rPr>
        <w:t xml:space="preserve"> </w:t>
      </w:r>
      <w:r w:rsidR="00DA00FD" w:rsidRPr="00F600E5">
        <w:rPr>
          <w:kern w:val="22"/>
          <w:lang w:val="es-ES_tradnl"/>
        </w:rPr>
        <w:t>con el proceso preparatorio global</w:t>
      </w:r>
      <w:r w:rsidR="00084813" w:rsidRPr="00F600E5">
        <w:rPr>
          <w:snapToGrid w:val="0"/>
          <w:kern w:val="22"/>
          <w:szCs w:val="22"/>
          <w:lang w:val="es-ES_tradnl"/>
        </w:rPr>
        <w:t>.</w:t>
      </w:r>
    </w:p>
    <w:p w:rsidR="00583760" w:rsidRPr="00F600E5" w:rsidRDefault="00583760" w:rsidP="00583760">
      <w:pPr>
        <w:pStyle w:val="ListParagraph"/>
        <w:spacing w:after="120"/>
        <w:ind w:left="0"/>
        <w:rPr>
          <w:snapToGrid w:val="0"/>
          <w:kern w:val="22"/>
          <w:szCs w:val="22"/>
          <w:lang w:val="es-ES_tradnl"/>
        </w:rPr>
      </w:pPr>
    </w:p>
    <w:p w:rsidR="00583760" w:rsidRPr="00F600E5" w:rsidRDefault="00DA00FD" w:rsidP="00583760">
      <w:pPr>
        <w:pStyle w:val="ListParagraph"/>
        <w:numPr>
          <w:ilvl w:val="0"/>
          <w:numId w:val="19"/>
        </w:numPr>
        <w:spacing w:after="120"/>
        <w:ind w:left="0" w:firstLine="0"/>
        <w:rPr>
          <w:snapToGrid w:val="0"/>
          <w:kern w:val="22"/>
          <w:szCs w:val="22"/>
          <w:lang w:val="es-ES_tradnl"/>
        </w:rPr>
      </w:pPr>
      <w:r w:rsidRPr="00F600E5">
        <w:rPr>
          <w:snapToGrid w:val="0"/>
          <w:kern w:val="22"/>
          <w:szCs w:val="22"/>
          <w:lang w:val="es-ES_tradnl"/>
        </w:rPr>
        <w:t>En cuarto lugar, los planteamientos teóricos sobre la fina</w:t>
      </w:r>
      <w:r w:rsidR="00A46AD9" w:rsidRPr="00F600E5">
        <w:rPr>
          <w:snapToGrid w:val="0"/>
          <w:kern w:val="22"/>
          <w:szCs w:val="22"/>
          <w:lang w:val="es-ES_tradnl"/>
        </w:rPr>
        <w:t>nciación para el desarrollo ha</w:t>
      </w:r>
      <w:r w:rsidR="00F600E5" w:rsidRPr="00F600E5">
        <w:rPr>
          <w:snapToGrid w:val="0"/>
          <w:kern w:val="22"/>
          <w:szCs w:val="22"/>
          <w:lang w:val="es-ES_tradnl"/>
        </w:rPr>
        <w:t>n</w:t>
      </w:r>
      <w:r w:rsidR="00A46AD9" w:rsidRPr="00F600E5">
        <w:rPr>
          <w:snapToGrid w:val="0"/>
          <w:kern w:val="22"/>
          <w:szCs w:val="22"/>
          <w:lang w:val="es-ES_tradnl"/>
        </w:rPr>
        <w:t xml:space="preserve"> </w:t>
      </w:r>
      <w:r w:rsidRPr="00F600E5">
        <w:rPr>
          <w:snapToGrid w:val="0"/>
          <w:kern w:val="22"/>
          <w:szCs w:val="22"/>
          <w:lang w:val="es-ES_tradnl"/>
        </w:rPr>
        <w:t xml:space="preserve">evolucionado desde la </w:t>
      </w:r>
      <w:r w:rsidR="00A46AD9" w:rsidRPr="00F600E5">
        <w:rPr>
          <w:snapToGrid w:val="0"/>
          <w:kern w:val="22"/>
          <w:szCs w:val="22"/>
          <w:lang w:val="es-ES_tradnl"/>
        </w:rPr>
        <w:t xml:space="preserve">adopción </w:t>
      </w:r>
      <w:r w:rsidRPr="00F600E5">
        <w:rPr>
          <w:snapToGrid w:val="0"/>
          <w:kern w:val="22"/>
          <w:szCs w:val="22"/>
          <w:lang w:val="es-ES_tradnl"/>
        </w:rPr>
        <w:t xml:space="preserve">de la estrategia para la movilización de recursos en </w:t>
      </w:r>
      <w:r w:rsidR="00084813" w:rsidRPr="00F600E5">
        <w:rPr>
          <w:snapToGrid w:val="0"/>
          <w:kern w:val="22"/>
          <w:szCs w:val="22"/>
          <w:lang w:val="es-ES_tradnl"/>
        </w:rPr>
        <w:t xml:space="preserve">2009. </w:t>
      </w:r>
      <w:r w:rsidRPr="00F600E5">
        <w:rPr>
          <w:snapToGrid w:val="0"/>
          <w:kern w:val="22"/>
          <w:szCs w:val="22"/>
          <w:lang w:val="es-ES_tradnl"/>
        </w:rPr>
        <w:t>En el contexto global del Programa de 2030 para el Desarrollo Sostenible</w:t>
      </w:r>
      <w:r w:rsidR="00AB7187" w:rsidRPr="00F600E5">
        <w:rPr>
          <w:rStyle w:val="FootnoteReference"/>
          <w:snapToGrid w:val="0"/>
          <w:kern w:val="22"/>
          <w:szCs w:val="22"/>
          <w:lang w:val="es-ES_tradnl"/>
        </w:rPr>
        <w:footnoteReference w:id="38"/>
      </w:r>
      <w:r w:rsidR="00084813" w:rsidRPr="00F600E5">
        <w:rPr>
          <w:snapToGrid w:val="0"/>
          <w:kern w:val="22"/>
          <w:szCs w:val="22"/>
          <w:lang w:val="es-ES_tradnl"/>
        </w:rPr>
        <w:t xml:space="preserve">, </w:t>
      </w:r>
      <w:r w:rsidRPr="00F600E5">
        <w:rPr>
          <w:snapToGrid w:val="0"/>
          <w:kern w:val="22"/>
          <w:szCs w:val="22"/>
          <w:lang w:val="es-ES_tradnl"/>
        </w:rPr>
        <w:t>esto se reflejó en particular en la Agenda de Acción de Addis Abeba.</w:t>
      </w:r>
      <w:r w:rsidR="00084813" w:rsidRPr="00F600E5">
        <w:rPr>
          <w:snapToGrid w:val="0"/>
          <w:kern w:val="22"/>
          <w:szCs w:val="22"/>
          <w:lang w:val="es-ES_tradnl"/>
        </w:rPr>
        <w:t xml:space="preserve"> </w:t>
      </w:r>
      <w:r w:rsidRPr="00F600E5">
        <w:rPr>
          <w:snapToGrid w:val="0"/>
          <w:kern w:val="22"/>
          <w:szCs w:val="22"/>
          <w:lang w:val="es-ES_tradnl"/>
        </w:rPr>
        <w:t>Por tanto, podría ser co</w:t>
      </w:r>
      <w:r w:rsidR="0053516A" w:rsidRPr="00F600E5">
        <w:rPr>
          <w:snapToGrid w:val="0"/>
          <w:kern w:val="22"/>
          <w:szCs w:val="22"/>
          <w:lang w:val="es-ES_tradnl"/>
        </w:rPr>
        <w:t>nvenie</w:t>
      </w:r>
      <w:r w:rsidR="004B60DF" w:rsidRPr="00F600E5">
        <w:rPr>
          <w:snapToGrid w:val="0"/>
          <w:kern w:val="22"/>
          <w:szCs w:val="22"/>
          <w:lang w:val="es-ES_tradnl"/>
        </w:rPr>
        <w:t xml:space="preserve">nte, al </w:t>
      </w:r>
      <w:r w:rsidR="00F600E5" w:rsidRPr="00F600E5">
        <w:rPr>
          <w:snapToGrid w:val="0"/>
          <w:kern w:val="22"/>
          <w:szCs w:val="22"/>
          <w:lang w:val="es-ES_tradnl"/>
        </w:rPr>
        <w:t xml:space="preserve">elaborar el </w:t>
      </w:r>
      <w:r w:rsidR="004B60DF" w:rsidRPr="00F600E5">
        <w:rPr>
          <w:snapToGrid w:val="0"/>
          <w:kern w:val="22"/>
          <w:szCs w:val="22"/>
          <w:lang w:val="es-ES_tradnl"/>
        </w:rPr>
        <w:t xml:space="preserve">elemento </w:t>
      </w:r>
      <w:r w:rsidRPr="00F600E5">
        <w:rPr>
          <w:snapToGrid w:val="0"/>
          <w:kern w:val="22"/>
          <w:szCs w:val="22"/>
          <w:lang w:val="es-ES_tradnl"/>
        </w:rPr>
        <w:t xml:space="preserve">para la movilización de recursos del marco para la diversidad </w:t>
      </w:r>
      <w:r w:rsidR="00541C9D" w:rsidRPr="00F600E5">
        <w:rPr>
          <w:snapToGrid w:val="0"/>
          <w:kern w:val="22"/>
          <w:szCs w:val="22"/>
          <w:lang w:val="es-ES_tradnl"/>
        </w:rPr>
        <w:t>bioló</w:t>
      </w:r>
      <w:r w:rsidRPr="00F600E5">
        <w:rPr>
          <w:snapToGrid w:val="0"/>
          <w:kern w:val="22"/>
          <w:szCs w:val="22"/>
          <w:lang w:val="es-ES_tradnl"/>
        </w:rPr>
        <w:t xml:space="preserve">gica posterior a </w:t>
      </w:r>
      <w:r w:rsidR="00084813" w:rsidRPr="00F600E5">
        <w:rPr>
          <w:snapToGrid w:val="0"/>
          <w:kern w:val="22"/>
          <w:szCs w:val="22"/>
          <w:lang w:val="es-ES_tradnl"/>
        </w:rPr>
        <w:t xml:space="preserve">2020, </w:t>
      </w:r>
      <w:r w:rsidRPr="00F600E5">
        <w:rPr>
          <w:snapToGrid w:val="0"/>
          <w:kern w:val="22"/>
          <w:szCs w:val="22"/>
          <w:lang w:val="es-ES_tradnl"/>
        </w:rPr>
        <w:t xml:space="preserve">tener en cuenta este marco general de financiación, así como </w:t>
      </w:r>
      <w:r w:rsidR="00541C9D" w:rsidRPr="00F600E5">
        <w:rPr>
          <w:snapToGrid w:val="0"/>
          <w:kern w:val="22"/>
          <w:szCs w:val="22"/>
          <w:lang w:val="es-ES_tradnl"/>
        </w:rPr>
        <w:t>otras circunstancias internacionales en esta esfera</w:t>
      </w:r>
      <w:r w:rsidR="00084813" w:rsidRPr="00F600E5">
        <w:rPr>
          <w:snapToGrid w:val="0"/>
          <w:kern w:val="22"/>
          <w:szCs w:val="22"/>
          <w:lang w:val="es-ES_tradnl"/>
        </w:rPr>
        <w:t>.</w:t>
      </w:r>
    </w:p>
    <w:p w:rsidR="00583760" w:rsidRPr="00F600E5" w:rsidRDefault="00583760" w:rsidP="00583760">
      <w:pPr>
        <w:pStyle w:val="ListParagraph"/>
        <w:spacing w:after="120"/>
        <w:ind w:left="0"/>
        <w:rPr>
          <w:snapToGrid w:val="0"/>
          <w:kern w:val="22"/>
          <w:szCs w:val="22"/>
          <w:lang w:val="es-ES_tradnl"/>
        </w:rPr>
      </w:pPr>
    </w:p>
    <w:p w:rsidR="00084813" w:rsidRPr="00F600E5" w:rsidRDefault="00A311E1" w:rsidP="0049225D">
      <w:pPr>
        <w:pStyle w:val="ListParagraph"/>
        <w:numPr>
          <w:ilvl w:val="0"/>
          <w:numId w:val="19"/>
        </w:numPr>
        <w:spacing w:after="120"/>
        <w:ind w:left="0" w:firstLine="0"/>
        <w:rPr>
          <w:snapToGrid w:val="0"/>
          <w:kern w:val="22"/>
          <w:szCs w:val="22"/>
          <w:lang w:val="es-ES_tradnl"/>
        </w:rPr>
      </w:pPr>
      <w:r w:rsidRPr="00F600E5">
        <w:rPr>
          <w:snapToGrid w:val="0"/>
          <w:kern w:val="22"/>
          <w:szCs w:val="22"/>
          <w:lang w:val="es-ES_tradnl"/>
        </w:rPr>
        <w:t>En lo que respecta al proceso preparatori</w:t>
      </w:r>
      <w:r w:rsidR="000470DF" w:rsidRPr="00F600E5">
        <w:rPr>
          <w:snapToGrid w:val="0"/>
          <w:kern w:val="22"/>
          <w:szCs w:val="22"/>
          <w:lang w:val="es-ES_tradnl"/>
        </w:rPr>
        <w:t>o</w:t>
      </w:r>
      <w:r w:rsidRPr="00F600E5">
        <w:rPr>
          <w:snapToGrid w:val="0"/>
          <w:kern w:val="22"/>
          <w:szCs w:val="22"/>
          <w:lang w:val="es-ES_tradnl"/>
        </w:rPr>
        <w:t>, el anex</w:t>
      </w:r>
      <w:r w:rsidR="000470DF" w:rsidRPr="00F600E5">
        <w:rPr>
          <w:snapToGrid w:val="0"/>
          <w:kern w:val="22"/>
          <w:szCs w:val="22"/>
          <w:lang w:val="es-ES_tradnl"/>
        </w:rPr>
        <w:t>o</w:t>
      </w:r>
      <w:r w:rsidRPr="00F600E5">
        <w:rPr>
          <w:snapToGrid w:val="0"/>
          <w:kern w:val="22"/>
          <w:szCs w:val="22"/>
          <w:lang w:val="es-ES_tradnl"/>
        </w:rPr>
        <w:t xml:space="preserve"> </w:t>
      </w:r>
      <w:r w:rsidR="00AB7187" w:rsidRPr="00F600E5">
        <w:rPr>
          <w:snapToGrid w:val="0"/>
          <w:kern w:val="22"/>
          <w:szCs w:val="22"/>
          <w:lang w:val="es-ES_tradnl"/>
        </w:rPr>
        <w:t xml:space="preserve">de </w:t>
      </w:r>
      <w:r w:rsidR="00084813" w:rsidRPr="00F600E5">
        <w:rPr>
          <w:snapToGrid w:val="0"/>
          <w:kern w:val="22"/>
          <w:szCs w:val="22"/>
          <w:lang w:val="es-ES_tradnl"/>
        </w:rPr>
        <w:t xml:space="preserve">CBD/SBI/2/17 </w:t>
      </w:r>
      <w:r w:rsidR="000470DF" w:rsidRPr="00F600E5">
        <w:rPr>
          <w:snapToGrid w:val="0"/>
          <w:kern w:val="22"/>
          <w:szCs w:val="22"/>
          <w:lang w:val="es-ES_tradnl"/>
        </w:rPr>
        <w:t>da una cronología indicativa de las principales actividades que se llevarán a cabo</w:t>
      </w:r>
      <w:r w:rsidR="00084813" w:rsidRPr="00F600E5">
        <w:rPr>
          <w:snapToGrid w:val="0"/>
          <w:kern w:val="22"/>
          <w:szCs w:val="22"/>
          <w:lang w:val="es-ES_tradnl"/>
        </w:rPr>
        <w:t xml:space="preserve">. </w:t>
      </w:r>
      <w:r w:rsidR="000470DF" w:rsidRPr="00F600E5">
        <w:rPr>
          <w:snapToGrid w:val="0"/>
          <w:kern w:val="22"/>
          <w:szCs w:val="22"/>
          <w:lang w:val="es-ES_tradnl"/>
        </w:rPr>
        <w:t>En vista de la continua importancia del programa de movilización de recursos</w:t>
      </w:r>
      <w:r w:rsidR="00084813" w:rsidRPr="00F600E5">
        <w:rPr>
          <w:snapToGrid w:val="0"/>
          <w:kern w:val="22"/>
          <w:szCs w:val="22"/>
          <w:lang w:val="es-ES_tradnl"/>
        </w:rPr>
        <w:t xml:space="preserve">, </w:t>
      </w:r>
      <w:r w:rsidR="000470DF" w:rsidRPr="00F600E5">
        <w:rPr>
          <w:snapToGrid w:val="0"/>
          <w:kern w:val="22"/>
          <w:szCs w:val="22"/>
          <w:lang w:val="es-ES_tradnl"/>
        </w:rPr>
        <w:t>así como de los conocimientos específicos necesario</w:t>
      </w:r>
      <w:r w:rsidR="00F600E5" w:rsidRPr="00F600E5">
        <w:rPr>
          <w:snapToGrid w:val="0"/>
          <w:kern w:val="22"/>
          <w:szCs w:val="22"/>
          <w:lang w:val="es-ES_tradnl"/>
        </w:rPr>
        <w:t>s</w:t>
      </w:r>
      <w:r w:rsidR="000470DF" w:rsidRPr="00F600E5">
        <w:rPr>
          <w:snapToGrid w:val="0"/>
          <w:kern w:val="22"/>
          <w:szCs w:val="22"/>
          <w:lang w:val="es-ES_tradnl"/>
        </w:rPr>
        <w:t xml:space="preserve">, </w:t>
      </w:r>
      <w:r w:rsidR="00F600E5" w:rsidRPr="00F600E5">
        <w:rPr>
          <w:snapToGrid w:val="0"/>
          <w:kern w:val="22"/>
          <w:szCs w:val="22"/>
          <w:lang w:val="es-ES_tradnl"/>
        </w:rPr>
        <w:t xml:space="preserve">al parecer </w:t>
      </w:r>
      <w:r w:rsidR="000470DF" w:rsidRPr="00F600E5">
        <w:rPr>
          <w:snapToGrid w:val="0"/>
          <w:kern w:val="22"/>
          <w:szCs w:val="22"/>
          <w:lang w:val="es-ES_tradnl"/>
        </w:rPr>
        <w:t xml:space="preserve">procede considerar la posibilidad de establecer un flujo de trabajo especializado </w:t>
      </w:r>
      <w:r w:rsidR="00564619" w:rsidRPr="00F600E5">
        <w:rPr>
          <w:snapToGrid w:val="0"/>
          <w:kern w:val="22"/>
          <w:szCs w:val="22"/>
          <w:lang w:val="es-ES_tradnl"/>
        </w:rPr>
        <w:t>con arreglo al proceso preparatorio en su conjunto</w:t>
      </w:r>
      <w:r w:rsidR="00084813" w:rsidRPr="00F600E5">
        <w:rPr>
          <w:snapToGrid w:val="0"/>
          <w:kern w:val="22"/>
          <w:szCs w:val="22"/>
          <w:lang w:val="es-ES_tradnl"/>
        </w:rPr>
        <w:t xml:space="preserve">, </w:t>
      </w:r>
      <w:r w:rsidR="00564619" w:rsidRPr="00F600E5">
        <w:rPr>
          <w:snapToGrid w:val="0"/>
          <w:kern w:val="22"/>
          <w:szCs w:val="22"/>
          <w:lang w:val="es-ES_tradnl"/>
        </w:rPr>
        <w:t>y una actividad o actividades conexas, relacionad</w:t>
      </w:r>
      <w:r w:rsidR="00F600E5" w:rsidRPr="00F600E5">
        <w:rPr>
          <w:snapToGrid w:val="0"/>
          <w:kern w:val="22"/>
          <w:szCs w:val="22"/>
          <w:lang w:val="es-ES_tradnl"/>
        </w:rPr>
        <w:t>as</w:t>
      </w:r>
      <w:r w:rsidR="00564619" w:rsidRPr="00F600E5">
        <w:rPr>
          <w:snapToGrid w:val="0"/>
          <w:kern w:val="22"/>
          <w:szCs w:val="22"/>
          <w:lang w:val="es-ES_tradnl"/>
        </w:rPr>
        <w:t xml:space="preserve"> con la movilización de recursos, teniendo en cuenta las cuestiones relativas a los co</w:t>
      </w:r>
      <w:r w:rsidR="00F600E5" w:rsidRPr="00F600E5">
        <w:rPr>
          <w:snapToGrid w:val="0"/>
          <w:kern w:val="22"/>
          <w:szCs w:val="22"/>
          <w:lang w:val="es-ES_tradnl"/>
        </w:rPr>
        <w:t>s</w:t>
      </w:r>
      <w:r w:rsidR="00564619" w:rsidRPr="00F600E5">
        <w:rPr>
          <w:snapToGrid w:val="0"/>
          <w:kern w:val="22"/>
          <w:szCs w:val="22"/>
          <w:lang w:val="es-ES_tradnl"/>
        </w:rPr>
        <w:t>tos y la coordinación con el proceso general</w:t>
      </w:r>
      <w:r w:rsidR="00084813" w:rsidRPr="00F600E5">
        <w:rPr>
          <w:snapToGrid w:val="0"/>
          <w:kern w:val="22"/>
          <w:szCs w:val="22"/>
          <w:lang w:val="es-ES_tradnl"/>
        </w:rPr>
        <w:t>.</w:t>
      </w:r>
    </w:p>
    <w:p w:rsidR="00084813" w:rsidRPr="00F600E5" w:rsidRDefault="00084813" w:rsidP="00084813">
      <w:pPr>
        <w:pStyle w:val="Heading1"/>
        <w:rPr>
          <w:snapToGrid w:val="0"/>
          <w:kern w:val="22"/>
          <w:lang w:val="es-ES_tradnl"/>
        </w:rPr>
      </w:pPr>
      <w:r w:rsidRPr="00F600E5">
        <w:rPr>
          <w:snapToGrid w:val="0"/>
          <w:kern w:val="22"/>
          <w:lang w:val="es-ES_tradnl"/>
        </w:rPr>
        <w:t xml:space="preserve">IV. </w:t>
      </w:r>
      <w:r w:rsidR="00491CB6" w:rsidRPr="00F600E5">
        <w:rPr>
          <w:snapToGrid w:val="0"/>
          <w:kern w:val="22"/>
          <w:lang w:val="es-ES_tradnl"/>
        </w:rPr>
        <w:tab/>
      </w:r>
      <w:r w:rsidRPr="00F600E5">
        <w:rPr>
          <w:snapToGrid w:val="0"/>
          <w:kern w:val="22"/>
          <w:lang w:val="es-ES_tradnl"/>
        </w:rPr>
        <w:t>Conclusion</w:t>
      </w:r>
      <w:r w:rsidR="007E392F" w:rsidRPr="00F600E5">
        <w:rPr>
          <w:snapToGrid w:val="0"/>
          <w:kern w:val="22"/>
          <w:lang w:val="es-ES_tradnl"/>
        </w:rPr>
        <w:t>Es Y ELEMENTOS DE UN PROYECTO DE RECOMENDACIÓN</w:t>
      </w:r>
    </w:p>
    <w:p w:rsidR="00084813" w:rsidRPr="00F600E5" w:rsidRDefault="00491CB6" w:rsidP="00084813">
      <w:pPr>
        <w:pStyle w:val="Heading2"/>
        <w:rPr>
          <w:kern w:val="22"/>
          <w:lang w:val="es-ES_tradnl"/>
        </w:rPr>
      </w:pPr>
      <w:r w:rsidRPr="00F600E5">
        <w:rPr>
          <w:kern w:val="22"/>
          <w:lang w:val="es-ES_tradnl"/>
        </w:rPr>
        <w:t>A.</w:t>
      </w:r>
      <w:r w:rsidRPr="00F600E5">
        <w:rPr>
          <w:kern w:val="22"/>
          <w:lang w:val="es-ES_tradnl"/>
        </w:rPr>
        <w:tab/>
      </w:r>
      <w:r w:rsidR="007E392F" w:rsidRPr="00F600E5">
        <w:rPr>
          <w:kern w:val="22"/>
          <w:lang w:val="es-ES_tradnl"/>
        </w:rPr>
        <w:t>Presentación de informes financieros</w:t>
      </w:r>
    </w:p>
    <w:p w:rsidR="00084813" w:rsidRPr="00F600E5" w:rsidRDefault="00564619" w:rsidP="0049225D">
      <w:pPr>
        <w:pStyle w:val="ListParagraph"/>
        <w:numPr>
          <w:ilvl w:val="0"/>
          <w:numId w:val="19"/>
        </w:numPr>
        <w:suppressLineNumbers/>
        <w:suppressAutoHyphens/>
        <w:spacing w:after="120"/>
        <w:ind w:left="0" w:firstLine="0"/>
        <w:rPr>
          <w:kern w:val="22"/>
          <w:szCs w:val="22"/>
          <w:lang w:val="es-ES_tradnl"/>
        </w:rPr>
      </w:pPr>
      <w:r w:rsidRPr="00F600E5">
        <w:rPr>
          <w:snapToGrid w:val="0"/>
          <w:kern w:val="22"/>
          <w:szCs w:val="22"/>
          <w:lang w:val="es-ES_tradnl"/>
        </w:rPr>
        <w:t xml:space="preserve">En vista del lento progreso general en la presentación de informes financieros, el Órgano Subsidiario </w:t>
      </w:r>
      <w:r w:rsidR="00AB7187" w:rsidRPr="00F600E5">
        <w:rPr>
          <w:snapToGrid w:val="0"/>
          <w:kern w:val="22"/>
          <w:szCs w:val="22"/>
          <w:lang w:val="es-ES_tradnl"/>
        </w:rPr>
        <w:t xml:space="preserve">tal vez desee recomendar </w:t>
      </w:r>
      <w:r w:rsidRPr="00F600E5">
        <w:rPr>
          <w:snapToGrid w:val="0"/>
          <w:kern w:val="22"/>
          <w:szCs w:val="22"/>
          <w:lang w:val="es-ES_tradnl"/>
        </w:rPr>
        <w:t>a la</w:t>
      </w:r>
      <w:r w:rsidR="006C5FC8" w:rsidRPr="00F600E5">
        <w:rPr>
          <w:snapToGrid w:val="0"/>
          <w:kern w:val="22"/>
          <w:szCs w:val="22"/>
          <w:lang w:val="es-ES_tradnl"/>
        </w:rPr>
        <w:t xml:space="preserve"> Conferencia de las Partes</w:t>
      </w:r>
      <w:r w:rsidR="00084813" w:rsidRPr="00F600E5">
        <w:rPr>
          <w:snapToGrid w:val="0"/>
          <w:kern w:val="22"/>
          <w:szCs w:val="22"/>
          <w:lang w:val="es-ES_tradnl"/>
        </w:rPr>
        <w:t xml:space="preserve"> </w:t>
      </w:r>
      <w:r w:rsidRPr="00F600E5">
        <w:rPr>
          <w:snapToGrid w:val="0"/>
          <w:kern w:val="22"/>
          <w:szCs w:val="22"/>
          <w:lang w:val="es-ES_tradnl"/>
        </w:rPr>
        <w:t xml:space="preserve">que adopte una </w:t>
      </w:r>
      <w:r w:rsidR="007E392F" w:rsidRPr="00F600E5">
        <w:rPr>
          <w:snapToGrid w:val="0"/>
          <w:kern w:val="22"/>
          <w:szCs w:val="22"/>
          <w:lang w:val="es-ES_tradnl"/>
        </w:rPr>
        <w:t>decisión</w:t>
      </w:r>
      <w:r w:rsidR="00084813" w:rsidRPr="00F600E5">
        <w:rPr>
          <w:snapToGrid w:val="0"/>
          <w:kern w:val="22"/>
          <w:szCs w:val="22"/>
          <w:lang w:val="es-ES_tradnl"/>
        </w:rPr>
        <w:t xml:space="preserve"> </w:t>
      </w:r>
      <w:r w:rsidRPr="00F600E5">
        <w:rPr>
          <w:snapToGrid w:val="0"/>
          <w:kern w:val="22"/>
          <w:szCs w:val="22"/>
          <w:lang w:val="es-ES_tradnl"/>
        </w:rPr>
        <w:t>que reiter</w:t>
      </w:r>
      <w:r w:rsidR="00F600E5" w:rsidRPr="00F600E5">
        <w:rPr>
          <w:snapToGrid w:val="0"/>
          <w:kern w:val="22"/>
          <w:szCs w:val="22"/>
          <w:lang w:val="es-ES_tradnl"/>
        </w:rPr>
        <w:t>e</w:t>
      </w:r>
      <w:r w:rsidRPr="00F600E5">
        <w:rPr>
          <w:snapToGrid w:val="0"/>
          <w:kern w:val="22"/>
          <w:szCs w:val="22"/>
          <w:lang w:val="es-ES_tradnl"/>
        </w:rPr>
        <w:t xml:space="preserve"> su </w:t>
      </w:r>
      <w:r w:rsidR="00F600E5" w:rsidRPr="00F600E5">
        <w:rPr>
          <w:snapToGrid w:val="0"/>
          <w:kern w:val="22"/>
          <w:szCs w:val="22"/>
          <w:lang w:val="es-ES_tradnl"/>
        </w:rPr>
        <w:t xml:space="preserve">invitación a las Partes a que cumplan </w:t>
      </w:r>
      <w:r w:rsidRPr="00F600E5">
        <w:rPr>
          <w:snapToGrid w:val="0"/>
          <w:kern w:val="22"/>
          <w:szCs w:val="22"/>
          <w:lang w:val="es-ES_tradnl"/>
        </w:rPr>
        <w:t xml:space="preserve">las metas relativas a la movilización de recursos </w:t>
      </w:r>
      <w:r w:rsidR="00F600E5" w:rsidRPr="00F600E5">
        <w:rPr>
          <w:snapToGrid w:val="0"/>
          <w:kern w:val="22"/>
          <w:szCs w:val="22"/>
          <w:lang w:val="es-ES_tradnl"/>
        </w:rPr>
        <w:t xml:space="preserve">y a que informen </w:t>
      </w:r>
      <w:r w:rsidRPr="00F600E5">
        <w:rPr>
          <w:snapToGrid w:val="0"/>
          <w:kern w:val="22"/>
          <w:szCs w:val="22"/>
          <w:lang w:val="es-ES_tradnl"/>
        </w:rPr>
        <w:t>prontamente al respecto</w:t>
      </w:r>
      <w:r w:rsidR="00084813" w:rsidRPr="00F600E5">
        <w:rPr>
          <w:snapToGrid w:val="0"/>
          <w:kern w:val="22"/>
          <w:szCs w:val="22"/>
          <w:lang w:val="es-ES_tradnl"/>
        </w:rPr>
        <w:t xml:space="preserve">. </w:t>
      </w:r>
      <w:r w:rsidRPr="00F600E5">
        <w:rPr>
          <w:snapToGrid w:val="0"/>
          <w:kern w:val="22"/>
          <w:szCs w:val="22"/>
          <w:lang w:val="es-ES_tradnl"/>
        </w:rPr>
        <w:t>Dad</w:t>
      </w:r>
      <w:r w:rsidR="00F600E5" w:rsidRPr="00F600E5">
        <w:rPr>
          <w:snapToGrid w:val="0"/>
          <w:kern w:val="22"/>
          <w:szCs w:val="22"/>
          <w:lang w:val="es-ES_tradnl"/>
        </w:rPr>
        <w:t>o</w:t>
      </w:r>
      <w:r w:rsidRPr="00F600E5">
        <w:rPr>
          <w:snapToGrid w:val="0"/>
          <w:kern w:val="22"/>
          <w:szCs w:val="22"/>
          <w:lang w:val="es-ES_tradnl"/>
        </w:rPr>
        <w:t xml:space="preserve">s los continuos problemas de capacidad de los países en desarrollo, el Órgano Subsidiario </w:t>
      </w:r>
      <w:r w:rsidR="00F600E5" w:rsidRPr="00F600E5">
        <w:rPr>
          <w:snapToGrid w:val="0"/>
          <w:kern w:val="22"/>
          <w:szCs w:val="22"/>
          <w:lang w:val="es-ES_tradnl"/>
        </w:rPr>
        <w:t xml:space="preserve">tal vez desee acoger con satisfacción </w:t>
      </w:r>
      <w:r w:rsidRPr="00F600E5">
        <w:rPr>
          <w:snapToGrid w:val="0"/>
          <w:kern w:val="22"/>
          <w:szCs w:val="22"/>
          <w:lang w:val="es-ES_tradnl"/>
        </w:rPr>
        <w:t xml:space="preserve">la labor de la iniciativa </w:t>
      </w:r>
      <w:r w:rsidR="00084813" w:rsidRPr="00F600E5">
        <w:rPr>
          <w:snapToGrid w:val="0"/>
          <w:kern w:val="22"/>
          <w:szCs w:val="22"/>
          <w:lang w:val="es-ES_tradnl"/>
        </w:rPr>
        <w:t xml:space="preserve">BIOFIN </w:t>
      </w:r>
      <w:r w:rsidRPr="00F600E5">
        <w:rPr>
          <w:snapToGrid w:val="0"/>
          <w:kern w:val="22"/>
          <w:szCs w:val="22"/>
          <w:lang w:val="es-ES_tradnl"/>
        </w:rPr>
        <w:t>y de otras organizaciones e iniciativas competentes</w:t>
      </w:r>
      <w:r w:rsidR="00084813" w:rsidRPr="00F600E5">
        <w:rPr>
          <w:snapToGrid w:val="0"/>
          <w:kern w:val="22"/>
          <w:szCs w:val="22"/>
          <w:lang w:val="es-ES_tradnl"/>
        </w:rPr>
        <w:t xml:space="preserve">, </w:t>
      </w:r>
      <w:r w:rsidRPr="00F600E5">
        <w:rPr>
          <w:snapToGrid w:val="0"/>
          <w:kern w:val="22"/>
          <w:szCs w:val="22"/>
          <w:lang w:val="es-ES_tradnl"/>
        </w:rPr>
        <w:t>y renovar la invitación a continuar e intensificar dicha labor</w:t>
      </w:r>
      <w:r w:rsidR="00084813" w:rsidRPr="00F600E5">
        <w:rPr>
          <w:snapToGrid w:val="0"/>
          <w:kern w:val="22"/>
          <w:szCs w:val="22"/>
          <w:lang w:val="es-ES_tradnl"/>
        </w:rPr>
        <w:t xml:space="preserve">. </w:t>
      </w:r>
      <w:r w:rsidRPr="00F600E5">
        <w:rPr>
          <w:snapToGrid w:val="0"/>
          <w:kern w:val="22"/>
          <w:szCs w:val="22"/>
          <w:lang w:val="es-ES_tradnl"/>
        </w:rPr>
        <w:t>El Órgano Subsidiario</w:t>
      </w:r>
      <w:r w:rsidR="00084813" w:rsidRPr="00F600E5">
        <w:rPr>
          <w:snapToGrid w:val="0"/>
          <w:kern w:val="22"/>
          <w:szCs w:val="22"/>
          <w:lang w:val="es-ES_tradnl"/>
        </w:rPr>
        <w:t xml:space="preserve"> </w:t>
      </w:r>
      <w:r w:rsidR="00F600E5" w:rsidRPr="00F600E5">
        <w:rPr>
          <w:snapToGrid w:val="0"/>
          <w:kern w:val="22"/>
          <w:szCs w:val="22"/>
          <w:lang w:val="es-ES_tradnl"/>
        </w:rPr>
        <w:t xml:space="preserve">tal vez desee además </w:t>
      </w:r>
      <w:r w:rsidR="0045200E" w:rsidRPr="00F600E5">
        <w:rPr>
          <w:snapToGrid w:val="0"/>
          <w:kern w:val="22"/>
          <w:szCs w:val="22"/>
          <w:lang w:val="es-ES_tradnl"/>
        </w:rPr>
        <w:t>prever la labor entre sesiones</w:t>
      </w:r>
      <w:r w:rsidR="00084813" w:rsidRPr="00F600E5">
        <w:rPr>
          <w:snapToGrid w:val="0"/>
          <w:kern w:val="22"/>
          <w:szCs w:val="22"/>
          <w:lang w:val="es-ES_tradnl"/>
        </w:rPr>
        <w:t xml:space="preserve">, </w:t>
      </w:r>
      <w:r w:rsidR="0045200E" w:rsidRPr="00F600E5">
        <w:rPr>
          <w:snapToGrid w:val="0"/>
          <w:kern w:val="22"/>
          <w:szCs w:val="22"/>
          <w:lang w:val="es-ES_tradnl"/>
        </w:rPr>
        <w:t>tal como se especifica en el proyecto de recomendación</w:t>
      </w:r>
      <w:r w:rsidR="006C31DF" w:rsidRPr="00F600E5">
        <w:rPr>
          <w:snapToGrid w:val="0"/>
          <w:kern w:val="22"/>
          <w:szCs w:val="22"/>
          <w:lang w:val="es-ES_tradnl"/>
        </w:rPr>
        <w:t xml:space="preserve"> </w:t>
      </w:r>
      <w:r w:rsidR="0045200E" w:rsidRPr="00F600E5">
        <w:rPr>
          <w:i/>
          <w:snapToGrid w:val="0"/>
          <w:kern w:val="22"/>
          <w:szCs w:val="22"/>
          <w:lang w:val="es-ES_tradnl"/>
        </w:rPr>
        <w:t>infra</w:t>
      </w:r>
      <w:r w:rsidR="00084813" w:rsidRPr="00F600E5">
        <w:rPr>
          <w:snapToGrid w:val="0"/>
          <w:kern w:val="22"/>
          <w:szCs w:val="22"/>
          <w:lang w:val="es-ES_tradnl"/>
        </w:rPr>
        <w:t xml:space="preserve">, </w:t>
      </w:r>
      <w:r w:rsidR="0045200E" w:rsidRPr="00F600E5">
        <w:rPr>
          <w:snapToGrid w:val="0"/>
          <w:kern w:val="22"/>
          <w:szCs w:val="22"/>
          <w:lang w:val="es-ES_tradnl"/>
        </w:rPr>
        <w:t xml:space="preserve">con el objetivo de dar la información más actualizada sobre la presentación de informes financieros a </w:t>
      </w:r>
      <w:r w:rsidR="006C5FC8" w:rsidRPr="00F600E5">
        <w:rPr>
          <w:snapToGrid w:val="0"/>
          <w:kern w:val="22"/>
          <w:szCs w:val="22"/>
          <w:lang w:val="es-ES_tradnl"/>
        </w:rPr>
        <w:t>la Conferencia de las Partes</w:t>
      </w:r>
      <w:r w:rsidR="00084813" w:rsidRPr="00F600E5">
        <w:rPr>
          <w:snapToGrid w:val="0"/>
          <w:kern w:val="22"/>
          <w:szCs w:val="22"/>
          <w:lang w:val="es-ES_tradnl"/>
        </w:rPr>
        <w:t xml:space="preserve">, </w:t>
      </w:r>
      <w:r w:rsidR="0045200E" w:rsidRPr="00F600E5">
        <w:rPr>
          <w:snapToGrid w:val="0"/>
          <w:kern w:val="22"/>
          <w:szCs w:val="22"/>
          <w:lang w:val="es-ES_tradnl"/>
        </w:rPr>
        <w:t>para someterla a la consideración de su decimocuarta reunión</w:t>
      </w:r>
      <w:r w:rsidR="00084813" w:rsidRPr="00F600E5">
        <w:rPr>
          <w:snapToGrid w:val="0"/>
          <w:kern w:val="22"/>
          <w:szCs w:val="22"/>
          <w:lang w:val="es-ES_tradnl"/>
        </w:rPr>
        <w:t>.</w:t>
      </w:r>
    </w:p>
    <w:p w:rsidR="00084813" w:rsidRPr="00F600E5" w:rsidRDefault="00491CB6" w:rsidP="00084813">
      <w:pPr>
        <w:pStyle w:val="Heading2"/>
        <w:rPr>
          <w:kern w:val="22"/>
          <w:lang w:val="es-ES_tradnl"/>
        </w:rPr>
      </w:pPr>
      <w:r w:rsidRPr="00F600E5">
        <w:rPr>
          <w:kern w:val="22"/>
          <w:lang w:val="es-ES_tradnl"/>
        </w:rPr>
        <w:t>B.</w:t>
      </w:r>
      <w:r w:rsidRPr="00F600E5">
        <w:rPr>
          <w:kern w:val="22"/>
          <w:lang w:val="es-ES_tradnl"/>
        </w:rPr>
        <w:tab/>
      </w:r>
      <w:r w:rsidR="007E392F" w:rsidRPr="00F600E5">
        <w:rPr>
          <w:kern w:val="22"/>
          <w:lang w:val="es-ES_tradnl"/>
        </w:rPr>
        <w:t>Modalidad para la plena ejecución de la Meta 3 de Aichi para la Diversidad Biológica</w:t>
      </w:r>
    </w:p>
    <w:p w:rsidR="0049225D" w:rsidRPr="00F600E5" w:rsidRDefault="00155F36" w:rsidP="0049225D">
      <w:pPr>
        <w:pStyle w:val="ListParagraph"/>
        <w:numPr>
          <w:ilvl w:val="0"/>
          <w:numId w:val="19"/>
        </w:numPr>
        <w:suppressLineNumbers/>
        <w:suppressAutoHyphens/>
        <w:spacing w:after="120"/>
        <w:ind w:left="0" w:firstLine="0"/>
        <w:rPr>
          <w:kern w:val="22"/>
          <w:szCs w:val="22"/>
          <w:lang w:val="es-ES_tradnl"/>
        </w:rPr>
      </w:pPr>
      <w:r w:rsidRPr="00F600E5">
        <w:rPr>
          <w:snapToGrid w:val="0"/>
          <w:kern w:val="22"/>
          <w:szCs w:val="22"/>
          <w:lang w:val="es-ES_tradnl"/>
        </w:rPr>
        <w:t xml:space="preserve">Si bien se </w:t>
      </w:r>
      <w:r w:rsidR="00F600E5" w:rsidRPr="00F600E5">
        <w:rPr>
          <w:snapToGrid w:val="0"/>
          <w:kern w:val="22"/>
          <w:szCs w:val="22"/>
          <w:lang w:val="es-ES_tradnl"/>
        </w:rPr>
        <w:t xml:space="preserve">han logrado avances </w:t>
      </w:r>
      <w:r w:rsidRPr="00F600E5">
        <w:rPr>
          <w:snapToGrid w:val="0"/>
          <w:kern w:val="22"/>
          <w:szCs w:val="22"/>
          <w:lang w:val="es-ES_tradnl"/>
        </w:rPr>
        <w:t xml:space="preserve">en el cumplimiento de la Meta 3 de Aichi y en la aplicación de los hitos conexos adoptados por la </w:t>
      </w:r>
      <w:r w:rsidR="006C5FC8" w:rsidRPr="00F600E5">
        <w:rPr>
          <w:snapToGrid w:val="0"/>
          <w:kern w:val="22"/>
          <w:szCs w:val="22"/>
          <w:lang w:val="es-ES_tradnl"/>
        </w:rPr>
        <w:t>Conferencia de las Partes</w:t>
      </w:r>
      <w:r w:rsidR="00084813" w:rsidRPr="00F600E5">
        <w:rPr>
          <w:snapToGrid w:val="0"/>
          <w:kern w:val="22"/>
          <w:szCs w:val="22"/>
          <w:lang w:val="es-ES_tradnl"/>
        </w:rPr>
        <w:t xml:space="preserve"> </w:t>
      </w:r>
      <w:r w:rsidRPr="00F600E5">
        <w:rPr>
          <w:snapToGrid w:val="0"/>
          <w:kern w:val="22"/>
          <w:szCs w:val="22"/>
          <w:lang w:val="es-ES_tradnl"/>
        </w:rPr>
        <w:t>en su duodécima reunión</w:t>
      </w:r>
      <w:r w:rsidR="00084813" w:rsidRPr="00F600E5">
        <w:rPr>
          <w:snapToGrid w:val="0"/>
          <w:kern w:val="22"/>
          <w:szCs w:val="22"/>
          <w:lang w:val="es-ES_tradnl"/>
        </w:rPr>
        <w:t xml:space="preserve">, </w:t>
      </w:r>
      <w:r w:rsidRPr="00F600E5">
        <w:rPr>
          <w:snapToGrid w:val="0"/>
          <w:kern w:val="22"/>
          <w:szCs w:val="22"/>
          <w:lang w:val="es-ES_tradnl"/>
        </w:rPr>
        <w:t>el análisis indica que el progreso es insuficiente en general y que las Partes y otros Gobiernos podrían adoptar medidas</w:t>
      </w:r>
      <w:r w:rsidR="00F600E5" w:rsidRPr="00F600E5">
        <w:rPr>
          <w:snapToGrid w:val="0"/>
          <w:kern w:val="22"/>
          <w:szCs w:val="22"/>
          <w:lang w:val="es-ES_tradnl"/>
        </w:rPr>
        <w:t xml:space="preserve"> más significativas</w:t>
      </w:r>
      <w:r w:rsidR="00084813" w:rsidRPr="00F600E5">
        <w:rPr>
          <w:snapToGrid w:val="0"/>
          <w:kern w:val="22"/>
          <w:szCs w:val="22"/>
          <w:lang w:val="es-ES_tradnl"/>
        </w:rPr>
        <w:t xml:space="preserve">, </w:t>
      </w:r>
      <w:r w:rsidRPr="00F600E5">
        <w:rPr>
          <w:snapToGrid w:val="0"/>
          <w:kern w:val="22"/>
          <w:szCs w:val="22"/>
          <w:lang w:val="es-ES_tradnl"/>
        </w:rPr>
        <w:t>con el apoyo de organizaciones e iniciativas internacionales. En vista de</w:t>
      </w:r>
      <w:r w:rsidR="000E552C" w:rsidRPr="00F600E5">
        <w:rPr>
          <w:snapToGrid w:val="0"/>
          <w:kern w:val="22"/>
          <w:szCs w:val="22"/>
          <w:lang w:val="es-ES_tradnl"/>
        </w:rPr>
        <w:t xml:space="preserve">l considerable impacto positivo y general </w:t>
      </w:r>
      <w:r w:rsidR="00F600E5" w:rsidRPr="00F600E5">
        <w:rPr>
          <w:snapToGrid w:val="0"/>
          <w:kern w:val="22"/>
          <w:szCs w:val="22"/>
          <w:lang w:val="es-ES_tradnl"/>
        </w:rPr>
        <w:t>en</w:t>
      </w:r>
      <w:r w:rsidR="000E552C" w:rsidRPr="00F600E5">
        <w:rPr>
          <w:snapToGrid w:val="0"/>
          <w:kern w:val="22"/>
          <w:szCs w:val="22"/>
          <w:lang w:val="es-ES_tradnl"/>
        </w:rPr>
        <w:t xml:space="preserve"> la movilización de los recursos para la diversidad biológica</w:t>
      </w:r>
      <w:r w:rsidR="00084813" w:rsidRPr="00F600E5">
        <w:rPr>
          <w:snapToGrid w:val="0"/>
          <w:kern w:val="22"/>
          <w:szCs w:val="22"/>
          <w:lang w:val="es-ES_tradnl"/>
        </w:rPr>
        <w:t xml:space="preserve">, </w:t>
      </w:r>
      <w:r w:rsidR="00F600E5" w:rsidRPr="00F600E5">
        <w:rPr>
          <w:snapToGrid w:val="0"/>
          <w:kern w:val="22"/>
          <w:szCs w:val="22"/>
          <w:lang w:val="es-ES_tradnl"/>
        </w:rPr>
        <w:t xml:space="preserve">se necesita que dichas medidas en particular sean </w:t>
      </w:r>
      <w:r w:rsidR="000E552C" w:rsidRPr="00F600E5">
        <w:rPr>
          <w:snapToGrid w:val="0"/>
          <w:kern w:val="22"/>
          <w:szCs w:val="22"/>
          <w:lang w:val="es-ES_tradnl"/>
        </w:rPr>
        <w:t xml:space="preserve">de eliminación, eliminación gradual o reforma de los incentivos, en </w:t>
      </w:r>
      <w:r w:rsidR="00F600E5" w:rsidRPr="00F600E5">
        <w:rPr>
          <w:snapToGrid w:val="0"/>
          <w:kern w:val="22"/>
          <w:szCs w:val="22"/>
          <w:lang w:val="es-ES_tradnl"/>
        </w:rPr>
        <w:t xml:space="preserve">especial </w:t>
      </w:r>
      <w:r w:rsidR="000E552C" w:rsidRPr="00F600E5">
        <w:rPr>
          <w:snapToGrid w:val="0"/>
          <w:kern w:val="22"/>
          <w:szCs w:val="22"/>
          <w:lang w:val="es-ES_tradnl"/>
        </w:rPr>
        <w:t xml:space="preserve">los subsidios, </w:t>
      </w:r>
      <w:r w:rsidR="00F600E5" w:rsidRPr="00F600E5">
        <w:rPr>
          <w:snapToGrid w:val="0"/>
          <w:kern w:val="22"/>
          <w:szCs w:val="22"/>
          <w:lang w:val="es-ES_tradnl"/>
        </w:rPr>
        <w:t xml:space="preserve">que son </w:t>
      </w:r>
      <w:r w:rsidR="000E552C" w:rsidRPr="00F600E5">
        <w:rPr>
          <w:snapToGrid w:val="0"/>
          <w:kern w:val="22"/>
          <w:szCs w:val="22"/>
          <w:lang w:val="es-ES_tradnl"/>
        </w:rPr>
        <w:t>perjudiciales para la diversidad biológica</w:t>
      </w:r>
      <w:r w:rsidR="00084813" w:rsidRPr="00F600E5">
        <w:rPr>
          <w:snapToGrid w:val="0"/>
          <w:kern w:val="22"/>
          <w:szCs w:val="22"/>
          <w:lang w:val="es-ES_tradnl"/>
        </w:rPr>
        <w:t xml:space="preserve">. </w:t>
      </w:r>
      <w:r w:rsidR="000E552C" w:rsidRPr="00F600E5">
        <w:rPr>
          <w:snapToGrid w:val="0"/>
          <w:kern w:val="22"/>
          <w:szCs w:val="22"/>
          <w:lang w:val="es-ES_tradnl"/>
        </w:rPr>
        <w:t>En consecuencia, el</w:t>
      </w:r>
      <w:r w:rsidR="00084813" w:rsidRPr="00F600E5">
        <w:rPr>
          <w:snapToGrid w:val="0"/>
          <w:kern w:val="22"/>
          <w:szCs w:val="22"/>
          <w:lang w:val="es-ES_tradnl"/>
        </w:rPr>
        <w:t xml:space="preserve"> </w:t>
      </w:r>
      <w:r w:rsidR="00564619" w:rsidRPr="00F600E5">
        <w:rPr>
          <w:snapToGrid w:val="0"/>
          <w:kern w:val="22"/>
          <w:szCs w:val="22"/>
          <w:lang w:val="es-ES_tradnl"/>
        </w:rPr>
        <w:t>Órgano Subsidiario</w:t>
      </w:r>
      <w:r w:rsidR="00084813" w:rsidRPr="00F600E5">
        <w:rPr>
          <w:snapToGrid w:val="0"/>
          <w:kern w:val="22"/>
          <w:szCs w:val="22"/>
          <w:lang w:val="es-ES_tradnl"/>
        </w:rPr>
        <w:t xml:space="preserve"> </w:t>
      </w:r>
      <w:r w:rsidR="000E552C" w:rsidRPr="00F600E5">
        <w:rPr>
          <w:snapToGrid w:val="0"/>
          <w:kern w:val="22"/>
          <w:szCs w:val="22"/>
          <w:lang w:val="es-ES_tradnl"/>
        </w:rPr>
        <w:t xml:space="preserve">tal vez desee recomendar </w:t>
      </w:r>
      <w:r w:rsidR="00F600E5" w:rsidRPr="00F600E5">
        <w:rPr>
          <w:snapToGrid w:val="0"/>
          <w:kern w:val="22"/>
          <w:szCs w:val="22"/>
          <w:lang w:val="es-ES_tradnl"/>
        </w:rPr>
        <w:t xml:space="preserve">que exprese </w:t>
      </w:r>
      <w:r w:rsidR="000E552C" w:rsidRPr="00F600E5">
        <w:rPr>
          <w:snapToGrid w:val="0"/>
          <w:kern w:val="22"/>
          <w:szCs w:val="22"/>
          <w:lang w:val="es-ES_tradnl"/>
        </w:rPr>
        <w:t xml:space="preserve">su preocupación </w:t>
      </w:r>
      <w:r w:rsidR="00F600E5" w:rsidRPr="00F600E5">
        <w:rPr>
          <w:snapToGrid w:val="0"/>
          <w:kern w:val="22"/>
          <w:szCs w:val="22"/>
          <w:lang w:val="es-ES_tradnl"/>
        </w:rPr>
        <w:t xml:space="preserve">por </w:t>
      </w:r>
      <w:r w:rsidR="000E552C" w:rsidRPr="00F600E5">
        <w:rPr>
          <w:snapToGrid w:val="0"/>
          <w:kern w:val="22"/>
          <w:szCs w:val="22"/>
          <w:lang w:val="es-ES_tradnl"/>
        </w:rPr>
        <w:t xml:space="preserve">la </w:t>
      </w:r>
      <w:r w:rsidR="00F600E5" w:rsidRPr="00F600E5">
        <w:rPr>
          <w:snapToGrid w:val="0"/>
          <w:kern w:val="22"/>
          <w:szCs w:val="22"/>
          <w:lang w:val="es-ES_tradnl"/>
        </w:rPr>
        <w:t xml:space="preserve">insuficiente </w:t>
      </w:r>
      <w:r w:rsidR="000E552C" w:rsidRPr="00F600E5">
        <w:rPr>
          <w:snapToGrid w:val="0"/>
          <w:kern w:val="22"/>
          <w:szCs w:val="22"/>
          <w:lang w:val="es-ES_tradnl"/>
        </w:rPr>
        <w:t>aplicación de la Meta 3 de Aichi para la Diversidad Biológica y los hitos, recordando los hitos y la importa</w:t>
      </w:r>
      <w:r w:rsidR="00506924" w:rsidRPr="00F600E5">
        <w:rPr>
          <w:snapToGrid w:val="0"/>
          <w:kern w:val="22"/>
          <w:szCs w:val="22"/>
          <w:lang w:val="es-ES_tradnl"/>
        </w:rPr>
        <w:t>n</w:t>
      </w:r>
      <w:r w:rsidR="000E552C" w:rsidRPr="00F600E5">
        <w:rPr>
          <w:snapToGrid w:val="0"/>
          <w:kern w:val="22"/>
          <w:szCs w:val="22"/>
          <w:lang w:val="es-ES_tradnl"/>
        </w:rPr>
        <w:t>cia de su aplicación, e instar a las Partes y otros gobiernos</w:t>
      </w:r>
      <w:r w:rsidR="00F600E5" w:rsidRPr="00F600E5">
        <w:rPr>
          <w:snapToGrid w:val="0"/>
          <w:kern w:val="22"/>
          <w:szCs w:val="22"/>
          <w:lang w:val="es-ES_tradnl"/>
        </w:rPr>
        <w:t xml:space="preserve"> a </w:t>
      </w:r>
      <w:r w:rsidR="000E552C" w:rsidRPr="00F600E5">
        <w:rPr>
          <w:snapToGrid w:val="0"/>
          <w:kern w:val="22"/>
          <w:szCs w:val="22"/>
          <w:lang w:val="es-ES_tradnl"/>
        </w:rPr>
        <w:t xml:space="preserve">que </w:t>
      </w:r>
      <w:r w:rsidR="00506924" w:rsidRPr="00F600E5">
        <w:rPr>
          <w:snapToGrid w:val="0"/>
          <w:kern w:val="22"/>
          <w:szCs w:val="22"/>
          <w:lang w:val="es-ES_tradnl"/>
        </w:rPr>
        <w:t>emprendan más medidas</w:t>
      </w:r>
      <w:r w:rsidR="00084813" w:rsidRPr="00F600E5">
        <w:rPr>
          <w:snapToGrid w:val="0"/>
          <w:kern w:val="22"/>
          <w:szCs w:val="22"/>
          <w:lang w:val="es-ES_tradnl"/>
        </w:rPr>
        <w:t xml:space="preserve">. </w:t>
      </w:r>
      <w:r w:rsidR="00F600E5" w:rsidRPr="00F600E5">
        <w:rPr>
          <w:snapToGrid w:val="0"/>
          <w:kern w:val="22"/>
          <w:szCs w:val="22"/>
          <w:lang w:val="es-ES_tradnl"/>
        </w:rPr>
        <w:t>Además,</w:t>
      </w:r>
      <w:r w:rsidR="00506924" w:rsidRPr="00F600E5">
        <w:rPr>
          <w:snapToGrid w:val="0"/>
          <w:kern w:val="22"/>
          <w:szCs w:val="22"/>
          <w:lang w:val="es-ES_tradnl"/>
        </w:rPr>
        <w:t xml:space="preserve"> tal vez desee recomendar que se reconozca la labor de apoyo en curso, y</w:t>
      </w:r>
      <w:r w:rsidR="006C31DF" w:rsidRPr="00F600E5">
        <w:rPr>
          <w:snapToGrid w:val="0"/>
          <w:kern w:val="22"/>
          <w:szCs w:val="22"/>
          <w:lang w:val="es-ES_tradnl"/>
        </w:rPr>
        <w:t xml:space="preserve"> </w:t>
      </w:r>
      <w:r w:rsidR="00506924" w:rsidRPr="00F600E5">
        <w:rPr>
          <w:snapToGrid w:val="0"/>
          <w:kern w:val="22"/>
          <w:szCs w:val="22"/>
          <w:lang w:val="es-ES_tradnl"/>
        </w:rPr>
        <w:t xml:space="preserve">pedir al </w:t>
      </w:r>
      <w:r w:rsidR="00184CA8" w:rsidRPr="00F600E5">
        <w:rPr>
          <w:snapToGrid w:val="0"/>
          <w:kern w:val="22"/>
          <w:szCs w:val="22"/>
          <w:lang w:val="es-ES_tradnl"/>
        </w:rPr>
        <w:t>Secretario Ejecutivo</w:t>
      </w:r>
      <w:r w:rsidR="00084813" w:rsidRPr="00F600E5">
        <w:rPr>
          <w:snapToGrid w:val="0"/>
          <w:kern w:val="22"/>
          <w:szCs w:val="22"/>
          <w:lang w:val="es-ES_tradnl"/>
        </w:rPr>
        <w:t xml:space="preserve"> </w:t>
      </w:r>
      <w:r w:rsidR="00506924" w:rsidRPr="00F600E5">
        <w:rPr>
          <w:snapToGrid w:val="0"/>
          <w:kern w:val="22"/>
          <w:szCs w:val="22"/>
          <w:lang w:val="es-ES_tradnl"/>
        </w:rPr>
        <w:t>que apoye y facilite dicha labor</w:t>
      </w:r>
      <w:r w:rsidR="00084813" w:rsidRPr="00F600E5">
        <w:rPr>
          <w:snapToGrid w:val="0"/>
          <w:kern w:val="22"/>
          <w:szCs w:val="22"/>
          <w:lang w:val="es-ES_tradnl"/>
        </w:rPr>
        <w:t>.</w:t>
      </w:r>
    </w:p>
    <w:p w:rsidR="00583760" w:rsidRPr="00F600E5" w:rsidRDefault="00583760" w:rsidP="00583760">
      <w:pPr>
        <w:pStyle w:val="ListParagraph"/>
        <w:suppressLineNumbers/>
        <w:suppressAutoHyphens/>
        <w:spacing w:after="120"/>
        <w:ind w:left="0"/>
        <w:rPr>
          <w:kern w:val="22"/>
          <w:szCs w:val="22"/>
          <w:lang w:val="es-ES_tradnl"/>
        </w:rPr>
      </w:pPr>
    </w:p>
    <w:p w:rsidR="00084813" w:rsidRPr="00F600E5" w:rsidRDefault="00506924" w:rsidP="0049225D">
      <w:pPr>
        <w:pStyle w:val="ListParagraph"/>
        <w:numPr>
          <w:ilvl w:val="0"/>
          <w:numId w:val="19"/>
        </w:numPr>
        <w:suppressLineNumbers/>
        <w:suppressAutoHyphens/>
        <w:spacing w:after="120"/>
        <w:ind w:left="0" w:firstLine="0"/>
        <w:rPr>
          <w:kern w:val="22"/>
          <w:szCs w:val="22"/>
          <w:lang w:val="es-ES_tradnl"/>
        </w:rPr>
      </w:pPr>
      <w:r w:rsidRPr="00F600E5">
        <w:rPr>
          <w:snapToGrid w:val="0"/>
          <w:kern w:val="22"/>
          <w:szCs w:val="22"/>
          <w:lang w:val="es-ES_tradnl"/>
        </w:rPr>
        <w:t xml:space="preserve">La preparación </w:t>
      </w:r>
      <w:r w:rsidR="00AB7187" w:rsidRPr="00F600E5">
        <w:rPr>
          <w:snapToGrid w:val="0"/>
          <w:kern w:val="22"/>
          <w:szCs w:val="22"/>
          <w:lang w:val="es-ES_tradnl"/>
        </w:rPr>
        <w:t xml:space="preserve">de </w:t>
      </w:r>
      <w:r w:rsidRPr="00F600E5">
        <w:rPr>
          <w:snapToGrid w:val="0"/>
          <w:kern w:val="22"/>
          <w:szCs w:val="22"/>
          <w:lang w:val="es-ES_tradnl"/>
        </w:rPr>
        <w:t>estudio</w:t>
      </w:r>
      <w:r w:rsidR="00AB7187" w:rsidRPr="00F600E5">
        <w:rPr>
          <w:snapToGrid w:val="0"/>
          <w:kern w:val="22"/>
          <w:szCs w:val="22"/>
          <w:lang w:val="es-ES_tradnl"/>
        </w:rPr>
        <w:t>s</w:t>
      </w:r>
      <w:r w:rsidRPr="00F600E5">
        <w:rPr>
          <w:snapToGrid w:val="0"/>
          <w:kern w:val="22"/>
          <w:szCs w:val="22"/>
          <w:lang w:val="es-ES_tradnl"/>
        </w:rPr>
        <w:t xml:space="preserve"> nacionales analíticos</w:t>
      </w:r>
      <w:r w:rsidR="00F02682" w:rsidRPr="00F600E5">
        <w:rPr>
          <w:snapToGrid w:val="0"/>
          <w:kern w:val="22"/>
          <w:szCs w:val="22"/>
          <w:lang w:val="es-ES_tradnl"/>
        </w:rPr>
        <w:t xml:space="preserve"> sobre incentivos es un hito</w:t>
      </w:r>
      <w:r w:rsidR="00AB7187" w:rsidRPr="00F600E5">
        <w:rPr>
          <w:snapToGrid w:val="0"/>
          <w:kern w:val="22"/>
          <w:szCs w:val="22"/>
          <w:lang w:val="es-ES_tradnl"/>
        </w:rPr>
        <w:t>,</w:t>
      </w:r>
      <w:r w:rsidR="00F02682" w:rsidRPr="00F600E5">
        <w:rPr>
          <w:snapToGrid w:val="0"/>
          <w:kern w:val="22"/>
          <w:szCs w:val="22"/>
          <w:lang w:val="es-ES_tradnl"/>
        </w:rPr>
        <w:t xml:space="preserve"> porque dich</w:t>
      </w:r>
      <w:r w:rsidR="00AB7187" w:rsidRPr="00F600E5">
        <w:rPr>
          <w:snapToGrid w:val="0"/>
          <w:kern w:val="22"/>
          <w:szCs w:val="22"/>
          <w:lang w:val="es-ES_tradnl"/>
        </w:rPr>
        <w:t xml:space="preserve">a evaluación es con frecuencia </w:t>
      </w:r>
      <w:r w:rsidR="00F02682" w:rsidRPr="00F600E5">
        <w:rPr>
          <w:snapToGrid w:val="0"/>
          <w:kern w:val="22"/>
          <w:szCs w:val="22"/>
          <w:lang w:val="es-ES_tradnl"/>
        </w:rPr>
        <w:t>un paso esencial para identificar candidatos para la eliminación, eliminación gradual o reforma, y para desarrollar la comprensión necesaria y el apoyo político</w:t>
      </w:r>
      <w:r w:rsidR="00084813" w:rsidRPr="00F600E5">
        <w:rPr>
          <w:snapToGrid w:val="0"/>
          <w:kern w:val="22"/>
          <w:szCs w:val="22"/>
          <w:lang w:val="es-ES_tradnl"/>
        </w:rPr>
        <w:t xml:space="preserve">. </w:t>
      </w:r>
      <w:r w:rsidR="00B842B1" w:rsidRPr="00F600E5">
        <w:rPr>
          <w:snapToGrid w:val="0"/>
          <w:kern w:val="22"/>
          <w:szCs w:val="22"/>
          <w:lang w:val="es-ES_tradnl"/>
        </w:rPr>
        <w:t xml:space="preserve">Sin embargo, solo </w:t>
      </w:r>
      <w:r w:rsidR="00B842B1" w:rsidRPr="00F600E5">
        <w:rPr>
          <w:snapToGrid w:val="0"/>
          <w:kern w:val="22"/>
          <w:szCs w:val="22"/>
          <w:lang w:val="es-ES_tradnl"/>
        </w:rPr>
        <w:lastRenderedPageBreak/>
        <w:t>algunos países han llevado a cabo tales evaluaciones o estudios a nivel nacional para identificar incentivos perjudiciales y oportunidades para la adopción de políticas</w:t>
      </w:r>
      <w:r w:rsidR="00084813" w:rsidRPr="00F600E5">
        <w:rPr>
          <w:snapToGrid w:val="0"/>
          <w:kern w:val="22"/>
          <w:szCs w:val="22"/>
          <w:lang w:val="es-ES_tradnl"/>
        </w:rPr>
        <w:t xml:space="preserve">, </w:t>
      </w:r>
      <w:r w:rsidR="00B842B1" w:rsidRPr="00F600E5">
        <w:rPr>
          <w:snapToGrid w:val="0"/>
          <w:kern w:val="22"/>
          <w:szCs w:val="22"/>
          <w:lang w:val="es-ES_tradnl"/>
        </w:rPr>
        <w:t xml:space="preserve">y los pocos estudios existentes difieren en cuanto al alcance y los enfoques adoptados para identificar </w:t>
      </w:r>
      <w:r w:rsidR="00F600E5" w:rsidRPr="00F600E5">
        <w:rPr>
          <w:snapToGrid w:val="0"/>
          <w:kern w:val="22"/>
          <w:szCs w:val="22"/>
          <w:lang w:val="es-ES_tradnl"/>
        </w:rPr>
        <w:t xml:space="preserve">el </w:t>
      </w:r>
      <w:r w:rsidR="00B842B1" w:rsidRPr="00F600E5">
        <w:rPr>
          <w:snapToGrid w:val="0"/>
          <w:kern w:val="22"/>
          <w:szCs w:val="22"/>
          <w:lang w:val="es-ES_tradnl"/>
        </w:rPr>
        <w:t>apoyo perjudicial para el medio ambiente</w:t>
      </w:r>
      <w:r w:rsidR="00084813" w:rsidRPr="00F600E5">
        <w:rPr>
          <w:snapToGrid w:val="0"/>
          <w:kern w:val="22"/>
          <w:szCs w:val="22"/>
          <w:lang w:val="es-ES_tradnl"/>
        </w:rPr>
        <w:t xml:space="preserve">. </w:t>
      </w:r>
      <w:r w:rsidR="00B842B1" w:rsidRPr="00F600E5">
        <w:rPr>
          <w:snapToGrid w:val="0"/>
          <w:kern w:val="22"/>
          <w:szCs w:val="22"/>
          <w:lang w:val="es-ES_tradnl"/>
        </w:rPr>
        <w:t>Convendría invitar a</w:t>
      </w:r>
      <w:r w:rsidR="00AC3058" w:rsidRPr="00F600E5">
        <w:rPr>
          <w:snapToGrid w:val="0"/>
          <w:kern w:val="22"/>
          <w:szCs w:val="22"/>
          <w:lang w:val="es-ES_tradnl"/>
        </w:rPr>
        <w:t xml:space="preserve"> las organizaciones interesadas, tales como la OCDE</w:t>
      </w:r>
      <w:r w:rsidR="00084813" w:rsidRPr="00F600E5">
        <w:rPr>
          <w:snapToGrid w:val="0"/>
          <w:kern w:val="22"/>
          <w:szCs w:val="22"/>
          <w:lang w:val="es-ES_tradnl"/>
        </w:rPr>
        <w:t xml:space="preserve">, </w:t>
      </w:r>
      <w:r w:rsidR="00AC3058" w:rsidRPr="00F600E5">
        <w:rPr>
          <w:snapToGrid w:val="0"/>
          <w:kern w:val="22"/>
          <w:szCs w:val="22"/>
          <w:lang w:val="es-ES_tradnl"/>
        </w:rPr>
        <w:t xml:space="preserve">a que consideran la posibilidad de </w:t>
      </w:r>
      <w:r w:rsidR="00491CB6" w:rsidRPr="00F600E5">
        <w:rPr>
          <w:snapToGrid w:val="0"/>
          <w:kern w:val="22"/>
          <w:szCs w:val="22"/>
          <w:lang w:val="es-ES_tradnl"/>
        </w:rPr>
        <w:t>a</w:t>
      </w:r>
      <w:r w:rsidR="00084813" w:rsidRPr="00F600E5">
        <w:rPr>
          <w:snapToGrid w:val="0"/>
          <w:kern w:val="22"/>
          <w:szCs w:val="22"/>
          <w:lang w:val="es-ES_tradnl"/>
        </w:rPr>
        <w:t xml:space="preserve">) </w:t>
      </w:r>
      <w:r w:rsidR="00AC3058" w:rsidRPr="00F600E5">
        <w:rPr>
          <w:snapToGrid w:val="0"/>
          <w:kern w:val="22"/>
          <w:szCs w:val="22"/>
          <w:lang w:val="es-ES_tradnl"/>
        </w:rPr>
        <w:t xml:space="preserve">llevar a cabo una recopilación sistemática; </w:t>
      </w:r>
      <w:r w:rsidR="00491CB6" w:rsidRPr="00F600E5">
        <w:rPr>
          <w:snapToGrid w:val="0"/>
          <w:kern w:val="22"/>
          <w:szCs w:val="22"/>
          <w:lang w:val="es-ES_tradnl"/>
        </w:rPr>
        <w:t>b</w:t>
      </w:r>
      <w:r w:rsidR="00084813" w:rsidRPr="00F600E5">
        <w:rPr>
          <w:snapToGrid w:val="0"/>
          <w:kern w:val="22"/>
          <w:szCs w:val="22"/>
          <w:lang w:val="es-ES_tradnl"/>
        </w:rPr>
        <w:t xml:space="preserve">) </w:t>
      </w:r>
      <w:r w:rsidR="00AC3058" w:rsidRPr="00F600E5">
        <w:rPr>
          <w:snapToGrid w:val="0"/>
          <w:kern w:val="22"/>
          <w:szCs w:val="22"/>
          <w:lang w:val="es-ES_tradnl"/>
        </w:rPr>
        <w:t xml:space="preserve">analizar con mayor detalle los estudios existentes; </w:t>
      </w:r>
      <w:r w:rsidR="00491CB6" w:rsidRPr="00F600E5">
        <w:rPr>
          <w:snapToGrid w:val="0"/>
          <w:kern w:val="22"/>
          <w:szCs w:val="22"/>
          <w:lang w:val="es-ES_tradnl"/>
        </w:rPr>
        <w:t>c</w:t>
      </w:r>
      <w:r w:rsidR="00084813" w:rsidRPr="00F600E5">
        <w:rPr>
          <w:snapToGrid w:val="0"/>
          <w:kern w:val="22"/>
          <w:szCs w:val="22"/>
          <w:lang w:val="es-ES_tradnl"/>
        </w:rPr>
        <w:t xml:space="preserve">) </w:t>
      </w:r>
      <w:r w:rsidR="00AC3058" w:rsidRPr="00F600E5">
        <w:rPr>
          <w:snapToGrid w:val="0"/>
          <w:kern w:val="22"/>
          <w:szCs w:val="22"/>
          <w:lang w:val="es-ES_tradnl"/>
        </w:rPr>
        <w:t>determinar los métodos de buenas prácticas para identificar los incentivos perjudiciales y elaborar las respuestas normativas adecuadas</w:t>
      </w:r>
      <w:r w:rsidR="00084813" w:rsidRPr="00F600E5">
        <w:rPr>
          <w:snapToGrid w:val="0"/>
          <w:kern w:val="22"/>
          <w:szCs w:val="22"/>
          <w:lang w:val="es-ES_tradnl"/>
        </w:rPr>
        <w:t xml:space="preserve">, </w:t>
      </w:r>
      <w:r w:rsidR="00AC3058" w:rsidRPr="00F600E5">
        <w:rPr>
          <w:snapToGrid w:val="0"/>
          <w:kern w:val="22"/>
          <w:szCs w:val="22"/>
          <w:lang w:val="es-ES_tradnl"/>
        </w:rPr>
        <w:t>en lo que respecta a la eliminación, eliminación gradual o reforma</w:t>
      </w:r>
      <w:r w:rsidR="00084813" w:rsidRPr="00F600E5">
        <w:rPr>
          <w:snapToGrid w:val="0"/>
          <w:kern w:val="22"/>
          <w:szCs w:val="22"/>
          <w:lang w:val="es-ES_tradnl"/>
        </w:rPr>
        <w:t xml:space="preserve">, </w:t>
      </w:r>
      <w:r w:rsidR="00AC3058" w:rsidRPr="00F600E5">
        <w:rPr>
          <w:snapToGrid w:val="0"/>
          <w:kern w:val="22"/>
          <w:szCs w:val="22"/>
          <w:lang w:val="es-ES_tradnl"/>
        </w:rPr>
        <w:t xml:space="preserve">y </w:t>
      </w:r>
      <w:r w:rsidR="00491CB6" w:rsidRPr="00F600E5">
        <w:rPr>
          <w:snapToGrid w:val="0"/>
          <w:kern w:val="22"/>
          <w:szCs w:val="22"/>
          <w:lang w:val="es-ES_tradnl"/>
        </w:rPr>
        <w:t>d</w:t>
      </w:r>
      <w:r w:rsidR="00084813" w:rsidRPr="00F600E5">
        <w:rPr>
          <w:snapToGrid w:val="0"/>
          <w:kern w:val="22"/>
          <w:szCs w:val="22"/>
          <w:lang w:val="es-ES_tradnl"/>
        </w:rPr>
        <w:t xml:space="preserve">) </w:t>
      </w:r>
      <w:r w:rsidR="00AC3058" w:rsidRPr="00F600E5">
        <w:rPr>
          <w:snapToGrid w:val="0"/>
          <w:kern w:val="22"/>
          <w:szCs w:val="22"/>
          <w:lang w:val="es-ES_tradnl"/>
        </w:rPr>
        <w:t>elaborar una norma o modelo como orientación voluntaria de cómo podría ser un estudio analítico de ese tipo y cómo se realizarían las evaluaciones</w:t>
      </w:r>
      <w:r w:rsidR="00084813" w:rsidRPr="00F600E5">
        <w:rPr>
          <w:snapToGrid w:val="0"/>
          <w:kern w:val="22"/>
          <w:szCs w:val="22"/>
          <w:lang w:val="es-ES_tradnl"/>
        </w:rPr>
        <w:t>.</w:t>
      </w:r>
    </w:p>
    <w:p w:rsidR="00084813" w:rsidRPr="00F600E5" w:rsidRDefault="00491CB6" w:rsidP="00084813">
      <w:pPr>
        <w:pStyle w:val="Heading2"/>
        <w:rPr>
          <w:snapToGrid w:val="0"/>
          <w:kern w:val="22"/>
          <w:lang w:val="es-ES_tradnl"/>
        </w:rPr>
      </w:pPr>
      <w:r w:rsidRPr="00F600E5">
        <w:rPr>
          <w:snapToGrid w:val="0"/>
          <w:kern w:val="22"/>
          <w:lang w:val="es-ES_tradnl"/>
        </w:rPr>
        <w:t>C.</w:t>
      </w:r>
      <w:r w:rsidRPr="00F600E5">
        <w:rPr>
          <w:snapToGrid w:val="0"/>
          <w:kern w:val="22"/>
          <w:lang w:val="es-ES_tradnl"/>
        </w:rPr>
        <w:tab/>
      </w:r>
      <w:r w:rsidR="007E392F" w:rsidRPr="00F600E5">
        <w:rPr>
          <w:snapToGrid w:val="0"/>
          <w:kern w:val="22"/>
          <w:lang w:val="es-ES_tradnl"/>
        </w:rPr>
        <w:t xml:space="preserve">Movilización de recursos o componente de financiación del marco </w:t>
      </w:r>
      <w:r w:rsidR="00F600E5" w:rsidRPr="00F600E5">
        <w:rPr>
          <w:snapToGrid w:val="0"/>
          <w:kern w:val="22"/>
          <w:lang w:val="es-ES_tradnl"/>
        </w:rPr>
        <w:t>para</w:t>
      </w:r>
      <w:r w:rsidR="007E392F" w:rsidRPr="00F600E5">
        <w:rPr>
          <w:snapToGrid w:val="0"/>
          <w:kern w:val="22"/>
          <w:lang w:val="es-ES_tradnl"/>
        </w:rPr>
        <w:t xml:space="preserve"> la diversidad biológica posterior a 2020</w:t>
      </w:r>
    </w:p>
    <w:p w:rsidR="0049225D" w:rsidRPr="00F600E5" w:rsidRDefault="008F114B" w:rsidP="0049225D">
      <w:pPr>
        <w:pStyle w:val="ListParagraph"/>
        <w:numPr>
          <w:ilvl w:val="0"/>
          <w:numId w:val="19"/>
        </w:numPr>
        <w:suppressLineNumbers/>
        <w:suppressAutoHyphens/>
        <w:spacing w:after="120"/>
        <w:ind w:left="0" w:firstLine="0"/>
        <w:rPr>
          <w:kern w:val="22"/>
          <w:szCs w:val="22"/>
          <w:lang w:val="es-ES_tradnl"/>
        </w:rPr>
      </w:pPr>
      <w:r w:rsidRPr="00F600E5">
        <w:rPr>
          <w:snapToGrid w:val="0"/>
          <w:kern w:val="22"/>
          <w:szCs w:val="22"/>
          <w:lang w:val="es-ES_tradnl"/>
        </w:rPr>
        <w:t xml:space="preserve">El análisis anterior señaló las ventajas de iniciar el examen del posible componente de movilización de recursos del marco para la diversidad biológica posterior a 2020 </w:t>
      </w:r>
      <w:r w:rsidR="00491CB6" w:rsidRPr="00F600E5">
        <w:rPr>
          <w:snapToGrid w:val="0"/>
          <w:kern w:val="22"/>
          <w:szCs w:val="22"/>
          <w:lang w:val="es-ES_tradnl"/>
        </w:rPr>
        <w:t>a</w:t>
      </w:r>
      <w:r w:rsidR="00084813" w:rsidRPr="00F600E5">
        <w:rPr>
          <w:snapToGrid w:val="0"/>
          <w:kern w:val="22"/>
          <w:szCs w:val="22"/>
          <w:lang w:val="es-ES_tradnl"/>
        </w:rPr>
        <w:t xml:space="preserve">) </w:t>
      </w:r>
      <w:r w:rsidRPr="00F600E5">
        <w:rPr>
          <w:snapToGrid w:val="0"/>
          <w:kern w:val="22"/>
          <w:szCs w:val="22"/>
          <w:lang w:val="es-ES_tradnl"/>
        </w:rPr>
        <w:t>desde un principio</w:t>
      </w:r>
      <w:r w:rsidR="00084813" w:rsidRPr="00F600E5">
        <w:rPr>
          <w:snapToGrid w:val="0"/>
          <w:kern w:val="22"/>
          <w:szCs w:val="22"/>
          <w:lang w:val="es-ES_tradnl"/>
        </w:rPr>
        <w:t xml:space="preserve">; </w:t>
      </w:r>
      <w:r w:rsidR="00491CB6" w:rsidRPr="00F600E5">
        <w:rPr>
          <w:snapToGrid w:val="0"/>
          <w:kern w:val="22"/>
          <w:szCs w:val="22"/>
          <w:lang w:val="es-ES_tradnl"/>
        </w:rPr>
        <w:t>b</w:t>
      </w:r>
      <w:r w:rsidR="00084813" w:rsidRPr="00F600E5">
        <w:rPr>
          <w:snapToGrid w:val="0"/>
          <w:kern w:val="22"/>
          <w:szCs w:val="22"/>
          <w:lang w:val="es-ES_tradnl"/>
        </w:rPr>
        <w:t xml:space="preserve">) </w:t>
      </w:r>
      <w:r w:rsidRPr="00F600E5">
        <w:rPr>
          <w:snapToGrid w:val="0"/>
          <w:kern w:val="22"/>
          <w:szCs w:val="22"/>
          <w:lang w:val="es-ES_tradnl"/>
        </w:rPr>
        <w:t>de mo</w:t>
      </w:r>
      <w:r w:rsidR="00F600E5" w:rsidRPr="00F600E5">
        <w:rPr>
          <w:snapToGrid w:val="0"/>
          <w:kern w:val="22"/>
          <w:szCs w:val="22"/>
          <w:lang w:val="es-ES_tradnl"/>
        </w:rPr>
        <w:t>d</w:t>
      </w:r>
      <w:r w:rsidRPr="00F600E5">
        <w:rPr>
          <w:snapToGrid w:val="0"/>
          <w:kern w:val="22"/>
          <w:szCs w:val="22"/>
          <w:lang w:val="es-ES_tradnl"/>
        </w:rPr>
        <w:t>o que pueda aprovechar y reforzar los progresos ya alcanzados</w:t>
      </w:r>
      <w:r w:rsidR="00084813" w:rsidRPr="00F600E5">
        <w:rPr>
          <w:snapToGrid w:val="0"/>
          <w:kern w:val="22"/>
          <w:szCs w:val="22"/>
          <w:lang w:val="es-ES_tradnl"/>
        </w:rPr>
        <w:t xml:space="preserve">; </w:t>
      </w:r>
      <w:r w:rsidRPr="00F600E5">
        <w:rPr>
          <w:snapToGrid w:val="0"/>
          <w:kern w:val="22"/>
          <w:szCs w:val="22"/>
          <w:lang w:val="es-ES_tradnl"/>
        </w:rPr>
        <w:t xml:space="preserve">y </w:t>
      </w:r>
      <w:r w:rsidR="00491CB6" w:rsidRPr="00F600E5">
        <w:rPr>
          <w:snapToGrid w:val="0"/>
          <w:kern w:val="22"/>
          <w:szCs w:val="22"/>
          <w:lang w:val="es-ES_tradnl"/>
        </w:rPr>
        <w:t>c</w:t>
      </w:r>
      <w:r w:rsidR="00084813" w:rsidRPr="00F600E5">
        <w:rPr>
          <w:snapToGrid w:val="0"/>
          <w:kern w:val="22"/>
          <w:szCs w:val="22"/>
          <w:lang w:val="es-ES_tradnl"/>
        </w:rPr>
        <w:t xml:space="preserve">) </w:t>
      </w:r>
      <w:r w:rsidRPr="00F600E5">
        <w:rPr>
          <w:snapToGrid w:val="0"/>
          <w:kern w:val="22"/>
          <w:szCs w:val="22"/>
          <w:lang w:val="es-ES_tradnl"/>
        </w:rPr>
        <w:t>en forma integrada con la elaboración del marco general posterior a 2020</w:t>
      </w:r>
      <w:r w:rsidR="00084813" w:rsidRPr="00F600E5">
        <w:rPr>
          <w:snapToGrid w:val="0"/>
          <w:kern w:val="22"/>
          <w:szCs w:val="22"/>
          <w:lang w:val="es-ES_tradnl"/>
        </w:rPr>
        <w:t xml:space="preserve">. </w:t>
      </w:r>
      <w:r w:rsidRPr="00F600E5">
        <w:rPr>
          <w:snapToGrid w:val="0"/>
          <w:kern w:val="22"/>
          <w:szCs w:val="22"/>
          <w:lang w:val="es-ES_tradnl"/>
        </w:rPr>
        <w:t xml:space="preserve">Por tanto, el </w:t>
      </w:r>
      <w:r w:rsidR="00564619" w:rsidRPr="00F600E5">
        <w:rPr>
          <w:snapToGrid w:val="0"/>
          <w:kern w:val="22"/>
          <w:szCs w:val="22"/>
          <w:lang w:val="es-ES_tradnl"/>
        </w:rPr>
        <w:t>Órgano Subsidiario</w:t>
      </w:r>
      <w:r w:rsidR="00084813" w:rsidRPr="00F600E5">
        <w:rPr>
          <w:snapToGrid w:val="0"/>
          <w:kern w:val="22"/>
          <w:szCs w:val="22"/>
          <w:lang w:val="es-ES_tradnl"/>
        </w:rPr>
        <w:t xml:space="preserve"> </w:t>
      </w:r>
      <w:r w:rsidRPr="00F600E5">
        <w:rPr>
          <w:snapToGrid w:val="0"/>
          <w:kern w:val="22"/>
          <w:szCs w:val="22"/>
          <w:lang w:val="es-ES_tradnl"/>
        </w:rPr>
        <w:t xml:space="preserve">tal vez desee considerar la posibilidad de recomendar la creación de un flujo de trabajo exclusivo sobre </w:t>
      </w:r>
      <w:r w:rsidR="00F600E5" w:rsidRPr="00F600E5">
        <w:rPr>
          <w:snapToGrid w:val="0"/>
          <w:kern w:val="22"/>
          <w:szCs w:val="22"/>
          <w:lang w:val="es-ES_tradnl"/>
        </w:rPr>
        <w:t xml:space="preserve">la </w:t>
      </w:r>
      <w:r w:rsidRPr="00F600E5">
        <w:rPr>
          <w:snapToGrid w:val="0"/>
          <w:kern w:val="22"/>
          <w:szCs w:val="22"/>
          <w:lang w:val="es-ES_tradnl"/>
        </w:rPr>
        <w:t>movilización de recursos con arreglo al proceso preparatorio</w:t>
      </w:r>
      <w:r w:rsidR="00084813" w:rsidRPr="00F600E5">
        <w:rPr>
          <w:snapToGrid w:val="0"/>
          <w:kern w:val="22"/>
          <w:szCs w:val="22"/>
          <w:lang w:val="es-ES_tradnl"/>
        </w:rPr>
        <w:t xml:space="preserve">, </w:t>
      </w:r>
      <w:r w:rsidRPr="00F600E5">
        <w:rPr>
          <w:snapToGrid w:val="0"/>
          <w:kern w:val="22"/>
          <w:szCs w:val="22"/>
          <w:lang w:val="es-ES_tradnl"/>
        </w:rPr>
        <w:t xml:space="preserve">tal como se propone en </w:t>
      </w:r>
      <w:r w:rsidR="00A6217C" w:rsidRPr="00F600E5">
        <w:rPr>
          <w:snapToGrid w:val="0"/>
          <w:kern w:val="22"/>
          <w:szCs w:val="22"/>
          <w:lang w:val="es-ES_tradnl"/>
        </w:rPr>
        <w:t>la nota del Secretario Ejecutivo sobre la preparación del</w:t>
      </w:r>
      <w:r w:rsidR="00A6217C" w:rsidRPr="00F600E5">
        <w:rPr>
          <w:kern w:val="22"/>
          <w:lang w:val="es-ES_tradnl"/>
        </w:rPr>
        <w:t xml:space="preserve"> instrumento sucesor del Plan Estratégico para la Diversidad Biológica 2011-2020 </w:t>
      </w:r>
      <w:r w:rsidR="00A6217C" w:rsidRPr="00F600E5">
        <w:rPr>
          <w:snapToGrid w:val="0"/>
          <w:kern w:val="22"/>
          <w:szCs w:val="22"/>
          <w:lang w:val="es-ES_tradnl"/>
        </w:rPr>
        <w:t>(</w:t>
      </w:r>
      <w:r w:rsidR="00084813" w:rsidRPr="00F600E5">
        <w:rPr>
          <w:snapToGrid w:val="0"/>
          <w:kern w:val="22"/>
          <w:szCs w:val="22"/>
          <w:lang w:val="es-ES_tradnl"/>
        </w:rPr>
        <w:t>CBD/SBI/2/17</w:t>
      </w:r>
      <w:r w:rsidR="00A6217C" w:rsidRPr="00F600E5">
        <w:rPr>
          <w:snapToGrid w:val="0"/>
          <w:kern w:val="22"/>
          <w:szCs w:val="22"/>
          <w:lang w:val="es-ES_tradnl"/>
        </w:rPr>
        <w:t>)</w:t>
      </w:r>
      <w:r w:rsidR="00084813" w:rsidRPr="00F600E5">
        <w:rPr>
          <w:snapToGrid w:val="0"/>
          <w:kern w:val="22"/>
          <w:szCs w:val="22"/>
          <w:lang w:val="es-ES_tradnl"/>
        </w:rPr>
        <w:t>.</w:t>
      </w:r>
    </w:p>
    <w:p w:rsidR="00583760" w:rsidRPr="00F600E5" w:rsidRDefault="00583760" w:rsidP="00583760">
      <w:pPr>
        <w:pStyle w:val="ListParagraph"/>
        <w:suppressLineNumbers/>
        <w:suppressAutoHyphens/>
        <w:spacing w:after="120"/>
        <w:ind w:left="0"/>
        <w:rPr>
          <w:kern w:val="22"/>
          <w:szCs w:val="22"/>
          <w:lang w:val="es-ES_tradnl"/>
        </w:rPr>
      </w:pPr>
    </w:p>
    <w:p w:rsidR="00084813" w:rsidRPr="00F600E5" w:rsidRDefault="009419CC" w:rsidP="0049225D">
      <w:pPr>
        <w:pStyle w:val="ListParagraph"/>
        <w:numPr>
          <w:ilvl w:val="0"/>
          <w:numId w:val="19"/>
        </w:numPr>
        <w:suppressLineNumbers/>
        <w:suppressAutoHyphens/>
        <w:spacing w:after="120"/>
        <w:ind w:left="0" w:firstLine="0"/>
        <w:rPr>
          <w:kern w:val="22"/>
          <w:szCs w:val="22"/>
          <w:lang w:val="es-ES_tradnl"/>
        </w:rPr>
      </w:pPr>
      <w:r w:rsidRPr="00F600E5">
        <w:rPr>
          <w:snapToGrid w:val="0"/>
          <w:kern w:val="22"/>
          <w:szCs w:val="22"/>
          <w:lang w:val="es-ES_tradnl"/>
        </w:rPr>
        <w:t xml:space="preserve">Como primer paso para examinar el componente de movilización de recursos, el </w:t>
      </w:r>
      <w:r w:rsidR="00564619" w:rsidRPr="00F600E5">
        <w:rPr>
          <w:snapToGrid w:val="0"/>
          <w:kern w:val="22"/>
          <w:szCs w:val="22"/>
          <w:lang w:val="es-ES_tradnl"/>
        </w:rPr>
        <w:t>Órgano Subsidiario</w:t>
      </w:r>
      <w:r w:rsidR="00084813" w:rsidRPr="00F600E5">
        <w:rPr>
          <w:snapToGrid w:val="0"/>
          <w:kern w:val="22"/>
          <w:szCs w:val="22"/>
          <w:lang w:val="es-ES_tradnl"/>
        </w:rPr>
        <w:t xml:space="preserve"> </w:t>
      </w:r>
      <w:r w:rsidRPr="00F600E5">
        <w:rPr>
          <w:snapToGrid w:val="0"/>
          <w:kern w:val="22"/>
          <w:szCs w:val="22"/>
          <w:lang w:val="es-ES_tradnl"/>
        </w:rPr>
        <w:t>podría considerar la posibilidad de utilizar la labor entre sesiones, antes de la decimocuarta reunión de la</w:t>
      </w:r>
      <w:r w:rsidR="009E0D5E" w:rsidRPr="00F600E5">
        <w:rPr>
          <w:snapToGrid w:val="0"/>
          <w:kern w:val="22"/>
          <w:szCs w:val="22"/>
          <w:lang w:val="es-ES_tradnl"/>
        </w:rPr>
        <w:t xml:space="preserve"> </w:t>
      </w:r>
      <w:r w:rsidR="006C5FC8" w:rsidRPr="00F600E5">
        <w:rPr>
          <w:snapToGrid w:val="0"/>
          <w:kern w:val="22"/>
          <w:szCs w:val="22"/>
          <w:lang w:val="es-ES_tradnl"/>
        </w:rPr>
        <w:t>Conferencia de las Partes</w:t>
      </w:r>
      <w:r w:rsidR="00084813" w:rsidRPr="00F600E5">
        <w:rPr>
          <w:snapToGrid w:val="0"/>
          <w:kern w:val="22"/>
          <w:szCs w:val="22"/>
          <w:lang w:val="es-ES_tradnl"/>
        </w:rPr>
        <w:t xml:space="preserve">, </w:t>
      </w:r>
      <w:r w:rsidR="009E0D5E" w:rsidRPr="00F600E5">
        <w:rPr>
          <w:snapToGrid w:val="0"/>
          <w:kern w:val="22"/>
          <w:szCs w:val="22"/>
          <w:lang w:val="es-ES_tradnl"/>
        </w:rPr>
        <w:t xml:space="preserve">propuesta en </w:t>
      </w:r>
      <w:r w:rsidR="000B5ABB" w:rsidRPr="00F600E5">
        <w:rPr>
          <w:snapToGrid w:val="0"/>
          <w:kern w:val="22"/>
          <w:szCs w:val="22"/>
          <w:lang w:val="es-ES_tradnl"/>
        </w:rPr>
        <w:t xml:space="preserve">CBD/SBI/2/17, </w:t>
      </w:r>
      <w:r w:rsidR="009E0D5E" w:rsidRPr="00F600E5">
        <w:rPr>
          <w:snapToGrid w:val="0"/>
          <w:kern w:val="22"/>
          <w:szCs w:val="22"/>
          <w:lang w:val="es-ES_tradnl"/>
        </w:rPr>
        <w:t xml:space="preserve">sección </w:t>
      </w:r>
      <w:r w:rsidR="00084813" w:rsidRPr="00F600E5">
        <w:rPr>
          <w:snapToGrid w:val="0"/>
          <w:kern w:val="22"/>
          <w:szCs w:val="22"/>
          <w:lang w:val="es-ES_tradnl"/>
        </w:rPr>
        <w:t>VI</w:t>
      </w:r>
      <w:r w:rsidR="000B5ABB" w:rsidRPr="00F600E5">
        <w:rPr>
          <w:snapToGrid w:val="0"/>
          <w:kern w:val="22"/>
          <w:szCs w:val="22"/>
          <w:lang w:val="es-ES_tradnl"/>
        </w:rPr>
        <w:t>,</w:t>
      </w:r>
      <w:r w:rsidR="00084813" w:rsidRPr="00F600E5">
        <w:rPr>
          <w:snapToGrid w:val="0"/>
          <w:kern w:val="22"/>
          <w:szCs w:val="22"/>
          <w:lang w:val="es-ES_tradnl"/>
        </w:rPr>
        <w:t xml:space="preserve"> </w:t>
      </w:r>
      <w:r w:rsidR="009E0D5E" w:rsidRPr="00F600E5">
        <w:rPr>
          <w:snapToGrid w:val="0"/>
          <w:kern w:val="22"/>
          <w:szCs w:val="22"/>
          <w:lang w:val="es-ES_tradnl"/>
        </w:rPr>
        <w:t xml:space="preserve">así como en el </w:t>
      </w:r>
      <w:r w:rsidR="007E392F" w:rsidRPr="00F600E5">
        <w:rPr>
          <w:snapToGrid w:val="0"/>
          <w:kern w:val="22"/>
          <w:szCs w:val="22"/>
          <w:lang w:val="es-ES_tradnl"/>
        </w:rPr>
        <w:t>párrafo</w:t>
      </w:r>
      <w:r w:rsidR="00084813" w:rsidRPr="00F600E5">
        <w:rPr>
          <w:snapToGrid w:val="0"/>
          <w:kern w:val="22"/>
          <w:szCs w:val="22"/>
          <w:lang w:val="es-ES_tradnl"/>
        </w:rPr>
        <w:t xml:space="preserve"> 3 </w:t>
      </w:r>
      <w:r w:rsidR="009E0D5E" w:rsidRPr="00F600E5">
        <w:rPr>
          <w:snapToGrid w:val="0"/>
          <w:kern w:val="22"/>
          <w:szCs w:val="22"/>
          <w:lang w:val="es-ES_tradnl"/>
        </w:rPr>
        <w:t xml:space="preserve">del proyecto de recomendación que figura en </w:t>
      </w:r>
      <w:r w:rsidR="000B5ABB" w:rsidRPr="00F600E5">
        <w:rPr>
          <w:snapToGrid w:val="0"/>
          <w:kern w:val="22"/>
          <w:szCs w:val="22"/>
          <w:lang w:val="es-ES_tradnl"/>
        </w:rPr>
        <w:t xml:space="preserve">la sección D </w:t>
      </w:r>
      <w:r w:rsidR="000B5ABB" w:rsidRPr="00F600E5">
        <w:rPr>
          <w:i/>
          <w:snapToGrid w:val="0"/>
          <w:kern w:val="22"/>
          <w:szCs w:val="22"/>
          <w:lang w:val="es-ES_tradnl"/>
        </w:rPr>
        <w:t>infra</w:t>
      </w:r>
      <w:r w:rsidR="00084813" w:rsidRPr="00F600E5">
        <w:rPr>
          <w:snapToGrid w:val="0"/>
          <w:kern w:val="22"/>
          <w:szCs w:val="22"/>
          <w:lang w:val="es-ES_tradnl"/>
        </w:rPr>
        <w:t xml:space="preserve">. </w:t>
      </w:r>
      <w:r w:rsidR="009E0D5E" w:rsidRPr="00F600E5">
        <w:rPr>
          <w:snapToGrid w:val="0"/>
          <w:kern w:val="22"/>
          <w:szCs w:val="22"/>
          <w:lang w:val="es-ES_tradnl"/>
        </w:rPr>
        <w:t>Específicamente</w:t>
      </w:r>
      <w:r w:rsidR="00084813" w:rsidRPr="00F600E5">
        <w:rPr>
          <w:snapToGrid w:val="0"/>
          <w:kern w:val="22"/>
          <w:szCs w:val="22"/>
          <w:lang w:val="es-ES_tradnl"/>
        </w:rPr>
        <w:t xml:space="preserve">, </w:t>
      </w:r>
      <w:r w:rsidR="009E0D5E" w:rsidRPr="00F600E5">
        <w:rPr>
          <w:snapToGrid w:val="0"/>
          <w:kern w:val="22"/>
          <w:szCs w:val="22"/>
          <w:lang w:val="es-ES_tradnl"/>
        </w:rPr>
        <w:t xml:space="preserve">el </w:t>
      </w:r>
      <w:r w:rsidR="00564619" w:rsidRPr="00F600E5">
        <w:rPr>
          <w:snapToGrid w:val="0"/>
          <w:kern w:val="22"/>
          <w:szCs w:val="22"/>
          <w:lang w:val="es-ES_tradnl"/>
        </w:rPr>
        <w:t>Órgano Subsidiario</w:t>
      </w:r>
      <w:r w:rsidR="00084813" w:rsidRPr="00F600E5">
        <w:rPr>
          <w:snapToGrid w:val="0"/>
          <w:kern w:val="22"/>
          <w:szCs w:val="22"/>
          <w:lang w:val="es-ES_tradnl"/>
        </w:rPr>
        <w:t xml:space="preserve"> </w:t>
      </w:r>
      <w:r w:rsidR="009E0D5E" w:rsidRPr="00F600E5">
        <w:rPr>
          <w:snapToGrid w:val="0"/>
          <w:kern w:val="22"/>
          <w:szCs w:val="22"/>
          <w:lang w:val="es-ES_tradnl"/>
        </w:rPr>
        <w:t xml:space="preserve">tal vez desee pedir a las Partes e invitar a otros Gobiernos, así como organizaciones e iniciativas internacionales pertinentes, a que </w:t>
      </w:r>
      <w:r w:rsidR="00C65B9C" w:rsidRPr="00F600E5">
        <w:rPr>
          <w:snapToGrid w:val="0"/>
          <w:kern w:val="22"/>
          <w:szCs w:val="22"/>
          <w:lang w:val="es-ES_tradnl"/>
        </w:rPr>
        <w:t xml:space="preserve">analicen </w:t>
      </w:r>
      <w:r w:rsidR="009E0D5E" w:rsidRPr="00F600E5">
        <w:rPr>
          <w:snapToGrid w:val="0"/>
          <w:kern w:val="22"/>
          <w:szCs w:val="22"/>
          <w:lang w:val="es-ES_tradnl"/>
        </w:rPr>
        <w:t xml:space="preserve">sus experiencias en la aplicación de los elementos del marco de movilización de recursos y en la utilización de </w:t>
      </w:r>
      <w:r w:rsidR="00C65B9C" w:rsidRPr="00F600E5">
        <w:rPr>
          <w:snapToGrid w:val="0"/>
          <w:kern w:val="22"/>
          <w:szCs w:val="22"/>
          <w:lang w:val="es-ES_tradnl"/>
        </w:rPr>
        <w:t>orientaciones adicionales y</w:t>
      </w:r>
      <w:r w:rsidR="009E0D5E" w:rsidRPr="00F600E5">
        <w:rPr>
          <w:snapToGrid w:val="0"/>
          <w:kern w:val="22"/>
          <w:szCs w:val="22"/>
          <w:lang w:val="es-ES_tradnl"/>
        </w:rPr>
        <w:t xml:space="preserve">, aprovechando </w:t>
      </w:r>
      <w:r w:rsidR="00C65B9C" w:rsidRPr="00F600E5">
        <w:rPr>
          <w:snapToGrid w:val="0"/>
          <w:kern w:val="22"/>
          <w:szCs w:val="22"/>
          <w:lang w:val="es-ES_tradnl"/>
        </w:rPr>
        <w:t>dicho análisis</w:t>
      </w:r>
      <w:r w:rsidR="009E0D5E" w:rsidRPr="00F600E5">
        <w:rPr>
          <w:snapToGrid w:val="0"/>
          <w:kern w:val="22"/>
          <w:szCs w:val="22"/>
          <w:lang w:val="es-ES_tradnl"/>
        </w:rPr>
        <w:t xml:space="preserve">, </w:t>
      </w:r>
      <w:r w:rsidR="00F600E5" w:rsidRPr="00F600E5">
        <w:rPr>
          <w:snapToGrid w:val="0"/>
          <w:kern w:val="22"/>
          <w:szCs w:val="22"/>
          <w:lang w:val="es-ES_tradnl"/>
        </w:rPr>
        <w:t xml:space="preserve">que </w:t>
      </w:r>
      <w:r w:rsidR="009E0D5E" w:rsidRPr="00F600E5">
        <w:rPr>
          <w:snapToGrid w:val="0"/>
          <w:kern w:val="22"/>
          <w:szCs w:val="22"/>
          <w:lang w:val="es-ES_tradnl"/>
        </w:rPr>
        <w:t xml:space="preserve">presente </w:t>
      </w:r>
      <w:r w:rsidR="00C65B9C" w:rsidRPr="00F600E5">
        <w:rPr>
          <w:snapToGrid w:val="0"/>
          <w:kern w:val="22"/>
          <w:szCs w:val="22"/>
          <w:lang w:val="es-ES_tradnl"/>
        </w:rPr>
        <w:t xml:space="preserve">sus opiniones sobre el posible alcance y </w:t>
      </w:r>
      <w:r w:rsidR="00F600E5" w:rsidRPr="00F600E5">
        <w:rPr>
          <w:snapToGrid w:val="0"/>
          <w:kern w:val="22"/>
          <w:szCs w:val="22"/>
          <w:lang w:val="es-ES_tradnl"/>
        </w:rPr>
        <w:t xml:space="preserve">el </w:t>
      </w:r>
      <w:r w:rsidR="00C65B9C" w:rsidRPr="00F600E5">
        <w:rPr>
          <w:snapToGrid w:val="0"/>
          <w:kern w:val="22"/>
          <w:szCs w:val="22"/>
          <w:lang w:val="es-ES_tradnl"/>
        </w:rPr>
        <w:t xml:space="preserve">componente de movilización de recursos del marco </w:t>
      </w:r>
      <w:r w:rsidR="00F600E5" w:rsidRPr="00F600E5">
        <w:rPr>
          <w:snapToGrid w:val="0"/>
          <w:kern w:val="22"/>
          <w:szCs w:val="22"/>
          <w:lang w:val="es-ES_tradnl"/>
        </w:rPr>
        <w:t>para</w:t>
      </w:r>
      <w:r w:rsidR="00C65B9C" w:rsidRPr="00F600E5">
        <w:rPr>
          <w:snapToGrid w:val="0"/>
          <w:kern w:val="22"/>
          <w:szCs w:val="22"/>
          <w:lang w:val="es-ES_tradnl"/>
        </w:rPr>
        <w:t xml:space="preserve"> la diversidad biológica posterior a 2020</w:t>
      </w:r>
      <w:r w:rsidR="00084813" w:rsidRPr="00F600E5">
        <w:rPr>
          <w:snapToGrid w:val="0"/>
          <w:kern w:val="22"/>
          <w:szCs w:val="22"/>
          <w:lang w:val="es-ES_tradnl"/>
        </w:rPr>
        <w:t xml:space="preserve">. </w:t>
      </w:r>
      <w:r w:rsidR="00C65B9C" w:rsidRPr="00F600E5">
        <w:rPr>
          <w:snapToGrid w:val="0"/>
          <w:kern w:val="22"/>
          <w:szCs w:val="22"/>
          <w:lang w:val="es-ES_tradnl"/>
        </w:rPr>
        <w:t xml:space="preserve">Las opiniones presentadas formarían parte de la recopilación y la síntesis no prescriptiva que preparará el </w:t>
      </w:r>
      <w:r w:rsidR="00184CA8" w:rsidRPr="00F600E5">
        <w:rPr>
          <w:snapToGrid w:val="0"/>
          <w:kern w:val="22"/>
          <w:szCs w:val="22"/>
          <w:lang w:val="es-ES_tradnl"/>
        </w:rPr>
        <w:t>Secretario Ejecutivo</w:t>
      </w:r>
      <w:r w:rsidR="00084813" w:rsidRPr="00F600E5">
        <w:rPr>
          <w:snapToGrid w:val="0"/>
          <w:kern w:val="22"/>
          <w:szCs w:val="22"/>
          <w:lang w:val="es-ES_tradnl"/>
        </w:rPr>
        <w:t xml:space="preserve">, </w:t>
      </w:r>
      <w:r w:rsidR="00C65B9C" w:rsidRPr="00F600E5">
        <w:rPr>
          <w:snapToGrid w:val="0"/>
          <w:kern w:val="22"/>
          <w:szCs w:val="22"/>
          <w:lang w:val="es-ES_tradnl"/>
        </w:rPr>
        <w:t xml:space="preserve">previsto en el </w:t>
      </w:r>
      <w:r w:rsidR="007E392F" w:rsidRPr="00F600E5">
        <w:rPr>
          <w:snapToGrid w:val="0"/>
          <w:kern w:val="22"/>
          <w:szCs w:val="22"/>
          <w:lang w:val="es-ES_tradnl"/>
        </w:rPr>
        <w:t>párrafo</w:t>
      </w:r>
      <w:r w:rsidR="00084813" w:rsidRPr="00F600E5">
        <w:rPr>
          <w:snapToGrid w:val="0"/>
          <w:kern w:val="22"/>
          <w:szCs w:val="22"/>
          <w:lang w:val="es-ES_tradnl"/>
        </w:rPr>
        <w:t xml:space="preserve"> 3</w:t>
      </w:r>
      <w:r w:rsidR="00084813" w:rsidRPr="00F600E5">
        <w:rPr>
          <w:kern w:val="22"/>
          <w:lang w:val="es-ES_tradnl"/>
        </w:rPr>
        <w:t xml:space="preserve"> </w:t>
      </w:r>
      <w:r w:rsidR="00C65B9C" w:rsidRPr="00F600E5">
        <w:rPr>
          <w:kern w:val="22"/>
          <w:lang w:val="es-ES_tradnl"/>
        </w:rPr>
        <w:t xml:space="preserve">del proyecto de recomendación </w:t>
      </w:r>
      <w:r w:rsidR="000B5ABB" w:rsidRPr="00F600E5">
        <w:rPr>
          <w:kern w:val="22"/>
          <w:lang w:val="es-ES_tradnl"/>
        </w:rPr>
        <w:t xml:space="preserve">que figura en </w:t>
      </w:r>
      <w:r w:rsidR="00084813" w:rsidRPr="00F600E5">
        <w:rPr>
          <w:snapToGrid w:val="0"/>
          <w:kern w:val="22"/>
          <w:szCs w:val="22"/>
          <w:lang w:val="es-ES_tradnl"/>
        </w:rPr>
        <w:t>CBD/SBI/2/17.</w:t>
      </w:r>
    </w:p>
    <w:p w:rsidR="00084813" w:rsidRPr="00F600E5" w:rsidRDefault="00491CB6" w:rsidP="00084813">
      <w:pPr>
        <w:pStyle w:val="Heading2"/>
        <w:rPr>
          <w:snapToGrid w:val="0"/>
          <w:kern w:val="22"/>
          <w:lang w:val="es-ES_tradnl"/>
        </w:rPr>
      </w:pPr>
      <w:r w:rsidRPr="00F600E5">
        <w:rPr>
          <w:snapToGrid w:val="0"/>
          <w:kern w:val="22"/>
          <w:lang w:val="es-ES_tradnl"/>
        </w:rPr>
        <w:t>D.</w:t>
      </w:r>
      <w:r w:rsidRPr="00F600E5">
        <w:rPr>
          <w:snapToGrid w:val="0"/>
          <w:kern w:val="22"/>
          <w:lang w:val="es-ES_tradnl"/>
        </w:rPr>
        <w:tab/>
      </w:r>
      <w:r w:rsidR="00084813" w:rsidRPr="00F600E5">
        <w:rPr>
          <w:snapToGrid w:val="0"/>
          <w:kern w:val="22"/>
          <w:lang w:val="es-ES_tradnl"/>
        </w:rPr>
        <w:t>Element</w:t>
      </w:r>
      <w:r w:rsidR="007E392F" w:rsidRPr="00F600E5">
        <w:rPr>
          <w:snapToGrid w:val="0"/>
          <w:kern w:val="22"/>
          <w:lang w:val="es-ES_tradnl"/>
        </w:rPr>
        <w:t>o</w:t>
      </w:r>
      <w:r w:rsidR="006C5FC8" w:rsidRPr="00F600E5">
        <w:rPr>
          <w:snapToGrid w:val="0"/>
          <w:kern w:val="22"/>
          <w:lang w:val="es-ES_tradnl"/>
        </w:rPr>
        <w:t>s</w:t>
      </w:r>
      <w:r w:rsidR="007E392F" w:rsidRPr="00F600E5">
        <w:rPr>
          <w:snapToGrid w:val="0"/>
          <w:kern w:val="22"/>
          <w:lang w:val="es-ES_tradnl"/>
        </w:rPr>
        <w:t xml:space="preserve"> de un proyecto de recomendación</w:t>
      </w:r>
    </w:p>
    <w:p w:rsidR="00084813" w:rsidRPr="00F600E5" w:rsidRDefault="00F815F6" w:rsidP="002E6B4D">
      <w:pPr>
        <w:pStyle w:val="ListParagraph"/>
        <w:numPr>
          <w:ilvl w:val="0"/>
          <w:numId w:val="19"/>
        </w:numPr>
        <w:suppressLineNumbers/>
        <w:suppressAutoHyphens/>
        <w:spacing w:after="120"/>
        <w:ind w:left="0" w:firstLine="0"/>
        <w:rPr>
          <w:kern w:val="22"/>
          <w:szCs w:val="22"/>
          <w:lang w:val="es-ES_tradnl"/>
        </w:rPr>
      </w:pPr>
      <w:r w:rsidRPr="00F600E5">
        <w:rPr>
          <w:snapToGrid w:val="0"/>
          <w:kern w:val="22"/>
          <w:szCs w:val="22"/>
          <w:lang w:val="es-ES_tradnl"/>
        </w:rPr>
        <w:t>Habida cuenta de las consideraciones anteriores, el</w:t>
      </w:r>
      <w:r w:rsidR="00084813" w:rsidRPr="00F600E5">
        <w:rPr>
          <w:snapToGrid w:val="0"/>
          <w:kern w:val="22"/>
          <w:szCs w:val="22"/>
          <w:lang w:val="es-ES_tradnl"/>
        </w:rPr>
        <w:t xml:space="preserve"> </w:t>
      </w:r>
      <w:r w:rsidR="00564619" w:rsidRPr="00F600E5">
        <w:rPr>
          <w:snapToGrid w:val="0"/>
          <w:kern w:val="22"/>
          <w:szCs w:val="22"/>
          <w:lang w:val="es-ES_tradnl"/>
        </w:rPr>
        <w:t>Órgano Subsidiario</w:t>
      </w:r>
      <w:r w:rsidR="00084813" w:rsidRPr="00F600E5">
        <w:rPr>
          <w:snapToGrid w:val="0"/>
          <w:kern w:val="22"/>
          <w:szCs w:val="22"/>
          <w:lang w:val="es-ES_tradnl"/>
        </w:rPr>
        <w:t xml:space="preserve"> </w:t>
      </w:r>
      <w:r w:rsidRPr="00F600E5">
        <w:rPr>
          <w:snapToGrid w:val="0"/>
          <w:kern w:val="22"/>
          <w:szCs w:val="22"/>
          <w:lang w:val="es-ES_tradnl"/>
        </w:rPr>
        <w:t xml:space="preserve">sobre la Aplicación en su segunda reunión </w:t>
      </w:r>
      <w:r w:rsidRPr="00F600E5">
        <w:rPr>
          <w:lang w:val="es-ES_tradnl"/>
        </w:rPr>
        <w:t>tal vez desee considerar adoptar una recomendación del siguiente</w:t>
      </w:r>
      <w:r w:rsidR="0046460D" w:rsidRPr="00F600E5">
        <w:rPr>
          <w:lang w:val="es-ES_tradnl"/>
        </w:rPr>
        <w:t xml:space="preserve"> tenor:</w:t>
      </w:r>
    </w:p>
    <w:p w:rsidR="00084813" w:rsidRPr="00F600E5" w:rsidRDefault="00F815F6" w:rsidP="00491CB6">
      <w:pPr>
        <w:spacing w:after="120"/>
        <w:ind w:firstLine="709"/>
        <w:rPr>
          <w:i/>
          <w:snapToGrid w:val="0"/>
          <w:kern w:val="22"/>
          <w:szCs w:val="22"/>
          <w:lang w:val="es-ES_tradnl"/>
        </w:rPr>
      </w:pPr>
      <w:r w:rsidRPr="00F600E5">
        <w:rPr>
          <w:i/>
          <w:snapToGrid w:val="0"/>
          <w:kern w:val="22"/>
          <w:szCs w:val="22"/>
          <w:lang w:val="es-ES_tradnl"/>
        </w:rPr>
        <w:t xml:space="preserve">El </w:t>
      </w:r>
      <w:r w:rsidR="00564619" w:rsidRPr="00F600E5">
        <w:rPr>
          <w:i/>
          <w:snapToGrid w:val="0"/>
          <w:kern w:val="22"/>
          <w:szCs w:val="22"/>
          <w:lang w:val="es-ES_tradnl"/>
        </w:rPr>
        <w:t>Órgano Subsidiario</w:t>
      </w:r>
      <w:r w:rsidR="00084813" w:rsidRPr="00F600E5">
        <w:rPr>
          <w:i/>
          <w:snapToGrid w:val="0"/>
          <w:kern w:val="22"/>
          <w:szCs w:val="22"/>
          <w:lang w:val="es-ES_tradnl"/>
        </w:rPr>
        <w:t xml:space="preserve"> </w:t>
      </w:r>
      <w:r w:rsidR="00BC13D4" w:rsidRPr="00F600E5">
        <w:rPr>
          <w:i/>
          <w:w w:val="105"/>
          <w:szCs w:val="22"/>
          <w:lang w:val="es-ES_tradnl"/>
        </w:rPr>
        <w:t>sobre la Aplicación</w:t>
      </w:r>
      <w:r w:rsidR="00084813" w:rsidRPr="00F600E5">
        <w:rPr>
          <w:i/>
          <w:snapToGrid w:val="0"/>
          <w:kern w:val="22"/>
          <w:szCs w:val="22"/>
          <w:lang w:val="es-ES_tradnl"/>
        </w:rPr>
        <w:t>,</w:t>
      </w:r>
    </w:p>
    <w:p w:rsidR="00084813" w:rsidRPr="00F600E5" w:rsidRDefault="00BC13D4" w:rsidP="00491CB6">
      <w:pPr>
        <w:spacing w:after="120"/>
        <w:ind w:firstLine="709"/>
        <w:rPr>
          <w:snapToGrid w:val="0"/>
          <w:kern w:val="22"/>
          <w:szCs w:val="22"/>
          <w:lang w:val="es-ES_tradnl"/>
        </w:rPr>
      </w:pPr>
      <w:r w:rsidRPr="00F600E5">
        <w:rPr>
          <w:i/>
          <w:snapToGrid w:val="0"/>
          <w:kern w:val="22"/>
          <w:szCs w:val="22"/>
          <w:lang w:val="es-ES_tradnl"/>
        </w:rPr>
        <w:t xml:space="preserve">Recordando </w:t>
      </w:r>
      <w:r w:rsidRPr="00F600E5">
        <w:rPr>
          <w:snapToGrid w:val="0"/>
          <w:kern w:val="22"/>
          <w:szCs w:val="22"/>
          <w:lang w:val="es-ES_tradnl"/>
        </w:rPr>
        <w:t>la decisión</w:t>
      </w:r>
      <w:r w:rsidRPr="00F600E5">
        <w:rPr>
          <w:i/>
          <w:snapToGrid w:val="0"/>
          <w:kern w:val="22"/>
          <w:szCs w:val="22"/>
          <w:lang w:val="es-ES_tradnl"/>
        </w:rPr>
        <w:t xml:space="preserve"> </w:t>
      </w:r>
      <w:hyperlink r:id="rId14" w:history="1">
        <w:r w:rsidR="00084813" w:rsidRPr="00F600E5">
          <w:rPr>
            <w:rStyle w:val="Hyperlink"/>
            <w:snapToGrid w:val="0"/>
            <w:kern w:val="22"/>
            <w:sz w:val="22"/>
            <w:szCs w:val="22"/>
            <w:lang w:val="es-ES_tradnl"/>
          </w:rPr>
          <w:t>XII/3</w:t>
        </w:r>
      </w:hyperlink>
      <w:r w:rsidR="00084813" w:rsidRPr="00F600E5">
        <w:rPr>
          <w:snapToGrid w:val="0"/>
          <w:kern w:val="22"/>
          <w:szCs w:val="22"/>
          <w:lang w:val="es-ES_tradnl"/>
        </w:rPr>
        <w:t xml:space="preserve">, </w:t>
      </w:r>
      <w:r w:rsidRPr="00F600E5">
        <w:rPr>
          <w:snapToGrid w:val="0"/>
          <w:kern w:val="22"/>
          <w:szCs w:val="22"/>
          <w:lang w:val="es-ES_tradnl"/>
        </w:rPr>
        <w:t xml:space="preserve">en particular las metas </w:t>
      </w:r>
      <w:r w:rsidR="008C240C" w:rsidRPr="00F600E5">
        <w:rPr>
          <w:snapToGrid w:val="0"/>
          <w:kern w:val="22"/>
          <w:szCs w:val="22"/>
          <w:lang w:val="es-ES_tradnl"/>
        </w:rPr>
        <w:t xml:space="preserve">a que se refieren los </w:t>
      </w:r>
      <w:r w:rsidR="007E392F" w:rsidRPr="00F600E5">
        <w:rPr>
          <w:snapToGrid w:val="0"/>
          <w:kern w:val="22"/>
          <w:szCs w:val="22"/>
          <w:lang w:val="es-ES_tradnl"/>
        </w:rPr>
        <w:t>párrafos</w:t>
      </w:r>
      <w:r w:rsidR="00084813" w:rsidRPr="00F600E5">
        <w:rPr>
          <w:snapToGrid w:val="0"/>
          <w:kern w:val="22"/>
          <w:szCs w:val="22"/>
          <w:lang w:val="es-ES_tradnl"/>
        </w:rPr>
        <w:t xml:space="preserve"> 1</w:t>
      </w:r>
      <w:r w:rsidR="008C240C" w:rsidRPr="00F600E5">
        <w:rPr>
          <w:snapToGrid w:val="0"/>
          <w:kern w:val="22"/>
          <w:szCs w:val="22"/>
          <w:lang w:val="es-ES_tradnl"/>
        </w:rPr>
        <w:t> </w:t>
      </w:r>
      <w:r w:rsidR="00084813" w:rsidRPr="00F600E5">
        <w:rPr>
          <w:snapToGrid w:val="0"/>
          <w:kern w:val="22"/>
          <w:szCs w:val="22"/>
          <w:lang w:val="es-ES_tradnl"/>
        </w:rPr>
        <w:t xml:space="preserve">a) </w:t>
      </w:r>
      <w:r w:rsidR="008C240C" w:rsidRPr="00F600E5">
        <w:rPr>
          <w:snapToGrid w:val="0"/>
          <w:kern w:val="22"/>
          <w:szCs w:val="22"/>
          <w:lang w:val="es-ES_tradnl"/>
        </w:rPr>
        <w:t xml:space="preserve">a </w:t>
      </w:r>
      <w:r w:rsidR="00084813" w:rsidRPr="00F600E5">
        <w:rPr>
          <w:snapToGrid w:val="0"/>
          <w:kern w:val="22"/>
          <w:szCs w:val="22"/>
          <w:lang w:val="es-ES_tradnl"/>
        </w:rPr>
        <w:t xml:space="preserve">e) </w:t>
      </w:r>
      <w:r w:rsidR="008C240C" w:rsidRPr="00F600E5">
        <w:rPr>
          <w:snapToGrid w:val="0"/>
          <w:kern w:val="22"/>
          <w:szCs w:val="22"/>
          <w:lang w:val="es-ES_tradnl"/>
        </w:rPr>
        <w:t xml:space="preserve">y </w:t>
      </w:r>
      <w:r w:rsidR="00084813" w:rsidRPr="00F600E5">
        <w:rPr>
          <w:snapToGrid w:val="0"/>
          <w:kern w:val="22"/>
          <w:szCs w:val="22"/>
          <w:lang w:val="es-ES_tradnl"/>
        </w:rPr>
        <w:t>2</w:t>
      </w:r>
      <w:r w:rsidR="000B5ABB" w:rsidRPr="00F600E5">
        <w:rPr>
          <w:snapToGrid w:val="0"/>
          <w:kern w:val="22"/>
          <w:szCs w:val="22"/>
          <w:lang w:val="es-ES_tradnl"/>
        </w:rPr>
        <w:t xml:space="preserve"> de la misma</w:t>
      </w:r>
      <w:r w:rsidR="00084813" w:rsidRPr="00F600E5">
        <w:rPr>
          <w:snapToGrid w:val="0"/>
          <w:kern w:val="22"/>
          <w:szCs w:val="22"/>
          <w:lang w:val="es-ES_tradnl"/>
        </w:rPr>
        <w:t>,</w:t>
      </w:r>
    </w:p>
    <w:p w:rsidR="00084813" w:rsidRPr="00F600E5" w:rsidRDefault="008C240C" w:rsidP="00491CB6">
      <w:pPr>
        <w:spacing w:after="120"/>
        <w:ind w:firstLine="709"/>
        <w:rPr>
          <w:snapToGrid w:val="0"/>
          <w:kern w:val="22"/>
          <w:szCs w:val="22"/>
          <w:lang w:val="es-ES_tradnl"/>
        </w:rPr>
      </w:pPr>
      <w:r w:rsidRPr="00F600E5">
        <w:rPr>
          <w:i/>
          <w:snapToGrid w:val="0"/>
          <w:kern w:val="22"/>
          <w:szCs w:val="22"/>
          <w:lang w:val="es-ES_tradnl"/>
        </w:rPr>
        <w:t>Haciendo hincapi</w:t>
      </w:r>
      <w:r w:rsidR="00352B7D" w:rsidRPr="00F600E5">
        <w:rPr>
          <w:i/>
          <w:snapToGrid w:val="0"/>
          <w:kern w:val="22"/>
          <w:szCs w:val="22"/>
          <w:lang w:val="es-ES_tradnl"/>
        </w:rPr>
        <w:t>é</w:t>
      </w:r>
      <w:r w:rsidRPr="00F600E5">
        <w:rPr>
          <w:i/>
          <w:snapToGrid w:val="0"/>
          <w:kern w:val="22"/>
          <w:szCs w:val="22"/>
          <w:lang w:val="es-ES_tradnl"/>
        </w:rPr>
        <w:t xml:space="preserve"> </w:t>
      </w:r>
      <w:r w:rsidRPr="00F600E5">
        <w:rPr>
          <w:snapToGrid w:val="0"/>
          <w:kern w:val="22"/>
          <w:szCs w:val="22"/>
          <w:lang w:val="es-ES_tradnl"/>
        </w:rPr>
        <w:t xml:space="preserve">en la necesidad de seguir trabajando para la movilización y utilización eficaz </w:t>
      </w:r>
      <w:r w:rsidR="00352B7D" w:rsidRPr="00F600E5">
        <w:rPr>
          <w:snapToGrid w:val="0"/>
          <w:kern w:val="22"/>
          <w:szCs w:val="22"/>
          <w:lang w:val="es-ES_tradnl"/>
        </w:rPr>
        <w:t>de los recursos para la diversidad biológica preveniente de todas las fuentes</w:t>
      </w:r>
      <w:r w:rsidR="00084813" w:rsidRPr="00F600E5">
        <w:rPr>
          <w:snapToGrid w:val="0"/>
          <w:kern w:val="22"/>
          <w:szCs w:val="22"/>
          <w:lang w:val="es-ES_tradnl"/>
        </w:rPr>
        <w:t>,</w:t>
      </w:r>
    </w:p>
    <w:p w:rsidR="00084813" w:rsidRPr="00F600E5" w:rsidRDefault="00352B7D" w:rsidP="00491CB6">
      <w:pPr>
        <w:spacing w:after="120"/>
        <w:ind w:firstLine="709"/>
        <w:rPr>
          <w:snapToGrid w:val="0"/>
          <w:kern w:val="22"/>
          <w:szCs w:val="22"/>
          <w:lang w:val="es-ES_tradnl"/>
        </w:rPr>
      </w:pPr>
      <w:r w:rsidRPr="00F600E5">
        <w:rPr>
          <w:i/>
          <w:snapToGrid w:val="0"/>
          <w:kern w:val="22"/>
          <w:szCs w:val="22"/>
          <w:lang w:val="es-ES_tradnl"/>
        </w:rPr>
        <w:t>Tomando nota</w:t>
      </w:r>
      <w:r w:rsidRPr="00F600E5">
        <w:rPr>
          <w:snapToGrid w:val="0"/>
          <w:kern w:val="22"/>
          <w:szCs w:val="22"/>
          <w:lang w:val="es-ES_tradnl"/>
        </w:rPr>
        <w:t xml:space="preserve"> del número limitado de marcos nuevos o actualizados para la presentación de informes financieros recibidos a tiempo para someterlos a la consideración del </w:t>
      </w:r>
      <w:r w:rsidR="00564619" w:rsidRPr="00F600E5">
        <w:rPr>
          <w:snapToGrid w:val="0"/>
          <w:kern w:val="22"/>
          <w:szCs w:val="22"/>
          <w:lang w:val="es-ES_tradnl"/>
        </w:rPr>
        <w:t>Órgano Subsidiario</w:t>
      </w:r>
      <w:r w:rsidR="00084813" w:rsidRPr="00F600E5">
        <w:rPr>
          <w:snapToGrid w:val="0"/>
          <w:kern w:val="22"/>
          <w:szCs w:val="22"/>
          <w:lang w:val="es-ES_tradnl"/>
        </w:rPr>
        <w:t xml:space="preserve"> </w:t>
      </w:r>
      <w:r w:rsidRPr="00F600E5">
        <w:rPr>
          <w:snapToGrid w:val="0"/>
          <w:kern w:val="22"/>
          <w:szCs w:val="22"/>
          <w:lang w:val="es-ES_tradnl"/>
        </w:rPr>
        <w:t>en su segunda reunión</w:t>
      </w:r>
      <w:r w:rsidR="00084813" w:rsidRPr="00F600E5">
        <w:rPr>
          <w:snapToGrid w:val="0"/>
          <w:kern w:val="22"/>
          <w:szCs w:val="22"/>
          <w:lang w:val="es-ES_tradnl"/>
        </w:rPr>
        <w:t>,</w:t>
      </w:r>
    </w:p>
    <w:p w:rsidR="00084813" w:rsidRPr="00F600E5" w:rsidRDefault="00352B7D" w:rsidP="00491CB6">
      <w:pPr>
        <w:spacing w:after="120"/>
        <w:ind w:firstLine="709"/>
        <w:rPr>
          <w:snapToGrid w:val="0"/>
          <w:kern w:val="22"/>
          <w:szCs w:val="22"/>
          <w:lang w:val="es-ES_tradnl"/>
        </w:rPr>
      </w:pPr>
      <w:r w:rsidRPr="00F600E5">
        <w:rPr>
          <w:i/>
          <w:snapToGrid w:val="0"/>
          <w:kern w:val="22"/>
          <w:szCs w:val="22"/>
          <w:lang w:val="es-ES_tradnl"/>
        </w:rPr>
        <w:t xml:space="preserve">Consciente </w:t>
      </w:r>
      <w:r w:rsidRPr="00F600E5">
        <w:rPr>
          <w:snapToGrid w:val="0"/>
          <w:kern w:val="22"/>
          <w:szCs w:val="22"/>
          <w:lang w:val="es-ES_tradnl"/>
        </w:rPr>
        <w:t>de los diversos problemas persistentes a los que se enfrentan muchas de las Partes en su presentación de informes financieros, en particular a la hora de identificar sus necesidades, deficiencias y prioridades de financiación, y a la hora de elaborar y presentar informes sobre sus planes nacionales de financiación</w:t>
      </w:r>
      <w:r w:rsidR="00084813" w:rsidRPr="00F600E5">
        <w:rPr>
          <w:snapToGrid w:val="0"/>
          <w:kern w:val="22"/>
          <w:szCs w:val="22"/>
          <w:lang w:val="es-ES_tradnl"/>
        </w:rPr>
        <w:t>,</w:t>
      </w:r>
    </w:p>
    <w:p w:rsidR="00084813" w:rsidRPr="00F600E5" w:rsidRDefault="00352B7D" w:rsidP="00491CB6">
      <w:pPr>
        <w:spacing w:after="120"/>
        <w:ind w:firstLine="709"/>
        <w:rPr>
          <w:snapToGrid w:val="0"/>
          <w:kern w:val="22"/>
          <w:szCs w:val="22"/>
          <w:lang w:val="es-ES_tradnl"/>
        </w:rPr>
      </w:pPr>
      <w:r w:rsidRPr="00F600E5">
        <w:rPr>
          <w:i/>
          <w:snapToGrid w:val="0"/>
          <w:kern w:val="22"/>
          <w:szCs w:val="22"/>
          <w:lang w:val="es-ES_tradnl"/>
        </w:rPr>
        <w:t xml:space="preserve">Recordando </w:t>
      </w:r>
      <w:r w:rsidRPr="00F600E5">
        <w:rPr>
          <w:snapToGrid w:val="0"/>
          <w:kern w:val="22"/>
          <w:szCs w:val="22"/>
          <w:lang w:val="es-ES_tradnl"/>
        </w:rPr>
        <w:t>el artículo 20 del Convenio</w:t>
      </w:r>
      <w:r w:rsidR="00084813" w:rsidRPr="00F600E5">
        <w:rPr>
          <w:snapToGrid w:val="0"/>
          <w:kern w:val="22"/>
          <w:szCs w:val="22"/>
          <w:lang w:val="es-ES_tradnl"/>
        </w:rPr>
        <w:t>,</w:t>
      </w:r>
    </w:p>
    <w:p w:rsidR="00084813" w:rsidRPr="00F600E5" w:rsidRDefault="00134542" w:rsidP="00491CB6">
      <w:pPr>
        <w:spacing w:after="120"/>
        <w:ind w:firstLine="709"/>
        <w:rPr>
          <w:snapToGrid w:val="0"/>
          <w:kern w:val="22"/>
          <w:szCs w:val="22"/>
          <w:lang w:val="es-ES_tradnl"/>
        </w:rPr>
      </w:pPr>
      <w:r w:rsidRPr="00F600E5">
        <w:rPr>
          <w:i/>
          <w:snapToGrid w:val="0"/>
          <w:kern w:val="22"/>
          <w:szCs w:val="22"/>
          <w:lang w:val="es-ES_tradnl"/>
        </w:rPr>
        <w:lastRenderedPageBreak/>
        <w:t xml:space="preserve">Destacando </w:t>
      </w:r>
      <w:r w:rsidRPr="00F600E5">
        <w:rPr>
          <w:snapToGrid w:val="0"/>
          <w:kern w:val="22"/>
          <w:szCs w:val="22"/>
          <w:lang w:val="es-ES_tradnl"/>
        </w:rPr>
        <w:t xml:space="preserve">la creciente importancia de aumentar la movilización de los recursos financieros para la aplicación eficaz, en los años restantes, del </w:t>
      </w:r>
      <w:r w:rsidR="00ED4111" w:rsidRPr="00F600E5">
        <w:rPr>
          <w:snapToGrid w:val="0"/>
          <w:kern w:val="22"/>
          <w:szCs w:val="22"/>
          <w:lang w:val="es-ES_tradnl"/>
        </w:rPr>
        <w:t>Plan Estratégico para la Diversidad Biológica</w:t>
      </w:r>
      <w:r w:rsidR="00084813" w:rsidRPr="00F600E5">
        <w:rPr>
          <w:snapToGrid w:val="0"/>
          <w:kern w:val="22"/>
          <w:szCs w:val="22"/>
          <w:lang w:val="es-ES_tradnl"/>
        </w:rPr>
        <w:t xml:space="preserve"> 2011-2020, </w:t>
      </w:r>
      <w:r w:rsidRPr="00F600E5">
        <w:rPr>
          <w:snapToGrid w:val="0"/>
          <w:kern w:val="22"/>
          <w:szCs w:val="22"/>
          <w:lang w:val="es-ES_tradnl"/>
        </w:rPr>
        <w:t xml:space="preserve">y del marco mundial para la diversidad biológica posterior a </w:t>
      </w:r>
      <w:r w:rsidR="00084813" w:rsidRPr="00F600E5">
        <w:rPr>
          <w:snapToGrid w:val="0"/>
          <w:kern w:val="22"/>
          <w:szCs w:val="22"/>
          <w:lang w:val="es-ES_tradnl"/>
        </w:rPr>
        <w:t xml:space="preserve">2020, </w:t>
      </w:r>
    </w:p>
    <w:p w:rsidR="00084813" w:rsidRPr="00F600E5" w:rsidRDefault="000B5ABB" w:rsidP="00084813">
      <w:pPr>
        <w:spacing w:after="120"/>
        <w:jc w:val="center"/>
        <w:rPr>
          <w:b/>
          <w:snapToGrid w:val="0"/>
          <w:kern w:val="22"/>
          <w:szCs w:val="22"/>
          <w:lang w:val="es-ES_tradnl"/>
        </w:rPr>
      </w:pPr>
      <w:r w:rsidRPr="00F600E5">
        <w:rPr>
          <w:b/>
          <w:snapToGrid w:val="0"/>
          <w:kern w:val="22"/>
          <w:szCs w:val="22"/>
          <w:lang w:val="es-ES_tradnl"/>
        </w:rPr>
        <w:t xml:space="preserve">A. </w:t>
      </w:r>
      <w:r w:rsidR="007E392F" w:rsidRPr="00F600E5">
        <w:rPr>
          <w:b/>
          <w:snapToGrid w:val="0"/>
          <w:kern w:val="22"/>
          <w:szCs w:val="22"/>
          <w:lang w:val="es-ES_tradnl"/>
        </w:rPr>
        <w:t>Presentación de informes financieros</w:t>
      </w:r>
    </w:p>
    <w:p w:rsidR="00084813" w:rsidRPr="00F600E5" w:rsidRDefault="00084813" w:rsidP="00491CB6">
      <w:pPr>
        <w:spacing w:after="120"/>
        <w:ind w:firstLine="709"/>
        <w:rPr>
          <w:snapToGrid w:val="0"/>
          <w:kern w:val="22"/>
          <w:szCs w:val="22"/>
          <w:lang w:val="es-ES_tradnl"/>
        </w:rPr>
      </w:pPr>
      <w:r w:rsidRPr="00F600E5">
        <w:rPr>
          <w:snapToGrid w:val="0"/>
          <w:kern w:val="22"/>
          <w:szCs w:val="22"/>
          <w:lang w:val="es-ES_tradnl"/>
        </w:rPr>
        <w:t>1.</w:t>
      </w:r>
      <w:r w:rsidRPr="00F600E5">
        <w:rPr>
          <w:snapToGrid w:val="0"/>
          <w:kern w:val="22"/>
          <w:szCs w:val="22"/>
          <w:lang w:val="es-ES_tradnl"/>
        </w:rPr>
        <w:tab/>
      </w:r>
      <w:r w:rsidRPr="00F600E5">
        <w:rPr>
          <w:i/>
          <w:snapToGrid w:val="0"/>
          <w:kern w:val="22"/>
          <w:szCs w:val="22"/>
          <w:lang w:val="es-ES_tradnl"/>
        </w:rPr>
        <w:t>T</w:t>
      </w:r>
      <w:r w:rsidR="00134542" w:rsidRPr="00F600E5">
        <w:rPr>
          <w:i/>
          <w:snapToGrid w:val="0"/>
          <w:kern w:val="22"/>
          <w:szCs w:val="22"/>
          <w:lang w:val="es-ES_tradnl"/>
        </w:rPr>
        <w:t xml:space="preserve">oma nota con reconocimiento </w:t>
      </w:r>
      <w:r w:rsidR="00F600E5" w:rsidRPr="00F600E5">
        <w:rPr>
          <w:snapToGrid w:val="0"/>
          <w:kern w:val="22"/>
          <w:szCs w:val="22"/>
          <w:lang w:val="es-ES_tradnl"/>
        </w:rPr>
        <w:t>de l</w:t>
      </w:r>
      <w:r w:rsidR="00134542" w:rsidRPr="00F600E5">
        <w:rPr>
          <w:snapToGrid w:val="0"/>
          <w:kern w:val="22"/>
          <w:szCs w:val="22"/>
          <w:lang w:val="es-ES_tradnl"/>
        </w:rPr>
        <w:t>a información suministrada por las Partes a través del marco de presentación de informes financieros</w:t>
      </w:r>
      <w:r w:rsidRPr="00F600E5">
        <w:rPr>
          <w:snapToGrid w:val="0"/>
          <w:kern w:val="22"/>
          <w:szCs w:val="22"/>
          <w:lang w:val="es-ES_tradnl"/>
        </w:rPr>
        <w:t>;</w:t>
      </w:r>
    </w:p>
    <w:p w:rsidR="00084813" w:rsidRPr="00F600E5" w:rsidRDefault="00084813" w:rsidP="00491CB6">
      <w:pPr>
        <w:spacing w:after="120"/>
        <w:ind w:firstLine="709"/>
        <w:rPr>
          <w:snapToGrid w:val="0"/>
          <w:kern w:val="22"/>
          <w:szCs w:val="22"/>
          <w:lang w:val="es-ES_tradnl"/>
        </w:rPr>
      </w:pPr>
      <w:r w:rsidRPr="00F600E5">
        <w:rPr>
          <w:snapToGrid w:val="0"/>
          <w:kern w:val="22"/>
          <w:szCs w:val="22"/>
          <w:lang w:val="es-ES_tradnl"/>
        </w:rPr>
        <w:t>2.</w:t>
      </w:r>
      <w:r w:rsidRPr="00F600E5">
        <w:rPr>
          <w:snapToGrid w:val="0"/>
          <w:kern w:val="22"/>
          <w:szCs w:val="22"/>
          <w:lang w:val="es-ES_tradnl"/>
        </w:rPr>
        <w:tab/>
      </w:r>
      <w:r w:rsidRPr="00F600E5">
        <w:rPr>
          <w:i/>
          <w:snapToGrid w:val="0"/>
          <w:kern w:val="22"/>
          <w:szCs w:val="22"/>
          <w:lang w:val="es-ES_tradnl"/>
        </w:rPr>
        <w:t>T</w:t>
      </w:r>
      <w:r w:rsidR="00134542" w:rsidRPr="00F600E5">
        <w:rPr>
          <w:i/>
          <w:snapToGrid w:val="0"/>
          <w:kern w:val="22"/>
          <w:szCs w:val="22"/>
          <w:lang w:val="es-ES_tradnl"/>
        </w:rPr>
        <w:t xml:space="preserve">oma nota </w:t>
      </w:r>
      <w:r w:rsidR="00134542" w:rsidRPr="00F600E5">
        <w:rPr>
          <w:snapToGrid w:val="0"/>
          <w:kern w:val="22"/>
          <w:szCs w:val="22"/>
          <w:lang w:val="es-ES_tradnl"/>
        </w:rPr>
        <w:t>del balance y el análisis actualizado de la información suministrad</w:t>
      </w:r>
      <w:r w:rsidR="00204F94" w:rsidRPr="00F600E5">
        <w:rPr>
          <w:snapToGrid w:val="0"/>
          <w:kern w:val="22"/>
          <w:szCs w:val="22"/>
          <w:lang w:val="es-ES_tradnl"/>
        </w:rPr>
        <w:t>a</w:t>
      </w:r>
      <w:r w:rsidR="00134542" w:rsidRPr="00F600E5">
        <w:rPr>
          <w:snapToGrid w:val="0"/>
          <w:kern w:val="22"/>
          <w:szCs w:val="22"/>
          <w:lang w:val="es-ES_tradnl"/>
        </w:rPr>
        <w:t xml:space="preserve"> por las Partes a través del marco de presentación de informes financieros, en particular el avance hacia las metas adoptadas en la decisión</w:t>
      </w:r>
      <w:r w:rsidRPr="00F600E5">
        <w:rPr>
          <w:snapToGrid w:val="0"/>
          <w:kern w:val="22"/>
          <w:szCs w:val="22"/>
          <w:lang w:val="es-ES_tradnl"/>
        </w:rPr>
        <w:t xml:space="preserve"> XII/3,</w:t>
      </w:r>
    </w:p>
    <w:p w:rsidR="00084813" w:rsidRPr="00F600E5" w:rsidRDefault="00084813" w:rsidP="00491CB6">
      <w:pPr>
        <w:spacing w:after="120"/>
        <w:ind w:firstLine="709"/>
        <w:rPr>
          <w:snapToGrid w:val="0"/>
          <w:kern w:val="22"/>
          <w:szCs w:val="22"/>
          <w:lang w:val="es-ES_tradnl"/>
        </w:rPr>
      </w:pPr>
      <w:r w:rsidRPr="00F600E5">
        <w:rPr>
          <w:snapToGrid w:val="0"/>
          <w:kern w:val="22"/>
          <w:szCs w:val="22"/>
          <w:lang w:val="es-ES_tradnl"/>
        </w:rPr>
        <w:t>3.</w:t>
      </w:r>
      <w:r w:rsidRPr="00F600E5">
        <w:rPr>
          <w:snapToGrid w:val="0"/>
          <w:kern w:val="22"/>
          <w:szCs w:val="22"/>
          <w:lang w:val="es-ES_tradnl"/>
        </w:rPr>
        <w:tab/>
      </w:r>
      <w:r w:rsidR="00C63D44" w:rsidRPr="00F600E5">
        <w:rPr>
          <w:i/>
          <w:snapToGrid w:val="0"/>
          <w:kern w:val="22"/>
          <w:szCs w:val="22"/>
          <w:lang w:val="es-ES_tradnl"/>
        </w:rPr>
        <w:t>Insta</w:t>
      </w:r>
      <w:r w:rsidR="00C63D44" w:rsidRPr="00F600E5">
        <w:rPr>
          <w:snapToGrid w:val="0"/>
          <w:kern w:val="22"/>
          <w:szCs w:val="22"/>
          <w:lang w:val="es-ES_tradnl"/>
        </w:rPr>
        <w:t xml:space="preserve"> a las Partes a redoblar esfuerzos para lograr las metas, incluida la duplicación de los flujos de recursos financieros internacionales relacionados con la diversidad biológica a los países en desarrollo</w:t>
      </w:r>
      <w:r w:rsidRPr="00F600E5">
        <w:rPr>
          <w:snapToGrid w:val="0"/>
          <w:kern w:val="22"/>
          <w:szCs w:val="22"/>
          <w:lang w:val="es-ES_tradnl"/>
        </w:rPr>
        <w:t xml:space="preserve">, </w:t>
      </w:r>
      <w:r w:rsidR="00C63D44" w:rsidRPr="00F600E5">
        <w:rPr>
          <w:snapToGrid w:val="0"/>
          <w:kern w:val="22"/>
          <w:szCs w:val="22"/>
          <w:lang w:val="es-ES_tradnl"/>
        </w:rPr>
        <w:t>en particular a los países menos adelantados y a los pequeños Estados insulares en desarrollo, así como a los países con economías en transición, y mantener dicho nivel hasta</w:t>
      </w:r>
      <w:r w:rsidRPr="00F600E5">
        <w:rPr>
          <w:snapToGrid w:val="0"/>
          <w:kern w:val="22"/>
          <w:szCs w:val="22"/>
          <w:lang w:val="es-ES_tradnl"/>
        </w:rPr>
        <w:t xml:space="preserve"> 2020, </w:t>
      </w:r>
      <w:r w:rsidR="00C63D44" w:rsidRPr="00F600E5">
        <w:rPr>
          <w:snapToGrid w:val="0"/>
          <w:kern w:val="22"/>
          <w:szCs w:val="22"/>
          <w:lang w:val="es-ES_tradnl"/>
        </w:rPr>
        <w:t xml:space="preserve">como se señala en la meta </w:t>
      </w:r>
      <w:r w:rsidRPr="00F600E5">
        <w:rPr>
          <w:snapToGrid w:val="0"/>
          <w:kern w:val="22"/>
          <w:szCs w:val="22"/>
          <w:lang w:val="es-ES_tradnl"/>
        </w:rPr>
        <w:t>1</w:t>
      </w:r>
      <w:r w:rsidR="00C63D44" w:rsidRPr="00F600E5">
        <w:rPr>
          <w:snapToGrid w:val="0"/>
          <w:kern w:val="22"/>
          <w:szCs w:val="22"/>
          <w:lang w:val="es-ES_tradnl"/>
        </w:rPr>
        <w:t> </w:t>
      </w:r>
      <w:r w:rsidRPr="00F600E5">
        <w:rPr>
          <w:snapToGrid w:val="0"/>
          <w:kern w:val="22"/>
          <w:szCs w:val="22"/>
          <w:lang w:val="es-ES_tradnl"/>
        </w:rPr>
        <w:t xml:space="preserve">a), </w:t>
      </w:r>
      <w:r w:rsidR="00C63D44" w:rsidRPr="00F600E5">
        <w:rPr>
          <w:snapToGrid w:val="0"/>
          <w:kern w:val="22"/>
          <w:szCs w:val="22"/>
          <w:lang w:val="es-ES_tradnl"/>
        </w:rPr>
        <w:t xml:space="preserve">teniendo en cuenta </w:t>
      </w:r>
      <w:r w:rsidR="00F600E5" w:rsidRPr="00F600E5">
        <w:rPr>
          <w:snapToGrid w:val="0"/>
          <w:kern w:val="22"/>
          <w:szCs w:val="22"/>
          <w:lang w:val="es-ES_tradnl"/>
        </w:rPr>
        <w:t xml:space="preserve">de </w:t>
      </w:r>
      <w:r w:rsidR="00C63D44" w:rsidRPr="00F600E5">
        <w:rPr>
          <w:snapToGrid w:val="0"/>
          <w:kern w:val="22"/>
          <w:szCs w:val="22"/>
          <w:lang w:val="es-ES_tradnl"/>
        </w:rPr>
        <w:t>que las metas se consideran de apoyo mutuo</w:t>
      </w:r>
      <w:r w:rsidRPr="00F600E5">
        <w:rPr>
          <w:snapToGrid w:val="0"/>
          <w:kern w:val="22"/>
          <w:szCs w:val="22"/>
          <w:lang w:val="es-ES_tradnl"/>
        </w:rPr>
        <w:t>;</w:t>
      </w:r>
    </w:p>
    <w:p w:rsidR="00084813" w:rsidRPr="00F600E5" w:rsidRDefault="00084813" w:rsidP="00491CB6">
      <w:pPr>
        <w:spacing w:after="120"/>
        <w:ind w:firstLine="709"/>
        <w:rPr>
          <w:snapToGrid w:val="0"/>
          <w:kern w:val="22"/>
          <w:szCs w:val="22"/>
          <w:lang w:val="es-ES_tradnl"/>
        </w:rPr>
      </w:pPr>
      <w:r w:rsidRPr="00F600E5">
        <w:rPr>
          <w:snapToGrid w:val="0"/>
          <w:kern w:val="22"/>
          <w:szCs w:val="22"/>
          <w:lang w:val="es-ES_tradnl"/>
        </w:rPr>
        <w:t>4.</w:t>
      </w:r>
      <w:r w:rsidRPr="00F600E5">
        <w:rPr>
          <w:snapToGrid w:val="0"/>
          <w:kern w:val="22"/>
          <w:szCs w:val="22"/>
          <w:lang w:val="es-ES_tradnl"/>
        </w:rPr>
        <w:tab/>
      </w:r>
      <w:r w:rsidR="007E0560" w:rsidRPr="00F600E5">
        <w:rPr>
          <w:i/>
          <w:snapToGrid w:val="0"/>
          <w:kern w:val="22"/>
          <w:szCs w:val="22"/>
          <w:lang w:val="es-ES_tradnl"/>
        </w:rPr>
        <w:t xml:space="preserve">Insta </w:t>
      </w:r>
      <w:r w:rsidR="00791811" w:rsidRPr="00F600E5">
        <w:rPr>
          <w:i/>
          <w:snapToGrid w:val="0"/>
          <w:kern w:val="22"/>
          <w:szCs w:val="22"/>
          <w:lang w:val="es-ES_tradnl"/>
        </w:rPr>
        <w:t xml:space="preserve">también </w:t>
      </w:r>
      <w:r w:rsidR="007E0560" w:rsidRPr="00F600E5">
        <w:rPr>
          <w:snapToGrid w:val="0"/>
          <w:kern w:val="22"/>
          <w:szCs w:val="22"/>
          <w:lang w:val="es-ES_tradnl"/>
        </w:rPr>
        <w:t>a las Partes</w:t>
      </w:r>
      <w:r w:rsidR="007E0560" w:rsidRPr="00F600E5">
        <w:rPr>
          <w:i/>
          <w:snapToGrid w:val="0"/>
          <w:kern w:val="22"/>
          <w:szCs w:val="22"/>
          <w:lang w:val="es-ES_tradnl"/>
        </w:rPr>
        <w:t xml:space="preserve"> </w:t>
      </w:r>
      <w:r w:rsidR="007E0560" w:rsidRPr="00F600E5">
        <w:rPr>
          <w:snapToGrid w:val="0"/>
          <w:kern w:val="22"/>
          <w:szCs w:val="22"/>
          <w:lang w:val="es-ES_tradnl"/>
        </w:rPr>
        <w:t xml:space="preserve">que </w:t>
      </w:r>
      <w:r w:rsidR="00044D65" w:rsidRPr="00F600E5">
        <w:rPr>
          <w:snapToGrid w:val="0"/>
          <w:kern w:val="22"/>
          <w:szCs w:val="22"/>
          <w:lang w:val="es-ES_tradnl"/>
        </w:rPr>
        <w:t>aun no lo hayan hecho, a que aporte</w:t>
      </w:r>
      <w:r w:rsidR="007E0560" w:rsidRPr="00F600E5">
        <w:rPr>
          <w:snapToGrid w:val="0"/>
          <w:kern w:val="22"/>
          <w:szCs w:val="22"/>
          <w:lang w:val="es-ES_tradnl"/>
        </w:rPr>
        <w:t xml:space="preserve">n la información básica necesaria y </w:t>
      </w:r>
      <w:r w:rsidR="00044D65" w:rsidRPr="00F600E5">
        <w:rPr>
          <w:snapToGrid w:val="0"/>
          <w:kern w:val="22"/>
          <w:szCs w:val="22"/>
          <w:lang w:val="es-ES_tradnl"/>
        </w:rPr>
        <w:t xml:space="preserve">presenten informes sobre los avances iniciales en función de las metas de movilización de recursos hasta </w:t>
      </w:r>
      <w:r w:rsidRPr="00F600E5">
        <w:rPr>
          <w:snapToGrid w:val="0"/>
          <w:kern w:val="22"/>
          <w:szCs w:val="22"/>
          <w:lang w:val="es-ES_tradnl"/>
        </w:rPr>
        <w:t xml:space="preserve">2015, </w:t>
      </w:r>
      <w:r w:rsidR="00044D65" w:rsidRPr="00F600E5">
        <w:rPr>
          <w:snapToGrid w:val="0"/>
          <w:kern w:val="22"/>
          <w:szCs w:val="22"/>
          <w:lang w:val="es-ES_tradnl"/>
        </w:rPr>
        <w:t xml:space="preserve">a más tardar el </w:t>
      </w:r>
      <w:r w:rsidRPr="00F600E5">
        <w:rPr>
          <w:snapToGrid w:val="0"/>
          <w:kern w:val="22"/>
          <w:szCs w:val="22"/>
          <w:lang w:val="es-ES_tradnl"/>
        </w:rPr>
        <w:t xml:space="preserve">1 </w:t>
      </w:r>
      <w:r w:rsidR="00044D65" w:rsidRPr="00F600E5">
        <w:rPr>
          <w:snapToGrid w:val="0"/>
          <w:kern w:val="22"/>
          <w:szCs w:val="22"/>
          <w:lang w:val="es-ES_tradnl"/>
        </w:rPr>
        <w:t xml:space="preserve">de septiembre de </w:t>
      </w:r>
      <w:r w:rsidRPr="00F600E5">
        <w:rPr>
          <w:snapToGrid w:val="0"/>
          <w:kern w:val="22"/>
          <w:szCs w:val="22"/>
          <w:lang w:val="es-ES_tradnl"/>
        </w:rPr>
        <w:t xml:space="preserve">2018, </w:t>
      </w:r>
      <w:r w:rsidR="00044D65" w:rsidRPr="00F600E5">
        <w:rPr>
          <w:snapToGrid w:val="0"/>
          <w:kern w:val="22"/>
          <w:szCs w:val="22"/>
          <w:lang w:val="es-ES_tradnl"/>
        </w:rPr>
        <w:t xml:space="preserve">utilizando el marco de presentación de informes financieros, e invita a las Partes a actualizar, según proceda, sus marcos de presentación de informes financieros con datos confirmados o </w:t>
      </w:r>
      <w:r w:rsidR="00F600E5" w:rsidRPr="00F600E5">
        <w:rPr>
          <w:snapToGrid w:val="0"/>
          <w:kern w:val="22"/>
          <w:szCs w:val="22"/>
          <w:lang w:val="es-ES_tradnl"/>
        </w:rPr>
        <w:t xml:space="preserve">definitivos </w:t>
      </w:r>
      <w:r w:rsidR="00044D65" w:rsidRPr="00F600E5">
        <w:rPr>
          <w:snapToGrid w:val="0"/>
          <w:kern w:val="22"/>
          <w:szCs w:val="22"/>
          <w:lang w:val="es-ES_tradnl"/>
        </w:rPr>
        <w:t>correspondientes a 2015</w:t>
      </w:r>
      <w:r w:rsidRPr="00F600E5">
        <w:rPr>
          <w:snapToGrid w:val="0"/>
          <w:kern w:val="22"/>
          <w:szCs w:val="22"/>
          <w:lang w:val="es-ES_tradnl"/>
        </w:rPr>
        <w:t xml:space="preserve">, </w:t>
      </w:r>
      <w:r w:rsidR="00044D65" w:rsidRPr="00F600E5">
        <w:rPr>
          <w:snapToGrid w:val="0"/>
          <w:kern w:val="22"/>
          <w:szCs w:val="22"/>
          <w:lang w:val="es-ES_tradnl"/>
        </w:rPr>
        <w:t xml:space="preserve">con objeto de mejorar la solidez de los datos y permitir una evaluación completa de los avances en la consecución de las metas </w:t>
      </w:r>
      <w:r w:rsidR="000B5ABB" w:rsidRPr="00F600E5">
        <w:rPr>
          <w:snapToGrid w:val="0"/>
          <w:kern w:val="22"/>
          <w:szCs w:val="22"/>
          <w:lang w:val="es-ES_tradnl"/>
        </w:rPr>
        <w:t xml:space="preserve">fijadas </w:t>
      </w:r>
      <w:r w:rsidR="00044D65" w:rsidRPr="00F600E5">
        <w:rPr>
          <w:snapToGrid w:val="0"/>
          <w:kern w:val="22"/>
          <w:szCs w:val="22"/>
          <w:lang w:val="es-ES_tradnl"/>
        </w:rPr>
        <w:t>por la</w:t>
      </w:r>
      <w:r w:rsidR="006C5FC8" w:rsidRPr="00F600E5">
        <w:rPr>
          <w:snapToGrid w:val="0"/>
          <w:kern w:val="22"/>
          <w:szCs w:val="22"/>
          <w:lang w:val="es-ES_tradnl"/>
        </w:rPr>
        <w:t xml:space="preserve"> Conferencia de las Partes</w:t>
      </w:r>
      <w:r w:rsidRPr="00F600E5">
        <w:rPr>
          <w:snapToGrid w:val="0"/>
          <w:kern w:val="22"/>
          <w:szCs w:val="22"/>
          <w:lang w:val="es-ES_tradnl"/>
        </w:rPr>
        <w:t xml:space="preserve"> </w:t>
      </w:r>
      <w:r w:rsidR="00044D65" w:rsidRPr="00F600E5">
        <w:rPr>
          <w:snapToGrid w:val="0"/>
          <w:kern w:val="22"/>
          <w:szCs w:val="22"/>
          <w:lang w:val="es-ES_tradnl"/>
        </w:rPr>
        <w:t>en su decimocuarta reunión</w:t>
      </w:r>
      <w:r w:rsidRPr="00F600E5">
        <w:rPr>
          <w:snapToGrid w:val="0"/>
          <w:kern w:val="22"/>
          <w:szCs w:val="22"/>
          <w:lang w:val="es-ES_tradnl"/>
        </w:rPr>
        <w:t>;</w:t>
      </w:r>
    </w:p>
    <w:p w:rsidR="00084813" w:rsidRPr="00F600E5" w:rsidRDefault="00084813" w:rsidP="00491CB6">
      <w:pPr>
        <w:spacing w:after="120"/>
        <w:ind w:firstLine="709"/>
        <w:rPr>
          <w:snapToGrid w:val="0"/>
          <w:kern w:val="22"/>
          <w:szCs w:val="22"/>
          <w:lang w:val="es-ES_tradnl"/>
        </w:rPr>
      </w:pPr>
      <w:r w:rsidRPr="00F600E5">
        <w:rPr>
          <w:snapToGrid w:val="0"/>
          <w:kern w:val="22"/>
          <w:szCs w:val="22"/>
          <w:lang w:val="es-ES_tradnl"/>
        </w:rPr>
        <w:t>5.</w:t>
      </w:r>
      <w:r w:rsidRPr="00F600E5">
        <w:rPr>
          <w:snapToGrid w:val="0"/>
          <w:kern w:val="22"/>
          <w:szCs w:val="22"/>
          <w:lang w:val="es-ES_tradnl"/>
        </w:rPr>
        <w:tab/>
      </w:r>
      <w:r w:rsidR="000B5ABB" w:rsidRPr="00F600E5">
        <w:rPr>
          <w:i/>
          <w:snapToGrid w:val="0"/>
          <w:kern w:val="22"/>
          <w:szCs w:val="22"/>
          <w:lang w:val="es-ES_tradnl"/>
        </w:rPr>
        <w:t>A</w:t>
      </w:r>
      <w:r w:rsidR="00791811" w:rsidRPr="00F600E5">
        <w:rPr>
          <w:i/>
          <w:snapToGrid w:val="0"/>
          <w:kern w:val="22"/>
          <w:szCs w:val="22"/>
          <w:lang w:val="es-ES_tradnl"/>
        </w:rPr>
        <w:t>nim</w:t>
      </w:r>
      <w:r w:rsidR="000B5ABB" w:rsidRPr="00F600E5">
        <w:rPr>
          <w:i/>
          <w:snapToGrid w:val="0"/>
          <w:kern w:val="22"/>
          <w:szCs w:val="22"/>
          <w:lang w:val="es-ES_tradnl"/>
        </w:rPr>
        <w:t>a</w:t>
      </w:r>
      <w:r w:rsidR="00791811" w:rsidRPr="00F600E5">
        <w:rPr>
          <w:snapToGrid w:val="0"/>
          <w:kern w:val="22"/>
          <w:szCs w:val="22"/>
          <w:lang w:val="es-ES_tradnl"/>
        </w:rPr>
        <w:t xml:space="preserve"> a las Partes que estén en condiciones de hacerlo, a que presenten datos disponibles correspondientes a 2016 y 2017</w:t>
      </w:r>
      <w:r w:rsidRPr="00F600E5">
        <w:rPr>
          <w:snapToGrid w:val="0"/>
          <w:kern w:val="22"/>
          <w:szCs w:val="22"/>
          <w:lang w:val="es-ES_tradnl"/>
        </w:rPr>
        <w:t xml:space="preserve">, </w:t>
      </w:r>
      <w:r w:rsidR="000B5ABB" w:rsidRPr="00F600E5">
        <w:rPr>
          <w:snapToGrid w:val="0"/>
          <w:kern w:val="22"/>
          <w:szCs w:val="22"/>
          <w:lang w:val="es-ES_tradnl"/>
        </w:rPr>
        <w:t xml:space="preserve">en </w:t>
      </w:r>
      <w:r w:rsidR="00791811" w:rsidRPr="00F600E5">
        <w:rPr>
          <w:snapToGrid w:val="0"/>
          <w:kern w:val="22"/>
          <w:szCs w:val="22"/>
          <w:lang w:val="es-ES_tradnl"/>
        </w:rPr>
        <w:t>la segunda ronda de presentación de informes</w:t>
      </w:r>
      <w:r w:rsidR="000B5ABB" w:rsidRPr="00F600E5">
        <w:rPr>
          <w:snapToGrid w:val="0"/>
          <w:kern w:val="22"/>
          <w:szCs w:val="22"/>
          <w:lang w:val="es-ES_tradnl"/>
        </w:rPr>
        <w:t>, de conformidad con la decisión XIII/20, párrafo 8</w:t>
      </w:r>
      <w:r w:rsidRPr="00F600E5">
        <w:rPr>
          <w:snapToGrid w:val="0"/>
          <w:kern w:val="22"/>
          <w:szCs w:val="22"/>
          <w:lang w:val="es-ES_tradnl"/>
        </w:rPr>
        <w:t>;</w:t>
      </w:r>
    </w:p>
    <w:p w:rsidR="00084813" w:rsidRPr="00F600E5" w:rsidRDefault="00084813" w:rsidP="00491CB6">
      <w:pPr>
        <w:spacing w:after="120"/>
        <w:ind w:firstLine="709"/>
        <w:rPr>
          <w:snapToGrid w:val="0"/>
          <w:kern w:val="22"/>
          <w:szCs w:val="22"/>
          <w:lang w:val="es-ES_tradnl"/>
        </w:rPr>
      </w:pPr>
      <w:r w:rsidRPr="00F600E5">
        <w:rPr>
          <w:snapToGrid w:val="0"/>
          <w:kern w:val="22"/>
          <w:szCs w:val="22"/>
          <w:lang w:val="es-ES_tradnl"/>
        </w:rPr>
        <w:t>6.</w:t>
      </w:r>
      <w:r w:rsidRPr="00F600E5">
        <w:rPr>
          <w:snapToGrid w:val="0"/>
          <w:kern w:val="22"/>
          <w:szCs w:val="22"/>
          <w:lang w:val="es-ES_tradnl"/>
        </w:rPr>
        <w:tab/>
      </w:r>
      <w:r w:rsidR="00791811" w:rsidRPr="00F600E5">
        <w:rPr>
          <w:i/>
          <w:snapToGrid w:val="0"/>
          <w:kern w:val="22"/>
          <w:szCs w:val="22"/>
          <w:lang w:val="es-ES_tradnl"/>
        </w:rPr>
        <w:t xml:space="preserve">Insta además </w:t>
      </w:r>
      <w:r w:rsidR="00791811" w:rsidRPr="00F600E5">
        <w:rPr>
          <w:snapToGrid w:val="0"/>
          <w:kern w:val="22"/>
          <w:szCs w:val="22"/>
          <w:lang w:val="es-ES_tradnl"/>
        </w:rPr>
        <w:t>a las Partes que hayan finalizado la revisión y actualización de sus estrategias y planes de acción nacionales para la diversidad biológica</w:t>
      </w:r>
      <w:r w:rsidR="00F600E5" w:rsidRPr="00F600E5">
        <w:rPr>
          <w:snapToGrid w:val="0"/>
          <w:kern w:val="22"/>
          <w:szCs w:val="22"/>
          <w:lang w:val="es-ES_tradnl"/>
        </w:rPr>
        <w:t>,</w:t>
      </w:r>
      <w:r w:rsidR="00791811" w:rsidRPr="00F600E5">
        <w:rPr>
          <w:snapToGrid w:val="0"/>
          <w:kern w:val="22"/>
          <w:szCs w:val="22"/>
          <w:lang w:val="es-ES_tradnl"/>
        </w:rPr>
        <w:t xml:space="preserve"> a que identifiquen sus necesidades, deficiencias y prioridades de financiación</w:t>
      </w:r>
      <w:r w:rsidRPr="00F600E5">
        <w:rPr>
          <w:snapToGrid w:val="0"/>
          <w:kern w:val="22"/>
          <w:szCs w:val="22"/>
          <w:lang w:val="es-ES_tradnl"/>
        </w:rPr>
        <w:t xml:space="preserve">, </w:t>
      </w:r>
      <w:r w:rsidR="005C18D3" w:rsidRPr="00F600E5">
        <w:rPr>
          <w:snapToGrid w:val="0"/>
          <w:kern w:val="22"/>
          <w:szCs w:val="22"/>
          <w:lang w:val="es-ES_tradnl"/>
        </w:rPr>
        <w:t>basándose</w:t>
      </w:r>
      <w:r w:rsidR="00791811" w:rsidRPr="00F600E5">
        <w:rPr>
          <w:snapToGrid w:val="0"/>
          <w:kern w:val="22"/>
          <w:szCs w:val="22"/>
          <w:lang w:val="es-ES_tradnl"/>
        </w:rPr>
        <w:t xml:space="preserve">, según proceda, </w:t>
      </w:r>
      <w:r w:rsidR="005C18D3" w:rsidRPr="00F600E5">
        <w:rPr>
          <w:snapToGrid w:val="0"/>
          <w:kern w:val="22"/>
          <w:szCs w:val="22"/>
          <w:lang w:val="es-ES_tradnl"/>
        </w:rPr>
        <w:t xml:space="preserve">en </w:t>
      </w:r>
      <w:r w:rsidR="00791811" w:rsidRPr="00F600E5">
        <w:rPr>
          <w:snapToGrid w:val="0"/>
          <w:kern w:val="22"/>
          <w:szCs w:val="22"/>
          <w:lang w:val="es-ES_tradnl"/>
        </w:rPr>
        <w:t xml:space="preserve">estrategias y planes de acción nacionales sobre la diversidad biológica </w:t>
      </w:r>
      <w:r w:rsidR="005C18D3" w:rsidRPr="00F600E5">
        <w:rPr>
          <w:snapToGrid w:val="0"/>
          <w:kern w:val="22"/>
          <w:szCs w:val="22"/>
          <w:lang w:val="es-ES_tradnl"/>
        </w:rPr>
        <w:t>revisada</w:t>
      </w:r>
      <w:r w:rsidR="00791811" w:rsidRPr="00F600E5">
        <w:rPr>
          <w:snapToGrid w:val="0"/>
          <w:kern w:val="22"/>
          <w:szCs w:val="22"/>
          <w:lang w:val="es-ES_tradnl"/>
        </w:rPr>
        <w:t xml:space="preserve">s </w:t>
      </w:r>
      <w:r w:rsidR="005C18D3" w:rsidRPr="00F600E5">
        <w:rPr>
          <w:snapToGrid w:val="0"/>
          <w:kern w:val="22"/>
          <w:szCs w:val="22"/>
          <w:lang w:val="es-ES_tradnl"/>
        </w:rPr>
        <w:t>y otra información complementaria, y a que elaboren y pongan en práctica sus planes nacionales de financiación para la ejecución eficaz de las estrategias y planes de acción nacionales sobre la diversidad biológica revisadas</w:t>
      </w:r>
      <w:r w:rsidRPr="00F600E5">
        <w:rPr>
          <w:snapToGrid w:val="0"/>
          <w:kern w:val="22"/>
          <w:szCs w:val="22"/>
          <w:lang w:val="es-ES_tradnl"/>
        </w:rPr>
        <w:t xml:space="preserve">, </w:t>
      </w:r>
      <w:r w:rsidR="00631AF5" w:rsidRPr="00F600E5">
        <w:rPr>
          <w:snapToGrid w:val="0"/>
          <w:kern w:val="22"/>
          <w:szCs w:val="22"/>
          <w:lang w:val="es-ES_tradnl"/>
        </w:rPr>
        <w:t>como cuestión de prioridad</w:t>
      </w:r>
      <w:r w:rsidRPr="00F600E5">
        <w:rPr>
          <w:snapToGrid w:val="0"/>
          <w:kern w:val="22"/>
          <w:szCs w:val="22"/>
          <w:lang w:val="es-ES_tradnl"/>
        </w:rPr>
        <w:t>;</w:t>
      </w:r>
    </w:p>
    <w:p w:rsidR="00084813" w:rsidRPr="00F600E5" w:rsidRDefault="00084813" w:rsidP="00491CB6">
      <w:pPr>
        <w:spacing w:after="120"/>
        <w:ind w:firstLine="709"/>
        <w:rPr>
          <w:snapToGrid w:val="0"/>
          <w:kern w:val="22"/>
          <w:szCs w:val="22"/>
          <w:lang w:val="es-ES_tradnl"/>
        </w:rPr>
      </w:pPr>
      <w:r w:rsidRPr="00F600E5">
        <w:rPr>
          <w:snapToGrid w:val="0"/>
          <w:kern w:val="22"/>
          <w:szCs w:val="22"/>
          <w:lang w:val="es-ES_tradnl"/>
        </w:rPr>
        <w:t>7.</w:t>
      </w:r>
      <w:r w:rsidRPr="00F600E5">
        <w:rPr>
          <w:snapToGrid w:val="0"/>
          <w:kern w:val="22"/>
          <w:szCs w:val="22"/>
          <w:lang w:val="es-ES_tradnl"/>
        </w:rPr>
        <w:tab/>
      </w:r>
      <w:r w:rsidR="00631AF5" w:rsidRPr="00F600E5">
        <w:rPr>
          <w:i/>
          <w:snapToGrid w:val="0"/>
          <w:kern w:val="22"/>
          <w:szCs w:val="22"/>
          <w:lang w:val="es-ES_tradnl"/>
        </w:rPr>
        <w:t>Pide</w:t>
      </w:r>
      <w:r w:rsidR="00631AF5" w:rsidRPr="00F600E5">
        <w:rPr>
          <w:snapToGrid w:val="0"/>
          <w:kern w:val="22"/>
          <w:szCs w:val="22"/>
          <w:lang w:val="es-ES_tradnl"/>
        </w:rPr>
        <w:t xml:space="preserve"> al </w:t>
      </w:r>
      <w:r w:rsidR="00184CA8" w:rsidRPr="00F600E5">
        <w:rPr>
          <w:snapToGrid w:val="0"/>
          <w:kern w:val="22"/>
          <w:szCs w:val="22"/>
          <w:lang w:val="es-ES_tradnl"/>
        </w:rPr>
        <w:t>Secretario Ejecutivo</w:t>
      </w:r>
      <w:r w:rsidRPr="00F600E5">
        <w:rPr>
          <w:snapToGrid w:val="0"/>
          <w:kern w:val="22"/>
          <w:szCs w:val="22"/>
          <w:lang w:val="es-ES_tradnl"/>
        </w:rPr>
        <w:t xml:space="preserve"> </w:t>
      </w:r>
      <w:r w:rsidR="00631AF5" w:rsidRPr="00F600E5">
        <w:rPr>
          <w:snapToGrid w:val="0"/>
          <w:kern w:val="22"/>
          <w:szCs w:val="22"/>
          <w:lang w:val="es-ES_tradnl"/>
        </w:rPr>
        <w:t>que prepare un análisis actualizado de los informes financieros recibidos</w:t>
      </w:r>
      <w:r w:rsidRPr="00F600E5">
        <w:rPr>
          <w:snapToGrid w:val="0"/>
          <w:kern w:val="22"/>
          <w:szCs w:val="22"/>
          <w:lang w:val="es-ES_tradnl"/>
        </w:rPr>
        <w:t xml:space="preserve">, </w:t>
      </w:r>
      <w:r w:rsidR="00F600E5" w:rsidRPr="00F600E5">
        <w:rPr>
          <w:snapToGrid w:val="0"/>
          <w:kern w:val="22"/>
          <w:szCs w:val="22"/>
          <w:lang w:val="es-ES_tradnl"/>
        </w:rPr>
        <w:t xml:space="preserve">con inclusión de los </w:t>
      </w:r>
      <w:r w:rsidR="00631AF5" w:rsidRPr="00F600E5">
        <w:rPr>
          <w:snapToGrid w:val="0"/>
          <w:kern w:val="22"/>
          <w:szCs w:val="22"/>
          <w:lang w:val="es-ES_tradnl"/>
        </w:rPr>
        <w:t>elementos para la finalización del proyecto de decisión</w:t>
      </w:r>
      <w:r w:rsidR="000B5ABB" w:rsidRPr="00F600E5">
        <w:rPr>
          <w:snapToGrid w:val="0"/>
          <w:kern w:val="22"/>
          <w:szCs w:val="22"/>
          <w:lang w:val="es-ES_tradnl"/>
        </w:rPr>
        <w:t xml:space="preserve"> que figura en el párrafo 9</w:t>
      </w:r>
      <w:r w:rsidR="00631AF5" w:rsidRPr="00F600E5">
        <w:rPr>
          <w:snapToGrid w:val="0"/>
          <w:kern w:val="22"/>
          <w:szCs w:val="22"/>
          <w:lang w:val="es-ES_tradnl"/>
        </w:rPr>
        <w:t xml:space="preserve"> </w:t>
      </w:r>
      <w:r w:rsidR="00631AF5" w:rsidRPr="00F600E5">
        <w:rPr>
          <w:i/>
          <w:snapToGrid w:val="0"/>
          <w:kern w:val="22"/>
          <w:szCs w:val="22"/>
          <w:lang w:val="es-ES_tradnl"/>
        </w:rPr>
        <w:t>infra</w:t>
      </w:r>
      <w:r w:rsidRPr="00F600E5">
        <w:rPr>
          <w:snapToGrid w:val="0"/>
          <w:kern w:val="22"/>
          <w:szCs w:val="22"/>
          <w:lang w:val="es-ES_tradnl"/>
        </w:rPr>
        <w:t xml:space="preserve">, </w:t>
      </w:r>
      <w:r w:rsidR="00631AF5" w:rsidRPr="00F600E5">
        <w:rPr>
          <w:snapToGrid w:val="0"/>
          <w:kern w:val="22"/>
          <w:szCs w:val="22"/>
          <w:lang w:val="es-ES_tradnl"/>
        </w:rPr>
        <w:t xml:space="preserve">para someterlo a la consideración de la </w:t>
      </w:r>
      <w:r w:rsidR="006C5FC8" w:rsidRPr="00F600E5">
        <w:rPr>
          <w:snapToGrid w:val="0"/>
          <w:kern w:val="22"/>
          <w:szCs w:val="22"/>
          <w:lang w:val="es-ES_tradnl"/>
        </w:rPr>
        <w:t>Conferencia de las Partes</w:t>
      </w:r>
      <w:r w:rsidRPr="00F600E5">
        <w:rPr>
          <w:snapToGrid w:val="0"/>
          <w:kern w:val="22"/>
          <w:szCs w:val="22"/>
          <w:lang w:val="es-ES_tradnl"/>
        </w:rPr>
        <w:t xml:space="preserve"> </w:t>
      </w:r>
      <w:r w:rsidR="00631AF5" w:rsidRPr="00F600E5">
        <w:rPr>
          <w:snapToGrid w:val="0"/>
          <w:kern w:val="22"/>
          <w:szCs w:val="22"/>
          <w:lang w:val="es-ES_tradnl"/>
        </w:rPr>
        <w:t>en su decimocuarta reunión</w:t>
      </w:r>
      <w:r w:rsidRPr="00F600E5">
        <w:rPr>
          <w:snapToGrid w:val="0"/>
          <w:kern w:val="22"/>
          <w:szCs w:val="22"/>
          <w:lang w:val="es-ES_tradnl"/>
        </w:rPr>
        <w:t>;</w:t>
      </w:r>
    </w:p>
    <w:p w:rsidR="00084813" w:rsidRPr="00F600E5" w:rsidRDefault="000B5ABB" w:rsidP="00084813">
      <w:pPr>
        <w:spacing w:after="120"/>
        <w:jc w:val="center"/>
        <w:rPr>
          <w:b/>
          <w:snapToGrid w:val="0"/>
          <w:kern w:val="22"/>
          <w:szCs w:val="22"/>
          <w:lang w:val="es-ES_tradnl"/>
        </w:rPr>
      </w:pPr>
      <w:r w:rsidRPr="00F600E5">
        <w:rPr>
          <w:b/>
          <w:snapToGrid w:val="0"/>
          <w:kern w:val="22"/>
          <w:szCs w:val="22"/>
          <w:lang w:val="es-ES_tradnl"/>
        </w:rPr>
        <w:t xml:space="preserve">B. </w:t>
      </w:r>
      <w:r w:rsidR="007E392F" w:rsidRPr="00F600E5">
        <w:rPr>
          <w:b/>
          <w:snapToGrid w:val="0"/>
          <w:kern w:val="22"/>
          <w:szCs w:val="22"/>
          <w:lang w:val="es-ES_tradnl"/>
        </w:rPr>
        <w:t xml:space="preserve">Componente de movilización de recursos del marco </w:t>
      </w:r>
      <w:r w:rsidR="00F600E5" w:rsidRPr="00F600E5">
        <w:rPr>
          <w:b/>
          <w:snapToGrid w:val="0"/>
          <w:kern w:val="22"/>
          <w:szCs w:val="22"/>
          <w:lang w:val="es-ES_tradnl"/>
        </w:rPr>
        <w:t>para</w:t>
      </w:r>
      <w:r w:rsidR="007E392F" w:rsidRPr="00F600E5">
        <w:rPr>
          <w:b/>
          <w:snapToGrid w:val="0"/>
          <w:kern w:val="22"/>
          <w:szCs w:val="22"/>
          <w:lang w:val="es-ES_tradnl"/>
        </w:rPr>
        <w:t xml:space="preserve"> la diversidad biológica posterior a 2020</w:t>
      </w:r>
    </w:p>
    <w:p w:rsidR="00084813" w:rsidRPr="00F600E5" w:rsidRDefault="00084813" w:rsidP="004330D2">
      <w:pPr>
        <w:spacing w:after="120"/>
        <w:ind w:firstLine="709"/>
        <w:rPr>
          <w:snapToGrid w:val="0"/>
          <w:kern w:val="22"/>
          <w:szCs w:val="22"/>
          <w:lang w:val="es-ES_tradnl"/>
        </w:rPr>
      </w:pPr>
      <w:r w:rsidRPr="00F600E5">
        <w:rPr>
          <w:snapToGrid w:val="0"/>
          <w:kern w:val="22"/>
          <w:szCs w:val="22"/>
          <w:lang w:val="es-ES_tradnl"/>
        </w:rPr>
        <w:t>8.</w:t>
      </w:r>
      <w:r w:rsidRPr="00F600E5">
        <w:rPr>
          <w:snapToGrid w:val="0"/>
          <w:kern w:val="22"/>
          <w:szCs w:val="22"/>
          <w:lang w:val="es-ES_tradnl"/>
        </w:rPr>
        <w:tab/>
      </w:r>
      <w:r w:rsidRPr="00F600E5">
        <w:rPr>
          <w:i/>
          <w:snapToGrid w:val="0"/>
          <w:kern w:val="22"/>
          <w:szCs w:val="22"/>
          <w:lang w:val="es-ES_tradnl"/>
        </w:rPr>
        <w:t>Invit</w:t>
      </w:r>
      <w:r w:rsidR="00D02BA4" w:rsidRPr="00F600E5">
        <w:rPr>
          <w:i/>
          <w:snapToGrid w:val="0"/>
          <w:kern w:val="22"/>
          <w:szCs w:val="22"/>
          <w:lang w:val="es-ES_tradnl"/>
        </w:rPr>
        <w:t>a</w:t>
      </w:r>
      <w:r w:rsidRPr="00F600E5">
        <w:rPr>
          <w:snapToGrid w:val="0"/>
          <w:kern w:val="22"/>
          <w:szCs w:val="22"/>
          <w:lang w:val="es-ES_tradnl"/>
        </w:rPr>
        <w:t xml:space="preserve"> </w:t>
      </w:r>
      <w:r w:rsidR="00D02BA4" w:rsidRPr="00F600E5">
        <w:rPr>
          <w:snapToGrid w:val="0"/>
          <w:kern w:val="22"/>
          <w:szCs w:val="22"/>
          <w:lang w:val="es-ES_tradnl"/>
        </w:rPr>
        <w:t>a las Partes, otros Gobiernos, interesados y organizaciones e iniciativas internacionales competentes</w:t>
      </w:r>
      <w:r w:rsidRPr="00F600E5">
        <w:rPr>
          <w:snapToGrid w:val="0"/>
          <w:kern w:val="22"/>
          <w:szCs w:val="22"/>
          <w:lang w:val="es-ES_tradnl"/>
        </w:rPr>
        <w:t xml:space="preserve">, </w:t>
      </w:r>
      <w:r w:rsidR="00D02BA4" w:rsidRPr="00F600E5">
        <w:rPr>
          <w:snapToGrid w:val="0"/>
          <w:kern w:val="22"/>
          <w:szCs w:val="22"/>
          <w:lang w:val="es-ES_tradnl"/>
        </w:rPr>
        <w:t xml:space="preserve">a examinar sus experiencias en la ejecución de la </w:t>
      </w:r>
      <w:r w:rsidR="000E552C" w:rsidRPr="00F600E5">
        <w:rPr>
          <w:snapToGrid w:val="0"/>
          <w:kern w:val="22"/>
          <w:szCs w:val="22"/>
          <w:lang w:val="es-ES_tradnl"/>
        </w:rPr>
        <w:t xml:space="preserve">Meta </w:t>
      </w:r>
      <w:r w:rsidR="00D02BA4" w:rsidRPr="00F600E5">
        <w:rPr>
          <w:snapToGrid w:val="0"/>
          <w:kern w:val="22"/>
          <w:szCs w:val="22"/>
          <w:lang w:val="es-ES_tradnl"/>
        </w:rPr>
        <w:t xml:space="preserve">20 </w:t>
      </w:r>
      <w:r w:rsidR="000E552C" w:rsidRPr="00F600E5">
        <w:rPr>
          <w:snapToGrid w:val="0"/>
          <w:kern w:val="22"/>
          <w:szCs w:val="22"/>
          <w:lang w:val="es-ES_tradnl"/>
        </w:rPr>
        <w:t>de Aichi para la Diversidad Biológica</w:t>
      </w:r>
      <w:r w:rsidRPr="00F600E5">
        <w:rPr>
          <w:snapToGrid w:val="0"/>
          <w:kern w:val="22"/>
          <w:szCs w:val="22"/>
          <w:lang w:val="es-ES_tradnl"/>
        </w:rPr>
        <w:t xml:space="preserve"> 20</w:t>
      </w:r>
      <w:r w:rsidR="00D02BA4" w:rsidRPr="00F600E5">
        <w:rPr>
          <w:snapToGrid w:val="0"/>
          <w:kern w:val="22"/>
          <w:szCs w:val="22"/>
          <w:lang w:val="es-ES_tradnl"/>
        </w:rPr>
        <w:t>, así como la estrategia y las metas de movilización de recursos, y</w:t>
      </w:r>
      <w:r w:rsidR="006C31DF" w:rsidRPr="00F600E5">
        <w:rPr>
          <w:snapToGrid w:val="0"/>
          <w:kern w:val="22"/>
          <w:szCs w:val="22"/>
          <w:lang w:val="es-ES_tradnl"/>
        </w:rPr>
        <w:t xml:space="preserve"> </w:t>
      </w:r>
      <w:r w:rsidR="00506864" w:rsidRPr="00F600E5">
        <w:rPr>
          <w:snapToGrid w:val="0"/>
          <w:kern w:val="22"/>
          <w:szCs w:val="22"/>
          <w:lang w:val="es-ES_tradnl"/>
        </w:rPr>
        <w:t xml:space="preserve">en el uso de </w:t>
      </w:r>
      <w:r w:rsidR="00D02BA4" w:rsidRPr="00F600E5">
        <w:rPr>
          <w:snapToGrid w:val="0"/>
          <w:kern w:val="22"/>
          <w:szCs w:val="22"/>
          <w:lang w:val="es-ES_tradnl"/>
        </w:rPr>
        <w:t>orientacion</w:t>
      </w:r>
      <w:r w:rsidR="00C6406C" w:rsidRPr="00F600E5">
        <w:rPr>
          <w:snapToGrid w:val="0"/>
          <w:kern w:val="22"/>
          <w:szCs w:val="22"/>
          <w:lang w:val="es-ES_tradnl"/>
        </w:rPr>
        <w:t xml:space="preserve">es </w:t>
      </w:r>
      <w:r w:rsidR="00D02BA4" w:rsidRPr="00F600E5">
        <w:rPr>
          <w:snapToGrid w:val="0"/>
          <w:kern w:val="22"/>
          <w:szCs w:val="22"/>
          <w:lang w:val="es-ES_tradnl"/>
        </w:rPr>
        <w:t>pertinentes</w:t>
      </w:r>
      <w:r w:rsidR="00204F94" w:rsidRPr="00F600E5">
        <w:rPr>
          <w:snapToGrid w:val="0"/>
          <w:kern w:val="22"/>
          <w:szCs w:val="22"/>
          <w:lang w:val="es-ES_tradnl"/>
        </w:rPr>
        <w:t>,</w:t>
      </w:r>
      <w:r w:rsidRPr="00F600E5">
        <w:rPr>
          <w:snapToGrid w:val="0"/>
          <w:kern w:val="22"/>
          <w:szCs w:val="22"/>
          <w:lang w:val="es-ES_tradnl"/>
        </w:rPr>
        <w:t xml:space="preserve"> </w:t>
      </w:r>
      <w:r w:rsidR="00506864" w:rsidRPr="00F600E5">
        <w:rPr>
          <w:snapToGrid w:val="0"/>
          <w:kern w:val="22"/>
          <w:szCs w:val="22"/>
          <w:lang w:val="es-ES_tradnl"/>
        </w:rPr>
        <w:t>y, sobre la base de este examen, a presentar sus opiniones con respecto al alcance y contenido del componente de movilización de recurso</w:t>
      </w:r>
      <w:r w:rsidR="00204F94" w:rsidRPr="00F600E5">
        <w:rPr>
          <w:snapToGrid w:val="0"/>
          <w:kern w:val="22"/>
          <w:szCs w:val="22"/>
          <w:lang w:val="es-ES_tradnl"/>
        </w:rPr>
        <w:t>s</w:t>
      </w:r>
      <w:r w:rsidR="00506864" w:rsidRPr="00F600E5">
        <w:rPr>
          <w:snapToGrid w:val="0"/>
          <w:kern w:val="22"/>
          <w:szCs w:val="22"/>
          <w:lang w:val="es-ES_tradnl"/>
        </w:rPr>
        <w:t xml:space="preserve"> del marco </w:t>
      </w:r>
      <w:r w:rsidR="00F600E5" w:rsidRPr="00F600E5">
        <w:rPr>
          <w:snapToGrid w:val="0"/>
          <w:kern w:val="22"/>
          <w:szCs w:val="22"/>
          <w:lang w:val="es-ES_tradnl"/>
        </w:rPr>
        <w:t>para</w:t>
      </w:r>
      <w:r w:rsidR="00506864" w:rsidRPr="00F600E5">
        <w:rPr>
          <w:snapToGrid w:val="0"/>
          <w:kern w:val="22"/>
          <w:szCs w:val="22"/>
          <w:lang w:val="es-ES_tradnl"/>
        </w:rPr>
        <w:t xml:space="preserve"> la diversidad biológica posterior a 2020</w:t>
      </w:r>
      <w:r w:rsidRPr="00F600E5">
        <w:rPr>
          <w:snapToGrid w:val="0"/>
          <w:kern w:val="22"/>
          <w:szCs w:val="22"/>
          <w:lang w:val="es-ES_tradnl"/>
        </w:rPr>
        <w:t xml:space="preserve">, </w:t>
      </w:r>
      <w:r w:rsidR="00506864" w:rsidRPr="00F600E5">
        <w:rPr>
          <w:snapToGrid w:val="0"/>
          <w:kern w:val="22"/>
          <w:szCs w:val="22"/>
          <w:lang w:val="es-ES_tradnl"/>
        </w:rPr>
        <w:t xml:space="preserve">como parte de la labor entre sesiones prevista en el proyecto de decisión </w:t>
      </w:r>
      <w:r w:rsidR="00F600E5" w:rsidRPr="00F600E5">
        <w:rPr>
          <w:snapToGrid w:val="0"/>
          <w:kern w:val="22"/>
          <w:szCs w:val="22"/>
          <w:lang w:val="es-ES_tradnl"/>
        </w:rPr>
        <w:t>de</w:t>
      </w:r>
      <w:r w:rsidR="00506864" w:rsidRPr="00F600E5">
        <w:rPr>
          <w:snapToGrid w:val="0"/>
          <w:kern w:val="22"/>
          <w:szCs w:val="22"/>
          <w:lang w:val="es-ES_tradnl"/>
        </w:rPr>
        <w:t>l punto 16 del programa</w:t>
      </w:r>
      <w:r w:rsidRPr="00F600E5">
        <w:rPr>
          <w:snapToGrid w:val="0"/>
          <w:kern w:val="22"/>
          <w:szCs w:val="22"/>
          <w:lang w:val="es-ES_tradnl"/>
        </w:rPr>
        <w:t>;</w:t>
      </w:r>
    </w:p>
    <w:p w:rsidR="00084813" w:rsidRPr="00F600E5" w:rsidRDefault="00084813" w:rsidP="004330D2">
      <w:pPr>
        <w:spacing w:after="120"/>
        <w:ind w:firstLine="709"/>
        <w:rPr>
          <w:snapToGrid w:val="0"/>
          <w:kern w:val="22"/>
          <w:szCs w:val="22"/>
          <w:lang w:val="es-ES_tradnl"/>
        </w:rPr>
      </w:pPr>
      <w:r w:rsidRPr="00F600E5">
        <w:rPr>
          <w:snapToGrid w:val="0"/>
          <w:kern w:val="22"/>
          <w:szCs w:val="22"/>
          <w:lang w:val="es-ES_tradnl"/>
        </w:rPr>
        <w:t>9.</w:t>
      </w:r>
      <w:r w:rsidRPr="00F600E5">
        <w:rPr>
          <w:snapToGrid w:val="0"/>
          <w:kern w:val="22"/>
          <w:szCs w:val="22"/>
          <w:lang w:val="es-ES_tradnl"/>
        </w:rPr>
        <w:tab/>
      </w:r>
      <w:r w:rsidR="004330D2" w:rsidRPr="00F600E5">
        <w:rPr>
          <w:i/>
          <w:snapToGrid w:val="0"/>
          <w:kern w:val="22"/>
          <w:szCs w:val="22"/>
          <w:lang w:val="es-ES_tradnl"/>
        </w:rPr>
        <w:t>R</w:t>
      </w:r>
      <w:r w:rsidRPr="00F600E5">
        <w:rPr>
          <w:i/>
          <w:snapToGrid w:val="0"/>
          <w:kern w:val="22"/>
          <w:szCs w:val="22"/>
          <w:lang w:val="es-ES_tradnl"/>
        </w:rPr>
        <w:t>ecom</w:t>
      </w:r>
      <w:r w:rsidR="00506864" w:rsidRPr="00F600E5">
        <w:rPr>
          <w:i/>
          <w:snapToGrid w:val="0"/>
          <w:kern w:val="22"/>
          <w:szCs w:val="22"/>
          <w:lang w:val="es-ES_tradnl"/>
        </w:rPr>
        <w:t>ienda</w:t>
      </w:r>
      <w:r w:rsidRPr="00F600E5">
        <w:rPr>
          <w:snapToGrid w:val="0"/>
          <w:kern w:val="22"/>
          <w:szCs w:val="22"/>
          <w:lang w:val="es-ES_tradnl"/>
        </w:rPr>
        <w:t xml:space="preserve"> </w:t>
      </w:r>
      <w:r w:rsidR="00506864" w:rsidRPr="00F600E5">
        <w:rPr>
          <w:snapToGrid w:val="0"/>
          <w:kern w:val="22"/>
          <w:szCs w:val="22"/>
          <w:lang w:val="es-ES_tradnl"/>
        </w:rPr>
        <w:t xml:space="preserve">que </w:t>
      </w:r>
      <w:r w:rsidR="006C5FC8" w:rsidRPr="00F600E5">
        <w:rPr>
          <w:snapToGrid w:val="0"/>
          <w:kern w:val="22"/>
          <w:szCs w:val="22"/>
          <w:lang w:val="es-ES_tradnl"/>
        </w:rPr>
        <w:t>la Conferencia de las Partes</w:t>
      </w:r>
      <w:r w:rsidRPr="00F600E5">
        <w:rPr>
          <w:snapToGrid w:val="0"/>
          <w:kern w:val="22"/>
          <w:szCs w:val="22"/>
          <w:lang w:val="es-ES_tradnl"/>
        </w:rPr>
        <w:t xml:space="preserve"> </w:t>
      </w:r>
      <w:r w:rsidR="00506864" w:rsidRPr="00F600E5">
        <w:rPr>
          <w:snapToGrid w:val="0"/>
          <w:kern w:val="22"/>
          <w:szCs w:val="22"/>
          <w:lang w:val="es-ES_tradnl"/>
        </w:rPr>
        <w:t>en su decimocuarta reunión adopte una decisión del siguiente tenor</w:t>
      </w:r>
      <w:r w:rsidRPr="00F600E5">
        <w:rPr>
          <w:snapToGrid w:val="0"/>
          <w:kern w:val="22"/>
          <w:szCs w:val="22"/>
          <w:lang w:val="es-ES_tradnl"/>
        </w:rPr>
        <w:t>:</w:t>
      </w:r>
    </w:p>
    <w:p w:rsidR="00084813" w:rsidRPr="00F600E5" w:rsidRDefault="006C5FC8" w:rsidP="004330D2">
      <w:pPr>
        <w:spacing w:after="120"/>
        <w:ind w:left="709" w:firstLine="709"/>
        <w:rPr>
          <w:i/>
          <w:snapToGrid w:val="0"/>
          <w:kern w:val="22"/>
          <w:szCs w:val="22"/>
          <w:lang w:val="es-ES_tradnl"/>
        </w:rPr>
      </w:pPr>
      <w:r w:rsidRPr="00F600E5">
        <w:rPr>
          <w:i/>
          <w:snapToGrid w:val="0"/>
          <w:kern w:val="22"/>
          <w:szCs w:val="22"/>
          <w:lang w:val="es-ES_tradnl"/>
        </w:rPr>
        <w:t>La Conferencia de las Partes</w:t>
      </w:r>
      <w:r w:rsidR="00084813" w:rsidRPr="00F600E5">
        <w:rPr>
          <w:i/>
          <w:snapToGrid w:val="0"/>
          <w:kern w:val="22"/>
          <w:szCs w:val="22"/>
          <w:lang w:val="es-ES_tradnl"/>
        </w:rPr>
        <w:t>,</w:t>
      </w:r>
    </w:p>
    <w:p w:rsidR="00084813" w:rsidRPr="00F600E5" w:rsidRDefault="008D23B0" w:rsidP="004330D2">
      <w:pPr>
        <w:spacing w:after="120"/>
        <w:ind w:left="709"/>
        <w:jc w:val="center"/>
        <w:rPr>
          <w:b/>
          <w:snapToGrid w:val="0"/>
          <w:kern w:val="22"/>
          <w:szCs w:val="22"/>
          <w:lang w:val="es-ES_tradnl"/>
        </w:rPr>
      </w:pPr>
      <w:r w:rsidRPr="00F600E5">
        <w:rPr>
          <w:b/>
          <w:snapToGrid w:val="0"/>
          <w:kern w:val="22"/>
          <w:szCs w:val="22"/>
          <w:lang w:val="es-ES_tradnl"/>
        </w:rPr>
        <w:t xml:space="preserve">A. </w:t>
      </w:r>
      <w:r w:rsidR="007E392F" w:rsidRPr="00F600E5">
        <w:rPr>
          <w:b/>
          <w:snapToGrid w:val="0"/>
          <w:kern w:val="22"/>
          <w:szCs w:val="22"/>
          <w:lang w:val="es-ES_tradnl"/>
        </w:rPr>
        <w:t>Presentación de informes financieros</w:t>
      </w:r>
    </w:p>
    <w:p w:rsidR="00084813" w:rsidRPr="00F600E5" w:rsidRDefault="00084813" w:rsidP="004330D2">
      <w:pPr>
        <w:spacing w:after="120"/>
        <w:ind w:left="709" w:firstLine="709"/>
        <w:rPr>
          <w:snapToGrid w:val="0"/>
          <w:kern w:val="22"/>
          <w:szCs w:val="22"/>
          <w:lang w:val="es-ES_tradnl"/>
        </w:rPr>
      </w:pPr>
      <w:r w:rsidRPr="00F600E5">
        <w:rPr>
          <w:snapToGrid w:val="0"/>
          <w:kern w:val="22"/>
          <w:szCs w:val="22"/>
          <w:lang w:val="es-ES_tradnl"/>
        </w:rPr>
        <w:lastRenderedPageBreak/>
        <w:t>1.</w:t>
      </w:r>
      <w:r w:rsidRPr="00F600E5">
        <w:rPr>
          <w:snapToGrid w:val="0"/>
          <w:kern w:val="22"/>
          <w:szCs w:val="22"/>
          <w:lang w:val="es-ES_tradnl"/>
        </w:rPr>
        <w:tab/>
      </w:r>
      <w:r w:rsidR="00506864" w:rsidRPr="00F600E5">
        <w:rPr>
          <w:i/>
          <w:snapToGrid w:val="0"/>
          <w:kern w:val="22"/>
          <w:szCs w:val="22"/>
          <w:lang w:val="es-ES_tradnl"/>
        </w:rPr>
        <w:t xml:space="preserve">Toma nota con reconocimiento </w:t>
      </w:r>
      <w:r w:rsidR="00506864" w:rsidRPr="00F600E5">
        <w:rPr>
          <w:snapToGrid w:val="0"/>
          <w:kern w:val="22"/>
          <w:szCs w:val="22"/>
          <w:lang w:val="es-ES_tradnl"/>
        </w:rPr>
        <w:t>de la información proporcionada por las Partes a través del marco de presentación de informes financieros</w:t>
      </w:r>
      <w:r w:rsidRPr="00F600E5">
        <w:rPr>
          <w:snapToGrid w:val="0"/>
          <w:kern w:val="22"/>
          <w:szCs w:val="22"/>
          <w:lang w:val="es-ES_tradnl"/>
        </w:rPr>
        <w:t>;</w:t>
      </w:r>
    </w:p>
    <w:p w:rsidR="00084813" w:rsidRPr="00F600E5" w:rsidRDefault="00084813" w:rsidP="004330D2">
      <w:pPr>
        <w:spacing w:after="120"/>
        <w:ind w:left="709" w:firstLine="709"/>
        <w:rPr>
          <w:snapToGrid w:val="0"/>
          <w:kern w:val="22"/>
          <w:szCs w:val="22"/>
          <w:lang w:val="es-ES_tradnl"/>
        </w:rPr>
      </w:pPr>
      <w:r w:rsidRPr="00F600E5">
        <w:rPr>
          <w:snapToGrid w:val="0"/>
          <w:kern w:val="22"/>
          <w:szCs w:val="22"/>
          <w:lang w:val="es-ES_tradnl"/>
        </w:rPr>
        <w:t>2.</w:t>
      </w:r>
      <w:r w:rsidRPr="00F600E5">
        <w:rPr>
          <w:snapToGrid w:val="0"/>
          <w:kern w:val="22"/>
          <w:szCs w:val="22"/>
          <w:lang w:val="es-ES_tradnl"/>
        </w:rPr>
        <w:tab/>
      </w:r>
      <w:r w:rsidR="00506864" w:rsidRPr="00F600E5">
        <w:rPr>
          <w:i/>
          <w:snapToGrid w:val="0"/>
          <w:kern w:val="22"/>
          <w:szCs w:val="22"/>
          <w:lang w:val="es-ES_tradnl"/>
        </w:rPr>
        <w:t xml:space="preserve">Toma nota </w:t>
      </w:r>
      <w:r w:rsidR="00506864" w:rsidRPr="00F600E5">
        <w:rPr>
          <w:snapToGrid w:val="0"/>
          <w:kern w:val="22"/>
          <w:szCs w:val="22"/>
          <w:lang w:val="es-ES_tradnl"/>
        </w:rPr>
        <w:t>del análisis de la información proporcionada por las Partes a través del marco de presentación</w:t>
      </w:r>
      <w:r w:rsidR="00F600E5" w:rsidRPr="00F600E5">
        <w:rPr>
          <w:snapToGrid w:val="0"/>
          <w:kern w:val="22"/>
          <w:szCs w:val="22"/>
          <w:lang w:val="es-ES_tradnl"/>
        </w:rPr>
        <w:t xml:space="preserve"> de informes financieros</w:t>
      </w:r>
      <w:r w:rsidR="00506864" w:rsidRPr="00F600E5">
        <w:rPr>
          <w:snapToGrid w:val="0"/>
          <w:kern w:val="22"/>
          <w:szCs w:val="22"/>
          <w:lang w:val="es-ES_tradnl"/>
        </w:rPr>
        <w:t>, en particular los avances hacia las metas adoptadas en la</w:t>
      </w:r>
      <w:r w:rsidRPr="00F600E5">
        <w:rPr>
          <w:snapToGrid w:val="0"/>
          <w:kern w:val="22"/>
          <w:szCs w:val="22"/>
          <w:lang w:val="es-ES_tradnl"/>
        </w:rPr>
        <w:t xml:space="preserve"> </w:t>
      </w:r>
      <w:r w:rsidR="007E392F" w:rsidRPr="00F600E5">
        <w:rPr>
          <w:snapToGrid w:val="0"/>
          <w:kern w:val="22"/>
          <w:szCs w:val="22"/>
          <w:lang w:val="es-ES_tradnl"/>
        </w:rPr>
        <w:t>decisión</w:t>
      </w:r>
      <w:r w:rsidRPr="00F600E5">
        <w:rPr>
          <w:snapToGrid w:val="0"/>
          <w:kern w:val="22"/>
          <w:szCs w:val="22"/>
          <w:lang w:val="es-ES_tradnl"/>
        </w:rPr>
        <w:t xml:space="preserve"> XII/3 </w:t>
      </w:r>
      <w:r w:rsidR="00506864" w:rsidRPr="00F600E5">
        <w:rPr>
          <w:snapToGrid w:val="0"/>
          <w:kern w:val="22"/>
          <w:szCs w:val="22"/>
          <w:lang w:val="es-ES_tradnl"/>
        </w:rPr>
        <w:t xml:space="preserve">que figura en </w:t>
      </w:r>
      <w:r w:rsidR="00204F94" w:rsidRPr="00F600E5">
        <w:rPr>
          <w:snapToGrid w:val="0"/>
          <w:kern w:val="22"/>
          <w:szCs w:val="22"/>
          <w:lang w:val="es-ES_tradnl"/>
        </w:rPr>
        <w:t>la nota del Secretario Ejecutivo sobre movilización de recursos: el balance y el análisis actualizado de la información suministrada a través del marco de presentación de informes financieros</w:t>
      </w:r>
      <w:r w:rsidR="00204F94" w:rsidRPr="00F600E5">
        <w:rPr>
          <w:rStyle w:val="FootnoteReference"/>
          <w:snapToGrid w:val="0"/>
          <w:kern w:val="22"/>
          <w:szCs w:val="22"/>
          <w:lang w:val="es-ES_tradnl"/>
        </w:rPr>
        <w:footnoteReference w:id="39"/>
      </w:r>
      <w:r w:rsidR="003932DF" w:rsidRPr="00F600E5">
        <w:rPr>
          <w:snapToGrid w:val="0"/>
          <w:kern w:val="22"/>
          <w:szCs w:val="22"/>
          <w:lang w:val="es-ES_tradnl"/>
        </w:rPr>
        <w:t>;</w:t>
      </w:r>
    </w:p>
    <w:p w:rsidR="00084813" w:rsidRPr="00F600E5" w:rsidRDefault="00084813" w:rsidP="004330D2">
      <w:pPr>
        <w:spacing w:after="120"/>
        <w:ind w:left="709" w:firstLine="709"/>
        <w:rPr>
          <w:snapToGrid w:val="0"/>
          <w:kern w:val="22"/>
          <w:szCs w:val="22"/>
          <w:lang w:val="es-ES_tradnl"/>
        </w:rPr>
      </w:pPr>
      <w:r w:rsidRPr="00F600E5">
        <w:rPr>
          <w:snapToGrid w:val="0"/>
          <w:kern w:val="22"/>
          <w:szCs w:val="22"/>
          <w:lang w:val="es-ES_tradnl"/>
        </w:rPr>
        <w:t>3.</w:t>
      </w:r>
      <w:r w:rsidRPr="00F600E5">
        <w:rPr>
          <w:snapToGrid w:val="0"/>
          <w:kern w:val="22"/>
          <w:szCs w:val="22"/>
          <w:lang w:val="es-ES_tradnl"/>
        </w:rPr>
        <w:tab/>
      </w:r>
      <w:r w:rsidRPr="00F600E5">
        <w:rPr>
          <w:i/>
          <w:snapToGrid w:val="0"/>
          <w:kern w:val="22"/>
          <w:szCs w:val="22"/>
          <w:lang w:val="es-ES_tradnl"/>
        </w:rPr>
        <w:t>Reitera</w:t>
      </w:r>
      <w:r w:rsidRPr="00F600E5">
        <w:rPr>
          <w:snapToGrid w:val="0"/>
          <w:kern w:val="22"/>
          <w:szCs w:val="22"/>
          <w:lang w:val="es-ES_tradnl"/>
        </w:rPr>
        <w:t xml:space="preserve"> </w:t>
      </w:r>
      <w:r w:rsidR="00506864" w:rsidRPr="00F600E5">
        <w:rPr>
          <w:snapToGrid w:val="0"/>
          <w:kern w:val="22"/>
          <w:szCs w:val="22"/>
          <w:lang w:val="es-ES_tradnl"/>
        </w:rPr>
        <w:t>su invitación a la</w:t>
      </w:r>
      <w:r w:rsidR="00F600E5" w:rsidRPr="00F600E5">
        <w:rPr>
          <w:snapToGrid w:val="0"/>
          <w:kern w:val="22"/>
          <w:szCs w:val="22"/>
          <w:lang w:val="es-ES_tradnl"/>
        </w:rPr>
        <w:t>s Partes a que</w:t>
      </w:r>
      <w:r w:rsidR="00506864" w:rsidRPr="00F600E5">
        <w:rPr>
          <w:snapToGrid w:val="0"/>
          <w:kern w:val="22"/>
          <w:szCs w:val="22"/>
          <w:lang w:val="es-ES_tradnl"/>
        </w:rPr>
        <w:t>, utilizando el marco de presentación de informes financiero en línea</w:t>
      </w:r>
      <w:r w:rsidRPr="00F600E5">
        <w:rPr>
          <w:snapToGrid w:val="0"/>
          <w:kern w:val="22"/>
          <w:szCs w:val="22"/>
          <w:lang w:val="es-ES_tradnl"/>
        </w:rPr>
        <w:t xml:space="preserve">, </w:t>
      </w:r>
      <w:r w:rsidR="00F600E5" w:rsidRPr="00F600E5">
        <w:rPr>
          <w:snapToGrid w:val="0"/>
          <w:kern w:val="22"/>
          <w:szCs w:val="22"/>
          <w:lang w:val="es-ES_tradnl"/>
        </w:rPr>
        <w:t xml:space="preserve">presenten </w:t>
      </w:r>
      <w:r w:rsidR="00506864" w:rsidRPr="00F600E5">
        <w:rPr>
          <w:snapToGrid w:val="0"/>
          <w:kern w:val="22"/>
          <w:szCs w:val="22"/>
          <w:lang w:val="es-ES_tradnl"/>
        </w:rPr>
        <w:t>informe sobre su contribución adicional a los esfuerzos colectivos por alcanzar las metas mundiales de movilización de recursos, en relación con la base de referencia establecida</w:t>
      </w:r>
      <w:r w:rsidRPr="00F600E5">
        <w:rPr>
          <w:snapToGrid w:val="0"/>
          <w:kern w:val="22"/>
          <w:szCs w:val="22"/>
          <w:lang w:val="es-ES_tradnl"/>
        </w:rPr>
        <w:t xml:space="preserve">, </w:t>
      </w:r>
      <w:r w:rsidR="007C4036" w:rsidRPr="00F600E5">
        <w:rPr>
          <w:snapToGrid w:val="0"/>
          <w:kern w:val="22"/>
          <w:szCs w:val="22"/>
          <w:lang w:val="es-ES_tradnl"/>
        </w:rPr>
        <w:t>junto con sus sextos informes nacionales, antes del 31 de diciembre de</w:t>
      </w:r>
      <w:r w:rsidRPr="00F600E5">
        <w:rPr>
          <w:snapToGrid w:val="0"/>
          <w:kern w:val="22"/>
          <w:szCs w:val="22"/>
          <w:lang w:val="es-ES_tradnl"/>
        </w:rPr>
        <w:t xml:space="preserve"> 2018;</w:t>
      </w:r>
    </w:p>
    <w:p w:rsidR="00084813" w:rsidRPr="00F600E5" w:rsidRDefault="008D23B0" w:rsidP="004330D2">
      <w:pPr>
        <w:keepNext/>
        <w:spacing w:after="120"/>
        <w:ind w:left="709"/>
        <w:jc w:val="center"/>
        <w:rPr>
          <w:b/>
          <w:snapToGrid w:val="0"/>
          <w:kern w:val="22"/>
          <w:szCs w:val="22"/>
          <w:lang w:val="es-ES_tradnl"/>
        </w:rPr>
      </w:pPr>
      <w:r w:rsidRPr="00F600E5">
        <w:rPr>
          <w:b/>
          <w:snapToGrid w:val="0"/>
          <w:kern w:val="22"/>
          <w:szCs w:val="22"/>
          <w:lang w:val="es-ES_tradnl"/>
        </w:rPr>
        <w:t xml:space="preserve">B. </w:t>
      </w:r>
      <w:r w:rsidR="006C5FC8" w:rsidRPr="00F600E5">
        <w:rPr>
          <w:b/>
          <w:snapToGrid w:val="0"/>
          <w:kern w:val="22"/>
          <w:szCs w:val="22"/>
          <w:lang w:val="es-ES_tradnl"/>
        </w:rPr>
        <w:t>Creación de capacidad y apoyo</w:t>
      </w:r>
      <w:r w:rsidR="00084813" w:rsidRPr="00F600E5">
        <w:rPr>
          <w:b/>
          <w:snapToGrid w:val="0"/>
          <w:kern w:val="22"/>
          <w:szCs w:val="22"/>
          <w:lang w:val="es-ES_tradnl"/>
        </w:rPr>
        <w:t xml:space="preserve"> </w:t>
      </w:r>
      <w:r w:rsidR="006C5FC8" w:rsidRPr="00F600E5">
        <w:rPr>
          <w:b/>
          <w:snapToGrid w:val="0"/>
          <w:kern w:val="22"/>
          <w:szCs w:val="22"/>
          <w:lang w:val="es-ES_tradnl"/>
        </w:rPr>
        <w:t>técnico</w:t>
      </w:r>
    </w:p>
    <w:p w:rsidR="00084813" w:rsidRPr="00F600E5" w:rsidRDefault="008D23B0" w:rsidP="004330D2">
      <w:pPr>
        <w:spacing w:after="120"/>
        <w:ind w:left="709" w:firstLine="709"/>
        <w:rPr>
          <w:snapToGrid w:val="0"/>
          <w:kern w:val="22"/>
          <w:szCs w:val="22"/>
          <w:lang w:val="es-ES_tradnl"/>
        </w:rPr>
      </w:pPr>
      <w:r w:rsidRPr="00F600E5">
        <w:rPr>
          <w:snapToGrid w:val="0"/>
          <w:kern w:val="22"/>
          <w:szCs w:val="22"/>
          <w:lang w:val="es-ES_tradnl"/>
        </w:rPr>
        <w:t>4</w:t>
      </w:r>
      <w:r w:rsidR="00084813" w:rsidRPr="00F600E5">
        <w:rPr>
          <w:snapToGrid w:val="0"/>
          <w:kern w:val="22"/>
          <w:szCs w:val="22"/>
          <w:lang w:val="es-ES_tradnl"/>
        </w:rPr>
        <w:t>.</w:t>
      </w:r>
      <w:r w:rsidR="00084813" w:rsidRPr="00F600E5">
        <w:rPr>
          <w:snapToGrid w:val="0"/>
          <w:kern w:val="22"/>
          <w:szCs w:val="22"/>
          <w:lang w:val="es-ES_tradnl"/>
        </w:rPr>
        <w:tab/>
      </w:r>
      <w:r w:rsidR="007C4036" w:rsidRPr="00F600E5">
        <w:rPr>
          <w:i/>
          <w:snapToGrid w:val="0"/>
          <w:kern w:val="22"/>
          <w:szCs w:val="22"/>
          <w:lang w:val="es-ES_tradnl"/>
        </w:rPr>
        <w:t xml:space="preserve">Acoge con satisfacción </w:t>
      </w:r>
      <w:r w:rsidR="007C4036" w:rsidRPr="00F600E5">
        <w:rPr>
          <w:snapToGrid w:val="0"/>
          <w:kern w:val="22"/>
          <w:szCs w:val="22"/>
          <w:lang w:val="es-ES_tradnl"/>
        </w:rPr>
        <w:t>la labor de las organizaciones e iniciativas competentes</w:t>
      </w:r>
      <w:r w:rsidR="00084813" w:rsidRPr="00F600E5">
        <w:rPr>
          <w:snapToGrid w:val="0"/>
          <w:kern w:val="22"/>
          <w:szCs w:val="22"/>
          <w:lang w:val="es-ES_tradnl"/>
        </w:rPr>
        <w:t xml:space="preserve">, </w:t>
      </w:r>
      <w:r w:rsidR="007C4036" w:rsidRPr="00F600E5">
        <w:rPr>
          <w:snapToGrid w:val="0"/>
          <w:kern w:val="22"/>
          <w:szCs w:val="22"/>
          <w:lang w:val="es-ES_tradnl"/>
        </w:rPr>
        <w:t xml:space="preserve">incluida la </w:t>
      </w:r>
      <w:r w:rsidR="00DA25B9" w:rsidRPr="00F600E5">
        <w:rPr>
          <w:snapToGrid w:val="0"/>
          <w:kern w:val="22"/>
          <w:szCs w:val="22"/>
          <w:lang w:val="es-ES_tradnl"/>
        </w:rPr>
        <w:t xml:space="preserve">Iniciativa para la Financiación de la Biodiversidad del </w:t>
      </w:r>
      <w:r w:rsidR="006C5FC8" w:rsidRPr="00F600E5">
        <w:rPr>
          <w:snapToGrid w:val="0"/>
          <w:kern w:val="22"/>
          <w:szCs w:val="22"/>
          <w:lang w:val="es-ES_tradnl"/>
        </w:rPr>
        <w:t>Programa de las Naciones Unidas para el Desarrollo</w:t>
      </w:r>
      <w:r w:rsidR="00084813" w:rsidRPr="00F600E5">
        <w:rPr>
          <w:snapToGrid w:val="0"/>
          <w:kern w:val="22"/>
          <w:szCs w:val="22"/>
          <w:lang w:val="es-ES_tradnl"/>
        </w:rPr>
        <w:t xml:space="preserve">, </w:t>
      </w:r>
      <w:r w:rsidR="00DA25B9" w:rsidRPr="00F600E5">
        <w:rPr>
          <w:snapToGrid w:val="0"/>
          <w:kern w:val="22"/>
          <w:szCs w:val="22"/>
          <w:lang w:val="es-ES_tradnl"/>
        </w:rPr>
        <w:t>para prestar apoyo técnico y creación de capacidad a las Partes interesadas que son países en desarrollo, en particular a los países menos adelantados y a los pequeños Estados insulares en desarrollo, así como a los países con economías en transición, en la identificación de necesidades, deficiencias y prioridades de financiación</w:t>
      </w:r>
      <w:r w:rsidR="00084813" w:rsidRPr="00F600E5">
        <w:rPr>
          <w:snapToGrid w:val="0"/>
          <w:kern w:val="22"/>
          <w:szCs w:val="22"/>
          <w:lang w:val="es-ES_tradnl"/>
        </w:rPr>
        <w:t xml:space="preserve">, </w:t>
      </w:r>
      <w:r w:rsidR="00DA25B9" w:rsidRPr="00F600E5">
        <w:rPr>
          <w:snapToGrid w:val="0"/>
          <w:kern w:val="22"/>
          <w:szCs w:val="22"/>
          <w:lang w:val="es-ES_tradnl"/>
        </w:rPr>
        <w:t xml:space="preserve">la elaboración y aplicación de estrategias nacionales de movilización de </w:t>
      </w:r>
      <w:r w:rsidR="00C05DC8" w:rsidRPr="00F600E5">
        <w:rPr>
          <w:snapToGrid w:val="0"/>
          <w:kern w:val="22"/>
          <w:szCs w:val="22"/>
          <w:lang w:val="es-ES_tradnl"/>
        </w:rPr>
        <w:t xml:space="preserve">recursos, y en la presentación de informes financieros, y los </w:t>
      </w:r>
      <w:r w:rsidR="00C05DC8" w:rsidRPr="00F600E5">
        <w:rPr>
          <w:i/>
          <w:snapToGrid w:val="0"/>
          <w:kern w:val="22"/>
          <w:szCs w:val="22"/>
          <w:lang w:val="es-ES_tradnl"/>
        </w:rPr>
        <w:t>invita</w:t>
      </w:r>
      <w:r w:rsidR="00C05DC8" w:rsidRPr="00F600E5">
        <w:rPr>
          <w:snapToGrid w:val="0"/>
          <w:kern w:val="22"/>
          <w:szCs w:val="22"/>
          <w:lang w:val="es-ES_tradnl"/>
        </w:rPr>
        <w:t xml:space="preserve"> a continuar e intensificar dicha labor</w:t>
      </w:r>
      <w:r w:rsidR="00084813" w:rsidRPr="00F600E5">
        <w:rPr>
          <w:snapToGrid w:val="0"/>
          <w:kern w:val="22"/>
          <w:szCs w:val="22"/>
          <w:lang w:val="es-ES_tradnl"/>
        </w:rPr>
        <w:t>;</w:t>
      </w:r>
    </w:p>
    <w:p w:rsidR="00C05DC8" w:rsidRPr="00F600E5" w:rsidRDefault="008D23B0" w:rsidP="00C05DC8">
      <w:pPr>
        <w:spacing w:after="120"/>
        <w:ind w:left="709" w:firstLine="709"/>
        <w:rPr>
          <w:snapToGrid w:val="0"/>
          <w:kern w:val="22"/>
          <w:szCs w:val="22"/>
          <w:lang w:val="es-ES_tradnl"/>
        </w:rPr>
      </w:pPr>
      <w:r w:rsidRPr="00F600E5">
        <w:rPr>
          <w:snapToGrid w:val="0"/>
          <w:kern w:val="22"/>
          <w:szCs w:val="22"/>
          <w:lang w:val="es-ES_tradnl"/>
        </w:rPr>
        <w:t>5</w:t>
      </w:r>
      <w:r w:rsidR="00084813" w:rsidRPr="00F600E5">
        <w:rPr>
          <w:snapToGrid w:val="0"/>
          <w:kern w:val="22"/>
          <w:szCs w:val="22"/>
          <w:lang w:val="es-ES_tradnl"/>
        </w:rPr>
        <w:t>.</w:t>
      </w:r>
      <w:r w:rsidR="00084813" w:rsidRPr="00F600E5">
        <w:rPr>
          <w:snapToGrid w:val="0"/>
          <w:kern w:val="22"/>
          <w:szCs w:val="22"/>
          <w:lang w:val="es-ES_tradnl"/>
        </w:rPr>
        <w:tab/>
      </w:r>
      <w:r w:rsidR="00084813" w:rsidRPr="00F600E5">
        <w:rPr>
          <w:i/>
          <w:snapToGrid w:val="0"/>
          <w:kern w:val="22"/>
          <w:szCs w:val="22"/>
          <w:lang w:val="es-ES_tradnl"/>
        </w:rPr>
        <w:t>Invit</w:t>
      </w:r>
      <w:r w:rsidR="00C05DC8" w:rsidRPr="00F600E5">
        <w:rPr>
          <w:i/>
          <w:snapToGrid w:val="0"/>
          <w:kern w:val="22"/>
          <w:szCs w:val="22"/>
          <w:lang w:val="es-ES_tradnl"/>
        </w:rPr>
        <w:t>a</w:t>
      </w:r>
      <w:r w:rsidR="00084813" w:rsidRPr="00F600E5">
        <w:rPr>
          <w:snapToGrid w:val="0"/>
          <w:kern w:val="22"/>
          <w:szCs w:val="22"/>
          <w:lang w:val="es-ES_tradnl"/>
        </w:rPr>
        <w:t xml:space="preserve"> </w:t>
      </w:r>
      <w:r w:rsidR="00C05DC8" w:rsidRPr="00F600E5">
        <w:rPr>
          <w:snapToGrid w:val="0"/>
          <w:kern w:val="22"/>
          <w:szCs w:val="22"/>
          <w:lang w:val="es-ES_tradnl"/>
        </w:rPr>
        <w:t>a las Partes, otros Gobiernos y donantes que estén en condiciones de hacerlo, a prestar apoyo financiero para dicha creación de capacidad y apoyo técnico</w:t>
      </w:r>
      <w:r w:rsidR="00084813" w:rsidRPr="00F600E5">
        <w:rPr>
          <w:snapToGrid w:val="0"/>
          <w:kern w:val="22"/>
          <w:szCs w:val="22"/>
          <w:lang w:val="es-ES_tradnl"/>
        </w:rPr>
        <w:t>;</w:t>
      </w:r>
    </w:p>
    <w:p w:rsidR="00C05DC8" w:rsidRPr="00F600E5" w:rsidRDefault="008D23B0" w:rsidP="00C05DC8">
      <w:pPr>
        <w:spacing w:after="120"/>
        <w:ind w:left="709" w:firstLine="709"/>
        <w:rPr>
          <w:snapToGrid w:val="0"/>
          <w:kern w:val="22"/>
          <w:szCs w:val="22"/>
          <w:lang w:val="es-ES_tradnl"/>
        </w:rPr>
      </w:pPr>
      <w:r w:rsidRPr="00F600E5">
        <w:rPr>
          <w:snapToGrid w:val="0"/>
          <w:kern w:val="22"/>
          <w:szCs w:val="22"/>
          <w:lang w:val="es-ES_tradnl"/>
        </w:rPr>
        <w:t>6</w:t>
      </w:r>
      <w:r w:rsidR="00084813" w:rsidRPr="00F600E5">
        <w:rPr>
          <w:snapToGrid w:val="0"/>
          <w:kern w:val="22"/>
          <w:szCs w:val="22"/>
          <w:lang w:val="es-ES_tradnl"/>
        </w:rPr>
        <w:t>.</w:t>
      </w:r>
      <w:r w:rsidR="00084813" w:rsidRPr="00F600E5">
        <w:rPr>
          <w:snapToGrid w:val="0"/>
          <w:kern w:val="22"/>
          <w:szCs w:val="22"/>
          <w:lang w:val="es-ES_tradnl"/>
        </w:rPr>
        <w:tab/>
      </w:r>
      <w:r w:rsidR="00084813" w:rsidRPr="00F600E5">
        <w:rPr>
          <w:i/>
          <w:snapToGrid w:val="0"/>
          <w:kern w:val="22"/>
          <w:szCs w:val="22"/>
          <w:lang w:val="es-ES_tradnl"/>
        </w:rPr>
        <w:t>T</w:t>
      </w:r>
      <w:r w:rsidR="00C05DC8" w:rsidRPr="00F600E5">
        <w:rPr>
          <w:i/>
          <w:snapToGrid w:val="0"/>
          <w:kern w:val="22"/>
          <w:szCs w:val="22"/>
          <w:lang w:val="es-ES_tradnl"/>
        </w:rPr>
        <w:t xml:space="preserve">oma nota </w:t>
      </w:r>
      <w:r w:rsidR="00C05DC8" w:rsidRPr="00F600E5">
        <w:rPr>
          <w:snapToGrid w:val="0"/>
          <w:kern w:val="22"/>
          <w:szCs w:val="22"/>
          <w:lang w:val="es-ES_tradnl"/>
        </w:rPr>
        <w:t>de</w:t>
      </w:r>
      <w:r w:rsidR="00C05DC8" w:rsidRPr="00F600E5">
        <w:rPr>
          <w:i/>
          <w:snapToGrid w:val="0"/>
          <w:kern w:val="22"/>
          <w:szCs w:val="22"/>
          <w:lang w:val="es-ES_tradnl"/>
        </w:rPr>
        <w:t xml:space="preserve"> </w:t>
      </w:r>
      <w:r w:rsidR="00C05DC8" w:rsidRPr="00F600E5">
        <w:rPr>
          <w:snapToGrid w:val="0"/>
          <w:kern w:val="22"/>
          <w:szCs w:val="22"/>
          <w:lang w:val="es-ES_tradnl"/>
        </w:rPr>
        <w:t xml:space="preserve">la labor realizada por el </w:t>
      </w:r>
      <w:r w:rsidR="00C05DC8" w:rsidRPr="00F600E5">
        <w:rPr>
          <w:szCs w:val="18"/>
          <w:shd w:val="clear" w:color="auto" w:fill="FFFFFF"/>
          <w:lang w:val="es-ES_tradnl"/>
        </w:rPr>
        <w:t>Comité de Ayuda al Desarrollo (CAD) de la Organización para la Cooperación y Desarrollo Económicos (OCDE) para perfeccionar la metodología de marcadores de Río,</w:t>
      </w:r>
    </w:p>
    <w:p w:rsidR="00084813" w:rsidRPr="00F600E5" w:rsidRDefault="008D23B0" w:rsidP="004330D2">
      <w:pPr>
        <w:spacing w:after="120"/>
        <w:ind w:left="709"/>
        <w:jc w:val="center"/>
        <w:rPr>
          <w:b/>
          <w:snapToGrid w:val="0"/>
          <w:kern w:val="22"/>
          <w:szCs w:val="22"/>
          <w:lang w:val="es-ES_tradnl"/>
        </w:rPr>
      </w:pPr>
      <w:r w:rsidRPr="00F600E5">
        <w:rPr>
          <w:b/>
          <w:snapToGrid w:val="0"/>
          <w:kern w:val="22"/>
          <w:szCs w:val="22"/>
          <w:lang w:val="es-ES_tradnl"/>
        </w:rPr>
        <w:t xml:space="preserve">C. </w:t>
      </w:r>
      <w:r w:rsidR="006C5FC8" w:rsidRPr="00F600E5">
        <w:rPr>
          <w:b/>
          <w:snapToGrid w:val="0"/>
          <w:kern w:val="22"/>
          <w:szCs w:val="22"/>
          <w:lang w:val="es-ES_tradnl"/>
        </w:rPr>
        <w:t>Hitos para la plena ejecución de la Meta 3 de Aichi para la Diversidad Biológica</w:t>
      </w:r>
    </w:p>
    <w:p w:rsidR="00084813" w:rsidRPr="00F600E5" w:rsidRDefault="008D23B0" w:rsidP="004330D2">
      <w:pPr>
        <w:spacing w:after="120"/>
        <w:ind w:left="709" w:firstLine="709"/>
        <w:rPr>
          <w:snapToGrid w:val="0"/>
          <w:kern w:val="22"/>
          <w:szCs w:val="22"/>
          <w:lang w:val="es-ES_tradnl"/>
        </w:rPr>
      </w:pPr>
      <w:r w:rsidRPr="00F600E5">
        <w:rPr>
          <w:snapToGrid w:val="0"/>
          <w:kern w:val="22"/>
          <w:szCs w:val="22"/>
          <w:lang w:val="es-ES_tradnl"/>
        </w:rPr>
        <w:t>7</w:t>
      </w:r>
      <w:r w:rsidR="00084813" w:rsidRPr="00F600E5">
        <w:rPr>
          <w:snapToGrid w:val="0"/>
          <w:kern w:val="22"/>
          <w:szCs w:val="22"/>
          <w:lang w:val="es-ES_tradnl"/>
        </w:rPr>
        <w:t>.</w:t>
      </w:r>
      <w:r w:rsidR="00084813" w:rsidRPr="00F600E5">
        <w:rPr>
          <w:snapToGrid w:val="0"/>
          <w:kern w:val="22"/>
          <w:szCs w:val="22"/>
          <w:lang w:val="es-ES_tradnl"/>
        </w:rPr>
        <w:tab/>
      </w:r>
      <w:r w:rsidR="00C05DC8" w:rsidRPr="00F600E5">
        <w:rPr>
          <w:i/>
          <w:snapToGrid w:val="0"/>
          <w:kern w:val="22"/>
          <w:szCs w:val="22"/>
          <w:lang w:val="es-ES_tradnl"/>
        </w:rPr>
        <w:t xml:space="preserve">Reconoce </w:t>
      </w:r>
      <w:r w:rsidR="00C05DC8" w:rsidRPr="00F600E5">
        <w:rPr>
          <w:snapToGrid w:val="0"/>
          <w:kern w:val="22"/>
          <w:szCs w:val="22"/>
          <w:lang w:val="es-ES_tradnl"/>
        </w:rPr>
        <w:t xml:space="preserve">la posible contribución de </w:t>
      </w:r>
      <w:r w:rsidR="00712956" w:rsidRPr="00F600E5">
        <w:rPr>
          <w:snapToGrid w:val="0"/>
          <w:kern w:val="22"/>
          <w:szCs w:val="22"/>
          <w:lang w:val="es-ES_tradnl"/>
        </w:rPr>
        <w:t>alcanzar la</w:t>
      </w:r>
      <w:r w:rsidR="00C05DC8" w:rsidRPr="00F600E5">
        <w:rPr>
          <w:snapToGrid w:val="0"/>
          <w:kern w:val="22"/>
          <w:szCs w:val="22"/>
          <w:lang w:val="es-ES_tradnl"/>
        </w:rPr>
        <w:t xml:space="preserve"> Meta 3</w:t>
      </w:r>
      <w:r w:rsidR="00C05DC8" w:rsidRPr="00F600E5">
        <w:rPr>
          <w:i/>
          <w:snapToGrid w:val="0"/>
          <w:kern w:val="22"/>
          <w:szCs w:val="22"/>
          <w:lang w:val="es-ES_tradnl"/>
        </w:rPr>
        <w:t xml:space="preserve"> </w:t>
      </w:r>
      <w:r w:rsidR="000E552C" w:rsidRPr="00F600E5">
        <w:rPr>
          <w:snapToGrid w:val="0"/>
          <w:kern w:val="22"/>
          <w:szCs w:val="22"/>
          <w:lang w:val="es-ES_tradnl"/>
        </w:rPr>
        <w:t>de Aichi para la Diversidad Biológica</w:t>
      </w:r>
      <w:r w:rsidR="00084813" w:rsidRPr="00F600E5">
        <w:rPr>
          <w:snapToGrid w:val="0"/>
          <w:kern w:val="22"/>
          <w:szCs w:val="22"/>
          <w:lang w:val="es-ES_tradnl"/>
        </w:rPr>
        <w:t xml:space="preserve"> </w:t>
      </w:r>
      <w:r w:rsidR="00C05DC8" w:rsidRPr="00F600E5">
        <w:rPr>
          <w:snapToGrid w:val="0"/>
          <w:kern w:val="22"/>
          <w:szCs w:val="22"/>
          <w:lang w:val="es-ES_tradnl"/>
        </w:rPr>
        <w:t>para la movilización de los recursos financieros</w:t>
      </w:r>
      <w:r w:rsidR="00084813" w:rsidRPr="00F600E5">
        <w:rPr>
          <w:snapToGrid w:val="0"/>
          <w:kern w:val="22"/>
          <w:szCs w:val="22"/>
          <w:lang w:val="es-ES_tradnl"/>
        </w:rPr>
        <w:t>;</w:t>
      </w:r>
    </w:p>
    <w:p w:rsidR="00084813" w:rsidRPr="00F600E5" w:rsidRDefault="008D23B0" w:rsidP="004330D2">
      <w:pPr>
        <w:spacing w:after="120"/>
        <w:ind w:left="709" w:firstLine="709"/>
        <w:rPr>
          <w:snapToGrid w:val="0"/>
          <w:kern w:val="22"/>
          <w:szCs w:val="22"/>
          <w:lang w:val="es-ES_tradnl"/>
        </w:rPr>
      </w:pPr>
      <w:r w:rsidRPr="00F600E5">
        <w:rPr>
          <w:snapToGrid w:val="0"/>
          <w:kern w:val="22"/>
          <w:szCs w:val="22"/>
          <w:lang w:val="es-ES_tradnl"/>
        </w:rPr>
        <w:t>8</w:t>
      </w:r>
      <w:r w:rsidR="00084813" w:rsidRPr="00F600E5">
        <w:rPr>
          <w:snapToGrid w:val="0"/>
          <w:kern w:val="22"/>
          <w:szCs w:val="22"/>
          <w:lang w:val="es-ES_tradnl"/>
        </w:rPr>
        <w:t>.</w:t>
      </w:r>
      <w:r w:rsidR="00084813" w:rsidRPr="00F600E5">
        <w:rPr>
          <w:snapToGrid w:val="0"/>
          <w:kern w:val="22"/>
          <w:szCs w:val="22"/>
          <w:lang w:val="es-ES_tradnl"/>
        </w:rPr>
        <w:tab/>
      </w:r>
      <w:r w:rsidR="00712956" w:rsidRPr="00F600E5">
        <w:rPr>
          <w:i/>
          <w:snapToGrid w:val="0"/>
          <w:kern w:val="22"/>
          <w:szCs w:val="22"/>
          <w:lang w:val="es-ES_tradnl"/>
        </w:rPr>
        <w:t xml:space="preserve">Observa con preocupación </w:t>
      </w:r>
      <w:r w:rsidR="00712956" w:rsidRPr="00F600E5">
        <w:rPr>
          <w:snapToGrid w:val="0"/>
          <w:kern w:val="22"/>
          <w:szCs w:val="22"/>
          <w:lang w:val="es-ES_tradnl"/>
        </w:rPr>
        <w:t xml:space="preserve">los pocos adelantos en el logro de la Meta 3 </w:t>
      </w:r>
      <w:r w:rsidR="000E552C" w:rsidRPr="00F600E5">
        <w:rPr>
          <w:snapToGrid w:val="0"/>
          <w:kern w:val="22"/>
          <w:szCs w:val="22"/>
          <w:lang w:val="es-ES_tradnl"/>
        </w:rPr>
        <w:t>de Aichi para la Diversidad Biológica</w:t>
      </w:r>
      <w:r w:rsidR="00084813" w:rsidRPr="00F600E5">
        <w:rPr>
          <w:snapToGrid w:val="0"/>
          <w:kern w:val="22"/>
          <w:szCs w:val="22"/>
          <w:lang w:val="es-ES_tradnl"/>
        </w:rPr>
        <w:t xml:space="preserve"> </w:t>
      </w:r>
      <w:r w:rsidR="00712956" w:rsidRPr="00F600E5">
        <w:rPr>
          <w:snapToGrid w:val="0"/>
          <w:kern w:val="22"/>
          <w:szCs w:val="22"/>
          <w:lang w:val="es-ES_tradnl"/>
        </w:rPr>
        <w:t xml:space="preserve">y los hitos para su cumplimiento, en particular en lo que concierne a la eliminación, eliminación gradual o reforma de incentivos, incluidos los subsidios, </w:t>
      </w:r>
      <w:r w:rsidRPr="00F600E5">
        <w:rPr>
          <w:snapToGrid w:val="0"/>
          <w:kern w:val="22"/>
          <w:szCs w:val="22"/>
          <w:lang w:val="es-ES_tradnl"/>
        </w:rPr>
        <w:t xml:space="preserve">que son </w:t>
      </w:r>
      <w:r w:rsidR="00712956" w:rsidRPr="00F600E5">
        <w:rPr>
          <w:snapToGrid w:val="0"/>
          <w:kern w:val="22"/>
          <w:szCs w:val="22"/>
          <w:lang w:val="es-ES_tradnl"/>
        </w:rPr>
        <w:t>perjudiciales para la diversidad biológica</w:t>
      </w:r>
      <w:r w:rsidR="00084813" w:rsidRPr="00F600E5">
        <w:rPr>
          <w:snapToGrid w:val="0"/>
          <w:kern w:val="22"/>
          <w:szCs w:val="22"/>
          <w:lang w:val="es-ES_tradnl"/>
        </w:rPr>
        <w:t>,</w:t>
      </w:r>
      <w:r w:rsidR="00712956" w:rsidRPr="00F600E5">
        <w:rPr>
          <w:snapToGrid w:val="0"/>
          <w:kern w:val="22"/>
          <w:szCs w:val="22"/>
          <w:lang w:val="es-ES_tradnl"/>
        </w:rPr>
        <w:t xml:space="preserve"> en consonancia y en armonía con el Convenio y otras obligaciones internacionales pertinentes, teniendo en cuenta las condiciones soci</w:t>
      </w:r>
      <w:r w:rsidR="001201F9" w:rsidRPr="00F600E5">
        <w:rPr>
          <w:snapToGrid w:val="0"/>
          <w:kern w:val="22"/>
          <w:szCs w:val="22"/>
          <w:lang w:val="es-ES_tradnl"/>
        </w:rPr>
        <w:t>oe</w:t>
      </w:r>
      <w:r w:rsidR="00712956" w:rsidRPr="00F600E5">
        <w:rPr>
          <w:snapToGrid w:val="0"/>
          <w:kern w:val="22"/>
          <w:szCs w:val="22"/>
          <w:lang w:val="es-ES_tradnl"/>
        </w:rPr>
        <w:t>conómicas nacionales</w:t>
      </w:r>
      <w:r w:rsidR="00084813" w:rsidRPr="00F600E5">
        <w:rPr>
          <w:snapToGrid w:val="0"/>
          <w:kern w:val="22"/>
          <w:szCs w:val="22"/>
          <w:lang w:val="es-ES_tradnl"/>
        </w:rPr>
        <w:t>;</w:t>
      </w:r>
    </w:p>
    <w:p w:rsidR="00084813" w:rsidRPr="00F600E5" w:rsidRDefault="008D23B0" w:rsidP="004330D2">
      <w:pPr>
        <w:spacing w:after="120"/>
        <w:ind w:left="709" w:firstLine="709"/>
        <w:rPr>
          <w:snapToGrid w:val="0"/>
          <w:kern w:val="22"/>
          <w:szCs w:val="22"/>
          <w:lang w:val="es-ES_tradnl"/>
        </w:rPr>
      </w:pPr>
      <w:r w:rsidRPr="00F600E5">
        <w:rPr>
          <w:snapToGrid w:val="0"/>
          <w:kern w:val="22"/>
          <w:szCs w:val="22"/>
          <w:lang w:val="es-ES_tradnl"/>
        </w:rPr>
        <w:t>9</w:t>
      </w:r>
      <w:r w:rsidR="00084813" w:rsidRPr="00F600E5">
        <w:rPr>
          <w:snapToGrid w:val="0"/>
          <w:kern w:val="22"/>
          <w:szCs w:val="22"/>
          <w:lang w:val="es-ES_tradnl"/>
        </w:rPr>
        <w:t>.</w:t>
      </w:r>
      <w:r w:rsidR="00084813" w:rsidRPr="00F600E5">
        <w:rPr>
          <w:snapToGrid w:val="0"/>
          <w:kern w:val="22"/>
          <w:szCs w:val="22"/>
          <w:lang w:val="es-ES_tradnl"/>
        </w:rPr>
        <w:tab/>
      </w:r>
      <w:r w:rsidR="00712956" w:rsidRPr="00F600E5">
        <w:rPr>
          <w:i/>
          <w:snapToGrid w:val="0"/>
          <w:kern w:val="22"/>
          <w:szCs w:val="22"/>
          <w:lang w:val="es-ES_tradnl"/>
        </w:rPr>
        <w:t>Insta</w:t>
      </w:r>
      <w:r w:rsidR="00712956" w:rsidRPr="00F600E5">
        <w:rPr>
          <w:snapToGrid w:val="0"/>
          <w:kern w:val="22"/>
          <w:szCs w:val="22"/>
          <w:lang w:val="es-ES_tradnl"/>
        </w:rPr>
        <w:t xml:space="preserve"> a las Partes y otros a intensificar sus esfuerzos</w:t>
      </w:r>
      <w:r w:rsidR="00712956" w:rsidRPr="00F600E5">
        <w:rPr>
          <w:i/>
          <w:snapToGrid w:val="0"/>
          <w:kern w:val="22"/>
          <w:szCs w:val="22"/>
          <w:lang w:val="es-ES_tradnl"/>
        </w:rPr>
        <w:t xml:space="preserve"> </w:t>
      </w:r>
      <w:r w:rsidR="00712956" w:rsidRPr="00F600E5">
        <w:rPr>
          <w:snapToGrid w:val="0"/>
          <w:kern w:val="22"/>
          <w:szCs w:val="22"/>
          <w:lang w:val="es-ES_tradnl"/>
        </w:rPr>
        <w:t xml:space="preserve">para aplicar medidas para el pleno cumplimiento de la Meta 3 de </w:t>
      </w:r>
      <w:r w:rsidR="000E552C" w:rsidRPr="00F600E5">
        <w:rPr>
          <w:snapToGrid w:val="0"/>
          <w:kern w:val="22"/>
          <w:szCs w:val="22"/>
          <w:lang w:val="es-ES_tradnl"/>
        </w:rPr>
        <w:t>Aichi para la Diversidad Biológica</w:t>
      </w:r>
      <w:r w:rsidR="00084813" w:rsidRPr="00F600E5">
        <w:rPr>
          <w:snapToGrid w:val="0"/>
          <w:kern w:val="22"/>
          <w:szCs w:val="22"/>
          <w:lang w:val="es-ES_tradnl"/>
        </w:rPr>
        <w:t xml:space="preserve">, </w:t>
      </w:r>
      <w:r w:rsidR="00712956" w:rsidRPr="00F600E5">
        <w:rPr>
          <w:snapToGrid w:val="0"/>
          <w:kern w:val="22"/>
          <w:szCs w:val="22"/>
          <w:lang w:val="es-ES_tradnl"/>
        </w:rPr>
        <w:t>teniendo en cuenta, como marco flexible, los hitos adoptados por la</w:t>
      </w:r>
      <w:r w:rsidR="006C5FC8" w:rsidRPr="00F600E5">
        <w:rPr>
          <w:snapToGrid w:val="0"/>
          <w:kern w:val="22"/>
          <w:szCs w:val="22"/>
          <w:lang w:val="es-ES_tradnl"/>
        </w:rPr>
        <w:t xml:space="preserve"> Conferencia de las Partes</w:t>
      </w:r>
      <w:r w:rsidR="00084813" w:rsidRPr="00F600E5">
        <w:rPr>
          <w:snapToGrid w:val="0"/>
          <w:kern w:val="22"/>
          <w:szCs w:val="22"/>
          <w:lang w:val="es-ES_tradnl"/>
        </w:rPr>
        <w:t xml:space="preserve"> </w:t>
      </w:r>
      <w:r w:rsidR="00712956" w:rsidRPr="00F600E5">
        <w:rPr>
          <w:snapToGrid w:val="0"/>
          <w:kern w:val="22"/>
          <w:szCs w:val="22"/>
          <w:lang w:val="es-ES_tradnl"/>
        </w:rPr>
        <w:t>en su duodécima reunión</w:t>
      </w:r>
      <w:r w:rsidR="0029046F" w:rsidRPr="00F600E5">
        <w:rPr>
          <w:rStyle w:val="FootnoteReference"/>
          <w:snapToGrid w:val="0"/>
          <w:kern w:val="22"/>
          <w:szCs w:val="22"/>
          <w:lang w:val="es-ES_tradnl"/>
        </w:rPr>
        <w:footnoteReference w:id="40"/>
      </w:r>
      <w:r w:rsidR="00084813" w:rsidRPr="00F600E5">
        <w:rPr>
          <w:snapToGrid w:val="0"/>
          <w:kern w:val="22"/>
          <w:szCs w:val="22"/>
          <w:lang w:val="es-ES_tradnl"/>
        </w:rPr>
        <w:t>,</w:t>
      </w:r>
      <w:r w:rsidR="00712956" w:rsidRPr="00F600E5">
        <w:rPr>
          <w:snapToGrid w:val="0"/>
          <w:kern w:val="22"/>
          <w:szCs w:val="22"/>
          <w:lang w:val="es-ES_tradnl"/>
        </w:rPr>
        <w:t xml:space="preserve"> en consonancia y en armonía con el Convenio y otras obligaciones internacionales pertinentes, teniendo</w:t>
      </w:r>
      <w:r w:rsidR="001201F9" w:rsidRPr="00F600E5">
        <w:rPr>
          <w:snapToGrid w:val="0"/>
          <w:kern w:val="22"/>
          <w:szCs w:val="22"/>
          <w:lang w:val="es-ES_tradnl"/>
        </w:rPr>
        <w:t xml:space="preserve"> en cuenta las condiciones socioe</w:t>
      </w:r>
      <w:r w:rsidR="00712956" w:rsidRPr="00F600E5">
        <w:rPr>
          <w:snapToGrid w:val="0"/>
          <w:kern w:val="22"/>
          <w:szCs w:val="22"/>
          <w:lang w:val="es-ES_tradnl"/>
        </w:rPr>
        <w:t>conómicas nacionales</w:t>
      </w:r>
      <w:r w:rsidR="00084813" w:rsidRPr="00F600E5">
        <w:rPr>
          <w:snapToGrid w:val="0"/>
          <w:kern w:val="22"/>
          <w:szCs w:val="22"/>
          <w:lang w:val="es-ES_tradnl"/>
        </w:rPr>
        <w:t>;</w:t>
      </w:r>
    </w:p>
    <w:p w:rsidR="00084813" w:rsidRPr="00F600E5" w:rsidRDefault="00084813" w:rsidP="004330D2">
      <w:pPr>
        <w:spacing w:after="120"/>
        <w:ind w:left="709" w:firstLine="709"/>
        <w:rPr>
          <w:snapToGrid w:val="0"/>
          <w:kern w:val="22"/>
          <w:szCs w:val="22"/>
          <w:lang w:val="es-ES_tradnl"/>
        </w:rPr>
      </w:pPr>
      <w:r w:rsidRPr="00F600E5">
        <w:rPr>
          <w:snapToGrid w:val="0"/>
          <w:kern w:val="22"/>
          <w:szCs w:val="22"/>
          <w:lang w:val="es-ES_tradnl"/>
        </w:rPr>
        <w:t>1</w:t>
      </w:r>
      <w:r w:rsidR="008D23B0" w:rsidRPr="00F600E5">
        <w:rPr>
          <w:snapToGrid w:val="0"/>
          <w:kern w:val="22"/>
          <w:szCs w:val="22"/>
          <w:lang w:val="es-ES_tradnl"/>
        </w:rPr>
        <w:t>0</w:t>
      </w:r>
      <w:r w:rsidRPr="00F600E5">
        <w:rPr>
          <w:snapToGrid w:val="0"/>
          <w:kern w:val="22"/>
          <w:szCs w:val="22"/>
          <w:lang w:val="es-ES_tradnl"/>
        </w:rPr>
        <w:t>.</w:t>
      </w:r>
      <w:r w:rsidRPr="00F600E5">
        <w:rPr>
          <w:snapToGrid w:val="0"/>
          <w:kern w:val="22"/>
          <w:szCs w:val="22"/>
          <w:lang w:val="es-ES_tradnl"/>
        </w:rPr>
        <w:tab/>
      </w:r>
      <w:r w:rsidR="00712956" w:rsidRPr="00F600E5">
        <w:rPr>
          <w:i/>
          <w:snapToGrid w:val="0"/>
          <w:kern w:val="22"/>
          <w:szCs w:val="22"/>
          <w:lang w:val="es-ES_tradnl"/>
        </w:rPr>
        <w:t>Acoge con satisfacción</w:t>
      </w:r>
      <w:r w:rsidR="00712956" w:rsidRPr="00F600E5">
        <w:rPr>
          <w:snapToGrid w:val="0"/>
          <w:kern w:val="22"/>
          <w:szCs w:val="22"/>
          <w:lang w:val="es-ES_tradnl"/>
        </w:rPr>
        <w:t xml:space="preserve"> la labor de organizaciones e iniciativas competentes</w:t>
      </w:r>
      <w:r w:rsidRPr="00F600E5">
        <w:rPr>
          <w:snapToGrid w:val="0"/>
          <w:kern w:val="22"/>
          <w:szCs w:val="22"/>
          <w:lang w:val="es-ES_tradnl"/>
        </w:rPr>
        <w:t xml:space="preserve">, </w:t>
      </w:r>
      <w:r w:rsidR="00712956" w:rsidRPr="00F600E5">
        <w:rPr>
          <w:snapToGrid w:val="0"/>
          <w:kern w:val="22"/>
          <w:szCs w:val="22"/>
          <w:lang w:val="es-ES_tradnl"/>
        </w:rPr>
        <w:t>incluida la Iniciativa para la Financiación de la Biodiversidad del Programa de las Naciones Unidas para el Desarrollo</w:t>
      </w:r>
      <w:r w:rsidRPr="00F600E5">
        <w:rPr>
          <w:snapToGrid w:val="0"/>
          <w:kern w:val="22"/>
          <w:szCs w:val="22"/>
          <w:lang w:val="es-ES_tradnl"/>
        </w:rPr>
        <w:t xml:space="preserve">, </w:t>
      </w:r>
      <w:r w:rsidR="00712956" w:rsidRPr="00F600E5">
        <w:rPr>
          <w:snapToGrid w:val="0"/>
          <w:kern w:val="22"/>
          <w:szCs w:val="22"/>
          <w:lang w:val="es-ES_tradnl"/>
        </w:rPr>
        <w:t xml:space="preserve">el Programa de las Naciones Unidas para el Medio Ambiente, la </w:t>
      </w:r>
      <w:r w:rsidR="00712956" w:rsidRPr="00F600E5">
        <w:rPr>
          <w:szCs w:val="18"/>
          <w:shd w:val="clear" w:color="auto" w:fill="FFFFFF"/>
          <w:lang w:val="es-ES_tradnl"/>
        </w:rPr>
        <w:t>Organización para la Cooperación y Desarrollo Económicos</w:t>
      </w:r>
      <w:r w:rsidRPr="00F600E5">
        <w:rPr>
          <w:snapToGrid w:val="0"/>
          <w:kern w:val="22"/>
          <w:szCs w:val="22"/>
          <w:lang w:val="es-ES_tradnl"/>
        </w:rPr>
        <w:t xml:space="preserve">, </w:t>
      </w:r>
      <w:r w:rsidR="005A4BA5" w:rsidRPr="00F600E5">
        <w:rPr>
          <w:snapToGrid w:val="0"/>
          <w:kern w:val="22"/>
          <w:szCs w:val="22"/>
          <w:lang w:val="es-ES_tradnl"/>
        </w:rPr>
        <w:t xml:space="preserve">el Instituto Internacional para el </w:t>
      </w:r>
      <w:r w:rsidR="005A4BA5" w:rsidRPr="00F600E5">
        <w:rPr>
          <w:snapToGrid w:val="0"/>
          <w:kern w:val="22"/>
          <w:szCs w:val="22"/>
          <w:lang w:val="es-ES_tradnl"/>
        </w:rPr>
        <w:lastRenderedPageBreak/>
        <w:t>Desarrollo Sostenible</w:t>
      </w:r>
      <w:r w:rsidRPr="00F600E5">
        <w:rPr>
          <w:snapToGrid w:val="0"/>
          <w:kern w:val="22"/>
          <w:szCs w:val="22"/>
          <w:lang w:val="es-ES_tradnl"/>
        </w:rPr>
        <w:t xml:space="preserve">, </w:t>
      </w:r>
      <w:r w:rsidR="00712956" w:rsidRPr="00F600E5">
        <w:rPr>
          <w:snapToGrid w:val="0"/>
          <w:kern w:val="22"/>
          <w:szCs w:val="22"/>
          <w:lang w:val="es-ES_tradnl"/>
        </w:rPr>
        <w:t>y otros asociados</w:t>
      </w:r>
      <w:r w:rsidRPr="00F600E5">
        <w:rPr>
          <w:snapToGrid w:val="0"/>
          <w:kern w:val="22"/>
          <w:szCs w:val="22"/>
          <w:lang w:val="es-ES_tradnl"/>
        </w:rPr>
        <w:t xml:space="preserve">, </w:t>
      </w:r>
      <w:r w:rsidR="005A4BA5" w:rsidRPr="00F600E5">
        <w:rPr>
          <w:snapToGrid w:val="0"/>
          <w:kern w:val="22"/>
          <w:szCs w:val="22"/>
          <w:lang w:val="es-ES_tradnl"/>
        </w:rPr>
        <w:t xml:space="preserve">para prestar apoyo analítico y técnico y creación de capacidad al logro de la Meta 3 </w:t>
      </w:r>
      <w:r w:rsidR="000E552C" w:rsidRPr="00F600E5">
        <w:rPr>
          <w:snapToGrid w:val="0"/>
          <w:kern w:val="22"/>
          <w:szCs w:val="22"/>
          <w:lang w:val="es-ES_tradnl"/>
        </w:rPr>
        <w:t>de Aichi para la Diversidad Biológica</w:t>
      </w:r>
      <w:r w:rsidRPr="00F600E5">
        <w:rPr>
          <w:snapToGrid w:val="0"/>
          <w:kern w:val="22"/>
          <w:szCs w:val="22"/>
          <w:lang w:val="es-ES_tradnl"/>
        </w:rPr>
        <w:t xml:space="preserve">, </w:t>
      </w:r>
      <w:r w:rsidR="005A4BA5" w:rsidRPr="00F600E5">
        <w:rPr>
          <w:snapToGrid w:val="0"/>
          <w:kern w:val="22"/>
          <w:szCs w:val="22"/>
          <w:lang w:val="es-ES_tradnl"/>
        </w:rPr>
        <w:t>y los invita a continuar e intensificar dicha labor</w:t>
      </w:r>
      <w:r w:rsidRPr="00F600E5">
        <w:rPr>
          <w:snapToGrid w:val="0"/>
          <w:kern w:val="22"/>
          <w:szCs w:val="22"/>
          <w:lang w:val="es-ES_tradnl"/>
        </w:rPr>
        <w:t>;</w:t>
      </w:r>
    </w:p>
    <w:p w:rsidR="00084813" w:rsidRPr="00F600E5" w:rsidRDefault="00084813" w:rsidP="004330D2">
      <w:pPr>
        <w:spacing w:after="120"/>
        <w:ind w:left="709" w:firstLine="709"/>
        <w:rPr>
          <w:snapToGrid w:val="0"/>
          <w:kern w:val="22"/>
          <w:szCs w:val="22"/>
          <w:lang w:val="es-ES_tradnl"/>
        </w:rPr>
      </w:pPr>
      <w:r w:rsidRPr="00F600E5">
        <w:rPr>
          <w:snapToGrid w:val="0"/>
          <w:kern w:val="22"/>
          <w:szCs w:val="22"/>
          <w:lang w:val="es-ES_tradnl"/>
        </w:rPr>
        <w:t>1</w:t>
      </w:r>
      <w:r w:rsidR="008D23B0" w:rsidRPr="00F600E5">
        <w:rPr>
          <w:snapToGrid w:val="0"/>
          <w:kern w:val="22"/>
          <w:szCs w:val="22"/>
          <w:lang w:val="es-ES_tradnl"/>
        </w:rPr>
        <w:t>1</w:t>
      </w:r>
      <w:r w:rsidRPr="00F600E5">
        <w:rPr>
          <w:snapToGrid w:val="0"/>
          <w:kern w:val="22"/>
          <w:szCs w:val="22"/>
          <w:lang w:val="es-ES_tradnl"/>
        </w:rPr>
        <w:t>.</w:t>
      </w:r>
      <w:r w:rsidRPr="00F600E5">
        <w:rPr>
          <w:snapToGrid w:val="0"/>
          <w:kern w:val="22"/>
          <w:szCs w:val="22"/>
          <w:lang w:val="es-ES_tradnl"/>
        </w:rPr>
        <w:tab/>
      </w:r>
      <w:r w:rsidR="005A4BA5" w:rsidRPr="00F600E5">
        <w:rPr>
          <w:i/>
          <w:snapToGrid w:val="0"/>
          <w:kern w:val="22"/>
          <w:szCs w:val="22"/>
          <w:lang w:val="es-ES_tradnl"/>
        </w:rPr>
        <w:t>Toma nota</w:t>
      </w:r>
      <w:r w:rsidR="005A4BA5" w:rsidRPr="00F600E5">
        <w:rPr>
          <w:snapToGrid w:val="0"/>
          <w:kern w:val="22"/>
          <w:szCs w:val="22"/>
          <w:lang w:val="es-ES_tradnl"/>
        </w:rPr>
        <w:t xml:space="preserve"> del valioso papel de los estudios nacionales para identificar incentivos perjudiciales y oportunidades para eliminar o reformar dichos incentivos perjudiciales</w:t>
      </w:r>
      <w:r w:rsidRPr="00F600E5">
        <w:rPr>
          <w:snapToGrid w:val="0"/>
          <w:kern w:val="22"/>
          <w:szCs w:val="22"/>
          <w:lang w:val="es-ES_tradnl"/>
        </w:rPr>
        <w:t xml:space="preserve">, </w:t>
      </w:r>
      <w:r w:rsidR="005A4BA5" w:rsidRPr="00F600E5">
        <w:rPr>
          <w:snapToGrid w:val="0"/>
          <w:kern w:val="22"/>
          <w:szCs w:val="22"/>
          <w:lang w:val="es-ES_tradnl"/>
        </w:rPr>
        <w:t>incluidos los subsidios</w:t>
      </w:r>
      <w:r w:rsidRPr="00F600E5">
        <w:rPr>
          <w:snapToGrid w:val="0"/>
          <w:kern w:val="22"/>
          <w:szCs w:val="22"/>
          <w:lang w:val="es-ES_tradnl"/>
        </w:rPr>
        <w:t xml:space="preserve">, </w:t>
      </w:r>
      <w:r w:rsidR="005A4BA5" w:rsidRPr="00F600E5">
        <w:rPr>
          <w:snapToGrid w:val="0"/>
          <w:kern w:val="22"/>
          <w:szCs w:val="22"/>
          <w:lang w:val="es-ES_tradnl"/>
        </w:rPr>
        <w:t xml:space="preserve">y en determinar el alcance e identificar </w:t>
      </w:r>
      <w:r w:rsidR="00FA28A3" w:rsidRPr="00F600E5">
        <w:rPr>
          <w:snapToGrid w:val="0"/>
          <w:kern w:val="22"/>
          <w:szCs w:val="22"/>
          <w:lang w:val="es-ES_tradnl"/>
        </w:rPr>
        <w:t>las medidas normativas más eficaces</w:t>
      </w:r>
      <w:r w:rsidRPr="00F600E5">
        <w:rPr>
          <w:snapToGrid w:val="0"/>
          <w:kern w:val="22"/>
          <w:szCs w:val="22"/>
          <w:lang w:val="es-ES_tradnl"/>
        </w:rPr>
        <w:t xml:space="preserve">, </w:t>
      </w:r>
      <w:r w:rsidR="00FA28A3" w:rsidRPr="00F600E5">
        <w:rPr>
          <w:snapToGrid w:val="0"/>
          <w:kern w:val="22"/>
          <w:szCs w:val="22"/>
          <w:lang w:val="es-ES_tradnl"/>
        </w:rPr>
        <w:t>tales como las organizaciones e iniciativas mencionadas en el párrafo anterior, para considerar la posibilidad de emprender una recopilación y un análisis sistemático de los estudios existentes, con objeto de determinar los métodos de buenas prácticas para identificar los incentivos perjudiciales y elaborar las respuestas normativas adecuadas, y elaborar una norma o modelo par</w:t>
      </w:r>
      <w:r w:rsidR="0001430B" w:rsidRPr="00F600E5">
        <w:rPr>
          <w:snapToGrid w:val="0"/>
          <w:kern w:val="22"/>
          <w:szCs w:val="22"/>
          <w:lang w:val="es-ES_tradnl"/>
        </w:rPr>
        <w:t>a dichas normas como orientaciones</w:t>
      </w:r>
      <w:r w:rsidR="00FA28A3" w:rsidRPr="00F600E5">
        <w:rPr>
          <w:snapToGrid w:val="0"/>
          <w:kern w:val="22"/>
          <w:szCs w:val="22"/>
          <w:lang w:val="es-ES_tradnl"/>
        </w:rPr>
        <w:t xml:space="preserve"> voluntaria</w:t>
      </w:r>
      <w:r w:rsidR="0001430B" w:rsidRPr="00F600E5">
        <w:rPr>
          <w:snapToGrid w:val="0"/>
          <w:kern w:val="22"/>
          <w:szCs w:val="22"/>
          <w:lang w:val="es-ES_tradnl"/>
        </w:rPr>
        <w:t>s</w:t>
      </w:r>
      <w:r w:rsidRPr="00F600E5">
        <w:rPr>
          <w:snapToGrid w:val="0"/>
          <w:kern w:val="22"/>
          <w:szCs w:val="22"/>
          <w:lang w:val="es-ES_tradnl"/>
        </w:rPr>
        <w:t>;</w:t>
      </w:r>
    </w:p>
    <w:p w:rsidR="00084813" w:rsidRPr="00F600E5" w:rsidRDefault="00084813" w:rsidP="004330D2">
      <w:pPr>
        <w:spacing w:after="120"/>
        <w:ind w:left="709" w:firstLine="709"/>
        <w:rPr>
          <w:snapToGrid w:val="0"/>
          <w:kern w:val="22"/>
          <w:szCs w:val="22"/>
          <w:lang w:val="es-ES_tradnl"/>
        </w:rPr>
      </w:pPr>
      <w:r w:rsidRPr="00F600E5">
        <w:rPr>
          <w:snapToGrid w:val="0"/>
          <w:kern w:val="22"/>
          <w:szCs w:val="22"/>
          <w:lang w:val="es-ES_tradnl"/>
        </w:rPr>
        <w:t>1</w:t>
      </w:r>
      <w:r w:rsidR="008D23B0" w:rsidRPr="00F600E5">
        <w:rPr>
          <w:snapToGrid w:val="0"/>
          <w:kern w:val="22"/>
          <w:szCs w:val="22"/>
          <w:lang w:val="es-ES_tradnl"/>
        </w:rPr>
        <w:t>2</w:t>
      </w:r>
      <w:r w:rsidRPr="00F600E5">
        <w:rPr>
          <w:snapToGrid w:val="0"/>
          <w:kern w:val="22"/>
          <w:szCs w:val="22"/>
          <w:lang w:val="es-ES_tradnl"/>
        </w:rPr>
        <w:t>.</w:t>
      </w:r>
      <w:r w:rsidRPr="00F600E5">
        <w:rPr>
          <w:snapToGrid w:val="0"/>
          <w:kern w:val="22"/>
          <w:szCs w:val="22"/>
          <w:lang w:val="es-ES_tradnl"/>
        </w:rPr>
        <w:tab/>
      </w:r>
      <w:r w:rsidR="00FA28A3" w:rsidRPr="00F600E5">
        <w:rPr>
          <w:i/>
          <w:snapToGrid w:val="0"/>
          <w:kern w:val="22"/>
          <w:szCs w:val="22"/>
          <w:lang w:val="es-ES_tradnl"/>
        </w:rPr>
        <w:t>Pide</w:t>
      </w:r>
      <w:r w:rsidR="00FA28A3" w:rsidRPr="00F600E5">
        <w:rPr>
          <w:snapToGrid w:val="0"/>
          <w:kern w:val="22"/>
          <w:szCs w:val="22"/>
          <w:lang w:val="es-ES_tradnl"/>
        </w:rPr>
        <w:t xml:space="preserve"> al </w:t>
      </w:r>
      <w:r w:rsidR="00184CA8" w:rsidRPr="00F600E5">
        <w:rPr>
          <w:snapToGrid w:val="0"/>
          <w:kern w:val="22"/>
          <w:szCs w:val="22"/>
          <w:lang w:val="es-ES_tradnl"/>
        </w:rPr>
        <w:t>Secretario Ejecutivo</w:t>
      </w:r>
      <w:r w:rsidR="00FA28A3" w:rsidRPr="00F600E5">
        <w:rPr>
          <w:snapToGrid w:val="0"/>
          <w:kern w:val="22"/>
          <w:szCs w:val="22"/>
          <w:lang w:val="es-ES_tradnl"/>
        </w:rPr>
        <w:t xml:space="preserve"> que, con sujeción a la disponibilidad de recursos, apoye y facilite la labor </w:t>
      </w:r>
      <w:r w:rsidR="0001430B" w:rsidRPr="00F600E5">
        <w:rPr>
          <w:snapToGrid w:val="0"/>
          <w:kern w:val="22"/>
          <w:szCs w:val="22"/>
          <w:lang w:val="es-ES_tradnl"/>
        </w:rPr>
        <w:t xml:space="preserve">a que se refieren </w:t>
      </w:r>
      <w:r w:rsidR="00FA28A3" w:rsidRPr="00F600E5">
        <w:rPr>
          <w:snapToGrid w:val="0"/>
          <w:kern w:val="22"/>
          <w:szCs w:val="22"/>
          <w:lang w:val="es-ES_tradnl"/>
        </w:rPr>
        <w:t xml:space="preserve">los </w:t>
      </w:r>
      <w:r w:rsidR="007E392F" w:rsidRPr="00F600E5">
        <w:rPr>
          <w:snapToGrid w:val="0"/>
          <w:kern w:val="22"/>
          <w:szCs w:val="22"/>
          <w:lang w:val="es-ES_tradnl"/>
        </w:rPr>
        <w:t>párrafos</w:t>
      </w:r>
      <w:r w:rsidRPr="00F600E5">
        <w:rPr>
          <w:snapToGrid w:val="0"/>
          <w:kern w:val="22"/>
          <w:szCs w:val="22"/>
          <w:lang w:val="es-ES_tradnl"/>
        </w:rPr>
        <w:t xml:space="preserve"> </w:t>
      </w:r>
      <w:r w:rsidR="0001430B" w:rsidRPr="00F600E5">
        <w:rPr>
          <w:snapToGrid w:val="0"/>
          <w:kern w:val="22"/>
          <w:szCs w:val="22"/>
          <w:lang w:val="es-ES_tradnl"/>
        </w:rPr>
        <w:t>4</w:t>
      </w:r>
      <w:r w:rsidRPr="00F600E5">
        <w:rPr>
          <w:snapToGrid w:val="0"/>
          <w:kern w:val="22"/>
          <w:szCs w:val="22"/>
          <w:lang w:val="es-ES_tradnl"/>
        </w:rPr>
        <w:t>, 1</w:t>
      </w:r>
      <w:r w:rsidR="0001430B" w:rsidRPr="00F600E5">
        <w:rPr>
          <w:snapToGrid w:val="0"/>
          <w:kern w:val="22"/>
          <w:szCs w:val="22"/>
          <w:lang w:val="es-ES_tradnl"/>
        </w:rPr>
        <w:t>0</w:t>
      </w:r>
      <w:r w:rsidRPr="00F600E5">
        <w:rPr>
          <w:snapToGrid w:val="0"/>
          <w:kern w:val="22"/>
          <w:szCs w:val="22"/>
          <w:lang w:val="es-ES_tradnl"/>
        </w:rPr>
        <w:t xml:space="preserve"> </w:t>
      </w:r>
      <w:r w:rsidR="009852F5" w:rsidRPr="00F600E5">
        <w:rPr>
          <w:snapToGrid w:val="0"/>
          <w:kern w:val="22"/>
          <w:szCs w:val="22"/>
          <w:lang w:val="es-ES_tradnl"/>
        </w:rPr>
        <w:t>y</w:t>
      </w:r>
      <w:r w:rsidRPr="00F600E5">
        <w:rPr>
          <w:snapToGrid w:val="0"/>
          <w:kern w:val="22"/>
          <w:szCs w:val="22"/>
          <w:lang w:val="es-ES_tradnl"/>
        </w:rPr>
        <w:t xml:space="preserve"> 1</w:t>
      </w:r>
      <w:r w:rsidR="0001430B" w:rsidRPr="00F600E5">
        <w:rPr>
          <w:snapToGrid w:val="0"/>
          <w:kern w:val="22"/>
          <w:szCs w:val="22"/>
          <w:lang w:val="es-ES_tradnl"/>
        </w:rPr>
        <w:t>1</w:t>
      </w:r>
      <w:r w:rsidRPr="00F600E5">
        <w:rPr>
          <w:snapToGrid w:val="0"/>
          <w:kern w:val="22"/>
          <w:szCs w:val="22"/>
          <w:lang w:val="es-ES_tradnl"/>
        </w:rPr>
        <w:t xml:space="preserve"> </w:t>
      </w:r>
      <w:r w:rsidR="009852F5" w:rsidRPr="00F600E5">
        <w:rPr>
          <w:i/>
          <w:snapToGrid w:val="0"/>
          <w:kern w:val="22"/>
          <w:szCs w:val="22"/>
          <w:lang w:val="es-ES_tradnl"/>
        </w:rPr>
        <w:t>supra</w:t>
      </w:r>
      <w:r w:rsidRPr="00F600E5">
        <w:rPr>
          <w:snapToGrid w:val="0"/>
          <w:kern w:val="22"/>
          <w:szCs w:val="22"/>
          <w:lang w:val="es-ES_tradnl"/>
        </w:rPr>
        <w:t>.</w:t>
      </w:r>
    </w:p>
    <w:p w:rsidR="00B3369F" w:rsidRPr="00F600E5" w:rsidRDefault="00084813" w:rsidP="00B840DD">
      <w:pPr>
        <w:jc w:val="center"/>
        <w:rPr>
          <w:kern w:val="22"/>
          <w:lang w:val="es-ES_tradnl"/>
        </w:rPr>
      </w:pPr>
      <w:r w:rsidRPr="00F600E5">
        <w:rPr>
          <w:kern w:val="22"/>
          <w:lang w:val="es-ES_tradnl"/>
        </w:rPr>
        <w:t>____</w:t>
      </w:r>
      <w:r w:rsidR="00B840DD" w:rsidRPr="00F600E5">
        <w:rPr>
          <w:kern w:val="22"/>
          <w:lang w:val="es-ES_tradnl"/>
        </w:rPr>
        <w:t>_______</w:t>
      </w:r>
    </w:p>
    <w:sectPr w:rsidR="00B3369F" w:rsidRPr="00F600E5" w:rsidSect="000B7F1F">
      <w:headerReference w:type="even" r:id="rId15"/>
      <w:headerReference w:type="default" r:id="rId16"/>
      <w:footerReference w:type="even" r:id="rId17"/>
      <w:footerReference w:type="default" r:id="rId18"/>
      <w:headerReference w:type="first" r:id="rId19"/>
      <w:footerReference w:type="first" r:id="rId20"/>
      <w:pgSz w:w="12240" w:h="15840" w:code="1"/>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1D2" w:rsidRDefault="001841D2" w:rsidP="00CF1848">
      <w:r>
        <w:separator/>
      </w:r>
    </w:p>
  </w:endnote>
  <w:endnote w:type="continuationSeparator" w:id="0">
    <w:p w:rsidR="001841D2" w:rsidRDefault="001841D2"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667" w:rsidRDefault="00E436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667" w:rsidRDefault="00E436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667" w:rsidRDefault="00E43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1D2" w:rsidRDefault="001841D2" w:rsidP="00CF1848">
      <w:r>
        <w:separator/>
      </w:r>
    </w:p>
  </w:footnote>
  <w:footnote w:type="continuationSeparator" w:id="0">
    <w:p w:rsidR="001841D2" w:rsidRDefault="001841D2" w:rsidP="00CF1848">
      <w:r>
        <w:continuationSeparator/>
      </w:r>
    </w:p>
  </w:footnote>
  <w:footnote w:id="1">
    <w:p w:rsidR="00FA6667" w:rsidRPr="00D5143E" w:rsidRDefault="00FA6667" w:rsidP="00084813">
      <w:pPr>
        <w:pStyle w:val="FootnoteText"/>
        <w:keepLines w:val="0"/>
        <w:ind w:firstLine="0"/>
        <w:jc w:val="left"/>
        <w:rPr>
          <w:snapToGrid w:val="0"/>
          <w:kern w:val="18"/>
          <w:szCs w:val="22"/>
          <w:lang w:val="es-ES"/>
        </w:rPr>
      </w:pPr>
      <w:r w:rsidRPr="00D5143E">
        <w:rPr>
          <w:rStyle w:val="FootnoteReference"/>
          <w:snapToGrid w:val="0"/>
          <w:kern w:val="18"/>
          <w:szCs w:val="22"/>
          <w:lang w:val="es-ES"/>
        </w:rPr>
        <w:t>*</w:t>
      </w:r>
      <w:r w:rsidRPr="00D5143E">
        <w:rPr>
          <w:snapToGrid w:val="0"/>
          <w:kern w:val="18"/>
          <w:szCs w:val="22"/>
          <w:lang w:val="es-ES"/>
        </w:rPr>
        <w:t xml:space="preserve"> CBD/SBI/2/1.</w:t>
      </w:r>
    </w:p>
  </w:footnote>
  <w:footnote w:id="2">
    <w:p w:rsidR="00FA6667" w:rsidRPr="00D5143E" w:rsidRDefault="00FA6667" w:rsidP="00B66A1C">
      <w:pPr>
        <w:pStyle w:val="FootnoteText"/>
        <w:ind w:firstLine="0"/>
        <w:rPr>
          <w:lang w:val="es-ES"/>
        </w:rPr>
      </w:pPr>
      <w:r>
        <w:rPr>
          <w:rStyle w:val="FootnoteReference"/>
        </w:rPr>
        <w:footnoteRef/>
      </w:r>
      <w:r w:rsidRPr="00D5143E">
        <w:rPr>
          <w:lang w:val="es-ES"/>
        </w:rPr>
        <w:t xml:space="preserve"> </w:t>
      </w:r>
      <w:r>
        <w:rPr>
          <w:lang w:val="es-ES"/>
        </w:rPr>
        <w:t>Véase la d</w:t>
      </w:r>
      <w:r w:rsidRPr="00D5143E">
        <w:rPr>
          <w:lang w:val="es-ES"/>
        </w:rPr>
        <w:t>ecisión XI/4, párrafo 7.</w:t>
      </w:r>
    </w:p>
  </w:footnote>
  <w:footnote w:id="3">
    <w:p w:rsidR="00FA6667" w:rsidRPr="002972AF" w:rsidRDefault="00FA6667" w:rsidP="002972AF">
      <w:pPr>
        <w:pStyle w:val="FootnoteText"/>
        <w:suppressLineNumbers/>
        <w:suppressAutoHyphens/>
        <w:kinsoku w:val="0"/>
        <w:overflowPunct w:val="0"/>
        <w:autoSpaceDE w:val="0"/>
        <w:autoSpaceDN w:val="0"/>
        <w:ind w:firstLine="0"/>
        <w:jc w:val="left"/>
        <w:rPr>
          <w:noProof/>
          <w:snapToGrid w:val="0"/>
          <w:kern w:val="18"/>
          <w:szCs w:val="18"/>
          <w:lang w:val="es-ES"/>
        </w:rPr>
      </w:pPr>
      <w:r w:rsidRPr="00430593">
        <w:rPr>
          <w:rStyle w:val="FootnoteReference"/>
          <w:noProof/>
          <w:snapToGrid w:val="0"/>
          <w:kern w:val="18"/>
          <w:sz w:val="18"/>
          <w:szCs w:val="18"/>
        </w:rPr>
        <w:footnoteRef/>
      </w:r>
      <w:r w:rsidRPr="002972AF">
        <w:rPr>
          <w:noProof/>
          <w:snapToGrid w:val="0"/>
          <w:kern w:val="18"/>
          <w:szCs w:val="18"/>
          <w:lang w:val="es-ES"/>
        </w:rPr>
        <w:t xml:space="preserve"> Véase </w:t>
      </w:r>
      <w:r>
        <w:rPr>
          <w:noProof/>
          <w:snapToGrid w:val="0"/>
          <w:kern w:val="18"/>
          <w:szCs w:val="18"/>
          <w:lang w:val="es-ES"/>
        </w:rPr>
        <w:t xml:space="preserve">la </w:t>
      </w:r>
      <w:r w:rsidRPr="002972AF">
        <w:rPr>
          <w:noProof/>
          <w:snapToGrid w:val="0"/>
          <w:kern w:val="18"/>
          <w:szCs w:val="18"/>
          <w:lang w:val="es-ES"/>
        </w:rPr>
        <w:t>decisi</w:t>
      </w:r>
      <w:r>
        <w:rPr>
          <w:noProof/>
          <w:snapToGrid w:val="0"/>
          <w:kern w:val="18"/>
          <w:szCs w:val="18"/>
          <w:lang w:val="es-ES"/>
        </w:rPr>
        <w:t xml:space="preserve">ón </w:t>
      </w:r>
      <w:hyperlink r:id="rId1" w:history="1">
        <w:r w:rsidRPr="002972AF">
          <w:rPr>
            <w:rStyle w:val="Hyperlink"/>
            <w:noProof/>
            <w:snapToGrid w:val="0"/>
            <w:kern w:val="18"/>
            <w:szCs w:val="18"/>
            <w:lang w:val="es-ES"/>
          </w:rPr>
          <w:t>XII/3</w:t>
        </w:r>
      </w:hyperlink>
      <w:r w:rsidRPr="002972AF">
        <w:rPr>
          <w:noProof/>
          <w:snapToGrid w:val="0"/>
          <w:kern w:val="18"/>
          <w:szCs w:val="18"/>
          <w:lang w:val="es-ES"/>
        </w:rPr>
        <w:t xml:space="preserve">, </w:t>
      </w:r>
      <w:r>
        <w:rPr>
          <w:noProof/>
          <w:snapToGrid w:val="0"/>
          <w:kern w:val="18"/>
          <w:szCs w:val="18"/>
          <w:lang w:val="es-ES"/>
        </w:rPr>
        <w:t>párr.</w:t>
      </w:r>
      <w:r w:rsidRPr="002972AF">
        <w:rPr>
          <w:noProof/>
          <w:snapToGrid w:val="0"/>
          <w:kern w:val="18"/>
          <w:szCs w:val="18"/>
          <w:lang w:val="es-ES"/>
        </w:rPr>
        <w:t xml:space="preserve"> 1 y 24 y anexo II.</w:t>
      </w:r>
    </w:p>
  </w:footnote>
  <w:footnote w:id="4">
    <w:p w:rsidR="00FA6667" w:rsidRPr="006C7B49" w:rsidRDefault="00FA6667" w:rsidP="00370E10">
      <w:pPr>
        <w:pStyle w:val="FootnoteText"/>
        <w:ind w:firstLine="0"/>
        <w:rPr>
          <w:lang w:val="es-ES"/>
        </w:rPr>
      </w:pPr>
      <w:r>
        <w:rPr>
          <w:rStyle w:val="FootnoteReference"/>
        </w:rPr>
        <w:footnoteRef/>
      </w:r>
      <w:r w:rsidRPr="006C7B49">
        <w:rPr>
          <w:lang w:val="es-ES"/>
        </w:rPr>
        <w:t xml:space="preserve"> </w:t>
      </w:r>
      <w:hyperlink r:id="rId2" w:history="1">
        <w:r w:rsidRPr="006C7B49">
          <w:rPr>
            <w:rStyle w:val="Hyperlink"/>
            <w:szCs w:val="20"/>
            <w:lang w:val="es-ES"/>
          </w:rPr>
          <w:t>UNEP/CBD/SBI/1/7/Add.1</w:t>
        </w:r>
      </w:hyperlink>
    </w:p>
  </w:footnote>
  <w:footnote w:id="5">
    <w:p w:rsidR="00FA6667" w:rsidRPr="006C7B49" w:rsidRDefault="00FA6667" w:rsidP="00B66A1C">
      <w:pPr>
        <w:pStyle w:val="FootnoteText"/>
        <w:ind w:firstLine="0"/>
        <w:rPr>
          <w:lang w:val="es-ES"/>
        </w:rPr>
      </w:pPr>
      <w:r>
        <w:rPr>
          <w:rStyle w:val="FootnoteReference"/>
        </w:rPr>
        <w:footnoteRef/>
      </w:r>
      <w:r w:rsidRPr="006C7B49">
        <w:rPr>
          <w:lang w:val="es-ES"/>
        </w:rPr>
        <w:t xml:space="preserve"> </w:t>
      </w:r>
      <w:hyperlink r:id="rId3" w:history="1">
        <w:r w:rsidRPr="006C7B49">
          <w:rPr>
            <w:rStyle w:val="Hyperlink"/>
            <w:szCs w:val="20"/>
            <w:lang w:val="es-ES"/>
          </w:rPr>
          <w:t>UNEP/CBD/COP/13/11/Rev.1</w:t>
        </w:r>
      </w:hyperlink>
    </w:p>
  </w:footnote>
  <w:footnote w:id="6">
    <w:p w:rsidR="00FA6667" w:rsidRPr="009E460B" w:rsidRDefault="00FA6667" w:rsidP="009E460B">
      <w:pPr>
        <w:pStyle w:val="FootnoteText"/>
        <w:suppressLineNumbers/>
        <w:suppressAutoHyphens/>
        <w:kinsoku w:val="0"/>
        <w:overflowPunct w:val="0"/>
        <w:autoSpaceDE w:val="0"/>
        <w:autoSpaceDN w:val="0"/>
        <w:ind w:firstLine="0"/>
        <w:jc w:val="left"/>
        <w:rPr>
          <w:noProof/>
          <w:snapToGrid w:val="0"/>
          <w:kern w:val="18"/>
          <w:szCs w:val="18"/>
          <w:lang w:val="es-ES"/>
        </w:rPr>
      </w:pPr>
      <w:r w:rsidRPr="00430593">
        <w:rPr>
          <w:rStyle w:val="FootnoteReference"/>
          <w:noProof/>
          <w:snapToGrid w:val="0"/>
          <w:kern w:val="18"/>
          <w:sz w:val="18"/>
          <w:szCs w:val="18"/>
        </w:rPr>
        <w:footnoteRef/>
      </w:r>
      <w:r w:rsidRPr="009E460B">
        <w:rPr>
          <w:noProof/>
          <w:snapToGrid w:val="0"/>
          <w:kern w:val="18"/>
          <w:szCs w:val="18"/>
          <w:lang w:val="es-ES"/>
        </w:rPr>
        <w:t xml:space="preserve"> Véase la decisi</w:t>
      </w:r>
      <w:r>
        <w:rPr>
          <w:noProof/>
          <w:snapToGrid w:val="0"/>
          <w:kern w:val="18"/>
          <w:szCs w:val="18"/>
          <w:lang w:val="es-ES"/>
        </w:rPr>
        <w:t xml:space="preserve">ón </w:t>
      </w:r>
      <w:hyperlink r:id="rId4" w:history="1">
        <w:r w:rsidRPr="009E460B">
          <w:rPr>
            <w:rStyle w:val="Hyperlink"/>
            <w:noProof/>
            <w:snapToGrid w:val="0"/>
            <w:kern w:val="18"/>
            <w:szCs w:val="18"/>
            <w:lang w:val="es-ES"/>
          </w:rPr>
          <w:t>XIII/20</w:t>
        </w:r>
      </w:hyperlink>
      <w:r w:rsidRPr="009E460B">
        <w:rPr>
          <w:noProof/>
          <w:snapToGrid w:val="0"/>
          <w:kern w:val="18"/>
          <w:szCs w:val="18"/>
          <w:lang w:val="es-ES"/>
        </w:rPr>
        <w:t xml:space="preserve">, </w:t>
      </w:r>
      <w:r>
        <w:rPr>
          <w:noProof/>
          <w:snapToGrid w:val="0"/>
          <w:kern w:val="18"/>
          <w:szCs w:val="18"/>
          <w:lang w:val="es-ES"/>
        </w:rPr>
        <w:t>párr.</w:t>
      </w:r>
      <w:r w:rsidRPr="009E460B">
        <w:rPr>
          <w:noProof/>
          <w:snapToGrid w:val="0"/>
          <w:kern w:val="18"/>
          <w:szCs w:val="18"/>
          <w:lang w:val="es-ES"/>
        </w:rPr>
        <w:t xml:space="preserve"> 6 y 8.</w:t>
      </w:r>
    </w:p>
  </w:footnote>
  <w:footnote w:id="7">
    <w:p w:rsidR="00FA6667" w:rsidRPr="009E460B" w:rsidRDefault="00FA6667" w:rsidP="009E460B">
      <w:pPr>
        <w:pStyle w:val="FootnoteText"/>
        <w:suppressLineNumbers/>
        <w:suppressAutoHyphens/>
        <w:kinsoku w:val="0"/>
        <w:overflowPunct w:val="0"/>
        <w:autoSpaceDE w:val="0"/>
        <w:autoSpaceDN w:val="0"/>
        <w:ind w:firstLine="0"/>
        <w:jc w:val="left"/>
        <w:rPr>
          <w:noProof/>
          <w:snapToGrid w:val="0"/>
          <w:kern w:val="18"/>
          <w:szCs w:val="18"/>
          <w:lang w:val="es-ES"/>
        </w:rPr>
      </w:pPr>
      <w:r w:rsidRPr="00430593">
        <w:rPr>
          <w:rStyle w:val="FootnoteReference"/>
          <w:noProof/>
          <w:snapToGrid w:val="0"/>
          <w:kern w:val="18"/>
          <w:sz w:val="18"/>
          <w:szCs w:val="18"/>
        </w:rPr>
        <w:footnoteRef/>
      </w:r>
      <w:r w:rsidRPr="009E460B">
        <w:rPr>
          <w:noProof/>
          <w:snapToGrid w:val="0"/>
          <w:kern w:val="18"/>
          <w:szCs w:val="18"/>
          <w:lang w:val="es-ES"/>
        </w:rPr>
        <w:t xml:space="preserve"> </w:t>
      </w:r>
      <w:hyperlink r:id="rId5" w:history="1">
        <w:r w:rsidRPr="009E460B">
          <w:rPr>
            <w:rStyle w:val="Hyperlink"/>
            <w:noProof/>
            <w:snapToGrid w:val="0"/>
            <w:kern w:val="18"/>
            <w:szCs w:val="18"/>
            <w:lang w:val="es-ES"/>
          </w:rPr>
          <w:t>2017-009</w:t>
        </w:r>
      </w:hyperlink>
      <w:r w:rsidRPr="009E460B">
        <w:rPr>
          <w:noProof/>
          <w:snapToGrid w:val="0"/>
          <w:kern w:val="18"/>
          <w:szCs w:val="18"/>
          <w:lang w:val="es-ES"/>
        </w:rPr>
        <w:t>.</w:t>
      </w:r>
    </w:p>
  </w:footnote>
  <w:footnote w:id="8">
    <w:p w:rsidR="00FA6667" w:rsidRPr="00253406" w:rsidRDefault="00FA6667" w:rsidP="00253406">
      <w:pPr>
        <w:pStyle w:val="FootnoteText"/>
        <w:suppressLineNumbers/>
        <w:suppressAutoHyphens/>
        <w:kinsoku w:val="0"/>
        <w:overflowPunct w:val="0"/>
        <w:autoSpaceDE w:val="0"/>
        <w:autoSpaceDN w:val="0"/>
        <w:ind w:firstLine="0"/>
        <w:jc w:val="left"/>
        <w:rPr>
          <w:noProof/>
          <w:snapToGrid w:val="0"/>
          <w:kern w:val="18"/>
          <w:szCs w:val="18"/>
          <w:lang w:val="es-ES"/>
        </w:rPr>
      </w:pPr>
      <w:r w:rsidRPr="00430593">
        <w:rPr>
          <w:rStyle w:val="FootnoteReference"/>
          <w:noProof/>
          <w:snapToGrid w:val="0"/>
          <w:kern w:val="18"/>
          <w:sz w:val="18"/>
          <w:szCs w:val="18"/>
        </w:rPr>
        <w:footnoteRef/>
      </w:r>
      <w:r w:rsidRPr="00253406">
        <w:rPr>
          <w:noProof/>
          <w:snapToGrid w:val="0"/>
          <w:kern w:val="18"/>
          <w:szCs w:val="18"/>
          <w:lang w:val="es-ES"/>
        </w:rPr>
        <w:t xml:space="preserve"> </w:t>
      </w:r>
      <w:hyperlink r:id="rId6" w:history="1">
        <w:r w:rsidRPr="00253406">
          <w:rPr>
            <w:rStyle w:val="Hyperlink"/>
            <w:noProof/>
            <w:snapToGrid w:val="0"/>
            <w:kern w:val="18"/>
            <w:szCs w:val="18"/>
            <w:lang w:val="es-ES"/>
          </w:rPr>
          <w:t>2017-061</w:t>
        </w:r>
      </w:hyperlink>
      <w:r w:rsidRPr="00253406">
        <w:rPr>
          <w:noProof/>
          <w:snapToGrid w:val="0"/>
          <w:kern w:val="18"/>
          <w:szCs w:val="18"/>
          <w:lang w:val="es-ES"/>
        </w:rPr>
        <w:t>.</w:t>
      </w:r>
    </w:p>
  </w:footnote>
  <w:footnote w:id="9">
    <w:p w:rsidR="00FA6667" w:rsidRPr="00253406" w:rsidRDefault="00FA6667" w:rsidP="00253406">
      <w:pPr>
        <w:pStyle w:val="FootnoteText"/>
        <w:suppressLineNumbers/>
        <w:suppressAutoHyphens/>
        <w:kinsoku w:val="0"/>
        <w:overflowPunct w:val="0"/>
        <w:autoSpaceDE w:val="0"/>
        <w:autoSpaceDN w:val="0"/>
        <w:ind w:firstLine="0"/>
        <w:jc w:val="left"/>
        <w:rPr>
          <w:noProof/>
          <w:snapToGrid w:val="0"/>
          <w:kern w:val="18"/>
          <w:szCs w:val="18"/>
          <w:lang w:val="es-ES"/>
        </w:rPr>
      </w:pPr>
      <w:r w:rsidRPr="00430593">
        <w:rPr>
          <w:rStyle w:val="FootnoteReference"/>
          <w:noProof/>
          <w:snapToGrid w:val="0"/>
          <w:kern w:val="18"/>
          <w:sz w:val="18"/>
          <w:szCs w:val="18"/>
        </w:rPr>
        <w:footnoteRef/>
      </w:r>
      <w:r w:rsidRPr="00253406">
        <w:rPr>
          <w:noProof/>
          <w:snapToGrid w:val="0"/>
          <w:kern w:val="18"/>
          <w:szCs w:val="18"/>
          <w:lang w:val="es-ES"/>
        </w:rPr>
        <w:t xml:space="preserve"> </w:t>
      </w:r>
      <w:hyperlink r:id="rId7" w:history="1">
        <w:r w:rsidRPr="00253406">
          <w:rPr>
            <w:rStyle w:val="Hyperlink"/>
            <w:noProof/>
            <w:snapToGrid w:val="0"/>
            <w:kern w:val="18"/>
            <w:szCs w:val="18"/>
            <w:lang w:val="es-ES"/>
          </w:rPr>
          <w:t>2018-024</w:t>
        </w:r>
      </w:hyperlink>
      <w:r w:rsidRPr="00253406">
        <w:rPr>
          <w:noProof/>
          <w:snapToGrid w:val="0"/>
          <w:kern w:val="18"/>
          <w:szCs w:val="18"/>
          <w:lang w:val="es-ES"/>
        </w:rPr>
        <w:t>.</w:t>
      </w:r>
    </w:p>
  </w:footnote>
  <w:footnote w:id="10">
    <w:p w:rsidR="00FA6667" w:rsidRPr="004F6EE9" w:rsidRDefault="00FA6667" w:rsidP="00714122">
      <w:pPr>
        <w:pStyle w:val="FootnoteText"/>
        <w:ind w:firstLine="0"/>
        <w:rPr>
          <w:lang w:val="es-ES"/>
        </w:rPr>
      </w:pPr>
      <w:r>
        <w:rPr>
          <w:rStyle w:val="FootnoteReference"/>
        </w:rPr>
        <w:footnoteRef/>
      </w:r>
      <w:r w:rsidRPr="004F6EE9">
        <w:rPr>
          <w:lang w:val="es-ES"/>
        </w:rPr>
        <w:t xml:space="preserve"> Además, Austria y Suecia ya ha</w:t>
      </w:r>
      <w:r>
        <w:rPr>
          <w:lang w:val="es-ES"/>
        </w:rPr>
        <w:t>bía</w:t>
      </w:r>
      <w:r w:rsidRPr="004F6EE9">
        <w:rPr>
          <w:lang w:val="es-ES"/>
        </w:rPr>
        <w:t xml:space="preserve">n informado sobre nuevos avances hasta 2020, </w:t>
      </w:r>
      <w:r>
        <w:rPr>
          <w:lang w:val="es-ES"/>
        </w:rPr>
        <w:t xml:space="preserve">en </w:t>
      </w:r>
      <w:r w:rsidRPr="004F6EE9">
        <w:rPr>
          <w:lang w:val="es-ES"/>
        </w:rPr>
        <w:t>la segunda ronda de presentaci</w:t>
      </w:r>
      <w:r>
        <w:rPr>
          <w:lang w:val="es-ES"/>
        </w:rPr>
        <w:t xml:space="preserve">ón de informes iniciada de conformidad con el </w:t>
      </w:r>
      <w:r w:rsidRPr="004F6EE9">
        <w:rPr>
          <w:lang w:val="es-ES"/>
        </w:rPr>
        <w:t>párrafo 8 de la decisión XIII/20.</w:t>
      </w:r>
    </w:p>
  </w:footnote>
  <w:footnote w:id="11">
    <w:p w:rsidR="00FA6667" w:rsidRPr="00A1052A" w:rsidRDefault="00FA6667" w:rsidP="00AC05B4">
      <w:pPr>
        <w:pStyle w:val="FootnoteText"/>
        <w:ind w:firstLine="0"/>
        <w:rPr>
          <w:lang w:val="es-ES"/>
        </w:rPr>
      </w:pPr>
      <w:r>
        <w:rPr>
          <w:rStyle w:val="FootnoteReference"/>
        </w:rPr>
        <w:footnoteRef/>
      </w:r>
      <w:r w:rsidRPr="00A1052A">
        <w:rPr>
          <w:lang w:val="es-ES"/>
        </w:rPr>
        <w:t xml:space="preserve"> </w:t>
      </w:r>
      <w:hyperlink r:id="rId8" w:history="1">
        <w:r w:rsidRPr="00A1052A">
          <w:rPr>
            <w:rStyle w:val="Hyperlink"/>
            <w:lang w:val="es-ES"/>
          </w:rPr>
          <w:t>http://www.biodiversityfinance.net/</w:t>
        </w:r>
      </w:hyperlink>
      <w:r w:rsidRPr="00A1052A">
        <w:rPr>
          <w:lang w:val="es-ES"/>
        </w:rPr>
        <w:t xml:space="preserve"> .</w:t>
      </w:r>
    </w:p>
  </w:footnote>
  <w:footnote w:id="12">
    <w:p w:rsidR="00FA6667" w:rsidRPr="00A1052A" w:rsidRDefault="00FA6667" w:rsidP="00AC05B4">
      <w:pPr>
        <w:pStyle w:val="FootnoteText"/>
        <w:ind w:firstLine="0"/>
        <w:rPr>
          <w:lang w:val="es-ES"/>
        </w:rPr>
      </w:pPr>
      <w:r>
        <w:rPr>
          <w:rStyle w:val="FootnoteReference"/>
        </w:rPr>
        <w:footnoteRef/>
      </w:r>
      <w:r w:rsidRPr="00A1052A">
        <w:rPr>
          <w:lang w:val="es-ES"/>
        </w:rPr>
        <w:t xml:space="preserve"> Belice, Brasil, Bhután, Cuba, Georgia, Kirguistán, Mongolia, Mozambique, </w:t>
      </w:r>
      <w:proofErr w:type="spellStart"/>
      <w:r w:rsidRPr="00A1052A">
        <w:rPr>
          <w:lang w:val="es-ES"/>
        </w:rPr>
        <w:t>Rwanda</w:t>
      </w:r>
      <w:proofErr w:type="spellEnd"/>
      <w:r w:rsidRPr="00A1052A">
        <w:rPr>
          <w:lang w:val="es-ES"/>
        </w:rPr>
        <w:t>, Sri Lanka y Viet Nam.</w:t>
      </w:r>
    </w:p>
  </w:footnote>
  <w:footnote w:id="13">
    <w:p w:rsidR="00FA6667" w:rsidRPr="00EE185F" w:rsidRDefault="00FA6667" w:rsidP="00AC05B4">
      <w:pPr>
        <w:pStyle w:val="FootnoteText"/>
        <w:ind w:firstLine="0"/>
        <w:rPr>
          <w:lang w:val="es-ES"/>
        </w:rPr>
      </w:pPr>
      <w:r>
        <w:rPr>
          <w:rStyle w:val="FootnoteReference"/>
        </w:rPr>
        <w:footnoteRef/>
      </w:r>
      <w:r w:rsidRPr="00EE185F">
        <w:rPr>
          <w:lang w:val="es-ES"/>
        </w:rPr>
        <w:t xml:space="preserve"> http://www.biodiversityfinance.net/regional-nodes</w:t>
      </w:r>
    </w:p>
  </w:footnote>
  <w:footnote w:id="14">
    <w:p w:rsidR="00FA6667" w:rsidRPr="00262105" w:rsidRDefault="00FA6667" w:rsidP="00AC05B4">
      <w:pPr>
        <w:pStyle w:val="FootnoteText"/>
        <w:ind w:firstLine="0"/>
        <w:rPr>
          <w:lang w:val="es-ES"/>
        </w:rPr>
      </w:pPr>
      <w:r>
        <w:rPr>
          <w:rStyle w:val="FootnoteReference"/>
        </w:rPr>
        <w:footnoteRef/>
      </w:r>
      <w:r w:rsidRPr="00262105">
        <w:rPr>
          <w:lang w:val="es-ES"/>
        </w:rPr>
        <w:t xml:space="preserve"> El Secretario Ejecutivo siguió contribuyendo a la prestación de dichos servicios de creaci</w:t>
      </w:r>
      <w:r>
        <w:rPr>
          <w:lang w:val="es-ES"/>
        </w:rPr>
        <w:t>ón de capacidad</w:t>
      </w:r>
      <w:r w:rsidRPr="00262105">
        <w:rPr>
          <w:lang w:val="es-ES"/>
        </w:rPr>
        <w:t xml:space="preserve">. </w:t>
      </w:r>
      <w:r>
        <w:rPr>
          <w:lang w:val="es-ES"/>
        </w:rPr>
        <w:t xml:space="preserve">Véase también el documento </w:t>
      </w:r>
      <w:r w:rsidRPr="00262105">
        <w:rPr>
          <w:lang w:val="es-ES"/>
        </w:rPr>
        <w:t>CBD/SBI/2/INF/6, párrafo 36.</w:t>
      </w:r>
    </w:p>
  </w:footnote>
  <w:footnote w:id="15">
    <w:p w:rsidR="00FA6667" w:rsidRPr="00262105" w:rsidRDefault="00FA6667" w:rsidP="00AC05B4">
      <w:pPr>
        <w:pStyle w:val="FootnoteText"/>
        <w:ind w:firstLine="0"/>
        <w:rPr>
          <w:lang w:val="es-ES"/>
        </w:rPr>
      </w:pPr>
      <w:r>
        <w:rPr>
          <w:rStyle w:val="FootnoteReference"/>
        </w:rPr>
        <w:footnoteRef/>
      </w:r>
      <w:r w:rsidRPr="00262105">
        <w:rPr>
          <w:lang w:val="es-ES"/>
        </w:rPr>
        <w:t xml:space="preserve"> Notificaciones 2016/143 del 23 de noviembre de 2016 y 2017/009 del 8 de febrero de 2017.</w:t>
      </w:r>
    </w:p>
  </w:footnote>
  <w:footnote w:id="16">
    <w:p w:rsidR="00FA6667" w:rsidRPr="00EE185F" w:rsidRDefault="00FA6667" w:rsidP="00AC05B4">
      <w:pPr>
        <w:pStyle w:val="FootnoteText"/>
        <w:ind w:firstLine="0"/>
        <w:rPr>
          <w:lang w:val="es-ES"/>
        </w:rPr>
      </w:pPr>
      <w:r>
        <w:rPr>
          <w:rStyle w:val="FootnoteReference"/>
        </w:rPr>
        <w:footnoteRef/>
      </w:r>
      <w:r w:rsidRPr="00EE185F">
        <w:rPr>
          <w:lang w:val="es-ES"/>
        </w:rPr>
        <w:t xml:space="preserve"> </w:t>
      </w:r>
      <w:hyperlink r:id="rId9" w:history="1">
        <w:r w:rsidRPr="00EE185F">
          <w:rPr>
            <w:rStyle w:val="Hyperlink"/>
            <w:lang w:val="es-ES"/>
          </w:rPr>
          <w:t>https://www.ipbes.net/conceptual-framework</w:t>
        </w:r>
      </w:hyperlink>
      <w:r w:rsidRPr="00EE185F">
        <w:rPr>
          <w:lang w:val="es-ES"/>
        </w:rPr>
        <w:t xml:space="preserve"> .</w:t>
      </w:r>
    </w:p>
  </w:footnote>
  <w:footnote w:id="17">
    <w:p w:rsidR="00FA6667" w:rsidRPr="00EE185F" w:rsidRDefault="00FA6667" w:rsidP="00AC05B4">
      <w:pPr>
        <w:pStyle w:val="FootnoteText"/>
        <w:ind w:firstLine="0"/>
        <w:rPr>
          <w:lang w:val="es-ES"/>
        </w:rPr>
      </w:pPr>
      <w:r>
        <w:rPr>
          <w:rStyle w:val="FootnoteReference"/>
        </w:rPr>
        <w:footnoteRef/>
      </w:r>
      <w:r w:rsidRPr="00EE185F">
        <w:rPr>
          <w:lang w:val="es-ES"/>
        </w:rPr>
        <w:t xml:space="preserve"> </w:t>
      </w:r>
      <w:hyperlink r:id="rId10" w:history="1">
        <w:r w:rsidRPr="00EE185F">
          <w:rPr>
            <w:rStyle w:val="Hyperlink"/>
            <w:lang w:val="es-ES"/>
          </w:rPr>
          <w:t>www.biodiversityfinance.net/finance-solutions</w:t>
        </w:r>
      </w:hyperlink>
      <w:r w:rsidRPr="00EE185F">
        <w:rPr>
          <w:lang w:val="es-ES"/>
        </w:rPr>
        <w:t xml:space="preserve"> .</w:t>
      </w:r>
    </w:p>
  </w:footnote>
  <w:footnote w:id="18">
    <w:p w:rsidR="00FA6667" w:rsidRPr="00121A04" w:rsidRDefault="00FA6667" w:rsidP="00AC05B4">
      <w:pPr>
        <w:pStyle w:val="FootnoteText"/>
        <w:ind w:firstLine="0"/>
        <w:rPr>
          <w:lang w:val="es-ES"/>
        </w:rPr>
      </w:pPr>
      <w:r>
        <w:rPr>
          <w:rStyle w:val="FootnoteReference"/>
        </w:rPr>
        <w:footnoteRef/>
      </w:r>
      <w:r w:rsidRPr="0099015A">
        <w:rPr>
          <w:lang w:val="es-ES"/>
        </w:rPr>
        <w:t xml:space="preserve"> De conformidad con la </w:t>
      </w:r>
      <w:r w:rsidRPr="0099015A">
        <w:rPr>
          <w:kern w:val="22"/>
          <w:szCs w:val="22"/>
          <w:lang w:val="es-ES"/>
        </w:rPr>
        <w:t>metodología de los marcadores de Río</w:t>
      </w:r>
      <w:r w:rsidRPr="0099015A">
        <w:rPr>
          <w:lang w:val="es-ES"/>
        </w:rPr>
        <w:t>, la contribución de las finanzas de desarrollo bilateral con fines ambientales</w:t>
      </w:r>
      <w:r w:rsidRPr="0099015A">
        <w:rPr>
          <w:szCs w:val="18"/>
          <w:shd w:val="clear" w:color="auto" w:fill="FFFFFF"/>
          <w:lang w:val="es-ES"/>
        </w:rPr>
        <w:t xml:space="preserve">, entre ellos para la diversidad biológica, </w:t>
      </w:r>
      <w:r>
        <w:rPr>
          <w:szCs w:val="18"/>
          <w:shd w:val="clear" w:color="auto" w:fill="FFFFFF"/>
          <w:lang w:val="es-ES"/>
        </w:rPr>
        <w:t xml:space="preserve">es seguida de cerca por el Comité de Ayuda al Desarrollo </w:t>
      </w:r>
      <w:r w:rsidRPr="0099015A">
        <w:rPr>
          <w:szCs w:val="18"/>
          <w:shd w:val="clear" w:color="auto" w:fill="FFFFFF"/>
          <w:lang w:val="es-ES"/>
        </w:rPr>
        <w:t>(</w:t>
      </w:r>
      <w:r>
        <w:rPr>
          <w:szCs w:val="18"/>
          <w:shd w:val="clear" w:color="auto" w:fill="FFFFFF"/>
          <w:lang w:val="es-ES"/>
        </w:rPr>
        <w:t>CAD</w:t>
      </w:r>
      <w:r w:rsidRPr="0099015A">
        <w:rPr>
          <w:szCs w:val="18"/>
          <w:shd w:val="clear" w:color="auto" w:fill="FFFFFF"/>
          <w:lang w:val="es-ES"/>
        </w:rPr>
        <w:t xml:space="preserve">) </w:t>
      </w:r>
      <w:r>
        <w:rPr>
          <w:szCs w:val="18"/>
          <w:shd w:val="clear" w:color="auto" w:fill="FFFFFF"/>
          <w:lang w:val="es-ES"/>
        </w:rPr>
        <w:t xml:space="preserve">de la Organización para la Cooperación y Desarrollo Económicos </w:t>
      </w:r>
      <w:r w:rsidRPr="0099015A">
        <w:rPr>
          <w:szCs w:val="18"/>
          <w:shd w:val="clear" w:color="auto" w:fill="FFFFFF"/>
          <w:lang w:val="es-ES"/>
        </w:rPr>
        <w:t>(</w:t>
      </w:r>
      <w:r>
        <w:rPr>
          <w:szCs w:val="18"/>
          <w:shd w:val="clear" w:color="auto" w:fill="FFFFFF"/>
          <w:lang w:val="es-ES"/>
        </w:rPr>
        <w:t>OCDE</w:t>
      </w:r>
      <w:r w:rsidRPr="0099015A">
        <w:rPr>
          <w:szCs w:val="18"/>
          <w:shd w:val="clear" w:color="auto" w:fill="FFFFFF"/>
          <w:lang w:val="es-ES"/>
        </w:rPr>
        <w:t xml:space="preserve">). </w:t>
      </w:r>
      <w:r w:rsidRPr="00121A04">
        <w:rPr>
          <w:szCs w:val="18"/>
          <w:shd w:val="clear" w:color="auto" w:fill="FFFFFF"/>
          <w:lang w:val="es-ES"/>
        </w:rPr>
        <w:t xml:space="preserve">Hay tres posibles valores (o puntuaciones) de los marcadores de Río, que indican si los temas </w:t>
      </w:r>
      <w:r>
        <w:rPr>
          <w:szCs w:val="18"/>
          <w:shd w:val="clear" w:color="auto" w:fill="FFFFFF"/>
          <w:lang w:val="es-ES"/>
        </w:rPr>
        <w:t xml:space="preserve">de la convención de Río no están </w:t>
      </w:r>
      <w:r w:rsidRPr="00121A04">
        <w:rPr>
          <w:szCs w:val="18"/>
          <w:shd w:val="clear" w:color="auto" w:fill="FFFFFF"/>
          <w:lang w:val="es-ES"/>
        </w:rPr>
        <w:t xml:space="preserve">(0) </w:t>
      </w:r>
      <w:r>
        <w:rPr>
          <w:szCs w:val="18"/>
          <w:shd w:val="clear" w:color="auto" w:fill="FFFFFF"/>
          <w:lang w:val="es-ES"/>
        </w:rPr>
        <w:t>orientados</w:t>
      </w:r>
      <w:r w:rsidRPr="00121A04">
        <w:rPr>
          <w:szCs w:val="18"/>
          <w:shd w:val="clear" w:color="auto" w:fill="FFFFFF"/>
          <w:lang w:val="es-ES"/>
        </w:rPr>
        <w:t xml:space="preserve">, (1) </w:t>
      </w:r>
      <w:r>
        <w:rPr>
          <w:szCs w:val="18"/>
          <w:shd w:val="clear" w:color="auto" w:fill="FFFFFF"/>
          <w:lang w:val="es-ES"/>
        </w:rPr>
        <w:t>un objetivo significativo, o</w:t>
      </w:r>
      <w:r w:rsidRPr="00121A04">
        <w:rPr>
          <w:szCs w:val="18"/>
          <w:shd w:val="clear" w:color="auto" w:fill="FFFFFF"/>
          <w:lang w:val="es-ES"/>
        </w:rPr>
        <w:t xml:space="preserve"> (2) </w:t>
      </w:r>
      <w:r>
        <w:rPr>
          <w:szCs w:val="18"/>
          <w:shd w:val="clear" w:color="auto" w:fill="FFFFFF"/>
          <w:lang w:val="es-ES"/>
        </w:rPr>
        <w:t>un objetivo principal de la acción</w:t>
      </w:r>
      <w:r w:rsidRPr="00121A04">
        <w:rPr>
          <w:szCs w:val="18"/>
          <w:shd w:val="clear" w:color="auto" w:fill="FFFFFF"/>
          <w:lang w:val="es-ES"/>
        </w:rPr>
        <w:t>.</w:t>
      </w:r>
    </w:p>
  </w:footnote>
  <w:footnote w:id="19">
    <w:p w:rsidR="00FA6667" w:rsidRPr="005654FA" w:rsidRDefault="00FA6667" w:rsidP="00AC05B4">
      <w:pPr>
        <w:pStyle w:val="FootnoteText"/>
        <w:ind w:firstLine="0"/>
        <w:rPr>
          <w:lang w:val="es-ES"/>
        </w:rPr>
      </w:pPr>
      <w:r>
        <w:rPr>
          <w:rStyle w:val="FootnoteReference"/>
        </w:rPr>
        <w:footnoteRef/>
      </w:r>
      <w:r w:rsidRPr="005654FA">
        <w:rPr>
          <w:lang w:val="es-ES"/>
        </w:rPr>
        <w:t xml:space="preserve"> El </w:t>
      </w:r>
      <w:r w:rsidRPr="005654FA">
        <w:rPr>
          <w:kern w:val="22"/>
          <w:szCs w:val="22"/>
          <w:lang w:val="es-ES"/>
        </w:rPr>
        <w:t xml:space="preserve">Equipo de Tareas Interinstitucional sobre Financiación para el Desarrollo tiene por finalidad </w:t>
      </w:r>
      <w:r w:rsidRPr="005654FA">
        <w:rPr>
          <w:lang w:val="es-ES"/>
        </w:rPr>
        <w:t>i) informar anualmente sobre el progreso en la ejecución de los resultados de la financiación para el desarrollo de</w:t>
      </w:r>
      <w:r>
        <w:rPr>
          <w:lang w:val="es-ES"/>
        </w:rPr>
        <w:t xml:space="preserve"> la Agenda </w:t>
      </w:r>
      <w:r w:rsidRPr="005654FA">
        <w:rPr>
          <w:lang w:val="es-ES"/>
        </w:rPr>
        <w:t xml:space="preserve">de </w:t>
      </w:r>
      <w:r>
        <w:rPr>
          <w:lang w:val="es-ES"/>
        </w:rPr>
        <w:t xml:space="preserve">Acción de </w:t>
      </w:r>
      <w:r w:rsidRPr="005654FA">
        <w:rPr>
          <w:lang w:val="es-ES"/>
        </w:rPr>
        <w:t xml:space="preserve">Addis Abeba </w:t>
      </w:r>
      <w:r>
        <w:rPr>
          <w:lang w:val="es-ES"/>
        </w:rPr>
        <w:t xml:space="preserve">y los medios de implementación del Programa para el Desarrollo Sostenible </w:t>
      </w:r>
      <w:r w:rsidRPr="005654FA">
        <w:rPr>
          <w:lang w:val="es-ES"/>
        </w:rPr>
        <w:t xml:space="preserve">2030, </w:t>
      </w:r>
      <w:r>
        <w:rPr>
          <w:lang w:val="es-ES"/>
        </w:rPr>
        <w:t xml:space="preserve">e </w:t>
      </w:r>
      <w:r w:rsidRPr="005654FA">
        <w:rPr>
          <w:lang w:val="es-ES"/>
        </w:rPr>
        <w:t xml:space="preserve">ii) </w:t>
      </w:r>
      <w:r>
        <w:rPr>
          <w:lang w:val="es-ES"/>
        </w:rPr>
        <w:t>informar de los procesos intergubernamentales de seguimiento sobre deficiencias en la ejecución y recomendaciones sobre medidas correctivas</w:t>
      </w:r>
      <w:r w:rsidRPr="005654FA">
        <w:rPr>
          <w:lang w:val="es-ES"/>
        </w:rPr>
        <w:t xml:space="preserve">, </w:t>
      </w:r>
      <w:r>
        <w:rPr>
          <w:lang w:val="es-ES"/>
        </w:rPr>
        <w:t>teniendo también en cuenta las dimensiones nacionales y regionales</w:t>
      </w:r>
      <w:r w:rsidRPr="005654FA">
        <w:rPr>
          <w:lang w:val="es-ES"/>
        </w:rPr>
        <w:t>.</w:t>
      </w:r>
    </w:p>
  </w:footnote>
  <w:footnote w:id="20">
    <w:p w:rsidR="00FA6667" w:rsidRPr="00583760" w:rsidRDefault="00FA6667" w:rsidP="00184CA8">
      <w:pPr>
        <w:pStyle w:val="FootnoteText"/>
        <w:ind w:firstLine="0"/>
        <w:rPr>
          <w:lang w:val="es-ES"/>
        </w:rPr>
      </w:pPr>
      <w:r>
        <w:rPr>
          <w:rStyle w:val="FootnoteReference"/>
        </w:rPr>
        <w:footnoteRef/>
      </w:r>
      <w:r w:rsidRPr="00583760">
        <w:rPr>
          <w:lang w:val="es-ES"/>
        </w:rPr>
        <w:t xml:space="preserve"> </w:t>
      </w:r>
      <w:r>
        <w:rPr>
          <w:lang w:val="es-ES"/>
        </w:rPr>
        <w:t xml:space="preserve">Para acceder a documentación de las reuniones, véase </w:t>
      </w:r>
      <w:hyperlink r:id="rId11" w:history="1">
        <w:r w:rsidRPr="00583760">
          <w:rPr>
            <w:rStyle w:val="Hyperlink"/>
            <w:lang w:val="es-ES"/>
          </w:rPr>
          <w:t>https://www.cbd.int/meetings/RMEM-2015-01</w:t>
        </w:r>
      </w:hyperlink>
      <w:r w:rsidRPr="00583760">
        <w:rPr>
          <w:lang w:val="es-ES"/>
        </w:rPr>
        <w:t xml:space="preserve"> .</w:t>
      </w:r>
    </w:p>
  </w:footnote>
  <w:footnote w:id="21">
    <w:p w:rsidR="00FA6667" w:rsidRPr="00A31DAA" w:rsidRDefault="00FA6667" w:rsidP="00A31DAA">
      <w:pPr>
        <w:pStyle w:val="FootnoteText"/>
        <w:suppressLineNumbers/>
        <w:suppressAutoHyphens/>
        <w:kinsoku w:val="0"/>
        <w:overflowPunct w:val="0"/>
        <w:autoSpaceDE w:val="0"/>
        <w:autoSpaceDN w:val="0"/>
        <w:ind w:firstLine="0"/>
        <w:jc w:val="left"/>
        <w:rPr>
          <w:noProof/>
          <w:snapToGrid w:val="0"/>
          <w:kern w:val="18"/>
          <w:szCs w:val="18"/>
          <w:lang w:val="es-ES"/>
        </w:rPr>
      </w:pPr>
      <w:r w:rsidRPr="00430593">
        <w:rPr>
          <w:rStyle w:val="FootnoteReference"/>
          <w:noProof/>
          <w:snapToGrid w:val="0"/>
          <w:kern w:val="18"/>
          <w:sz w:val="18"/>
          <w:szCs w:val="18"/>
        </w:rPr>
        <w:footnoteRef/>
      </w:r>
      <w:r w:rsidRPr="00A31DAA">
        <w:rPr>
          <w:noProof/>
          <w:snapToGrid w:val="0"/>
          <w:kern w:val="18"/>
          <w:szCs w:val="18"/>
          <w:lang w:val="es-ES"/>
        </w:rPr>
        <w:t xml:space="preserve"> </w:t>
      </w:r>
      <w:r w:rsidRPr="00DA5ADA">
        <w:rPr>
          <w:kern w:val="22"/>
          <w:szCs w:val="22"/>
          <w:lang w:val="es-ES_tradnl"/>
        </w:rPr>
        <w:t>Equipo de Tareas Interinstitucional sobre Financiación para el Desarrollo</w:t>
      </w:r>
      <w:r w:rsidRPr="00A31DAA">
        <w:rPr>
          <w:noProof/>
          <w:snapToGrid w:val="0"/>
          <w:kern w:val="18"/>
          <w:szCs w:val="18"/>
          <w:lang w:val="es-ES"/>
        </w:rPr>
        <w:t xml:space="preserve">, </w:t>
      </w:r>
      <w:hyperlink r:id="rId12" w:history="1">
        <w:r w:rsidRPr="00A31DAA">
          <w:rPr>
            <w:rStyle w:val="Hyperlink"/>
            <w:i/>
            <w:iCs/>
            <w:noProof/>
            <w:snapToGrid w:val="0"/>
            <w:kern w:val="18"/>
            <w:szCs w:val="18"/>
            <w:lang w:val="es-ES"/>
          </w:rPr>
          <w:t>Financing for Development: Progress and Prospects 2018</w:t>
        </w:r>
      </w:hyperlink>
      <w:r w:rsidRPr="00A31DAA">
        <w:rPr>
          <w:noProof/>
          <w:snapToGrid w:val="0"/>
          <w:kern w:val="18"/>
          <w:szCs w:val="18"/>
          <w:lang w:val="es-ES"/>
        </w:rPr>
        <w:t xml:space="preserve"> (</w:t>
      </w:r>
      <w:r>
        <w:rPr>
          <w:noProof/>
          <w:snapToGrid w:val="0"/>
          <w:kern w:val="18"/>
          <w:szCs w:val="18"/>
          <w:lang w:val="es-ES"/>
        </w:rPr>
        <w:t>Publicación de las Naciones Unidas</w:t>
      </w:r>
      <w:r w:rsidRPr="00A31DAA">
        <w:rPr>
          <w:noProof/>
          <w:snapToGrid w:val="0"/>
          <w:kern w:val="18"/>
          <w:szCs w:val="18"/>
          <w:lang w:val="es-ES"/>
        </w:rPr>
        <w:t xml:space="preserve">, </w:t>
      </w:r>
      <w:r>
        <w:rPr>
          <w:noProof/>
          <w:snapToGrid w:val="0"/>
          <w:kern w:val="18"/>
          <w:szCs w:val="18"/>
          <w:lang w:val="es-ES"/>
        </w:rPr>
        <w:t>número de venta:</w:t>
      </w:r>
      <w:r w:rsidRPr="00A31DAA">
        <w:rPr>
          <w:noProof/>
          <w:snapToGrid w:val="0"/>
          <w:kern w:val="18"/>
          <w:szCs w:val="18"/>
          <w:lang w:val="es-ES"/>
        </w:rPr>
        <w:t xml:space="preserve"> E.18.I.5).</w:t>
      </w:r>
    </w:p>
  </w:footnote>
  <w:footnote w:id="22">
    <w:p w:rsidR="00FA6667" w:rsidRPr="00D65355" w:rsidRDefault="00FA6667" w:rsidP="00174912">
      <w:pPr>
        <w:pStyle w:val="FootnoteText"/>
        <w:ind w:firstLine="0"/>
        <w:rPr>
          <w:lang w:val="es-ES"/>
        </w:rPr>
      </w:pPr>
      <w:r>
        <w:rPr>
          <w:rStyle w:val="FootnoteReference"/>
        </w:rPr>
        <w:footnoteRef/>
      </w:r>
      <w:r w:rsidRPr="00D65355">
        <w:rPr>
          <w:lang w:val="es-ES"/>
        </w:rPr>
        <w:t xml:space="preserve"> </w:t>
      </w:r>
      <w:hyperlink r:id="rId13" w:history="1">
        <w:r w:rsidRPr="00D65355">
          <w:rPr>
            <w:rStyle w:val="Hyperlink"/>
            <w:lang w:val="es-ES"/>
          </w:rPr>
          <w:t>https://developmentfinance.un.org/protecting-ecosystems</w:t>
        </w:r>
      </w:hyperlink>
      <w:r w:rsidRPr="00D65355">
        <w:rPr>
          <w:lang w:val="es-ES"/>
        </w:rPr>
        <w:t xml:space="preserve"> </w:t>
      </w:r>
    </w:p>
  </w:footnote>
  <w:footnote w:id="23">
    <w:p w:rsidR="00FA6667" w:rsidRPr="00A1052A" w:rsidRDefault="00FA6667" w:rsidP="00174912">
      <w:pPr>
        <w:pStyle w:val="FootnoteText"/>
        <w:ind w:firstLine="0"/>
        <w:rPr>
          <w:lang w:val="es-ES"/>
        </w:rPr>
      </w:pPr>
      <w:r>
        <w:rPr>
          <w:rStyle w:val="FootnoteReference"/>
        </w:rPr>
        <w:footnoteRef/>
      </w:r>
      <w:r w:rsidRPr="00A1052A">
        <w:rPr>
          <w:lang w:val="es-ES"/>
        </w:rPr>
        <w:t xml:space="preserve"> </w:t>
      </w:r>
      <w:r>
        <w:rPr>
          <w:lang w:val="es-ES"/>
        </w:rPr>
        <w:t>Véanse p</w:t>
      </w:r>
      <w:r w:rsidRPr="00A1052A">
        <w:rPr>
          <w:snapToGrid w:val="0"/>
          <w:kern w:val="22"/>
          <w:szCs w:val="22"/>
          <w:lang w:val="es-ES"/>
        </w:rPr>
        <w:t xml:space="preserve">árrafos 18 a 21, </w:t>
      </w:r>
      <w:r>
        <w:rPr>
          <w:snapToGrid w:val="0"/>
          <w:kern w:val="22"/>
          <w:szCs w:val="22"/>
          <w:lang w:val="es-ES"/>
        </w:rPr>
        <w:t xml:space="preserve">y </w:t>
      </w:r>
      <w:r w:rsidRPr="00A1052A">
        <w:rPr>
          <w:snapToGrid w:val="0"/>
          <w:kern w:val="22"/>
          <w:szCs w:val="22"/>
          <w:lang w:val="es-ES"/>
        </w:rPr>
        <w:t>26 a 28.</w:t>
      </w:r>
    </w:p>
  </w:footnote>
  <w:footnote w:id="24">
    <w:p w:rsidR="00FA6667" w:rsidRPr="00E90EA5" w:rsidRDefault="00FA6667" w:rsidP="00D35A80">
      <w:pPr>
        <w:pStyle w:val="FootnoteText"/>
        <w:ind w:firstLine="0"/>
        <w:rPr>
          <w:lang w:val="es-ES"/>
        </w:rPr>
      </w:pPr>
      <w:r>
        <w:rPr>
          <w:rStyle w:val="FootnoteReference"/>
        </w:rPr>
        <w:footnoteRef/>
      </w:r>
      <w:r w:rsidRPr="00E90EA5">
        <w:rPr>
          <w:lang w:val="es-ES"/>
        </w:rPr>
        <w:t xml:space="preserve"> Decisión X/44 sobre </w:t>
      </w:r>
      <w:r>
        <w:rPr>
          <w:lang w:val="es-ES"/>
        </w:rPr>
        <w:t>incentivos</w:t>
      </w:r>
      <w:r w:rsidRPr="00E90EA5">
        <w:rPr>
          <w:lang w:val="es-ES"/>
        </w:rPr>
        <w:t>, párr</w:t>
      </w:r>
      <w:r>
        <w:rPr>
          <w:lang w:val="es-ES"/>
        </w:rPr>
        <w:t>.</w:t>
      </w:r>
      <w:r w:rsidRPr="00E90EA5">
        <w:rPr>
          <w:lang w:val="es-ES"/>
        </w:rPr>
        <w:t xml:space="preserve"> 9.</w:t>
      </w:r>
    </w:p>
  </w:footnote>
  <w:footnote w:id="25">
    <w:p w:rsidR="00FA6667" w:rsidRPr="0058356B" w:rsidRDefault="00FA6667" w:rsidP="0057384E">
      <w:pPr>
        <w:pStyle w:val="FootnoteText"/>
        <w:ind w:firstLine="0"/>
        <w:rPr>
          <w:lang w:val="es-ES"/>
        </w:rPr>
      </w:pPr>
      <w:r>
        <w:rPr>
          <w:rStyle w:val="FootnoteReference"/>
        </w:rPr>
        <w:footnoteRef/>
      </w:r>
      <w:r w:rsidRPr="0058356B">
        <w:rPr>
          <w:lang w:val="es-ES"/>
        </w:rPr>
        <w:t xml:space="preserve"> A través de la filantropía o la inversión de impacto (inversionistas privados que procuran </w:t>
      </w:r>
      <w:r>
        <w:rPr>
          <w:lang w:val="es-ES"/>
        </w:rPr>
        <w:t>tener un impacto social o ambiental positivo, además de su beneficio</w:t>
      </w:r>
      <w:r w:rsidRPr="0058356B">
        <w:rPr>
          <w:lang w:val="es-ES"/>
        </w:rPr>
        <w:t>).</w:t>
      </w:r>
    </w:p>
  </w:footnote>
  <w:footnote w:id="26">
    <w:p w:rsidR="00FA6667" w:rsidRPr="00F600E5" w:rsidRDefault="00FA6667" w:rsidP="0057384E">
      <w:pPr>
        <w:pStyle w:val="FootnoteText"/>
        <w:ind w:firstLine="0"/>
        <w:jc w:val="left"/>
        <w:rPr>
          <w:lang w:val="es-ES"/>
        </w:rPr>
      </w:pPr>
      <w:r>
        <w:rPr>
          <w:rStyle w:val="FootnoteReference"/>
        </w:rPr>
        <w:footnoteRef/>
      </w:r>
      <w:r w:rsidRPr="0032546D">
        <w:rPr>
          <w:lang w:val="es-ES"/>
        </w:rPr>
        <w:t xml:space="preserve"> </w:t>
      </w:r>
      <w:r w:rsidRPr="0058356B">
        <w:rPr>
          <w:kern w:val="22"/>
          <w:szCs w:val="22"/>
          <w:lang w:val="es-ES"/>
        </w:rPr>
        <w:t>Equipo de Tareas Interinstitucional sobre Financiación para el Desarrollo</w:t>
      </w:r>
      <w:r>
        <w:rPr>
          <w:kern w:val="22"/>
          <w:szCs w:val="22"/>
          <w:lang w:val="es-ES"/>
        </w:rPr>
        <w:t xml:space="preserve">, </w:t>
      </w:r>
      <w:proofErr w:type="spellStart"/>
      <w:r w:rsidRPr="0032546D">
        <w:rPr>
          <w:i/>
          <w:lang w:val="es-ES"/>
        </w:rPr>
        <w:t>Financing</w:t>
      </w:r>
      <w:proofErr w:type="spellEnd"/>
      <w:r w:rsidRPr="0032546D">
        <w:rPr>
          <w:i/>
          <w:lang w:val="es-ES"/>
        </w:rPr>
        <w:t xml:space="preserve"> </w:t>
      </w:r>
      <w:proofErr w:type="spellStart"/>
      <w:r w:rsidRPr="0032546D">
        <w:rPr>
          <w:i/>
          <w:lang w:val="es-ES"/>
        </w:rPr>
        <w:t>for</w:t>
      </w:r>
      <w:proofErr w:type="spellEnd"/>
      <w:r w:rsidRPr="0032546D">
        <w:rPr>
          <w:i/>
          <w:lang w:val="es-ES"/>
        </w:rPr>
        <w:t xml:space="preserve"> </w:t>
      </w:r>
      <w:proofErr w:type="spellStart"/>
      <w:r w:rsidRPr="0032546D">
        <w:rPr>
          <w:i/>
          <w:lang w:val="es-ES"/>
        </w:rPr>
        <w:t>Development</w:t>
      </w:r>
      <w:proofErr w:type="spellEnd"/>
      <w:r w:rsidRPr="0032546D">
        <w:rPr>
          <w:i/>
          <w:lang w:val="es-ES"/>
        </w:rPr>
        <w:t xml:space="preserve">: </w:t>
      </w:r>
      <w:proofErr w:type="spellStart"/>
      <w:r w:rsidRPr="0032546D">
        <w:rPr>
          <w:i/>
          <w:lang w:val="es-ES"/>
        </w:rPr>
        <w:t>Progress</w:t>
      </w:r>
      <w:proofErr w:type="spellEnd"/>
      <w:r w:rsidRPr="0032546D">
        <w:rPr>
          <w:i/>
          <w:lang w:val="es-ES"/>
        </w:rPr>
        <w:t xml:space="preserve"> and </w:t>
      </w:r>
      <w:proofErr w:type="spellStart"/>
      <w:r w:rsidRPr="0032546D">
        <w:rPr>
          <w:i/>
          <w:lang w:val="es-ES"/>
        </w:rPr>
        <w:t>Prospe</w:t>
      </w:r>
      <w:r>
        <w:rPr>
          <w:i/>
          <w:lang w:val="es-ES"/>
        </w:rPr>
        <w:t>cts</w:t>
      </w:r>
      <w:proofErr w:type="spellEnd"/>
      <w:r>
        <w:rPr>
          <w:i/>
          <w:lang w:val="es-ES"/>
        </w:rPr>
        <w:t xml:space="preserve"> 2018 </w:t>
      </w:r>
      <w:r w:rsidRPr="00A46AD9">
        <w:rPr>
          <w:noProof/>
          <w:snapToGrid w:val="0"/>
          <w:kern w:val="18"/>
          <w:szCs w:val="18"/>
          <w:lang w:val="es-ES"/>
        </w:rPr>
        <w:t xml:space="preserve">(Publicación de las Naciones Unidas, número de venta E.18.I.5), </w:t>
      </w:r>
      <w:r w:rsidRPr="00A46AD9">
        <w:rPr>
          <w:lang w:val="es-ES"/>
        </w:rPr>
        <w:t xml:space="preserve">p. 16. </w:t>
      </w:r>
    </w:p>
  </w:footnote>
  <w:footnote w:id="27">
    <w:p w:rsidR="00FA6667" w:rsidRPr="00EE185F" w:rsidRDefault="00FA6667" w:rsidP="0057384E">
      <w:pPr>
        <w:pStyle w:val="FootnoteText"/>
        <w:ind w:firstLine="0"/>
        <w:rPr>
          <w:lang w:val="es-ES"/>
        </w:rPr>
      </w:pPr>
      <w:r>
        <w:rPr>
          <w:rStyle w:val="FootnoteReference"/>
        </w:rPr>
        <w:footnoteRef/>
      </w:r>
      <w:r w:rsidRPr="00EE185F">
        <w:rPr>
          <w:lang w:val="es-ES"/>
        </w:rPr>
        <w:t xml:space="preserve"> Ibíd., p. 37.</w:t>
      </w:r>
    </w:p>
  </w:footnote>
  <w:footnote w:id="28">
    <w:p w:rsidR="00FA6667" w:rsidRPr="007E392F" w:rsidRDefault="00FA6667" w:rsidP="0057384E">
      <w:pPr>
        <w:pStyle w:val="FootnoteText"/>
        <w:ind w:firstLine="0"/>
        <w:rPr>
          <w:lang w:val="es-ES"/>
        </w:rPr>
      </w:pPr>
      <w:r>
        <w:rPr>
          <w:rStyle w:val="FootnoteReference"/>
        </w:rPr>
        <w:footnoteRef/>
      </w:r>
      <w:r w:rsidRPr="007E392F">
        <w:rPr>
          <w:lang w:val="es-ES"/>
        </w:rPr>
        <w:t xml:space="preserve"> Decisión IX/11, </w:t>
      </w:r>
      <w:hyperlink r:id="rId14" w:history="1">
        <w:r w:rsidRPr="007E392F">
          <w:rPr>
            <w:rStyle w:val="Hyperlink"/>
            <w:lang w:val="es-ES"/>
          </w:rPr>
          <w:t>https://www.cbd.int/</w:t>
        </w:r>
        <w:r>
          <w:rPr>
            <w:rStyle w:val="Hyperlink"/>
            <w:lang w:val="es-ES"/>
          </w:rPr>
          <w:t>decision</w:t>
        </w:r>
        <w:r w:rsidRPr="007E392F">
          <w:rPr>
            <w:rStyle w:val="Hyperlink"/>
            <w:lang w:val="es-ES"/>
          </w:rPr>
          <w:t>/cop/default.shtml?id=11654</w:t>
        </w:r>
      </w:hyperlink>
      <w:r w:rsidRPr="007E392F">
        <w:rPr>
          <w:lang w:val="es-ES"/>
        </w:rPr>
        <w:t xml:space="preserve"> .</w:t>
      </w:r>
    </w:p>
  </w:footnote>
  <w:footnote w:id="29">
    <w:p w:rsidR="00FA6667" w:rsidRPr="007E392F" w:rsidRDefault="00FA6667" w:rsidP="0057384E">
      <w:pPr>
        <w:pStyle w:val="FootnoteText"/>
        <w:ind w:firstLine="0"/>
        <w:rPr>
          <w:lang w:val="es-ES"/>
        </w:rPr>
      </w:pPr>
      <w:r>
        <w:rPr>
          <w:rStyle w:val="FootnoteReference"/>
        </w:rPr>
        <w:footnoteRef/>
      </w:r>
      <w:r w:rsidRPr="007E392F">
        <w:rPr>
          <w:lang w:val="es-ES"/>
        </w:rPr>
        <w:t xml:space="preserve"> Decisión X/3, </w:t>
      </w:r>
      <w:r>
        <w:rPr>
          <w:lang w:val="es-ES"/>
        </w:rPr>
        <w:t>párr.</w:t>
      </w:r>
      <w:r w:rsidRPr="007E392F">
        <w:rPr>
          <w:lang w:val="es-ES"/>
        </w:rPr>
        <w:t xml:space="preserve"> 7; </w:t>
      </w:r>
      <w:hyperlink r:id="rId15" w:history="1">
        <w:r w:rsidRPr="007E392F">
          <w:rPr>
            <w:rStyle w:val="Hyperlink"/>
            <w:lang w:val="es-ES"/>
          </w:rPr>
          <w:t>https://www.cbd.int/</w:t>
        </w:r>
        <w:r>
          <w:rPr>
            <w:rStyle w:val="Hyperlink"/>
            <w:lang w:val="es-ES"/>
          </w:rPr>
          <w:t>decision</w:t>
        </w:r>
        <w:r w:rsidRPr="007E392F">
          <w:rPr>
            <w:rStyle w:val="Hyperlink"/>
            <w:lang w:val="es-ES"/>
          </w:rPr>
          <w:t>/cop/default.shtml?id=12269</w:t>
        </w:r>
      </w:hyperlink>
      <w:r w:rsidRPr="007E392F">
        <w:rPr>
          <w:lang w:val="es-ES"/>
        </w:rPr>
        <w:t xml:space="preserve"> .</w:t>
      </w:r>
    </w:p>
  </w:footnote>
  <w:footnote w:id="30">
    <w:p w:rsidR="00FA6667" w:rsidRPr="007E392F" w:rsidRDefault="00FA6667" w:rsidP="005F2518">
      <w:pPr>
        <w:pStyle w:val="FootnoteText"/>
        <w:ind w:firstLine="0"/>
        <w:rPr>
          <w:lang w:val="es-ES"/>
        </w:rPr>
      </w:pPr>
      <w:r>
        <w:rPr>
          <w:rStyle w:val="FootnoteReference"/>
        </w:rPr>
        <w:footnoteRef/>
      </w:r>
      <w:r w:rsidRPr="007E392F">
        <w:rPr>
          <w:lang w:val="es-ES"/>
        </w:rPr>
        <w:t xml:space="preserve"> Decisión XII/3, </w:t>
      </w:r>
      <w:r>
        <w:rPr>
          <w:lang w:val="es-ES"/>
        </w:rPr>
        <w:t>anexo</w:t>
      </w:r>
      <w:r w:rsidRPr="007E392F">
        <w:rPr>
          <w:lang w:val="es-ES"/>
        </w:rPr>
        <w:t xml:space="preserve"> IV; </w:t>
      </w:r>
      <w:hyperlink r:id="rId16" w:history="1">
        <w:r w:rsidRPr="007E392F">
          <w:rPr>
            <w:rStyle w:val="Hyperlink"/>
            <w:lang w:val="es-ES"/>
          </w:rPr>
          <w:t>https://www.cbd.int/</w:t>
        </w:r>
        <w:r>
          <w:rPr>
            <w:rStyle w:val="Hyperlink"/>
            <w:lang w:val="es-ES"/>
          </w:rPr>
          <w:t>decision</w:t>
        </w:r>
        <w:r w:rsidRPr="007E392F">
          <w:rPr>
            <w:rStyle w:val="Hyperlink"/>
            <w:lang w:val="es-ES"/>
          </w:rPr>
          <w:t>/cop/default.shtml?id=13366</w:t>
        </w:r>
      </w:hyperlink>
      <w:r w:rsidRPr="007E392F">
        <w:rPr>
          <w:lang w:val="es-ES"/>
        </w:rPr>
        <w:t xml:space="preserve"> .</w:t>
      </w:r>
    </w:p>
  </w:footnote>
  <w:footnote w:id="31">
    <w:p w:rsidR="00FA6667" w:rsidRPr="007E392F" w:rsidRDefault="00FA6667" w:rsidP="005F2518">
      <w:pPr>
        <w:pStyle w:val="FootnoteText"/>
        <w:ind w:firstLine="0"/>
        <w:rPr>
          <w:lang w:val="es-ES"/>
        </w:rPr>
      </w:pPr>
      <w:r>
        <w:rPr>
          <w:rStyle w:val="FootnoteReference"/>
        </w:rPr>
        <w:footnoteRef/>
      </w:r>
      <w:r w:rsidRPr="007E392F">
        <w:rPr>
          <w:lang w:val="es-ES"/>
        </w:rPr>
        <w:t xml:space="preserve"> Decisión XII/3, párr</w:t>
      </w:r>
      <w:r>
        <w:rPr>
          <w:lang w:val="es-ES"/>
        </w:rPr>
        <w:t>.</w:t>
      </w:r>
      <w:r w:rsidRPr="007E392F">
        <w:rPr>
          <w:lang w:val="es-ES"/>
        </w:rPr>
        <w:t xml:space="preserve"> 21 </w:t>
      </w:r>
      <w:r>
        <w:rPr>
          <w:lang w:val="es-ES"/>
        </w:rPr>
        <w:t>y anexo</w:t>
      </w:r>
      <w:r w:rsidRPr="007E392F">
        <w:rPr>
          <w:lang w:val="es-ES"/>
        </w:rPr>
        <w:t xml:space="preserve"> I. </w:t>
      </w:r>
    </w:p>
  </w:footnote>
  <w:footnote w:id="32">
    <w:p w:rsidR="00FA6667" w:rsidRPr="007E392F" w:rsidRDefault="00FA6667" w:rsidP="005F2518">
      <w:pPr>
        <w:pStyle w:val="FootnoteText"/>
        <w:ind w:firstLine="0"/>
        <w:rPr>
          <w:lang w:val="es-ES"/>
        </w:rPr>
      </w:pPr>
      <w:r>
        <w:rPr>
          <w:rStyle w:val="FootnoteReference"/>
        </w:rPr>
        <w:footnoteRef/>
      </w:r>
      <w:r w:rsidRPr="007E392F">
        <w:rPr>
          <w:lang w:val="es-ES"/>
        </w:rPr>
        <w:t xml:space="preserve"> Decisión XII/3, párr</w:t>
      </w:r>
      <w:r>
        <w:rPr>
          <w:lang w:val="es-ES"/>
        </w:rPr>
        <w:t>.</w:t>
      </w:r>
      <w:r w:rsidRPr="007E392F">
        <w:rPr>
          <w:lang w:val="es-ES"/>
        </w:rPr>
        <w:t xml:space="preserve"> 15 </w:t>
      </w:r>
      <w:r>
        <w:rPr>
          <w:lang w:val="es-ES"/>
        </w:rPr>
        <w:t>y anexo</w:t>
      </w:r>
      <w:r w:rsidRPr="007E392F">
        <w:rPr>
          <w:lang w:val="es-ES"/>
        </w:rPr>
        <w:t xml:space="preserve"> III.</w:t>
      </w:r>
    </w:p>
  </w:footnote>
  <w:footnote w:id="33">
    <w:p w:rsidR="00FA6667" w:rsidRPr="007E392F" w:rsidRDefault="00FA6667" w:rsidP="005F2518">
      <w:pPr>
        <w:pStyle w:val="FootnoteText"/>
        <w:ind w:firstLine="0"/>
        <w:rPr>
          <w:lang w:val="es-ES"/>
        </w:rPr>
      </w:pPr>
      <w:r>
        <w:rPr>
          <w:rStyle w:val="FootnoteReference"/>
        </w:rPr>
        <w:footnoteRef/>
      </w:r>
      <w:r w:rsidRPr="007E392F">
        <w:rPr>
          <w:lang w:val="es-ES"/>
        </w:rPr>
        <w:t xml:space="preserve"> Decisión XIII/20, párr</w:t>
      </w:r>
      <w:r>
        <w:rPr>
          <w:lang w:val="es-ES"/>
        </w:rPr>
        <w:t>.</w:t>
      </w:r>
      <w:r w:rsidRPr="007E392F">
        <w:rPr>
          <w:lang w:val="es-ES"/>
        </w:rPr>
        <w:t xml:space="preserve"> 18 </w:t>
      </w:r>
      <w:r>
        <w:rPr>
          <w:lang w:val="es-ES"/>
        </w:rPr>
        <w:t>y anexo</w:t>
      </w:r>
      <w:r w:rsidRPr="007E392F">
        <w:rPr>
          <w:lang w:val="es-ES"/>
        </w:rPr>
        <w:t xml:space="preserve">. </w:t>
      </w:r>
    </w:p>
  </w:footnote>
  <w:footnote w:id="34">
    <w:p w:rsidR="00FA6667" w:rsidRPr="00EE185F" w:rsidRDefault="00FA6667" w:rsidP="005F2518">
      <w:pPr>
        <w:pStyle w:val="FootnoteText"/>
        <w:ind w:firstLine="0"/>
        <w:rPr>
          <w:lang w:val="es-ES"/>
        </w:rPr>
      </w:pPr>
      <w:r>
        <w:rPr>
          <w:rStyle w:val="FootnoteReference"/>
        </w:rPr>
        <w:footnoteRef/>
      </w:r>
      <w:r w:rsidRPr="00EE185F">
        <w:rPr>
          <w:lang w:val="es-ES"/>
        </w:rPr>
        <w:t xml:space="preserve"> </w:t>
      </w:r>
      <w:hyperlink r:id="rId17" w:history="1">
        <w:r w:rsidRPr="00ED4111">
          <w:rPr>
            <w:rStyle w:val="Hyperlink"/>
            <w:lang w:val="es-ES"/>
          </w:rPr>
          <w:t>https://www.cbd.int/financial/hlp/doc/CBD-HLP-FullReport-EN.pdf</w:t>
        </w:r>
      </w:hyperlink>
    </w:p>
  </w:footnote>
  <w:footnote w:id="35">
    <w:p w:rsidR="00FA6667" w:rsidRPr="00E90EA5" w:rsidRDefault="00FA6667" w:rsidP="00B840DD">
      <w:pPr>
        <w:pStyle w:val="FootnoteText"/>
        <w:ind w:firstLine="0"/>
        <w:jc w:val="left"/>
        <w:rPr>
          <w:lang w:val="es-ES"/>
        </w:rPr>
      </w:pPr>
      <w:r>
        <w:rPr>
          <w:rStyle w:val="FootnoteReference"/>
        </w:rPr>
        <w:footnoteRef/>
      </w:r>
      <w:r w:rsidRPr="00E90EA5">
        <w:rPr>
          <w:lang w:val="es-ES"/>
        </w:rPr>
        <w:t xml:space="preserve"> </w:t>
      </w:r>
      <w:hyperlink r:id="rId18" w:history="1">
        <w:r w:rsidRPr="00E90EA5">
          <w:rPr>
            <w:rStyle w:val="Hyperlink"/>
            <w:lang w:val="es-ES"/>
          </w:rPr>
          <w:t>https://www.cbd.int/doc/meetings/fin/hlpgar-sp-01/official/hlpgar-sp-01-01-report-en.pdf</w:t>
        </w:r>
      </w:hyperlink>
      <w:r w:rsidRPr="00E90EA5">
        <w:rPr>
          <w:lang w:val="es-ES"/>
        </w:rPr>
        <w:t xml:space="preserve"> y</w:t>
      </w:r>
    </w:p>
  </w:footnote>
  <w:footnote w:id="36">
    <w:p w:rsidR="00FA6667" w:rsidRPr="00EE185F" w:rsidRDefault="00FA6667" w:rsidP="00B840DD">
      <w:pPr>
        <w:pStyle w:val="FootnoteText"/>
        <w:ind w:firstLine="0"/>
        <w:jc w:val="left"/>
        <w:rPr>
          <w:lang w:val="es-ES"/>
        </w:rPr>
      </w:pPr>
      <w:r>
        <w:rPr>
          <w:rStyle w:val="FootnoteReference"/>
        </w:rPr>
        <w:footnoteRef/>
      </w:r>
      <w:r w:rsidRPr="00EE185F">
        <w:rPr>
          <w:lang w:val="es-ES"/>
        </w:rPr>
        <w:t xml:space="preserve"> </w:t>
      </w:r>
      <w:hyperlink r:id="rId19" w:history="1">
        <w:r w:rsidRPr="00EE185F">
          <w:rPr>
            <w:rStyle w:val="Hyperlink"/>
            <w:lang w:val="es-ES"/>
          </w:rPr>
          <w:t>https://www.cbd.int/meetings/DS-FB-01</w:t>
        </w:r>
      </w:hyperlink>
      <w:r w:rsidRPr="00EE185F">
        <w:rPr>
          <w:lang w:val="es-ES"/>
        </w:rPr>
        <w:t xml:space="preserve"> ; </w:t>
      </w:r>
      <w:hyperlink r:id="rId20" w:history="1">
        <w:r w:rsidRPr="00EE185F">
          <w:rPr>
            <w:rStyle w:val="Hyperlink"/>
            <w:lang w:val="es-ES"/>
          </w:rPr>
          <w:t>https://www.cbd.int/meetings/DS-FB-02</w:t>
        </w:r>
      </w:hyperlink>
      <w:r w:rsidRPr="00EE185F">
        <w:rPr>
          <w:lang w:val="es-ES"/>
        </w:rPr>
        <w:t xml:space="preserve"> ; </w:t>
      </w:r>
      <w:hyperlink r:id="rId21" w:history="1">
        <w:r w:rsidRPr="00EE185F">
          <w:rPr>
            <w:rStyle w:val="Hyperlink"/>
            <w:lang w:val="es-ES"/>
          </w:rPr>
          <w:t>https://www.cbd.int/meetings/RMWS-2015-02</w:t>
        </w:r>
      </w:hyperlink>
      <w:r w:rsidRPr="00EE185F">
        <w:rPr>
          <w:lang w:val="es-ES"/>
        </w:rPr>
        <w:t xml:space="preserve"> </w:t>
      </w:r>
    </w:p>
  </w:footnote>
  <w:footnote w:id="37">
    <w:p w:rsidR="00FA6667" w:rsidRPr="008D5505" w:rsidRDefault="00FA6667" w:rsidP="005F2518">
      <w:pPr>
        <w:pStyle w:val="FootnoteText"/>
        <w:ind w:firstLine="0"/>
        <w:rPr>
          <w:lang w:val="es-ES"/>
        </w:rPr>
      </w:pPr>
      <w:r>
        <w:rPr>
          <w:rStyle w:val="FootnoteReference"/>
        </w:rPr>
        <w:footnoteRef/>
      </w:r>
      <w:r w:rsidR="00F600E5">
        <w:rPr>
          <w:lang w:val="es-ES"/>
        </w:rPr>
        <w:t xml:space="preserve"> </w:t>
      </w:r>
      <w:r w:rsidRPr="008D5505">
        <w:rPr>
          <w:lang w:val="es-ES"/>
        </w:rPr>
        <w:t xml:space="preserve">A saber, </w:t>
      </w:r>
      <w:r>
        <w:rPr>
          <w:lang w:val="es-ES"/>
        </w:rPr>
        <w:t>a</w:t>
      </w:r>
      <w:r w:rsidRPr="008D5505">
        <w:rPr>
          <w:lang w:val="es-ES"/>
        </w:rPr>
        <w:t>) examen institucional y normativo</w:t>
      </w:r>
      <w:r>
        <w:rPr>
          <w:lang w:val="es-ES"/>
        </w:rPr>
        <w:t>,</w:t>
      </w:r>
      <w:r w:rsidRPr="008D5505">
        <w:rPr>
          <w:lang w:val="es-ES"/>
        </w:rPr>
        <w:t xml:space="preserve"> </w:t>
      </w:r>
      <w:r>
        <w:rPr>
          <w:lang w:val="es-ES"/>
        </w:rPr>
        <w:t>b</w:t>
      </w:r>
      <w:r w:rsidRPr="008D5505">
        <w:rPr>
          <w:lang w:val="es-ES"/>
        </w:rPr>
        <w:t>) examen de gastos en materia de diversidad biológica</w:t>
      </w:r>
      <w:r>
        <w:rPr>
          <w:lang w:val="es-ES"/>
        </w:rPr>
        <w:t>,</w:t>
      </w:r>
      <w:r w:rsidRPr="008D5505">
        <w:rPr>
          <w:lang w:val="es-ES"/>
        </w:rPr>
        <w:t xml:space="preserve"> </w:t>
      </w:r>
      <w:r>
        <w:rPr>
          <w:lang w:val="es-ES"/>
        </w:rPr>
        <w:t>c</w:t>
      </w:r>
      <w:r w:rsidRPr="008D5505">
        <w:rPr>
          <w:lang w:val="es-ES"/>
        </w:rPr>
        <w:t>) evaluación de necesidades y défi</w:t>
      </w:r>
      <w:r>
        <w:rPr>
          <w:lang w:val="es-ES"/>
        </w:rPr>
        <w:t>ci</w:t>
      </w:r>
      <w:r w:rsidRPr="008D5505">
        <w:rPr>
          <w:lang w:val="es-ES"/>
        </w:rPr>
        <w:t>ts en materia de financiación</w:t>
      </w:r>
      <w:r>
        <w:rPr>
          <w:lang w:val="es-ES"/>
        </w:rPr>
        <w:t>,</w:t>
      </w:r>
      <w:r w:rsidRPr="008D5505">
        <w:rPr>
          <w:lang w:val="es-ES"/>
        </w:rPr>
        <w:t xml:space="preserve"> </w:t>
      </w:r>
      <w:r>
        <w:rPr>
          <w:lang w:val="es-ES"/>
        </w:rPr>
        <w:t>y d</w:t>
      </w:r>
      <w:r w:rsidRPr="008D5505">
        <w:rPr>
          <w:lang w:val="es-ES"/>
        </w:rPr>
        <w:t xml:space="preserve">) </w:t>
      </w:r>
      <w:r>
        <w:rPr>
          <w:lang w:val="es-ES"/>
        </w:rPr>
        <w:t>elaboración de un plan nacional de financiación</w:t>
      </w:r>
      <w:r w:rsidRPr="008D5505">
        <w:rPr>
          <w:lang w:val="es-ES"/>
        </w:rPr>
        <w:t xml:space="preserve">, </w:t>
      </w:r>
      <w:r>
        <w:rPr>
          <w:lang w:val="es-ES"/>
        </w:rPr>
        <w:t>aprovechando una amplia gama de soluciones de financiación identificadas para la diversidad biológica,</w:t>
      </w:r>
      <w:r w:rsidRPr="008D5505">
        <w:rPr>
          <w:lang w:val="es-ES"/>
        </w:rPr>
        <w:t xml:space="preserve"> </w:t>
      </w:r>
      <w:r>
        <w:rPr>
          <w:lang w:val="es-ES"/>
        </w:rPr>
        <w:t xml:space="preserve">refleja así los elementos de la meta </w:t>
      </w:r>
      <w:r w:rsidRPr="008D5505">
        <w:rPr>
          <w:lang w:val="es-ES"/>
        </w:rPr>
        <w:t>1</w:t>
      </w:r>
      <w:r>
        <w:rPr>
          <w:lang w:val="es-ES"/>
        </w:rPr>
        <w:t> </w:t>
      </w:r>
      <w:r w:rsidRPr="008D5505">
        <w:rPr>
          <w:lang w:val="es-ES"/>
        </w:rPr>
        <w:t xml:space="preserve">b) </w:t>
      </w:r>
      <w:r>
        <w:rPr>
          <w:lang w:val="es-ES"/>
        </w:rPr>
        <w:t>a la 1 </w:t>
      </w:r>
      <w:r w:rsidRPr="008D5505">
        <w:rPr>
          <w:lang w:val="es-ES"/>
        </w:rPr>
        <w:t xml:space="preserve">d). </w:t>
      </w:r>
    </w:p>
  </w:footnote>
  <w:footnote w:id="38">
    <w:p w:rsidR="00FA6667" w:rsidRPr="00AB7187" w:rsidRDefault="00FA6667" w:rsidP="00AB7187">
      <w:pPr>
        <w:pStyle w:val="FootnoteText"/>
        <w:suppressLineNumbers/>
        <w:suppressAutoHyphens/>
        <w:kinsoku w:val="0"/>
        <w:overflowPunct w:val="0"/>
        <w:autoSpaceDE w:val="0"/>
        <w:autoSpaceDN w:val="0"/>
        <w:ind w:firstLine="0"/>
        <w:jc w:val="left"/>
        <w:rPr>
          <w:noProof/>
          <w:snapToGrid w:val="0"/>
          <w:kern w:val="18"/>
          <w:szCs w:val="18"/>
          <w:lang w:val="es-ES"/>
        </w:rPr>
      </w:pPr>
      <w:r w:rsidRPr="00430593">
        <w:rPr>
          <w:rStyle w:val="FootnoteReference"/>
          <w:noProof/>
          <w:snapToGrid w:val="0"/>
          <w:kern w:val="18"/>
          <w:sz w:val="18"/>
          <w:szCs w:val="18"/>
        </w:rPr>
        <w:footnoteRef/>
      </w:r>
      <w:r w:rsidRPr="00AB7187">
        <w:rPr>
          <w:noProof/>
          <w:snapToGrid w:val="0"/>
          <w:kern w:val="18"/>
          <w:szCs w:val="18"/>
          <w:lang w:val="es-ES"/>
        </w:rPr>
        <w:t xml:space="preserve"> Véase la resolución </w:t>
      </w:r>
      <w:hyperlink r:id="rId22" w:history="1">
        <w:r w:rsidRPr="00AB7187">
          <w:rPr>
            <w:rStyle w:val="Hyperlink"/>
            <w:noProof/>
            <w:snapToGrid w:val="0"/>
            <w:kern w:val="18"/>
            <w:szCs w:val="18"/>
            <w:lang w:val="es-ES"/>
          </w:rPr>
          <w:t>70/1</w:t>
        </w:r>
      </w:hyperlink>
      <w:r w:rsidRPr="00AB7187">
        <w:rPr>
          <w:noProof/>
          <w:snapToGrid w:val="0"/>
          <w:kern w:val="18"/>
          <w:szCs w:val="18"/>
          <w:lang w:val="es-ES"/>
        </w:rPr>
        <w:t xml:space="preserve"> de la Asamblea General, titulada “Transformar nuestro mundo: la Agenda 2030 para el Desarrollo Sostenible”.</w:t>
      </w:r>
    </w:p>
  </w:footnote>
  <w:footnote w:id="39">
    <w:p w:rsidR="00FA6667" w:rsidRPr="00204F94" w:rsidRDefault="00FA6667" w:rsidP="00204F94">
      <w:pPr>
        <w:pStyle w:val="FootnoteText"/>
        <w:suppressLineNumbers/>
        <w:suppressAutoHyphens/>
        <w:kinsoku w:val="0"/>
        <w:overflowPunct w:val="0"/>
        <w:autoSpaceDE w:val="0"/>
        <w:autoSpaceDN w:val="0"/>
        <w:ind w:firstLine="0"/>
        <w:jc w:val="left"/>
        <w:rPr>
          <w:noProof/>
          <w:snapToGrid w:val="0"/>
          <w:kern w:val="18"/>
          <w:szCs w:val="18"/>
          <w:lang w:val="es-ES"/>
        </w:rPr>
      </w:pPr>
      <w:r w:rsidRPr="00430593">
        <w:rPr>
          <w:rStyle w:val="FootnoteReference"/>
          <w:noProof/>
          <w:snapToGrid w:val="0"/>
          <w:kern w:val="18"/>
          <w:sz w:val="18"/>
          <w:szCs w:val="18"/>
        </w:rPr>
        <w:footnoteRef/>
      </w:r>
      <w:r w:rsidRPr="00204F94">
        <w:rPr>
          <w:noProof/>
          <w:snapToGrid w:val="0"/>
          <w:kern w:val="18"/>
          <w:szCs w:val="18"/>
          <w:lang w:val="es-ES"/>
        </w:rPr>
        <w:t xml:space="preserve"> CBD/SBI/2/7/Add.1.</w:t>
      </w:r>
    </w:p>
  </w:footnote>
  <w:footnote w:id="40">
    <w:p w:rsidR="00FA6667" w:rsidRPr="00D65355" w:rsidRDefault="00FA6667" w:rsidP="0029046F">
      <w:pPr>
        <w:pStyle w:val="FootnoteText"/>
        <w:ind w:firstLine="0"/>
        <w:rPr>
          <w:noProof/>
          <w:snapToGrid w:val="0"/>
          <w:kern w:val="18"/>
          <w:szCs w:val="18"/>
          <w:lang w:val="es-ES"/>
        </w:rPr>
      </w:pPr>
      <w:r w:rsidRPr="00430593">
        <w:rPr>
          <w:rStyle w:val="FootnoteReference"/>
          <w:noProof/>
          <w:snapToGrid w:val="0"/>
          <w:kern w:val="18"/>
          <w:sz w:val="18"/>
          <w:szCs w:val="18"/>
        </w:rPr>
        <w:footnoteRef/>
      </w:r>
      <w:r w:rsidRPr="00D65355">
        <w:rPr>
          <w:noProof/>
          <w:snapToGrid w:val="0"/>
          <w:kern w:val="18"/>
          <w:szCs w:val="18"/>
          <w:lang w:val="es-ES"/>
        </w:rPr>
        <w:t xml:space="preserve"> Decisión </w:t>
      </w:r>
      <w:hyperlink r:id="rId23" w:history="1">
        <w:r w:rsidRPr="00D65355">
          <w:rPr>
            <w:rStyle w:val="Hyperlink"/>
            <w:noProof/>
            <w:snapToGrid w:val="0"/>
            <w:kern w:val="18"/>
            <w:szCs w:val="18"/>
            <w:lang w:val="es-ES"/>
          </w:rPr>
          <w:t>XII/3</w:t>
        </w:r>
      </w:hyperlink>
      <w:r w:rsidRPr="00D65355">
        <w:rPr>
          <w:noProof/>
          <w:snapToGrid w:val="0"/>
          <w:kern w:val="18"/>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667" w:rsidRDefault="00FA6667" w:rsidP="00534681">
    <w:pPr>
      <w:pStyle w:val="Header"/>
    </w:pPr>
    <w:r>
      <w:t>CBD/SBI/2/7</w:t>
    </w:r>
  </w:p>
  <w:p w:rsidR="00FA6667" w:rsidRDefault="00FA6667" w:rsidP="00B840DD">
    <w:pPr>
      <w:pStyle w:val="Header"/>
      <w:spacing w:after="240"/>
    </w:pPr>
    <w:bookmarkStart w:id="2" w:name="_GoBack"/>
    <w:r w:rsidRPr="00E43667">
      <w:rPr>
        <w:lang w:val="es-AR"/>
      </w:rPr>
      <w:t>Página</w:t>
    </w:r>
    <w:r>
      <w:t xml:space="preserve"> </w:t>
    </w:r>
    <w:bookmarkEnd w:id="2"/>
    <w:r w:rsidR="00E43667">
      <w:fldChar w:fldCharType="begin"/>
    </w:r>
    <w:r w:rsidR="00E43667">
      <w:instrText xml:space="preserve"> PAGE   \* MERGEFORMAT </w:instrText>
    </w:r>
    <w:r w:rsidR="00E43667">
      <w:fldChar w:fldCharType="separate"/>
    </w:r>
    <w:r w:rsidR="00E43667">
      <w:rPr>
        <w:noProof/>
      </w:rPr>
      <w:t>2</w:t>
    </w:r>
    <w:r w:rsidR="00E43667">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667" w:rsidRDefault="00FA6667" w:rsidP="009505C9">
    <w:pPr>
      <w:pStyle w:val="Header"/>
      <w:jc w:val="right"/>
    </w:pPr>
    <w:r>
      <w:t>CBD/SBI/2/7</w:t>
    </w:r>
  </w:p>
  <w:p w:rsidR="00FA6667" w:rsidRDefault="00FA6667" w:rsidP="00B840DD">
    <w:pPr>
      <w:pStyle w:val="Header"/>
      <w:spacing w:after="240"/>
      <w:jc w:val="right"/>
    </w:pPr>
    <w:proofErr w:type="spellStart"/>
    <w:r>
      <w:t>Página</w:t>
    </w:r>
    <w:proofErr w:type="spellEnd"/>
    <w:r>
      <w:t xml:space="preserve"> </w:t>
    </w:r>
    <w:r w:rsidR="00E43667">
      <w:fldChar w:fldCharType="begin"/>
    </w:r>
    <w:r w:rsidR="00E43667">
      <w:instrText xml:space="preserve"> PAGE   \* MERGEFORMAT </w:instrText>
    </w:r>
    <w:r w:rsidR="00E43667">
      <w:fldChar w:fldCharType="separate"/>
    </w:r>
    <w:r w:rsidR="00E43667">
      <w:rPr>
        <w:noProof/>
      </w:rPr>
      <w:t>15</w:t>
    </w:r>
    <w:r w:rsidR="00E43667">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667" w:rsidRDefault="00E43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BE27066"/>
    <w:multiLevelType w:val="hybridMultilevel"/>
    <w:tmpl w:val="B188627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49F657E"/>
    <w:multiLevelType w:val="hybridMultilevel"/>
    <w:tmpl w:val="C9067332"/>
    <w:lvl w:ilvl="0" w:tplc="A832028E">
      <w:start w:val="1"/>
      <w:numFmt w:val="decimal"/>
      <w:lvlText w:val="%1."/>
      <w:lvlJc w:val="left"/>
      <w:pPr>
        <w:ind w:left="144" w:hanging="190"/>
      </w:pPr>
      <w:rPr>
        <w:rFonts w:ascii="Times New Roman" w:eastAsia="Times New Roman" w:hAnsi="Times New Roman" w:cs="Times New Roman" w:hint="default"/>
        <w:w w:val="103"/>
        <w:sz w:val="17"/>
        <w:szCs w:val="17"/>
      </w:rPr>
    </w:lvl>
    <w:lvl w:ilvl="1" w:tplc="51348B72">
      <w:start w:val="1"/>
      <w:numFmt w:val="lowerLetter"/>
      <w:lvlText w:val="(%2)"/>
      <w:lvlJc w:val="left"/>
      <w:pPr>
        <w:ind w:left="144" w:hanging="305"/>
      </w:pPr>
      <w:rPr>
        <w:rFonts w:ascii="Times New Roman" w:eastAsia="Times New Roman" w:hAnsi="Times New Roman" w:cs="Times New Roman" w:hint="default"/>
        <w:spacing w:val="-1"/>
        <w:w w:val="103"/>
        <w:sz w:val="17"/>
        <w:szCs w:val="17"/>
      </w:rPr>
    </w:lvl>
    <w:lvl w:ilvl="2" w:tplc="1EDE914C">
      <w:numFmt w:val="bullet"/>
      <w:lvlText w:val="•"/>
      <w:lvlJc w:val="left"/>
      <w:pPr>
        <w:ind w:left="1821" w:hanging="305"/>
      </w:pPr>
      <w:rPr>
        <w:rFonts w:hint="default"/>
      </w:rPr>
    </w:lvl>
    <w:lvl w:ilvl="3" w:tplc="A784070C">
      <w:numFmt w:val="bullet"/>
      <w:lvlText w:val="•"/>
      <w:lvlJc w:val="left"/>
      <w:pPr>
        <w:ind w:left="2661" w:hanging="305"/>
      </w:pPr>
      <w:rPr>
        <w:rFonts w:hint="default"/>
      </w:rPr>
    </w:lvl>
    <w:lvl w:ilvl="4" w:tplc="D59A17A0">
      <w:numFmt w:val="bullet"/>
      <w:lvlText w:val="•"/>
      <w:lvlJc w:val="left"/>
      <w:pPr>
        <w:ind w:left="3502" w:hanging="305"/>
      </w:pPr>
      <w:rPr>
        <w:rFonts w:hint="default"/>
      </w:rPr>
    </w:lvl>
    <w:lvl w:ilvl="5" w:tplc="A48281AE">
      <w:numFmt w:val="bullet"/>
      <w:lvlText w:val="•"/>
      <w:lvlJc w:val="left"/>
      <w:pPr>
        <w:ind w:left="4342" w:hanging="305"/>
      </w:pPr>
      <w:rPr>
        <w:rFonts w:hint="default"/>
      </w:rPr>
    </w:lvl>
    <w:lvl w:ilvl="6" w:tplc="945872DA">
      <w:numFmt w:val="bullet"/>
      <w:lvlText w:val="•"/>
      <w:lvlJc w:val="left"/>
      <w:pPr>
        <w:ind w:left="5183" w:hanging="305"/>
      </w:pPr>
      <w:rPr>
        <w:rFonts w:hint="default"/>
      </w:rPr>
    </w:lvl>
    <w:lvl w:ilvl="7" w:tplc="AF9A1EF2">
      <w:numFmt w:val="bullet"/>
      <w:lvlText w:val="•"/>
      <w:lvlJc w:val="left"/>
      <w:pPr>
        <w:ind w:left="6023" w:hanging="305"/>
      </w:pPr>
      <w:rPr>
        <w:rFonts w:hint="default"/>
      </w:rPr>
    </w:lvl>
    <w:lvl w:ilvl="8" w:tplc="B29822CE">
      <w:numFmt w:val="bullet"/>
      <w:lvlText w:val="•"/>
      <w:lvlJc w:val="left"/>
      <w:pPr>
        <w:ind w:left="6864" w:hanging="305"/>
      </w:pPr>
      <w:rPr>
        <w:rFonts w:hint="default"/>
      </w:r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CD55C62"/>
    <w:multiLevelType w:val="hybridMultilevel"/>
    <w:tmpl w:val="A4E426B4"/>
    <w:lvl w:ilvl="0" w:tplc="0409000F">
      <w:start w:val="1"/>
      <w:numFmt w:val="decimal"/>
      <w:lvlText w:val="%1."/>
      <w:lvlJc w:val="left"/>
      <w:pPr>
        <w:ind w:left="810" w:hanging="360"/>
      </w:pPr>
    </w:lvl>
    <w:lvl w:ilvl="1" w:tplc="251A987C">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3D25605"/>
    <w:multiLevelType w:val="hybridMultilevel"/>
    <w:tmpl w:val="80B2D0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A947B9"/>
    <w:multiLevelType w:val="hybridMultilevel"/>
    <w:tmpl w:val="289E84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2A5C80"/>
    <w:multiLevelType w:val="hybridMultilevel"/>
    <w:tmpl w:val="C128A186"/>
    <w:lvl w:ilvl="0" w:tplc="08090017">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41234C"/>
    <w:multiLevelType w:val="hybridMultilevel"/>
    <w:tmpl w:val="F53C862E"/>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9"/>
  </w:num>
  <w:num w:numId="5">
    <w:abstractNumId w:val="7"/>
  </w:num>
  <w:num w:numId="6">
    <w:abstractNumId w:val="0"/>
  </w:num>
  <w:num w:numId="7">
    <w:abstractNumId w:val="2"/>
  </w:num>
  <w:num w:numId="8">
    <w:abstractNumId w:val="6"/>
    <w:lvlOverride w:ilvl="0">
      <w:startOverride w:val="1"/>
    </w:lvlOverride>
  </w:num>
  <w:num w:numId="9">
    <w:abstractNumId w:val="14"/>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2"/>
  </w:num>
  <w:num w:numId="15">
    <w:abstractNumId w:val="11"/>
  </w:num>
  <w:num w:numId="16">
    <w:abstractNumId w:val="1"/>
  </w:num>
  <w:num w:numId="17">
    <w:abstractNumId w:val="16"/>
  </w:num>
  <w:num w:numId="18">
    <w:abstractNumId w:val="18"/>
  </w:num>
  <w:num w:numId="19">
    <w:abstractNumId w:val="3"/>
  </w:num>
  <w:num w:numId="20">
    <w:abstractNumId w:val="10"/>
  </w:num>
  <w:num w:numId="21">
    <w:abstractNumId w:val="13"/>
  </w:num>
  <w:num w:numId="22">
    <w:abstractNumId w:val="8"/>
  </w:num>
  <w:num w:numId="23">
    <w:abstractNumId w:val="15"/>
  </w:num>
  <w:num w:numId="24">
    <w:abstractNumId w:val="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2"/>
  <w:proofState w:spelling="clean"/>
  <w:defaultTabStop w:val="720"/>
  <w:evenAndOddHeaders/>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
  <w:rsids>
    <w:rsidRoot w:val="00C9161D"/>
    <w:rsid w:val="00012A5F"/>
    <w:rsid w:val="0001430B"/>
    <w:rsid w:val="00030A3C"/>
    <w:rsid w:val="0004150F"/>
    <w:rsid w:val="00044D65"/>
    <w:rsid w:val="000470DF"/>
    <w:rsid w:val="000560FA"/>
    <w:rsid w:val="00080537"/>
    <w:rsid w:val="00084813"/>
    <w:rsid w:val="00086FA2"/>
    <w:rsid w:val="00097B34"/>
    <w:rsid w:val="000A4F7D"/>
    <w:rsid w:val="000B5ABB"/>
    <w:rsid w:val="000B7F1F"/>
    <w:rsid w:val="000E552C"/>
    <w:rsid w:val="000E673A"/>
    <w:rsid w:val="000E74AD"/>
    <w:rsid w:val="000F143E"/>
    <w:rsid w:val="000F25E1"/>
    <w:rsid w:val="000F74F5"/>
    <w:rsid w:val="00105372"/>
    <w:rsid w:val="001201F9"/>
    <w:rsid w:val="00121A04"/>
    <w:rsid w:val="00131E7A"/>
    <w:rsid w:val="00133A77"/>
    <w:rsid w:val="00134542"/>
    <w:rsid w:val="00134823"/>
    <w:rsid w:val="00140B7E"/>
    <w:rsid w:val="00155F36"/>
    <w:rsid w:val="001661F8"/>
    <w:rsid w:val="00167234"/>
    <w:rsid w:val="00172AF6"/>
    <w:rsid w:val="00174912"/>
    <w:rsid w:val="00175A99"/>
    <w:rsid w:val="00175B7C"/>
    <w:rsid w:val="00176CEE"/>
    <w:rsid w:val="001800EA"/>
    <w:rsid w:val="001841D2"/>
    <w:rsid w:val="00184CA8"/>
    <w:rsid w:val="00186DD8"/>
    <w:rsid w:val="001A2551"/>
    <w:rsid w:val="001C294C"/>
    <w:rsid w:val="001D1A5B"/>
    <w:rsid w:val="001D6408"/>
    <w:rsid w:val="001F2E90"/>
    <w:rsid w:val="001F39F4"/>
    <w:rsid w:val="001F5F0B"/>
    <w:rsid w:val="001F735C"/>
    <w:rsid w:val="00204F94"/>
    <w:rsid w:val="00213F0A"/>
    <w:rsid w:val="00227B77"/>
    <w:rsid w:val="00253406"/>
    <w:rsid w:val="00262105"/>
    <w:rsid w:val="00265DBC"/>
    <w:rsid w:val="0029046F"/>
    <w:rsid w:val="00296461"/>
    <w:rsid w:val="002972AF"/>
    <w:rsid w:val="002C1F20"/>
    <w:rsid w:val="002D6A9C"/>
    <w:rsid w:val="002E6B4D"/>
    <w:rsid w:val="002F29E8"/>
    <w:rsid w:val="002F3D6F"/>
    <w:rsid w:val="00307FD7"/>
    <w:rsid w:val="00311F6C"/>
    <w:rsid w:val="0032546D"/>
    <w:rsid w:val="00352B7D"/>
    <w:rsid w:val="00354766"/>
    <w:rsid w:val="0035509E"/>
    <w:rsid w:val="003574F1"/>
    <w:rsid w:val="00370E10"/>
    <w:rsid w:val="00372F74"/>
    <w:rsid w:val="003932DF"/>
    <w:rsid w:val="003A1643"/>
    <w:rsid w:val="003A35A4"/>
    <w:rsid w:val="003A4553"/>
    <w:rsid w:val="003D0AAB"/>
    <w:rsid w:val="003D5213"/>
    <w:rsid w:val="003E3363"/>
    <w:rsid w:val="003F53BF"/>
    <w:rsid w:val="003F7224"/>
    <w:rsid w:val="00401B35"/>
    <w:rsid w:val="00402A8D"/>
    <w:rsid w:val="004058A3"/>
    <w:rsid w:val="00427D21"/>
    <w:rsid w:val="004330D2"/>
    <w:rsid w:val="00450424"/>
    <w:rsid w:val="0045200E"/>
    <w:rsid w:val="004644C2"/>
    <w:rsid w:val="0046460D"/>
    <w:rsid w:val="00467F9C"/>
    <w:rsid w:val="00472B9C"/>
    <w:rsid w:val="00476EC5"/>
    <w:rsid w:val="00491CB6"/>
    <w:rsid w:val="0049225D"/>
    <w:rsid w:val="004A4128"/>
    <w:rsid w:val="004B60DF"/>
    <w:rsid w:val="004F25E2"/>
    <w:rsid w:val="004F4A96"/>
    <w:rsid w:val="004F6EE9"/>
    <w:rsid w:val="005053F0"/>
    <w:rsid w:val="00506864"/>
    <w:rsid w:val="00506924"/>
    <w:rsid w:val="00511E2B"/>
    <w:rsid w:val="0051304F"/>
    <w:rsid w:val="0051533C"/>
    <w:rsid w:val="00534681"/>
    <w:rsid w:val="0053516A"/>
    <w:rsid w:val="00540D19"/>
    <w:rsid w:val="00541C9D"/>
    <w:rsid w:val="0056277A"/>
    <w:rsid w:val="00563DF2"/>
    <w:rsid w:val="00564619"/>
    <w:rsid w:val="005654FA"/>
    <w:rsid w:val="0057384E"/>
    <w:rsid w:val="0058356B"/>
    <w:rsid w:val="00583760"/>
    <w:rsid w:val="00594A82"/>
    <w:rsid w:val="005A4BA5"/>
    <w:rsid w:val="005B1376"/>
    <w:rsid w:val="005B5DAC"/>
    <w:rsid w:val="005C18D3"/>
    <w:rsid w:val="005D25A1"/>
    <w:rsid w:val="005F2518"/>
    <w:rsid w:val="006122BA"/>
    <w:rsid w:val="00615B26"/>
    <w:rsid w:val="0063116B"/>
    <w:rsid w:val="00631AF5"/>
    <w:rsid w:val="00647DAA"/>
    <w:rsid w:val="0065726C"/>
    <w:rsid w:val="00663384"/>
    <w:rsid w:val="006829A8"/>
    <w:rsid w:val="00692D5D"/>
    <w:rsid w:val="00692FE7"/>
    <w:rsid w:val="006B2290"/>
    <w:rsid w:val="006C3039"/>
    <w:rsid w:val="006C31DF"/>
    <w:rsid w:val="006C54BB"/>
    <w:rsid w:val="006C5FC8"/>
    <w:rsid w:val="006C7B49"/>
    <w:rsid w:val="006E6D40"/>
    <w:rsid w:val="006F5F3A"/>
    <w:rsid w:val="006F6C6B"/>
    <w:rsid w:val="00704C85"/>
    <w:rsid w:val="00712956"/>
    <w:rsid w:val="00714122"/>
    <w:rsid w:val="00717D88"/>
    <w:rsid w:val="00742E7E"/>
    <w:rsid w:val="00762DD4"/>
    <w:rsid w:val="007660C8"/>
    <w:rsid w:val="0077161C"/>
    <w:rsid w:val="0078080E"/>
    <w:rsid w:val="00791811"/>
    <w:rsid w:val="00793C40"/>
    <w:rsid w:val="007942D3"/>
    <w:rsid w:val="007A4093"/>
    <w:rsid w:val="007B4F1E"/>
    <w:rsid w:val="007B6C09"/>
    <w:rsid w:val="007C4036"/>
    <w:rsid w:val="007C4BD0"/>
    <w:rsid w:val="007E0560"/>
    <w:rsid w:val="007E09DA"/>
    <w:rsid w:val="007E392F"/>
    <w:rsid w:val="007E737B"/>
    <w:rsid w:val="008040B0"/>
    <w:rsid w:val="008178B6"/>
    <w:rsid w:val="0083369C"/>
    <w:rsid w:val="00843A47"/>
    <w:rsid w:val="008569A4"/>
    <w:rsid w:val="00860503"/>
    <w:rsid w:val="008610CD"/>
    <w:rsid w:val="00865B74"/>
    <w:rsid w:val="00874B69"/>
    <w:rsid w:val="00886F3E"/>
    <w:rsid w:val="008924C9"/>
    <w:rsid w:val="008C240C"/>
    <w:rsid w:val="008D0583"/>
    <w:rsid w:val="008D23B0"/>
    <w:rsid w:val="008D473F"/>
    <w:rsid w:val="008D5505"/>
    <w:rsid w:val="008F114B"/>
    <w:rsid w:val="00913D03"/>
    <w:rsid w:val="00915787"/>
    <w:rsid w:val="00930BA1"/>
    <w:rsid w:val="0093169E"/>
    <w:rsid w:val="009419CC"/>
    <w:rsid w:val="009476D9"/>
    <w:rsid w:val="009505C9"/>
    <w:rsid w:val="00963A3D"/>
    <w:rsid w:val="00976F7A"/>
    <w:rsid w:val="0098066D"/>
    <w:rsid w:val="009852F5"/>
    <w:rsid w:val="00986181"/>
    <w:rsid w:val="0099015A"/>
    <w:rsid w:val="00994C50"/>
    <w:rsid w:val="009A6D07"/>
    <w:rsid w:val="009B0CFE"/>
    <w:rsid w:val="009B68D5"/>
    <w:rsid w:val="009E0D5E"/>
    <w:rsid w:val="009E2839"/>
    <w:rsid w:val="009E460B"/>
    <w:rsid w:val="00A07C08"/>
    <w:rsid w:val="00A1052A"/>
    <w:rsid w:val="00A277CC"/>
    <w:rsid w:val="00A311E1"/>
    <w:rsid w:val="00A31DAA"/>
    <w:rsid w:val="00A46AD9"/>
    <w:rsid w:val="00A529C5"/>
    <w:rsid w:val="00A6217C"/>
    <w:rsid w:val="00A92D4D"/>
    <w:rsid w:val="00AA30D9"/>
    <w:rsid w:val="00AB7187"/>
    <w:rsid w:val="00AC05B4"/>
    <w:rsid w:val="00AC3058"/>
    <w:rsid w:val="00AE77DF"/>
    <w:rsid w:val="00B10EC7"/>
    <w:rsid w:val="00B136D3"/>
    <w:rsid w:val="00B3369F"/>
    <w:rsid w:val="00B6280C"/>
    <w:rsid w:val="00B6303E"/>
    <w:rsid w:val="00B634EF"/>
    <w:rsid w:val="00B66A1C"/>
    <w:rsid w:val="00B67750"/>
    <w:rsid w:val="00B840DD"/>
    <w:rsid w:val="00B842B1"/>
    <w:rsid w:val="00B86015"/>
    <w:rsid w:val="00BA1458"/>
    <w:rsid w:val="00BC13D4"/>
    <w:rsid w:val="00BC6BBF"/>
    <w:rsid w:val="00C05DC8"/>
    <w:rsid w:val="00C10AF5"/>
    <w:rsid w:val="00C16D44"/>
    <w:rsid w:val="00C443BD"/>
    <w:rsid w:val="00C63D44"/>
    <w:rsid w:val="00C6406C"/>
    <w:rsid w:val="00C65B9C"/>
    <w:rsid w:val="00C758A5"/>
    <w:rsid w:val="00C9161D"/>
    <w:rsid w:val="00CC5E87"/>
    <w:rsid w:val="00CD3319"/>
    <w:rsid w:val="00CF1848"/>
    <w:rsid w:val="00CF5EAC"/>
    <w:rsid w:val="00D0119A"/>
    <w:rsid w:val="00D02BA4"/>
    <w:rsid w:val="00D12044"/>
    <w:rsid w:val="00D1274F"/>
    <w:rsid w:val="00D35A80"/>
    <w:rsid w:val="00D44C03"/>
    <w:rsid w:val="00D50775"/>
    <w:rsid w:val="00D5143E"/>
    <w:rsid w:val="00D65355"/>
    <w:rsid w:val="00D76A18"/>
    <w:rsid w:val="00D82820"/>
    <w:rsid w:val="00D978DC"/>
    <w:rsid w:val="00D9790E"/>
    <w:rsid w:val="00DA00FD"/>
    <w:rsid w:val="00DA1311"/>
    <w:rsid w:val="00DA2080"/>
    <w:rsid w:val="00DA25B9"/>
    <w:rsid w:val="00DA5ADA"/>
    <w:rsid w:val="00DB2741"/>
    <w:rsid w:val="00DB3485"/>
    <w:rsid w:val="00DB7F13"/>
    <w:rsid w:val="00DD118C"/>
    <w:rsid w:val="00DF1D13"/>
    <w:rsid w:val="00E27078"/>
    <w:rsid w:val="00E3650D"/>
    <w:rsid w:val="00E43667"/>
    <w:rsid w:val="00E50DEA"/>
    <w:rsid w:val="00E62A43"/>
    <w:rsid w:val="00E66235"/>
    <w:rsid w:val="00E6798D"/>
    <w:rsid w:val="00E83C24"/>
    <w:rsid w:val="00E90EA5"/>
    <w:rsid w:val="00E9318D"/>
    <w:rsid w:val="00EB0ACF"/>
    <w:rsid w:val="00ED4111"/>
    <w:rsid w:val="00EE185F"/>
    <w:rsid w:val="00F02682"/>
    <w:rsid w:val="00F148D9"/>
    <w:rsid w:val="00F171B3"/>
    <w:rsid w:val="00F2157E"/>
    <w:rsid w:val="00F23568"/>
    <w:rsid w:val="00F23E7A"/>
    <w:rsid w:val="00F460B6"/>
    <w:rsid w:val="00F548CC"/>
    <w:rsid w:val="00F56185"/>
    <w:rsid w:val="00F600E5"/>
    <w:rsid w:val="00F66F4E"/>
    <w:rsid w:val="00F74E8F"/>
    <w:rsid w:val="00F815F6"/>
    <w:rsid w:val="00F86C0E"/>
    <w:rsid w:val="00F94774"/>
    <w:rsid w:val="00FA28A3"/>
    <w:rsid w:val="00FA6667"/>
    <w:rsid w:val="00FC107B"/>
    <w:rsid w:val="00FC4A1D"/>
    <w:rsid w:val="00FC53DB"/>
    <w:rsid w:val="00FF2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3"/>
    <o:shapelayout v:ext="edit">
      <o:idmap v:ext="edit" data="1"/>
    </o:shapelayout>
  </w:shapeDefaults>
  <w:decimalSymbol w:val="."/>
  <w:listSeparator w:val=","/>
  <w15:docId w15:val="{47C667C5-B47A-40F0-A9A6-53301173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hAnsi="Times New Roman"/>
      <w:sz w:val="22"/>
      <w:szCs w:val="24"/>
      <w:lang w:eastAsia="en-US"/>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pBdr>
      <w:spacing w:after="300"/>
      <w:contextualSpacing/>
    </w:pPr>
    <w:rPr>
      <w:rFonts w:ascii="Calibri" w:hAnsi="Calibri"/>
      <w:color w:val="17365D"/>
      <w:spacing w:val="5"/>
      <w:kern w:val="28"/>
      <w:sz w:val="52"/>
      <w:szCs w:val="52"/>
    </w:rPr>
  </w:style>
  <w:style w:type="character" w:customStyle="1" w:styleId="TitleChar">
    <w:name w:val="Title Char"/>
    <w:basedOn w:val="DefaultParagraphFont"/>
    <w:link w:val="Title"/>
    <w:uiPriority w:val="10"/>
    <w:rsid w:val="007E09DA"/>
    <w:rPr>
      <w:rFonts w:ascii="Calibri" w:eastAsia="Times New Roman" w:hAnsi="Calibri" w:cs="Times New Roman"/>
      <w:color w:val="17365D"/>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Calibri" w:hAnsi="Calibri"/>
      <w:i/>
      <w:iCs/>
      <w:color w:val="4F81BD"/>
      <w:spacing w:val="15"/>
      <w:sz w:val="24"/>
    </w:rPr>
  </w:style>
  <w:style w:type="character" w:customStyle="1" w:styleId="SubtitleChar">
    <w:name w:val="Subtitle Char"/>
    <w:basedOn w:val="DefaultParagraphFont"/>
    <w:link w:val="Subtitle"/>
    <w:uiPriority w:val="11"/>
    <w:rsid w:val="007E09DA"/>
    <w:rPr>
      <w:rFonts w:ascii="Calibri" w:eastAsia="Times New Roman" w:hAnsi="Calibri" w:cs="Times New Roman"/>
      <w:i/>
      <w:iCs/>
      <w:color w:val="4F81BD"/>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1"/>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AA30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cbd.int/doc/c/b532/06f6/614b92006d68b2b2c096317c/sbi-02-20-es.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s://www.cbd.int/doc/c/af83/23c1/01b8aa4b67a67a991ba592c3/sbi-02-19-es.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cop-13/cop-13-dec-20-es.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bd.int/doc/decisions/cop-12/cop-12-dec-03-es.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bd.int/doc/decisions/cop-12/cop-12-dec-03-es.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biodiversityfinance.net/" TargetMode="External"/><Relationship Id="rId13" Type="http://schemas.openxmlformats.org/officeDocument/2006/relationships/hyperlink" Target="https://developmentfinance.un.org/protecting-ecosystems" TargetMode="External"/><Relationship Id="rId18" Type="http://schemas.openxmlformats.org/officeDocument/2006/relationships/hyperlink" Target="https://www.cbd.int/doc/meetings/fin/hlpgar-sp-01/official/hlpgar-sp-01-01-report-en.pdf" TargetMode="External"/><Relationship Id="rId3" Type="http://schemas.openxmlformats.org/officeDocument/2006/relationships/hyperlink" Target="https://www.cbd.int/doc/meetings/cop/cop-13/official/cop-13-11-rev1-es.pdf" TargetMode="External"/><Relationship Id="rId21" Type="http://schemas.openxmlformats.org/officeDocument/2006/relationships/hyperlink" Target="https://www.cbd.int/meetings/RMWS-2015-02" TargetMode="External"/><Relationship Id="rId7" Type="http://schemas.openxmlformats.org/officeDocument/2006/relationships/hyperlink" Target="https://www.cbd.int/doc/notifications/2018/ntf-2018-024-rm-es.pdf" TargetMode="External"/><Relationship Id="rId12" Type="http://schemas.openxmlformats.org/officeDocument/2006/relationships/hyperlink" Target="https://developmentfinance.un.org/iatf2018" TargetMode="External"/><Relationship Id="rId17" Type="http://schemas.openxmlformats.org/officeDocument/2006/relationships/hyperlink" Target="https://www.cbd.int/financial/hlp/doc/CBD-HLP-FullReport-EN.pdf" TargetMode="External"/><Relationship Id="rId2" Type="http://schemas.openxmlformats.org/officeDocument/2006/relationships/hyperlink" Target="https://www.cbd.int/doc/meetings/sbi/sbi-01/official/sbi-01-07-add1-es.doc" TargetMode="External"/><Relationship Id="rId16" Type="http://schemas.openxmlformats.org/officeDocument/2006/relationships/hyperlink" Target="https://www.cbd.int/decision/cop/default.shtml?id=13366" TargetMode="External"/><Relationship Id="rId20" Type="http://schemas.openxmlformats.org/officeDocument/2006/relationships/hyperlink" Target="https://www.cbd.int/meetings/DS-FB-02" TargetMode="External"/><Relationship Id="rId1" Type="http://schemas.openxmlformats.org/officeDocument/2006/relationships/hyperlink" Target="https://www.cbd.int/doc/decisions/cop-12/cop-12-dec-03-es.pdf" TargetMode="External"/><Relationship Id="rId6" Type="http://schemas.openxmlformats.org/officeDocument/2006/relationships/hyperlink" Target="https://www.cbd.int/doc/notifications/2017/ntf-2017-061-rm-es.pdf" TargetMode="External"/><Relationship Id="rId11" Type="http://schemas.openxmlformats.org/officeDocument/2006/relationships/hyperlink" Target="https://www.cbd.int/meetings/RMEM-2015-01" TargetMode="External"/><Relationship Id="rId5" Type="http://schemas.openxmlformats.org/officeDocument/2006/relationships/hyperlink" Target="https://www.cbd.int/doc/notifications/2017/ntf-2017-009-financial-es.pdf" TargetMode="External"/><Relationship Id="rId15" Type="http://schemas.openxmlformats.org/officeDocument/2006/relationships/hyperlink" Target="https://www.cbd.int/decision/cop/default.shtml?id=12269" TargetMode="External"/><Relationship Id="rId23" Type="http://schemas.openxmlformats.org/officeDocument/2006/relationships/hyperlink" Target="https://www.cbd.int/doc/decisions/cop-12/cop-12-dec-03-es.pdf" TargetMode="External"/><Relationship Id="rId10" Type="http://schemas.openxmlformats.org/officeDocument/2006/relationships/hyperlink" Target="http://www.biodiversityfinance.net/finance-solutions" TargetMode="External"/><Relationship Id="rId19" Type="http://schemas.openxmlformats.org/officeDocument/2006/relationships/hyperlink" Target="https://www.cbd.int/meetings/DS-FB-01" TargetMode="External"/><Relationship Id="rId4" Type="http://schemas.openxmlformats.org/officeDocument/2006/relationships/hyperlink" Target="https://www.cbd.int/doc/decisions/cop-13/cop-13-dec-20-es.pdf" TargetMode="External"/><Relationship Id="rId9" Type="http://schemas.openxmlformats.org/officeDocument/2006/relationships/hyperlink" Target="https://www.ipbes.net/conceptual-framework" TargetMode="External"/><Relationship Id="rId14" Type="http://schemas.openxmlformats.org/officeDocument/2006/relationships/hyperlink" Target="https://www.cbd.int/decision/cop/default.shtml?id=11654" TargetMode="External"/><Relationship Id="rId22" Type="http://schemas.openxmlformats.org/officeDocument/2006/relationships/hyperlink" Target="http://www.un.org/ga/search/view_doc.asp?symbol=A/RES/70/1&amp;L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16</Pages>
  <Words>8732</Words>
  <Characters>49777</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MOVILIZACIÓN DE RECURSOS</vt:lpstr>
    </vt:vector>
  </TitlesOfParts>
  <Company/>
  <LinksUpToDate>false</LinksUpToDate>
  <CharactersWithSpaces>58393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MOVILIZACIÓN DE RECURSOS</dc:title>
  <dc:subject>CBD/SBI/2/7</dc:subject>
  <dc:creator>SCBD</dc:creator>
  <cp:lastModifiedBy>Teresa Mazza</cp:lastModifiedBy>
  <cp:revision>9</cp:revision>
  <cp:lastPrinted>2018-05-29T12:29:00Z</cp:lastPrinted>
  <dcterms:created xsi:type="dcterms:W3CDTF">2018-05-29T16:25:00Z</dcterms:created>
  <dcterms:modified xsi:type="dcterms:W3CDTF">2018-05-30T13:34:00Z</dcterms:modified>
</cp:coreProperties>
</file>