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5141"/>
        <w:gridCol w:w="4214"/>
      </w:tblGrid>
      <w:tr w:rsidR="00AF2846" w:rsidRPr="003D067D" w14:paraId="16618E5E" w14:textId="77777777" w:rsidTr="008A0A75">
        <w:trPr>
          <w:trHeight w:val="844"/>
        </w:trPr>
        <w:tc>
          <w:tcPr>
            <w:tcW w:w="744" w:type="dxa"/>
            <w:tcBorders>
              <w:bottom w:val="single" w:sz="12" w:space="0" w:color="auto"/>
            </w:tcBorders>
          </w:tcPr>
          <w:p w14:paraId="0BA6B86B" w14:textId="77777777" w:rsidR="00AF2846" w:rsidRPr="008A0A75" w:rsidRDefault="00AF2846" w:rsidP="00D34382">
            <w:pPr>
              <w:rPr>
                <w:kern w:val="22"/>
                <w:lang w:val="en-GB"/>
              </w:rPr>
            </w:pPr>
            <w:bookmarkStart w:id="0" w:name="_Hlk505247837"/>
            <w:bookmarkStart w:id="1" w:name="_Toc462934071"/>
            <w:bookmarkStart w:id="2" w:name="_Toc480714127"/>
            <w:r w:rsidRPr="008A0A75">
              <w:rPr>
                <w:noProof/>
                <w:kern w:val="22"/>
                <w:lang w:val="en-GB"/>
              </w:rPr>
              <w:drawing>
                <wp:anchor distT="0" distB="0" distL="114300" distR="114300" simplePos="0" relativeHeight="251667968" behindDoc="0" locked="0" layoutInCell="1" allowOverlap="1" wp14:anchorId="520CF8A5" wp14:editId="56ABB2AC">
                  <wp:simplePos x="0" y="0"/>
                  <wp:positionH relativeFrom="column">
                    <wp:posOffset>365</wp:posOffset>
                  </wp:positionH>
                  <wp:positionV relativeFrom="page">
                    <wp:posOffset>-122</wp:posOffset>
                  </wp:positionV>
                  <wp:extent cx="476250" cy="402590"/>
                  <wp:effectExtent l="0" t="0" r="0" b="0"/>
                  <wp:wrapNone/>
                  <wp:docPr id="10" name="Picture 1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5FD96AC" w14:textId="77777777" w:rsidR="00AF2846" w:rsidRPr="008A0A75" w:rsidRDefault="00AF2846" w:rsidP="00D34382">
            <w:pPr>
              <w:rPr>
                <w:kern w:val="22"/>
                <w:lang w:val="en-GB"/>
              </w:rPr>
            </w:pPr>
            <w:r w:rsidRPr="000956F1">
              <w:rPr>
                <w:noProof/>
                <w:lang w:val="en-GB"/>
              </w:rPr>
              <w:drawing>
                <wp:anchor distT="0" distB="0" distL="114300" distR="114300" simplePos="0" relativeHeight="251660800" behindDoc="0" locked="0" layoutInCell="1" allowOverlap="1" wp14:anchorId="13F25D6F" wp14:editId="53F722D8">
                  <wp:simplePos x="0" y="0"/>
                  <wp:positionH relativeFrom="column">
                    <wp:posOffset>-121303</wp:posOffset>
                  </wp:positionH>
                  <wp:positionV relativeFrom="page">
                    <wp:posOffset>-77403</wp:posOffset>
                  </wp:positionV>
                  <wp:extent cx="941011" cy="59338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214" w:type="dxa"/>
            <w:tcBorders>
              <w:bottom w:val="single" w:sz="12" w:space="0" w:color="auto"/>
            </w:tcBorders>
          </w:tcPr>
          <w:p w14:paraId="3C8A07FF" w14:textId="77777777" w:rsidR="00AF2846" w:rsidRPr="008A0A75" w:rsidRDefault="00AF2846" w:rsidP="00D34382">
            <w:pPr>
              <w:jc w:val="right"/>
              <w:rPr>
                <w:rFonts w:ascii="Arial" w:hAnsi="Arial" w:cs="Arial"/>
                <w:b/>
                <w:kern w:val="22"/>
                <w:sz w:val="32"/>
                <w:szCs w:val="32"/>
                <w:lang w:val="en-GB"/>
              </w:rPr>
            </w:pPr>
            <w:r w:rsidRPr="008A0A75">
              <w:rPr>
                <w:rFonts w:ascii="Arial" w:hAnsi="Arial" w:cs="Arial"/>
                <w:b/>
                <w:kern w:val="22"/>
                <w:sz w:val="32"/>
                <w:szCs w:val="32"/>
                <w:lang w:val="en-GB"/>
              </w:rPr>
              <w:t>CBD</w:t>
            </w:r>
          </w:p>
        </w:tc>
      </w:tr>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AF2846" w:rsidRPr="003D067D" w14:paraId="583E800C" w14:textId="77777777" w:rsidTr="00CF5ABA">
        <w:trPr>
          <w:trHeight w:val="1693"/>
        </w:trPr>
        <w:tc>
          <w:tcPr>
            <w:tcW w:w="6086" w:type="dxa"/>
            <w:tcBorders>
              <w:top w:val="nil"/>
              <w:bottom w:val="single" w:sz="36" w:space="0" w:color="000000"/>
            </w:tcBorders>
          </w:tcPr>
          <w:bookmarkEnd w:id="0"/>
          <w:p w14:paraId="379F5FA0" w14:textId="77777777" w:rsidR="00AF2846" w:rsidRPr="00AF2846" w:rsidRDefault="00AF2846" w:rsidP="00AF2846">
            <w:pPr>
              <w:suppressLineNumbers/>
              <w:suppressAutoHyphens/>
              <w:spacing w:after="0" w:line="240" w:lineRule="auto"/>
              <w:rPr>
                <w:rFonts w:ascii="Times New Roman" w:hAnsi="Times New Roman" w:cs="Times New Roman"/>
                <w:snapToGrid w:val="0"/>
                <w:kern w:val="22"/>
                <w:lang w:val="en-GB"/>
              </w:rPr>
            </w:pPr>
            <w:r w:rsidRPr="00AF2846">
              <w:rPr>
                <w:rFonts w:ascii="Times New Roman" w:hAnsi="Times New Roman" w:cs="Times New Roman"/>
                <w:noProof/>
                <w:kern w:val="22"/>
                <w:lang w:val="en-GB"/>
              </w:rPr>
              <w:drawing>
                <wp:inline distT="0" distB="0" distL="0" distR="0" wp14:anchorId="4B00A929" wp14:editId="73666AED">
                  <wp:extent cx="2886075" cy="1076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1076325"/>
                          </a:xfrm>
                          <a:prstGeom prst="rect">
                            <a:avLst/>
                          </a:prstGeom>
                          <a:noFill/>
                          <a:ln>
                            <a:noFill/>
                          </a:ln>
                        </pic:spPr>
                      </pic:pic>
                    </a:graphicData>
                  </a:graphic>
                </wp:inline>
              </w:drawing>
            </w:r>
          </w:p>
        </w:tc>
        <w:tc>
          <w:tcPr>
            <w:tcW w:w="1144" w:type="dxa"/>
            <w:tcBorders>
              <w:top w:val="nil"/>
              <w:bottom w:val="single" w:sz="36" w:space="0" w:color="000000"/>
            </w:tcBorders>
          </w:tcPr>
          <w:p w14:paraId="78244ECB" w14:textId="77777777" w:rsidR="00AF2846" w:rsidRPr="00AF2846" w:rsidRDefault="00AF2846" w:rsidP="00AF2846">
            <w:pPr>
              <w:pStyle w:val="Header"/>
              <w:suppressLineNumbers/>
              <w:suppressAutoHyphens/>
              <w:jc w:val="both"/>
              <w:rPr>
                <w:rFonts w:ascii="Times New Roman" w:eastAsia="MS Mincho" w:hAnsi="Times New Roman" w:cs="Times New Roman"/>
                <w:bCs/>
                <w:snapToGrid w:val="0"/>
                <w:kern w:val="22"/>
                <w:lang w:val="en-GB"/>
              </w:rPr>
            </w:pPr>
          </w:p>
        </w:tc>
        <w:tc>
          <w:tcPr>
            <w:tcW w:w="2977" w:type="dxa"/>
            <w:tcBorders>
              <w:top w:val="nil"/>
              <w:bottom w:val="single" w:sz="36" w:space="0" w:color="000000"/>
            </w:tcBorders>
          </w:tcPr>
          <w:p w14:paraId="23EFC180" w14:textId="77777777" w:rsidR="00AF2846" w:rsidRPr="00AF2846" w:rsidRDefault="00AF2846" w:rsidP="00AF2846">
            <w:pPr>
              <w:suppressLineNumbers/>
              <w:suppressAutoHyphens/>
              <w:spacing w:after="0" w:line="240" w:lineRule="auto"/>
              <w:ind w:left="318"/>
              <w:rPr>
                <w:rFonts w:ascii="Times New Roman" w:hAnsi="Times New Roman" w:cs="Times New Roman"/>
                <w:snapToGrid w:val="0"/>
                <w:kern w:val="22"/>
                <w:lang w:val="en-GB"/>
              </w:rPr>
            </w:pPr>
            <w:r w:rsidRPr="00AF2846">
              <w:rPr>
                <w:rFonts w:ascii="Times New Roman" w:hAnsi="Times New Roman" w:cs="Times New Roman"/>
                <w:snapToGrid w:val="0"/>
                <w:kern w:val="22"/>
                <w:lang w:val="en-GB"/>
              </w:rPr>
              <w:t>Distr.</w:t>
            </w:r>
          </w:p>
          <w:p w14:paraId="3FDF19CD" w14:textId="77777777" w:rsidR="00AF2846" w:rsidRPr="00AF2846" w:rsidRDefault="00AF2846" w:rsidP="00AF2846">
            <w:pPr>
              <w:suppressLineNumbers/>
              <w:suppressAutoHyphens/>
              <w:spacing w:after="0" w:line="240" w:lineRule="auto"/>
              <w:ind w:left="318"/>
              <w:rPr>
                <w:rFonts w:ascii="Times New Roman" w:hAnsi="Times New Roman" w:cs="Times New Roman"/>
                <w:snapToGrid w:val="0"/>
                <w:kern w:val="22"/>
                <w:lang w:val="en-GB"/>
              </w:rPr>
            </w:pPr>
            <w:r w:rsidRPr="00AF2846">
              <w:rPr>
                <w:rFonts w:ascii="Times New Roman" w:hAnsi="Times New Roman" w:cs="Times New Roman"/>
                <w:snapToGrid w:val="0"/>
                <w:kern w:val="22"/>
                <w:lang w:val="en-GB"/>
              </w:rPr>
              <w:t>GENERAL</w:t>
            </w:r>
          </w:p>
          <w:p w14:paraId="6CEDA031" w14:textId="77777777" w:rsidR="00AF2846" w:rsidRPr="00AF2846" w:rsidRDefault="00AF2846" w:rsidP="00AF2846">
            <w:pPr>
              <w:suppressLineNumbers/>
              <w:suppressAutoHyphens/>
              <w:spacing w:after="0" w:line="240" w:lineRule="auto"/>
              <w:ind w:left="318"/>
              <w:rPr>
                <w:rFonts w:ascii="Times New Roman" w:hAnsi="Times New Roman" w:cs="Times New Roman"/>
                <w:snapToGrid w:val="0"/>
                <w:kern w:val="22"/>
                <w:lang w:val="en-GB"/>
              </w:rPr>
            </w:pPr>
          </w:p>
          <w:bookmarkStart w:id="3" w:name="_Hlk22815168" w:displacedByCustomXml="next"/>
          <w:sdt>
            <w:sdtPr>
              <w:rPr>
                <w:rFonts w:ascii="Times New Roman" w:hAnsi="Times New Roman" w:cs="Times New Roman"/>
                <w:snapToGrid w:val="0"/>
                <w:kern w:val="22"/>
                <w:lang w:val="en-GB"/>
              </w:rPr>
              <w:alias w:val="Subject"/>
              <w:tag w:val=""/>
              <w:id w:val="-1155982080"/>
              <w:placeholder>
                <w:docPart w:val="7207C0693C2141E48CF6787E265A3927"/>
              </w:placeholder>
              <w:dataBinding w:prefixMappings="xmlns:ns0='http://purl.org/dc/elements/1.1/' xmlns:ns1='http://schemas.openxmlformats.org/package/2006/metadata/core-properties' " w:xpath="/ns1:coreProperties[1]/ns0:subject[1]" w:storeItemID="{6C3C8BC8-F283-45AE-878A-BAB7291924A1}"/>
              <w:text/>
            </w:sdtPr>
            <w:sdtEndPr/>
            <w:sdtContent>
              <w:bookmarkEnd w:id="3" w:displacedByCustomXml="prev"/>
              <w:p w14:paraId="73276604" w14:textId="5B24FE4C" w:rsidR="00AF2846" w:rsidRPr="00AF2846" w:rsidRDefault="00247801" w:rsidP="00AF2846">
                <w:pPr>
                  <w:suppressLineNumbers/>
                  <w:suppressAutoHyphens/>
                  <w:spacing w:after="0" w:line="240" w:lineRule="auto"/>
                  <w:ind w:left="318"/>
                  <w:rPr>
                    <w:rFonts w:ascii="Times New Roman" w:hAnsi="Times New Roman" w:cs="Times New Roman"/>
                    <w:snapToGrid w:val="0"/>
                    <w:kern w:val="22"/>
                    <w:lang w:val="en-GB"/>
                  </w:rPr>
                </w:pPr>
                <w:r>
                  <w:rPr>
                    <w:rFonts w:ascii="Times New Roman" w:hAnsi="Times New Roman" w:cs="Times New Roman"/>
                    <w:snapToGrid w:val="0"/>
                    <w:kern w:val="22"/>
                    <w:lang w:val="en-GB"/>
                  </w:rPr>
                  <w:t>CBD/SBI/</w:t>
                </w:r>
                <w:r w:rsidR="00FE08E5">
                  <w:rPr>
                    <w:rFonts w:ascii="Times New Roman" w:hAnsi="Times New Roman" w:cs="Times New Roman"/>
                    <w:snapToGrid w:val="0"/>
                    <w:kern w:val="22"/>
                    <w:lang w:val="en-GB"/>
                  </w:rPr>
                  <w:t>3/6/Add.1</w:t>
                </w:r>
              </w:p>
            </w:sdtContent>
          </w:sdt>
          <w:p w14:paraId="4981AF26" w14:textId="77777777" w:rsidR="00AF2846" w:rsidRPr="00AF2846" w:rsidRDefault="00AF2846" w:rsidP="00AF2846">
            <w:pPr>
              <w:suppressLineNumbers/>
              <w:suppressAutoHyphens/>
              <w:spacing w:after="0" w:line="240" w:lineRule="auto"/>
              <w:ind w:left="318"/>
              <w:rPr>
                <w:rFonts w:ascii="Times New Roman" w:hAnsi="Times New Roman" w:cs="Times New Roman"/>
                <w:snapToGrid w:val="0"/>
                <w:kern w:val="22"/>
                <w:lang w:val="en-GB"/>
              </w:rPr>
            </w:pPr>
            <w:r w:rsidRPr="00AF2846">
              <w:rPr>
                <w:rFonts w:ascii="Times New Roman" w:hAnsi="Times New Roman" w:cs="Times New Roman"/>
                <w:snapToGrid w:val="0"/>
                <w:kern w:val="22"/>
                <w:lang w:val="en-GB"/>
              </w:rPr>
              <w:t>12 June 2020</w:t>
            </w:r>
          </w:p>
          <w:p w14:paraId="0F291CD9" w14:textId="77777777" w:rsidR="00AF2846" w:rsidRPr="00AF2846" w:rsidRDefault="00AF2846" w:rsidP="00AF2846">
            <w:pPr>
              <w:suppressLineNumbers/>
              <w:suppressAutoHyphens/>
              <w:spacing w:after="0" w:line="240" w:lineRule="auto"/>
              <w:ind w:left="318"/>
              <w:rPr>
                <w:rFonts w:ascii="Times New Roman" w:hAnsi="Times New Roman" w:cs="Times New Roman"/>
                <w:snapToGrid w:val="0"/>
                <w:kern w:val="22"/>
                <w:lang w:val="en-GB"/>
              </w:rPr>
            </w:pPr>
          </w:p>
          <w:p w14:paraId="374474B8" w14:textId="77777777" w:rsidR="00AF2846" w:rsidRPr="00AF2846" w:rsidRDefault="00AF2846" w:rsidP="00AF2846">
            <w:pPr>
              <w:suppressLineNumbers/>
              <w:suppressAutoHyphens/>
              <w:spacing w:after="0" w:line="240" w:lineRule="auto"/>
              <w:ind w:left="318"/>
              <w:rPr>
                <w:rFonts w:ascii="Times New Roman" w:hAnsi="Times New Roman" w:cs="Times New Roman"/>
                <w:snapToGrid w:val="0"/>
                <w:kern w:val="22"/>
                <w:u w:val="single"/>
                <w:lang w:val="en-GB"/>
              </w:rPr>
            </w:pPr>
            <w:r w:rsidRPr="00AF2846">
              <w:rPr>
                <w:rFonts w:ascii="Times New Roman" w:hAnsi="Times New Roman" w:cs="Times New Roman"/>
                <w:snapToGrid w:val="0"/>
                <w:kern w:val="22"/>
                <w:lang w:val="en-GB"/>
              </w:rPr>
              <w:t>ORIGINAL: ENGLISH</w:t>
            </w:r>
          </w:p>
        </w:tc>
      </w:tr>
    </w:tbl>
    <w:p w14:paraId="70C337F4" w14:textId="77777777" w:rsidR="00AF2846" w:rsidRPr="00AF2846" w:rsidRDefault="00AF2846" w:rsidP="004B7D03">
      <w:pPr>
        <w:pStyle w:val="meetingname"/>
        <w:suppressLineNumbers/>
        <w:suppressAutoHyphens/>
        <w:ind w:left="-180" w:right="4398" w:firstLine="0"/>
        <w:rPr>
          <w:kern w:val="22"/>
          <w:sz w:val="22"/>
          <w:szCs w:val="22"/>
          <w:lang w:val="en-GB"/>
        </w:rPr>
      </w:pPr>
      <w:bookmarkStart w:id="4" w:name="Meeting"/>
      <w:r w:rsidRPr="00AF2846">
        <w:rPr>
          <w:kern w:val="22"/>
          <w:sz w:val="22"/>
          <w:szCs w:val="22"/>
          <w:lang w:val="en-GB"/>
        </w:rPr>
        <w:t>SUBSIDIARY BODY ON IMPLEMENTATION</w:t>
      </w:r>
      <w:bookmarkEnd w:id="4"/>
    </w:p>
    <w:p w14:paraId="0C46858D" w14:textId="77777777" w:rsidR="00AF2846" w:rsidRPr="00AF2846" w:rsidRDefault="00AF2846" w:rsidP="004B7D03">
      <w:pPr>
        <w:suppressLineNumbers/>
        <w:suppressAutoHyphens/>
        <w:spacing w:after="0" w:line="240" w:lineRule="auto"/>
        <w:rPr>
          <w:rFonts w:ascii="Times New Roman" w:hAnsi="Times New Roman" w:cs="Times New Roman"/>
          <w:snapToGrid w:val="0"/>
          <w:kern w:val="22"/>
          <w:lang w:val="en-GB" w:eastAsia="nb-NO"/>
        </w:rPr>
      </w:pPr>
      <w:r w:rsidRPr="00AF2846">
        <w:rPr>
          <w:rFonts w:ascii="Times New Roman" w:hAnsi="Times New Roman" w:cs="Times New Roman"/>
          <w:snapToGrid w:val="0"/>
          <w:kern w:val="22"/>
          <w:lang w:val="en-GB" w:eastAsia="nb-NO"/>
        </w:rPr>
        <w:t>Third meeting</w:t>
      </w:r>
    </w:p>
    <w:p w14:paraId="087E3A15" w14:textId="015C1AF4" w:rsidR="00AF2846" w:rsidRPr="00AF2846" w:rsidRDefault="00F73AA3" w:rsidP="004B7D03">
      <w:pPr>
        <w:suppressLineNumbers/>
        <w:suppressAutoHyphens/>
        <w:spacing w:after="0" w:line="240" w:lineRule="auto"/>
        <w:rPr>
          <w:rFonts w:ascii="Times New Roman" w:hAnsi="Times New Roman" w:cs="Times New Roman"/>
          <w:snapToGrid w:val="0"/>
          <w:kern w:val="22"/>
          <w:lang w:val="en-GB" w:eastAsia="nb-NO"/>
        </w:rPr>
      </w:pPr>
      <w:r>
        <w:rPr>
          <w:rFonts w:ascii="Times New Roman" w:hAnsi="Times New Roman" w:cs="Times New Roman"/>
          <w:snapToGrid w:val="0"/>
          <w:kern w:val="22"/>
          <w:lang w:val="en-GB" w:eastAsia="nb-NO"/>
        </w:rPr>
        <w:t>Quebec City (to be confirmed)</w:t>
      </w:r>
      <w:r w:rsidR="00AF2846" w:rsidRPr="00AF2846">
        <w:rPr>
          <w:rFonts w:ascii="Times New Roman" w:hAnsi="Times New Roman" w:cs="Times New Roman"/>
          <w:snapToGrid w:val="0"/>
          <w:kern w:val="22"/>
          <w:lang w:val="en-GB" w:eastAsia="nb-NO"/>
        </w:rPr>
        <w:t>, Canada, 9-14 November 2020</w:t>
      </w:r>
    </w:p>
    <w:p w14:paraId="6D86F285" w14:textId="77777777" w:rsidR="00AF2846" w:rsidRPr="00AF2846" w:rsidRDefault="00AF2846" w:rsidP="004B7D03">
      <w:pPr>
        <w:pStyle w:val="Header"/>
        <w:suppressLineNumbers/>
        <w:suppressAutoHyphens/>
        <w:rPr>
          <w:rFonts w:ascii="Times New Roman" w:hAnsi="Times New Roman" w:cs="Times New Roman"/>
          <w:snapToGrid w:val="0"/>
          <w:kern w:val="22"/>
          <w:lang w:val="en-GB"/>
        </w:rPr>
      </w:pPr>
      <w:r w:rsidRPr="00AF2846">
        <w:rPr>
          <w:rFonts w:ascii="Times New Roman" w:hAnsi="Times New Roman" w:cs="Times New Roman"/>
          <w:snapToGrid w:val="0"/>
          <w:kern w:val="22"/>
          <w:lang w:val="en-GB"/>
        </w:rPr>
        <w:t>Item 6 of the provisional agenda</w:t>
      </w:r>
      <w:r w:rsidRPr="00AF2846">
        <w:rPr>
          <w:rStyle w:val="FootnoteReference"/>
          <w:rFonts w:ascii="Times New Roman" w:hAnsi="Times New Roman" w:cs="Times New Roman"/>
          <w:snapToGrid w:val="0"/>
          <w:kern w:val="22"/>
          <w:lang w:val="en-GB"/>
        </w:rPr>
        <w:footnoteReference w:customMarkFollows="1" w:id="2"/>
        <w:t>*</w:t>
      </w:r>
    </w:p>
    <w:sdt>
      <w:sdtPr>
        <w:alias w:val="Title"/>
        <w:tag w:val=""/>
        <w:id w:val="1423067625"/>
        <w:placeholder>
          <w:docPart w:val="B16882D3CD1D4AF581A165F293A75A9E"/>
        </w:placeholder>
        <w:dataBinding w:prefixMappings="xmlns:ns0='http://purl.org/dc/elements/1.1/' xmlns:ns1='http://schemas.openxmlformats.org/package/2006/metadata/core-properties' " w:xpath="/ns1:coreProperties[1]/ns0:title[1]" w:storeItemID="{6C3C8BC8-F283-45AE-878A-BAB7291924A1}"/>
        <w:text/>
      </w:sdtPr>
      <w:sdtEndPr/>
      <w:sdtContent>
        <w:p w14:paraId="6D12CFAD" w14:textId="6CE099CD" w:rsidR="00AF2846" w:rsidRPr="00AF2846" w:rsidRDefault="00F00E79" w:rsidP="000C09D1">
          <w:pPr>
            <w:pStyle w:val="HEADINGNOTFORTOC"/>
          </w:pPr>
          <w:r>
            <w:t>Financial mechanism - PRELIMINARY REPORT OF THE GLOBAL ENVIRONMENT FACILITY</w:t>
          </w:r>
        </w:p>
      </w:sdtContent>
    </w:sdt>
    <w:p w14:paraId="3343CF26" w14:textId="02FF64B8" w:rsidR="00AF2846" w:rsidRPr="00A650A4" w:rsidRDefault="00247801" w:rsidP="00247801">
      <w:pPr>
        <w:spacing w:before="120" w:after="120" w:line="240" w:lineRule="auto"/>
        <w:jc w:val="center"/>
        <w:rPr>
          <w:rFonts w:ascii="Times New Roman" w:hAnsi="Times New Roman" w:cs="Times New Roman"/>
          <w:b/>
          <w:i/>
          <w:iCs/>
          <w:caps/>
          <w:snapToGrid w:val="0"/>
        </w:rPr>
      </w:pPr>
      <w:r w:rsidRPr="00A650A4">
        <w:rPr>
          <w:rFonts w:ascii="Times New Roman" w:hAnsi="Times New Roman" w:cs="Times New Roman"/>
          <w:i/>
          <w:iCs/>
        </w:rPr>
        <w:t>N</w:t>
      </w:r>
      <w:r w:rsidR="000C09D1" w:rsidRPr="00A650A4">
        <w:rPr>
          <w:rFonts w:ascii="Times New Roman" w:hAnsi="Times New Roman" w:cs="Times New Roman"/>
          <w:i/>
          <w:iCs/>
        </w:rPr>
        <w:t xml:space="preserve">ote by the </w:t>
      </w:r>
      <w:r w:rsidRPr="00A650A4">
        <w:rPr>
          <w:rFonts w:ascii="Times New Roman" w:hAnsi="Times New Roman" w:cs="Times New Roman"/>
          <w:i/>
          <w:iCs/>
        </w:rPr>
        <w:t>E</w:t>
      </w:r>
      <w:r w:rsidR="000C09D1" w:rsidRPr="00A650A4">
        <w:rPr>
          <w:rFonts w:ascii="Times New Roman" w:hAnsi="Times New Roman" w:cs="Times New Roman"/>
          <w:i/>
          <w:iCs/>
        </w:rPr>
        <w:t xml:space="preserve">xecutive </w:t>
      </w:r>
      <w:r w:rsidRPr="00A650A4">
        <w:rPr>
          <w:rFonts w:ascii="Times New Roman" w:hAnsi="Times New Roman" w:cs="Times New Roman"/>
          <w:i/>
          <w:iCs/>
        </w:rPr>
        <w:t>S</w:t>
      </w:r>
      <w:r w:rsidR="000C09D1" w:rsidRPr="00A650A4">
        <w:rPr>
          <w:rFonts w:ascii="Times New Roman" w:hAnsi="Times New Roman" w:cs="Times New Roman"/>
          <w:i/>
          <w:iCs/>
        </w:rPr>
        <w:t>ecretary</w:t>
      </w:r>
    </w:p>
    <w:p w14:paraId="4B6EB008" w14:textId="77777777" w:rsidR="00AF2846" w:rsidRPr="008A0A75" w:rsidRDefault="00AF2846" w:rsidP="000C09D1">
      <w:pPr>
        <w:pStyle w:val="Heading1"/>
        <w:rPr>
          <w:caps/>
        </w:rPr>
      </w:pPr>
      <w:r w:rsidRPr="008A0A75">
        <w:t>INTRODUCTION</w:t>
      </w:r>
    </w:p>
    <w:p w14:paraId="70640AD4" w14:textId="77777777" w:rsidR="00AF2846" w:rsidRPr="008A0A75" w:rsidRDefault="00AF2846" w:rsidP="00AF2846">
      <w:pPr>
        <w:pStyle w:val="Para1"/>
        <w:numPr>
          <w:ilvl w:val="0"/>
          <w:numId w:val="30"/>
        </w:numPr>
        <w:suppressLineNumbers/>
        <w:suppressAutoHyphens/>
        <w:spacing w:before="120"/>
        <w:ind w:left="0" w:firstLine="0"/>
        <w:jc w:val="both"/>
        <w:rPr>
          <w:kern w:val="22"/>
          <w:szCs w:val="22"/>
        </w:rPr>
      </w:pPr>
      <w:r w:rsidRPr="008A0A75">
        <w:rPr>
          <w:snapToGrid/>
          <w:kern w:val="22"/>
          <w:szCs w:val="22"/>
        </w:rPr>
        <w:t xml:space="preserve">In the memorandum of understanding between the Conference of the Parties to the Convention on Biological Diversity and the Council of the Global Environment Facility, it was agreed that the Council </w:t>
      </w:r>
      <w:r w:rsidRPr="005F7FBF">
        <w:rPr>
          <w:snapToGrid/>
          <w:kern w:val="22"/>
          <w:szCs w:val="22"/>
        </w:rPr>
        <w:t>would</w:t>
      </w:r>
      <w:r w:rsidRPr="008A0A75">
        <w:rPr>
          <w:snapToGrid/>
          <w:kern w:val="22"/>
          <w:szCs w:val="22"/>
        </w:rPr>
        <w:t xml:space="preserve"> prepare and submit a report for each ordinary meeting of the Conference of the Parties (</w:t>
      </w:r>
      <w:r w:rsidRPr="005F7FBF">
        <w:rPr>
          <w:snapToGrid/>
          <w:kern w:val="22"/>
          <w:szCs w:val="22"/>
        </w:rPr>
        <w:t xml:space="preserve">see </w:t>
      </w:r>
      <w:r w:rsidRPr="008A0A75">
        <w:rPr>
          <w:snapToGrid/>
          <w:kern w:val="22"/>
          <w:szCs w:val="22"/>
        </w:rPr>
        <w:t>decision III/8, annex, para. 3).</w:t>
      </w:r>
    </w:p>
    <w:p w14:paraId="490064BF" w14:textId="77777777" w:rsidR="00AF2846" w:rsidRPr="008A0A75" w:rsidRDefault="00AF2846" w:rsidP="00AF2846">
      <w:pPr>
        <w:pStyle w:val="Para1"/>
        <w:numPr>
          <w:ilvl w:val="0"/>
          <w:numId w:val="30"/>
        </w:numPr>
        <w:suppressLineNumbers/>
        <w:suppressAutoHyphens/>
        <w:spacing w:before="120"/>
        <w:ind w:left="0" w:firstLine="0"/>
        <w:jc w:val="both"/>
        <w:rPr>
          <w:kern w:val="22"/>
          <w:szCs w:val="22"/>
        </w:rPr>
      </w:pPr>
      <w:r w:rsidRPr="008A0A75">
        <w:rPr>
          <w:snapToGrid/>
          <w:kern w:val="22"/>
          <w:szCs w:val="22"/>
        </w:rPr>
        <w:t xml:space="preserve">In decision </w:t>
      </w:r>
      <w:hyperlink r:id="rId14" w:history="1">
        <w:r w:rsidRPr="008A0A75">
          <w:rPr>
            <w:rStyle w:val="Hyperlink"/>
            <w:snapToGrid/>
            <w:kern w:val="22"/>
            <w:szCs w:val="22"/>
          </w:rPr>
          <w:t>XII/30</w:t>
        </w:r>
      </w:hyperlink>
      <w:r w:rsidRPr="008A0A75">
        <w:rPr>
          <w:snapToGrid/>
          <w:kern w:val="22"/>
          <w:szCs w:val="22"/>
        </w:rPr>
        <w:t xml:space="preserve">, </w:t>
      </w:r>
      <w:r w:rsidRPr="005F7FBF">
        <w:rPr>
          <w:snapToGrid/>
          <w:kern w:val="22"/>
          <w:szCs w:val="22"/>
        </w:rPr>
        <w:t xml:space="preserve">paragraph 8(e), </w:t>
      </w:r>
      <w:r w:rsidRPr="008A0A75">
        <w:rPr>
          <w:snapToGrid/>
          <w:kern w:val="22"/>
          <w:szCs w:val="22"/>
        </w:rPr>
        <w:t xml:space="preserve">the Conference of the Parties invited the Global Environment Facility to “make available a preliminary draft of its report to the Conference of the Parties, particularly focusing on the response of the Global Environment Facility to previous </w:t>
      </w:r>
      <w:r w:rsidRPr="008A0A75">
        <w:rPr>
          <w:kern w:val="22"/>
          <w:szCs w:val="22"/>
        </w:rPr>
        <w:t>guidance from the Con</w:t>
      </w:r>
      <w:bookmarkStart w:id="5" w:name="_GoBack"/>
      <w:bookmarkEnd w:id="5"/>
      <w:r w:rsidRPr="008A0A75">
        <w:rPr>
          <w:kern w:val="22"/>
          <w:szCs w:val="22"/>
        </w:rPr>
        <w:t>ference of the Parties, to the Subsidiary Body on Implementation prior to the meeting of the Conference of the Parties at which the report will be formally considered, with a view to promoting effective and timely consideration of the information provided in the report”.</w:t>
      </w:r>
    </w:p>
    <w:p w14:paraId="2F25C56F" w14:textId="06932471" w:rsidR="00AF2846" w:rsidRPr="000956F1" w:rsidRDefault="00DD2EDE" w:rsidP="00AF2846">
      <w:pPr>
        <w:pStyle w:val="Para1"/>
        <w:numPr>
          <w:ilvl w:val="0"/>
          <w:numId w:val="30"/>
        </w:numPr>
        <w:suppressLineNumbers/>
        <w:suppressAutoHyphens/>
        <w:spacing w:before="120"/>
        <w:ind w:left="0" w:firstLine="0"/>
        <w:jc w:val="both"/>
        <w:rPr>
          <w:snapToGrid/>
          <w:kern w:val="22"/>
          <w:szCs w:val="22"/>
        </w:rPr>
      </w:pPr>
      <w:r w:rsidRPr="00DD2EDE">
        <w:rPr>
          <w:rFonts w:eastAsia="Times New Roman"/>
        </w:rPr>
        <w:t>Pursuant to the above, the Executive Secretary is circulating herewith the preliminary report of the Council of the Global Environment Facility to the Subsidiary Body on Implementation at its third meeting. The report, in English, French and Spanish, is reproduced as it was received by the Secretariat, except for the annexed list of projects and programmes approved during the reporting period, which is issued separately as an information document (CBD/SBI/3/INF/7).</w:t>
      </w:r>
      <w:r w:rsidR="002519EA">
        <w:rPr>
          <w:rFonts w:eastAsia="Times New Roman"/>
        </w:rPr>
        <w:t xml:space="preserve"> </w:t>
      </w:r>
      <w:r w:rsidR="002519EA" w:rsidRPr="007207AF">
        <w:rPr>
          <w:rFonts w:cs="Times New Roman"/>
          <w:szCs w:val="22"/>
          <w:lang w:val="en-US"/>
        </w:rPr>
        <w:t>The present document will also be made available in Arabic, Chinese and Russian</w:t>
      </w:r>
      <w:r w:rsidR="002519EA" w:rsidRPr="00D715F4">
        <w:rPr>
          <w:rFonts w:cs="Times New Roman"/>
          <w:kern w:val="22"/>
          <w:szCs w:val="22"/>
        </w:rPr>
        <w:t>.</w:t>
      </w:r>
    </w:p>
    <w:p w14:paraId="36B17CC9" w14:textId="77777777" w:rsidR="00AF2846" w:rsidRPr="00AF2846" w:rsidRDefault="00AF2846" w:rsidP="00AF2846">
      <w:pPr>
        <w:pStyle w:val="Para1"/>
        <w:numPr>
          <w:ilvl w:val="0"/>
          <w:numId w:val="0"/>
        </w:numPr>
        <w:suppressLineNumbers/>
        <w:suppressAutoHyphens/>
        <w:spacing w:after="0"/>
        <w:rPr>
          <w:kern w:val="22"/>
          <w:szCs w:val="22"/>
        </w:rPr>
      </w:pPr>
    </w:p>
    <w:p w14:paraId="7FA065B8" w14:textId="2EA7E495" w:rsidR="00AF2846" w:rsidRDefault="00AF2846">
      <w:pPr>
        <w:rPr>
          <w:b/>
          <w:smallCaps/>
          <w:sz w:val="32"/>
          <w:szCs w:val="32"/>
        </w:rPr>
      </w:pPr>
      <w:r>
        <w:rPr>
          <w:b/>
          <w:smallCaps/>
          <w:sz w:val="32"/>
          <w:szCs w:val="32"/>
        </w:rPr>
        <w:br w:type="page"/>
      </w:r>
    </w:p>
    <w:p w14:paraId="79F8E92A" w14:textId="77777777" w:rsidR="00C9432C" w:rsidRDefault="00C9432C" w:rsidP="0096056B">
      <w:pPr>
        <w:jc w:val="center"/>
        <w:rPr>
          <w:b/>
          <w:smallCaps/>
          <w:sz w:val="32"/>
          <w:szCs w:val="32"/>
        </w:rPr>
      </w:pPr>
    </w:p>
    <w:p w14:paraId="44318707" w14:textId="34F96DCF" w:rsidR="00C9432C" w:rsidRDefault="00BE4550" w:rsidP="0096056B">
      <w:pPr>
        <w:jc w:val="center"/>
        <w:rPr>
          <w:b/>
          <w:smallCaps/>
          <w:sz w:val="32"/>
          <w:szCs w:val="32"/>
        </w:rPr>
      </w:pPr>
      <w:r>
        <w:rPr>
          <w:b/>
          <w:smallCaps/>
          <w:noProof/>
          <w:sz w:val="32"/>
          <w:szCs w:val="32"/>
        </w:rPr>
        <w:drawing>
          <wp:inline distT="0" distB="0" distL="0" distR="0" wp14:anchorId="5FF66CA6" wp14:editId="36B3C4FA">
            <wp:extent cx="5943600" cy="7696835"/>
            <wp:effectExtent l="0" t="0" r="0" b="0"/>
            <wp:docPr id="9" name="Picture 9"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s. Elizabeth Maruma Mrema CBD_322020.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7696835"/>
                    </a:xfrm>
                    <a:prstGeom prst="rect">
                      <a:avLst/>
                    </a:prstGeom>
                  </pic:spPr>
                </pic:pic>
              </a:graphicData>
            </a:graphic>
          </wp:inline>
        </w:drawing>
      </w:r>
    </w:p>
    <w:p w14:paraId="41190FFB" w14:textId="476B4B2A" w:rsidR="0096056B" w:rsidRDefault="00B2245E" w:rsidP="0096056B">
      <w:pPr>
        <w:jc w:val="center"/>
        <w:rPr>
          <w:b/>
          <w:smallCaps/>
          <w:sz w:val="32"/>
          <w:szCs w:val="32"/>
        </w:rPr>
      </w:pPr>
      <w:r>
        <w:rPr>
          <w:b/>
          <w:smallCaps/>
          <w:noProof/>
          <w:sz w:val="32"/>
          <w:szCs w:val="32"/>
        </w:rPr>
        <w:lastRenderedPageBreak/>
        <w:drawing>
          <wp:anchor distT="0" distB="0" distL="114300" distR="114300" simplePos="0" relativeHeight="251653632" behindDoc="0" locked="0" layoutInCell="1" allowOverlap="1" wp14:anchorId="4FAC6CE9" wp14:editId="5063D317">
            <wp:simplePos x="0" y="0"/>
            <wp:positionH relativeFrom="margin">
              <wp:posOffset>1074420</wp:posOffset>
            </wp:positionH>
            <wp:positionV relativeFrom="margin">
              <wp:posOffset>-25400</wp:posOffset>
            </wp:positionV>
            <wp:extent cx="3810000" cy="838200"/>
            <wp:effectExtent l="0" t="0" r="0" b="0"/>
            <wp:wrapTopAndBottom/>
            <wp:docPr id="2" name="Picture 2" descr="GEF-new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F-newlogo-larg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350"/>
      </w:tblGrid>
      <w:tr w:rsidR="00B2245E" w14:paraId="27F9F743" w14:textId="77777777" w:rsidTr="007A3DA4">
        <w:tc>
          <w:tcPr>
            <w:tcW w:w="9350" w:type="dxa"/>
            <w:tcBorders>
              <w:top w:val="single" w:sz="12" w:space="0" w:color="auto"/>
              <w:left w:val="nil"/>
              <w:bottom w:val="nil"/>
              <w:right w:val="nil"/>
            </w:tcBorders>
          </w:tcPr>
          <w:p w14:paraId="0979FD60" w14:textId="77777777" w:rsidR="00B2245E" w:rsidRPr="00B2245E" w:rsidRDefault="00B2245E" w:rsidP="0096056B">
            <w:pPr>
              <w:jc w:val="center"/>
              <w:rPr>
                <w:b/>
                <w:smallCaps/>
                <w:sz w:val="2"/>
                <w:szCs w:val="32"/>
              </w:rPr>
            </w:pPr>
          </w:p>
        </w:tc>
      </w:tr>
    </w:tbl>
    <w:p w14:paraId="4545F6F3" w14:textId="77777777" w:rsidR="0096056B" w:rsidRDefault="0096056B" w:rsidP="0096056B">
      <w:pPr>
        <w:jc w:val="center"/>
        <w:rPr>
          <w:b/>
          <w:smallCaps/>
          <w:sz w:val="32"/>
          <w:szCs w:val="32"/>
        </w:rPr>
      </w:pPr>
    </w:p>
    <w:p w14:paraId="6186DFF7" w14:textId="77777777" w:rsidR="0096056B" w:rsidRDefault="0096056B" w:rsidP="0096056B">
      <w:pPr>
        <w:jc w:val="center"/>
        <w:rPr>
          <w:b/>
          <w:smallCaps/>
          <w:sz w:val="32"/>
          <w:szCs w:val="32"/>
        </w:rPr>
      </w:pPr>
    </w:p>
    <w:p w14:paraId="6A9E86D0" w14:textId="77777777" w:rsidR="0096056B" w:rsidRDefault="0096056B" w:rsidP="0096056B">
      <w:pPr>
        <w:jc w:val="center"/>
        <w:rPr>
          <w:b/>
          <w:smallCaps/>
          <w:sz w:val="32"/>
          <w:szCs w:val="32"/>
        </w:rPr>
      </w:pPr>
    </w:p>
    <w:p w14:paraId="4F951F90" w14:textId="77777777" w:rsidR="0096056B" w:rsidRDefault="0096056B" w:rsidP="0096056B">
      <w:pPr>
        <w:jc w:val="center"/>
        <w:rPr>
          <w:b/>
          <w:smallCaps/>
          <w:sz w:val="32"/>
          <w:szCs w:val="32"/>
        </w:rPr>
      </w:pPr>
    </w:p>
    <w:p w14:paraId="4603CC4F" w14:textId="77777777" w:rsidR="0096056B" w:rsidRDefault="0096056B" w:rsidP="0096056B">
      <w:pPr>
        <w:jc w:val="center"/>
        <w:rPr>
          <w:b/>
          <w:smallCaps/>
          <w:sz w:val="32"/>
          <w:szCs w:val="32"/>
        </w:rPr>
      </w:pPr>
    </w:p>
    <w:p w14:paraId="16C827B5" w14:textId="77777777" w:rsidR="0096056B" w:rsidRDefault="0096056B" w:rsidP="0096056B">
      <w:pPr>
        <w:jc w:val="center"/>
        <w:rPr>
          <w:b/>
          <w:smallCaps/>
          <w:sz w:val="32"/>
          <w:szCs w:val="32"/>
        </w:rPr>
      </w:pPr>
    </w:p>
    <w:p w14:paraId="5E954D9C" w14:textId="77777777" w:rsidR="002A35E4" w:rsidRDefault="002A35E4" w:rsidP="0096056B">
      <w:pPr>
        <w:jc w:val="center"/>
        <w:rPr>
          <w:b/>
          <w:smallCaps/>
          <w:sz w:val="32"/>
          <w:szCs w:val="32"/>
        </w:rPr>
      </w:pPr>
    </w:p>
    <w:p w14:paraId="72949632" w14:textId="1AC1C5A6" w:rsidR="0096056B" w:rsidRPr="0096056B" w:rsidRDefault="0096056B" w:rsidP="0096056B">
      <w:pPr>
        <w:jc w:val="center"/>
        <w:rPr>
          <w:b/>
          <w:smallCaps/>
          <w:sz w:val="32"/>
          <w:szCs w:val="32"/>
        </w:rPr>
      </w:pPr>
      <w:r w:rsidRPr="0096056B">
        <w:rPr>
          <w:b/>
          <w:smallCaps/>
          <w:sz w:val="32"/>
          <w:szCs w:val="32"/>
        </w:rPr>
        <w:t>Draft Conference of the Parties 15 Report of the Global Environment Facility Presented to the Third Meeting of the Subsidiary Body on Implementation of the Convention on Biological Diversity</w:t>
      </w:r>
    </w:p>
    <w:p w14:paraId="0B728452" w14:textId="77777777" w:rsidR="0096056B" w:rsidRPr="0096056B" w:rsidRDefault="0096056B" w:rsidP="0096056B">
      <w:pPr>
        <w:jc w:val="center"/>
        <w:rPr>
          <w:b/>
          <w:sz w:val="32"/>
          <w:szCs w:val="32"/>
        </w:rPr>
      </w:pPr>
    </w:p>
    <w:p w14:paraId="434AFBAE" w14:textId="77777777" w:rsidR="0096056B" w:rsidRPr="0096056B" w:rsidRDefault="0096056B" w:rsidP="0096056B">
      <w:pPr>
        <w:jc w:val="center"/>
        <w:rPr>
          <w:b/>
          <w:sz w:val="28"/>
          <w:szCs w:val="32"/>
        </w:rPr>
      </w:pPr>
      <w:r w:rsidRPr="0096056B">
        <w:rPr>
          <w:b/>
          <w:sz w:val="28"/>
          <w:szCs w:val="32"/>
        </w:rPr>
        <w:t>February 14, 2020</w:t>
      </w:r>
    </w:p>
    <w:p w14:paraId="36092A75" w14:textId="77777777" w:rsidR="000667F9" w:rsidRDefault="000667F9" w:rsidP="00CB620B">
      <w:pPr>
        <w:spacing w:after="0" w:line="240" w:lineRule="auto"/>
        <w:jc w:val="center"/>
        <w:rPr>
          <w:rFonts w:ascii="Calibri" w:eastAsia="MS Mincho" w:hAnsi="Calibri" w:cs="Angsana New"/>
          <w:b/>
          <w:sz w:val="24"/>
          <w:szCs w:val="24"/>
          <w:u w:val="single"/>
          <w:lang w:val="en-GB"/>
        </w:rPr>
        <w:sectPr w:rsidR="000667F9" w:rsidSect="007207AF">
          <w:headerReference w:type="default" r:id="rId17"/>
          <w:footerReference w:type="even" r:id="rId18"/>
          <w:footerReference w:type="default" r:id="rId19"/>
          <w:pgSz w:w="12240" w:h="15840"/>
          <w:pgMar w:top="1134" w:right="1440" w:bottom="1134" w:left="1440" w:header="720" w:footer="720" w:gutter="0"/>
          <w:pgNumType w:fmt="lowerRoman" w:start="1"/>
          <w:cols w:space="720"/>
          <w:titlePg/>
          <w:docGrid w:linePitch="360"/>
        </w:sectPr>
      </w:pPr>
    </w:p>
    <w:p w14:paraId="194BA4DE" w14:textId="563B250C" w:rsidR="00CB620B" w:rsidRPr="007A3DA4" w:rsidRDefault="00CB620B" w:rsidP="00CB620B">
      <w:pPr>
        <w:spacing w:after="0" w:line="240" w:lineRule="auto"/>
        <w:jc w:val="center"/>
        <w:rPr>
          <w:rFonts w:ascii="Calibri" w:eastAsia="MS Mincho" w:hAnsi="Calibri" w:cs="Angsana New"/>
          <w:b/>
          <w:smallCaps/>
          <w:sz w:val="24"/>
          <w:szCs w:val="24"/>
          <w:lang w:val="en-GB"/>
        </w:rPr>
      </w:pPr>
      <w:r w:rsidRPr="007A3DA4">
        <w:rPr>
          <w:rFonts w:ascii="Calibri" w:eastAsia="MS Mincho" w:hAnsi="Calibri" w:cs="Angsana New"/>
          <w:b/>
          <w:smallCaps/>
          <w:sz w:val="24"/>
          <w:szCs w:val="24"/>
          <w:lang w:val="en-GB"/>
        </w:rPr>
        <w:lastRenderedPageBreak/>
        <w:t>Table of Contents</w:t>
      </w:r>
    </w:p>
    <w:p w14:paraId="06009C76" w14:textId="77777777" w:rsidR="00CB620B" w:rsidRDefault="00CB620B" w:rsidP="00CB620B">
      <w:pPr>
        <w:spacing w:after="0" w:line="240" w:lineRule="auto"/>
        <w:rPr>
          <w:rFonts w:ascii="Calibri" w:eastAsia="MS Mincho" w:hAnsi="Calibri" w:cs="Angsana New"/>
          <w:sz w:val="24"/>
          <w:szCs w:val="24"/>
          <w:lang w:val="en-GB"/>
        </w:rPr>
      </w:pPr>
    </w:p>
    <w:p w14:paraId="29E49026" w14:textId="77777777" w:rsidR="007A3DA4" w:rsidRDefault="007A3DA4" w:rsidP="00CB620B">
      <w:pPr>
        <w:spacing w:after="0" w:line="240" w:lineRule="auto"/>
        <w:rPr>
          <w:rFonts w:ascii="Calibri" w:eastAsia="MS Mincho" w:hAnsi="Calibri" w:cs="Angsana New"/>
          <w:sz w:val="24"/>
          <w:szCs w:val="24"/>
          <w:lang w:val="en-GB"/>
        </w:rPr>
      </w:pPr>
    </w:p>
    <w:p w14:paraId="382E03A6" w14:textId="625485D2" w:rsidR="00052F52" w:rsidRDefault="00E45276">
      <w:pPr>
        <w:pStyle w:val="TOC1"/>
        <w:rPr>
          <w:rFonts w:eastAsiaTheme="minorEastAsia"/>
          <w:noProof/>
        </w:rPr>
      </w:pPr>
      <w:r>
        <w:rPr>
          <w:rFonts w:ascii="Calibri" w:eastAsia="MS Mincho" w:hAnsi="Calibri" w:cs="Angsana New"/>
          <w:sz w:val="24"/>
          <w:szCs w:val="24"/>
          <w:lang w:val="en-GB"/>
        </w:rPr>
        <w:fldChar w:fldCharType="begin"/>
      </w:r>
      <w:r>
        <w:rPr>
          <w:rFonts w:ascii="Calibri" w:eastAsia="MS Mincho" w:hAnsi="Calibri" w:cs="Angsana New"/>
          <w:sz w:val="24"/>
          <w:szCs w:val="24"/>
          <w:lang w:val="en-GB"/>
        </w:rPr>
        <w:instrText xml:space="preserve"> TOC \o "1-3" \h \z \u </w:instrText>
      </w:r>
      <w:r>
        <w:rPr>
          <w:rFonts w:ascii="Calibri" w:eastAsia="MS Mincho" w:hAnsi="Calibri" w:cs="Angsana New"/>
          <w:sz w:val="24"/>
          <w:szCs w:val="24"/>
          <w:lang w:val="en-GB"/>
        </w:rPr>
        <w:fldChar w:fldCharType="separate"/>
      </w:r>
      <w:hyperlink w:anchor="_Toc32494912" w:history="1">
        <w:r w:rsidR="00052F52" w:rsidRPr="00DF1A58">
          <w:rPr>
            <w:rStyle w:val="Hyperlink"/>
            <w:noProof/>
          </w:rPr>
          <w:t>Executive Summary</w:t>
        </w:r>
        <w:r w:rsidR="00052F52">
          <w:rPr>
            <w:noProof/>
            <w:webHidden/>
          </w:rPr>
          <w:tab/>
        </w:r>
        <w:r w:rsidR="00052F52">
          <w:rPr>
            <w:noProof/>
            <w:webHidden/>
          </w:rPr>
          <w:fldChar w:fldCharType="begin"/>
        </w:r>
        <w:r w:rsidR="00052F52">
          <w:rPr>
            <w:noProof/>
            <w:webHidden/>
          </w:rPr>
          <w:instrText xml:space="preserve"> PAGEREF _Toc32494912 \h </w:instrText>
        </w:r>
        <w:r w:rsidR="00052F52">
          <w:rPr>
            <w:noProof/>
            <w:webHidden/>
          </w:rPr>
        </w:r>
        <w:r w:rsidR="00052F52">
          <w:rPr>
            <w:noProof/>
            <w:webHidden/>
          </w:rPr>
          <w:fldChar w:fldCharType="separate"/>
        </w:r>
        <w:r w:rsidR="00105BE1">
          <w:rPr>
            <w:noProof/>
            <w:webHidden/>
          </w:rPr>
          <w:t>2</w:t>
        </w:r>
        <w:r w:rsidR="00052F52">
          <w:rPr>
            <w:noProof/>
            <w:webHidden/>
          </w:rPr>
          <w:fldChar w:fldCharType="end"/>
        </w:r>
      </w:hyperlink>
    </w:p>
    <w:p w14:paraId="584EB678" w14:textId="28C8828E" w:rsidR="00052F52" w:rsidRDefault="00A650A4">
      <w:pPr>
        <w:pStyle w:val="TOC1"/>
        <w:rPr>
          <w:rFonts w:eastAsiaTheme="minorEastAsia"/>
          <w:noProof/>
        </w:rPr>
      </w:pPr>
      <w:hyperlink w:anchor="_Toc32494913" w:history="1">
        <w:r w:rsidR="00052F52" w:rsidRPr="00DF1A58">
          <w:rPr>
            <w:rStyle w:val="Hyperlink"/>
            <w:noProof/>
          </w:rPr>
          <w:t>I.</w:t>
        </w:r>
        <w:r w:rsidR="00052F52">
          <w:rPr>
            <w:rFonts w:eastAsiaTheme="minorEastAsia"/>
            <w:noProof/>
          </w:rPr>
          <w:tab/>
        </w:r>
        <w:r w:rsidR="00052F52" w:rsidRPr="00DF1A58">
          <w:rPr>
            <w:rStyle w:val="Hyperlink"/>
            <w:noProof/>
            <w:lang w:val="en-GB"/>
          </w:rPr>
          <w:t>Project Activities to Support Implementation of the CBD</w:t>
        </w:r>
        <w:r w:rsidR="00052F52">
          <w:rPr>
            <w:noProof/>
            <w:webHidden/>
          </w:rPr>
          <w:tab/>
        </w:r>
        <w:r w:rsidR="00052F52">
          <w:rPr>
            <w:noProof/>
            <w:webHidden/>
          </w:rPr>
          <w:fldChar w:fldCharType="begin"/>
        </w:r>
        <w:r w:rsidR="00052F52">
          <w:rPr>
            <w:noProof/>
            <w:webHidden/>
          </w:rPr>
          <w:instrText xml:space="preserve"> PAGEREF _Toc32494913 \h </w:instrText>
        </w:r>
        <w:r w:rsidR="00052F52">
          <w:rPr>
            <w:noProof/>
            <w:webHidden/>
          </w:rPr>
        </w:r>
        <w:r w:rsidR="00052F52">
          <w:rPr>
            <w:noProof/>
            <w:webHidden/>
          </w:rPr>
          <w:fldChar w:fldCharType="separate"/>
        </w:r>
        <w:r w:rsidR="00105BE1">
          <w:rPr>
            <w:noProof/>
            <w:webHidden/>
          </w:rPr>
          <w:t>1</w:t>
        </w:r>
        <w:r w:rsidR="00052F52">
          <w:rPr>
            <w:noProof/>
            <w:webHidden/>
          </w:rPr>
          <w:fldChar w:fldCharType="end"/>
        </w:r>
      </w:hyperlink>
    </w:p>
    <w:p w14:paraId="5EBAF827" w14:textId="56323042" w:rsidR="00052F52" w:rsidRDefault="00A650A4">
      <w:pPr>
        <w:pStyle w:val="TOC2"/>
        <w:rPr>
          <w:rFonts w:eastAsiaTheme="minorEastAsia"/>
          <w:noProof/>
        </w:rPr>
      </w:pPr>
      <w:hyperlink w:anchor="_Toc32494914" w:history="1">
        <w:r w:rsidR="00052F52" w:rsidRPr="00DF1A58">
          <w:rPr>
            <w:rStyle w:val="Hyperlink"/>
            <w:noProof/>
            <w:lang w:val="en-GB"/>
          </w:rPr>
          <w:t>The GEF-7 Biodiversity Strategy</w:t>
        </w:r>
        <w:r w:rsidR="00052F52">
          <w:rPr>
            <w:noProof/>
            <w:webHidden/>
          </w:rPr>
          <w:tab/>
        </w:r>
        <w:r w:rsidR="00052F52">
          <w:rPr>
            <w:noProof/>
            <w:webHidden/>
          </w:rPr>
          <w:fldChar w:fldCharType="begin"/>
        </w:r>
        <w:r w:rsidR="00052F52">
          <w:rPr>
            <w:noProof/>
            <w:webHidden/>
          </w:rPr>
          <w:instrText xml:space="preserve"> PAGEREF _Toc32494914 \h </w:instrText>
        </w:r>
        <w:r w:rsidR="00052F52">
          <w:rPr>
            <w:noProof/>
            <w:webHidden/>
          </w:rPr>
        </w:r>
        <w:r w:rsidR="00052F52">
          <w:rPr>
            <w:noProof/>
            <w:webHidden/>
          </w:rPr>
          <w:fldChar w:fldCharType="separate"/>
        </w:r>
        <w:r w:rsidR="00105BE1">
          <w:rPr>
            <w:noProof/>
            <w:webHidden/>
          </w:rPr>
          <w:t>1</w:t>
        </w:r>
        <w:r w:rsidR="00052F52">
          <w:rPr>
            <w:noProof/>
            <w:webHidden/>
          </w:rPr>
          <w:fldChar w:fldCharType="end"/>
        </w:r>
      </w:hyperlink>
    </w:p>
    <w:p w14:paraId="45CED2D9" w14:textId="2285F6FF" w:rsidR="00052F52" w:rsidRDefault="00A650A4">
      <w:pPr>
        <w:pStyle w:val="TOC2"/>
        <w:rPr>
          <w:rFonts w:eastAsiaTheme="minorEastAsia"/>
          <w:noProof/>
        </w:rPr>
      </w:pPr>
      <w:hyperlink w:anchor="_Toc32494915" w:history="1">
        <w:r w:rsidR="00052F52" w:rsidRPr="00DF1A58">
          <w:rPr>
            <w:rStyle w:val="Hyperlink"/>
            <w:noProof/>
            <w:lang w:val="en-GB"/>
          </w:rPr>
          <w:t>GEF-7 Programming Usage</w:t>
        </w:r>
        <w:r w:rsidR="00052F52">
          <w:rPr>
            <w:noProof/>
            <w:webHidden/>
          </w:rPr>
          <w:tab/>
        </w:r>
        <w:r w:rsidR="00052F52">
          <w:rPr>
            <w:noProof/>
            <w:webHidden/>
          </w:rPr>
          <w:fldChar w:fldCharType="begin"/>
        </w:r>
        <w:r w:rsidR="00052F52">
          <w:rPr>
            <w:noProof/>
            <w:webHidden/>
          </w:rPr>
          <w:instrText xml:space="preserve"> PAGEREF _Toc32494915 \h </w:instrText>
        </w:r>
        <w:r w:rsidR="00052F52">
          <w:rPr>
            <w:noProof/>
            <w:webHidden/>
          </w:rPr>
        </w:r>
        <w:r w:rsidR="00052F52">
          <w:rPr>
            <w:noProof/>
            <w:webHidden/>
          </w:rPr>
          <w:fldChar w:fldCharType="separate"/>
        </w:r>
        <w:r w:rsidR="00105BE1">
          <w:rPr>
            <w:noProof/>
            <w:webHidden/>
          </w:rPr>
          <w:t>2</w:t>
        </w:r>
        <w:r w:rsidR="00052F52">
          <w:rPr>
            <w:noProof/>
            <w:webHidden/>
          </w:rPr>
          <w:fldChar w:fldCharType="end"/>
        </w:r>
      </w:hyperlink>
    </w:p>
    <w:p w14:paraId="2A7BB124" w14:textId="340E63B0" w:rsidR="00052F52" w:rsidRDefault="00A650A4">
      <w:pPr>
        <w:pStyle w:val="TOC2"/>
        <w:rPr>
          <w:rFonts w:eastAsiaTheme="minorEastAsia"/>
          <w:noProof/>
        </w:rPr>
      </w:pPr>
      <w:hyperlink w:anchor="_Toc32494916" w:history="1">
        <w:r w:rsidR="00052F52" w:rsidRPr="00DF1A58">
          <w:rPr>
            <w:rStyle w:val="Hyperlink"/>
            <w:noProof/>
          </w:rPr>
          <w:t>GEF-7 Programming Contributions to Achieving the Aichi Biodiversity Targets</w:t>
        </w:r>
        <w:r w:rsidR="00052F52">
          <w:rPr>
            <w:noProof/>
            <w:webHidden/>
          </w:rPr>
          <w:tab/>
        </w:r>
        <w:r w:rsidR="00052F52">
          <w:rPr>
            <w:noProof/>
            <w:webHidden/>
          </w:rPr>
          <w:fldChar w:fldCharType="begin"/>
        </w:r>
        <w:r w:rsidR="00052F52">
          <w:rPr>
            <w:noProof/>
            <w:webHidden/>
          </w:rPr>
          <w:instrText xml:space="preserve"> PAGEREF _Toc32494916 \h </w:instrText>
        </w:r>
        <w:r w:rsidR="00052F52">
          <w:rPr>
            <w:noProof/>
            <w:webHidden/>
          </w:rPr>
        </w:r>
        <w:r w:rsidR="00052F52">
          <w:rPr>
            <w:noProof/>
            <w:webHidden/>
          </w:rPr>
          <w:fldChar w:fldCharType="separate"/>
        </w:r>
        <w:r w:rsidR="00105BE1">
          <w:rPr>
            <w:noProof/>
            <w:webHidden/>
          </w:rPr>
          <w:t>3</w:t>
        </w:r>
        <w:r w:rsidR="00052F52">
          <w:rPr>
            <w:noProof/>
            <w:webHidden/>
          </w:rPr>
          <w:fldChar w:fldCharType="end"/>
        </w:r>
      </w:hyperlink>
    </w:p>
    <w:p w14:paraId="6647718A" w14:textId="081B5A3C" w:rsidR="00052F52" w:rsidRDefault="00A650A4">
      <w:pPr>
        <w:pStyle w:val="TOC2"/>
        <w:rPr>
          <w:rFonts w:eastAsiaTheme="minorEastAsia"/>
          <w:noProof/>
        </w:rPr>
      </w:pPr>
      <w:hyperlink w:anchor="_Toc32494917" w:history="1">
        <w:r w:rsidR="00052F52" w:rsidRPr="00DF1A58">
          <w:rPr>
            <w:rStyle w:val="Hyperlink"/>
            <w:noProof/>
          </w:rPr>
          <w:t>GEF-7 Biodiversity Focal Area Strategy Contributions to Achieving the Aichi Biodiversity Targets</w:t>
        </w:r>
        <w:r w:rsidR="00052F52">
          <w:rPr>
            <w:noProof/>
            <w:webHidden/>
          </w:rPr>
          <w:tab/>
        </w:r>
        <w:r w:rsidR="00052F52">
          <w:rPr>
            <w:noProof/>
            <w:webHidden/>
          </w:rPr>
          <w:fldChar w:fldCharType="begin"/>
        </w:r>
        <w:r w:rsidR="00052F52">
          <w:rPr>
            <w:noProof/>
            <w:webHidden/>
          </w:rPr>
          <w:instrText xml:space="preserve"> PAGEREF _Toc32494917 \h </w:instrText>
        </w:r>
        <w:r w:rsidR="00052F52">
          <w:rPr>
            <w:noProof/>
            <w:webHidden/>
          </w:rPr>
        </w:r>
        <w:r w:rsidR="00052F52">
          <w:rPr>
            <w:noProof/>
            <w:webHidden/>
          </w:rPr>
          <w:fldChar w:fldCharType="separate"/>
        </w:r>
        <w:r w:rsidR="00105BE1">
          <w:rPr>
            <w:noProof/>
            <w:webHidden/>
          </w:rPr>
          <w:t>7</w:t>
        </w:r>
        <w:r w:rsidR="00052F52">
          <w:rPr>
            <w:noProof/>
            <w:webHidden/>
          </w:rPr>
          <w:fldChar w:fldCharType="end"/>
        </w:r>
      </w:hyperlink>
    </w:p>
    <w:p w14:paraId="5DDBB590" w14:textId="07CDFE55" w:rsidR="00052F52" w:rsidRDefault="00A650A4">
      <w:pPr>
        <w:pStyle w:val="TOC3"/>
        <w:tabs>
          <w:tab w:val="right" w:leader="dot" w:pos="9350"/>
        </w:tabs>
        <w:rPr>
          <w:rFonts w:eastAsiaTheme="minorEastAsia"/>
          <w:noProof/>
        </w:rPr>
      </w:pPr>
      <w:hyperlink w:anchor="_Toc32494918" w:history="1">
        <w:r w:rsidR="00052F52" w:rsidRPr="00DF1A58">
          <w:rPr>
            <w:rStyle w:val="Hyperlink"/>
            <w:noProof/>
            <w:lang w:val="en-GB"/>
          </w:rPr>
          <w:t>Project Preparation Grants</w:t>
        </w:r>
        <w:r w:rsidR="00052F52">
          <w:rPr>
            <w:noProof/>
            <w:webHidden/>
          </w:rPr>
          <w:tab/>
        </w:r>
        <w:r w:rsidR="00052F52">
          <w:rPr>
            <w:noProof/>
            <w:webHidden/>
          </w:rPr>
          <w:fldChar w:fldCharType="begin"/>
        </w:r>
        <w:r w:rsidR="00052F52">
          <w:rPr>
            <w:noProof/>
            <w:webHidden/>
          </w:rPr>
          <w:instrText xml:space="preserve"> PAGEREF _Toc32494918 \h </w:instrText>
        </w:r>
        <w:r w:rsidR="00052F52">
          <w:rPr>
            <w:noProof/>
            <w:webHidden/>
          </w:rPr>
        </w:r>
        <w:r w:rsidR="00052F52">
          <w:rPr>
            <w:noProof/>
            <w:webHidden/>
          </w:rPr>
          <w:fldChar w:fldCharType="separate"/>
        </w:r>
        <w:r w:rsidR="00105BE1">
          <w:rPr>
            <w:noProof/>
            <w:webHidden/>
          </w:rPr>
          <w:t>8</w:t>
        </w:r>
        <w:r w:rsidR="00052F52">
          <w:rPr>
            <w:noProof/>
            <w:webHidden/>
          </w:rPr>
          <w:fldChar w:fldCharType="end"/>
        </w:r>
      </w:hyperlink>
    </w:p>
    <w:p w14:paraId="50D14DDF" w14:textId="281673C8" w:rsidR="00052F52" w:rsidRDefault="00A650A4">
      <w:pPr>
        <w:pStyle w:val="TOC3"/>
        <w:tabs>
          <w:tab w:val="right" w:leader="dot" w:pos="9350"/>
        </w:tabs>
        <w:rPr>
          <w:rFonts w:eastAsiaTheme="minorEastAsia"/>
          <w:noProof/>
        </w:rPr>
      </w:pPr>
      <w:hyperlink w:anchor="_Toc32494919" w:history="1">
        <w:r w:rsidR="00052F52" w:rsidRPr="00DF1A58">
          <w:rPr>
            <w:rStyle w:val="Hyperlink"/>
            <w:noProof/>
            <w:lang w:val="en-GB"/>
          </w:rPr>
          <w:t>Support for the Implementation the Cartagena Protocol on Biosafety to the Convention on Biological Diversity</w:t>
        </w:r>
        <w:r w:rsidR="00052F52">
          <w:rPr>
            <w:noProof/>
            <w:webHidden/>
          </w:rPr>
          <w:tab/>
        </w:r>
        <w:r w:rsidR="00052F52">
          <w:rPr>
            <w:noProof/>
            <w:webHidden/>
          </w:rPr>
          <w:fldChar w:fldCharType="begin"/>
        </w:r>
        <w:r w:rsidR="00052F52">
          <w:rPr>
            <w:noProof/>
            <w:webHidden/>
          </w:rPr>
          <w:instrText xml:space="preserve"> PAGEREF _Toc32494919 \h </w:instrText>
        </w:r>
        <w:r w:rsidR="00052F52">
          <w:rPr>
            <w:noProof/>
            <w:webHidden/>
          </w:rPr>
        </w:r>
        <w:r w:rsidR="00052F52">
          <w:rPr>
            <w:noProof/>
            <w:webHidden/>
          </w:rPr>
          <w:fldChar w:fldCharType="separate"/>
        </w:r>
        <w:r w:rsidR="00105BE1">
          <w:rPr>
            <w:noProof/>
            <w:webHidden/>
          </w:rPr>
          <w:t>8</w:t>
        </w:r>
        <w:r w:rsidR="00052F52">
          <w:rPr>
            <w:noProof/>
            <w:webHidden/>
          </w:rPr>
          <w:fldChar w:fldCharType="end"/>
        </w:r>
      </w:hyperlink>
    </w:p>
    <w:p w14:paraId="08A547D2" w14:textId="12E07795" w:rsidR="00052F52" w:rsidRDefault="00A650A4">
      <w:pPr>
        <w:pStyle w:val="TOC3"/>
        <w:tabs>
          <w:tab w:val="right" w:leader="dot" w:pos="9350"/>
        </w:tabs>
        <w:rPr>
          <w:rFonts w:eastAsiaTheme="minorEastAsia"/>
          <w:noProof/>
        </w:rPr>
      </w:pPr>
      <w:hyperlink w:anchor="_Toc32494920" w:history="1">
        <w:r w:rsidR="00052F52" w:rsidRPr="00DF1A58">
          <w:rPr>
            <w:rStyle w:val="Hyperlink"/>
            <w:noProof/>
            <w:lang w:val="en-GB"/>
          </w:rPr>
          <w:t>Support to Ratification and Implementation of the Nagoya Protocol on Access to Genetic Resources and the Fair and Equitable Sharing of Benefits Arising from their Utilization to the Convention on Biological Diversity</w:t>
        </w:r>
        <w:r w:rsidR="00052F52">
          <w:rPr>
            <w:noProof/>
            <w:webHidden/>
          </w:rPr>
          <w:tab/>
        </w:r>
        <w:r w:rsidR="00052F52">
          <w:rPr>
            <w:noProof/>
            <w:webHidden/>
          </w:rPr>
          <w:fldChar w:fldCharType="begin"/>
        </w:r>
        <w:r w:rsidR="00052F52">
          <w:rPr>
            <w:noProof/>
            <w:webHidden/>
          </w:rPr>
          <w:instrText xml:space="preserve"> PAGEREF _Toc32494920 \h </w:instrText>
        </w:r>
        <w:r w:rsidR="00052F52">
          <w:rPr>
            <w:noProof/>
            <w:webHidden/>
          </w:rPr>
        </w:r>
        <w:r w:rsidR="00052F52">
          <w:rPr>
            <w:noProof/>
            <w:webHidden/>
          </w:rPr>
          <w:fldChar w:fldCharType="separate"/>
        </w:r>
        <w:r w:rsidR="00105BE1">
          <w:rPr>
            <w:noProof/>
            <w:webHidden/>
          </w:rPr>
          <w:t>9</w:t>
        </w:r>
        <w:r w:rsidR="00052F52">
          <w:rPr>
            <w:noProof/>
            <w:webHidden/>
          </w:rPr>
          <w:fldChar w:fldCharType="end"/>
        </w:r>
      </w:hyperlink>
    </w:p>
    <w:p w14:paraId="47C0F4AB" w14:textId="63851C86" w:rsidR="00052F52" w:rsidRDefault="00A650A4">
      <w:pPr>
        <w:pStyle w:val="TOC2"/>
        <w:rPr>
          <w:rFonts w:eastAsiaTheme="minorEastAsia"/>
          <w:noProof/>
        </w:rPr>
      </w:pPr>
      <w:hyperlink w:anchor="_Toc32494921" w:history="1">
        <w:r w:rsidR="00052F52" w:rsidRPr="00DF1A58">
          <w:rPr>
            <w:rStyle w:val="Hyperlink"/>
            <w:noProof/>
            <w:snapToGrid w:val="0"/>
          </w:rPr>
          <w:t>Impact Program Contributions to Achieving the Aichi Biodiversity Targets</w:t>
        </w:r>
        <w:r w:rsidR="00052F52">
          <w:rPr>
            <w:noProof/>
            <w:webHidden/>
          </w:rPr>
          <w:tab/>
        </w:r>
        <w:r w:rsidR="00052F52">
          <w:rPr>
            <w:noProof/>
            <w:webHidden/>
          </w:rPr>
          <w:fldChar w:fldCharType="begin"/>
        </w:r>
        <w:r w:rsidR="00052F52">
          <w:rPr>
            <w:noProof/>
            <w:webHidden/>
          </w:rPr>
          <w:instrText xml:space="preserve"> PAGEREF _Toc32494921 \h </w:instrText>
        </w:r>
        <w:r w:rsidR="00052F52">
          <w:rPr>
            <w:noProof/>
            <w:webHidden/>
          </w:rPr>
        </w:r>
        <w:r w:rsidR="00052F52">
          <w:rPr>
            <w:noProof/>
            <w:webHidden/>
          </w:rPr>
          <w:fldChar w:fldCharType="separate"/>
        </w:r>
        <w:r w:rsidR="00105BE1">
          <w:rPr>
            <w:noProof/>
            <w:webHidden/>
          </w:rPr>
          <w:t>9</w:t>
        </w:r>
        <w:r w:rsidR="00052F52">
          <w:rPr>
            <w:noProof/>
            <w:webHidden/>
          </w:rPr>
          <w:fldChar w:fldCharType="end"/>
        </w:r>
      </w:hyperlink>
    </w:p>
    <w:p w14:paraId="5077127F" w14:textId="021937D0" w:rsidR="00052F52" w:rsidRDefault="00A650A4">
      <w:pPr>
        <w:pStyle w:val="TOC3"/>
        <w:tabs>
          <w:tab w:val="right" w:leader="dot" w:pos="9350"/>
        </w:tabs>
        <w:rPr>
          <w:rFonts w:eastAsiaTheme="minorEastAsia"/>
          <w:noProof/>
        </w:rPr>
      </w:pPr>
      <w:hyperlink w:anchor="_Toc32494922" w:history="1">
        <w:r w:rsidR="00052F52" w:rsidRPr="00DF1A58">
          <w:rPr>
            <w:rStyle w:val="Hyperlink"/>
            <w:noProof/>
            <w:snapToGrid w:val="0"/>
          </w:rPr>
          <w:t>Food Systems, Land Use and Restoration</w:t>
        </w:r>
        <w:r w:rsidR="00052F52">
          <w:rPr>
            <w:noProof/>
            <w:webHidden/>
          </w:rPr>
          <w:tab/>
        </w:r>
        <w:r w:rsidR="00052F52">
          <w:rPr>
            <w:noProof/>
            <w:webHidden/>
          </w:rPr>
          <w:fldChar w:fldCharType="begin"/>
        </w:r>
        <w:r w:rsidR="00052F52">
          <w:rPr>
            <w:noProof/>
            <w:webHidden/>
          </w:rPr>
          <w:instrText xml:space="preserve"> PAGEREF _Toc32494922 \h </w:instrText>
        </w:r>
        <w:r w:rsidR="00052F52">
          <w:rPr>
            <w:noProof/>
            <w:webHidden/>
          </w:rPr>
        </w:r>
        <w:r w:rsidR="00052F52">
          <w:rPr>
            <w:noProof/>
            <w:webHidden/>
          </w:rPr>
          <w:fldChar w:fldCharType="separate"/>
        </w:r>
        <w:r w:rsidR="00105BE1">
          <w:rPr>
            <w:noProof/>
            <w:webHidden/>
          </w:rPr>
          <w:t>9</w:t>
        </w:r>
        <w:r w:rsidR="00052F52">
          <w:rPr>
            <w:noProof/>
            <w:webHidden/>
          </w:rPr>
          <w:fldChar w:fldCharType="end"/>
        </w:r>
      </w:hyperlink>
    </w:p>
    <w:p w14:paraId="030D6BD4" w14:textId="51A2D02E" w:rsidR="00052F52" w:rsidRDefault="00A650A4">
      <w:pPr>
        <w:pStyle w:val="TOC3"/>
        <w:tabs>
          <w:tab w:val="right" w:leader="dot" w:pos="9350"/>
        </w:tabs>
        <w:rPr>
          <w:rFonts w:eastAsiaTheme="minorEastAsia"/>
          <w:noProof/>
        </w:rPr>
      </w:pPr>
      <w:hyperlink w:anchor="_Toc32494923" w:history="1">
        <w:r w:rsidR="00052F52" w:rsidRPr="00DF1A58">
          <w:rPr>
            <w:rStyle w:val="Hyperlink"/>
            <w:noProof/>
            <w:snapToGrid w:val="0"/>
          </w:rPr>
          <w:t>Sustainable Forest Management</w:t>
        </w:r>
        <w:r w:rsidR="00052F52">
          <w:rPr>
            <w:noProof/>
            <w:webHidden/>
          </w:rPr>
          <w:tab/>
        </w:r>
        <w:r w:rsidR="00052F52">
          <w:rPr>
            <w:noProof/>
            <w:webHidden/>
          </w:rPr>
          <w:fldChar w:fldCharType="begin"/>
        </w:r>
        <w:r w:rsidR="00052F52">
          <w:rPr>
            <w:noProof/>
            <w:webHidden/>
          </w:rPr>
          <w:instrText xml:space="preserve"> PAGEREF _Toc32494923 \h </w:instrText>
        </w:r>
        <w:r w:rsidR="00052F52">
          <w:rPr>
            <w:noProof/>
            <w:webHidden/>
          </w:rPr>
        </w:r>
        <w:r w:rsidR="00052F52">
          <w:rPr>
            <w:noProof/>
            <w:webHidden/>
          </w:rPr>
          <w:fldChar w:fldCharType="separate"/>
        </w:r>
        <w:r w:rsidR="00105BE1">
          <w:rPr>
            <w:noProof/>
            <w:webHidden/>
          </w:rPr>
          <w:t>10</w:t>
        </w:r>
        <w:r w:rsidR="00052F52">
          <w:rPr>
            <w:noProof/>
            <w:webHidden/>
          </w:rPr>
          <w:fldChar w:fldCharType="end"/>
        </w:r>
      </w:hyperlink>
    </w:p>
    <w:p w14:paraId="34EE67C0" w14:textId="68A9EB1B" w:rsidR="00052F52" w:rsidRDefault="00A650A4">
      <w:pPr>
        <w:pStyle w:val="TOC3"/>
        <w:tabs>
          <w:tab w:val="right" w:leader="dot" w:pos="9350"/>
        </w:tabs>
        <w:rPr>
          <w:rFonts w:eastAsiaTheme="minorEastAsia"/>
          <w:noProof/>
        </w:rPr>
      </w:pPr>
      <w:hyperlink w:anchor="_Toc32494924" w:history="1">
        <w:r w:rsidR="00052F52" w:rsidRPr="00DF1A58">
          <w:rPr>
            <w:rStyle w:val="Hyperlink"/>
            <w:noProof/>
            <w:snapToGrid w:val="0"/>
          </w:rPr>
          <w:t>Sustainable Cities</w:t>
        </w:r>
        <w:r w:rsidR="00052F52">
          <w:rPr>
            <w:noProof/>
            <w:webHidden/>
          </w:rPr>
          <w:tab/>
        </w:r>
        <w:r w:rsidR="00052F52">
          <w:rPr>
            <w:noProof/>
            <w:webHidden/>
          </w:rPr>
          <w:fldChar w:fldCharType="begin"/>
        </w:r>
        <w:r w:rsidR="00052F52">
          <w:rPr>
            <w:noProof/>
            <w:webHidden/>
          </w:rPr>
          <w:instrText xml:space="preserve"> PAGEREF _Toc32494924 \h </w:instrText>
        </w:r>
        <w:r w:rsidR="00052F52">
          <w:rPr>
            <w:noProof/>
            <w:webHidden/>
          </w:rPr>
        </w:r>
        <w:r w:rsidR="00052F52">
          <w:rPr>
            <w:noProof/>
            <w:webHidden/>
          </w:rPr>
          <w:fldChar w:fldCharType="separate"/>
        </w:r>
        <w:r w:rsidR="00105BE1">
          <w:rPr>
            <w:noProof/>
            <w:webHidden/>
          </w:rPr>
          <w:t>11</w:t>
        </w:r>
        <w:r w:rsidR="00052F52">
          <w:rPr>
            <w:noProof/>
            <w:webHidden/>
          </w:rPr>
          <w:fldChar w:fldCharType="end"/>
        </w:r>
      </w:hyperlink>
    </w:p>
    <w:p w14:paraId="390F1262" w14:textId="650A1E43" w:rsidR="00052F52" w:rsidRDefault="00A650A4">
      <w:pPr>
        <w:pStyle w:val="TOC2"/>
        <w:rPr>
          <w:rFonts w:eastAsiaTheme="minorEastAsia"/>
          <w:noProof/>
        </w:rPr>
      </w:pPr>
      <w:hyperlink w:anchor="_Toc32494925" w:history="1">
        <w:r w:rsidR="00052F52" w:rsidRPr="00DF1A58">
          <w:rPr>
            <w:rStyle w:val="Hyperlink"/>
            <w:noProof/>
            <w:snapToGrid w:val="0"/>
          </w:rPr>
          <w:t>Other GEF Contributions to Achieving the Aichi Biodiversity Targets</w:t>
        </w:r>
        <w:r w:rsidR="00052F52">
          <w:rPr>
            <w:noProof/>
            <w:webHidden/>
          </w:rPr>
          <w:tab/>
        </w:r>
        <w:r w:rsidR="00052F52">
          <w:rPr>
            <w:noProof/>
            <w:webHidden/>
          </w:rPr>
          <w:fldChar w:fldCharType="begin"/>
        </w:r>
        <w:r w:rsidR="00052F52">
          <w:rPr>
            <w:noProof/>
            <w:webHidden/>
          </w:rPr>
          <w:instrText xml:space="preserve"> PAGEREF _Toc32494925 \h </w:instrText>
        </w:r>
        <w:r w:rsidR="00052F52">
          <w:rPr>
            <w:noProof/>
            <w:webHidden/>
          </w:rPr>
        </w:r>
        <w:r w:rsidR="00052F52">
          <w:rPr>
            <w:noProof/>
            <w:webHidden/>
          </w:rPr>
          <w:fldChar w:fldCharType="separate"/>
        </w:r>
        <w:r w:rsidR="00105BE1">
          <w:rPr>
            <w:noProof/>
            <w:webHidden/>
          </w:rPr>
          <w:t>11</w:t>
        </w:r>
        <w:r w:rsidR="00052F52">
          <w:rPr>
            <w:noProof/>
            <w:webHidden/>
          </w:rPr>
          <w:fldChar w:fldCharType="end"/>
        </w:r>
      </w:hyperlink>
    </w:p>
    <w:p w14:paraId="12411E15" w14:textId="45ECED2F" w:rsidR="00052F52" w:rsidRDefault="00A650A4">
      <w:pPr>
        <w:pStyle w:val="TOC3"/>
        <w:tabs>
          <w:tab w:val="right" w:leader="dot" w:pos="9350"/>
        </w:tabs>
        <w:rPr>
          <w:rFonts w:eastAsiaTheme="minorEastAsia"/>
          <w:noProof/>
        </w:rPr>
      </w:pPr>
      <w:hyperlink w:anchor="_Toc32494926" w:history="1">
        <w:r w:rsidR="00052F52" w:rsidRPr="00DF1A58">
          <w:rPr>
            <w:rStyle w:val="Hyperlink"/>
            <w:noProof/>
            <w:snapToGrid w:val="0"/>
          </w:rPr>
          <w:t>Climate Change Adaptation</w:t>
        </w:r>
        <w:r w:rsidR="00052F52">
          <w:rPr>
            <w:noProof/>
            <w:webHidden/>
          </w:rPr>
          <w:tab/>
        </w:r>
        <w:r w:rsidR="00052F52">
          <w:rPr>
            <w:noProof/>
            <w:webHidden/>
          </w:rPr>
          <w:fldChar w:fldCharType="begin"/>
        </w:r>
        <w:r w:rsidR="00052F52">
          <w:rPr>
            <w:noProof/>
            <w:webHidden/>
          </w:rPr>
          <w:instrText xml:space="preserve"> PAGEREF _Toc32494926 \h </w:instrText>
        </w:r>
        <w:r w:rsidR="00052F52">
          <w:rPr>
            <w:noProof/>
            <w:webHidden/>
          </w:rPr>
        </w:r>
        <w:r w:rsidR="00052F52">
          <w:rPr>
            <w:noProof/>
            <w:webHidden/>
          </w:rPr>
          <w:fldChar w:fldCharType="separate"/>
        </w:r>
        <w:r w:rsidR="00105BE1">
          <w:rPr>
            <w:noProof/>
            <w:webHidden/>
          </w:rPr>
          <w:t>11</w:t>
        </w:r>
        <w:r w:rsidR="00052F52">
          <w:rPr>
            <w:noProof/>
            <w:webHidden/>
          </w:rPr>
          <w:fldChar w:fldCharType="end"/>
        </w:r>
      </w:hyperlink>
    </w:p>
    <w:p w14:paraId="672BD55B" w14:textId="3DE4237D" w:rsidR="00052F52" w:rsidRDefault="00A650A4">
      <w:pPr>
        <w:pStyle w:val="TOC3"/>
        <w:tabs>
          <w:tab w:val="right" w:leader="dot" w:pos="9350"/>
        </w:tabs>
        <w:rPr>
          <w:rFonts w:eastAsiaTheme="minorEastAsia"/>
          <w:noProof/>
        </w:rPr>
      </w:pPr>
      <w:hyperlink w:anchor="_Toc32494927" w:history="1">
        <w:r w:rsidR="00052F52" w:rsidRPr="00DF1A58">
          <w:rPr>
            <w:rStyle w:val="Hyperlink"/>
            <w:noProof/>
            <w:snapToGrid w:val="0"/>
          </w:rPr>
          <w:t>International Waters Focal Area</w:t>
        </w:r>
        <w:r w:rsidR="00052F52">
          <w:rPr>
            <w:noProof/>
            <w:webHidden/>
          </w:rPr>
          <w:tab/>
        </w:r>
        <w:r w:rsidR="00052F52">
          <w:rPr>
            <w:noProof/>
            <w:webHidden/>
          </w:rPr>
          <w:fldChar w:fldCharType="begin"/>
        </w:r>
        <w:r w:rsidR="00052F52">
          <w:rPr>
            <w:noProof/>
            <w:webHidden/>
          </w:rPr>
          <w:instrText xml:space="preserve"> PAGEREF _Toc32494927 \h </w:instrText>
        </w:r>
        <w:r w:rsidR="00052F52">
          <w:rPr>
            <w:noProof/>
            <w:webHidden/>
          </w:rPr>
        </w:r>
        <w:r w:rsidR="00052F52">
          <w:rPr>
            <w:noProof/>
            <w:webHidden/>
          </w:rPr>
          <w:fldChar w:fldCharType="separate"/>
        </w:r>
        <w:r w:rsidR="00105BE1">
          <w:rPr>
            <w:noProof/>
            <w:webHidden/>
          </w:rPr>
          <w:t>12</w:t>
        </w:r>
        <w:r w:rsidR="00052F52">
          <w:rPr>
            <w:noProof/>
            <w:webHidden/>
          </w:rPr>
          <w:fldChar w:fldCharType="end"/>
        </w:r>
      </w:hyperlink>
    </w:p>
    <w:p w14:paraId="17A4FA13" w14:textId="16E6AD86" w:rsidR="00052F52" w:rsidRDefault="00A650A4">
      <w:pPr>
        <w:pStyle w:val="TOC3"/>
        <w:tabs>
          <w:tab w:val="right" w:leader="dot" w:pos="9350"/>
        </w:tabs>
        <w:rPr>
          <w:rFonts w:eastAsiaTheme="minorEastAsia"/>
          <w:noProof/>
        </w:rPr>
      </w:pPr>
      <w:hyperlink w:anchor="_Toc32494928" w:history="1">
        <w:r w:rsidR="00052F52" w:rsidRPr="00DF1A58">
          <w:rPr>
            <w:rStyle w:val="Hyperlink"/>
            <w:noProof/>
            <w:snapToGrid w:val="0"/>
          </w:rPr>
          <w:t>Non-grant Instrument</w:t>
        </w:r>
        <w:r w:rsidR="00052F52">
          <w:rPr>
            <w:noProof/>
            <w:webHidden/>
          </w:rPr>
          <w:tab/>
        </w:r>
        <w:r w:rsidR="00052F52">
          <w:rPr>
            <w:noProof/>
            <w:webHidden/>
          </w:rPr>
          <w:fldChar w:fldCharType="begin"/>
        </w:r>
        <w:r w:rsidR="00052F52">
          <w:rPr>
            <w:noProof/>
            <w:webHidden/>
          </w:rPr>
          <w:instrText xml:space="preserve"> PAGEREF _Toc32494928 \h </w:instrText>
        </w:r>
        <w:r w:rsidR="00052F52">
          <w:rPr>
            <w:noProof/>
            <w:webHidden/>
          </w:rPr>
        </w:r>
        <w:r w:rsidR="00052F52">
          <w:rPr>
            <w:noProof/>
            <w:webHidden/>
          </w:rPr>
          <w:fldChar w:fldCharType="separate"/>
        </w:r>
        <w:r w:rsidR="00105BE1">
          <w:rPr>
            <w:noProof/>
            <w:webHidden/>
          </w:rPr>
          <w:t>13</w:t>
        </w:r>
        <w:r w:rsidR="00052F52">
          <w:rPr>
            <w:noProof/>
            <w:webHidden/>
          </w:rPr>
          <w:fldChar w:fldCharType="end"/>
        </w:r>
      </w:hyperlink>
    </w:p>
    <w:p w14:paraId="2F1A619A" w14:textId="545EE443" w:rsidR="00052F52" w:rsidRDefault="00A650A4">
      <w:pPr>
        <w:pStyle w:val="TOC3"/>
        <w:tabs>
          <w:tab w:val="right" w:leader="dot" w:pos="9350"/>
        </w:tabs>
        <w:rPr>
          <w:rFonts w:eastAsiaTheme="minorEastAsia"/>
          <w:noProof/>
        </w:rPr>
      </w:pPr>
      <w:hyperlink w:anchor="_Toc32494929" w:history="1">
        <w:r w:rsidR="00052F52" w:rsidRPr="00DF1A58">
          <w:rPr>
            <w:rStyle w:val="Hyperlink"/>
            <w:noProof/>
            <w:snapToGrid w:val="0"/>
          </w:rPr>
          <w:t>Small Grants Programme</w:t>
        </w:r>
        <w:r w:rsidR="00052F52">
          <w:rPr>
            <w:noProof/>
            <w:webHidden/>
          </w:rPr>
          <w:tab/>
        </w:r>
        <w:r w:rsidR="00052F52">
          <w:rPr>
            <w:noProof/>
            <w:webHidden/>
          </w:rPr>
          <w:fldChar w:fldCharType="begin"/>
        </w:r>
        <w:r w:rsidR="00052F52">
          <w:rPr>
            <w:noProof/>
            <w:webHidden/>
          </w:rPr>
          <w:instrText xml:space="preserve"> PAGEREF _Toc32494929 \h </w:instrText>
        </w:r>
        <w:r w:rsidR="00052F52">
          <w:rPr>
            <w:noProof/>
            <w:webHidden/>
          </w:rPr>
        </w:r>
        <w:r w:rsidR="00052F52">
          <w:rPr>
            <w:noProof/>
            <w:webHidden/>
          </w:rPr>
          <w:fldChar w:fldCharType="separate"/>
        </w:r>
        <w:r w:rsidR="00105BE1">
          <w:rPr>
            <w:noProof/>
            <w:webHidden/>
          </w:rPr>
          <w:t>14</w:t>
        </w:r>
        <w:r w:rsidR="00052F52">
          <w:rPr>
            <w:noProof/>
            <w:webHidden/>
          </w:rPr>
          <w:fldChar w:fldCharType="end"/>
        </w:r>
      </w:hyperlink>
    </w:p>
    <w:p w14:paraId="221F1B5A" w14:textId="3F612CE1" w:rsidR="00052F52" w:rsidRDefault="00A650A4">
      <w:pPr>
        <w:pStyle w:val="TOC1"/>
        <w:rPr>
          <w:rFonts w:eastAsiaTheme="minorEastAsia"/>
          <w:noProof/>
        </w:rPr>
      </w:pPr>
      <w:hyperlink w:anchor="_Toc32494930" w:history="1">
        <w:r w:rsidR="00052F52" w:rsidRPr="00DF1A58">
          <w:rPr>
            <w:rStyle w:val="Hyperlink"/>
            <w:noProof/>
            <w:lang w:val="en-GB"/>
          </w:rPr>
          <w:t>II.</w:t>
        </w:r>
        <w:r w:rsidR="00052F52">
          <w:rPr>
            <w:rFonts w:eastAsiaTheme="minorEastAsia"/>
            <w:noProof/>
          </w:rPr>
          <w:tab/>
        </w:r>
        <w:r w:rsidR="00052F52" w:rsidRPr="00DF1A58">
          <w:rPr>
            <w:rStyle w:val="Hyperlink"/>
            <w:noProof/>
            <w:lang w:val="en-GB"/>
          </w:rPr>
          <w:t>GEF Response to Guidance from CBD COP 14</w:t>
        </w:r>
        <w:r w:rsidR="00052F52">
          <w:rPr>
            <w:noProof/>
            <w:webHidden/>
          </w:rPr>
          <w:tab/>
        </w:r>
        <w:r w:rsidR="00052F52">
          <w:rPr>
            <w:noProof/>
            <w:webHidden/>
          </w:rPr>
          <w:fldChar w:fldCharType="begin"/>
        </w:r>
        <w:r w:rsidR="00052F52">
          <w:rPr>
            <w:noProof/>
            <w:webHidden/>
          </w:rPr>
          <w:instrText xml:space="preserve"> PAGEREF _Toc32494930 \h </w:instrText>
        </w:r>
        <w:r w:rsidR="00052F52">
          <w:rPr>
            <w:noProof/>
            <w:webHidden/>
          </w:rPr>
        </w:r>
        <w:r w:rsidR="00052F52">
          <w:rPr>
            <w:noProof/>
            <w:webHidden/>
          </w:rPr>
          <w:fldChar w:fldCharType="separate"/>
        </w:r>
        <w:r w:rsidR="00105BE1">
          <w:rPr>
            <w:noProof/>
            <w:webHidden/>
          </w:rPr>
          <w:t>15</w:t>
        </w:r>
        <w:r w:rsidR="00052F52">
          <w:rPr>
            <w:noProof/>
            <w:webHidden/>
          </w:rPr>
          <w:fldChar w:fldCharType="end"/>
        </w:r>
      </w:hyperlink>
    </w:p>
    <w:p w14:paraId="1E690D56" w14:textId="0D88CA67" w:rsidR="00052F52" w:rsidRDefault="00A650A4">
      <w:pPr>
        <w:pStyle w:val="TOC1"/>
        <w:rPr>
          <w:rFonts w:eastAsiaTheme="minorEastAsia"/>
          <w:noProof/>
        </w:rPr>
      </w:pPr>
      <w:hyperlink w:anchor="_Toc32494931" w:history="1">
        <w:r w:rsidR="00052F52" w:rsidRPr="00DF1A58">
          <w:rPr>
            <w:rStyle w:val="Hyperlink"/>
            <w:noProof/>
            <w:lang w:val="en-GB"/>
          </w:rPr>
          <w:t>III.</w:t>
        </w:r>
        <w:r w:rsidR="00052F52">
          <w:rPr>
            <w:rFonts w:eastAsiaTheme="minorEastAsia"/>
            <w:noProof/>
          </w:rPr>
          <w:tab/>
        </w:r>
        <w:r w:rsidR="00052F52" w:rsidRPr="00DF1A58">
          <w:rPr>
            <w:rStyle w:val="Hyperlink"/>
            <w:noProof/>
            <w:lang w:val="en-GB"/>
          </w:rPr>
          <w:t>Portfolio Implementation</w:t>
        </w:r>
        <w:r w:rsidR="00052F52">
          <w:rPr>
            <w:noProof/>
            <w:webHidden/>
          </w:rPr>
          <w:tab/>
        </w:r>
        <w:r w:rsidR="00052F52">
          <w:rPr>
            <w:noProof/>
            <w:webHidden/>
          </w:rPr>
          <w:fldChar w:fldCharType="begin"/>
        </w:r>
        <w:r w:rsidR="00052F52">
          <w:rPr>
            <w:noProof/>
            <w:webHidden/>
          </w:rPr>
          <w:instrText xml:space="preserve"> PAGEREF _Toc32494931 \h </w:instrText>
        </w:r>
        <w:r w:rsidR="00052F52">
          <w:rPr>
            <w:noProof/>
            <w:webHidden/>
          </w:rPr>
        </w:r>
        <w:r w:rsidR="00052F52">
          <w:rPr>
            <w:noProof/>
            <w:webHidden/>
          </w:rPr>
          <w:fldChar w:fldCharType="separate"/>
        </w:r>
        <w:r w:rsidR="00105BE1">
          <w:rPr>
            <w:noProof/>
            <w:webHidden/>
          </w:rPr>
          <w:t>20</w:t>
        </w:r>
        <w:r w:rsidR="00052F52">
          <w:rPr>
            <w:noProof/>
            <w:webHidden/>
          </w:rPr>
          <w:fldChar w:fldCharType="end"/>
        </w:r>
      </w:hyperlink>
    </w:p>
    <w:p w14:paraId="3F315437" w14:textId="34E27A47" w:rsidR="00052F52" w:rsidRDefault="00A650A4">
      <w:pPr>
        <w:pStyle w:val="TOC2"/>
        <w:rPr>
          <w:rFonts w:eastAsiaTheme="minorEastAsia"/>
          <w:noProof/>
        </w:rPr>
      </w:pPr>
      <w:hyperlink w:anchor="_Toc32494932" w:history="1">
        <w:r w:rsidR="00052F52" w:rsidRPr="00DF1A58">
          <w:rPr>
            <w:rStyle w:val="Hyperlink"/>
            <w:noProof/>
          </w:rPr>
          <w:t>Achieving Project Development Objectives and Implementation Progress</w:t>
        </w:r>
        <w:r w:rsidR="00052F52">
          <w:rPr>
            <w:noProof/>
            <w:webHidden/>
          </w:rPr>
          <w:tab/>
        </w:r>
        <w:r w:rsidR="00052F52">
          <w:rPr>
            <w:noProof/>
            <w:webHidden/>
          </w:rPr>
          <w:fldChar w:fldCharType="begin"/>
        </w:r>
        <w:r w:rsidR="00052F52">
          <w:rPr>
            <w:noProof/>
            <w:webHidden/>
          </w:rPr>
          <w:instrText xml:space="preserve"> PAGEREF _Toc32494932 \h </w:instrText>
        </w:r>
        <w:r w:rsidR="00052F52">
          <w:rPr>
            <w:noProof/>
            <w:webHidden/>
          </w:rPr>
        </w:r>
        <w:r w:rsidR="00052F52">
          <w:rPr>
            <w:noProof/>
            <w:webHidden/>
          </w:rPr>
          <w:fldChar w:fldCharType="separate"/>
        </w:r>
        <w:r w:rsidR="00105BE1">
          <w:rPr>
            <w:noProof/>
            <w:webHidden/>
          </w:rPr>
          <w:t>20</w:t>
        </w:r>
        <w:r w:rsidR="00052F52">
          <w:rPr>
            <w:noProof/>
            <w:webHidden/>
          </w:rPr>
          <w:fldChar w:fldCharType="end"/>
        </w:r>
      </w:hyperlink>
    </w:p>
    <w:p w14:paraId="62788FC1" w14:textId="58EC8107" w:rsidR="00052F52" w:rsidRDefault="00A650A4">
      <w:pPr>
        <w:pStyle w:val="TOC2"/>
        <w:rPr>
          <w:rFonts w:eastAsiaTheme="minorEastAsia"/>
          <w:noProof/>
        </w:rPr>
      </w:pPr>
      <w:hyperlink w:anchor="_Toc32494933" w:history="1">
        <w:r w:rsidR="00052F52" w:rsidRPr="00DF1A58">
          <w:rPr>
            <w:rStyle w:val="Hyperlink"/>
            <w:noProof/>
          </w:rPr>
          <w:t>Increasing Co-Financing across the Portfolio</w:t>
        </w:r>
        <w:r w:rsidR="00052F52">
          <w:rPr>
            <w:noProof/>
            <w:webHidden/>
          </w:rPr>
          <w:tab/>
        </w:r>
        <w:r w:rsidR="00052F52">
          <w:rPr>
            <w:noProof/>
            <w:webHidden/>
          </w:rPr>
          <w:fldChar w:fldCharType="begin"/>
        </w:r>
        <w:r w:rsidR="00052F52">
          <w:rPr>
            <w:noProof/>
            <w:webHidden/>
          </w:rPr>
          <w:instrText xml:space="preserve"> PAGEREF _Toc32494933 \h </w:instrText>
        </w:r>
        <w:r w:rsidR="00052F52">
          <w:rPr>
            <w:noProof/>
            <w:webHidden/>
          </w:rPr>
        </w:r>
        <w:r w:rsidR="00052F52">
          <w:rPr>
            <w:noProof/>
            <w:webHidden/>
          </w:rPr>
          <w:fldChar w:fldCharType="separate"/>
        </w:r>
        <w:r w:rsidR="00105BE1">
          <w:rPr>
            <w:noProof/>
            <w:webHidden/>
          </w:rPr>
          <w:t>24</w:t>
        </w:r>
        <w:r w:rsidR="00052F52">
          <w:rPr>
            <w:noProof/>
            <w:webHidden/>
          </w:rPr>
          <w:fldChar w:fldCharType="end"/>
        </w:r>
      </w:hyperlink>
    </w:p>
    <w:p w14:paraId="462FCDC8" w14:textId="432C8C7E" w:rsidR="00052F52" w:rsidRDefault="00A650A4">
      <w:pPr>
        <w:pStyle w:val="TOC1"/>
        <w:rPr>
          <w:rFonts w:eastAsiaTheme="minorEastAsia"/>
          <w:noProof/>
        </w:rPr>
      </w:pPr>
      <w:hyperlink w:anchor="_Toc32494934" w:history="1">
        <w:r w:rsidR="00052F52" w:rsidRPr="00DF1A58">
          <w:rPr>
            <w:rStyle w:val="Hyperlink"/>
            <w:noProof/>
            <w:lang w:val="en-GB"/>
          </w:rPr>
          <w:t>IV.</w:t>
        </w:r>
        <w:r w:rsidR="00052F52">
          <w:rPr>
            <w:rFonts w:eastAsiaTheme="minorEastAsia"/>
            <w:noProof/>
          </w:rPr>
          <w:tab/>
        </w:r>
        <w:r w:rsidR="00052F52" w:rsidRPr="00DF1A58">
          <w:rPr>
            <w:rStyle w:val="Hyperlink"/>
            <w:noProof/>
            <w:lang w:val="en-GB"/>
          </w:rPr>
          <w:t>Progress Report on GEF-7 Corporate Results and Targets</w:t>
        </w:r>
        <w:r w:rsidR="00052F52">
          <w:rPr>
            <w:noProof/>
            <w:webHidden/>
          </w:rPr>
          <w:tab/>
        </w:r>
        <w:r w:rsidR="00052F52">
          <w:rPr>
            <w:noProof/>
            <w:webHidden/>
          </w:rPr>
          <w:fldChar w:fldCharType="begin"/>
        </w:r>
        <w:r w:rsidR="00052F52">
          <w:rPr>
            <w:noProof/>
            <w:webHidden/>
          </w:rPr>
          <w:instrText xml:space="preserve"> PAGEREF _Toc32494934 \h </w:instrText>
        </w:r>
        <w:r w:rsidR="00052F52">
          <w:rPr>
            <w:noProof/>
            <w:webHidden/>
          </w:rPr>
        </w:r>
        <w:r w:rsidR="00052F52">
          <w:rPr>
            <w:noProof/>
            <w:webHidden/>
          </w:rPr>
          <w:fldChar w:fldCharType="separate"/>
        </w:r>
        <w:r w:rsidR="00105BE1">
          <w:rPr>
            <w:noProof/>
            <w:webHidden/>
          </w:rPr>
          <w:t>25</w:t>
        </w:r>
        <w:r w:rsidR="00052F52">
          <w:rPr>
            <w:noProof/>
            <w:webHidden/>
          </w:rPr>
          <w:fldChar w:fldCharType="end"/>
        </w:r>
      </w:hyperlink>
    </w:p>
    <w:p w14:paraId="32F6565C" w14:textId="4D219773" w:rsidR="00052F52" w:rsidRDefault="00A650A4">
      <w:pPr>
        <w:pStyle w:val="TOC1"/>
        <w:rPr>
          <w:rFonts w:eastAsiaTheme="minorEastAsia"/>
          <w:noProof/>
        </w:rPr>
      </w:pPr>
      <w:hyperlink w:anchor="_Toc32494935" w:history="1">
        <w:r w:rsidR="00052F52" w:rsidRPr="00DF1A58">
          <w:rPr>
            <w:rStyle w:val="Hyperlink"/>
            <w:noProof/>
            <w:lang w:val="en-GB"/>
          </w:rPr>
          <w:t>V.</w:t>
        </w:r>
        <w:r w:rsidR="00052F52">
          <w:rPr>
            <w:rFonts w:eastAsiaTheme="minorEastAsia"/>
            <w:noProof/>
          </w:rPr>
          <w:tab/>
        </w:r>
        <w:r w:rsidR="00052F52" w:rsidRPr="00DF1A58">
          <w:rPr>
            <w:rStyle w:val="Hyperlink"/>
            <w:noProof/>
            <w:lang w:val="en-GB"/>
          </w:rPr>
          <w:t>Results from the GEF Independent Evaluation Office</w:t>
        </w:r>
        <w:r w:rsidR="00052F52">
          <w:rPr>
            <w:noProof/>
            <w:webHidden/>
          </w:rPr>
          <w:tab/>
        </w:r>
        <w:r w:rsidR="00052F52">
          <w:rPr>
            <w:noProof/>
            <w:webHidden/>
          </w:rPr>
          <w:fldChar w:fldCharType="begin"/>
        </w:r>
        <w:r w:rsidR="00052F52">
          <w:rPr>
            <w:noProof/>
            <w:webHidden/>
          </w:rPr>
          <w:instrText xml:space="preserve"> PAGEREF _Toc32494935 \h </w:instrText>
        </w:r>
        <w:r w:rsidR="00052F52">
          <w:rPr>
            <w:noProof/>
            <w:webHidden/>
          </w:rPr>
        </w:r>
        <w:r w:rsidR="00052F52">
          <w:rPr>
            <w:noProof/>
            <w:webHidden/>
          </w:rPr>
          <w:fldChar w:fldCharType="separate"/>
        </w:r>
        <w:r w:rsidR="00105BE1">
          <w:rPr>
            <w:noProof/>
            <w:webHidden/>
          </w:rPr>
          <w:t>28</w:t>
        </w:r>
        <w:r w:rsidR="00052F52">
          <w:rPr>
            <w:noProof/>
            <w:webHidden/>
          </w:rPr>
          <w:fldChar w:fldCharType="end"/>
        </w:r>
      </w:hyperlink>
    </w:p>
    <w:p w14:paraId="2F5BE60F" w14:textId="0E670674" w:rsidR="00052F52" w:rsidRDefault="00A650A4">
      <w:pPr>
        <w:pStyle w:val="TOC3"/>
        <w:tabs>
          <w:tab w:val="right" w:leader="dot" w:pos="9350"/>
        </w:tabs>
        <w:rPr>
          <w:rFonts w:eastAsiaTheme="minorEastAsia"/>
          <w:noProof/>
        </w:rPr>
      </w:pPr>
      <w:hyperlink w:anchor="_Toc32494936" w:history="1">
        <w:r w:rsidR="00052F52" w:rsidRPr="00DF1A58">
          <w:rPr>
            <w:rStyle w:val="Hyperlink"/>
            <w:noProof/>
            <w:lang w:val="en"/>
          </w:rPr>
          <w:t>Evaluation of GEF's Support to Mainstreaming Biodiversity 2018</w:t>
        </w:r>
        <w:r w:rsidR="00052F52">
          <w:rPr>
            <w:noProof/>
            <w:webHidden/>
          </w:rPr>
          <w:tab/>
        </w:r>
        <w:r w:rsidR="00052F52">
          <w:rPr>
            <w:noProof/>
            <w:webHidden/>
          </w:rPr>
          <w:fldChar w:fldCharType="begin"/>
        </w:r>
        <w:r w:rsidR="00052F52">
          <w:rPr>
            <w:noProof/>
            <w:webHidden/>
          </w:rPr>
          <w:instrText xml:space="preserve"> PAGEREF _Toc32494936 \h </w:instrText>
        </w:r>
        <w:r w:rsidR="00052F52">
          <w:rPr>
            <w:noProof/>
            <w:webHidden/>
          </w:rPr>
        </w:r>
        <w:r w:rsidR="00052F52">
          <w:rPr>
            <w:noProof/>
            <w:webHidden/>
          </w:rPr>
          <w:fldChar w:fldCharType="separate"/>
        </w:r>
        <w:r w:rsidR="00105BE1">
          <w:rPr>
            <w:noProof/>
            <w:webHidden/>
          </w:rPr>
          <w:t>28</w:t>
        </w:r>
        <w:r w:rsidR="00052F52">
          <w:rPr>
            <w:noProof/>
            <w:webHidden/>
          </w:rPr>
          <w:fldChar w:fldCharType="end"/>
        </w:r>
      </w:hyperlink>
    </w:p>
    <w:p w14:paraId="739590BB" w14:textId="4D80BE3F" w:rsidR="00052F52" w:rsidRDefault="00A650A4">
      <w:pPr>
        <w:pStyle w:val="TOC2"/>
        <w:rPr>
          <w:rFonts w:eastAsiaTheme="minorEastAsia"/>
          <w:noProof/>
        </w:rPr>
      </w:pPr>
      <w:hyperlink w:anchor="_Toc32494937" w:history="1">
        <w:r w:rsidR="00052F52" w:rsidRPr="00DF1A58">
          <w:rPr>
            <w:rStyle w:val="Hyperlink"/>
            <w:noProof/>
            <w:lang w:val="en"/>
          </w:rPr>
          <w:t>Evaluation of GEF Support for Transformational Change</w:t>
        </w:r>
        <w:r w:rsidR="00052F52">
          <w:rPr>
            <w:noProof/>
            <w:webHidden/>
          </w:rPr>
          <w:tab/>
        </w:r>
        <w:r w:rsidR="00052F52">
          <w:rPr>
            <w:noProof/>
            <w:webHidden/>
          </w:rPr>
          <w:fldChar w:fldCharType="begin"/>
        </w:r>
        <w:r w:rsidR="00052F52">
          <w:rPr>
            <w:noProof/>
            <w:webHidden/>
          </w:rPr>
          <w:instrText xml:space="preserve"> PAGEREF _Toc32494937 \h </w:instrText>
        </w:r>
        <w:r w:rsidR="00052F52">
          <w:rPr>
            <w:noProof/>
            <w:webHidden/>
          </w:rPr>
        </w:r>
        <w:r w:rsidR="00052F52">
          <w:rPr>
            <w:noProof/>
            <w:webHidden/>
          </w:rPr>
          <w:fldChar w:fldCharType="separate"/>
        </w:r>
        <w:r w:rsidR="00105BE1">
          <w:rPr>
            <w:noProof/>
            <w:webHidden/>
          </w:rPr>
          <w:t>31</w:t>
        </w:r>
        <w:r w:rsidR="00052F52">
          <w:rPr>
            <w:noProof/>
            <w:webHidden/>
          </w:rPr>
          <w:fldChar w:fldCharType="end"/>
        </w:r>
      </w:hyperlink>
    </w:p>
    <w:p w14:paraId="4BDE5A7B" w14:textId="0250A171" w:rsidR="00052F52" w:rsidRDefault="00A650A4">
      <w:pPr>
        <w:pStyle w:val="TOC2"/>
        <w:rPr>
          <w:rFonts w:eastAsiaTheme="minorEastAsia"/>
          <w:noProof/>
        </w:rPr>
      </w:pPr>
      <w:hyperlink w:anchor="_Toc32494938" w:history="1">
        <w:r w:rsidR="00052F52" w:rsidRPr="00DF1A58">
          <w:rPr>
            <w:rStyle w:val="Hyperlink"/>
            <w:noProof/>
            <w:lang w:val="en"/>
          </w:rPr>
          <w:t>Evaluation of GEF Support to Scaling up Impact 2019</w:t>
        </w:r>
        <w:r w:rsidR="00052F52">
          <w:rPr>
            <w:noProof/>
            <w:webHidden/>
          </w:rPr>
          <w:tab/>
        </w:r>
        <w:r w:rsidR="00052F52">
          <w:rPr>
            <w:noProof/>
            <w:webHidden/>
          </w:rPr>
          <w:fldChar w:fldCharType="begin"/>
        </w:r>
        <w:r w:rsidR="00052F52">
          <w:rPr>
            <w:noProof/>
            <w:webHidden/>
          </w:rPr>
          <w:instrText xml:space="preserve"> PAGEREF _Toc32494938 \h </w:instrText>
        </w:r>
        <w:r w:rsidR="00052F52">
          <w:rPr>
            <w:noProof/>
            <w:webHidden/>
          </w:rPr>
        </w:r>
        <w:r w:rsidR="00052F52">
          <w:rPr>
            <w:noProof/>
            <w:webHidden/>
          </w:rPr>
          <w:fldChar w:fldCharType="separate"/>
        </w:r>
        <w:r w:rsidR="00105BE1">
          <w:rPr>
            <w:noProof/>
            <w:webHidden/>
          </w:rPr>
          <w:t>32</w:t>
        </w:r>
        <w:r w:rsidR="00052F52">
          <w:rPr>
            <w:noProof/>
            <w:webHidden/>
          </w:rPr>
          <w:fldChar w:fldCharType="end"/>
        </w:r>
      </w:hyperlink>
    </w:p>
    <w:p w14:paraId="6CBF5416" w14:textId="08D34D92" w:rsidR="007A3DA4" w:rsidRDefault="00E45276" w:rsidP="00CB620B">
      <w:pPr>
        <w:spacing w:after="0" w:line="240" w:lineRule="auto"/>
        <w:rPr>
          <w:rFonts w:ascii="Calibri" w:eastAsia="MS Mincho" w:hAnsi="Calibri" w:cs="Angsana New"/>
          <w:sz w:val="24"/>
          <w:szCs w:val="24"/>
          <w:lang w:val="en-GB"/>
        </w:rPr>
      </w:pPr>
      <w:r>
        <w:rPr>
          <w:rFonts w:ascii="Calibri" w:eastAsia="MS Mincho" w:hAnsi="Calibri" w:cs="Angsana New"/>
          <w:sz w:val="24"/>
          <w:szCs w:val="24"/>
          <w:lang w:val="en-GB"/>
        </w:rPr>
        <w:fldChar w:fldCharType="end"/>
      </w:r>
    </w:p>
    <w:p w14:paraId="55334C36" w14:textId="66BAD93A" w:rsidR="00EE6E9F" w:rsidRPr="00FB355B" w:rsidRDefault="00EE6E9F" w:rsidP="000C09D1">
      <w:pPr>
        <w:pStyle w:val="Heading1"/>
      </w:pPr>
      <w:bookmarkStart w:id="6" w:name="_Toc32494912"/>
      <w:r w:rsidRPr="00A14B5E">
        <w:lastRenderedPageBreak/>
        <w:t>Executive Summary</w:t>
      </w:r>
      <w:bookmarkEnd w:id="6"/>
      <w:r w:rsidRPr="00FB355B">
        <w:t xml:space="preserve"> </w:t>
      </w:r>
    </w:p>
    <w:p w14:paraId="73AD3A8B" w14:textId="3811DFB8" w:rsidR="004F1B93" w:rsidRPr="00813501" w:rsidRDefault="004F1B93" w:rsidP="00813501">
      <w:pPr>
        <w:pStyle w:val="ListParagraph"/>
        <w:numPr>
          <w:ilvl w:val="0"/>
          <w:numId w:val="23"/>
        </w:numPr>
        <w:spacing w:before="240" w:after="240" w:line="240" w:lineRule="auto"/>
        <w:ind w:left="0" w:firstLine="0"/>
        <w:contextualSpacing w:val="0"/>
        <w:rPr>
          <w:sz w:val="24"/>
          <w:szCs w:val="24"/>
          <w:lang w:val="en-GB"/>
        </w:rPr>
      </w:pPr>
      <w:r w:rsidRPr="00813501">
        <w:rPr>
          <w:sz w:val="24"/>
          <w:szCs w:val="24"/>
          <w:lang w:val="en-GB"/>
        </w:rPr>
        <w:t>This draft report to the Conference of the Parties (COP) to the Convention on Biological Diversity (CBD) provides information on the activities of the Global Environment Facility (GEF) in the biodiversity focal area in response to the COP 1</w:t>
      </w:r>
      <w:r w:rsidR="00BC0CCE" w:rsidRPr="00813501">
        <w:rPr>
          <w:sz w:val="24"/>
          <w:szCs w:val="24"/>
          <w:lang w:val="en-GB"/>
        </w:rPr>
        <w:t>4</w:t>
      </w:r>
      <w:r w:rsidRPr="00813501">
        <w:rPr>
          <w:sz w:val="24"/>
          <w:szCs w:val="24"/>
          <w:lang w:val="en-GB"/>
        </w:rPr>
        <w:t xml:space="preserve"> guidance to the GEF</w:t>
      </w:r>
      <w:r w:rsidR="00650963" w:rsidRPr="00813501">
        <w:rPr>
          <w:sz w:val="24"/>
          <w:szCs w:val="24"/>
          <w:lang w:val="en-GB"/>
        </w:rPr>
        <w:t>, received in November 2018</w:t>
      </w:r>
      <w:r w:rsidRPr="00813501">
        <w:rPr>
          <w:sz w:val="24"/>
          <w:szCs w:val="24"/>
          <w:lang w:val="en-GB"/>
        </w:rPr>
        <w:t>. The draft report covers the period from July 1, 2018 to December 31, 2019. The final report</w:t>
      </w:r>
      <w:r w:rsidR="00DE7343" w:rsidRPr="00813501">
        <w:rPr>
          <w:sz w:val="24"/>
          <w:szCs w:val="24"/>
          <w:lang w:val="en-GB"/>
        </w:rPr>
        <w:t>, to be</w:t>
      </w:r>
      <w:r w:rsidRPr="00813501">
        <w:rPr>
          <w:sz w:val="24"/>
          <w:szCs w:val="24"/>
          <w:lang w:val="en-GB"/>
        </w:rPr>
        <w:t xml:space="preserve"> presented to COP 15</w:t>
      </w:r>
      <w:r w:rsidR="00DE7343" w:rsidRPr="00813501">
        <w:rPr>
          <w:sz w:val="24"/>
          <w:szCs w:val="24"/>
          <w:lang w:val="en-GB"/>
        </w:rPr>
        <w:t>,</w:t>
      </w:r>
      <w:r w:rsidRPr="00813501">
        <w:rPr>
          <w:sz w:val="24"/>
          <w:szCs w:val="24"/>
          <w:lang w:val="en-GB"/>
        </w:rPr>
        <w:t xml:space="preserve"> will cover the period from July 1, 2018 to June 30, 2020, corresponding to the first two years of the seventh GEF replenishment period (GEF-7) of July 1, 2018 to June 30, 2022. </w:t>
      </w:r>
    </w:p>
    <w:p w14:paraId="45A5C28C" w14:textId="4EC022E2" w:rsidR="009F6931" w:rsidRPr="009F6931" w:rsidRDefault="009F6931" w:rsidP="006C0191">
      <w:pPr>
        <w:pStyle w:val="ListParagraph"/>
        <w:numPr>
          <w:ilvl w:val="0"/>
          <w:numId w:val="23"/>
        </w:numPr>
        <w:spacing w:before="240" w:after="240" w:line="240" w:lineRule="auto"/>
        <w:ind w:left="0" w:firstLine="0"/>
        <w:contextualSpacing w:val="0"/>
        <w:rPr>
          <w:sz w:val="24"/>
          <w:szCs w:val="24"/>
        </w:rPr>
      </w:pPr>
      <w:r w:rsidRPr="009F6931">
        <w:rPr>
          <w:sz w:val="24"/>
          <w:szCs w:val="24"/>
        </w:rPr>
        <w:t>The goal of the GEF-7 biodiversity focal area strategy is to maintain globally significant biodiversity in landscapes and seascapes. To achieve this goal, GEF investments help countries meet the three objectives identified in the COP 13 guidance to the GEF</w:t>
      </w:r>
      <w:r w:rsidR="00650963">
        <w:rPr>
          <w:sz w:val="24"/>
          <w:szCs w:val="24"/>
        </w:rPr>
        <w:t>, from December 2016,</w:t>
      </w:r>
      <w:r w:rsidRPr="009F6931">
        <w:rPr>
          <w:sz w:val="24"/>
          <w:szCs w:val="24"/>
        </w:rPr>
        <w:t xml:space="preserve"> as presented in the </w:t>
      </w:r>
      <w:r w:rsidR="000908B4">
        <w:rPr>
          <w:sz w:val="24"/>
          <w:szCs w:val="24"/>
        </w:rPr>
        <w:t>f</w:t>
      </w:r>
      <w:r w:rsidRPr="009F6931">
        <w:rPr>
          <w:sz w:val="24"/>
          <w:szCs w:val="24"/>
        </w:rPr>
        <w:t>our-</w:t>
      </w:r>
      <w:r w:rsidR="000908B4">
        <w:rPr>
          <w:sz w:val="24"/>
          <w:szCs w:val="24"/>
        </w:rPr>
        <w:t>y</w:t>
      </w:r>
      <w:r w:rsidRPr="009F6931">
        <w:rPr>
          <w:sz w:val="24"/>
          <w:szCs w:val="24"/>
        </w:rPr>
        <w:t xml:space="preserve">ear </w:t>
      </w:r>
      <w:r w:rsidR="000908B4">
        <w:rPr>
          <w:sz w:val="24"/>
          <w:szCs w:val="24"/>
        </w:rPr>
        <w:t>f</w:t>
      </w:r>
      <w:r w:rsidRPr="009F6931">
        <w:rPr>
          <w:sz w:val="24"/>
          <w:szCs w:val="24"/>
        </w:rPr>
        <w:t xml:space="preserve">ramework on </w:t>
      </w:r>
      <w:r w:rsidR="000908B4">
        <w:rPr>
          <w:sz w:val="24"/>
          <w:szCs w:val="24"/>
        </w:rPr>
        <w:t>p</w:t>
      </w:r>
      <w:r w:rsidRPr="009F6931">
        <w:rPr>
          <w:sz w:val="24"/>
          <w:szCs w:val="24"/>
        </w:rPr>
        <w:t xml:space="preserve">rogram </w:t>
      </w:r>
      <w:r w:rsidR="000908B4">
        <w:rPr>
          <w:sz w:val="24"/>
          <w:szCs w:val="24"/>
        </w:rPr>
        <w:t>p</w:t>
      </w:r>
      <w:r w:rsidRPr="009F6931">
        <w:rPr>
          <w:sz w:val="24"/>
          <w:szCs w:val="24"/>
        </w:rPr>
        <w:t>riorities:</w:t>
      </w:r>
    </w:p>
    <w:p w14:paraId="03253D52" w14:textId="77777777" w:rsidR="009F6931" w:rsidRPr="009F6931" w:rsidRDefault="009F6931" w:rsidP="00DD5378">
      <w:pPr>
        <w:numPr>
          <w:ilvl w:val="0"/>
          <w:numId w:val="8"/>
        </w:numPr>
        <w:spacing w:before="120" w:after="120" w:line="240" w:lineRule="auto"/>
        <w:ind w:left="1080"/>
        <w:rPr>
          <w:sz w:val="24"/>
          <w:szCs w:val="24"/>
        </w:rPr>
      </w:pPr>
      <w:r w:rsidRPr="009F6931">
        <w:rPr>
          <w:sz w:val="24"/>
          <w:szCs w:val="24"/>
        </w:rPr>
        <w:t xml:space="preserve">Mainstream biodiversity across sectors as well as landscapes and seascapes; </w:t>
      </w:r>
    </w:p>
    <w:p w14:paraId="46AE18B4" w14:textId="77777777" w:rsidR="009F6931" w:rsidRPr="009F6931" w:rsidRDefault="009F6931" w:rsidP="00DD5378">
      <w:pPr>
        <w:numPr>
          <w:ilvl w:val="0"/>
          <w:numId w:val="8"/>
        </w:numPr>
        <w:spacing w:before="120" w:after="120" w:line="240" w:lineRule="auto"/>
        <w:ind w:left="1080"/>
        <w:rPr>
          <w:sz w:val="24"/>
          <w:szCs w:val="24"/>
        </w:rPr>
      </w:pPr>
      <w:r w:rsidRPr="009F6931">
        <w:rPr>
          <w:sz w:val="24"/>
          <w:szCs w:val="24"/>
        </w:rPr>
        <w:t xml:space="preserve">Address direct drivers to protect habitats and species; and </w:t>
      </w:r>
    </w:p>
    <w:p w14:paraId="1FF687CA" w14:textId="77777777" w:rsidR="009F6931" w:rsidRPr="009F6931" w:rsidRDefault="009F6931" w:rsidP="00DD5378">
      <w:pPr>
        <w:numPr>
          <w:ilvl w:val="0"/>
          <w:numId w:val="8"/>
        </w:numPr>
        <w:spacing w:before="120" w:after="120" w:line="240" w:lineRule="auto"/>
        <w:ind w:left="1080"/>
        <w:rPr>
          <w:sz w:val="24"/>
          <w:szCs w:val="24"/>
        </w:rPr>
      </w:pPr>
      <w:r w:rsidRPr="009F6931">
        <w:rPr>
          <w:sz w:val="24"/>
          <w:szCs w:val="24"/>
        </w:rPr>
        <w:t>Further develop biodiversity policy and institutional frameworks.</w:t>
      </w:r>
    </w:p>
    <w:p w14:paraId="52EF538E" w14:textId="77777777" w:rsidR="007F6562" w:rsidRDefault="007F6562" w:rsidP="006C0191">
      <w:pPr>
        <w:pStyle w:val="ListParagraph"/>
        <w:numPr>
          <w:ilvl w:val="0"/>
          <w:numId w:val="23"/>
        </w:numPr>
        <w:spacing w:before="240" w:after="240" w:line="240" w:lineRule="auto"/>
        <w:ind w:left="0" w:firstLine="0"/>
        <w:contextualSpacing w:val="0"/>
        <w:rPr>
          <w:sz w:val="24"/>
          <w:szCs w:val="24"/>
        </w:rPr>
      </w:pPr>
      <w:r>
        <w:rPr>
          <w:sz w:val="24"/>
          <w:szCs w:val="24"/>
        </w:rPr>
        <w:t xml:space="preserve">The </w:t>
      </w:r>
      <w:r w:rsidR="006052D4" w:rsidRPr="006052D4">
        <w:rPr>
          <w:sz w:val="24"/>
          <w:szCs w:val="24"/>
        </w:rPr>
        <w:t xml:space="preserve">GEF-7 biodiversity strategy is composed of nine programming investment lines that directly contribute to implementing the Strategic Plan for Biodiversity 2010-2020 and achieving the Aichi Biodiversity Targets through a continuum of measures that address the most critical drivers of biodiversity loss across entire landscapes and seascapes.  </w:t>
      </w:r>
    </w:p>
    <w:p w14:paraId="382CAF5B" w14:textId="55CB3B22" w:rsidR="007856C0" w:rsidRPr="007856C0" w:rsidRDefault="006052D4" w:rsidP="006C0191">
      <w:pPr>
        <w:pStyle w:val="ListParagraph"/>
        <w:numPr>
          <w:ilvl w:val="0"/>
          <w:numId w:val="23"/>
        </w:numPr>
        <w:spacing w:before="240" w:after="240" w:line="240" w:lineRule="auto"/>
        <w:ind w:left="0" w:firstLine="0"/>
        <w:contextualSpacing w:val="0"/>
        <w:rPr>
          <w:sz w:val="24"/>
          <w:szCs w:val="24"/>
          <w:lang w:val="en-GB"/>
        </w:rPr>
      </w:pPr>
      <w:r w:rsidRPr="006C0191">
        <w:rPr>
          <w:sz w:val="24"/>
          <w:szCs w:val="24"/>
          <w:lang w:val="en-GB"/>
        </w:rPr>
        <w:t>In</w:t>
      </w:r>
      <w:r w:rsidRPr="006052D4">
        <w:rPr>
          <w:sz w:val="24"/>
          <w:szCs w:val="24"/>
        </w:rPr>
        <w:t xml:space="preserve"> addition, programming options include investments through Impact Programs capable of delivering more returns per unit of investment by seeking systemic responses to problems that emerge from more than one sector. They will make significant and synergistic contributions to the GEF-7 Four-year </w:t>
      </w:r>
      <w:r w:rsidR="00156FA8">
        <w:rPr>
          <w:sz w:val="24"/>
          <w:szCs w:val="24"/>
        </w:rPr>
        <w:t>F</w:t>
      </w:r>
      <w:r w:rsidRPr="006052D4">
        <w:rPr>
          <w:sz w:val="24"/>
          <w:szCs w:val="24"/>
        </w:rPr>
        <w:t xml:space="preserve">ramework of </w:t>
      </w:r>
      <w:r w:rsidR="00156FA8">
        <w:rPr>
          <w:sz w:val="24"/>
          <w:szCs w:val="24"/>
        </w:rPr>
        <w:t>P</w:t>
      </w:r>
      <w:r w:rsidRPr="006052D4">
        <w:rPr>
          <w:sz w:val="24"/>
          <w:szCs w:val="24"/>
        </w:rPr>
        <w:t xml:space="preserve">rogram </w:t>
      </w:r>
      <w:r w:rsidR="00156FA8">
        <w:rPr>
          <w:sz w:val="24"/>
          <w:szCs w:val="24"/>
        </w:rPr>
        <w:t>P</w:t>
      </w:r>
      <w:r w:rsidRPr="006052D4">
        <w:rPr>
          <w:sz w:val="24"/>
          <w:szCs w:val="24"/>
        </w:rPr>
        <w:t>riorities and the associated expected outcomes as agreed at COP 13.</w:t>
      </w:r>
    </w:p>
    <w:p w14:paraId="6BE492ED" w14:textId="12D30C28" w:rsidR="009C4413" w:rsidRPr="007856C0" w:rsidRDefault="009C4413" w:rsidP="006C0191">
      <w:pPr>
        <w:pStyle w:val="ListParagraph"/>
        <w:numPr>
          <w:ilvl w:val="0"/>
          <w:numId w:val="23"/>
        </w:numPr>
        <w:spacing w:before="240" w:after="240" w:line="240" w:lineRule="auto"/>
        <w:ind w:left="0" w:firstLine="0"/>
        <w:contextualSpacing w:val="0"/>
        <w:rPr>
          <w:sz w:val="24"/>
          <w:szCs w:val="24"/>
          <w:lang w:val="en-GB"/>
        </w:rPr>
      </w:pPr>
      <w:r>
        <w:rPr>
          <w:sz w:val="24"/>
          <w:szCs w:val="24"/>
          <w:lang w:val="en-GB"/>
        </w:rPr>
        <w:t xml:space="preserve">For the GEF-7 period, a total of $1.292 billion has been allocated to the biodiversity focal area, of which </w:t>
      </w:r>
      <w:r w:rsidR="004B35BF">
        <w:rPr>
          <w:sz w:val="24"/>
          <w:szCs w:val="24"/>
          <w:lang w:val="en-GB"/>
        </w:rPr>
        <w:t xml:space="preserve">$1.031 billion </w:t>
      </w:r>
      <w:r w:rsidR="00B05709">
        <w:rPr>
          <w:sz w:val="24"/>
          <w:szCs w:val="24"/>
          <w:lang w:val="en-GB"/>
        </w:rPr>
        <w:t>is</w:t>
      </w:r>
      <w:r w:rsidR="00DB5C87">
        <w:rPr>
          <w:sz w:val="24"/>
          <w:szCs w:val="24"/>
          <w:lang w:val="en-GB"/>
        </w:rPr>
        <w:t xml:space="preserve"> </w:t>
      </w:r>
      <w:r w:rsidR="00873C5E">
        <w:rPr>
          <w:sz w:val="24"/>
          <w:szCs w:val="24"/>
          <w:lang w:val="en-GB"/>
        </w:rPr>
        <w:t>provided to countries through the System for Transparent Allocation of Resources (STAR).</w:t>
      </w:r>
    </w:p>
    <w:p w14:paraId="43DA1349" w14:textId="3F25779B" w:rsidR="007A2E3C" w:rsidRPr="007856C0" w:rsidRDefault="007856C0" w:rsidP="006C0191">
      <w:pPr>
        <w:pStyle w:val="ListParagraph"/>
        <w:numPr>
          <w:ilvl w:val="0"/>
          <w:numId w:val="23"/>
        </w:numPr>
        <w:spacing w:before="240" w:after="240" w:line="240" w:lineRule="auto"/>
        <w:ind w:left="0" w:firstLine="0"/>
        <w:contextualSpacing w:val="0"/>
        <w:rPr>
          <w:sz w:val="24"/>
          <w:szCs w:val="24"/>
          <w:lang w:val="en-GB"/>
        </w:rPr>
      </w:pPr>
      <w:r w:rsidRPr="007856C0">
        <w:rPr>
          <w:sz w:val="24"/>
          <w:szCs w:val="24"/>
          <w:lang w:val="en-GB"/>
        </w:rPr>
        <w:t xml:space="preserve">The total amount of GEF biodiversity focal area resources programmed </w:t>
      </w:r>
      <w:r w:rsidR="002B791B">
        <w:rPr>
          <w:sz w:val="24"/>
          <w:szCs w:val="24"/>
          <w:lang w:val="en-GB"/>
        </w:rPr>
        <w:t xml:space="preserve">in the reporting period </w:t>
      </w:r>
      <w:r w:rsidRPr="007856C0">
        <w:rPr>
          <w:sz w:val="24"/>
          <w:szCs w:val="24"/>
          <w:lang w:val="en-GB"/>
        </w:rPr>
        <w:t>was $638 million (49 percent) of the total</w:t>
      </w:r>
      <w:r w:rsidR="002B791B">
        <w:rPr>
          <w:sz w:val="24"/>
          <w:szCs w:val="24"/>
          <w:lang w:val="en-GB"/>
        </w:rPr>
        <w:t xml:space="preserve"> GEF-7</w:t>
      </w:r>
      <w:r w:rsidRPr="007856C0">
        <w:rPr>
          <w:sz w:val="24"/>
          <w:szCs w:val="24"/>
          <w:lang w:val="en-GB"/>
        </w:rPr>
        <w:t xml:space="preserve"> resources allocated to the biodiversity focal area</w:t>
      </w:r>
      <w:r w:rsidR="000939E9">
        <w:rPr>
          <w:sz w:val="24"/>
          <w:szCs w:val="24"/>
          <w:lang w:val="en-GB"/>
        </w:rPr>
        <w:t>.</w:t>
      </w:r>
      <w:r w:rsidRPr="007856C0">
        <w:rPr>
          <w:sz w:val="24"/>
          <w:szCs w:val="24"/>
          <w:lang w:val="en-GB"/>
        </w:rPr>
        <w:t xml:space="preserve"> </w:t>
      </w:r>
      <w:r w:rsidR="000A0213">
        <w:rPr>
          <w:bCs/>
          <w:sz w:val="24"/>
          <w:szCs w:val="24"/>
          <w:lang w:val="en-GB"/>
        </w:rPr>
        <w:t xml:space="preserve">Of this total amount, </w:t>
      </w:r>
      <w:r w:rsidR="007A2E3C" w:rsidRPr="007856C0">
        <w:rPr>
          <w:bCs/>
          <w:sz w:val="24"/>
          <w:szCs w:val="24"/>
          <w:lang w:val="en-GB"/>
        </w:rPr>
        <w:t>$468 million (</w:t>
      </w:r>
      <w:r w:rsidR="007A2E3C" w:rsidRPr="007856C0">
        <w:rPr>
          <w:sz w:val="24"/>
          <w:szCs w:val="24"/>
          <w:lang w:val="en-GB"/>
        </w:rPr>
        <w:t>45</w:t>
      </w:r>
      <w:r w:rsidR="007A2E3C" w:rsidRPr="007856C0">
        <w:rPr>
          <w:bCs/>
          <w:sz w:val="24"/>
          <w:szCs w:val="24"/>
          <w:lang w:val="en-GB"/>
        </w:rPr>
        <w:t xml:space="preserve"> percent) of the </w:t>
      </w:r>
      <w:r w:rsidR="000939E9">
        <w:rPr>
          <w:bCs/>
          <w:sz w:val="24"/>
          <w:szCs w:val="24"/>
          <w:lang w:val="en-GB"/>
        </w:rPr>
        <w:t>STAR</w:t>
      </w:r>
      <w:r w:rsidR="007A2E3C" w:rsidRPr="007856C0">
        <w:rPr>
          <w:bCs/>
          <w:sz w:val="24"/>
          <w:szCs w:val="24"/>
          <w:lang w:val="en-GB"/>
        </w:rPr>
        <w:t xml:space="preserve"> resources allocated to </w:t>
      </w:r>
      <w:r w:rsidR="007A2E3C">
        <w:rPr>
          <w:bCs/>
          <w:sz w:val="24"/>
          <w:szCs w:val="24"/>
          <w:lang w:val="en-GB"/>
        </w:rPr>
        <w:t>biodiversity</w:t>
      </w:r>
      <w:r w:rsidR="007A2E3C" w:rsidRPr="007856C0">
        <w:rPr>
          <w:bCs/>
          <w:sz w:val="24"/>
          <w:szCs w:val="24"/>
          <w:lang w:val="en-GB"/>
        </w:rPr>
        <w:t xml:space="preserve"> have been programmed</w:t>
      </w:r>
      <w:r w:rsidR="000A0213">
        <w:rPr>
          <w:bCs/>
          <w:sz w:val="24"/>
          <w:szCs w:val="24"/>
          <w:lang w:val="en-GB"/>
        </w:rPr>
        <w:t>.</w:t>
      </w:r>
    </w:p>
    <w:p w14:paraId="494DD134" w14:textId="059456F4" w:rsidR="002C52D6" w:rsidRDefault="007856C0" w:rsidP="006C0191">
      <w:pPr>
        <w:pStyle w:val="ListParagraph"/>
        <w:numPr>
          <w:ilvl w:val="0"/>
          <w:numId w:val="23"/>
        </w:numPr>
        <w:spacing w:before="240" w:after="240" w:line="240" w:lineRule="auto"/>
        <w:ind w:left="0" w:firstLine="0"/>
        <w:contextualSpacing w:val="0"/>
        <w:rPr>
          <w:sz w:val="24"/>
          <w:szCs w:val="24"/>
          <w:lang w:val="en-GB"/>
        </w:rPr>
      </w:pPr>
      <w:r w:rsidRPr="007856C0">
        <w:rPr>
          <w:sz w:val="24"/>
          <w:szCs w:val="24"/>
          <w:lang w:val="en-GB"/>
        </w:rPr>
        <w:t>Th</w:t>
      </w:r>
      <w:r w:rsidR="006749E6" w:rsidRPr="006749E6">
        <w:rPr>
          <w:sz w:val="24"/>
          <w:szCs w:val="24"/>
          <w:lang w:val="en-GB"/>
        </w:rPr>
        <w:t>ese resources supported</w:t>
      </w:r>
      <w:r w:rsidRPr="007856C0">
        <w:rPr>
          <w:b/>
          <w:sz w:val="24"/>
          <w:szCs w:val="24"/>
          <w:lang w:val="en-GB"/>
        </w:rPr>
        <w:t xml:space="preserve"> </w:t>
      </w:r>
      <w:r w:rsidR="00205803" w:rsidRPr="00D641A4">
        <w:rPr>
          <w:sz w:val="24"/>
          <w:szCs w:val="24"/>
          <w:lang w:val="en-GB"/>
        </w:rPr>
        <w:t>38</w:t>
      </w:r>
      <w:r w:rsidRPr="007856C0">
        <w:rPr>
          <w:sz w:val="24"/>
          <w:szCs w:val="24"/>
          <w:lang w:val="en-GB"/>
        </w:rPr>
        <w:t xml:space="preserve"> biodiversity </w:t>
      </w:r>
      <w:r w:rsidR="00954182" w:rsidRPr="006749E6">
        <w:rPr>
          <w:sz w:val="24"/>
          <w:szCs w:val="24"/>
          <w:lang w:val="en-GB"/>
        </w:rPr>
        <w:t xml:space="preserve">focal-area </w:t>
      </w:r>
      <w:r w:rsidRPr="007856C0">
        <w:rPr>
          <w:sz w:val="24"/>
          <w:szCs w:val="24"/>
          <w:lang w:val="en-GB"/>
        </w:rPr>
        <w:t xml:space="preserve">projects </w:t>
      </w:r>
      <w:r w:rsidR="006102C7">
        <w:rPr>
          <w:sz w:val="24"/>
          <w:szCs w:val="24"/>
          <w:lang w:val="en-GB"/>
        </w:rPr>
        <w:t xml:space="preserve">and </w:t>
      </w:r>
      <w:r w:rsidR="009E693D">
        <w:rPr>
          <w:sz w:val="24"/>
          <w:szCs w:val="24"/>
          <w:lang w:val="en-GB"/>
        </w:rPr>
        <w:t>99</w:t>
      </w:r>
      <w:r w:rsidRPr="007856C0">
        <w:rPr>
          <w:sz w:val="24"/>
          <w:szCs w:val="24"/>
          <w:lang w:val="en-GB"/>
        </w:rPr>
        <w:t xml:space="preserve"> multi-focal area projects.    Six programmatic approaches, including the Impact Programs, have included</w:t>
      </w:r>
      <w:r w:rsidRPr="007856C0">
        <w:rPr>
          <w:b/>
          <w:sz w:val="24"/>
          <w:szCs w:val="24"/>
          <w:lang w:val="en-GB"/>
        </w:rPr>
        <w:t xml:space="preserve"> </w:t>
      </w:r>
      <w:r w:rsidR="000E10E9">
        <w:rPr>
          <w:sz w:val="24"/>
          <w:szCs w:val="24"/>
          <w:lang w:val="en-GB"/>
        </w:rPr>
        <w:t>75</w:t>
      </w:r>
      <w:r w:rsidRPr="007856C0">
        <w:rPr>
          <w:sz w:val="24"/>
          <w:szCs w:val="24"/>
          <w:lang w:val="en-GB"/>
        </w:rPr>
        <w:t xml:space="preserve"> of these projects. Eighty-three countries have benefitted from these investments. These figures include agency fees and Project Preparation Grants (PPGs). </w:t>
      </w:r>
    </w:p>
    <w:p w14:paraId="7343E855" w14:textId="31784CD6" w:rsidR="00446719" w:rsidRPr="00446719" w:rsidRDefault="00446719" w:rsidP="006C0191">
      <w:pPr>
        <w:pStyle w:val="ListParagraph"/>
        <w:numPr>
          <w:ilvl w:val="0"/>
          <w:numId w:val="23"/>
        </w:numPr>
        <w:spacing w:before="240" w:after="240" w:line="240" w:lineRule="auto"/>
        <w:ind w:left="0" w:firstLine="0"/>
        <w:contextualSpacing w:val="0"/>
        <w:rPr>
          <w:sz w:val="24"/>
          <w:szCs w:val="24"/>
          <w:lang w:val="en-GB"/>
        </w:rPr>
      </w:pPr>
      <w:r w:rsidRPr="006C0191">
        <w:rPr>
          <w:sz w:val="24"/>
          <w:szCs w:val="24"/>
          <w:lang w:val="en-GB"/>
        </w:rPr>
        <w:lastRenderedPageBreak/>
        <w:t>The</w:t>
      </w:r>
      <w:r w:rsidRPr="00446719">
        <w:rPr>
          <w:bCs/>
          <w:sz w:val="24"/>
          <w:szCs w:val="24"/>
          <w:lang w:val="en-GB"/>
        </w:rPr>
        <w:t xml:space="preserve"> tota</w:t>
      </w:r>
      <w:r w:rsidR="00A92EC5">
        <w:rPr>
          <w:bCs/>
          <w:sz w:val="24"/>
          <w:szCs w:val="24"/>
          <w:lang w:val="en-GB"/>
        </w:rPr>
        <w:t xml:space="preserve">l value of </w:t>
      </w:r>
      <w:r w:rsidR="003B7CCF">
        <w:rPr>
          <w:bCs/>
          <w:sz w:val="24"/>
          <w:szCs w:val="24"/>
          <w:lang w:val="en-GB"/>
        </w:rPr>
        <w:t>investments</w:t>
      </w:r>
      <w:r w:rsidRPr="00446719">
        <w:rPr>
          <w:bCs/>
          <w:sz w:val="24"/>
          <w:szCs w:val="24"/>
          <w:lang w:val="en-GB"/>
        </w:rPr>
        <w:t xml:space="preserve"> from all GEF resources to </w:t>
      </w:r>
      <w:r w:rsidR="003B7CCF">
        <w:rPr>
          <w:bCs/>
          <w:sz w:val="24"/>
          <w:szCs w:val="24"/>
          <w:lang w:val="en-GB"/>
        </w:rPr>
        <w:t xml:space="preserve">achieve </w:t>
      </w:r>
      <w:r w:rsidRPr="00446719">
        <w:rPr>
          <w:bCs/>
          <w:sz w:val="24"/>
          <w:szCs w:val="24"/>
          <w:lang w:val="en-GB"/>
        </w:rPr>
        <w:t xml:space="preserve">the Aichi Biodiversity Targets from all the relevant programming lines in GEF-7 (biodiversity focal area strategy, GEF-7 Impact Programs, the International Waters Focal Area, the Least Developed </w:t>
      </w:r>
      <w:r w:rsidRPr="00D57450">
        <w:rPr>
          <w:bCs/>
          <w:sz w:val="24"/>
          <w:szCs w:val="24"/>
          <w:lang w:val="en-GB"/>
        </w:rPr>
        <w:t>Countries Fund for climate change adaptation, the Non-grant Instrument, and the Small Grants Programme</w:t>
      </w:r>
      <w:r w:rsidR="003B7CCF" w:rsidRPr="00D57450">
        <w:rPr>
          <w:bCs/>
          <w:sz w:val="24"/>
          <w:szCs w:val="24"/>
          <w:lang w:val="en-GB"/>
        </w:rPr>
        <w:t xml:space="preserve">) </w:t>
      </w:r>
      <w:r w:rsidRPr="00D57450">
        <w:rPr>
          <w:bCs/>
          <w:sz w:val="24"/>
          <w:szCs w:val="24"/>
          <w:lang w:val="en-GB"/>
        </w:rPr>
        <w:t>in the first 18 months of GEF-7 was $1.0</w:t>
      </w:r>
      <w:r w:rsidR="00E81B7B" w:rsidRPr="00D57450">
        <w:rPr>
          <w:bCs/>
          <w:sz w:val="24"/>
          <w:szCs w:val="24"/>
          <w:lang w:val="en-GB"/>
        </w:rPr>
        <w:t>56</w:t>
      </w:r>
      <w:r w:rsidRPr="00D57450">
        <w:rPr>
          <w:bCs/>
          <w:sz w:val="24"/>
          <w:szCs w:val="24"/>
          <w:lang w:val="en-GB"/>
        </w:rPr>
        <w:t xml:space="preserve"> billion</w:t>
      </w:r>
      <w:r w:rsidR="00C20DAB" w:rsidRPr="00D57450">
        <w:rPr>
          <w:bCs/>
          <w:sz w:val="24"/>
          <w:szCs w:val="24"/>
          <w:lang w:val="en-GB"/>
        </w:rPr>
        <w:t>,</w:t>
      </w:r>
      <w:r w:rsidRPr="00D57450">
        <w:rPr>
          <w:bCs/>
          <w:sz w:val="24"/>
          <w:szCs w:val="24"/>
          <w:lang w:val="en-GB"/>
        </w:rPr>
        <w:t xml:space="preserve"> which leveraged co</w:t>
      </w:r>
      <w:r w:rsidR="0053621F" w:rsidRPr="00D57450">
        <w:rPr>
          <w:bCs/>
          <w:sz w:val="24"/>
          <w:szCs w:val="24"/>
          <w:lang w:val="en-GB"/>
        </w:rPr>
        <w:t>-</w:t>
      </w:r>
      <w:r w:rsidRPr="00D57450">
        <w:rPr>
          <w:bCs/>
          <w:sz w:val="24"/>
          <w:szCs w:val="24"/>
          <w:lang w:val="en-GB"/>
        </w:rPr>
        <w:t>financing of $8.</w:t>
      </w:r>
      <w:r w:rsidR="00E81B7B" w:rsidRPr="00D57450">
        <w:rPr>
          <w:bCs/>
          <w:sz w:val="24"/>
          <w:szCs w:val="24"/>
          <w:lang w:val="en-GB"/>
        </w:rPr>
        <w:t>955</w:t>
      </w:r>
      <w:r w:rsidRPr="00D57450">
        <w:rPr>
          <w:bCs/>
          <w:sz w:val="24"/>
          <w:szCs w:val="24"/>
          <w:lang w:val="en-GB"/>
        </w:rPr>
        <w:t xml:space="preserve"> billion for a total investment of $</w:t>
      </w:r>
      <w:r w:rsidR="00E81B7B" w:rsidRPr="00D57450">
        <w:rPr>
          <w:bCs/>
          <w:sz w:val="24"/>
          <w:szCs w:val="24"/>
          <w:lang w:val="en-GB"/>
        </w:rPr>
        <w:t>10</w:t>
      </w:r>
      <w:r w:rsidR="00EB55A3" w:rsidRPr="00D57450">
        <w:rPr>
          <w:bCs/>
          <w:sz w:val="24"/>
          <w:szCs w:val="24"/>
          <w:lang w:val="en-GB"/>
        </w:rPr>
        <w:t>.01</w:t>
      </w:r>
      <w:r w:rsidRPr="00D57450">
        <w:rPr>
          <w:bCs/>
          <w:sz w:val="24"/>
          <w:szCs w:val="24"/>
          <w:lang w:val="en-GB"/>
        </w:rPr>
        <w:t xml:space="preserve"> billion.</w:t>
      </w:r>
    </w:p>
    <w:p w14:paraId="0BB8A3C9" w14:textId="6630AA68" w:rsidR="004D7136" w:rsidRDefault="004D7136" w:rsidP="006C0191">
      <w:pPr>
        <w:pStyle w:val="ListParagraph"/>
        <w:numPr>
          <w:ilvl w:val="0"/>
          <w:numId w:val="23"/>
        </w:numPr>
        <w:spacing w:before="240" w:after="240" w:line="240" w:lineRule="auto"/>
        <w:ind w:left="0" w:firstLine="0"/>
        <w:contextualSpacing w:val="0"/>
        <w:rPr>
          <w:sz w:val="24"/>
          <w:szCs w:val="24"/>
        </w:rPr>
      </w:pPr>
      <w:r w:rsidRPr="004D7136">
        <w:rPr>
          <w:sz w:val="24"/>
          <w:szCs w:val="24"/>
        </w:rPr>
        <w:t xml:space="preserve"> </w:t>
      </w:r>
      <w:r w:rsidR="00925734">
        <w:rPr>
          <w:sz w:val="24"/>
          <w:szCs w:val="24"/>
        </w:rPr>
        <w:t xml:space="preserve">In COP 14, Parties </w:t>
      </w:r>
      <w:r w:rsidRPr="004D7136">
        <w:rPr>
          <w:sz w:val="24"/>
          <w:szCs w:val="24"/>
        </w:rPr>
        <w:t>provided guidance to the GEF on a variety of topics.</w:t>
      </w:r>
      <w:r w:rsidR="00925734">
        <w:rPr>
          <w:rStyle w:val="FootnoteReference"/>
          <w:sz w:val="24"/>
          <w:szCs w:val="24"/>
        </w:rPr>
        <w:footnoteReference w:id="3"/>
      </w:r>
      <w:r w:rsidRPr="004D7136">
        <w:rPr>
          <w:sz w:val="24"/>
          <w:szCs w:val="24"/>
        </w:rPr>
        <w:t xml:space="preserve"> Specific guidance on GEF operations and on specific biodiversity thematic topics have been duly addressed and a progress report on GEF’s response is provided in </w:t>
      </w:r>
      <w:r w:rsidR="00E826D5">
        <w:rPr>
          <w:sz w:val="24"/>
          <w:szCs w:val="24"/>
        </w:rPr>
        <w:t>the report.</w:t>
      </w:r>
    </w:p>
    <w:p w14:paraId="1F008C9F" w14:textId="44822531" w:rsidR="00A4025E" w:rsidRDefault="00A4025E" w:rsidP="006C0191">
      <w:pPr>
        <w:pStyle w:val="ListParagraph"/>
        <w:numPr>
          <w:ilvl w:val="0"/>
          <w:numId w:val="23"/>
        </w:numPr>
        <w:spacing w:before="240" w:after="240" w:line="240" w:lineRule="auto"/>
        <w:ind w:left="0" w:firstLine="0"/>
        <w:contextualSpacing w:val="0"/>
        <w:rPr>
          <w:sz w:val="24"/>
          <w:szCs w:val="24"/>
        </w:rPr>
      </w:pPr>
      <w:r w:rsidRPr="006C0191">
        <w:rPr>
          <w:sz w:val="24"/>
          <w:szCs w:val="24"/>
          <w:lang w:val="en-GB"/>
        </w:rPr>
        <w:t>Eighty</w:t>
      </w:r>
      <w:r w:rsidRPr="00A4025E">
        <w:rPr>
          <w:sz w:val="24"/>
          <w:szCs w:val="24"/>
        </w:rPr>
        <w:t>-four percent of the biodiversity project cohort currently under implementation during the reporting period ha</w:t>
      </w:r>
      <w:r w:rsidR="006C32F8">
        <w:rPr>
          <w:sz w:val="24"/>
          <w:szCs w:val="24"/>
        </w:rPr>
        <w:t>s</w:t>
      </w:r>
      <w:r w:rsidRPr="00A4025E">
        <w:rPr>
          <w:sz w:val="24"/>
          <w:szCs w:val="24"/>
        </w:rPr>
        <w:t xml:space="preserve"> been rated as satisfactory in achieving implementation progress and the project’s development objective.  In addition, </w:t>
      </w:r>
      <w:r w:rsidR="00330A3D">
        <w:rPr>
          <w:sz w:val="24"/>
          <w:szCs w:val="24"/>
        </w:rPr>
        <w:t>84</w:t>
      </w:r>
      <w:r w:rsidR="00F17F95">
        <w:rPr>
          <w:sz w:val="24"/>
          <w:szCs w:val="24"/>
        </w:rPr>
        <w:t xml:space="preserve"> </w:t>
      </w:r>
      <w:r w:rsidRPr="00A4025E">
        <w:rPr>
          <w:sz w:val="24"/>
          <w:szCs w:val="24"/>
        </w:rPr>
        <w:t xml:space="preserve">percent of </w:t>
      </w:r>
      <w:r w:rsidR="00457140">
        <w:rPr>
          <w:sz w:val="24"/>
          <w:szCs w:val="24"/>
        </w:rPr>
        <w:t xml:space="preserve">the </w:t>
      </w:r>
      <w:r w:rsidRPr="00A4025E">
        <w:rPr>
          <w:sz w:val="24"/>
          <w:szCs w:val="24"/>
        </w:rPr>
        <w:t>multi-focal area project</w:t>
      </w:r>
      <w:r w:rsidR="00390433">
        <w:rPr>
          <w:sz w:val="24"/>
          <w:szCs w:val="24"/>
        </w:rPr>
        <w:t xml:space="preserve"> cohort</w:t>
      </w:r>
      <w:r w:rsidR="00457140">
        <w:rPr>
          <w:sz w:val="24"/>
          <w:szCs w:val="24"/>
        </w:rPr>
        <w:t xml:space="preserve"> </w:t>
      </w:r>
      <w:r w:rsidRPr="00A4025E">
        <w:rPr>
          <w:sz w:val="24"/>
          <w:szCs w:val="24"/>
        </w:rPr>
        <w:t>ha</w:t>
      </w:r>
      <w:r w:rsidR="00390433">
        <w:rPr>
          <w:sz w:val="24"/>
          <w:szCs w:val="24"/>
        </w:rPr>
        <w:t>s</w:t>
      </w:r>
      <w:r w:rsidRPr="00A4025E">
        <w:rPr>
          <w:sz w:val="24"/>
          <w:szCs w:val="24"/>
        </w:rPr>
        <w:t xml:space="preserve"> been rated as satisfactory in achieving implementation progress and </w:t>
      </w:r>
      <w:r w:rsidR="00330A3D">
        <w:rPr>
          <w:sz w:val="24"/>
          <w:szCs w:val="24"/>
        </w:rPr>
        <w:t>90</w:t>
      </w:r>
      <w:r w:rsidR="006A0983">
        <w:rPr>
          <w:sz w:val="24"/>
          <w:szCs w:val="24"/>
        </w:rPr>
        <w:t xml:space="preserve"> </w:t>
      </w:r>
      <w:r w:rsidR="00330A3D">
        <w:rPr>
          <w:sz w:val="24"/>
          <w:szCs w:val="24"/>
        </w:rPr>
        <w:t>percent</w:t>
      </w:r>
      <w:r w:rsidRPr="00A4025E">
        <w:rPr>
          <w:sz w:val="24"/>
          <w:szCs w:val="24"/>
        </w:rPr>
        <w:t xml:space="preserve"> have been rated satisfactory in achieving the project’s development objective.  </w:t>
      </w:r>
    </w:p>
    <w:p w14:paraId="20955F7D" w14:textId="7A55D44E" w:rsidR="006A0983" w:rsidRDefault="008D1A97" w:rsidP="006C0191">
      <w:pPr>
        <w:pStyle w:val="ListParagraph"/>
        <w:numPr>
          <w:ilvl w:val="0"/>
          <w:numId w:val="23"/>
        </w:numPr>
        <w:spacing w:before="240" w:after="240" w:line="240" w:lineRule="auto"/>
        <w:ind w:left="0" w:firstLine="0"/>
        <w:contextualSpacing w:val="0"/>
        <w:rPr>
          <w:sz w:val="24"/>
          <w:szCs w:val="24"/>
        </w:rPr>
      </w:pPr>
      <w:r w:rsidRPr="006C0191">
        <w:rPr>
          <w:sz w:val="24"/>
          <w:szCs w:val="24"/>
          <w:lang w:val="en-GB"/>
        </w:rPr>
        <w:t>As</w:t>
      </w:r>
      <w:r w:rsidRPr="008D1A97">
        <w:rPr>
          <w:sz w:val="24"/>
          <w:szCs w:val="24"/>
        </w:rPr>
        <w:t xml:space="preserve"> part of the GEF-7 Replenishment Agreement, a series of corporate targets were agreed.</w:t>
      </w:r>
      <w:r w:rsidRPr="008D1A97">
        <w:rPr>
          <w:sz w:val="24"/>
          <w:szCs w:val="24"/>
          <w:vertAlign w:val="superscript"/>
        </w:rPr>
        <w:footnoteReference w:id="4"/>
      </w:r>
      <w:r w:rsidRPr="008D1A97">
        <w:rPr>
          <w:sz w:val="24"/>
          <w:szCs w:val="24"/>
        </w:rPr>
        <w:t xml:space="preserve">  </w:t>
      </w:r>
      <w:r w:rsidR="00804FBA">
        <w:rPr>
          <w:sz w:val="24"/>
          <w:szCs w:val="24"/>
        </w:rPr>
        <w:t>The report includes the c</w:t>
      </w:r>
      <w:r w:rsidRPr="008D1A97">
        <w:rPr>
          <w:sz w:val="24"/>
          <w:szCs w:val="24"/>
        </w:rPr>
        <w:t>umulative targets presented in GEF Council approved concepts) from July 1, 2018 to December 31, 2019 that are related to the CBD and the Strategic Plan for Biodiversity 2010-2020. The cumulative targets represent key expected outcomes from these projects</w:t>
      </w:r>
      <w:r w:rsidR="006F6973">
        <w:rPr>
          <w:sz w:val="24"/>
          <w:szCs w:val="24"/>
        </w:rPr>
        <w:t xml:space="preserve">.  </w:t>
      </w:r>
      <w:r w:rsidR="003D2C75">
        <w:rPr>
          <w:sz w:val="24"/>
          <w:szCs w:val="24"/>
        </w:rPr>
        <w:t>A</w:t>
      </w:r>
      <w:r w:rsidR="006F6973">
        <w:rPr>
          <w:sz w:val="24"/>
          <w:szCs w:val="24"/>
        </w:rPr>
        <w:t xml:space="preserve">chievement </w:t>
      </w:r>
      <w:r w:rsidR="003D2C75">
        <w:rPr>
          <w:sz w:val="24"/>
          <w:szCs w:val="24"/>
        </w:rPr>
        <w:t xml:space="preserve">progress </w:t>
      </w:r>
      <w:r w:rsidR="006F6973">
        <w:rPr>
          <w:sz w:val="24"/>
          <w:szCs w:val="24"/>
        </w:rPr>
        <w:t xml:space="preserve">of the key targets for the CBD are summarized </w:t>
      </w:r>
      <w:r w:rsidR="005341E9">
        <w:rPr>
          <w:sz w:val="24"/>
          <w:szCs w:val="24"/>
        </w:rPr>
        <w:t>in the Table below.</w:t>
      </w:r>
    </w:p>
    <w:p w14:paraId="0FB9C472" w14:textId="03393EFA" w:rsidR="005341E9" w:rsidRPr="00B5496A" w:rsidRDefault="009629C0" w:rsidP="00CB6102">
      <w:pPr>
        <w:spacing w:before="240" w:after="240" w:line="240" w:lineRule="auto"/>
        <w:jc w:val="center"/>
        <w:rPr>
          <w:b/>
          <w:sz w:val="24"/>
          <w:szCs w:val="24"/>
        </w:rPr>
      </w:pPr>
      <w:r w:rsidRPr="00B5496A">
        <w:rPr>
          <w:b/>
          <w:sz w:val="24"/>
          <w:szCs w:val="24"/>
        </w:rPr>
        <w:t xml:space="preserve">Achievement Progress of the </w:t>
      </w:r>
      <w:r w:rsidR="00EA6FB7" w:rsidRPr="00B5496A">
        <w:rPr>
          <w:b/>
          <w:sz w:val="24"/>
          <w:szCs w:val="24"/>
        </w:rPr>
        <w:t xml:space="preserve">Key </w:t>
      </w:r>
      <w:r w:rsidR="00DC0220" w:rsidRPr="00B5496A">
        <w:rPr>
          <w:b/>
          <w:sz w:val="24"/>
          <w:szCs w:val="24"/>
        </w:rPr>
        <w:t xml:space="preserve">CBD-related </w:t>
      </w:r>
      <w:r w:rsidRPr="00B5496A">
        <w:rPr>
          <w:b/>
          <w:sz w:val="24"/>
          <w:szCs w:val="24"/>
        </w:rPr>
        <w:t>GEF-7 Core Indicator</w:t>
      </w:r>
      <w:r w:rsidR="00EA6FB7" w:rsidRPr="00B5496A">
        <w:rPr>
          <w:b/>
          <w:sz w:val="24"/>
          <w:szCs w:val="24"/>
        </w:rPr>
        <w:t xml:space="preserve"> Targets</w:t>
      </w:r>
      <w:r w:rsidR="00121F26">
        <w:rPr>
          <w:rStyle w:val="FootnoteReference"/>
          <w:b/>
          <w:sz w:val="24"/>
          <w:szCs w:val="24"/>
        </w:rPr>
        <w:footnoteReference w:id="5"/>
      </w:r>
    </w:p>
    <w:tbl>
      <w:tblPr>
        <w:tblStyle w:val="TableGrid"/>
        <w:tblW w:w="0" w:type="auto"/>
        <w:tblLook w:val="04A0" w:firstRow="1" w:lastRow="0" w:firstColumn="1" w:lastColumn="0" w:noHBand="0" w:noVBand="1"/>
      </w:tblPr>
      <w:tblGrid>
        <w:gridCol w:w="5383"/>
        <w:gridCol w:w="1986"/>
        <w:gridCol w:w="1981"/>
      </w:tblGrid>
      <w:tr w:rsidR="005341E9" w14:paraId="4A453D3F" w14:textId="77777777" w:rsidTr="00D56C20">
        <w:trPr>
          <w:trHeight w:val="1070"/>
          <w:tblHeader/>
        </w:trPr>
        <w:tc>
          <w:tcPr>
            <w:tcW w:w="0" w:type="auto"/>
          </w:tcPr>
          <w:p w14:paraId="62ED3C31" w14:textId="3C355BAB" w:rsidR="005341E9" w:rsidRPr="00D56C20" w:rsidRDefault="005341E9" w:rsidP="006F6973">
            <w:pPr>
              <w:rPr>
                <w:b/>
                <w:sz w:val="24"/>
                <w:szCs w:val="24"/>
              </w:rPr>
            </w:pPr>
            <w:r w:rsidRPr="00D56C20">
              <w:rPr>
                <w:b/>
                <w:sz w:val="24"/>
                <w:szCs w:val="24"/>
              </w:rPr>
              <w:t xml:space="preserve">Core Indicator Target </w:t>
            </w:r>
          </w:p>
        </w:tc>
        <w:tc>
          <w:tcPr>
            <w:tcW w:w="0" w:type="auto"/>
          </w:tcPr>
          <w:p w14:paraId="422B1744" w14:textId="482D4637" w:rsidR="005341E9" w:rsidRPr="00D56C20" w:rsidRDefault="00D13DE4" w:rsidP="006F6973">
            <w:pPr>
              <w:rPr>
                <w:b/>
                <w:sz w:val="24"/>
                <w:szCs w:val="24"/>
              </w:rPr>
            </w:pPr>
            <w:r w:rsidRPr="00D56C20">
              <w:rPr>
                <w:b/>
                <w:sz w:val="24"/>
                <w:szCs w:val="24"/>
              </w:rPr>
              <w:t>Target achievement (number)</w:t>
            </w:r>
          </w:p>
        </w:tc>
        <w:tc>
          <w:tcPr>
            <w:tcW w:w="0" w:type="auto"/>
          </w:tcPr>
          <w:p w14:paraId="0A286206" w14:textId="7E6A2C3A" w:rsidR="005341E9" w:rsidRPr="00D56C20" w:rsidRDefault="00D13DE4" w:rsidP="006F6973">
            <w:pPr>
              <w:rPr>
                <w:b/>
                <w:sz w:val="24"/>
                <w:szCs w:val="24"/>
              </w:rPr>
            </w:pPr>
            <w:r w:rsidRPr="00D56C20">
              <w:rPr>
                <w:b/>
                <w:sz w:val="24"/>
                <w:szCs w:val="24"/>
              </w:rPr>
              <w:t>Target achievement (percent)</w:t>
            </w:r>
          </w:p>
        </w:tc>
      </w:tr>
      <w:tr w:rsidR="00D13DE4" w14:paraId="3C9A06ED" w14:textId="77777777" w:rsidTr="00E2525C">
        <w:tc>
          <w:tcPr>
            <w:tcW w:w="0" w:type="auto"/>
          </w:tcPr>
          <w:p w14:paraId="387222C5" w14:textId="62D22278" w:rsidR="00D13DE4" w:rsidRDefault="00EA6FB7" w:rsidP="006F6973">
            <w:pPr>
              <w:rPr>
                <w:sz w:val="24"/>
                <w:szCs w:val="24"/>
              </w:rPr>
            </w:pPr>
            <w:r w:rsidRPr="006F6973">
              <w:rPr>
                <w:sz w:val="24"/>
                <w:szCs w:val="24"/>
              </w:rPr>
              <w:t>Core Indicator 1</w:t>
            </w:r>
            <w:r w:rsidRPr="00EA6FB7">
              <w:rPr>
                <w:sz w:val="24"/>
                <w:szCs w:val="24"/>
              </w:rPr>
              <w:t xml:space="preserve"> Target: 200 million hectares of t</w:t>
            </w:r>
            <w:r w:rsidRPr="006F6973">
              <w:rPr>
                <w:sz w:val="24"/>
                <w:szCs w:val="24"/>
              </w:rPr>
              <w:t>errestrial protected areas created or under improved management for conservation and sustainable use</w:t>
            </w:r>
          </w:p>
        </w:tc>
        <w:tc>
          <w:tcPr>
            <w:tcW w:w="0" w:type="auto"/>
          </w:tcPr>
          <w:p w14:paraId="0DACC0AD" w14:textId="7EF274FF" w:rsidR="00D13DE4" w:rsidRDefault="002537ED" w:rsidP="006F6973">
            <w:pPr>
              <w:rPr>
                <w:sz w:val="24"/>
                <w:szCs w:val="24"/>
              </w:rPr>
            </w:pPr>
            <w:r>
              <w:rPr>
                <w:sz w:val="24"/>
                <w:szCs w:val="24"/>
              </w:rPr>
              <w:t>78.6</w:t>
            </w:r>
            <w:r w:rsidR="008B1C8F">
              <w:rPr>
                <w:sz w:val="24"/>
                <w:szCs w:val="24"/>
              </w:rPr>
              <w:t xml:space="preserve"> million</w:t>
            </w:r>
            <w:r w:rsidR="007D5DCD">
              <w:rPr>
                <w:sz w:val="24"/>
                <w:szCs w:val="24"/>
              </w:rPr>
              <w:t xml:space="preserve"> </w:t>
            </w:r>
            <w:r w:rsidR="007D5DCD" w:rsidRPr="00EA6FB7">
              <w:rPr>
                <w:sz w:val="24"/>
                <w:szCs w:val="24"/>
              </w:rPr>
              <w:t>hectares</w:t>
            </w:r>
          </w:p>
        </w:tc>
        <w:tc>
          <w:tcPr>
            <w:tcW w:w="0" w:type="auto"/>
          </w:tcPr>
          <w:p w14:paraId="37686FE9" w14:textId="14A98D87" w:rsidR="00D13DE4" w:rsidRDefault="00117B63" w:rsidP="006F6973">
            <w:pPr>
              <w:rPr>
                <w:sz w:val="24"/>
                <w:szCs w:val="24"/>
              </w:rPr>
            </w:pPr>
            <w:r>
              <w:rPr>
                <w:sz w:val="24"/>
                <w:szCs w:val="24"/>
              </w:rPr>
              <w:t>39</w:t>
            </w:r>
            <w:r w:rsidR="001E553B">
              <w:rPr>
                <w:sz w:val="24"/>
                <w:szCs w:val="24"/>
              </w:rPr>
              <w:t>.3</w:t>
            </w:r>
          </w:p>
        </w:tc>
      </w:tr>
      <w:tr w:rsidR="00EA6FB7" w14:paraId="4A520F0B" w14:textId="77777777" w:rsidTr="00E2525C">
        <w:tc>
          <w:tcPr>
            <w:tcW w:w="0" w:type="auto"/>
          </w:tcPr>
          <w:p w14:paraId="74DCE213" w14:textId="65D9C4C2" w:rsidR="00EA6FB7" w:rsidRDefault="00117B63" w:rsidP="006F6973">
            <w:pPr>
              <w:rPr>
                <w:sz w:val="24"/>
                <w:szCs w:val="24"/>
              </w:rPr>
            </w:pPr>
            <w:r w:rsidRPr="006F6973">
              <w:rPr>
                <w:sz w:val="24"/>
                <w:szCs w:val="24"/>
              </w:rPr>
              <w:t>Core Indicator 2</w:t>
            </w:r>
            <w:r w:rsidRPr="00117B63">
              <w:rPr>
                <w:sz w:val="24"/>
                <w:szCs w:val="24"/>
              </w:rPr>
              <w:t xml:space="preserve"> Target</w:t>
            </w:r>
            <w:r w:rsidRPr="006F6973">
              <w:rPr>
                <w:sz w:val="24"/>
                <w:szCs w:val="24"/>
              </w:rPr>
              <w:t>:</w:t>
            </w:r>
            <w:r w:rsidRPr="00117B63">
              <w:rPr>
                <w:sz w:val="24"/>
                <w:szCs w:val="24"/>
              </w:rPr>
              <w:t xml:space="preserve"> 8 million hectares of</w:t>
            </w:r>
            <w:r w:rsidRPr="006F6973">
              <w:rPr>
                <w:sz w:val="24"/>
                <w:szCs w:val="24"/>
              </w:rPr>
              <w:t xml:space="preserve"> </w:t>
            </w:r>
            <w:r w:rsidRPr="00117B63">
              <w:rPr>
                <w:sz w:val="24"/>
                <w:szCs w:val="24"/>
              </w:rPr>
              <w:t>m</w:t>
            </w:r>
            <w:r w:rsidRPr="006F6973">
              <w:rPr>
                <w:sz w:val="24"/>
                <w:szCs w:val="24"/>
              </w:rPr>
              <w:t>arine protected areas created or under improved management for conservation and sustainable use</w:t>
            </w:r>
          </w:p>
        </w:tc>
        <w:tc>
          <w:tcPr>
            <w:tcW w:w="0" w:type="auto"/>
          </w:tcPr>
          <w:p w14:paraId="58D9EA0A" w14:textId="4CCD1E69" w:rsidR="00EA6FB7" w:rsidRDefault="00B113B0" w:rsidP="006F6973">
            <w:pPr>
              <w:rPr>
                <w:sz w:val="24"/>
                <w:szCs w:val="24"/>
              </w:rPr>
            </w:pPr>
            <w:r>
              <w:rPr>
                <w:sz w:val="24"/>
                <w:szCs w:val="24"/>
              </w:rPr>
              <w:t>&gt;8</w:t>
            </w:r>
            <w:r w:rsidR="008B1C8F">
              <w:rPr>
                <w:sz w:val="24"/>
                <w:szCs w:val="24"/>
              </w:rPr>
              <w:t xml:space="preserve"> million</w:t>
            </w:r>
            <w:r w:rsidR="007D5DCD">
              <w:rPr>
                <w:sz w:val="24"/>
                <w:szCs w:val="24"/>
              </w:rPr>
              <w:t xml:space="preserve"> </w:t>
            </w:r>
            <w:r w:rsidR="007D5DCD" w:rsidRPr="00EA6FB7">
              <w:rPr>
                <w:sz w:val="24"/>
                <w:szCs w:val="24"/>
              </w:rPr>
              <w:t>hectares</w:t>
            </w:r>
          </w:p>
        </w:tc>
        <w:tc>
          <w:tcPr>
            <w:tcW w:w="0" w:type="auto"/>
          </w:tcPr>
          <w:p w14:paraId="3AF45448" w14:textId="6C6B2344" w:rsidR="00EA6FB7" w:rsidRDefault="00B113B0" w:rsidP="006F6973">
            <w:pPr>
              <w:rPr>
                <w:sz w:val="24"/>
                <w:szCs w:val="24"/>
              </w:rPr>
            </w:pPr>
            <w:r>
              <w:rPr>
                <w:sz w:val="24"/>
                <w:szCs w:val="24"/>
              </w:rPr>
              <w:t>&gt;</w:t>
            </w:r>
            <w:r w:rsidR="00117B63">
              <w:rPr>
                <w:sz w:val="24"/>
                <w:szCs w:val="24"/>
              </w:rPr>
              <w:t>100</w:t>
            </w:r>
          </w:p>
        </w:tc>
      </w:tr>
      <w:tr w:rsidR="00EA6FB7" w14:paraId="002136EF" w14:textId="77777777" w:rsidTr="00E2525C">
        <w:tc>
          <w:tcPr>
            <w:tcW w:w="0" w:type="auto"/>
          </w:tcPr>
          <w:p w14:paraId="23A66902" w14:textId="7F85AD22" w:rsidR="00EA6FB7" w:rsidRDefault="00117B63" w:rsidP="006F6973">
            <w:pPr>
              <w:rPr>
                <w:sz w:val="24"/>
                <w:szCs w:val="24"/>
              </w:rPr>
            </w:pPr>
            <w:r w:rsidRPr="006F6973">
              <w:rPr>
                <w:sz w:val="24"/>
                <w:szCs w:val="24"/>
              </w:rPr>
              <w:t>Core Indicator 3</w:t>
            </w:r>
            <w:r w:rsidRPr="00117B63">
              <w:rPr>
                <w:sz w:val="24"/>
                <w:szCs w:val="24"/>
              </w:rPr>
              <w:t xml:space="preserve"> Target</w:t>
            </w:r>
            <w:r w:rsidRPr="006F6973">
              <w:rPr>
                <w:sz w:val="24"/>
                <w:szCs w:val="24"/>
              </w:rPr>
              <w:t>:</w:t>
            </w:r>
            <w:r w:rsidRPr="00117B63">
              <w:rPr>
                <w:sz w:val="24"/>
                <w:szCs w:val="24"/>
              </w:rPr>
              <w:t xml:space="preserve"> 6 million hectares of</w:t>
            </w:r>
            <w:r w:rsidRPr="006F6973">
              <w:rPr>
                <w:sz w:val="24"/>
                <w:szCs w:val="24"/>
              </w:rPr>
              <w:t xml:space="preserve"> land restored</w:t>
            </w:r>
          </w:p>
        </w:tc>
        <w:tc>
          <w:tcPr>
            <w:tcW w:w="0" w:type="auto"/>
          </w:tcPr>
          <w:p w14:paraId="4217383C" w14:textId="526952C2" w:rsidR="00EA6FB7" w:rsidRDefault="00B113B0" w:rsidP="006F6973">
            <w:pPr>
              <w:rPr>
                <w:sz w:val="24"/>
                <w:szCs w:val="24"/>
              </w:rPr>
            </w:pPr>
            <w:r>
              <w:rPr>
                <w:sz w:val="24"/>
                <w:szCs w:val="24"/>
              </w:rPr>
              <w:t>5.</w:t>
            </w:r>
            <w:r w:rsidR="00C13596">
              <w:rPr>
                <w:sz w:val="24"/>
                <w:szCs w:val="24"/>
              </w:rPr>
              <w:t>7</w:t>
            </w:r>
            <w:r w:rsidR="008B1C8F">
              <w:rPr>
                <w:sz w:val="24"/>
                <w:szCs w:val="24"/>
              </w:rPr>
              <w:t xml:space="preserve"> million</w:t>
            </w:r>
            <w:r w:rsidR="007D5DCD">
              <w:rPr>
                <w:sz w:val="24"/>
                <w:szCs w:val="24"/>
              </w:rPr>
              <w:t xml:space="preserve"> </w:t>
            </w:r>
            <w:r w:rsidR="007D5DCD" w:rsidRPr="00EA6FB7">
              <w:rPr>
                <w:sz w:val="24"/>
                <w:szCs w:val="24"/>
              </w:rPr>
              <w:t>hectares</w:t>
            </w:r>
          </w:p>
        </w:tc>
        <w:tc>
          <w:tcPr>
            <w:tcW w:w="0" w:type="auto"/>
          </w:tcPr>
          <w:p w14:paraId="0FD52CB8" w14:textId="149E4453" w:rsidR="00EA6FB7" w:rsidRDefault="001D0D41" w:rsidP="006F6973">
            <w:pPr>
              <w:rPr>
                <w:sz w:val="24"/>
                <w:szCs w:val="24"/>
              </w:rPr>
            </w:pPr>
            <w:r>
              <w:rPr>
                <w:sz w:val="24"/>
                <w:szCs w:val="24"/>
              </w:rPr>
              <w:t>94.5</w:t>
            </w:r>
          </w:p>
        </w:tc>
      </w:tr>
      <w:tr w:rsidR="00EA6FB7" w14:paraId="200950B7" w14:textId="77777777" w:rsidTr="00E2525C">
        <w:tc>
          <w:tcPr>
            <w:tcW w:w="0" w:type="auto"/>
          </w:tcPr>
          <w:p w14:paraId="15015FC4" w14:textId="0BC0ED6B" w:rsidR="00EA6FB7" w:rsidRDefault="001D0D41" w:rsidP="006F6973">
            <w:pPr>
              <w:rPr>
                <w:sz w:val="24"/>
                <w:szCs w:val="24"/>
              </w:rPr>
            </w:pPr>
            <w:r w:rsidRPr="006F6973">
              <w:rPr>
                <w:sz w:val="24"/>
                <w:szCs w:val="24"/>
              </w:rPr>
              <w:t>Core Indicator 4</w:t>
            </w:r>
            <w:r w:rsidRPr="001D0D41">
              <w:rPr>
                <w:sz w:val="24"/>
                <w:szCs w:val="24"/>
              </w:rPr>
              <w:t xml:space="preserve"> Target: 320 million hectares </w:t>
            </w:r>
            <w:r w:rsidRPr="006F6973">
              <w:rPr>
                <w:sz w:val="24"/>
                <w:szCs w:val="24"/>
              </w:rPr>
              <w:t>of landscapes under improved practices excluding protected areas</w:t>
            </w:r>
          </w:p>
        </w:tc>
        <w:tc>
          <w:tcPr>
            <w:tcW w:w="0" w:type="auto"/>
          </w:tcPr>
          <w:p w14:paraId="70C3AB8E" w14:textId="700F4E76" w:rsidR="00EA6FB7" w:rsidRDefault="00C737AB" w:rsidP="006F6973">
            <w:pPr>
              <w:rPr>
                <w:sz w:val="24"/>
                <w:szCs w:val="24"/>
              </w:rPr>
            </w:pPr>
            <w:r>
              <w:rPr>
                <w:sz w:val="24"/>
                <w:szCs w:val="24"/>
              </w:rPr>
              <w:t>97.</w:t>
            </w:r>
            <w:r w:rsidR="00F5494F">
              <w:rPr>
                <w:sz w:val="24"/>
                <w:szCs w:val="24"/>
              </w:rPr>
              <w:t>5</w:t>
            </w:r>
            <w:r w:rsidR="008B1C8F">
              <w:rPr>
                <w:sz w:val="24"/>
                <w:szCs w:val="24"/>
              </w:rPr>
              <w:t xml:space="preserve"> million</w:t>
            </w:r>
            <w:r w:rsidR="007D5DCD">
              <w:rPr>
                <w:sz w:val="24"/>
                <w:szCs w:val="24"/>
              </w:rPr>
              <w:t xml:space="preserve"> hectares</w:t>
            </w:r>
          </w:p>
        </w:tc>
        <w:tc>
          <w:tcPr>
            <w:tcW w:w="0" w:type="auto"/>
          </w:tcPr>
          <w:p w14:paraId="1D99601F" w14:textId="75476C98" w:rsidR="00EA6FB7" w:rsidRDefault="001D0D41" w:rsidP="006F6973">
            <w:pPr>
              <w:rPr>
                <w:sz w:val="24"/>
                <w:szCs w:val="24"/>
              </w:rPr>
            </w:pPr>
            <w:r>
              <w:rPr>
                <w:sz w:val="24"/>
                <w:szCs w:val="24"/>
              </w:rPr>
              <w:t>30</w:t>
            </w:r>
            <w:r w:rsidR="001E553B">
              <w:rPr>
                <w:sz w:val="24"/>
                <w:szCs w:val="24"/>
              </w:rPr>
              <w:t>.5</w:t>
            </w:r>
          </w:p>
        </w:tc>
      </w:tr>
      <w:tr w:rsidR="00EA6FB7" w14:paraId="19A7698C" w14:textId="77777777" w:rsidTr="00E2525C">
        <w:tc>
          <w:tcPr>
            <w:tcW w:w="0" w:type="auto"/>
          </w:tcPr>
          <w:p w14:paraId="3F91006E" w14:textId="1B5FAA1B" w:rsidR="00EA6FB7" w:rsidRDefault="00CB2DC2" w:rsidP="006F6973">
            <w:pPr>
              <w:rPr>
                <w:sz w:val="24"/>
                <w:szCs w:val="24"/>
              </w:rPr>
            </w:pPr>
            <w:r w:rsidRPr="006F6973">
              <w:rPr>
                <w:sz w:val="24"/>
                <w:szCs w:val="24"/>
              </w:rPr>
              <w:lastRenderedPageBreak/>
              <w:t>Core Indicator 5</w:t>
            </w:r>
            <w:r w:rsidRPr="00CB2DC2">
              <w:rPr>
                <w:sz w:val="24"/>
                <w:szCs w:val="24"/>
              </w:rPr>
              <w:t xml:space="preserve"> Target: 28 million hectares </w:t>
            </w:r>
            <w:r w:rsidRPr="006F6973">
              <w:rPr>
                <w:sz w:val="24"/>
                <w:szCs w:val="24"/>
              </w:rPr>
              <w:t>of marine habitat under improved practices to benefit biodiversity excluding protected areas</w:t>
            </w:r>
          </w:p>
        </w:tc>
        <w:tc>
          <w:tcPr>
            <w:tcW w:w="0" w:type="auto"/>
          </w:tcPr>
          <w:p w14:paraId="38CA4B3D" w14:textId="5965B2C4" w:rsidR="00EA6FB7" w:rsidRDefault="0000301F" w:rsidP="006F6973">
            <w:pPr>
              <w:rPr>
                <w:sz w:val="24"/>
                <w:szCs w:val="24"/>
              </w:rPr>
            </w:pPr>
            <w:r>
              <w:rPr>
                <w:sz w:val="24"/>
                <w:szCs w:val="24"/>
              </w:rPr>
              <w:t>5.</w:t>
            </w:r>
            <w:r w:rsidR="00BB3478">
              <w:rPr>
                <w:sz w:val="24"/>
                <w:szCs w:val="24"/>
              </w:rPr>
              <w:t>5</w:t>
            </w:r>
            <w:r w:rsidR="0030080D">
              <w:rPr>
                <w:sz w:val="24"/>
                <w:szCs w:val="24"/>
              </w:rPr>
              <w:t xml:space="preserve"> million</w:t>
            </w:r>
            <w:r w:rsidR="007D5DCD">
              <w:rPr>
                <w:sz w:val="24"/>
                <w:szCs w:val="24"/>
              </w:rPr>
              <w:t xml:space="preserve"> </w:t>
            </w:r>
            <w:r w:rsidR="007D5DCD" w:rsidRPr="00EA6FB7">
              <w:rPr>
                <w:sz w:val="24"/>
                <w:szCs w:val="24"/>
              </w:rPr>
              <w:t>hectares</w:t>
            </w:r>
          </w:p>
        </w:tc>
        <w:tc>
          <w:tcPr>
            <w:tcW w:w="0" w:type="auto"/>
          </w:tcPr>
          <w:p w14:paraId="43B53462" w14:textId="230BD8CE" w:rsidR="00EA6FB7" w:rsidRDefault="00CB2DC2" w:rsidP="006F6973">
            <w:pPr>
              <w:rPr>
                <w:sz w:val="24"/>
                <w:szCs w:val="24"/>
              </w:rPr>
            </w:pPr>
            <w:r>
              <w:rPr>
                <w:sz w:val="24"/>
                <w:szCs w:val="24"/>
              </w:rPr>
              <w:t>19</w:t>
            </w:r>
            <w:r w:rsidR="00CC1D5D">
              <w:rPr>
                <w:sz w:val="24"/>
                <w:szCs w:val="24"/>
              </w:rPr>
              <w:t>.6</w:t>
            </w:r>
          </w:p>
        </w:tc>
      </w:tr>
      <w:tr w:rsidR="00EA6FB7" w14:paraId="2C5E2B60" w14:textId="77777777" w:rsidTr="00E2525C">
        <w:tc>
          <w:tcPr>
            <w:tcW w:w="0" w:type="auto"/>
          </w:tcPr>
          <w:p w14:paraId="5311C0C2" w14:textId="618B8DED" w:rsidR="00EA6FB7" w:rsidRDefault="00CB2DC2" w:rsidP="006F6973">
            <w:pPr>
              <w:rPr>
                <w:sz w:val="24"/>
                <w:szCs w:val="24"/>
              </w:rPr>
            </w:pPr>
            <w:r w:rsidRPr="006F6973">
              <w:rPr>
                <w:sz w:val="24"/>
                <w:szCs w:val="24"/>
              </w:rPr>
              <w:t>Core Indicator 7</w:t>
            </w:r>
            <w:r w:rsidRPr="00CB2DC2">
              <w:rPr>
                <w:sz w:val="24"/>
                <w:szCs w:val="24"/>
              </w:rPr>
              <w:t xml:space="preserve"> Target</w:t>
            </w:r>
            <w:r w:rsidRPr="006F6973">
              <w:rPr>
                <w:sz w:val="24"/>
                <w:szCs w:val="24"/>
              </w:rPr>
              <w:t>:</w:t>
            </w:r>
            <w:r w:rsidRPr="00CB2DC2">
              <w:rPr>
                <w:sz w:val="24"/>
                <w:szCs w:val="24"/>
              </w:rPr>
              <w:t xml:space="preserve">  </w:t>
            </w:r>
            <w:r w:rsidR="00A75EC0">
              <w:rPr>
                <w:sz w:val="24"/>
                <w:szCs w:val="24"/>
              </w:rPr>
              <w:t xml:space="preserve">32 </w:t>
            </w:r>
            <w:r w:rsidRPr="006F6973">
              <w:rPr>
                <w:sz w:val="24"/>
                <w:szCs w:val="24"/>
              </w:rPr>
              <w:t>shared water ecosystems (fresh or marine) under new or improved cooperative management</w:t>
            </w:r>
          </w:p>
        </w:tc>
        <w:tc>
          <w:tcPr>
            <w:tcW w:w="0" w:type="auto"/>
          </w:tcPr>
          <w:p w14:paraId="6B1CA9B1" w14:textId="2AA2EF33" w:rsidR="00EA6FB7" w:rsidRDefault="0000301F" w:rsidP="006F6973">
            <w:pPr>
              <w:rPr>
                <w:sz w:val="24"/>
                <w:szCs w:val="24"/>
              </w:rPr>
            </w:pPr>
            <w:r>
              <w:rPr>
                <w:sz w:val="24"/>
                <w:szCs w:val="24"/>
              </w:rPr>
              <w:t>14</w:t>
            </w:r>
            <w:r w:rsidR="007D5DCD">
              <w:rPr>
                <w:sz w:val="24"/>
                <w:szCs w:val="24"/>
              </w:rPr>
              <w:t xml:space="preserve"> shared water ecosystems</w:t>
            </w:r>
          </w:p>
        </w:tc>
        <w:tc>
          <w:tcPr>
            <w:tcW w:w="0" w:type="auto"/>
          </w:tcPr>
          <w:p w14:paraId="45A6D5A0" w14:textId="0FCD8DD2" w:rsidR="00EA6FB7" w:rsidRDefault="00CB2DC2" w:rsidP="006F6973">
            <w:pPr>
              <w:rPr>
                <w:sz w:val="24"/>
                <w:szCs w:val="24"/>
              </w:rPr>
            </w:pPr>
            <w:r>
              <w:rPr>
                <w:sz w:val="24"/>
                <w:szCs w:val="24"/>
              </w:rPr>
              <w:t>43.8</w:t>
            </w:r>
          </w:p>
        </w:tc>
      </w:tr>
      <w:tr w:rsidR="00D13DE4" w14:paraId="309766C7" w14:textId="77777777" w:rsidTr="00E2525C">
        <w:tc>
          <w:tcPr>
            <w:tcW w:w="0" w:type="auto"/>
          </w:tcPr>
          <w:p w14:paraId="2E3A7276" w14:textId="514F6A39" w:rsidR="00D13DE4" w:rsidRDefault="00CB2DC2" w:rsidP="006F6973">
            <w:pPr>
              <w:rPr>
                <w:sz w:val="24"/>
                <w:szCs w:val="24"/>
              </w:rPr>
            </w:pPr>
            <w:r w:rsidRPr="006F6973">
              <w:rPr>
                <w:sz w:val="24"/>
                <w:szCs w:val="24"/>
              </w:rPr>
              <w:t>Core Indicator 8</w:t>
            </w:r>
            <w:r w:rsidRPr="00CB2DC2">
              <w:rPr>
                <w:sz w:val="24"/>
                <w:szCs w:val="24"/>
              </w:rPr>
              <w:t xml:space="preserve"> Target: 3</w:t>
            </w:r>
            <w:r w:rsidR="0039082E">
              <w:rPr>
                <w:sz w:val="24"/>
                <w:szCs w:val="24"/>
              </w:rPr>
              <w:t xml:space="preserve">,500,000 </w:t>
            </w:r>
            <w:r w:rsidRPr="00CB2DC2">
              <w:rPr>
                <w:sz w:val="24"/>
                <w:szCs w:val="24"/>
              </w:rPr>
              <w:t>metric tons of g</w:t>
            </w:r>
            <w:r w:rsidRPr="006F6973">
              <w:rPr>
                <w:sz w:val="24"/>
                <w:szCs w:val="24"/>
              </w:rPr>
              <w:t>lobally over-exploited fisheries moved to more sustainable levels</w:t>
            </w:r>
          </w:p>
        </w:tc>
        <w:tc>
          <w:tcPr>
            <w:tcW w:w="0" w:type="auto"/>
          </w:tcPr>
          <w:p w14:paraId="1345E05A" w14:textId="0544C447" w:rsidR="00D13DE4" w:rsidRDefault="00EB2F82" w:rsidP="006F6973">
            <w:pPr>
              <w:rPr>
                <w:sz w:val="24"/>
                <w:szCs w:val="24"/>
              </w:rPr>
            </w:pPr>
            <w:r>
              <w:rPr>
                <w:sz w:val="24"/>
                <w:szCs w:val="24"/>
              </w:rPr>
              <w:t>127,000</w:t>
            </w:r>
            <w:r w:rsidR="007D5DCD">
              <w:rPr>
                <w:sz w:val="24"/>
                <w:szCs w:val="24"/>
              </w:rPr>
              <w:t xml:space="preserve"> metric tons</w:t>
            </w:r>
          </w:p>
        </w:tc>
        <w:tc>
          <w:tcPr>
            <w:tcW w:w="0" w:type="auto"/>
          </w:tcPr>
          <w:p w14:paraId="7ABC9B1B" w14:textId="79106231" w:rsidR="00D13DE4" w:rsidRDefault="00CB2DC2" w:rsidP="006F6973">
            <w:pPr>
              <w:rPr>
                <w:sz w:val="24"/>
                <w:szCs w:val="24"/>
              </w:rPr>
            </w:pPr>
            <w:r>
              <w:rPr>
                <w:sz w:val="24"/>
                <w:szCs w:val="24"/>
              </w:rPr>
              <w:t>3.6</w:t>
            </w:r>
          </w:p>
        </w:tc>
      </w:tr>
    </w:tbl>
    <w:p w14:paraId="353817A3" w14:textId="77777777" w:rsidR="003B043C" w:rsidRDefault="00A277D5" w:rsidP="006C0191">
      <w:pPr>
        <w:pStyle w:val="ListParagraph"/>
        <w:numPr>
          <w:ilvl w:val="0"/>
          <w:numId w:val="23"/>
        </w:numPr>
        <w:spacing w:before="240" w:after="240" w:line="240" w:lineRule="auto"/>
        <w:ind w:left="0" w:firstLine="0"/>
        <w:contextualSpacing w:val="0"/>
        <w:rPr>
          <w:sz w:val="24"/>
          <w:szCs w:val="24"/>
          <w:lang w:val="en"/>
        </w:rPr>
        <w:sectPr w:rsidR="003B043C" w:rsidSect="004451ED">
          <w:footerReference w:type="default" r:id="rId20"/>
          <w:pgSz w:w="12240" w:h="15840"/>
          <w:pgMar w:top="1440" w:right="1440" w:bottom="1440" w:left="1440" w:header="720" w:footer="720" w:gutter="0"/>
          <w:pgNumType w:start="1"/>
          <w:cols w:space="720"/>
          <w:docGrid w:linePitch="360"/>
        </w:sectPr>
      </w:pPr>
      <w:r w:rsidRPr="006C0191">
        <w:rPr>
          <w:sz w:val="24"/>
          <w:szCs w:val="24"/>
          <w:lang w:val="en-GB"/>
        </w:rPr>
        <w:t>During</w:t>
      </w:r>
      <w:r w:rsidRPr="00A277D5">
        <w:rPr>
          <w:sz w:val="24"/>
          <w:szCs w:val="24"/>
          <w:lang w:val="en"/>
        </w:rPr>
        <w:t xml:space="preserve"> the reporting period, the Independent Evaluation Office of the GEF (IEO) conducted four evaluations and reviews that are of relevance to the biodiversity focal area. The</w:t>
      </w:r>
      <w:r w:rsidR="00B60224">
        <w:rPr>
          <w:sz w:val="24"/>
          <w:szCs w:val="24"/>
          <w:lang w:val="en"/>
        </w:rPr>
        <w:t>y include</w:t>
      </w:r>
      <w:r w:rsidR="006E386D" w:rsidRPr="00F17B6D">
        <w:rPr>
          <w:sz w:val="24"/>
          <w:szCs w:val="24"/>
          <w:lang w:val="en"/>
        </w:rPr>
        <w:t>:</w:t>
      </w:r>
      <w:r w:rsidR="00D352C1" w:rsidRPr="00F17B6D">
        <w:rPr>
          <w:sz w:val="24"/>
          <w:szCs w:val="24"/>
          <w:lang w:val="en"/>
        </w:rPr>
        <w:t xml:space="preserve"> 1) Evaluation of GEF's Support to Mainstreaming Biodiversity; 2) </w:t>
      </w:r>
      <w:r w:rsidR="00D97629" w:rsidRPr="00F17B6D">
        <w:rPr>
          <w:sz w:val="24"/>
          <w:szCs w:val="24"/>
          <w:lang w:val="en"/>
        </w:rPr>
        <w:t>Formative Review of the Integrated Approach Pilot Program</w:t>
      </w:r>
      <w:r w:rsidR="00F17B6D" w:rsidRPr="00F17B6D">
        <w:rPr>
          <w:sz w:val="24"/>
          <w:szCs w:val="24"/>
          <w:lang w:val="en"/>
        </w:rPr>
        <w:t>s</w:t>
      </w:r>
      <w:r w:rsidR="00D97629" w:rsidRPr="00F17B6D">
        <w:rPr>
          <w:sz w:val="24"/>
          <w:szCs w:val="24"/>
          <w:lang w:val="en"/>
        </w:rPr>
        <w:t xml:space="preserve">; 3) </w:t>
      </w:r>
      <w:r w:rsidR="00F17B6D" w:rsidRPr="00F17B6D">
        <w:rPr>
          <w:sz w:val="24"/>
          <w:szCs w:val="24"/>
          <w:lang w:val="en"/>
        </w:rPr>
        <w:t>Evaluation of GEF Support for Transformational Change; 4) Evaluation of GEF Support to Scaling up Impact</w:t>
      </w:r>
      <w:r w:rsidR="00B60224">
        <w:rPr>
          <w:sz w:val="24"/>
          <w:szCs w:val="24"/>
          <w:lang w:val="en"/>
        </w:rPr>
        <w:t>.</w:t>
      </w:r>
      <w:r w:rsidR="00F17B6D" w:rsidRPr="00F17B6D">
        <w:rPr>
          <w:sz w:val="24"/>
          <w:szCs w:val="24"/>
          <w:lang w:val="en"/>
        </w:rPr>
        <w:t xml:space="preserve"> </w:t>
      </w:r>
      <w:r w:rsidR="00B60224">
        <w:rPr>
          <w:sz w:val="24"/>
          <w:szCs w:val="24"/>
          <w:lang w:val="en"/>
        </w:rPr>
        <w:t>The key messages from these evaluations</w:t>
      </w:r>
      <w:r w:rsidR="00F17B6D" w:rsidRPr="00F17B6D">
        <w:rPr>
          <w:sz w:val="24"/>
          <w:szCs w:val="24"/>
          <w:lang w:val="en"/>
        </w:rPr>
        <w:t xml:space="preserve"> </w:t>
      </w:r>
      <w:r w:rsidR="00CB2DC2" w:rsidRPr="00F17B6D">
        <w:rPr>
          <w:sz w:val="24"/>
          <w:szCs w:val="24"/>
          <w:lang w:val="en"/>
        </w:rPr>
        <w:t>are summarized by the IEO in this report</w:t>
      </w:r>
      <w:r w:rsidRPr="00A277D5">
        <w:rPr>
          <w:sz w:val="24"/>
          <w:szCs w:val="24"/>
          <w:lang w:val="en"/>
        </w:rPr>
        <w:t>.</w:t>
      </w:r>
    </w:p>
    <w:p w14:paraId="557F5F22" w14:textId="6955501F" w:rsidR="00BC29AF" w:rsidRPr="00AF1807" w:rsidRDefault="00BC29AF" w:rsidP="000C09D1">
      <w:pPr>
        <w:pStyle w:val="Heading1"/>
        <w:numPr>
          <w:ilvl w:val="0"/>
          <w:numId w:val="27"/>
        </w:numPr>
      </w:pPr>
      <w:bookmarkStart w:id="7" w:name="_Toc32494913"/>
      <w:r w:rsidRPr="00020E95">
        <w:lastRenderedPageBreak/>
        <w:t>Project Activities to Support Implementation of the CBD</w:t>
      </w:r>
      <w:bookmarkEnd w:id="7"/>
      <w:r w:rsidRPr="00020E95">
        <w:tab/>
      </w:r>
    </w:p>
    <w:p w14:paraId="2374270A" w14:textId="2F699784" w:rsidR="003B7507" w:rsidRDefault="003B7507" w:rsidP="00F7014F">
      <w:pPr>
        <w:pStyle w:val="ListParagraph"/>
        <w:numPr>
          <w:ilvl w:val="0"/>
          <w:numId w:val="25"/>
        </w:numPr>
        <w:spacing w:before="240" w:after="240" w:line="240" w:lineRule="auto"/>
        <w:ind w:left="0" w:firstLine="0"/>
        <w:contextualSpacing w:val="0"/>
        <w:rPr>
          <w:sz w:val="24"/>
          <w:szCs w:val="24"/>
          <w:lang w:val="en-GB"/>
        </w:rPr>
      </w:pPr>
      <w:r w:rsidRPr="00AF1807">
        <w:rPr>
          <w:sz w:val="24"/>
          <w:szCs w:val="24"/>
          <w:lang w:val="en-GB"/>
        </w:rPr>
        <w:t>This draft report to the Conference of the Parties (COP) to the Convention on Biological Diversity (CBD) provides information on the activities of the Global Environment Facility (GEF) in the biodiversity focal area</w:t>
      </w:r>
      <w:r w:rsidR="00FF002C">
        <w:rPr>
          <w:sz w:val="24"/>
          <w:szCs w:val="24"/>
          <w:lang w:val="en-GB"/>
        </w:rPr>
        <w:t xml:space="preserve"> in </w:t>
      </w:r>
      <w:r w:rsidR="00BF3760" w:rsidRPr="00AF1807">
        <w:rPr>
          <w:sz w:val="24"/>
          <w:szCs w:val="24"/>
          <w:lang w:val="en-GB"/>
        </w:rPr>
        <w:t>respon</w:t>
      </w:r>
      <w:r w:rsidR="00FF002C">
        <w:rPr>
          <w:sz w:val="24"/>
          <w:szCs w:val="24"/>
          <w:lang w:val="en-GB"/>
        </w:rPr>
        <w:t>se</w:t>
      </w:r>
      <w:r w:rsidR="009A2730" w:rsidRPr="00AF1807">
        <w:rPr>
          <w:sz w:val="24"/>
          <w:szCs w:val="24"/>
          <w:lang w:val="en-GB"/>
        </w:rPr>
        <w:t xml:space="preserve"> to the COP</w:t>
      </w:r>
      <w:r w:rsidR="000343DF">
        <w:rPr>
          <w:sz w:val="24"/>
          <w:szCs w:val="24"/>
          <w:lang w:val="en-GB"/>
        </w:rPr>
        <w:t xml:space="preserve"> </w:t>
      </w:r>
      <w:r w:rsidR="006966FA" w:rsidRPr="00AF1807">
        <w:rPr>
          <w:sz w:val="24"/>
          <w:szCs w:val="24"/>
          <w:lang w:val="en-GB"/>
        </w:rPr>
        <w:t>1</w:t>
      </w:r>
      <w:r w:rsidR="00F25D31">
        <w:rPr>
          <w:sz w:val="24"/>
          <w:szCs w:val="24"/>
          <w:lang w:val="en-GB"/>
        </w:rPr>
        <w:t>4</w:t>
      </w:r>
      <w:r w:rsidR="006966FA" w:rsidRPr="00AF1807">
        <w:rPr>
          <w:sz w:val="24"/>
          <w:szCs w:val="24"/>
          <w:lang w:val="en-GB"/>
        </w:rPr>
        <w:t xml:space="preserve"> </w:t>
      </w:r>
      <w:r w:rsidR="00BF3760" w:rsidRPr="00AF1807">
        <w:rPr>
          <w:sz w:val="24"/>
          <w:szCs w:val="24"/>
          <w:lang w:val="en-GB"/>
        </w:rPr>
        <w:t>guidance to the GEF</w:t>
      </w:r>
      <w:r w:rsidR="005C1E25">
        <w:rPr>
          <w:sz w:val="24"/>
          <w:szCs w:val="24"/>
          <w:lang w:val="en-GB"/>
        </w:rPr>
        <w:t xml:space="preserve"> received in November 2018</w:t>
      </w:r>
      <w:r w:rsidR="00BF3760" w:rsidRPr="00AF1807">
        <w:rPr>
          <w:sz w:val="24"/>
          <w:szCs w:val="24"/>
          <w:lang w:val="en-GB"/>
        </w:rPr>
        <w:t xml:space="preserve">. The draft report </w:t>
      </w:r>
      <w:r w:rsidRPr="00AF1807">
        <w:rPr>
          <w:sz w:val="24"/>
          <w:szCs w:val="24"/>
          <w:lang w:val="en-GB"/>
        </w:rPr>
        <w:t>cover</w:t>
      </w:r>
      <w:r w:rsidR="00056AFA" w:rsidRPr="00AF1807">
        <w:rPr>
          <w:sz w:val="24"/>
          <w:szCs w:val="24"/>
          <w:lang w:val="en-GB"/>
        </w:rPr>
        <w:t>s</w:t>
      </w:r>
      <w:r w:rsidRPr="00AF1807">
        <w:rPr>
          <w:sz w:val="24"/>
          <w:szCs w:val="24"/>
          <w:lang w:val="en-GB"/>
        </w:rPr>
        <w:t xml:space="preserve"> the period from July 1, 201</w:t>
      </w:r>
      <w:r w:rsidR="002D1C0A" w:rsidRPr="00AF1807">
        <w:rPr>
          <w:sz w:val="24"/>
          <w:szCs w:val="24"/>
          <w:lang w:val="en-GB"/>
        </w:rPr>
        <w:t>8</w:t>
      </w:r>
      <w:r w:rsidRPr="00AF1807">
        <w:rPr>
          <w:sz w:val="24"/>
          <w:szCs w:val="24"/>
          <w:lang w:val="en-GB"/>
        </w:rPr>
        <w:t xml:space="preserve"> to </w:t>
      </w:r>
      <w:r w:rsidR="002D1C0A" w:rsidRPr="00AF1807">
        <w:rPr>
          <w:sz w:val="24"/>
          <w:szCs w:val="24"/>
          <w:lang w:val="en-GB"/>
        </w:rPr>
        <w:t>December 31, 2019</w:t>
      </w:r>
      <w:r w:rsidR="001461C8" w:rsidRPr="00AF1807">
        <w:rPr>
          <w:sz w:val="24"/>
          <w:szCs w:val="24"/>
          <w:lang w:val="en-GB"/>
        </w:rPr>
        <w:t>. T</w:t>
      </w:r>
      <w:r w:rsidRPr="00AF1807">
        <w:rPr>
          <w:sz w:val="24"/>
          <w:szCs w:val="24"/>
          <w:lang w:val="en-GB"/>
        </w:rPr>
        <w:t>he final report presented to COP</w:t>
      </w:r>
      <w:r w:rsidR="000343DF">
        <w:rPr>
          <w:sz w:val="24"/>
          <w:szCs w:val="24"/>
          <w:lang w:val="en-GB"/>
        </w:rPr>
        <w:t xml:space="preserve"> </w:t>
      </w:r>
      <w:r w:rsidRPr="00AF1807">
        <w:rPr>
          <w:sz w:val="24"/>
          <w:szCs w:val="24"/>
          <w:lang w:val="en-GB"/>
        </w:rPr>
        <w:t>1</w:t>
      </w:r>
      <w:r w:rsidR="001461C8" w:rsidRPr="00AF1807">
        <w:rPr>
          <w:sz w:val="24"/>
          <w:szCs w:val="24"/>
          <w:lang w:val="en-GB"/>
        </w:rPr>
        <w:t>5</w:t>
      </w:r>
      <w:r w:rsidRPr="00AF1807">
        <w:rPr>
          <w:sz w:val="24"/>
          <w:szCs w:val="24"/>
          <w:lang w:val="en-GB"/>
        </w:rPr>
        <w:t xml:space="preserve"> will cover the period </w:t>
      </w:r>
      <w:r w:rsidR="000343DF">
        <w:rPr>
          <w:sz w:val="24"/>
          <w:szCs w:val="24"/>
          <w:lang w:val="en-GB"/>
        </w:rPr>
        <w:t xml:space="preserve">from July 1, 2018 </w:t>
      </w:r>
      <w:r w:rsidRPr="00AF1807">
        <w:rPr>
          <w:sz w:val="24"/>
          <w:szCs w:val="24"/>
          <w:lang w:val="en-GB"/>
        </w:rPr>
        <w:t>to June 30, 20</w:t>
      </w:r>
      <w:r w:rsidR="001461C8" w:rsidRPr="00AF1807">
        <w:rPr>
          <w:sz w:val="24"/>
          <w:szCs w:val="24"/>
          <w:lang w:val="en-GB"/>
        </w:rPr>
        <w:t>20</w:t>
      </w:r>
      <w:r w:rsidR="000343DF">
        <w:rPr>
          <w:sz w:val="24"/>
          <w:szCs w:val="24"/>
          <w:lang w:val="en-GB"/>
        </w:rPr>
        <w:t>, corresponding to the first two years of the seventh GEF replenishment period (GEF-7) of July 1, 2018 to June 30, 2022</w:t>
      </w:r>
      <w:r w:rsidRPr="00AF1807">
        <w:rPr>
          <w:sz w:val="24"/>
          <w:szCs w:val="24"/>
          <w:lang w:val="en-GB"/>
        </w:rPr>
        <w:t xml:space="preserve">. </w:t>
      </w:r>
    </w:p>
    <w:p w14:paraId="29408B21" w14:textId="64EB46AA" w:rsidR="00983521" w:rsidRPr="00983521" w:rsidRDefault="00983521" w:rsidP="000C09D1">
      <w:pPr>
        <w:pStyle w:val="Heading2"/>
      </w:pPr>
      <w:bookmarkStart w:id="8" w:name="_Toc32494914"/>
      <w:r w:rsidRPr="00983521">
        <w:t>The GEF-7 Biodiversity Strategy</w:t>
      </w:r>
      <w:bookmarkEnd w:id="8"/>
    </w:p>
    <w:p w14:paraId="5D779929" w14:textId="2284BC69" w:rsidR="00925FCB" w:rsidRPr="00AF1807" w:rsidRDefault="00925FCB" w:rsidP="009C36A4">
      <w:pPr>
        <w:pStyle w:val="ListParagraph"/>
        <w:numPr>
          <w:ilvl w:val="0"/>
          <w:numId w:val="25"/>
        </w:numPr>
        <w:spacing w:before="240" w:after="240" w:line="240" w:lineRule="auto"/>
        <w:ind w:left="0" w:firstLine="0"/>
        <w:contextualSpacing w:val="0"/>
        <w:rPr>
          <w:sz w:val="24"/>
          <w:szCs w:val="24"/>
        </w:rPr>
      </w:pPr>
      <w:bookmarkStart w:id="9" w:name="_Hlk32178223"/>
      <w:r w:rsidRPr="00AF1807">
        <w:rPr>
          <w:sz w:val="24"/>
          <w:szCs w:val="24"/>
        </w:rPr>
        <w:t>The goal of the GEF-7 biodiversity focal area strategy is to maintain globally significant biodiversity in landscapes and seascapes. To achieve this goal, GEF investments</w:t>
      </w:r>
      <w:r w:rsidR="00056AFA" w:rsidRPr="00AF1807">
        <w:rPr>
          <w:sz w:val="24"/>
          <w:szCs w:val="24"/>
        </w:rPr>
        <w:t xml:space="preserve"> help countries </w:t>
      </w:r>
      <w:r w:rsidR="00BC5DA9" w:rsidRPr="00AF1807">
        <w:rPr>
          <w:sz w:val="24"/>
          <w:szCs w:val="24"/>
        </w:rPr>
        <w:t xml:space="preserve">meet </w:t>
      </w:r>
      <w:r w:rsidRPr="00AF1807">
        <w:rPr>
          <w:sz w:val="24"/>
          <w:szCs w:val="24"/>
        </w:rPr>
        <w:t>the three objectives identified in the COP</w:t>
      </w:r>
      <w:r w:rsidR="00B4635F">
        <w:rPr>
          <w:sz w:val="24"/>
          <w:szCs w:val="24"/>
        </w:rPr>
        <w:t xml:space="preserve"> </w:t>
      </w:r>
      <w:r w:rsidRPr="00AF1807">
        <w:rPr>
          <w:sz w:val="24"/>
          <w:szCs w:val="24"/>
        </w:rPr>
        <w:t xml:space="preserve">13 </w:t>
      </w:r>
      <w:r w:rsidR="000343DF">
        <w:rPr>
          <w:sz w:val="24"/>
          <w:szCs w:val="24"/>
        </w:rPr>
        <w:t>g</w:t>
      </w:r>
      <w:r w:rsidRPr="00AF1807">
        <w:rPr>
          <w:sz w:val="24"/>
          <w:szCs w:val="24"/>
        </w:rPr>
        <w:t>uidance to the GEF</w:t>
      </w:r>
      <w:r w:rsidR="00B411C2">
        <w:rPr>
          <w:sz w:val="24"/>
          <w:szCs w:val="24"/>
        </w:rPr>
        <w:t xml:space="preserve">, </w:t>
      </w:r>
      <w:r w:rsidR="006D2E13">
        <w:rPr>
          <w:sz w:val="24"/>
          <w:szCs w:val="24"/>
        </w:rPr>
        <w:t xml:space="preserve">from </w:t>
      </w:r>
      <w:r w:rsidR="005C1E25">
        <w:rPr>
          <w:sz w:val="24"/>
          <w:szCs w:val="24"/>
        </w:rPr>
        <w:t>December 2016,</w:t>
      </w:r>
      <w:r w:rsidR="000343DF">
        <w:rPr>
          <w:sz w:val="24"/>
          <w:szCs w:val="24"/>
        </w:rPr>
        <w:t xml:space="preserve"> </w:t>
      </w:r>
      <w:r w:rsidR="00FE3EE1">
        <w:rPr>
          <w:sz w:val="24"/>
          <w:szCs w:val="24"/>
        </w:rPr>
        <w:t xml:space="preserve">as presented in </w:t>
      </w:r>
      <w:r w:rsidR="000343DF">
        <w:rPr>
          <w:sz w:val="24"/>
          <w:szCs w:val="24"/>
        </w:rPr>
        <w:t xml:space="preserve">the </w:t>
      </w:r>
      <w:r w:rsidR="003730F8">
        <w:rPr>
          <w:sz w:val="24"/>
          <w:szCs w:val="24"/>
        </w:rPr>
        <w:t>f</w:t>
      </w:r>
      <w:r w:rsidR="000343DF">
        <w:rPr>
          <w:sz w:val="24"/>
          <w:szCs w:val="24"/>
        </w:rPr>
        <w:t>our-</w:t>
      </w:r>
      <w:r w:rsidR="003730F8">
        <w:rPr>
          <w:sz w:val="24"/>
          <w:szCs w:val="24"/>
        </w:rPr>
        <w:t>y</w:t>
      </w:r>
      <w:r w:rsidR="000343DF">
        <w:rPr>
          <w:sz w:val="24"/>
          <w:szCs w:val="24"/>
        </w:rPr>
        <w:t xml:space="preserve">ear </w:t>
      </w:r>
      <w:r w:rsidR="003730F8">
        <w:rPr>
          <w:sz w:val="24"/>
          <w:szCs w:val="24"/>
        </w:rPr>
        <w:t>f</w:t>
      </w:r>
      <w:r w:rsidR="000343DF">
        <w:rPr>
          <w:sz w:val="24"/>
          <w:szCs w:val="24"/>
        </w:rPr>
        <w:t xml:space="preserve">ramework on </w:t>
      </w:r>
      <w:r w:rsidR="003730F8">
        <w:rPr>
          <w:sz w:val="24"/>
          <w:szCs w:val="24"/>
        </w:rPr>
        <w:t>p</w:t>
      </w:r>
      <w:r w:rsidR="000343DF">
        <w:rPr>
          <w:sz w:val="24"/>
          <w:szCs w:val="24"/>
        </w:rPr>
        <w:t xml:space="preserve">rogram </w:t>
      </w:r>
      <w:r w:rsidR="003730F8">
        <w:rPr>
          <w:sz w:val="24"/>
          <w:szCs w:val="24"/>
        </w:rPr>
        <w:t>p</w:t>
      </w:r>
      <w:r w:rsidR="000343DF">
        <w:rPr>
          <w:sz w:val="24"/>
          <w:szCs w:val="24"/>
        </w:rPr>
        <w:t>riorities</w:t>
      </w:r>
      <w:r w:rsidRPr="00AF1807">
        <w:rPr>
          <w:sz w:val="24"/>
          <w:szCs w:val="24"/>
        </w:rPr>
        <w:t>:</w:t>
      </w:r>
    </w:p>
    <w:p w14:paraId="503BABA3" w14:textId="77777777" w:rsidR="00925FCB" w:rsidRPr="00AF1807" w:rsidRDefault="00925FCB" w:rsidP="00665E66">
      <w:pPr>
        <w:numPr>
          <w:ilvl w:val="0"/>
          <w:numId w:val="8"/>
        </w:numPr>
        <w:spacing w:before="120" w:after="120" w:line="240" w:lineRule="auto"/>
        <w:ind w:left="1080"/>
        <w:rPr>
          <w:sz w:val="24"/>
          <w:szCs w:val="24"/>
        </w:rPr>
      </w:pPr>
      <w:r w:rsidRPr="00AF1807">
        <w:rPr>
          <w:sz w:val="24"/>
          <w:szCs w:val="24"/>
        </w:rPr>
        <w:t xml:space="preserve">Mainstream biodiversity across sectors as well as landscapes and seascapes; </w:t>
      </w:r>
    </w:p>
    <w:p w14:paraId="1C345BB7" w14:textId="77777777" w:rsidR="00925FCB" w:rsidRPr="00AF1807" w:rsidRDefault="00925FCB" w:rsidP="00665E66">
      <w:pPr>
        <w:numPr>
          <w:ilvl w:val="0"/>
          <w:numId w:val="8"/>
        </w:numPr>
        <w:spacing w:before="120" w:after="120" w:line="240" w:lineRule="auto"/>
        <w:ind w:left="1080"/>
        <w:rPr>
          <w:sz w:val="24"/>
          <w:szCs w:val="24"/>
        </w:rPr>
      </w:pPr>
      <w:r w:rsidRPr="00AF1807">
        <w:rPr>
          <w:sz w:val="24"/>
          <w:szCs w:val="24"/>
        </w:rPr>
        <w:t xml:space="preserve">Address direct drivers to protect habitats and species; and </w:t>
      </w:r>
    </w:p>
    <w:p w14:paraId="1FAF4A9B" w14:textId="77777777" w:rsidR="00925FCB" w:rsidRPr="00AF1807" w:rsidRDefault="00925FCB" w:rsidP="00665E66">
      <w:pPr>
        <w:numPr>
          <w:ilvl w:val="0"/>
          <w:numId w:val="8"/>
        </w:numPr>
        <w:spacing w:before="120" w:after="120" w:line="240" w:lineRule="auto"/>
        <w:ind w:left="1080"/>
        <w:rPr>
          <w:sz w:val="24"/>
          <w:szCs w:val="24"/>
        </w:rPr>
      </w:pPr>
      <w:r w:rsidRPr="00AF1807">
        <w:rPr>
          <w:sz w:val="24"/>
          <w:szCs w:val="24"/>
        </w:rPr>
        <w:t>Further develop biodiversity policy and institutional frameworks.</w:t>
      </w:r>
    </w:p>
    <w:p w14:paraId="2B46396C" w14:textId="2BFADA6A" w:rsidR="00665E66" w:rsidRDefault="00925FCB" w:rsidP="009C36A4">
      <w:pPr>
        <w:pStyle w:val="ListParagraph"/>
        <w:numPr>
          <w:ilvl w:val="0"/>
          <w:numId w:val="25"/>
        </w:numPr>
        <w:spacing w:before="240" w:after="240" w:line="240" w:lineRule="auto"/>
        <w:ind w:left="0" w:firstLine="0"/>
        <w:contextualSpacing w:val="0"/>
        <w:rPr>
          <w:sz w:val="24"/>
          <w:szCs w:val="24"/>
        </w:rPr>
      </w:pPr>
      <w:bookmarkStart w:id="10" w:name="_Toc476081881"/>
      <w:bookmarkStart w:id="11" w:name="_Toc476693266"/>
      <w:bookmarkEnd w:id="9"/>
      <w:r w:rsidRPr="00AF1807">
        <w:rPr>
          <w:sz w:val="24"/>
          <w:szCs w:val="24"/>
        </w:rPr>
        <w:t xml:space="preserve">The Biodiversity Focal Area </w:t>
      </w:r>
      <w:r w:rsidR="00DF3705">
        <w:rPr>
          <w:sz w:val="24"/>
          <w:szCs w:val="24"/>
        </w:rPr>
        <w:t>Strategy and the focal area programming lines</w:t>
      </w:r>
      <w:r w:rsidRPr="00AF1807">
        <w:rPr>
          <w:sz w:val="24"/>
          <w:szCs w:val="24"/>
        </w:rPr>
        <w:t xml:space="preserve">, the Food Systems, Land Use, and Restoration Impact Program, the Sustainable Cities Impact Program, the Sustainable Forest Management Impact Program, and the International Waters Focal Area Investments collectively contribute to achieving this </w:t>
      </w:r>
      <w:r w:rsidR="000343DF">
        <w:rPr>
          <w:sz w:val="24"/>
          <w:szCs w:val="24"/>
        </w:rPr>
        <w:t xml:space="preserve">GEF-7 </w:t>
      </w:r>
      <w:r w:rsidRPr="00AF1807">
        <w:rPr>
          <w:sz w:val="24"/>
          <w:szCs w:val="24"/>
        </w:rPr>
        <w:t xml:space="preserve">goal and the three objectives as presented below in Table </w:t>
      </w:r>
      <w:r w:rsidR="002E252C" w:rsidRPr="00AF1807">
        <w:rPr>
          <w:sz w:val="24"/>
          <w:szCs w:val="24"/>
        </w:rPr>
        <w:t>1</w:t>
      </w:r>
      <w:r w:rsidR="00B4635F">
        <w:rPr>
          <w:sz w:val="24"/>
          <w:szCs w:val="24"/>
        </w:rPr>
        <w:t xml:space="preserve"> below. </w:t>
      </w:r>
    </w:p>
    <w:p w14:paraId="5154EDE4" w14:textId="79C59073" w:rsidR="00925FCB" w:rsidRPr="00925FCB" w:rsidRDefault="00925FCB" w:rsidP="00CB6102">
      <w:pPr>
        <w:spacing w:before="240" w:after="240" w:line="240" w:lineRule="auto"/>
        <w:jc w:val="center"/>
        <w:rPr>
          <w:b/>
          <w:iCs/>
          <w:sz w:val="24"/>
          <w:szCs w:val="24"/>
          <w:lang w:val="en-GB"/>
        </w:rPr>
      </w:pPr>
      <w:bookmarkStart w:id="12" w:name="_Toc492908736"/>
      <w:bookmarkStart w:id="13" w:name="_Toc492920107"/>
      <w:bookmarkStart w:id="14" w:name="_Toc492933764"/>
      <w:bookmarkStart w:id="15" w:name="_Toc492986461"/>
      <w:bookmarkStart w:id="16" w:name="_Toc492993869"/>
      <w:bookmarkStart w:id="17" w:name="_Toc492996654"/>
      <w:bookmarkStart w:id="18" w:name="_Toc492998810"/>
      <w:bookmarkStart w:id="19" w:name="_Toc492998980"/>
      <w:bookmarkStart w:id="20" w:name="_Toc493003965"/>
      <w:bookmarkStart w:id="21" w:name="_Toc501635652"/>
      <w:r w:rsidRPr="00925FCB">
        <w:rPr>
          <w:b/>
          <w:iCs/>
          <w:sz w:val="24"/>
          <w:szCs w:val="24"/>
          <w:lang w:val="en-GB"/>
        </w:rPr>
        <w:t xml:space="preserve">Table </w:t>
      </w:r>
      <w:r w:rsidR="002E252C">
        <w:rPr>
          <w:b/>
          <w:iCs/>
          <w:sz w:val="24"/>
          <w:szCs w:val="24"/>
          <w:lang w:val="en-GB"/>
        </w:rPr>
        <w:t>1</w:t>
      </w:r>
      <w:r w:rsidRPr="00925FCB">
        <w:rPr>
          <w:b/>
          <w:iCs/>
          <w:sz w:val="24"/>
          <w:szCs w:val="24"/>
          <w:lang w:val="en-GB"/>
        </w:rPr>
        <w:t>.</w:t>
      </w:r>
      <w:bookmarkEnd w:id="10"/>
      <w:bookmarkEnd w:id="11"/>
      <w:r w:rsidRPr="00925FCB">
        <w:rPr>
          <w:b/>
          <w:iCs/>
          <w:sz w:val="24"/>
          <w:szCs w:val="24"/>
          <w:lang w:val="en-GB"/>
        </w:rPr>
        <w:t xml:space="preserve"> CBD Guidance and Delivery Mechanism in GEF-7</w:t>
      </w:r>
      <w:bookmarkEnd w:id="12"/>
      <w:bookmarkEnd w:id="13"/>
      <w:bookmarkEnd w:id="14"/>
      <w:bookmarkEnd w:id="15"/>
      <w:bookmarkEnd w:id="16"/>
      <w:bookmarkEnd w:id="17"/>
      <w:bookmarkEnd w:id="18"/>
      <w:bookmarkEnd w:id="19"/>
      <w:bookmarkEnd w:id="20"/>
      <w:bookmarkEnd w:id="21"/>
    </w:p>
    <w:tbl>
      <w:tblPr>
        <w:tblW w:w="9455" w:type="dxa"/>
        <w:jc w:val="center"/>
        <w:tblLayout w:type="fixed"/>
        <w:tblLook w:val="0000" w:firstRow="0" w:lastRow="0" w:firstColumn="0" w:lastColumn="0" w:noHBand="0" w:noVBand="0"/>
      </w:tblPr>
      <w:tblGrid>
        <w:gridCol w:w="4415"/>
        <w:gridCol w:w="5040"/>
      </w:tblGrid>
      <w:tr w:rsidR="00925FCB" w:rsidRPr="00925FCB" w14:paraId="53F2CA4C" w14:textId="77777777" w:rsidTr="00B926E0">
        <w:trPr>
          <w:tblHeader/>
          <w:jc w:val="center"/>
        </w:trPr>
        <w:tc>
          <w:tcPr>
            <w:tcW w:w="44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center"/>
          </w:tcPr>
          <w:p w14:paraId="42372935" w14:textId="593CCA01" w:rsidR="00925FCB" w:rsidRPr="00925FCB" w:rsidRDefault="00925FCB" w:rsidP="00814F5E">
            <w:pPr>
              <w:ind w:left="288"/>
            </w:pPr>
            <w:r w:rsidRPr="00925FCB">
              <w:rPr>
                <w:b/>
                <w:bCs/>
              </w:rPr>
              <w:t>CBD</w:t>
            </w:r>
            <w:r w:rsidR="000343DF">
              <w:rPr>
                <w:b/>
                <w:bCs/>
              </w:rPr>
              <w:t xml:space="preserve"> COP 13</w:t>
            </w:r>
            <w:r w:rsidRPr="00925FCB">
              <w:rPr>
                <w:b/>
                <w:bCs/>
              </w:rPr>
              <w:t xml:space="preserve"> Guidance: Four</w:t>
            </w:r>
            <w:r w:rsidR="007E1E7E">
              <w:rPr>
                <w:b/>
                <w:bCs/>
              </w:rPr>
              <w:t>-</w:t>
            </w:r>
            <w:r w:rsidRPr="00925FCB">
              <w:rPr>
                <w:b/>
                <w:bCs/>
              </w:rPr>
              <w:t>Year Framework of Program Priorities</w:t>
            </w:r>
          </w:p>
        </w:tc>
        <w:tc>
          <w:tcPr>
            <w:tcW w:w="50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934A6E0" w14:textId="5649DFE5" w:rsidR="00925FCB" w:rsidRPr="00925FCB" w:rsidRDefault="00925FCB" w:rsidP="00814F5E">
            <w:pPr>
              <w:ind w:left="288"/>
            </w:pPr>
            <w:r w:rsidRPr="00925FCB">
              <w:rPr>
                <w:b/>
                <w:bCs/>
              </w:rPr>
              <w:t>Delivery Mechanism</w:t>
            </w:r>
          </w:p>
        </w:tc>
      </w:tr>
      <w:tr w:rsidR="00925FCB" w:rsidRPr="00925FCB" w14:paraId="66A58B5C" w14:textId="77777777" w:rsidTr="00665E66">
        <w:trPr>
          <w:jc w:val="center"/>
        </w:trPr>
        <w:tc>
          <w:tcPr>
            <w:tcW w:w="4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EA3FE8" w14:textId="6036C735" w:rsidR="00925FCB" w:rsidRPr="00925FCB" w:rsidRDefault="00925FCB" w:rsidP="00814F5E">
            <w:pPr>
              <w:ind w:left="288"/>
            </w:pPr>
            <w:r w:rsidRPr="00925FCB">
              <w:rPr>
                <w:b/>
                <w:bCs/>
              </w:rPr>
              <w:t>I. Mainstream biodiversity across sectors as well as</w:t>
            </w:r>
            <w:r w:rsidRPr="00925FCB" w:rsidDel="00251185">
              <w:rPr>
                <w:b/>
                <w:bCs/>
              </w:rPr>
              <w:t xml:space="preserve"> </w:t>
            </w:r>
            <w:r w:rsidRPr="00925FCB">
              <w:rPr>
                <w:b/>
                <w:bCs/>
              </w:rPr>
              <w:t>landscapes and seascapes</w:t>
            </w:r>
          </w:p>
          <w:p w14:paraId="2A8B6798" w14:textId="277196A3" w:rsidR="00925FCB" w:rsidRPr="00925FCB" w:rsidRDefault="00925FCB" w:rsidP="00814F5E">
            <w:pPr>
              <w:ind w:left="288"/>
            </w:pPr>
            <w:r w:rsidRPr="00925FCB">
              <w:t>A) Improve policies and decision-making, informed by biodiversity and ecosystem values</w:t>
            </w:r>
          </w:p>
          <w:p w14:paraId="4111F1D5" w14:textId="77777777" w:rsidR="00925FCB" w:rsidRPr="00925FCB" w:rsidRDefault="00925FCB" w:rsidP="00814F5E">
            <w:pPr>
              <w:ind w:left="288"/>
            </w:pPr>
            <w:r w:rsidRPr="00925FCB">
              <w:t>B) Manage biodiversity in landscapes and seascapes</w:t>
            </w:r>
          </w:p>
          <w:p w14:paraId="68775A62" w14:textId="77777777" w:rsidR="00925FCB" w:rsidRPr="00925FCB" w:rsidRDefault="00925FCB" w:rsidP="00814F5E">
            <w:pPr>
              <w:ind w:left="288"/>
            </w:pPr>
            <w:r w:rsidRPr="00925FCB">
              <w:t>C) Harness biodiversity for sustainable agriculture</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4FD7D6EC" w14:textId="7ABBF093" w:rsidR="007347FC" w:rsidRPr="007B4AC4" w:rsidRDefault="0014002F" w:rsidP="00814F5E">
            <w:pPr>
              <w:ind w:left="288"/>
            </w:pPr>
            <w:r>
              <w:rPr>
                <w:b/>
                <w:bCs/>
              </w:rPr>
              <w:t xml:space="preserve">Biodiversity </w:t>
            </w:r>
            <w:r w:rsidR="00925FCB" w:rsidRPr="00925FCB">
              <w:rPr>
                <w:b/>
                <w:bCs/>
              </w:rPr>
              <w:t>Focal Area Investments</w:t>
            </w:r>
            <w:r w:rsidR="00DF3705">
              <w:rPr>
                <w:b/>
                <w:bCs/>
              </w:rPr>
              <w:t xml:space="preserve"> and Programming Lines</w:t>
            </w:r>
          </w:p>
          <w:p w14:paraId="0368CD8C" w14:textId="77777777" w:rsidR="00253DAE" w:rsidRPr="007B4AC4" w:rsidRDefault="00925FCB" w:rsidP="00814F5E">
            <w:pPr>
              <w:ind w:left="288"/>
            </w:pPr>
            <w:r w:rsidRPr="00925FCB">
              <w:t>Biodiversity Mainstreaming in Priority Sectors</w:t>
            </w:r>
          </w:p>
          <w:p w14:paraId="14611EAD" w14:textId="77777777" w:rsidR="00253DAE" w:rsidRPr="007B4AC4" w:rsidRDefault="00925FCB" w:rsidP="00814F5E">
            <w:pPr>
              <w:ind w:left="288"/>
            </w:pPr>
            <w:r w:rsidRPr="00925FCB">
              <w:t>Global Wildlife Program (preventing the extinction of known threatened species, and wildlife for sustainable development)</w:t>
            </w:r>
          </w:p>
          <w:p w14:paraId="538C4E43" w14:textId="77777777" w:rsidR="00253DAE" w:rsidRPr="007B4AC4" w:rsidRDefault="00925FCB" w:rsidP="00814F5E">
            <w:pPr>
              <w:ind w:left="288"/>
            </w:pPr>
            <w:r w:rsidRPr="00925FCB">
              <w:t>Natural Capital Assessment and Accounting</w:t>
            </w:r>
          </w:p>
          <w:p w14:paraId="4B5B8ECE" w14:textId="77777777" w:rsidR="00253DAE" w:rsidRPr="007B4AC4" w:rsidRDefault="00925FCB" w:rsidP="00814F5E">
            <w:pPr>
              <w:ind w:left="288"/>
            </w:pPr>
            <w:r w:rsidRPr="00925FCB">
              <w:t>Sustainable Use of Plant and Animal Genetic Resources</w:t>
            </w:r>
          </w:p>
          <w:p w14:paraId="20BA5AEA" w14:textId="77777777" w:rsidR="00253DAE" w:rsidRPr="007B4AC4" w:rsidRDefault="00925FCB" w:rsidP="00814F5E">
            <w:pPr>
              <w:ind w:left="288"/>
            </w:pPr>
            <w:r w:rsidRPr="00925FCB">
              <w:t>Inclusive Conservation</w:t>
            </w:r>
          </w:p>
          <w:p w14:paraId="2CADC16B" w14:textId="77777777" w:rsidR="00D87049" w:rsidRPr="007B4AC4" w:rsidRDefault="00925FCB" w:rsidP="00814F5E">
            <w:pPr>
              <w:ind w:left="288"/>
            </w:pPr>
            <w:r w:rsidRPr="00925FCB">
              <w:rPr>
                <w:b/>
                <w:bCs/>
              </w:rPr>
              <w:lastRenderedPageBreak/>
              <w:t>Impact Programs</w:t>
            </w:r>
          </w:p>
          <w:p w14:paraId="0F45179A" w14:textId="77777777" w:rsidR="00D87049" w:rsidRPr="007B4AC4" w:rsidRDefault="00925FCB" w:rsidP="00814F5E">
            <w:pPr>
              <w:ind w:left="288"/>
            </w:pPr>
            <w:r w:rsidRPr="00925FCB">
              <w:t>Food systems, Land Use, and Restoration Impact Program</w:t>
            </w:r>
          </w:p>
          <w:p w14:paraId="07AF69E1" w14:textId="77777777" w:rsidR="00D87049" w:rsidRPr="007B4AC4" w:rsidRDefault="00925FCB" w:rsidP="00814F5E">
            <w:pPr>
              <w:ind w:left="288"/>
            </w:pPr>
            <w:r w:rsidRPr="00925FCB">
              <w:t>Sustainable Cities Impact Program</w:t>
            </w:r>
          </w:p>
          <w:p w14:paraId="23373F1A" w14:textId="77777777" w:rsidR="00D87049" w:rsidRPr="007B4AC4" w:rsidRDefault="00925FCB" w:rsidP="00814F5E">
            <w:pPr>
              <w:ind w:left="288"/>
            </w:pPr>
            <w:r w:rsidRPr="00925FCB">
              <w:t>Sustainable Forest Management Impact Program (Amazon, Congo Basin, Dryland Sustainable Landscapes)</w:t>
            </w:r>
          </w:p>
          <w:p w14:paraId="0C6BBE87" w14:textId="1BF652D8" w:rsidR="00925FCB" w:rsidRPr="00925FCB" w:rsidRDefault="00925FCB" w:rsidP="00814F5E">
            <w:pPr>
              <w:ind w:left="288"/>
            </w:pPr>
            <w:r w:rsidRPr="00925FCB">
              <w:rPr>
                <w:b/>
                <w:bCs/>
              </w:rPr>
              <w:t>Other Focal Areas</w:t>
            </w:r>
          </w:p>
          <w:p w14:paraId="1C78F040" w14:textId="77777777" w:rsidR="00925FCB" w:rsidRPr="00925FCB" w:rsidRDefault="00925FCB" w:rsidP="00814F5E">
            <w:pPr>
              <w:ind w:left="288"/>
            </w:pPr>
            <w:r w:rsidRPr="00925FCB">
              <w:t>International Waters/Sustainable Fisheries</w:t>
            </w:r>
          </w:p>
        </w:tc>
      </w:tr>
      <w:tr w:rsidR="00925FCB" w:rsidRPr="00925FCB" w14:paraId="2A41A1B1" w14:textId="77777777" w:rsidTr="00665E66">
        <w:trPr>
          <w:jc w:val="center"/>
        </w:trPr>
        <w:tc>
          <w:tcPr>
            <w:tcW w:w="4415"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77E02687" w14:textId="23FE3F38" w:rsidR="00925FCB" w:rsidRPr="00AD0667" w:rsidRDefault="00925FCB" w:rsidP="00AD0667">
            <w:pPr>
              <w:ind w:left="288"/>
              <w:rPr>
                <w:b/>
                <w:bCs/>
              </w:rPr>
            </w:pPr>
            <w:r w:rsidRPr="00925FCB">
              <w:rPr>
                <w:b/>
                <w:bCs/>
              </w:rPr>
              <w:lastRenderedPageBreak/>
              <w:t xml:space="preserve">II. Address direct drivers to protect habitats and species </w:t>
            </w:r>
          </w:p>
          <w:p w14:paraId="6D330EA3" w14:textId="77777777" w:rsidR="00925FCB" w:rsidRPr="00925FCB" w:rsidRDefault="00925FCB" w:rsidP="00814F5E">
            <w:pPr>
              <w:ind w:left="288"/>
            </w:pPr>
            <w:r w:rsidRPr="00925FCB">
              <w:t>D) Prevent and control invasive alien species</w:t>
            </w:r>
          </w:p>
          <w:p w14:paraId="5AC57E52" w14:textId="77777777" w:rsidR="00925FCB" w:rsidRPr="00925FCB" w:rsidRDefault="00925FCB" w:rsidP="00814F5E">
            <w:pPr>
              <w:ind w:left="288"/>
            </w:pPr>
            <w:r w:rsidRPr="00925FCB">
              <w:t>E) Reduce pressures on coral reefs and other vulnerable coastal and marine ecosystems</w:t>
            </w:r>
          </w:p>
          <w:p w14:paraId="658BFA69" w14:textId="77777777" w:rsidR="00925FCB" w:rsidRPr="00925FCB" w:rsidRDefault="00925FCB" w:rsidP="00814F5E">
            <w:pPr>
              <w:ind w:left="288"/>
            </w:pPr>
            <w:r w:rsidRPr="00925FCB">
              <w:t>F) Enhance the effectiveness of protected area systems</w:t>
            </w:r>
          </w:p>
          <w:p w14:paraId="46127A31" w14:textId="77777777" w:rsidR="00925FCB" w:rsidRPr="00925FCB" w:rsidRDefault="00925FCB" w:rsidP="00814F5E">
            <w:pPr>
              <w:ind w:left="288"/>
            </w:pPr>
            <w:r w:rsidRPr="00925FCB">
              <w:t>G) Combat illegal and unsustainable use of species, with priority action on threatened species</w:t>
            </w:r>
          </w:p>
        </w:tc>
        <w:tc>
          <w:tcPr>
            <w:tcW w:w="5040" w:type="dxa"/>
            <w:tcBorders>
              <w:top w:val="single" w:sz="4" w:space="0" w:color="000000"/>
              <w:left w:val="single" w:sz="4" w:space="0" w:color="000000"/>
              <w:bottom w:val="single" w:sz="4" w:space="0" w:color="auto"/>
              <w:right w:val="single" w:sz="4" w:space="0" w:color="000000"/>
            </w:tcBorders>
            <w:shd w:val="clear" w:color="auto" w:fill="FFFFFF"/>
          </w:tcPr>
          <w:p w14:paraId="5ACF94FD" w14:textId="364AC065" w:rsidR="00D87049" w:rsidRPr="007B4AC4" w:rsidRDefault="0014002F" w:rsidP="00814F5E">
            <w:pPr>
              <w:ind w:left="144"/>
            </w:pPr>
            <w:r>
              <w:rPr>
                <w:b/>
                <w:bCs/>
              </w:rPr>
              <w:t xml:space="preserve">Biodiversity </w:t>
            </w:r>
            <w:r w:rsidR="00925FCB" w:rsidRPr="00925FCB">
              <w:rPr>
                <w:b/>
                <w:bCs/>
              </w:rPr>
              <w:t>Focal Area Investments</w:t>
            </w:r>
            <w:r w:rsidR="00DF3705">
              <w:rPr>
                <w:b/>
                <w:bCs/>
              </w:rPr>
              <w:t xml:space="preserve"> and Programming Lines</w:t>
            </w:r>
          </w:p>
          <w:p w14:paraId="21D1B3D3" w14:textId="77777777" w:rsidR="00D87049" w:rsidRPr="007B4AC4" w:rsidRDefault="00925FCB" w:rsidP="00814F5E">
            <w:pPr>
              <w:ind w:left="144"/>
            </w:pPr>
            <w:r w:rsidRPr="00925FCB">
              <w:t>Prevention, Control and Management of Invasive Alien Species (focus on islands)</w:t>
            </w:r>
          </w:p>
          <w:p w14:paraId="1CF9126D" w14:textId="77777777" w:rsidR="00D87049" w:rsidRPr="007B4AC4" w:rsidRDefault="00925FCB" w:rsidP="00814F5E">
            <w:pPr>
              <w:ind w:left="144"/>
            </w:pPr>
            <w:r w:rsidRPr="00925FCB">
              <w:t>Improving Financial Sustainability, Effective Management, and Ecosystem Coverage of the Global Protected Area Estate</w:t>
            </w:r>
          </w:p>
          <w:p w14:paraId="14AC5881" w14:textId="77777777" w:rsidR="00D87049" w:rsidRPr="007B4AC4" w:rsidRDefault="00925FCB" w:rsidP="00814F5E">
            <w:pPr>
              <w:ind w:left="144"/>
            </w:pPr>
            <w:r w:rsidRPr="00925FCB">
              <w:rPr>
                <w:b/>
                <w:bCs/>
              </w:rPr>
              <w:t>Other Focal Areas</w:t>
            </w:r>
          </w:p>
          <w:p w14:paraId="6D4FD23F" w14:textId="5732B03D" w:rsidR="00AF1807" w:rsidRPr="00925FCB" w:rsidRDefault="00925FCB" w:rsidP="00510C36">
            <w:pPr>
              <w:ind w:left="144"/>
            </w:pPr>
            <w:r w:rsidRPr="00925FCB">
              <w:t>International Waters/Coastal and Marine Protected Areas</w:t>
            </w:r>
          </w:p>
        </w:tc>
      </w:tr>
      <w:tr w:rsidR="00925FCB" w:rsidRPr="00925FCB" w14:paraId="02C71119" w14:textId="77777777" w:rsidTr="00665E66">
        <w:trPr>
          <w:jc w:val="center"/>
        </w:trPr>
        <w:tc>
          <w:tcPr>
            <w:tcW w:w="4415"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E4BEDF" w14:textId="77777777" w:rsidR="00925FCB" w:rsidRPr="00925FCB" w:rsidRDefault="00925FCB" w:rsidP="007B4AC4">
            <w:pPr>
              <w:ind w:left="288"/>
            </w:pPr>
            <w:r w:rsidRPr="00925FCB">
              <w:rPr>
                <w:b/>
                <w:bCs/>
              </w:rPr>
              <w:t>III. Further develop biodiversity policy and institutional framework</w:t>
            </w:r>
          </w:p>
          <w:p w14:paraId="19EECCB3" w14:textId="77777777" w:rsidR="007B4AC4" w:rsidRPr="007B4AC4" w:rsidRDefault="00925FCB" w:rsidP="007B4AC4">
            <w:pPr>
              <w:ind w:left="288"/>
            </w:pPr>
            <w:r w:rsidRPr="00925FCB">
              <w:t>H) Implement the Cartagena Protocol on Biosafety</w:t>
            </w:r>
          </w:p>
          <w:p w14:paraId="6D86A64F" w14:textId="7C4C145F" w:rsidR="00925FCB" w:rsidRPr="00925FCB" w:rsidRDefault="007B4AC4" w:rsidP="007B4AC4">
            <w:pPr>
              <w:ind w:left="288"/>
            </w:pPr>
            <w:r w:rsidRPr="007B4AC4">
              <w:t xml:space="preserve">I) </w:t>
            </w:r>
            <w:r w:rsidR="00925FCB" w:rsidRPr="00925FCB">
              <w:rPr>
                <w:lang w:val="en-GB"/>
              </w:rPr>
              <w:t>Implement the Nagoya Protocol on Access to Genetic Resources and Benefit</w:t>
            </w:r>
            <w:r w:rsidR="00925FCB" w:rsidRPr="00925FCB">
              <w:rPr>
                <w:lang w:val="en-GB"/>
              </w:rPr>
              <w:noBreakHyphen/>
              <w:t>sharing</w:t>
            </w:r>
          </w:p>
          <w:p w14:paraId="61A71B62" w14:textId="77777777" w:rsidR="00925FCB" w:rsidRPr="00925FCB" w:rsidRDefault="00925FCB" w:rsidP="007B4AC4">
            <w:pPr>
              <w:ind w:left="288"/>
              <w:rPr>
                <w:lang w:val="en-GB"/>
              </w:rPr>
            </w:pPr>
            <w:r w:rsidRPr="00925FCB">
              <w:rPr>
                <w:lang w:val="en-GB"/>
              </w:rPr>
              <w:t>J) Improve biodiversity policy, planning, and review</w:t>
            </w:r>
          </w:p>
        </w:tc>
        <w:tc>
          <w:tcPr>
            <w:tcW w:w="5040" w:type="dxa"/>
            <w:tcBorders>
              <w:top w:val="single" w:sz="4" w:space="0" w:color="auto"/>
              <w:left w:val="single" w:sz="4" w:space="0" w:color="000000"/>
              <w:bottom w:val="single" w:sz="4" w:space="0" w:color="000000"/>
              <w:right w:val="single" w:sz="4" w:space="0" w:color="000000"/>
            </w:tcBorders>
            <w:shd w:val="clear" w:color="auto" w:fill="auto"/>
          </w:tcPr>
          <w:p w14:paraId="78E32EE7" w14:textId="7078B3AF" w:rsidR="00D87049" w:rsidRPr="007B4AC4" w:rsidRDefault="0014002F" w:rsidP="007B4AC4">
            <w:pPr>
              <w:ind w:left="288"/>
            </w:pPr>
            <w:r>
              <w:rPr>
                <w:b/>
                <w:bCs/>
              </w:rPr>
              <w:t xml:space="preserve">Biodiversity </w:t>
            </w:r>
            <w:r w:rsidR="00925FCB" w:rsidRPr="00925FCB">
              <w:rPr>
                <w:b/>
                <w:bCs/>
              </w:rPr>
              <w:t>Focal Area Investments</w:t>
            </w:r>
            <w:r w:rsidR="00DF3705">
              <w:rPr>
                <w:b/>
                <w:bCs/>
              </w:rPr>
              <w:t xml:space="preserve"> and Programming Lines</w:t>
            </w:r>
          </w:p>
          <w:p w14:paraId="23D28423" w14:textId="77777777" w:rsidR="00D87049" w:rsidRPr="007B4AC4" w:rsidRDefault="00925FCB" w:rsidP="007B4AC4">
            <w:pPr>
              <w:ind w:left="288"/>
            </w:pPr>
            <w:r w:rsidRPr="00925FCB">
              <w:t xml:space="preserve">Implementing the Cartagena Protocol on Biosafety </w:t>
            </w:r>
          </w:p>
          <w:p w14:paraId="1D97CD8A" w14:textId="77777777" w:rsidR="00D87049" w:rsidRPr="007B4AC4" w:rsidRDefault="00925FCB" w:rsidP="007B4AC4">
            <w:pPr>
              <w:ind w:left="288"/>
            </w:pPr>
            <w:r w:rsidRPr="00925FCB">
              <w:t>Implementing the Nagoya Protocol on Access and Benefit Sharing</w:t>
            </w:r>
          </w:p>
          <w:p w14:paraId="1684E161" w14:textId="6F82393B" w:rsidR="00925FCB" w:rsidRPr="00925FCB" w:rsidRDefault="00925FCB" w:rsidP="00AF1807">
            <w:pPr>
              <w:ind w:left="288"/>
            </w:pPr>
            <w:r w:rsidRPr="00925FCB">
              <w:t>Support for national reporting and NBSAP development</w:t>
            </w:r>
          </w:p>
        </w:tc>
      </w:tr>
    </w:tbl>
    <w:p w14:paraId="12EB7ADB" w14:textId="77777777" w:rsidR="00EC6F7A" w:rsidRDefault="00EC6F7A" w:rsidP="003B7507">
      <w:pPr>
        <w:ind w:left="720"/>
        <w:rPr>
          <w:b/>
          <w:sz w:val="24"/>
          <w:szCs w:val="24"/>
          <w:lang w:val="en-GB"/>
        </w:rPr>
      </w:pPr>
    </w:p>
    <w:p w14:paraId="6B5A7AE4" w14:textId="64405436" w:rsidR="005E76E1" w:rsidRPr="005E76E1" w:rsidRDefault="005E76E1" w:rsidP="000C09D1">
      <w:pPr>
        <w:pStyle w:val="Heading2"/>
      </w:pPr>
      <w:bookmarkStart w:id="22" w:name="_Toc32494915"/>
      <w:r w:rsidRPr="005E76E1">
        <w:t xml:space="preserve">GEF-7 </w:t>
      </w:r>
      <w:r w:rsidR="00BB2B3F">
        <w:t xml:space="preserve">Programming </w:t>
      </w:r>
      <w:r w:rsidR="001F7C7F">
        <w:t>Usage</w:t>
      </w:r>
      <w:bookmarkEnd w:id="22"/>
    </w:p>
    <w:p w14:paraId="13211B58" w14:textId="0CC83D8B" w:rsidR="0066226E" w:rsidRPr="0066226E" w:rsidRDefault="0066226E" w:rsidP="00665E66">
      <w:pPr>
        <w:pStyle w:val="ListParagraph"/>
        <w:numPr>
          <w:ilvl w:val="0"/>
          <w:numId w:val="25"/>
        </w:numPr>
        <w:spacing w:before="240" w:after="240" w:line="240" w:lineRule="auto"/>
        <w:ind w:left="0" w:firstLine="0"/>
        <w:contextualSpacing w:val="0"/>
        <w:rPr>
          <w:sz w:val="24"/>
          <w:szCs w:val="24"/>
          <w:lang w:val="en-GB"/>
        </w:rPr>
      </w:pPr>
      <w:r>
        <w:rPr>
          <w:sz w:val="24"/>
          <w:szCs w:val="24"/>
          <w:lang w:val="en-GB"/>
        </w:rPr>
        <w:t>For the GEF-7 period, a total of $1.292 billion has been allocated to the biodiversity focal area, of which $1.031 billion is provided to countries through the System for Transparent Allocation of Resources (STAR).</w:t>
      </w:r>
    </w:p>
    <w:p w14:paraId="628DA3A0" w14:textId="2665580B" w:rsidR="009A61CF" w:rsidRDefault="009D7DD2" w:rsidP="00665E66">
      <w:pPr>
        <w:pStyle w:val="ListParagraph"/>
        <w:numPr>
          <w:ilvl w:val="0"/>
          <w:numId w:val="25"/>
        </w:numPr>
        <w:spacing w:before="240" w:after="240" w:line="240" w:lineRule="auto"/>
        <w:ind w:left="0" w:firstLine="0"/>
        <w:contextualSpacing w:val="0"/>
        <w:rPr>
          <w:bCs/>
          <w:sz w:val="24"/>
          <w:szCs w:val="24"/>
          <w:lang w:val="en-GB"/>
        </w:rPr>
      </w:pPr>
      <w:r w:rsidRPr="00CA2C08">
        <w:rPr>
          <w:bCs/>
          <w:sz w:val="24"/>
          <w:szCs w:val="24"/>
          <w:lang w:val="en-GB"/>
        </w:rPr>
        <w:lastRenderedPageBreak/>
        <w:t>T</w:t>
      </w:r>
      <w:r w:rsidR="00B20283" w:rsidRPr="00CA2C08">
        <w:rPr>
          <w:bCs/>
          <w:sz w:val="24"/>
          <w:szCs w:val="24"/>
          <w:lang w:val="en-GB"/>
        </w:rPr>
        <w:t xml:space="preserve">able </w:t>
      </w:r>
      <w:r w:rsidR="002E252C" w:rsidRPr="00CA2C08">
        <w:rPr>
          <w:bCs/>
          <w:sz w:val="24"/>
          <w:szCs w:val="24"/>
          <w:lang w:val="en-GB"/>
        </w:rPr>
        <w:t>2</w:t>
      </w:r>
      <w:r w:rsidR="00B20283" w:rsidRPr="00CA2C08">
        <w:rPr>
          <w:bCs/>
          <w:sz w:val="24"/>
          <w:szCs w:val="24"/>
          <w:lang w:val="en-GB"/>
        </w:rPr>
        <w:t xml:space="preserve"> below provides a summary of resource usage from the biodiversity focal area </w:t>
      </w:r>
      <w:r w:rsidR="00FB2B68">
        <w:rPr>
          <w:bCs/>
          <w:sz w:val="24"/>
          <w:szCs w:val="24"/>
          <w:lang w:val="en-GB"/>
        </w:rPr>
        <w:t>from the start of the</w:t>
      </w:r>
      <w:r w:rsidR="00FB2B68" w:rsidRPr="00CA2C08">
        <w:rPr>
          <w:bCs/>
          <w:sz w:val="24"/>
          <w:szCs w:val="24"/>
          <w:lang w:val="en-GB"/>
        </w:rPr>
        <w:t xml:space="preserve"> </w:t>
      </w:r>
      <w:r w:rsidR="00B20283" w:rsidRPr="00CA2C08">
        <w:rPr>
          <w:bCs/>
          <w:sz w:val="24"/>
          <w:szCs w:val="24"/>
          <w:lang w:val="en-GB"/>
        </w:rPr>
        <w:t>GEF-</w:t>
      </w:r>
      <w:r w:rsidRPr="00CA2C08">
        <w:rPr>
          <w:bCs/>
          <w:sz w:val="24"/>
          <w:szCs w:val="24"/>
          <w:lang w:val="en-GB"/>
        </w:rPr>
        <w:t>7</w:t>
      </w:r>
      <w:r w:rsidR="00FB2B68">
        <w:rPr>
          <w:bCs/>
          <w:sz w:val="24"/>
          <w:szCs w:val="24"/>
          <w:lang w:val="en-GB"/>
        </w:rPr>
        <w:t xml:space="preserve"> period of July 1, 2018,</w:t>
      </w:r>
      <w:r w:rsidR="00B20283" w:rsidRPr="00CA2C08">
        <w:rPr>
          <w:bCs/>
          <w:sz w:val="24"/>
          <w:szCs w:val="24"/>
          <w:lang w:val="en-GB"/>
        </w:rPr>
        <w:t xml:space="preserve"> to</w:t>
      </w:r>
      <w:r w:rsidRPr="00CA2C08">
        <w:rPr>
          <w:bCs/>
          <w:sz w:val="24"/>
          <w:szCs w:val="24"/>
          <w:lang w:val="en-GB"/>
        </w:rPr>
        <w:t xml:space="preserve"> December 31, 2019</w:t>
      </w:r>
      <w:r w:rsidR="00B20283" w:rsidRPr="00CA2C08">
        <w:rPr>
          <w:bCs/>
          <w:sz w:val="24"/>
          <w:szCs w:val="24"/>
          <w:lang w:val="en-GB"/>
        </w:rPr>
        <w:t xml:space="preserve">.  </w:t>
      </w:r>
    </w:p>
    <w:p w14:paraId="4706C85D" w14:textId="0DAD88DC" w:rsidR="00D40556" w:rsidRPr="00164D0C" w:rsidRDefault="00B20283" w:rsidP="00665E66">
      <w:pPr>
        <w:pStyle w:val="ListParagraph"/>
        <w:numPr>
          <w:ilvl w:val="0"/>
          <w:numId w:val="25"/>
        </w:numPr>
        <w:spacing w:before="240" w:after="240" w:line="240" w:lineRule="auto"/>
        <w:ind w:left="0" w:firstLine="0"/>
        <w:contextualSpacing w:val="0"/>
        <w:rPr>
          <w:sz w:val="24"/>
          <w:szCs w:val="24"/>
          <w:lang w:val="en-GB"/>
        </w:rPr>
      </w:pPr>
      <w:r w:rsidRPr="00164D0C">
        <w:rPr>
          <w:bCs/>
          <w:sz w:val="24"/>
          <w:szCs w:val="24"/>
          <w:lang w:val="en-GB"/>
        </w:rPr>
        <w:t xml:space="preserve">As of </w:t>
      </w:r>
      <w:r w:rsidR="009D7DD2" w:rsidRPr="00164D0C">
        <w:rPr>
          <w:bCs/>
          <w:sz w:val="24"/>
          <w:szCs w:val="24"/>
          <w:lang w:val="en-GB"/>
        </w:rPr>
        <w:t>December 31, 2019</w:t>
      </w:r>
      <w:r w:rsidRPr="00164D0C">
        <w:rPr>
          <w:bCs/>
          <w:sz w:val="24"/>
          <w:szCs w:val="24"/>
          <w:lang w:val="en-GB"/>
        </w:rPr>
        <w:t>, $</w:t>
      </w:r>
      <w:r w:rsidR="00B76B9F" w:rsidRPr="00164D0C">
        <w:rPr>
          <w:bCs/>
          <w:sz w:val="24"/>
          <w:szCs w:val="24"/>
          <w:lang w:val="en-GB"/>
        </w:rPr>
        <w:t>4</w:t>
      </w:r>
      <w:r w:rsidR="00C73D1A" w:rsidRPr="00164D0C">
        <w:rPr>
          <w:bCs/>
          <w:sz w:val="24"/>
          <w:szCs w:val="24"/>
          <w:lang w:val="en-GB"/>
        </w:rPr>
        <w:t>6</w:t>
      </w:r>
      <w:r w:rsidR="00CB21B6" w:rsidRPr="00164D0C">
        <w:rPr>
          <w:bCs/>
          <w:sz w:val="24"/>
          <w:szCs w:val="24"/>
          <w:lang w:val="en-GB"/>
        </w:rPr>
        <w:t>8</w:t>
      </w:r>
      <w:r w:rsidR="009D7DD2" w:rsidRPr="00164D0C">
        <w:rPr>
          <w:bCs/>
          <w:sz w:val="24"/>
          <w:szCs w:val="24"/>
          <w:lang w:val="en-GB"/>
        </w:rPr>
        <w:t xml:space="preserve"> </w:t>
      </w:r>
      <w:r w:rsidRPr="00164D0C">
        <w:rPr>
          <w:bCs/>
          <w:sz w:val="24"/>
          <w:szCs w:val="24"/>
          <w:lang w:val="en-GB"/>
        </w:rPr>
        <w:t>million</w:t>
      </w:r>
      <w:r w:rsidR="00C74E7B">
        <w:rPr>
          <w:bCs/>
          <w:sz w:val="24"/>
          <w:szCs w:val="24"/>
          <w:lang w:val="en-GB"/>
        </w:rPr>
        <w:t>, or</w:t>
      </w:r>
      <w:r w:rsidR="00BE18CC">
        <w:rPr>
          <w:bCs/>
          <w:sz w:val="24"/>
          <w:szCs w:val="24"/>
          <w:lang w:val="en-GB"/>
        </w:rPr>
        <w:t xml:space="preserve"> </w:t>
      </w:r>
      <w:r w:rsidR="00C11AB6" w:rsidRPr="00164D0C">
        <w:rPr>
          <w:sz w:val="24"/>
          <w:szCs w:val="24"/>
          <w:lang w:val="en-GB"/>
        </w:rPr>
        <w:t>4</w:t>
      </w:r>
      <w:r w:rsidR="004036CA" w:rsidRPr="00164D0C">
        <w:rPr>
          <w:sz w:val="24"/>
          <w:szCs w:val="24"/>
          <w:lang w:val="en-GB"/>
        </w:rPr>
        <w:t>5</w:t>
      </w:r>
      <w:r w:rsidR="00B4635F" w:rsidRPr="00164D0C">
        <w:rPr>
          <w:bCs/>
          <w:sz w:val="24"/>
          <w:szCs w:val="24"/>
          <w:lang w:val="en-GB"/>
        </w:rPr>
        <w:t xml:space="preserve"> percent</w:t>
      </w:r>
      <w:r w:rsidR="00C74E7B">
        <w:rPr>
          <w:bCs/>
          <w:sz w:val="24"/>
          <w:szCs w:val="24"/>
          <w:lang w:val="en-GB"/>
        </w:rPr>
        <w:t>,</w:t>
      </w:r>
      <w:r w:rsidRPr="00164D0C">
        <w:rPr>
          <w:bCs/>
          <w:sz w:val="24"/>
          <w:szCs w:val="24"/>
          <w:lang w:val="en-GB"/>
        </w:rPr>
        <w:t xml:space="preserve"> of the total </w:t>
      </w:r>
      <w:r w:rsidR="00326396">
        <w:rPr>
          <w:bCs/>
          <w:sz w:val="24"/>
          <w:szCs w:val="24"/>
          <w:lang w:val="en-GB"/>
        </w:rPr>
        <w:t>biodiversity</w:t>
      </w:r>
      <w:r w:rsidRPr="00164D0C">
        <w:rPr>
          <w:bCs/>
          <w:sz w:val="24"/>
          <w:szCs w:val="24"/>
          <w:lang w:val="en-GB"/>
        </w:rPr>
        <w:t xml:space="preserve"> resources allocated to </w:t>
      </w:r>
      <w:r w:rsidR="00326396">
        <w:rPr>
          <w:bCs/>
          <w:sz w:val="24"/>
          <w:szCs w:val="24"/>
          <w:lang w:val="en-GB"/>
        </w:rPr>
        <w:t xml:space="preserve">countries through the </w:t>
      </w:r>
      <w:r w:rsidR="00B4635F" w:rsidRPr="00164D0C">
        <w:rPr>
          <w:bCs/>
          <w:sz w:val="24"/>
          <w:szCs w:val="24"/>
          <w:lang w:val="en-GB"/>
        </w:rPr>
        <w:t>S</w:t>
      </w:r>
      <w:r w:rsidRPr="00164D0C">
        <w:rPr>
          <w:bCs/>
          <w:sz w:val="24"/>
          <w:szCs w:val="24"/>
          <w:lang w:val="en-GB"/>
        </w:rPr>
        <w:t xml:space="preserve">TAR </w:t>
      </w:r>
      <w:r w:rsidR="005B6355" w:rsidRPr="00164D0C">
        <w:rPr>
          <w:bCs/>
          <w:sz w:val="24"/>
          <w:szCs w:val="24"/>
          <w:lang w:val="en-GB"/>
        </w:rPr>
        <w:t xml:space="preserve">in the GEF-7 period </w:t>
      </w:r>
      <w:r w:rsidRPr="00164D0C">
        <w:rPr>
          <w:bCs/>
          <w:sz w:val="24"/>
          <w:szCs w:val="24"/>
          <w:lang w:val="en-GB"/>
        </w:rPr>
        <w:t>have been programmed.</w:t>
      </w:r>
      <w:r w:rsidRPr="00164D0C">
        <w:rPr>
          <w:sz w:val="24"/>
          <w:szCs w:val="24"/>
          <w:lang w:val="en-GB"/>
        </w:rPr>
        <w:t xml:space="preserve">  </w:t>
      </w:r>
    </w:p>
    <w:p w14:paraId="2A8EAA74" w14:textId="411481AF" w:rsidR="009A61CF" w:rsidRDefault="00B20283" w:rsidP="00665E66">
      <w:pPr>
        <w:pStyle w:val="ListParagraph"/>
        <w:numPr>
          <w:ilvl w:val="0"/>
          <w:numId w:val="25"/>
        </w:numPr>
        <w:spacing w:before="240" w:after="240" w:line="240" w:lineRule="auto"/>
        <w:ind w:left="0" w:firstLine="0"/>
        <w:contextualSpacing w:val="0"/>
        <w:rPr>
          <w:sz w:val="24"/>
          <w:szCs w:val="24"/>
          <w:lang w:val="en-GB"/>
        </w:rPr>
      </w:pPr>
      <w:r w:rsidRPr="00164D0C">
        <w:rPr>
          <w:sz w:val="24"/>
          <w:szCs w:val="24"/>
          <w:lang w:val="en-GB"/>
        </w:rPr>
        <w:t xml:space="preserve">The total amount of GEF biodiversity </w:t>
      </w:r>
      <w:r w:rsidR="009A61CF" w:rsidRPr="00164D0C">
        <w:rPr>
          <w:sz w:val="24"/>
          <w:szCs w:val="24"/>
          <w:lang w:val="en-GB"/>
        </w:rPr>
        <w:t xml:space="preserve">focal area </w:t>
      </w:r>
      <w:r w:rsidRPr="00164D0C">
        <w:rPr>
          <w:sz w:val="24"/>
          <w:szCs w:val="24"/>
          <w:lang w:val="en-GB"/>
        </w:rPr>
        <w:t>resources programmed was $</w:t>
      </w:r>
      <w:r w:rsidR="00ED65A7" w:rsidRPr="00164D0C">
        <w:rPr>
          <w:sz w:val="24"/>
          <w:szCs w:val="24"/>
          <w:lang w:val="en-GB"/>
        </w:rPr>
        <w:t>6</w:t>
      </w:r>
      <w:r w:rsidR="00CB21B6" w:rsidRPr="00164D0C">
        <w:rPr>
          <w:sz w:val="24"/>
          <w:szCs w:val="24"/>
          <w:lang w:val="en-GB"/>
        </w:rPr>
        <w:t>38</w:t>
      </w:r>
      <w:r w:rsidR="00ED65A7" w:rsidRPr="00164D0C">
        <w:rPr>
          <w:sz w:val="24"/>
          <w:szCs w:val="24"/>
          <w:lang w:val="en-GB"/>
        </w:rPr>
        <w:t xml:space="preserve"> million</w:t>
      </w:r>
      <w:r w:rsidR="008675CB">
        <w:rPr>
          <w:sz w:val="24"/>
          <w:szCs w:val="24"/>
          <w:lang w:val="en-GB"/>
        </w:rPr>
        <w:t>, which is</w:t>
      </w:r>
      <w:r w:rsidR="003529E7">
        <w:rPr>
          <w:sz w:val="24"/>
          <w:szCs w:val="24"/>
          <w:lang w:val="en-GB"/>
        </w:rPr>
        <w:t xml:space="preserve"> </w:t>
      </w:r>
      <w:r w:rsidR="00251D31" w:rsidRPr="00164D0C">
        <w:rPr>
          <w:sz w:val="24"/>
          <w:szCs w:val="24"/>
          <w:lang w:val="en-GB"/>
        </w:rPr>
        <w:t>4</w:t>
      </w:r>
      <w:r w:rsidR="00D40556" w:rsidRPr="00164D0C">
        <w:rPr>
          <w:sz w:val="24"/>
          <w:szCs w:val="24"/>
          <w:lang w:val="en-GB"/>
        </w:rPr>
        <w:t xml:space="preserve">9 percent </w:t>
      </w:r>
      <w:r w:rsidRPr="00164D0C">
        <w:rPr>
          <w:sz w:val="24"/>
          <w:szCs w:val="24"/>
          <w:lang w:val="en-GB"/>
        </w:rPr>
        <w:t xml:space="preserve">of the </w:t>
      </w:r>
      <w:r w:rsidR="00731B11">
        <w:rPr>
          <w:sz w:val="24"/>
          <w:szCs w:val="24"/>
          <w:lang w:val="en-GB"/>
        </w:rPr>
        <w:t xml:space="preserve">GEF-7 </w:t>
      </w:r>
      <w:r w:rsidRPr="00164D0C">
        <w:rPr>
          <w:sz w:val="24"/>
          <w:szCs w:val="24"/>
          <w:lang w:val="en-GB"/>
        </w:rPr>
        <w:t xml:space="preserve">resources </w:t>
      </w:r>
      <w:r w:rsidR="008675CB">
        <w:rPr>
          <w:sz w:val="24"/>
          <w:szCs w:val="24"/>
          <w:lang w:val="en-GB"/>
        </w:rPr>
        <w:t>for the focal area.</w:t>
      </w:r>
      <w:r w:rsidRPr="00164D0C">
        <w:rPr>
          <w:sz w:val="24"/>
          <w:szCs w:val="24"/>
          <w:lang w:val="en-GB"/>
        </w:rPr>
        <w:t xml:space="preserve"> </w:t>
      </w:r>
    </w:p>
    <w:p w14:paraId="6163066D" w14:textId="6B1F223D" w:rsidR="00BC5F20" w:rsidRDefault="00BC5F20" w:rsidP="00665E66">
      <w:pPr>
        <w:pStyle w:val="ListParagraph"/>
        <w:numPr>
          <w:ilvl w:val="0"/>
          <w:numId w:val="25"/>
        </w:numPr>
        <w:spacing w:before="240" w:after="240" w:line="240" w:lineRule="auto"/>
        <w:ind w:left="0" w:firstLine="0"/>
        <w:contextualSpacing w:val="0"/>
        <w:rPr>
          <w:sz w:val="24"/>
          <w:szCs w:val="24"/>
          <w:lang w:val="en-GB"/>
        </w:rPr>
      </w:pPr>
      <w:r w:rsidRPr="00665E66">
        <w:rPr>
          <w:sz w:val="24"/>
          <w:szCs w:val="24"/>
        </w:rPr>
        <w:t xml:space="preserve">These resources supported </w:t>
      </w:r>
      <w:r w:rsidR="009E693D" w:rsidRPr="00665E66">
        <w:rPr>
          <w:sz w:val="24"/>
          <w:szCs w:val="24"/>
        </w:rPr>
        <w:t>38</w:t>
      </w:r>
      <w:r w:rsidRPr="00665E66">
        <w:rPr>
          <w:sz w:val="24"/>
          <w:szCs w:val="24"/>
        </w:rPr>
        <w:t xml:space="preserve"> biodiversity focal-area projects and </w:t>
      </w:r>
      <w:r w:rsidR="009E693D" w:rsidRPr="00665E66">
        <w:rPr>
          <w:sz w:val="24"/>
          <w:szCs w:val="24"/>
        </w:rPr>
        <w:t>99</w:t>
      </w:r>
      <w:r w:rsidRPr="00665E66">
        <w:rPr>
          <w:sz w:val="24"/>
          <w:szCs w:val="24"/>
        </w:rPr>
        <w:t xml:space="preserve"> multi-focal area projects.</w:t>
      </w:r>
      <w:r w:rsidRPr="00BC5F20">
        <w:rPr>
          <w:sz w:val="24"/>
          <w:szCs w:val="24"/>
          <w:lang w:val="en-GB"/>
        </w:rPr>
        <w:t xml:space="preserve">    Six programmatic approaches, including the Impact Programs, have included </w:t>
      </w:r>
      <w:r w:rsidR="00B42CF1" w:rsidRPr="00D641A4">
        <w:rPr>
          <w:sz w:val="24"/>
          <w:szCs w:val="24"/>
          <w:lang w:val="en-GB"/>
        </w:rPr>
        <w:t>75</w:t>
      </w:r>
      <w:r w:rsidRPr="00BC5F20">
        <w:rPr>
          <w:sz w:val="24"/>
          <w:szCs w:val="24"/>
          <w:lang w:val="en-GB"/>
        </w:rPr>
        <w:t xml:space="preserve"> of these projects.  Eighty-three countries have benefitted from these investments. These figures include agency fees and Project Preparation Grants (PPGs). </w:t>
      </w:r>
    </w:p>
    <w:p w14:paraId="4078EEB4" w14:textId="77777777" w:rsidR="00102140" w:rsidRDefault="00B20283" w:rsidP="00CB6102">
      <w:pPr>
        <w:spacing w:before="240" w:after="0" w:line="240" w:lineRule="auto"/>
        <w:jc w:val="center"/>
        <w:rPr>
          <w:b/>
          <w:sz w:val="24"/>
          <w:szCs w:val="24"/>
          <w:lang w:val="en-GB"/>
        </w:rPr>
      </w:pPr>
      <w:r w:rsidRPr="00B20283">
        <w:rPr>
          <w:b/>
          <w:sz w:val="24"/>
          <w:szCs w:val="24"/>
          <w:lang w:val="en-GB"/>
        </w:rPr>
        <w:t xml:space="preserve">Table </w:t>
      </w:r>
      <w:r w:rsidR="001867BB">
        <w:rPr>
          <w:b/>
          <w:sz w:val="24"/>
          <w:szCs w:val="24"/>
          <w:lang w:val="en-GB"/>
        </w:rPr>
        <w:t>2</w:t>
      </w:r>
      <w:r w:rsidRPr="00B20283">
        <w:rPr>
          <w:b/>
          <w:sz w:val="24"/>
          <w:szCs w:val="24"/>
          <w:lang w:val="en-GB"/>
        </w:rPr>
        <w:t>. Summary of Programming Usage of the GEF-</w:t>
      </w:r>
      <w:r w:rsidR="00CE27D3" w:rsidRPr="00FB355B">
        <w:rPr>
          <w:b/>
          <w:sz w:val="24"/>
          <w:szCs w:val="24"/>
          <w:lang w:val="en-GB"/>
        </w:rPr>
        <w:t>7</w:t>
      </w:r>
      <w:r w:rsidRPr="00B20283">
        <w:rPr>
          <w:b/>
          <w:sz w:val="24"/>
          <w:szCs w:val="24"/>
          <w:lang w:val="en-GB"/>
        </w:rPr>
        <w:t xml:space="preserve"> Biodiversity Focal Area</w:t>
      </w:r>
    </w:p>
    <w:p w14:paraId="214DB95E" w14:textId="3F08678A" w:rsidR="00B20283" w:rsidRPr="00B20283" w:rsidRDefault="00B20283" w:rsidP="00D722AE">
      <w:pPr>
        <w:spacing w:after="240" w:line="240" w:lineRule="auto"/>
        <w:jc w:val="center"/>
        <w:rPr>
          <w:b/>
          <w:sz w:val="24"/>
          <w:szCs w:val="24"/>
          <w:lang w:val="en-GB"/>
        </w:rPr>
      </w:pPr>
      <w:r w:rsidRPr="00B20283">
        <w:rPr>
          <w:b/>
          <w:sz w:val="24"/>
          <w:szCs w:val="24"/>
        </w:rPr>
        <w:t xml:space="preserve"> </w:t>
      </w:r>
      <w:r w:rsidRPr="00B20283">
        <w:rPr>
          <w:b/>
          <w:sz w:val="24"/>
          <w:szCs w:val="24"/>
          <w:lang w:val="en-GB"/>
        </w:rPr>
        <w:t>(July 1, 201</w:t>
      </w:r>
      <w:r w:rsidR="00D31233" w:rsidRPr="00FB355B">
        <w:rPr>
          <w:b/>
          <w:sz w:val="24"/>
          <w:szCs w:val="24"/>
          <w:lang w:val="en-GB"/>
        </w:rPr>
        <w:t>8</w:t>
      </w:r>
      <w:r w:rsidRPr="00B20283">
        <w:rPr>
          <w:b/>
          <w:sz w:val="24"/>
          <w:szCs w:val="24"/>
          <w:lang w:val="en-GB"/>
        </w:rPr>
        <w:t xml:space="preserve"> to </w:t>
      </w:r>
      <w:r w:rsidR="00D31233" w:rsidRPr="00FB355B">
        <w:rPr>
          <w:b/>
          <w:sz w:val="24"/>
          <w:szCs w:val="24"/>
          <w:lang w:val="en-GB"/>
        </w:rPr>
        <w:t>December 31, 2019</w:t>
      </w:r>
      <w:r w:rsidRPr="00B20283">
        <w:rPr>
          <w:b/>
          <w:sz w:val="24"/>
          <w:szCs w:val="24"/>
          <w:lang w:val="en-GB"/>
        </w:rPr>
        <w:t>)</w:t>
      </w:r>
      <w:r w:rsidRPr="00B20283">
        <w:rPr>
          <w:b/>
          <w:sz w:val="24"/>
          <w:szCs w:val="24"/>
          <w:vertAlign w:val="superscript"/>
          <w:lang w:val="en-GB"/>
        </w:rPr>
        <w:footnoteReference w:id="6"/>
      </w:r>
    </w:p>
    <w:tbl>
      <w:tblPr>
        <w:tblW w:w="10004" w:type="dxa"/>
        <w:tblBorders>
          <w:top w:val="single" w:sz="12" w:space="0" w:color="008000"/>
          <w:bottom w:val="single" w:sz="12" w:space="0" w:color="008000"/>
        </w:tblBorders>
        <w:tblLayout w:type="fixed"/>
        <w:tblLook w:val="01E0" w:firstRow="1" w:lastRow="1" w:firstColumn="1" w:lastColumn="1" w:noHBand="0" w:noVBand="0"/>
      </w:tblPr>
      <w:tblGrid>
        <w:gridCol w:w="4519"/>
        <w:gridCol w:w="1710"/>
        <w:gridCol w:w="1800"/>
        <w:gridCol w:w="1975"/>
      </w:tblGrid>
      <w:tr w:rsidR="00B20283" w:rsidRPr="00B20283" w14:paraId="0C910893" w14:textId="77777777" w:rsidTr="008354E6">
        <w:trPr>
          <w:trHeight w:val="432"/>
        </w:trPr>
        <w:tc>
          <w:tcPr>
            <w:tcW w:w="4519" w:type="dxa"/>
            <w:tcBorders>
              <w:bottom w:val="single" w:sz="6" w:space="0" w:color="008000"/>
            </w:tcBorders>
            <w:shd w:val="clear" w:color="auto" w:fill="auto"/>
          </w:tcPr>
          <w:p w14:paraId="006D2278" w14:textId="77777777" w:rsidR="00B20283" w:rsidRPr="00B20283" w:rsidRDefault="00B20283" w:rsidP="00D722AE">
            <w:pPr>
              <w:spacing w:after="120" w:line="240" w:lineRule="auto"/>
              <w:rPr>
                <w:rFonts w:cstheme="minorHAnsi"/>
                <w:b/>
                <w:bCs/>
              </w:rPr>
            </w:pPr>
          </w:p>
          <w:p w14:paraId="75CFFC7B" w14:textId="77777777" w:rsidR="00B20283" w:rsidRPr="00B20283" w:rsidRDefault="00B20283" w:rsidP="00D722AE">
            <w:pPr>
              <w:spacing w:after="120" w:line="240" w:lineRule="auto"/>
              <w:rPr>
                <w:rFonts w:cstheme="minorHAnsi"/>
                <w:b/>
              </w:rPr>
            </w:pPr>
            <w:r w:rsidRPr="00B20283">
              <w:rPr>
                <w:rFonts w:cstheme="minorHAnsi"/>
                <w:b/>
              </w:rPr>
              <w:t>Biodiversity Focal Area</w:t>
            </w:r>
          </w:p>
        </w:tc>
        <w:tc>
          <w:tcPr>
            <w:tcW w:w="1710" w:type="dxa"/>
            <w:tcBorders>
              <w:bottom w:val="single" w:sz="6" w:space="0" w:color="008000"/>
            </w:tcBorders>
            <w:shd w:val="clear" w:color="auto" w:fill="auto"/>
          </w:tcPr>
          <w:p w14:paraId="4715DEF0" w14:textId="2F7EDF3B" w:rsidR="00B20283" w:rsidRPr="00B20283" w:rsidRDefault="00B20283" w:rsidP="00D722AE">
            <w:pPr>
              <w:spacing w:after="120" w:line="240" w:lineRule="auto"/>
              <w:rPr>
                <w:rFonts w:cstheme="minorHAnsi"/>
                <w:b/>
              </w:rPr>
            </w:pPr>
            <w:r w:rsidRPr="00B20283">
              <w:rPr>
                <w:rFonts w:cstheme="minorHAnsi"/>
                <w:b/>
              </w:rPr>
              <w:t>GEF-</w:t>
            </w:r>
            <w:r w:rsidR="00D31233" w:rsidRPr="00FB355B">
              <w:rPr>
                <w:rFonts w:cstheme="minorHAnsi"/>
                <w:b/>
              </w:rPr>
              <w:t>7</w:t>
            </w:r>
          </w:p>
          <w:p w14:paraId="2D1683EA" w14:textId="77777777" w:rsidR="00B20283" w:rsidRPr="00B20283" w:rsidRDefault="00B20283" w:rsidP="00D722AE">
            <w:pPr>
              <w:spacing w:after="120" w:line="240" w:lineRule="auto"/>
              <w:rPr>
                <w:rFonts w:cstheme="minorHAnsi"/>
                <w:b/>
              </w:rPr>
            </w:pPr>
            <w:r w:rsidRPr="00B20283">
              <w:rPr>
                <w:rFonts w:cstheme="minorHAnsi"/>
                <w:b/>
              </w:rPr>
              <w:t>Programming Targets</w:t>
            </w:r>
          </w:p>
          <w:p w14:paraId="53CF82F8" w14:textId="77777777" w:rsidR="00B20283" w:rsidRPr="00B20283" w:rsidRDefault="00B20283" w:rsidP="00D722AE">
            <w:pPr>
              <w:spacing w:after="120" w:line="240" w:lineRule="auto"/>
              <w:rPr>
                <w:rFonts w:cstheme="minorHAnsi"/>
                <w:b/>
              </w:rPr>
            </w:pPr>
            <w:r w:rsidRPr="00B20283">
              <w:rPr>
                <w:rFonts w:cstheme="minorHAnsi"/>
                <w:b/>
              </w:rPr>
              <w:t>($ million)</w:t>
            </w:r>
          </w:p>
        </w:tc>
        <w:tc>
          <w:tcPr>
            <w:tcW w:w="1800" w:type="dxa"/>
            <w:tcBorders>
              <w:bottom w:val="single" w:sz="6" w:space="0" w:color="008000"/>
            </w:tcBorders>
            <w:shd w:val="clear" w:color="auto" w:fill="auto"/>
          </w:tcPr>
          <w:p w14:paraId="5AE05190" w14:textId="52F2B263" w:rsidR="00B20283" w:rsidRPr="00B20283" w:rsidRDefault="00B20283" w:rsidP="00D722AE">
            <w:pPr>
              <w:spacing w:after="120" w:line="240" w:lineRule="auto"/>
              <w:rPr>
                <w:rFonts w:cstheme="minorHAnsi"/>
                <w:b/>
              </w:rPr>
            </w:pPr>
            <w:r w:rsidRPr="00B20283">
              <w:rPr>
                <w:rFonts w:cstheme="minorHAnsi"/>
                <w:b/>
              </w:rPr>
              <w:t>GEF-</w:t>
            </w:r>
            <w:r w:rsidR="00D31233" w:rsidRPr="00FB355B">
              <w:rPr>
                <w:rFonts w:cstheme="minorHAnsi"/>
                <w:b/>
              </w:rPr>
              <w:t>7</w:t>
            </w:r>
          </w:p>
          <w:p w14:paraId="6AA5E99C" w14:textId="77777777" w:rsidR="00B20283" w:rsidRPr="00B20283" w:rsidRDefault="00B20283" w:rsidP="00D722AE">
            <w:pPr>
              <w:spacing w:after="120" w:line="240" w:lineRule="auto"/>
              <w:rPr>
                <w:rFonts w:cstheme="minorHAnsi"/>
                <w:b/>
              </w:rPr>
            </w:pPr>
            <w:r w:rsidRPr="00B20283">
              <w:rPr>
                <w:rFonts w:cstheme="minorHAnsi"/>
                <w:b/>
              </w:rPr>
              <w:t xml:space="preserve">Programming </w:t>
            </w:r>
          </w:p>
          <w:p w14:paraId="79FFFFE0" w14:textId="77777777" w:rsidR="00B20283" w:rsidRPr="00B20283" w:rsidRDefault="00B20283" w:rsidP="00D722AE">
            <w:pPr>
              <w:spacing w:after="120" w:line="240" w:lineRule="auto"/>
              <w:rPr>
                <w:rFonts w:cstheme="minorHAnsi"/>
                <w:b/>
              </w:rPr>
            </w:pPr>
            <w:r w:rsidRPr="00B20283">
              <w:rPr>
                <w:rFonts w:cstheme="minorHAnsi"/>
                <w:b/>
              </w:rPr>
              <w:t>($ million)</w:t>
            </w:r>
          </w:p>
        </w:tc>
        <w:tc>
          <w:tcPr>
            <w:tcW w:w="1975" w:type="dxa"/>
            <w:tcBorders>
              <w:bottom w:val="single" w:sz="6" w:space="0" w:color="008000"/>
            </w:tcBorders>
            <w:shd w:val="clear" w:color="auto" w:fill="auto"/>
          </w:tcPr>
          <w:p w14:paraId="6D083E64" w14:textId="0984B638" w:rsidR="00B20283" w:rsidRPr="00B20283" w:rsidRDefault="00B20283" w:rsidP="00D722AE">
            <w:pPr>
              <w:spacing w:after="120" w:line="240" w:lineRule="auto"/>
              <w:rPr>
                <w:rFonts w:cstheme="minorHAnsi"/>
                <w:b/>
              </w:rPr>
            </w:pPr>
            <w:r w:rsidRPr="00B20283">
              <w:rPr>
                <w:rFonts w:cstheme="minorHAnsi"/>
                <w:b/>
              </w:rPr>
              <w:t>GEF-</w:t>
            </w:r>
            <w:r w:rsidR="00D31233" w:rsidRPr="00FB355B">
              <w:rPr>
                <w:rFonts w:cstheme="minorHAnsi"/>
                <w:b/>
              </w:rPr>
              <w:t>7</w:t>
            </w:r>
          </w:p>
          <w:p w14:paraId="704E72A5" w14:textId="77777777" w:rsidR="00B20283" w:rsidRPr="00B20283" w:rsidRDefault="00B20283" w:rsidP="00D722AE">
            <w:pPr>
              <w:spacing w:after="120" w:line="240" w:lineRule="auto"/>
              <w:rPr>
                <w:rFonts w:cstheme="minorHAnsi"/>
                <w:b/>
              </w:rPr>
            </w:pPr>
            <w:r w:rsidRPr="00B20283">
              <w:rPr>
                <w:rFonts w:cstheme="minorHAnsi"/>
                <w:b/>
              </w:rPr>
              <w:t>Programming (%)</w:t>
            </w:r>
          </w:p>
        </w:tc>
      </w:tr>
      <w:tr w:rsidR="00B20283" w:rsidRPr="00B20283" w14:paraId="000C4110" w14:textId="77777777" w:rsidTr="008354E6">
        <w:trPr>
          <w:trHeight w:val="432"/>
        </w:trPr>
        <w:tc>
          <w:tcPr>
            <w:tcW w:w="4519" w:type="dxa"/>
            <w:shd w:val="clear" w:color="auto" w:fill="auto"/>
          </w:tcPr>
          <w:p w14:paraId="3302A0C8" w14:textId="77777777" w:rsidR="00B20283" w:rsidRPr="00B20283" w:rsidRDefault="00B20283" w:rsidP="00A238C7">
            <w:pPr>
              <w:spacing w:line="240" w:lineRule="auto"/>
              <w:rPr>
                <w:rFonts w:cstheme="minorHAnsi"/>
                <w:i/>
              </w:rPr>
            </w:pPr>
            <w:r w:rsidRPr="00B20283">
              <w:rPr>
                <w:rFonts w:cstheme="minorHAnsi"/>
                <w:i/>
              </w:rPr>
              <w:t xml:space="preserve">STAR Country Allocations </w:t>
            </w:r>
          </w:p>
        </w:tc>
        <w:tc>
          <w:tcPr>
            <w:tcW w:w="1710" w:type="dxa"/>
            <w:shd w:val="clear" w:color="auto" w:fill="auto"/>
          </w:tcPr>
          <w:p w14:paraId="06DEE709" w14:textId="03588EB5" w:rsidR="00B20283" w:rsidRPr="00B20283" w:rsidRDefault="00B20283" w:rsidP="00A238C7">
            <w:pPr>
              <w:spacing w:line="240" w:lineRule="auto"/>
              <w:rPr>
                <w:rFonts w:cstheme="minorHAnsi"/>
                <w:i/>
              </w:rPr>
            </w:pPr>
            <w:r w:rsidRPr="00B20283">
              <w:rPr>
                <w:rFonts w:cstheme="minorHAnsi"/>
                <w:i/>
              </w:rPr>
              <w:t>1</w:t>
            </w:r>
            <w:r w:rsidR="00D968C5">
              <w:rPr>
                <w:rFonts w:cstheme="minorHAnsi"/>
                <w:i/>
              </w:rPr>
              <w:t>,</w:t>
            </w:r>
            <w:r w:rsidRPr="00B20283">
              <w:rPr>
                <w:rFonts w:cstheme="minorHAnsi"/>
                <w:i/>
              </w:rPr>
              <w:t>0</w:t>
            </w:r>
            <w:r w:rsidR="00D31233" w:rsidRPr="001867BB">
              <w:rPr>
                <w:rFonts w:cstheme="minorHAnsi"/>
                <w:i/>
              </w:rPr>
              <w:t>31</w:t>
            </w:r>
          </w:p>
        </w:tc>
        <w:tc>
          <w:tcPr>
            <w:tcW w:w="1800" w:type="dxa"/>
            <w:shd w:val="clear" w:color="auto" w:fill="auto"/>
          </w:tcPr>
          <w:p w14:paraId="3051F799" w14:textId="1E7D9F9D" w:rsidR="00B20283" w:rsidRPr="00FF72CD" w:rsidRDefault="00341B7F" w:rsidP="00A238C7">
            <w:pPr>
              <w:spacing w:line="240" w:lineRule="auto"/>
              <w:rPr>
                <w:rFonts w:cstheme="minorHAnsi"/>
                <w:b/>
                <w:i/>
                <w:highlight w:val="yellow"/>
              </w:rPr>
            </w:pPr>
            <w:r w:rsidRPr="00715C73">
              <w:rPr>
                <w:rFonts w:cstheme="minorHAnsi"/>
                <w:b/>
                <w:i/>
              </w:rPr>
              <w:t>4</w:t>
            </w:r>
            <w:r w:rsidR="00EA30FA" w:rsidRPr="00715C73">
              <w:rPr>
                <w:rFonts w:cstheme="minorHAnsi"/>
                <w:b/>
                <w:i/>
              </w:rPr>
              <w:t>6</w:t>
            </w:r>
            <w:r w:rsidR="00CC12E9" w:rsidRPr="00715C73">
              <w:rPr>
                <w:rFonts w:cstheme="minorHAnsi"/>
                <w:b/>
                <w:i/>
              </w:rPr>
              <w:t>8</w:t>
            </w:r>
          </w:p>
        </w:tc>
        <w:tc>
          <w:tcPr>
            <w:tcW w:w="1975" w:type="dxa"/>
            <w:shd w:val="clear" w:color="auto" w:fill="auto"/>
          </w:tcPr>
          <w:p w14:paraId="53946C51" w14:textId="5D0207AE" w:rsidR="00B20283" w:rsidRPr="00D16D0B" w:rsidRDefault="004036CA" w:rsidP="00A238C7">
            <w:pPr>
              <w:spacing w:line="240" w:lineRule="auto"/>
              <w:rPr>
                <w:rFonts w:cstheme="minorHAnsi"/>
                <w:b/>
                <w:i/>
              </w:rPr>
            </w:pPr>
            <w:r w:rsidRPr="00D16D0B">
              <w:rPr>
                <w:rFonts w:cstheme="minorHAnsi"/>
                <w:b/>
                <w:i/>
              </w:rPr>
              <w:t>45</w:t>
            </w:r>
            <w:r w:rsidR="00B20283" w:rsidRPr="00D16D0B">
              <w:rPr>
                <w:rFonts w:cstheme="minorHAnsi"/>
                <w:b/>
                <w:i/>
              </w:rPr>
              <w:t xml:space="preserve">             </w:t>
            </w:r>
          </w:p>
        </w:tc>
      </w:tr>
      <w:tr w:rsidR="00B20283" w:rsidRPr="00B20283" w14:paraId="3413F0D0" w14:textId="77777777" w:rsidTr="008354E6">
        <w:trPr>
          <w:trHeight w:val="432"/>
        </w:trPr>
        <w:tc>
          <w:tcPr>
            <w:tcW w:w="4519" w:type="dxa"/>
            <w:shd w:val="clear" w:color="auto" w:fill="auto"/>
          </w:tcPr>
          <w:p w14:paraId="67DB4521" w14:textId="77777777" w:rsidR="00B20283" w:rsidRPr="00B20283" w:rsidRDefault="00B20283" w:rsidP="00A238C7">
            <w:pPr>
              <w:spacing w:line="240" w:lineRule="auto"/>
              <w:rPr>
                <w:rFonts w:cstheme="minorHAnsi"/>
                <w:i/>
              </w:rPr>
            </w:pPr>
            <w:r w:rsidRPr="00B20283">
              <w:rPr>
                <w:rFonts w:cstheme="minorHAnsi"/>
                <w:i/>
              </w:rPr>
              <w:t>STAR Set-aside</w:t>
            </w:r>
          </w:p>
        </w:tc>
        <w:tc>
          <w:tcPr>
            <w:tcW w:w="1710" w:type="dxa"/>
            <w:shd w:val="clear" w:color="auto" w:fill="auto"/>
          </w:tcPr>
          <w:p w14:paraId="61F7F062" w14:textId="77777777" w:rsidR="00B20283" w:rsidRPr="00B20283" w:rsidRDefault="00B20283" w:rsidP="00A238C7">
            <w:pPr>
              <w:spacing w:line="240" w:lineRule="auto"/>
              <w:rPr>
                <w:rFonts w:cstheme="minorHAnsi"/>
              </w:rPr>
            </w:pPr>
          </w:p>
        </w:tc>
        <w:tc>
          <w:tcPr>
            <w:tcW w:w="1800" w:type="dxa"/>
            <w:shd w:val="clear" w:color="auto" w:fill="auto"/>
          </w:tcPr>
          <w:p w14:paraId="7FCDC0EE" w14:textId="77777777" w:rsidR="00B20283" w:rsidRPr="00B20283" w:rsidRDefault="00B20283" w:rsidP="00A238C7">
            <w:pPr>
              <w:spacing w:line="240" w:lineRule="auto"/>
              <w:rPr>
                <w:rFonts w:cstheme="minorHAnsi"/>
                <w:b/>
              </w:rPr>
            </w:pPr>
          </w:p>
        </w:tc>
        <w:tc>
          <w:tcPr>
            <w:tcW w:w="1975" w:type="dxa"/>
            <w:shd w:val="clear" w:color="auto" w:fill="auto"/>
          </w:tcPr>
          <w:p w14:paraId="136F68CB" w14:textId="77777777" w:rsidR="00B20283" w:rsidRPr="00D16D0B" w:rsidRDefault="00B20283" w:rsidP="00A238C7">
            <w:pPr>
              <w:spacing w:line="240" w:lineRule="auto"/>
              <w:rPr>
                <w:rFonts w:cstheme="minorHAnsi"/>
                <w:b/>
              </w:rPr>
            </w:pPr>
          </w:p>
        </w:tc>
      </w:tr>
      <w:tr w:rsidR="00B20283" w:rsidRPr="00B20283" w14:paraId="11750A55" w14:textId="77777777" w:rsidTr="008354E6">
        <w:trPr>
          <w:trHeight w:val="432"/>
        </w:trPr>
        <w:tc>
          <w:tcPr>
            <w:tcW w:w="4519" w:type="dxa"/>
            <w:shd w:val="clear" w:color="auto" w:fill="auto"/>
          </w:tcPr>
          <w:p w14:paraId="07EC50CA" w14:textId="3A63F182" w:rsidR="00B20283" w:rsidRPr="00B20283" w:rsidRDefault="004B4877" w:rsidP="00A238C7">
            <w:pPr>
              <w:spacing w:line="240" w:lineRule="auto"/>
              <w:rPr>
                <w:rFonts w:cstheme="minorHAnsi"/>
              </w:rPr>
            </w:pPr>
            <w:r w:rsidRPr="001867BB">
              <w:rPr>
                <w:rFonts w:cstheme="minorHAnsi"/>
              </w:rPr>
              <w:t>Enabling activities</w:t>
            </w:r>
          </w:p>
        </w:tc>
        <w:tc>
          <w:tcPr>
            <w:tcW w:w="1710" w:type="dxa"/>
            <w:shd w:val="clear" w:color="auto" w:fill="auto"/>
          </w:tcPr>
          <w:p w14:paraId="0FE409C3" w14:textId="24DE924D" w:rsidR="00B20283" w:rsidRPr="00B20283" w:rsidRDefault="00F636E8" w:rsidP="00A238C7">
            <w:pPr>
              <w:spacing w:line="240" w:lineRule="auto"/>
              <w:rPr>
                <w:rFonts w:cstheme="minorHAnsi"/>
              </w:rPr>
            </w:pPr>
            <w:r w:rsidRPr="001867BB">
              <w:rPr>
                <w:rFonts w:cstheme="minorHAnsi"/>
              </w:rPr>
              <w:t>46</w:t>
            </w:r>
          </w:p>
        </w:tc>
        <w:tc>
          <w:tcPr>
            <w:tcW w:w="1800" w:type="dxa"/>
            <w:shd w:val="clear" w:color="auto" w:fill="auto"/>
          </w:tcPr>
          <w:p w14:paraId="3A57300B" w14:textId="659AEBB6" w:rsidR="00B20283" w:rsidRPr="00B20283" w:rsidRDefault="00F80F37" w:rsidP="00A238C7">
            <w:pPr>
              <w:spacing w:line="240" w:lineRule="auto"/>
              <w:rPr>
                <w:rFonts w:cstheme="minorHAnsi"/>
                <w:b/>
              </w:rPr>
            </w:pPr>
            <w:r>
              <w:rPr>
                <w:rFonts w:cstheme="minorHAnsi"/>
                <w:b/>
              </w:rPr>
              <w:t>0</w:t>
            </w:r>
          </w:p>
        </w:tc>
        <w:tc>
          <w:tcPr>
            <w:tcW w:w="1975" w:type="dxa"/>
            <w:shd w:val="clear" w:color="auto" w:fill="auto"/>
          </w:tcPr>
          <w:p w14:paraId="3DDAE44C" w14:textId="0351888D" w:rsidR="00B20283" w:rsidRPr="00D16D0B" w:rsidRDefault="00F80F37" w:rsidP="00A238C7">
            <w:pPr>
              <w:spacing w:line="240" w:lineRule="auto"/>
              <w:rPr>
                <w:rFonts w:cstheme="minorHAnsi"/>
                <w:b/>
              </w:rPr>
            </w:pPr>
            <w:r w:rsidRPr="00D16D0B">
              <w:rPr>
                <w:rFonts w:cstheme="minorHAnsi"/>
                <w:b/>
              </w:rPr>
              <w:t>0</w:t>
            </w:r>
          </w:p>
        </w:tc>
      </w:tr>
      <w:tr w:rsidR="00B20283" w:rsidRPr="00B20283" w14:paraId="30C4BC5C" w14:textId="77777777" w:rsidTr="008354E6">
        <w:trPr>
          <w:trHeight w:val="432"/>
        </w:trPr>
        <w:tc>
          <w:tcPr>
            <w:tcW w:w="4519" w:type="dxa"/>
            <w:shd w:val="clear" w:color="auto" w:fill="auto"/>
          </w:tcPr>
          <w:p w14:paraId="521A26BC" w14:textId="77777777" w:rsidR="00B20283" w:rsidRPr="00B20283" w:rsidRDefault="00B20283" w:rsidP="00A238C7">
            <w:pPr>
              <w:spacing w:line="240" w:lineRule="auto"/>
              <w:rPr>
                <w:rFonts w:cstheme="minorHAnsi"/>
              </w:rPr>
            </w:pPr>
            <w:r w:rsidRPr="00B20283">
              <w:rPr>
                <w:rFonts w:cstheme="minorHAnsi"/>
              </w:rPr>
              <w:t>Global and Regional Biodiversity Projects and Programs</w:t>
            </w:r>
          </w:p>
        </w:tc>
        <w:tc>
          <w:tcPr>
            <w:tcW w:w="1710" w:type="dxa"/>
            <w:shd w:val="clear" w:color="auto" w:fill="auto"/>
          </w:tcPr>
          <w:p w14:paraId="504CDB8E" w14:textId="04DC9A36" w:rsidR="00B20283" w:rsidRPr="00B20283" w:rsidRDefault="002C2FB9" w:rsidP="00A238C7">
            <w:pPr>
              <w:spacing w:line="240" w:lineRule="auto"/>
              <w:rPr>
                <w:rFonts w:cstheme="minorHAnsi"/>
              </w:rPr>
            </w:pPr>
            <w:r w:rsidRPr="001867BB">
              <w:rPr>
                <w:rFonts w:cstheme="minorHAnsi"/>
              </w:rPr>
              <w:t>55</w:t>
            </w:r>
          </w:p>
        </w:tc>
        <w:tc>
          <w:tcPr>
            <w:tcW w:w="1800" w:type="dxa"/>
            <w:shd w:val="clear" w:color="auto" w:fill="auto"/>
          </w:tcPr>
          <w:p w14:paraId="2F8FA796" w14:textId="155770E8" w:rsidR="00B20283" w:rsidRPr="00B20283" w:rsidRDefault="003938FF" w:rsidP="00A238C7">
            <w:pPr>
              <w:spacing w:line="240" w:lineRule="auto"/>
              <w:rPr>
                <w:rFonts w:cstheme="minorHAnsi"/>
                <w:b/>
              </w:rPr>
            </w:pPr>
            <w:r>
              <w:rPr>
                <w:rFonts w:cstheme="minorHAnsi"/>
                <w:b/>
              </w:rPr>
              <w:t>3</w:t>
            </w:r>
            <w:r w:rsidR="007A1EBB">
              <w:rPr>
                <w:rFonts w:cstheme="minorHAnsi"/>
                <w:b/>
              </w:rPr>
              <w:t>6</w:t>
            </w:r>
          </w:p>
        </w:tc>
        <w:tc>
          <w:tcPr>
            <w:tcW w:w="1975" w:type="dxa"/>
            <w:shd w:val="clear" w:color="auto" w:fill="auto"/>
          </w:tcPr>
          <w:p w14:paraId="351CE688" w14:textId="0670BF4A" w:rsidR="00B20283" w:rsidRPr="00D16D0B" w:rsidRDefault="00E9132C" w:rsidP="00A238C7">
            <w:pPr>
              <w:spacing w:line="240" w:lineRule="auto"/>
              <w:rPr>
                <w:rFonts w:cstheme="minorHAnsi"/>
                <w:b/>
              </w:rPr>
            </w:pPr>
            <w:r w:rsidRPr="00D16D0B">
              <w:rPr>
                <w:rFonts w:cstheme="minorHAnsi"/>
                <w:b/>
              </w:rPr>
              <w:t>6</w:t>
            </w:r>
            <w:r w:rsidR="003642E7" w:rsidRPr="00D16D0B">
              <w:rPr>
                <w:rFonts w:cstheme="minorHAnsi"/>
                <w:b/>
              </w:rPr>
              <w:t>5</w:t>
            </w:r>
          </w:p>
        </w:tc>
      </w:tr>
      <w:tr w:rsidR="00B20283" w:rsidRPr="00B20283" w14:paraId="2A71946C" w14:textId="77777777" w:rsidTr="008354E6">
        <w:trPr>
          <w:trHeight w:val="432"/>
        </w:trPr>
        <w:tc>
          <w:tcPr>
            <w:tcW w:w="4519" w:type="dxa"/>
            <w:shd w:val="clear" w:color="auto" w:fill="auto"/>
          </w:tcPr>
          <w:p w14:paraId="067ADDCE" w14:textId="4DC5D35E" w:rsidR="00B20283" w:rsidRPr="00B20283" w:rsidRDefault="00B20283" w:rsidP="00A238C7">
            <w:pPr>
              <w:spacing w:line="240" w:lineRule="auto"/>
              <w:rPr>
                <w:rFonts w:cstheme="minorHAnsi"/>
              </w:rPr>
            </w:pPr>
            <w:r w:rsidRPr="00B20283">
              <w:rPr>
                <w:rFonts w:cstheme="minorHAnsi"/>
              </w:rPr>
              <w:t>Integrated</w:t>
            </w:r>
            <w:r w:rsidR="00A923DD" w:rsidRPr="001867BB">
              <w:rPr>
                <w:rFonts w:cstheme="minorHAnsi"/>
              </w:rPr>
              <w:t xml:space="preserve"> Programming</w:t>
            </w:r>
          </w:p>
        </w:tc>
        <w:tc>
          <w:tcPr>
            <w:tcW w:w="1710" w:type="dxa"/>
            <w:shd w:val="clear" w:color="auto" w:fill="auto"/>
          </w:tcPr>
          <w:p w14:paraId="329BED25" w14:textId="392497DB" w:rsidR="00B20283" w:rsidRPr="00B20283" w:rsidRDefault="00A923DD" w:rsidP="00A238C7">
            <w:pPr>
              <w:spacing w:line="240" w:lineRule="auto"/>
              <w:rPr>
                <w:rFonts w:cstheme="minorHAnsi"/>
              </w:rPr>
            </w:pPr>
            <w:r w:rsidRPr="001867BB">
              <w:rPr>
                <w:rFonts w:cstheme="minorHAnsi"/>
              </w:rPr>
              <w:t>160</w:t>
            </w:r>
          </w:p>
        </w:tc>
        <w:tc>
          <w:tcPr>
            <w:tcW w:w="1800" w:type="dxa"/>
            <w:shd w:val="clear" w:color="auto" w:fill="auto"/>
          </w:tcPr>
          <w:p w14:paraId="22E57EF5" w14:textId="07BAB741" w:rsidR="00B20283" w:rsidRPr="00B20283" w:rsidRDefault="00B20283" w:rsidP="00A238C7">
            <w:pPr>
              <w:spacing w:line="240" w:lineRule="auto"/>
              <w:rPr>
                <w:rFonts w:cstheme="minorHAnsi"/>
                <w:b/>
              </w:rPr>
            </w:pPr>
          </w:p>
        </w:tc>
        <w:tc>
          <w:tcPr>
            <w:tcW w:w="1975" w:type="dxa"/>
            <w:shd w:val="clear" w:color="auto" w:fill="auto"/>
          </w:tcPr>
          <w:p w14:paraId="594440AA" w14:textId="530B91EA" w:rsidR="00B20283" w:rsidRPr="00D16D0B" w:rsidRDefault="00B20283" w:rsidP="00A238C7">
            <w:pPr>
              <w:spacing w:line="240" w:lineRule="auto"/>
              <w:rPr>
                <w:rFonts w:cstheme="minorHAnsi"/>
                <w:b/>
              </w:rPr>
            </w:pPr>
          </w:p>
        </w:tc>
      </w:tr>
      <w:tr w:rsidR="00B20283" w:rsidRPr="00CA2C08" w14:paraId="5848D59E" w14:textId="77777777" w:rsidTr="008354E6">
        <w:trPr>
          <w:trHeight w:val="432"/>
        </w:trPr>
        <w:tc>
          <w:tcPr>
            <w:tcW w:w="4519" w:type="dxa"/>
            <w:shd w:val="clear" w:color="auto" w:fill="auto"/>
          </w:tcPr>
          <w:p w14:paraId="6257C4D4" w14:textId="3E9E5554" w:rsidR="006A5CB6" w:rsidRPr="00B926E0" w:rsidRDefault="00773F4F" w:rsidP="00A238C7">
            <w:pPr>
              <w:pStyle w:val="ListParagraph"/>
              <w:numPr>
                <w:ilvl w:val="0"/>
                <w:numId w:val="9"/>
              </w:numPr>
              <w:spacing w:line="240" w:lineRule="auto"/>
              <w:rPr>
                <w:rFonts w:cstheme="minorHAnsi"/>
              </w:rPr>
            </w:pPr>
            <w:r w:rsidRPr="00CA2C08">
              <w:rPr>
                <w:rFonts w:cstheme="minorHAnsi"/>
              </w:rPr>
              <w:t>Food, Land Use and Restoration</w:t>
            </w:r>
          </w:p>
        </w:tc>
        <w:tc>
          <w:tcPr>
            <w:tcW w:w="1710" w:type="dxa"/>
            <w:shd w:val="clear" w:color="auto" w:fill="auto"/>
          </w:tcPr>
          <w:p w14:paraId="5C26F1CC" w14:textId="566E0572" w:rsidR="00B20283" w:rsidRPr="00CA2C08" w:rsidRDefault="00773F4F" w:rsidP="00A238C7">
            <w:pPr>
              <w:spacing w:line="240" w:lineRule="auto"/>
              <w:rPr>
                <w:rFonts w:cstheme="minorHAnsi"/>
              </w:rPr>
            </w:pPr>
            <w:r w:rsidRPr="00CA2C08">
              <w:rPr>
                <w:rFonts w:cstheme="minorHAnsi"/>
              </w:rPr>
              <w:t>92</w:t>
            </w:r>
          </w:p>
        </w:tc>
        <w:tc>
          <w:tcPr>
            <w:tcW w:w="1800" w:type="dxa"/>
            <w:shd w:val="clear" w:color="auto" w:fill="auto"/>
          </w:tcPr>
          <w:p w14:paraId="5D1717D1" w14:textId="0EC8B442" w:rsidR="00B20283" w:rsidRPr="00CA2C08" w:rsidRDefault="00085DDE" w:rsidP="00A238C7">
            <w:pPr>
              <w:spacing w:line="240" w:lineRule="auto"/>
              <w:rPr>
                <w:rFonts w:cstheme="minorHAnsi"/>
                <w:b/>
              </w:rPr>
            </w:pPr>
            <w:r>
              <w:rPr>
                <w:rFonts w:cstheme="minorHAnsi"/>
                <w:b/>
              </w:rPr>
              <w:t>70</w:t>
            </w:r>
          </w:p>
        </w:tc>
        <w:tc>
          <w:tcPr>
            <w:tcW w:w="1975" w:type="dxa"/>
            <w:shd w:val="clear" w:color="auto" w:fill="auto"/>
          </w:tcPr>
          <w:p w14:paraId="59F99EAA" w14:textId="4F57BA26" w:rsidR="00AC4C9E" w:rsidRPr="00D16D0B" w:rsidRDefault="00D16D0B" w:rsidP="00A238C7">
            <w:pPr>
              <w:spacing w:line="240" w:lineRule="auto"/>
              <w:rPr>
                <w:rFonts w:cstheme="minorHAnsi"/>
                <w:b/>
              </w:rPr>
            </w:pPr>
            <w:r w:rsidRPr="00D16D0B">
              <w:rPr>
                <w:rFonts w:cstheme="minorHAnsi"/>
                <w:b/>
              </w:rPr>
              <w:t>76</w:t>
            </w:r>
          </w:p>
        </w:tc>
      </w:tr>
      <w:tr w:rsidR="00B20283" w:rsidRPr="00CA2C08" w14:paraId="33A64C8D" w14:textId="77777777" w:rsidTr="00AA4E66">
        <w:trPr>
          <w:trHeight w:val="639"/>
        </w:trPr>
        <w:tc>
          <w:tcPr>
            <w:tcW w:w="4519" w:type="dxa"/>
            <w:shd w:val="clear" w:color="auto" w:fill="auto"/>
          </w:tcPr>
          <w:p w14:paraId="7D3803E2" w14:textId="3A824335" w:rsidR="00AC4C9E" w:rsidRPr="00AA4E66" w:rsidRDefault="00AC4C9E" w:rsidP="00A238C7">
            <w:pPr>
              <w:pStyle w:val="ListParagraph"/>
              <w:numPr>
                <w:ilvl w:val="0"/>
                <w:numId w:val="10"/>
              </w:numPr>
              <w:spacing w:line="240" w:lineRule="auto"/>
              <w:rPr>
                <w:rFonts w:cstheme="minorHAnsi"/>
              </w:rPr>
            </w:pPr>
            <w:r w:rsidRPr="00CA2C08">
              <w:rPr>
                <w:rFonts w:cstheme="minorHAnsi"/>
              </w:rPr>
              <w:t>SFM Major Biomes (Amazon, Congo, Drylands)</w:t>
            </w:r>
          </w:p>
        </w:tc>
        <w:tc>
          <w:tcPr>
            <w:tcW w:w="1710" w:type="dxa"/>
            <w:shd w:val="clear" w:color="auto" w:fill="auto"/>
          </w:tcPr>
          <w:p w14:paraId="68F9EE1C" w14:textId="6C0AD0C6" w:rsidR="00503D75" w:rsidRPr="00CA2C08" w:rsidRDefault="00AC4C9E" w:rsidP="00A238C7">
            <w:pPr>
              <w:spacing w:line="240" w:lineRule="auto"/>
              <w:rPr>
                <w:rFonts w:cstheme="minorHAnsi"/>
              </w:rPr>
            </w:pPr>
            <w:r w:rsidRPr="00CA2C08">
              <w:rPr>
                <w:rFonts w:cstheme="minorHAnsi"/>
              </w:rPr>
              <w:t>53</w:t>
            </w:r>
          </w:p>
        </w:tc>
        <w:tc>
          <w:tcPr>
            <w:tcW w:w="1800" w:type="dxa"/>
            <w:shd w:val="clear" w:color="auto" w:fill="auto"/>
          </w:tcPr>
          <w:p w14:paraId="57308F7F" w14:textId="7F5B6B5A" w:rsidR="002E6C14" w:rsidRPr="00CA2C08" w:rsidRDefault="002E6C14" w:rsidP="00A238C7">
            <w:pPr>
              <w:spacing w:line="240" w:lineRule="auto"/>
              <w:rPr>
                <w:rFonts w:cstheme="minorHAnsi"/>
                <w:b/>
              </w:rPr>
            </w:pPr>
            <w:r w:rsidRPr="00CA2C08">
              <w:rPr>
                <w:rFonts w:cstheme="minorHAnsi"/>
                <w:b/>
              </w:rPr>
              <w:t>5</w:t>
            </w:r>
            <w:r w:rsidR="002E6BA0">
              <w:rPr>
                <w:rFonts w:cstheme="minorHAnsi"/>
                <w:b/>
              </w:rPr>
              <w:t>0</w:t>
            </w:r>
          </w:p>
        </w:tc>
        <w:tc>
          <w:tcPr>
            <w:tcW w:w="1975" w:type="dxa"/>
            <w:shd w:val="clear" w:color="auto" w:fill="auto"/>
          </w:tcPr>
          <w:p w14:paraId="7CFDE77B" w14:textId="19873BC6" w:rsidR="002E6C14" w:rsidRPr="00D16D0B" w:rsidRDefault="002E6C14" w:rsidP="00A238C7">
            <w:pPr>
              <w:spacing w:line="240" w:lineRule="auto"/>
              <w:rPr>
                <w:rFonts w:cstheme="minorHAnsi"/>
                <w:b/>
              </w:rPr>
            </w:pPr>
            <w:r w:rsidRPr="00D16D0B">
              <w:rPr>
                <w:rFonts w:cstheme="minorHAnsi"/>
                <w:b/>
              </w:rPr>
              <w:t>100</w:t>
            </w:r>
          </w:p>
        </w:tc>
      </w:tr>
      <w:tr w:rsidR="00A05F23" w:rsidRPr="00CA2C08" w14:paraId="7920A253" w14:textId="77777777" w:rsidTr="008354E6">
        <w:trPr>
          <w:trHeight w:val="432"/>
        </w:trPr>
        <w:tc>
          <w:tcPr>
            <w:tcW w:w="4519" w:type="dxa"/>
            <w:shd w:val="clear" w:color="auto" w:fill="auto"/>
          </w:tcPr>
          <w:p w14:paraId="2B01E6D4" w14:textId="421513E7" w:rsidR="00A05F23" w:rsidRPr="00A05F23" w:rsidRDefault="00A05F23" w:rsidP="00A238C7">
            <w:pPr>
              <w:pStyle w:val="ListParagraph"/>
              <w:numPr>
                <w:ilvl w:val="0"/>
                <w:numId w:val="10"/>
              </w:numPr>
              <w:spacing w:line="240" w:lineRule="auto"/>
              <w:rPr>
                <w:rFonts w:cstheme="minorHAnsi"/>
              </w:rPr>
            </w:pPr>
            <w:r w:rsidRPr="00A05F23">
              <w:rPr>
                <w:rFonts w:cstheme="minorHAnsi"/>
              </w:rPr>
              <w:t xml:space="preserve">Sustainable Cities </w:t>
            </w:r>
          </w:p>
        </w:tc>
        <w:tc>
          <w:tcPr>
            <w:tcW w:w="1710" w:type="dxa"/>
            <w:shd w:val="clear" w:color="auto" w:fill="auto"/>
          </w:tcPr>
          <w:p w14:paraId="03011DDF" w14:textId="6AC6ACD2" w:rsidR="00A05F23" w:rsidRPr="00CA2C08" w:rsidRDefault="00A05F23" w:rsidP="00A238C7">
            <w:pPr>
              <w:spacing w:line="240" w:lineRule="auto"/>
              <w:rPr>
                <w:rFonts w:cstheme="minorHAnsi"/>
                <w:i/>
              </w:rPr>
            </w:pPr>
            <w:r w:rsidRPr="00CA2C08">
              <w:rPr>
                <w:rFonts w:cstheme="minorHAnsi"/>
              </w:rPr>
              <w:t>15</w:t>
            </w:r>
          </w:p>
        </w:tc>
        <w:tc>
          <w:tcPr>
            <w:tcW w:w="1800" w:type="dxa"/>
            <w:shd w:val="clear" w:color="auto" w:fill="auto"/>
          </w:tcPr>
          <w:p w14:paraId="5CE3B918" w14:textId="7DC5FF7D" w:rsidR="00A05F23" w:rsidRPr="00CA2C08" w:rsidRDefault="00A05F23" w:rsidP="00A238C7">
            <w:pPr>
              <w:spacing w:line="240" w:lineRule="auto"/>
              <w:rPr>
                <w:rFonts w:cstheme="minorHAnsi"/>
                <w:b/>
                <w:i/>
              </w:rPr>
            </w:pPr>
            <w:r w:rsidRPr="00CA2C08">
              <w:rPr>
                <w:rFonts w:cstheme="minorHAnsi"/>
                <w:b/>
              </w:rPr>
              <w:t>15</w:t>
            </w:r>
          </w:p>
        </w:tc>
        <w:tc>
          <w:tcPr>
            <w:tcW w:w="1975" w:type="dxa"/>
            <w:shd w:val="clear" w:color="auto" w:fill="auto"/>
          </w:tcPr>
          <w:p w14:paraId="2740B9B2" w14:textId="23F4C671" w:rsidR="00A05F23" w:rsidRPr="00AA4E66" w:rsidRDefault="00A05F23" w:rsidP="00A238C7">
            <w:pPr>
              <w:spacing w:line="240" w:lineRule="auto"/>
              <w:rPr>
                <w:rFonts w:cstheme="minorHAnsi"/>
                <w:b/>
              </w:rPr>
            </w:pPr>
            <w:r w:rsidRPr="00D16D0B">
              <w:rPr>
                <w:rFonts w:cstheme="minorHAnsi"/>
                <w:b/>
              </w:rPr>
              <w:t>100</w:t>
            </w:r>
          </w:p>
        </w:tc>
      </w:tr>
      <w:tr w:rsidR="00A05F23" w:rsidRPr="00B20283" w14:paraId="31084C34" w14:textId="77777777" w:rsidTr="008354E6">
        <w:trPr>
          <w:trHeight w:val="432"/>
        </w:trPr>
        <w:tc>
          <w:tcPr>
            <w:tcW w:w="4519" w:type="dxa"/>
            <w:tcBorders>
              <w:top w:val="single" w:sz="6" w:space="0" w:color="008000"/>
            </w:tcBorders>
            <w:shd w:val="clear" w:color="auto" w:fill="auto"/>
          </w:tcPr>
          <w:p w14:paraId="53B4F2E3" w14:textId="77777777" w:rsidR="00A05F23" w:rsidRPr="00CA2C08" w:rsidRDefault="00A05F23" w:rsidP="00A05F23">
            <w:pPr>
              <w:rPr>
                <w:rFonts w:cstheme="minorHAnsi"/>
                <w:b/>
              </w:rPr>
            </w:pPr>
            <w:r w:rsidRPr="00CA2C08">
              <w:rPr>
                <w:rFonts w:cstheme="minorHAnsi"/>
                <w:b/>
              </w:rPr>
              <w:t>Total Resources</w:t>
            </w:r>
          </w:p>
        </w:tc>
        <w:tc>
          <w:tcPr>
            <w:tcW w:w="1710" w:type="dxa"/>
            <w:tcBorders>
              <w:top w:val="single" w:sz="6" w:space="0" w:color="008000"/>
            </w:tcBorders>
            <w:shd w:val="clear" w:color="auto" w:fill="auto"/>
          </w:tcPr>
          <w:p w14:paraId="5FD6C501" w14:textId="52572F79" w:rsidR="00A05F23" w:rsidRPr="00CA2C08" w:rsidRDefault="00A05F23" w:rsidP="00A05F23">
            <w:pPr>
              <w:rPr>
                <w:rFonts w:cstheme="minorHAnsi"/>
                <w:b/>
              </w:rPr>
            </w:pPr>
            <w:r w:rsidRPr="00CA2C08">
              <w:rPr>
                <w:rFonts w:cstheme="minorHAnsi"/>
                <w:b/>
              </w:rPr>
              <w:t>1</w:t>
            </w:r>
            <w:r w:rsidR="00D968C5">
              <w:rPr>
                <w:rFonts w:cstheme="minorHAnsi"/>
                <w:b/>
              </w:rPr>
              <w:t>,</w:t>
            </w:r>
            <w:r w:rsidRPr="00CA2C08">
              <w:rPr>
                <w:rFonts w:cstheme="minorHAnsi"/>
                <w:b/>
              </w:rPr>
              <w:t>292</w:t>
            </w:r>
          </w:p>
        </w:tc>
        <w:tc>
          <w:tcPr>
            <w:tcW w:w="1800" w:type="dxa"/>
            <w:tcBorders>
              <w:top w:val="single" w:sz="6" w:space="0" w:color="008000"/>
            </w:tcBorders>
            <w:shd w:val="clear" w:color="auto" w:fill="auto"/>
          </w:tcPr>
          <w:p w14:paraId="4D50AFB3" w14:textId="635576AC" w:rsidR="00A05F23" w:rsidRPr="00CA2C08" w:rsidRDefault="00A05F23" w:rsidP="00A05F23">
            <w:pPr>
              <w:rPr>
                <w:rFonts w:cstheme="minorHAnsi"/>
                <w:b/>
              </w:rPr>
            </w:pPr>
            <w:r w:rsidRPr="00CA2C08">
              <w:rPr>
                <w:rFonts w:cstheme="minorHAnsi"/>
                <w:b/>
              </w:rPr>
              <w:t>6</w:t>
            </w:r>
            <w:r>
              <w:rPr>
                <w:rFonts w:cstheme="minorHAnsi"/>
                <w:b/>
              </w:rPr>
              <w:t>38</w:t>
            </w:r>
          </w:p>
        </w:tc>
        <w:tc>
          <w:tcPr>
            <w:tcW w:w="1975" w:type="dxa"/>
            <w:tcBorders>
              <w:top w:val="single" w:sz="6" w:space="0" w:color="008000"/>
            </w:tcBorders>
            <w:shd w:val="clear" w:color="auto" w:fill="auto"/>
          </w:tcPr>
          <w:p w14:paraId="2B7134EE" w14:textId="6F959062" w:rsidR="00A05F23" w:rsidRPr="00D16D0B" w:rsidRDefault="00A05F23" w:rsidP="00A05F23">
            <w:pPr>
              <w:rPr>
                <w:rFonts w:cstheme="minorHAnsi"/>
                <w:b/>
              </w:rPr>
            </w:pPr>
            <w:r w:rsidRPr="00D16D0B">
              <w:rPr>
                <w:rFonts w:cstheme="minorHAnsi"/>
                <w:b/>
              </w:rPr>
              <w:t>49</w:t>
            </w:r>
          </w:p>
        </w:tc>
      </w:tr>
    </w:tbl>
    <w:p w14:paraId="16978856" w14:textId="6FEAD998" w:rsidR="00BF4A58" w:rsidRPr="00BF4A58" w:rsidRDefault="00BF4A58" w:rsidP="000C09D1">
      <w:pPr>
        <w:pStyle w:val="Heading2"/>
      </w:pPr>
      <w:bookmarkStart w:id="23" w:name="_Toc32494916"/>
      <w:r>
        <w:t xml:space="preserve">GEF-7 Programming Contributions to Achieving the Aichi </w:t>
      </w:r>
      <w:r w:rsidR="00EB4191">
        <w:t xml:space="preserve">Biodiversity </w:t>
      </w:r>
      <w:r>
        <w:t>Targets</w:t>
      </w:r>
      <w:bookmarkEnd w:id="23"/>
    </w:p>
    <w:p w14:paraId="6D428E52" w14:textId="153ECBE6" w:rsidR="009260AD" w:rsidRDefault="00D7513D" w:rsidP="00665E66">
      <w:pPr>
        <w:pStyle w:val="ListParagraph"/>
        <w:numPr>
          <w:ilvl w:val="0"/>
          <w:numId w:val="25"/>
        </w:numPr>
        <w:spacing w:before="240" w:after="240" w:line="240" w:lineRule="auto"/>
        <w:ind w:left="0" w:firstLine="0"/>
        <w:contextualSpacing w:val="0"/>
        <w:rPr>
          <w:rFonts w:ascii="Calibri" w:hAnsi="Calibri" w:cs="Times New Roman"/>
          <w:sz w:val="24"/>
          <w:szCs w:val="24"/>
        </w:rPr>
      </w:pPr>
      <w:r w:rsidRPr="00683C13">
        <w:rPr>
          <w:rFonts w:ascii="Calibri" w:hAnsi="Calibri" w:cs="Times New Roman"/>
          <w:sz w:val="24"/>
          <w:szCs w:val="24"/>
        </w:rPr>
        <w:t xml:space="preserve">As depicted in </w:t>
      </w:r>
      <w:r w:rsidR="001867BB" w:rsidRPr="00683C13">
        <w:rPr>
          <w:rFonts w:ascii="Calibri" w:hAnsi="Calibri" w:cs="Times New Roman"/>
          <w:sz w:val="24"/>
          <w:szCs w:val="24"/>
        </w:rPr>
        <w:t>T</w:t>
      </w:r>
      <w:r w:rsidRPr="00683C13">
        <w:rPr>
          <w:rFonts w:ascii="Calibri" w:hAnsi="Calibri" w:cs="Times New Roman"/>
          <w:sz w:val="24"/>
          <w:szCs w:val="24"/>
        </w:rPr>
        <w:t xml:space="preserve">able </w:t>
      </w:r>
      <w:r w:rsidR="001867BB" w:rsidRPr="00683C13">
        <w:rPr>
          <w:rFonts w:ascii="Calibri" w:hAnsi="Calibri" w:cs="Times New Roman"/>
          <w:sz w:val="24"/>
          <w:szCs w:val="24"/>
        </w:rPr>
        <w:t>3</w:t>
      </w:r>
      <w:r w:rsidR="000D5052" w:rsidRPr="00683C13">
        <w:rPr>
          <w:rFonts w:ascii="Calibri" w:hAnsi="Calibri" w:cs="Times New Roman"/>
          <w:sz w:val="24"/>
          <w:szCs w:val="24"/>
        </w:rPr>
        <w:t xml:space="preserve"> </w:t>
      </w:r>
      <w:r w:rsidRPr="00683C13">
        <w:rPr>
          <w:rFonts w:ascii="Calibri" w:hAnsi="Calibri" w:cs="Times New Roman"/>
          <w:sz w:val="24"/>
          <w:szCs w:val="24"/>
        </w:rPr>
        <w:t>below, t</w:t>
      </w:r>
      <w:r w:rsidR="00FB355B" w:rsidRPr="00683C13">
        <w:rPr>
          <w:rFonts w:ascii="Calibri" w:hAnsi="Calibri" w:cs="Times New Roman"/>
          <w:sz w:val="24"/>
          <w:szCs w:val="24"/>
        </w:rPr>
        <w:t>he GEF-</w:t>
      </w:r>
      <w:r w:rsidR="00C83AA3" w:rsidRPr="00683C13">
        <w:rPr>
          <w:rFonts w:ascii="Calibri" w:hAnsi="Calibri" w:cs="Times New Roman"/>
          <w:sz w:val="24"/>
          <w:szCs w:val="24"/>
        </w:rPr>
        <w:t>7</w:t>
      </w:r>
      <w:r w:rsidR="00FB355B" w:rsidRPr="00683C13">
        <w:rPr>
          <w:rFonts w:ascii="Calibri" w:hAnsi="Calibri" w:cs="Times New Roman"/>
          <w:sz w:val="24"/>
          <w:szCs w:val="24"/>
        </w:rPr>
        <w:t xml:space="preserve"> biodiversity strategy is composed of </w:t>
      </w:r>
      <w:r w:rsidR="003641E4" w:rsidRPr="00683C13">
        <w:rPr>
          <w:rFonts w:ascii="Calibri" w:hAnsi="Calibri" w:cs="Times New Roman"/>
          <w:sz w:val="24"/>
          <w:szCs w:val="24"/>
        </w:rPr>
        <w:t xml:space="preserve">nine programming investment lines and </w:t>
      </w:r>
      <w:r w:rsidR="00FB355B" w:rsidRPr="00683C13">
        <w:rPr>
          <w:rFonts w:ascii="Calibri" w:hAnsi="Calibri" w:cs="Times New Roman"/>
          <w:sz w:val="24"/>
          <w:szCs w:val="24"/>
        </w:rPr>
        <w:t>programs that directly contribute</w:t>
      </w:r>
      <w:r w:rsidR="00C83AA3" w:rsidRPr="00683C13">
        <w:rPr>
          <w:rFonts w:ascii="Calibri" w:hAnsi="Calibri" w:cs="Times New Roman"/>
          <w:sz w:val="24"/>
          <w:szCs w:val="24"/>
        </w:rPr>
        <w:t xml:space="preserve"> </w:t>
      </w:r>
      <w:r w:rsidR="00FB355B" w:rsidRPr="00683C13">
        <w:rPr>
          <w:rFonts w:ascii="Calibri" w:hAnsi="Calibri" w:cs="Times New Roman"/>
          <w:sz w:val="24"/>
          <w:szCs w:val="24"/>
        </w:rPr>
        <w:t xml:space="preserve">to implementing the Strategic Plan for Biodiversity 2010-2020 and achieving the Aichi Biodiversity Targets through a </w:t>
      </w:r>
      <w:r w:rsidR="00FB355B" w:rsidRPr="00683C13">
        <w:rPr>
          <w:rFonts w:ascii="Calibri" w:hAnsi="Calibri" w:cs="Times New Roman"/>
          <w:sz w:val="24"/>
          <w:szCs w:val="24"/>
        </w:rPr>
        <w:lastRenderedPageBreak/>
        <w:t xml:space="preserve">continuum of measures that address the most critical drivers of biodiversity loss across entire landscapes and seascapes. </w:t>
      </w:r>
      <w:r w:rsidR="003112BD" w:rsidRPr="00683C13">
        <w:rPr>
          <w:rFonts w:ascii="Calibri" w:hAnsi="Calibri" w:cs="Times New Roman"/>
          <w:sz w:val="24"/>
          <w:szCs w:val="24"/>
        </w:rPr>
        <w:t xml:space="preserve"> In their entirety, the set of programming options included in the strategy respond directly to the GEF-7 </w:t>
      </w:r>
      <w:r w:rsidR="00E81FFB">
        <w:rPr>
          <w:rFonts w:ascii="Calibri" w:hAnsi="Calibri" w:cs="Times New Roman"/>
          <w:sz w:val="24"/>
          <w:szCs w:val="24"/>
        </w:rPr>
        <w:t>f</w:t>
      </w:r>
      <w:r w:rsidR="003112BD" w:rsidRPr="00683C13">
        <w:rPr>
          <w:rFonts w:ascii="Calibri" w:hAnsi="Calibri" w:cs="Times New Roman"/>
          <w:sz w:val="24"/>
          <w:szCs w:val="24"/>
        </w:rPr>
        <w:t xml:space="preserve">our-year </w:t>
      </w:r>
      <w:r w:rsidR="00E81FFB">
        <w:rPr>
          <w:rFonts w:ascii="Calibri" w:hAnsi="Calibri" w:cs="Times New Roman"/>
          <w:sz w:val="24"/>
          <w:szCs w:val="24"/>
        </w:rPr>
        <w:t>f</w:t>
      </w:r>
      <w:r w:rsidR="003112BD" w:rsidRPr="00683C13">
        <w:rPr>
          <w:rFonts w:ascii="Calibri" w:hAnsi="Calibri" w:cs="Times New Roman"/>
          <w:sz w:val="24"/>
          <w:szCs w:val="24"/>
        </w:rPr>
        <w:t xml:space="preserve">ramework of </w:t>
      </w:r>
      <w:r w:rsidR="00E81FFB">
        <w:rPr>
          <w:rFonts w:ascii="Calibri" w:hAnsi="Calibri" w:cs="Times New Roman"/>
          <w:sz w:val="24"/>
          <w:szCs w:val="24"/>
        </w:rPr>
        <w:t>p</w:t>
      </w:r>
      <w:r w:rsidR="003112BD" w:rsidRPr="00683C13">
        <w:rPr>
          <w:rFonts w:ascii="Calibri" w:hAnsi="Calibri" w:cs="Times New Roman"/>
          <w:sz w:val="24"/>
          <w:szCs w:val="24"/>
        </w:rPr>
        <w:t xml:space="preserve">rogram </w:t>
      </w:r>
      <w:r w:rsidR="00E81FFB">
        <w:rPr>
          <w:rFonts w:ascii="Calibri" w:hAnsi="Calibri" w:cs="Times New Roman"/>
          <w:sz w:val="24"/>
          <w:szCs w:val="24"/>
        </w:rPr>
        <w:t>p</w:t>
      </w:r>
      <w:r w:rsidR="003112BD" w:rsidRPr="00683C13">
        <w:rPr>
          <w:rFonts w:ascii="Calibri" w:hAnsi="Calibri" w:cs="Times New Roman"/>
          <w:sz w:val="24"/>
          <w:szCs w:val="24"/>
        </w:rPr>
        <w:t>riorities as well as the Strategic Plan for Biodiversity, 2011-2020, particularly with regards to the increasingly important biodiversity mainstreaming agenda.</w:t>
      </w:r>
      <w:r w:rsidRPr="00683C13">
        <w:rPr>
          <w:rFonts w:ascii="Calibri" w:hAnsi="Calibri" w:cs="Times New Roman"/>
          <w:sz w:val="24"/>
          <w:szCs w:val="24"/>
        </w:rPr>
        <w:t xml:space="preserve"> </w:t>
      </w:r>
    </w:p>
    <w:p w14:paraId="21C163AD" w14:textId="7A93E884" w:rsidR="0010018C" w:rsidRPr="00683C13" w:rsidRDefault="00D7513D" w:rsidP="00665E66">
      <w:pPr>
        <w:pStyle w:val="ListParagraph"/>
        <w:numPr>
          <w:ilvl w:val="0"/>
          <w:numId w:val="25"/>
        </w:numPr>
        <w:spacing w:before="240" w:after="240" w:line="240" w:lineRule="auto"/>
        <w:ind w:left="0" w:firstLine="0"/>
        <w:contextualSpacing w:val="0"/>
        <w:rPr>
          <w:rFonts w:ascii="Calibri" w:hAnsi="Calibri" w:cs="Times New Roman"/>
          <w:sz w:val="24"/>
          <w:szCs w:val="24"/>
        </w:rPr>
      </w:pPr>
      <w:r w:rsidRPr="00665E66">
        <w:rPr>
          <w:snapToGrid w:val="0"/>
          <w:sz w:val="24"/>
          <w:szCs w:val="24"/>
        </w:rPr>
        <w:t xml:space="preserve">In addition, programming options </w:t>
      </w:r>
      <w:r w:rsidR="00E13928" w:rsidRPr="00665E66">
        <w:rPr>
          <w:snapToGrid w:val="0"/>
          <w:sz w:val="24"/>
          <w:szCs w:val="24"/>
        </w:rPr>
        <w:t xml:space="preserve">include </w:t>
      </w:r>
      <w:r w:rsidR="000D5052" w:rsidRPr="00665E66">
        <w:rPr>
          <w:snapToGrid w:val="0"/>
          <w:sz w:val="24"/>
          <w:szCs w:val="24"/>
        </w:rPr>
        <w:t>investments through Impact Programs capable of</w:t>
      </w:r>
      <w:r w:rsidR="000D5052" w:rsidRPr="00683C13">
        <w:rPr>
          <w:rFonts w:ascii="Calibri" w:hAnsi="Calibri" w:cs="Times New Roman"/>
          <w:sz w:val="24"/>
          <w:szCs w:val="24"/>
        </w:rPr>
        <w:t xml:space="preserve"> delivering more returns per unit of investment by seeking systemic responses to problems that emerge from more than one sector. They will make significant and synergistic contributions to the GEF-7 </w:t>
      </w:r>
      <w:r w:rsidR="00747FA5">
        <w:rPr>
          <w:rFonts w:ascii="Calibri" w:hAnsi="Calibri" w:cs="Times New Roman"/>
          <w:sz w:val="24"/>
          <w:szCs w:val="24"/>
        </w:rPr>
        <w:t>f</w:t>
      </w:r>
      <w:r w:rsidR="000D5052" w:rsidRPr="00683C13">
        <w:rPr>
          <w:rFonts w:ascii="Calibri" w:hAnsi="Calibri" w:cs="Times New Roman"/>
          <w:sz w:val="24"/>
          <w:szCs w:val="24"/>
        </w:rPr>
        <w:t>our-year f</w:t>
      </w:r>
      <w:r w:rsidR="00273B2C" w:rsidRPr="00683C13">
        <w:rPr>
          <w:rFonts w:ascii="Calibri" w:hAnsi="Calibri" w:cs="Times New Roman"/>
          <w:sz w:val="24"/>
          <w:szCs w:val="24"/>
        </w:rPr>
        <w:t>r</w:t>
      </w:r>
      <w:r w:rsidR="000D5052" w:rsidRPr="00683C13">
        <w:rPr>
          <w:rFonts w:ascii="Calibri" w:hAnsi="Calibri" w:cs="Times New Roman"/>
          <w:sz w:val="24"/>
          <w:szCs w:val="24"/>
        </w:rPr>
        <w:t>amework of program priorities and the associated expected outcomes as agreed at COP 13.</w:t>
      </w:r>
    </w:p>
    <w:p w14:paraId="20EB795D" w14:textId="53CFB06B" w:rsidR="00273B2C" w:rsidRPr="00AF1807" w:rsidRDefault="00273B2C" w:rsidP="00CB6102">
      <w:pPr>
        <w:pStyle w:val="Para1"/>
        <w:numPr>
          <w:ilvl w:val="0"/>
          <w:numId w:val="0"/>
        </w:numPr>
        <w:spacing w:before="240" w:after="240"/>
        <w:jc w:val="center"/>
        <w:rPr>
          <w:rFonts w:ascii="Calibri" w:hAnsi="Calibri" w:cs="Times New Roman"/>
          <w:b/>
          <w:sz w:val="24"/>
          <w:szCs w:val="24"/>
          <w:lang w:val="en-US"/>
        </w:rPr>
      </w:pPr>
      <w:r w:rsidRPr="00AF1807">
        <w:rPr>
          <w:rFonts w:ascii="Calibri" w:hAnsi="Calibri" w:cs="Times New Roman"/>
          <w:b/>
          <w:sz w:val="24"/>
          <w:szCs w:val="24"/>
          <w:lang w:val="en-US"/>
        </w:rPr>
        <w:t xml:space="preserve">Table </w:t>
      </w:r>
      <w:r w:rsidR="001867BB" w:rsidRPr="00AF1807">
        <w:rPr>
          <w:rFonts w:ascii="Calibri" w:hAnsi="Calibri" w:cs="Times New Roman"/>
          <w:b/>
          <w:sz w:val="24"/>
          <w:szCs w:val="24"/>
          <w:lang w:val="en-US"/>
        </w:rPr>
        <w:t>3. Biodiversity</w:t>
      </w:r>
      <w:r w:rsidR="001867BB" w:rsidRPr="00273B2C">
        <w:rPr>
          <w:rFonts w:ascii="Calibri" w:hAnsi="Calibri" w:cs="Times New Roman"/>
          <w:b/>
          <w:sz w:val="24"/>
          <w:szCs w:val="24"/>
          <w:lang w:val="en-US"/>
        </w:rPr>
        <w:t xml:space="preserve"> Strategy Objectives and Programming Lines</w:t>
      </w:r>
    </w:p>
    <w:tbl>
      <w:tblPr>
        <w:tblStyle w:val="TableGrid"/>
        <w:tblW w:w="0" w:type="auto"/>
        <w:tblLook w:val="04A0" w:firstRow="1" w:lastRow="0" w:firstColumn="1" w:lastColumn="0" w:noHBand="0" w:noVBand="1"/>
      </w:tblPr>
      <w:tblGrid>
        <w:gridCol w:w="1795"/>
        <w:gridCol w:w="7555"/>
      </w:tblGrid>
      <w:tr w:rsidR="00273B2C" w:rsidRPr="00273B2C" w14:paraId="2DA71236" w14:textId="77777777" w:rsidTr="008354E6">
        <w:tc>
          <w:tcPr>
            <w:tcW w:w="9350" w:type="dxa"/>
            <w:gridSpan w:val="2"/>
          </w:tcPr>
          <w:p w14:paraId="71CBAC8A" w14:textId="3C7D3896" w:rsidR="00273B2C" w:rsidRPr="00655498" w:rsidRDefault="00273B2C" w:rsidP="00A238C7">
            <w:pPr>
              <w:spacing w:after="40"/>
              <w:jc w:val="center"/>
              <w:rPr>
                <w:b/>
              </w:rPr>
            </w:pPr>
            <w:bookmarkStart w:id="24" w:name="_Hlk26452414"/>
            <w:r w:rsidRPr="00655498">
              <w:rPr>
                <w:b/>
              </w:rPr>
              <w:t>B</w:t>
            </w:r>
            <w:r w:rsidR="003169FD">
              <w:rPr>
                <w:b/>
              </w:rPr>
              <w:t>iodiversity</w:t>
            </w:r>
            <w:r w:rsidRPr="00655498">
              <w:rPr>
                <w:b/>
              </w:rPr>
              <w:t xml:space="preserve"> Strategy Objectives and Programming Lines</w:t>
            </w:r>
          </w:p>
        </w:tc>
      </w:tr>
      <w:tr w:rsidR="00273B2C" w:rsidRPr="00D52A9D" w14:paraId="27F1F77A" w14:textId="77777777" w:rsidTr="00D52A9D">
        <w:tc>
          <w:tcPr>
            <w:tcW w:w="9350" w:type="dxa"/>
            <w:gridSpan w:val="2"/>
            <w:shd w:val="clear" w:color="auto" w:fill="auto"/>
          </w:tcPr>
          <w:p w14:paraId="7D7260A1" w14:textId="77777777" w:rsidR="00273B2C" w:rsidRPr="00D52A9D" w:rsidRDefault="00273B2C" w:rsidP="00A238C7">
            <w:pPr>
              <w:spacing w:after="40"/>
              <w:rPr>
                <w:b/>
              </w:rPr>
            </w:pPr>
            <w:r w:rsidRPr="00D52A9D">
              <w:rPr>
                <w:b/>
              </w:rPr>
              <w:t xml:space="preserve">Objective 1. Mainstream biodiversity across sectors as well as landscapes and seascapes </w:t>
            </w:r>
          </w:p>
        </w:tc>
      </w:tr>
      <w:tr w:rsidR="00273B2C" w:rsidRPr="00273B2C" w14:paraId="76A9FE1D" w14:textId="77777777" w:rsidTr="00010A23">
        <w:tc>
          <w:tcPr>
            <w:tcW w:w="1795" w:type="dxa"/>
          </w:tcPr>
          <w:p w14:paraId="08AFC7E2" w14:textId="77777777" w:rsidR="00273B2C" w:rsidRPr="00273B2C" w:rsidRDefault="00273B2C" w:rsidP="00273B2C">
            <w:r w:rsidRPr="00273B2C">
              <w:t>1-1</w:t>
            </w:r>
          </w:p>
        </w:tc>
        <w:tc>
          <w:tcPr>
            <w:tcW w:w="7555" w:type="dxa"/>
          </w:tcPr>
          <w:p w14:paraId="5A93E44B" w14:textId="77777777" w:rsidR="00273B2C" w:rsidRPr="00273B2C" w:rsidRDefault="00273B2C" w:rsidP="00A238C7">
            <w:pPr>
              <w:spacing w:after="40"/>
            </w:pPr>
            <w:r w:rsidRPr="00273B2C">
              <w:t>Biodiversity Mainstreaming in Priority Sectors</w:t>
            </w:r>
          </w:p>
        </w:tc>
      </w:tr>
      <w:tr w:rsidR="00273B2C" w:rsidRPr="00273B2C" w14:paraId="7801969B" w14:textId="77777777" w:rsidTr="00010A23">
        <w:tc>
          <w:tcPr>
            <w:tcW w:w="1795" w:type="dxa"/>
          </w:tcPr>
          <w:p w14:paraId="72869BD0" w14:textId="77777777" w:rsidR="00273B2C" w:rsidRPr="00273B2C" w:rsidRDefault="00273B2C" w:rsidP="00273B2C">
            <w:r w:rsidRPr="00273B2C">
              <w:t>1-2a</w:t>
            </w:r>
          </w:p>
        </w:tc>
        <w:tc>
          <w:tcPr>
            <w:tcW w:w="7555" w:type="dxa"/>
          </w:tcPr>
          <w:p w14:paraId="31146F60" w14:textId="77777777" w:rsidR="00273B2C" w:rsidRPr="00273B2C" w:rsidRDefault="00273B2C" w:rsidP="00A238C7">
            <w:pPr>
              <w:spacing w:after="40"/>
            </w:pPr>
            <w:r w:rsidRPr="00273B2C">
              <w:t>Global Wildlife Program-Preventing the Extinction of Known Threatened Species</w:t>
            </w:r>
          </w:p>
        </w:tc>
      </w:tr>
      <w:tr w:rsidR="00273B2C" w:rsidRPr="00273B2C" w14:paraId="1DC394A6" w14:textId="77777777" w:rsidTr="00010A23">
        <w:tc>
          <w:tcPr>
            <w:tcW w:w="1795" w:type="dxa"/>
          </w:tcPr>
          <w:p w14:paraId="6FFBA540" w14:textId="77777777" w:rsidR="00273B2C" w:rsidRPr="00273B2C" w:rsidRDefault="00273B2C" w:rsidP="00273B2C">
            <w:r w:rsidRPr="00273B2C">
              <w:t>1-2b</w:t>
            </w:r>
          </w:p>
        </w:tc>
        <w:tc>
          <w:tcPr>
            <w:tcW w:w="7555" w:type="dxa"/>
          </w:tcPr>
          <w:p w14:paraId="23FF8CA6" w14:textId="77777777" w:rsidR="00273B2C" w:rsidRPr="00273B2C" w:rsidRDefault="00273B2C" w:rsidP="00A238C7">
            <w:pPr>
              <w:spacing w:after="40"/>
            </w:pPr>
            <w:r w:rsidRPr="00273B2C">
              <w:t>Global Wildlife Program-Wildlife for Sustainable Development</w:t>
            </w:r>
          </w:p>
        </w:tc>
      </w:tr>
      <w:tr w:rsidR="00273B2C" w:rsidRPr="00273B2C" w14:paraId="72D4CE57" w14:textId="77777777" w:rsidTr="00010A23">
        <w:tc>
          <w:tcPr>
            <w:tcW w:w="1795" w:type="dxa"/>
          </w:tcPr>
          <w:p w14:paraId="732A5DB2" w14:textId="77777777" w:rsidR="00273B2C" w:rsidRPr="00273B2C" w:rsidRDefault="00273B2C" w:rsidP="00273B2C">
            <w:r w:rsidRPr="00273B2C">
              <w:t>1-3</w:t>
            </w:r>
          </w:p>
        </w:tc>
        <w:tc>
          <w:tcPr>
            <w:tcW w:w="7555" w:type="dxa"/>
          </w:tcPr>
          <w:p w14:paraId="3B597B1D" w14:textId="77777777" w:rsidR="00273B2C" w:rsidRPr="00273B2C" w:rsidRDefault="00273B2C" w:rsidP="00A238C7">
            <w:pPr>
              <w:spacing w:after="40"/>
            </w:pPr>
            <w:r w:rsidRPr="00273B2C">
              <w:t>Natural Capital Assessment and Accounting</w:t>
            </w:r>
          </w:p>
        </w:tc>
      </w:tr>
      <w:tr w:rsidR="00273B2C" w:rsidRPr="00273B2C" w14:paraId="60D10EF9" w14:textId="77777777" w:rsidTr="00010A23">
        <w:tc>
          <w:tcPr>
            <w:tcW w:w="1795" w:type="dxa"/>
          </w:tcPr>
          <w:p w14:paraId="68FCD265" w14:textId="77777777" w:rsidR="00273B2C" w:rsidRPr="00273B2C" w:rsidRDefault="00273B2C" w:rsidP="00273B2C">
            <w:r w:rsidRPr="00273B2C">
              <w:t>1-4</w:t>
            </w:r>
          </w:p>
        </w:tc>
        <w:tc>
          <w:tcPr>
            <w:tcW w:w="7555" w:type="dxa"/>
          </w:tcPr>
          <w:p w14:paraId="46205105" w14:textId="77777777" w:rsidR="00273B2C" w:rsidRPr="00273B2C" w:rsidRDefault="00273B2C" w:rsidP="00A238C7">
            <w:pPr>
              <w:spacing w:after="40"/>
            </w:pPr>
            <w:r w:rsidRPr="00273B2C">
              <w:t>Sustainable Use of Plant and Animal Genetic Resources</w:t>
            </w:r>
          </w:p>
        </w:tc>
      </w:tr>
      <w:tr w:rsidR="00273B2C" w:rsidRPr="00273B2C" w14:paraId="52046363" w14:textId="77777777" w:rsidTr="00010A23">
        <w:tc>
          <w:tcPr>
            <w:tcW w:w="1795" w:type="dxa"/>
          </w:tcPr>
          <w:p w14:paraId="4F383E59" w14:textId="77777777" w:rsidR="00273B2C" w:rsidRPr="00273B2C" w:rsidRDefault="00273B2C" w:rsidP="00273B2C">
            <w:r w:rsidRPr="00273B2C">
              <w:t>1-5</w:t>
            </w:r>
          </w:p>
        </w:tc>
        <w:tc>
          <w:tcPr>
            <w:tcW w:w="7555" w:type="dxa"/>
          </w:tcPr>
          <w:p w14:paraId="3BBCB8A5" w14:textId="77777777" w:rsidR="00273B2C" w:rsidRPr="00273B2C" w:rsidRDefault="00273B2C" w:rsidP="00A238C7">
            <w:pPr>
              <w:spacing w:after="40"/>
            </w:pPr>
            <w:r w:rsidRPr="00273B2C">
              <w:t>Inclusive Conservation</w:t>
            </w:r>
          </w:p>
        </w:tc>
      </w:tr>
      <w:tr w:rsidR="00273B2C" w:rsidRPr="00273B2C" w14:paraId="28EC7FCC" w14:textId="77777777" w:rsidTr="00010A23">
        <w:tc>
          <w:tcPr>
            <w:tcW w:w="1795" w:type="dxa"/>
          </w:tcPr>
          <w:p w14:paraId="0D65B7D1" w14:textId="77777777" w:rsidR="00273B2C" w:rsidRPr="00273B2C" w:rsidRDefault="00273B2C" w:rsidP="00273B2C">
            <w:r w:rsidRPr="00273B2C">
              <w:t>Other related FAs</w:t>
            </w:r>
          </w:p>
        </w:tc>
        <w:tc>
          <w:tcPr>
            <w:tcW w:w="7555" w:type="dxa"/>
          </w:tcPr>
          <w:p w14:paraId="12498127" w14:textId="77777777" w:rsidR="00273B2C" w:rsidRPr="00273B2C" w:rsidRDefault="00273B2C" w:rsidP="00A238C7">
            <w:pPr>
              <w:spacing w:after="40"/>
            </w:pPr>
            <w:r w:rsidRPr="00273B2C">
              <w:t>International Waters Focal Area/Sustainable Fisheries</w:t>
            </w:r>
          </w:p>
        </w:tc>
      </w:tr>
      <w:tr w:rsidR="00273B2C" w:rsidRPr="00273B2C" w14:paraId="4BA7FD7A" w14:textId="77777777" w:rsidTr="00010A23">
        <w:tc>
          <w:tcPr>
            <w:tcW w:w="1795" w:type="dxa"/>
          </w:tcPr>
          <w:p w14:paraId="13EF8BA8" w14:textId="45773A1A" w:rsidR="00273B2C" w:rsidRPr="00273B2C" w:rsidRDefault="00273B2C" w:rsidP="00273B2C">
            <w:r>
              <w:t>Impact Programs</w:t>
            </w:r>
          </w:p>
        </w:tc>
        <w:tc>
          <w:tcPr>
            <w:tcW w:w="7555" w:type="dxa"/>
          </w:tcPr>
          <w:p w14:paraId="67CD57A3" w14:textId="77777777" w:rsidR="00273B2C" w:rsidRPr="00273B2C" w:rsidRDefault="00273B2C" w:rsidP="00A238C7">
            <w:pPr>
              <w:spacing w:after="40"/>
            </w:pPr>
            <w:r w:rsidRPr="00273B2C">
              <w:t>Food Systems, Land Use &amp; Restoration Impact Program (FOLUR)</w:t>
            </w:r>
          </w:p>
        </w:tc>
      </w:tr>
      <w:tr w:rsidR="00273B2C" w:rsidRPr="00273B2C" w14:paraId="29B44016" w14:textId="77777777" w:rsidTr="00010A23">
        <w:tc>
          <w:tcPr>
            <w:tcW w:w="1795" w:type="dxa"/>
          </w:tcPr>
          <w:p w14:paraId="06B4156E" w14:textId="77777777" w:rsidR="00273B2C" w:rsidRPr="00273B2C" w:rsidRDefault="00273B2C" w:rsidP="00273B2C"/>
        </w:tc>
        <w:tc>
          <w:tcPr>
            <w:tcW w:w="7555" w:type="dxa"/>
          </w:tcPr>
          <w:p w14:paraId="45A6C3D9" w14:textId="77777777" w:rsidR="00273B2C" w:rsidRPr="00273B2C" w:rsidRDefault="00273B2C" w:rsidP="00A238C7">
            <w:pPr>
              <w:spacing w:after="40"/>
            </w:pPr>
            <w:r w:rsidRPr="00273B2C">
              <w:t>Sustainable Cities Impact Program</w:t>
            </w:r>
          </w:p>
        </w:tc>
      </w:tr>
      <w:tr w:rsidR="00273B2C" w:rsidRPr="00273B2C" w14:paraId="07D43426" w14:textId="77777777" w:rsidTr="00010A23">
        <w:tc>
          <w:tcPr>
            <w:tcW w:w="1795" w:type="dxa"/>
          </w:tcPr>
          <w:p w14:paraId="030B672F" w14:textId="77777777" w:rsidR="00273B2C" w:rsidRPr="00273B2C" w:rsidRDefault="00273B2C" w:rsidP="00273B2C"/>
        </w:tc>
        <w:tc>
          <w:tcPr>
            <w:tcW w:w="7555" w:type="dxa"/>
          </w:tcPr>
          <w:p w14:paraId="67822BB9" w14:textId="77777777" w:rsidR="00273B2C" w:rsidRPr="00273B2C" w:rsidRDefault="00273B2C" w:rsidP="00A238C7">
            <w:pPr>
              <w:spacing w:after="40"/>
            </w:pPr>
            <w:r w:rsidRPr="00273B2C">
              <w:t xml:space="preserve">Sustainable Forest Management Impact Program </w:t>
            </w:r>
          </w:p>
        </w:tc>
      </w:tr>
      <w:tr w:rsidR="00273B2C" w:rsidRPr="00D52A9D" w14:paraId="4A7CC188" w14:textId="77777777" w:rsidTr="00D52A9D">
        <w:tc>
          <w:tcPr>
            <w:tcW w:w="9350" w:type="dxa"/>
            <w:gridSpan w:val="2"/>
            <w:shd w:val="clear" w:color="auto" w:fill="auto"/>
          </w:tcPr>
          <w:p w14:paraId="72E15B69" w14:textId="77777777" w:rsidR="00273B2C" w:rsidRPr="00D52A9D" w:rsidRDefault="00273B2C" w:rsidP="00A238C7">
            <w:pPr>
              <w:spacing w:after="40"/>
              <w:rPr>
                <w:b/>
              </w:rPr>
            </w:pPr>
            <w:r w:rsidRPr="00D52A9D">
              <w:rPr>
                <w:b/>
              </w:rPr>
              <w:t>Objective 2. Address direct drivers to protect habitat and species</w:t>
            </w:r>
          </w:p>
        </w:tc>
      </w:tr>
      <w:tr w:rsidR="00273B2C" w:rsidRPr="00273B2C" w14:paraId="5FC8B1C6" w14:textId="77777777" w:rsidTr="00010A23">
        <w:tc>
          <w:tcPr>
            <w:tcW w:w="1795" w:type="dxa"/>
          </w:tcPr>
          <w:p w14:paraId="2F1957F2" w14:textId="77777777" w:rsidR="00273B2C" w:rsidRPr="00273B2C" w:rsidRDefault="00273B2C" w:rsidP="00273B2C">
            <w:r w:rsidRPr="00273B2C">
              <w:t>2-6</w:t>
            </w:r>
          </w:p>
        </w:tc>
        <w:tc>
          <w:tcPr>
            <w:tcW w:w="7555" w:type="dxa"/>
          </w:tcPr>
          <w:p w14:paraId="7A4FBB13" w14:textId="77777777" w:rsidR="00273B2C" w:rsidRPr="00273B2C" w:rsidRDefault="00273B2C" w:rsidP="00A238C7">
            <w:pPr>
              <w:spacing w:after="40"/>
            </w:pPr>
            <w:r w:rsidRPr="00273B2C">
              <w:t>Prevention, Control and Management of Invasive Alien Species</w:t>
            </w:r>
          </w:p>
        </w:tc>
      </w:tr>
      <w:tr w:rsidR="00273B2C" w:rsidRPr="00273B2C" w14:paraId="5B204998" w14:textId="77777777" w:rsidTr="00010A23">
        <w:tc>
          <w:tcPr>
            <w:tcW w:w="1795" w:type="dxa"/>
          </w:tcPr>
          <w:p w14:paraId="3158EC18" w14:textId="77777777" w:rsidR="00273B2C" w:rsidRPr="00273B2C" w:rsidRDefault="00273B2C" w:rsidP="00273B2C">
            <w:r w:rsidRPr="00273B2C">
              <w:t>2-7</w:t>
            </w:r>
          </w:p>
        </w:tc>
        <w:tc>
          <w:tcPr>
            <w:tcW w:w="7555" w:type="dxa"/>
          </w:tcPr>
          <w:p w14:paraId="3B663587" w14:textId="77777777" w:rsidR="00273B2C" w:rsidRPr="00273B2C" w:rsidRDefault="00273B2C" w:rsidP="00A238C7">
            <w:pPr>
              <w:spacing w:after="40"/>
            </w:pPr>
            <w:r w:rsidRPr="00273B2C">
              <w:t>Improving Financial Sustainability, Effective Management, and Ecosystem Coverage of the Global Protected Area Estate</w:t>
            </w:r>
          </w:p>
        </w:tc>
      </w:tr>
      <w:tr w:rsidR="00010A23" w:rsidRPr="00273B2C" w14:paraId="3B08F8CA" w14:textId="77777777" w:rsidTr="00010A23">
        <w:tc>
          <w:tcPr>
            <w:tcW w:w="1795" w:type="dxa"/>
          </w:tcPr>
          <w:p w14:paraId="3169A2D3" w14:textId="3D12371C" w:rsidR="00010A23" w:rsidRPr="00273B2C" w:rsidRDefault="00010A23" w:rsidP="00770366">
            <w:r>
              <w:t>Impact Programs</w:t>
            </w:r>
          </w:p>
        </w:tc>
        <w:tc>
          <w:tcPr>
            <w:tcW w:w="7555" w:type="dxa"/>
          </w:tcPr>
          <w:p w14:paraId="3C985530" w14:textId="77777777" w:rsidR="00010A23" w:rsidRPr="00273B2C" w:rsidRDefault="00010A23" w:rsidP="00A238C7">
            <w:pPr>
              <w:spacing w:after="40"/>
            </w:pPr>
            <w:r w:rsidRPr="00273B2C">
              <w:t xml:space="preserve">Sustainable Forest Management Impact Program </w:t>
            </w:r>
          </w:p>
        </w:tc>
      </w:tr>
      <w:tr w:rsidR="00273B2C" w:rsidRPr="00273B2C" w14:paraId="254A17C3" w14:textId="77777777" w:rsidTr="00010A23">
        <w:tc>
          <w:tcPr>
            <w:tcW w:w="1795" w:type="dxa"/>
          </w:tcPr>
          <w:p w14:paraId="00B425FD" w14:textId="77777777" w:rsidR="00273B2C" w:rsidRPr="00273B2C" w:rsidRDefault="00273B2C" w:rsidP="00273B2C">
            <w:r w:rsidRPr="00273B2C">
              <w:t>Other related FAs</w:t>
            </w:r>
          </w:p>
        </w:tc>
        <w:tc>
          <w:tcPr>
            <w:tcW w:w="7555" w:type="dxa"/>
          </w:tcPr>
          <w:p w14:paraId="1A21FF41" w14:textId="77777777" w:rsidR="00273B2C" w:rsidRPr="00273B2C" w:rsidRDefault="00273B2C" w:rsidP="00A238C7">
            <w:pPr>
              <w:spacing w:after="40"/>
            </w:pPr>
            <w:r w:rsidRPr="00273B2C">
              <w:t>International Waters Focal Area/Coastal and Marine Protected Areas</w:t>
            </w:r>
          </w:p>
        </w:tc>
      </w:tr>
      <w:tr w:rsidR="00273B2C" w:rsidRPr="00D52A9D" w14:paraId="5B2FCEB9" w14:textId="77777777" w:rsidTr="005E3305">
        <w:tc>
          <w:tcPr>
            <w:tcW w:w="9350" w:type="dxa"/>
            <w:gridSpan w:val="2"/>
            <w:shd w:val="clear" w:color="auto" w:fill="auto"/>
          </w:tcPr>
          <w:p w14:paraId="267E6D32" w14:textId="77777777" w:rsidR="00273B2C" w:rsidRPr="00D52A9D" w:rsidRDefault="00273B2C" w:rsidP="00A238C7">
            <w:pPr>
              <w:spacing w:after="40"/>
              <w:rPr>
                <w:b/>
              </w:rPr>
            </w:pPr>
            <w:r w:rsidRPr="00D52A9D">
              <w:rPr>
                <w:b/>
              </w:rPr>
              <w:t>Objective 3. Further develop biodiversity policy and institutional frameworks</w:t>
            </w:r>
          </w:p>
        </w:tc>
      </w:tr>
      <w:tr w:rsidR="00273B2C" w:rsidRPr="00273B2C" w14:paraId="1D58D3CB" w14:textId="77777777" w:rsidTr="00010A23">
        <w:tc>
          <w:tcPr>
            <w:tcW w:w="1795" w:type="dxa"/>
          </w:tcPr>
          <w:p w14:paraId="541A7033" w14:textId="77777777" w:rsidR="00273B2C" w:rsidRPr="00273B2C" w:rsidRDefault="00273B2C" w:rsidP="00273B2C">
            <w:r w:rsidRPr="00273B2C">
              <w:t>3-8</w:t>
            </w:r>
          </w:p>
        </w:tc>
        <w:tc>
          <w:tcPr>
            <w:tcW w:w="7555" w:type="dxa"/>
          </w:tcPr>
          <w:p w14:paraId="154F46B9" w14:textId="77777777" w:rsidR="00273B2C" w:rsidRPr="00273B2C" w:rsidRDefault="00273B2C" w:rsidP="00A238C7">
            <w:pPr>
              <w:spacing w:after="40"/>
            </w:pPr>
            <w:r w:rsidRPr="00273B2C">
              <w:t>Implement the Cartagena Protocol on Biosafety</w:t>
            </w:r>
          </w:p>
        </w:tc>
      </w:tr>
      <w:tr w:rsidR="00273B2C" w:rsidRPr="00273B2C" w14:paraId="16926671" w14:textId="77777777" w:rsidTr="00010A23">
        <w:tc>
          <w:tcPr>
            <w:tcW w:w="1795" w:type="dxa"/>
          </w:tcPr>
          <w:p w14:paraId="73C1C924" w14:textId="77777777" w:rsidR="00273B2C" w:rsidRPr="00273B2C" w:rsidRDefault="00273B2C" w:rsidP="00273B2C">
            <w:r w:rsidRPr="00273B2C">
              <w:t>3-9</w:t>
            </w:r>
          </w:p>
        </w:tc>
        <w:tc>
          <w:tcPr>
            <w:tcW w:w="7555" w:type="dxa"/>
          </w:tcPr>
          <w:p w14:paraId="6C4E6555" w14:textId="77777777" w:rsidR="00273B2C" w:rsidRPr="00273B2C" w:rsidRDefault="00273B2C" w:rsidP="00A238C7">
            <w:pPr>
              <w:spacing w:after="40"/>
            </w:pPr>
            <w:r w:rsidRPr="00273B2C">
              <w:t>Implement the Nagoya Protocol on Access and Benefit Sharing</w:t>
            </w:r>
          </w:p>
        </w:tc>
      </w:tr>
      <w:tr w:rsidR="00273B2C" w:rsidRPr="00273B2C" w14:paraId="02373F39" w14:textId="77777777" w:rsidTr="00010A23">
        <w:tc>
          <w:tcPr>
            <w:tcW w:w="1795" w:type="dxa"/>
          </w:tcPr>
          <w:p w14:paraId="0970BA92" w14:textId="5469ED99" w:rsidR="00273B2C" w:rsidRPr="00273B2C" w:rsidRDefault="00273B2C" w:rsidP="00273B2C">
            <w:r w:rsidRPr="00273B2C">
              <w:t>E</w:t>
            </w:r>
            <w:r w:rsidR="001867BB">
              <w:t>nabling Activities</w:t>
            </w:r>
          </w:p>
        </w:tc>
        <w:tc>
          <w:tcPr>
            <w:tcW w:w="7555" w:type="dxa"/>
          </w:tcPr>
          <w:p w14:paraId="44B22B63" w14:textId="77777777" w:rsidR="00273B2C" w:rsidRPr="00273B2C" w:rsidRDefault="00273B2C" w:rsidP="00A238C7">
            <w:pPr>
              <w:spacing w:after="40"/>
            </w:pPr>
            <w:r w:rsidRPr="00273B2C">
              <w:t xml:space="preserve">Improve Biodiversity Policy, Planning, and Review </w:t>
            </w:r>
          </w:p>
        </w:tc>
      </w:tr>
    </w:tbl>
    <w:bookmarkEnd w:id="24"/>
    <w:p w14:paraId="77624563" w14:textId="77777777" w:rsidR="00FD6C6A" w:rsidRDefault="00FB355B" w:rsidP="00CA5440">
      <w:pPr>
        <w:pStyle w:val="ListParagraph"/>
        <w:numPr>
          <w:ilvl w:val="0"/>
          <w:numId w:val="25"/>
        </w:numPr>
        <w:spacing w:before="240" w:after="240" w:line="240" w:lineRule="auto"/>
        <w:ind w:left="0" w:firstLine="0"/>
        <w:contextualSpacing w:val="0"/>
        <w:rPr>
          <w:rFonts w:ascii="Calibri" w:hAnsi="Calibri" w:cs="Times New Roman"/>
          <w:sz w:val="24"/>
          <w:szCs w:val="24"/>
        </w:rPr>
      </w:pPr>
      <w:r>
        <w:rPr>
          <w:rFonts w:ascii="Calibri" w:hAnsi="Calibri" w:cs="Times New Roman"/>
          <w:sz w:val="24"/>
          <w:szCs w:val="24"/>
        </w:rPr>
        <w:t>W</w:t>
      </w:r>
      <w:r w:rsidRPr="00291886">
        <w:rPr>
          <w:rFonts w:ascii="Calibri" w:hAnsi="Calibri" w:cs="Times New Roman"/>
          <w:sz w:val="24"/>
          <w:szCs w:val="24"/>
        </w:rPr>
        <w:t xml:space="preserve">hereas some GEF biodiversity </w:t>
      </w:r>
      <w:r w:rsidR="00426C1D">
        <w:rPr>
          <w:rFonts w:ascii="Calibri" w:hAnsi="Calibri" w:cs="Times New Roman"/>
          <w:sz w:val="24"/>
          <w:szCs w:val="24"/>
        </w:rPr>
        <w:t>in</w:t>
      </w:r>
      <w:r w:rsidR="00E75AD0">
        <w:rPr>
          <w:rFonts w:ascii="Calibri" w:hAnsi="Calibri" w:cs="Times New Roman"/>
          <w:sz w:val="24"/>
          <w:szCs w:val="24"/>
        </w:rPr>
        <w:t>vestments</w:t>
      </w:r>
      <w:r w:rsidRPr="00291886">
        <w:rPr>
          <w:rFonts w:ascii="Calibri" w:hAnsi="Calibri" w:cs="Times New Roman"/>
          <w:sz w:val="24"/>
          <w:szCs w:val="24"/>
        </w:rPr>
        <w:t xml:space="preserve"> have a one-to-one relationship to Aichi biodiversity targets</w:t>
      </w:r>
      <w:r w:rsidR="005A16AD">
        <w:rPr>
          <w:rFonts w:ascii="Calibri" w:hAnsi="Calibri" w:cs="Times New Roman"/>
          <w:sz w:val="24"/>
          <w:szCs w:val="24"/>
        </w:rPr>
        <w:t>,</w:t>
      </w:r>
      <w:r w:rsidRPr="00291886">
        <w:rPr>
          <w:rFonts w:ascii="Calibri" w:hAnsi="Calibri" w:cs="Times New Roman"/>
          <w:sz w:val="24"/>
          <w:szCs w:val="24"/>
        </w:rPr>
        <w:t xml:space="preserve"> such as Target 11 on protected areas, others contribute to </w:t>
      </w:r>
      <w:r>
        <w:rPr>
          <w:rFonts w:ascii="Calibri" w:hAnsi="Calibri" w:cs="Times New Roman"/>
          <w:sz w:val="24"/>
          <w:szCs w:val="24"/>
        </w:rPr>
        <w:t>multiple</w:t>
      </w:r>
      <w:r w:rsidRPr="00291886">
        <w:rPr>
          <w:rFonts w:ascii="Calibri" w:hAnsi="Calibri" w:cs="Times New Roman"/>
          <w:sz w:val="24"/>
          <w:szCs w:val="24"/>
        </w:rPr>
        <w:t xml:space="preserve"> Aichi targets making </w:t>
      </w:r>
      <w:r>
        <w:rPr>
          <w:rFonts w:ascii="Calibri" w:hAnsi="Calibri" w:cs="Times New Roman"/>
          <w:sz w:val="24"/>
          <w:szCs w:val="24"/>
        </w:rPr>
        <w:t xml:space="preserve">the reporting of </w:t>
      </w:r>
      <w:r w:rsidRPr="00291886">
        <w:rPr>
          <w:rFonts w:ascii="Calibri" w:hAnsi="Calibri" w:cs="Times New Roman"/>
          <w:sz w:val="24"/>
          <w:szCs w:val="24"/>
        </w:rPr>
        <w:t>resource allocation per target very challenging. This is particularly true in the realm of biodiversity mainstreaming</w:t>
      </w:r>
      <w:r w:rsidR="00E75AD0">
        <w:rPr>
          <w:rFonts w:ascii="Calibri" w:hAnsi="Calibri" w:cs="Times New Roman"/>
          <w:sz w:val="24"/>
          <w:szCs w:val="24"/>
        </w:rPr>
        <w:t xml:space="preserve"> </w:t>
      </w:r>
      <w:r w:rsidRPr="00291886">
        <w:rPr>
          <w:rFonts w:ascii="Calibri" w:hAnsi="Calibri" w:cs="Times New Roman"/>
          <w:sz w:val="24"/>
          <w:szCs w:val="24"/>
        </w:rPr>
        <w:t xml:space="preserve">where an analysis of the resources invested on a dollar basis in biodiversity mainstreaming projects revealed that GEF project </w:t>
      </w:r>
      <w:r w:rsidRPr="00291886">
        <w:rPr>
          <w:rFonts w:ascii="Calibri" w:hAnsi="Calibri" w:cs="Times New Roman"/>
          <w:sz w:val="24"/>
          <w:szCs w:val="24"/>
        </w:rPr>
        <w:lastRenderedPageBreak/>
        <w:t xml:space="preserve">activities often contribute to more than one Aichi biodiversity target given the integrated nature of these investments and the description of the targets themselves. </w:t>
      </w:r>
    </w:p>
    <w:p w14:paraId="76B13B76" w14:textId="100CD4AA" w:rsidR="00FB355B" w:rsidRDefault="00FB355B" w:rsidP="00CA5440">
      <w:pPr>
        <w:pStyle w:val="ListParagraph"/>
        <w:numPr>
          <w:ilvl w:val="0"/>
          <w:numId w:val="25"/>
        </w:numPr>
        <w:spacing w:before="240" w:after="240" w:line="240" w:lineRule="auto"/>
        <w:ind w:left="0" w:firstLine="0"/>
        <w:contextualSpacing w:val="0"/>
        <w:rPr>
          <w:rFonts w:ascii="Calibri" w:hAnsi="Calibri" w:cs="Times New Roman"/>
          <w:sz w:val="24"/>
          <w:szCs w:val="24"/>
        </w:rPr>
      </w:pPr>
      <w:r w:rsidRPr="00291886">
        <w:rPr>
          <w:rFonts w:ascii="Calibri" w:hAnsi="Calibri" w:cs="Times New Roman"/>
          <w:sz w:val="24"/>
          <w:szCs w:val="24"/>
        </w:rPr>
        <w:t>For the sake of the presentation of programming resources in the following tables,</w:t>
      </w:r>
      <w:r>
        <w:rPr>
          <w:rFonts w:ascii="Calibri" w:hAnsi="Calibri" w:cs="Times New Roman"/>
          <w:sz w:val="24"/>
          <w:szCs w:val="24"/>
        </w:rPr>
        <w:t xml:space="preserve"> </w:t>
      </w:r>
      <w:r w:rsidR="00A41B94">
        <w:rPr>
          <w:rFonts w:ascii="Calibri" w:hAnsi="Calibri" w:cs="Times New Roman"/>
          <w:sz w:val="24"/>
          <w:szCs w:val="24"/>
        </w:rPr>
        <w:t>some</w:t>
      </w:r>
      <w:r w:rsidRPr="00291886">
        <w:rPr>
          <w:rFonts w:ascii="Calibri" w:hAnsi="Calibri" w:cs="Times New Roman"/>
          <w:sz w:val="24"/>
          <w:szCs w:val="24"/>
        </w:rPr>
        <w:t xml:space="preserve"> targets </w:t>
      </w:r>
      <w:r>
        <w:rPr>
          <w:rFonts w:ascii="Calibri" w:hAnsi="Calibri" w:cs="Times New Roman"/>
          <w:sz w:val="24"/>
          <w:szCs w:val="24"/>
        </w:rPr>
        <w:t>are clustered</w:t>
      </w:r>
      <w:r w:rsidRPr="00291886">
        <w:rPr>
          <w:rFonts w:ascii="Calibri" w:hAnsi="Calibri" w:cs="Times New Roman"/>
          <w:sz w:val="24"/>
          <w:szCs w:val="24"/>
        </w:rPr>
        <w:t xml:space="preserve"> together and have not </w:t>
      </w:r>
      <w:r>
        <w:rPr>
          <w:rFonts w:ascii="Calibri" w:hAnsi="Calibri" w:cs="Times New Roman"/>
          <w:sz w:val="24"/>
          <w:szCs w:val="24"/>
        </w:rPr>
        <w:t xml:space="preserve">been </w:t>
      </w:r>
      <w:r w:rsidRPr="00291886">
        <w:rPr>
          <w:rFonts w:ascii="Calibri" w:hAnsi="Calibri" w:cs="Times New Roman"/>
          <w:sz w:val="24"/>
          <w:szCs w:val="24"/>
        </w:rPr>
        <w:t xml:space="preserve">disaggregated </w:t>
      </w:r>
      <w:r>
        <w:rPr>
          <w:rFonts w:ascii="Calibri" w:hAnsi="Calibri" w:cs="Times New Roman"/>
          <w:sz w:val="24"/>
          <w:szCs w:val="24"/>
        </w:rPr>
        <w:t xml:space="preserve">by </w:t>
      </w:r>
      <w:r w:rsidRPr="00291886">
        <w:rPr>
          <w:rFonts w:ascii="Calibri" w:hAnsi="Calibri" w:cs="Times New Roman"/>
          <w:sz w:val="24"/>
          <w:szCs w:val="24"/>
        </w:rPr>
        <w:t xml:space="preserve">the total amount of resources invested on a target by target basis.  </w:t>
      </w:r>
    </w:p>
    <w:p w14:paraId="412B029A" w14:textId="465AE843" w:rsidR="00DF0624" w:rsidRDefault="00895320" w:rsidP="00CA5440">
      <w:pPr>
        <w:pStyle w:val="ListParagraph"/>
        <w:numPr>
          <w:ilvl w:val="0"/>
          <w:numId w:val="25"/>
        </w:numPr>
        <w:spacing w:before="240" w:after="240" w:line="240" w:lineRule="auto"/>
        <w:ind w:left="0" w:firstLine="0"/>
        <w:contextualSpacing w:val="0"/>
      </w:pPr>
      <w:r w:rsidRPr="00895320">
        <w:rPr>
          <w:rFonts w:ascii="Calibri" w:hAnsi="Calibri" w:cs="Times New Roman"/>
          <w:bCs/>
          <w:sz w:val="24"/>
          <w:szCs w:val="24"/>
        </w:rPr>
        <w:t>T</w:t>
      </w:r>
      <w:r w:rsidR="00523A45">
        <w:rPr>
          <w:rFonts w:ascii="Calibri" w:hAnsi="Calibri" w:cs="Times New Roman"/>
          <w:bCs/>
          <w:sz w:val="24"/>
          <w:szCs w:val="24"/>
        </w:rPr>
        <w:t xml:space="preserve">able </w:t>
      </w:r>
      <w:r w:rsidR="00FD6C6A">
        <w:rPr>
          <w:rFonts w:ascii="Calibri" w:hAnsi="Calibri" w:cs="Times New Roman"/>
          <w:bCs/>
          <w:sz w:val="24"/>
          <w:szCs w:val="24"/>
        </w:rPr>
        <w:t>4</w:t>
      </w:r>
      <w:r w:rsidR="00523A45">
        <w:rPr>
          <w:rFonts w:ascii="Calibri" w:hAnsi="Calibri" w:cs="Times New Roman"/>
          <w:bCs/>
          <w:sz w:val="24"/>
          <w:szCs w:val="24"/>
        </w:rPr>
        <w:t xml:space="preserve"> below </w:t>
      </w:r>
      <w:r w:rsidRPr="00895320">
        <w:rPr>
          <w:rFonts w:ascii="Calibri" w:hAnsi="Calibri" w:cs="Times New Roman"/>
          <w:bCs/>
          <w:sz w:val="24"/>
          <w:szCs w:val="24"/>
        </w:rPr>
        <w:t xml:space="preserve">presents </w:t>
      </w:r>
      <w:bookmarkStart w:id="25" w:name="_Hlk32178128"/>
      <w:r w:rsidRPr="00895320">
        <w:rPr>
          <w:rFonts w:ascii="Calibri" w:hAnsi="Calibri" w:cs="Times New Roman"/>
          <w:bCs/>
          <w:sz w:val="24"/>
          <w:szCs w:val="24"/>
        </w:rPr>
        <w:t>the totality of</w:t>
      </w:r>
      <w:r w:rsidR="00B126F9">
        <w:rPr>
          <w:rFonts w:ascii="Calibri" w:hAnsi="Calibri" w:cs="Times New Roman"/>
          <w:bCs/>
          <w:sz w:val="24"/>
          <w:szCs w:val="24"/>
        </w:rPr>
        <w:t xml:space="preserve"> </w:t>
      </w:r>
      <w:r w:rsidR="008A78FA">
        <w:rPr>
          <w:rFonts w:ascii="Calibri" w:hAnsi="Calibri" w:cs="Times New Roman"/>
          <w:bCs/>
          <w:sz w:val="24"/>
          <w:szCs w:val="24"/>
        </w:rPr>
        <w:t>cumulative</w:t>
      </w:r>
      <w:r w:rsidRPr="00895320">
        <w:rPr>
          <w:rFonts w:ascii="Calibri" w:hAnsi="Calibri" w:cs="Times New Roman"/>
          <w:bCs/>
          <w:sz w:val="24"/>
          <w:szCs w:val="24"/>
        </w:rPr>
        <w:t xml:space="preserve"> </w:t>
      </w:r>
      <w:r w:rsidR="00523A45">
        <w:rPr>
          <w:rFonts w:ascii="Calibri" w:hAnsi="Calibri" w:cs="Times New Roman"/>
          <w:bCs/>
          <w:sz w:val="24"/>
          <w:szCs w:val="24"/>
        </w:rPr>
        <w:t xml:space="preserve">direct programming </w:t>
      </w:r>
      <w:r w:rsidR="0016400B">
        <w:rPr>
          <w:rFonts w:ascii="Calibri" w:hAnsi="Calibri" w:cs="Times New Roman"/>
          <w:bCs/>
          <w:sz w:val="24"/>
          <w:szCs w:val="24"/>
        </w:rPr>
        <w:t>contributions</w:t>
      </w:r>
      <w:r w:rsidR="008A78FA">
        <w:rPr>
          <w:rFonts w:ascii="Calibri" w:hAnsi="Calibri" w:cs="Times New Roman"/>
          <w:bCs/>
          <w:sz w:val="24"/>
          <w:szCs w:val="24"/>
        </w:rPr>
        <w:t xml:space="preserve"> from all GEF resources</w:t>
      </w:r>
      <w:r w:rsidR="004D3353">
        <w:rPr>
          <w:rFonts w:ascii="Calibri" w:hAnsi="Calibri" w:cs="Times New Roman"/>
          <w:bCs/>
          <w:sz w:val="24"/>
          <w:szCs w:val="24"/>
        </w:rPr>
        <w:t xml:space="preserve"> to the Aichi Biodiversity Targets</w:t>
      </w:r>
      <w:r w:rsidR="0016400B">
        <w:rPr>
          <w:rFonts w:ascii="Calibri" w:hAnsi="Calibri" w:cs="Times New Roman"/>
          <w:bCs/>
          <w:sz w:val="24"/>
          <w:szCs w:val="24"/>
        </w:rPr>
        <w:t xml:space="preserve"> from</w:t>
      </w:r>
      <w:r w:rsidR="004D3353">
        <w:rPr>
          <w:rFonts w:ascii="Calibri" w:hAnsi="Calibri" w:cs="Times New Roman"/>
          <w:bCs/>
          <w:sz w:val="24"/>
          <w:szCs w:val="24"/>
        </w:rPr>
        <w:t xml:space="preserve"> all</w:t>
      </w:r>
      <w:r w:rsidR="0016400B">
        <w:rPr>
          <w:rFonts w:ascii="Calibri" w:hAnsi="Calibri" w:cs="Times New Roman"/>
          <w:bCs/>
          <w:sz w:val="24"/>
          <w:szCs w:val="24"/>
        </w:rPr>
        <w:t xml:space="preserve"> the </w:t>
      </w:r>
      <w:r w:rsidR="004D3353">
        <w:rPr>
          <w:rFonts w:ascii="Calibri" w:hAnsi="Calibri" w:cs="Times New Roman"/>
          <w:bCs/>
          <w:sz w:val="24"/>
          <w:szCs w:val="24"/>
        </w:rPr>
        <w:t xml:space="preserve">relevant </w:t>
      </w:r>
      <w:r w:rsidR="0016400B">
        <w:rPr>
          <w:rFonts w:ascii="Calibri" w:hAnsi="Calibri" w:cs="Times New Roman"/>
          <w:bCs/>
          <w:sz w:val="24"/>
          <w:szCs w:val="24"/>
        </w:rPr>
        <w:t>programming lines in GEF-7</w:t>
      </w:r>
      <w:r w:rsidR="00543EEF">
        <w:rPr>
          <w:rFonts w:ascii="Calibri" w:hAnsi="Calibri" w:cs="Times New Roman"/>
          <w:bCs/>
          <w:sz w:val="24"/>
          <w:szCs w:val="24"/>
        </w:rPr>
        <w:t xml:space="preserve"> (biodiversity focal area strategy, </w:t>
      </w:r>
      <w:r w:rsidR="00543EEF" w:rsidRPr="00895320">
        <w:rPr>
          <w:rFonts w:ascii="Calibri" w:hAnsi="Calibri" w:cs="Times New Roman"/>
          <w:bCs/>
          <w:sz w:val="24"/>
          <w:szCs w:val="24"/>
        </w:rPr>
        <w:t xml:space="preserve">GEF-7 Impact Programs, the International Waters Focal Area, the Least Developed Countries Fund </w:t>
      </w:r>
      <w:r w:rsidR="007414D5">
        <w:rPr>
          <w:rFonts w:ascii="Calibri" w:hAnsi="Calibri" w:cs="Times New Roman"/>
          <w:bCs/>
          <w:sz w:val="24"/>
          <w:szCs w:val="24"/>
        </w:rPr>
        <w:t>(LDCF)</w:t>
      </w:r>
      <w:r w:rsidR="00543EEF" w:rsidRPr="00895320">
        <w:rPr>
          <w:rFonts w:ascii="Calibri" w:hAnsi="Calibri" w:cs="Times New Roman"/>
          <w:bCs/>
          <w:sz w:val="24"/>
          <w:szCs w:val="24"/>
        </w:rPr>
        <w:t xml:space="preserve"> for climate change adaptation, the Non-grant Instrument</w:t>
      </w:r>
      <w:r w:rsidR="004D3353">
        <w:rPr>
          <w:rFonts w:ascii="Calibri" w:hAnsi="Calibri" w:cs="Times New Roman"/>
          <w:bCs/>
          <w:sz w:val="24"/>
          <w:szCs w:val="24"/>
        </w:rPr>
        <w:t xml:space="preserve">, </w:t>
      </w:r>
      <w:r w:rsidR="00543EEF" w:rsidRPr="00895320">
        <w:rPr>
          <w:rFonts w:ascii="Calibri" w:hAnsi="Calibri" w:cs="Times New Roman"/>
          <w:bCs/>
          <w:sz w:val="24"/>
          <w:szCs w:val="24"/>
        </w:rPr>
        <w:t xml:space="preserve">and the Small Grants </w:t>
      </w:r>
      <w:proofErr w:type="spellStart"/>
      <w:r w:rsidR="00543EEF" w:rsidRPr="00D57450">
        <w:rPr>
          <w:rFonts w:ascii="Calibri" w:hAnsi="Calibri" w:cs="Times New Roman"/>
          <w:bCs/>
          <w:sz w:val="24"/>
          <w:szCs w:val="24"/>
        </w:rPr>
        <w:t>Programme</w:t>
      </w:r>
      <w:proofErr w:type="spellEnd"/>
      <w:r w:rsidR="00543EEF" w:rsidRPr="00D57450">
        <w:rPr>
          <w:rFonts w:ascii="Calibri" w:hAnsi="Calibri" w:cs="Times New Roman"/>
          <w:bCs/>
          <w:sz w:val="24"/>
          <w:szCs w:val="24"/>
        </w:rPr>
        <w:t>.</w:t>
      </w:r>
      <w:r w:rsidR="00115926" w:rsidRPr="00D57450">
        <w:rPr>
          <w:rFonts w:ascii="Calibri" w:hAnsi="Calibri" w:cs="Times New Roman"/>
          <w:bCs/>
          <w:sz w:val="24"/>
          <w:szCs w:val="24"/>
        </w:rPr>
        <w:t xml:space="preserve"> The total value of the GEF investment in the first 18 months of GEF-7</w:t>
      </w:r>
      <w:r w:rsidR="0026524A" w:rsidRPr="00D57450">
        <w:rPr>
          <w:rFonts w:ascii="Calibri" w:hAnsi="Calibri" w:cs="Times New Roman"/>
          <w:bCs/>
          <w:sz w:val="24"/>
          <w:szCs w:val="24"/>
        </w:rPr>
        <w:t xml:space="preserve"> was $1.0</w:t>
      </w:r>
      <w:r w:rsidR="00DE16C6" w:rsidRPr="00D57450">
        <w:rPr>
          <w:rFonts w:ascii="Calibri" w:hAnsi="Calibri" w:cs="Times New Roman"/>
          <w:bCs/>
          <w:sz w:val="24"/>
          <w:szCs w:val="24"/>
        </w:rPr>
        <w:t>56</w:t>
      </w:r>
      <w:r w:rsidR="0026524A" w:rsidRPr="00D57450">
        <w:rPr>
          <w:rFonts w:ascii="Calibri" w:hAnsi="Calibri" w:cs="Times New Roman"/>
          <w:bCs/>
          <w:sz w:val="24"/>
          <w:szCs w:val="24"/>
        </w:rPr>
        <w:t xml:space="preserve"> billion</w:t>
      </w:r>
      <w:r w:rsidR="00545ADD" w:rsidRPr="00D57450">
        <w:rPr>
          <w:rFonts w:ascii="Calibri" w:hAnsi="Calibri" w:cs="Times New Roman"/>
          <w:bCs/>
          <w:sz w:val="24"/>
          <w:szCs w:val="24"/>
        </w:rPr>
        <w:t>,</w:t>
      </w:r>
      <w:r w:rsidR="0026524A" w:rsidRPr="00D57450">
        <w:rPr>
          <w:rFonts w:ascii="Calibri" w:hAnsi="Calibri" w:cs="Times New Roman"/>
          <w:bCs/>
          <w:sz w:val="24"/>
          <w:szCs w:val="24"/>
        </w:rPr>
        <w:t xml:space="preserve"> which leveraged co</w:t>
      </w:r>
      <w:r w:rsidR="00545ADD" w:rsidRPr="00D57450">
        <w:rPr>
          <w:rFonts w:ascii="Calibri" w:hAnsi="Calibri" w:cs="Times New Roman"/>
          <w:bCs/>
          <w:sz w:val="24"/>
          <w:szCs w:val="24"/>
        </w:rPr>
        <w:t>-</w:t>
      </w:r>
      <w:r w:rsidR="0026524A" w:rsidRPr="00D57450">
        <w:rPr>
          <w:rFonts w:ascii="Calibri" w:hAnsi="Calibri" w:cs="Times New Roman"/>
          <w:bCs/>
          <w:sz w:val="24"/>
          <w:szCs w:val="24"/>
        </w:rPr>
        <w:t>financing of $</w:t>
      </w:r>
      <w:r w:rsidR="00D85A9C" w:rsidRPr="00D57450">
        <w:rPr>
          <w:rFonts w:ascii="Calibri" w:hAnsi="Calibri" w:cs="Times New Roman"/>
          <w:bCs/>
          <w:sz w:val="24"/>
          <w:szCs w:val="24"/>
        </w:rPr>
        <w:t>8.9</w:t>
      </w:r>
      <w:r w:rsidR="00CF02A1" w:rsidRPr="00D57450">
        <w:rPr>
          <w:rFonts w:ascii="Calibri" w:hAnsi="Calibri" w:cs="Times New Roman"/>
          <w:bCs/>
          <w:sz w:val="24"/>
          <w:szCs w:val="24"/>
        </w:rPr>
        <w:t>55</w:t>
      </w:r>
      <w:r w:rsidR="00164D58" w:rsidRPr="00D57450">
        <w:rPr>
          <w:rFonts w:ascii="Calibri" w:hAnsi="Calibri" w:cs="Times New Roman"/>
          <w:bCs/>
          <w:sz w:val="24"/>
          <w:szCs w:val="24"/>
        </w:rPr>
        <w:t xml:space="preserve"> billion for a total investment of $</w:t>
      </w:r>
      <w:r w:rsidR="00D85A9C" w:rsidRPr="00D57450">
        <w:rPr>
          <w:rFonts w:ascii="Calibri" w:hAnsi="Calibri" w:cs="Times New Roman"/>
          <w:bCs/>
          <w:sz w:val="24"/>
          <w:szCs w:val="24"/>
        </w:rPr>
        <w:t>10.</w:t>
      </w:r>
      <w:r w:rsidR="001847AE" w:rsidRPr="00D57450">
        <w:rPr>
          <w:rFonts w:ascii="Calibri" w:hAnsi="Calibri" w:cs="Times New Roman"/>
          <w:bCs/>
          <w:sz w:val="24"/>
          <w:szCs w:val="24"/>
        </w:rPr>
        <w:t>01</w:t>
      </w:r>
      <w:r w:rsidR="00164D58" w:rsidRPr="00D57450">
        <w:rPr>
          <w:rFonts w:ascii="Calibri" w:hAnsi="Calibri" w:cs="Times New Roman"/>
          <w:bCs/>
          <w:sz w:val="24"/>
          <w:szCs w:val="24"/>
        </w:rPr>
        <w:t xml:space="preserve"> billion.</w:t>
      </w:r>
    </w:p>
    <w:bookmarkEnd w:id="25"/>
    <w:p w14:paraId="62F321D3" w14:textId="44D315EF" w:rsidR="00102140" w:rsidRDefault="00DE0D6E" w:rsidP="00102140">
      <w:pPr>
        <w:spacing w:before="240" w:after="0" w:line="240" w:lineRule="auto"/>
        <w:jc w:val="center"/>
        <w:rPr>
          <w:b/>
          <w:sz w:val="24"/>
          <w:szCs w:val="24"/>
        </w:rPr>
      </w:pPr>
      <w:r w:rsidRPr="009F23A8">
        <w:rPr>
          <w:b/>
          <w:sz w:val="24"/>
          <w:szCs w:val="24"/>
        </w:rPr>
        <w:t xml:space="preserve">Table </w:t>
      </w:r>
      <w:r w:rsidR="00CA7643" w:rsidRPr="009F23A8">
        <w:rPr>
          <w:b/>
          <w:sz w:val="24"/>
          <w:szCs w:val="24"/>
        </w:rPr>
        <w:t>4</w:t>
      </w:r>
      <w:r w:rsidRPr="009F23A8">
        <w:rPr>
          <w:b/>
          <w:sz w:val="24"/>
          <w:szCs w:val="24"/>
        </w:rPr>
        <w:t>.  Cumulative Direct</w:t>
      </w:r>
      <w:r w:rsidR="00523A45" w:rsidRPr="009F23A8">
        <w:rPr>
          <w:b/>
          <w:sz w:val="24"/>
          <w:szCs w:val="24"/>
        </w:rPr>
        <w:t xml:space="preserve"> Programming</w:t>
      </w:r>
      <w:r w:rsidRPr="009F23A8">
        <w:rPr>
          <w:b/>
          <w:sz w:val="24"/>
          <w:szCs w:val="24"/>
        </w:rPr>
        <w:t xml:space="preserve"> Contribution of all GEF Resources to the Strategic Plan for Biodiversity 2011-2020 and the Aichi Biodiversity Targets</w:t>
      </w:r>
    </w:p>
    <w:p w14:paraId="0D86C9D7" w14:textId="6957A8C9" w:rsidR="00DE0D6E" w:rsidRPr="00E30D88" w:rsidRDefault="00DE0D6E" w:rsidP="00D722AE">
      <w:pPr>
        <w:spacing w:after="240" w:line="240" w:lineRule="auto"/>
        <w:jc w:val="center"/>
        <w:rPr>
          <w:b/>
          <w:sz w:val="24"/>
          <w:szCs w:val="24"/>
          <w:lang w:val="en-GB"/>
        </w:rPr>
      </w:pPr>
      <w:r w:rsidRPr="009F23A8">
        <w:rPr>
          <w:b/>
          <w:sz w:val="24"/>
          <w:szCs w:val="24"/>
        </w:rPr>
        <w:t>(July 1, 2018 to December 31, 2019)</w:t>
      </w:r>
      <w:r w:rsidRPr="009F23A8">
        <w:rPr>
          <w:b/>
          <w:sz w:val="24"/>
          <w:szCs w:val="24"/>
          <w:vertAlign w:val="superscript"/>
          <w:lang w:val="en-GB"/>
        </w:rPr>
        <w:footnoteReference w:id="7"/>
      </w:r>
    </w:p>
    <w:tbl>
      <w:tblPr>
        <w:tblW w:w="5000" w:type="pct"/>
        <w:tblBorders>
          <w:top w:val="single" w:sz="12" w:space="0" w:color="008000"/>
          <w:bottom w:val="single" w:sz="12" w:space="0" w:color="008000"/>
        </w:tblBorders>
        <w:tblLook w:val="04A0" w:firstRow="1" w:lastRow="0" w:firstColumn="1" w:lastColumn="0" w:noHBand="0" w:noVBand="1"/>
      </w:tblPr>
      <w:tblGrid>
        <w:gridCol w:w="1622"/>
        <w:gridCol w:w="1261"/>
        <w:gridCol w:w="1277"/>
        <w:gridCol w:w="1267"/>
        <w:gridCol w:w="1267"/>
        <w:gridCol w:w="1333"/>
        <w:gridCol w:w="1333"/>
      </w:tblGrid>
      <w:tr w:rsidR="00DE0D6E" w:rsidRPr="0055445F" w14:paraId="25874DF3" w14:textId="77777777" w:rsidTr="008C69DD">
        <w:trPr>
          <w:tblHeader/>
        </w:trPr>
        <w:tc>
          <w:tcPr>
            <w:tcW w:w="866" w:type="pct"/>
            <w:tcBorders>
              <w:bottom w:val="nil"/>
            </w:tcBorders>
            <w:shd w:val="clear" w:color="auto" w:fill="auto"/>
          </w:tcPr>
          <w:p w14:paraId="06F9EA37" w14:textId="77777777" w:rsidR="00DE0D6E" w:rsidRPr="006E1745" w:rsidRDefault="00DE0D6E" w:rsidP="00DE0D6E">
            <w:pPr>
              <w:rPr>
                <w:b/>
                <w:lang w:val="en-GB"/>
              </w:rPr>
            </w:pPr>
            <w:r w:rsidRPr="006E1745">
              <w:rPr>
                <w:b/>
                <w:lang w:val="en-GB"/>
              </w:rPr>
              <w:t>Funding Source</w:t>
            </w:r>
          </w:p>
        </w:tc>
        <w:tc>
          <w:tcPr>
            <w:tcW w:w="673" w:type="pct"/>
            <w:tcBorders>
              <w:bottom w:val="nil"/>
            </w:tcBorders>
            <w:shd w:val="clear" w:color="auto" w:fill="auto"/>
          </w:tcPr>
          <w:p w14:paraId="3C9B00CB" w14:textId="6F47BB2C" w:rsidR="00DE0D6E" w:rsidRPr="006E1745" w:rsidRDefault="00DE0D6E" w:rsidP="00DE0D6E">
            <w:pPr>
              <w:rPr>
                <w:b/>
                <w:lang w:val="en-GB"/>
              </w:rPr>
            </w:pPr>
            <w:r w:rsidRPr="006E1745">
              <w:rPr>
                <w:b/>
                <w:lang w:val="en-GB"/>
              </w:rPr>
              <w:t xml:space="preserve">GEF </w:t>
            </w:r>
            <w:r w:rsidR="006247E9" w:rsidRPr="006E1745">
              <w:rPr>
                <w:b/>
                <w:lang w:val="en-GB"/>
              </w:rPr>
              <w:t>P</w:t>
            </w:r>
            <w:r w:rsidRPr="006E1745">
              <w:rPr>
                <w:b/>
                <w:lang w:val="en-GB"/>
              </w:rPr>
              <w:t xml:space="preserve">roject </w:t>
            </w:r>
            <w:r w:rsidR="006247E9" w:rsidRPr="006E1745">
              <w:rPr>
                <w:b/>
                <w:lang w:val="en-GB"/>
              </w:rPr>
              <w:t>F</w:t>
            </w:r>
            <w:r w:rsidRPr="006E1745">
              <w:rPr>
                <w:b/>
                <w:lang w:val="en-GB"/>
              </w:rPr>
              <w:t xml:space="preserve">inancing </w:t>
            </w:r>
            <w:r w:rsidR="00974FAC" w:rsidRPr="006E1745">
              <w:rPr>
                <w:b/>
                <w:lang w:val="en-GB"/>
              </w:rPr>
              <w:br/>
            </w:r>
            <w:r w:rsidR="001A7C45" w:rsidRPr="006E1745">
              <w:rPr>
                <w:b/>
                <w:lang w:val="en-GB"/>
              </w:rPr>
              <w:t>(</w:t>
            </w:r>
            <w:r w:rsidRPr="006E1745">
              <w:rPr>
                <w:b/>
                <w:lang w:val="en-GB"/>
              </w:rPr>
              <w:t xml:space="preserve">$ million) </w:t>
            </w:r>
          </w:p>
        </w:tc>
        <w:tc>
          <w:tcPr>
            <w:tcW w:w="682" w:type="pct"/>
            <w:tcBorders>
              <w:bottom w:val="nil"/>
            </w:tcBorders>
            <w:shd w:val="clear" w:color="auto" w:fill="auto"/>
          </w:tcPr>
          <w:p w14:paraId="217A4A28" w14:textId="3DC82B5D" w:rsidR="00DE0D6E" w:rsidRPr="006E1745" w:rsidRDefault="00DE0D6E" w:rsidP="00DE0D6E">
            <w:pPr>
              <w:rPr>
                <w:b/>
                <w:lang w:val="en-GB"/>
              </w:rPr>
            </w:pPr>
            <w:r w:rsidRPr="006E1745">
              <w:rPr>
                <w:b/>
                <w:lang w:val="en-GB"/>
              </w:rPr>
              <w:t xml:space="preserve">% of GEF </w:t>
            </w:r>
            <w:r w:rsidR="006247E9" w:rsidRPr="006E1745">
              <w:rPr>
                <w:b/>
                <w:lang w:val="en-GB"/>
              </w:rPr>
              <w:t>Total P</w:t>
            </w:r>
            <w:r w:rsidR="00E56EB8" w:rsidRPr="006E1745">
              <w:rPr>
                <w:b/>
                <w:lang w:val="en-GB"/>
              </w:rPr>
              <w:t xml:space="preserve">roject </w:t>
            </w:r>
            <w:r w:rsidR="006247E9" w:rsidRPr="006E1745">
              <w:rPr>
                <w:b/>
                <w:lang w:val="en-GB"/>
              </w:rPr>
              <w:t>F</w:t>
            </w:r>
            <w:r w:rsidR="00E56EB8" w:rsidRPr="006E1745">
              <w:rPr>
                <w:b/>
                <w:lang w:val="en-GB"/>
              </w:rPr>
              <w:t>inancing</w:t>
            </w:r>
            <w:r w:rsidRPr="006E1745">
              <w:rPr>
                <w:b/>
                <w:lang w:val="en-GB"/>
              </w:rPr>
              <w:t xml:space="preserve">  </w:t>
            </w:r>
          </w:p>
        </w:tc>
        <w:tc>
          <w:tcPr>
            <w:tcW w:w="677" w:type="pct"/>
            <w:tcBorders>
              <w:bottom w:val="nil"/>
            </w:tcBorders>
            <w:shd w:val="clear" w:color="auto" w:fill="auto"/>
          </w:tcPr>
          <w:p w14:paraId="6B7BB546" w14:textId="4334682D" w:rsidR="00DE0D6E" w:rsidRPr="006E1745" w:rsidRDefault="002D582B" w:rsidP="00DE0D6E">
            <w:pPr>
              <w:rPr>
                <w:b/>
                <w:lang w:val="en-GB"/>
              </w:rPr>
            </w:pPr>
            <w:r w:rsidRPr="006E1745">
              <w:rPr>
                <w:b/>
                <w:lang w:val="en-GB"/>
              </w:rPr>
              <w:t>Co-financing</w:t>
            </w:r>
            <w:r w:rsidR="00DE0D6E" w:rsidRPr="006E1745">
              <w:rPr>
                <w:b/>
                <w:lang w:val="en-GB"/>
              </w:rPr>
              <w:t xml:space="preserve"> ($ million)</w:t>
            </w:r>
          </w:p>
        </w:tc>
        <w:tc>
          <w:tcPr>
            <w:tcW w:w="677" w:type="pct"/>
            <w:tcBorders>
              <w:bottom w:val="nil"/>
            </w:tcBorders>
            <w:shd w:val="clear" w:color="auto" w:fill="auto"/>
          </w:tcPr>
          <w:p w14:paraId="03E628FB" w14:textId="77777777" w:rsidR="00DE0D6E" w:rsidRPr="006E1745" w:rsidRDefault="00DE0D6E" w:rsidP="00DE0D6E">
            <w:pPr>
              <w:rPr>
                <w:b/>
                <w:lang w:val="en-GB"/>
              </w:rPr>
            </w:pPr>
            <w:r w:rsidRPr="006E1745">
              <w:rPr>
                <w:b/>
                <w:lang w:val="en-GB"/>
              </w:rPr>
              <w:t xml:space="preserve">% of Co-financing  </w:t>
            </w:r>
          </w:p>
        </w:tc>
        <w:tc>
          <w:tcPr>
            <w:tcW w:w="712" w:type="pct"/>
            <w:tcBorders>
              <w:bottom w:val="nil"/>
            </w:tcBorders>
            <w:shd w:val="clear" w:color="auto" w:fill="auto"/>
          </w:tcPr>
          <w:p w14:paraId="2FBEE40D" w14:textId="4C8D5493" w:rsidR="00DE0D6E" w:rsidRPr="006E1745" w:rsidRDefault="00DE0D6E" w:rsidP="00DE0D6E">
            <w:pPr>
              <w:rPr>
                <w:b/>
                <w:lang w:val="en-GB"/>
              </w:rPr>
            </w:pPr>
            <w:r w:rsidRPr="006E1745">
              <w:rPr>
                <w:b/>
                <w:lang w:val="en-GB"/>
              </w:rPr>
              <w:t>Total</w:t>
            </w:r>
            <w:r w:rsidRPr="006E1745">
              <w:rPr>
                <w:b/>
                <w:lang w:val="en-GB"/>
              </w:rPr>
              <w:br/>
              <w:t xml:space="preserve">(GEF Project Financing and </w:t>
            </w:r>
            <w:r w:rsidR="002D582B" w:rsidRPr="006E1745">
              <w:rPr>
                <w:b/>
                <w:lang w:val="en-GB"/>
              </w:rPr>
              <w:t>Co-financing</w:t>
            </w:r>
            <w:r w:rsidRPr="006E1745">
              <w:rPr>
                <w:b/>
                <w:lang w:val="en-GB"/>
              </w:rPr>
              <w:t xml:space="preserve">) </w:t>
            </w:r>
            <w:r w:rsidR="00974FAC" w:rsidRPr="006E1745">
              <w:rPr>
                <w:b/>
                <w:lang w:val="en-GB"/>
              </w:rPr>
              <w:br/>
            </w:r>
            <w:r w:rsidRPr="006E1745">
              <w:rPr>
                <w:b/>
                <w:lang w:val="en-GB"/>
              </w:rPr>
              <w:t>($ million)</w:t>
            </w:r>
          </w:p>
        </w:tc>
        <w:tc>
          <w:tcPr>
            <w:tcW w:w="712" w:type="pct"/>
            <w:tcBorders>
              <w:bottom w:val="nil"/>
            </w:tcBorders>
            <w:shd w:val="clear" w:color="auto" w:fill="auto"/>
          </w:tcPr>
          <w:p w14:paraId="493F8969" w14:textId="64F25727" w:rsidR="00DE0D6E" w:rsidRPr="006E1745" w:rsidRDefault="00DE0D6E" w:rsidP="00DE0D6E">
            <w:pPr>
              <w:rPr>
                <w:b/>
                <w:lang w:val="en-GB"/>
              </w:rPr>
            </w:pPr>
            <w:r w:rsidRPr="006E1745">
              <w:rPr>
                <w:b/>
                <w:lang w:val="en-GB"/>
              </w:rPr>
              <w:t xml:space="preserve">% of Total (GEF Project Financing and </w:t>
            </w:r>
            <w:r w:rsidR="002D582B" w:rsidRPr="006E1745">
              <w:rPr>
                <w:b/>
                <w:lang w:val="en-GB"/>
              </w:rPr>
              <w:t>Co-financing</w:t>
            </w:r>
            <w:r w:rsidRPr="006E1745">
              <w:rPr>
                <w:b/>
                <w:lang w:val="en-GB"/>
              </w:rPr>
              <w:t>)</w:t>
            </w:r>
          </w:p>
        </w:tc>
      </w:tr>
      <w:tr w:rsidR="002F3F78" w:rsidRPr="0055445F" w14:paraId="41AA6700" w14:textId="77777777" w:rsidTr="00A27713">
        <w:tc>
          <w:tcPr>
            <w:tcW w:w="866" w:type="pct"/>
            <w:tcBorders>
              <w:top w:val="single" w:sz="4" w:space="0" w:color="538135" w:themeColor="accent6" w:themeShade="BF"/>
              <w:left w:val="nil"/>
              <w:bottom w:val="nil"/>
              <w:right w:val="nil"/>
            </w:tcBorders>
            <w:shd w:val="clear" w:color="auto" w:fill="FFFFFF" w:themeFill="background1"/>
          </w:tcPr>
          <w:p w14:paraId="156F0FC3" w14:textId="2CA89317" w:rsidR="002F3F78" w:rsidRPr="0055445F" w:rsidRDefault="002F3F78" w:rsidP="002F3F78">
            <w:pPr>
              <w:rPr>
                <w:lang w:val="en-GB"/>
              </w:rPr>
            </w:pPr>
            <w:r w:rsidRPr="0055445F">
              <w:rPr>
                <w:lang w:val="en-GB"/>
              </w:rPr>
              <w:t>Biodiversity STAR allocations</w:t>
            </w:r>
            <w:r w:rsidRPr="0055445F">
              <w:rPr>
                <w:rStyle w:val="FootnoteReference"/>
                <w:lang w:val="en-GB"/>
              </w:rPr>
              <w:footnoteReference w:id="8"/>
            </w:r>
          </w:p>
        </w:tc>
        <w:tc>
          <w:tcPr>
            <w:tcW w:w="673" w:type="pct"/>
            <w:tcBorders>
              <w:top w:val="single" w:sz="4" w:space="0" w:color="538135" w:themeColor="accent6" w:themeShade="BF"/>
              <w:left w:val="nil"/>
              <w:bottom w:val="nil"/>
              <w:right w:val="nil"/>
            </w:tcBorders>
            <w:shd w:val="clear" w:color="auto" w:fill="FFFFFF" w:themeFill="background1"/>
          </w:tcPr>
          <w:p w14:paraId="60BC5F3D" w14:textId="697F999E" w:rsidR="002F3F78" w:rsidRPr="0055445F" w:rsidRDefault="002F3F78" w:rsidP="00E768FE">
            <w:pPr>
              <w:jc w:val="right"/>
              <w:rPr>
                <w:lang w:val="en-GB"/>
              </w:rPr>
            </w:pPr>
            <w:r w:rsidRPr="0055445F">
              <w:rPr>
                <w:lang w:val="en-GB"/>
              </w:rPr>
              <w:t>201.3</w:t>
            </w:r>
          </w:p>
        </w:tc>
        <w:tc>
          <w:tcPr>
            <w:tcW w:w="682" w:type="pct"/>
            <w:tcBorders>
              <w:top w:val="single" w:sz="4" w:space="0" w:color="538135" w:themeColor="accent6" w:themeShade="BF"/>
              <w:left w:val="nil"/>
              <w:bottom w:val="nil"/>
              <w:right w:val="nil"/>
            </w:tcBorders>
            <w:shd w:val="clear" w:color="auto" w:fill="FFFFFF" w:themeFill="background1"/>
          </w:tcPr>
          <w:p w14:paraId="359E983A" w14:textId="098D780B" w:rsidR="002F3F78" w:rsidRPr="0055445F" w:rsidRDefault="002F3F78" w:rsidP="00640CBE">
            <w:pPr>
              <w:jc w:val="right"/>
            </w:pPr>
            <w:r w:rsidRPr="0055445F">
              <w:rPr>
                <w:rFonts w:ascii="Calibri" w:hAnsi="Calibri" w:cs="Calibri"/>
                <w:color w:val="000000"/>
              </w:rPr>
              <w:t>19%</w:t>
            </w:r>
          </w:p>
        </w:tc>
        <w:tc>
          <w:tcPr>
            <w:tcW w:w="677" w:type="pct"/>
            <w:tcBorders>
              <w:top w:val="single" w:sz="4" w:space="0" w:color="538135" w:themeColor="accent6" w:themeShade="BF"/>
              <w:left w:val="nil"/>
              <w:bottom w:val="nil"/>
              <w:right w:val="nil"/>
            </w:tcBorders>
            <w:shd w:val="clear" w:color="auto" w:fill="FFFFFF" w:themeFill="background1"/>
          </w:tcPr>
          <w:p w14:paraId="2042C695" w14:textId="0B223607" w:rsidR="002F3F78" w:rsidRPr="0055445F" w:rsidRDefault="002F3F78" w:rsidP="00640CBE">
            <w:pPr>
              <w:jc w:val="right"/>
              <w:rPr>
                <w:lang w:val="en-GB"/>
              </w:rPr>
            </w:pPr>
            <w:r w:rsidRPr="0055445F">
              <w:rPr>
                <w:rFonts w:ascii="Calibri" w:hAnsi="Calibri" w:cs="Calibri"/>
                <w:color w:val="000000"/>
                <w:lang w:val="en-GB"/>
              </w:rPr>
              <w:t>1,428.6</w:t>
            </w:r>
          </w:p>
        </w:tc>
        <w:tc>
          <w:tcPr>
            <w:tcW w:w="677" w:type="pct"/>
            <w:tcBorders>
              <w:top w:val="single" w:sz="4" w:space="0" w:color="538135" w:themeColor="accent6" w:themeShade="BF"/>
              <w:left w:val="nil"/>
              <w:bottom w:val="nil"/>
              <w:right w:val="nil"/>
            </w:tcBorders>
            <w:shd w:val="clear" w:color="auto" w:fill="FFFFFF" w:themeFill="background1"/>
          </w:tcPr>
          <w:p w14:paraId="3CC90FFB" w14:textId="444F2B97" w:rsidR="002F3F78" w:rsidRPr="0055445F" w:rsidRDefault="002F3F78" w:rsidP="00640CBE">
            <w:pPr>
              <w:jc w:val="right"/>
            </w:pPr>
            <w:r w:rsidRPr="0055445F">
              <w:rPr>
                <w:rFonts w:ascii="Calibri" w:hAnsi="Calibri" w:cs="Calibri"/>
                <w:color w:val="000000"/>
              </w:rPr>
              <w:t>16%</w:t>
            </w:r>
          </w:p>
        </w:tc>
        <w:tc>
          <w:tcPr>
            <w:tcW w:w="712" w:type="pct"/>
            <w:tcBorders>
              <w:top w:val="single" w:sz="4" w:space="0" w:color="538135" w:themeColor="accent6" w:themeShade="BF"/>
              <w:left w:val="nil"/>
              <w:bottom w:val="nil"/>
              <w:right w:val="nil"/>
            </w:tcBorders>
            <w:shd w:val="clear" w:color="auto" w:fill="FFFFFF" w:themeFill="background1"/>
          </w:tcPr>
          <w:p w14:paraId="0876DF76" w14:textId="65A9CC5A" w:rsidR="002F3F78" w:rsidRPr="0055445F" w:rsidRDefault="002F3F78" w:rsidP="00640CBE">
            <w:pPr>
              <w:jc w:val="right"/>
              <w:rPr>
                <w:lang w:val="en-GB"/>
              </w:rPr>
            </w:pPr>
            <w:r w:rsidRPr="0055445F">
              <w:rPr>
                <w:rFonts w:ascii="Calibri" w:hAnsi="Calibri" w:cs="Calibri"/>
                <w:color w:val="000000"/>
                <w:lang w:val="en-GB"/>
              </w:rPr>
              <w:t>1,629.9</w:t>
            </w:r>
          </w:p>
        </w:tc>
        <w:tc>
          <w:tcPr>
            <w:tcW w:w="712" w:type="pct"/>
            <w:tcBorders>
              <w:top w:val="single" w:sz="4" w:space="0" w:color="538135" w:themeColor="accent6" w:themeShade="BF"/>
              <w:left w:val="nil"/>
              <w:bottom w:val="nil"/>
              <w:right w:val="nil"/>
            </w:tcBorders>
            <w:shd w:val="clear" w:color="auto" w:fill="FFFFFF" w:themeFill="background1"/>
          </w:tcPr>
          <w:p w14:paraId="53676C16" w14:textId="3F77B707" w:rsidR="002F3F78" w:rsidRPr="0055445F" w:rsidRDefault="002F3F78" w:rsidP="00640CBE">
            <w:pPr>
              <w:jc w:val="right"/>
            </w:pPr>
            <w:r w:rsidRPr="0055445F">
              <w:rPr>
                <w:rFonts w:ascii="Calibri" w:hAnsi="Calibri" w:cs="Calibri"/>
                <w:color w:val="000000"/>
              </w:rPr>
              <w:t>16%</w:t>
            </w:r>
          </w:p>
        </w:tc>
      </w:tr>
      <w:tr w:rsidR="002F3F78" w:rsidRPr="0055445F" w14:paraId="50CA5CEB" w14:textId="77777777" w:rsidTr="00E768FE">
        <w:tc>
          <w:tcPr>
            <w:tcW w:w="866" w:type="pct"/>
            <w:tcBorders>
              <w:top w:val="nil"/>
              <w:left w:val="nil"/>
              <w:bottom w:val="nil"/>
              <w:right w:val="nil"/>
            </w:tcBorders>
            <w:shd w:val="clear" w:color="auto" w:fill="auto"/>
          </w:tcPr>
          <w:p w14:paraId="0EBB2892" w14:textId="288F77A1" w:rsidR="002F3F78" w:rsidRPr="0055445F" w:rsidRDefault="002F3F78" w:rsidP="002F3F78">
            <w:pPr>
              <w:rPr>
                <w:lang w:val="en-GB"/>
              </w:rPr>
            </w:pPr>
            <w:r w:rsidRPr="0055445F">
              <w:rPr>
                <w:lang w:val="en-GB"/>
              </w:rPr>
              <w:t>Food, Land Use, Restoration Impact Program</w:t>
            </w:r>
          </w:p>
        </w:tc>
        <w:tc>
          <w:tcPr>
            <w:tcW w:w="673" w:type="pct"/>
            <w:tcBorders>
              <w:top w:val="nil"/>
              <w:left w:val="nil"/>
              <w:bottom w:val="nil"/>
              <w:right w:val="nil"/>
            </w:tcBorders>
            <w:shd w:val="clear" w:color="auto" w:fill="auto"/>
          </w:tcPr>
          <w:p w14:paraId="3D102AC0" w14:textId="77777777" w:rsidR="002F3F78" w:rsidRPr="0055445F" w:rsidRDefault="002F3F78" w:rsidP="00E768FE">
            <w:pPr>
              <w:jc w:val="right"/>
              <w:rPr>
                <w:lang w:val="en-GB"/>
              </w:rPr>
            </w:pPr>
            <w:r w:rsidRPr="0055445F">
              <w:rPr>
                <w:lang w:val="en-GB"/>
              </w:rPr>
              <w:t>281.2</w:t>
            </w:r>
          </w:p>
          <w:p w14:paraId="3044ED0E" w14:textId="2DB213FA" w:rsidR="002F3F78" w:rsidRPr="0055445F" w:rsidRDefault="002F3F78" w:rsidP="00E768FE">
            <w:pPr>
              <w:jc w:val="right"/>
              <w:rPr>
                <w:lang w:val="en-GB"/>
              </w:rPr>
            </w:pPr>
            <w:r w:rsidRPr="0055445F">
              <w:rPr>
                <w:lang w:val="en-GB"/>
              </w:rPr>
              <w:t>($95.3 million of biodiversity STAR allocations)</w:t>
            </w:r>
          </w:p>
        </w:tc>
        <w:tc>
          <w:tcPr>
            <w:tcW w:w="682" w:type="pct"/>
            <w:tcBorders>
              <w:top w:val="nil"/>
              <w:left w:val="nil"/>
              <w:bottom w:val="nil"/>
              <w:right w:val="nil"/>
            </w:tcBorders>
            <w:shd w:val="clear" w:color="auto" w:fill="auto"/>
          </w:tcPr>
          <w:p w14:paraId="413470B4" w14:textId="6EB554F1" w:rsidR="002F3F78" w:rsidRPr="0055445F" w:rsidRDefault="002F3F78" w:rsidP="00640CBE">
            <w:pPr>
              <w:jc w:val="right"/>
              <w:rPr>
                <w:lang w:val="en-GB"/>
              </w:rPr>
            </w:pPr>
            <w:r w:rsidRPr="0055445F">
              <w:rPr>
                <w:rFonts w:ascii="Calibri" w:hAnsi="Calibri" w:cs="Calibri"/>
                <w:color w:val="000000"/>
              </w:rPr>
              <w:t>27%</w:t>
            </w:r>
          </w:p>
        </w:tc>
        <w:tc>
          <w:tcPr>
            <w:tcW w:w="677" w:type="pct"/>
            <w:tcBorders>
              <w:top w:val="nil"/>
              <w:left w:val="nil"/>
              <w:bottom w:val="nil"/>
              <w:right w:val="nil"/>
            </w:tcBorders>
            <w:shd w:val="clear" w:color="auto" w:fill="auto"/>
          </w:tcPr>
          <w:p w14:paraId="5BD4F36E" w14:textId="3D8893BE" w:rsidR="002F3F78" w:rsidRPr="0055445F" w:rsidRDefault="002F3F78" w:rsidP="00640CBE">
            <w:pPr>
              <w:jc w:val="right"/>
              <w:rPr>
                <w:lang w:val="en-GB"/>
              </w:rPr>
            </w:pPr>
            <w:r w:rsidRPr="0055445F">
              <w:rPr>
                <w:rFonts w:ascii="Calibri" w:hAnsi="Calibri" w:cs="Calibri"/>
                <w:color w:val="000000"/>
                <w:lang w:val="en-GB"/>
              </w:rPr>
              <w:t>2,515.4</w:t>
            </w:r>
          </w:p>
        </w:tc>
        <w:tc>
          <w:tcPr>
            <w:tcW w:w="677" w:type="pct"/>
            <w:tcBorders>
              <w:top w:val="nil"/>
              <w:left w:val="nil"/>
              <w:bottom w:val="nil"/>
              <w:right w:val="nil"/>
            </w:tcBorders>
            <w:shd w:val="clear" w:color="auto" w:fill="auto"/>
          </w:tcPr>
          <w:p w14:paraId="70B1979F" w14:textId="3B98B2F8" w:rsidR="002F3F78" w:rsidRPr="0055445F" w:rsidRDefault="002F3F78" w:rsidP="00640CBE">
            <w:pPr>
              <w:jc w:val="right"/>
              <w:rPr>
                <w:lang w:val="en-GB"/>
              </w:rPr>
            </w:pPr>
            <w:r w:rsidRPr="0055445F">
              <w:rPr>
                <w:rFonts w:ascii="Calibri" w:hAnsi="Calibri" w:cs="Calibri"/>
                <w:color w:val="000000"/>
              </w:rPr>
              <w:t>28%</w:t>
            </w:r>
          </w:p>
        </w:tc>
        <w:tc>
          <w:tcPr>
            <w:tcW w:w="712" w:type="pct"/>
            <w:tcBorders>
              <w:top w:val="nil"/>
              <w:left w:val="nil"/>
              <w:bottom w:val="nil"/>
              <w:right w:val="nil"/>
            </w:tcBorders>
            <w:shd w:val="clear" w:color="auto" w:fill="auto"/>
          </w:tcPr>
          <w:p w14:paraId="37688332" w14:textId="7EAE92B1" w:rsidR="00C82F50" w:rsidRPr="0055445F" w:rsidRDefault="00C82F50" w:rsidP="00640CBE">
            <w:pPr>
              <w:jc w:val="right"/>
              <w:rPr>
                <w:rFonts w:ascii="Calibri" w:hAnsi="Calibri" w:cs="Calibri"/>
                <w:color w:val="000000"/>
                <w:lang w:val="en-GB"/>
              </w:rPr>
            </w:pPr>
            <w:r w:rsidRPr="0055445F">
              <w:rPr>
                <w:rFonts w:ascii="Calibri" w:hAnsi="Calibri" w:cs="Calibri"/>
                <w:color w:val="000000"/>
                <w:lang w:val="en-GB"/>
              </w:rPr>
              <w:t>2796.6</w:t>
            </w:r>
          </w:p>
          <w:p w14:paraId="2DB86389" w14:textId="288D3D26" w:rsidR="002F3F78" w:rsidRPr="0055445F" w:rsidRDefault="002F3F78" w:rsidP="00640CBE">
            <w:pPr>
              <w:jc w:val="right"/>
              <w:rPr>
                <w:lang w:val="en-GB"/>
              </w:rPr>
            </w:pPr>
          </w:p>
        </w:tc>
        <w:tc>
          <w:tcPr>
            <w:tcW w:w="712" w:type="pct"/>
            <w:tcBorders>
              <w:top w:val="nil"/>
              <w:left w:val="nil"/>
              <w:bottom w:val="nil"/>
              <w:right w:val="nil"/>
            </w:tcBorders>
            <w:shd w:val="clear" w:color="auto" w:fill="auto"/>
          </w:tcPr>
          <w:p w14:paraId="49A4C29A" w14:textId="3D8B9674" w:rsidR="002F3F78" w:rsidRPr="0055445F" w:rsidRDefault="002F3F78" w:rsidP="00640CBE">
            <w:pPr>
              <w:jc w:val="right"/>
              <w:rPr>
                <w:lang w:val="en-GB"/>
              </w:rPr>
            </w:pPr>
            <w:r w:rsidRPr="0055445F">
              <w:rPr>
                <w:rFonts w:ascii="Calibri" w:hAnsi="Calibri" w:cs="Calibri"/>
                <w:color w:val="000000"/>
              </w:rPr>
              <w:t>28%</w:t>
            </w:r>
          </w:p>
        </w:tc>
      </w:tr>
      <w:tr w:rsidR="002F3F78" w:rsidRPr="0055445F" w14:paraId="339A1609" w14:textId="77777777" w:rsidTr="00E768FE">
        <w:tc>
          <w:tcPr>
            <w:tcW w:w="866" w:type="pct"/>
            <w:tcBorders>
              <w:top w:val="nil"/>
              <w:left w:val="nil"/>
              <w:bottom w:val="nil"/>
              <w:right w:val="nil"/>
            </w:tcBorders>
            <w:shd w:val="clear" w:color="auto" w:fill="auto"/>
          </w:tcPr>
          <w:p w14:paraId="1974748C" w14:textId="7441E2BB" w:rsidR="002F3F78" w:rsidRPr="0055445F" w:rsidRDefault="002F3F78" w:rsidP="002F3F78">
            <w:pPr>
              <w:rPr>
                <w:lang w:val="en-GB"/>
              </w:rPr>
            </w:pPr>
            <w:r w:rsidRPr="0055445F">
              <w:rPr>
                <w:lang w:val="en-GB"/>
              </w:rPr>
              <w:t xml:space="preserve">Sustainable Forest Management </w:t>
            </w:r>
            <w:r w:rsidRPr="0055445F">
              <w:rPr>
                <w:lang w:val="en-GB"/>
              </w:rPr>
              <w:lastRenderedPageBreak/>
              <w:t>Impact Program</w:t>
            </w:r>
          </w:p>
        </w:tc>
        <w:tc>
          <w:tcPr>
            <w:tcW w:w="673" w:type="pct"/>
            <w:tcBorders>
              <w:top w:val="nil"/>
              <w:left w:val="nil"/>
              <w:bottom w:val="nil"/>
              <w:right w:val="nil"/>
            </w:tcBorders>
            <w:shd w:val="clear" w:color="auto" w:fill="auto"/>
          </w:tcPr>
          <w:p w14:paraId="23A7DD20" w14:textId="1AB4CA22" w:rsidR="002F3F78" w:rsidRPr="0055445F" w:rsidRDefault="002F3F78" w:rsidP="00E768FE">
            <w:pPr>
              <w:jc w:val="right"/>
              <w:rPr>
                <w:lang w:val="en-GB"/>
              </w:rPr>
            </w:pPr>
            <w:r w:rsidRPr="0055445F">
              <w:rPr>
                <w:lang w:val="en-GB"/>
              </w:rPr>
              <w:lastRenderedPageBreak/>
              <w:t>241.3</w:t>
            </w:r>
          </w:p>
          <w:p w14:paraId="79DAEC4A" w14:textId="2847CA4C" w:rsidR="002F3F78" w:rsidRPr="0055445F" w:rsidRDefault="00D1036F" w:rsidP="00E768FE">
            <w:pPr>
              <w:jc w:val="right"/>
              <w:rPr>
                <w:lang w:val="en-GB"/>
              </w:rPr>
            </w:pPr>
            <w:r w:rsidRPr="0055445F">
              <w:rPr>
                <w:lang w:val="en-GB"/>
              </w:rPr>
              <w:t>(</w:t>
            </w:r>
            <w:r w:rsidR="00395AFF" w:rsidRPr="0055445F">
              <w:rPr>
                <w:lang w:val="en-GB"/>
              </w:rPr>
              <w:t>$</w:t>
            </w:r>
            <w:r w:rsidR="002F3F78" w:rsidRPr="0055445F">
              <w:rPr>
                <w:lang w:val="en-GB"/>
              </w:rPr>
              <w:t>92</w:t>
            </w:r>
            <w:r w:rsidR="00D85A9C" w:rsidRPr="0055445F">
              <w:rPr>
                <w:lang w:val="en-GB"/>
              </w:rPr>
              <w:t>.0</w:t>
            </w:r>
            <w:r w:rsidR="002F3F78" w:rsidRPr="0055445F">
              <w:rPr>
                <w:lang w:val="en-GB"/>
              </w:rPr>
              <w:t xml:space="preserve"> million of biodiversity </w:t>
            </w:r>
            <w:r w:rsidR="002F3F78" w:rsidRPr="0055445F">
              <w:rPr>
                <w:lang w:val="en-GB"/>
              </w:rPr>
              <w:lastRenderedPageBreak/>
              <w:t>STAR allocations)</w:t>
            </w:r>
          </w:p>
        </w:tc>
        <w:tc>
          <w:tcPr>
            <w:tcW w:w="682" w:type="pct"/>
            <w:tcBorders>
              <w:top w:val="nil"/>
              <w:left w:val="nil"/>
              <w:bottom w:val="nil"/>
              <w:right w:val="nil"/>
            </w:tcBorders>
            <w:shd w:val="clear" w:color="auto" w:fill="auto"/>
          </w:tcPr>
          <w:p w14:paraId="6496A48D" w14:textId="2F17B257" w:rsidR="002F3F78" w:rsidRPr="0055445F" w:rsidRDefault="002F3F78" w:rsidP="00640CBE">
            <w:pPr>
              <w:jc w:val="right"/>
              <w:rPr>
                <w:lang w:val="en-GB"/>
              </w:rPr>
            </w:pPr>
            <w:r w:rsidRPr="0055445F">
              <w:rPr>
                <w:rFonts w:ascii="Calibri" w:hAnsi="Calibri" w:cs="Calibri"/>
                <w:color w:val="000000"/>
              </w:rPr>
              <w:lastRenderedPageBreak/>
              <w:t>23%</w:t>
            </w:r>
          </w:p>
        </w:tc>
        <w:tc>
          <w:tcPr>
            <w:tcW w:w="677" w:type="pct"/>
            <w:tcBorders>
              <w:top w:val="nil"/>
              <w:left w:val="nil"/>
              <w:bottom w:val="nil"/>
              <w:right w:val="nil"/>
            </w:tcBorders>
            <w:shd w:val="clear" w:color="auto" w:fill="auto"/>
          </w:tcPr>
          <w:p w14:paraId="1270E30B" w14:textId="3B21710C" w:rsidR="002F3F78" w:rsidRPr="0055445F" w:rsidRDefault="002F3F78" w:rsidP="00640CBE">
            <w:pPr>
              <w:jc w:val="right"/>
              <w:rPr>
                <w:lang w:val="en-GB"/>
              </w:rPr>
            </w:pPr>
            <w:r w:rsidRPr="0055445F">
              <w:rPr>
                <w:rFonts w:ascii="Calibri" w:hAnsi="Calibri" w:cs="Calibri"/>
                <w:color w:val="000000"/>
                <w:lang w:val="en-GB"/>
              </w:rPr>
              <w:t>1,706.0</w:t>
            </w:r>
          </w:p>
        </w:tc>
        <w:tc>
          <w:tcPr>
            <w:tcW w:w="677" w:type="pct"/>
            <w:tcBorders>
              <w:top w:val="nil"/>
              <w:left w:val="nil"/>
              <w:bottom w:val="nil"/>
              <w:right w:val="nil"/>
            </w:tcBorders>
            <w:shd w:val="clear" w:color="auto" w:fill="auto"/>
          </w:tcPr>
          <w:p w14:paraId="410F2BC2" w14:textId="0CFAB11B" w:rsidR="002F3F78" w:rsidRPr="0055445F" w:rsidRDefault="002F3F78" w:rsidP="00640CBE">
            <w:pPr>
              <w:jc w:val="right"/>
              <w:rPr>
                <w:lang w:val="en-GB"/>
              </w:rPr>
            </w:pPr>
            <w:r w:rsidRPr="0055445F">
              <w:rPr>
                <w:rFonts w:ascii="Calibri" w:hAnsi="Calibri" w:cs="Calibri"/>
                <w:color w:val="000000"/>
              </w:rPr>
              <w:t>19%</w:t>
            </w:r>
          </w:p>
        </w:tc>
        <w:tc>
          <w:tcPr>
            <w:tcW w:w="712" w:type="pct"/>
            <w:tcBorders>
              <w:top w:val="nil"/>
              <w:left w:val="nil"/>
              <w:bottom w:val="nil"/>
              <w:right w:val="nil"/>
            </w:tcBorders>
            <w:shd w:val="clear" w:color="auto" w:fill="auto"/>
          </w:tcPr>
          <w:p w14:paraId="114DD9B8" w14:textId="086900D3" w:rsidR="002F3F78" w:rsidRPr="0055445F" w:rsidRDefault="002F3F78" w:rsidP="00640CBE">
            <w:pPr>
              <w:jc w:val="right"/>
              <w:rPr>
                <w:lang w:val="en-GB"/>
              </w:rPr>
            </w:pPr>
            <w:r w:rsidRPr="0055445F">
              <w:rPr>
                <w:rFonts w:ascii="Calibri" w:hAnsi="Calibri" w:cs="Calibri"/>
                <w:color w:val="000000"/>
                <w:lang w:val="en-GB"/>
              </w:rPr>
              <w:t>1,947.3</w:t>
            </w:r>
          </w:p>
        </w:tc>
        <w:tc>
          <w:tcPr>
            <w:tcW w:w="712" w:type="pct"/>
            <w:tcBorders>
              <w:top w:val="nil"/>
              <w:left w:val="nil"/>
              <w:bottom w:val="nil"/>
              <w:right w:val="nil"/>
            </w:tcBorders>
            <w:shd w:val="clear" w:color="auto" w:fill="auto"/>
          </w:tcPr>
          <w:p w14:paraId="69E5E549" w14:textId="3F5151FB" w:rsidR="002F3F78" w:rsidRPr="0055445F" w:rsidRDefault="002F3F78" w:rsidP="00640CBE">
            <w:pPr>
              <w:jc w:val="right"/>
              <w:rPr>
                <w:lang w:val="en-GB"/>
              </w:rPr>
            </w:pPr>
            <w:r w:rsidRPr="0055445F">
              <w:rPr>
                <w:rFonts w:ascii="Calibri" w:hAnsi="Calibri" w:cs="Calibri"/>
                <w:color w:val="000000"/>
              </w:rPr>
              <w:t>19%</w:t>
            </w:r>
          </w:p>
        </w:tc>
      </w:tr>
      <w:tr w:rsidR="002F3F78" w:rsidRPr="0055445F" w14:paraId="792909D7" w14:textId="77777777" w:rsidTr="00E768FE">
        <w:tc>
          <w:tcPr>
            <w:tcW w:w="866" w:type="pct"/>
            <w:tcBorders>
              <w:top w:val="nil"/>
              <w:left w:val="nil"/>
              <w:bottom w:val="nil"/>
              <w:right w:val="nil"/>
            </w:tcBorders>
            <w:shd w:val="clear" w:color="auto" w:fill="auto"/>
          </w:tcPr>
          <w:p w14:paraId="37DD152F" w14:textId="16C816D2" w:rsidR="002F3F78" w:rsidRPr="0055445F" w:rsidRDefault="002F3F78" w:rsidP="002F3F78">
            <w:pPr>
              <w:rPr>
                <w:lang w:val="en-GB"/>
              </w:rPr>
            </w:pPr>
            <w:r w:rsidRPr="0055445F">
              <w:rPr>
                <w:lang w:val="en-GB"/>
              </w:rPr>
              <w:t>Sustainable Cities Impact Program</w:t>
            </w:r>
          </w:p>
        </w:tc>
        <w:tc>
          <w:tcPr>
            <w:tcW w:w="673" w:type="pct"/>
            <w:tcBorders>
              <w:top w:val="nil"/>
              <w:left w:val="nil"/>
              <w:bottom w:val="nil"/>
              <w:right w:val="nil"/>
            </w:tcBorders>
            <w:shd w:val="clear" w:color="auto" w:fill="auto"/>
          </w:tcPr>
          <w:p w14:paraId="202C94DC" w14:textId="77777777" w:rsidR="002F3F78" w:rsidRPr="0055445F" w:rsidRDefault="002F3F78" w:rsidP="00E768FE">
            <w:pPr>
              <w:jc w:val="right"/>
              <w:rPr>
                <w:lang w:val="en-GB"/>
              </w:rPr>
            </w:pPr>
            <w:r w:rsidRPr="0055445F">
              <w:rPr>
                <w:lang w:val="en-GB"/>
              </w:rPr>
              <w:t>146.7</w:t>
            </w:r>
          </w:p>
          <w:p w14:paraId="37828C95" w14:textId="29E62C34" w:rsidR="002F3F78" w:rsidRPr="0055445F" w:rsidRDefault="002F3F78" w:rsidP="00E768FE">
            <w:pPr>
              <w:jc w:val="right"/>
              <w:rPr>
                <w:lang w:val="en-GB"/>
              </w:rPr>
            </w:pPr>
            <w:r w:rsidRPr="0055445F">
              <w:rPr>
                <w:lang w:val="en-GB"/>
              </w:rPr>
              <w:t>($33.3 million of biodiversity STAR allocations)</w:t>
            </w:r>
          </w:p>
        </w:tc>
        <w:tc>
          <w:tcPr>
            <w:tcW w:w="682" w:type="pct"/>
            <w:tcBorders>
              <w:top w:val="nil"/>
              <w:left w:val="nil"/>
              <w:bottom w:val="nil"/>
              <w:right w:val="nil"/>
            </w:tcBorders>
            <w:shd w:val="clear" w:color="auto" w:fill="auto"/>
          </w:tcPr>
          <w:p w14:paraId="2658082C" w14:textId="25629201" w:rsidR="002F3F78" w:rsidRPr="0055445F" w:rsidRDefault="002F3F78" w:rsidP="00640CBE">
            <w:pPr>
              <w:jc w:val="right"/>
              <w:rPr>
                <w:lang w:val="en-GB"/>
              </w:rPr>
            </w:pPr>
            <w:r w:rsidRPr="0055445F">
              <w:rPr>
                <w:rFonts w:ascii="Calibri" w:hAnsi="Calibri" w:cs="Calibri"/>
                <w:color w:val="000000"/>
              </w:rPr>
              <w:t>14%</w:t>
            </w:r>
          </w:p>
        </w:tc>
        <w:tc>
          <w:tcPr>
            <w:tcW w:w="677" w:type="pct"/>
            <w:tcBorders>
              <w:top w:val="nil"/>
              <w:left w:val="nil"/>
              <w:bottom w:val="nil"/>
              <w:right w:val="nil"/>
            </w:tcBorders>
            <w:shd w:val="clear" w:color="auto" w:fill="auto"/>
          </w:tcPr>
          <w:p w14:paraId="1A3E43DF" w14:textId="6921F3E6" w:rsidR="002F3F78" w:rsidRPr="0055445F" w:rsidRDefault="002F3F78" w:rsidP="00640CBE">
            <w:pPr>
              <w:jc w:val="right"/>
              <w:rPr>
                <w:lang w:val="en-GB"/>
              </w:rPr>
            </w:pPr>
            <w:r w:rsidRPr="0055445F">
              <w:rPr>
                <w:rFonts w:ascii="Calibri" w:hAnsi="Calibri" w:cs="Calibri"/>
                <w:color w:val="000000"/>
                <w:lang w:val="en-GB"/>
              </w:rPr>
              <w:t>1,689.8</w:t>
            </w:r>
          </w:p>
        </w:tc>
        <w:tc>
          <w:tcPr>
            <w:tcW w:w="677" w:type="pct"/>
            <w:tcBorders>
              <w:top w:val="nil"/>
              <w:left w:val="nil"/>
              <w:bottom w:val="nil"/>
              <w:right w:val="nil"/>
            </w:tcBorders>
            <w:shd w:val="clear" w:color="auto" w:fill="auto"/>
          </w:tcPr>
          <w:p w14:paraId="61BE8B37" w14:textId="6E7A5D28" w:rsidR="002F3F78" w:rsidRPr="0055445F" w:rsidRDefault="002F3F78" w:rsidP="00640CBE">
            <w:pPr>
              <w:jc w:val="right"/>
              <w:rPr>
                <w:lang w:val="en-GB"/>
              </w:rPr>
            </w:pPr>
            <w:r w:rsidRPr="0055445F">
              <w:rPr>
                <w:rFonts w:ascii="Calibri" w:hAnsi="Calibri" w:cs="Calibri"/>
                <w:color w:val="000000"/>
              </w:rPr>
              <w:t>19%</w:t>
            </w:r>
          </w:p>
        </w:tc>
        <w:tc>
          <w:tcPr>
            <w:tcW w:w="712" w:type="pct"/>
            <w:tcBorders>
              <w:top w:val="nil"/>
              <w:left w:val="nil"/>
              <w:bottom w:val="nil"/>
              <w:right w:val="nil"/>
            </w:tcBorders>
            <w:shd w:val="clear" w:color="auto" w:fill="auto"/>
          </w:tcPr>
          <w:p w14:paraId="65EFA893" w14:textId="4D056291" w:rsidR="002F3F78" w:rsidRPr="0055445F" w:rsidRDefault="002918CE" w:rsidP="00781F7B">
            <w:pPr>
              <w:jc w:val="right"/>
              <w:rPr>
                <w:lang w:val="en-GB"/>
              </w:rPr>
            </w:pPr>
            <w:r w:rsidRPr="0055445F">
              <w:rPr>
                <w:rFonts w:ascii="Calibri" w:hAnsi="Calibri" w:cs="Calibri"/>
                <w:color w:val="000000"/>
                <w:lang w:val="en-GB"/>
              </w:rPr>
              <w:t>18</w:t>
            </w:r>
            <w:r w:rsidR="00781F7B" w:rsidRPr="0055445F">
              <w:rPr>
                <w:rFonts w:ascii="Calibri" w:hAnsi="Calibri" w:cs="Calibri"/>
                <w:color w:val="000000"/>
                <w:lang w:val="en-GB"/>
              </w:rPr>
              <w:t>36</w:t>
            </w:r>
            <w:r w:rsidR="002A6865" w:rsidRPr="0055445F">
              <w:rPr>
                <w:rFonts w:ascii="Calibri" w:hAnsi="Calibri" w:cs="Calibri"/>
                <w:color w:val="000000"/>
                <w:lang w:val="en-GB"/>
              </w:rPr>
              <w:t>.5</w:t>
            </w:r>
            <w:r w:rsidR="00781F7B" w:rsidRPr="0055445F" w:rsidDel="002918CE">
              <w:rPr>
                <w:rFonts w:ascii="Calibri" w:hAnsi="Calibri" w:cs="Calibri"/>
                <w:color w:val="000000"/>
                <w:lang w:val="en-GB"/>
              </w:rPr>
              <w:t xml:space="preserve"> </w:t>
            </w:r>
          </w:p>
        </w:tc>
        <w:tc>
          <w:tcPr>
            <w:tcW w:w="712" w:type="pct"/>
            <w:tcBorders>
              <w:top w:val="nil"/>
              <w:left w:val="nil"/>
              <w:bottom w:val="nil"/>
              <w:right w:val="nil"/>
            </w:tcBorders>
            <w:shd w:val="clear" w:color="auto" w:fill="auto"/>
          </w:tcPr>
          <w:p w14:paraId="36230950" w14:textId="6EB16F23" w:rsidR="002F3F78" w:rsidRPr="0055445F" w:rsidRDefault="002F3F78" w:rsidP="00640CBE">
            <w:pPr>
              <w:jc w:val="right"/>
              <w:rPr>
                <w:lang w:val="en-GB"/>
              </w:rPr>
            </w:pPr>
            <w:r w:rsidRPr="0055445F">
              <w:rPr>
                <w:rFonts w:ascii="Calibri" w:hAnsi="Calibri" w:cs="Calibri"/>
                <w:color w:val="000000"/>
              </w:rPr>
              <w:t>18%</w:t>
            </w:r>
          </w:p>
        </w:tc>
      </w:tr>
      <w:tr w:rsidR="002F3F78" w:rsidRPr="0055445F" w14:paraId="58134AD1" w14:textId="77777777" w:rsidTr="00E768FE">
        <w:tc>
          <w:tcPr>
            <w:tcW w:w="866" w:type="pct"/>
            <w:tcBorders>
              <w:top w:val="nil"/>
              <w:left w:val="nil"/>
              <w:bottom w:val="nil"/>
              <w:right w:val="nil"/>
            </w:tcBorders>
            <w:shd w:val="clear" w:color="auto" w:fill="auto"/>
          </w:tcPr>
          <w:p w14:paraId="54C450AB" w14:textId="46EE7EF6" w:rsidR="002F3F78" w:rsidRPr="0055445F" w:rsidRDefault="002F3F78" w:rsidP="002F3F78">
            <w:pPr>
              <w:rPr>
                <w:lang w:val="en-GB"/>
              </w:rPr>
            </w:pPr>
            <w:r w:rsidRPr="0055445F">
              <w:rPr>
                <w:lang w:val="en-GB"/>
              </w:rPr>
              <w:t>Biodiversity Set Aside</w:t>
            </w:r>
          </w:p>
        </w:tc>
        <w:tc>
          <w:tcPr>
            <w:tcW w:w="673" w:type="pct"/>
            <w:tcBorders>
              <w:top w:val="nil"/>
              <w:left w:val="nil"/>
              <w:bottom w:val="nil"/>
              <w:right w:val="nil"/>
            </w:tcBorders>
            <w:shd w:val="clear" w:color="auto" w:fill="auto"/>
          </w:tcPr>
          <w:p w14:paraId="0A579E1F" w14:textId="4315D1A2" w:rsidR="002F3F78" w:rsidRPr="0055445F" w:rsidRDefault="002F3F78" w:rsidP="00E768FE">
            <w:pPr>
              <w:jc w:val="right"/>
              <w:rPr>
                <w:lang w:val="en-GB"/>
              </w:rPr>
            </w:pPr>
            <w:r w:rsidRPr="0055445F">
              <w:rPr>
                <w:lang w:val="en-GB"/>
              </w:rPr>
              <w:t>33.4</w:t>
            </w:r>
          </w:p>
        </w:tc>
        <w:tc>
          <w:tcPr>
            <w:tcW w:w="682" w:type="pct"/>
            <w:tcBorders>
              <w:top w:val="nil"/>
              <w:left w:val="nil"/>
              <w:bottom w:val="nil"/>
              <w:right w:val="nil"/>
            </w:tcBorders>
            <w:shd w:val="clear" w:color="auto" w:fill="auto"/>
          </w:tcPr>
          <w:p w14:paraId="5E59B140" w14:textId="5F6D145C" w:rsidR="002F3F78" w:rsidRPr="0055445F" w:rsidRDefault="002F3F78" w:rsidP="00640CBE">
            <w:pPr>
              <w:jc w:val="right"/>
              <w:rPr>
                <w:lang w:val="en-GB"/>
              </w:rPr>
            </w:pPr>
            <w:r w:rsidRPr="0055445F">
              <w:rPr>
                <w:rFonts w:ascii="Calibri" w:hAnsi="Calibri" w:cs="Calibri"/>
                <w:color w:val="000000"/>
              </w:rPr>
              <w:t>3%</w:t>
            </w:r>
          </w:p>
        </w:tc>
        <w:tc>
          <w:tcPr>
            <w:tcW w:w="677" w:type="pct"/>
            <w:tcBorders>
              <w:top w:val="nil"/>
              <w:left w:val="nil"/>
              <w:bottom w:val="nil"/>
              <w:right w:val="nil"/>
            </w:tcBorders>
            <w:shd w:val="clear" w:color="auto" w:fill="auto"/>
          </w:tcPr>
          <w:p w14:paraId="31F1C19D" w14:textId="4BC5BFD3" w:rsidR="002F3F78" w:rsidRPr="0055445F" w:rsidRDefault="002F3F78" w:rsidP="00640CBE">
            <w:pPr>
              <w:jc w:val="right"/>
              <w:rPr>
                <w:lang w:val="en-GB"/>
              </w:rPr>
            </w:pPr>
            <w:r w:rsidRPr="0055445F">
              <w:rPr>
                <w:rFonts w:ascii="Calibri" w:hAnsi="Calibri" w:cs="Calibri"/>
                <w:color w:val="000000"/>
                <w:lang w:val="en-GB"/>
              </w:rPr>
              <w:t>90.4</w:t>
            </w:r>
          </w:p>
        </w:tc>
        <w:tc>
          <w:tcPr>
            <w:tcW w:w="677" w:type="pct"/>
            <w:tcBorders>
              <w:top w:val="nil"/>
              <w:left w:val="nil"/>
              <w:bottom w:val="nil"/>
              <w:right w:val="nil"/>
            </w:tcBorders>
            <w:shd w:val="clear" w:color="auto" w:fill="auto"/>
          </w:tcPr>
          <w:p w14:paraId="229D63F3" w14:textId="13E6E538" w:rsidR="002F3F78" w:rsidRPr="0055445F" w:rsidRDefault="002F3F78" w:rsidP="00640CBE">
            <w:pPr>
              <w:jc w:val="right"/>
              <w:rPr>
                <w:lang w:val="en-GB"/>
              </w:rPr>
            </w:pPr>
            <w:r w:rsidRPr="0055445F">
              <w:rPr>
                <w:rFonts w:ascii="Calibri" w:hAnsi="Calibri" w:cs="Calibri"/>
                <w:color w:val="000000"/>
              </w:rPr>
              <w:t>1%</w:t>
            </w:r>
          </w:p>
        </w:tc>
        <w:tc>
          <w:tcPr>
            <w:tcW w:w="712" w:type="pct"/>
            <w:tcBorders>
              <w:top w:val="nil"/>
              <w:left w:val="nil"/>
              <w:bottom w:val="nil"/>
              <w:right w:val="nil"/>
            </w:tcBorders>
            <w:shd w:val="clear" w:color="auto" w:fill="auto"/>
          </w:tcPr>
          <w:p w14:paraId="0B1038CC" w14:textId="09B0C2E4" w:rsidR="002F3F78" w:rsidRPr="0055445F" w:rsidRDefault="002F3F78" w:rsidP="00640CBE">
            <w:pPr>
              <w:jc w:val="right"/>
              <w:rPr>
                <w:lang w:val="en-GB"/>
              </w:rPr>
            </w:pPr>
            <w:r w:rsidRPr="0055445F">
              <w:rPr>
                <w:rFonts w:ascii="Calibri" w:hAnsi="Calibri" w:cs="Calibri"/>
                <w:color w:val="000000"/>
                <w:lang w:val="en-GB"/>
              </w:rPr>
              <w:t>123.8</w:t>
            </w:r>
          </w:p>
        </w:tc>
        <w:tc>
          <w:tcPr>
            <w:tcW w:w="712" w:type="pct"/>
            <w:tcBorders>
              <w:top w:val="nil"/>
              <w:left w:val="nil"/>
              <w:bottom w:val="nil"/>
              <w:right w:val="nil"/>
            </w:tcBorders>
            <w:shd w:val="clear" w:color="auto" w:fill="auto"/>
          </w:tcPr>
          <w:p w14:paraId="085FA395" w14:textId="486EC182" w:rsidR="002F3F78" w:rsidRPr="0055445F" w:rsidRDefault="002F3F78" w:rsidP="00640CBE">
            <w:pPr>
              <w:jc w:val="right"/>
              <w:rPr>
                <w:lang w:val="en-GB"/>
              </w:rPr>
            </w:pPr>
            <w:r w:rsidRPr="0055445F">
              <w:rPr>
                <w:rFonts w:ascii="Calibri" w:hAnsi="Calibri" w:cs="Calibri"/>
                <w:color w:val="000000"/>
              </w:rPr>
              <w:t>1%</w:t>
            </w:r>
          </w:p>
        </w:tc>
      </w:tr>
      <w:tr w:rsidR="002F3F78" w:rsidRPr="0055445F" w14:paraId="198C2001" w14:textId="77777777" w:rsidTr="00E768FE">
        <w:tc>
          <w:tcPr>
            <w:tcW w:w="866" w:type="pct"/>
            <w:tcBorders>
              <w:top w:val="nil"/>
              <w:left w:val="nil"/>
              <w:bottom w:val="nil"/>
              <w:right w:val="nil"/>
            </w:tcBorders>
            <w:shd w:val="clear" w:color="auto" w:fill="auto"/>
          </w:tcPr>
          <w:p w14:paraId="25A38FC1" w14:textId="25487393" w:rsidR="002F3F78" w:rsidRPr="0055445F" w:rsidRDefault="002F3F78" w:rsidP="002F3F78">
            <w:pPr>
              <w:rPr>
                <w:lang w:val="en-GB"/>
              </w:rPr>
            </w:pPr>
            <w:r w:rsidRPr="0055445F">
              <w:rPr>
                <w:lang w:val="en-GB"/>
              </w:rPr>
              <w:t>Least Developed Countries Fund</w:t>
            </w:r>
          </w:p>
        </w:tc>
        <w:tc>
          <w:tcPr>
            <w:tcW w:w="673" w:type="pct"/>
            <w:tcBorders>
              <w:top w:val="nil"/>
              <w:left w:val="nil"/>
              <w:bottom w:val="nil"/>
              <w:right w:val="nil"/>
            </w:tcBorders>
            <w:shd w:val="clear" w:color="auto" w:fill="auto"/>
          </w:tcPr>
          <w:p w14:paraId="0ECE9DAF" w14:textId="77777777" w:rsidR="002F3F78" w:rsidRPr="0055445F" w:rsidRDefault="002F3F78" w:rsidP="00E768FE">
            <w:pPr>
              <w:jc w:val="right"/>
              <w:rPr>
                <w:lang w:val="en-GB"/>
              </w:rPr>
            </w:pPr>
            <w:r w:rsidRPr="0055445F">
              <w:rPr>
                <w:lang w:val="en-GB"/>
              </w:rPr>
              <w:t>26.3</w:t>
            </w:r>
          </w:p>
        </w:tc>
        <w:tc>
          <w:tcPr>
            <w:tcW w:w="682" w:type="pct"/>
            <w:tcBorders>
              <w:top w:val="nil"/>
              <w:left w:val="nil"/>
              <w:bottom w:val="nil"/>
              <w:right w:val="nil"/>
            </w:tcBorders>
            <w:shd w:val="clear" w:color="auto" w:fill="auto"/>
          </w:tcPr>
          <w:p w14:paraId="2783E964" w14:textId="6620B95C" w:rsidR="002F3F78" w:rsidRPr="0055445F" w:rsidRDefault="002F3F78" w:rsidP="00640CBE">
            <w:pPr>
              <w:jc w:val="right"/>
              <w:rPr>
                <w:lang w:val="en-GB"/>
              </w:rPr>
            </w:pPr>
            <w:r w:rsidRPr="0055445F">
              <w:rPr>
                <w:rFonts w:ascii="Calibri" w:hAnsi="Calibri" w:cs="Calibri"/>
                <w:color w:val="000000"/>
              </w:rPr>
              <w:t>2%</w:t>
            </w:r>
          </w:p>
        </w:tc>
        <w:tc>
          <w:tcPr>
            <w:tcW w:w="677" w:type="pct"/>
            <w:tcBorders>
              <w:top w:val="nil"/>
              <w:left w:val="nil"/>
              <w:bottom w:val="nil"/>
              <w:right w:val="nil"/>
            </w:tcBorders>
            <w:shd w:val="clear" w:color="auto" w:fill="auto"/>
          </w:tcPr>
          <w:p w14:paraId="0A9D5841" w14:textId="4CBCD4A4" w:rsidR="002F3F78" w:rsidRPr="0055445F" w:rsidRDefault="002F3F78" w:rsidP="00640CBE">
            <w:pPr>
              <w:jc w:val="right"/>
              <w:rPr>
                <w:lang w:val="en-GB"/>
              </w:rPr>
            </w:pPr>
            <w:r w:rsidRPr="0055445F">
              <w:rPr>
                <w:rFonts w:ascii="Calibri" w:hAnsi="Calibri" w:cs="Calibri"/>
                <w:color w:val="000000"/>
                <w:lang w:val="en-GB"/>
              </w:rPr>
              <w:t>66.8</w:t>
            </w:r>
          </w:p>
        </w:tc>
        <w:tc>
          <w:tcPr>
            <w:tcW w:w="677" w:type="pct"/>
            <w:tcBorders>
              <w:top w:val="nil"/>
              <w:left w:val="nil"/>
              <w:bottom w:val="nil"/>
              <w:right w:val="nil"/>
            </w:tcBorders>
            <w:shd w:val="clear" w:color="auto" w:fill="auto"/>
          </w:tcPr>
          <w:p w14:paraId="514F6E8F" w14:textId="5CAF5043" w:rsidR="002F3F78" w:rsidRPr="0055445F" w:rsidRDefault="002F3F78" w:rsidP="00640CBE">
            <w:pPr>
              <w:jc w:val="right"/>
              <w:rPr>
                <w:lang w:val="en-GB"/>
              </w:rPr>
            </w:pPr>
            <w:r w:rsidRPr="0055445F">
              <w:rPr>
                <w:rFonts w:ascii="Calibri" w:hAnsi="Calibri" w:cs="Calibri"/>
                <w:color w:val="000000"/>
              </w:rPr>
              <w:t>1%</w:t>
            </w:r>
          </w:p>
        </w:tc>
        <w:tc>
          <w:tcPr>
            <w:tcW w:w="712" w:type="pct"/>
            <w:tcBorders>
              <w:top w:val="nil"/>
              <w:left w:val="nil"/>
              <w:bottom w:val="nil"/>
              <w:right w:val="nil"/>
            </w:tcBorders>
            <w:shd w:val="clear" w:color="auto" w:fill="auto"/>
          </w:tcPr>
          <w:p w14:paraId="21D73387" w14:textId="77777777" w:rsidR="00BA1BC3" w:rsidRPr="0055445F" w:rsidRDefault="00BA1BC3" w:rsidP="00640CBE">
            <w:pPr>
              <w:jc w:val="right"/>
              <w:rPr>
                <w:rFonts w:ascii="Calibri" w:hAnsi="Calibri" w:cs="Calibri"/>
                <w:color w:val="000000"/>
                <w:lang w:val="en-GB"/>
              </w:rPr>
            </w:pPr>
            <w:r w:rsidRPr="0055445F">
              <w:rPr>
                <w:rFonts w:ascii="Calibri" w:hAnsi="Calibri" w:cs="Calibri"/>
                <w:color w:val="000000"/>
                <w:lang w:val="en-GB"/>
              </w:rPr>
              <w:t>93.1</w:t>
            </w:r>
          </w:p>
          <w:p w14:paraId="6F513F95" w14:textId="62A33A80" w:rsidR="002F3F78" w:rsidRPr="0055445F" w:rsidRDefault="002F3F78" w:rsidP="00640CBE">
            <w:pPr>
              <w:jc w:val="right"/>
              <w:rPr>
                <w:lang w:val="en-GB"/>
              </w:rPr>
            </w:pPr>
          </w:p>
        </w:tc>
        <w:tc>
          <w:tcPr>
            <w:tcW w:w="712" w:type="pct"/>
            <w:tcBorders>
              <w:top w:val="nil"/>
              <w:left w:val="nil"/>
              <w:bottom w:val="nil"/>
              <w:right w:val="nil"/>
            </w:tcBorders>
            <w:shd w:val="clear" w:color="auto" w:fill="auto"/>
          </w:tcPr>
          <w:p w14:paraId="1B013CF4" w14:textId="3A1F90A8" w:rsidR="002F3F78" w:rsidRPr="0055445F" w:rsidRDefault="002F3F78" w:rsidP="00640CBE">
            <w:pPr>
              <w:jc w:val="right"/>
              <w:rPr>
                <w:lang w:val="en-GB"/>
              </w:rPr>
            </w:pPr>
            <w:r w:rsidRPr="0055445F">
              <w:rPr>
                <w:rFonts w:ascii="Calibri" w:hAnsi="Calibri" w:cs="Calibri"/>
                <w:color w:val="000000"/>
              </w:rPr>
              <w:t>1%</w:t>
            </w:r>
          </w:p>
        </w:tc>
      </w:tr>
      <w:tr w:rsidR="002F3F78" w:rsidRPr="0055445F" w14:paraId="1616846F" w14:textId="77777777" w:rsidTr="00E768FE">
        <w:trPr>
          <w:trHeight w:val="863"/>
        </w:trPr>
        <w:tc>
          <w:tcPr>
            <w:tcW w:w="866" w:type="pct"/>
            <w:tcBorders>
              <w:top w:val="nil"/>
              <w:left w:val="nil"/>
              <w:bottom w:val="nil"/>
              <w:right w:val="nil"/>
            </w:tcBorders>
            <w:shd w:val="clear" w:color="auto" w:fill="auto"/>
          </w:tcPr>
          <w:p w14:paraId="2FB48528" w14:textId="77777777" w:rsidR="002F3F78" w:rsidRPr="0055445F" w:rsidRDefault="002F3F78" w:rsidP="002F3F78">
            <w:pPr>
              <w:rPr>
                <w:lang w:val="en-GB"/>
              </w:rPr>
            </w:pPr>
            <w:r w:rsidRPr="0055445F">
              <w:rPr>
                <w:lang w:val="en-GB"/>
              </w:rPr>
              <w:t>International Waters Focal Area</w:t>
            </w:r>
          </w:p>
        </w:tc>
        <w:tc>
          <w:tcPr>
            <w:tcW w:w="673" w:type="pct"/>
            <w:tcBorders>
              <w:top w:val="nil"/>
              <w:left w:val="nil"/>
              <w:bottom w:val="nil"/>
              <w:right w:val="nil"/>
            </w:tcBorders>
            <w:shd w:val="clear" w:color="auto" w:fill="auto"/>
          </w:tcPr>
          <w:p w14:paraId="3B650B40" w14:textId="77777777" w:rsidR="002F3F78" w:rsidRPr="0055445F" w:rsidRDefault="002F3F78" w:rsidP="00E768FE">
            <w:pPr>
              <w:jc w:val="right"/>
              <w:rPr>
                <w:lang w:val="en-GB"/>
              </w:rPr>
            </w:pPr>
            <w:r w:rsidRPr="0055445F">
              <w:rPr>
                <w:lang w:val="en-GB"/>
              </w:rPr>
              <w:t>90.5</w:t>
            </w:r>
          </w:p>
        </w:tc>
        <w:tc>
          <w:tcPr>
            <w:tcW w:w="682" w:type="pct"/>
            <w:tcBorders>
              <w:top w:val="nil"/>
              <w:left w:val="nil"/>
              <w:bottom w:val="nil"/>
              <w:right w:val="nil"/>
            </w:tcBorders>
            <w:shd w:val="clear" w:color="auto" w:fill="auto"/>
          </w:tcPr>
          <w:p w14:paraId="2E6D672D" w14:textId="7CCF5C9F" w:rsidR="002F3F78" w:rsidRPr="0055445F" w:rsidRDefault="002F3F78" w:rsidP="00640CBE">
            <w:pPr>
              <w:jc w:val="right"/>
              <w:rPr>
                <w:lang w:val="en-GB"/>
              </w:rPr>
            </w:pPr>
            <w:r w:rsidRPr="0055445F">
              <w:rPr>
                <w:rFonts w:ascii="Calibri" w:hAnsi="Calibri" w:cs="Calibri"/>
                <w:color w:val="000000"/>
              </w:rPr>
              <w:t>9%</w:t>
            </w:r>
          </w:p>
        </w:tc>
        <w:tc>
          <w:tcPr>
            <w:tcW w:w="677" w:type="pct"/>
            <w:tcBorders>
              <w:top w:val="nil"/>
              <w:left w:val="nil"/>
              <w:bottom w:val="nil"/>
              <w:right w:val="nil"/>
            </w:tcBorders>
            <w:shd w:val="clear" w:color="auto" w:fill="auto"/>
          </w:tcPr>
          <w:p w14:paraId="361BE36B" w14:textId="26527311" w:rsidR="002F3F78" w:rsidRPr="0055445F" w:rsidRDefault="002F3F78" w:rsidP="00640CBE">
            <w:pPr>
              <w:jc w:val="right"/>
              <w:rPr>
                <w:lang w:val="en-GB"/>
              </w:rPr>
            </w:pPr>
            <w:r w:rsidRPr="0055445F">
              <w:rPr>
                <w:rFonts w:ascii="Calibri" w:hAnsi="Calibri" w:cs="Calibri"/>
                <w:color w:val="000000"/>
                <w:lang w:val="en-GB"/>
              </w:rPr>
              <w:t>664.4</w:t>
            </w:r>
          </w:p>
        </w:tc>
        <w:tc>
          <w:tcPr>
            <w:tcW w:w="677" w:type="pct"/>
            <w:tcBorders>
              <w:top w:val="nil"/>
              <w:left w:val="nil"/>
              <w:bottom w:val="nil"/>
              <w:right w:val="nil"/>
            </w:tcBorders>
            <w:shd w:val="clear" w:color="auto" w:fill="auto"/>
          </w:tcPr>
          <w:p w14:paraId="66F050F1" w14:textId="77D20DA3" w:rsidR="002F3F78" w:rsidRPr="0055445F" w:rsidRDefault="002F3F78" w:rsidP="00640CBE">
            <w:pPr>
              <w:jc w:val="right"/>
              <w:rPr>
                <w:lang w:val="en-GB"/>
              </w:rPr>
            </w:pPr>
            <w:r w:rsidRPr="0055445F">
              <w:rPr>
                <w:rFonts w:ascii="Calibri" w:hAnsi="Calibri" w:cs="Calibri"/>
                <w:color w:val="000000"/>
              </w:rPr>
              <w:t>7%</w:t>
            </w:r>
          </w:p>
        </w:tc>
        <w:tc>
          <w:tcPr>
            <w:tcW w:w="712" w:type="pct"/>
            <w:tcBorders>
              <w:top w:val="nil"/>
              <w:left w:val="nil"/>
              <w:bottom w:val="nil"/>
              <w:right w:val="nil"/>
            </w:tcBorders>
            <w:shd w:val="clear" w:color="auto" w:fill="auto"/>
          </w:tcPr>
          <w:p w14:paraId="2C5E1BEC" w14:textId="5D5DAB97" w:rsidR="002F3F78" w:rsidRPr="0055445F" w:rsidRDefault="002F3F78" w:rsidP="00640CBE">
            <w:pPr>
              <w:jc w:val="right"/>
              <w:rPr>
                <w:lang w:val="en-GB"/>
              </w:rPr>
            </w:pPr>
            <w:r w:rsidRPr="0055445F">
              <w:rPr>
                <w:rFonts w:ascii="Calibri" w:hAnsi="Calibri" w:cs="Calibri"/>
                <w:color w:val="000000"/>
                <w:lang w:val="en-GB"/>
              </w:rPr>
              <w:t>754.9</w:t>
            </w:r>
          </w:p>
        </w:tc>
        <w:tc>
          <w:tcPr>
            <w:tcW w:w="712" w:type="pct"/>
            <w:tcBorders>
              <w:top w:val="nil"/>
              <w:left w:val="nil"/>
              <w:bottom w:val="nil"/>
              <w:right w:val="nil"/>
            </w:tcBorders>
            <w:shd w:val="clear" w:color="auto" w:fill="auto"/>
          </w:tcPr>
          <w:p w14:paraId="3161F591" w14:textId="4683ACBD" w:rsidR="002F3F78" w:rsidRPr="0055445F" w:rsidRDefault="002F3F78" w:rsidP="00640CBE">
            <w:pPr>
              <w:jc w:val="right"/>
              <w:rPr>
                <w:lang w:val="en-GB"/>
              </w:rPr>
            </w:pPr>
            <w:r w:rsidRPr="0055445F">
              <w:rPr>
                <w:rFonts w:ascii="Calibri" w:hAnsi="Calibri" w:cs="Calibri"/>
                <w:color w:val="000000"/>
              </w:rPr>
              <w:t>8%</w:t>
            </w:r>
          </w:p>
        </w:tc>
      </w:tr>
      <w:tr w:rsidR="002F3F78" w:rsidRPr="0055445F" w14:paraId="3B7A0D8B" w14:textId="77777777" w:rsidTr="00E768FE">
        <w:tc>
          <w:tcPr>
            <w:tcW w:w="866" w:type="pct"/>
            <w:tcBorders>
              <w:top w:val="nil"/>
              <w:left w:val="nil"/>
              <w:bottom w:val="nil"/>
              <w:right w:val="nil"/>
            </w:tcBorders>
            <w:shd w:val="clear" w:color="auto" w:fill="auto"/>
          </w:tcPr>
          <w:p w14:paraId="44B81671" w14:textId="47E63879" w:rsidR="002F3F78" w:rsidRPr="0055445F" w:rsidRDefault="002F3F78" w:rsidP="002F3F78">
            <w:pPr>
              <w:rPr>
                <w:lang w:val="en-GB"/>
              </w:rPr>
            </w:pPr>
            <w:r w:rsidRPr="0055445F">
              <w:rPr>
                <w:lang w:val="en-GB"/>
              </w:rPr>
              <w:t>Non-grant Instrument</w:t>
            </w:r>
          </w:p>
        </w:tc>
        <w:tc>
          <w:tcPr>
            <w:tcW w:w="673" w:type="pct"/>
            <w:tcBorders>
              <w:top w:val="nil"/>
              <w:left w:val="nil"/>
              <w:bottom w:val="nil"/>
              <w:right w:val="nil"/>
            </w:tcBorders>
            <w:shd w:val="clear" w:color="auto" w:fill="auto"/>
          </w:tcPr>
          <w:p w14:paraId="6541D905" w14:textId="77777777" w:rsidR="002F3F78" w:rsidRPr="0055445F" w:rsidRDefault="002F3F78" w:rsidP="00E768FE">
            <w:pPr>
              <w:jc w:val="right"/>
              <w:rPr>
                <w:lang w:val="en-GB"/>
              </w:rPr>
            </w:pPr>
            <w:r w:rsidRPr="0055445F">
              <w:rPr>
                <w:lang w:val="en-GB"/>
              </w:rPr>
              <w:t>15.0</w:t>
            </w:r>
          </w:p>
        </w:tc>
        <w:tc>
          <w:tcPr>
            <w:tcW w:w="682" w:type="pct"/>
            <w:tcBorders>
              <w:top w:val="nil"/>
              <w:left w:val="nil"/>
              <w:bottom w:val="nil"/>
              <w:right w:val="nil"/>
            </w:tcBorders>
            <w:shd w:val="clear" w:color="auto" w:fill="auto"/>
          </w:tcPr>
          <w:p w14:paraId="2A2F8B34" w14:textId="7FEC2649" w:rsidR="002F3F78" w:rsidRPr="0055445F" w:rsidRDefault="002F3F78" w:rsidP="00640CBE">
            <w:pPr>
              <w:jc w:val="right"/>
              <w:rPr>
                <w:lang w:val="en-GB"/>
              </w:rPr>
            </w:pPr>
            <w:r w:rsidRPr="0055445F">
              <w:rPr>
                <w:rFonts w:ascii="Calibri" w:hAnsi="Calibri" w:cs="Calibri"/>
                <w:color w:val="000000"/>
              </w:rPr>
              <w:t>1%</w:t>
            </w:r>
          </w:p>
        </w:tc>
        <w:tc>
          <w:tcPr>
            <w:tcW w:w="677" w:type="pct"/>
            <w:tcBorders>
              <w:top w:val="nil"/>
              <w:left w:val="nil"/>
              <w:bottom w:val="nil"/>
              <w:right w:val="nil"/>
            </w:tcBorders>
            <w:shd w:val="clear" w:color="auto" w:fill="auto"/>
          </w:tcPr>
          <w:p w14:paraId="7CFC236D" w14:textId="220C9B4D" w:rsidR="002F3F78" w:rsidRPr="0055445F" w:rsidRDefault="002F3F78" w:rsidP="00640CBE">
            <w:pPr>
              <w:jc w:val="right"/>
              <w:rPr>
                <w:lang w:val="en-GB"/>
              </w:rPr>
            </w:pPr>
            <w:r w:rsidRPr="0055445F">
              <w:rPr>
                <w:rFonts w:ascii="Calibri" w:hAnsi="Calibri" w:cs="Calibri"/>
                <w:color w:val="000000"/>
                <w:lang w:val="en-GB"/>
              </w:rPr>
              <w:t>773.3</w:t>
            </w:r>
          </w:p>
        </w:tc>
        <w:tc>
          <w:tcPr>
            <w:tcW w:w="677" w:type="pct"/>
            <w:tcBorders>
              <w:top w:val="nil"/>
              <w:left w:val="nil"/>
              <w:bottom w:val="nil"/>
              <w:right w:val="nil"/>
            </w:tcBorders>
            <w:shd w:val="clear" w:color="auto" w:fill="auto"/>
          </w:tcPr>
          <w:p w14:paraId="6FE80F1F" w14:textId="3FB2D6E2" w:rsidR="002F3F78" w:rsidRPr="0055445F" w:rsidRDefault="002F3F78" w:rsidP="00640CBE">
            <w:pPr>
              <w:jc w:val="right"/>
              <w:rPr>
                <w:lang w:val="en-GB"/>
              </w:rPr>
            </w:pPr>
            <w:r w:rsidRPr="0055445F">
              <w:rPr>
                <w:rFonts w:ascii="Calibri" w:hAnsi="Calibri" w:cs="Calibri"/>
                <w:color w:val="000000"/>
              </w:rPr>
              <w:t>9%</w:t>
            </w:r>
          </w:p>
        </w:tc>
        <w:tc>
          <w:tcPr>
            <w:tcW w:w="712" w:type="pct"/>
            <w:tcBorders>
              <w:top w:val="nil"/>
              <w:left w:val="nil"/>
              <w:bottom w:val="nil"/>
              <w:right w:val="nil"/>
            </w:tcBorders>
            <w:shd w:val="clear" w:color="auto" w:fill="auto"/>
          </w:tcPr>
          <w:p w14:paraId="34990249" w14:textId="1FA75121" w:rsidR="002F3F78" w:rsidRPr="0055445F" w:rsidRDefault="002F3F78" w:rsidP="00640CBE">
            <w:pPr>
              <w:jc w:val="right"/>
              <w:rPr>
                <w:lang w:val="en-GB"/>
              </w:rPr>
            </w:pPr>
            <w:r w:rsidRPr="0055445F">
              <w:rPr>
                <w:rFonts w:ascii="Calibri" w:hAnsi="Calibri" w:cs="Calibri"/>
                <w:color w:val="000000"/>
                <w:lang w:val="en-GB"/>
              </w:rPr>
              <w:t>788.3</w:t>
            </w:r>
          </w:p>
        </w:tc>
        <w:tc>
          <w:tcPr>
            <w:tcW w:w="712" w:type="pct"/>
            <w:tcBorders>
              <w:top w:val="nil"/>
              <w:left w:val="nil"/>
              <w:bottom w:val="nil"/>
              <w:right w:val="nil"/>
            </w:tcBorders>
            <w:shd w:val="clear" w:color="auto" w:fill="auto"/>
          </w:tcPr>
          <w:p w14:paraId="6CF98541" w14:textId="63729FE3" w:rsidR="002F3F78" w:rsidRPr="0055445F" w:rsidRDefault="002F3F78" w:rsidP="00640CBE">
            <w:pPr>
              <w:jc w:val="right"/>
              <w:rPr>
                <w:lang w:val="en-GB"/>
              </w:rPr>
            </w:pPr>
            <w:r w:rsidRPr="0055445F">
              <w:rPr>
                <w:rFonts w:ascii="Calibri" w:hAnsi="Calibri" w:cs="Calibri"/>
                <w:color w:val="000000"/>
              </w:rPr>
              <w:t>8%</w:t>
            </w:r>
          </w:p>
        </w:tc>
      </w:tr>
      <w:tr w:rsidR="002F3F78" w:rsidRPr="0055445F" w14:paraId="62D7252D" w14:textId="77777777" w:rsidTr="00E768FE">
        <w:tc>
          <w:tcPr>
            <w:tcW w:w="866" w:type="pct"/>
            <w:tcBorders>
              <w:top w:val="nil"/>
              <w:left w:val="nil"/>
              <w:bottom w:val="nil"/>
              <w:right w:val="nil"/>
            </w:tcBorders>
            <w:shd w:val="clear" w:color="auto" w:fill="auto"/>
          </w:tcPr>
          <w:p w14:paraId="75E23392" w14:textId="4F60BFAF" w:rsidR="002F3F78" w:rsidRPr="0055445F" w:rsidRDefault="002F3F78" w:rsidP="002F3F78">
            <w:pPr>
              <w:rPr>
                <w:lang w:val="en-GB"/>
              </w:rPr>
            </w:pPr>
            <w:r w:rsidRPr="0055445F">
              <w:rPr>
                <w:lang w:val="en-GB"/>
              </w:rPr>
              <w:t>Small Grants Programme</w:t>
            </w:r>
          </w:p>
        </w:tc>
        <w:tc>
          <w:tcPr>
            <w:tcW w:w="673" w:type="pct"/>
            <w:tcBorders>
              <w:top w:val="nil"/>
              <w:left w:val="nil"/>
              <w:bottom w:val="nil"/>
              <w:right w:val="nil"/>
            </w:tcBorders>
            <w:shd w:val="clear" w:color="auto" w:fill="auto"/>
          </w:tcPr>
          <w:p w14:paraId="01E14E05" w14:textId="77777777" w:rsidR="002F3F78" w:rsidRPr="0055445F" w:rsidRDefault="002F3F78" w:rsidP="00E768FE">
            <w:pPr>
              <w:jc w:val="right"/>
              <w:rPr>
                <w:lang w:val="en-GB"/>
              </w:rPr>
            </w:pPr>
            <w:r w:rsidRPr="0055445F">
              <w:rPr>
                <w:lang w:val="en-GB"/>
              </w:rPr>
              <w:t>21.0</w:t>
            </w:r>
          </w:p>
        </w:tc>
        <w:tc>
          <w:tcPr>
            <w:tcW w:w="682" w:type="pct"/>
            <w:tcBorders>
              <w:top w:val="nil"/>
              <w:left w:val="nil"/>
              <w:bottom w:val="nil"/>
              <w:right w:val="nil"/>
            </w:tcBorders>
            <w:shd w:val="clear" w:color="auto" w:fill="auto"/>
          </w:tcPr>
          <w:p w14:paraId="3B7AD189" w14:textId="470D2CA5" w:rsidR="002F3F78" w:rsidRPr="0055445F" w:rsidRDefault="002F3F78" w:rsidP="00640CBE">
            <w:pPr>
              <w:jc w:val="right"/>
              <w:rPr>
                <w:lang w:val="en-GB"/>
              </w:rPr>
            </w:pPr>
            <w:r w:rsidRPr="0055445F">
              <w:rPr>
                <w:rFonts w:ascii="Calibri" w:hAnsi="Calibri" w:cs="Calibri"/>
                <w:color w:val="000000"/>
              </w:rPr>
              <w:t>2%</w:t>
            </w:r>
          </w:p>
        </w:tc>
        <w:tc>
          <w:tcPr>
            <w:tcW w:w="677" w:type="pct"/>
            <w:tcBorders>
              <w:top w:val="nil"/>
              <w:left w:val="nil"/>
              <w:bottom w:val="nil"/>
              <w:right w:val="nil"/>
            </w:tcBorders>
            <w:shd w:val="clear" w:color="auto" w:fill="auto"/>
          </w:tcPr>
          <w:p w14:paraId="71C545B1" w14:textId="60EFCEEA" w:rsidR="002F3F78" w:rsidRPr="0055445F" w:rsidRDefault="002F3F78" w:rsidP="00640CBE">
            <w:pPr>
              <w:jc w:val="right"/>
              <w:rPr>
                <w:lang w:val="en-GB"/>
              </w:rPr>
            </w:pPr>
            <w:r w:rsidRPr="0055445F">
              <w:rPr>
                <w:rFonts w:ascii="Calibri" w:hAnsi="Calibri" w:cs="Calibri"/>
                <w:color w:val="000000"/>
                <w:lang w:val="en-GB"/>
              </w:rPr>
              <w:t>21.0</w:t>
            </w:r>
          </w:p>
        </w:tc>
        <w:tc>
          <w:tcPr>
            <w:tcW w:w="677" w:type="pct"/>
            <w:tcBorders>
              <w:top w:val="nil"/>
              <w:left w:val="nil"/>
              <w:bottom w:val="nil"/>
              <w:right w:val="nil"/>
            </w:tcBorders>
            <w:shd w:val="clear" w:color="auto" w:fill="auto"/>
          </w:tcPr>
          <w:p w14:paraId="380F8EBD" w14:textId="751FAEED" w:rsidR="002F3F78" w:rsidRPr="0055445F" w:rsidRDefault="002F3F78" w:rsidP="00640CBE">
            <w:pPr>
              <w:jc w:val="right"/>
              <w:rPr>
                <w:lang w:val="en-GB"/>
              </w:rPr>
            </w:pPr>
            <w:r w:rsidRPr="0055445F">
              <w:rPr>
                <w:rFonts w:ascii="Calibri" w:hAnsi="Calibri" w:cs="Calibri"/>
                <w:color w:val="000000"/>
              </w:rPr>
              <w:t>0%</w:t>
            </w:r>
          </w:p>
        </w:tc>
        <w:tc>
          <w:tcPr>
            <w:tcW w:w="712" w:type="pct"/>
            <w:tcBorders>
              <w:top w:val="nil"/>
              <w:left w:val="nil"/>
              <w:bottom w:val="nil"/>
              <w:right w:val="nil"/>
            </w:tcBorders>
            <w:shd w:val="clear" w:color="auto" w:fill="auto"/>
          </w:tcPr>
          <w:p w14:paraId="47E3B0D1" w14:textId="5B5265F5" w:rsidR="002F3F78" w:rsidRPr="0055445F" w:rsidRDefault="002F3F78" w:rsidP="00640CBE">
            <w:pPr>
              <w:jc w:val="right"/>
              <w:rPr>
                <w:lang w:val="en-GB"/>
              </w:rPr>
            </w:pPr>
            <w:r w:rsidRPr="0055445F">
              <w:rPr>
                <w:rFonts w:ascii="Calibri" w:hAnsi="Calibri" w:cs="Calibri"/>
                <w:color w:val="000000"/>
                <w:lang w:val="en-GB"/>
              </w:rPr>
              <w:t>42.0</w:t>
            </w:r>
          </w:p>
        </w:tc>
        <w:tc>
          <w:tcPr>
            <w:tcW w:w="712" w:type="pct"/>
            <w:tcBorders>
              <w:top w:val="nil"/>
              <w:left w:val="nil"/>
              <w:bottom w:val="nil"/>
              <w:right w:val="nil"/>
            </w:tcBorders>
            <w:shd w:val="clear" w:color="auto" w:fill="auto"/>
          </w:tcPr>
          <w:p w14:paraId="050318B2" w14:textId="3EFB3D29" w:rsidR="002F3F78" w:rsidRPr="0055445F" w:rsidRDefault="002F3F78" w:rsidP="00640CBE">
            <w:pPr>
              <w:jc w:val="right"/>
              <w:rPr>
                <w:lang w:val="en-GB"/>
              </w:rPr>
            </w:pPr>
            <w:r w:rsidRPr="0055445F">
              <w:rPr>
                <w:rFonts w:ascii="Calibri" w:hAnsi="Calibri" w:cs="Calibri"/>
                <w:color w:val="000000"/>
              </w:rPr>
              <w:t>0%</w:t>
            </w:r>
          </w:p>
        </w:tc>
      </w:tr>
      <w:tr w:rsidR="002F3F78" w:rsidRPr="0055445F" w14:paraId="2BBDC6DF" w14:textId="77777777" w:rsidTr="00E768FE">
        <w:tc>
          <w:tcPr>
            <w:tcW w:w="866" w:type="pct"/>
            <w:tcBorders>
              <w:top w:val="single" w:sz="4" w:space="0" w:color="538135" w:themeColor="accent6" w:themeShade="BF"/>
              <w:left w:val="nil"/>
              <w:bottom w:val="nil"/>
              <w:right w:val="nil"/>
            </w:tcBorders>
            <w:shd w:val="clear" w:color="auto" w:fill="auto"/>
          </w:tcPr>
          <w:p w14:paraId="72BA183F" w14:textId="77777777" w:rsidR="002F3F78" w:rsidRPr="0055445F" w:rsidRDefault="002F3F78" w:rsidP="002F3F78">
            <w:pPr>
              <w:rPr>
                <w:lang w:val="en-GB"/>
              </w:rPr>
            </w:pPr>
            <w:r w:rsidRPr="0055445F">
              <w:rPr>
                <w:lang w:val="en-GB"/>
              </w:rPr>
              <w:t>Totals</w:t>
            </w:r>
          </w:p>
        </w:tc>
        <w:tc>
          <w:tcPr>
            <w:tcW w:w="673" w:type="pct"/>
            <w:tcBorders>
              <w:top w:val="single" w:sz="4" w:space="0" w:color="538135" w:themeColor="accent6" w:themeShade="BF"/>
              <w:left w:val="nil"/>
              <w:bottom w:val="nil"/>
              <w:right w:val="nil"/>
            </w:tcBorders>
            <w:shd w:val="clear" w:color="auto" w:fill="auto"/>
          </w:tcPr>
          <w:p w14:paraId="68410E1D" w14:textId="5E59CB73" w:rsidR="00016B44" w:rsidRPr="0055445F" w:rsidRDefault="00016B44" w:rsidP="00E768FE">
            <w:pPr>
              <w:jc w:val="right"/>
              <w:rPr>
                <w:lang w:val="en-GB"/>
              </w:rPr>
            </w:pPr>
            <w:r w:rsidRPr="0055445F">
              <w:rPr>
                <w:lang w:val="en-GB"/>
              </w:rPr>
              <w:t>1</w:t>
            </w:r>
            <w:r w:rsidR="00BE18CC">
              <w:rPr>
                <w:lang w:val="en-GB"/>
              </w:rPr>
              <w:t>,</w:t>
            </w:r>
            <w:r w:rsidRPr="0055445F">
              <w:rPr>
                <w:lang w:val="en-GB"/>
              </w:rPr>
              <w:t>056.7</w:t>
            </w:r>
          </w:p>
        </w:tc>
        <w:tc>
          <w:tcPr>
            <w:tcW w:w="682" w:type="pct"/>
            <w:tcBorders>
              <w:top w:val="single" w:sz="4" w:space="0" w:color="538135" w:themeColor="accent6" w:themeShade="BF"/>
              <w:left w:val="nil"/>
              <w:bottom w:val="nil"/>
              <w:right w:val="nil"/>
            </w:tcBorders>
            <w:shd w:val="clear" w:color="auto" w:fill="auto"/>
          </w:tcPr>
          <w:p w14:paraId="22C757A9" w14:textId="47662CE8" w:rsidR="002F3F78" w:rsidRPr="0055445F" w:rsidRDefault="002F3F78" w:rsidP="00E768FE">
            <w:pPr>
              <w:jc w:val="right"/>
              <w:rPr>
                <w:lang w:val="en-GB"/>
              </w:rPr>
            </w:pPr>
            <w:r w:rsidRPr="0055445F">
              <w:rPr>
                <w:rFonts w:ascii="Calibri" w:hAnsi="Calibri" w:cs="Calibri"/>
                <w:color w:val="000000"/>
              </w:rPr>
              <w:t> </w:t>
            </w:r>
          </w:p>
        </w:tc>
        <w:tc>
          <w:tcPr>
            <w:tcW w:w="677" w:type="pct"/>
            <w:tcBorders>
              <w:top w:val="single" w:sz="4" w:space="0" w:color="538135" w:themeColor="accent6" w:themeShade="BF"/>
              <w:left w:val="nil"/>
              <w:bottom w:val="nil"/>
              <w:right w:val="nil"/>
            </w:tcBorders>
            <w:shd w:val="clear" w:color="auto" w:fill="auto"/>
          </w:tcPr>
          <w:p w14:paraId="547AC22A" w14:textId="5E108E3C" w:rsidR="002F3F78" w:rsidRPr="0055445F" w:rsidRDefault="002F3F78" w:rsidP="00E768FE">
            <w:pPr>
              <w:jc w:val="right"/>
              <w:rPr>
                <w:lang w:val="en-GB"/>
              </w:rPr>
            </w:pPr>
            <w:r w:rsidRPr="0055445F">
              <w:rPr>
                <w:rFonts w:ascii="Calibri" w:hAnsi="Calibri" w:cs="Calibri"/>
                <w:color w:val="000000"/>
              </w:rPr>
              <w:t>8,955.7</w:t>
            </w:r>
          </w:p>
        </w:tc>
        <w:tc>
          <w:tcPr>
            <w:tcW w:w="677" w:type="pct"/>
            <w:tcBorders>
              <w:top w:val="single" w:sz="4" w:space="0" w:color="538135" w:themeColor="accent6" w:themeShade="BF"/>
              <w:left w:val="nil"/>
              <w:bottom w:val="nil"/>
              <w:right w:val="nil"/>
            </w:tcBorders>
            <w:shd w:val="clear" w:color="auto" w:fill="auto"/>
          </w:tcPr>
          <w:p w14:paraId="0477A1F3" w14:textId="3C2D7CB2" w:rsidR="002F3F78" w:rsidRPr="0055445F" w:rsidRDefault="002F3F78" w:rsidP="00E768FE">
            <w:pPr>
              <w:jc w:val="right"/>
              <w:rPr>
                <w:lang w:val="en-GB"/>
              </w:rPr>
            </w:pPr>
            <w:r w:rsidRPr="0055445F">
              <w:rPr>
                <w:rFonts w:ascii="Calibri" w:hAnsi="Calibri" w:cs="Calibri"/>
                <w:color w:val="000000"/>
              </w:rPr>
              <w:t> </w:t>
            </w:r>
          </w:p>
        </w:tc>
        <w:tc>
          <w:tcPr>
            <w:tcW w:w="712" w:type="pct"/>
            <w:tcBorders>
              <w:top w:val="single" w:sz="4" w:space="0" w:color="538135" w:themeColor="accent6" w:themeShade="BF"/>
              <w:left w:val="nil"/>
              <w:bottom w:val="nil"/>
              <w:right w:val="nil"/>
            </w:tcBorders>
            <w:shd w:val="clear" w:color="auto" w:fill="auto"/>
          </w:tcPr>
          <w:p w14:paraId="7C8C8ED6" w14:textId="40F1ED13" w:rsidR="00016B44" w:rsidRPr="0055445F" w:rsidRDefault="00016B44" w:rsidP="00E768FE">
            <w:pPr>
              <w:jc w:val="right"/>
              <w:rPr>
                <w:lang w:val="en-GB"/>
              </w:rPr>
            </w:pPr>
            <w:r w:rsidRPr="0055445F">
              <w:rPr>
                <w:rFonts w:ascii="Calibri" w:hAnsi="Calibri" w:cs="Calibri"/>
                <w:color w:val="000000"/>
              </w:rPr>
              <w:t>10,012.4</w:t>
            </w:r>
          </w:p>
        </w:tc>
        <w:tc>
          <w:tcPr>
            <w:tcW w:w="712" w:type="pct"/>
            <w:tcBorders>
              <w:top w:val="single" w:sz="4" w:space="0" w:color="538135" w:themeColor="accent6" w:themeShade="BF"/>
              <w:left w:val="nil"/>
              <w:bottom w:val="nil"/>
              <w:right w:val="nil"/>
            </w:tcBorders>
            <w:shd w:val="clear" w:color="auto" w:fill="auto"/>
          </w:tcPr>
          <w:p w14:paraId="3750A459" w14:textId="18FBB08B" w:rsidR="002F3F78" w:rsidRPr="0055445F" w:rsidRDefault="002F3F78" w:rsidP="00E768FE">
            <w:pPr>
              <w:jc w:val="right"/>
              <w:rPr>
                <w:lang w:val="en-GB"/>
              </w:rPr>
            </w:pPr>
            <w:r w:rsidRPr="0055445F">
              <w:rPr>
                <w:rFonts w:ascii="Calibri" w:hAnsi="Calibri" w:cs="Calibri"/>
                <w:color w:val="000000"/>
                <w:lang w:val="en-GB"/>
              </w:rPr>
              <w:t> </w:t>
            </w:r>
          </w:p>
        </w:tc>
      </w:tr>
    </w:tbl>
    <w:p w14:paraId="1CECB66A" w14:textId="23B71E01" w:rsidR="00FF3B4A" w:rsidRDefault="00FF3B4A" w:rsidP="00A96A54">
      <w:pPr>
        <w:rPr>
          <w:b/>
          <w:sz w:val="24"/>
          <w:szCs w:val="24"/>
          <w:u w:val="single"/>
        </w:rPr>
      </w:pPr>
      <w:r>
        <w:rPr>
          <w:b/>
          <w:sz w:val="24"/>
          <w:szCs w:val="24"/>
          <w:u w:val="single"/>
        </w:rPr>
        <w:br w:type="page"/>
      </w:r>
    </w:p>
    <w:p w14:paraId="3BF527CF" w14:textId="6722F320" w:rsidR="00A41202" w:rsidRDefault="00E33D4C" w:rsidP="00CA5440">
      <w:pPr>
        <w:pStyle w:val="ListParagraph"/>
        <w:numPr>
          <w:ilvl w:val="0"/>
          <w:numId w:val="25"/>
        </w:numPr>
        <w:spacing w:before="240" w:after="240" w:line="240" w:lineRule="auto"/>
        <w:ind w:left="0" w:firstLine="0"/>
        <w:contextualSpacing w:val="0"/>
        <w:rPr>
          <w:sz w:val="24"/>
          <w:szCs w:val="24"/>
        </w:rPr>
      </w:pPr>
      <w:r>
        <w:rPr>
          <w:sz w:val="24"/>
          <w:szCs w:val="24"/>
        </w:rPr>
        <w:lastRenderedPageBreak/>
        <w:t>The following sections further describe</w:t>
      </w:r>
      <w:r w:rsidR="00557CD1" w:rsidRPr="001B5939">
        <w:rPr>
          <w:sz w:val="24"/>
          <w:szCs w:val="24"/>
        </w:rPr>
        <w:t xml:space="preserve"> how the</w:t>
      </w:r>
      <w:r w:rsidR="003836DB" w:rsidRPr="001B5939">
        <w:rPr>
          <w:sz w:val="24"/>
          <w:szCs w:val="24"/>
        </w:rPr>
        <w:t xml:space="preserve"> </w:t>
      </w:r>
      <w:r w:rsidR="00557CD1" w:rsidRPr="001B5939">
        <w:rPr>
          <w:sz w:val="24"/>
          <w:szCs w:val="24"/>
        </w:rPr>
        <w:t>investments</w:t>
      </w:r>
      <w:r w:rsidR="003836DB" w:rsidRPr="001B5939">
        <w:rPr>
          <w:sz w:val="24"/>
          <w:szCs w:val="24"/>
        </w:rPr>
        <w:t xml:space="preserve"> summarized in Table </w:t>
      </w:r>
      <w:r>
        <w:rPr>
          <w:sz w:val="24"/>
          <w:szCs w:val="24"/>
        </w:rPr>
        <w:t>4</w:t>
      </w:r>
      <w:r w:rsidR="00557CD1" w:rsidRPr="001B5939">
        <w:rPr>
          <w:sz w:val="24"/>
          <w:szCs w:val="24"/>
        </w:rPr>
        <w:t xml:space="preserve"> have contributed to the </w:t>
      </w:r>
      <w:r w:rsidR="00076BA8" w:rsidRPr="001B5939">
        <w:rPr>
          <w:sz w:val="24"/>
          <w:szCs w:val="24"/>
        </w:rPr>
        <w:t xml:space="preserve">achievement of the </w:t>
      </w:r>
      <w:r w:rsidR="00557CD1" w:rsidRPr="001B5939">
        <w:rPr>
          <w:sz w:val="24"/>
          <w:szCs w:val="24"/>
        </w:rPr>
        <w:t>Aichi Biodiversity Targets.</w:t>
      </w:r>
    </w:p>
    <w:p w14:paraId="0F0F2CCC" w14:textId="213EBAC0" w:rsidR="00506145" w:rsidRPr="00AF7227" w:rsidRDefault="00AF7227" w:rsidP="000C09D1">
      <w:pPr>
        <w:pStyle w:val="Heading2"/>
      </w:pPr>
      <w:bookmarkStart w:id="26" w:name="_Toc32494917"/>
      <w:r w:rsidRPr="00AF7227">
        <w:t>GEF-7 Biodiversity Focal Area</w:t>
      </w:r>
      <w:r w:rsidR="00124DCF">
        <w:t xml:space="preserve"> Strategy </w:t>
      </w:r>
      <w:r>
        <w:t xml:space="preserve">Contributions </w:t>
      </w:r>
      <w:r w:rsidR="0032046E">
        <w:t>to Achieving the Aichi Biodiversity Targets</w:t>
      </w:r>
      <w:bookmarkEnd w:id="26"/>
    </w:p>
    <w:p w14:paraId="0053C027" w14:textId="1C2BE2B2" w:rsidR="001D626F" w:rsidRPr="00E34070" w:rsidRDefault="003836DB" w:rsidP="00CA5440">
      <w:pPr>
        <w:pStyle w:val="ListParagraph"/>
        <w:numPr>
          <w:ilvl w:val="0"/>
          <w:numId w:val="25"/>
        </w:numPr>
        <w:spacing w:before="240" w:after="240" w:line="240" w:lineRule="auto"/>
        <w:ind w:left="0" w:firstLine="0"/>
        <w:contextualSpacing w:val="0"/>
        <w:rPr>
          <w:sz w:val="24"/>
          <w:szCs w:val="24"/>
        </w:rPr>
      </w:pPr>
      <w:r w:rsidRPr="00E34070">
        <w:rPr>
          <w:sz w:val="24"/>
          <w:szCs w:val="24"/>
        </w:rPr>
        <w:t>Table</w:t>
      </w:r>
      <w:r w:rsidR="00C95FAE" w:rsidRPr="00E34070">
        <w:rPr>
          <w:sz w:val="24"/>
          <w:szCs w:val="24"/>
        </w:rPr>
        <w:t xml:space="preserve"> </w:t>
      </w:r>
      <w:r w:rsidR="0079128F" w:rsidRPr="00E34070">
        <w:rPr>
          <w:sz w:val="24"/>
          <w:szCs w:val="24"/>
        </w:rPr>
        <w:t>5</w:t>
      </w:r>
      <w:r w:rsidR="00C95FAE" w:rsidRPr="00E34070">
        <w:rPr>
          <w:sz w:val="24"/>
          <w:szCs w:val="24"/>
        </w:rPr>
        <w:t xml:space="preserve"> </w:t>
      </w:r>
      <w:r w:rsidR="00076BA8" w:rsidRPr="00E34070">
        <w:rPr>
          <w:sz w:val="24"/>
          <w:szCs w:val="24"/>
        </w:rPr>
        <w:t>dep</w:t>
      </w:r>
      <w:r w:rsidR="00BA408E" w:rsidRPr="00E34070">
        <w:rPr>
          <w:sz w:val="24"/>
          <w:szCs w:val="24"/>
        </w:rPr>
        <w:t xml:space="preserve">icts biodiversity STAR allocations that have supported biodiversity focal area projects and multi-focal area projects </w:t>
      </w:r>
      <w:r w:rsidR="00413D4D" w:rsidRPr="00E34070">
        <w:rPr>
          <w:sz w:val="24"/>
          <w:szCs w:val="24"/>
        </w:rPr>
        <w:t>that are not part of the GEF-7 Impact Programs</w:t>
      </w:r>
      <w:r w:rsidR="00286D98" w:rsidRPr="00E34070">
        <w:rPr>
          <w:i/>
          <w:sz w:val="24"/>
          <w:szCs w:val="24"/>
        </w:rPr>
        <w:t>.</w:t>
      </w:r>
      <w:r w:rsidR="002D54AD" w:rsidRPr="00E34070">
        <w:rPr>
          <w:sz w:val="24"/>
          <w:szCs w:val="24"/>
        </w:rPr>
        <w:t xml:space="preserve"> </w:t>
      </w:r>
      <w:r w:rsidR="00DB1CA3" w:rsidRPr="00E34070">
        <w:rPr>
          <w:sz w:val="24"/>
          <w:szCs w:val="24"/>
        </w:rPr>
        <w:t>The data show a continuing trend of GEF-recipient countries prioritizing the</w:t>
      </w:r>
      <w:r w:rsidR="007A490D" w:rsidRPr="00E34070">
        <w:rPr>
          <w:sz w:val="24"/>
          <w:szCs w:val="24"/>
        </w:rPr>
        <w:t xml:space="preserve"> biodiversity</w:t>
      </w:r>
      <w:r w:rsidR="00DB1CA3" w:rsidRPr="00E34070">
        <w:rPr>
          <w:sz w:val="24"/>
          <w:szCs w:val="24"/>
        </w:rPr>
        <w:t xml:space="preserve"> mainstreaming agenda</w:t>
      </w:r>
      <w:r w:rsidR="00C80D8B" w:rsidRPr="00E34070">
        <w:rPr>
          <w:sz w:val="24"/>
          <w:szCs w:val="24"/>
        </w:rPr>
        <w:t>.</w:t>
      </w:r>
      <w:r w:rsidR="00ED2168" w:rsidRPr="00E34070">
        <w:rPr>
          <w:sz w:val="24"/>
          <w:szCs w:val="24"/>
        </w:rPr>
        <w:t xml:space="preserve"> </w:t>
      </w:r>
    </w:p>
    <w:p w14:paraId="5FC59DD7" w14:textId="384E4E4B" w:rsidR="00BB1F0D" w:rsidRPr="00E34070" w:rsidRDefault="00C80D8B" w:rsidP="00CA5440">
      <w:pPr>
        <w:pStyle w:val="ListParagraph"/>
        <w:numPr>
          <w:ilvl w:val="0"/>
          <w:numId w:val="25"/>
        </w:numPr>
        <w:spacing w:before="240" w:after="240" w:line="240" w:lineRule="auto"/>
        <w:ind w:left="0" w:firstLine="0"/>
        <w:contextualSpacing w:val="0"/>
        <w:rPr>
          <w:sz w:val="24"/>
          <w:szCs w:val="24"/>
        </w:rPr>
      </w:pPr>
      <w:r w:rsidRPr="00E34070">
        <w:rPr>
          <w:sz w:val="24"/>
          <w:szCs w:val="24"/>
        </w:rPr>
        <w:t xml:space="preserve">Objective one </w:t>
      </w:r>
      <w:r w:rsidR="00EB46E3" w:rsidRPr="00E34070">
        <w:rPr>
          <w:sz w:val="24"/>
          <w:szCs w:val="24"/>
        </w:rPr>
        <w:t xml:space="preserve">of the </w:t>
      </w:r>
      <w:proofErr w:type="gramStart"/>
      <w:r w:rsidR="00EB46E3" w:rsidRPr="00E34070">
        <w:rPr>
          <w:sz w:val="24"/>
          <w:szCs w:val="24"/>
        </w:rPr>
        <w:t>strategy</w:t>
      </w:r>
      <w:proofErr w:type="gramEnd"/>
      <w:r w:rsidR="00EB46E3" w:rsidRPr="00E34070">
        <w:rPr>
          <w:sz w:val="24"/>
          <w:szCs w:val="24"/>
        </w:rPr>
        <w:t xml:space="preserve"> which is focused on mainstreaming </w:t>
      </w:r>
      <w:r w:rsidRPr="00E34070">
        <w:rPr>
          <w:sz w:val="24"/>
          <w:szCs w:val="24"/>
        </w:rPr>
        <w:t xml:space="preserve">has </w:t>
      </w:r>
      <w:r w:rsidR="00F94666" w:rsidRPr="00E34070">
        <w:rPr>
          <w:sz w:val="24"/>
          <w:szCs w:val="24"/>
        </w:rPr>
        <w:t xml:space="preserve">been the priority of countries with </w:t>
      </w:r>
      <w:r w:rsidR="00EB46E3" w:rsidRPr="00E34070">
        <w:rPr>
          <w:sz w:val="24"/>
          <w:szCs w:val="24"/>
        </w:rPr>
        <w:t xml:space="preserve">$165.6 million, or </w:t>
      </w:r>
      <w:r w:rsidR="002B42DF" w:rsidRPr="00E34070">
        <w:rPr>
          <w:sz w:val="24"/>
          <w:szCs w:val="24"/>
        </w:rPr>
        <w:t>69</w:t>
      </w:r>
      <w:r w:rsidR="00EB46E3" w:rsidRPr="00E34070">
        <w:rPr>
          <w:sz w:val="24"/>
          <w:szCs w:val="24"/>
        </w:rPr>
        <w:t xml:space="preserve"> percent</w:t>
      </w:r>
      <w:r w:rsidR="007A490D" w:rsidRPr="00E34070">
        <w:rPr>
          <w:sz w:val="24"/>
          <w:szCs w:val="24"/>
        </w:rPr>
        <w:t>,</w:t>
      </w:r>
      <w:r w:rsidR="00F94666" w:rsidRPr="00E34070">
        <w:rPr>
          <w:sz w:val="24"/>
          <w:szCs w:val="24"/>
        </w:rPr>
        <w:t xml:space="preserve"> directed towards implementing this objective.  Objective</w:t>
      </w:r>
      <w:r w:rsidR="00EB46E3" w:rsidRPr="00E34070">
        <w:rPr>
          <w:sz w:val="24"/>
          <w:szCs w:val="24"/>
        </w:rPr>
        <w:t xml:space="preserve"> two of the strategy which is focused on protected areas</w:t>
      </w:r>
      <w:r w:rsidR="00F94666" w:rsidRPr="00E34070">
        <w:rPr>
          <w:sz w:val="24"/>
          <w:szCs w:val="24"/>
        </w:rPr>
        <w:t xml:space="preserve"> management</w:t>
      </w:r>
      <w:r w:rsidR="00EB46E3" w:rsidRPr="00E34070">
        <w:rPr>
          <w:sz w:val="24"/>
          <w:szCs w:val="24"/>
        </w:rPr>
        <w:t xml:space="preserve"> and species protection</w:t>
      </w:r>
      <w:r w:rsidR="00F854AB" w:rsidRPr="00E34070">
        <w:rPr>
          <w:sz w:val="24"/>
          <w:szCs w:val="24"/>
        </w:rPr>
        <w:t xml:space="preserve"> </w:t>
      </w:r>
      <w:r w:rsidR="003A586D" w:rsidRPr="00E34070">
        <w:rPr>
          <w:sz w:val="24"/>
          <w:szCs w:val="24"/>
        </w:rPr>
        <w:t xml:space="preserve">is a secondary priority of countries with </w:t>
      </w:r>
      <w:r w:rsidR="00F94666" w:rsidRPr="00E34070">
        <w:rPr>
          <w:sz w:val="24"/>
          <w:szCs w:val="24"/>
        </w:rPr>
        <w:t xml:space="preserve">$65.7 million or </w:t>
      </w:r>
      <w:r w:rsidR="003A5EB4" w:rsidRPr="00E34070">
        <w:rPr>
          <w:sz w:val="24"/>
          <w:szCs w:val="24"/>
        </w:rPr>
        <w:t>2</w:t>
      </w:r>
      <w:r w:rsidR="0048185E" w:rsidRPr="00E34070">
        <w:rPr>
          <w:sz w:val="24"/>
          <w:szCs w:val="24"/>
        </w:rPr>
        <w:t>8</w:t>
      </w:r>
      <w:r w:rsidR="003A5EB4" w:rsidRPr="00E34070">
        <w:rPr>
          <w:sz w:val="24"/>
          <w:szCs w:val="24"/>
        </w:rPr>
        <w:t xml:space="preserve"> </w:t>
      </w:r>
      <w:r w:rsidR="00F94666" w:rsidRPr="00E34070">
        <w:rPr>
          <w:sz w:val="24"/>
          <w:szCs w:val="24"/>
        </w:rPr>
        <w:t>percent</w:t>
      </w:r>
      <w:r w:rsidR="0036045C" w:rsidRPr="00E34070">
        <w:rPr>
          <w:sz w:val="24"/>
          <w:szCs w:val="24"/>
        </w:rPr>
        <w:t>,</w:t>
      </w:r>
      <w:r w:rsidR="003A586D" w:rsidRPr="00E34070">
        <w:rPr>
          <w:sz w:val="24"/>
          <w:szCs w:val="24"/>
        </w:rPr>
        <w:t xml:space="preserve"> being invested</w:t>
      </w:r>
      <w:r w:rsidR="0045589B" w:rsidRPr="00E34070">
        <w:rPr>
          <w:sz w:val="24"/>
          <w:szCs w:val="24"/>
        </w:rPr>
        <w:t>.  Objective three of the strategy</w:t>
      </w:r>
      <w:r w:rsidR="003A586D" w:rsidRPr="00E34070">
        <w:rPr>
          <w:sz w:val="24"/>
          <w:szCs w:val="24"/>
        </w:rPr>
        <w:t xml:space="preserve">, </w:t>
      </w:r>
      <w:r w:rsidR="0045589B" w:rsidRPr="00E34070">
        <w:rPr>
          <w:sz w:val="24"/>
          <w:szCs w:val="24"/>
        </w:rPr>
        <w:t>which aims to support implementation of the two protocols and support reporting obligations of the convention</w:t>
      </w:r>
      <w:r w:rsidR="003A586D" w:rsidRPr="00E34070">
        <w:rPr>
          <w:sz w:val="24"/>
          <w:szCs w:val="24"/>
        </w:rPr>
        <w:t>,</w:t>
      </w:r>
      <w:r w:rsidR="0045589B" w:rsidRPr="00E34070">
        <w:rPr>
          <w:sz w:val="24"/>
          <w:szCs w:val="24"/>
        </w:rPr>
        <w:t xml:space="preserve"> has</w:t>
      </w:r>
      <w:r w:rsidR="003A586D" w:rsidRPr="00E34070">
        <w:rPr>
          <w:sz w:val="24"/>
          <w:szCs w:val="24"/>
        </w:rPr>
        <w:t xml:space="preserve"> </w:t>
      </w:r>
      <w:r w:rsidR="006B73CA" w:rsidRPr="00E34070">
        <w:rPr>
          <w:sz w:val="24"/>
          <w:szCs w:val="24"/>
        </w:rPr>
        <w:t xml:space="preserve">been a very low priority of countries with only $7.8 million, or </w:t>
      </w:r>
      <w:r w:rsidR="00F80C57" w:rsidRPr="00E34070">
        <w:rPr>
          <w:sz w:val="24"/>
          <w:szCs w:val="24"/>
        </w:rPr>
        <w:t>three</w:t>
      </w:r>
      <w:r w:rsidR="006B73CA" w:rsidRPr="00E34070">
        <w:rPr>
          <w:sz w:val="24"/>
          <w:szCs w:val="24"/>
        </w:rPr>
        <w:t xml:space="preserve"> percent</w:t>
      </w:r>
      <w:r w:rsidR="00F80C57" w:rsidRPr="00E34070">
        <w:rPr>
          <w:sz w:val="24"/>
          <w:szCs w:val="24"/>
        </w:rPr>
        <w:t xml:space="preserve"> </w:t>
      </w:r>
      <w:r w:rsidR="006B73CA" w:rsidRPr="00E34070">
        <w:rPr>
          <w:sz w:val="24"/>
          <w:szCs w:val="24"/>
        </w:rPr>
        <w:t>being invested to implement the Nagoya Protocol.</w:t>
      </w:r>
      <w:r w:rsidR="00F854AB" w:rsidRPr="00E34070">
        <w:rPr>
          <w:sz w:val="24"/>
          <w:szCs w:val="24"/>
        </w:rPr>
        <w:t xml:space="preserve">  </w:t>
      </w:r>
    </w:p>
    <w:p w14:paraId="31983DD1" w14:textId="3A2C9A9E" w:rsidR="00C80D8B" w:rsidRDefault="00F854AB" w:rsidP="00CA5440">
      <w:pPr>
        <w:pStyle w:val="ListParagraph"/>
        <w:numPr>
          <w:ilvl w:val="0"/>
          <w:numId w:val="25"/>
        </w:numPr>
        <w:spacing w:before="240" w:after="240" w:line="240" w:lineRule="auto"/>
        <w:ind w:left="0" w:firstLine="0"/>
        <w:contextualSpacing w:val="0"/>
        <w:rPr>
          <w:sz w:val="24"/>
          <w:szCs w:val="24"/>
        </w:rPr>
      </w:pPr>
      <w:r w:rsidRPr="00CA5440">
        <w:rPr>
          <w:snapToGrid w:val="0"/>
          <w:sz w:val="24"/>
          <w:szCs w:val="24"/>
        </w:rPr>
        <w:t xml:space="preserve">It is important to note, and as </w:t>
      </w:r>
      <w:r w:rsidR="0024555C" w:rsidRPr="00CA5440">
        <w:rPr>
          <w:snapToGrid w:val="0"/>
          <w:sz w:val="24"/>
          <w:szCs w:val="24"/>
        </w:rPr>
        <w:t>further described</w:t>
      </w:r>
      <w:r w:rsidRPr="00CA5440">
        <w:rPr>
          <w:snapToGrid w:val="0"/>
          <w:sz w:val="24"/>
          <w:szCs w:val="24"/>
        </w:rPr>
        <w:t xml:space="preserve"> in this report, that </w:t>
      </w:r>
      <w:r w:rsidR="00A82F65" w:rsidRPr="00CA5440">
        <w:rPr>
          <w:snapToGrid w:val="0"/>
          <w:sz w:val="24"/>
          <w:szCs w:val="24"/>
        </w:rPr>
        <w:t>$22</w:t>
      </w:r>
      <w:r w:rsidR="00DD2642" w:rsidRPr="00CA5440">
        <w:rPr>
          <w:snapToGrid w:val="0"/>
          <w:sz w:val="24"/>
          <w:szCs w:val="24"/>
        </w:rPr>
        <w:t>0</w:t>
      </w:r>
      <w:r w:rsidR="00A82F65" w:rsidRPr="00CA5440">
        <w:rPr>
          <w:snapToGrid w:val="0"/>
          <w:sz w:val="24"/>
          <w:szCs w:val="24"/>
        </w:rPr>
        <w:t>.6 million of</w:t>
      </w:r>
      <w:r w:rsidR="00A82F65" w:rsidRPr="00E34070">
        <w:rPr>
          <w:sz w:val="24"/>
          <w:szCs w:val="24"/>
        </w:rPr>
        <w:t xml:space="preserve"> biodiversity STAR allocations were programmed through the Impact Programs, which are predominantly aligned with the biodiversity mainstreaming agenda.</w:t>
      </w:r>
    </w:p>
    <w:p w14:paraId="725BA2A7" w14:textId="7DAEBD02" w:rsidR="00BC29AF" w:rsidRPr="002C2B38" w:rsidRDefault="00676B7F" w:rsidP="00D722AE">
      <w:pPr>
        <w:spacing w:before="240" w:after="240" w:line="240" w:lineRule="auto"/>
        <w:jc w:val="center"/>
        <w:rPr>
          <w:b/>
          <w:i/>
          <w:sz w:val="24"/>
          <w:szCs w:val="24"/>
        </w:rPr>
      </w:pPr>
      <w:r w:rsidRPr="002C2B38">
        <w:rPr>
          <w:b/>
          <w:sz w:val="24"/>
          <w:szCs w:val="24"/>
          <w:lang w:val="en-GB"/>
        </w:rPr>
        <w:t xml:space="preserve">Table </w:t>
      </w:r>
      <w:r w:rsidR="007913F6" w:rsidRPr="002C2B38">
        <w:rPr>
          <w:b/>
          <w:sz w:val="24"/>
          <w:szCs w:val="24"/>
          <w:lang w:val="en-GB"/>
        </w:rPr>
        <w:t>5</w:t>
      </w:r>
      <w:r w:rsidR="000C50C3" w:rsidRPr="002C2B38">
        <w:rPr>
          <w:b/>
          <w:sz w:val="24"/>
          <w:szCs w:val="24"/>
          <w:lang w:val="en-GB"/>
        </w:rPr>
        <w:t>.</w:t>
      </w:r>
      <w:r w:rsidR="00F35F84" w:rsidRPr="002C2B38">
        <w:rPr>
          <w:b/>
          <w:sz w:val="24"/>
          <w:szCs w:val="24"/>
          <w:lang w:val="en-GB"/>
        </w:rPr>
        <w:t xml:space="preserve"> </w:t>
      </w:r>
      <w:r w:rsidR="009B7241" w:rsidRPr="002C2B38">
        <w:rPr>
          <w:b/>
          <w:sz w:val="24"/>
          <w:szCs w:val="24"/>
          <w:lang w:val="en-GB"/>
        </w:rPr>
        <w:t xml:space="preserve"> </w:t>
      </w:r>
      <w:r w:rsidR="00B95879" w:rsidRPr="002C2B38">
        <w:rPr>
          <w:b/>
          <w:sz w:val="24"/>
          <w:szCs w:val="24"/>
        </w:rPr>
        <w:t xml:space="preserve">Biodiversity Focal Area Projects and Multi-focal Area Projects Contribution to Achieving the Aichi Biodiversity </w:t>
      </w:r>
      <w:r w:rsidR="00B95879" w:rsidRPr="00E34070">
        <w:rPr>
          <w:b/>
          <w:sz w:val="24"/>
          <w:szCs w:val="24"/>
        </w:rPr>
        <w:t xml:space="preserve">Targets </w:t>
      </w:r>
      <w:r w:rsidR="00B95879" w:rsidRPr="00E34070">
        <w:rPr>
          <w:b/>
          <w:i/>
          <w:sz w:val="24"/>
          <w:szCs w:val="24"/>
        </w:rPr>
        <w:t>(</w:t>
      </w:r>
      <w:r w:rsidR="00B95879" w:rsidRPr="00E34070">
        <w:rPr>
          <w:b/>
          <w:i/>
          <w:sz w:val="24"/>
          <w:szCs w:val="24"/>
          <w:u w:val="single"/>
        </w:rPr>
        <w:t>these are projects that are not part of the Impact Programs</w:t>
      </w:r>
      <w:r w:rsidR="00B95879" w:rsidRPr="00E34070">
        <w:rPr>
          <w:b/>
          <w:i/>
          <w:sz w:val="24"/>
          <w:szCs w:val="24"/>
        </w:rPr>
        <w:t>)</w:t>
      </w:r>
      <w:r w:rsidR="002C2B38" w:rsidRPr="00E34070">
        <w:rPr>
          <w:b/>
          <w:i/>
          <w:sz w:val="24"/>
          <w:szCs w:val="24"/>
        </w:rPr>
        <w:t xml:space="preserve"> </w:t>
      </w:r>
      <w:r w:rsidR="00214307" w:rsidRPr="00E34070">
        <w:rPr>
          <w:b/>
          <w:sz w:val="24"/>
          <w:szCs w:val="24"/>
          <w:lang w:val="en-GB"/>
        </w:rPr>
        <w:t>(July 1, 2018 to Dece</w:t>
      </w:r>
      <w:r w:rsidR="00214307" w:rsidRPr="002C2B38">
        <w:rPr>
          <w:b/>
          <w:sz w:val="24"/>
          <w:szCs w:val="24"/>
          <w:lang w:val="en-GB"/>
        </w:rPr>
        <w:t>mber 31, 2019)</w:t>
      </w:r>
      <w:r w:rsidR="006A576B" w:rsidRPr="002C2B38">
        <w:rPr>
          <w:rStyle w:val="FootnoteReference"/>
          <w:b/>
          <w:sz w:val="24"/>
          <w:szCs w:val="24"/>
          <w:lang w:val="en-GB"/>
        </w:rPr>
        <w:footnoteReference w:id="9"/>
      </w:r>
    </w:p>
    <w:tbl>
      <w:tblPr>
        <w:tblStyle w:val="TableGrid"/>
        <w:tblW w:w="0" w:type="auto"/>
        <w:tblLook w:val="04A0" w:firstRow="1" w:lastRow="0" w:firstColumn="1" w:lastColumn="0" w:noHBand="0" w:noVBand="1"/>
      </w:tblPr>
      <w:tblGrid>
        <w:gridCol w:w="3397"/>
        <w:gridCol w:w="1754"/>
        <w:gridCol w:w="1534"/>
        <w:gridCol w:w="1506"/>
        <w:gridCol w:w="1159"/>
      </w:tblGrid>
      <w:tr w:rsidR="00C62CA8" w:rsidRPr="00273B2C" w14:paraId="7A5D73B2" w14:textId="280808D3" w:rsidTr="00E34070">
        <w:trPr>
          <w:tblHeader/>
        </w:trPr>
        <w:tc>
          <w:tcPr>
            <w:tcW w:w="3397" w:type="dxa"/>
            <w:vAlign w:val="center"/>
          </w:tcPr>
          <w:p w14:paraId="383F95AA" w14:textId="77777777" w:rsidR="00C62CA8" w:rsidRPr="00350D2F" w:rsidRDefault="00C62CA8" w:rsidP="008354E6">
            <w:pPr>
              <w:jc w:val="center"/>
              <w:rPr>
                <w:b/>
              </w:rPr>
            </w:pPr>
            <w:r w:rsidRPr="00350D2F">
              <w:rPr>
                <w:b/>
              </w:rPr>
              <w:t>BD Strategy Objectives and Programming Lines</w:t>
            </w:r>
          </w:p>
        </w:tc>
        <w:tc>
          <w:tcPr>
            <w:tcW w:w="1754" w:type="dxa"/>
            <w:vAlign w:val="center"/>
          </w:tcPr>
          <w:p w14:paraId="189BEAA8" w14:textId="59C0B861" w:rsidR="00C62CA8" w:rsidRPr="00350D2F" w:rsidRDefault="00C62CA8" w:rsidP="008354E6">
            <w:pPr>
              <w:jc w:val="center"/>
              <w:rPr>
                <w:b/>
              </w:rPr>
            </w:pPr>
            <w:r w:rsidRPr="00350D2F">
              <w:rPr>
                <w:b/>
              </w:rPr>
              <w:t>Aichi Targets</w:t>
            </w:r>
          </w:p>
        </w:tc>
        <w:tc>
          <w:tcPr>
            <w:tcW w:w="1534" w:type="dxa"/>
            <w:vAlign w:val="center"/>
          </w:tcPr>
          <w:p w14:paraId="14D6A10A" w14:textId="41980FC1" w:rsidR="00C62CA8" w:rsidRPr="00350D2F" w:rsidRDefault="00C62CA8" w:rsidP="008354E6">
            <w:pPr>
              <w:jc w:val="center"/>
              <w:rPr>
                <w:b/>
              </w:rPr>
            </w:pPr>
            <w:r w:rsidRPr="00350D2F">
              <w:rPr>
                <w:b/>
              </w:rPr>
              <w:t xml:space="preserve">GEF Project </w:t>
            </w:r>
            <w:r w:rsidR="00631F5C" w:rsidRPr="00350D2F">
              <w:rPr>
                <w:b/>
              </w:rPr>
              <w:t>Financing</w:t>
            </w:r>
            <w:r w:rsidRPr="00350D2F">
              <w:rPr>
                <w:b/>
              </w:rPr>
              <w:t xml:space="preserve"> </w:t>
            </w:r>
          </w:p>
          <w:p w14:paraId="0ADD07D8" w14:textId="5AB9614D" w:rsidR="00C62CA8" w:rsidRPr="00350D2F" w:rsidRDefault="00C62CA8" w:rsidP="008354E6">
            <w:pPr>
              <w:jc w:val="center"/>
              <w:rPr>
                <w:b/>
              </w:rPr>
            </w:pPr>
            <w:r w:rsidRPr="00350D2F">
              <w:rPr>
                <w:b/>
              </w:rPr>
              <w:t>($ million)</w:t>
            </w:r>
          </w:p>
        </w:tc>
        <w:tc>
          <w:tcPr>
            <w:tcW w:w="1506" w:type="dxa"/>
            <w:vAlign w:val="center"/>
          </w:tcPr>
          <w:p w14:paraId="1423CEB2" w14:textId="708A7261" w:rsidR="00C62CA8" w:rsidRPr="00350D2F" w:rsidRDefault="002D582B" w:rsidP="008354E6">
            <w:pPr>
              <w:jc w:val="center"/>
              <w:rPr>
                <w:b/>
              </w:rPr>
            </w:pPr>
            <w:r w:rsidRPr="00350D2F">
              <w:rPr>
                <w:b/>
              </w:rPr>
              <w:t>Co-financing</w:t>
            </w:r>
          </w:p>
          <w:p w14:paraId="6841E8EA" w14:textId="247E9F01" w:rsidR="00C62CA8" w:rsidRPr="00350D2F" w:rsidRDefault="00C62CA8" w:rsidP="008354E6">
            <w:pPr>
              <w:jc w:val="center"/>
              <w:rPr>
                <w:b/>
              </w:rPr>
            </w:pPr>
            <w:r w:rsidRPr="00350D2F">
              <w:rPr>
                <w:b/>
              </w:rPr>
              <w:t>($ million)</w:t>
            </w:r>
          </w:p>
        </w:tc>
        <w:tc>
          <w:tcPr>
            <w:tcW w:w="1159" w:type="dxa"/>
            <w:vAlign w:val="center"/>
          </w:tcPr>
          <w:p w14:paraId="521D0240" w14:textId="5DFF4355" w:rsidR="00C62CA8" w:rsidRPr="00350D2F" w:rsidRDefault="00C62CA8" w:rsidP="008354E6">
            <w:pPr>
              <w:jc w:val="center"/>
              <w:rPr>
                <w:b/>
              </w:rPr>
            </w:pPr>
            <w:r w:rsidRPr="00350D2F">
              <w:rPr>
                <w:b/>
              </w:rPr>
              <w:t>Total</w:t>
            </w:r>
          </w:p>
          <w:p w14:paraId="57474CDC" w14:textId="63D79F31" w:rsidR="00C62CA8" w:rsidRPr="00350D2F" w:rsidRDefault="00C62CA8" w:rsidP="008354E6">
            <w:pPr>
              <w:jc w:val="center"/>
              <w:rPr>
                <w:b/>
              </w:rPr>
            </w:pPr>
            <w:r w:rsidRPr="00350D2F">
              <w:rPr>
                <w:b/>
              </w:rPr>
              <w:t>($ million)</w:t>
            </w:r>
          </w:p>
        </w:tc>
      </w:tr>
      <w:tr w:rsidR="00C62CA8" w:rsidRPr="00816D28" w14:paraId="38241777" w14:textId="5DB478EF" w:rsidTr="00E34070">
        <w:tc>
          <w:tcPr>
            <w:tcW w:w="3397" w:type="dxa"/>
            <w:shd w:val="clear" w:color="auto" w:fill="auto"/>
            <w:vAlign w:val="center"/>
          </w:tcPr>
          <w:p w14:paraId="6E2C64CE" w14:textId="77777777" w:rsidR="00C62CA8" w:rsidRPr="00816D28" w:rsidRDefault="00C62CA8" w:rsidP="00E96F24">
            <w:pPr>
              <w:spacing w:after="40"/>
              <w:rPr>
                <w:b/>
              </w:rPr>
            </w:pPr>
            <w:r w:rsidRPr="00816D28">
              <w:rPr>
                <w:b/>
              </w:rPr>
              <w:t xml:space="preserve">Objective 1. Mainstream biodiversity across sectors as well as landscapes and seascapes </w:t>
            </w:r>
          </w:p>
        </w:tc>
        <w:tc>
          <w:tcPr>
            <w:tcW w:w="1754" w:type="dxa"/>
            <w:shd w:val="clear" w:color="auto" w:fill="auto"/>
            <w:vAlign w:val="center"/>
          </w:tcPr>
          <w:p w14:paraId="258E078D" w14:textId="77777777" w:rsidR="00C62CA8" w:rsidRPr="00816D28" w:rsidRDefault="00C62CA8" w:rsidP="00E96F24">
            <w:pPr>
              <w:spacing w:after="40"/>
              <w:rPr>
                <w:b/>
              </w:rPr>
            </w:pPr>
          </w:p>
        </w:tc>
        <w:tc>
          <w:tcPr>
            <w:tcW w:w="1534" w:type="dxa"/>
            <w:shd w:val="clear" w:color="auto" w:fill="auto"/>
            <w:vAlign w:val="center"/>
          </w:tcPr>
          <w:p w14:paraId="3BD9D1CD" w14:textId="77777777" w:rsidR="00C62CA8" w:rsidRPr="00816D28" w:rsidRDefault="00C62CA8" w:rsidP="00E96F24">
            <w:pPr>
              <w:spacing w:after="40"/>
              <w:rPr>
                <w:b/>
              </w:rPr>
            </w:pPr>
          </w:p>
        </w:tc>
        <w:tc>
          <w:tcPr>
            <w:tcW w:w="1506" w:type="dxa"/>
            <w:shd w:val="clear" w:color="auto" w:fill="auto"/>
            <w:vAlign w:val="center"/>
          </w:tcPr>
          <w:p w14:paraId="29EBA98C" w14:textId="77777777" w:rsidR="00C62CA8" w:rsidRPr="00816D28" w:rsidRDefault="00C62CA8" w:rsidP="00E96F24">
            <w:pPr>
              <w:spacing w:after="40"/>
              <w:rPr>
                <w:b/>
              </w:rPr>
            </w:pPr>
          </w:p>
        </w:tc>
        <w:tc>
          <w:tcPr>
            <w:tcW w:w="1159" w:type="dxa"/>
            <w:shd w:val="clear" w:color="auto" w:fill="auto"/>
            <w:vAlign w:val="center"/>
          </w:tcPr>
          <w:p w14:paraId="6F905CE3" w14:textId="77777777" w:rsidR="00C62CA8" w:rsidRPr="00816D28" w:rsidRDefault="00C62CA8" w:rsidP="00E96F24">
            <w:pPr>
              <w:spacing w:after="40"/>
              <w:rPr>
                <w:b/>
              </w:rPr>
            </w:pPr>
          </w:p>
        </w:tc>
      </w:tr>
      <w:tr w:rsidR="00C62CA8" w:rsidRPr="00273B2C" w14:paraId="70932A11" w14:textId="2486FFE4" w:rsidTr="00E34070">
        <w:tc>
          <w:tcPr>
            <w:tcW w:w="3397" w:type="dxa"/>
            <w:vAlign w:val="center"/>
          </w:tcPr>
          <w:p w14:paraId="652FA9D5" w14:textId="2CA938A7" w:rsidR="00C62CA8" w:rsidRPr="00273B2C" w:rsidRDefault="00C62CA8" w:rsidP="00E96F24">
            <w:pPr>
              <w:spacing w:after="40"/>
            </w:pPr>
            <w:r w:rsidRPr="00273B2C">
              <w:t>1-1</w:t>
            </w:r>
            <w:r>
              <w:t xml:space="preserve"> </w:t>
            </w:r>
            <w:r w:rsidRPr="00273B2C">
              <w:t>Biodiversity Mainstreaming in Priority Sectors</w:t>
            </w:r>
          </w:p>
        </w:tc>
        <w:tc>
          <w:tcPr>
            <w:tcW w:w="1754" w:type="dxa"/>
            <w:vAlign w:val="center"/>
          </w:tcPr>
          <w:p w14:paraId="0179363B" w14:textId="5C148DF4" w:rsidR="00C62CA8" w:rsidRPr="00273B2C" w:rsidRDefault="002476C8" w:rsidP="00E96F24">
            <w:pPr>
              <w:spacing w:after="40"/>
            </w:pPr>
            <w:r>
              <w:t>3,5,6,7,14,15</w:t>
            </w:r>
          </w:p>
        </w:tc>
        <w:tc>
          <w:tcPr>
            <w:tcW w:w="1534" w:type="dxa"/>
            <w:vAlign w:val="center"/>
          </w:tcPr>
          <w:p w14:paraId="64BCF82E" w14:textId="3E46862B" w:rsidR="00C62CA8" w:rsidRPr="00273B2C" w:rsidRDefault="003B52BB" w:rsidP="00E96F24">
            <w:pPr>
              <w:spacing w:after="40"/>
            </w:pPr>
            <w:r>
              <w:rPr>
                <w:rFonts w:ascii="Calibri" w:hAnsi="Calibri" w:cs="Calibri"/>
                <w:color w:val="000000"/>
              </w:rPr>
              <w:t>84.</w:t>
            </w:r>
            <w:r w:rsidR="00F7523E">
              <w:rPr>
                <w:rFonts w:ascii="Calibri" w:hAnsi="Calibri" w:cs="Calibri"/>
                <w:color w:val="000000"/>
              </w:rPr>
              <w:t>9</w:t>
            </w:r>
          </w:p>
        </w:tc>
        <w:tc>
          <w:tcPr>
            <w:tcW w:w="1506" w:type="dxa"/>
            <w:vAlign w:val="center"/>
          </w:tcPr>
          <w:p w14:paraId="055DFB5D" w14:textId="17BC2264" w:rsidR="00C62CA8" w:rsidRPr="00273B2C" w:rsidRDefault="003B52BB" w:rsidP="00E96F24">
            <w:pPr>
              <w:spacing w:after="40"/>
            </w:pPr>
            <w:r>
              <w:rPr>
                <w:rFonts w:ascii="Calibri" w:hAnsi="Calibri" w:cs="Calibri"/>
                <w:color w:val="000000"/>
              </w:rPr>
              <w:t>62</w:t>
            </w:r>
            <w:r w:rsidR="00F7523E">
              <w:rPr>
                <w:rFonts w:ascii="Calibri" w:hAnsi="Calibri" w:cs="Calibri"/>
                <w:color w:val="000000"/>
              </w:rPr>
              <w:t>3</w:t>
            </w:r>
            <w:r>
              <w:rPr>
                <w:rFonts w:ascii="Calibri" w:hAnsi="Calibri" w:cs="Calibri"/>
                <w:color w:val="000000"/>
              </w:rPr>
              <w:t>.</w:t>
            </w:r>
            <w:r w:rsidR="00F7523E">
              <w:rPr>
                <w:rFonts w:ascii="Calibri" w:hAnsi="Calibri" w:cs="Calibri"/>
                <w:color w:val="000000"/>
              </w:rPr>
              <w:t>0</w:t>
            </w:r>
          </w:p>
        </w:tc>
        <w:tc>
          <w:tcPr>
            <w:tcW w:w="1159" w:type="dxa"/>
            <w:vAlign w:val="center"/>
          </w:tcPr>
          <w:p w14:paraId="6A1394A2" w14:textId="6AE5B7CB" w:rsidR="00C62CA8" w:rsidRPr="00273B2C" w:rsidRDefault="003B52BB" w:rsidP="00E96F24">
            <w:pPr>
              <w:spacing w:after="40"/>
            </w:pPr>
            <w:r>
              <w:rPr>
                <w:rFonts w:ascii="Calibri" w:hAnsi="Calibri" w:cs="Calibri"/>
                <w:color w:val="000000"/>
              </w:rPr>
              <w:t>70</w:t>
            </w:r>
            <w:r w:rsidR="00F7523E">
              <w:rPr>
                <w:rFonts w:ascii="Calibri" w:hAnsi="Calibri" w:cs="Calibri"/>
                <w:color w:val="000000"/>
              </w:rPr>
              <w:t>7</w:t>
            </w:r>
            <w:r>
              <w:rPr>
                <w:rFonts w:ascii="Calibri" w:hAnsi="Calibri" w:cs="Calibri"/>
                <w:color w:val="000000"/>
              </w:rPr>
              <w:t>.</w:t>
            </w:r>
            <w:r w:rsidR="009813C2">
              <w:rPr>
                <w:rFonts w:ascii="Calibri" w:hAnsi="Calibri" w:cs="Calibri"/>
                <w:color w:val="000000"/>
              </w:rPr>
              <w:t>8</w:t>
            </w:r>
          </w:p>
        </w:tc>
      </w:tr>
      <w:tr w:rsidR="00C62CA8" w:rsidRPr="00273B2C" w14:paraId="67982E49" w14:textId="33C68670" w:rsidTr="00E34070">
        <w:tc>
          <w:tcPr>
            <w:tcW w:w="3397" w:type="dxa"/>
            <w:vAlign w:val="center"/>
          </w:tcPr>
          <w:p w14:paraId="1AC73710" w14:textId="25041467" w:rsidR="00C62CA8" w:rsidRPr="00273B2C" w:rsidRDefault="00C62CA8" w:rsidP="00E96F24">
            <w:pPr>
              <w:spacing w:after="40"/>
            </w:pPr>
            <w:r w:rsidRPr="00273B2C">
              <w:t>1-2a</w:t>
            </w:r>
            <w:r>
              <w:t xml:space="preserve"> </w:t>
            </w:r>
            <w:r w:rsidRPr="00273B2C">
              <w:t>Global Wildlife Program-Preventing the Extinction of Known Threatened Species</w:t>
            </w:r>
          </w:p>
        </w:tc>
        <w:tc>
          <w:tcPr>
            <w:tcW w:w="1754" w:type="dxa"/>
            <w:vAlign w:val="center"/>
          </w:tcPr>
          <w:p w14:paraId="0C6D402D" w14:textId="0796C90A" w:rsidR="00C62CA8" w:rsidRPr="00273B2C" w:rsidRDefault="00F72BA3" w:rsidP="00E96F24">
            <w:pPr>
              <w:spacing w:after="40"/>
            </w:pPr>
            <w:r>
              <w:t>12</w:t>
            </w:r>
          </w:p>
        </w:tc>
        <w:tc>
          <w:tcPr>
            <w:tcW w:w="1534" w:type="dxa"/>
            <w:vAlign w:val="center"/>
          </w:tcPr>
          <w:p w14:paraId="3DD4ABE5" w14:textId="3733496B" w:rsidR="00C62CA8" w:rsidRPr="00273B2C" w:rsidRDefault="003B52BB" w:rsidP="00E96F24">
            <w:pPr>
              <w:spacing w:after="40"/>
            </w:pPr>
            <w:r>
              <w:rPr>
                <w:rFonts w:ascii="Calibri" w:hAnsi="Calibri" w:cs="Calibri"/>
                <w:color w:val="000000"/>
              </w:rPr>
              <w:t>27.5</w:t>
            </w:r>
          </w:p>
        </w:tc>
        <w:tc>
          <w:tcPr>
            <w:tcW w:w="1506" w:type="dxa"/>
            <w:vAlign w:val="center"/>
          </w:tcPr>
          <w:p w14:paraId="17762C9B" w14:textId="4594537B" w:rsidR="00C62CA8" w:rsidRPr="00273B2C" w:rsidRDefault="003B52BB" w:rsidP="00E96F24">
            <w:pPr>
              <w:spacing w:after="40"/>
            </w:pPr>
            <w:r>
              <w:rPr>
                <w:rFonts w:ascii="Calibri" w:hAnsi="Calibri" w:cs="Calibri"/>
                <w:color w:val="000000"/>
              </w:rPr>
              <w:t>156.5</w:t>
            </w:r>
          </w:p>
        </w:tc>
        <w:tc>
          <w:tcPr>
            <w:tcW w:w="1159" w:type="dxa"/>
            <w:vAlign w:val="center"/>
          </w:tcPr>
          <w:p w14:paraId="62204E94" w14:textId="665365B4" w:rsidR="00C62CA8" w:rsidRPr="00273B2C" w:rsidRDefault="003B52BB" w:rsidP="00E96F24">
            <w:pPr>
              <w:spacing w:after="40"/>
            </w:pPr>
            <w:r>
              <w:rPr>
                <w:rFonts w:ascii="Calibri" w:hAnsi="Calibri" w:cs="Calibri"/>
                <w:color w:val="000000"/>
              </w:rPr>
              <w:t>184.1</w:t>
            </w:r>
          </w:p>
        </w:tc>
      </w:tr>
      <w:tr w:rsidR="00C62CA8" w:rsidRPr="00273B2C" w14:paraId="556E2768" w14:textId="5D3D20F7" w:rsidTr="00E34070">
        <w:tc>
          <w:tcPr>
            <w:tcW w:w="3397" w:type="dxa"/>
            <w:vAlign w:val="center"/>
          </w:tcPr>
          <w:p w14:paraId="01DEA50A" w14:textId="25B2D83D" w:rsidR="00C62CA8" w:rsidRPr="00273B2C" w:rsidRDefault="00C62CA8" w:rsidP="00E96F24">
            <w:pPr>
              <w:spacing w:after="40"/>
            </w:pPr>
            <w:r w:rsidRPr="00273B2C">
              <w:t>1-2b</w:t>
            </w:r>
            <w:r>
              <w:t xml:space="preserve"> </w:t>
            </w:r>
            <w:r w:rsidRPr="00273B2C">
              <w:t>Global Wildlife Program-Wildlife for Sustainable Development</w:t>
            </w:r>
          </w:p>
        </w:tc>
        <w:tc>
          <w:tcPr>
            <w:tcW w:w="1754" w:type="dxa"/>
            <w:vAlign w:val="center"/>
          </w:tcPr>
          <w:p w14:paraId="08359F83" w14:textId="4BA93B90" w:rsidR="00C62CA8" w:rsidRPr="00273B2C" w:rsidRDefault="00F72BA3" w:rsidP="00E96F24">
            <w:pPr>
              <w:spacing w:after="40"/>
            </w:pPr>
            <w:r>
              <w:t>12</w:t>
            </w:r>
          </w:p>
        </w:tc>
        <w:tc>
          <w:tcPr>
            <w:tcW w:w="1534" w:type="dxa"/>
            <w:vAlign w:val="center"/>
          </w:tcPr>
          <w:p w14:paraId="36E501FA" w14:textId="2871AA4C" w:rsidR="00C62CA8" w:rsidRPr="00273B2C" w:rsidRDefault="0042203E" w:rsidP="00E96F24">
            <w:pPr>
              <w:spacing w:after="40"/>
            </w:pPr>
            <w:r>
              <w:rPr>
                <w:rFonts w:ascii="Calibri" w:hAnsi="Calibri" w:cs="Calibri"/>
                <w:color w:val="000000"/>
              </w:rPr>
              <w:t>27.</w:t>
            </w:r>
            <w:r w:rsidR="003B52BB">
              <w:rPr>
                <w:rFonts w:ascii="Calibri" w:hAnsi="Calibri" w:cs="Calibri"/>
                <w:color w:val="000000"/>
              </w:rPr>
              <w:t>3</w:t>
            </w:r>
          </w:p>
        </w:tc>
        <w:tc>
          <w:tcPr>
            <w:tcW w:w="1506" w:type="dxa"/>
            <w:vAlign w:val="center"/>
          </w:tcPr>
          <w:p w14:paraId="46B13F83" w14:textId="2B9EDB69" w:rsidR="00C62CA8" w:rsidRPr="00273B2C" w:rsidRDefault="003B52BB" w:rsidP="00E96F24">
            <w:pPr>
              <w:spacing w:after="40"/>
            </w:pPr>
            <w:r>
              <w:rPr>
                <w:rFonts w:ascii="Calibri" w:hAnsi="Calibri" w:cs="Calibri"/>
                <w:color w:val="000000"/>
              </w:rPr>
              <w:t>199.9</w:t>
            </w:r>
          </w:p>
        </w:tc>
        <w:tc>
          <w:tcPr>
            <w:tcW w:w="1159" w:type="dxa"/>
            <w:vAlign w:val="center"/>
          </w:tcPr>
          <w:p w14:paraId="0D267E52" w14:textId="08540EA9" w:rsidR="00C62CA8" w:rsidRPr="00273B2C" w:rsidRDefault="003B52BB" w:rsidP="00E96F24">
            <w:pPr>
              <w:spacing w:after="40"/>
            </w:pPr>
            <w:r>
              <w:rPr>
                <w:rFonts w:ascii="Calibri" w:hAnsi="Calibri" w:cs="Calibri"/>
                <w:color w:val="000000"/>
              </w:rPr>
              <w:t>227.2</w:t>
            </w:r>
          </w:p>
        </w:tc>
      </w:tr>
      <w:tr w:rsidR="00C62CA8" w:rsidRPr="00273B2C" w14:paraId="352E115E" w14:textId="2258E17B" w:rsidTr="00E34070">
        <w:tc>
          <w:tcPr>
            <w:tcW w:w="3397" w:type="dxa"/>
            <w:vAlign w:val="center"/>
          </w:tcPr>
          <w:p w14:paraId="2AF5DD0D" w14:textId="35B1835B" w:rsidR="00C62CA8" w:rsidRPr="00273B2C" w:rsidRDefault="00C62CA8" w:rsidP="00E96F24">
            <w:pPr>
              <w:spacing w:after="40"/>
            </w:pPr>
            <w:r w:rsidRPr="00273B2C">
              <w:t>1-3</w:t>
            </w:r>
            <w:r>
              <w:t xml:space="preserve"> </w:t>
            </w:r>
            <w:r w:rsidRPr="00273B2C">
              <w:t>Natural Capital Assessment and Accounting</w:t>
            </w:r>
          </w:p>
        </w:tc>
        <w:tc>
          <w:tcPr>
            <w:tcW w:w="1754" w:type="dxa"/>
            <w:vAlign w:val="center"/>
          </w:tcPr>
          <w:p w14:paraId="6637A7BA" w14:textId="6F039F84" w:rsidR="00C62CA8" w:rsidRPr="00273B2C" w:rsidRDefault="00F72BA3" w:rsidP="00E96F24">
            <w:pPr>
              <w:spacing w:after="40"/>
            </w:pPr>
            <w:r>
              <w:t>2 and 20</w:t>
            </w:r>
          </w:p>
        </w:tc>
        <w:tc>
          <w:tcPr>
            <w:tcW w:w="1534" w:type="dxa"/>
            <w:vAlign w:val="center"/>
          </w:tcPr>
          <w:p w14:paraId="09BA2D9A" w14:textId="1BC30FC3" w:rsidR="00C62CA8" w:rsidRPr="00273B2C" w:rsidRDefault="0042203E" w:rsidP="00E96F24">
            <w:pPr>
              <w:spacing w:after="40"/>
            </w:pPr>
            <w:r>
              <w:rPr>
                <w:rFonts w:ascii="Calibri" w:hAnsi="Calibri" w:cs="Calibri"/>
                <w:color w:val="000000"/>
              </w:rPr>
              <w:t>3</w:t>
            </w:r>
            <w:r w:rsidR="003B52BB">
              <w:rPr>
                <w:rFonts w:ascii="Calibri" w:hAnsi="Calibri" w:cs="Calibri"/>
                <w:color w:val="000000"/>
              </w:rPr>
              <w:t>.4</w:t>
            </w:r>
          </w:p>
        </w:tc>
        <w:tc>
          <w:tcPr>
            <w:tcW w:w="1506" w:type="dxa"/>
            <w:vAlign w:val="center"/>
          </w:tcPr>
          <w:p w14:paraId="2B309598" w14:textId="25405F51" w:rsidR="00C62CA8" w:rsidRPr="00273B2C" w:rsidRDefault="003B52BB" w:rsidP="00E96F24">
            <w:pPr>
              <w:spacing w:after="40"/>
            </w:pPr>
            <w:r>
              <w:rPr>
                <w:rFonts w:ascii="Calibri" w:hAnsi="Calibri" w:cs="Calibri"/>
                <w:color w:val="000000"/>
              </w:rPr>
              <w:t>9.7</w:t>
            </w:r>
          </w:p>
        </w:tc>
        <w:tc>
          <w:tcPr>
            <w:tcW w:w="1159" w:type="dxa"/>
            <w:vAlign w:val="center"/>
          </w:tcPr>
          <w:p w14:paraId="46CEFABC" w14:textId="31957819" w:rsidR="00C62CA8" w:rsidRPr="00273B2C" w:rsidRDefault="003B52BB" w:rsidP="00E96F24">
            <w:pPr>
              <w:spacing w:after="40"/>
            </w:pPr>
            <w:r>
              <w:rPr>
                <w:rFonts w:ascii="Calibri" w:hAnsi="Calibri" w:cs="Calibri"/>
                <w:color w:val="000000"/>
              </w:rPr>
              <w:t>13.0</w:t>
            </w:r>
          </w:p>
        </w:tc>
      </w:tr>
      <w:tr w:rsidR="00C62CA8" w:rsidRPr="00273B2C" w14:paraId="2DEA9C0F" w14:textId="6F0DEA04" w:rsidTr="00E34070">
        <w:tc>
          <w:tcPr>
            <w:tcW w:w="3397" w:type="dxa"/>
            <w:vAlign w:val="center"/>
          </w:tcPr>
          <w:p w14:paraId="63F7A10F" w14:textId="39CA59B9" w:rsidR="00C62CA8" w:rsidRPr="00273B2C" w:rsidRDefault="00C62CA8" w:rsidP="00E96F24">
            <w:pPr>
              <w:spacing w:after="40"/>
            </w:pPr>
            <w:r w:rsidRPr="00273B2C">
              <w:t>1-4</w:t>
            </w:r>
            <w:r>
              <w:t xml:space="preserve"> </w:t>
            </w:r>
            <w:r w:rsidRPr="00273B2C">
              <w:t>Sustainable Use of Plant and Animal Genetic Resources</w:t>
            </w:r>
          </w:p>
        </w:tc>
        <w:tc>
          <w:tcPr>
            <w:tcW w:w="1754" w:type="dxa"/>
            <w:vAlign w:val="center"/>
          </w:tcPr>
          <w:p w14:paraId="32B9BF3F" w14:textId="0FE22695" w:rsidR="00C62CA8" w:rsidRPr="00273B2C" w:rsidRDefault="002476C8" w:rsidP="00E96F24">
            <w:pPr>
              <w:spacing w:after="40"/>
            </w:pPr>
            <w:r>
              <w:t>7 and 13</w:t>
            </w:r>
          </w:p>
        </w:tc>
        <w:tc>
          <w:tcPr>
            <w:tcW w:w="1534" w:type="dxa"/>
            <w:vAlign w:val="center"/>
          </w:tcPr>
          <w:p w14:paraId="78DFDA0A" w14:textId="0122E388" w:rsidR="00C62CA8" w:rsidRPr="00273B2C" w:rsidRDefault="00C62CA8" w:rsidP="00E96F24">
            <w:pPr>
              <w:spacing w:after="40"/>
            </w:pPr>
          </w:p>
        </w:tc>
        <w:tc>
          <w:tcPr>
            <w:tcW w:w="1506" w:type="dxa"/>
            <w:vAlign w:val="center"/>
          </w:tcPr>
          <w:p w14:paraId="25B566AB" w14:textId="327F9579" w:rsidR="00C62CA8" w:rsidRPr="00273B2C" w:rsidRDefault="00C62CA8" w:rsidP="00E96F24">
            <w:pPr>
              <w:spacing w:after="40"/>
            </w:pPr>
          </w:p>
        </w:tc>
        <w:tc>
          <w:tcPr>
            <w:tcW w:w="1159" w:type="dxa"/>
            <w:vAlign w:val="center"/>
          </w:tcPr>
          <w:p w14:paraId="03D795F7" w14:textId="63961E38" w:rsidR="00C62CA8" w:rsidRPr="00273B2C" w:rsidRDefault="00C62CA8" w:rsidP="00E96F24">
            <w:pPr>
              <w:spacing w:after="40"/>
            </w:pPr>
          </w:p>
        </w:tc>
      </w:tr>
      <w:tr w:rsidR="00C62CA8" w:rsidRPr="00273B2C" w14:paraId="561E1AA8" w14:textId="7A15205C" w:rsidTr="00E34070">
        <w:tc>
          <w:tcPr>
            <w:tcW w:w="3397" w:type="dxa"/>
            <w:vAlign w:val="center"/>
          </w:tcPr>
          <w:p w14:paraId="525D088E" w14:textId="5AEA06A4" w:rsidR="00C62CA8" w:rsidRPr="00273B2C" w:rsidRDefault="00C62CA8" w:rsidP="00E96F24">
            <w:pPr>
              <w:spacing w:after="40"/>
            </w:pPr>
            <w:r w:rsidRPr="00273B2C">
              <w:lastRenderedPageBreak/>
              <w:t>1-5</w:t>
            </w:r>
            <w:r>
              <w:t xml:space="preserve"> </w:t>
            </w:r>
            <w:r w:rsidRPr="00273B2C">
              <w:t>Inclusive Conservation</w:t>
            </w:r>
          </w:p>
        </w:tc>
        <w:tc>
          <w:tcPr>
            <w:tcW w:w="1754" w:type="dxa"/>
            <w:vAlign w:val="center"/>
          </w:tcPr>
          <w:p w14:paraId="31FF79EE" w14:textId="0B809B03" w:rsidR="00C62CA8" w:rsidRPr="00273B2C" w:rsidRDefault="00A648E0" w:rsidP="00E96F24">
            <w:pPr>
              <w:spacing w:after="40"/>
            </w:pPr>
            <w:r>
              <w:t xml:space="preserve">11 </w:t>
            </w:r>
          </w:p>
        </w:tc>
        <w:tc>
          <w:tcPr>
            <w:tcW w:w="1534" w:type="dxa"/>
            <w:vAlign w:val="center"/>
          </w:tcPr>
          <w:p w14:paraId="65147881" w14:textId="4E2D3079" w:rsidR="00C62CA8" w:rsidRPr="00273B2C" w:rsidRDefault="003B52BB" w:rsidP="00E96F24">
            <w:pPr>
              <w:spacing w:after="40"/>
            </w:pPr>
            <w:r>
              <w:rPr>
                <w:rFonts w:ascii="Calibri" w:hAnsi="Calibri" w:cs="Calibri"/>
                <w:color w:val="000000"/>
              </w:rPr>
              <w:t>22.5</w:t>
            </w:r>
          </w:p>
        </w:tc>
        <w:tc>
          <w:tcPr>
            <w:tcW w:w="1506" w:type="dxa"/>
            <w:vAlign w:val="center"/>
          </w:tcPr>
          <w:p w14:paraId="0E41FD74" w14:textId="36A9602F" w:rsidR="00C62CA8" w:rsidRPr="00273B2C" w:rsidRDefault="003B52BB" w:rsidP="00E96F24">
            <w:pPr>
              <w:spacing w:after="40"/>
            </w:pPr>
            <w:r>
              <w:rPr>
                <w:rFonts w:ascii="Calibri" w:hAnsi="Calibri" w:cs="Calibri"/>
                <w:color w:val="000000"/>
              </w:rPr>
              <w:t>68.5</w:t>
            </w:r>
          </w:p>
        </w:tc>
        <w:tc>
          <w:tcPr>
            <w:tcW w:w="1159" w:type="dxa"/>
            <w:vAlign w:val="center"/>
          </w:tcPr>
          <w:p w14:paraId="1787667B" w14:textId="1ADBB6D4" w:rsidR="00C62CA8" w:rsidRPr="00273B2C" w:rsidRDefault="003B52BB" w:rsidP="00E96F24">
            <w:pPr>
              <w:spacing w:after="40"/>
            </w:pPr>
            <w:r>
              <w:rPr>
                <w:rFonts w:ascii="Calibri" w:hAnsi="Calibri" w:cs="Calibri"/>
                <w:color w:val="000000"/>
              </w:rPr>
              <w:t>91.0</w:t>
            </w:r>
          </w:p>
        </w:tc>
      </w:tr>
      <w:tr w:rsidR="00BF7292" w:rsidRPr="00816D28" w14:paraId="326771E1" w14:textId="6BAF0042" w:rsidTr="00E34070">
        <w:tc>
          <w:tcPr>
            <w:tcW w:w="3397" w:type="dxa"/>
            <w:shd w:val="clear" w:color="auto" w:fill="auto"/>
            <w:vAlign w:val="center"/>
          </w:tcPr>
          <w:p w14:paraId="2EA60701" w14:textId="77777777" w:rsidR="00BF7292" w:rsidRPr="00816D28" w:rsidRDefault="00BF7292" w:rsidP="00E96F24">
            <w:pPr>
              <w:spacing w:after="40"/>
              <w:rPr>
                <w:b/>
              </w:rPr>
            </w:pPr>
            <w:r w:rsidRPr="00816D28">
              <w:rPr>
                <w:b/>
              </w:rPr>
              <w:t>Objective 2. Address direct drivers to protect habitat and species</w:t>
            </w:r>
          </w:p>
        </w:tc>
        <w:tc>
          <w:tcPr>
            <w:tcW w:w="1754" w:type="dxa"/>
            <w:shd w:val="clear" w:color="auto" w:fill="auto"/>
            <w:vAlign w:val="center"/>
          </w:tcPr>
          <w:p w14:paraId="09F24BCE" w14:textId="77777777" w:rsidR="00BF7292" w:rsidRPr="00816D28" w:rsidRDefault="00BF7292" w:rsidP="00E96F24">
            <w:pPr>
              <w:spacing w:after="40"/>
              <w:rPr>
                <w:b/>
              </w:rPr>
            </w:pPr>
          </w:p>
        </w:tc>
        <w:tc>
          <w:tcPr>
            <w:tcW w:w="1534" w:type="dxa"/>
            <w:shd w:val="clear" w:color="auto" w:fill="auto"/>
            <w:vAlign w:val="center"/>
          </w:tcPr>
          <w:p w14:paraId="5F4ED28D" w14:textId="111238D4" w:rsidR="00BF7292" w:rsidRPr="00816D28" w:rsidRDefault="00BF7292" w:rsidP="00E96F24">
            <w:pPr>
              <w:spacing w:after="40"/>
              <w:rPr>
                <w:b/>
              </w:rPr>
            </w:pPr>
          </w:p>
        </w:tc>
        <w:tc>
          <w:tcPr>
            <w:tcW w:w="1506" w:type="dxa"/>
            <w:shd w:val="clear" w:color="auto" w:fill="auto"/>
            <w:vAlign w:val="center"/>
          </w:tcPr>
          <w:p w14:paraId="301D8A48" w14:textId="031ADD29" w:rsidR="00BF7292" w:rsidRPr="00816D28" w:rsidRDefault="00BF7292" w:rsidP="00E96F24">
            <w:pPr>
              <w:spacing w:after="40"/>
              <w:rPr>
                <w:b/>
              </w:rPr>
            </w:pPr>
          </w:p>
        </w:tc>
        <w:tc>
          <w:tcPr>
            <w:tcW w:w="1159" w:type="dxa"/>
            <w:shd w:val="clear" w:color="auto" w:fill="auto"/>
            <w:vAlign w:val="center"/>
          </w:tcPr>
          <w:p w14:paraId="33A9C3F6" w14:textId="38A30D97" w:rsidR="00BF7292" w:rsidRPr="00816D28" w:rsidRDefault="00BF7292" w:rsidP="00E96F24">
            <w:pPr>
              <w:spacing w:after="40"/>
              <w:rPr>
                <w:b/>
              </w:rPr>
            </w:pPr>
          </w:p>
        </w:tc>
      </w:tr>
      <w:tr w:rsidR="00BF7292" w:rsidRPr="00273B2C" w14:paraId="080DAF16" w14:textId="30C45333" w:rsidTr="00E34070">
        <w:tc>
          <w:tcPr>
            <w:tcW w:w="3397" w:type="dxa"/>
            <w:vAlign w:val="center"/>
          </w:tcPr>
          <w:p w14:paraId="21BA6DA9" w14:textId="05C524E2" w:rsidR="00BF7292" w:rsidRPr="00273B2C" w:rsidRDefault="00BF7292" w:rsidP="00E96F24">
            <w:pPr>
              <w:spacing w:after="40"/>
            </w:pPr>
            <w:r w:rsidRPr="00273B2C">
              <w:t>2-6</w:t>
            </w:r>
            <w:r>
              <w:t xml:space="preserve"> </w:t>
            </w:r>
            <w:r w:rsidRPr="00273B2C">
              <w:t>Prevention, Control and Management of Invasive Alien Species</w:t>
            </w:r>
          </w:p>
        </w:tc>
        <w:tc>
          <w:tcPr>
            <w:tcW w:w="1754" w:type="dxa"/>
            <w:vAlign w:val="center"/>
          </w:tcPr>
          <w:p w14:paraId="56E4C399" w14:textId="3A0061C2" w:rsidR="00BF7292" w:rsidRPr="00273B2C" w:rsidRDefault="00BF7292" w:rsidP="00E96F24">
            <w:pPr>
              <w:spacing w:after="40"/>
            </w:pPr>
            <w:r>
              <w:t>9</w:t>
            </w:r>
          </w:p>
        </w:tc>
        <w:tc>
          <w:tcPr>
            <w:tcW w:w="1534" w:type="dxa"/>
            <w:vAlign w:val="center"/>
          </w:tcPr>
          <w:p w14:paraId="61F55CC3" w14:textId="77777777" w:rsidR="00BF7292" w:rsidRPr="00273B2C" w:rsidRDefault="00BF7292" w:rsidP="00E96F24">
            <w:pPr>
              <w:spacing w:after="40"/>
            </w:pPr>
          </w:p>
        </w:tc>
        <w:tc>
          <w:tcPr>
            <w:tcW w:w="1506" w:type="dxa"/>
            <w:vAlign w:val="center"/>
          </w:tcPr>
          <w:p w14:paraId="5654589F" w14:textId="77777777" w:rsidR="00BF7292" w:rsidRPr="00273B2C" w:rsidRDefault="00BF7292" w:rsidP="00E96F24">
            <w:pPr>
              <w:spacing w:after="40"/>
            </w:pPr>
          </w:p>
        </w:tc>
        <w:tc>
          <w:tcPr>
            <w:tcW w:w="1159" w:type="dxa"/>
            <w:vAlign w:val="center"/>
          </w:tcPr>
          <w:p w14:paraId="76B8A9C9" w14:textId="77777777" w:rsidR="00BF7292" w:rsidRPr="00273B2C" w:rsidRDefault="00BF7292" w:rsidP="00E96F24">
            <w:pPr>
              <w:spacing w:after="40"/>
            </w:pPr>
          </w:p>
        </w:tc>
      </w:tr>
      <w:tr w:rsidR="00BF7292" w:rsidRPr="00273B2C" w14:paraId="79A82C1D" w14:textId="600D4245" w:rsidTr="00E34070">
        <w:tc>
          <w:tcPr>
            <w:tcW w:w="3397" w:type="dxa"/>
            <w:vAlign w:val="center"/>
          </w:tcPr>
          <w:p w14:paraId="4BC5ADC5" w14:textId="331E2F1E" w:rsidR="00BF7292" w:rsidRPr="00273B2C" w:rsidRDefault="00BF7292" w:rsidP="00E96F24">
            <w:pPr>
              <w:spacing w:after="40"/>
            </w:pPr>
            <w:r w:rsidRPr="00273B2C">
              <w:t>2-7</w:t>
            </w:r>
            <w:r>
              <w:t xml:space="preserve"> </w:t>
            </w:r>
            <w:r w:rsidRPr="00273B2C">
              <w:t>Improving Financial Sustainability, Effective Management, and Ecosystem Coverage of the Global Protected Area Estate</w:t>
            </w:r>
          </w:p>
        </w:tc>
        <w:tc>
          <w:tcPr>
            <w:tcW w:w="1754" w:type="dxa"/>
            <w:vAlign w:val="center"/>
          </w:tcPr>
          <w:p w14:paraId="7997205A" w14:textId="5915C2E2" w:rsidR="00BF7292" w:rsidRPr="00273B2C" w:rsidRDefault="00BF7292" w:rsidP="00E96F24">
            <w:pPr>
              <w:spacing w:after="40"/>
            </w:pPr>
            <w:r>
              <w:t>11</w:t>
            </w:r>
          </w:p>
        </w:tc>
        <w:tc>
          <w:tcPr>
            <w:tcW w:w="1534" w:type="dxa"/>
            <w:vAlign w:val="center"/>
          </w:tcPr>
          <w:p w14:paraId="67355287" w14:textId="7A01AEFD" w:rsidR="00BF7292" w:rsidRPr="00273B2C" w:rsidRDefault="00BF7292" w:rsidP="00E96F24">
            <w:pPr>
              <w:spacing w:after="40"/>
            </w:pPr>
            <w:r>
              <w:rPr>
                <w:rFonts w:ascii="Calibri" w:hAnsi="Calibri" w:cs="Calibri"/>
                <w:color w:val="000000"/>
              </w:rPr>
              <w:t>65.7</w:t>
            </w:r>
          </w:p>
        </w:tc>
        <w:tc>
          <w:tcPr>
            <w:tcW w:w="1506" w:type="dxa"/>
            <w:vAlign w:val="center"/>
          </w:tcPr>
          <w:p w14:paraId="6E663F70" w14:textId="2DA32728" w:rsidR="00BF7292" w:rsidRPr="00273B2C" w:rsidRDefault="00BF7292" w:rsidP="00E96F24">
            <w:pPr>
              <w:spacing w:after="40"/>
            </w:pPr>
            <w:r>
              <w:rPr>
                <w:rFonts w:ascii="Calibri" w:hAnsi="Calibri" w:cs="Calibri"/>
                <w:color w:val="000000"/>
              </w:rPr>
              <w:t>418.6</w:t>
            </w:r>
          </w:p>
        </w:tc>
        <w:tc>
          <w:tcPr>
            <w:tcW w:w="1159" w:type="dxa"/>
            <w:vAlign w:val="center"/>
          </w:tcPr>
          <w:p w14:paraId="77B42F1A" w14:textId="6721FE20" w:rsidR="00BF7292" w:rsidRPr="00273B2C" w:rsidRDefault="00BF7292" w:rsidP="00E96F24">
            <w:pPr>
              <w:spacing w:after="40"/>
            </w:pPr>
            <w:r>
              <w:rPr>
                <w:rFonts w:ascii="Calibri" w:hAnsi="Calibri" w:cs="Calibri"/>
                <w:color w:val="000000"/>
              </w:rPr>
              <w:t>484.3</w:t>
            </w:r>
          </w:p>
        </w:tc>
      </w:tr>
      <w:tr w:rsidR="00BF7292" w:rsidRPr="00816D28" w14:paraId="6B4A5108" w14:textId="6B30BE08" w:rsidTr="00E34070">
        <w:tc>
          <w:tcPr>
            <w:tcW w:w="3397" w:type="dxa"/>
            <w:shd w:val="clear" w:color="auto" w:fill="auto"/>
            <w:vAlign w:val="center"/>
          </w:tcPr>
          <w:p w14:paraId="3FDF0EDF" w14:textId="77777777" w:rsidR="00BF7292" w:rsidRPr="00816D28" w:rsidRDefault="00BF7292" w:rsidP="00E96F24">
            <w:pPr>
              <w:spacing w:after="40"/>
              <w:rPr>
                <w:b/>
              </w:rPr>
            </w:pPr>
            <w:r w:rsidRPr="00816D28">
              <w:rPr>
                <w:b/>
              </w:rPr>
              <w:t>Objective 3. Further develop biodiversity policy and institutional frameworks</w:t>
            </w:r>
          </w:p>
        </w:tc>
        <w:tc>
          <w:tcPr>
            <w:tcW w:w="1754" w:type="dxa"/>
            <w:shd w:val="clear" w:color="auto" w:fill="auto"/>
            <w:vAlign w:val="center"/>
          </w:tcPr>
          <w:p w14:paraId="3CD1A90A" w14:textId="77777777" w:rsidR="00BF7292" w:rsidRPr="00816D28" w:rsidRDefault="00BF7292" w:rsidP="00E96F24">
            <w:pPr>
              <w:spacing w:after="40"/>
              <w:rPr>
                <w:b/>
              </w:rPr>
            </w:pPr>
          </w:p>
        </w:tc>
        <w:tc>
          <w:tcPr>
            <w:tcW w:w="1534" w:type="dxa"/>
            <w:shd w:val="clear" w:color="auto" w:fill="auto"/>
            <w:vAlign w:val="center"/>
          </w:tcPr>
          <w:p w14:paraId="2044E97F" w14:textId="624D2D53" w:rsidR="00BF7292" w:rsidRPr="00816D28" w:rsidRDefault="00BF7292" w:rsidP="00E96F24">
            <w:pPr>
              <w:spacing w:after="40"/>
              <w:rPr>
                <w:b/>
              </w:rPr>
            </w:pPr>
          </w:p>
        </w:tc>
        <w:tc>
          <w:tcPr>
            <w:tcW w:w="1506" w:type="dxa"/>
            <w:shd w:val="clear" w:color="auto" w:fill="auto"/>
            <w:vAlign w:val="center"/>
          </w:tcPr>
          <w:p w14:paraId="33AAE5B7" w14:textId="45D0C755" w:rsidR="00BF7292" w:rsidRPr="00816D28" w:rsidRDefault="00BF7292" w:rsidP="00E96F24">
            <w:pPr>
              <w:spacing w:after="40"/>
              <w:rPr>
                <w:b/>
              </w:rPr>
            </w:pPr>
          </w:p>
        </w:tc>
        <w:tc>
          <w:tcPr>
            <w:tcW w:w="1159" w:type="dxa"/>
            <w:shd w:val="clear" w:color="auto" w:fill="auto"/>
            <w:vAlign w:val="center"/>
          </w:tcPr>
          <w:p w14:paraId="47F724CE" w14:textId="757BDD38" w:rsidR="00BF7292" w:rsidRPr="00816D28" w:rsidRDefault="00BF7292" w:rsidP="00E96F24">
            <w:pPr>
              <w:spacing w:after="40"/>
              <w:rPr>
                <w:b/>
              </w:rPr>
            </w:pPr>
          </w:p>
        </w:tc>
      </w:tr>
      <w:tr w:rsidR="00BF7292" w:rsidRPr="00273B2C" w14:paraId="6F3F272A" w14:textId="46EA5259" w:rsidTr="00E34070">
        <w:tc>
          <w:tcPr>
            <w:tcW w:w="3397" w:type="dxa"/>
            <w:vAlign w:val="center"/>
          </w:tcPr>
          <w:p w14:paraId="14E6A470" w14:textId="18798CFA" w:rsidR="00BF7292" w:rsidRPr="00273B2C" w:rsidRDefault="00BF7292" w:rsidP="00E96F24">
            <w:pPr>
              <w:spacing w:after="40"/>
            </w:pPr>
            <w:r w:rsidRPr="00273B2C">
              <w:t>3-8</w:t>
            </w:r>
            <w:r>
              <w:t xml:space="preserve"> </w:t>
            </w:r>
            <w:r w:rsidRPr="00273B2C">
              <w:t>Implement the Cartagena Protocol on Biosafety</w:t>
            </w:r>
          </w:p>
        </w:tc>
        <w:tc>
          <w:tcPr>
            <w:tcW w:w="1754" w:type="dxa"/>
            <w:vAlign w:val="center"/>
          </w:tcPr>
          <w:p w14:paraId="5C69902F" w14:textId="6EEF12FD" w:rsidR="00BF7292" w:rsidRPr="00273B2C" w:rsidRDefault="00BF7292" w:rsidP="00E96F24">
            <w:pPr>
              <w:spacing w:after="40"/>
            </w:pPr>
            <w:r>
              <w:t>No associated Aichi Target</w:t>
            </w:r>
          </w:p>
        </w:tc>
        <w:tc>
          <w:tcPr>
            <w:tcW w:w="1534" w:type="dxa"/>
            <w:vAlign w:val="center"/>
          </w:tcPr>
          <w:p w14:paraId="7F8F1886" w14:textId="0402FC07" w:rsidR="00BF7292" w:rsidRPr="00273B2C" w:rsidRDefault="00BF7292" w:rsidP="00E96F24">
            <w:pPr>
              <w:spacing w:after="40"/>
            </w:pPr>
          </w:p>
        </w:tc>
        <w:tc>
          <w:tcPr>
            <w:tcW w:w="1506" w:type="dxa"/>
            <w:vAlign w:val="center"/>
          </w:tcPr>
          <w:p w14:paraId="1821E6AD" w14:textId="018B5BAF" w:rsidR="00BF7292" w:rsidRPr="00273B2C" w:rsidRDefault="00BF7292" w:rsidP="00E96F24">
            <w:pPr>
              <w:spacing w:after="40"/>
            </w:pPr>
          </w:p>
        </w:tc>
        <w:tc>
          <w:tcPr>
            <w:tcW w:w="1159" w:type="dxa"/>
            <w:vAlign w:val="center"/>
          </w:tcPr>
          <w:p w14:paraId="2665F54D" w14:textId="5A48F275" w:rsidR="00BF7292" w:rsidRPr="00273B2C" w:rsidRDefault="00BF7292" w:rsidP="00E96F24">
            <w:pPr>
              <w:spacing w:after="40"/>
            </w:pPr>
          </w:p>
        </w:tc>
      </w:tr>
      <w:tr w:rsidR="00BF7292" w:rsidRPr="00273B2C" w14:paraId="062E6A8B" w14:textId="2D812148" w:rsidTr="00E34070">
        <w:tc>
          <w:tcPr>
            <w:tcW w:w="3397" w:type="dxa"/>
            <w:vAlign w:val="center"/>
          </w:tcPr>
          <w:p w14:paraId="5D0E3C5C" w14:textId="7F13649C" w:rsidR="00BF7292" w:rsidRPr="00273B2C" w:rsidRDefault="00BF7292" w:rsidP="00E96F24">
            <w:pPr>
              <w:spacing w:after="40"/>
            </w:pPr>
            <w:r w:rsidRPr="00273B2C">
              <w:t>3-9</w:t>
            </w:r>
            <w:r>
              <w:t xml:space="preserve"> </w:t>
            </w:r>
            <w:r w:rsidRPr="00273B2C">
              <w:t>Implement the Nagoya Protocol on Access and Benefit Sharing</w:t>
            </w:r>
          </w:p>
        </w:tc>
        <w:tc>
          <w:tcPr>
            <w:tcW w:w="1754" w:type="dxa"/>
            <w:vAlign w:val="center"/>
          </w:tcPr>
          <w:p w14:paraId="594999DE" w14:textId="01F3FEAA" w:rsidR="00BF7292" w:rsidRPr="00273B2C" w:rsidRDefault="00BF7292" w:rsidP="00E96F24">
            <w:pPr>
              <w:spacing w:after="40"/>
            </w:pPr>
            <w:r>
              <w:t xml:space="preserve">16 </w:t>
            </w:r>
          </w:p>
        </w:tc>
        <w:tc>
          <w:tcPr>
            <w:tcW w:w="1534" w:type="dxa"/>
            <w:vAlign w:val="center"/>
          </w:tcPr>
          <w:p w14:paraId="16A52F3A" w14:textId="35D9646D" w:rsidR="00BF7292" w:rsidRPr="00273B2C" w:rsidRDefault="00BF7292" w:rsidP="00E96F24">
            <w:pPr>
              <w:spacing w:after="40"/>
            </w:pPr>
            <w:r>
              <w:rPr>
                <w:rFonts w:ascii="Calibri" w:hAnsi="Calibri" w:cs="Calibri"/>
                <w:color w:val="000000"/>
              </w:rPr>
              <w:t>7.8</w:t>
            </w:r>
          </w:p>
        </w:tc>
        <w:tc>
          <w:tcPr>
            <w:tcW w:w="1506" w:type="dxa"/>
            <w:vAlign w:val="center"/>
          </w:tcPr>
          <w:p w14:paraId="550ED5F3" w14:textId="6FEE8C80" w:rsidR="00BF7292" w:rsidRPr="00273B2C" w:rsidRDefault="00BF7292" w:rsidP="00E96F24">
            <w:pPr>
              <w:spacing w:after="40"/>
            </w:pPr>
            <w:r>
              <w:rPr>
                <w:rFonts w:ascii="Calibri" w:hAnsi="Calibri" w:cs="Calibri"/>
                <w:color w:val="000000"/>
              </w:rPr>
              <w:t>43.3</w:t>
            </w:r>
          </w:p>
        </w:tc>
        <w:tc>
          <w:tcPr>
            <w:tcW w:w="1159" w:type="dxa"/>
            <w:vAlign w:val="center"/>
          </w:tcPr>
          <w:p w14:paraId="4DE691A2" w14:textId="2D9101B6" w:rsidR="00BF7292" w:rsidRPr="00273B2C" w:rsidRDefault="00BF7292" w:rsidP="00E96F24">
            <w:pPr>
              <w:spacing w:after="40"/>
            </w:pPr>
            <w:r>
              <w:rPr>
                <w:rFonts w:ascii="Calibri" w:hAnsi="Calibri" w:cs="Calibri"/>
                <w:color w:val="000000"/>
              </w:rPr>
              <w:t>51.1</w:t>
            </w:r>
          </w:p>
        </w:tc>
      </w:tr>
      <w:tr w:rsidR="00BF7292" w:rsidRPr="00273B2C" w14:paraId="44730322" w14:textId="0B865F04" w:rsidTr="00E34070">
        <w:tc>
          <w:tcPr>
            <w:tcW w:w="3397" w:type="dxa"/>
            <w:vAlign w:val="center"/>
          </w:tcPr>
          <w:p w14:paraId="2717505F" w14:textId="1263B0AD" w:rsidR="00BF7292" w:rsidRPr="00273B2C" w:rsidRDefault="00BF7292" w:rsidP="00E96F24">
            <w:pPr>
              <w:spacing w:after="40"/>
            </w:pPr>
            <w:r w:rsidRPr="00273B2C">
              <w:t>EA</w:t>
            </w:r>
            <w:r>
              <w:t xml:space="preserve">: </w:t>
            </w:r>
            <w:r w:rsidRPr="00273B2C">
              <w:t xml:space="preserve">Improve Biodiversity Policy, Planning, and Review </w:t>
            </w:r>
          </w:p>
        </w:tc>
        <w:tc>
          <w:tcPr>
            <w:tcW w:w="1754" w:type="dxa"/>
            <w:vAlign w:val="center"/>
          </w:tcPr>
          <w:p w14:paraId="44A9E13E" w14:textId="5F8E655F" w:rsidR="00BF7292" w:rsidRPr="00273B2C" w:rsidRDefault="00BF7292" w:rsidP="00E96F24">
            <w:pPr>
              <w:spacing w:after="40"/>
            </w:pPr>
            <w:r>
              <w:t>17</w:t>
            </w:r>
          </w:p>
        </w:tc>
        <w:tc>
          <w:tcPr>
            <w:tcW w:w="1534" w:type="dxa"/>
            <w:vAlign w:val="center"/>
          </w:tcPr>
          <w:p w14:paraId="21FDED7D" w14:textId="2BE2A947" w:rsidR="00BF7292" w:rsidRPr="00273B2C" w:rsidRDefault="00BF7292" w:rsidP="00E96F24">
            <w:pPr>
              <w:spacing w:after="40"/>
            </w:pPr>
          </w:p>
        </w:tc>
        <w:tc>
          <w:tcPr>
            <w:tcW w:w="1506" w:type="dxa"/>
            <w:vAlign w:val="center"/>
          </w:tcPr>
          <w:p w14:paraId="11DF074B" w14:textId="3184CD0E" w:rsidR="00BF7292" w:rsidRPr="00273B2C" w:rsidRDefault="00BF7292" w:rsidP="00E96F24">
            <w:pPr>
              <w:spacing w:after="40"/>
            </w:pPr>
          </w:p>
        </w:tc>
        <w:tc>
          <w:tcPr>
            <w:tcW w:w="1159" w:type="dxa"/>
            <w:vAlign w:val="center"/>
          </w:tcPr>
          <w:p w14:paraId="3CF7E13D" w14:textId="4EBB57C5" w:rsidR="00BF7292" w:rsidRPr="00273B2C" w:rsidRDefault="00BF7292" w:rsidP="00E96F24">
            <w:pPr>
              <w:spacing w:after="40"/>
            </w:pPr>
          </w:p>
        </w:tc>
      </w:tr>
      <w:tr w:rsidR="002C2B38" w:rsidRPr="00273B2C" w14:paraId="0D7AEA51" w14:textId="77777777" w:rsidTr="00E34070">
        <w:tc>
          <w:tcPr>
            <w:tcW w:w="3397" w:type="dxa"/>
            <w:shd w:val="clear" w:color="auto" w:fill="FFFFFF" w:themeFill="background1"/>
            <w:vAlign w:val="center"/>
          </w:tcPr>
          <w:p w14:paraId="51FCE143" w14:textId="32CEB89C" w:rsidR="002C2B38" w:rsidRPr="00273B2C" w:rsidRDefault="002C2B38" w:rsidP="00E96F24">
            <w:pPr>
              <w:spacing w:after="40"/>
            </w:pPr>
            <w:r>
              <w:t>Totals</w:t>
            </w:r>
          </w:p>
        </w:tc>
        <w:tc>
          <w:tcPr>
            <w:tcW w:w="1754" w:type="dxa"/>
            <w:shd w:val="clear" w:color="auto" w:fill="FFFFFF" w:themeFill="background1"/>
            <w:vAlign w:val="center"/>
          </w:tcPr>
          <w:p w14:paraId="6D5AB03D" w14:textId="77777777" w:rsidR="002C2B38" w:rsidRDefault="002C2B38" w:rsidP="00E96F24">
            <w:pPr>
              <w:spacing w:after="40"/>
            </w:pPr>
          </w:p>
        </w:tc>
        <w:tc>
          <w:tcPr>
            <w:tcW w:w="1534" w:type="dxa"/>
            <w:shd w:val="clear" w:color="auto" w:fill="FFFFFF" w:themeFill="background1"/>
            <w:vAlign w:val="center"/>
          </w:tcPr>
          <w:p w14:paraId="4B27F963" w14:textId="07988BED" w:rsidR="002C2B38" w:rsidRPr="00273B2C" w:rsidRDefault="00967BDC" w:rsidP="00E96F24">
            <w:pPr>
              <w:spacing w:after="40"/>
            </w:pPr>
            <w:r>
              <w:t>239.1</w:t>
            </w:r>
          </w:p>
        </w:tc>
        <w:tc>
          <w:tcPr>
            <w:tcW w:w="1506" w:type="dxa"/>
            <w:shd w:val="clear" w:color="auto" w:fill="FFFFFF" w:themeFill="background1"/>
            <w:vAlign w:val="center"/>
          </w:tcPr>
          <w:p w14:paraId="57973417" w14:textId="521E743F" w:rsidR="002C2B38" w:rsidRPr="00273B2C" w:rsidRDefault="009B1E25" w:rsidP="00E96F24">
            <w:pPr>
              <w:spacing w:after="40"/>
            </w:pPr>
            <w:r>
              <w:t>1</w:t>
            </w:r>
            <w:r w:rsidR="00E56EB8">
              <w:t>,</w:t>
            </w:r>
            <w:r>
              <w:t>5</w:t>
            </w:r>
            <w:r w:rsidR="00057DE2">
              <w:t>19.5</w:t>
            </w:r>
          </w:p>
        </w:tc>
        <w:tc>
          <w:tcPr>
            <w:tcW w:w="1159" w:type="dxa"/>
            <w:shd w:val="clear" w:color="auto" w:fill="FFFFFF" w:themeFill="background1"/>
            <w:vAlign w:val="center"/>
          </w:tcPr>
          <w:p w14:paraId="5EB62A20" w14:textId="755E656F" w:rsidR="002C2B38" w:rsidRPr="00273B2C" w:rsidRDefault="00322637" w:rsidP="00E96F24">
            <w:pPr>
              <w:spacing w:after="40"/>
            </w:pPr>
            <w:r>
              <w:t>1</w:t>
            </w:r>
            <w:r w:rsidR="00E56EB8">
              <w:t>,</w:t>
            </w:r>
            <w:r>
              <w:t>758.5</w:t>
            </w:r>
          </w:p>
        </w:tc>
      </w:tr>
    </w:tbl>
    <w:p w14:paraId="76005846" w14:textId="77777777" w:rsidR="00862079" w:rsidRDefault="00862079" w:rsidP="00D30DB1">
      <w:pPr>
        <w:spacing w:after="0" w:line="240" w:lineRule="auto"/>
        <w:contextualSpacing/>
        <w:rPr>
          <w:rFonts w:ascii="Calibri" w:eastAsia="MS Mincho" w:hAnsi="Calibri" w:cs="Angsana New"/>
          <w:b/>
          <w:sz w:val="24"/>
          <w:szCs w:val="24"/>
          <w:u w:val="single"/>
          <w:lang w:val="en-GB"/>
        </w:rPr>
      </w:pPr>
    </w:p>
    <w:p w14:paraId="1D3650AA" w14:textId="46757117" w:rsidR="00D30DB1" w:rsidRPr="003E3CE1" w:rsidRDefault="00D30DB1" w:rsidP="00105FB1">
      <w:pPr>
        <w:pStyle w:val="Heading3"/>
        <w:rPr>
          <w:lang w:val="en-GB"/>
        </w:rPr>
      </w:pPr>
      <w:bookmarkStart w:id="27" w:name="_Toc32494918"/>
      <w:r w:rsidRPr="003E3CE1">
        <w:rPr>
          <w:lang w:val="en-GB"/>
        </w:rPr>
        <w:t>Project Preparation Grants</w:t>
      </w:r>
      <w:bookmarkEnd w:id="27"/>
    </w:p>
    <w:p w14:paraId="5D3CC29C" w14:textId="7578E2B2" w:rsidR="00D30DB1" w:rsidRPr="00D30DB1" w:rsidRDefault="00D30DB1" w:rsidP="00FF3B4A">
      <w:pPr>
        <w:pStyle w:val="ListParagraph"/>
        <w:numPr>
          <w:ilvl w:val="0"/>
          <w:numId w:val="25"/>
        </w:numPr>
        <w:spacing w:before="240" w:after="240" w:line="240" w:lineRule="auto"/>
        <w:ind w:left="0" w:firstLine="0"/>
        <w:contextualSpacing w:val="0"/>
        <w:rPr>
          <w:rFonts w:ascii="Calibri" w:eastAsia="MS Mincho" w:hAnsi="Calibri" w:cs="Angsana New"/>
          <w:sz w:val="24"/>
          <w:szCs w:val="24"/>
          <w:lang w:val="en-GB"/>
        </w:rPr>
      </w:pPr>
      <w:r w:rsidRPr="00FF3B4A">
        <w:rPr>
          <w:snapToGrid w:val="0"/>
          <w:sz w:val="24"/>
          <w:szCs w:val="24"/>
        </w:rPr>
        <w:t>As</w:t>
      </w:r>
      <w:r w:rsidRPr="00D30DB1">
        <w:rPr>
          <w:rFonts w:ascii="Calibri" w:eastAsia="MS Mincho" w:hAnsi="Calibri" w:cs="Angsana New"/>
          <w:sz w:val="24"/>
          <w:szCs w:val="24"/>
          <w:lang w:val="en-GB"/>
        </w:rPr>
        <w:t xml:space="preserve"> a first step in project development, the GEF provides financing</w:t>
      </w:r>
      <w:r w:rsidR="00432D2B">
        <w:rPr>
          <w:rFonts w:ascii="Calibri" w:eastAsia="MS Mincho" w:hAnsi="Calibri" w:cs="Angsana New"/>
          <w:sz w:val="24"/>
          <w:szCs w:val="24"/>
          <w:lang w:val="en-GB"/>
        </w:rPr>
        <w:t xml:space="preserve"> as PPGs</w:t>
      </w:r>
      <w:r w:rsidRPr="00D30DB1">
        <w:rPr>
          <w:rFonts w:ascii="Calibri" w:eastAsia="MS Mincho" w:hAnsi="Calibri" w:cs="Angsana New"/>
          <w:sz w:val="24"/>
          <w:szCs w:val="24"/>
          <w:lang w:val="en-GB"/>
        </w:rPr>
        <w:t xml:space="preserve"> to assist recipient countries to develop a project concept (PIF) into a project proposal for CEO endorsement</w:t>
      </w:r>
      <w:r w:rsidRPr="00D52A9D">
        <w:rPr>
          <w:rFonts w:ascii="Calibri" w:eastAsia="MS Mincho" w:hAnsi="Calibri" w:cs="Angsana New"/>
          <w:sz w:val="24"/>
          <w:szCs w:val="24"/>
          <w:lang w:val="en-GB"/>
        </w:rPr>
        <w:t xml:space="preserve">. </w:t>
      </w:r>
      <w:r w:rsidR="00061F7D" w:rsidRPr="00D52A9D">
        <w:rPr>
          <w:rFonts w:ascii="Calibri" w:eastAsia="MS Mincho" w:hAnsi="Calibri" w:cs="Angsana New"/>
          <w:sz w:val="24"/>
          <w:szCs w:val="24"/>
          <w:lang w:val="en-GB"/>
        </w:rPr>
        <w:t>One hundred</w:t>
      </w:r>
      <w:r w:rsidR="00A21855" w:rsidRPr="00D52A9D">
        <w:rPr>
          <w:rFonts w:ascii="Calibri" w:eastAsia="MS Mincho" w:hAnsi="Calibri" w:cs="Angsana New"/>
          <w:sz w:val="24"/>
          <w:szCs w:val="24"/>
          <w:lang w:val="en-GB"/>
        </w:rPr>
        <w:t xml:space="preserve"> twelve</w:t>
      </w:r>
      <w:r w:rsidRPr="00D52A9D">
        <w:rPr>
          <w:rFonts w:ascii="Calibri" w:eastAsia="MS Mincho" w:hAnsi="Calibri" w:cs="Angsana New"/>
          <w:sz w:val="24"/>
          <w:szCs w:val="24"/>
          <w:lang w:val="en-GB"/>
        </w:rPr>
        <w:t xml:space="preserve"> (</w:t>
      </w:r>
      <w:r w:rsidR="00A21855" w:rsidRPr="00D52A9D">
        <w:rPr>
          <w:rFonts w:ascii="Calibri" w:eastAsia="MS Mincho" w:hAnsi="Calibri" w:cs="Angsana New"/>
          <w:sz w:val="24"/>
          <w:szCs w:val="24"/>
          <w:lang w:val="en-GB"/>
        </w:rPr>
        <w:t>112</w:t>
      </w:r>
      <w:r w:rsidRPr="00D52A9D">
        <w:rPr>
          <w:rFonts w:ascii="Calibri" w:eastAsia="MS Mincho" w:hAnsi="Calibri" w:cs="Angsana New"/>
          <w:sz w:val="24"/>
          <w:szCs w:val="24"/>
          <w:lang w:val="en-GB"/>
        </w:rPr>
        <w:t>) PPGs were approved in the reporting period amounting to $</w:t>
      </w:r>
      <w:r w:rsidR="009A11D3" w:rsidRPr="00D52A9D">
        <w:rPr>
          <w:rFonts w:ascii="Calibri" w:eastAsia="MS Mincho" w:hAnsi="Calibri" w:cs="Angsana New"/>
          <w:sz w:val="24"/>
          <w:szCs w:val="24"/>
          <w:lang w:val="en-GB"/>
        </w:rPr>
        <w:t>24.3</w:t>
      </w:r>
      <w:r w:rsidRPr="00D52A9D">
        <w:rPr>
          <w:rFonts w:ascii="Calibri" w:eastAsia="MS Mincho" w:hAnsi="Calibri" w:cs="Angsana New"/>
          <w:sz w:val="24"/>
          <w:szCs w:val="24"/>
          <w:lang w:val="en-GB"/>
        </w:rPr>
        <w:t xml:space="preserve"> million.</w:t>
      </w:r>
      <w:r w:rsidR="005B7CFC" w:rsidRPr="00D52A9D">
        <w:rPr>
          <w:rStyle w:val="FootnoteReference"/>
          <w:rFonts w:ascii="Calibri" w:eastAsia="MS Mincho" w:hAnsi="Calibri" w:cs="Angsana New"/>
          <w:sz w:val="24"/>
          <w:szCs w:val="24"/>
          <w:lang w:val="en-GB"/>
        </w:rPr>
        <w:footnoteReference w:id="10"/>
      </w:r>
    </w:p>
    <w:p w14:paraId="7F02D480" w14:textId="5FA91306" w:rsidR="00D30DB1" w:rsidRPr="003E3CE1" w:rsidRDefault="00D30DB1" w:rsidP="00105FB1">
      <w:pPr>
        <w:pStyle w:val="Heading3"/>
        <w:rPr>
          <w:rFonts w:cs="Times New Roman"/>
        </w:rPr>
      </w:pPr>
      <w:bookmarkStart w:id="28" w:name="_Toc32494919"/>
      <w:r w:rsidRPr="003E3CE1">
        <w:rPr>
          <w:lang w:val="en-GB"/>
        </w:rPr>
        <w:t>Support for the Implementation the Cartagena Protocol on Biosafety to the</w:t>
      </w:r>
      <w:r w:rsidR="00F121E4">
        <w:rPr>
          <w:u w:val="single"/>
          <w:lang w:val="en-GB"/>
        </w:rPr>
        <w:t xml:space="preserve"> </w:t>
      </w:r>
      <w:r w:rsidRPr="003E3CE1">
        <w:rPr>
          <w:lang w:val="en-GB"/>
        </w:rPr>
        <w:t>Convention on Biological Diversity</w:t>
      </w:r>
      <w:bookmarkEnd w:id="28"/>
      <w:r w:rsidRPr="003E3CE1">
        <w:rPr>
          <w:lang w:val="en-GB"/>
        </w:rPr>
        <w:t xml:space="preserve"> </w:t>
      </w:r>
    </w:p>
    <w:p w14:paraId="2A9F400B" w14:textId="72909D70" w:rsidR="00D30DB1" w:rsidRPr="00D30DB1" w:rsidRDefault="00D30DB1" w:rsidP="00FF3B4A">
      <w:pPr>
        <w:pStyle w:val="ListParagraph"/>
        <w:numPr>
          <w:ilvl w:val="0"/>
          <w:numId w:val="25"/>
        </w:numPr>
        <w:spacing w:before="240" w:after="240" w:line="240" w:lineRule="auto"/>
        <w:ind w:left="0" w:firstLine="0"/>
        <w:contextualSpacing w:val="0"/>
        <w:rPr>
          <w:rFonts w:ascii="Calibri" w:eastAsia="MS Mincho" w:hAnsi="Calibri" w:cs="Angsana New"/>
          <w:sz w:val="24"/>
          <w:szCs w:val="24"/>
          <w:lang w:val="en-GB"/>
        </w:rPr>
      </w:pPr>
      <w:r w:rsidRPr="00FF3B4A">
        <w:rPr>
          <w:snapToGrid w:val="0"/>
          <w:sz w:val="24"/>
          <w:szCs w:val="24"/>
        </w:rPr>
        <w:t>During</w:t>
      </w:r>
      <w:r w:rsidRPr="00D30DB1">
        <w:rPr>
          <w:rFonts w:ascii="Calibri" w:eastAsia="MS Mincho" w:hAnsi="Calibri" w:cs="Angsana New"/>
          <w:sz w:val="24"/>
          <w:szCs w:val="24"/>
          <w:lang w:val="en-GB"/>
        </w:rPr>
        <w:t xml:space="preserve"> the reporting period, </w:t>
      </w:r>
      <w:r w:rsidR="00AB0DCE">
        <w:rPr>
          <w:rFonts w:ascii="Calibri" w:eastAsia="MS Mincho" w:hAnsi="Calibri" w:cs="Angsana New"/>
          <w:sz w:val="24"/>
          <w:szCs w:val="24"/>
          <w:lang w:val="en-GB"/>
        </w:rPr>
        <w:t>no country-based projects were presented for</w:t>
      </w:r>
      <w:r w:rsidR="00621DBE">
        <w:rPr>
          <w:rFonts w:ascii="Calibri" w:eastAsia="MS Mincho" w:hAnsi="Calibri" w:cs="Angsana New"/>
          <w:sz w:val="24"/>
          <w:szCs w:val="24"/>
          <w:lang w:val="en-GB"/>
        </w:rPr>
        <w:t xml:space="preserve"> supporting </w:t>
      </w:r>
      <w:r w:rsidRPr="00D30DB1">
        <w:rPr>
          <w:rFonts w:ascii="Calibri" w:eastAsia="MS Mincho" w:hAnsi="Calibri" w:cs="Angsana New"/>
          <w:sz w:val="24"/>
          <w:szCs w:val="24"/>
          <w:lang w:val="en-GB"/>
        </w:rPr>
        <w:t xml:space="preserve">the implementation of the Cartagena Protocol on Biosafety. </w:t>
      </w:r>
    </w:p>
    <w:p w14:paraId="5A86C09C" w14:textId="5BF0F3B1" w:rsidR="00D30DB1" w:rsidRPr="00F121E4" w:rsidRDefault="00D30DB1" w:rsidP="00105FB1">
      <w:pPr>
        <w:pStyle w:val="Heading3"/>
        <w:rPr>
          <w:lang w:val="en-GB"/>
        </w:rPr>
      </w:pPr>
      <w:bookmarkStart w:id="29" w:name="_Toc32494920"/>
      <w:r w:rsidRPr="00F121E4">
        <w:rPr>
          <w:lang w:val="en-GB"/>
        </w:rPr>
        <w:lastRenderedPageBreak/>
        <w:t>Support to Ratification and Implementation of the Nagoya Protocol on Access to Genetic Resources and the Fair and Equitable Sharing of Benefits Arising from their Utilization to the Convention on Biological Diversity</w:t>
      </w:r>
      <w:bookmarkEnd w:id="29"/>
      <w:r w:rsidRPr="00F121E4">
        <w:rPr>
          <w:lang w:val="en-GB"/>
        </w:rPr>
        <w:t xml:space="preserve"> </w:t>
      </w:r>
    </w:p>
    <w:p w14:paraId="74C48F5D" w14:textId="50865C14" w:rsidR="009E010F" w:rsidRDefault="00D30DB1" w:rsidP="00FF3B4A">
      <w:pPr>
        <w:pStyle w:val="ListParagraph"/>
        <w:numPr>
          <w:ilvl w:val="0"/>
          <w:numId w:val="25"/>
        </w:numPr>
        <w:spacing w:before="240" w:after="240" w:line="240" w:lineRule="auto"/>
        <w:ind w:left="0" w:firstLine="0"/>
        <w:contextualSpacing w:val="0"/>
        <w:rPr>
          <w:rFonts w:ascii="Calibri" w:eastAsia="MS Mincho" w:hAnsi="Calibri" w:cs="Angsana New"/>
          <w:sz w:val="24"/>
          <w:szCs w:val="24"/>
          <w:lang w:val="en-GB"/>
        </w:rPr>
      </w:pPr>
      <w:r w:rsidRPr="00EC4C64">
        <w:rPr>
          <w:rFonts w:ascii="Calibri" w:eastAsia="MS Mincho" w:hAnsi="Calibri" w:cs="Angsana New"/>
          <w:sz w:val="24"/>
          <w:szCs w:val="24"/>
          <w:lang w:val="en-GB"/>
        </w:rPr>
        <w:t>During the reporting period</w:t>
      </w:r>
      <w:r w:rsidR="004A641A">
        <w:rPr>
          <w:rFonts w:ascii="Calibri" w:eastAsia="MS Mincho" w:hAnsi="Calibri" w:cs="Angsana New"/>
          <w:sz w:val="24"/>
          <w:szCs w:val="24"/>
          <w:lang w:val="en-GB"/>
        </w:rPr>
        <w:t>,</w:t>
      </w:r>
      <w:r w:rsidRPr="00EC4C64">
        <w:rPr>
          <w:rFonts w:ascii="Calibri" w:eastAsia="MS Mincho" w:hAnsi="Calibri" w:cs="Angsana New"/>
          <w:sz w:val="24"/>
          <w:szCs w:val="24"/>
          <w:lang w:val="en-GB"/>
        </w:rPr>
        <w:t xml:space="preserve"> the GEF approved </w:t>
      </w:r>
      <w:r w:rsidR="00FF0882" w:rsidRPr="00EC4C64">
        <w:rPr>
          <w:rFonts w:ascii="Calibri" w:eastAsia="MS Mincho" w:hAnsi="Calibri" w:cs="Angsana New"/>
          <w:sz w:val="24"/>
          <w:szCs w:val="24"/>
          <w:lang w:val="en-GB"/>
        </w:rPr>
        <w:t>three</w:t>
      </w:r>
      <w:r w:rsidRPr="00EC4C64">
        <w:rPr>
          <w:rFonts w:ascii="Calibri" w:eastAsia="MS Mincho" w:hAnsi="Calibri" w:cs="Angsana New"/>
          <w:sz w:val="24"/>
          <w:szCs w:val="24"/>
          <w:lang w:val="en-GB"/>
        </w:rPr>
        <w:t xml:space="preserve"> country-based</w:t>
      </w:r>
      <w:r w:rsidR="00153E98">
        <w:rPr>
          <w:rFonts w:ascii="Calibri" w:eastAsia="MS Mincho" w:hAnsi="Calibri" w:cs="Angsana New"/>
          <w:sz w:val="24"/>
          <w:szCs w:val="24"/>
          <w:lang w:val="en-GB"/>
        </w:rPr>
        <w:t xml:space="preserve"> projects</w:t>
      </w:r>
      <w:r w:rsidR="00D43F49">
        <w:rPr>
          <w:rFonts w:ascii="Calibri" w:eastAsia="MS Mincho" w:hAnsi="Calibri" w:cs="Angsana New"/>
          <w:sz w:val="24"/>
          <w:szCs w:val="24"/>
          <w:lang w:val="en-GB"/>
        </w:rPr>
        <w:t xml:space="preserve"> (Madagascar, Panama, Sudan)</w:t>
      </w:r>
      <w:r w:rsidRPr="00EC4C64">
        <w:rPr>
          <w:rFonts w:ascii="Calibri" w:eastAsia="MS Mincho" w:hAnsi="Calibri" w:cs="Angsana New"/>
          <w:sz w:val="24"/>
          <w:szCs w:val="24"/>
          <w:lang w:val="en-GB"/>
        </w:rPr>
        <w:t xml:space="preserve"> to strengthen the required technical, legal, and institutional capacities to implement the Nagoya Protocol. GEF invested </w:t>
      </w:r>
      <w:r w:rsidR="00800759" w:rsidRPr="00EC4C64">
        <w:rPr>
          <w:rFonts w:ascii="Calibri" w:eastAsia="MS Mincho" w:hAnsi="Calibri" w:cs="Angsana New"/>
          <w:sz w:val="24"/>
          <w:szCs w:val="24"/>
          <w:lang w:val="en-GB"/>
        </w:rPr>
        <w:t>$</w:t>
      </w:r>
      <w:r w:rsidR="000555C1" w:rsidRPr="00EC4C64">
        <w:rPr>
          <w:rFonts w:ascii="Calibri" w:eastAsia="MS Mincho" w:hAnsi="Calibri" w:cs="Angsana New"/>
          <w:sz w:val="24"/>
          <w:szCs w:val="24"/>
          <w:lang w:val="en-GB"/>
        </w:rPr>
        <w:t>3.9</w:t>
      </w:r>
      <w:r w:rsidR="00800759" w:rsidRPr="00EC4C64">
        <w:rPr>
          <w:rFonts w:ascii="Calibri" w:eastAsia="MS Mincho" w:hAnsi="Calibri" w:cs="Angsana New"/>
          <w:sz w:val="24"/>
          <w:szCs w:val="24"/>
          <w:lang w:val="en-GB"/>
        </w:rPr>
        <w:t xml:space="preserve"> </w:t>
      </w:r>
      <w:r w:rsidRPr="00EC4C64">
        <w:rPr>
          <w:rFonts w:ascii="Calibri" w:eastAsia="MS Mincho" w:hAnsi="Calibri" w:cs="Angsana New"/>
          <w:sz w:val="24"/>
          <w:szCs w:val="24"/>
          <w:lang w:val="en-GB"/>
        </w:rPr>
        <w:t>million and leveraged $</w:t>
      </w:r>
      <w:r w:rsidR="000555C1" w:rsidRPr="00EC4C64">
        <w:rPr>
          <w:rFonts w:ascii="Calibri" w:eastAsia="MS Mincho" w:hAnsi="Calibri" w:cs="Angsana New"/>
          <w:sz w:val="24"/>
          <w:szCs w:val="24"/>
          <w:lang w:val="en-GB"/>
        </w:rPr>
        <w:t>24.2</w:t>
      </w:r>
      <w:r w:rsidRPr="00EC4C64">
        <w:rPr>
          <w:rFonts w:ascii="Calibri" w:eastAsia="MS Mincho" w:hAnsi="Calibri" w:cs="Angsana New"/>
          <w:sz w:val="24"/>
          <w:szCs w:val="24"/>
          <w:lang w:val="en-GB"/>
        </w:rPr>
        <w:t xml:space="preserve"> million in co-financing.</w:t>
      </w:r>
      <w:r w:rsidRPr="00D30DB1">
        <w:rPr>
          <w:rFonts w:ascii="Calibri" w:eastAsia="MS Mincho" w:hAnsi="Calibri" w:cs="Angsana New"/>
          <w:sz w:val="24"/>
          <w:szCs w:val="24"/>
          <w:lang w:val="en-GB"/>
        </w:rPr>
        <w:t> </w:t>
      </w:r>
    </w:p>
    <w:p w14:paraId="3AC14D36" w14:textId="45F83A84" w:rsidR="00402BF2" w:rsidRPr="00B20B34" w:rsidRDefault="00402BF2" w:rsidP="000C09D1">
      <w:pPr>
        <w:pStyle w:val="Heading2"/>
      </w:pPr>
      <w:bookmarkStart w:id="30" w:name="_Toc32494921"/>
      <w:r w:rsidRPr="00B20B34">
        <w:t>Impact Program</w:t>
      </w:r>
      <w:r w:rsidR="005E7775" w:rsidRPr="00B20B34">
        <w:t xml:space="preserve"> Contributions to Achieving the Aichi Biodiversity Targets</w:t>
      </w:r>
      <w:bookmarkEnd w:id="30"/>
    </w:p>
    <w:p w14:paraId="15559DD2" w14:textId="2EDD10BA" w:rsidR="00AB51A6" w:rsidRPr="003E3CE1" w:rsidRDefault="00AB51A6" w:rsidP="00105FB1">
      <w:pPr>
        <w:pStyle w:val="Heading3"/>
        <w:rPr>
          <w:snapToGrid w:val="0"/>
        </w:rPr>
      </w:pPr>
      <w:bookmarkStart w:id="31" w:name="_Toc32494922"/>
      <w:r w:rsidRPr="003E3CE1">
        <w:rPr>
          <w:snapToGrid w:val="0"/>
        </w:rPr>
        <w:t>Food Systems, Land Use and Restoration</w:t>
      </w:r>
      <w:bookmarkEnd w:id="31"/>
      <w:r w:rsidRPr="003E3CE1">
        <w:rPr>
          <w:snapToGrid w:val="0"/>
        </w:rPr>
        <w:t xml:space="preserve">  </w:t>
      </w:r>
    </w:p>
    <w:p w14:paraId="10943033" w14:textId="777B8C71" w:rsidR="00AB51A6" w:rsidRDefault="00AB51A6"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rPr>
      </w:pPr>
      <w:r w:rsidRPr="00425AF5">
        <w:rPr>
          <w:rFonts w:ascii="Calibri" w:eastAsia="MS Mincho" w:hAnsi="Calibri" w:cs="Times New Roman"/>
          <w:snapToGrid w:val="0"/>
          <w:sz w:val="24"/>
          <w:szCs w:val="24"/>
        </w:rPr>
        <w:t>The Impact Program on Food Systems, Land Use, and Restoration</w:t>
      </w:r>
      <w:r w:rsidR="004A641A">
        <w:rPr>
          <w:rFonts w:ascii="Calibri" w:eastAsia="MS Mincho" w:hAnsi="Calibri" w:cs="Times New Roman"/>
          <w:snapToGrid w:val="0"/>
          <w:sz w:val="24"/>
          <w:szCs w:val="24"/>
        </w:rPr>
        <w:t xml:space="preserve"> (FOLUR)</w:t>
      </w:r>
      <w:r w:rsidRPr="00425AF5">
        <w:rPr>
          <w:rFonts w:ascii="Calibri" w:eastAsia="MS Mincho" w:hAnsi="Calibri" w:cs="Times New Roman"/>
          <w:snapToGrid w:val="0"/>
          <w:sz w:val="24"/>
          <w:szCs w:val="24"/>
        </w:rPr>
        <w:t xml:space="preserve"> address</w:t>
      </w:r>
      <w:r>
        <w:rPr>
          <w:rFonts w:ascii="Calibri" w:eastAsia="MS Mincho" w:hAnsi="Calibri" w:cs="Times New Roman"/>
          <w:snapToGrid w:val="0"/>
          <w:sz w:val="24"/>
          <w:szCs w:val="24"/>
        </w:rPr>
        <w:t>es</w:t>
      </w:r>
      <w:r w:rsidRPr="00425AF5">
        <w:rPr>
          <w:rFonts w:ascii="Calibri" w:eastAsia="MS Mincho" w:hAnsi="Calibri" w:cs="Times New Roman"/>
          <w:snapToGrid w:val="0"/>
          <w:sz w:val="24"/>
          <w:szCs w:val="24"/>
        </w:rPr>
        <w:t xml:space="preserve"> the underlying drivers of unsustainable food systems and land use change through supporting countries to take a more holistic and system-wide approach. </w:t>
      </w:r>
      <w:r>
        <w:rPr>
          <w:rFonts w:ascii="Calibri" w:eastAsia="MS Mincho" w:hAnsi="Calibri" w:cs="Times New Roman"/>
          <w:snapToGrid w:val="0"/>
          <w:sz w:val="24"/>
          <w:szCs w:val="24"/>
        </w:rPr>
        <w:t xml:space="preserve"> </w:t>
      </w:r>
      <w:r w:rsidRPr="00425AF5">
        <w:rPr>
          <w:rFonts w:ascii="Calibri" w:eastAsia="MS Mincho" w:hAnsi="Calibri" w:cs="Times New Roman"/>
          <w:snapToGrid w:val="0"/>
          <w:sz w:val="24"/>
          <w:szCs w:val="24"/>
        </w:rPr>
        <w:t>A coordinated</w:t>
      </w:r>
      <w:r>
        <w:rPr>
          <w:rFonts w:ascii="Calibri" w:eastAsia="MS Mincho" w:hAnsi="Calibri" w:cs="Times New Roman"/>
          <w:snapToGrid w:val="0"/>
          <w:sz w:val="24"/>
          <w:szCs w:val="24"/>
        </w:rPr>
        <w:t>,</w:t>
      </w:r>
      <w:r w:rsidRPr="00425AF5">
        <w:rPr>
          <w:rFonts w:ascii="Calibri" w:eastAsia="MS Mincho" w:hAnsi="Calibri" w:cs="Times New Roman"/>
          <w:snapToGrid w:val="0"/>
          <w:sz w:val="24"/>
          <w:szCs w:val="24"/>
        </w:rPr>
        <w:t xml:space="preserve"> rational</w:t>
      </w:r>
      <w:r>
        <w:rPr>
          <w:rFonts w:ascii="Calibri" w:eastAsia="MS Mincho" w:hAnsi="Calibri" w:cs="Times New Roman"/>
          <w:snapToGrid w:val="0"/>
          <w:sz w:val="24"/>
          <w:szCs w:val="24"/>
        </w:rPr>
        <w:t>,</w:t>
      </w:r>
      <w:r w:rsidRPr="00425AF5">
        <w:rPr>
          <w:rFonts w:ascii="Calibri" w:eastAsia="MS Mincho" w:hAnsi="Calibri" w:cs="Times New Roman"/>
          <w:snapToGrid w:val="0"/>
          <w:sz w:val="24"/>
          <w:szCs w:val="24"/>
        </w:rPr>
        <w:t xml:space="preserve"> and more environmentally sustainable land-use framework at a national or jurisdictional level is key to ensure efficient food production and commodity supply chains, protect the environment, and support human prosperity. The Impact program</w:t>
      </w:r>
      <w:r>
        <w:rPr>
          <w:rFonts w:ascii="Calibri" w:eastAsia="MS Mincho" w:hAnsi="Calibri" w:cs="Times New Roman"/>
          <w:snapToGrid w:val="0"/>
          <w:sz w:val="24"/>
          <w:szCs w:val="24"/>
        </w:rPr>
        <w:t xml:space="preserve"> </w:t>
      </w:r>
      <w:r w:rsidRPr="00425AF5">
        <w:rPr>
          <w:rFonts w:ascii="Calibri" w:eastAsia="MS Mincho" w:hAnsi="Calibri" w:cs="Times New Roman"/>
          <w:snapToGrid w:val="0"/>
          <w:sz w:val="24"/>
          <w:szCs w:val="24"/>
        </w:rPr>
        <w:t>focus</w:t>
      </w:r>
      <w:r>
        <w:rPr>
          <w:rFonts w:ascii="Calibri" w:eastAsia="MS Mincho" w:hAnsi="Calibri" w:cs="Times New Roman"/>
          <w:snapToGrid w:val="0"/>
          <w:sz w:val="24"/>
          <w:szCs w:val="24"/>
        </w:rPr>
        <w:t>es</w:t>
      </w:r>
      <w:r w:rsidRPr="00425AF5">
        <w:rPr>
          <w:rFonts w:ascii="Calibri" w:eastAsia="MS Mincho" w:hAnsi="Calibri" w:cs="Times New Roman"/>
          <w:snapToGrid w:val="0"/>
          <w:sz w:val="24"/>
          <w:szCs w:val="24"/>
        </w:rPr>
        <w:t xml:space="preserve"> on achieving three objectives: (1) Promoting sustainable food systems to meet growing global demand, (2) Promoting deforestation-free agricultural commodity supply chains to slow loss of tropical forests, and (3) Promoting restoration of degraded landscapes for sustainable production</w:t>
      </w:r>
      <w:r w:rsidRPr="00425AF5" w:rsidDel="005324DF">
        <w:rPr>
          <w:rFonts w:ascii="Calibri" w:eastAsia="MS Mincho" w:hAnsi="Calibri" w:cs="Times New Roman"/>
          <w:snapToGrid w:val="0"/>
          <w:sz w:val="24"/>
          <w:szCs w:val="24"/>
        </w:rPr>
        <w:t xml:space="preserve"> and </w:t>
      </w:r>
      <w:r w:rsidRPr="00425AF5">
        <w:rPr>
          <w:rFonts w:ascii="Calibri" w:eastAsia="MS Mincho" w:hAnsi="Calibri" w:cs="Times New Roman"/>
          <w:snapToGrid w:val="0"/>
          <w:sz w:val="24"/>
          <w:szCs w:val="24"/>
        </w:rPr>
        <w:t xml:space="preserve">to maintain </w:t>
      </w:r>
      <w:r w:rsidRPr="00425AF5" w:rsidDel="005324DF">
        <w:rPr>
          <w:rFonts w:ascii="Calibri" w:eastAsia="MS Mincho" w:hAnsi="Calibri" w:cs="Times New Roman"/>
          <w:snapToGrid w:val="0"/>
          <w:sz w:val="24"/>
          <w:szCs w:val="24"/>
        </w:rPr>
        <w:t>ecosystem services</w:t>
      </w:r>
      <w:r>
        <w:rPr>
          <w:rFonts w:ascii="Calibri" w:eastAsia="MS Mincho" w:hAnsi="Calibri" w:cs="Times New Roman"/>
          <w:snapToGrid w:val="0"/>
          <w:sz w:val="24"/>
          <w:szCs w:val="24"/>
        </w:rPr>
        <w:t xml:space="preserve">.  </w:t>
      </w:r>
    </w:p>
    <w:p w14:paraId="106FE615" w14:textId="48062B2F" w:rsidR="000B4E14" w:rsidRDefault="00AB51A6"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lang w:val="en-GB"/>
        </w:rPr>
      </w:pPr>
      <w:r w:rsidRPr="00FF3B4A">
        <w:rPr>
          <w:snapToGrid w:val="0"/>
          <w:sz w:val="24"/>
          <w:szCs w:val="24"/>
        </w:rPr>
        <w:t>Table</w:t>
      </w:r>
      <w:r w:rsidRPr="00C6091C">
        <w:rPr>
          <w:rFonts w:ascii="Calibri" w:eastAsia="MS Mincho" w:hAnsi="Calibri" w:cs="Times New Roman"/>
          <w:snapToGrid w:val="0"/>
          <w:sz w:val="24"/>
          <w:szCs w:val="24"/>
          <w:lang w:val="en-GB"/>
        </w:rPr>
        <w:t xml:space="preserve"> </w:t>
      </w:r>
      <w:r w:rsidR="001B2758">
        <w:rPr>
          <w:rFonts w:ascii="Calibri" w:eastAsia="MS Mincho" w:hAnsi="Calibri" w:cs="Times New Roman"/>
          <w:snapToGrid w:val="0"/>
          <w:sz w:val="24"/>
          <w:szCs w:val="24"/>
          <w:lang w:val="en-GB"/>
        </w:rPr>
        <w:t>6</w:t>
      </w:r>
      <w:r w:rsidRPr="00C6091C">
        <w:rPr>
          <w:rFonts w:ascii="Calibri" w:eastAsia="MS Mincho" w:hAnsi="Calibri" w:cs="Times New Roman"/>
          <w:snapToGrid w:val="0"/>
          <w:sz w:val="24"/>
          <w:szCs w:val="24"/>
          <w:lang w:val="en-GB"/>
        </w:rPr>
        <w:t xml:space="preserve"> below depicts the contribution of GEF </w:t>
      </w:r>
      <w:r>
        <w:rPr>
          <w:rFonts w:ascii="Calibri" w:eastAsia="MS Mincho" w:hAnsi="Calibri" w:cs="Times New Roman"/>
          <w:snapToGrid w:val="0"/>
          <w:sz w:val="24"/>
          <w:szCs w:val="24"/>
          <w:lang w:val="en-GB"/>
        </w:rPr>
        <w:t>FOLUR I</w:t>
      </w:r>
      <w:r w:rsidR="00644B93">
        <w:rPr>
          <w:rFonts w:ascii="Calibri" w:eastAsia="MS Mincho" w:hAnsi="Calibri" w:cs="Times New Roman"/>
          <w:snapToGrid w:val="0"/>
          <w:sz w:val="24"/>
          <w:szCs w:val="24"/>
          <w:lang w:val="en-GB"/>
        </w:rPr>
        <w:t xml:space="preserve">mpact </w:t>
      </w:r>
      <w:r>
        <w:rPr>
          <w:rFonts w:ascii="Calibri" w:eastAsia="MS Mincho" w:hAnsi="Calibri" w:cs="Times New Roman"/>
          <w:snapToGrid w:val="0"/>
          <w:sz w:val="24"/>
          <w:szCs w:val="24"/>
          <w:lang w:val="en-GB"/>
        </w:rPr>
        <w:t>P</w:t>
      </w:r>
      <w:r w:rsidR="00644B93">
        <w:rPr>
          <w:rFonts w:ascii="Calibri" w:eastAsia="MS Mincho" w:hAnsi="Calibri" w:cs="Times New Roman"/>
          <w:snapToGrid w:val="0"/>
          <w:sz w:val="24"/>
          <w:szCs w:val="24"/>
          <w:lang w:val="en-GB"/>
        </w:rPr>
        <w:t>rogram</w:t>
      </w:r>
      <w:r w:rsidRPr="00C6091C">
        <w:rPr>
          <w:rFonts w:ascii="Calibri" w:eastAsia="MS Mincho" w:hAnsi="Calibri" w:cs="Times New Roman"/>
          <w:snapToGrid w:val="0"/>
          <w:sz w:val="24"/>
          <w:szCs w:val="24"/>
          <w:lang w:val="en-GB"/>
        </w:rPr>
        <w:t xml:space="preserve"> resources to achieving the Aichi Biodiversity Targets as prioritized by countries</w:t>
      </w:r>
      <w:r w:rsidRPr="00001658">
        <w:rPr>
          <w:rFonts w:ascii="Calibri" w:eastAsia="MS Mincho" w:hAnsi="Calibri" w:cs="Times New Roman"/>
          <w:snapToGrid w:val="0"/>
          <w:sz w:val="24"/>
          <w:szCs w:val="24"/>
          <w:lang w:val="en-GB"/>
        </w:rPr>
        <w:t>.</w:t>
      </w:r>
      <w:r w:rsidR="00612A7D" w:rsidRPr="00001658">
        <w:rPr>
          <w:rFonts w:ascii="Calibri" w:eastAsia="MS Mincho" w:hAnsi="Calibri" w:cs="Times New Roman"/>
          <w:snapToGrid w:val="0"/>
          <w:sz w:val="24"/>
          <w:szCs w:val="24"/>
          <w:lang w:val="en-GB"/>
        </w:rPr>
        <w:t xml:space="preserve"> </w:t>
      </w:r>
      <w:bookmarkStart w:id="32" w:name="_Hlk32065142"/>
      <w:r w:rsidR="00051781" w:rsidRPr="00001658">
        <w:rPr>
          <w:rFonts w:ascii="Calibri" w:eastAsia="MS Mincho" w:hAnsi="Calibri" w:cs="Times New Roman"/>
          <w:snapToGrid w:val="0"/>
          <w:sz w:val="24"/>
          <w:szCs w:val="24"/>
          <w:lang w:val="en-GB"/>
        </w:rPr>
        <w:t xml:space="preserve">Of the </w:t>
      </w:r>
      <w:r w:rsidR="00454147" w:rsidRPr="00001658">
        <w:rPr>
          <w:rFonts w:ascii="Calibri" w:eastAsia="MS Mincho" w:hAnsi="Calibri" w:cs="Times New Roman"/>
          <w:snapToGrid w:val="0"/>
          <w:sz w:val="24"/>
          <w:szCs w:val="24"/>
          <w:lang w:val="en-GB"/>
        </w:rPr>
        <w:t>$</w:t>
      </w:r>
      <w:r w:rsidR="00051781" w:rsidRPr="00001658">
        <w:rPr>
          <w:rFonts w:ascii="Calibri" w:eastAsia="MS Mincho" w:hAnsi="Calibri" w:cs="Times New Roman"/>
          <w:snapToGrid w:val="0"/>
          <w:sz w:val="24"/>
          <w:szCs w:val="24"/>
          <w:lang w:val="en-GB"/>
        </w:rPr>
        <w:t>281.2</w:t>
      </w:r>
      <w:r w:rsidR="00454147" w:rsidRPr="00001658">
        <w:rPr>
          <w:rFonts w:ascii="Calibri" w:eastAsia="MS Mincho" w:hAnsi="Calibri" w:cs="Times New Roman"/>
          <w:snapToGrid w:val="0"/>
          <w:sz w:val="24"/>
          <w:szCs w:val="24"/>
          <w:lang w:val="en-GB"/>
        </w:rPr>
        <w:t xml:space="preserve"> million of GEF project financing</w:t>
      </w:r>
      <w:r w:rsidR="009D6EDB" w:rsidRPr="00001658">
        <w:rPr>
          <w:rFonts w:ascii="Calibri" w:eastAsia="MS Mincho" w:hAnsi="Calibri" w:cs="Times New Roman"/>
          <w:snapToGrid w:val="0"/>
          <w:sz w:val="24"/>
          <w:szCs w:val="24"/>
          <w:lang w:val="en-GB"/>
        </w:rPr>
        <w:t xml:space="preserve"> in </w:t>
      </w:r>
      <w:r w:rsidR="00490508" w:rsidRPr="00001658">
        <w:rPr>
          <w:rFonts w:ascii="Calibri" w:eastAsia="MS Mincho" w:hAnsi="Calibri" w:cs="Times New Roman"/>
          <w:snapToGrid w:val="0"/>
          <w:sz w:val="24"/>
          <w:szCs w:val="24"/>
          <w:lang w:val="en-GB"/>
        </w:rPr>
        <w:t xml:space="preserve">the </w:t>
      </w:r>
      <w:r w:rsidR="009D6EDB" w:rsidRPr="00001658">
        <w:rPr>
          <w:rFonts w:ascii="Calibri" w:eastAsia="MS Mincho" w:hAnsi="Calibri" w:cs="Times New Roman"/>
          <w:snapToGrid w:val="0"/>
          <w:sz w:val="24"/>
          <w:szCs w:val="24"/>
          <w:lang w:val="en-GB"/>
        </w:rPr>
        <w:t>FOLUR</w:t>
      </w:r>
      <w:r w:rsidR="00490508" w:rsidRPr="00001658">
        <w:rPr>
          <w:rFonts w:ascii="Calibri" w:eastAsia="MS Mincho" w:hAnsi="Calibri" w:cs="Times New Roman"/>
          <w:snapToGrid w:val="0"/>
          <w:sz w:val="24"/>
          <w:szCs w:val="24"/>
          <w:lang w:val="en-GB"/>
        </w:rPr>
        <w:t xml:space="preserve"> I</w:t>
      </w:r>
      <w:r w:rsidR="003D7007" w:rsidRPr="00001658">
        <w:rPr>
          <w:rFonts w:ascii="Calibri" w:eastAsia="MS Mincho" w:hAnsi="Calibri" w:cs="Times New Roman"/>
          <w:snapToGrid w:val="0"/>
          <w:sz w:val="24"/>
          <w:szCs w:val="24"/>
          <w:lang w:val="en-GB"/>
        </w:rPr>
        <w:t>mpact Program</w:t>
      </w:r>
      <w:r w:rsidR="00454147" w:rsidRPr="00001658">
        <w:rPr>
          <w:rFonts w:ascii="Calibri" w:eastAsia="MS Mincho" w:hAnsi="Calibri" w:cs="Times New Roman"/>
          <w:snapToGrid w:val="0"/>
          <w:sz w:val="24"/>
          <w:szCs w:val="24"/>
          <w:lang w:val="en-GB"/>
        </w:rPr>
        <w:t>, $</w:t>
      </w:r>
      <w:r w:rsidR="00461CBF" w:rsidRPr="00001658">
        <w:rPr>
          <w:rFonts w:ascii="Calibri" w:eastAsia="MS Mincho" w:hAnsi="Calibri" w:cs="Times New Roman"/>
          <w:snapToGrid w:val="0"/>
          <w:sz w:val="24"/>
          <w:szCs w:val="24"/>
          <w:lang w:val="en-GB"/>
        </w:rPr>
        <w:t xml:space="preserve">95.3 </w:t>
      </w:r>
      <w:r w:rsidR="00454147" w:rsidRPr="00001658">
        <w:rPr>
          <w:rFonts w:ascii="Calibri" w:eastAsia="MS Mincho" w:hAnsi="Calibri" w:cs="Times New Roman"/>
          <w:snapToGrid w:val="0"/>
          <w:sz w:val="24"/>
          <w:szCs w:val="24"/>
          <w:lang w:val="en-GB"/>
        </w:rPr>
        <w:t xml:space="preserve">million </w:t>
      </w:r>
      <w:r w:rsidR="009D6EDB" w:rsidRPr="00001658">
        <w:rPr>
          <w:rFonts w:ascii="Calibri" w:eastAsia="MS Mincho" w:hAnsi="Calibri" w:cs="Times New Roman"/>
          <w:snapToGrid w:val="0"/>
          <w:sz w:val="24"/>
          <w:szCs w:val="24"/>
          <w:lang w:val="en-GB"/>
        </w:rPr>
        <w:t>came from the biodiversity focal area</w:t>
      </w:r>
      <w:bookmarkEnd w:id="32"/>
      <w:r w:rsidR="00DF0065" w:rsidRPr="00001658">
        <w:rPr>
          <w:rFonts w:ascii="Calibri" w:eastAsia="MS Mincho" w:hAnsi="Calibri" w:cs="Times New Roman"/>
          <w:snapToGrid w:val="0"/>
          <w:sz w:val="24"/>
          <w:szCs w:val="24"/>
          <w:lang w:val="en-GB"/>
        </w:rPr>
        <w:t xml:space="preserve"> </w:t>
      </w:r>
      <w:r w:rsidR="00D144ED" w:rsidRPr="00001658">
        <w:rPr>
          <w:rFonts w:ascii="Calibri" w:eastAsia="MS Mincho" w:hAnsi="Calibri" w:cs="Times New Roman"/>
          <w:snapToGrid w:val="0"/>
          <w:sz w:val="24"/>
          <w:szCs w:val="24"/>
          <w:lang w:val="en-GB"/>
        </w:rPr>
        <w:t>allocations under the STAR.</w:t>
      </w:r>
    </w:p>
    <w:p w14:paraId="2FDA6DA0" w14:textId="1A84148C" w:rsidR="000B4E14" w:rsidRPr="00E30D88" w:rsidRDefault="000B4E14" w:rsidP="00D722AE">
      <w:pPr>
        <w:spacing w:before="240" w:after="240" w:line="240" w:lineRule="auto"/>
        <w:jc w:val="center"/>
        <w:rPr>
          <w:rFonts w:ascii="Calibri" w:eastAsia="MS Mincho" w:hAnsi="Calibri" w:cs="Times New Roman"/>
          <w:b/>
          <w:snapToGrid w:val="0"/>
          <w:sz w:val="24"/>
          <w:szCs w:val="24"/>
          <w:lang w:val="en-GB"/>
        </w:rPr>
      </w:pPr>
      <w:r w:rsidRPr="00E30D88">
        <w:rPr>
          <w:rFonts w:ascii="Calibri" w:eastAsia="MS Mincho" w:hAnsi="Calibri" w:cs="Times New Roman"/>
          <w:b/>
          <w:snapToGrid w:val="0"/>
          <w:sz w:val="24"/>
          <w:szCs w:val="24"/>
          <w:lang w:val="en-GB"/>
        </w:rPr>
        <w:t xml:space="preserve">Table </w:t>
      </w:r>
      <w:r w:rsidR="001B2758" w:rsidRPr="00E30D88">
        <w:rPr>
          <w:rFonts w:ascii="Calibri" w:eastAsia="MS Mincho" w:hAnsi="Calibri" w:cs="Times New Roman"/>
          <w:b/>
          <w:snapToGrid w:val="0"/>
          <w:sz w:val="24"/>
          <w:szCs w:val="24"/>
          <w:lang w:val="en-GB"/>
        </w:rPr>
        <w:t>6</w:t>
      </w:r>
      <w:r w:rsidRPr="00E30D88">
        <w:rPr>
          <w:rFonts w:ascii="Calibri" w:eastAsia="MS Mincho" w:hAnsi="Calibri" w:cs="Times New Roman"/>
          <w:b/>
          <w:snapToGrid w:val="0"/>
          <w:sz w:val="24"/>
          <w:szCs w:val="24"/>
          <w:lang w:val="en-GB"/>
        </w:rPr>
        <w:t xml:space="preserve">. Cumulative Distribution of GEF-7 Resources by the FOLUR Impact Program and Contributions to Achieving the Aichi Biodiversity Targets </w:t>
      </w:r>
      <w:r w:rsidRPr="00E30D88">
        <w:rPr>
          <w:rFonts w:ascii="Calibri" w:eastAsia="MS Mincho" w:hAnsi="Calibri" w:cs="Times New Roman"/>
          <w:b/>
          <w:snapToGrid w:val="0"/>
          <w:sz w:val="24"/>
          <w:szCs w:val="24"/>
        </w:rPr>
        <w:t>(July 1, 2018 to December 31, 2019)</w:t>
      </w:r>
      <w:r w:rsidRPr="00E30D88">
        <w:rPr>
          <w:rFonts w:ascii="Calibri" w:eastAsia="MS Mincho" w:hAnsi="Calibri" w:cs="Times New Roman"/>
          <w:b/>
          <w:snapToGrid w:val="0"/>
          <w:sz w:val="24"/>
          <w:szCs w:val="24"/>
          <w:vertAlign w:val="superscript"/>
          <w:lang w:val="en-GB"/>
        </w:rPr>
        <w:t xml:space="preserve"> </w:t>
      </w:r>
      <w:r w:rsidRPr="00E30D88">
        <w:rPr>
          <w:rFonts w:ascii="Calibri" w:eastAsia="MS Mincho" w:hAnsi="Calibri" w:cs="Times New Roman"/>
          <w:b/>
          <w:snapToGrid w:val="0"/>
          <w:sz w:val="24"/>
          <w:szCs w:val="24"/>
          <w:vertAlign w:val="superscript"/>
          <w:lang w:val="en-GB"/>
        </w:rPr>
        <w:footnoteReference w:id="11"/>
      </w:r>
    </w:p>
    <w:tbl>
      <w:tblPr>
        <w:tblW w:w="4997" w:type="pct"/>
        <w:tblBorders>
          <w:top w:val="single" w:sz="12" w:space="0" w:color="008000"/>
          <w:bottom w:val="single" w:sz="12" w:space="0" w:color="008000"/>
        </w:tblBorders>
        <w:tblLook w:val="04A0" w:firstRow="1" w:lastRow="0" w:firstColumn="1" w:lastColumn="0" w:noHBand="0" w:noVBand="1"/>
      </w:tblPr>
      <w:tblGrid>
        <w:gridCol w:w="2389"/>
        <w:gridCol w:w="1641"/>
        <w:gridCol w:w="1886"/>
        <w:gridCol w:w="1719"/>
        <w:gridCol w:w="1719"/>
      </w:tblGrid>
      <w:tr w:rsidR="000B4E14" w:rsidRPr="00A95163" w14:paraId="0F7FBBEF" w14:textId="77777777" w:rsidTr="008354E6">
        <w:trPr>
          <w:trHeight w:val="570"/>
        </w:trPr>
        <w:tc>
          <w:tcPr>
            <w:tcW w:w="1277" w:type="pct"/>
            <w:tcBorders>
              <w:bottom w:val="single" w:sz="6" w:space="0" w:color="008000"/>
            </w:tcBorders>
            <w:shd w:val="clear" w:color="auto" w:fill="auto"/>
            <w:hideMark/>
          </w:tcPr>
          <w:p w14:paraId="69AC5D3A" w14:textId="77777777" w:rsidR="000B4E14" w:rsidRPr="00A95163" w:rsidRDefault="000B4E14" w:rsidP="000B4E14">
            <w:pPr>
              <w:spacing w:before="120" w:after="120" w:line="240" w:lineRule="auto"/>
              <w:rPr>
                <w:rFonts w:ascii="Calibri" w:eastAsia="MS Mincho" w:hAnsi="Calibri" w:cs="Times New Roman"/>
                <w:b/>
                <w:bCs/>
                <w:snapToGrid w:val="0"/>
                <w:lang w:val="en-GB"/>
              </w:rPr>
            </w:pPr>
          </w:p>
        </w:tc>
        <w:tc>
          <w:tcPr>
            <w:tcW w:w="877" w:type="pct"/>
            <w:tcBorders>
              <w:bottom w:val="single" w:sz="6" w:space="0" w:color="008000"/>
            </w:tcBorders>
            <w:shd w:val="clear" w:color="auto" w:fill="auto"/>
            <w:hideMark/>
          </w:tcPr>
          <w:p w14:paraId="14816C90" w14:textId="77777777" w:rsidR="000B4E14" w:rsidRPr="00A95163" w:rsidRDefault="000B4E14" w:rsidP="000B4E14">
            <w:pPr>
              <w:spacing w:before="120" w:after="120" w:line="240" w:lineRule="auto"/>
              <w:rPr>
                <w:rFonts w:ascii="Calibri" w:eastAsia="MS Mincho" w:hAnsi="Calibri" w:cs="Times New Roman"/>
                <w:b/>
                <w:bCs/>
                <w:snapToGrid w:val="0"/>
                <w:lang w:val="en-GB"/>
              </w:rPr>
            </w:pPr>
            <w:r w:rsidRPr="00A95163">
              <w:rPr>
                <w:rFonts w:ascii="Calibri" w:eastAsia="MS Mincho" w:hAnsi="Calibri" w:cs="Times New Roman"/>
                <w:b/>
                <w:bCs/>
                <w:snapToGrid w:val="0"/>
                <w:lang w:val="en-GB"/>
              </w:rPr>
              <w:t>Aichi Biodiversity Targets</w:t>
            </w:r>
          </w:p>
        </w:tc>
        <w:tc>
          <w:tcPr>
            <w:tcW w:w="1008" w:type="pct"/>
            <w:tcBorders>
              <w:bottom w:val="single" w:sz="6" w:space="0" w:color="008000"/>
            </w:tcBorders>
            <w:shd w:val="clear" w:color="auto" w:fill="auto"/>
          </w:tcPr>
          <w:p w14:paraId="442E98C5" w14:textId="4A2EC73D" w:rsidR="000B4E14" w:rsidRPr="00A95163" w:rsidRDefault="000B4E14" w:rsidP="000B4E14">
            <w:pPr>
              <w:spacing w:before="120" w:after="120" w:line="240" w:lineRule="auto"/>
              <w:rPr>
                <w:rFonts w:ascii="Calibri" w:eastAsia="MS Mincho" w:hAnsi="Calibri" w:cs="Times New Roman"/>
                <w:b/>
                <w:bCs/>
                <w:snapToGrid w:val="0"/>
                <w:lang w:val="en-GB"/>
              </w:rPr>
            </w:pPr>
            <w:r w:rsidRPr="00A95163">
              <w:rPr>
                <w:rFonts w:ascii="Calibri" w:eastAsia="MS Mincho" w:hAnsi="Calibri" w:cs="Times New Roman"/>
                <w:b/>
                <w:bCs/>
                <w:snapToGrid w:val="0"/>
                <w:lang w:val="en-GB"/>
              </w:rPr>
              <w:t xml:space="preserve">GEF Project </w:t>
            </w:r>
            <w:r w:rsidR="00B4635F" w:rsidRPr="00A95163">
              <w:rPr>
                <w:rFonts w:ascii="Calibri" w:eastAsia="MS Mincho" w:hAnsi="Calibri" w:cs="Times New Roman"/>
                <w:b/>
                <w:bCs/>
                <w:snapToGrid w:val="0"/>
                <w:lang w:val="en-GB"/>
              </w:rPr>
              <w:t xml:space="preserve">Financing </w:t>
            </w:r>
            <w:r w:rsidR="008E575D">
              <w:rPr>
                <w:rFonts w:ascii="Calibri" w:eastAsia="MS Mincho" w:hAnsi="Calibri" w:cs="Times New Roman"/>
                <w:b/>
                <w:bCs/>
                <w:snapToGrid w:val="0"/>
                <w:lang w:val="en-GB"/>
              </w:rPr>
              <w:br/>
            </w:r>
            <w:r w:rsidRPr="00A95163">
              <w:rPr>
                <w:rFonts w:ascii="Calibri" w:eastAsia="MS Mincho" w:hAnsi="Calibri" w:cs="Times New Roman"/>
                <w:b/>
                <w:bCs/>
                <w:snapToGrid w:val="0"/>
                <w:lang w:val="en-GB"/>
              </w:rPr>
              <w:t>($ million)</w:t>
            </w:r>
          </w:p>
        </w:tc>
        <w:tc>
          <w:tcPr>
            <w:tcW w:w="919" w:type="pct"/>
            <w:tcBorders>
              <w:bottom w:val="single" w:sz="6" w:space="0" w:color="008000"/>
            </w:tcBorders>
            <w:shd w:val="clear" w:color="auto" w:fill="auto"/>
            <w:hideMark/>
          </w:tcPr>
          <w:p w14:paraId="4AA789D8" w14:textId="65B40AEF" w:rsidR="000B4E14" w:rsidRPr="00A95163" w:rsidRDefault="002D582B" w:rsidP="000B4E14">
            <w:pPr>
              <w:spacing w:before="120" w:after="120" w:line="240" w:lineRule="auto"/>
              <w:rPr>
                <w:rFonts w:ascii="Calibri" w:eastAsia="MS Mincho" w:hAnsi="Calibri" w:cs="Times New Roman"/>
                <w:b/>
                <w:bCs/>
                <w:snapToGrid w:val="0"/>
                <w:lang w:val="en-GB"/>
              </w:rPr>
            </w:pPr>
            <w:r>
              <w:rPr>
                <w:rFonts w:ascii="Calibri" w:eastAsia="MS Mincho" w:hAnsi="Calibri" w:cs="Times New Roman"/>
                <w:b/>
                <w:bCs/>
                <w:snapToGrid w:val="0"/>
                <w:lang w:val="en-GB"/>
              </w:rPr>
              <w:t>Co-financing</w:t>
            </w:r>
            <w:r w:rsidR="000B4E14" w:rsidRPr="00A95163">
              <w:rPr>
                <w:rFonts w:ascii="Calibri" w:eastAsia="MS Mincho" w:hAnsi="Calibri" w:cs="Times New Roman"/>
                <w:b/>
                <w:bCs/>
                <w:snapToGrid w:val="0"/>
                <w:lang w:val="en-GB"/>
              </w:rPr>
              <w:t xml:space="preserve"> </w:t>
            </w:r>
          </w:p>
          <w:p w14:paraId="185FF9DD" w14:textId="77777777" w:rsidR="000B4E14" w:rsidRPr="00A95163" w:rsidRDefault="000B4E14" w:rsidP="000B4E14">
            <w:pPr>
              <w:spacing w:before="120" w:after="120" w:line="240" w:lineRule="auto"/>
              <w:rPr>
                <w:rFonts w:ascii="Calibri" w:eastAsia="MS Mincho" w:hAnsi="Calibri" w:cs="Times New Roman"/>
                <w:b/>
                <w:bCs/>
                <w:snapToGrid w:val="0"/>
                <w:lang w:val="en-GB"/>
              </w:rPr>
            </w:pPr>
            <w:r w:rsidRPr="00A95163">
              <w:rPr>
                <w:rFonts w:ascii="Calibri" w:eastAsia="MS Mincho" w:hAnsi="Calibri" w:cs="Times New Roman"/>
                <w:b/>
                <w:bCs/>
                <w:snapToGrid w:val="0"/>
                <w:lang w:val="en-GB"/>
              </w:rPr>
              <w:t xml:space="preserve">($ million) </w:t>
            </w:r>
          </w:p>
        </w:tc>
        <w:tc>
          <w:tcPr>
            <w:tcW w:w="919" w:type="pct"/>
            <w:tcBorders>
              <w:bottom w:val="single" w:sz="6" w:space="0" w:color="008000"/>
            </w:tcBorders>
            <w:shd w:val="clear" w:color="auto" w:fill="auto"/>
          </w:tcPr>
          <w:p w14:paraId="35015752" w14:textId="77777777" w:rsidR="000B4E14" w:rsidRPr="00A95163" w:rsidRDefault="000B4E14" w:rsidP="000B4E14">
            <w:pPr>
              <w:spacing w:before="120" w:after="120" w:line="240" w:lineRule="auto"/>
              <w:rPr>
                <w:rFonts w:ascii="Calibri" w:eastAsia="MS Mincho" w:hAnsi="Calibri" w:cs="Times New Roman"/>
                <w:b/>
                <w:bCs/>
                <w:snapToGrid w:val="0"/>
                <w:lang w:val="en-GB"/>
              </w:rPr>
            </w:pPr>
            <w:r w:rsidRPr="00A95163">
              <w:rPr>
                <w:rFonts w:ascii="Calibri" w:eastAsia="MS Mincho" w:hAnsi="Calibri" w:cs="Times New Roman"/>
                <w:b/>
                <w:bCs/>
                <w:snapToGrid w:val="0"/>
                <w:lang w:val="en-GB"/>
              </w:rPr>
              <w:t>Total resources ($ million)</w:t>
            </w:r>
          </w:p>
        </w:tc>
      </w:tr>
      <w:tr w:rsidR="000B4E14" w:rsidRPr="000B4E14" w14:paraId="0EFBD83B" w14:textId="77777777" w:rsidTr="008354E6">
        <w:trPr>
          <w:trHeight w:val="900"/>
        </w:trPr>
        <w:tc>
          <w:tcPr>
            <w:tcW w:w="1277" w:type="pct"/>
            <w:shd w:val="clear" w:color="auto" w:fill="auto"/>
          </w:tcPr>
          <w:p w14:paraId="32597CD1" w14:textId="2EF54500" w:rsidR="000B4E14" w:rsidRPr="000B4E14" w:rsidRDefault="000B4E14" w:rsidP="000B4E14">
            <w:pPr>
              <w:spacing w:before="120" w:after="120" w:line="240" w:lineRule="auto"/>
              <w:rPr>
                <w:rFonts w:ascii="Calibri" w:eastAsia="MS Mincho" w:hAnsi="Calibri" w:cs="Times New Roman"/>
                <w:snapToGrid w:val="0"/>
                <w:lang w:val="en-GB"/>
              </w:rPr>
            </w:pPr>
            <w:bookmarkStart w:id="33" w:name="_Hlk31795662"/>
            <w:r w:rsidRPr="00533BD0">
              <w:rPr>
                <w:rFonts w:ascii="Calibri" w:eastAsia="MS Mincho" w:hAnsi="Calibri" w:cs="Times New Roman"/>
                <w:snapToGrid w:val="0"/>
                <w:lang w:val="en-GB"/>
              </w:rPr>
              <w:t>FOLUR</w:t>
            </w:r>
          </w:p>
          <w:p w14:paraId="2E163239" w14:textId="77777777" w:rsidR="000B4E14" w:rsidRPr="000B4E14" w:rsidRDefault="000B4E14" w:rsidP="000B4E14">
            <w:pPr>
              <w:spacing w:before="120" w:after="120" w:line="240" w:lineRule="auto"/>
              <w:rPr>
                <w:rFonts w:ascii="Calibri" w:eastAsia="MS Mincho" w:hAnsi="Calibri" w:cs="Times New Roman"/>
                <w:snapToGrid w:val="0"/>
                <w:lang w:val="en-GB"/>
              </w:rPr>
            </w:pPr>
          </w:p>
          <w:p w14:paraId="24917572" w14:textId="77777777" w:rsidR="000B4E14" w:rsidRPr="000B4E14" w:rsidRDefault="000B4E14" w:rsidP="000B4E14">
            <w:pPr>
              <w:spacing w:before="120" w:after="120" w:line="240" w:lineRule="auto"/>
              <w:rPr>
                <w:rFonts w:ascii="Calibri" w:eastAsia="MS Mincho" w:hAnsi="Calibri" w:cs="Times New Roman"/>
                <w:snapToGrid w:val="0"/>
                <w:lang w:val="en-GB"/>
              </w:rPr>
            </w:pPr>
          </w:p>
        </w:tc>
        <w:tc>
          <w:tcPr>
            <w:tcW w:w="877" w:type="pct"/>
            <w:shd w:val="clear" w:color="auto" w:fill="auto"/>
            <w:hideMark/>
          </w:tcPr>
          <w:p w14:paraId="4AAA436C" w14:textId="7615E4B3" w:rsidR="000B4E14" w:rsidRPr="000B4E14" w:rsidRDefault="00557A70" w:rsidP="000B4E14">
            <w:pPr>
              <w:spacing w:before="120" w:after="120" w:line="240" w:lineRule="auto"/>
              <w:rPr>
                <w:rFonts w:ascii="Calibri" w:eastAsia="MS Mincho" w:hAnsi="Calibri" w:cs="Times New Roman"/>
                <w:snapToGrid w:val="0"/>
                <w:lang w:val="en-GB"/>
              </w:rPr>
            </w:pPr>
            <w:r>
              <w:rPr>
                <w:rFonts w:ascii="Calibri" w:eastAsia="MS Mincho" w:hAnsi="Calibri" w:cs="Times New Roman"/>
                <w:snapToGrid w:val="0"/>
                <w:lang w:val="en-GB"/>
              </w:rPr>
              <w:t xml:space="preserve">5, </w:t>
            </w:r>
            <w:r w:rsidR="005108B9">
              <w:rPr>
                <w:rFonts w:ascii="Calibri" w:eastAsia="MS Mincho" w:hAnsi="Calibri" w:cs="Times New Roman"/>
                <w:snapToGrid w:val="0"/>
                <w:lang w:val="en-GB"/>
              </w:rPr>
              <w:t>7</w:t>
            </w:r>
            <w:r w:rsidR="005B5CA4">
              <w:rPr>
                <w:rFonts w:ascii="Calibri" w:eastAsia="MS Mincho" w:hAnsi="Calibri" w:cs="Times New Roman"/>
                <w:snapToGrid w:val="0"/>
                <w:lang w:val="en-GB"/>
              </w:rPr>
              <w:t>, 14, 15</w:t>
            </w:r>
          </w:p>
        </w:tc>
        <w:tc>
          <w:tcPr>
            <w:tcW w:w="1008" w:type="pct"/>
            <w:tcBorders>
              <w:top w:val="nil"/>
              <w:left w:val="nil"/>
              <w:bottom w:val="single" w:sz="12" w:space="0" w:color="008000"/>
              <w:right w:val="nil"/>
            </w:tcBorders>
          </w:tcPr>
          <w:p w14:paraId="00E97090" w14:textId="7A637A4C" w:rsidR="000B4E14" w:rsidRPr="000B4E14" w:rsidRDefault="00D4208F" w:rsidP="000B4E14">
            <w:pPr>
              <w:spacing w:before="120" w:after="120" w:line="240" w:lineRule="auto"/>
              <w:rPr>
                <w:rFonts w:ascii="Calibri" w:eastAsia="MS Mincho" w:hAnsi="Calibri" w:cs="Times New Roman"/>
                <w:snapToGrid w:val="0"/>
              </w:rPr>
            </w:pPr>
            <w:r>
              <w:rPr>
                <w:rFonts w:ascii="Calibri" w:eastAsia="MS Mincho" w:hAnsi="Calibri" w:cs="Times New Roman"/>
                <w:snapToGrid w:val="0"/>
              </w:rPr>
              <w:t>281.2</w:t>
            </w:r>
          </w:p>
          <w:p w14:paraId="168FEE20" w14:textId="77777777" w:rsidR="000B4E14" w:rsidRPr="000B4E14" w:rsidRDefault="000B4E14" w:rsidP="000B4E14">
            <w:pPr>
              <w:spacing w:before="120" w:after="120" w:line="240" w:lineRule="auto"/>
              <w:rPr>
                <w:rFonts w:ascii="Calibri" w:eastAsia="MS Mincho" w:hAnsi="Calibri" w:cs="Times New Roman"/>
                <w:snapToGrid w:val="0"/>
                <w:lang w:val="en-GB"/>
              </w:rPr>
            </w:pPr>
          </w:p>
        </w:tc>
        <w:tc>
          <w:tcPr>
            <w:tcW w:w="919" w:type="pct"/>
            <w:tcBorders>
              <w:top w:val="nil"/>
              <w:left w:val="nil"/>
              <w:bottom w:val="single" w:sz="12" w:space="0" w:color="008000"/>
              <w:right w:val="nil"/>
            </w:tcBorders>
          </w:tcPr>
          <w:p w14:paraId="2AAF02BE" w14:textId="02972E63" w:rsidR="000B4E14" w:rsidRPr="000B4E14" w:rsidRDefault="00421945" w:rsidP="000B4E14">
            <w:pPr>
              <w:spacing w:before="120" w:after="120" w:line="240" w:lineRule="auto"/>
              <w:rPr>
                <w:rFonts w:ascii="Calibri" w:eastAsia="MS Mincho" w:hAnsi="Calibri" w:cs="Times New Roman"/>
                <w:snapToGrid w:val="0"/>
                <w:lang w:val="en-GB"/>
              </w:rPr>
            </w:pPr>
            <w:r>
              <w:rPr>
                <w:rFonts w:ascii="Calibri" w:eastAsia="MS Mincho" w:hAnsi="Calibri" w:cs="Times New Roman"/>
                <w:snapToGrid w:val="0"/>
                <w:lang w:val="en-GB"/>
              </w:rPr>
              <w:t>2,5</w:t>
            </w:r>
            <w:r w:rsidR="005737AF">
              <w:rPr>
                <w:rFonts w:ascii="Calibri" w:eastAsia="MS Mincho" w:hAnsi="Calibri" w:cs="Times New Roman"/>
                <w:snapToGrid w:val="0"/>
                <w:lang w:val="en-GB"/>
              </w:rPr>
              <w:t>15.4</w:t>
            </w:r>
          </w:p>
          <w:p w14:paraId="1708EC16" w14:textId="77777777" w:rsidR="000B4E14" w:rsidRPr="000B4E14" w:rsidRDefault="000B4E14" w:rsidP="000B4E14">
            <w:pPr>
              <w:spacing w:before="120" w:after="120" w:line="240" w:lineRule="auto"/>
              <w:rPr>
                <w:rFonts w:ascii="Calibri" w:eastAsia="MS Mincho" w:hAnsi="Calibri" w:cs="Times New Roman"/>
                <w:snapToGrid w:val="0"/>
              </w:rPr>
            </w:pPr>
          </w:p>
        </w:tc>
        <w:tc>
          <w:tcPr>
            <w:tcW w:w="919" w:type="pct"/>
            <w:tcBorders>
              <w:top w:val="nil"/>
              <w:left w:val="nil"/>
              <w:bottom w:val="single" w:sz="12" w:space="0" w:color="008000"/>
              <w:right w:val="nil"/>
            </w:tcBorders>
          </w:tcPr>
          <w:p w14:paraId="70BA6804" w14:textId="6C1EE096" w:rsidR="00331758" w:rsidRDefault="00331758" w:rsidP="000B4E14">
            <w:pPr>
              <w:spacing w:before="120" w:after="120" w:line="240" w:lineRule="auto"/>
              <w:rPr>
                <w:rFonts w:ascii="Calibri" w:eastAsia="MS Mincho" w:hAnsi="Calibri" w:cs="Times New Roman"/>
                <w:snapToGrid w:val="0"/>
                <w:lang w:val="en-GB"/>
              </w:rPr>
            </w:pPr>
            <w:r>
              <w:rPr>
                <w:rFonts w:ascii="Calibri" w:eastAsia="MS Mincho" w:hAnsi="Calibri" w:cs="Times New Roman"/>
                <w:snapToGrid w:val="0"/>
                <w:lang w:val="en-GB"/>
              </w:rPr>
              <w:t>2796.6</w:t>
            </w:r>
          </w:p>
          <w:p w14:paraId="4C55B489" w14:textId="5632649F" w:rsidR="000B4E14" w:rsidRPr="000B4E14" w:rsidRDefault="000B4E14" w:rsidP="000B4E14">
            <w:pPr>
              <w:spacing w:before="120" w:after="120" w:line="240" w:lineRule="auto"/>
              <w:rPr>
                <w:rFonts w:ascii="Calibri" w:eastAsia="MS Mincho" w:hAnsi="Calibri" w:cs="Times New Roman"/>
                <w:snapToGrid w:val="0"/>
                <w:lang w:val="en-GB"/>
              </w:rPr>
            </w:pPr>
          </w:p>
        </w:tc>
      </w:tr>
      <w:bookmarkEnd w:id="33"/>
    </w:tbl>
    <w:p w14:paraId="43E99A34" w14:textId="77777777" w:rsidR="009C781B" w:rsidRDefault="009C781B" w:rsidP="00D30DB1">
      <w:pPr>
        <w:spacing w:before="120" w:after="120" w:line="240" w:lineRule="auto"/>
        <w:rPr>
          <w:rFonts w:ascii="Calibri" w:eastAsia="MS Mincho" w:hAnsi="Calibri" w:cs="Times New Roman"/>
          <w:b/>
          <w:snapToGrid w:val="0"/>
          <w:sz w:val="24"/>
          <w:szCs w:val="24"/>
          <w:u w:val="single"/>
        </w:rPr>
      </w:pPr>
    </w:p>
    <w:p w14:paraId="262F4165" w14:textId="67F9285E" w:rsidR="00F55D58" w:rsidRPr="003E3CE1" w:rsidRDefault="00D30DB1" w:rsidP="00105FB1">
      <w:pPr>
        <w:pStyle w:val="Heading3"/>
        <w:rPr>
          <w:snapToGrid w:val="0"/>
        </w:rPr>
      </w:pPr>
      <w:bookmarkStart w:id="34" w:name="_Toc32494923"/>
      <w:r w:rsidRPr="003E3CE1">
        <w:rPr>
          <w:snapToGrid w:val="0"/>
        </w:rPr>
        <w:lastRenderedPageBreak/>
        <w:t>Sustainable Forest Management</w:t>
      </w:r>
      <w:bookmarkEnd w:id="34"/>
    </w:p>
    <w:p w14:paraId="338355CC" w14:textId="77777777" w:rsidR="00886BF8" w:rsidRDefault="00B37D65"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rPr>
      </w:pPr>
      <w:r w:rsidRPr="00B37D65">
        <w:rPr>
          <w:rFonts w:ascii="Calibri" w:eastAsia="MS Mincho" w:hAnsi="Calibri" w:cs="Times New Roman"/>
          <w:snapToGrid w:val="0"/>
          <w:sz w:val="24"/>
          <w:szCs w:val="24"/>
        </w:rPr>
        <w:t xml:space="preserve">The </w:t>
      </w:r>
      <w:r w:rsidR="00F55D58">
        <w:rPr>
          <w:rFonts w:ascii="Calibri" w:eastAsia="MS Mincho" w:hAnsi="Calibri" w:cs="Times New Roman"/>
          <w:snapToGrid w:val="0"/>
          <w:sz w:val="24"/>
          <w:szCs w:val="24"/>
        </w:rPr>
        <w:t>Sustainable Forest Management (</w:t>
      </w:r>
      <w:r w:rsidRPr="00B37D65">
        <w:rPr>
          <w:rFonts w:ascii="Calibri" w:eastAsia="MS Mincho" w:hAnsi="Calibri" w:cs="Times New Roman"/>
          <w:snapToGrid w:val="0"/>
          <w:sz w:val="24"/>
          <w:szCs w:val="24"/>
        </w:rPr>
        <w:t>SFM</w:t>
      </w:r>
      <w:r w:rsidR="00F55D58">
        <w:rPr>
          <w:rFonts w:ascii="Calibri" w:eastAsia="MS Mincho" w:hAnsi="Calibri" w:cs="Times New Roman"/>
          <w:snapToGrid w:val="0"/>
          <w:sz w:val="24"/>
          <w:szCs w:val="24"/>
        </w:rPr>
        <w:t>)</w:t>
      </w:r>
      <w:r w:rsidRPr="00B37D65">
        <w:rPr>
          <w:rFonts w:ascii="Calibri" w:eastAsia="MS Mincho" w:hAnsi="Calibri" w:cs="Times New Roman"/>
          <w:snapToGrid w:val="0"/>
          <w:sz w:val="24"/>
          <w:szCs w:val="24"/>
        </w:rPr>
        <w:t xml:space="preserve"> I</w:t>
      </w:r>
      <w:r>
        <w:rPr>
          <w:rFonts w:ascii="Calibri" w:eastAsia="MS Mincho" w:hAnsi="Calibri" w:cs="Times New Roman"/>
          <w:snapToGrid w:val="0"/>
          <w:sz w:val="24"/>
          <w:szCs w:val="24"/>
        </w:rPr>
        <w:t xml:space="preserve">mpact Program </w:t>
      </w:r>
      <w:r w:rsidRPr="00B37D65">
        <w:rPr>
          <w:rFonts w:ascii="Calibri" w:eastAsia="MS Mincho" w:hAnsi="Calibri" w:cs="Times New Roman"/>
          <w:snapToGrid w:val="0"/>
          <w:sz w:val="24"/>
          <w:szCs w:val="24"/>
        </w:rPr>
        <w:t>focus</w:t>
      </w:r>
      <w:r>
        <w:rPr>
          <w:rFonts w:ascii="Calibri" w:eastAsia="MS Mincho" w:hAnsi="Calibri" w:cs="Times New Roman"/>
          <w:snapToGrid w:val="0"/>
          <w:sz w:val="24"/>
          <w:szCs w:val="24"/>
        </w:rPr>
        <w:t>es</w:t>
      </w:r>
      <w:r w:rsidRPr="00B37D65">
        <w:rPr>
          <w:rFonts w:ascii="Calibri" w:eastAsia="MS Mincho" w:hAnsi="Calibri" w:cs="Times New Roman"/>
          <w:snapToGrid w:val="0"/>
          <w:sz w:val="24"/>
          <w:szCs w:val="24"/>
        </w:rPr>
        <w:t xml:space="preserve"> on </w:t>
      </w:r>
      <w:r w:rsidR="00636076" w:rsidRPr="00B37D65">
        <w:rPr>
          <w:rFonts w:ascii="Calibri" w:eastAsia="MS Mincho" w:hAnsi="Calibri" w:cs="Times New Roman"/>
          <w:snapToGrid w:val="0"/>
          <w:sz w:val="24"/>
          <w:szCs w:val="24"/>
        </w:rPr>
        <w:t xml:space="preserve">sustainably managing and protecting forests </w:t>
      </w:r>
      <w:r w:rsidR="00636076">
        <w:rPr>
          <w:rFonts w:ascii="Calibri" w:eastAsia="MS Mincho" w:hAnsi="Calibri" w:cs="Times New Roman"/>
          <w:snapToGrid w:val="0"/>
          <w:sz w:val="24"/>
          <w:szCs w:val="24"/>
        </w:rPr>
        <w:t xml:space="preserve">in </w:t>
      </w:r>
      <w:r w:rsidRPr="00B37D65">
        <w:rPr>
          <w:rFonts w:ascii="Calibri" w:eastAsia="MS Mincho" w:hAnsi="Calibri" w:cs="Times New Roman"/>
          <w:snapToGrid w:val="0"/>
          <w:sz w:val="24"/>
          <w:szCs w:val="24"/>
        </w:rPr>
        <w:t>th</w:t>
      </w:r>
      <w:r w:rsidR="00636076">
        <w:rPr>
          <w:rFonts w:ascii="Calibri" w:eastAsia="MS Mincho" w:hAnsi="Calibri" w:cs="Times New Roman"/>
          <w:snapToGrid w:val="0"/>
          <w:sz w:val="24"/>
          <w:szCs w:val="24"/>
        </w:rPr>
        <w:t>ree</w:t>
      </w:r>
      <w:r w:rsidRPr="00B37D65">
        <w:rPr>
          <w:rFonts w:ascii="Calibri" w:eastAsia="MS Mincho" w:hAnsi="Calibri" w:cs="Times New Roman"/>
          <w:snapToGrid w:val="0"/>
          <w:sz w:val="24"/>
          <w:szCs w:val="24"/>
        </w:rPr>
        <w:t xml:space="preserve"> key biomes</w:t>
      </w:r>
      <w:r w:rsidR="00636076">
        <w:rPr>
          <w:rFonts w:ascii="Calibri" w:eastAsia="MS Mincho" w:hAnsi="Calibri" w:cs="Times New Roman"/>
          <w:snapToGrid w:val="0"/>
          <w:sz w:val="24"/>
          <w:szCs w:val="24"/>
        </w:rPr>
        <w:t>: Amazon</w:t>
      </w:r>
      <w:r w:rsidR="00C109F2">
        <w:rPr>
          <w:rFonts w:ascii="Calibri" w:eastAsia="MS Mincho" w:hAnsi="Calibri" w:cs="Times New Roman"/>
          <w:snapToGrid w:val="0"/>
          <w:sz w:val="24"/>
          <w:szCs w:val="24"/>
        </w:rPr>
        <w:t xml:space="preserve"> Basin</w:t>
      </w:r>
      <w:r w:rsidR="00636076">
        <w:rPr>
          <w:rFonts w:ascii="Calibri" w:eastAsia="MS Mincho" w:hAnsi="Calibri" w:cs="Times New Roman"/>
          <w:snapToGrid w:val="0"/>
          <w:sz w:val="24"/>
          <w:szCs w:val="24"/>
        </w:rPr>
        <w:t>, Congo</w:t>
      </w:r>
      <w:r w:rsidR="00C109F2">
        <w:rPr>
          <w:rFonts w:ascii="Calibri" w:eastAsia="MS Mincho" w:hAnsi="Calibri" w:cs="Times New Roman"/>
          <w:snapToGrid w:val="0"/>
          <w:sz w:val="24"/>
          <w:szCs w:val="24"/>
        </w:rPr>
        <w:t xml:space="preserve"> Basin,</w:t>
      </w:r>
      <w:r w:rsidR="00636076">
        <w:rPr>
          <w:rFonts w:ascii="Calibri" w:eastAsia="MS Mincho" w:hAnsi="Calibri" w:cs="Times New Roman"/>
          <w:snapToGrid w:val="0"/>
          <w:sz w:val="24"/>
          <w:szCs w:val="24"/>
        </w:rPr>
        <w:t xml:space="preserve"> and Dryland</w:t>
      </w:r>
      <w:r w:rsidR="00281999">
        <w:rPr>
          <w:rFonts w:ascii="Calibri" w:eastAsia="MS Mincho" w:hAnsi="Calibri" w:cs="Times New Roman"/>
          <w:snapToGrid w:val="0"/>
          <w:sz w:val="24"/>
          <w:szCs w:val="24"/>
        </w:rPr>
        <w:t xml:space="preserve"> forest</w:t>
      </w:r>
      <w:r w:rsidR="00636076">
        <w:rPr>
          <w:rFonts w:ascii="Calibri" w:eastAsia="MS Mincho" w:hAnsi="Calibri" w:cs="Times New Roman"/>
          <w:snapToGrid w:val="0"/>
          <w:sz w:val="24"/>
          <w:szCs w:val="24"/>
        </w:rPr>
        <w:t>s</w:t>
      </w:r>
      <w:r w:rsidRPr="00B37D65">
        <w:rPr>
          <w:rFonts w:ascii="Calibri" w:eastAsia="MS Mincho" w:hAnsi="Calibri" w:cs="Times New Roman"/>
          <w:snapToGrid w:val="0"/>
          <w:sz w:val="24"/>
          <w:szCs w:val="24"/>
        </w:rPr>
        <w:t xml:space="preserve">. The </w:t>
      </w:r>
      <w:r w:rsidR="000F5257">
        <w:rPr>
          <w:rFonts w:ascii="Calibri" w:eastAsia="MS Mincho" w:hAnsi="Calibri" w:cs="Times New Roman"/>
          <w:snapToGrid w:val="0"/>
          <w:sz w:val="24"/>
          <w:szCs w:val="24"/>
        </w:rPr>
        <w:t>project investments seek to</w:t>
      </w:r>
      <w:r w:rsidRPr="00B37D65">
        <w:rPr>
          <w:rFonts w:ascii="Calibri" w:eastAsia="MS Mincho" w:hAnsi="Calibri" w:cs="Times New Roman"/>
          <w:snapToGrid w:val="0"/>
          <w:sz w:val="24"/>
          <w:szCs w:val="24"/>
        </w:rPr>
        <w:t xml:space="preserve"> maintain the ecological integrity of entire biomes as well as ensuring strong regional cross-border coordination. </w:t>
      </w:r>
    </w:p>
    <w:p w14:paraId="4FAA5CD9" w14:textId="507F4C93" w:rsidR="00B37D65" w:rsidRPr="00B37D65" w:rsidRDefault="00B37D65"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rPr>
      </w:pPr>
      <w:r w:rsidRPr="00B37D65">
        <w:rPr>
          <w:rFonts w:ascii="Calibri" w:eastAsia="MS Mincho" w:hAnsi="Calibri" w:cs="Times New Roman"/>
          <w:snapToGrid w:val="0"/>
          <w:sz w:val="24"/>
          <w:szCs w:val="24"/>
        </w:rPr>
        <w:t xml:space="preserve">Past SFM investments were often isolated and mainly focused on integrating SFM principles in land management projects at the project scale only. The SFM </w:t>
      </w:r>
      <w:r w:rsidR="006D0403">
        <w:rPr>
          <w:rFonts w:ascii="Calibri" w:eastAsia="MS Mincho" w:hAnsi="Calibri" w:cs="Times New Roman"/>
          <w:snapToGrid w:val="0"/>
          <w:sz w:val="24"/>
          <w:szCs w:val="24"/>
        </w:rPr>
        <w:t>Impact Program</w:t>
      </w:r>
      <w:r w:rsidRPr="00B37D65">
        <w:rPr>
          <w:rFonts w:ascii="Calibri" w:eastAsia="MS Mincho" w:hAnsi="Calibri" w:cs="Times New Roman"/>
          <w:snapToGrid w:val="0"/>
          <w:sz w:val="24"/>
          <w:szCs w:val="24"/>
        </w:rPr>
        <w:t xml:space="preserve"> address</w:t>
      </w:r>
      <w:r w:rsidR="006D0403">
        <w:rPr>
          <w:rFonts w:ascii="Calibri" w:eastAsia="MS Mincho" w:hAnsi="Calibri" w:cs="Times New Roman"/>
          <w:snapToGrid w:val="0"/>
          <w:sz w:val="24"/>
          <w:szCs w:val="24"/>
        </w:rPr>
        <w:t>es</w:t>
      </w:r>
      <w:r w:rsidRPr="00B37D65">
        <w:rPr>
          <w:rFonts w:ascii="Calibri" w:eastAsia="MS Mincho" w:hAnsi="Calibri" w:cs="Times New Roman"/>
          <w:snapToGrid w:val="0"/>
          <w:sz w:val="24"/>
          <w:szCs w:val="24"/>
        </w:rPr>
        <w:t xml:space="preserve"> the drivers of forest loss and degradation through strategies aimed at creating a better enabling environment for forest governance; supporting rational land use planning across mixed-use landscapes; strengthening the management and financing of protected areas; clarifying land tenure and other relevant policies; supporting the management of commercial and subsistence agriculture lands to reduce pressure on adjoining forests; and utilizing financial mechanisms and incentives for sustainable forest management. </w:t>
      </w:r>
    </w:p>
    <w:p w14:paraId="324C280C" w14:textId="705A2418" w:rsidR="00D30DB1" w:rsidRDefault="00B13AFC"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lang w:val="en-GB"/>
        </w:rPr>
      </w:pPr>
      <w:r w:rsidRPr="00B13AFC">
        <w:rPr>
          <w:rFonts w:ascii="Calibri" w:eastAsia="MS Mincho" w:hAnsi="Calibri" w:cs="Times New Roman"/>
          <w:snapToGrid w:val="0"/>
          <w:sz w:val="24"/>
          <w:szCs w:val="24"/>
          <w:lang w:val="en-GB"/>
        </w:rPr>
        <w:t xml:space="preserve">Table </w:t>
      </w:r>
      <w:r w:rsidR="00355FE3">
        <w:rPr>
          <w:rFonts w:ascii="Calibri" w:eastAsia="MS Mincho" w:hAnsi="Calibri" w:cs="Times New Roman"/>
          <w:snapToGrid w:val="0"/>
          <w:sz w:val="24"/>
          <w:szCs w:val="24"/>
          <w:lang w:val="en-GB"/>
        </w:rPr>
        <w:t>7</w:t>
      </w:r>
      <w:r w:rsidRPr="00B13AFC">
        <w:rPr>
          <w:rFonts w:ascii="Calibri" w:eastAsia="MS Mincho" w:hAnsi="Calibri" w:cs="Times New Roman"/>
          <w:snapToGrid w:val="0"/>
          <w:sz w:val="24"/>
          <w:szCs w:val="24"/>
          <w:lang w:val="en-GB"/>
        </w:rPr>
        <w:t xml:space="preserve"> below depicts the contribution of GEF SFM </w:t>
      </w:r>
      <w:r w:rsidR="00BF0E96">
        <w:rPr>
          <w:rFonts w:ascii="Calibri" w:eastAsia="MS Mincho" w:hAnsi="Calibri" w:cs="Times New Roman"/>
          <w:snapToGrid w:val="0"/>
          <w:sz w:val="24"/>
          <w:szCs w:val="24"/>
          <w:lang w:val="en-GB"/>
        </w:rPr>
        <w:t>I</w:t>
      </w:r>
      <w:r w:rsidR="00886BF8">
        <w:rPr>
          <w:rFonts w:ascii="Calibri" w:eastAsia="MS Mincho" w:hAnsi="Calibri" w:cs="Times New Roman"/>
          <w:snapToGrid w:val="0"/>
          <w:sz w:val="24"/>
          <w:szCs w:val="24"/>
          <w:lang w:val="en-GB"/>
        </w:rPr>
        <w:t>mpact Program</w:t>
      </w:r>
      <w:r w:rsidR="00BF0E96">
        <w:rPr>
          <w:rFonts w:ascii="Calibri" w:eastAsia="MS Mincho" w:hAnsi="Calibri" w:cs="Times New Roman"/>
          <w:snapToGrid w:val="0"/>
          <w:sz w:val="24"/>
          <w:szCs w:val="24"/>
          <w:lang w:val="en-GB"/>
        </w:rPr>
        <w:t xml:space="preserve"> </w:t>
      </w:r>
      <w:r w:rsidRPr="00B13AFC">
        <w:rPr>
          <w:rFonts w:ascii="Calibri" w:eastAsia="MS Mincho" w:hAnsi="Calibri" w:cs="Times New Roman"/>
          <w:snapToGrid w:val="0"/>
          <w:sz w:val="24"/>
          <w:szCs w:val="24"/>
          <w:lang w:val="en-GB"/>
        </w:rPr>
        <w:t>resources to achieving the Aichi Biodiversity Targets as prioritized by countries</w:t>
      </w:r>
      <w:r w:rsidRPr="00E668CB">
        <w:rPr>
          <w:rFonts w:ascii="Calibri" w:eastAsia="MS Mincho" w:hAnsi="Calibri" w:cs="Times New Roman"/>
          <w:snapToGrid w:val="0"/>
          <w:sz w:val="24"/>
          <w:szCs w:val="24"/>
          <w:lang w:val="en-GB"/>
        </w:rPr>
        <w:t>.</w:t>
      </w:r>
      <w:r w:rsidR="007F1D06" w:rsidRPr="00E668CB">
        <w:rPr>
          <w:rFonts w:ascii="Calibri" w:eastAsia="MS Mincho" w:hAnsi="Calibri" w:cs="Times New Roman"/>
          <w:snapToGrid w:val="0"/>
          <w:sz w:val="24"/>
          <w:szCs w:val="24"/>
          <w:lang w:val="en-GB"/>
        </w:rPr>
        <w:t xml:space="preserve">  Of the $2</w:t>
      </w:r>
      <w:r w:rsidR="000272DB" w:rsidRPr="00E668CB">
        <w:rPr>
          <w:rFonts w:ascii="Calibri" w:eastAsia="MS Mincho" w:hAnsi="Calibri" w:cs="Times New Roman"/>
          <w:snapToGrid w:val="0"/>
          <w:sz w:val="24"/>
          <w:szCs w:val="24"/>
          <w:lang w:val="en-GB"/>
        </w:rPr>
        <w:t xml:space="preserve">41.3 </w:t>
      </w:r>
      <w:r w:rsidR="007F1D06" w:rsidRPr="00E668CB">
        <w:rPr>
          <w:rFonts w:ascii="Calibri" w:eastAsia="MS Mincho" w:hAnsi="Calibri" w:cs="Times New Roman"/>
          <w:snapToGrid w:val="0"/>
          <w:sz w:val="24"/>
          <w:szCs w:val="24"/>
          <w:lang w:val="en-GB"/>
        </w:rPr>
        <w:t xml:space="preserve">million of GEF project financing in </w:t>
      </w:r>
      <w:r w:rsidR="00490508" w:rsidRPr="00E668CB">
        <w:rPr>
          <w:rFonts w:ascii="Calibri" w:eastAsia="MS Mincho" w:hAnsi="Calibri" w:cs="Times New Roman"/>
          <w:snapToGrid w:val="0"/>
          <w:sz w:val="24"/>
          <w:szCs w:val="24"/>
          <w:lang w:val="en-GB"/>
        </w:rPr>
        <w:t xml:space="preserve">the </w:t>
      </w:r>
      <w:r w:rsidR="000272DB" w:rsidRPr="00E668CB">
        <w:rPr>
          <w:rFonts w:ascii="Calibri" w:eastAsia="MS Mincho" w:hAnsi="Calibri" w:cs="Times New Roman"/>
          <w:snapToGrid w:val="0"/>
          <w:sz w:val="24"/>
          <w:szCs w:val="24"/>
          <w:lang w:val="en-GB"/>
        </w:rPr>
        <w:t>SFM</w:t>
      </w:r>
      <w:r w:rsidR="00490508" w:rsidRPr="00E668CB">
        <w:rPr>
          <w:rFonts w:ascii="Calibri" w:eastAsia="MS Mincho" w:hAnsi="Calibri" w:cs="Times New Roman"/>
          <w:snapToGrid w:val="0"/>
          <w:sz w:val="24"/>
          <w:szCs w:val="24"/>
          <w:lang w:val="en-GB"/>
        </w:rPr>
        <w:t xml:space="preserve"> IP</w:t>
      </w:r>
      <w:r w:rsidR="007F1D06" w:rsidRPr="00E668CB">
        <w:rPr>
          <w:rFonts w:ascii="Calibri" w:eastAsia="MS Mincho" w:hAnsi="Calibri" w:cs="Times New Roman"/>
          <w:snapToGrid w:val="0"/>
          <w:sz w:val="24"/>
          <w:szCs w:val="24"/>
          <w:lang w:val="en-GB"/>
        </w:rPr>
        <w:t>, $9</w:t>
      </w:r>
      <w:r w:rsidR="00B133C7" w:rsidRPr="00E668CB">
        <w:rPr>
          <w:rFonts w:ascii="Calibri" w:eastAsia="MS Mincho" w:hAnsi="Calibri" w:cs="Times New Roman"/>
          <w:snapToGrid w:val="0"/>
          <w:sz w:val="24"/>
          <w:szCs w:val="24"/>
          <w:lang w:val="en-GB"/>
        </w:rPr>
        <w:t>2</w:t>
      </w:r>
      <w:r w:rsidR="00886BF8" w:rsidRPr="00E668CB">
        <w:rPr>
          <w:rFonts w:ascii="Calibri" w:eastAsia="MS Mincho" w:hAnsi="Calibri" w:cs="Times New Roman"/>
          <w:snapToGrid w:val="0"/>
          <w:sz w:val="24"/>
          <w:szCs w:val="24"/>
          <w:lang w:val="en-GB"/>
        </w:rPr>
        <w:t>.</w:t>
      </w:r>
      <w:r w:rsidR="00F828A9" w:rsidRPr="00E668CB">
        <w:rPr>
          <w:rFonts w:ascii="Calibri" w:eastAsia="MS Mincho" w:hAnsi="Calibri" w:cs="Times New Roman"/>
          <w:snapToGrid w:val="0"/>
          <w:sz w:val="24"/>
          <w:szCs w:val="24"/>
          <w:lang w:val="en-GB"/>
        </w:rPr>
        <w:t>0</w:t>
      </w:r>
      <w:r w:rsidR="007F1D06" w:rsidRPr="00E668CB">
        <w:rPr>
          <w:rFonts w:ascii="Calibri" w:eastAsia="MS Mincho" w:hAnsi="Calibri" w:cs="Times New Roman"/>
          <w:snapToGrid w:val="0"/>
          <w:sz w:val="24"/>
          <w:szCs w:val="24"/>
          <w:lang w:val="en-GB"/>
        </w:rPr>
        <w:t xml:space="preserve"> million came from the biodiversity focal area</w:t>
      </w:r>
      <w:r w:rsidR="00D144ED" w:rsidRPr="00E668CB">
        <w:rPr>
          <w:rFonts w:ascii="Calibri" w:eastAsia="MS Mincho" w:hAnsi="Calibri" w:cs="Times New Roman"/>
          <w:snapToGrid w:val="0"/>
          <w:sz w:val="24"/>
          <w:szCs w:val="24"/>
          <w:lang w:val="en-GB"/>
        </w:rPr>
        <w:t xml:space="preserve"> allocations under the STAR.</w:t>
      </w:r>
    </w:p>
    <w:p w14:paraId="2EA92728" w14:textId="198B9FEA" w:rsidR="00D30DB1" w:rsidRPr="00D30DB1" w:rsidRDefault="00D30DB1" w:rsidP="00D722AE">
      <w:pPr>
        <w:spacing w:before="240" w:after="240" w:line="240" w:lineRule="auto"/>
        <w:jc w:val="center"/>
        <w:rPr>
          <w:rFonts w:ascii="Calibri" w:eastAsia="MS Mincho" w:hAnsi="Calibri" w:cs="Times New Roman"/>
          <w:b/>
          <w:snapToGrid w:val="0"/>
          <w:sz w:val="24"/>
          <w:szCs w:val="24"/>
        </w:rPr>
      </w:pPr>
      <w:bookmarkStart w:id="35" w:name="_Hlk508978256"/>
      <w:r w:rsidRPr="00D30DB1">
        <w:rPr>
          <w:rFonts w:ascii="Calibri" w:eastAsia="MS Mincho" w:hAnsi="Calibri" w:cs="Times New Roman"/>
          <w:b/>
          <w:snapToGrid w:val="0"/>
          <w:sz w:val="24"/>
          <w:szCs w:val="24"/>
          <w:lang w:val="en-GB"/>
        </w:rPr>
        <w:t xml:space="preserve">Table </w:t>
      </w:r>
      <w:r w:rsidR="00355FE3">
        <w:rPr>
          <w:rFonts w:ascii="Calibri" w:eastAsia="MS Mincho" w:hAnsi="Calibri" w:cs="Times New Roman"/>
          <w:b/>
          <w:snapToGrid w:val="0"/>
          <w:sz w:val="24"/>
          <w:szCs w:val="24"/>
          <w:lang w:val="en-GB"/>
        </w:rPr>
        <w:t>7</w:t>
      </w:r>
      <w:r w:rsidRPr="00D30DB1">
        <w:rPr>
          <w:rFonts w:ascii="Calibri" w:eastAsia="MS Mincho" w:hAnsi="Calibri" w:cs="Times New Roman"/>
          <w:b/>
          <w:snapToGrid w:val="0"/>
          <w:sz w:val="24"/>
          <w:szCs w:val="24"/>
          <w:lang w:val="en-GB"/>
        </w:rPr>
        <w:t xml:space="preserve">. </w:t>
      </w:r>
      <w:r w:rsidRPr="00D30DB1">
        <w:rPr>
          <w:rFonts w:ascii="Calibri" w:eastAsia="MS Mincho" w:hAnsi="Calibri" w:cs="Times New Roman"/>
          <w:b/>
          <w:snapToGrid w:val="0"/>
          <w:sz w:val="24"/>
          <w:szCs w:val="24"/>
        </w:rPr>
        <w:t>Cumulative Distribution of GEF</w:t>
      </w:r>
      <w:r w:rsidR="007A4C6F">
        <w:rPr>
          <w:rFonts w:ascii="Calibri" w:eastAsia="MS Mincho" w:hAnsi="Calibri" w:cs="Times New Roman"/>
          <w:b/>
          <w:snapToGrid w:val="0"/>
          <w:sz w:val="24"/>
          <w:szCs w:val="24"/>
        </w:rPr>
        <w:t>-7</w:t>
      </w:r>
      <w:r w:rsidRPr="00D30DB1">
        <w:rPr>
          <w:rFonts w:ascii="Calibri" w:eastAsia="MS Mincho" w:hAnsi="Calibri" w:cs="Times New Roman"/>
          <w:b/>
          <w:snapToGrid w:val="0"/>
          <w:sz w:val="24"/>
          <w:szCs w:val="24"/>
        </w:rPr>
        <w:t xml:space="preserve"> Resources by SFM </w:t>
      </w:r>
      <w:r w:rsidR="00402BF2">
        <w:rPr>
          <w:rFonts w:ascii="Calibri" w:eastAsia="MS Mincho" w:hAnsi="Calibri" w:cs="Times New Roman"/>
          <w:b/>
          <w:snapToGrid w:val="0"/>
          <w:sz w:val="24"/>
          <w:szCs w:val="24"/>
        </w:rPr>
        <w:t>Impact Programs</w:t>
      </w:r>
      <w:r w:rsidRPr="00D30DB1">
        <w:rPr>
          <w:rFonts w:ascii="Calibri" w:eastAsia="MS Mincho" w:hAnsi="Calibri" w:cs="Times New Roman"/>
          <w:b/>
          <w:snapToGrid w:val="0"/>
          <w:sz w:val="24"/>
          <w:szCs w:val="24"/>
        </w:rPr>
        <w:t xml:space="preserve"> </w:t>
      </w:r>
      <w:r w:rsidRPr="00D30DB1">
        <w:rPr>
          <w:rFonts w:ascii="Calibri" w:eastAsia="MS Mincho" w:hAnsi="Calibri" w:cs="Times New Roman"/>
          <w:b/>
          <w:snapToGrid w:val="0"/>
          <w:sz w:val="24"/>
          <w:szCs w:val="24"/>
          <w:lang w:val="en-GB"/>
        </w:rPr>
        <w:t>and contributions to achieving</w:t>
      </w:r>
      <w:r w:rsidRPr="00D30DB1">
        <w:rPr>
          <w:rFonts w:ascii="Calibri" w:eastAsia="MS Mincho" w:hAnsi="Calibri" w:cs="Times New Roman"/>
          <w:b/>
          <w:snapToGrid w:val="0"/>
          <w:sz w:val="24"/>
          <w:szCs w:val="24"/>
        </w:rPr>
        <w:t xml:space="preserve"> the Aichi Biodiversity Targets during the Reporting Period </w:t>
      </w:r>
      <w:r w:rsidRPr="00D30DB1">
        <w:rPr>
          <w:rFonts w:ascii="Calibri" w:eastAsia="MS Mincho" w:hAnsi="Calibri" w:cs="Angsana New"/>
          <w:b/>
          <w:snapToGrid w:val="0"/>
          <w:sz w:val="24"/>
          <w:szCs w:val="24"/>
          <w:lang w:val="en-GB"/>
        </w:rPr>
        <w:t>(July 1, 201</w:t>
      </w:r>
      <w:r w:rsidR="00C9363D">
        <w:rPr>
          <w:rFonts w:ascii="Calibri" w:eastAsia="MS Mincho" w:hAnsi="Calibri" w:cs="Angsana New"/>
          <w:b/>
          <w:snapToGrid w:val="0"/>
          <w:sz w:val="24"/>
          <w:szCs w:val="24"/>
          <w:lang w:val="en-GB"/>
        </w:rPr>
        <w:t>8</w:t>
      </w:r>
      <w:r w:rsidRPr="00D30DB1">
        <w:rPr>
          <w:rFonts w:ascii="Calibri" w:eastAsia="MS Mincho" w:hAnsi="Calibri" w:cs="Angsana New"/>
          <w:b/>
          <w:snapToGrid w:val="0"/>
          <w:sz w:val="24"/>
          <w:szCs w:val="24"/>
          <w:lang w:val="en-GB"/>
        </w:rPr>
        <w:t xml:space="preserve"> to </w:t>
      </w:r>
      <w:r w:rsidR="00C9363D">
        <w:rPr>
          <w:rFonts w:ascii="Calibri" w:eastAsia="MS Mincho" w:hAnsi="Calibri" w:cs="Angsana New"/>
          <w:b/>
          <w:snapToGrid w:val="0"/>
          <w:sz w:val="24"/>
          <w:szCs w:val="24"/>
          <w:lang w:val="en-GB"/>
        </w:rPr>
        <w:t>December 31, 2019</w:t>
      </w:r>
      <w:r w:rsidRPr="00D30DB1">
        <w:rPr>
          <w:rFonts w:ascii="Calibri" w:eastAsia="MS Mincho" w:hAnsi="Calibri" w:cs="Angsana New"/>
          <w:b/>
          <w:snapToGrid w:val="0"/>
          <w:sz w:val="24"/>
          <w:szCs w:val="24"/>
          <w:lang w:val="en-GB"/>
        </w:rPr>
        <w:t>)</w:t>
      </w:r>
      <w:r w:rsidRPr="00D30DB1">
        <w:rPr>
          <w:rFonts w:ascii="Calibri" w:eastAsia="MS Mincho" w:hAnsi="Calibri" w:cs="Times New Roman"/>
          <w:snapToGrid w:val="0"/>
          <w:sz w:val="24"/>
          <w:szCs w:val="24"/>
          <w:vertAlign w:val="superscript"/>
        </w:rPr>
        <w:footnoteReference w:id="12"/>
      </w:r>
    </w:p>
    <w:tbl>
      <w:tblPr>
        <w:tblW w:w="4997" w:type="pct"/>
        <w:tblBorders>
          <w:top w:val="single" w:sz="12" w:space="0" w:color="008000"/>
          <w:bottom w:val="single" w:sz="12" w:space="0" w:color="008000"/>
        </w:tblBorders>
        <w:tblLook w:val="04A0" w:firstRow="1" w:lastRow="0" w:firstColumn="1" w:lastColumn="0" w:noHBand="0" w:noVBand="1"/>
      </w:tblPr>
      <w:tblGrid>
        <w:gridCol w:w="3092"/>
        <w:gridCol w:w="1671"/>
        <w:gridCol w:w="1583"/>
        <w:gridCol w:w="1289"/>
        <w:gridCol w:w="1719"/>
      </w:tblGrid>
      <w:tr w:rsidR="00D30DB1" w:rsidRPr="00D30DB1" w14:paraId="537CF1CC" w14:textId="77777777" w:rsidTr="008354E6">
        <w:trPr>
          <w:trHeight w:val="570"/>
        </w:trPr>
        <w:tc>
          <w:tcPr>
            <w:tcW w:w="1653" w:type="pct"/>
            <w:tcBorders>
              <w:bottom w:val="single" w:sz="6" w:space="0" w:color="008000"/>
            </w:tcBorders>
            <w:shd w:val="clear" w:color="auto" w:fill="auto"/>
            <w:hideMark/>
          </w:tcPr>
          <w:p w14:paraId="2A4FF85C" w14:textId="6475AB26" w:rsidR="00D30DB1" w:rsidRPr="00045526" w:rsidRDefault="00D30DB1" w:rsidP="00D30DB1">
            <w:pPr>
              <w:spacing w:after="0" w:line="240" w:lineRule="auto"/>
              <w:rPr>
                <w:rFonts w:ascii="Calibri" w:eastAsia="Times New Roman" w:hAnsi="Calibri" w:cs="Times New Roman"/>
                <w:b/>
                <w:bCs/>
                <w:color w:val="000000"/>
                <w:lang w:val="en-GB"/>
              </w:rPr>
            </w:pPr>
            <w:r w:rsidRPr="00045526">
              <w:rPr>
                <w:rFonts w:ascii="Calibri" w:eastAsia="Times New Roman" w:hAnsi="Calibri" w:cs="Times New Roman"/>
                <w:b/>
                <w:bCs/>
                <w:color w:val="000000"/>
                <w:lang w:val="en-GB"/>
              </w:rPr>
              <w:t xml:space="preserve">SFM </w:t>
            </w:r>
            <w:r w:rsidR="002855CD" w:rsidRPr="00045526">
              <w:rPr>
                <w:rFonts w:ascii="Calibri" w:eastAsia="Times New Roman" w:hAnsi="Calibri" w:cs="Times New Roman"/>
                <w:b/>
                <w:bCs/>
                <w:color w:val="000000"/>
                <w:lang w:val="en-GB"/>
              </w:rPr>
              <w:t>Impact Programs</w:t>
            </w:r>
            <w:r w:rsidRPr="00045526">
              <w:rPr>
                <w:rFonts w:ascii="Calibri" w:eastAsia="Times New Roman" w:hAnsi="Calibri" w:cs="Times New Roman"/>
                <w:b/>
                <w:bCs/>
                <w:color w:val="000000"/>
                <w:lang w:val="en-GB"/>
              </w:rPr>
              <w:t xml:space="preserve"> </w:t>
            </w:r>
          </w:p>
        </w:tc>
        <w:tc>
          <w:tcPr>
            <w:tcW w:w="893" w:type="pct"/>
            <w:tcBorders>
              <w:bottom w:val="single" w:sz="6" w:space="0" w:color="008000"/>
            </w:tcBorders>
            <w:shd w:val="clear" w:color="auto" w:fill="auto"/>
            <w:hideMark/>
          </w:tcPr>
          <w:p w14:paraId="58F79831" w14:textId="77777777" w:rsidR="00D30DB1" w:rsidRPr="00045526" w:rsidRDefault="00D30DB1" w:rsidP="00D30DB1">
            <w:pPr>
              <w:spacing w:after="0" w:line="240" w:lineRule="auto"/>
              <w:rPr>
                <w:rFonts w:ascii="Calibri" w:eastAsia="Times New Roman" w:hAnsi="Calibri" w:cs="Times New Roman"/>
                <w:b/>
                <w:bCs/>
                <w:color w:val="000000"/>
                <w:lang w:val="en-GB"/>
              </w:rPr>
            </w:pPr>
            <w:r w:rsidRPr="00045526">
              <w:rPr>
                <w:rFonts w:ascii="Calibri" w:eastAsia="Times New Roman" w:hAnsi="Calibri" w:cs="Times New Roman"/>
                <w:b/>
                <w:bCs/>
                <w:color w:val="000000"/>
                <w:lang w:val="en-GB"/>
              </w:rPr>
              <w:t>Aichi Biodiversity Targets</w:t>
            </w:r>
          </w:p>
        </w:tc>
        <w:tc>
          <w:tcPr>
            <w:tcW w:w="846" w:type="pct"/>
            <w:tcBorders>
              <w:bottom w:val="single" w:sz="6" w:space="0" w:color="008000"/>
            </w:tcBorders>
            <w:shd w:val="clear" w:color="auto" w:fill="auto"/>
          </w:tcPr>
          <w:p w14:paraId="2D96878A" w14:textId="5A622BB8" w:rsidR="00D30DB1" w:rsidRPr="00045526" w:rsidRDefault="00D30DB1" w:rsidP="00D30DB1">
            <w:pPr>
              <w:spacing w:after="0" w:line="240" w:lineRule="auto"/>
              <w:rPr>
                <w:rFonts w:ascii="Calibri" w:eastAsia="Times New Roman" w:hAnsi="Calibri" w:cs="Times New Roman"/>
                <w:b/>
                <w:bCs/>
                <w:color w:val="000000"/>
                <w:lang w:val="en-GB"/>
              </w:rPr>
            </w:pPr>
            <w:r w:rsidRPr="00045526">
              <w:rPr>
                <w:rFonts w:ascii="Calibri" w:eastAsia="Times New Roman" w:hAnsi="Calibri" w:cs="Times New Roman"/>
                <w:b/>
                <w:bCs/>
                <w:color w:val="000000"/>
                <w:lang w:val="en-GB"/>
              </w:rPr>
              <w:t xml:space="preserve">GEF Project </w:t>
            </w:r>
            <w:r w:rsidR="00F55D58">
              <w:rPr>
                <w:rFonts w:ascii="Calibri" w:eastAsia="Times New Roman" w:hAnsi="Calibri" w:cs="Times New Roman"/>
                <w:b/>
                <w:bCs/>
                <w:color w:val="000000"/>
                <w:lang w:val="en-GB"/>
              </w:rPr>
              <w:t xml:space="preserve">Financing </w:t>
            </w:r>
            <w:r w:rsidR="00694FF9">
              <w:rPr>
                <w:rFonts w:ascii="Calibri" w:eastAsia="Times New Roman" w:hAnsi="Calibri" w:cs="Times New Roman"/>
                <w:b/>
                <w:bCs/>
                <w:color w:val="000000"/>
                <w:lang w:val="en-GB"/>
              </w:rPr>
              <w:br/>
            </w:r>
            <w:r w:rsidRPr="00045526">
              <w:rPr>
                <w:rFonts w:ascii="Calibri" w:eastAsia="Times New Roman" w:hAnsi="Calibri" w:cs="Times New Roman"/>
                <w:b/>
                <w:bCs/>
                <w:color w:val="000000"/>
                <w:lang w:val="en-GB"/>
              </w:rPr>
              <w:t>($ million)</w:t>
            </w:r>
          </w:p>
        </w:tc>
        <w:tc>
          <w:tcPr>
            <w:tcW w:w="689" w:type="pct"/>
            <w:tcBorders>
              <w:bottom w:val="single" w:sz="6" w:space="0" w:color="008000"/>
            </w:tcBorders>
            <w:shd w:val="clear" w:color="auto" w:fill="auto"/>
            <w:hideMark/>
          </w:tcPr>
          <w:p w14:paraId="02DA76A7" w14:textId="2640353B" w:rsidR="00D30DB1" w:rsidRPr="00045526" w:rsidRDefault="002D582B" w:rsidP="00D30DB1">
            <w:pPr>
              <w:spacing w:after="0" w:line="240" w:lineRule="auto"/>
              <w:rPr>
                <w:rFonts w:ascii="Calibri" w:eastAsia="Times New Roman" w:hAnsi="Calibri" w:cs="Times New Roman"/>
                <w:b/>
                <w:bCs/>
                <w:color w:val="000000"/>
                <w:lang w:val="en-GB"/>
              </w:rPr>
            </w:pPr>
            <w:r>
              <w:rPr>
                <w:rFonts w:ascii="Calibri" w:eastAsia="Times New Roman" w:hAnsi="Calibri" w:cs="Times New Roman"/>
                <w:b/>
                <w:bCs/>
                <w:color w:val="000000"/>
                <w:lang w:val="en-GB"/>
              </w:rPr>
              <w:t>Co-financing</w:t>
            </w:r>
            <w:r w:rsidR="00D30DB1" w:rsidRPr="00045526">
              <w:rPr>
                <w:rFonts w:ascii="Calibri" w:eastAsia="Times New Roman" w:hAnsi="Calibri" w:cs="Times New Roman"/>
                <w:b/>
                <w:bCs/>
                <w:color w:val="000000"/>
                <w:lang w:val="en-GB"/>
              </w:rPr>
              <w:t xml:space="preserve"> </w:t>
            </w:r>
          </w:p>
          <w:p w14:paraId="12069D04" w14:textId="77777777" w:rsidR="00D30DB1" w:rsidRPr="00045526" w:rsidRDefault="00D30DB1" w:rsidP="00D30DB1">
            <w:pPr>
              <w:spacing w:after="0" w:line="240" w:lineRule="auto"/>
              <w:rPr>
                <w:rFonts w:ascii="Calibri" w:eastAsia="Times New Roman" w:hAnsi="Calibri" w:cs="Times New Roman"/>
                <w:b/>
                <w:bCs/>
                <w:color w:val="000000"/>
                <w:lang w:val="en-GB"/>
              </w:rPr>
            </w:pPr>
            <w:r w:rsidRPr="00045526">
              <w:rPr>
                <w:rFonts w:ascii="Calibri" w:eastAsia="Times New Roman" w:hAnsi="Calibri" w:cs="Times New Roman"/>
                <w:b/>
                <w:bCs/>
                <w:color w:val="000000"/>
                <w:lang w:val="en-GB"/>
              </w:rPr>
              <w:t xml:space="preserve">($ million) </w:t>
            </w:r>
          </w:p>
        </w:tc>
        <w:tc>
          <w:tcPr>
            <w:tcW w:w="919" w:type="pct"/>
            <w:tcBorders>
              <w:bottom w:val="single" w:sz="6" w:space="0" w:color="008000"/>
            </w:tcBorders>
            <w:shd w:val="clear" w:color="auto" w:fill="auto"/>
          </w:tcPr>
          <w:p w14:paraId="22C26CB6" w14:textId="1BA14576" w:rsidR="00D30DB1" w:rsidRPr="00045526" w:rsidRDefault="00D30DB1" w:rsidP="00D30DB1">
            <w:pPr>
              <w:spacing w:after="0" w:line="240" w:lineRule="auto"/>
              <w:rPr>
                <w:rFonts w:ascii="Calibri" w:eastAsia="Times New Roman" w:hAnsi="Calibri" w:cs="Times New Roman"/>
                <w:b/>
                <w:bCs/>
                <w:color w:val="000000"/>
                <w:lang w:val="en-GB"/>
              </w:rPr>
            </w:pPr>
            <w:r w:rsidRPr="00045526">
              <w:rPr>
                <w:rFonts w:ascii="Calibri" w:eastAsia="Times New Roman" w:hAnsi="Calibri" w:cs="Times New Roman"/>
                <w:b/>
                <w:bCs/>
                <w:color w:val="000000"/>
                <w:lang w:val="en-GB"/>
              </w:rPr>
              <w:t xml:space="preserve">Total </w:t>
            </w:r>
            <w:r w:rsidR="00694FF9">
              <w:rPr>
                <w:rFonts w:ascii="Calibri" w:eastAsia="Times New Roman" w:hAnsi="Calibri" w:cs="Times New Roman"/>
                <w:b/>
                <w:bCs/>
                <w:color w:val="000000"/>
                <w:lang w:val="en-GB"/>
              </w:rPr>
              <w:t>R</w:t>
            </w:r>
            <w:r w:rsidRPr="00045526">
              <w:rPr>
                <w:rFonts w:ascii="Calibri" w:eastAsia="Times New Roman" w:hAnsi="Calibri" w:cs="Times New Roman"/>
                <w:b/>
                <w:bCs/>
                <w:color w:val="000000"/>
                <w:lang w:val="en-GB"/>
              </w:rPr>
              <w:t xml:space="preserve">esources </w:t>
            </w:r>
          </w:p>
          <w:p w14:paraId="17D14CD3" w14:textId="77777777" w:rsidR="00D30DB1" w:rsidRPr="00045526" w:rsidRDefault="00D30DB1" w:rsidP="00D30DB1">
            <w:pPr>
              <w:spacing w:after="0" w:line="240" w:lineRule="auto"/>
              <w:rPr>
                <w:rFonts w:ascii="Calibri" w:eastAsia="Times New Roman" w:hAnsi="Calibri" w:cs="Times New Roman"/>
                <w:b/>
                <w:bCs/>
                <w:color w:val="000000"/>
                <w:lang w:val="en-GB"/>
              </w:rPr>
            </w:pPr>
            <w:r w:rsidRPr="00045526">
              <w:rPr>
                <w:rFonts w:ascii="Calibri" w:eastAsia="Times New Roman" w:hAnsi="Calibri" w:cs="Times New Roman"/>
                <w:b/>
                <w:bCs/>
                <w:color w:val="000000"/>
                <w:lang w:val="en-GB"/>
              </w:rPr>
              <w:t>($ million)</w:t>
            </w:r>
          </w:p>
        </w:tc>
      </w:tr>
      <w:tr w:rsidR="00D30DB1" w:rsidRPr="00D30DB1" w14:paraId="080A45B9" w14:textId="77777777" w:rsidTr="008354E6">
        <w:trPr>
          <w:trHeight w:val="600"/>
        </w:trPr>
        <w:tc>
          <w:tcPr>
            <w:tcW w:w="1653" w:type="pct"/>
            <w:shd w:val="clear" w:color="auto" w:fill="auto"/>
          </w:tcPr>
          <w:p w14:paraId="2CF689E5" w14:textId="77777777" w:rsidR="00D30DB1" w:rsidRPr="00045526" w:rsidRDefault="00D30DB1" w:rsidP="002855CD">
            <w:pPr>
              <w:spacing w:after="0" w:line="240" w:lineRule="auto"/>
              <w:rPr>
                <w:rFonts w:ascii="Calibri" w:eastAsia="Times New Roman" w:hAnsi="Calibri" w:cs="Times New Roman"/>
                <w:color w:val="000000"/>
                <w:lang w:val="en-GB"/>
              </w:rPr>
            </w:pPr>
          </w:p>
          <w:p w14:paraId="12225255" w14:textId="46F06937" w:rsidR="002855CD" w:rsidRPr="00045526" w:rsidRDefault="002855CD" w:rsidP="002855CD">
            <w:pPr>
              <w:spacing w:after="0" w:line="240" w:lineRule="auto"/>
              <w:rPr>
                <w:rFonts w:ascii="Calibri" w:eastAsia="Times New Roman" w:hAnsi="Calibri" w:cs="Times New Roman"/>
                <w:color w:val="000000"/>
                <w:lang w:val="en-GB"/>
              </w:rPr>
            </w:pPr>
            <w:r w:rsidRPr="00045526">
              <w:rPr>
                <w:rFonts w:ascii="Calibri" w:eastAsia="Times New Roman" w:hAnsi="Calibri" w:cs="Times New Roman"/>
                <w:color w:val="000000"/>
                <w:lang w:val="en-GB"/>
              </w:rPr>
              <w:t>Amazon Sustainable Landscapes Program</w:t>
            </w:r>
          </w:p>
        </w:tc>
        <w:tc>
          <w:tcPr>
            <w:tcW w:w="893" w:type="pct"/>
            <w:shd w:val="clear" w:color="auto" w:fill="auto"/>
            <w:hideMark/>
          </w:tcPr>
          <w:p w14:paraId="49BD4871" w14:textId="77777777" w:rsidR="00D30DB1" w:rsidRPr="00045526" w:rsidRDefault="00D30DB1" w:rsidP="00AA3F32">
            <w:pPr>
              <w:spacing w:after="0" w:line="240" w:lineRule="auto"/>
              <w:rPr>
                <w:rFonts w:ascii="Calibri" w:eastAsia="Times New Roman" w:hAnsi="Calibri" w:cs="Times New Roman"/>
                <w:color w:val="000000"/>
                <w:lang w:val="en-GB"/>
              </w:rPr>
            </w:pPr>
          </w:p>
          <w:p w14:paraId="7D90EE6A" w14:textId="7E802C71" w:rsidR="00D30DB1" w:rsidRPr="00045526" w:rsidRDefault="002855CD" w:rsidP="00D30DB1">
            <w:pPr>
              <w:spacing w:after="0" w:line="240" w:lineRule="auto"/>
              <w:jc w:val="both"/>
              <w:rPr>
                <w:rFonts w:ascii="Calibri" w:eastAsia="Times New Roman" w:hAnsi="Calibri" w:cs="Times New Roman"/>
                <w:color w:val="000000"/>
                <w:lang w:val="en-GB"/>
              </w:rPr>
            </w:pPr>
            <w:r w:rsidRPr="00045526">
              <w:rPr>
                <w:rFonts w:ascii="Calibri" w:eastAsia="Times New Roman" w:hAnsi="Calibri" w:cs="Times New Roman"/>
                <w:color w:val="000000"/>
                <w:lang w:val="en-GB"/>
              </w:rPr>
              <w:t>7,</w:t>
            </w:r>
            <w:r w:rsidR="00694FF9">
              <w:rPr>
                <w:rFonts w:ascii="Calibri" w:eastAsia="Times New Roman" w:hAnsi="Calibri" w:cs="Times New Roman"/>
                <w:color w:val="000000"/>
                <w:lang w:val="en-GB"/>
              </w:rPr>
              <w:t xml:space="preserve"> </w:t>
            </w:r>
            <w:r w:rsidRPr="00045526">
              <w:rPr>
                <w:rFonts w:ascii="Calibri" w:eastAsia="Times New Roman" w:hAnsi="Calibri" w:cs="Times New Roman"/>
                <w:color w:val="000000"/>
                <w:lang w:val="en-GB"/>
              </w:rPr>
              <w:t>11, 14, 15 and 19</w:t>
            </w:r>
          </w:p>
        </w:tc>
        <w:tc>
          <w:tcPr>
            <w:tcW w:w="846" w:type="pct"/>
            <w:shd w:val="clear" w:color="auto" w:fill="auto"/>
          </w:tcPr>
          <w:p w14:paraId="3C1750C5" w14:textId="77777777" w:rsidR="00D30DB1" w:rsidRPr="00045526" w:rsidRDefault="00D30DB1" w:rsidP="00D30DB1">
            <w:pPr>
              <w:spacing w:after="0" w:line="240" w:lineRule="auto"/>
              <w:rPr>
                <w:rFonts w:ascii="Calibri" w:eastAsia="MS Mincho" w:hAnsi="Calibri" w:cs="Calibri"/>
                <w:color w:val="000000"/>
                <w:lang w:val="en-GB"/>
              </w:rPr>
            </w:pPr>
          </w:p>
          <w:p w14:paraId="65825D92" w14:textId="02E7A009" w:rsidR="00D30DB1" w:rsidRPr="00045526" w:rsidRDefault="001C2D09" w:rsidP="00D30DB1">
            <w:pPr>
              <w:spacing w:after="0" w:line="240" w:lineRule="auto"/>
              <w:rPr>
                <w:rFonts w:ascii="Calibri" w:eastAsia="MS Mincho" w:hAnsi="Calibri" w:cs="Calibri"/>
                <w:color w:val="000000"/>
                <w:lang w:val="en-GB"/>
              </w:rPr>
            </w:pPr>
            <w:r>
              <w:rPr>
                <w:rFonts w:ascii="Calibri" w:eastAsia="MS Mincho" w:hAnsi="Calibri" w:cs="Calibri"/>
                <w:color w:val="000000"/>
                <w:lang w:val="en-GB"/>
              </w:rPr>
              <w:t>88.3</w:t>
            </w:r>
          </w:p>
        </w:tc>
        <w:tc>
          <w:tcPr>
            <w:tcW w:w="689" w:type="pct"/>
            <w:shd w:val="clear" w:color="auto" w:fill="auto"/>
          </w:tcPr>
          <w:p w14:paraId="554C993B" w14:textId="2BE27567" w:rsidR="00D30DB1" w:rsidRPr="00045526" w:rsidRDefault="00D30DB1" w:rsidP="00D30DB1">
            <w:pPr>
              <w:spacing w:after="0" w:line="240" w:lineRule="auto"/>
              <w:rPr>
                <w:rFonts w:ascii="Calibri" w:eastAsia="MS Mincho" w:hAnsi="Calibri" w:cs="Calibri"/>
                <w:color w:val="000000"/>
                <w:lang w:val="en-GB"/>
              </w:rPr>
            </w:pPr>
          </w:p>
          <w:p w14:paraId="2E8CA71D" w14:textId="2AF16019" w:rsidR="00D30DB1" w:rsidRDefault="00DE0ABC" w:rsidP="00D30DB1">
            <w:pPr>
              <w:spacing w:after="0" w:line="240" w:lineRule="auto"/>
              <w:rPr>
                <w:rFonts w:ascii="Calibri" w:eastAsia="MS Mincho" w:hAnsi="Calibri" w:cs="Calibri"/>
                <w:color w:val="000000"/>
                <w:lang w:val="en-GB"/>
              </w:rPr>
            </w:pPr>
            <w:r>
              <w:rPr>
                <w:rFonts w:ascii="Calibri" w:eastAsia="MS Mincho" w:hAnsi="Calibri" w:cs="Calibri"/>
                <w:color w:val="000000"/>
                <w:lang w:val="en-GB"/>
              </w:rPr>
              <w:t>509.5</w:t>
            </w:r>
          </w:p>
          <w:p w14:paraId="769F5B8D" w14:textId="0AF33032" w:rsidR="001C2D09" w:rsidRPr="00045526" w:rsidRDefault="001C2D09" w:rsidP="00D30DB1">
            <w:pPr>
              <w:spacing w:after="0" w:line="240" w:lineRule="auto"/>
              <w:rPr>
                <w:rFonts w:ascii="Calibri" w:eastAsia="MS Mincho" w:hAnsi="Calibri" w:cs="Calibri"/>
                <w:color w:val="000000"/>
                <w:lang w:val="en-GB"/>
              </w:rPr>
            </w:pPr>
          </w:p>
        </w:tc>
        <w:tc>
          <w:tcPr>
            <w:tcW w:w="919" w:type="pct"/>
            <w:shd w:val="clear" w:color="auto" w:fill="auto"/>
          </w:tcPr>
          <w:p w14:paraId="321BE0EF" w14:textId="3E2823B0" w:rsidR="00D30DB1" w:rsidRPr="00045526" w:rsidRDefault="00D30DB1" w:rsidP="002855CD">
            <w:pPr>
              <w:spacing w:after="0" w:line="240" w:lineRule="auto"/>
              <w:rPr>
                <w:rFonts w:ascii="Calibri" w:eastAsia="MS Mincho" w:hAnsi="Calibri" w:cs="Angsana New"/>
                <w:color w:val="000000"/>
                <w:lang w:val="en-GB"/>
              </w:rPr>
            </w:pPr>
          </w:p>
          <w:p w14:paraId="7291044B" w14:textId="10854BA9" w:rsidR="00D30DB1" w:rsidRPr="00045526" w:rsidRDefault="006274BC" w:rsidP="00D30DB1">
            <w:pPr>
              <w:spacing w:after="0" w:line="240" w:lineRule="auto"/>
              <w:jc w:val="center"/>
              <w:rPr>
                <w:rFonts w:ascii="Calibri" w:eastAsia="MS Mincho" w:hAnsi="Calibri" w:cs="Angsana New"/>
                <w:color w:val="000000"/>
                <w:lang w:val="en-GB"/>
              </w:rPr>
            </w:pPr>
            <w:r>
              <w:rPr>
                <w:rFonts w:ascii="Calibri" w:eastAsia="MS Mincho" w:hAnsi="Calibri" w:cs="Angsana New"/>
                <w:color w:val="000000"/>
                <w:lang w:val="en-GB"/>
              </w:rPr>
              <w:t>597</w:t>
            </w:r>
            <w:r w:rsidR="00690EA0">
              <w:rPr>
                <w:rFonts w:ascii="Calibri" w:eastAsia="MS Mincho" w:hAnsi="Calibri" w:cs="Angsana New"/>
                <w:color w:val="000000"/>
                <w:lang w:val="en-GB"/>
              </w:rPr>
              <w:t>.</w:t>
            </w:r>
            <w:r w:rsidR="00F35ED0">
              <w:rPr>
                <w:rFonts w:ascii="Calibri" w:eastAsia="MS Mincho" w:hAnsi="Calibri" w:cs="Angsana New"/>
                <w:color w:val="000000"/>
                <w:lang w:val="en-GB"/>
              </w:rPr>
              <w:t>8</w:t>
            </w:r>
          </w:p>
          <w:p w14:paraId="405E986C" w14:textId="77777777" w:rsidR="00D30DB1" w:rsidRPr="00045526" w:rsidRDefault="00D30DB1" w:rsidP="00D30DB1">
            <w:pPr>
              <w:spacing w:after="0" w:line="240" w:lineRule="auto"/>
              <w:jc w:val="center"/>
              <w:rPr>
                <w:rFonts w:ascii="Calibri" w:eastAsia="MS Mincho" w:hAnsi="Calibri" w:cs="Angsana New"/>
                <w:color w:val="000000"/>
                <w:lang w:val="en-GB"/>
              </w:rPr>
            </w:pPr>
          </w:p>
        </w:tc>
      </w:tr>
      <w:tr w:rsidR="00D30DB1" w:rsidRPr="00D30DB1" w14:paraId="56C91A93" w14:textId="77777777" w:rsidTr="008354E6">
        <w:trPr>
          <w:trHeight w:val="600"/>
        </w:trPr>
        <w:tc>
          <w:tcPr>
            <w:tcW w:w="1653" w:type="pct"/>
            <w:shd w:val="clear" w:color="auto" w:fill="auto"/>
          </w:tcPr>
          <w:p w14:paraId="19EBDCF2" w14:textId="77777777" w:rsidR="002855CD" w:rsidRPr="00045526" w:rsidRDefault="002855CD" w:rsidP="00D30DB1">
            <w:pPr>
              <w:spacing w:after="0" w:line="240" w:lineRule="auto"/>
              <w:rPr>
                <w:rFonts w:ascii="Calibri" w:eastAsia="Times New Roman" w:hAnsi="Calibri" w:cs="Times New Roman"/>
                <w:color w:val="000000"/>
                <w:lang w:val="en-GB"/>
              </w:rPr>
            </w:pPr>
          </w:p>
          <w:p w14:paraId="64B490C0" w14:textId="77777777" w:rsidR="002855CD" w:rsidRPr="00045526" w:rsidRDefault="002855CD" w:rsidP="00D30DB1">
            <w:pPr>
              <w:spacing w:after="0" w:line="240" w:lineRule="auto"/>
              <w:rPr>
                <w:rFonts w:ascii="Calibri" w:eastAsia="Times New Roman" w:hAnsi="Calibri" w:cs="Times New Roman"/>
                <w:color w:val="000000"/>
                <w:lang w:val="en-GB"/>
              </w:rPr>
            </w:pPr>
          </w:p>
          <w:p w14:paraId="0D217F8F" w14:textId="33D6D5BC" w:rsidR="00D30DB1" w:rsidRPr="00045526" w:rsidRDefault="002855CD" w:rsidP="00D30DB1">
            <w:pPr>
              <w:spacing w:after="0" w:line="240" w:lineRule="auto"/>
              <w:rPr>
                <w:rFonts w:ascii="Calibri" w:eastAsia="Times New Roman" w:hAnsi="Calibri" w:cs="Times New Roman"/>
                <w:color w:val="000000"/>
                <w:lang w:val="en-GB"/>
              </w:rPr>
            </w:pPr>
            <w:r w:rsidRPr="00045526">
              <w:rPr>
                <w:rFonts w:ascii="Calibri" w:eastAsia="Times New Roman" w:hAnsi="Calibri" w:cs="Times New Roman"/>
                <w:color w:val="000000"/>
                <w:lang w:val="en-GB"/>
              </w:rPr>
              <w:t>Congo Sustainable Landscapes Program</w:t>
            </w:r>
          </w:p>
          <w:p w14:paraId="59275103" w14:textId="77777777" w:rsidR="00D30DB1" w:rsidRPr="00045526" w:rsidRDefault="00D30DB1" w:rsidP="00D30DB1">
            <w:pPr>
              <w:spacing w:after="0" w:line="240" w:lineRule="auto"/>
              <w:rPr>
                <w:rFonts w:ascii="Calibri" w:eastAsia="Times New Roman" w:hAnsi="Calibri" w:cs="Times New Roman"/>
                <w:color w:val="000000"/>
                <w:lang w:val="en-GB"/>
              </w:rPr>
            </w:pPr>
          </w:p>
        </w:tc>
        <w:tc>
          <w:tcPr>
            <w:tcW w:w="893" w:type="pct"/>
            <w:shd w:val="clear" w:color="auto" w:fill="auto"/>
            <w:hideMark/>
          </w:tcPr>
          <w:p w14:paraId="545BC58B" w14:textId="77777777" w:rsidR="00D30DB1" w:rsidRPr="00045526" w:rsidRDefault="00D30DB1" w:rsidP="00D30DB1">
            <w:pPr>
              <w:spacing w:after="0" w:line="240" w:lineRule="auto"/>
              <w:jc w:val="both"/>
              <w:rPr>
                <w:rFonts w:ascii="Calibri" w:eastAsia="Times New Roman" w:hAnsi="Calibri" w:cs="Times New Roman"/>
                <w:color w:val="000000"/>
                <w:lang w:val="en-GB"/>
              </w:rPr>
            </w:pPr>
          </w:p>
          <w:p w14:paraId="715B82FE" w14:textId="77777777" w:rsidR="00D30DB1" w:rsidRPr="00045526" w:rsidRDefault="00D30DB1" w:rsidP="00D30DB1">
            <w:pPr>
              <w:spacing w:after="0" w:line="240" w:lineRule="auto"/>
              <w:jc w:val="both"/>
              <w:rPr>
                <w:rFonts w:ascii="Calibri" w:eastAsia="Times New Roman" w:hAnsi="Calibri" w:cs="Times New Roman"/>
                <w:color w:val="000000"/>
                <w:lang w:val="en-GB"/>
              </w:rPr>
            </w:pPr>
          </w:p>
          <w:p w14:paraId="5FB63D16" w14:textId="1635E424" w:rsidR="002855CD" w:rsidRPr="00045526" w:rsidRDefault="002855CD" w:rsidP="00AA3F32">
            <w:pPr>
              <w:spacing w:after="0" w:line="240" w:lineRule="auto"/>
              <w:rPr>
                <w:rFonts w:ascii="Calibri" w:eastAsia="Times New Roman" w:hAnsi="Calibri" w:cs="Times New Roman"/>
                <w:color w:val="000000"/>
                <w:lang w:val="en-GB"/>
              </w:rPr>
            </w:pPr>
            <w:r w:rsidRPr="00045526">
              <w:rPr>
                <w:rFonts w:ascii="Calibri" w:eastAsia="Times New Roman" w:hAnsi="Calibri" w:cs="Times New Roman"/>
                <w:color w:val="000000"/>
                <w:lang w:val="en-GB"/>
              </w:rPr>
              <w:t>7,</w:t>
            </w:r>
            <w:r w:rsidR="00694FF9">
              <w:rPr>
                <w:rFonts w:ascii="Calibri" w:eastAsia="Times New Roman" w:hAnsi="Calibri" w:cs="Times New Roman"/>
                <w:color w:val="000000"/>
                <w:lang w:val="en-GB"/>
              </w:rPr>
              <w:t xml:space="preserve"> </w:t>
            </w:r>
            <w:r w:rsidRPr="00045526">
              <w:rPr>
                <w:rFonts w:ascii="Calibri" w:eastAsia="Times New Roman" w:hAnsi="Calibri" w:cs="Times New Roman"/>
                <w:color w:val="000000"/>
                <w:lang w:val="en-GB"/>
              </w:rPr>
              <w:t>11, 14, 15 and 19</w:t>
            </w:r>
          </w:p>
        </w:tc>
        <w:tc>
          <w:tcPr>
            <w:tcW w:w="846" w:type="pct"/>
            <w:shd w:val="clear" w:color="auto" w:fill="auto"/>
          </w:tcPr>
          <w:p w14:paraId="6D525BCB" w14:textId="77777777" w:rsidR="00D30DB1" w:rsidRPr="00045526" w:rsidRDefault="00D30DB1" w:rsidP="00D30DB1">
            <w:pPr>
              <w:spacing w:after="0" w:line="240" w:lineRule="auto"/>
              <w:rPr>
                <w:rFonts w:ascii="Calibri" w:eastAsia="MS Mincho" w:hAnsi="Calibri" w:cs="Calibri"/>
                <w:color w:val="000000"/>
                <w:lang w:val="en-GB"/>
              </w:rPr>
            </w:pPr>
          </w:p>
          <w:p w14:paraId="527E72AF" w14:textId="77777777" w:rsidR="00D30DB1" w:rsidRDefault="00D30DB1" w:rsidP="00D30DB1">
            <w:pPr>
              <w:spacing w:after="0" w:line="240" w:lineRule="auto"/>
              <w:rPr>
                <w:rFonts w:ascii="Calibri" w:eastAsia="MS Mincho" w:hAnsi="Calibri" w:cs="Calibri"/>
                <w:color w:val="000000"/>
                <w:lang w:val="en-GB"/>
              </w:rPr>
            </w:pPr>
          </w:p>
          <w:p w14:paraId="0B985CAE" w14:textId="7C08E05A" w:rsidR="00690EA0" w:rsidRPr="00045526" w:rsidRDefault="005B77E4" w:rsidP="00D30DB1">
            <w:pPr>
              <w:spacing w:after="0" w:line="240" w:lineRule="auto"/>
              <w:rPr>
                <w:rFonts w:ascii="Calibri" w:eastAsia="MS Mincho" w:hAnsi="Calibri" w:cs="Calibri"/>
                <w:color w:val="000000"/>
                <w:lang w:val="en-GB"/>
              </w:rPr>
            </w:pPr>
            <w:r>
              <w:rPr>
                <w:rFonts w:ascii="Calibri" w:eastAsia="MS Mincho" w:hAnsi="Calibri" w:cs="Calibri"/>
                <w:color w:val="000000"/>
                <w:lang w:val="en-GB"/>
              </w:rPr>
              <w:t>57.2</w:t>
            </w:r>
          </w:p>
        </w:tc>
        <w:tc>
          <w:tcPr>
            <w:tcW w:w="689" w:type="pct"/>
            <w:shd w:val="clear" w:color="auto" w:fill="auto"/>
          </w:tcPr>
          <w:p w14:paraId="6F284245" w14:textId="77777777" w:rsidR="00D30DB1" w:rsidRPr="00045526" w:rsidRDefault="00D30DB1" w:rsidP="00D30DB1">
            <w:pPr>
              <w:spacing w:after="0" w:line="240" w:lineRule="auto"/>
              <w:rPr>
                <w:rFonts w:ascii="Calibri" w:eastAsia="MS Mincho" w:hAnsi="Calibri" w:cs="Calibri"/>
                <w:color w:val="000000"/>
                <w:lang w:val="en-GB"/>
              </w:rPr>
            </w:pPr>
          </w:p>
          <w:p w14:paraId="73EA111D" w14:textId="77777777" w:rsidR="00D30DB1" w:rsidRDefault="00D30DB1" w:rsidP="00D30DB1">
            <w:pPr>
              <w:spacing w:after="0" w:line="240" w:lineRule="auto"/>
              <w:rPr>
                <w:rFonts w:ascii="Calibri" w:eastAsia="MS Mincho" w:hAnsi="Calibri" w:cs="Calibri"/>
                <w:color w:val="000000"/>
                <w:lang w:val="en-GB"/>
              </w:rPr>
            </w:pPr>
          </w:p>
          <w:p w14:paraId="768340B5" w14:textId="71869D00" w:rsidR="005B77E4" w:rsidRPr="00045526" w:rsidRDefault="005B77E4" w:rsidP="00D30DB1">
            <w:pPr>
              <w:spacing w:after="0" w:line="240" w:lineRule="auto"/>
              <w:rPr>
                <w:rFonts w:ascii="Calibri" w:eastAsia="MS Mincho" w:hAnsi="Calibri" w:cs="Calibri"/>
                <w:color w:val="000000"/>
                <w:lang w:val="en-GB"/>
              </w:rPr>
            </w:pPr>
            <w:r>
              <w:rPr>
                <w:rFonts w:ascii="Calibri" w:eastAsia="MS Mincho" w:hAnsi="Calibri" w:cs="Calibri"/>
                <w:color w:val="000000"/>
                <w:lang w:val="en-GB"/>
              </w:rPr>
              <w:t>387.4</w:t>
            </w:r>
          </w:p>
        </w:tc>
        <w:tc>
          <w:tcPr>
            <w:tcW w:w="919" w:type="pct"/>
            <w:shd w:val="clear" w:color="auto" w:fill="auto"/>
          </w:tcPr>
          <w:p w14:paraId="24565279" w14:textId="77777777" w:rsidR="00D30DB1" w:rsidRPr="00045526" w:rsidRDefault="00D30DB1" w:rsidP="00D30DB1">
            <w:pPr>
              <w:spacing w:after="0" w:line="240" w:lineRule="auto"/>
              <w:jc w:val="center"/>
              <w:rPr>
                <w:rFonts w:ascii="Calibri" w:eastAsia="MS Mincho" w:hAnsi="Calibri" w:cs="Angsana New"/>
                <w:color w:val="000000"/>
                <w:lang w:val="en-GB"/>
              </w:rPr>
            </w:pPr>
          </w:p>
          <w:p w14:paraId="1EA6A308" w14:textId="20272EF4" w:rsidR="00D30DB1" w:rsidRPr="00045526" w:rsidRDefault="00D30DB1" w:rsidP="00D30DB1">
            <w:pPr>
              <w:spacing w:after="0" w:line="240" w:lineRule="auto"/>
              <w:jc w:val="center"/>
              <w:rPr>
                <w:rFonts w:ascii="Calibri" w:eastAsia="MS Mincho" w:hAnsi="Calibri" w:cs="Angsana New"/>
                <w:color w:val="000000"/>
                <w:lang w:val="en-GB"/>
              </w:rPr>
            </w:pPr>
          </w:p>
          <w:p w14:paraId="79C930C9" w14:textId="4A95E6AA" w:rsidR="00D30DB1" w:rsidRPr="00045526" w:rsidRDefault="00B9076F" w:rsidP="00D30DB1">
            <w:pPr>
              <w:spacing w:after="0" w:line="240" w:lineRule="auto"/>
              <w:jc w:val="center"/>
              <w:rPr>
                <w:rFonts w:ascii="Calibri" w:eastAsia="MS Mincho" w:hAnsi="Calibri" w:cs="Angsana New"/>
                <w:color w:val="000000"/>
                <w:lang w:val="en-GB"/>
              </w:rPr>
            </w:pPr>
            <w:r>
              <w:rPr>
                <w:rFonts w:ascii="Calibri" w:eastAsia="MS Mincho" w:hAnsi="Calibri" w:cs="Angsana New"/>
                <w:color w:val="000000"/>
                <w:lang w:val="en-GB"/>
              </w:rPr>
              <w:t>44</w:t>
            </w:r>
            <w:r w:rsidR="00F6679E">
              <w:rPr>
                <w:rFonts w:ascii="Calibri" w:eastAsia="MS Mincho" w:hAnsi="Calibri" w:cs="Angsana New"/>
                <w:color w:val="000000"/>
                <w:lang w:val="en-GB"/>
              </w:rPr>
              <w:t>4</w:t>
            </w:r>
            <w:r>
              <w:rPr>
                <w:rFonts w:ascii="Calibri" w:eastAsia="MS Mincho" w:hAnsi="Calibri" w:cs="Angsana New"/>
                <w:color w:val="000000"/>
                <w:lang w:val="en-GB"/>
              </w:rPr>
              <w:t>.</w:t>
            </w:r>
            <w:r w:rsidR="00F35ED0">
              <w:rPr>
                <w:rFonts w:ascii="Calibri" w:eastAsia="MS Mincho" w:hAnsi="Calibri" w:cs="Angsana New"/>
                <w:color w:val="000000"/>
                <w:lang w:val="en-GB"/>
              </w:rPr>
              <w:t>6</w:t>
            </w:r>
          </w:p>
          <w:p w14:paraId="366188C7" w14:textId="77777777" w:rsidR="00D30DB1" w:rsidRPr="00045526" w:rsidRDefault="00D30DB1" w:rsidP="00D30DB1">
            <w:pPr>
              <w:spacing w:after="0" w:line="240" w:lineRule="auto"/>
              <w:jc w:val="center"/>
              <w:rPr>
                <w:rFonts w:ascii="Calibri" w:eastAsia="MS Mincho" w:hAnsi="Calibri" w:cs="Angsana New"/>
                <w:color w:val="000000"/>
                <w:lang w:val="en-GB"/>
              </w:rPr>
            </w:pPr>
          </w:p>
        </w:tc>
      </w:tr>
      <w:tr w:rsidR="00D30DB1" w:rsidRPr="00D30DB1" w14:paraId="4CCC9BFF" w14:textId="77777777" w:rsidTr="008354E6">
        <w:trPr>
          <w:trHeight w:val="600"/>
        </w:trPr>
        <w:tc>
          <w:tcPr>
            <w:tcW w:w="1653" w:type="pct"/>
            <w:shd w:val="clear" w:color="auto" w:fill="auto"/>
          </w:tcPr>
          <w:p w14:paraId="7C0D62E6" w14:textId="2D2175B9" w:rsidR="00D30DB1" w:rsidRPr="00045526" w:rsidRDefault="002855CD" w:rsidP="00D30DB1">
            <w:pPr>
              <w:spacing w:after="0" w:line="240" w:lineRule="auto"/>
              <w:rPr>
                <w:rFonts w:ascii="Calibri" w:eastAsia="Times New Roman" w:hAnsi="Calibri" w:cs="Times New Roman"/>
                <w:color w:val="000000"/>
                <w:lang w:val="en-GB"/>
              </w:rPr>
            </w:pPr>
            <w:r w:rsidRPr="00045526">
              <w:rPr>
                <w:rFonts w:ascii="Calibri" w:eastAsia="Times New Roman" w:hAnsi="Calibri" w:cs="Times New Roman"/>
                <w:color w:val="000000"/>
                <w:lang w:val="en-GB"/>
              </w:rPr>
              <w:t xml:space="preserve">Dryland Sustainable Landscapes Program </w:t>
            </w:r>
          </w:p>
        </w:tc>
        <w:tc>
          <w:tcPr>
            <w:tcW w:w="893" w:type="pct"/>
            <w:shd w:val="clear" w:color="auto" w:fill="auto"/>
            <w:hideMark/>
          </w:tcPr>
          <w:p w14:paraId="2898082B" w14:textId="48D850E1" w:rsidR="00D30DB1" w:rsidRPr="00045526" w:rsidRDefault="002855CD" w:rsidP="00AA3F32">
            <w:pPr>
              <w:spacing w:after="0" w:line="240" w:lineRule="auto"/>
              <w:rPr>
                <w:rFonts w:ascii="Calibri" w:eastAsia="Times New Roman" w:hAnsi="Calibri" w:cs="Times New Roman"/>
                <w:color w:val="000000"/>
                <w:lang w:val="en-GB"/>
              </w:rPr>
            </w:pPr>
            <w:r w:rsidRPr="00045526">
              <w:rPr>
                <w:rFonts w:ascii="Calibri" w:eastAsia="Times New Roman" w:hAnsi="Calibri" w:cs="Times New Roman"/>
                <w:color w:val="000000"/>
                <w:lang w:val="en-GB"/>
              </w:rPr>
              <w:t>7, 11, 14, 15 and 19</w:t>
            </w:r>
          </w:p>
          <w:p w14:paraId="6B7E21C6" w14:textId="3ECA0DD5" w:rsidR="00D30DB1" w:rsidRPr="00045526" w:rsidRDefault="00D30DB1" w:rsidP="00D30DB1">
            <w:pPr>
              <w:spacing w:after="0" w:line="240" w:lineRule="auto"/>
              <w:jc w:val="both"/>
              <w:rPr>
                <w:rFonts w:ascii="Calibri" w:eastAsia="Times New Roman" w:hAnsi="Calibri" w:cs="Times New Roman"/>
                <w:color w:val="000000"/>
                <w:lang w:val="en-GB"/>
              </w:rPr>
            </w:pPr>
          </w:p>
        </w:tc>
        <w:tc>
          <w:tcPr>
            <w:tcW w:w="846" w:type="pct"/>
            <w:shd w:val="clear" w:color="auto" w:fill="auto"/>
          </w:tcPr>
          <w:p w14:paraId="60E2A60F" w14:textId="3E666172" w:rsidR="00D30DB1" w:rsidRPr="00045526" w:rsidRDefault="00BE6B75" w:rsidP="00D30DB1">
            <w:pPr>
              <w:spacing w:after="0" w:line="240" w:lineRule="auto"/>
              <w:rPr>
                <w:rFonts w:ascii="Calibri" w:eastAsia="MS Mincho" w:hAnsi="Calibri" w:cs="Calibri"/>
                <w:color w:val="000000"/>
                <w:lang w:val="en-GB"/>
              </w:rPr>
            </w:pPr>
            <w:r>
              <w:rPr>
                <w:rFonts w:ascii="Calibri" w:eastAsia="MS Mincho" w:hAnsi="Calibri" w:cs="Calibri"/>
                <w:color w:val="000000"/>
                <w:lang w:val="en-GB"/>
              </w:rPr>
              <w:t>95.8</w:t>
            </w:r>
          </w:p>
          <w:p w14:paraId="72097479" w14:textId="21041A85" w:rsidR="00D30DB1" w:rsidRPr="00045526" w:rsidRDefault="00D30DB1" w:rsidP="00D30DB1">
            <w:pPr>
              <w:spacing w:after="0" w:line="240" w:lineRule="auto"/>
              <w:rPr>
                <w:rFonts w:ascii="Calibri" w:eastAsia="MS Mincho" w:hAnsi="Calibri" w:cs="Calibri"/>
                <w:color w:val="000000"/>
                <w:lang w:val="en-GB"/>
              </w:rPr>
            </w:pPr>
          </w:p>
        </w:tc>
        <w:tc>
          <w:tcPr>
            <w:tcW w:w="689" w:type="pct"/>
            <w:shd w:val="clear" w:color="auto" w:fill="auto"/>
          </w:tcPr>
          <w:p w14:paraId="6FC63CCA" w14:textId="153B59A7" w:rsidR="00D30DB1" w:rsidRPr="00045526" w:rsidRDefault="00BE6B75" w:rsidP="00D30DB1">
            <w:pPr>
              <w:spacing w:after="0" w:line="240" w:lineRule="auto"/>
              <w:rPr>
                <w:rFonts w:ascii="Calibri" w:eastAsia="MS Mincho" w:hAnsi="Calibri" w:cs="Calibri"/>
                <w:color w:val="000000"/>
                <w:lang w:val="en-GB"/>
              </w:rPr>
            </w:pPr>
            <w:r>
              <w:rPr>
                <w:rFonts w:ascii="Calibri" w:eastAsia="MS Mincho" w:hAnsi="Calibri" w:cs="Calibri"/>
                <w:color w:val="000000"/>
                <w:lang w:val="en-GB"/>
              </w:rPr>
              <w:t>809.1</w:t>
            </w:r>
          </w:p>
          <w:p w14:paraId="231714E2" w14:textId="7670FAB4" w:rsidR="00D30DB1" w:rsidRPr="00045526" w:rsidRDefault="00D30DB1" w:rsidP="00D30DB1">
            <w:pPr>
              <w:spacing w:after="0" w:line="240" w:lineRule="auto"/>
              <w:rPr>
                <w:rFonts w:ascii="Calibri" w:eastAsia="MS Mincho" w:hAnsi="Calibri" w:cs="Calibri"/>
                <w:color w:val="000000"/>
                <w:lang w:val="en-GB"/>
              </w:rPr>
            </w:pPr>
          </w:p>
        </w:tc>
        <w:tc>
          <w:tcPr>
            <w:tcW w:w="919" w:type="pct"/>
            <w:shd w:val="clear" w:color="auto" w:fill="auto"/>
          </w:tcPr>
          <w:p w14:paraId="4788F38C" w14:textId="50A638BF" w:rsidR="00D30DB1" w:rsidRPr="00045526" w:rsidRDefault="00BE6B75" w:rsidP="00D30DB1">
            <w:pPr>
              <w:spacing w:after="0" w:line="240" w:lineRule="auto"/>
              <w:jc w:val="center"/>
              <w:rPr>
                <w:rFonts w:ascii="Calibri" w:eastAsia="MS Mincho" w:hAnsi="Calibri" w:cs="Angsana New"/>
                <w:color w:val="000000"/>
                <w:lang w:val="en-GB"/>
              </w:rPr>
            </w:pPr>
            <w:r>
              <w:rPr>
                <w:rFonts w:ascii="Calibri" w:eastAsia="MS Mincho" w:hAnsi="Calibri" w:cs="Angsana New"/>
                <w:color w:val="000000"/>
                <w:lang w:val="en-GB"/>
              </w:rPr>
              <w:t>9</w:t>
            </w:r>
            <w:r w:rsidR="002B2CC4">
              <w:rPr>
                <w:rFonts w:ascii="Calibri" w:eastAsia="MS Mincho" w:hAnsi="Calibri" w:cs="Angsana New"/>
                <w:color w:val="000000"/>
                <w:lang w:val="en-GB"/>
              </w:rPr>
              <w:t>04.9</w:t>
            </w:r>
          </w:p>
          <w:p w14:paraId="6BF42CB4" w14:textId="125D4008" w:rsidR="00D30DB1" w:rsidRPr="00045526" w:rsidRDefault="00D30DB1" w:rsidP="00D30DB1">
            <w:pPr>
              <w:spacing w:after="0" w:line="240" w:lineRule="auto"/>
              <w:jc w:val="center"/>
              <w:rPr>
                <w:rFonts w:ascii="Calibri" w:eastAsia="MS Mincho" w:hAnsi="Calibri" w:cs="Angsana New"/>
                <w:color w:val="000000"/>
                <w:lang w:val="en-GB"/>
              </w:rPr>
            </w:pPr>
          </w:p>
          <w:p w14:paraId="1163F658" w14:textId="77777777" w:rsidR="00D30DB1" w:rsidRPr="00045526" w:rsidRDefault="00D30DB1" w:rsidP="00D30DB1">
            <w:pPr>
              <w:spacing w:after="0" w:line="240" w:lineRule="auto"/>
              <w:jc w:val="center"/>
              <w:rPr>
                <w:rFonts w:ascii="Calibri" w:eastAsia="MS Mincho" w:hAnsi="Calibri" w:cs="Angsana New"/>
                <w:color w:val="000000"/>
                <w:lang w:val="en-GB"/>
              </w:rPr>
            </w:pPr>
          </w:p>
          <w:p w14:paraId="42EE58AC" w14:textId="77777777" w:rsidR="00D30DB1" w:rsidRPr="00045526" w:rsidRDefault="00D30DB1" w:rsidP="00D30DB1">
            <w:pPr>
              <w:spacing w:after="0" w:line="240" w:lineRule="auto"/>
              <w:jc w:val="center"/>
              <w:rPr>
                <w:rFonts w:ascii="Calibri" w:eastAsia="MS Mincho" w:hAnsi="Calibri" w:cs="Angsana New"/>
                <w:color w:val="000000"/>
                <w:lang w:val="en-GB"/>
              </w:rPr>
            </w:pPr>
          </w:p>
        </w:tc>
      </w:tr>
      <w:tr w:rsidR="00D30DB1" w:rsidRPr="00D30DB1" w14:paraId="5840972E" w14:textId="77777777" w:rsidTr="008354E6">
        <w:trPr>
          <w:trHeight w:val="292"/>
        </w:trPr>
        <w:tc>
          <w:tcPr>
            <w:tcW w:w="1653" w:type="pct"/>
            <w:shd w:val="clear" w:color="auto" w:fill="auto"/>
          </w:tcPr>
          <w:p w14:paraId="6089537C" w14:textId="77777777" w:rsidR="00D30DB1" w:rsidRPr="00045526" w:rsidRDefault="00D30DB1" w:rsidP="00D30DB1">
            <w:pPr>
              <w:spacing w:after="0" w:line="240" w:lineRule="auto"/>
              <w:rPr>
                <w:rFonts w:ascii="Calibri" w:eastAsia="Times New Roman" w:hAnsi="Calibri" w:cs="Times New Roman"/>
                <w:b/>
                <w:color w:val="000000"/>
                <w:lang w:val="en-GB"/>
              </w:rPr>
            </w:pPr>
          </w:p>
          <w:p w14:paraId="0F54B1B0" w14:textId="77777777" w:rsidR="00D30DB1" w:rsidRPr="00045526" w:rsidRDefault="00D30DB1" w:rsidP="00D30DB1">
            <w:pPr>
              <w:spacing w:after="0" w:line="240" w:lineRule="auto"/>
              <w:rPr>
                <w:rFonts w:ascii="Calibri" w:eastAsia="Times New Roman" w:hAnsi="Calibri" w:cs="Times New Roman"/>
                <w:b/>
                <w:color w:val="000000"/>
                <w:lang w:val="en-GB"/>
              </w:rPr>
            </w:pPr>
            <w:r w:rsidRPr="00045526">
              <w:rPr>
                <w:rFonts w:ascii="Calibri" w:eastAsia="Times New Roman" w:hAnsi="Calibri" w:cs="Times New Roman"/>
                <w:b/>
                <w:color w:val="000000"/>
                <w:lang w:val="en-GB"/>
              </w:rPr>
              <w:t>Totals</w:t>
            </w:r>
          </w:p>
        </w:tc>
        <w:tc>
          <w:tcPr>
            <w:tcW w:w="893" w:type="pct"/>
            <w:shd w:val="clear" w:color="auto" w:fill="auto"/>
          </w:tcPr>
          <w:p w14:paraId="3F316728" w14:textId="77777777" w:rsidR="00D30DB1" w:rsidRPr="00045526" w:rsidRDefault="00D30DB1" w:rsidP="00D30DB1">
            <w:pPr>
              <w:spacing w:after="0" w:line="240" w:lineRule="auto"/>
              <w:rPr>
                <w:rFonts w:ascii="Calibri" w:eastAsia="Times New Roman" w:hAnsi="Calibri" w:cs="Times New Roman"/>
                <w:b/>
                <w:color w:val="000000"/>
                <w:lang w:val="en-GB"/>
              </w:rPr>
            </w:pPr>
          </w:p>
        </w:tc>
        <w:tc>
          <w:tcPr>
            <w:tcW w:w="846" w:type="pct"/>
            <w:shd w:val="clear" w:color="auto" w:fill="auto"/>
          </w:tcPr>
          <w:p w14:paraId="34B439CB" w14:textId="77777777" w:rsidR="00D30DB1" w:rsidRDefault="00D30DB1" w:rsidP="00D30DB1">
            <w:pPr>
              <w:spacing w:after="0" w:line="240" w:lineRule="auto"/>
              <w:rPr>
                <w:rFonts w:ascii="Calibri" w:eastAsia="MS Mincho" w:hAnsi="Calibri" w:cs="Calibri"/>
                <w:b/>
                <w:bCs/>
                <w:color w:val="000000"/>
                <w:lang w:val="en-GB"/>
              </w:rPr>
            </w:pPr>
          </w:p>
          <w:p w14:paraId="2D9EBC43" w14:textId="6FF4806E" w:rsidR="00BE6B75" w:rsidRPr="00045526" w:rsidRDefault="001915B0" w:rsidP="00D30DB1">
            <w:pPr>
              <w:spacing w:after="0" w:line="240" w:lineRule="auto"/>
              <w:rPr>
                <w:rFonts w:ascii="Calibri" w:eastAsia="MS Mincho" w:hAnsi="Calibri" w:cs="Calibri"/>
                <w:b/>
                <w:bCs/>
                <w:color w:val="000000"/>
                <w:lang w:val="en-GB"/>
              </w:rPr>
            </w:pPr>
            <w:r>
              <w:rPr>
                <w:rFonts w:ascii="Calibri" w:eastAsia="MS Mincho" w:hAnsi="Calibri" w:cs="Calibri"/>
                <w:b/>
                <w:bCs/>
                <w:color w:val="000000"/>
                <w:lang w:val="en-GB"/>
              </w:rPr>
              <w:t>241.</w:t>
            </w:r>
            <w:r w:rsidR="00160F7C">
              <w:rPr>
                <w:rFonts w:ascii="Calibri" w:eastAsia="MS Mincho" w:hAnsi="Calibri" w:cs="Calibri"/>
                <w:b/>
                <w:bCs/>
                <w:color w:val="000000"/>
                <w:lang w:val="en-GB"/>
              </w:rPr>
              <w:t>3</w:t>
            </w:r>
          </w:p>
        </w:tc>
        <w:tc>
          <w:tcPr>
            <w:tcW w:w="689" w:type="pct"/>
            <w:shd w:val="clear" w:color="auto" w:fill="auto"/>
          </w:tcPr>
          <w:p w14:paraId="36D88234" w14:textId="77777777" w:rsidR="00D30DB1" w:rsidRDefault="00D30DB1" w:rsidP="00D30DB1">
            <w:pPr>
              <w:spacing w:after="0" w:line="240" w:lineRule="auto"/>
              <w:rPr>
                <w:rFonts w:ascii="Calibri" w:eastAsia="MS Mincho" w:hAnsi="Calibri" w:cs="Calibri"/>
                <w:b/>
                <w:bCs/>
                <w:color w:val="000000"/>
                <w:lang w:val="en-GB"/>
              </w:rPr>
            </w:pPr>
          </w:p>
          <w:p w14:paraId="1C3A6273" w14:textId="7B4D0486" w:rsidR="001915B0" w:rsidRPr="00045526" w:rsidRDefault="00014557" w:rsidP="00D30DB1">
            <w:pPr>
              <w:spacing w:after="0" w:line="240" w:lineRule="auto"/>
              <w:rPr>
                <w:rFonts w:ascii="Calibri" w:eastAsia="MS Mincho" w:hAnsi="Calibri" w:cs="Calibri"/>
                <w:b/>
                <w:bCs/>
                <w:color w:val="000000"/>
                <w:lang w:val="en-GB"/>
              </w:rPr>
            </w:pPr>
            <w:r>
              <w:rPr>
                <w:rFonts w:ascii="Calibri" w:eastAsia="MS Mincho" w:hAnsi="Calibri" w:cs="Calibri"/>
                <w:b/>
                <w:bCs/>
                <w:color w:val="000000"/>
                <w:lang w:val="en-GB"/>
              </w:rPr>
              <w:t>1,706</w:t>
            </w:r>
          </w:p>
        </w:tc>
        <w:tc>
          <w:tcPr>
            <w:tcW w:w="919" w:type="pct"/>
            <w:shd w:val="clear" w:color="auto" w:fill="auto"/>
          </w:tcPr>
          <w:p w14:paraId="06B0F69D" w14:textId="77777777" w:rsidR="00D30DB1" w:rsidRDefault="00D30DB1" w:rsidP="00D30DB1">
            <w:pPr>
              <w:spacing w:after="0" w:line="240" w:lineRule="auto"/>
              <w:jc w:val="center"/>
              <w:rPr>
                <w:rFonts w:ascii="Calibri" w:eastAsia="MS Mincho" w:hAnsi="Calibri" w:cs="Angsana New"/>
                <w:b/>
                <w:color w:val="000000"/>
                <w:lang w:val="en-GB"/>
              </w:rPr>
            </w:pPr>
          </w:p>
          <w:p w14:paraId="4A59207F" w14:textId="7CA71805" w:rsidR="00014557" w:rsidRPr="00045526" w:rsidRDefault="009342E3" w:rsidP="00D30DB1">
            <w:pPr>
              <w:spacing w:after="0" w:line="240" w:lineRule="auto"/>
              <w:jc w:val="center"/>
              <w:rPr>
                <w:rFonts w:ascii="Calibri" w:eastAsia="MS Mincho" w:hAnsi="Calibri" w:cs="Angsana New"/>
                <w:b/>
                <w:color w:val="000000"/>
                <w:lang w:val="en-GB"/>
              </w:rPr>
            </w:pPr>
            <w:r>
              <w:rPr>
                <w:rFonts w:ascii="Calibri" w:eastAsia="MS Mincho" w:hAnsi="Calibri" w:cs="Angsana New"/>
                <w:b/>
                <w:color w:val="000000"/>
                <w:lang w:val="en-GB"/>
              </w:rPr>
              <w:t>1,9</w:t>
            </w:r>
            <w:r w:rsidR="00394E61">
              <w:rPr>
                <w:rFonts w:ascii="Calibri" w:eastAsia="MS Mincho" w:hAnsi="Calibri" w:cs="Angsana New"/>
                <w:b/>
                <w:color w:val="000000"/>
                <w:lang w:val="en-GB"/>
              </w:rPr>
              <w:t>47.3</w:t>
            </w:r>
          </w:p>
        </w:tc>
      </w:tr>
      <w:bookmarkEnd w:id="35"/>
    </w:tbl>
    <w:p w14:paraId="2FDB000D" w14:textId="77777777" w:rsidR="00B44248" w:rsidRDefault="00B44248" w:rsidP="00D30DB1">
      <w:pPr>
        <w:spacing w:before="120" w:after="120" w:line="240" w:lineRule="auto"/>
        <w:rPr>
          <w:rFonts w:ascii="Calibri" w:eastAsia="MS Mincho" w:hAnsi="Calibri" w:cs="Times New Roman"/>
          <w:b/>
          <w:snapToGrid w:val="0"/>
          <w:sz w:val="24"/>
          <w:szCs w:val="24"/>
          <w:u w:val="single"/>
        </w:rPr>
      </w:pPr>
    </w:p>
    <w:p w14:paraId="40F4A0E5" w14:textId="362AB55C" w:rsidR="00D30DB1" w:rsidRPr="003E3CE1" w:rsidRDefault="00F128C1" w:rsidP="00105FB1">
      <w:pPr>
        <w:pStyle w:val="Heading3"/>
        <w:rPr>
          <w:snapToGrid w:val="0"/>
        </w:rPr>
      </w:pPr>
      <w:bookmarkStart w:id="36" w:name="_Toc32494924"/>
      <w:r w:rsidRPr="003E3CE1">
        <w:rPr>
          <w:snapToGrid w:val="0"/>
        </w:rPr>
        <w:lastRenderedPageBreak/>
        <w:t>Sustainable Cities</w:t>
      </w:r>
      <w:bookmarkEnd w:id="36"/>
      <w:r w:rsidRPr="003E3CE1">
        <w:rPr>
          <w:snapToGrid w:val="0"/>
        </w:rPr>
        <w:t xml:space="preserve"> </w:t>
      </w:r>
      <w:r w:rsidR="00D30DB1" w:rsidRPr="003E3CE1">
        <w:rPr>
          <w:snapToGrid w:val="0"/>
        </w:rPr>
        <w:t xml:space="preserve"> </w:t>
      </w:r>
    </w:p>
    <w:p w14:paraId="7ED094DA" w14:textId="38956481" w:rsidR="002F1986" w:rsidRDefault="00E20255"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rPr>
      </w:pPr>
      <w:r w:rsidRPr="00E20255">
        <w:rPr>
          <w:rFonts w:ascii="Calibri" w:eastAsia="MS Mincho" w:hAnsi="Calibri" w:cs="Times New Roman"/>
          <w:snapToGrid w:val="0"/>
          <w:sz w:val="24"/>
          <w:szCs w:val="24"/>
        </w:rPr>
        <w:t>The Sustainable Cities</w:t>
      </w:r>
      <w:r w:rsidR="00C06DB2">
        <w:rPr>
          <w:rFonts w:ascii="Calibri" w:eastAsia="MS Mincho" w:hAnsi="Calibri" w:cs="Times New Roman"/>
          <w:snapToGrid w:val="0"/>
          <w:sz w:val="24"/>
          <w:szCs w:val="24"/>
        </w:rPr>
        <w:t xml:space="preserve"> </w:t>
      </w:r>
      <w:r w:rsidRPr="00E20255">
        <w:rPr>
          <w:rFonts w:ascii="Calibri" w:eastAsia="MS Mincho" w:hAnsi="Calibri" w:cs="Times New Roman"/>
          <w:snapToGrid w:val="0"/>
          <w:sz w:val="24"/>
          <w:szCs w:val="24"/>
        </w:rPr>
        <w:t>Impact Program</w:t>
      </w:r>
      <w:r w:rsidR="00CF6C9F">
        <w:rPr>
          <w:rFonts w:ascii="Calibri" w:eastAsia="MS Mincho" w:hAnsi="Calibri" w:cs="Times New Roman"/>
          <w:snapToGrid w:val="0"/>
          <w:sz w:val="24"/>
          <w:szCs w:val="24"/>
        </w:rPr>
        <w:t xml:space="preserve"> </w:t>
      </w:r>
      <w:r w:rsidRPr="00E20255">
        <w:rPr>
          <w:rFonts w:ascii="Calibri" w:eastAsia="MS Mincho" w:hAnsi="Calibri" w:cs="Times New Roman"/>
          <w:snapToGrid w:val="0"/>
          <w:sz w:val="24"/>
          <w:szCs w:val="24"/>
        </w:rPr>
        <w:t xml:space="preserve">builds on the experience of GEF-6 Sustainable Cities Integrated Approach Pilot. The main thrust of the program remains the same, namely, to support sustainable and integrated urban planning by enhancing policy and financing environments to promote innovations for improved urban infrastructure, and to revamp how cities operate at all levels and for all stakeholders. The Impact Program </w:t>
      </w:r>
      <w:bookmarkStart w:id="37" w:name="_Hlk507406357"/>
      <w:r w:rsidRPr="00E20255">
        <w:rPr>
          <w:rFonts w:ascii="Calibri" w:eastAsia="MS Mincho" w:hAnsi="Calibri" w:cs="Times New Roman"/>
          <w:snapToGrid w:val="0"/>
          <w:sz w:val="24"/>
          <w:szCs w:val="24"/>
        </w:rPr>
        <w:t xml:space="preserve">supports sustainable urban planning thru spatially integrated solutions in energy, buildings, transport, urban food systems, management of municipal solid waste and wastewater, and utilization of green space and infrastructure. </w:t>
      </w:r>
      <w:bookmarkEnd w:id="37"/>
      <w:r w:rsidRPr="00E20255">
        <w:rPr>
          <w:rFonts w:ascii="Calibri" w:eastAsia="MS Mincho" w:hAnsi="Calibri" w:cs="Times New Roman"/>
          <w:snapToGrid w:val="0"/>
          <w:sz w:val="24"/>
          <w:szCs w:val="24"/>
        </w:rPr>
        <w:t xml:space="preserve"> </w:t>
      </w:r>
    </w:p>
    <w:p w14:paraId="768D8681" w14:textId="22EB7DB6" w:rsidR="00E31E70" w:rsidRPr="0080016B" w:rsidRDefault="00E20255"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rPr>
      </w:pPr>
      <w:r w:rsidRPr="00E20255">
        <w:rPr>
          <w:rFonts w:ascii="Calibri" w:eastAsia="MS Mincho" w:hAnsi="Calibri" w:cs="Times New Roman"/>
          <w:snapToGrid w:val="0"/>
          <w:sz w:val="24"/>
          <w:szCs w:val="24"/>
        </w:rPr>
        <w:t>The Program will deliver results through two interlinked components: a) promoting innovative business models for integrated solutions and investments at city-level, and b) strengthening knowledge exchange on urban sustainability planning and investments. The program will contribute multiple global environmental benefits through decarbonization, reducing land degradation, and elimination of hazardous chemicals.   With regards to the CBD, the focus of the program on evidence-based spatial planning will generate the most biodiversity benefits.</w:t>
      </w:r>
    </w:p>
    <w:p w14:paraId="590F8E66" w14:textId="56926BA9" w:rsidR="00E31E70" w:rsidRDefault="00BF0E96"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lang w:val="en-GB"/>
        </w:rPr>
      </w:pPr>
      <w:r w:rsidRPr="00BF0E96">
        <w:rPr>
          <w:rFonts w:ascii="Calibri" w:eastAsia="MS Mincho" w:hAnsi="Calibri" w:cs="Times New Roman"/>
          <w:snapToGrid w:val="0"/>
          <w:sz w:val="24"/>
          <w:szCs w:val="24"/>
          <w:lang w:val="en-GB"/>
        </w:rPr>
        <w:t xml:space="preserve">Table </w:t>
      </w:r>
      <w:r w:rsidR="00355FE3">
        <w:rPr>
          <w:rFonts w:ascii="Calibri" w:eastAsia="MS Mincho" w:hAnsi="Calibri" w:cs="Times New Roman"/>
          <w:snapToGrid w:val="0"/>
          <w:sz w:val="24"/>
          <w:szCs w:val="24"/>
          <w:lang w:val="en-GB"/>
        </w:rPr>
        <w:t>8</w:t>
      </w:r>
      <w:r>
        <w:rPr>
          <w:rFonts w:ascii="Calibri" w:eastAsia="MS Mincho" w:hAnsi="Calibri" w:cs="Times New Roman"/>
          <w:snapToGrid w:val="0"/>
          <w:sz w:val="24"/>
          <w:szCs w:val="24"/>
          <w:lang w:val="en-GB"/>
        </w:rPr>
        <w:t xml:space="preserve"> </w:t>
      </w:r>
      <w:r w:rsidRPr="00BF0E96">
        <w:rPr>
          <w:rFonts w:ascii="Calibri" w:eastAsia="MS Mincho" w:hAnsi="Calibri" w:cs="Times New Roman"/>
          <w:snapToGrid w:val="0"/>
          <w:sz w:val="24"/>
          <w:szCs w:val="24"/>
          <w:lang w:val="en-GB"/>
        </w:rPr>
        <w:t>below depicts the contribution of GEF S</w:t>
      </w:r>
      <w:r w:rsidR="00C77163">
        <w:rPr>
          <w:rFonts w:ascii="Calibri" w:eastAsia="MS Mincho" w:hAnsi="Calibri" w:cs="Times New Roman"/>
          <w:snapToGrid w:val="0"/>
          <w:sz w:val="24"/>
          <w:szCs w:val="24"/>
          <w:lang w:val="en-GB"/>
        </w:rPr>
        <w:t xml:space="preserve">ustainable </w:t>
      </w:r>
      <w:r w:rsidR="009D765B">
        <w:rPr>
          <w:rFonts w:ascii="Calibri" w:eastAsia="MS Mincho" w:hAnsi="Calibri" w:cs="Times New Roman"/>
          <w:snapToGrid w:val="0"/>
          <w:sz w:val="24"/>
          <w:szCs w:val="24"/>
          <w:lang w:val="en-GB"/>
        </w:rPr>
        <w:t>Cities I</w:t>
      </w:r>
      <w:r w:rsidR="002F1986">
        <w:rPr>
          <w:rFonts w:ascii="Calibri" w:eastAsia="MS Mincho" w:hAnsi="Calibri" w:cs="Times New Roman"/>
          <w:snapToGrid w:val="0"/>
          <w:sz w:val="24"/>
          <w:szCs w:val="24"/>
          <w:lang w:val="en-GB"/>
        </w:rPr>
        <w:t>mpact Program</w:t>
      </w:r>
      <w:r>
        <w:rPr>
          <w:rFonts w:ascii="Calibri" w:eastAsia="MS Mincho" w:hAnsi="Calibri" w:cs="Times New Roman"/>
          <w:snapToGrid w:val="0"/>
          <w:sz w:val="24"/>
          <w:szCs w:val="24"/>
          <w:lang w:val="en-GB"/>
        </w:rPr>
        <w:t xml:space="preserve"> </w:t>
      </w:r>
      <w:r w:rsidRPr="00BF0E96">
        <w:rPr>
          <w:rFonts w:ascii="Calibri" w:eastAsia="MS Mincho" w:hAnsi="Calibri" w:cs="Times New Roman"/>
          <w:snapToGrid w:val="0"/>
          <w:sz w:val="24"/>
          <w:szCs w:val="24"/>
          <w:lang w:val="en-GB"/>
        </w:rPr>
        <w:t>resources to achieving the Aichi Biodiversity Targets as prioritized by countries.</w:t>
      </w:r>
      <w:r w:rsidR="00001B38">
        <w:rPr>
          <w:rFonts w:ascii="Calibri" w:eastAsia="MS Mincho" w:hAnsi="Calibri" w:cs="Times New Roman"/>
          <w:snapToGrid w:val="0"/>
          <w:sz w:val="24"/>
          <w:szCs w:val="24"/>
          <w:lang w:val="en-GB"/>
        </w:rPr>
        <w:t xml:space="preserve">  </w:t>
      </w:r>
      <w:r w:rsidR="00001B38" w:rsidRPr="00AA3F32">
        <w:rPr>
          <w:rFonts w:ascii="Calibri" w:eastAsia="MS Mincho" w:hAnsi="Calibri" w:cs="Times New Roman"/>
          <w:snapToGrid w:val="0"/>
          <w:sz w:val="24"/>
          <w:szCs w:val="24"/>
          <w:lang w:val="en-GB"/>
        </w:rPr>
        <w:t>Of the $</w:t>
      </w:r>
      <w:r w:rsidR="00CF6C9F" w:rsidRPr="00AA3F32">
        <w:rPr>
          <w:rFonts w:ascii="Calibri" w:eastAsia="MS Mincho" w:hAnsi="Calibri" w:cs="Times New Roman"/>
          <w:snapToGrid w:val="0"/>
          <w:sz w:val="24"/>
          <w:szCs w:val="24"/>
          <w:lang w:val="en-GB"/>
        </w:rPr>
        <w:t>146.7</w:t>
      </w:r>
      <w:r w:rsidR="00001B38" w:rsidRPr="00AA3F32">
        <w:rPr>
          <w:rFonts w:ascii="Calibri" w:eastAsia="MS Mincho" w:hAnsi="Calibri" w:cs="Times New Roman"/>
          <w:snapToGrid w:val="0"/>
          <w:sz w:val="24"/>
          <w:szCs w:val="24"/>
          <w:lang w:val="en-GB"/>
        </w:rPr>
        <w:t xml:space="preserve"> million of GEF project financing in</w:t>
      </w:r>
      <w:r w:rsidR="00060DDA" w:rsidRPr="00AA3F32">
        <w:rPr>
          <w:rFonts w:ascii="Calibri" w:eastAsia="MS Mincho" w:hAnsi="Calibri" w:cs="Times New Roman"/>
          <w:snapToGrid w:val="0"/>
          <w:sz w:val="24"/>
          <w:szCs w:val="24"/>
          <w:lang w:val="en-GB"/>
        </w:rPr>
        <w:t xml:space="preserve"> the</w:t>
      </w:r>
      <w:r w:rsidR="00001B38" w:rsidRPr="00AA3F32">
        <w:rPr>
          <w:rFonts w:ascii="Calibri" w:eastAsia="MS Mincho" w:hAnsi="Calibri" w:cs="Times New Roman"/>
          <w:snapToGrid w:val="0"/>
          <w:sz w:val="24"/>
          <w:szCs w:val="24"/>
          <w:lang w:val="en-GB"/>
        </w:rPr>
        <w:t xml:space="preserve"> </w:t>
      </w:r>
      <w:r w:rsidR="00CF6C9F" w:rsidRPr="00AA3F32">
        <w:rPr>
          <w:rFonts w:ascii="Calibri" w:eastAsia="MS Mincho" w:hAnsi="Calibri" w:cs="Times New Roman"/>
          <w:snapToGrid w:val="0"/>
          <w:sz w:val="24"/>
          <w:szCs w:val="24"/>
          <w:lang w:val="en-GB"/>
        </w:rPr>
        <w:t>S</w:t>
      </w:r>
      <w:r w:rsidR="00584AD7" w:rsidRPr="00AA3F32">
        <w:rPr>
          <w:rFonts w:ascii="Calibri" w:eastAsia="MS Mincho" w:hAnsi="Calibri" w:cs="Times New Roman"/>
          <w:snapToGrid w:val="0"/>
          <w:sz w:val="24"/>
          <w:szCs w:val="24"/>
          <w:lang w:val="en-GB"/>
        </w:rPr>
        <w:t xml:space="preserve">ustainable </w:t>
      </w:r>
      <w:r w:rsidR="00CF6C9F" w:rsidRPr="00AA3F32">
        <w:rPr>
          <w:rFonts w:ascii="Calibri" w:eastAsia="MS Mincho" w:hAnsi="Calibri" w:cs="Times New Roman"/>
          <w:snapToGrid w:val="0"/>
          <w:sz w:val="24"/>
          <w:szCs w:val="24"/>
          <w:lang w:val="en-GB"/>
        </w:rPr>
        <w:t>C</w:t>
      </w:r>
      <w:r w:rsidR="00584AD7" w:rsidRPr="00AA3F32">
        <w:rPr>
          <w:rFonts w:ascii="Calibri" w:eastAsia="MS Mincho" w:hAnsi="Calibri" w:cs="Times New Roman"/>
          <w:snapToGrid w:val="0"/>
          <w:sz w:val="24"/>
          <w:szCs w:val="24"/>
          <w:lang w:val="en-GB"/>
        </w:rPr>
        <w:t>ities</w:t>
      </w:r>
      <w:r w:rsidR="00C06DB2" w:rsidRPr="00AA3F32">
        <w:rPr>
          <w:rFonts w:ascii="Calibri" w:eastAsia="MS Mincho" w:hAnsi="Calibri" w:cs="Times New Roman"/>
          <w:snapToGrid w:val="0"/>
          <w:sz w:val="24"/>
          <w:szCs w:val="24"/>
          <w:lang w:val="en-GB"/>
        </w:rPr>
        <w:t xml:space="preserve"> Impact Program</w:t>
      </w:r>
      <w:r w:rsidR="00001B38" w:rsidRPr="00AA3F32">
        <w:rPr>
          <w:rFonts w:ascii="Calibri" w:eastAsia="MS Mincho" w:hAnsi="Calibri" w:cs="Times New Roman"/>
          <w:snapToGrid w:val="0"/>
          <w:sz w:val="24"/>
          <w:szCs w:val="24"/>
          <w:lang w:val="en-GB"/>
        </w:rPr>
        <w:t>, $</w:t>
      </w:r>
      <w:r w:rsidR="00F828A9" w:rsidRPr="00AA3F32">
        <w:rPr>
          <w:lang w:val="en-GB"/>
        </w:rPr>
        <w:t>33.3</w:t>
      </w:r>
      <w:r w:rsidR="00AA3F32">
        <w:rPr>
          <w:lang w:val="en-GB"/>
        </w:rPr>
        <w:t xml:space="preserve"> </w:t>
      </w:r>
      <w:r w:rsidR="00001B38" w:rsidRPr="00AA3F32">
        <w:rPr>
          <w:rFonts w:ascii="Calibri" w:eastAsia="MS Mincho" w:hAnsi="Calibri" w:cs="Times New Roman"/>
          <w:snapToGrid w:val="0"/>
          <w:sz w:val="24"/>
          <w:szCs w:val="24"/>
          <w:lang w:val="en-GB"/>
        </w:rPr>
        <w:t>million came from the biodiversity focal area</w:t>
      </w:r>
      <w:r w:rsidR="00D144ED" w:rsidRPr="00AA3F32">
        <w:rPr>
          <w:rFonts w:ascii="Calibri" w:eastAsia="MS Mincho" w:hAnsi="Calibri" w:cs="Times New Roman"/>
          <w:snapToGrid w:val="0"/>
          <w:sz w:val="24"/>
          <w:szCs w:val="24"/>
          <w:lang w:val="en-GB"/>
        </w:rPr>
        <w:t xml:space="preserve"> allocations under the STAR.</w:t>
      </w:r>
    </w:p>
    <w:p w14:paraId="2158173A" w14:textId="30992CED" w:rsidR="00D30DB1" w:rsidRPr="00D30DB1" w:rsidRDefault="00D30DB1" w:rsidP="00D722AE">
      <w:pPr>
        <w:spacing w:before="240" w:after="240" w:line="240" w:lineRule="auto"/>
        <w:jc w:val="center"/>
        <w:rPr>
          <w:rFonts w:ascii="Calibri" w:eastAsia="MS Mincho" w:hAnsi="Calibri" w:cs="Times New Roman"/>
          <w:b/>
          <w:snapToGrid w:val="0"/>
          <w:sz w:val="24"/>
          <w:szCs w:val="24"/>
          <w:lang w:val="en-GB"/>
        </w:rPr>
      </w:pPr>
      <w:r w:rsidRPr="00D30DB1">
        <w:rPr>
          <w:rFonts w:ascii="Calibri" w:eastAsia="MS Mincho" w:hAnsi="Calibri" w:cs="Times New Roman"/>
          <w:b/>
          <w:snapToGrid w:val="0"/>
          <w:sz w:val="24"/>
          <w:szCs w:val="24"/>
          <w:lang w:val="en-GB"/>
        </w:rPr>
        <w:t xml:space="preserve">Table </w:t>
      </w:r>
      <w:r w:rsidR="00355FE3">
        <w:rPr>
          <w:rFonts w:ascii="Calibri" w:eastAsia="MS Mincho" w:hAnsi="Calibri" w:cs="Times New Roman"/>
          <w:b/>
          <w:snapToGrid w:val="0"/>
          <w:sz w:val="24"/>
          <w:szCs w:val="24"/>
          <w:lang w:val="en-GB"/>
        </w:rPr>
        <w:t>8</w:t>
      </w:r>
      <w:r w:rsidRPr="00D30DB1">
        <w:rPr>
          <w:rFonts w:ascii="Calibri" w:eastAsia="MS Mincho" w:hAnsi="Calibri" w:cs="Times New Roman"/>
          <w:b/>
          <w:snapToGrid w:val="0"/>
          <w:sz w:val="24"/>
          <w:szCs w:val="24"/>
          <w:lang w:val="en-GB"/>
        </w:rPr>
        <w:t>. Cumulative Distribution of GEF-</w:t>
      </w:r>
      <w:r w:rsidR="007A4C6F">
        <w:rPr>
          <w:rFonts w:ascii="Calibri" w:eastAsia="MS Mincho" w:hAnsi="Calibri" w:cs="Times New Roman"/>
          <w:b/>
          <w:snapToGrid w:val="0"/>
          <w:sz w:val="24"/>
          <w:szCs w:val="24"/>
          <w:lang w:val="en-GB"/>
        </w:rPr>
        <w:t>7</w:t>
      </w:r>
      <w:r w:rsidRPr="00D30DB1">
        <w:rPr>
          <w:rFonts w:ascii="Calibri" w:eastAsia="MS Mincho" w:hAnsi="Calibri" w:cs="Times New Roman"/>
          <w:b/>
          <w:snapToGrid w:val="0"/>
          <w:sz w:val="24"/>
          <w:szCs w:val="24"/>
          <w:lang w:val="en-GB"/>
        </w:rPr>
        <w:t xml:space="preserve"> Resources by </w:t>
      </w:r>
      <w:r w:rsidR="004F4332">
        <w:rPr>
          <w:rFonts w:ascii="Calibri" w:eastAsia="MS Mincho" w:hAnsi="Calibri" w:cs="Times New Roman"/>
          <w:b/>
          <w:snapToGrid w:val="0"/>
          <w:sz w:val="24"/>
          <w:szCs w:val="24"/>
          <w:lang w:val="en-GB"/>
        </w:rPr>
        <w:t>the Sustainable Cities Impact</w:t>
      </w:r>
      <w:r w:rsidRPr="00D30DB1">
        <w:rPr>
          <w:rFonts w:ascii="Calibri" w:eastAsia="MS Mincho" w:hAnsi="Calibri" w:cs="Times New Roman"/>
          <w:b/>
          <w:snapToGrid w:val="0"/>
          <w:sz w:val="24"/>
          <w:szCs w:val="24"/>
          <w:lang w:val="en-GB"/>
        </w:rPr>
        <w:t xml:space="preserve"> Program and Contributions to Achieving the Aichi Biodiversity</w:t>
      </w:r>
      <w:r w:rsidR="004F4332">
        <w:rPr>
          <w:rFonts w:ascii="Calibri" w:eastAsia="MS Mincho" w:hAnsi="Calibri" w:cs="Times New Roman"/>
          <w:b/>
          <w:snapToGrid w:val="0"/>
          <w:sz w:val="24"/>
          <w:szCs w:val="24"/>
          <w:lang w:val="en-GB"/>
        </w:rPr>
        <w:t xml:space="preserve"> Targets</w:t>
      </w:r>
      <w:r w:rsidRPr="00D30DB1">
        <w:rPr>
          <w:rFonts w:ascii="Calibri" w:eastAsia="MS Mincho" w:hAnsi="Calibri" w:cs="Times New Roman"/>
          <w:b/>
          <w:snapToGrid w:val="0"/>
          <w:sz w:val="24"/>
          <w:szCs w:val="24"/>
          <w:lang w:val="en-GB"/>
        </w:rPr>
        <w:t xml:space="preserve"> </w:t>
      </w:r>
      <w:r w:rsidRPr="00D30DB1">
        <w:rPr>
          <w:rFonts w:ascii="Calibri" w:eastAsia="MS Mincho" w:hAnsi="Calibri" w:cs="Times New Roman"/>
          <w:b/>
          <w:snapToGrid w:val="0"/>
          <w:sz w:val="24"/>
          <w:szCs w:val="24"/>
        </w:rPr>
        <w:t>(July 1, 201</w:t>
      </w:r>
      <w:r w:rsidR="004F4332">
        <w:rPr>
          <w:rFonts w:ascii="Calibri" w:eastAsia="MS Mincho" w:hAnsi="Calibri" w:cs="Times New Roman"/>
          <w:b/>
          <w:snapToGrid w:val="0"/>
          <w:sz w:val="24"/>
          <w:szCs w:val="24"/>
        </w:rPr>
        <w:t>8</w:t>
      </w:r>
      <w:r w:rsidR="00E31E70">
        <w:rPr>
          <w:rFonts w:ascii="Calibri" w:eastAsia="MS Mincho" w:hAnsi="Calibri" w:cs="Times New Roman"/>
          <w:b/>
          <w:snapToGrid w:val="0"/>
          <w:sz w:val="24"/>
          <w:szCs w:val="24"/>
        </w:rPr>
        <w:t xml:space="preserve"> to December 31, 2019</w:t>
      </w:r>
      <w:r w:rsidRPr="00D30DB1">
        <w:rPr>
          <w:rFonts w:ascii="Calibri" w:eastAsia="MS Mincho" w:hAnsi="Calibri" w:cs="Times New Roman"/>
          <w:b/>
          <w:snapToGrid w:val="0"/>
          <w:sz w:val="24"/>
          <w:szCs w:val="24"/>
        </w:rPr>
        <w:t>)</w:t>
      </w:r>
      <w:r w:rsidRPr="00D30DB1">
        <w:rPr>
          <w:rFonts w:ascii="Calibri" w:eastAsia="MS Mincho" w:hAnsi="Calibri" w:cs="Times New Roman"/>
          <w:b/>
          <w:snapToGrid w:val="0"/>
          <w:sz w:val="18"/>
          <w:szCs w:val="24"/>
          <w:vertAlign w:val="superscript"/>
          <w:lang w:val="en-GB"/>
        </w:rPr>
        <w:t xml:space="preserve"> </w:t>
      </w:r>
      <w:r w:rsidRPr="00D30DB1">
        <w:rPr>
          <w:rFonts w:ascii="Calibri" w:eastAsia="MS Mincho" w:hAnsi="Calibri" w:cs="Times New Roman"/>
          <w:b/>
          <w:snapToGrid w:val="0"/>
          <w:sz w:val="18"/>
          <w:szCs w:val="24"/>
          <w:vertAlign w:val="superscript"/>
          <w:lang w:val="en-GB"/>
        </w:rPr>
        <w:footnoteReference w:id="13"/>
      </w:r>
    </w:p>
    <w:tbl>
      <w:tblPr>
        <w:tblW w:w="4997" w:type="pct"/>
        <w:tblBorders>
          <w:top w:val="single" w:sz="12" w:space="0" w:color="008000"/>
          <w:bottom w:val="single" w:sz="12" w:space="0" w:color="008000"/>
        </w:tblBorders>
        <w:tblLook w:val="04A0" w:firstRow="1" w:lastRow="0" w:firstColumn="1" w:lastColumn="0" w:noHBand="0" w:noVBand="1"/>
      </w:tblPr>
      <w:tblGrid>
        <w:gridCol w:w="2389"/>
        <w:gridCol w:w="1641"/>
        <w:gridCol w:w="1886"/>
        <w:gridCol w:w="1719"/>
        <w:gridCol w:w="1719"/>
      </w:tblGrid>
      <w:tr w:rsidR="00D30DB1" w:rsidRPr="00D30DB1" w14:paraId="5BB1AC16" w14:textId="77777777" w:rsidTr="008354E6">
        <w:trPr>
          <w:trHeight w:val="570"/>
        </w:trPr>
        <w:tc>
          <w:tcPr>
            <w:tcW w:w="1277" w:type="pct"/>
            <w:tcBorders>
              <w:bottom w:val="single" w:sz="6" w:space="0" w:color="008000"/>
            </w:tcBorders>
            <w:shd w:val="clear" w:color="auto" w:fill="auto"/>
            <w:hideMark/>
          </w:tcPr>
          <w:p w14:paraId="4B7FD81F" w14:textId="45816631" w:rsidR="00D30DB1" w:rsidRPr="00D30DB1" w:rsidRDefault="00D30DB1" w:rsidP="00D30DB1">
            <w:pPr>
              <w:spacing w:after="0" w:line="240" w:lineRule="auto"/>
              <w:rPr>
                <w:rFonts w:ascii="Calibri" w:eastAsia="Times New Roman" w:hAnsi="Calibri" w:cs="Times New Roman"/>
                <w:b/>
                <w:bCs/>
                <w:color w:val="000000"/>
                <w:lang w:val="en-GB"/>
              </w:rPr>
            </w:pPr>
          </w:p>
        </w:tc>
        <w:tc>
          <w:tcPr>
            <w:tcW w:w="877" w:type="pct"/>
            <w:tcBorders>
              <w:bottom w:val="single" w:sz="6" w:space="0" w:color="008000"/>
            </w:tcBorders>
            <w:shd w:val="clear" w:color="auto" w:fill="auto"/>
            <w:hideMark/>
          </w:tcPr>
          <w:p w14:paraId="0293051E"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Aichi Biodiversity Targets</w:t>
            </w:r>
          </w:p>
        </w:tc>
        <w:tc>
          <w:tcPr>
            <w:tcW w:w="1008" w:type="pct"/>
            <w:tcBorders>
              <w:bottom w:val="single" w:sz="6" w:space="0" w:color="008000"/>
            </w:tcBorders>
            <w:shd w:val="clear" w:color="auto" w:fill="auto"/>
          </w:tcPr>
          <w:p w14:paraId="5D37F9EF" w14:textId="4C167318"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 xml:space="preserve">GEF Project </w:t>
            </w:r>
            <w:r w:rsidR="00F018EA">
              <w:rPr>
                <w:rFonts w:ascii="Calibri" w:eastAsia="Times New Roman" w:hAnsi="Calibri" w:cs="Times New Roman"/>
                <w:b/>
                <w:bCs/>
                <w:color w:val="000000"/>
                <w:lang w:val="en-GB"/>
              </w:rPr>
              <w:t xml:space="preserve">Financing </w:t>
            </w:r>
            <w:r w:rsidR="00486A9D">
              <w:rPr>
                <w:rFonts w:ascii="Calibri" w:eastAsia="Times New Roman" w:hAnsi="Calibri" w:cs="Times New Roman"/>
                <w:b/>
                <w:bCs/>
                <w:color w:val="000000"/>
                <w:lang w:val="en-GB"/>
              </w:rPr>
              <w:br/>
            </w:r>
            <w:r w:rsidRPr="00D30DB1">
              <w:rPr>
                <w:rFonts w:ascii="Calibri" w:eastAsia="Times New Roman" w:hAnsi="Calibri" w:cs="Times New Roman"/>
                <w:b/>
                <w:bCs/>
                <w:color w:val="000000"/>
                <w:lang w:val="en-GB"/>
              </w:rPr>
              <w:t>($ million)</w:t>
            </w:r>
          </w:p>
        </w:tc>
        <w:tc>
          <w:tcPr>
            <w:tcW w:w="919" w:type="pct"/>
            <w:tcBorders>
              <w:bottom w:val="single" w:sz="6" w:space="0" w:color="008000"/>
            </w:tcBorders>
            <w:shd w:val="clear" w:color="auto" w:fill="auto"/>
            <w:hideMark/>
          </w:tcPr>
          <w:p w14:paraId="477C1BD8" w14:textId="7C835CF7" w:rsidR="00D30DB1" w:rsidRPr="00D30DB1" w:rsidRDefault="002D582B" w:rsidP="00D30DB1">
            <w:pPr>
              <w:spacing w:after="0" w:line="240" w:lineRule="auto"/>
              <w:rPr>
                <w:rFonts w:ascii="Calibri" w:eastAsia="Times New Roman" w:hAnsi="Calibri" w:cs="Times New Roman"/>
                <w:b/>
                <w:bCs/>
                <w:color w:val="000000"/>
                <w:lang w:val="en-GB"/>
              </w:rPr>
            </w:pPr>
            <w:r>
              <w:rPr>
                <w:rFonts w:ascii="Calibri" w:eastAsia="Times New Roman" w:hAnsi="Calibri" w:cs="Times New Roman"/>
                <w:b/>
                <w:bCs/>
                <w:color w:val="000000"/>
                <w:lang w:val="en-GB"/>
              </w:rPr>
              <w:t>Co-financing</w:t>
            </w:r>
            <w:r w:rsidR="00D30DB1" w:rsidRPr="00D30DB1">
              <w:rPr>
                <w:rFonts w:ascii="Calibri" w:eastAsia="Times New Roman" w:hAnsi="Calibri" w:cs="Times New Roman"/>
                <w:b/>
                <w:bCs/>
                <w:color w:val="000000"/>
                <w:lang w:val="en-GB"/>
              </w:rPr>
              <w:t xml:space="preserve"> </w:t>
            </w:r>
          </w:p>
          <w:p w14:paraId="7F450C06"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 xml:space="preserve">($ million) </w:t>
            </w:r>
          </w:p>
        </w:tc>
        <w:tc>
          <w:tcPr>
            <w:tcW w:w="919" w:type="pct"/>
            <w:tcBorders>
              <w:bottom w:val="single" w:sz="6" w:space="0" w:color="008000"/>
            </w:tcBorders>
            <w:shd w:val="clear" w:color="auto" w:fill="auto"/>
          </w:tcPr>
          <w:p w14:paraId="16EB4B3A"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Total resources ($ million)</w:t>
            </w:r>
          </w:p>
        </w:tc>
      </w:tr>
      <w:tr w:rsidR="00D30DB1" w:rsidRPr="00D30DB1" w14:paraId="4C995368" w14:textId="77777777" w:rsidTr="007E409E">
        <w:trPr>
          <w:trHeight w:val="786"/>
        </w:trPr>
        <w:tc>
          <w:tcPr>
            <w:tcW w:w="1277" w:type="pct"/>
            <w:shd w:val="clear" w:color="auto" w:fill="auto"/>
          </w:tcPr>
          <w:p w14:paraId="56DB7955" w14:textId="05AD31B6" w:rsidR="00D30DB1" w:rsidRPr="00D30DB1" w:rsidRDefault="00FB00DA" w:rsidP="00D30DB1">
            <w:pPr>
              <w:spacing w:after="0" w:line="240" w:lineRule="auto"/>
              <w:rPr>
                <w:rFonts w:ascii="Calibri" w:eastAsia="Times New Roman" w:hAnsi="Calibri" w:cs="Times New Roman"/>
                <w:color w:val="000000"/>
                <w:lang w:val="en-GB"/>
              </w:rPr>
            </w:pPr>
            <w:r w:rsidRPr="00FB00DA">
              <w:rPr>
                <w:rFonts w:ascii="Calibri" w:eastAsia="Times New Roman" w:hAnsi="Calibri" w:cs="Times New Roman"/>
                <w:b/>
                <w:bCs/>
                <w:color w:val="000000"/>
                <w:lang w:val="en-GB"/>
              </w:rPr>
              <w:t xml:space="preserve">Sustainable Cities Impact Program </w:t>
            </w:r>
            <w:r w:rsidRPr="00D30DB1">
              <w:rPr>
                <w:rFonts w:ascii="Calibri" w:eastAsia="Times New Roman" w:hAnsi="Calibri" w:cs="Times New Roman"/>
                <w:b/>
                <w:bCs/>
                <w:color w:val="000000"/>
                <w:lang w:val="en-GB"/>
              </w:rPr>
              <w:t xml:space="preserve"> </w:t>
            </w:r>
          </w:p>
          <w:p w14:paraId="3CCA8473" w14:textId="77777777" w:rsidR="00D30DB1" w:rsidRPr="00D30DB1" w:rsidRDefault="00D30DB1" w:rsidP="00D30DB1">
            <w:pPr>
              <w:spacing w:after="0" w:line="240" w:lineRule="auto"/>
              <w:rPr>
                <w:rFonts w:ascii="Calibri" w:eastAsia="Times New Roman" w:hAnsi="Calibri" w:cs="Times New Roman"/>
                <w:color w:val="000000"/>
                <w:lang w:val="en-GB"/>
              </w:rPr>
            </w:pPr>
          </w:p>
        </w:tc>
        <w:tc>
          <w:tcPr>
            <w:tcW w:w="877" w:type="pct"/>
            <w:shd w:val="clear" w:color="auto" w:fill="auto"/>
            <w:hideMark/>
          </w:tcPr>
          <w:p w14:paraId="4048100F" w14:textId="77777777" w:rsidR="00D30DB1" w:rsidRPr="00D30DB1" w:rsidRDefault="00D30DB1" w:rsidP="00D30DB1">
            <w:pPr>
              <w:spacing w:after="0" w:line="240" w:lineRule="auto"/>
              <w:rPr>
                <w:rFonts w:ascii="Calibri" w:eastAsia="Times New Roman" w:hAnsi="Calibri" w:cs="Times New Roman"/>
                <w:color w:val="000000"/>
                <w:lang w:val="en-GB"/>
              </w:rPr>
            </w:pPr>
          </w:p>
          <w:p w14:paraId="279CF8F3" w14:textId="1E0F542F" w:rsidR="00D30DB1" w:rsidRPr="00D30DB1" w:rsidRDefault="002E7804"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 xml:space="preserve">2, </w:t>
            </w:r>
            <w:r w:rsidR="0065498C">
              <w:rPr>
                <w:rFonts w:ascii="Calibri" w:eastAsia="Times New Roman" w:hAnsi="Calibri" w:cs="Times New Roman"/>
                <w:color w:val="000000"/>
                <w:lang w:val="en-GB"/>
              </w:rPr>
              <w:t>14</w:t>
            </w:r>
            <w:r w:rsidR="00180EC8">
              <w:rPr>
                <w:rFonts w:ascii="Calibri" w:eastAsia="Times New Roman" w:hAnsi="Calibri" w:cs="Times New Roman"/>
                <w:color w:val="000000"/>
                <w:lang w:val="en-GB"/>
              </w:rPr>
              <w:t>, 15</w:t>
            </w:r>
          </w:p>
        </w:tc>
        <w:tc>
          <w:tcPr>
            <w:tcW w:w="1008" w:type="pct"/>
            <w:tcBorders>
              <w:top w:val="nil"/>
              <w:left w:val="nil"/>
              <w:bottom w:val="single" w:sz="12" w:space="0" w:color="008000"/>
              <w:right w:val="nil"/>
            </w:tcBorders>
          </w:tcPr>
          <w:p w14:paraId="4C075286" w14:textId="77777777" w:rsidR="00D30DB1" w:rsidRPr="00D30DB1" w:rsidRDefault="00D30DB1" w:rsidP="00D30DB1">
            <w:pPr>
              <w:spacing w:after="0" w:line="240" w:lineRule="auto"/>
              <w:jc w:val="center"/>
              <w:rPr>
                <w:rFonts w:ascii="Calibri" w:eastAsia="MS Mincho" w:hAnsi="Calibri" w:cs="Calibri"/>
                <w:color w:val="000000"/>
              </w:rPr>
            </w:pPr>
          </w:p>
          <w:p w14:paraId="4FF5CD20" w14:textId="4D7487D6" w:rsidR="00D30DB1" w:rsidRPr="00D30DB1" w:rsidRDefault="00246E65" w:rsidP="0057704D">
            <w:pPr>
              <w:spacing w:after="0" w:line="240" w:lineRule="auto"/>
              <w:rPr>
                <w:rFonts w:ascii="Calibri" w:eastAsia="MS Mincho" w:hAnsi="Calibri" w:cs="Calibri"/>
                <w:color w:val="000000"/>
                <w:lang w:val="en-GB"/>
              </w:rPr>
            </w:pPr>
            <w:r>
              <w:rPr>
                <w:rFonts w:ascii="Calibri" w:eastAsia="MS Mincho" w:hAnsi="Calibri" w:cs="Calibri"/>
                <w:color w:val="000000"/>
                <w:lang w:val="en-GB"/>
              </w:rPr>
              <w:t>146.7</w:t>
            </w:r>
          </w:p>
        </w:tc>
        <w:tc>
          <w:tcPr>
            <w:tcW w:w="919" w:type="pct"/>
            <w:tcBorders>
              <w:top w:val="nil"/>
              <w:left w:val="nil"/>
              <w:bottom w:val="single" w:sz="12" w:space="0" w:color="008000"/>
              <w:right w:val="nil"/>
            </w:tcBorders>
          </w:tcPr>
          <w:p w14:paraId="23CB146D" w14:textId="77777777" w:rsidR="00D30DB1" w:rsidRPr="00D30DB1" w:rsidRDefault="00D30DB1" w:rsidP="00D30DB1">
            <w:pPr>
              <w:spacing w:after="0" w:line="240" w:lineRule="auto"/>
              <w:jc w:val="center"/>
              <w:rPr>
                <w:rFonts w:ascii="Calibri" w:eastAsia="MS Mincho" w:hAnsi="Calibri" w:cs="Calibri"/>
                <w:color w:val="000000"/>
                <w:lang w:val="en-GB"/>
              </w:rPr>
            </w:pPr>
          </w:p>
          <w:p w14:paraId="385CAE55" w14:textId="39289292" w:rsidR="00D30DB1" w:rsidRDefault="00246E65" w:rsidP="0057704D">
            <w:pPr>
              <w:spacing w:after="0" w:line="240" w:lineRule="auto"/>
              <w:rPr>
                <w:rFonts w:ascii="Calibri" w:eastAsia="MS Mincho" w:hAnsi="Calibri" w:cs="Calibri"/>
                <w:color w:val="000000"/>
              </w:rPr>
            </w:pPr>
            <w:r>
              <w:rPr>
                <w:rFonts w:ascii="Calibri" w:eastAsia="MS Mincho" w:hAnsi="Calibri" w:cs="Calibri"/>
                <w:color w:val="000000"/>
              </w:rPr>
              <w:t>1,689.8</w:t>
            </w:r>
          </w:p>
          <w:p w14:paraId="40DB5E3B" w14:textId="0A8C0306" w:rsidR="00246E65" w:rsidRPr="00D30DB1" w:rsidRDefault="00246E65" w:rsidP="00D30DB1">
            <w:pPr>
              <w:spacing w:after="0" w:line="240" w:lineRule="auto"/>
              <w:jc w:val="center"/>
              <w:rPr>
                <w:rFonts w:ascii="Calibri" w:eastAsia="MS Mincho" w:hAnsi="Calibri" w:cs="Calibri"/>
                <w:color w:val="000000"/>
              </w:rPr>
            </w:pPr>
          </w:p>
        </w:tc>
        <w:tc>
          <w:tcPr>
            <w:tcW w:w="919" w:type="pct"/>
            <w:tcBorders>
              <w:top w:val="nil"/>
              <w:left w:val="nil"/>
              <w:bottom w:val="single" w:sz="12" w:space="0" w:color="008000"/>
              <w:right w:val="nil"/>
            </w:tcBorders>
          </w:tcPr>
          <w:p w14:paraId="4216B6F5" w14:textId="77777777" w:rsidR="00D30DB1" w:rsidRDefault="00D30DB1" w:rsidP="00FB00DA">
            <w:pPr>
              <w:spacing w:after="0" w:line="240" w:lineRule="auto"/>
              <w:rPr>
                <w:rFonts w:ascii="Calibri" w:eastAsia="MS Mincho" w:hAnsi="Calibri" w:cs="Calibri"/>
                <w:color w:val="000000"/>
                <w:lang w:val="en-GB"/>
              </w:rPr>
            </w:pPr>
          </w:p>
          <w:p w14:paraId="2F14D0C1" w14:textId="05B8F3ED" w:rsidR="00246E65" w:rsidRPr="00D30DB1" w:rsidRDefault="00FD132F" w:rsidP="00FB00DA">
            <w:pPr>
              <w:spacing w:after="0" w:line="240" w:lineRule="auto"/>
              <w:rPr>
                <w:rFonts w:ascii="Calibri" w:eastAsia="MS Mincho" w:hAnsi="Calibri" w:cs="Calibri"/>
                <w:color w:val="000000"/>
                <w:lang w:val="en-GB"/>
              </w:rPr>
            </w:pPr>
            <w:r>
              <w:rPr>
                <w:rFonts w:ascii="Calibri" w:eastAsia="MS Mincho" w:hAnsi="Calibri" w:cs="Calibri"/>
                <w:color w:val="000000"/>
                <w:lang w:val="en-GB"/>
              </w:rPr>
              <w:t>1,8</w:t>
            </w:r>
            <w:r w:rsidR="00674225">
              <w:rPr>
                <w:rFonts w:ascii="Calibri" w:eastAsia="MS Mincho" w:hAnsi="Calibri" w:cs="Calibri"/>
                <w:color w:val="000000"/>
                <w:lang w:val="en-GB"/>
              </w:rPr>
              <w:t>36.5</w:t>
            </w:r>
          </w:p>
        </w:tc>
      </w:tr>
    </w:tbl>
    <w:p w14:paraId="64DF9CC0" w14:textId="77777777" w:rsidR="00046027" w:rsidRDefault="00046027" w:rsidP="000C09D1">
      <w:pPr>
        <w:pStyle w:val="Heading2"/>
      </w:pPr>
    </w:p>
    <w:p w14:paraId="745D5743" w14:textId="19B58C9A" w:rsidR="00B728E0" w:rsidRPr="00B20B34" w:rsidRDefault="00B728E0" w:rsidP="000C09D1">
      <w:pPr>
        <w:pStyle w:val="Heading2"/>
      </w:pPr>
      <w:bookmarkStart w:id="38" w:name="_Toc32494925"/>
      <w:r w:rsidRPr="00B20B34">
        <w:t>Other GEF Contributions to Achieving the Aichi Biodiversity Targets</w:t>
      </w:r>
      <w:bookmarkEnd w:id="38"/>
    </w:p>
    <w:p w14:paraId="312187B6" w14:textId="1B8D6056" w:rsidR="00D30DB1" w:rsidRPr="009B5EC4" w:rsidRDefault="00D30DB1" w:rsidP="00105FB1">
      <w:pPr>
        <w:pStyle w:val="Heading3"/>
        <w:rPr>
          <w:snapToGrid w:val="0"/>
        </w:rPr>
      </w:pPr>
      <w:bookmarkStart w:id="39" w:name="_Toc32494926"/>
      <w:r w:rsidRPr="009B5EC4">
        <w:rPr>
          <w:snapToGrid w:val="0"/>
        </w:rPr>
        <w:t>Climate Change Adaptation</w:t>
      </w:r>
      <w:bookmarkEnd w:id="39"/>
    </w:p>
    <w:p w14:paraId="054F885B" w14:textId="0DAEA35C" w:rsidR="00FE1367" w:rsidRDefault="00D30DB1"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rPr>
      </w:pPr>
      <w:r w:rsidRPr="00D30DB1">
        <w:rPr>
          <w:rFonts w:ascii="Calibri" w:eastAsia="MS Mincho" w:hAnsi="Calibri" w:cs="Times New Roman"/>
          <w:snapToGrid w:val="0"/>
          <w:sz w:val="24"/>
          <w:szCs w:val="24"/>
        </w:rPr>
        <w:t xml:space="preserve">The GEF manages two separate trust funds with a priority on climate change adaptation, namely the Special Climate Change Fund (SCCF) and the Least Developed Countries Fund (LDCF). These funds were established to address the special needs of developing countries </w:t>
      </w:r>
      <w:r w:rsidRPr="00D30DB1">
        <w:rPr>
          <w:rFonts w:ascii="Calibri" w:eastAsia="MS Mincho" w:hAnsi="Calibri" w:cs="Times New Roman"/>
          <w:snapToGrid w:val="0"/>
          <w:sz w:val="24"/>
          <w:szCs w:val="24"/>
        </w:rPr>
        <w:lastRenderedPageBreak/>
        <w:t>under the United Nations Framework Convention on Climate Change (UNFCCC)</w:t>
      </w:r>
      <w:r w:rsidR="00335288">
        <w:rPr>
          <w:rFonts w:ascii="Calibri" w:eastAsia="MS Mincho" w:hAnsi="Calibri" w:cs="Times New Roman"/>
          <w:snapToGrid w:val="0"/>
          <w:sz w:val="24"/>
          <w:szCs w:val="24"/>
        </w:rPr>
        <w:t>.</w:t>
      </w:r>
      <w:r w:rsidR="009D3230">
        <w:rPr>
          <w:rFonts w:ascii="Calibri" w:eastAsia="MS Mincho" w:hAnsi="Calibri" w:cs="Times New Roman"/>
          <w:snapToGrid w:val="0"/>
          <w:sz w:val="24"/>
          <w:szCs w:val="24"/>
        </w:rPr>
        <w:t xml:space="preserve"> </w:t>
      </w:r>
      <w:r w:rsidR="00335288">
        <w:rPr>
          <w:rFonts w:ascii="Calibri" w:eastAsia="MS Mincho" w:hAnsi="Calibri" w:cs="Times New Roman"/>
          <w:snapToGrid w:val="0"/>
          <w:sz w:val="24"/>
          <w:szCs w:val="24"/>
        </w:rPr>
        <w:t>S</w:t>
      </w:r>
      <w:r w:rsidRPr="00D30DB1">
        <w:rPr>
          <w:rFonts w:ascii="Calibri" w:eastAsia="MS Mincho" w:hAnsi="Calibri" w:cs="Times New Roman"/>
          <w:snapToGrid w:val="0"/>
          <w:sz w:val="24"/>
          <w:szCs w:val="24"/>
        </w:rPr>
        <w:t xml:space="preserve">ome of the projects approved during the reporting period contribute to the Strategic Plan for Biodiversity and the Aichi Biodiversity Targets. </w:t>
      </w:r>
    </w:p>
    <w:p w14:paraId="1E570528" w14:textId="38E339CB" w:rsidR="00FE32F2" w:rsidRPr="00FE1367" w:rsidRDefault="00D30DB1"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rPr>
      </w:pPr>
      <w:r w:rsidRPr="00D30DB1">
        <w:rPr>
          <w:rFonts w:ascii="Calibri" w:eastAsia="MS Mincho" w:hAnsi="Calibri" w:cs="Times New Roman"/>
          <w:snapToGrid w:val="0"/>
          <w:sz w:val="24"/>
          <w:szCs w:val="24"/>
          <w:lang w:val="en-GB"/>
        </w:rPr>
        <w:t xml:space="preserve">Table </w:t>
      </w:r>
      <w:r w:rsidR="00355FE3">
        <w:rPr>
          <w:rFonts w:ascii="Calibri" w:eastAsia="MS Mincho" w:hAnsi="Calibri" w:cs="Times New Roman"/>
          <w:snapToGrid w:val="0"/>
          <w:sz w:val="24"/>
          <w:szCs w:val="24"/>
          <w:lang w:val="en-GB"/>
        </w:rPr>
        <w:t>9</w:t>
      </w:r>
      <w:r w:rsidRPr="00D30DB1">
        <w:rPr>
          <w:rFonts w:ascii="Calibri" w:eastAsia="MS Mincho" w:hAnsi="Calibri" w:cs="Times New Roman"/>
          <w:snapToGrid w:val="0"/>
          <w:sz w:val="24"/>
          <w:szCs w:val="24"/>
          <w:lang w:val="en-GB"/>
        </w:rPr>
        <w:t xml:space="preserve"> below depicts the contribution of LDCF resources to achieving Aichi Biodiversity Target 7 and 14 respectively as prioritized by countries.  </w:t>
      </w:r>
    </w:p>
    <w:p w14:paraId="784BE278" w14:textId="59B5913B" w:rsidR="00D30DB1" w:rsidRPr="00D30DB1" w:rsidRDefault="00D30DB1" w:rsidP="00D722AE">
      <w:pPr>
        <w:spacing w:before="240" w:after="240" w:line="240" w:lineRule="auto"/>
        <w:jc w:val="center"/>
        <w:rPr>
          <w:rFonts w:ascii="Calibri" w:eastAsia="MS Mincho" w:hAnsi="Calibri" w:cs="Times New Roman"/>
          <w:b/>
          <w:snapToGrid w:val="0"/>
          <w:sz w:val="24"/>
          <w:szCs w:val="24"/>
          <w:lang w:val="en-GB"/>
        </w:rPr>
      </w:pPr>
      <w:r w:rsidRPr="00D30DB1">
        <w:rPr>
          <w:rFonts w:ascii="Calibri" w:eastAsia="MS Mincho" w:hAnsi="Calibri" w:cs="Times New Roman"/>
          <w:b/>
          <w:snapToGrid w:val="0"/>
          <w:sz w:val="24"/>
          <w:szCs w:val="24"/>
          <w:lang w:val="en-GB"/>
        </w:rPr>
        <w:t xml:space="preserve">Table </w:t>
      </w:r>
      <w:r w:rsidR="00355FE3">
        <w:rPr>
          <w:rFonts w:ascii="Calibri" w:eastAsia="MS Mincho" w:hAnsi="Calibri" w:cs="Times New Roman"/>
          <w:b/>
          <w:snapToGrid w:val="0"/>
          <w:sz w:val="24"/>
          <w:szCs w:val="24"/>
          <w:lang w:val="en-GB"/>
        </w:rPr>
        <w:t>9</w:t>
      </w:r>
      <w:r w:rsidRPr="00D30DB1">
        <w:rPr>
          <w:rFonts w:ascii="Calibri" w:eastAsia="MS Mincho" w:hAnsi="Calibri" w:cs="Times New Roman"/>
          <w:b/>
          <w:snapToGrid w:val="0"/>
          <w:sz w:val="24"/>
          <w:szCs w:val="24"/>
          <w:lang w:val="en-GB"/>
        </w:rPr>
        <w:t>. Cumulative Distribution of GEF Resources by the LDCF in GEF-</w:t>
      </w:r>
      <w:r w:rsidR="007A2607">
        <w:rPr>
          <w:rFonts w:ascii="Calibri" w:eastAsia="MS Mincho" w:hAnsi="Calibri" w:cs="Times New Roman"/>
          <w:b/>
          <w:snapToGrid w:val="0"/>
          <w:sz w:val="24"/>
          <w:szCs w:val="24"/>
          <w:lang w:val="en-GB"/>
        </w:rPr>
        <w:t>7</w:t>
      </w:r>
      <w:r w:rsidRPr="00D30DB1">
        <w:rPr>
          <w:rFonts w:ascii="Calibri" w:eastAsia="MS Mincho" w:hAnsi="Calibri" w:cs="Times New Roman"/>
          <w:b/>
          <w:snapToGrid w:val="0"/>
          <w:sz w:val="24"/>
          <w:szCs w:val="24"/>
          <w:lang w:val="en-GB"/>
        </w:rPr>
        <w:t xml:space="preserve"> and Contributions to Achieving the Aichi Biodiversity Targets</w:t>
      </w:r>
      <w:r w:rsidRPr="00D30DB1">
        <w:rPr>
          <w:rFonts w:ascii="Calibri" w:eastAsia="MS Mincho" w:hAnsi="Calibri" w:cs="Times New Roman"/>
          <w:b/>
          <w:snapToGrid w:val="0"/>
          <w:sz w:val="18"/>
          <w:szCs w:val="24"/>
          <w:vertAlign w:val="superscript"/>
          <w:lang w:val="en-GB"/>
        </w:rPr>
        <w:t xml:space="preserve"> </w:t>
      </w:r>
      <w:r w:rsidRPr="00D30DB1">
        <w:rPr>
          <w:rFonts w:ascii="Calibri" w:eastAsia="MS Mincho" w:hAnsi="Calibri" w:cs="Times New Roman"/>
          <w:b/>
          <w:snapToGrid w:val="0"/>
          <w:sz w:val="24"/>
          <w:szCs w:val="24"/>
        </w:rPr>
        <w:t>(July 1, 201</w:t>
      </w:r>
      <w:r w:rsidR="007A2607">
        <w:rPr>
          <w:rFonts w:ascii="Calibri" w:eastAsia="MS Mincho" w:hAnsi="Calibri" w:cs="Times New Roman"/>
          <w:b/>
          <w:snapToGrid w:val="0"/>
          <w:sz w:val="24"/>
          <w:szCs w:val="24"/>
        </w:rPr>
        <w:t xml:space="preserve">8 to December </w:t>
      </w:r>
      <w:r w:rsidR="00F128C1">
        <w:rPr>
          <w:rFonts w:ascii="Calibri" w:eastAsia="MS Mincho" w:hAnsi="Calibri" w:cs="Times New Roman"/>
          <w:b/>
          <w:snapToGrid w:val="0"/>
          <w:sz w:val="24"/>
          <w:szCs w:val="24"/>
        </w:rPr>
        <w:t xml:space="preserve">31, 2019) </w:t>
      </w:r>
      <w:r w:rsidRPr="00D30DB1">
        <w:rPr>
          <w:rFonts w:ascii="Calibri" w:eastAsia="MS Mincho" w:hAnsi="Calibri" w:cs="Times New Roman"/>
          <w:b/>
          <w:snapToGrid w:val="0"/>
          <w:sz w:val="18"/>
          <w:szCs w:val="24"/>
          <w:vertAlign w:val="superscript"/>
          <w:lang w:val="en-GB"/>
        </w:rPr>
        <w:footnoteReference w:id="14"/>
      </w:r>
    </w:p>
    <w:tbl>
      <w:tblPr>
        <w:tblW w:w="4941" w:type="pct"/>
        <w:tblBorders>
          <w:top w:val="single" w:sz="12" w:space="0" w:color="008000"/>
          <w:bottom w:val="single" w:sz="12" w:space="0" w:color="008000"/>
        </w:tblBorders>
        <w:tblLook w:val="04A0" w:firstRow="1" w:lastRow="0" w:firstColumn="1" w:lastColumn="0" w:noHBand="0" w:noVBand="1"/>
      </w:tblPr>
      <w:tblGrid>
        <w:gridCol w:w="2312"/>
        <w:gridCol w:w="2312"/>
        <w:gridCol w:w="2313"/>
        <w:gridCol w:w="2313"/>
      </w:tblGrid>
      <w:tr w:rsidR="00D30DB1" w:rsidRPr="00D30DB1" w14:paraId="52BC18EC" w14:textId="77777777" w:rsidTr="008354E6">
        <w:trPr>
          <w:trHeight w:val="871"/>
        </w:trPr>
        <w:tc>
          <w:tcPr>
            <w:tcW w:w="1250" w:type="pct"/>
            <w:shd w:val="clear" w:color="auto" w:fill="auto"/>
            <w:hideMark/>
          </w:tcPr>
          <w:p w14:paraId="123C0C82"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Aichi Biodiversity Targets</w:t>
            </w:r>
          </w:p>
        </w:tc>
        <w:tc>
          <w:tcPr>
            <w:tcW w:w="1250" w:type="pct"/>
            <w:shd w:val="clear" w:color="auto" w:fill="auto"/>
          </w:tcPr>
          <w:p w14:paraId="24B894E5" w14:textId="78B660F9"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LDCF</w:t>
            </w:r>
            <w:r w:rsidR="009E7013">
              <w:rPr>
                <w:rFonts w:ascii="Calibri" w:eastAsia="Times New Roman" w:hAnsi="Calibri" w:cs="Times New Roman"/>
                <w:b/>
                <w:bCs/>
                <w:color w:val="000000"/>
                <w:lang w:val="en-GB"/>
              </w:rPr>
              <w:t xml:space="preserve"> </w:t>
            </w:r>
            <w:r w:rsidR="00335288">
              <w:rPr>
                <w:rFonts w:ascii="Calibri" w:eastAsia="Times New Roman" w:hAnsi="Calibri" w:cs="Times New Roman"/>
                <w:b/>
                <w:bCs/>
                <w:color w:val="000000"/>
                <w:lang w:val="en-GB"/>
              </w:rPr>
              <w:t>Project Financing</w:t>
            </w:r>
            <w:r w:rsidRPr="00D30DB1">
              <w:rPr>
                <w:rFonts w:ascii="Calibri" w:eastAsia="Times New Roman" w:hAnsi="Calibri" w:cs="Times New Roman"/>
                <w:b/>
                <w:bCs/>
                <w:color w:val="000000"/>
                <w:lang w:val="en-GB"/>
              </w:rPr>
              <w:t xml:space="preserve"> ($ million)</w:t>
            </w:r>
          </w:p>
        </w:tc>
        <w:tc>
          <w:tcPr>
            <w:tcW w:w="1250" w:type="pct"/>
            <w:shd w:val="clear" w:color="auto" w:fill="auto"/>
            <w:hideMark/>
          </w:tcPr>
          <w:p w14:paraId="5834DB79" w14:textId="7BD654EE" w:rsidR="00D30DB1" w:rsidRPr="00D30DB1" w:rsidRDefault="002D582B" w:rsidP="00D30DB1">
            <w:pPr>
              <w:spacing w:after="0" w:line="240" w:lineRule="auto"/>
              <w:rPr>
                <w:rFonts w:ascii="Calibri" w:eastAsia="Times New Roman" w:hAnsi="Calibri" w:cs="Times New Roman"/>
                <w:b/>
                <w:bCs/>
                <w:color w:val="000000"/>
                <w:lang w:val="en-GB"/>
              </w:rPr>
            </w:pPr>
            <w:r>
              <w:rPr>
                <w:rFonts w:ascii="Calibri" w:eastAsia="Times New Roman" w:hAnsi="Calibri" w:cs="Times New Roman"/>
                <w:b/>
                <w:bCs/>
                <w:color w:val="000000"/>
                <w:lang w:val="en-GB"/>
              </w:rPr>
              <w:t>Co-financing</w:t>
            </w:r>
          </w:p>
          <w:p w14:paraId="7ED49954"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 million)</w:t>
            </w:r>
          </w:p>
        </w:tc>
        <w:tc>
          <w:tcPr>
            <w:tcW w:w="1250" w:type="pct"/>
            <w:shd w:val="clear" w:color="auto" w:fill="auto"/>
          </w:tcPr>
          <w:p w14:paraId="3D0B2CB1"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Total resources</w:t>
            </w:r>
          </w:p>
          <w:p w14:paraId="70BE61D5"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 million)</w:t>
            </w:r>
          </w:p>
        </w:tc>
      </w:tr>
      <w:tr w:rsidR="00D30DB1" w:rsidRPr="00D30DB1" w14:paraId="6E124D72" w14:textId="77777777" w:rsidTr="008354E6">
        <w:trPr>
          <w:trHeight w:val="871"/>
        </w:trPr>
        <w:tc>
          <w:tcPr>
            <w:tcW w:w="1250" w:type="pct"/>
            <w:shd w:val="clear" w:color="auto" w:fill="auto"/>
          </w:tcPr>
          <w:p w14:paraId="1514E8FC" w14:textId="77777777" w:rsidR="00D30DB1" w:rsidRPr="00D30DB1" w:rsidRDefault="00D30DB1" w:rsidP="00D30DB1">
            <w:pPr>
              <w:spacing w:after="0" w:line="240" w:lineRule="auto"/>
              <w:rPr>
                <w:rFonts w:ascii="Calibri" w:eastAsia="Times New Roman" w:hAnsi="Calibri" w:cs="Times New Roman"/>
                <w:color w:val="000000"/>
                <w:lang w:val="en-GB"/>
              </w:rPr>
            </w:pPr>
          </w:p>
          <w:p w14:paraId="5E3AB774" w14:textId="77777777" w:rsidR="00D30DB1" w:rsidRPr="00D30DB1" w:rsidRDefault="00D30DB1" w:rsidP="00D30DB1">
            <w:pPr>
              <w:spacing w:after="0" w:line="240" w:lineRule="auto"/>
              <w:rPr>
                <w:rFonts w:ascii="Calibri" w:eastAsia="Times New Roman" w:hAnsi="Calibri" w:cs="Times New Roman"/>
                <w:color w:val="000000"/>
                <w:lang w:val="en-GB"/>
              </w:rPr>
            </w:pPr>
            <w:r w:rsidRPr="00D30DB1">
              <w:rPr>
                <w:rFonts w:ascii="Calibri" w:eastAsia="Times New Roman" w:hAnsi="Calibri" w:cs="Times New Roman"/>
                <w:color w:val="000000"/>
                <w:lang w:val="en-GB"/>
              </w:rPr>
              <w:t>Target 7</w:t>
            </w:r>
          </w:p>
        </w:tc>
        <w:tc>
          <w:tcPr>
            <w:tcW w:w="1250" w:type="pct"/>
            <w:shd w:val="clear" w:color="auto" w:fill="auto"/>
          </w:tcPr>
          <w:p w14:paraId="56F2F8C2" w14:textId="77777777" w:rsidR="00BC1CCC" w:rsidRDefault="00BC1CCC" w:rsidP="00D30DB1">
            <w:pPr>
              <w:spacing w:after="0" w:line="240" w:lineRule="auto"/>
              <w:rPr>
                <w:rFonts w:ascii="Calibri" w:eastAsia="MS Mincho" w:hAnsi="Calibri" w:cs="Times New Roman"/>
                <w:color w:val="000000"/>
              </w:rPr>
            </w:pPr>
          </w:p>
          <w:p w14:paraId="52AE2FA1" w14:textId="1878376C" w:rsidR="00D30DB1" w:rsidRPr="00D30DB1" w:rsidRDefault="001E4F99" w:rsidP="00D30DB1">
            <w:pPr>
              <w:spacing w:after="0" w:line="240" w:lineRule="auto"/>
              <w:rPr>
                <w:rFonts w:ascii="Calibri" w:eastAsia="MS Mincho" w:hAnsi="Calibri" w:cs="Times New Roman"/>
                <w:color w:val="000000"/>
              </w:rPr>
            </w:pPr>
            <w:r>
              <w:rPr>
                <w:rFonts w:ascii="Calibri" w:eastAsia="MS Mincho" w:hAnsi="Calibri" w:cs="Times New Roman"/>
                <w:color w:val="000000"/>
              </w:rPr>
              <w:t>16.3</w:t>
            </w:r>
          </w:p>
        </w:tc>
        <w:tc>
          <w:tcPr>
            <w:tcW w:w="1250" w:type="pct"/>
            <w:shd w:val="clear" w:color="auto" w:fill="auto"/>
          </w:tcPr>
          <w:p w14:paraId="3986B9E4" w14:textId="77777777" w:rsidR="00BC1CCC" w:rsidRDefault="00BC1CCC" w:rsidP="00D30DB1">
            <w:pPr>
              <w:spacing w:after="0" w:line="240" w:lineRule="auto"/>
              <w:rPr>
                <w:rFonts w:ascii="Calibri" w:eastAsia="MS Mincho" w:hAnsi="Calibri" w:cs="Angsana New"/>
                <w:color w:val="000000"/>
                <w:lang w:val="en-GB"/>
              </w:rPr>
            </w:pPr>
          </w:p>
          <w:p w14:paraId="0770B455" w14:textId="3221109A" w:rsidR="00D30DB1" w:rsidRPr="00D30DB1" w:rsidRDefault="00BC1CCC" w:rsidP="00D30DB1">
            <w:pPr>
              <w:spacing w:after="0" w:line="240" w:lineRule="auto"/>
              <w:rPr>
                <w:rFonts w:ascii="Calibri" w:eastAsia="MS Mincho" w:hAnsi="Calibri" w:cs="Angsana New"/>
                <w:color w:val="000000"/>
                <w:lang w:val="en-GB"/>
              </w:rPr>
            </w:pPr>
            <w:r>
              <w:rPr>
                <w:rFonts w:ascii="Calibri" w:eastAsia="MS Mincho" w:hAnsi="Calibri" w:cs="Angsana New"/>
                <w:color w:val="000000"/>
                <w:lang w:val="en-GB"/>
              </w:rPr>
              <w:t>58.3</w:t>
            </w:r>
          </w:p>
        </w:tc>
        <w:tc>
          <w:tcPr>
            <w:tcW w:w="1250" w:type="pct"/>
            <w:shd w:val="clear" w:color="auto" w:fill="auto"/>
          </w:tcPr>
          <w:p w14:paraId="1A667261" w14:textId="77777777" w:rsidR="00D30DB1" w:rsidRDefault="00D30DB1" w:rsidP="00D30DB1">
            <w:pPr>
              <w:spacing w:after="0" w:line="240" w:lineRule="auto"/>
              <w:rPr>
                <w:rFonts w:ascii="Calibri" w:eastAsia="Times New Roman" w:hAnsi="Calibri" w:cs="Times New Roman"/>
                <w:color w:val="000000"/>
                <w:lang w:val="en-GB"/>
              </w:rPr>
            </w:pPr>
          </w:p>
          <w:p w14:paraId="11B87FFA" w14:textId="289EC6FF" w:rsidR="00BC1CCC" w:rsidRPr="00D30DB1" w:rsidRDefault="00BC1CCC"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74.6</w:t>
            </w:r>
          </w:p>
        </w:tc>
      </w:tr>
      <w:tr w:rsidR="00D30DB1" w:rsidRPr="00D30DB1" w14:paraId="459A88AC" w14:textId="77777777" w:rsidTr="008354E6">
        <w:trPr>
          <w:trHeight w:val="871"/>
        </w:trPr>
        <w:tc>
          <w:tcPr>
            <w:tcW w:w="1250" w:type="pct"/>
            <w:shd w:val="clear" w:color="auto" w:fill="auto"/>
          </w:tcPr>
          <w:p w14:paraId="4F31EE06" w14:textId="77777777" w:rsidR="00D30DB1" w:rsidRPr="00D30DB1" w:rsidRDefault="00D30DB1" w:rsidP="00D30DB1">
            <w:pPr>
              <w:spacing w:after="0" w:line="240" w:lineRule="auto"/>
              <w:rPr>
                <w:rFonts w:ascii="Calibri" w:eastAsia="Times New Roman" w:hAnsi="Calibri" w:cs="Times New Roman"/>
                <w:color w:val="000000"/>
                <w:lang w:val="en-GB"/>
              </w:rPr>
            </w:pPr>
          </w:p>
          <w:p w14:paraId="49852D54" w14:textId="77777777" w:rsidR="00D30DB1" w:rsidRPr="00D30DB1" w:rsidRDefault="00D30DB1" w:rsidP="00D30DB1">
            <w:pPr>
              <w:spacing w:after="0" w:line="240" w:lineRule="auto"/>
              <w:rPr>
                <w:rFonts w:ascii="Calibri" w:eastAsia="Times New Roman" w:hAnsi="Calibri" w:cs="Times New Roman"/>
                <w:color w:val="000000"/>
                <w:lang w:val="en-GB"/>
              </w:rPr>
            </w:pPr>
            <w:r w:rsidRPr="00D30DB1">
              <w:rPr>
                <w:rFonts w:ascii="Calibri" w:eastAsia="Times New Roman" w:hAnsi="Calibri" w:cs="Times New Roman"/>
                <w:color w:val="000000"/>
                <w:lang w:val="en-GB"/>
              </w:rPr>
              <w:t>Target 14</w:t>
            </w:r>
          </w:p>
        </w:tc>
        <w:tc>
          <w:tcPr>
            <w:tcW w:w="1250" w:type="pct"/>
            <w:shd w:val="clear" w:color="auto" w:fill="auto"/>
          </w:tcPr>
          <w:p w14:paraId="489375CA" w14:textId="77777777" w:rsidR="00D30DB1" w:rsidRDefault="00D30DB1" w:rsidP="00D30DB1">
            <w:pPr>
              <w:spacing w:after="0" w:line="240" w:lineRule="auto"/>
              <w:rPr>
                <w:rFonts w:ascii="Calibri" w:eastAsia="MS Mincho" w:hAnsi="Calibri" w:cs="Times New Roman"/>
                <w:color w:val="000000"/>
              </w:rPr>
            </w:pPr>
          </w:p>
          <w:p w14:paraId="5720AC7B" w14:textId="2E2634EB" w:rsidR="00662561" w:rsidRPr="00D30DB1" w:rsidRDefault="00662561" w:rsidP="00D30DB1">
            <w:pPr>
              <w:spacing w:after="0" w:line="240" w:lineRule="auto"/>
              <w:rPr>
                <w:rFonts w:ascii="Calibri" w:eastAsia="MS Mincho" w:hAnsi="Calibri" w:cs="Times New Roman"/>
                <w:color w:val="000000"/>
              </w:rPr>
            </w:pPr>
            <w:r>
              <w:rPr>
                <w:rFonts w:ascii="Calibri" w:eastAsia="MS Mincho" w:hAnsi="Calibri" w:cs="Times New Roman"/>
                <w:color w:val="000000"/>
              </w:rPr>
              <w:t>10.0</w:t>
            </w:r>
          </w:p>
        </w:tc>
        <w:tc>
          <w:tcPr>
            <w:tcW w:w="1250" w:type="pct"/>
            <w:shd w:val="clear" w:color="auto" w:fill="auto"/>
          </w:tcPr>
          <w:p w14:paraId="57D068AE" w14:textId="77777777" w:rsidR="00D30DB1" w:rsidRDefault="00D30DB1" w:rsidP="00D30DB1">
            <w:pPr>
              <w:spacing w:after="0" w:line="240" w:lineRule="auto"/>
              <w:rPr>
                <w:rFonts w:ascii="Calibri" w:eastAsia="MS Mincho" w:hAnsi="Calibri" w:cs="Angsana New"/>
                <w:color w:val="000000"/>
                <w:lang w:val="en-GB"/>
              </w:rPr>
            </w:pPr>
          </w:p>
          <w:p w14:paraId="790FD4F9" w14:textId="585214DA" w:rsidR="00662561" w:rsidRPr="00D30DB1" w:rsidRDefault="00662561" w:rsidP="00D30DB1">
            <w:pPr>
              <w:spacing w:after="0" w:line="240" w:lineRule="auto"/>
              <w:rPr>
                <w:rFonts w:ascii="Calibri" w:eastAsia="MS Mincho" w:hAnsi="Calibri" w:cs="Angsana New"/>
                <w:color w:val="000000"/>
                <w:lang w:val="en-GB"/>
              </w:rPr>
            </w:pPr>
            <w:r>
              <w:rPr>
                <w:rFonts w:ascii="Calibri" w:eastAsia="MS Mincho" w:hAnsi="Calibri" w:cs="Angsana New"/>
                <w:color w:val="000000"/>
                <w:lang w:val="en-GB"/>
              </w:rPr>
              <w:t>10.5</w:t>
            </w:r>
          </w:p>
        </w:tc>
        <w:tc>
          <w:tcPr>
            <w:tcW w:w="1250" w:type="pct"/>
            <w:shd w:val="clear" w:color="auto" w:fill="auto"/>
          </w:tcPr>
          <w:p w14:paraId="1D00881D" w14:textId="77777777" w:rsidR="00D30DB1" w:rsidRDefault="00D30DB1" w:rsidP="00D30DB1">
            <w:pPr>
              <w:spacing w:after="0" w:line="240" w:lineRule="auto"/>
              <w:rPr>
                <w:rFonts w:ascii="Calibri" w:eastAsia="Times New Roman" w:hAnsi="Calibri" w:cs="Times New Roman"/>
                <w:color w:val="000000"/>
                <w:lang w:val="en-GB"/>
              </w:rPr>
            </w:pPr>
          </w:p>
          <w:p w14:paraId="49F48B8D" w14:textId="789D2D84" w:rsidR="00662561" w:rsidRPr="00D30DB1" w:rsidRDefault="00662561"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20.5</w:t>
            </w:r>
          </w:p>
        </w:tc>
      </w:tr>
      <w:tr w:rsidR="00D30DB1" w:rsidRPr="00D30DB1" w14:paraId="6BC7AC92" w14:textId="77777777" w:rsidTr="007E409E">
        <w:trPr>
          <w:trHeight w:val="468"/>
        </w:trPr>
        <w:tc>
          <w:tcPr>
            <w:tcW w:w="1250" w:type="pct"/>
            <w:shd w:val="clear" w:color="auto" w:fill="auto"/>
          </w:tcPr>
          <w:p w14:paraId="547A1044" w14:textId="77777777" w:rsidR="00D30DB1" w:rsidRPr="00D30DB1" w:rsidRDefault="00D30DB1" w:rsidP="00D30DB1">
            <w:pPr>
              <w:spacing w:after="0" w:line="240" w:lineRule="auto"/>
              <w:rPr>
                <w:rFonts w:ascii="Calibri" w:eastAsia="Times New Roman" w:hAnsi="Calibri" w:cs="Times New Roman"/>
                <w:b/>
                <w:color w:val="000000"/>
                <w:lang w:val="en-GB"/>
              </w:rPr>
            </w:pPr>
            <w:r w:rsidRPr="00D30DB1">
              <w:rPr>
                <w:rFonts w:ascii="Calibri" w:eastAsia="Times New Roman" w:hAnsi="Calibri" w:cs="Times New Roman"/>
                <w:b/>
                <w:color w:val="000000"/>
                <w:lang w:val="en-GB"/>
              </w:rPr>
              <w:t>Totals</w:t>
            </w:r>
          </w:p>
        </w:tc>
        <w:tc>
          <w:tcPr>
            <w:tcW w:w="1250" w:type="pct"/>
            <w:shd w:val="clear" w:color="auto" w:fill="auto"/>
          </w:tcPr>
          <w:p w14:paraId="69CEDC1D" w14:textId="7BB31006" w:rsidR="00D30DB1" w:rsidRPr="00D30DB1" w:rsidRDefault="0075581E" w:rsidP="00D30DB1">
            <w:pPr>
              <w:spacing w:after="0" w:line="240" w:lineRule="auto"/>
              <w:rPr>
                <w:rFonts w:ascii="Calibri" w:eastAsia="MS Mincho" w:hAnsi="Calibri" w:cs="Times New Roman"/>
                <w:b/>
                <w:color w:val="000000"/>
              </w:rPr>
            </w:pPr>
            <w:r>
              <w:rPr>
                <w:rFonts w:ascii="Calibri" w:eastAsia="MS Mincho" w:hAnsi="Calibri" w:cs="Times New Roman"/>
                <w:b/>
                <w:color w:val="000000"/>
              </w:rPr>
              <w:t>26.3</w:t>
            </w:r>
          </w:p>
        </w:tc>
        <w:tc>
          <w:tcPr>
            <w:tcW w:w="1250" w:type="pct"/>
            <w:shd w:val="clear" w:color="auto" w:fill="auto"/>
          </w:tcPr>
          <w:p w14:paraId="3FDF3574" w14:textId="6FBE21C1" w:rsidR="00D30DB1" w:rsidRPr="00D30DB1" w:rsidRDefault="0075581E" w:rsidP="00D30DB1">
            <w:pPr>
              <w:spacing w:after="0" w:line="240" w:lineRule="auto"/>
              <w:rPr>
                <w:rFonts w:ascii="Calibri" w:eastAsia="MS Mincho" w:hAnsi="Calibri" w:cs="Angsana New"/>
                <w:b/>
                <w:color w:val="000000"/>
                <w:lang w:val="en-GB"/>
              </w:rPr>
            </w:pPr>
            <w:r>
              <w:rPr>
                <w:rFonts w:ascii="Calibri" w:eastAsia="MS Mincho" w:hAnsi="Calibri" w:cs="Angsana New"/>
                <w:b/>
                <w:color w:val="000000"/>
                <w:lang w:val="en-GB"/>
              </w:rPr>
              <w:t>68.8</w:t>
            </w:r>
          </w:p>
        </w:tc>
        <w:tc>
          <w:tcPr>
            <w:tcW w:w="1250" w:type="pct"/>
            <w:shd w:val="clear" w:color="auto" w:fill="auto"/>
          </w:tcPr>
          <w:p w14:paraId="711272B6" w14:textId="664AFF80" w:rsidR="00D30DB1" w:rsidRPr="00D30DB1" w:rsidRDefault="00D602BE" w:rsidP="00D30DB1">
            <w:pPr>
              <w:spacing w:after="0" w:line="240" w:lineRule="auto"/>
              <w:rPr>
                <w:rFonts w:ascii="Calibri" w:eastAsia="Times New Roman" w:hAnsi="Calibri" w:cs="Times New Roman"/>
                <w:b/>
                <w:color w:val="000000"/>
                <w:lang w:val="en-GB"/>
              </w:rPr>
            </w:pPr>
            <w:r>
              <w:rPr>
                <w:rFonts w:ascii="Calibri" w:eastAsia="Times New Roman" w:hAnsi="Calibri" w:cs="Times New Roman"/>
                <w:b/>
                <w:color w:val="000000"/>
                <w:lang w:val="en-GB"/>
              </w:rPr>
              <w:t xml:space="preserve">93.01 </w:t>
            </w:r>
          </w:p>
        </w:tc>
      </w:tr>
    </w:tbl>
    <w:p w14:paraId="43A34257" w14:textId="43EF2AE4" w:rsidR="0040084C" w:rsidRDefault="0040084C" w:rsidP="00D30DB1">
      <w:pPr>
        <w:spacing w:before="120" w:after="120" w:line="240" w:lineRule="auto"/>
        <w:rPr>
          <w:rFonts w:ascii="Calibri" w:eastAsia="MS Mincho" w:hAnsi="Calibri" w:cs="Times New Roman"/>
          <w:b/>
          <w:snapToGrid w:val="0"/>
          <w:sz w:val="24"/>
          <w:szCs w:val="24"/>
          <w:u w:val="single"/>
        </w:rPr>
      </w:pPr>
    </w:p>
    <w:p w14:paraId="66345200" w14:textId="2C957C8F" w:rsidR="00D30DB1" w:rsidRPr="009B5EC4" w:rsidRDefault="00D30DB1" w:rsidP="00105FB1">
      <w:pPr>
        <w:pStyle w:val="Heading3"/>
        <w:rPr>
          <w:snapToGrid w:val="0"/>
        </w:rPr>
      </w:pPr>
      <w:bookmarkStart w:id="40" w:name="_Toc32494927"/>
      <w:r w:rsidRPr="009B5EC4">
        <w:rPr>
          <w:snapToGrid w:val="0"/>
        </w:rPr>
        <w:t>International Waters Focal Area</w:t>
      </w:r>
      <w:bookmarkEnd w:id="40"/>
      <w:r w:rsidRPr="009B5EC4">
        <w:rPr>
          <w:snapToGrid w:val="0"/>
        </w:rPr>
        <w:t xml:space="preserve"> </w:t>
      </w:r>
    </w:p>
    <w:p w14:paraId="427CF313" w14:textId="215F1FFA" w:rsidR="00FE1367" w:rsidRDefault="00D30DB1"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rPr>
      </w:pPr>
      <w:r w:rsidRPr="00FF3B4A">
        <w:rPr>
          <w:snapToGrid w:val="0"/>
          <w:sz w:val="24"/>
          <w:szCs w:val="24"/>
        </w:rPr>
        <w:t>The International Waters focal area (IW) focal area helps countries jointly manage their</w:t>
      </w:r>
      <w:r w:rsidRPr="00D30DB1">
        <w:rPr>
          <w:rFonts w:ascii="Calibri" w:eastAsia="MS Mincho" w:hAnsi="Calibri" w:cs="Times New Roman"/>
          <w:snapToGrid w:val="0"/>
          <w:sz w:val="24"/>
          <w:szCs w:val="24"/>
        </w:rPr>
        <w:t xml:space="preserve"> transboundary surface water basins, groundwater basins, and coastal and marine systems to enable the sharing of benefits from their utilization.</w:t>
      </w:r>
      <w:r w:rsidR="009B37CF">
        <w:rPr>
          <w:rFonts w:ascii="Calibri" w:eastAsia="MS Mincho" w:hAnsi="Calibri" w:cs="Times New Roman"/>
          <w:snapToGrid w:val="0"/>
          <w:sz w:val="24"/>
          <w:szCs w:val="24"/>
        </w:rPr>
        <w:t xml:space="preserve">  </w:t>
      </w:r>
      <w:r w:rsidR="00055B4B" w:rsidRPr="00DA0CDC">
        <w:rPr>
          <w:rFonts w:ascii="Calibri" w:eastAsia="MS Mincho" w:hAnsi="Calibri" w:cs="Times New Roman"/>
          <w:snapToGrid w:val="0"/>
          <w:sz w:val="24"/>
          <w:szCs w:val="24"/>
        </w:rPr>
        <w:t>Complex transboundary water ecosystems</w:t>
      </w:r>
      <w:r w:rsidR="00DA0CDC" w:rsidRPr="00DA0CDC">
        <w:rPr>
          <w:rFonts w:ascii="Calibri" w:eastAsia="MS Mincho" w:hAnsi="Calibri" w:cs="Times New Roman"/>
          <w:snapToGrid w:val="0"/>
          <w:sz w:val="24"/>
          <w:szCs w:val="24"/>
        </w:rPr>
        <w:t xml:space="preserve"> cut across a myriad of sectoral needs and themes while not being bound by political boundaries. Consequently, setting effective policy goals, coupled with investments, requires working at all scales, with a range of stakeholders, in the public and private sectors and across the watershed from source-to-sea and beyond. These principles are fundamental to the GEF-7 investments in International Waters. Three key objectives will be the target of GEF-7 IW investments: 1) strengthening national Blue Economy opportunities to reduce threats to marine and coastal waters; 2) improving management in the Areas Beyond National Jurisdiction (ABNJ), and 3) enhancing water security</w:t>
      </w:r>
      <w:r w:rsidR="00650B35">
        <w:rPr>
          <w:rFonts w:ascii="Calibri" w:eastAsia="MS Mincho" w:hAnsi="Calibri" w:cs="Times New Roman"/>
          <w:snapToGrid w:val="0"/>
          <w:sz w:val="24"/>
          <w:szCs w:val="24"/>
        </w:rPr>
        <w:t xml:space="preserve"> </w:t>
      </w:r>
      <w:r w:rsidR="00DA0CDC" w:rsidRPr="00DA0CDC">
        <w:rPr>
          <w:rFonts w:ascii="Calibri" w:eastAsia="MS Mincho" w:hAnsi="Calibri" w:cs="Times New Roman"/>
          <w:snapToGrid w:val="0"/>
          <w:sz w:val="24"/>
          <w:szCs w:val="24"/>
        </w:rPr>
        <w:t>in freshwater ecosystems.</w:t>
      </w:r>
      <w:r w:rsidR="005B38F1">
        <w:rPr>
          <w:rFonts w:ascii="Calibri" w:eastAsia="MS Mincho" w:hAnsi="Calibri" w:cs="Times New Roman"/>
          <w:snapToGrid w:val="0"/>
          <w:sz w:val="24"/>
          <w:szCs w:val="24"/>
        </w:rPr>
        <w:t xml:space="preserve">  </w:t>
      </w:r>
    </w:p>
    <w:p w14:paraId="55244DAB" w14:textId="6A1194A9" w:rsidR="00046027" w:rsidRDefault="005B38F1"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lang w:val="en-GB"/>
        </w:rPr>
      </w:pPr>
      <w:r w:rsidRPr="005B38F1">
        <w:rPr>
          <w:rFonts w:ascii="Calibri" w:eastAsia="MS Mincho" w:hAnsi="Calibri" w:cs="Times New Roman"/>
          <w:snapToGrid w:val="0"/>
          <w:sz w:val="24"/>
          <w:szCs w:val="24"/>
          <w:lang w:val="en-GB"/>
        </w:rPr>
        <w:t xml:space="preserve">Table </w:t>
      </w:r>
      <w:r w:rsidR="00650B35">
        <w:rPr>
          <w:rFonts w:ascii="Calibri" w:eastAsia="MS Mincho" w:hAnsi="Calibri" w:cs="Times New Roman"/>
          <w:snapToGrid w:val="0"/>
          <w:sz w:val="24"/>
          <w:szCs w:val="24"/>
          <w:lang w:val="en-GB"/>
        </w:rPr>
        <w:t>10</w:t>
      </w:r>
      <w:r w:rsidRPr="005B38F1">
        <w:rPr>
          <w:rFonts w:ascii="Calibri" w:eastAsia="MS Mincho" w:hAnsi="Calibri" w:cs="Times New Roman"/>
          <w:snapToGrid w:val="0"/>
          <w:sz w:val="24"/>
          <w:szCs w:val="24"/>
          <w:lang w:val="en-GB"/>
        </w:rPr>
        <w:t xml:space="preserve"> below depicts the contribution of </w:t>
      </w:r>
      <w:r>
        <w:rPr>
          <w:rFonts w:ascii="Calibri" w:eastAsia="MS Mincho" w:hAnsi="Calibri" w:cs="Times New Roman"/>
          <w:snapToGrid w:val="0"/>
          <w:sz w:val="24"/>
          <w:szCs w:val="24"/>
          <w:lang w:val="en-GB"/>
        </w:rPr>
        <w:t xml:space="preserve">IW </w:t>
      </w:r>
      <w:r w:rsidRPr="005B38F1">
        <w:rPr>
          <w:rFonts w:ascii="Calibri" w:eastAsia="MS Mincho" w:hAnsi="Calibri" w:cs="Times New Roman"/>
          <w:snapToGrid w:val="0"/>
          <w:sz w:val="24"/>
          <w:szCs w:val="24"/>
          <w:lang w:val="en-GB"/>
        </w:rPr>
        <w:t>resources to achieving the Aichi Biodiversity Targets as prioritized by countries.</w:t>
      </w:r>
      <w:r w:rsidR="00046027">
        <w:rPr>
          <w:rFonts w:ascii="Calibri" w:eastAsia="MS Mincho" w:hAnsi="Calibri" w:cs="Times New Roman"/>
          <w:snapToGrid w:val="0"/>
          <w:sz w:val="24"/>
          <w:szCs w:val="24"/>
          <w:lang w:val="en-GB"/>
        </w:rPr>
        <w:br w:type="page"/>
      </w:r>
    </w:p>
    <w:p w14:paraId="67CB5CD3" w14:textId="2946EF82" w:rsidR="00D30DB1" w:rsidRPr="00D30DB1" w:rsidRDefault="00D30DB1" w:rsidP="00D722AE">
      <w:pPr>
        <w:spacing w:before="240" w:after="240" w:line="240" w:lineRule="auto"/>
        <w:jc w:val="center"/>
        <w:rPr>
          <w:rFonts w:ascii="Calibri" w:eastAsia="MS Mincho" w:hAnsi="Calibri" w:cs="Times New Roman"/>
          <w:b/>
          <w:snapToGrid w:val="0"/>
          <w:sz w:val="24"/>
          <w:szCs w:val="24"/>
          <w:lang w:val="en-GB"/>
        </w:rPr>
      </w:pPr>
      <w:r w:rsidRPr="00D30DB1">
        <w:rPr>
          <w:rFonts w:ascii="Calibri" w:eastAsia="MS Mincho" w:hAnsi="Calibri" w:cs="Times New Roman"/>
          <w:b/>
          <w:snapToGrid w:val="0"/>
          <w:sz w:val="24"/>
          <w:szCs w:val="24"/>
          <w:lang w:val="en-GB"/>
        </w:rPr>
        <w:lastRenderedPageBreak/>
        <w:t xml:space="preserve">Table </w:t>
      </w:r>
      <w:r w:rsidR="00650B35">
        <w:rPr>
          <w:rFonts w:ascii="Calibri" w:eastAsia="MS Mincho" w:hAnsi="Calibri" w:cs="Times New Roman"/>
          <w:b/>
          <w:snapToGrid w:val="0"/>
          <w:sz w:val="24"/>
          <w:szCs w:val="24"/>
          <w:lang w:val="en-GB"/>
        </w:rPr>
        <w:t>10</w:t>
      </w:r>
      <w:r w:rsidRPr="00D30DB1">
        <w:rPr>
          <w:rFonts w:ascii="Calibri" w:eastAsia="MS Mincho" w:hAnsi="Calibri" w:cs="Times New Roman"/>
          <w:b/>
          <w:snapToGrid w:val="0"/>
          <w:sz w:val="24"/>
          <w:szCs w:val="24"/>
          <w:lang w:val="en-GB"/>
        </w:rPr>
        <w:t>. Cumulative Distribution of GEF Resources by International Waters Focal Area Objectives and Programs for GEF-6 and contributions to achieving the Aichi Biodiversity Targets (</w:t>
      </w:r>
      <w:r w:rsidRPr="00D30DB1">
        <w:rPr>
          <w:rFonts w:ascii="Calibri" w:eastAsia="MS Mincho" w:hAnsi="Calibri" w:cs="Times New Roman"/>
          <w:b/>
          <w:snapToGrid w:val="0"/>
          <w:sz w:val="24"/>
          <w:szCs w:val="24"/>
        </w:rPr>
        <w:t>July 1, 201</w:t>
      </w:r>
      <w:r w:rsidR="00045526">
        <w:rPr>
          <w:rFonts w:ascii="Calibri" w:eastAsia="MS Mincho" w:hAnsi="Calibri" w:cs="Times New Roman"/>
          <w:b/>
          <w:snapToGrid w:val="0"/>
          <w:sz w:val="24"/>
          <w:szCs w:val="24"/>
        </w:rPr>
        <w:t>8 to December 31, 2019</w:t>
      </w:r>
      <w:r w:rsidRPr="00D30DB1">
        <w:rPr>
          <w:rFonts w:ascii="Calibri" w:eastAsia="MS Mincho" w:hAnsi="Calibri" w:cs="Times New Roman"/>
          <w:b/>
          <w:snapToGrid w:val="0"/>
          <w:sz w:val="24"/>
          <w:szCs w:val="24"/>
        </w:rPr>
        <w:t>)</w:t>
      </w:r>
      <w:r w:rsidRPr="00D30DB1">
        <w:rPr>
          <w:rFonts w:ascii="Calibri" w:eastAsia="MS Mincho" w:hAnsi="Calibri" w:cs="Times New Roman"/>
          <w:b/>
          <w:snapToGrid w:val="0"/>
          <w:sz w:val="18"/>
          <w:szCs w:val="24"/>
          <w:vertAlign w:val="superscript"/>
          <w:lang w:val="en-GB"/>
        </w:rPr>
        <w:t xml:space="preserve"> </w:t>
      </w:r>
      <w:r w:rsidRPr="00D30DB1">
        <w:rPr>
          <w:rFonts w:ascii="Calibri" w:eastAsia="MS Mincho" w:hAnsi="Calibri" w:cs="Times New Roman"/>
          <w:b/>
          <w:snapToGrid w:val="0"/>
          <w:sz w:val="18"/>
          <w:szCs w:val="24"/>
          <w:vertAlign w:val="superscript"/>
          <w:lang w:val="en-GB"/>
        </w:rPr>
        <w:footnoteReference w:id="15"/>
      </w:r>
    </w:p>
    <w:tbl>
      <w:tblPr>
        <w:tblW w:w="4997" w:type="pct"/>
        <w:tblBorders>
          <w:top w:val="single" w:sz="12" w:space="0" w:color="008000"/>
          <w:bottom w:val="single" w:sz="12" w:space="0" w:color="008000"/>
        </w:tblBorders>
        <w:tblLook w:val="04A0" w:firstRow="1" w:lastRow="0" w:firstColumn="1" w:lastColumn="0" w:noHBand="0" w:noVBand="1"/>
      </w:tblPr>
      <w:tblGrid>
        <w:gridCol w:w="2389"/>
        <w:gridCol w:w="1641"/>
        <w:gridCol w:w="1886"/>
        <w:gridCol w:w="1719"/>
        <w:gridCol w:w="1719"/>
      </w:tblGrid>
      <w:tr w:rsidR="00D30DB1" w:rsidRPr="00D30DB1" w14:paraId="5AC07F14" w14:textId="77777777" w:rsidTr="00630594">
        <w:trPr>
          <w:trHeight w:val="570"/>
        </w:trPr>
        <w:tc>
          <w:tcPr>
            <w:tcW w:w="1277" w:type="pct"/>
            <w:tcBorders>
              <w:top w:val="single" w:sz="12" w:space="0" w:color="008000"/>
              <w:bottom w:val="single" w:sz="6" w:space="0" w:color="008000"/>
            </w:tcBorders>
            <w:shd w:val="clear" w:color="auto" w:fill="auto"/>
            <w:hideMark/>
          </w:tcPr>
          <w:p w14:paraId="7FB4E949"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 xml:space="preserve">International Waters Objective and Program </w:t>
            </w:r>
          </w:p>
        </w:tc>
        <w:tc>
          <w:tcPr>
            <w:tcW w:w="877" w:type="pct"/>
            <w:tcBorders>
              <w:top w:val="single" w:sz="12" w:space="0" w:color="008000"/>
              <w:bottom w:val="single" w:sz="6" w:space="0" w:color="008000"/>
            </w:tcBorders>
            <w:shd w:val="clear" w:color="auto" w:fill="auto"/>
            <w:hideMark/>
          </w:tcPr>
          <w:p w14:paraId="5A668D8E"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Aichi Biodiversity Targets</w:t>
            </w:r>
          </w:p>
        </w:tc>
        <w:tc>
          <w:tcPr>
            <w:tcW w:w="1008" w:type="pct"/>
            <w:tcBorders>
              <w:top w:val="single" w:sz="12" w:space="0" w:color="008000"/>
              <w:bottom w:val="single" w:sz="6" w:space="0" w:color="008000"/>
            </w:tcBorders>
            <w:shd w:val="clear" w:color="auto" w:fill="auto"/>
          </w:tcPr>
          <w:p w14:paraId="2B515A20"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GEF Project Grant ($ million)</w:t>
            </w:r>
          </w:p>
        </w:tc>
        <w:tc>
          <w:tcPr>
            <w:tcW w:w="919" w:type="pct"/>
            <w:tcBorders>
              <w:top w:val="single" w:sz="12" w:space="0" w:color="008000"/>
              <w:bottom w:val="single" w:sz="6" w:space="0" w:color="008000"/>
            </w:tcBorders>
            <w:shd w:val="clear" w:color="auto" w:fill="auto"/>
            <w:hideMark/>
          </w:tcPr>
          <w:p w14:paraId="6AFB59C9" w14:textId="07498C0A" w:rsidR="00D30DB1" w:rsidRPr="00D30DB1" w:rsidRDefault="002D582B" w:rsidP="00D30DB1">
            <w:pPr>
              <w:spacing w:after="0" w:line="240" w:lineRule="auto"/>
              <w:rPr>
                <w:rFonts w:ascii="Calibri" w:eastAsia="Times New Roman" w:hAnsi="Calibri" w:cs="Times New Roman"/>
                <w:b/>
                <w:bCs/>
                <w:color w:val="000000"/>
                <w:lang w:val="en-GB"/>
              </w:rPr>
            </w:pPr>
            <w:r>
              <w:rPr>
                <w:rFonts w:ascii="Calibri" w:eastAsia="Times New Roman" w:hAnsi="Calibri" w:cs="Times New Roman"/>
                <w:b/>
                <w:bCs/>
                <w:color w:val="000000"/>
                <w:lang w:val="en-GB"/>
              </w:rPr>
              <w:t>Co-financing</w:t>
            </w:r>
          </w:p>
          <w:p w14:paraId="47B05DE5"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 xml:space="preserve"> ($ million) </w:t>
            </w:r>
          </w:p>
        </w:tc>
        <w:tc>
          <w:tcPr>
            <w:tcW w:w="919" w:type="pct"/>
            <w:tcBorders>
              <w:top w:val="single" w:sz="12" w:space="0" w:color="008000"/>
              <w:bottom w:val="single" w:sz="6" w:space="0" w:color="008000"/>
            </w:tcBorders>
            <w:shd w:val="clear" w:color="auto" w:fill="auto"/>
          </w:tcPr>
          <w:p w14:paraId="540EE6FE" w14:textId="77777777" w:rsidR="00D30DB1" w:rsidRPr="00D30DB1" w:rsidRDefault="00D30DB1" w:rsidP="00D30DB1">
            <w:pPr>
              <w:spacing w:after="0" w:line="240" w:lineRule="auto"/>
              <w:rPr>
                <w:rFonts w:ascii="Calibri" w:eastAsia="Times New Roman" w:hAnsi="Calibri" w:cs="Times New Roman"/>
                <w:b/>
                <w:bCs/>
                <w:color w:val="000000"/>
                <w:lang w:val="en-GB"/>
              </w:rPr>
            </w:pPr>
            <w:r w:rsidRPr="00D30DB1">
              <w:rPr>
                <w:rFonts w:ascii="Calibri" w:eastAsia="Times New Roman" w:hAnsi="Calibri" w:cs="Times New Roman"/>
                <w:b/>
                <w:bCs/>
                <w:color w:val="000000"/>
                <w:lang w:val="en-GB"/>
              </w:rPr>
              <w:t>Total Resources ($ million)</w:t>
            </w:r>
          </w:p>
        </w:tc>
      </w:tr>
      <w:tr w:rsidR="00D30DB1" w:rsidRPr="00D30DB1" w14:paraId="61FB0475" w14:textId="77777777" w:rsidTr="000775B6">
        <w:trPr>
          <w:trHeight w:val="900"/>
        </w:trPr>
        <w:tc>
          <w:tcPr>
            <w:tcW w:w="1277" w:type="pct"/>
            <w:shd w:val="clear" w:color="auto" w:fill="auto"/>
          </w:tcPr>
          <w:p w14:paraId="25D8162E" w14:textId="77777777" w:rsidR="00D30DB1" w:rsidRPr="00D30DB1" w:rsidRDefault="00D30DB1" w:rsidP="00D30DB1">
            <w:pPr>
              <w:spacing w:after="0" w:line="240" w:lineRule="auto"/>
              <w:rPr>
                <w:rFonts w:ascii="Calibri" w:eastAsia="Times New Roman" w:hAnsi="Calibri" w:cs="Times New Roman"/>
                <w:color w:val="000000"/>
                <w:lang w:val="en-GB"/>
              </w:rPr>
            </w:pPr>
          </w:p>
          <w:p w14:paraId="2583A24A" w14:textId="77777777" w:rsidR="009F3CAF" w:rsidRDefault="009F3CAF" w:rsidP="009F3CAF">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Objective 1:</w:t>
            </w:r>
          </w:p>
          <w:p w14:paraId="6DD7BC79" w14:textId="6075E29E" w:rsidR="00D30DB1" w:rsidRPr="009F3CAF" w:rsidRDefault="009F3CAF" w:rsidP="009F3CAF">
            <w:pPr>
              <w:spacing w:after="0" w:line="240" w:lineRule="auto"/>
              <w:rPr>
                <w:rFonts w:ascii="Calibri" w:eastAsia="Times New Roman" w:hAnsi="Calibri" w:cs="Times New Roman"/>
                <w:color w:val="000000"/>
                <w:lang w:val="en-GB"/>
              </w:rPr>
            </w:pPr>
            <w:r w:rsidRPr="009F3CAF">
              <w:rPr>
                <w:rFonts w:ascii="Calibri" w:eastAsia="Times New Roman" w:hAnsi="Calibri" w:cs="Times New Roman"/>
                <w:color w:val="000000"/>
                <w:lang w:val="en-GB"/>
              </w:rPr>
              <w:t>Blue economy</w:t>
            </w:r>
          </w:p>
          <w:p w14:paraId="132AAA80" w14:textId="77777777" w:rsidR="009F3CAF" w:rsidRPr="009F3CAF" w:rsidRDefault="009F3CAF" w:rsidP="009F3CAF">
            <w:pPr>
              <w:spacing w:after="0" w:line="240" w:lineRule="auto"/>
              <w:rPr>
                <w:rFonts w:ascii="Calibri" w:eastAsia="Times New Roman" w:hAnsi="Calibri" w:cs="Times New Roman"/>
                <w:color w:val="000000"/>
                <w:lang w:val="en-GB"/>
              </w:rPr>
            </w:pPr>
          </w:p>
          <w:p w14:paraId="08665F07" w14:textId="77777777" w:rsidR="00D30DB1" w:rsidRPr="00D30DB1" w:rsidRDefault="00D30DB1" w:rsidP="00D30DB1">
            <w:pPr>
              <w:spacing w:after="0" w:line="240" w:lineRule="auto"/>
              <w:rPr>
                <w:rFonts w:ascii="Calibri" w:eastAsia="Times New Roman" w:hAnsi="Calibri" w:cs="Times New Roman"/>
                <w:color w:val="000000"/>
                <w:lang w:val="en-GB"/>
              </w:rPr>
            </w:pPr>
          </w:p>
        </w:tc>
        <w:tc>
          <w:tcPr>
            <w:tcW w:w="877" w:type="pct"/>
            <w:shd w:val="clear" w:color="auto" w:fill="auto"/>
          </w:tcPr>
          <w:p w14:paraId="11F6FE4B" w14:textId="77777777" w:rsidR="00D30DB1" w:rsidRDefault="00D30DB1" w:rsidP="00D30DB1">
            <w:pPr>
              <w:spacing w:after="0" w:line="240" w:lineRule="auto"/>
              <w:rPr>
                <w:rFonts w:ascii="Calibri" w:eastAsia="Times New Roman" w:hAnsi="Calibri" w:cs="Times New Roman"/>
                <w:color w:val="000000"/>
                <w:lang w:val="en-GB"/>
              </w:rPr>
            </w:pPr>
          </w:p>
          <w:p w14:paraId="079FA207" w14:textId="6E4F6D50" w:rsidR="00741950" w:rsidRPr="00D30DB1" w:rsidRDefault="000B65EF"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6</w:t>
            </w:r>
            <w:r w:rsidR="002857F7">
              <w:rPr>
                <w:rFonts w:ascii="Calibri" w:eastAsia="Times New Roman" w:hAnsi="Calibri" w:cs="Times New Roman"/>
                <w:color w:val="000000"/>
                <w:lang w:val="en-GB"/>
              </w:rPr>
              <w:t>, 8, 11</w:t>
            </w:r>
          </w:p>
        </w:tc>
        <w:tc>
          <w:tcPr>
            <w:tcW w:w="1008" w:type="pct"/>
            <w:shd w:val="clear" w:color="auto" w:fill="auto"/>
          </w:tcPr>
          <w:p w14:paraId="4755CFC4" w14:textId="77777777" w:rsidR="00D30DB1" w:rsidRDefault="00D30DB1" w:rsidP="00D30DB1">
            <w:pPr>
              <w:spacing w:after="0" w:line="240" w:lineRule="auto"/>
              <w:rPr>
                <w:rFonts w:ascii="Calibri" w:eastAsia="Times New Roman" w:hAnsi="Calibri" w:cs="Times New Roman"/>
                <w:color w:val="000000"/>
                <w:lang w:val="en-GB"/>
              </w:rPr>
            </w:pPr>
          </w:p>
          <w:p w14:paraId="2C491CD6" w14:textId="3A65D11A" w:rsidR="00316561" w:rsidRPr="00D30DB1" w:rsidRDefault="00316561" w:rsidP="00D30DB1">
            <w:pPr>
              <w:spacing w:after="0" w:line="240" w:lineRule="auto"/>
              <w:rPr>
                <w:rFonts w:ascii="Calibri" w:eastAsia="Times New Roman" w:hAnsi="Calibri" w:cs="Times New Roman"/>
                <w:color w:val="000000"/>
                <w:lang w:val="en-GB"/>
              </w:rPr>
            </w:pPr>
            <w:r w:rsidRPr="00316561">
              <w:rPr>
                <w:rFonts w:ascii="Calibri" w:eastAsia="Times New Roman" w:hAnsi="Calibri" w:cs="Times New Roman"/>
                <w:color w:val="000000"/>
                <w:lang w:val="en-GB"/>
              </w:rPr>
              <w:t>52</w:t>
            </w:r>
            <w:r w:rsidR="00CE70E7">
              <w:rPr>
                <w:rFonts w:ascii="Calibri" w:eastAsia="Times New Roman" w:hAnsi="Calibri" w:cs="Times New Roman"/>
                <w:color w:val="000000"/>
                <w:lang w:val="en-GB"/>
              </w:rPr>
              <w:t>.1</w:t>
            </w:r>
            <w:r w:rsidRPr="00316561">
              <w:rPr>
                <w:rFonts w:ascii="Calibri" w:eastAsia="Times New Roman" w:hAnsi="Calibri" w:cs="Times New Roman"/>
                <w:color w:val="000000"/>
                <w:lang w:val="en-GB"/>
              </w:rPr>
              <w:t xml:space="preserve"> </w:t>
            </w:r>
            <w:r w:rsidRPr="00316561">
              <w:rPr>
                <w:rFonts w:ascii="Calibri" w:eastAsia="Times New Roman" w:hAnsi="Calibri" w:cs="Times New Roman"/>
                <w:color w:val="000000"/>
                <w:lang w:val="en-GB"/>
              </w:rPr>
              <w:tab/>
              <w:t xml:space="preserve"> </w:t>
            </w:r>
          </w:p>
        </w:tc>
        <w:tc>
          <w:tcPr>
            <w:tcW w:w="919" w:type="pct"/>
            <w:shd w:val="clear" w:color="auto" w:fill="auto"/>
          </w:tcPr>
          <w:p w14:paraId="18929B9A" w14:textId="77777777" w:rsidR="00D30DB1" w:rsidRDefault="00D30DB1" w:rsidP="00D30DB1">
            <w:pPr>
              <w:spacing w:after="0" w:line="240" w:lineRule="auto"/>
              <w:rPr>
                <w:rFonts w:ascii="Calibri" w:eastAsia="Times New Roman" w:hAnsi="Calibri" w:cs="Times New Roman"/>
                <w:color w:val="000000"/>
                <w:lang w:val="en-GB"/>
              </w:rPr>
            </w:pPr>
          </w:p>
          <w:p w14:paraId="48A8BDF5" w14:textId="4814A51F" w:rsidR="00316561" w:rsidRPr="00D30DB1" w:rsidRDefault="00316561" w:rsidP="00D30DB1">
            <w:pPr>
              <w:spacing w:after="0" w:line="240" w:lineRule="auto"/>
              <w:rPr>
                <w:rFonts w:ascii="Calibri" w:eastAsia="Times New Roman" w:hAnsi="Calibri" w:cs="Times New Roman"/>
                <w:color w:val="000000"/>
                <w:lang w:val="en-GB"/>
              </w:rPr>
            </w:pPr>
            <w:r w:rsidRPr="00316561">
              <w:rPr>
                <w:rFonts w:ascii="Calibri" w:eastAsia="Times New Roman" w:hAnsi="Calibri" w:cs="Times New Roman"/>
                <w:color w:val="000000"/>
                <w:lang w:val="en-GB"/>
              </w:rPr>
              <w:t>273</w:t>
            </w:r>
            <w:r w:rsidR="00CE70E7">
              <w:rPr>
                <w:rFonts w:ascii="Calibri" w:eastAsia="Times New Roman" w:hAnsi="Calibri" w:cs="Times New Roman"/>
                <w:color w:val="000000"/>
                <w:lang w:val="en-GB"/>
              </w:rPr>
              <w:t>.4</w:t>
            </w:r>
          </w:p>
        </w:tc>
        <w:tc>
          <w:tcPr>
            <w:tcW w:w="919" w:type="pct"/>
            <w:shd w:val="clear" w:color="auto" w:fill="auto"/>
          </w:tcPr>
          <w:p w14:paraId="73E222A8" w14:textId="77777777" w:rsidR="00A7086B" w:rsidRDefault="00A7086B" w:rsidP="00AE7FAF">
            <w:pPr>
              <w:spacing w:after="0" w:line="240" w:lineRule="auto"/>
              <w:rPr>
                <w:rFonts w:ascii="Calibri" w:eastAsia="Times New Roman" w:hAnsi="Calibri" w:cs="Times New Roman"/>
                <w:color w:val="000000"/>
              </w:rPr>
            </w:pPr>
          </w:p>
          <w:p w14:paraId="4C205251" w14:textId="51FC2A14" w:rsidR="00AE7FAF" w:rsidRPr="00AE7FAF" w:rsidRDefault="00AE7FAF" w:rsidP="00AE7FAF">
            <w:pPr>
              <w:spacing w:after="0" w:line="240" w:lineRule="auto"/>
              <w:rPr>
                <w:rFonts w:ascii="Calibri" w:eastAsia="Times New Roman" w:hAnsi="Calibri" w:cs="Times New Roman"/>
                <w:color w:val="000000"/>
              </w:rPr>
            </w:pPr>
            <w:r w:rsidRPr="00AE7FAF">
              <w:rPr>
                <w:rFonts w:ascii="Calibri" w:eastAsia="Times New Roman" w:hAnsi="Calibri" w:cs="Times New Roman"/>
                <w:color w:val="000000"/>
              </w:rPr>
              <w:t>325</w:t>
            </w:r>
            <w:r w:rsidR="00EC0F34">
              <w:rPr>
                <w:rFonts w:ascii="Calibri" w:eastAsia="Times New Roman" w:hAnsi="Calibri" w:cs="Times New Roman"/>
                <w:color w:val="000000"/>
              </w:rPr>
              <w:t>.5</w:t>
            </w:r>
            <w:r w:rsidRPr="00AE7FAF">
              <w:rPr>
                <w:rFonts w:ascii="Calibri" w:eastAsia="Times New Roman" w:hAnsi="Calibri" w:cs="Times New Roman"/>
                <w:color w:val="000000"/>
              </w:rPr>
              <w:t xml:space="preserve"> </w:t>
            </w:r>
          </w:p>
          <w:p w14:paraId="786BFDF8" w14:textId="0EE3E7F5" w:rsidR="00AE7FAF" w:rsidRPr="00D30DB1" w:rsidRDefault="00AE7FAF" w:rsidP="00D30DB1">
            <w:pPr>
              <w:spacing w:after="0" w:line="240" w:lineRule="auto"/>
              <w:rPr>
                <w:rFonts w:ascii="Calibri" w:eastAsia="Times New Roman" w:hAnsi="Calibri" w:cs="Times New Roman"/>
                <w:color w:val="000000"/>
                <w:lang w:val="en-GB"/>
              </w:rPr>
            </w:pPr>
          </w:p>
        </w:tc>
      </w:tr>
      <w:tr w:rsidR="009F3CAF" w:rsidRPr="00D30DB1" w14:paraId="0980D83C" w14:textId="77777777" w:rsidTr="000775B6">
        <w:trPr>
          <w:trHeight w:val="900"/>
        </w:trPr>
        <w:tc>
          <w:tcPr>
            <w:tcW w:w="1277" w:type="pct"/>
            <w:shd w:val="clear" w:color="auto" w:fill="auto"/>
          </w:tcPr>
          <w:p w14:paraId="36CCA91B" w14:textId="77777777" w:rsidR="009F3CAF" w:rsidRDefault="009F3CAF"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 xml:space="preserve">Objective </w:t>
            </w:r>
            <w:r w:rsidR="00741950">
              <w:rPr>
                <w:rFonts w:ascii="Calibri" w:eastAsia="Times New Roman" w:hAnsi="Calibri" w:cs="Times New Roman"/>
                <w:color w:val="000000"/>
                <w:lang w:val="en-GB"/>
              </w:rPr>
              <w:t>2:</w:t>
            </w:r>
          </w:p>
          <w:p w14:paraId="722134D8" w14:textId="77777777" w:rsidR="00741950" w:rsidRDefault="00741950"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ABNJ</w:t>
            </w:r>
          </w:p>
          <w:p w14:paraId="1E4B7D6E" w14:textId="77777777" w:rsidR="00741950" w:rsidRDefault="00741950" w:rsidP="00D30DB1">
            <w:pPr>
              <w:spacing w:after="0" w:line="240" w:lineRule="auto"/>
              <w:rPr>
                <w:rFonts w:ascii="Calibri" w:eastAsia="Times New Roman" w:hAnsi="Calibri" w:cs="Times New Roman"/>
                <w:color w:val="000000"/>
                <w:lang w:val="en-GB"/>
              </w:rPr>
            </w:pPr>
          </w:p>
          <w:p w14:paraId="5A4DEC32" w14:textId="77777777" w:rsidR="00741950" w:rsidRDefault="00741950"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Objective 3:</w:t>
            </w:r>
          </w:p>
          <w:p w14:paraId="550255E1" w14:textId="77777777" w:rsidR="000B65EF" w:rsidRDefault="00741950"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 xml:space="preserve">Freshwater </w:t>
            </w:r>
          </w:p>
          <w:p w14:paraId="484EA7AC" w14:textId="3BAB7649" w:rsidR="00741950" w:rsidRPr="00D30DB1" w:rsidRDefault="00403FCE"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E</w:t>
            </w:r>
            <w:r w:rsidR="00741950">
              <w:rPr>
                <w:rFonts w:ascii="Calibri" w:eastAsia="Times New Roman" w:hAnsi="Calibri" w:cs="Times New Roman"/>
                <w:color w:val="000000"/>
                <w:lang w:val="en-GB"/>
              </w:rPr>
              <w:t>cosystems</w:t>
            </w:r>
          </w:p>
        </w:tc>
        <w:tc>
          <w:tcPr>
            <w:tcW w:w="877" w:type="pct"/>
            <w:shd w:val="clear" w:color="auto" w:fill="auto"/>
          </w:tcPr>
          <w:p w14:paraId="4A346664" w14:textId="77777777" w:rsidR="009F3CAF" w:rsidRDefault="000B65EF"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6 and 11</w:t>
            </w:r>
          </w:p>
          <w:p w14:paraId="21B0FF71" w14:textId="77777777" w:rsidR="000B65EF" w:rsidRDefault="000B65EF" w:rsidP="00D30DB1">
            <w:pPr>
              <w:spacing w:after="0" w:line="240" w:lineRule="auto"/>
              <w:rPr>
                <w:rFonts w:ascii="Calibri" w:eastAsia="Times New Roman" w:hAnsi="Calibri" w:cs="Times New Roman"/>
                <w:color w:val="000000"/>
                <w:lang w:val="en-GB"/>
              </w:rPr>
            </w:pPr>
          </w:p>
          <w:p w14:paraId="40848BAA" w14:textId="77777777" w:rsidR="000B65EF" w:rsidRDefault="000B65EF" w:rsidP="00D30DB1">
            <w:pPr>
              <w:spacing w:after="0" w:line="240" w:lineRule="auto"/>
              <w:rPr>
                <w:rFonts w:ascii="Calibri" w:eastAsia="Times New Roman" w:hAnsi="Calibri" w:cs="Times New Roman"/>
                <w:color w:val="000000"/>
                <w:lang w:val="en-GB"/>
              </w:rPr>
            </w:pPr>
          </w:p>
          <w:p w14:paraId="0C833B71" w14:textId="383ABD9E" w:rsidR="000B65EF" w:rsidRPr="00D30DB1" w:rsidRDefault="00DD499D"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6</w:t>
            </w:r>
            <w:r w:rsidR="000B621D">
              <w:rPr>
                <w:rFonts w:ascii="Calibri" w:eastAsia="Times New Roman" w:hAnsi="Calibri" w:cs="Times New Roman"/>
                <w:color w:val="000000"/>
                <w:lang w:val="en-GB"/>
              </w:rPr>
              <w:t>,</w:t>
            </w:r>
            <w:r w:rsidR="00B136C3">
              <w:rPr>
                <w:rFonts w:ascii="Calibri" w:eastAsia="Times New Roman" w:hAnsi="Calibri" w:cs="Times New Roman"/>
                <w:color w:val="000000"/>
                <w:lang w:val="en-GB"/>
              </w:rPr>
              <w:t>11</w:t>
            </w:r>
            <w:r w:rsidR="000B621D">
              <w:rPr>
                <w:rFonts w:ascii="Calibri" w:eastAsia="Times New Roman" w:hAnsi="Calibri" w:cs="Times New Roman"/>
                <w:color w:val="000000"/>
                <w:lang w:val="en-GB"/>
              </w:rPr>
              <w:t>, 14</w:t>
            </w:r>
            <w:r w:rsidR="00B2392F">
              <w:rPr>
                <w:rFonts w:ascii="Calibri" w:eastAsia="Times New Roman" w:hAnsi="Calibri" w:cs="Times New Roman"/>
                <w:color w:val="000000"/>
                <w:lang w:val="en-GB"/>
              </w:rPr>
              <w:t xml:space="preserve">       </w:t>
            </w:r>
          </w:p>
        </w:tc>
        <w:tc>
          <w:tcPr>
            <w:tcW w:w="1008" w:type="pct"/>
            <w:shd w:val="clear" w:color="auto" w:fill="auto"/>
          </w:tcPr>
          <w:p w14:paraId="69E147C5" w14:textId="77777777" w:rsidR="009F3CAF" w:rsidRDefault="00316561"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0</w:t>
            </w:r>
          </w:p>
          <w:p w14:paraId="335921C0" w14:textId="77777777" w:rsidR="00B40D9E" w:rsidRDefault="00B40D9E" w:rsidP="00D30DB1">
            <w:pPr>
              <w:spacing w:after="0" w:line="240" w:lineRule="auto"/>
              <w:rPr>
                <w:rFonts w:ascii="Calibri" w:eastAsia="Times New Roman" w:hAnsi="Calibri" w:cs="Times New Roman"/>
                <w:color w:val="000000"/>
                <w:lang w:val="en-GB"/>
              </w:rPr>
            </w:pPr>
          </w:p>
          <w:p w14:paraId="644294E2" w14:textId="77777777" w:rsidR="00B40D9E" w:rsidRDefault="00B40D9E" w:rsidP="00D30DB1">
            <w:pPr>
              <w:spacing w:after="0" w:line="240" w:lineRule="auto"/>
              <w:rPr>
                <w:rFonts w:ascii="Calibri" w:eastAsia="Times New Roman" w:hAnsi="Calibri" w:cs="Times New Roman"/>
                <w:color w:val="000000"/>
                <w:lang w:val="en-GB"/>
              </w:rPr>
            </w:pPr>
          </w:p>
          <w:p w14:paraId="218C1C3E" w14:textId="5C235DE8" w:rsidR="00B40D9E" w:rsidRPr="00D30DB1" w:rsidRDefault="00B40D9E"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38</w:t>
            </w:r>
            <w:r w:rsidR="00CE70E7">
              <w:rPr>
                <w:rFonts w:ascii="Calibri" w:eastAsia="Times New Roman" w:hAnsi="Calibri" w:cs="Times New Roman"/>
                <w:color w:val="000000"/>
                <w:lang w:val="en-GB"/>
              </w:rPr>
              <w:t>.4</w:t>
            </w:r>
          </w:p>
        </w:tc>
        <w:tc>
          <w:tcPr>
            <w:tcW w:w="919" w:type="pct"/>
            <w:shd w:val="clear" w:color="auto" w:fill="auto"/>
          </w:tcPr>
          <w:p w14:paraId="68F65F37" w14:textId="77777777" w:rsidR="00100A84" w:rsidRDefault="00316561"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0</w:t>
            </w:r>
          </w:p>
          <w:p w14:paraId="46932542" w14:textId="77777777" w:rsidR="008B477F" w:rsidRDefault="008B477F" w:rsidP="00D30DB1">
            <w:pPr>
              <w:spacing w:after="0" w:line="240" w:lineRule="auto"/>
              <w:rPr>
                <w:rFonts w:ascii="Calibri" w:eastAsia="Times New Roman" w:hAnsi="Calibri" w:cs="Times New Roman"/>
                <w:color w:val="000000"/>
                <w:lang w:val="en-GB"/>
              </w:rPr>
            </w:pPr>
          </w:p>
          <w:p w14:paraId="76BDD778" w14:textId="77777777" w:rsidR="008B477F" w:rsidRDefault="008B477F" w:rsidP="00D30DB1">
            <w:pPr>
              <w:spacing w:after="0" w:line="240" w:lineRule="auto"/>
              <w:rPr>
                <w:rFonts w:ascii="Calibri" w:eastAsia="Times New Roman" w:hAnsi="Calibri" w:cs="Times New Roman"/>
                <w:color w:val="000000"/>
                <w:lang w:val="en-GB"/>
              </w:rPr>
            </w:pPr>
          </w:p>
          <w:p w14:paraId="17244739" w14:textId="257BE313" w:rsidR="008B477F" w:rsidRPr="00D30DB1" w:rsidRDefault="008B477F"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39</w:t>
            </w:r>
            <w:r w:rsidR="00EC0F34">
              <w:rPr>
                <w:rFonts w:ascii="Calibri" w:eastAsia="Times New Roman" w:hAnsi="Calibri" w:cs="Times New Roman"/>
                <w:color w:val="000000"/>
                <w:lang w:val="en-GB"/>
              </w:rPr>
              <w:t>1.0</w:t>
            </w:r>
          </w:p>
        </w:tc>
        <w:tc>
          <w:tcPr>
            <w:tcW w:w="919" w:type="pct"/>
            <w:shd w:val="clear" w:color="auto" w:fill="auto"/>
          </w:tcPr>
          <w:p w14:paraId="7157B34A" w14:textId="77777777" w:rsidR="009F3CAF" w:rsidRDefault="00AE7FAF"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0</w:t>
            </w:r>
          </w:p>
          <w:p w14:paraId="50204508" w14:textId="77777777" w:rsidR="008B477F" w:rsidRDefault="008B477F" w:rsidP="00D30DB1">
            <w:pPr>
              <w:spacing w:after="0" w:line="240" w:lineRule="auto"/>
              <w:rPr>
                <w:rFonts w:ascii="Calibri" w:eastAsia="Times New Roman" w:hAnsi="Calibri" w:cs="Times New Roman"/>
                <w:color w:val="000000"/>
                <w:lang w:val="en-GB"/>
              </w:rPr>
            </w:pPr>
          </w:p>
          <w:p w14:paraId="3DBA49E5" w14:textId="77777777" w:rsidR="008B477F" w:rsidRDefault="008B477F" w:rsidP="00D30DB1">
            <w:pPr>
              <w:spacing w:after="0" w:line="240" w:lineRule="auto"/>
              <w:rPr>
                <w:rFonts w:ascii="Calibri" w:eastAsia="Times New Roman" w:hAnsi="Calibri" w:cs="Times New Roman"/>
                <w:color w:val="000000"/>
                <w:lang w:val="en-GB"/>
              </w:rPr>
            </w:pPr>
          </w:p>
          <w:p w14:paraId="65CD213C" w14:textId="33E27B54" w:rsidR="008B477F" w:rsidRPr="00D30DB1" w:rsidRDefault="008B477F" w:rsidP="00D30DB1">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429</w:t>
            </w:r>
            <w:r w:rsidR="0061357E">
              <w:rPr>
                <w:rFonts w:ascii="Calibri" w:eastAsia="Times New Roman" w:hAnsi="Calibri" w:cs="Times New Roman"/>
                <w:color w:val="000000"/>
                <w:lang w:val="en-GB"/>
              </w:rPr>
              <w:t>.4</w:t>
            </w:r>
          </w:p>
        </w:tc>
      </w:tr>
      <w:tr w:rsidR="008A74E2" w:rsidRPr="00D30DB1" w14:paraId="1678B737" w14:textId="77777777" w:rsidTr="00630594">
        <w:trPr>
          <w:trHeight w:val="702"/>
        </w:trPr>
        <w:tc>
          <w:tcPr>
            <w:tcW w:w="1277" w:type="pct"/>
            <w:tcBorders>
              <w:bottom w:val="single" w:sz="4" w:space="0" w:color="auto"/>
            </w:tcBorders>
            <w:shd w:val="clear" w:color="auto" w:fill="auto"/>
          </w:tcPr>
          <w:p w14:paraId="5130FFE6" w14:textId="77777777" w:rsidR="008A74E2" w:rsidRDefault="008A74E2" w:rsidP="00BA3FA3">
            <w:pPr>
              <w:spacing w:after="0" w:line="240" w:lineRule="auto"/>
              <w:rPr>
                <w:rFonts w:ascii="Calibri" w:eastAsia="Times New Roman" w:hAnsi="Calibri" w:cs="Times New Roman"/>
                <w:color w:val="000000"/>
                <w:lang w:val="en-GB"/>
              </w:rPr>
            </w:pPr>
          </w:p>
          <w:p w14:paraId="36BF4394" w14:textId="77399062" w:rsidR="008A74E2" w:rsidRPr="00045526" w:rsidRDefault="008A74E2" w:rsidP="00BA3FA3">
            <w:pPr>
              <w:spacing w:after="0" w:line="240" w:lineRule="auto"/>
              <w:rPr>
                <w:rFonts w:ascii="Calibri" w:eastAsia="Times New Roman" w:hAnsi="Calibri" w:cs="Times New Roman"/>
                <w:b/>
                <w:color w:val="000000"/>
                <w:lang w:val="en-GB"/>
              </w:rPr>
            </w:pPr>
            <w:r w:rsidRPr="00045526">
              <w:rPr>
                <w:rFonts w:ascii="Calibri" w:eastAsia="Times New Roman" w:hAnsi="Calibri" w:cs="Times New Roman"/>
                <w:b/>
                <w:color w:val="000000"/>
                <w:lang w:val="en-GB"/>
              </w:rPr>
              <w:t>Totals</w:t>
            </w:r>
          </w:p>
        </w:tc>
        <w:tc>
          <w:tcPr>
            <w:tcW w:w="877" w:type="pct"/>
            <w:tcBorders>
              <w:bottom w:val="single" w:sz="4" w:space="0" w:color="auto"/>
            </w:tcBorders>
            <w:shd w:val="clear" w:color="auto" w:fill="auto"/>
          </w:tcPr>
          <w:p w14:paraId="62905816" w14:textId="77777777" w:rsidR="008A74E2" w:rsidRPr="00D30DB1" w:rsidRDefault="008A74E2" w:rsidP="00BA3FA3">
            <w:pPr>
              <w:spacing w:after="0" w:line="240" w:lineRule="auto"/>
              <w:rPr>
                <w:rFonts w:ascii="Calibri" w:eastAsia="Times New Roman" w:hAnsi="Calibri" w:cs="Times New Roman"/>
                <w:color w:val="000000"/>
                <w:lang w:val="en-GB"/>
              </w:rPr>
            </w:pPr>
          </w:p>
        </w:tc>
        <w:tc>
          <w:tcPr>
            <w:tcW w:w="1008" w:type="pct"/>
            <w:tcBorders>
              <w:top w:val="nil"/>
              <w:left w:val="nil"/>
              <w:bottom w:val="single" w:sz="4" w:space="0" w:color="auto"/>
              <w:right w:val="nil"/>
            </w:tcBorders>
            <w:shd w:val="clear" w:color="auto" w:fill="auto"/>
          </w:tcPr>
          <w:p w14:paraId="4D5C9445" w14:textId="77777777" w:rsidR="00630594" w:rsidRDefault="00630594" w:rsidP="00BA3FA3">
            <w:pPr>
              <w:spacing w:after="0" w:line="240" w:lineRule="auto"/>
              <w:rPr>
                <w:rFonts w:ascii="Calibri" w:hAnsi="Calibri" w:cs="Calibri"/>
                <w:color w:val="000000"/>
              </w:rPr>
            </w:pPr>
          </w:p>
          <w:p w14:paraId="56901D3B" w14:textId="5A190146" w:rsidR="008A74E2" w:rsidRPr="00D30DB1" w:rsidRDefault="008A74E2" w:rsidP="00BA3FA3">
            <w:pPr>
              <w:spacing w:after="0" w:line="240" w:lineRule="auto"/>
              <w:rPr>
                <w:rFonts w:ascii="Calibri" w:eastAsia="Times New Roman" w:hAnsi="Calibri" w:cs="Times New Roman"/>
                <w:color w:val="000000"/>
                <w:lang w:val="en-GB"/>
              </w:rPr>
            </w:pPr>
            <w:r>
              <w:rPr>
                <w:rFonts w:ascii="Calibri" w:hAnsi="Calibri" w:cs="Calibri"/>
                <w:color w:val="000000"/>
              </w:rPr>
              <w:t>90</w:t>
            </w:r>
            <w:r w:rsidR="00CE70E7">
              <w:rPr>
                <w:rFonts w:ascii="Calibri" w:hAnsi="Calibri" w:cs="Calibri"/>
                <w:color w:val="000000"/>
              </w:rPr>
              <w:t>.5</w:t>
            </w:r>
          </w:p>
        </w:tc>
        <w:tc>
          <w:tcPr>
            <w:tcW w:w="919" w:type="pct"/>
            <w:tcBorders>
              <w:top w:val="nil"/>
              <w:left w:val="nil"/>
              <w:bottom w:val="single" w:sz="4" w:space="0" w:color="auto"/>
              <w:right w:val="nil"/>
            </w:tcBorders>
            <w:shd w:val="clear" w:color="auto" w:fill="auto"/>
          </w:tcPr>
          <w:p w14:paraId="68C6E1E5" w14:textId="77777777" w:rsidR="00630594" w:rsidRDefault="00630594" w:rsidP="00BA3FA3">
            <w:pPr>
              <w:spacing w:after="0" w:line="240" w:lineRule="auto"/>
              <w:rPr>
                <w:rFonts w:ascii="Calibri" w:hAnsi="Calibri" w:cs="Calibri"/>
                <w:color w:val="000000"/>
              </w:rPr>
            </w:pPr>
          </w:p>
          <w:p w14:paraId="71BE4715" w14:textId="3D4676A1" w:rsidR="008A74E2" w:rsidRPr="00D30DB1" w:rsidRDefault="008A74E2" w:rsidP="00BA3FA3">
            <w:pPr>
              <w:spacing w:after="0" w:line="240" w:lineRule="auto"/>
              <w:rPr>
                <w:rFonts w:ascii="Calibri" w:eastAsia="Times New Roman" w:hAnsi="Calibri" w:cs="Times New Roman"/>
                <w:color w:val="000000"/>
                <w:lang w:val="en-GB"/>
              </w:rPr>
            </w:pPr>
            <w:r>
              <w:rPr>
                <w:rFonts w:ascii="Calibri" w:hAnsi="Calibri" w:cs="Calibri"/>
                <w:color w:val="000000"/>
              </w:rPr>
              <w:t>664</w:t>
            </w:r>
            <w:r w:rsidR="00EC0F34">
              <w:rPr>
                <w:rFonts w:ascii="Calibri" w:hAnsi="Calibri" w:cs="Calibri"/>
                <w:color w:val="000000"/>
              </w:rPr>
              <w:t>.4</w:t>
            </w:r>
          </w:p>
        </w:tc>
        <w:tc>
          <w:tcPr>
            <w:tcW w:w="919" w:type="pct"/>
            <w:tcBorders>
              <w:bottom w:val="single" w:sz="4" w:space="0" w:color="auto"/>
            </w:tcBorders>
            <w:shd w:val="clear" w:color="auto" w:fill="auto"/>
          </w:tcPr>
          <w:p w14:paraId="78A189D8" w14:textId="77777777" w:rsidR="00630594" w:rsidRDefault="00630594" w:rsidP="00BA3FA3">
            <w:pPr>
              <w:spacing w:after="0" w:line="240" w:lineRule="auto"/>
              <w:rPr>
                <w:rFonts w:ascii="Calibri" w:eastAsia="Times New Roman" w:hAnsi="Calibri" w:cs="Times New Roman"/>
                <w:color w:val="000000"/>
                <w:lang w:val="en-GB"/>
              </w:rPr>
            </w:pPr>
          </w:p>
          <w:p w14:paraId="0168EC0B" w14:textId="2A97CCF9" w:rsidR="003A7D61" w:rsidRDefault="005029F8" w:rsidP="00BA3FA3">
            <w:pPr>
              <w:spacing w:after="0" w:line="240" w:lineRule="auto"/>
              <w:rPr>
                <w:rFonts w:ascii="Calibri" w:eastAsia="Times New Roman" w:hAnsi="Calibri" w:cs="Times New Roman"/>
                <w:color w:val="000000"/>
                <w:lang w:val="en-GB"/>
              </w:rPr>
            </w:pPr>
            <w:r w:rsidRPr="005029F8">
              <w:rPr>
                <w:rFonts w:ascii="Calibri" w:eastAsia="Times New Roman" w:hAnsi="Calibri" w:cs="Times New Roman"/>
                <w:color w:val="000000"/>
                <w:lang w:val="en-GB"/>
              </w:rPr>
              <w:t>754</w:t>
            </w:r>
            <w:r w:rsidR="0061357E">
              <w:rPr>
                <w:rFonts w:ascii="Calibri" w:eastAsia="Times New Roman" w:hAnsi="Calibri" w:cs="Times New Roman"/>
                <w:color w:val="000000"/>
                <w:lang w:val="en-GB"/>
              </w:rPr>
              <w:t>.9</w:t>
            </w:r>
          </w:p>
          <w:p w14:paraId="2BB9EAFD" w14:textId="0636DA7F" w:rsidR="002B1FF4" w:rsidRPr="00D30DB1" w:rsidRDefault="002B1FF4" w:rsidP="00BA3FA3">
            <w:pPr>
              <w:spacing w:after="0" w:line="240" w:lineRule="auto"/>
              <w:rPr>
                <w:rFonts w:ascii="Calibri" w:eastAsia="Times New Roman" w:hAnsi="Calibri" w:cs="Times New Roman"/>
                <w:color w:val="000000"/>
                <w:lang w:val="en-GB"/>
              </w:rPr>
            </w:pPr>
          </w:p>
        </w:tc>
      </w:tr>
    </w:tbl>
    <w:p w14:paraId="7B0C2747" w14:textId="77777777" w:rsidR="00046027" w:rsidRDefault="00046027" w:rsidP="00AA13C2">
      <w:pPr>
        <w:rPr>
          <w:snapToGrid w:val="0"/>
        </w:rPr>
      </w:pPr>
    </w:p>
    <w:p w14:paraId="5C79DADC" w14:textId="78980531" w:rsidR="00D30DB1" w:rsidRPr="009B5EC4" w:rsidRDefault="00D30DB1" w:rsidP="00105FB1">
      <w:pPr>
        <w:pStyle w:val="Heading3"/>
        <w:rPr>
          <w:snapToGrid w:val="0"/>
        </w:rPr>
      </w:pPr>
      <w:bookmarkStart w:id="41" w:name="_Toc32494928"/>
      <w:r w:rsidRPr="009B5EC4">
        <w:rPr>
          <w:snapToGrid w:val="0"/>
        </w:rPr>
        <w:t>Non-grant Instrument</w:t>
      </w:r>
      <w:bookmarkEnd w:id="41"/>
    </w:p>
    <w:p w14:paraId="797B5AA9" w14:textId="6490A7E4" w:rsidR="00926978" w:rsidRDefault="00C93E18"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rPr>
      </w:pPr>
      <w:r w:rsidRPr="00C93E18">
        <w:rPr>
          <w:rFonts w:ascii="Calibri" w:eastAsia="MS Mincho" w:hAnsi="Calibri" w:cs="Times New Roman"/>
          <w:snapToGrid w:val="0"/>
          <w:sz w:val="24"/>
          <w:szCs w:val="24"/>
        </w:rPr>
        <w:t>GEF stakeholders are increasingly attracted to the use of non-grant instruments for blended finance</w:t>
      </w:r>
      <w:r w:rsidR="00622252">
        <w:rPr>
          <w:rFonts w:ascii="Calibri" w:eastAsia="MS Mincho" w:hAnsi="Calibri" w:cs="Times New Roman"/>
          <w:snapToGrid w:val="0"/>
          <w:sz w:val="24"/>
          <w:szCs w:val="24"/>
        </w:rPr>
        <w:t xml:space="preserve"> </w:t>
      </w:r>
      <w:r w:rsidRPr="00C93E18">
        <w:rPr>
          <w:rFonts w:ascii="Calibri" w:eastAsia="MS Mincho" w:hAnsi="Calibri" w:cs="Times New Roman"/>
          <w:snapToGrid w:val="0"/>
          <w:sz w:val="24"/>
          <w:szCs w:val="24"/>
        </w:rPr>
        <w:t>as a mechanism to enhance private sector engagement.</w:t>
      </w:r>
      <w:r w:rsidR="00622252">
        <w:rPr>
          <w:rFonts w:ascii="Calibri" w:eastAsia="MS Mincho" w:hAnsi="Calibri" w:cs="Times New Roman"/>
          <w:snapToGrid w:val="0"/>
          <w:sz w:val="24"/>
          <w:szCs w:val="24"/>
        </w:rPr>
        <w:t xml:space="preserve">  </w:t>
      </w:r>
      <w:r w:rsidRPr="00C93E18">
        <w:rPr>
          <w:rFonts w:ascii="Calibri" w:eastAsia="MS Mincho" w:hAnsi="Calibri" w:cs="Times New Roman"/>
          <w:snapToGrid w:val="0"/>
          <w:sz w:val="24"/>
          <w:szCs w:val="24"/>
        </w:rPr>
        <w:t>Blended finance aims to use scarce public resources to unlock large multiples of private sector finance, and therefore has attracted significant interest in recent years, including a private sector window for</w:t>
      </w:r>
      <w:r w:rsidR="00B4635F">
        <w:rPr>
          <w:rFonts w:ascii="Calibri" w:eastAsia="MS Mincho" w:hAnsi="Calibri" w:cs="Times New Roman"/>
          <w:snapToGrid w:val="0"/>
          <w:sz w:val="24"/>
          <w:szCs w:val="24"/>
        </w:rPr>
        <w:t xml:space="preserve"> International Development Assistance</w:t>
      </w:r>
      <w:r w:rsidRPr="00C93E18">
        <w:rPr>
          <w:rFonts w:ascii="Calibri" w:eastAsia="MS Mincho" w:hAnsi="Calibri" w:cs="Times New Roman"/>
          <w:snapToGrid w:val="0"/>
          <w:sz w:val="24"/>
          <w:szCs w:val="24"/>
        </w:rPr>
        <w:t xml:space="preserve"> IDA and added emphasis on catalyzing private investment by many bilateral and multilateral funds. The GEF experience using non-grant instruments shows that blended finance can be a potent instrument.</w:t>
      </w:r>
    </w:p>
    <w:p w14:paraId="3692393B" w14:textId="52DBA052" w:rsidR="00C93E18" w:rsidRDefault="00C93E18"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rPr>
      </w:pPr>
      <w:r w:rsidRPr="00C93E18">
        <w:rPr>
          <w:rFonts w:ascii="Calibri" w:eastAsia="MS Mincho" w:hAnsi="Calibri" w:cs="Times New Roman"/>
          <w:snapToGrid w:val="0"/>
          <w:sz w:val="24"/>
          <w:szCs w:val="24"/>
        </w:rPr>
        <w:t xml:space="preserve">Under GEF-7, GEF is accelerating the use of non-grant instruments for blended finance in support of delivering Global Environmental Benefits and to catalyze investments from capital markets at global and national levels aligned with focal area objectives. </w:t>
      </w:r>
    </w:p>
    <w:p w14:paraId="49CE003D" w14:textId="7E46C7A9" w:rsidR="00046027" w:rsidRDefault="00A327A8" w:rsidP="00FF3B4A">
      <w:pPr>
        <w:pStyle w:val="ListParagraph"/>
        <w:numPr>
          <w:ilvl w:val="0"/>
          <w:numId w:val="25"/>
        </w:numPr>
        <w:spacing w:before="240" w:after="240" w:line="240" w:lineRule="auto"/>
        <w:ind w:left="0" w:firstLine="0"/>
        <w:contextualSpacing w:val="0"/>
        <w:rPr>
          <w:rFonts w:ascii="Calibri" w:eastAsia="MS Mincho" w:hAnsi="Calibri" w:cs="Times New Roman"/>
          <w:snapToGrid w:val="0"/>
          <w:sz w:val="24"/>
          <w:szCs w:val="24"/>
        </w:rPr>
      </w:pPr>
      <w:r w:rsidRPr="00C56687">
        <w:rPr>
          <w:rFonts w:ascii="Calibri" w:eastAsia="MS Mincho" w:hAnsi="Calibri" w:cs="Times New Roman"/>
          <w:snapToGrid w:val="0"/>
          <w:sz w:val="24"/>
          <w:szCs w:val="24"/>
        </w:rPr>
        <w:t>One</w:t>
      </w:r>
      <w:r w:rsidR="009B7ABE" w:rsidRPr="00C56687">
        <w:rPr>
          <w:rFonts w:ascii="Calibri" w:eastAsia="MS Mincho" w:hAnsi="Calibri" w:cs="Times New Roman"/>
          <w:snapToGrid w:val="0"/>
          <w:sz w:val="24"/>
          <w:szCs w:val="24"/>
        </w:rPr>
        <w:t xml:space="preserve"> NGI</w:t>
      </w:r>
      <w:r w:rsidR="00D30DB1" w:rsidRPr="00C56687">
        <w:rPr>
          <w:rFonts w:ascii="Calibri" w:eastAsia="MS Mincho" w:hAnsi="Calibri" w:cs="Times New Roman"/>
          <w:snapToGrid w:val="0"/>
          <w:sz w:val="24"/>
          <w:szCs w:val="24"/>
        </w:rPr>
        <w:t xml:space="preserve"> project ha</w:t>
      </w:r>
      <w:r w:rsidRPr="00C56687">
        <w:rPr>
          <w:rFonts w:ascii="Calibri" w:eastAsia="MS Mincho" w:hAnsi="Calibri" w:cs="Times New Roman"/>
          <w:snapToGrid w:val="0"/>
          <w:sz w:val="24"/>
          <w:szCs w:val="24"/>
        </w:rPr>
        <w:t>s</w:t>
      </w:r>
      <w:r w:rsidR="00D30DB1" w:rsidRPr="00C56687">
        <w:rPr>
          <w:rFonts w:ascii="Calibri" w:eastAsia="MS Mincho" w:hAnsi="Calibri" w:cs="Times New Roman"/>
          <w:snapToGrid w:val="0"/>
          <w:sz w:val="24"/>
          <w:szCs w:val="24"/>
        </w:rPr>
        <w:t xml:space="preserve"> been approved during the reporting period that make direct contributions to Aichi Biodiversity Targets </w:t>
      </w:r>
      <w:r w:rsidR="00663160" w:rsidRPr="00C56687">
        <w:rPr>
          <w:rFonts w:ascii="Calibri" w:eastAsia="MS Mincho" w:hAnsi="Calibri" w:cs="Times New Roman"/>
          <w:snapToGrid w:val="0"/>
          <w:sz w:val="24"/>
          <w:szCs w:val="24"/>
        </w:rPr>
        <w:t>2 and 5</w:t>
      </w:r>
      <w:r w:rsidR="00D30DB1" w:rsidRPr="00C56687">
        <w:rPr>
          <w:rFonts w:ascii="Calibri" w:eastAsia="MS Mincho" w:hAnsi="Calibri" w:cs="Times New Roman"/>
          <w:snapToGrid w:val="0"/>
          <w:sz w:val="24"/>
          <w:szCs w:val="24"/>
        </w:rPr>
        <w:t xml:space="preserve"> as presented in Table </w:t>
      </w:r>
      <w:r w:rsidR="00C82CCC" w:rsidRPr="00C56687">
        <w:rPr>
          <w:rFonts w:ascii="Calibri" w:eastAsia="MS Mincho" w:hAnsi="Calibri" w:cs="Times New Roman"/>
          <w:snapToGrid w:val="0"/>
          <w:sz w:val="24"/>
          <w:szCs w:val="24"/>
        </w:rPr>
        <w:t>1</w:t>
      </w:r>
      <w:r w:rsidR="00650B35">
        <w:rPr>
          <w:rFonts w:ascii="Calibri" w:eastAsia="MS Mincho" w:hAnsi="Calibri" w:cs="Times New Roman"/>
          <w:snapToGrid w:val="0"/>
          <w:sz w:val="24"/>
          <w:szCs w:val="24"/>
        </w:rPr>
        <w:t>1</w:t>
      </w:r>
      <w:r w:rsidR="00C82CCC" w:rsidRPr="00C56687">
        <w:rPr>
          <w:rFonts w:ascii="Calibri" w:eastAsia="MS Mincho" w:hAnsi="Calibri" w:cs="Times New Roman"/>
          <w:snapToGrid w:val="0"/>
          <w:sz w:val="24"/>
          <w:szCs w:val="24"/>
        </w:rPr>
        <w:t xml:space="preserve"> </w:t>
      </w:r>
      <w:r w:rsidR="00D30DB1" w:rsidRPr="00C56687">
        <w:rPr>
          <w:rFonts w:ascii="Calibri" w:eastAsia="MS Mincho" w:hAnsi="Calibri" w:cs="Times New Roman"/>
          <w:snapToGrid w:val="0"/>
          <w:sz w:val="24"/>
          <w:szCs w:val="24"/>
        </w:rPr>
        <w:t>below.</w:t>
      </w:r>
      <w:r w:rsidR="00046027">
        <w:rPr>
          <w:rFonts w:ascii="Calibri" w:eastAsia="MS Mincho" w:hAnsi="Calibri" w:cs="Times New Roman"/>
          <w:snapToGrid w:val="0"/>
          <w:sz w:val="24"/>
          <w:szCs w:val="24"/>
        </w:rPr>
        <w:br w:type="page"/>
      </w:r>
    </w:p>
    <w:p w14:paraId="7EEC0796" w14:textId="7EE7FFB9" w:rsidR="00D30DB1" w:rsidRPr="00D30DB1" w:rsidRDefault="00D30DB1" w:rsidP="00CB6102">
      <w:pPr>
        <w:spacing w:before="240" w:after="240" w:line="240" w:lineRule="auto"/>
        <w:jc w:val="center"/>
        <w:rPr>
          <w:rFonts w:ascii="Calibri" w:eastAsia="MS Mincho" w:hAnsi="Calibri" w:cs="Calibri"/>
          <w:b/>
          <w:snapToGrid w:val="0"/>
          <w:sz w:val="24"/>
          <w:szCs w:val="24"/>
          <w:lang w:val="en-GB"/>
        </w:rPr>
      </w:pPr>
      <w:r w:rsidRPr="00D30DB1">
        <w:rPr>
          <w:rFonts w:ascii="Calibri" w:eastAsia="MS Mincho" w:hAnsi="Calibri" w:cs="Calibri"/>
          <w:b/>
          <w:snapToGrid w:val="0"/>
          <w:sz w:val="24"/>
          <w:szCs w:val="24"/>
        </w:rPr>
        <w:lastRenderedPageBreak/>
        <w:t xml:space="preserve">Table </w:t>
      </w:r>
      <w:r w:rsidR="0048768C">
        <w:rPr>
          <w:rFonts w:ascii="Calibri" w:eastAsia="MS Mincho" w:hAnsi="Calibri" w:cs="Calibri"/>
          <w:b/>
          <w:snapToGrid w:val="0"/>
          <w:sz w:val="24"/>
          <w:szCs w:val="24"/>
        </w:rPr>
        <w:t>1</w:t>
      </w:r>
      <w:r w:rsidR="00650B35">
        <w:rPr>
          <w:rFonts w:ascii="Calibri" w:eastAsia="MS Mincho" w:hAnsi="Calibri" w:cs="Calibri"/>
          <w:b/>
          <w:snapToGrid w:val="0"/>
          <w:sz w:val="24"/>
          <w:szCs w:val="24"/>
        </w:rPr>
        <w:t>1</w:t>
      </w:r>
      <w:r w:rsidRPr="00D30DB1">
        <w:rPr>
          <w:rFonts w:ascii="Calibri" w:eastAsia="MS Mincho" w:hAnsi="Calibri" w:cs="Calibri"/>
          <w:b/>
          <w:snapToGrid w:val="0"/>
          <w:sz w:val="24"/>
          <w:szCs w:val="24"/>
        </w:rPr>
        <w:t>. Cumulative Distribution of GEF Resources by the NGI and Contributions to Achieving the Aichi Targets (July 1, 201</w:t>
      </w:r>
      <w:r w:rsidR="00C82CCC">
        <w:rPr>
          <w:rFonts w:ascii="Calibri" w:eastAsia="MS Mincho" w:hAnsi="Calibri" w:cs="Calibri"/>
          <w:b/>
          <w:snapToGrid w:val="0"/>
          <w:sz w:val="24"/>
          <w:szCs w:val="24"/>
        </w:rPr>
        <w:t>8</w:t>
      </w:r>
      <w:r w:rsidRPr="00D30DB1">
        <w:rPr>
          <w:rFonts w:ascii="Calibri" w:eastAsia="MS Mincho" w:hAnsi="Calibri" w:cs="Calibri"/>
          <w:b/>
          <w:snapToGrid w:val="0"/>
          <w:sz w:val="24"/>
          <w:szCs w:val="24"/>
        </w:rPr>
        <w:t xml:space="preserve"> to </w:t>
      </w:r>
      <w:r w:rsidR="00C82CCC">
        <w:rPr>
          <w:rFonts w:ascii="Calibri" w:eastAsia="MS Mincho" w:hAnsi="Calibri" w:cs="Calibri"/>
          <w:b/>
          <w:snapToGrid w:val="0"/>
          <w:sz w:val="24"/>
          <w:szCs w:val="24"/>
        </w:rPr>
        <w:t>December 31</w:t>
      </w:r>
      <w:r w:rsidRPr="00D30DB1">
        <w:rPr>
          <w:rFonts w:ascii="Calibri" w:eastAsia="MS Mincho" w:hAnsi="Calibri" w:cs="Calibri"/>
          <w:b/>
          <w:snapToGrid w:val="0"/>
          <w:sz w:val="24"/>
          <w:szCs w:val="24"/>
        </w:rPr>
        <w:t>, 201</w:t>
      </w:r>
      <w:r w:rsidR="00C82CCC">
        <w:rPr>
          <w:rFonts w:ascii="Calibri" w:eastAsia="MS Mincho" w:hAnsi="Calibri" w:cs="Calibri"/>
          <w:b/>
          <w:snapToGrid w:val="0"/>
          <w:sz w:val="24"/>
          <w:szCs w:val="24"/>
        </w:rPr>
        <w:t>9</w:t>
      </w:r>
      <w:r w:rsidRPr="00D30DB1">
        <w:rPr>
          <w:rFonts w:ascii="Calibri" w:eastAsia="MS Mincho" w:hAnsi="Calibri" w:cs="Calibri"/>
          <w:b/>
          <w:snapToGrid w:val="0"/>
          <w:sz w:val="24"/>
          <w:szCs w:val="24"/>
        </w:rPr>
        <w:t>)</w:t>
      </w:r>
      <w:r w:rsidRPr="00D30DB1">
        <w:rPr>
          <w:rFonts w:ascii="Calibri" w:eastAsia="MS Mincho" w:hAnsi="Calibri" w:cs="Calibri"/>
          <w:b/>
          <w:snapToGrid w:val="0"/>
          <w:sz w:val="24"/>
          <w:szCs w:val="24"/>
          <w:vertAlign w:val="superscript"/>
        </w:rPr>
        <w:footnoteReference w:id="16"/>
      </w:r>
    </w:p>
    <w:tbl>
      <w:tblPr>
        <w:tblW w:w="4663" w:type="pct"/>
        <w:tblBorders>
          <w:top w:val="single" w:sz="12" w:space="0" w:color="008000"/>
          <w:bottom w:val="single" w:sz="12" w:space="0" w:color="008000"/>
        </w:tblBorders>
        <w:tblLook w:val="04A0" w:firstRow="1" w:lastRow="0" w:firstColumn="1" w:lastColumn="0" w:noHBand="0" w:noVBand="1"/>
      </w:tblPr>
      <w:tblGrid>
        <w:gridCol w:w="2700"/>
        <w:gridCol w:w="1350"/>
        <w:gridCol w:w="1440"/>
        <w:gridCol w:w="1622"/>
        <w:gridCol w:w="1617"/>
      </w:tblGrid>
      <w:tr w:rsidR="00D30DB1" w:rsidRPr="00D30DB1" w14:paraId="342EF160" w14:textId="77777777" w:rsidTr="00926978">
        <w:trPr>
          <w:trHeight w:val="570"/>
        </w:trPr>
        <w:tc>
          <w:tcPr>
            <w:tcW w:w="1547" w:type="pct"/>
            <w:shd w:val="clear" w:color="auto" w:fill="auto"/>
            <w:hideMark/>
          </w:tcPr>
          <w:p w14:paraId="3FEC071E" w14:textId="15BCE920" w:rsidR="00D30DB1" w:rsidRPr="00FE1367" w:rsidRDefault="00D30DB1" w:rsidP="00D30DB1">
            <w:pPr>
              <w:spacing w:after="0" w:line="240" w:lineRule="auto"/>
              <w:rPr>
                <w:rFonts w:ascii="Calibri" w:eastAsia="Times New Roman" w:hAnsi="Calibri" w:cs="Calibri"/>
                <w:b/>
                <w:bCs/>
                <w:color w:val="000000"/>
                <w:lang w:val="en-GB"/>
              </w:rPr>
            </w:pPr>
            <w:r w:rsidRPr="00FE1367">
              <w:rPr>
                <w:rFonts w:ascii="Calibri" w:eastAsia="Times New Roman" w:hAnsi="Calibri" w:cs="Calibri"/>
                <w:b/>
                <w:bCs/>
                <w:color w:val="000000"/>
                <w:lang w:val="en-GB"/>
              </w:rPr>
              <w:t>NGI Project</w:t>
            </w:r>
          </w:p>
        </w:tc>
        <w:tc>
          <w:tcPr>
            <w:tcW w:w="773" w:type="pct"/>
            <w:shd w:val="clear" w:color="auto" w:fill="auto"/>
            <w:hideMark/>
          </w:tcPr>
          <w:p w14:paraId="5CD9ED07" w14:textId="77777777" w:rsidR="00D30DB1" w:rsidRPr="00FE1367" w:rsidRDefault="00D30DB1" w:rsidP="00D30DB1">
            <w:pPr>
              <w:spacing w:after="0" w:line="240" w:lineRule="auto"/>
              <w:rPr>
                <w:rFonts w:ascii="Calibri" w:eastAsia="Times New Roman" w:hAnsi="Calibri" w:cs="Calibri"/>
                <w:b/>
                <w:bCs/>
                <w:color w:val="000000"/>
                <w:lang w:val="en-GB"/>
              </w:rPr>
            </w:pPr>
            <w:r w:rsidRPr="00FE1367">
              <w:rPr>
                <w:rFonts w:ascii="Calibri" w:eastAsia="Times New Roman" w:hAnsi="Calibri" w:cs="Calibri"/>
                <w:b/>
                <w:bCs/>
                <w:color w:val="000000"/>
                <w:lang w:val="en-GB"/>
              </w:rPr>
              <w:t>Aichi Biodiversity Targets</w:t>
            </w:r>
          </w:p>
        </w:tc>
        <w:tc>
          <w:tcPr>
            <w:tcW w:w="825" w:type="pct"/>
            <w:shd w:val="clear" w:color="auto" w:fill="auto"/>
          </w:tcPr>
          <w:p w14:paraId="2F670B4C" w14:textId="77777777" w:rsidR="00D30DB1" w:rsidRPr="00FE1367" w:rsidRDefault="00D30DB1" w:rsidP="00D30DB1">
            <w:pPr>
              <w:spacing w:after="0" w:line="240" w:lineRule="auto"/>
              <w:rPr>
                <w:rFonts w:ascii="Calibri" w:eastAsia="Times New Roman" w:hAnsi="Calibri" w:cs="Calibri"/>
                <w:b/>
                <w:bCs/>
                <w:color w:val="000000"/>
                <w:lang w:val="en-GB"/>
              </w:rPr>
            </w:pPr>
            <w:r w:rsidRPr="00FE1367">
              <w:rPr>
                <w:rFonts w:ascii="Calibri" w:eastAsia="Times New Roman" w:hAnsi="Calibri" w:cs="Calibri"/>
                <w:b/>
                <w:bCs/>
                <w:color w:val="000000"/>
                <w:lang w:val="en-GB"/>
              </w:rPr>
              <w:t>GEF Project Support</w:t>
            </w:r>
          </w:p>
          <w:p w14:paraId="1F292FB7" w14:textId="77777777" w:rsidR="00D30DB1" w:rsidRPr="00FE1367" w:rsidRDefault="00D30DB1" w:rsidP="00D30DB1">
            <w:pPr>
              <w:spacing w:after="0" w:line="240" w:lineRule="auto"/>
              <w:rPr>
                <w:rFonts w:ascii="Calibri" w:eastAsia="Times New Roman" w:hAnsi="Calibri" w:cs="Calibri"/>
                <w:b/>
                <w:bCs/>
                <w:color w:val="000000"/>
                <w:lang w:val="en-GB"/>
              </w:rPr>
            </w:pPr>
            <w:r w:rsidRPr="00FE1367">
              <w:rPr>
                <w:rFonts w:ascii="Calibri" w:eastAsia="Times New Roman" w:hAnsi="Calibri" w:cs="Calibri"/>
                <w:b/>
                <w:bCs/>
                <w:color w:val="000000"/>
                <w:lang w:val="en-GB"/>
              </w:rPr>
              <w:t>($ million)</w:t>
            </w:r>
          </w:p>
        </w:tc>
        <w:tc>
          <w:tcPr>
            <w:tcW w:w="929" w:type="pct"/>
            <w:shd w:val="clear" w:color="auto" w:fill="auto"/>
            <w:hideMark/>
          </w:tcPr>
          <w:p w14:paraId="0A182F70" w14:textId="2B8E13AE" w:rsidR="00D30DB1" w:rsidRPr="00FE1367" w:rsidRDefault="002D582B" w:rsidP="00D30DB1">
            <w:pPr>
              <w:spacing w:after="0" w:line="240" w:lineRule="auto"/>
              <w:rPr>
                <w:rFonts w:ascii="Calibri" w:eastAsia="Times New Roman" w:hAnsi="Calibri" w:cs="Calibri"/>
                <w:b/>
                <w:bCs/>
                <w:color w:val="000000"/>
                <w:lang w:val="en-GB"/>
              </w:rPr>
            </w:pPr>
            <w:r>
              <w:rPr>
                <w:rFonts w:ascii="Calibri" w:eastAsia="Times New Roman" w:hAnsi="Calibri" w:cs="Calibri"/>
                <w:b/>
                <w:bCs/>
                <w:color w:val="000000"/>
                <w:lang w:val="en-GB"/>
              </w:rPr>
              <w:t>Co-financing</w:t>
            </w:r>
          </w:p>
          <w:p w14:paraId="5CE098C1" w14:textId="77777777" w:rsidR="00D30DB1" w:rsidRPr="00FE1367" w:rsidRDefault="00D30DB1" w:rsidP="00D30DB1">
            <w:pPr>
              <w:spacing w:after="0" w:line="240" w:lineRule="auto"/>
              <w:rPr>
                <w:rFonts w:ascii="Calibri" w:eastAsia="Times New Roman" w:hAnsi="Calibri" w:cs="Calibri"/>
                <w:b/>
                <w:bCs/>
                <w:color w:val="000000"/>
                <w:lang w:val="en-GB"/>
              </w:rPr>
            </w:pPr>
            <w:r w:rsidRPr="00FE1367">
              <w:rPr>
                <w:rFonts w:ascii="Calibri" w:eastAsia="Times New Roman" w:hAnsi="Calibri" w:cs="Calibri"/>
                <w:b/>
                <w:bCs/>
                <w:color w:val="000000"/>
                <w:lang w:val="en-GB"/>
              </w:rPr>
              <w:t>($ million)</w:t>
            </w:r>
          </w:p>
        </w:tc>
        <w:tc>
          <w:tcPr>
            <w:tcW w:w="926" w:type="pct"/>
            <w:shd w:val="clear" w:color="auto" w:fill="auto"/>
          </w:tcPr>
          <w:p w14:paraId="2F50FF61" w14:textId="77777777" w:rsidR="00D30DB1" w:rsidRPr="00FE1367" w:rsidRDefault="00D30DB1" w:rsidP="00D30DB1">
            <w:pPr>
              <w:spacing w:after="0" w:line="240" w:lineRule="auto"/>
              <w:rPr>
                <w:rFonts w:ascii="Calibri" w:eastAsia="Times New Roman" w:hAnsi="Calibri" w:cs="Calibri"/>
                <w:b/>
                <w:bCs/>
                <w:color w:val="000000"/>
                <w:lang w:val="en-GB"/>
              </w:rPr>
            </w:pPr>
            <w:r w:rsidRPr="00FE1367">
              <w:rPr>
                <w:rFonts w:ascii="Calibri" w:eastAsia="Times New Roman" w:hAnsi="Calibri" w:cs="Calibri"/>
                <w:b/>
                <w:bCs/>
                <w:color w:val="000000"/>
                <w:lang w:val="en-GB"/>
              </w:rPr>
              <w:t>Total Resources</w:t>
            </w:r>
          </w:p>
          <w:p w14:paraId="5161E8DB" w14:textId="77777777" w:rsidR="00D30DB1" w:rsidRPr="00FE1367" w:rsidRDefault="00D30DB1" w:rsidP="00D30DB1">
            <w:pPr>
              <w:spacing w:after="0" w:line="240" w:lineRule="auto"/>
              <w:rPr>
                <w:rFonts w:ascii="Calibri" w:eastAsia="Times New Roman" w:hAnsi="Calibri" w:cs="Calibri"/>
                <w:b/>
                <w:bCs/>
                <w:color w:val="000000"/>
                <w:lang w:val="en-GB"/>
              </w:rPr>
            </w:pPr>
            <w:r w:rsidRPr="00FE1367">
              <w:rPr>
                <w:rFonts w:ascii="Calibri" w:eastAsia="Times New Roman" w:hAnsi="Calibri" w:cs="Calibri"/>
                <w:b/>
                <w:bCs/>
                <w:color w:val="000000"/>
                <w:lang w:val="en-GB"/>
              </w:rPr>
              <w:t>($ million)</w:t>
            </w:r>
          </w:p>
        </w:tc>
      </w:tr>
      <w:tr w:rsidR="00D30DB1" w:rsidRPr="00D30DB1" w14:paraId="408BB20D" w14:textId="77777777" w:rsidTr="00926978">
        <w:trPr>
          <w:trHeight w:val="900"/>
        </w:trPr>
        <w:tc>
          <w:tcPr>
            <w:tcW w:w="1547" w:type="pct"/>
            <w:shd w:val="clear" w:color="auto" w:fill="auto"/>
          </w:tcPr>
          <w:p w14:paraId="6E10CAE9" w14:textId="69B75DD6" w:rsidR="00D30DB1" w:rsidRPr="00FE1367" w:rsidRDefault="00857A08" w:rsidP="00D30DB1">
            <w:pPr>
              <w:spacing w:after="0" w:line="240" w:lineRule="auto"/>
              <w:rPr>
                <w:rFonts w:ascii="Calibri" w:eastAsia="Times New Roman" w:hAnsi="Calibri" w:cs="Calibri"/>
                <w:color w:val="000000"/>
                <w:lang w:val="en-GB"/>
              </w:rPr>
            </w:pPr>
            <w:r w:rsidRPr="00857A08">
              <w:rPr>
                <w:rFonts w:ascii="Calibri" w:eastAsia="Times New Roman" w:hAnsi="Calibri" w:cs="Calibri"/>
                <w:color w:val="000000"/>
                <w:lang w:val="en-GB"/>
              </w:rPr>
              <w:t>The Food Securities Fund: A fund to finance sustainable supply chains at scale in Emerging Markets</w:t>
            </w:r>
          </w:p>
        </w:tc>
        <w:tc>
          <w:tcPr>
            <w:tcW w:w="773" w:type="pct"/>
            <w:shd w:val="clear" w:color="auto" w:fill="auto"/>
          </w:tcPr>
          <w:p w14:paraId="06EDBEA4" w14:textId="77777777" w:rsidR="00D30DB1" w:rsidRDefault="00D30DB1" w:rsidP="00D30DB1">
            <w:pPr>
              <w:spacing w:after="0" w:line="240" w:lineRule="auto"/>
              <w:rPr>
                <w:rFonts w:ascii="Calibri" w:eastAsia="Times New Roman" w:hAnsi="Calibri" w:cs="Calibri"/>
                <w:color w:val="000000"/>
                <w:lang w:val="en-GB"/>
              </w:rPr>
            </w:pPr>
          </w:p>
          <w:p w14:paraId="1545371F" w14:textId="12D88076" w:rsidR="00857A08" w:rsidRPr="00FE1367" w:rsidRDefault="00485EDA" w:rsidP="00D30DB1">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2, 5</w:t>
            </w:r>
          </w:p>
        </w:tc>
        <w:tc>
          <w:tcPr>
            <w:tcW w:w="825" w:type="pct"/>
            <w:shd w:val="clear" w:color="auto" w:fill="auto"/>
          </w:tcPr>
          <w:p w14:paraId="1A5739B4" w14:textId="77777777" w:rsidR="00D30DB1" w:rsidRDefault="00D30DB1" w:rsidP="00D30DB1">
            <w:pPr>
              <w:spacing w:after="0" w:line="240" w:lineRule="auto"/>
              <w:rPr>
                <w:rFonts w:ascii="Calibri" w:eastAsia="MS Mincho" w:hAnsi="Calibri" w:cs="Calibri"/>
                <w:lang w:val="en-GB"/>
              </w:rPr>
            </w:pPr>
          </w:p>
          <w:p w14:paraId="1B605816" w14:textId="70FA6998" w:rsidR="00485EDA" w:rsidRPr="00FE1367" w:rsidRDefault="00663160" w:rsidP="00D30DB1">
            <w:pPr>
              <w:spacing w:after="0" w:line="240" w:lineRule="auto"/>
              <w:rPr>
                <w:rFonts w:ascii="Calibri" w:eastAsia="MS Mincho" w:hAnsi="Calibri" w:cs="Calibri"/>
                <w:lang w:val="en-GB"/>
              </w:rPr>
            </w:pPr>
            <w:r>
              <w:rPr>
                <w:rFonts w:ascii="Calibri" w:eastAsia="MS Mincho" w:hAnsi="Calibri" w:cs="Calibri"/>
                <w:lang w:val="en-GB"/>
              </w:rPr>
              <w:t>15.0</w:t>
            </w:r>
          </w:p>
        </w:tc>
        <w:tc>
          <w:tcPr>
            <w:tcW w:w="929" w:type="pct"/>
            <w:shd w:val="clear" w:color="auto" w:fill="auto"/>
          </w:tcPr>
          <w:p w14:paraId="2DC2AB48" w14:textId="77777777" w:rsidR="00D30DB1" w:rsidRDefault="00D30DB1" w:rsidP="00D30DB1">
            <w:pPr>
              <w:spacing w:after="0" w:line="240" w:lineRule="auto"/>
              <w:rPr>
                <w:rFonts w:ascii="Calibri" w:eastAsia="MS Mincho" w:hAnsi="Calibri" w:cs="Calibri"/>
                <w:lang w:val="en-GB"/>
              </w:rPr>
            </w:pPr>
          </w:p>
          <w:p w14:paraId="5A2003D4" w14:textId="43C86A67" w:rsidR="00663160" w:rsidRPr="00FE1367" w:rsidRDefault="00663160" w:rsidP="00D30DB1">
            <w:pPr>
              <w:spacing w:after="0" w:line="240" w:lineRule="auto"/>
              <w:rPr>
                <w:rFonts w:ascii="Calibri" w:eastAsia="MS Mincho" w:hAnsi="Calibri" w:cs="Calibri"/>
                <w:lang w:val="en-GB"/>
              </w:rPr>
            </w:pPr>
            <w:r>
              <w:rPr>
                <w:rFonts w:ascii="Calibri" w:eastAsia="MS Mincho" w:hAnsi="Calibri" w:cs="Calibri"/>
                <w:lang w:val="en-GB"/>
              </w:rPr>
              <w:t>773.3</w:t>
            </w:r>
          </w:p>
        </w:tc>
        <w:tc>
          <w:tcPr>
            <w:tcW w:w="926" w:type="pct"/>
            <w:shd w:val="clear" w:color="auto" w:fill="auto"/>
          </w:tcPr>
          <w:p w14:paraId="6D1DE5A5" w14:textId="77777777" w:rsidR="00D30DB1" w:rsidRDefault="00D30DB1" w:rsidP="00D30DB1">
            <w:pPr>
              <w:spacing w:after="0" w:line="240" w:lineRule="auto"/>
              <w:rPr>
                <w:rFonts w:ascii="Calibri" w:eastAsia="MS Mincho" w:hAnsi="Calibri" w:cs="Calibri"/>
                <w:lang w:val="en-GB"/>
              </w:rPr>
            </w:pPr>
          </w:p>
          <w:p w14:paraId="193FD2EE" w14:textId="328192A0" w:rsidR="00663160" w:rsidRPr="00FE1367" w:rsidRDefault="00663160" w:rsidP="00D30DB1">
            <w:pPr>
              <w:spacing w:after="0" w:line="240" w:lineRule="auto"/>
              <w:rPr>
                <w:rFonts w:ascii="Calibri" w:eastAsia="MS Mincho" w:hAnsi="Calibri" w:cs="Calibri"/>
                <w:lang w:val="en-GB"/>
              </w:rPr>
            </w:pPr>
            <w:r>
              <w:rPr>
                <w:rFonts w:ascii="Calibri" w:eastAsia="MS Mincho" w:hAnsi="Calibri" w:cs="Calibri"/>
                <w:lang w:val="en-GB"/>
              </w:rPr>
              <w:t>788.3</w:t>
            </w:r>
          </w:p>
        </w:tc>
      </w:tr>
      <w:tr w:rsidR="00D30DB1" w:rsidRPr="00D30DB1" w14:paraId="5A984CB2" w14:textId="77777777" w:rsidTr="00926978">
        <w:trPr>
          <w:trHeight w:val="900"/>
        </w:trPr>
        <w:tc>
          <w:tcPr>
            <w:tcW w:w="1547" w:type="pct"/>
            <w:shd w:val="clear" w:color="auto" w:fill="auto"/>
          </w:tcPr>
          <w:p w14:paraId="3B7F14A9" w14:textId="77777777" w:rsidR="00D30DB1" w:rsidRPr="00FE1367" w:rsidRDefault="00D30DB1" w:rsidP="00D30DB1">
            <w:pPr>
              <w:spacing w:after="0" w:line="240" w:lineRule="auto"/>
              <w:rPr>
                <w:rFonts w:ascii="Calibri" w:eastAsia="Times New Roman" w:hAnsi="Calibri" w:cs="Calibri"/>
                <w:color w:val="000000"/>
                <w:lang w:val="en-GB"/>
              </w:rPr>
            </w:pPr>
          </w:p>
          <w:p w14:paraId="15485AD5" w14:textId="77777777" w:rsidR="00D30DB1" w:rsidRPr="00FE1367" w:rsidRDefault="00D30DB1" w:rsidP="00D30DB1">
            <w:pPr>
              <w:spacing w:after="0" w:line="240" w:lineRule="auto"/>
              <w:rPr>
                <w:rFonts w:ascii="Calibri" w:eastAsia="Times New Roman" w:hAnsi="Calibri" w:cs="Calibri"/>
                <w:b/>
                <w:color w:val="000000"/>
                <w:lang w:val="en-GB"/>
              </w:rPr>
            </w:pPr>
            <w:r w:rsidRPr="00FE1367">
              <w:rPr>
                <w:rFonts w:ascii="Calibri" w:eastAsia="Times New Roman" w:hAnsi="Calibri" w:cs="Calibri"/>
                <w:b/>
                <w:color w:val="000000"/>
                <w:lang w:val="en-GB"/>
              </w:rPr>
              <w:t>Totals</w:t>
            </w:r>
          </w:p>
          <w:p w14:paraId="13D16324" w14:textId="77777777" w:rsidR="00D30DB1" w:rsidRPr="00FE1367" w:rsidRDefault="00D30DB1" w:rsidP="00D30DB1">
            <w:pPr>
              <w:spacing w:after="0" w:line="240" w:lineRule="auto"/>
              <w:rPr>
                <w:rFonts w:ascii="Calibri" w:eastAsia="Times New Roman" w:hAnsi="Calibri" w:cs="Calibri"/>
                <w:color w:val="000000"/>
                <w:lang w:val="en-GB"/>
              </w:rPr>
            </w:pPr>
          </w:p>
        </w:tc>
        <w:tc>
          <w:tcPr>
            <w:tcW w:w="773" w:type="pct"/>
            <w:shd w:val="clear" w:color="auto" w:fill="auto"/>
          </w:tcPr>
          <w:p w14:paraId="77A1ADBC" w14:textId="77777777" w:rsidR="00D30DB1" w:rsidRDefault="00D30DB1" w:rsidP="00D30DB1">
            <w:pPr>
              <w:spacing w:after="0" w:line="240" w:lineRule="auto"/>
              <w:rPr>
                <w:rFonts w:ascii="Calibri" w:eastAsia="Times New Roman" w:hAnsi="Calibri" w:cs="Calibri"/>
                <w:color w:val="000000"/>
                <w:lang w:val="en-GB"/>
              </w:rPr>
            </w:pPr>
          </w:p>
          <w:p w14:paraId="62D513AC" w14:textId="28203BC5" w:rsidR="006E6D87" w:rsidRPr="00FE1367" w:rsidRDefault="006E6D87" w:rsidP="00D30DB1">
            <w:pPr>
              <w:spacing w:after="0" w:line="240" w:lineRule="auto"/>
              <w:rPr>
                <w:rFonts w:ascii="Calibri" w:eastAsia="Times New Roman" w:hAnsi="Calibri" w:cs="Calibri"/>
                <w:color w:val="000000"/>
                <w:lang w:val="en-GB"/>
              </w:rPr>
            </w:pPr>
          </w:p>
        </w:tc>
        <w:tc>
          <w:tcPr>
            <w:tcW w:w="825" w:type="pct"/>
            <w:shd w:val="clear" w:color="auto" w:fill="auto"/>
          </w:tcPr>
          <w:p w14:paraId="40CA3BF6" w14:textId="77777777" w:rsidR="00553A18" w:rsidRDefault="00553A18" w:rsidP="00D30DB1">
            <w:pPr>
              <w:spacing w:after="0" w:line="240" w:lineRule="auto"/>
              <w:rPr>
                <w:rFonts w:ascii="Calibri" w:eastAsia="Times New Roman" w:hAnsi="Calibri" w:cs="Calibri"/>
                <w:color w:val="000000"/>
                <w:lang w:val="en-GB"/>
              </w:rPr>
            </w:pPr>
          </w:p>
          <w:p w14:paraId="4DAC595A" w14:textId="241E7DBB" w:rsidR="00D30DB1" w:rsidRPr="00FE1367" w:rsidRDefault="00553A18" w:rsidP="00D30DB1">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15.0</w:t>
            </w:r>
          </w:p>
        </w:tc>
        <w:tc>
          <w:tcPr>
            <w:tcW w:w="929" w:type="pct"/>
            <w:shd w:val="clear" w:color="auto" w:fill="auto"/>
          </w:tcPr>
          <w:p w14:paraId="0D132309" w14:textId="77777777" w:rsidR="00D30DB1" w:rsidRDefault="00D30DB1" w:rsidP="00D30DB1">
            <w:pPr>
              <w:spacing w:after="0" w:line="240" w:lineRule="auto"/>
              <w:rPr>
                <w:rFonts w:ascii="Calibri" w:eastAsia="Times New Roman" w:hAnsi="Calibri" w:cs="Calibri"/>
                <w:color w:val="000000"/>
                <w:lang w:val="en-GB"/>
              </w:rPr>
            </w:pPr>
          </w:p>
          <w:p w14:paraId="7ED668EB" w14:textId="0C84BDCD" w:rsidR="00553A18" w:rsidRPr="00FE1367" w:rsidRDefault="00553A18" w:rsidP="00D30DB1">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773.3</w:t>
            </w:r>
          </w:p>
        </w:tc>
        <w:tc>
          <w:tcPr>
            <w:tcW w:w="926" w:type="pct"/>
            <w:shd w:val="clear" w:color="auto" w:fill="auto"/>
          </w:tcPr>
          <w:p w14:paraId="4349D80F" w14:textId="77777777" w:rsidR="00D30DB1" w:rsidRDefault="00D30DB1" w:rsidP="00D30DB1">
            <w:pPr>
              <w:spacing w:after="0" w:line="240" w:lineRule="auto"/>
              <w:rPr>
                <w:rFonts w:ascii="Calibri" w:eastAsia="Times New Roman" w:hAnsi="Calibri" w:cs="Calibri"/>
                <w:color w:val="000000"/>
                <w:lang w:val="en-GB"/>
              </w:rPr>
            </w:pPr>
          </w:p>
          <w:p w14:paraId="1D8035AF" w14:textId="34EA9E91" w:rsidR="00553A18" w:rsidRPr="00FE1367" w:rsidRDefault="00C56687" w:rsidP="00D30DB1">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788.3</w:t>
            </w:r>
          </w:p>
        </w:tc>
      </w:tr>
    </w:tbl>
    <w:p w14:paraId="513B1256" w14:textId="77777777" w:rsidR="00B312AC" w:rsidRDefault="00B312AC" w:rsidP="00B312AC">
      <w:pPr>
        <w:spacing w:after="0"/>
        <w:rPr>
          <w:snapToGrid w:val="0"/>
        </w:rPr>
      </w:pPr>
    </w:p>
    <w:p w14:paraId="1FC33C81" w14:textId="47E25747" w:rsidR="00D30DB1" w:rsidRPr="009B5EC4" w:rsidRDefault="00D30DB1" w:rsidP="00B312AC">
      <w:pPr>
        <w:pStyle w:val="Heading3"/>
        <w:rPr>
          <w:snapToGrid w:val="0"/>
        </w:rPr>
      </w:pPr>
      <w:bookmarkStart w:id="42" w:name="_Toc32494929"/>
      <w:r w:rsidRPr="009B5EC4">
        <w:rPr>
          <w:snapToGrid w:val="0"/>
        </w:rPr>
        <w:t xml:space="preserve">Small Grants </w:t>
      </w:r>
      <w:proofErr w:type="spellStart"/>
      <w:r w:rsidRPr="009B5EC4">
        <w:rPr>
          <w:snapToGrid w:val="0"/>
        </w:rPr>
        <w:t>Programme</w:t>
      </w:r>
      <w:bookmarkEnd w:id="42"/>
      <w:proofErr w:type="spellEnd"/>
    </w:p>
    <w:p w14:paraId="3A823F0C" w14:textId="39048384" w:rsidR="00DC1E0E" w:rsidRPr="0087658C" w:rsidRDefault="00DC1E0E" w:rsidP="00FF3B4A">
      <w:pPr>
        <w:pStyle w:val="ListParagraph"/>
        <w:numPr>
          <w:ilvl w:val="0"/>
          <w:numId w:val="25"/>
        </w:numPr>
        <w:spacing w:before="240" w:after="240" w:line="240" w:lineRule="auto"/>
        <w:ind w:left="0" w:firstLine="0"/>
        <w:contextualSpacing w:val="0"/>
        <w:rPr>
          <w:rFonts w:ascii="Calibri" w:eastAsia="MS Mincho" w:hAnsi="Calibri" w:cs="Calibri"/>
          <w:snapToGrid w:val="0"/>
          <w:sz w:val="24"/>
          <w:szCs w:val="24"/>
          <w:lang w:val="en-GB"/>
        </w:rPr>
      </w:pPr>
      <w:r w:rsidRPr="00DC1E0E">
        <w:rPr>
          <w:rFonts w:ascii="Calibri" w:eastAsia="MS Mincho" w:hAnsi="Calibri" w:cs="Calibri"/>
          <w:sz w:val="24"/>
          <w:szCs w:val="24"/>
          <w:lang w:val="en-GB"/>
        </w:rPr>
        <w:t xml:space="preserve">During the reporting period, </w:t>
      </w:r>
      <w:r w:rsidRPr="00DC1E0E">
        <w:rPr>
          <w:rFonts w:ascii="Calibri" w:eastAsia="MS Mincho" w:hAnsi="Calibri" w:cs="Calibri"/>
          <w:snapToGrid w:val="0"/>
          <w:sz w:val="24"/>
          <w:szCs w:val="24"/>
          <w:lang w:val="en-GB"/>
        </w:rPr>
        <w:t xml:space="preserve">GEF approved the first phase of the GEF-7 SGP </w:t>
      </w:r>
      <w:r w:rsidR="00FF59B5">
        <w:rPr>
          <w:rFonts w:ascii="Calibri" w:eastAsia="MS Mincho" w:hAnsi="Calibri" w:cs="Calibri"/>
          <w:snapToGrid w:val="0"/>
          <w:sz w:val="24"/>
          <w:szCs w:val="24"/>
          <w:lang w:val="en-GB"/>
        </w:rPr>
        <w:t xml:space="preserve">for a total of </w:t>
      </w:r>
      <w:r w:rsidRPr="00DC1E0E">
        <w:rPr>
          <w:rFonts w:ascii="Calibri" w:eastAsia="MS Mincho" w:hAnsi="Calibri" w:cs="Calibri"/>
          <w:snapToGrid w:val="0"/>
          <w:sz w:val="24"/>
          <w:szCs w:val="24"/>
          <w:lang w:val="en-GB"/>
        </w:rPr>
        <w:t>$64 million. This includes a component on biodiversity</w:t>
      </w:r>
      <w:r w:rsidR="00AF65DF">
        <w:rPr>
          <w:rFonts w:ascii="Calibri" w:eastAsia="MS Mincho" w:hAnsi="Calibri" w:cs="Calibri"/>
          <w:snapToGrid w:val="0"/>
          <w:sz w:val="24"/>
          <w:szCs w:val="24"/>
          <w:lang w:val="en-GB"/>
        </w:rPr>
        <w:t xml:space="preserve"> </w:t>
      </w:r>
      <w:r w:rsidRPr="00DC1E0E">
        <w:rPr>
          <w:rFonts w:ascii="Calibri" w:eastAsia="MS Mincho" w:hAnsi="Calibri" w:cs="Calibri"/>
          <w:snapToGrid w:val="0"/>
          <w:sz w:val="24"/>
          <w:szCs w:val="24"/>
          <w:lang w:val="en-GB"/>
        </w:rPr>
        <w:t xml:space="preserve">of $21 million </w:t>
      </w:r>
      <w:r w:rsidR="00AF65DF">
        <w:rPr>
          <w:rFonts w:ascii="Calibri" w:eastAsia="MS Mincho" w:hAnsi="Calibri" w:cs="Calibri"/>
          <w:snapToGrid w:val="0"/>
          <w:sz w:val="24"/>
          <w:szCs w:val="24"/>
          <w:lang w:val="en-GB"/>
        </w:rPr>
        <w:t>of GEF resources</w:t>
      </w:r>
      <w:r w:rsidRPr="00DC1E0E">
        <w:rPr>
          <w:rFonts w:ascii="Calibri" w:eastAsia="MS Mincho" w:hAnsi="Calibri" w:cs="Calibri"/>
          <w:snapToGrid w:val="0"/>
          <w:sz w:val="24"/>
          <w:szCs w:val="24"/>
          <w:lang w:val="en-GB"/>
        </w:rPr>
        <w:t>,</w:t>
      </w:r>
      <w:r w:rsidR="00AF65DF">
        <w:rPr>
          <w:rFonts w:ascii="Calibri" w:eastAsia="MS Mincho" w:hAnsi="Calibri" w:cs="Calibri"/>
          <w:snapToGrid w:val="0"/>
          <w:sz w:val="24"/>
          <w:szCs w:val="24"/>
          <w:lang w:val="en-GB"/>
        </w:rPr>
        <w:t xml:space="preserve"> which has been</w:t>
      </w:r>
      <w:r w:rsidRPr="00DC1E0E">
        <w:rPr>
          <w:rFonts w:ascii="Calibri" w:eastAsia="MS Mincho" w:hAnsi="Calibri" w:cs="Calibri"/>
          <w:snapToGrid w:val="0"/>
          <w:sz w:val="24"/>
          <w:szCs w:val="24"/>
          <w:lang w:val="en-GB"/>
        </w:rPr>
        <w:t xml:space="preserve"> matched with an equal amount of co</w:t>
      </w:r>
      <w:r w:rsidR="008F34B9">
        <w:rPr>
          <w:rFonts w:ascii="Calibri" w:eastAsia="MS Mincho" w:hAnsi="Calibri" w:cs="Calibri"/>
          <w:snapToGrid w:val="0"/>
          <w:sz w:val="24"/>
          <w:szCs w:val="24"/>
          <w:lang w:val="en-GB"/>
        </w:rPr>
        <w:t>-</w:t>
      </w:r>
      <w:r w:rsidRPr="00DC1E0E">
        <w:rPr>
          <w:rFonts w:ascii="Calibri" w:eastAsia="MS Mincho" w:hAnsi="Calibri" w:cs="Calibri"/>
          <w:snapToGrid w:val="0"/>
          <w:sz w:val="24"/>
          <w:szCs w:val="24"/>
          <w:lang w:val="en-GB"/>
        </w:rPr>
        <w:t>financ</w:t>
      </w:r>
      <w:r w:rsidR="008F34B9">
        <w:rPr>
          <w:rFonts w:ascii="Calibri" w:eastAsia="MS Mincho" w:hAnsi="Calibri" w:cs="Calibri"/>
          <w:snapToGrid w:val="0"/>
          <w:sz w:val="24"/>
          <w:szCs w:val="24"/>
          <w:lang w:val="en-GB"/>
        </w:rPr>
        <w:t>ing</w:t>
      </w:r>
      <w:r w:rsidRPr="00DC1E0E">
        <w:rPr>
          <w:rFonts w:ascii="Calibri" w:eastAsia="MS Mincho" w:hAnsi="Calibri" w:cs="Calibri"/>
          <w:snapToGrid w:val="0"/>
          <w:sz w:val="24"/>
          <w:szCs w:val="24"/>
          <w:lang w:val="en-GB"/>
        </w:rPr>
        <w:t xml:space="preserve">. In addition, GEF approved </w:t>
      </w:r>
      <w:r w:rsidR="00543A1F">
        <w:rPr>
          <w:rFonts w:ascii="Calibri" w:eastAsia="MS Mincho" w:hAnsi="Calibri" w:cs="Calibri"/>
          <w:snapToGrid w:val="0"/>
          <w:sz w:val="24"/>
          <w:szCs w:val="24"/>
          <w:lang w:val="en-GB"/>
        </w:rPr>
        <w:t>seven</w:t>
      </w:r>
      <w:r w:rsidRPr="00DC1E0E">
        <w:rPr>
          <w:rFonts w:ascii="Calibri" w:eastAsia="MS Mincho" w:hAnsi="Calibri" w:cs="Calibri"/>
          <w:snapToGrid w:val="0"/>
          <w:sz w:val="24"/>
          <w:szCs w:val="24"/>
          <w:lang w:val="en-GB"/>
        </w:rPr>
        <w:t xml:space="preserve"> Upgraded SGP Country Programme </w:t>
      </w:r>
      <w:r w:rsidR="00FC4131">
        <w:rPr>
          <w:rFonts w:ascii="Calibri" w:eastAsia="MS Mincho" w:hAnsi="Calibri" w:cs="Calibri"/>
          <w:snapToGrid w:val="0"/>
          <w:sz w:val="24"/>
          <w:szCs w:val="24"/>
          <w:lang w:val="en-GB"/>
        </w:rPr>
        <w:t>concepts</w:t>
      </w:r>
      <w:r w:rsidRPr="00DC1E0E">
        <w:rPr>
          <w:rFonts w:ascii="Calibri" w:eastAsia="MS Mincho" w:hAnsi="Calibri" w:cs="Calibri"/>
          <w:snapToGrid w:val="0"/>
          <w:sz w:val="24"/>
          <w:szCs w:val="24"/>
          <w:lang w:val="en-GB"/>
        </w:rPr>
        <w:t xml:space="preserve"> (Brazil, Costa Rica, Egypt, India, Kenya, Malaysia and Philippines) and one MSP (Ecuador) with STAR resources with biodiversity components amounting to total of approximately $18</w:t>
      </w:r>
      <w:r w:rsidR="00B57779">
        <w:rPr>
          <w:rFonts w:ascii="Calibri" w:eastAsia="MS Mincho" w:hAnsi="Calibri" w:cs="Calibri"/>
          <w:snapToGrid w:val="0"/>
          <w:sz w:val="24"/>
          <w:szCs w:val="24"/>
          <w:lang w:val="en-GB"/>
        </w:rPr>
        <w:t>.8</w:t>
      </w:r>
      <w:r w:rsidRPr="00DC1E0E">
        <w:rPr>
          <w:rFonts w:ascii="Calibri" w:eastAsia="MS Mincho" w:hAnsi="Calibri" w:cs="Calibri"/>
          <w:snapToGrid w:val="0"/>
          <w:sz w:val="24"/>
          <w:szCs w:val="24"/>
          <w:lang w:val="en-GB"/>
        </w:rPr>
        <w:t xml:space="preserve"> million in GEF resources with expected </w:t>
      </w:r>
      <w:r w:rsidR="002D582B">
        <w:rPr>
          <w:rFonts w:ascii="Calibri" w:eastAsia="MS Mincho" w:hAnsi="Calibri" w:cs="Calibri"/>
          <w:snapToGrid w:val="0"/>
          <w:sz w:val="24"/>
          <w:szCs w:val="24"/>
          <w:lang w:val="en-GB"/>
        </w:rPr>
        <w:t>co-financing</w:t>
      </w:r>
      <w:r w:rsidRPr="00DC1E0E">
        <w:rPr>
          <w:rFonts w:ascii="Calibri" w:eastAsia="MS Mincho" w:hAnsi="Calibri" w:cs="Calibri"/>
          <w:snapToGrid w:val="0"/>
          <w:sz w:val="24"/>
          <w:szCs w:val="24"/>
          <w:lang w:val="en-GB"/>
        </w:rPr>
        <w:t xml:space="preserve"> for the biodiversity components of $29</w:t>
      </w:r>
      <w:r w:rsidR="00866989">
        <w:rPr>
          <w:rFonts w:ascii="Calibri" w:eastAsia="MS Mincho" w:hAnsi="Calibri" w:cs="Calibri"/>
          <w:snapToGrid w:val="0"/>
          <w:sz w:val="24"/>
          <w:szCs w:val="24"/>
          <w:lang w:val="en-GB"/>
        </w:rPr>
        <w:t>.3</w:t>
      </w:r>
      <w:r w:rsidRPr="00DC1E0E">
        <w:rPr>
          <w:rFonts w:ascii="Calibri" w:eastAsia="MS Mincho" w:hAnsi="Calibri" w:cs="Calibri"/>
          <w:snapToGrid w:val="0"/>
          <w:sz w:val="24"/>
          <w:szCs w:val="24"/>
          <w:lang w:val="en-GB"/>
        </w:rPr>
        <w:t xml:space="preserve"> million. </w:t>
      </w:r>
    </w:p>
    <w:p w14:paraId="3569BFDB" w14:textId="6E73FF2F" w:rsidR="00DC1E0E" w:rsidRPr="00DC1E0E" w:rsidRDefault="00DC1E0E" w:rsidP="00FF3B4A">
      <w:pPr>
        <w:pStyle w:val="ListParagraph"/>
        <w:numPr>
          <w:ilvl w:val="0"/>
          <w:numId w:val="25"/>
        </w:numPr>
        <w:spacing w:before="240" w:after="240" w:line="240" w:lineRule="auto"/>
        <w:ind w:left="0" w:firstLine="0"/>
        <w:contextualSpacing w:val="0"/>
        <w:rPr>
          <w:rFonts w:ascii="Calibri" w:eastAsia="MS Mincho" w:hAnsi="Calibri" w:cs="Calibri"/>
          <w:snapToGrid w:val="0"/>
          <w:sz w:val="24"/>
          <w:szCs w:val="24"/>
          <w:lang w:val="en-GB"/>
        </w:rPr>
      </w:pPr>
      <w:r w:rsidRPr="00DC1E0E">
        <w:rPr>
          <w:rFonts w:ascii="Calibri" w:eastAsia="MS Mincho" w:hAnsi="Calibri" w:cs="Calibri"/>
          <w:snapToGrid w:val="0"/>
          <w:sz w:val="24"/>
          <w:szCs w:val="24"/>
          <w:lang w:val="en-GB"/>
        </w:rPr>
        <w:t xml:space="preserve">According to the SGP Annual Monitoring Report </w:t>
      </w:r>
      <w:r w:rsidR="00947F57">
        <w:rPr>
          <w:rFonts w:ascii="Calibri" w:eastAsia="MS Mincho" w:hAnsi="Calibri" w:cs="Calibri"/>
          <w:snapToGrid w:val="0"/>
          <w:sz w:val="24"/>
          <w:szCs w:val="24"/>
          <w:lang w:val="en-GB"/>
        </w:rPr>
        <w:t xml:space="preserve">for fiscal year (FY) 2018 covering </w:t>
      </w:r>
      <w:r w:rsidRPr="00DC1E0E">
        <w:rPr>
          <w:rFonts w:ascii="Calibri" w:eastAsia="MS Mincho" w:hAnsi="Calibri" w:cs="Calibri"/>
          <w:snapToGrid w:val="0"/>
          <w:sz w:val="24"/>
          <w:szCs w:val="24"/>
          <w:lang w:val="en-GB"/>
        </w:rPr>
        <w:t xml:space="preserve">July 2018 to June 2019, the active portfolio of grant projects funded by GEF funds amounted to 3,182 projects for </w:t>
      </w:r>
      <w:r w:rsidR="00543A1F">
        <w:rPr>
          <w:rFonts w:ascii="Calibri" w:eastAsia="MS Mincho" w:hAnsi="Calibri" w:cs="Calibri"/>
          <w:snapToGrid w:val="0"/>
          <w:sz w:val="24"/>
          <w:szCs w:val="24"/>
          <w:lang w:val="en-GB"/>
        </w:rPr>
        <w:t>$</w:t>
      </w:r>
      <w:r w:rsidRPr="00DC1E0E">
        <w:rPr>
          <w:rFonts w:ascii="Calibri" w:eastAsia="MS Mincho" w:hAnsi="Calibri" w:cs="Calibri"/>
          <w:snapToGrid w:val="0"/>
          <w:sz w:val="24"/>
          <w:szCs w:val="24"/>
          <w:lang w:val="en-GB"/>
        </w:rPr>
        <w:t xml:space="preserve">108.5 million with co-financing leveraged of </w:t>
      </w:r>
      <w:r w:rsidR="00543A1F">
        <w:rPr>
          <w:rFonts w:ascii="Calibri" w:eastAsia="MS Mincho" w:hAnsi="Calibri" w:cs="Calibri"/>
          <w:snapToGrid w:val="0"/>
          <w:sz w:val="24"/>
          <w:szCs w:val="24"/>
          <w:lang w:val="en-GB"/>
        </w:rPr>
        <w:t>$</w:t>
      </w:r>
      <w:r w:rsidRPr="00DC1E0E">
        <w:rPr>
          <w:rFonts w:ascii="Calibri" w:eastAsia="MS Mincho" w:hAnsi="Calibri" w:cs="Calibri"/>
          <w:snapToGrid w:val="0"/>
          <w:sz w:val="24"/>
          <w:szCs w:val="24"/>
          <w:lang w:val="en-GB"/>
        </w:rPr>
        <w:t xml:space="preserve">99.5 million. Focal area distribution of all SGP projects under implementation continued to remain strongly focused on biodiversity as primary focal area, which accounted for the largest share of the portfolio of 40 percent.  </w:t>
      </w:r>
    </w:p>
    <w:p w14:paraId="34F208DB" w14:textId="6F5A5762" w:rsidR="00DC1E0E" w:rsidRPr="00DC1E0E" w:rsidRDefault="00DC1E0E" w:rsidP="00FF3B4A">
      <w:pPr>
        <w:pStyle w:val="ListParagraph"/>
        <w:numPr>
          <w:ilvl w:val="0"/>
          <w:numId w:val="25"/>
        </w:numPr>
        <w:spacing w:before="240" w:after="240" w:line="240" w:lineRule="auto"/>
        <w:ind w:left="0" w:firstLine="0"/>
        <w:contextualSpacing w:val="0"/>
        <w:rPr>
          <w:rFonts w:ascii="Calibri" w:eastAsia="MS Mincho" w:hAnsi="Calibri" w:cs="Calibri"/>
          <w:snapToGrid w:val="0"/>
          <w:sz w:val="24"/>
          <w:szCs w:val="24"/>
          <w:lang w:val="en-GB"/>
        </w:rPr>
      </w:pPr>
      <w:r w:rsidRPr="00FF3B4A">
        <w:rPr>
          <w:snapToGrid w:val="0"/>
          <w:sz w:val="24"/>
          <w:szCs w:val="24"/>
        </w:rPr>
        <w:t>With 408 SGP biodiversity projects completed during FY18, SGP has helped to maintain or</w:t>
      </w:r>
      <w:r w:rsidRPr="00DC1E0E">
        <w:rPr>
          <w:rFonts w:ascii="Calibri" w:eastAsia="MS Mincho" w:hAnsi="Calibri" w:cs="Calibri"/>
          <w:snapToGrid w:val="0"/>
          <w:sz w:val="24"/>
          <w:szCs w:val="24"/>
          <w:lang w:val="en-GB"/>
        </w:rPr>
        <w:t xml:space="preserve"> improve conservation status of at least 859 species, and positively influenced 172 Protected Area (PAs) and 244 Indigenous and Community Conserved Areas (ICCAs), covering total of 5.8 million hectares.</w:t>
      </w:r>
      <w:r w:rsidR="004C4465">
        <w:rPr>
          <w:rFonts w:ascii="Calibri" w:eastAsia="MS Mincho" w:hAnsi="Calibri" w:cs="Calibri"/>
          <w:snapToGrid w:val="0"/>
          <w:sz w:val="24"/>
          <w:szCs w:val="24"/>
          <w:lang w:val="en-GB"/>
        </w:rPr>
        <w:t xml:space="preserve"> In addition, a t</w:t>
      </w:r>
      <w:r w:rsidRPr="00DC1E0E">
        <w:rPr>
          <w:rFonts w:ascii="Calibri" w:eastAsia="MS Mincho" w:hAnsi="Calibri" w:cs="Calibri"/>
          <w:snapToGrid w:val="0"/>
          <w:sz w:val="24"/>
          <w:szCs w:val="24"/>
          <w:lang w:val="en-GB"/>
        </w:rPr>
        <w:t xml:space="preserve">otal of 162 target landscapes/seascapes were under improved community-based conservation and sustainable use. With regards to the sustainable use of biodiversity, a total of 471 biodiversity-based products have been supported by SGP projects. </w:t>
      </w:r>
    </w:p>
    <w:p w14:paraId="444A7A4C" w14:textId="460211A8" w:rsidR="00DC1E0E" w:rsidRPr="00DC1E0E" w:rsidRDefault="00DC1E0E" w:rsidP="00FF3B4A">
      <w:pPr>
        <w:pStyle w:val="ListParagraph"/>
        <w:numPr>
          <w:ilvl w:val="0"/>
          <w:numId w:val="25"/>
        </w:numPr>
        <w:spacing w:before="240" w:after="240" w:line="240" w:lineRule="auto"/>
        <w:ind w:left="0" w:firstLine="0"/>
        <w:contextualSpacing w:val="0"/>
        <w:rPr>
          <w:rFonts w:ascii="Calibri" w:eastAsia="MS Mincho" w:hAnsi="Calibri" w:cs="Calibri"/>
          <w:snapToGrid w:val="0"/>
          <w:sz w:val="24"/>
          <w:szCs w:val="24"/>
          <w:lang w:val="en-GB"/>
        </w:rPr>
      </w:pPr>
      <w:r w:rsidRPr="00FF3B4A">
        <w:rPr>
          <w:snapToGrid w:val="0"/>
          <w:sz w:val="24"/>
          <w:szCs w:val="24"/>
        </w:rPr>
        <w:t>SGP’s</w:t>
      </w:r>
      <w:r w:rsidRPr="00DC1E0E">
        <w:rPr>
          <w:rFonts w:ascii="Calibri" w:eastAsia="MS Mincho" w:hAnsi="Calibri" w:cs="Calibri"/>
          <w:snapToGrid w:val="0"/>
          <w:sz w:val="24"/>
          <w:szCs w:val="18"/>
          <w:lang w:val="en-GB"/>
        </w:rPr>
        <w:t xml:space="preserve"> biodiversity focal area portfolio has focused its support on improvements in management effectiveness of protected areas, and mainstreaming biodiversity conservation and sustainable use into production landscapes/seascapes and sectors. Under GEF-7, SGP aims to further its integrated and multi-focal area approach in supporting community-led projects. </w:t>
      </w:r>
      <w:r w:rsidRPr="00DC1E0E">
        <w:rPr>
          <w:rFonts w:ascii="Calibri" w:eastAsia="MS Mincho" w:hAnsi="Calibri" w:cs="Calibri"/>
          <w:snapToGrid w:val="0"/>
          <w:sz w:val="24"/>
          <w:szCs w:val="18"/>
          <w:lang w:val="en-GB"/>
        </w:rPr>
        <w:lastRenderedPageBreak/>
        <w:t xml:space="preserve">The GEF-7 SGP Strategic Initiatives that address biodiversity focal area benefits </w:t>
      </w:r>
      <w:proofErr w:type="gramStart"/>
      <w:r w:rsidRPr="00DC1E0E">
        <w:rPr>
          <w:rFonts w:ascii="Calibri" w:eastAsia="MS Mincho" w:hAnsi="Calibri" w:cs="Calibri"/>
          <w:snapToGrid w:val="0"/>
          <w:sz w:val="24"/>
          <w:szCs w:val="18"/>
          <w:lang w:val="en-GB"/>
        </w:rPr>
        <w:t>include:</w:t>
      </w:r>
      <w:proofErr w:type="gramEnd"/>
      <w:r w:rsidRPr="00DC1E0E">
        <w:rPr>
          <w:rFonts w:ascii="Calibri" w:eastAsia="MS Mincho" w:hAnsi="Calibri" w:cs="Calibri"/>
          <w:snapToGrid w:val="0"/>
          <w:sz w:val="24"/>
          <w:szCs w:val="18"/>
          <w:lang w:val="en-GB"/>
        </w:rPr>
        <w:t xml:space="preserve"> community-based conservation of threatened ecosystems and species; sustainable agriculture and fisheries management; local to global coalition on chemical and waste management; and sustainable urban solutions. These SGP Strategic Initiatives as well as each of the SGP Country Programme Strategy aligns with the overall GEF-7 Programming Direction</w:t>
      </w:r>
      <w:r w:rsidR="003C1A90">
        <w:rPr>
          <w:rFonts w:ascii="Calibri" w:eastAsia="MS Mincho" w:hAnsi="Calibri" w:cs="Calibri"/>
          <w:snapToGrid w:val="0"/>
          <w:sz w:val="24"/>
          <w:szCs w:val="18"/>
          <w:lang w:val="en-GB"/>
        </w:rPr>
        <w:t>s</w:t>
      </w:r>
      <w:r w:rsidRPr="00DC1E0E">
        <w:rPr>
          <w:rFonts w:ascii="Calibri" w:eastAsia="MS Mincho" w:hAnsi="Calibri" w:cs="Calibri"/>
          <w:snapToGrid w:val="0"/>
          <w:sz w:val="24"/>
          <w:szCs w:val="18"/>
          <w:lang w:val="en-GB"/>
        </w:rPr>
        <w:t xml:space="preserve">, including reporting on GEF results framework and indicators related to biodiversity. </w:t>
      </w:r>
    </w:p>
    <w:p w14:paraId="78428D0C" w14:textId="586C35BE" w:rsidR="00DC1E0E" w:rsidRPr="00DC1E0E" w:rsidRDefault="00DC1E0E" w:rsidP="00FF3B4A">
      <w:pPr>
        <w:pStyle w:val="ListParagraph"/>
        <w:numPr>
          <w:ilvl w:val="0"/>
          <w:numId w:val="25"/>
        </w:numPr>
        <w:spacing w:before="240" w:after="240" w:line="240" w:lineRule="auto"/>
        <w:ind w:left="0" w:firstLine="0"/>
        <w:contextualSpacing w:val="0"/>
        <w:rPr>
          <w:rFonts w:ascii="Calibri" w:eastAsia="MS Mincho" w:hAnsi="Calibri" w:cs="Calibri"/>
          <w:snapToGrid w:val="0"/>
          <w:sz w:val="24"/>
          <w:szCs w:val="24"/>
          <w:lang w:val="en-GB"/>
        </w:rPr>
      </w:pPr>
      <w:r w:rsidRPr="00DC1E0E">
        <w:rPr>
          <w:rFonts w:ascii="Calibri" w:eastAsia="MS Mincho" w:hAnsi="Calibri" w:cs="Calibri"/>
          <w:snapToGrid w:val="0"/>
          <w:sz w:val="24"/>
          <w:szCs w:val="24"/>
          <w:lang w:val="en-GB"/>
        </w:rPr>
        <w:t xml:space="preserve">With regards to the implementation of the Strategic Plan on Biodiversity and Aichi Targets, SGP also continues to work with range of other donors and leveraging </w:t>
      </w:r>
      <w:r w:rsidR="002D582B">
        <w:rPr>
          <w:rFonts w:ascii="Calibri" w:eastAsia="MS Mincho" w:hAnsi="Calibri" w:cs="Calibri"/>
          <w:snapToGrid w:val="0"/>
          <w:sz w:val="24"/>
          <w:szCs w:val="24"/>
          <w:lang w:val="en-GB"/>
        </w:rPr>
        <w:t>co-financing</w:t>
      </w:r>
      <w:r w:rsidRPr="00DC1E0E">
        <w:rPr>
          <w:rFonts w:ascii="Calibri" w:eastAsia="MS Mincho" w:hAnsi="Calibri" w:cs="Calibri"/>
          <w:snapToGrid w:val="0"/>
          <w:sz w:val="24"/>
          <w:szCs w:val="24"/>
          <w:lang w:val="en-GB"/>
        </w:rPr>
        <w:t xml:space="preserve"> to the GEF fund, including from the governments of Germany (ICCAs), Australia (ecosystem resilience), and Japan (socio-ecological resilience of production landscapes, SEPLs) in the following key areas: </w:t>
      </w:r>
    </w:p>
    <w:p w14:paraId="5C077A63" w14:textId="77777777" w:rsidR="001A70EC" w:rsidRDefault="00DC1E0E" w:rsidP="00023073">
      <w:pPr>
        <w:pStyle w:val="ListParagraph"/>
        <w:numPr>
          <w:ilvl w:val="0"/>
          <w:numId w:val="22"/>
        </w:numPr>
        <w:spacing w:before="120" w:after="120" w:line="240" w:lineRule="auto"/>
        <w:ind w:left="1080"/>
        <w:contextualSpacing w:val="0"/>
        <w:rPr>
          <w:rFonts w:ascii="Calibri" w:eastAsia="MS Mincho" w:hAnsi="Calibri" w:cs="Calibri"/>
          <w:snapToGrid w:val="0"/>
          <w:sz w:val="24"/>
          <w:szCs w:val="24"/>
          <w:lang w:val="en-GB"/>
        </w:rPr>
      </w:pPr>
      <w:r w:rsidRPr="001A70EC">
        <w:rPr>
          <w:rFonts w:ascii="Calibri" w:eastAsia="MS Mincho" w:hAnsi="Calibri" w:cs="Calibri"/>
          <w:snapToGrid w:val="0"/>
          <w:sz w:val="24"/>
          <w:szCs w:val="24"/>
          <w:lang w:val="en-GB"/>
        </w:rPr>
        <w:t xml:space="preserve">the recognition of the traditional knowledge, innovations and practices of indigenous peoples and local communities (IPLCs) as addressed by the CBD Working Group on the Implementation of Article 8j (traditional knowledge) and 10c (customary use), including through partnerships with the Indigenous Women’s Biodiversity Network (IWBN), such as the Red de </w:t>
      </w:r>
      <w:proofErr w:type="spellStart"/>
      <w:r w:rsidRPr="001A70EC">
        <w:rPr>
          <w:rFonts w:ascii="Calibri" w:eastAsia="MS Mincho" w:hAnsi="Calibri" w:cs="Calibri"/>
          <w:snapToGrid w:val="0"/>
          <w:sz w:val="24"/>
          <w:szCs w:val="24"/>
          <w:lang w:val="en-GB"/>
        </w:rPr>
        <w:t>Mujeres</w:t>
      </w:r>
      <w:proofErr w:type="spellEnd"/>
      <w:r w:rsidRPr="001A70EC">
        <w:rPr>
          <w:rFonts w:ascii="Calibri" w:eastAsia="MS Mincho" w:hAnsi="Calibri" w:cs="Calibri"/>
          <w:snapToGrid w:val="0"/>
          <w:sz w:val="24"/>
          <w:szCs w:val="24"/>
          <w:lang w:val="en-GB"/>
        </w:rPr>
        <w:t xml:space="preserve"> in Latin America, and Asia Indigenous Peoples’ Pact (AIPP); </w:t>
      </w:r>
    </w:p>
    <w:p w14:paraId="116A7AE9" w14:textId="77777777" w:rsidR="000B0554" w:rsidRDefault="00DC1E0E" w:rsidP="00023073">
      <w:pPr>
        <w:pStyle w:val="ListParagraph"/>
        <w:numPr>
          <w:ilvl w:val="0"/>
          <w:numId w:val="22"/>
        </w:numPr>
        <w:spacing w:before="120" w:after="120" w:line="240" w:lineRule="auto"/>
        <w:ind w:left="1080"/>
        <w:contextualSpacing w:val="0"/>
        <w:rPr>
          <w:rFonts w:ascii="Calibri" w:eastAsia="MS Mincho" w:hAnsi="Calibri" w:cs="Calibri"/>
          <w:snapToGrid w:val="0"/>
          <w:sz w:val="24"/>
          <w:szCs w:val="24"/>
          <w:lang w:val="en-GB"/>
        </w:rPr>
      </w:pPr>
      <w:r w:rsidRPr="001A70EC">
        <w:rPr>
          <w:rFonts w:ascii="Calibri" w:eastAsia="MS Mincho" w:hAnsi="Calibri" w:cs="Calibri"/>
          <w:snapToGrid w:val="0"/>
          <w:sz w:val="24"/>
          <w:szCs w:val="24"/>
          <w:lang w:val="en-GB"/>
        </w:rPr>
        <w:t xml:space="preserve">contribution by IPLCs to pollination services and ‘land-sharing’ models of ecosystem connectivity and corridor conservation as recommended by the Global Assessment report of the Inter-governmental Science-Policy Platform on Biodiversity and Ecosystem Services (IPBES) in April 2019; </w:t>
      </w:r>
    </w:p>
    <w:p w14:paraId="4DA376E0" w14:textId="77777777" w:rsidR="000B0554" w:rsidRDefault="00DC1E0E" w:rsidP="00023073">
      <w:pPr>
        <w:pStyle w:val="ListParagraph"/>
        <w:numPr>
          <w:ilvl w:val="0"/>
          <w:numId w:val="22"/>
        </w:numPr>
        <w:spacing w:before="120" w:after="120" w:line="240" w:lineRule="auto"/>
        <w:ind w:left="1080"/>
        <w:contextualSpacing w:val="0"/>
        <w:rPr>
          <w:rFonts w:ascii="Calibri" w:eastAsia="MS Mincho" w:hAnsi="Calibri" w:cs="Calibri"/>
          <w:snapToGrid w:val="0"/>
          <w:sz w:val="24"/>
          <w:szCs w:val="24"/>
          <w:lang w:val="en-GB"/>
        </w:rPr>
      </w:pPr>
      <w:r w:rsidRPr="001A70EC">
        <w:rPr>
          <w:rFonts w:ascii="Calibri" w:eastAsia="MS Mincho" w:hAnsi="Calibri" w:cs="Calibri"/>
          <w:snapToGrid w:val="0"/>
          <w:sz w:val="24"/>
          <w:szCs w:val="24"/>
          <w:lang w:val="en-GB"/>
        </w:rPr>
        <w:t>shared governance of government-managed protected areas (IUCN Type A and B), privately-run protected and/or conserved areas (IUCN Type C), including towards the targeted focusing of landscape-level clusters of small grants in and around UNESCO World Heritage Sites, Biosphere Reserves, Ramsar Sites, Geoparks, and marine protected areas, including Locally Managed Marine Areas (LMMAs);</w:t>
      </w:r>
    </w:p>
    <w:p w14:paraId="55673CCD" w14:textId="50B6B971" w:rsidR="00896124" w:rsidRDefault="00DC1E0E" w:rsidP="00023073">
      <w:pPr>
        <w:pStyle w:val="ListParagraph"/>
        <w:numPr>
          <w:ilvl w:val="0"/>
          <w:numId w:val="22"/>
        </w:numPr>
        <w:spacing w:before="120" w:after="120" w:line="240" w:lineRule="auto"/>
        <w:ind w:left="1080"/>
        <w:contextualSpacing w:val="0"/>
        <w:rPr>
          <w:rFonts w:ascii="Calibri" w:eastAsia="MS Mincho" w:hAnsi="Calibri" w:cs="Calibri"/>
          <w:snapToGrid w:val="0"/>
          <w:sz w:val="24"/>
          <w:szCs w:val="24"/>
          <w:lang w:val="en-GB"/>
        </w:rPr>
      </w:pPr>
      <w:r w:rsidRPr="000B0554">
        <w:rPr>
          <w:rFonts w:ascii="Calibri" w:eastAsia="MS Mincho" w:hAnsi="Calibri" w:cs="Calibri"/>
          <w:snapToGrid w:val="0"/>
          <w:sz w:val="24"/>
          <w:szCs w:val="24"/>
          <w:lang w:val="en-GB"/>
        </w:rPr>
        <w:t>the role of indigenous peoples’ and community conserved territories and areas (ICCAs) towards the achievement of Aichi target 11, including through active collaboration with the IUCN World Commission on Protected Areas (WCPA) Task Force on “other effective area-based conservation measures” (OECMs) recognised by Decision CBD/COP/DEC/14/8 of the CBD COP14 held in Sharm el-Sheikh, Egypt, as a contribution to the emerging post-2020 CBD strategic framework and New Deal for Nature.</w:t>
      </w:r>
    </w:p>
    <w:p w14:paraId="0813F3C4" w14:textId="6F5A5762" w:rsidR="0010120A" w:rsidRPr="00F354D2" w:rsidRDefault="0010120A" w:rsidP="000C09D1">
      <w:pPr>
        <w:pStyle w:val="Heading1"/>
        <w:numPr>
          <w:ilvl w:val="0"/>
          <w:numId w:val="27"/>
        </w:numPr>
      </w:pPr>
      <w:bookmarkStart w:id="43" w:name="_Toc32494930"/>
      <w:r w:rsidRPr="00F354D2">
        <w:t xml:space="preserve">GEF Response to Guidance from CBD COP </w:t>
      </w:r>
      <w:r w:rsidR="00E20EC7" w:rsidRPr="00F354D2">
        <w:t>14</w:t>
      </w:r>
      <w:bookmarkEnd w:id="43"/>
    </w:p>
    <w:p w14:paraId="0C5EC3AB" w14:textId="52B176C6" w:rsidR="0010120A" w:rsidRDefault="00AA7D0C" w:rsidP="00FF3B4A">
      <w:pPr>
        <w:pStyle w:val="ListParagraph"/>
        <w:numPr>
          <w:ilvl w:val="0"/>
          <w:numId w:val="25"/>
        </w:numPr>
        <w:spacing w:before="240" w:after="240" w:line="240" w:lineRule="auto"/>
        <w:ind w:left="0" w:firstLine="0"/>
        <w:contextualSpacing w:val="0"/>
        <w:rPr>
          <w:sz w:val="24"/>
          <w:szCs w:val="24"/>
        </w:rPr>
      </w:pPr>
      <w:r w:rsidRPr="00FF3B4A">
        <w:rPr>
          <w:snapToGrid w:val="0"/>
          <w:sz w:val="24"/>
          <w:szCs w:val="24"/>
        </w:rPr>
        <w:t xml:space="preserve">At </w:t>
      </w:r>
      <w:r w:rsidR="00677BD5" w:rsidRPr="00FF3B4A">
        <w:rPr>
          <w:snapToGrid w:val="0"/>
          <w:sz w:val="24"/>
          <w:szCs w:val="24"/>
        </w:rPr>
        <w:t>COP</w:t>
      </w:r>
      <w:r w:rsidRPr="00FF3B4A">
        <w:rPr>
          <w:snapToGrid w:val="0"/>
          <w:sz w:val="24"/>
          <w:szCs w:val="24"/>
        </w:rPr>
        <w:t>14, Parties</w:t>
      </w:r>
      <w:r w:rsidR="00677BD5" w:rsidRPr="00FF3B4A">
        <w:rPr>
          <w:snapToGrid w:val="0"/>
          <w:sz w:val="24"/>
          <w:szCs w:val="24"/>
        </w:rPr>
        <w:t xml:space="preserve"> </w:t>
      </w:r>
      <w:r w:rsidR="0010120A" w:rsidRPr="00FF3B4A">
        <w:rPr>
          <w:snapToGrid w:val="0"/>
          <w:sz w:val="24"/>
          <w:szCs w:val="24"/>
        </w:rPr>
        <w:t>provided guidance to the GEF on a variety of topics.</w:t>
      </w:r>
      <w:r w:rsidRPr="00FF3B4A">
        <w:rPr>
          <w:snapToGrid w:val="0"/>
        </w:rPr>
        <w:footnoteReference w:id="17"/>
      </w:r>
      <w:r w:rsidR="0010120A" w:rsidRPr="00FF3B4A">
        <w:rPr>
          <w:snapToGrid w:val="0"/>
          <w:sz w:val="24"/>
          <w:szCs w:val="24"/>
        </w:rPr>
        <w:t xml:space="preserve"> Specific guidance on</w:t>
      </w:r>
      <w:r w:rsidR="0010120A" w:rsidRPr="00FB355B">
        <w:rPr>
          <w:sz w:val="24"/>
          <w:szCs w:val="24"/>
        </w:rPr>
        <w:t xml:space="preserve"> GEF operations and on specific biodiversity thematic topics have been duly addressed and a progress report on GEF’s response is provided in Table </w:t>
      </w:r>
      <w:r w:rsidR="00192AA9">
        <w:rPr>
          <w:sz w:val="24"/>
          <w:szCs w:val="24"/>
        </w:rPr>
        <w:t>1</w:t>
      </w:r>
      <w:r w:rsidR="003711A7">
        <w:rPr>
          <w:sz w:val="24"/>
          <w:szCs w:val="24"/>
        </w:rPr>
        <w:t>2</w:t>
      </w:r>
      <w:r w:rsidR="0010120A" w:rsidRPr="00FB355B">
        <w:rPr>
          <w:sz w:val="24"/>
          <w:szCs w:val="24"/>
        </w:rPr>
        <w:t xml:space="preserve"> below.</w:t>
      </w:r>
    </w:p>
    <w:p w14:paraId="527EB3C4" w14:textId="39819977" w:rsidR="00CB2F0E" w:rsidRPr="00655498" w:rsidRDefault="00CB2F0E" w:rsidP="00CB6102">
      <w:pPr>
        <w:spacing w:before="240" w:after="240" w:line="240" w:lineRule="auto"/>
        <w:jc w:val="center"/>
        <w:rPr>
          <w:rFonts w:cstheme="minorHAnsi"/>
          <w:sz w:val="24"/>
          <w:szCs w:val="24"/>
        </w:rPr>
      </w:pPr>
      <w:r w:rsidRPr="00655498">
        <w:rPr>
          <w:rFonts w:cstheme="minorHAnsi"/>
          <w:b/>
          <w:sz w:val="24"/>
          <w:szCs w:val="24"/>
        </w:rPr>
        <w:lastRenderedPageBreak/>
        <w:t>Table</w:t>
      </w:r>
      <w:r w:rsidR="0010120A" w:rsidRPr="00655498">
        <w:rPr>
          <w:rFonts w:cstheme="minorHAnsi"/>
          <w:b/>
          <w:sz w:val="24"/>
          <w:szCs w:val="24"/>
        </w:rPr>
        <w:t xml:space="preserve"> </w:t>
      </w:r>
      <w:r w:rsidR="00192AA9" w:rsidRPr="00655498">
        <w:rPr>
          <w:rFonts w:cstheme="minorHAnsi"/>
          <w:b/>
          <w:sz w:val="24"/>
          <w:szCs w:val="24"/>
        </w:rPr>
        <w:t>1</w:t>
      </w:r>
      <w:r w:rsidR="003711A7" w:rsidRPr="00655498">
        <w:rPr>
          <w:rFonts w:cstheme="minorHAnsi"/>
          <w:b/>
          <w:sz w:val="24"/>
          <w:szCs w:val="24"/>
        </w:rPr>
        <w:t>2:</w:t>
      </w:r>
      <w:r w:rsidRPr="00655498">
        <w:rPr>
          <w:rFonts w:cstheme="minorHAnsi"/>
          <w:i/>
          <w:sz w:val="24"/>
          <w:szCs w:val="24"/>
        </w:rPr>
        <w:t xml:space="preserve"> </w:t>
      </w:r>
      <w:r w:rsidRPr="00655498">
        <w:rPr>
          <w:rFonts w:cstheme="minorHAnsi"/>
          <w:b/>
          <w:sz w:val="24"/>
          <w:szCs w:val="24"/>
        </w:rPr>
        <w:t>Decision Adopted by CBD COP 14 (Decision 14/23) and</w:t>
      </w:r>
      <w:r w:rsidRPr="00655498">
        <w:rPr>
          <w:rFonts w:cstheme="minorHAnsi"/>
          <w:i/>
          <w:sz w:val="24"/>
          <w:szCs w:val="24"/>
        </w:rPr>
        <w:t xml:space="preserve"> </w:t>
      </w:r>
      <w:r w:rsidRPr="00655498">
        <w:rPr>
          <w:rFonts w:cstheme="minorHAnsi"/>
          <w:b/>
          <w:sz w:val="24"/>
          <w:szCs w:val="24"/>
        </w:rPr>
        <w:t>GEF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675"/>
      </w:tblGrid>
      <w:tr w:rsidR="00CB2F0E" w:rsidRPr="00CB2F0E" w14:paraId="62BACA94" w14:textId="77777777" w:rsidTr="008354E6">
        <w:trPr>
          <w:tblHeader/>
        </w:trPr>
        <w:tc>
          <w:tcPr>
            <w:tcW w:w="4675" w:type="dxa"/>
            <w:shd w:val="clear" w:color="auto" w:fill="F2F2F2" w:themeFill="background1" w:themeFillShade="F2"/>
          </w:tcPr>
          <w:p w14:paraId="61C34C54" w14:textId="77777777" w:rsidR="00CB2F0E" w:rsidRPr="00CB2F0E" w:rsidRDefault="00CB2F0E" w:rsidP="00CB2F0E">
            <w:pPr>
              <w:rPr>
                <w:b/>
                <w:iCs/>
                <w:lang w:val="en-GB"/>
              </w:rPr>
            </w:pPr>
            <w:r w:rsidRPr="00CB2F0E">
              <w:rPr>
                <w:b/>
                <w:iCs/>
                <w:lang w:val="en-GB"/>
              </w:rPr>
              <w:t>CBD COP 14 Decision</w:t>
            </w:r>
          </w:p>
        </w:tc>
        <w:tc>
          <w:tcPr>
            <w:tcW w:w="4675" w:type="dxa"/>
            <w:shd w:val="clear" w:color="auto" w:fill="F2F2F2" w:themeFill="background1" w:themeFillShade="F2"/>
          </w:tcPr>
          <w:p w14:paraId="1C542276" w14:textId="77777777" w:rsidR="00CB2F0E" w:rsidRPr="00CB2F0E" w:rsidRDefault="00CB2F0E" w:rsidP="00CB2F0E">
            <w:pPr>
              <w:rPr>
                <w:b/>
                <w:iCs/>
                <w:lang w:val="en-GB"/>
              </w:rPr>
            </w:pPr>
            <w:r w:rsidRPr="00CB2F0E">
              <w:rPr>
                <w:b/>
                <w:iCs/>
                <w:lang w:val="en-GB"/>
              </w:rPr>
              <w:t>GEF’s Response</w:t>
            </w:r>
          </w:p>
        </w:tc>
      </w:tr>
      <w:tr w:rsidR="00CB2F0E" w:rsidRPr="00CB2F0E" w14:paraId="76232FD7" w14:textId="77777777" w:rsidTr="008354E6">
        <w:tc>
          <w:tcPr>
            <w:tcW w:w="4675" w:type="dxa"/>
            <w:shd w:val="clear" w:color="auto" w:fill="auto"/>
          </w:tcPr>
          <w:p w14:paraId="32FA7512" w14:textId="77777777" w:rsidR="00CB2F0E" w:rsidRPr="00CB2F0E" w:rsidRDefault="00CB2F0E" w:rsidP="00CB2F0E">
            <w:pPr>
              <w:rPr>
                <w:b/>
                <w:lang w:val="en-GB"/>
              </w:rPr>
            </w:pPr>
            <w:r w:rsidRPr="00CB2F0E">
              <w:rPr>
                <w:i/>
                <w:iCs/>
                <w:lang w:val="en-GB"/>
              </w:rPr>
              <w:t xml:space="preserve">Welcomes </w:t>
            </w:r>
            <w:r w:rsidRPr="00CB2F0E">
              <w:rPr>
                <w:iCs/>
                <w:lang w:val="en-GB"/>
              </w:rPr>
              <w:t xml:space="preserve">the successful </w:t>
            </w:r>
            <w:r w:rsidRPr="00CB2F0E">
              <w:rPr>
                <w:lang w:val="en-GB"/>
              </w:rPr>
              <w:t>conclusion</w:t>
            </w:r>
            <w:r w:rsidRPr="00CB2F0E">
              <w:rPr>
                <w:iCs/>
                <w:lang w:val="en-GB"/>
              </w:rPr>
              <w:t xml:space="preserve"> of the seventh replenishment of the Global Environment Facility Trust Fund, and </w:t>
            </w:r>
            <w:r w:rsidRPr="00CB2F0E">
              <w:rPr>
                <w:i/>
                <w:iCs/>
                <w:lang w:val="en-GB"/>
              </w:rPr>
              <w:t>expresses its appreciation</w:t>
            </w:r>
            <w:r w:rsidRPr="00CB2F0E">
              <w:rPr>
                <w:lang w:val="en-GB"/>
              </w:rPr>
              <w:t xml:space="preserve"> for </w:t>
            </w:r>
            <w:r w:rsidRPr="00CB2F0E">
              <w:rPr>
                <w:iCs/>
                <w:lang w:val="en-GB"/>
              </w:rPr>
              <w:t>the continuing financial support from Parties and Governments for carrying out the tasks under the Strategic Plan for Biodiversity 2011-2020 in its remaining years, and for supporting the implementation of the post-2020 global biodiversity framework in its first two years;</w:t>
            </w:r>
          </w:p>
        </w:tc>
        <w:tc>
          <w:tcPr>
            <w:tcW w:w="4675" w:type="dxa"/>
            <w:shd w:val="clear" w:color="auto" w:fill="auto"/>
          </w:tcPr>
          <w:p w14:paraId="4D69FD31" w14:textId="77777777" w:rsidR="00CB2F0E" w:rsidRPr="00CB2F0E" w:rsidRDefault="00CB2F0E" w:rsidP="00CB2F0E">
            <w:pPr>
              <w:rPr>
                <w:iCs/>
                <w:lang w:val="en-GB"/>
              </w:rPr>
            </w:pPr>
            <w:r w:rsidRPr="00CB2F0E">
              <w:rPr>
                <w:bCs/>
              </w:rPr>
              <w:t>No response needed.</w:t>
            </w:r>
          </w:p>
        </w:tc>
      </w:tr>
      <w:tr w:rsidR="00CB2F0E" w:rsidRPr="00CB2F0E" w14:paraId="5C386A0E" w14:textId="77777777" w:rsidTr="008354E6">
        <w:tc>
          <w:tcPr>
            <w:tcW w:w="4675" w:type="dxa"/>
            <w:shd w:val="clear" w:color="auto" w:fill="auto"/>
          </w:tcPr>
          <w:p w14:paraId="3EEF52A7" w14:textId="77777777" w:rsidR="00CB2F0E" w:rsidRPr="00CB2F0E" w:rsidRDefault="00CB2F0E" w:rsidP="00CB2F0E">
            <w:pPr>
              <w:rPr>
                <w:iCs/>
                <w:lang w:val="en-GB"/>
              </w:rPr>
            </w:pPr>
            <w:r w:rsidRPr="00CB2F0E">
              <w:rPr>
                <w:i/>
                <w:iCs/>
                <w:lang w:val="en-GB"/>
              </w:rPr>
              <w:t>Notes</w:t>
            </w:r>
            <w:r w:rsidRPr="00CB2F0E">
              <w:rPr>
                <w:iCs/>
                <w:lang w:val="en-GB"/>
              </w:rPr>
              <w:t xml:space="preserve"> that the biodiversity programming directions for the seventh replenishment of the Trust Fund reflect the guidance adopted by the Conference of the Parties at its thirteenth meeting, which includes the consolidated guidance to the financial mechanism and the four-year framework of programme priorities (July 2018 to June 2022), as well as further guidance;</w:t>
            </w:r>
            <w:r w:rsidRPr="00CB2F0E">
              <w:rPr>
                <w:iCs/>
                <w:vertAlign w:val="superscript"/>
                <w:lang w:val="en-GB"/>
              </w:rPr>
              <w:footnoteReference w:id="18"/>
            </w:r>
          </w:p>
        </w:tc>
        <w:tc>
          <w:tcPr>
            <w:tcW w:w="4675" w:type="dxa"/>
            <w:shd w:val="clear" w:color="auto" w:fill="auto"/>
          </w:tcPr>
          <w:p w14:paraId="7E429AC5" w14:textId="77777777" w:rsidR="00CB2F0E" w:rsidRPr="00CB2F0E" w:rsidRDefault="00CB2F0E" w:rsidP="00CB2F0E">
            <w:pPr>
              <w:rPr>
                <w:iCs/>
                <w:lang w:val="en-GB"/>
              </w:rPr>
            </w:pPr>
            <w:r w:rsidRPr="00CB2F0E">
              <w:rPr>
                <w:bCs/>
              </w:rPr>
              <w:t>No response needed.</w:t>
            </w:r>
          </w:p>
        </w:tc>
      </w:tr>
      <w:tr w:rsidR="00CB2F0E" w:rsidRPr="00CB2F0E" w14:paraId="58AB257D" w14:textId="77777777" w:rsidTr="008354E6">
        <w:tc>
          <w:tcPr>
            <w:tcW w:w="4675" w:type="dxa"/>
            <w:shd w:val="clear" w:color="auto" w:fill="auto"/>
          </w:tcPr>
          <w:p w14:paraId="7B4989E7" w14:textId="77777777" w:rsidR="00CB2F0E" w:rsidRPr="00CB2F0E" w:rsidRDefault="00CB2F0E" w:rsidP="00CB2F0E">
            <w:pPr>
              <w:rPr>
                <w:lang w:val="en-GB"/>
              </w:rPr>
            </w:pPr>
            <w:r w:rsidRPr="00CB2F0E">
              <w:rPr>
                <w:i/>
                <w:lang w:val="en-GB"/>
              </w:rPr>
              <w:t>Welcomes</w:t>
            </w:r>
            <w:r w:rsidRPr="00CB2F0E">
              <w:rPr>
                <w:lang w:val="en-GB"/>
              </w:rPr>
              <w:t xml:space="preserve"> the Global Environment Facility’s process to review and upgrade its environmental and social safeguards and the related systems of its agencies, as well as its guidance to advance gender in its new gender implementation strategy, noting that the results will be </w:t>
            </w:r>
            <w:r w:rsidRPr="00CB2F0E">
              <w:rPr>
                <w:iCs/>
                <w:lang w:val="en-GB"/>
              </w:rPr>
              <w:t xml:space="preserve">applicable to all projects funded by the Facility, </w:t>
            </w:r>
            <w:r w:rsidRPr="00CB2F0E">
              <w:rPr>
                <w:lang w:val="en-GB"/>
              </w:rPr>
              <w:t xml:space="preserve">and </w:t>
            </w:r>
            <w:r w:rsidRPr="00CB2F0E">
              <w:rPr>
                <w:i/>
                <w:iCs/>
                <w:lang w:val="en-GB"/>
              </w:rPr>
              <w:t>invites</w:t>
            </w:r>
            <w:r w:rsidRPr="00CB2F0E">
              <w:rPr>
                <w:lang w:val="en-GB"/>
              </w:rPr>
              <w:t xml:space="preserve"> the Facility to inform the Conference of the Parties about how it is taking into account the Convention’s voluntary guidelines on safeguards in biodiversity financing mechanisms in this important process;</w:t>
            </w:r>
          </w:p>
        </w:tc>
        <w:tc>
          <w:tcPr>
            <w:tcW w:w="4675" w:type="dxa"/>
            <w:shd w:val="clear" w:color="auto" w:fill="auto"/>
          </w:tcPr>
          <w:p w14:paraId="4F3C558F" w14:textId="6CEA39AA" w:rsidR="00CB2F0E" w:rsidRPr="00CB2F0E" w:rsidRDefault="009D765B" w:rsidP="00CB2F0E">
            <w:pPr>
              <w:rPr>
                <w:iCs/>
                <w:lang w:val="en-GB"/>
              </w:rPr>
            </w:pPr>
            <w:r w:rsidRPr="009D765B">
              <w:rPr>
                <w:iCs/>
                <w:lang w:val="en-GB"/>
              </w:rPr>
              <w:t>The GEF Council approved the updated Policy on Environmental and Social Safeguards in December 2018</w:t>
            </w:r>
            <w:r w:rsidR="00B02739">
              <w:rPr>
                <w:iCs/>
                <w:lang w:val="en-GB"/>
              </w:rPr>
              <w:t>.</w:t>
            </w:r>
            <w:r w:rsidR="00B02739">
              <w:rPr>
                <w:rStyle w:val="FootnoteReference"/>
                <w:iCs/>
                <w:lang w:val="en-GB"/>
              </w:rPr>
              <w:footnoteReference w:id="19"/>
            </w:r>
            <w:r w:rsidR="00B02739">
              <w:rPr>
                <w:iCs/>
                <w:lang w:val="en-GB"/>
              </w:rPr>
              <w:t xml:space="preserve"> </w:t>
            </w:r>
            <w:r w:rsidR="00CB2F0E" w:rsidRPr="00CB2F0E">
              <w:rPr>
                <w:iCs/>
                <w:lang w:val="en-GB"/>
              </w:rPr>
              <w:t>The updated policy</w:t>
            </w:r>
            <w:r>
              <w:rPr>
                <w:iCs/>
                <w:lang w:val="en-GB"/>
              </w:rPr>
              <w:t xml:space="preserve"> i</w:t>
            </w:r>
            <w:r w:rsidR="00CB2F0E" w:rsidRPr="00CB2F0E">
              <w:rPr>
                <w:iCs/>
                <w:lang w:val="en-GB"/>
              </w:rPr>
              <w:t>s substantially consistent with the Voluntary Guidelines. The Secretariat is currently facilitating a process to review Agencies’ compliance with the minimum standards contained in the updated policy.</w:t>
            </w:r>
          </w:p>
        </w:tc>
      </w:tr>
      <w:tr w:rsidR="00CB2F0E" w:rsidRPr="00CB2F0E" w14:paraId="4EC30EA0" w14:textId="77777777" w:rsidTr="008354E6">
        <w:tc>
          <w:tcPr>
            <w:tcW w:w="4675" w:type="dxa"/>
            <w:shd w:val="clear" w:color="auto" w:fill="auto"/>
          </w:tcPr>
          <w:p w14:paraId="38CA24BF" w14:textId="77777777" w:rsidR="00CB2F0E" w:rsidRPr="00CB2F0E" w:rsidRDefault="00CB2F0E" w:rsidP="00CB2F0E">
            <w:pPr>
              <w:rPr>
                <w:i/>
                <w:iCs/>
                <w:lang w:val="en-GB"/>
              </w:rPr>
            </w:pPr>
            <w:r w:rsidRPr="00CB2F0E">
              <w:rPr>
                <w:i/>
                <w:lang w:val="en-GB"/>
              </w:rPr>
              <w:t xml:space="preserve">Notes </w:t>
            </w:r>
            <w:r w:rsidRPr="00CB2F0E">
              <w:rPr>
                <w:lang w:val="en-GB"/>
              </w:rPr>
              <w:t>the ongoing review and updating against criteria of best practice of the Global Environment Facility’s policy on safeguards and rules of engagement with indigenous peoples;</w:t>
            </w:r>
          </w:p>
        </w:tc>
        <w:tc>
          <w:tcPr>
            <w:tcW w:w="4675" w:type="dxa"/>
            <w:shd w:val="clear" w:color="auto" w:fill="auto"/>
          </w:tcPr>
          <w:p w14:paraId="3DF08249" w14:textId="1D34C71A" w:rsidR="00CB2F0E" w:rsidRPr="00CB2F0E" w:rsidRDefault="00CB2F0E" w:rsidP="00CB2F0E">
            <w:pPr>
              <w:rPr>
                <w:iCs/>
                <w:lang w:val="en-GB"/>
              </w:rPr>
            </w:pPr>
            <w:r w:rsidRPr="00CB2F0E">
              <w:rPr>
                <w:iCs/>
                <w:lang w:val="en-GB"/>
              </w:rPr>
              <w:t>The GEF Council approved the updated Policy on Environmental and Social Safeguards in December 2018.</w:t>
            </w:r>
            <w:r w:rsidR="00633565">
              <w:rPr>
                <w:rStyle w:val="FootnoteReference"/>
                <w:iCs/>
                <w:lang w:val="en-GB"/>
              </w:rPr>
              <w:footnoteReference w:id="20"/>
            </w:r>
            <w:r w:rsidRPr="00CB2F0E">
              <w:rPr>
                <w:iCs/>
                <w:lang w:val="en-GB"/>
              </w:rPr>
              <w:t xml:space="preserve"> The updated policy is aligned with international best practice, including with respect to engagement with indigenous peoples </w:t>
            </w:r>
            <w:r w:rsidRPr="00CB2F0E">
              <w:rPr>
                <w:iCs/>
                <w:lang w:val="en-GB"/>
              </w:rPr>
              <w:lastRenderedPageBreak/>
              <w:t>and the application of Free, Prior and Informed Consent (FPIC).</w:t>
            </w:r>
          </w:p>
        </w:tc>
      </w:tr>
      <w:tr w:rsidR="00CB2F0E" w:rsidRPr="00CB2F0E" w14:paraId="670F1D2D" w14:textId="77777777" w:rsidTr="008354E6">
        <w:tc>
          <w:tcPr>
            <w:tcW w:w="4675" w:type="dxa"/>
            <w:shd w:val="clear" w:color="auto" w:fill="auto"/>
          </w:tcPr>
          <w:p w14:paraId="2C14DD61" w14:textId="77777777" w:rsidR="00CB2F0E" w:rsidRPr="00CB2F0E" w:rsidRDefault="00CB2F0E" w:rsidP="00CB2F0E">
            <w:pPr>
              <w:rPr>
                <w:lang w:val="en-GB"/>
              </w:rPr>
            </w:pPr>
            <w:r w:rsidRPr="00CB2F0E">
              <w:rPr>
                <w:i/>
                <w:lang w:val="en-GB"/>
              </w:rPr>
              <w:lastRenderedPageBreak/>
              <w:t xml:space="preserve">Invites </w:t>
            </w:r>
            <w:r w:rsidRPr="00CB2F0E">
              <w:rPr>
                <w:lang w:val="en-GB"/>
              </w:rPr>
              <w:t>the Global Environment Facility to continue its support for national implementation activities under the Strategic Plan for Biodiversity 2011-2020 in an efficient manner, with a view to enabling Parties to enhance progress towards the Aichi Biodiversity Targets by 2020;</w:t>
            </w:r>
          </w:p>
        </w:tc>
        <w:tc>
          <w:tcPr>
            <w:tcW w:w="4675" w:type="dxa"/>
            <w:shd w:val="clear" w:color="auto" w:fill="auto"/>
          </w:tcPr>
          <w:p w14:paraId="377D9021" w14:textId="5DE9FAEE" w:rsidR="00CB2F0E" w:rsidRPr="00CB2F0E" w:rsidRDefault="00CB2F0E" w:rsidP="00CB2F0E">
            <w:pPr>
              <w:rPr>
                <w:lang w:val="en-GB"/>
              </w:rPr>
            </w:pPr>
            <w:r w:rsidRPr="00CB2F0E">
              <w:rPr>
                <w:lang w:val="en-GB"/>
              </w:rPr>
              <w:t xml:space="preserve">The GEF continues to support country driven projects in GEF-7 to implement the Strategic Plan for Biodiversity 2011-2020 consistent with the GEF-7 Programming Directions and the GEF-7 biodiversity strategy. </w:t>
            </w:r>
            <w:r w:rsidR="009D765B" w:rsidRPr="009D765B">
              <w:rPr>
                <w:lang w:val="en-GB"/>
              </w:rPr>
              <w:t>During the reporting period, the GEF approved three country-based projects (Madagascar, Panama, Sudan) to strengthen the required technical, legal, and institutional capacities to implement the Nagoya Protocol. GEF invested $3.9 million and leveraged $24.2 million in co-financing. </w:t>
            </w:r>
          </w:p>
        </w:tc>
      </w:tr>
      <w:tr w:rsidR="00CB2F0E" w:rsidRPr="00CB2F0E" w14:paraId="0F8282BB" w14:textId="77777777" w:rsidTr="008354E6">
        <w:tc>
          <w:tcPr>
            <w:tcW w:w="4675" w:type="dxa"/>
            <w:shd w:val="clear" w:color="auto" w:fill="auto"/>
          </w:tcPr>
          <w:p w14:paraId="49DF235C" w14:textId="77777777" w:rsidR="00CB2F0E" w:rsidRPr="00CB2F0E" w:rsidRDefault="00CB2F0E" w:rsidP="00CB2F0E">
            <w:pPr>
              <w:rPr>
                <w:iCs/>
                <w:lang w:val="en-GB"/>
              </w:rPr>
            </w:pPr>
            <w:r w:rsidRPr="00CB2F0E">
              <w:rPr>
                <w:i/>
                <w:lang w:val="en-GB"/>
              </w:rPr>
              <w:t>Invites</w:t>
            </w:r>
            <w:r w:rsidRPr="00CB2F0E">
              <w:rPr>
                <w:lang w:val="en-GB"/>
              </w:rPr>
              <w:t xml:space="preserve"> the Global</w:t>
            </w:r>
            <w:r w:rsidRPr="00CB2F0E">
              <w:rPr>
                <w:iCs/>
                <w:lang w:val="en-GB"/>
              </w:rPr>
              <w:t xml:space="preserve"> Environment Facility,</w:t>
            </w:r>
            <w:r w:rsidRPr="00CB2F0E">
              <w:rPr>
                <w:lang w:val="en-GB"/>
              </w:rPr>
              <w:t xml:space="preserve"> in line with</w:t>
            </w:r>
            <w:r w:rsidRPr="00CB2F0E">
              <w:rPr>
                <w:i/>
                <w:lang w:val="en-GB"/>
              </w:rPr>
              <w:t xml:space="preserve"> </w:t>
            </w:r>
            <w:r w:rsidRPr="00CB2F0E">
              <w:rPr>
                <w:lang w:val="en-GB"/>
              </w:rPr>
              <w:t>the consolidated guidance provided in decision XIII/21,</w:t>
            </w:r>
            <w:r w:rsidRPr="00CB2F0E">
              <w:rPr>
                <w:iCs/>
                <w:lang w:val="en-GB"/>
              </w:rPr>
              <w:t xml:space="preserve"> to continue to provide all eligible Parties with support for capacity</w:t>
            </w:r>
            <w:r w:rsidRPr="00CB2F0E">
              <w:rPr>
                <w:iCs/>
                <w:lang w:val="en-GB"/>
              </w:rPr>
              <w:noBreakHyphen/>
              <w:t>building:</w:t>
            </w:r>
            <w:r w:rsidRPr="00CB2F0E">
              <w:rPr>
                <w:iCs/>
                <w:lang w:val="en-GB"/>
              </w:rPr>
              <w:br/>
            </w:r>
          </w:p>
          <w:p w14:paraId="105C5C5D" w14:textId="53A5F5A6" w:rsidR="00CB2F0E" w:rsidRPr="00CB2F0E" w:rsidRDefault="00CB2F0E" w:rsidP="00CB2F0E">
            <w:pPr>
              <w:numPr>
                <w:ilvl w:val="0"/>
                <w:numId w:val="2"/>
              </w:numPr>
            </w:pPr>
            <w:r w:rsidRPr="00CB2F0E">
              <w:t>On issues identified by the Parties to facilitate further implementation of the Cartagena Protocol on Biosafety and the Nagoya Protocol on Access and Benefit-sharing, including regional cooperation projects, with a view to facilitating the sharing of experiences and lessons learned and harnessing associated synergies;</w:t>
            </w:r>
          </w:p>
          <w:p w14:paraId="42500A64" w14:textId="77777777" w:rsidR="00CB2F0E" w:rsidRPr="00CB2F0E" w:rsidRDefault="00CB2F0E" w:rsidP="00CB2F0E">
            <w:pPr>
              <w:numPr>
                <w:ilvl w:val="0"/>
                <w:numId w:val="2"/>
              </w:numPr>
              <w:rPr>
                <w:lang w:val="en-GB"/>
              </w:rPr>
            </w:pPr>
            <w:r w:rsidRPr="00CB2F0E">
              <w:rPr>
                <w:lang w:val="en-GB"/>
              </w:rPr>
              <w:t xml:space="preserve">On the use of the Access and Benefit-sharing </w:t>
            </w:r>
            <w:proofErr w:type="gramStart"/>
            <w:r w:rsidRPr="00CB2F0E">
              <w:rPr>
                <w:lang w:val="en-GB"/>
              </w:rPr>
              <w:t>Clearing-House</w:t>
            </w:r>
            <w:proofErr w:type="gramEnd"/>
            <w:r w:rsidRPr="00CB2F0E">
              <w:rPr>
                <w:lang w:val="en-GB"/>
              </w:rPr>
              <w:t>, on the basis of experiences and lessons learned during the Project on Continued Enhancement of Building Capacity for Effective Participation in the Biosafety Clearing-House and using resources under the biodiversity focal area;</w:t>
            </w:r>
          </w:p>
        </w:tc>
        <w:tc>
          <w:tcPr>
            <w:tcW w:w="4675" w:type="dxa"/>
            <w:shd w:val="clear" w:color="auto" w:fill="auto"/>
          </w:tcPr>
          <w:p w14:paraId="13AB776C" w14:textId="77777777" w:rsidR="00CB2F0E" w:rsidRPr="00CB2F0E" w:rsidRDefault="00CB2F0E" w:rsidP="00CB2F0E">
            <w:r w:rsidRPr="00CB2F0E">
              <w:rPr>
                <w:lang w:val="en-GB"/>
              </w:rPr>
              <w:t xml:space="preserve">The GEF continues to support country driven projects that aim to build capacity in GEF-7 to implement the Nagoya and Cartagena Protocols as described in the GEF-7 biodiversity strategy including the ABS Clearing House </w:t>
            </w:r>
            <w:proofErr w:type="gramStart"/>
            <w:r w:rsidRPr="00CB2F0E">
              <w:rPr>
                <w:lang w:val="en-GB"/>
              </w:rPr>
              <w:t>taking into account</w:t>
            </w:r>
            <w:proofErr w:type="gramEnd"/>
            <w:r w:rsidRPr="00CB2F0E">
              <w:rPr>
                <w:lang w:val="en-GB"/>
              </w:rPr>
              <w:t xml:space="preserve"> the current use of the Portal housed at the CBD Secretariat.</w:t>
            </w:r>
          </w:p>
          <w:p w14:paraId="34111C96" w14:textId="77777777" w:rsidR="00CB2F0E" w:rsidRPr="00CB2F0E" w:rsidRDefault="00CB2F0E" w:rsidP="00CB2F0E">
            <w:pPr>
              <w:rPr>
                <w:iCs/>
                <w:lang w:val="en-GB"/>
              </w:rPr>
            </w:pPr>
          </w:p>
        </w:tc>
      </w:tr>
      <w:tr w:rsidR="00CB2F0E" w:rsidRPr="00CB2F0E" w14:paraId="0EB48CFF" w14:textId="77777777" w:rsidTr="008354E6">
        <w:tc>
          <w:tcPr>
            <w:tcW w:w="4675" w:type="dxa"/>
            <w:shd w:val="clear" w:color="auto" w:fill="auto"/>
          </w:tcPr>
          <w:p w14:paraId="0D424D1E" w14:textId="4F1DE1EF" w:rsidR="00CB2F0E" w:rsidRPr="00CB2F0E" w:rsidRDefault="00CB2F0E" w:rsidP="00CB2F0E">
            <w:pPr>
              <w:rPr>
                <w:lang w:val="en-GB"/>
              </w:rPr>
            </w:pPr>
            <w:r w:rsidRPr="00CB2F0E">
              <w:rPr>
                <w:i/>
                <w:lang w:val="en-GB"/>
              </w:rPr>
              <w:t>Invites</w:t>
            </w:r>
            <w:r w:rsidRPr="00CB2F0E">
              <w:rPr>
                <w:lang w:val="en-GB"/>
              </w:rPr>
              <w:t xml:space="preserve"> the Global Environment Facility to continue making funds available to assist eligible Parties in implementing the Cartagena Protocol, in particular:</w:t>
            </w:r>
          </w:p>
          <w:p w14:paraId="43952BC0" w14:textId="77777777" w:rsidR="00CB2F0E" w:rsidRPr="00CB2F0E" w:rsidRDefault="00CB2F0E" w:rsidP="00CB2F0E">
            <w:pPr>
              <w:numPr>
                <w:ilvl w:val="0"/>
                <w:numId w:val="3"/>
              </w:numPr>
            </w:pPr>
            <w:r w:rsidRPr="00CB2F0E">
              <w:lastRenderedPageBreak/>
              <w:t>To assist eligible Parties that have not yet done so in fully putting in place measures to implement the Protocol;</w:t>
            </w:r>
          </w:p>
          <w:p w14:paraId="4CBC32E6" w14:textId="77777777" w:rsidR="00CB2F0E" w:rsidRPr="00CB2F0E" w:rsidRDefault="00CB2F0E" w:rsidP="00CB2F0E">
            <w:pPr>
              <w:numPr>
                <w:ilvl w:val="0"/>
                <w:numId w:val="3"/>
              </w:numPr>
              <w:rPr>
                <w:lang w:val="en-GB"/>
              </w:rPr>
            </w:pPr>
            <w:r w:rsidRPr="00CB2F0E">
              <w:rPr>
                <w:lang w:val="en-GB"/>
              </w:rPr>
              <w:t>To support eligible Parties in fulfilling their reporting obligations under the Protocol, including the preparation and submission of their fourth national reports under the Protocol;</w:t>
            </w:r>
          </w:p>
          <w:p w14:paraId="6AF98CB3" w14:textId="77777777" w:rsidR="00CB2F0E" w:rsidRPr="00CB2F0E" w:rsidRDefault="00CB2F0E" w:rsidP="00CB2F0E">
            <w:pPr>
              <w:numPr>
                <w:ilvl w:val="0"/>
                <w:numId w:val="3"/>
              </w:numPr>
              <w:rPr>
                <w:lang w:val="en-GB"/>
              </w:rPr>
            </w:pPr>
            <w:r w:rsidRPr="00CB2F0E">
              <w:rPr>
                <w:lang w:val="en-GB"/>
              </w:rPr>
              <w:t>To support Parties in implementing compliance action plans regarding the achievement of compliance with the Protocol;</w:t>
            </w:r>
          </w:p>
        </w:tc>
        <w:tc>
          <w:tcPr>
            <w:tcW w:w="4675" w:type="dxa"/>
            <w:shd w:val="clear" w:color="auto" w:fill="auto"/>
          </w:tcPr>
          <w:p w14:paraId="0297A57E" w14:textId="6022AFAE" w:rsidR="00CB2F0E" w:rsidRPr="00282210" w:rsidRDefault="00CB2F0E" w:rsidP="00CB2F0E">
            <w:pPr>
              <w:rPr>
                <w:lang w:val="en-GB"/>
              </w:rPr>
            </w:pPr>
            <w:r w:rsidRPr="00282210">
              <w:rPr>
                <w:lang w:val="en-GB"/>
              </w:rPr>
              <w:lastRenderedPageBreak/>
              <w:t xml:space="preserve">The GEF </w:t>
            </w:r>
            <w:r w:rsidR="00F55D58" w:rsidRPr="00282210">
              <w:rPr>
                <w:lang w:val="en-GB"/>
              </w:rPr>
              <w:t xml:space="preserve">will </w:t>
            </w:r>
            <w:r w:rsidRPr="00282210">
              <w:rPr>
                <w:lang w:val="en-GB"/>
              </w:rPr>
              <w:t>continue to support country driven projects in GEF-7 to implement the Cartagena Protocol as described in the GEF-7 biodiversity strategy, including the fourth national reports</w:t>
            </w:r>
            <w:r w:rsidR="00142462" w:rsidRPr="00282210">
              <w:rPr>
                <w:lang w:val="en-GB"/>
              </w:rPr>
              <w:t>.  In the reporting period</w:t>
            </w:r>
            <w:r w:rsidR="00F55D58" w:rsidRPr="00282210">
              <w:rPr>
                <w:lang w:val="en-GB"/>
              </w:rPr>
              <w:t xml:space="preserve"> no proposals have been </w:t>
            </w:r>
            <w:r w:rsidR="00142462" w:rsidRPr="00282210">
              <w:rPr>
                <w:lang w:val="en-GB"/>
              </w:rPr>
              <w:t>submitted</w:t>
            </w:r>
            <w:r w:rsidR="00F55D58" w:rsidRPr="00282210">
              <w:rPr>
                <w:lang w:val="en-GB"/>
              </w:rPr>
              <w:t>.</w:t>
            </w:r>
          </w:p>
        </w:tc>
      </w:tr>
      <w:tr w:rsidR="00CB2F0E" w:rsidRPr="00CB2F0E" w14:paraId="7B9C8565" w14:textId="77777777" w:rsidTr="008354E6">
        <w:tc>
          <w:tcPr>
            <w:tcW w:w="4675" w:type="dxa"/>
            <w:shd w:val="clear" w:color="auto" w:fill="auto"/>
          </w:tcPr>
          <w:p w14:paraId="3F91CB49" w14:textId="77777777" w:rsidR="00CB2F0E" w:rsidRPr="00CB2F0E" w:rsidRDefault="00CB2F0E" w:rsidP="00CB2F0E">
            <w:pPr>
              <w:rPr>
                <w:lang w:val="en-GB"/>
              </w:rPr>
            </w:pPr>
            <w:r w:rsidRPr="00CB2F0E">
              <w:rPr>
                <w:i/>
                <w:lang w:val="en-GB"/>
              </w:rPr>
              <w:t>Invites</w:t>
            </w:r>
            <w:r w:rsidRPr="00CB2F0E">
              <w:rPr>
                <w:lang w:val="en-GB"/>
              </w:rPr>
              <w:t xml:space="preserve"> the Global Environment Facility and other relevant funding agencies to provide funds for regional projects to support the implementation of the Cartagena Protocol, including projects aimed at building scientific capacity that could support countries’ actions towards detection and identification of living modified organisms, and in particular that could promote North-South and South-South sharing of experiences and lessons;</w:t>
            </w:r>
          </w:p>
        </w:tc>
        <w:tc>
          <w:tcPr>
            <w:tcW w:w="4675" w:type="dxa"/>
            <w:shd w:val="clear" w:color="auto" w:fill="auto"/>
          </w:tcPr>
          <w:p w14:paraId="57308649" w14:textId="3A559500" w:rsidR="00CB2F0E" w:rsidRPr="00282210" w:rsidRDefault="00CB2F0E" w:rsidP="00CB2F0E">
            <w:pPr>
              <w:rPr>
                <w:lang w:val="en-GB"/>
              </w:rPr>
            </w:pPr>
            <w:r w:rsidRPr="00282210">
              <w:rPr>
                <w:lang w:val="en-GB"/>
              </w:rPr>
              <w:t xml:space="preserve">The GEF </w:t>
            </w:r>
            <w:r w:rsidR="00F55D58" w:rsidRPr="00282210">
              <w:rPr>
                <w:lang w:val="en-GB"/>
              </w:rPr>
              <w:t xml:space="preserve">will </w:t>
            </w:r>
            <w:r w:rsidRPr="00282210">
              <w:rPr>
                <w:lang w:val="en-GB"/>
              </w:rPr>
              <w:t>continue to support country driven projects in GEF-7 to implement the Cartagena Protocol as described in the GEF-7 biodiversity strategy</w:t>
            </w:r>
            <w:r w:rsidR="00142462" w:rsidRPr="00282210">
              <w:rPr>
                <w:lang w:val="en-GB"/>
              </w:rPr>
              <w:t xml:space="preserve">. In the reporting period, </w:t>
            </w:r>
            <w:r w:rsidR="00F55D58" w:rsidRPr="00282210">
              <w:rPr>
                <w:lang w:val="en-GB"/>
              </w:rPr>
              <w:t>no proposals have</w:t>
            </w:r>
            <w:r w:rsidR="00142462" w:rsidRPr="00282210">
              <w:rPr>
                <w:lang w:val="en-GB"/>
              </w:rPr>
              <w:t xml:space="preserve"> been submitted</w:t>
            </w:r>
            <w:r w:rsidR="00F55D58" w:rsidRPr="00282210">
              <w:rPr>
                <w:lang w:val="en-GB"/>
              </w:rPr>
              <w:t>.</w:t>
            </w:r>
          </w:p>
        </w:tc>
      </w:tr>
      <w:tr w:rsidR="00CB2F0E" w:rsidRPr="00CB2F0E" w14:paraId="3FF5F8AE" w14:textId="77777777" w:rsidTr="008354E6">
        <w:tc>
          <w:tcPr>
            <w:tcW w:w="4675" w:type="dxa"/>
            <w:shd w:val="clear" w:color="auto" w:fill="auto"/>
          </w:tcPr>
          <w:p w14:paraId="3EB65C97" w14:textId="77777777" w:rsidR="00CB2F0E" w:rsidRPr="00CB2F0E" w:rsidRDefault="00CB2F0E" w:rsidP="00CB2F0E">
            <w:pPr>
              <w:rPr>
                <w:b/>
                <w:lang w:val="en-GB"/>
              </w:rPr>
            </w:pPr>
            <w:r w:rsidRPr="00CB2F0E">
              <w:rPr>
                <w:i/>
                <w:lang w:val="en-GB"/>
              </w:rPr>
              <w:t>Expresses its appreciation</w:t>
            </w:r>
            <w:r w:rsidRPr="00CB2F0E">
              <w:rPr>
                <w:lang w:val="en-GB"/>
              </w:rPr>
              <w:t xml:space="preserve"> for the financial support provided by the Global Environment Facility for a number of eligible Parties to support the preparation of their interim national reports on the implementation of their obligations under the Nagoya Protocol, and notes the importance of timely availability of financial resources to support the preparation and submission of national reports by the reporting deadline;</w:t>
            </w:r>
          </w:p>
        </w:tc>
        <w:tc>
          <w:tcPr>
            <w:tcW w:w="4675" w:type="dxa"/>
            <w:shd w:val="clear" w:color="auto" w:fill="auto"/>
          </w:tcPr>
          <w:p w14:paraId="750AF215" w14:textId="77777777" w:rsidR="00CB2F0E" w:rsidRPr="00597952" w:rsidRDefault="00CB2F0E" w:rsidP="00CB2F0E">
            <w:pPr>
              <w:rPr>
                <w:iCs/>
                <w:lang w:val="en-GB"/>
              </w:rPr>
            </w:pPr>
            <w:r w:rsidRPr="00597952">
              <w:rPr>
                <w:bCs/>
              </w:rPr>
              <w:t>No response needed.</w:t>
            </w:r>
          </w:p>
        </w:tc>
      </w:tr>
      <w:tr w:rsidR="00CB2F0E" w:rsidRPr="00CB2F0E" w14:paraId="3C58F7E3" w14:textId="77777777" w:rsidTr="008354E6">
        <w:tc>
          <w:tcPr>
            <w:tcW w:w="4675" w:type="dxa"/>
            <w:shd w:val="clear" w:color="auto" w:fill="auto"/>
          </w:tcPr>
          <w:p w14:paraId="5A51F829" w14:textId="77777777" w:rsidR="00CB2F0E" w:rsidRPr="00CB2F0E" w:rsidRDefault="00CB2F0E" w:rsidP="00CB2F0E">
            <w:pPr>
              <w:rPr>
                <w:lang w:val="en-GB"/>
              </w:rPr>
            </w:pPr>
            <w:r w:rsidRPr="00CB2F0E">
              <w:rPr>
                <w:i/>
                <w:lang w:val="en-GB"/>
              </w:rPr>
              <w:t>Invites</w:t>
            </w:r>
            <w:r w:rsidRPr="00CB2F0E">
              <w:rPr>
                <w:lang w:val="en-GB"/>
              </w:rPr>
              <w:t xml:space="preserve"> the Global Environment Facility to continue to assist eligible Parties to implement the Nagoya Protocol, including the establishment of legislative, administrative and policy measures on access and benefit-sharing and related institutional arrangements, and to make funds available to this end;</w:t>
            </w:r>
          </w:p>
        </w:tc>
        <w:tc>
          <w:tcPr>
            <w:tcW w:w="4675" w:type="dxa"/>
            <w:shd w:val="clear" w:color="auto" w:fill="auto"/>
          </w:tcPr>
          <w:p w14:paraId="15AA2BA4" w14:textId="345B0DFF" w:rsidR="00CB2F0E" w:rsidRPr="00597952" w:rsidRDefault="00CB2F0E" w:rsidP="00CB2F0E">
            <w:pPr>
              <w:rPr>
                <w:lang w:val="en-GB"/>
              </w:rPr>
            </w:pPr>
            <w:r w:rsidRPr="00597952">
              <w:rPr>
                <w:lang w:val="en-GB"/>
              </w:rPr>
              <w:t>The GEF continues to support country driven projects in GEF-7 to implement the Nagoya Protocol as described in the GEF-7 biodiversity strategy.</w:t>
            </w:r>
            <w:r w:rsidR="009D765B" w:rsidRPr="00597952">
              <w:rPr>
                <w:lang w:val="en-GB"/>
              </w:rPr>
              <w:t xml:space="preserve">  During the reporting period, the GEF approved three country-based projects (Madagascar, Panama, Sudan) to strengthen the required technical, legal, and institutional capacities to implement the Nagoya Protocol. </w:t>
            </w:r>
            <w:r w:rsidR="009D765B" w:rsidRPr="00597952">
              <w:rPr>
                <w:lang w:val="en-GB"/>
              </w:rPr>
              <w:lastRenderedPageBreak/>
              <w:t>GEF invested $3.9 million and leveraged $24.2 million in co-financing. </w:t>
            </w:r>
          </w:p>
        </w:tc>
      </w:tr>
      <w:tr w:rsidR="00CB2F0E" w:rsidRPr="00CB2F0E" w14:paraId="0D09B499" w14:textId="77777777" w:rsidTr="008354E6">
        <w:tc>
          <w:tcPr>
            <w:tcW w:w="4675" w:type="dxa"/>
            <w:shd w:val="clear" w:color="auto" w:fill="auto"/>
          </w:tcPr>
          <w:p w14:paraId="3C2A99FB" w14:textId="77777777" w:rsidR="00CB2F0E" w:rsidRPr="00B91012" w:rsidRDefault="00CB2F0E" w:rsidP="00CB2F0E">
            <w:pPr>
              <w:rPr>
                <w:lang w:val="en-GB"/>
              </w:rPr>
            </w:pPr>
            <w:r w:rsidRPr="00B91012">
              <w:rPr>
                <w:i/>
                <w:lang w:val="en-GB"/>
              </w:rPr>
              <w:lastRenderedPageBreak/>
              <w:t xml:space="preserve">Considers </w:t>
            </w:r>
            <w:r w:rsidRPr="00B91012">
              <w:rPr>
                <w:lang w:val="en-GB"/>
              </w:rPr>
              <w:t xml:space="preserve">the sixth overall performance study of the Global Environment Facility, conducted by the Facility’s Independent Evaluation Office and completed in December 2017, as a good basis for the fifth review of the effectiveness of the financial mechanism, as well as the related submissions received from Parties, and </w:t>
            </w:r>
            <w:r w:rsidRPr="00B91012">
              <w:rPr>
                <w:i/>
                <w:lang w:val="en-GB"/>
              </w:rPr>
              <w:t>invites</w:t>
            </w:r>
            <w:r w:rsidRPr="00B91012">
              <w:rPr>
                <w:lang w:val="en-GB"/>
              </w:rPr>
              <w:t xml:space="preserve"> the Council of the Global Environment Facility to take the following action in order to further improve the effectiveness of the financial mechanism:</w:t>
            </w:r>
          </w:p>
          <w:p w14:paraId="4E213A22" w14:textId="77777777" w:rsidR="00CB2F0E" w:rsidRPr="00B91012" w:rsidRDefault="00CB2F0E" w:rsidP="00CB2F0E">
            <w:pPr>
              <w:numPr>
                <w:ilvl w:val="0"/>
                <w:numId w:val="4"/>
              </w:numPr>
              <w:rPr>
                <w:lang w:val="en-GB"/>
              </w:rPr>
            </w:pPr>
            <w:r w:rsidRPr="00B91012">
              <w:rPr>
                <w:lang w:val="en-GB"/>
              </w:rPr>
              <w:t>Continue to improve the design, management, and performance of the sixth-replenishment Integrated Approach Pilots, the seventh-replenishment impact programmes, other programmatic approaches, and multi-focal area projects in addressing drivers of environmental degradation;</w:t>
            </w:r>
          </w:p>
          <w:p w14:paraId="6BBFFBF2" w14:textId="77777777" w:rsidR="00CB2F0E" w:rsidRPr="00B91012" w:rsidRDefault="00CB2F0E" w:rsidP="00CB2F0E">
            <w:pPr>
              <w:numPr>
                <w:ilvl w:val="0"/>
                <w:numId w:val="4"/>
              </w:numPr>
              <w:rPr>
                <w:lang w:val="en-GB"/>
              </w:rPr>
            </w:pPr>
            <w:r w:rsidRPr="00B91012">
              <w:rPr>
                <w:lang w:val="en-GB"/>
              </w:rPr>
              <w:t>Promote awareness to the existing processes under the Conflict Resolution Commissioner to address complaints related to the operations of the financial mechanism;</w:t>
            </w:r>
          </w:p>
          <w:p w14:paraId="3F316BB3" w14:textId="77777777" w:rsidR="00CB2F0E" w:rsidRPr="00B91012" w:rsidRDefault="00CB2F0E" w:rsidP="00CB2F0E">
            <w:r w:rsidRPr="00B91012">
              <w:rPr>
                <w:lang w:val="en-GB"/>
              </w:rPr>
              <w:t>(c)</w:t>
            </w:r>
            <w:r w:rsidRPr="00B91012">
              <w:tab/>
              <w:t xml:space="preserve">Further improve the sustainability of funded projects and </w:t>
            </w:r>
            <w:proofErr w:type="spellStart"/>
            <w:r w:rsidRPr="00B91012">
              <w:t>programmes</w:t>
            </w:r>
            <w:proofErr w:type="spellEnd"/>
            <w:r w:rsidRPr="00B91012">
              <w:t>, including sustainable financing of protected areas;</w:t>
            </w:r>
          </w:p>
          <w:p w14:paraId="65FD845F" w14:textId="77777777" w:rsidR="00CB2F0E" w:rsidRPr="00B91012" w:rsidRDefault="00CB2F0E" w:rsidP="00CB2F0E">
            <w:r w:rsidRPr="00B91012">
              <w:t>(d)</w:t>
            </w:r>
            <w:r w:rsidRPr="00B91012">
              <w:tab/>
              <w:t>Continue to improve the efficiency and accountability of the Global Environment Facility partnership;</w:t>
            </w:r>
          </w:p>
          <w:p w14:paraId="49CC2241" w14:textId="77777777" w:rsidR="00CB2F0E" w:rsidRPr="00B91012" w:rsidRDefault="00CB2F0E" w:rsidP="00CB2F0E">
            <w:r w:rsidRPr="00B91012">
              <w:t>(e)</w:t>
            </w:r>
            <w:r w:rsidRPr="00B91012">
              <w:tab/>
              <w:t>Include the following information in its report to the Conference of the Parties at its fifteenth meeting:</w:t>
            </w:r>
          </w:p>
          <w:p w14:paraId="4F9112A9" w14:textId="77777777" w:rsidR="00CB2F0E" w:rsidRPr="00B91012" w:rsidRDefault="00CB2F0E" w:rsidP="00CB2F0E">
            <w:pPr>
              <w:numPr>
                <w:ilvl w:val="0"/>
                <w:numId w:val="1"/>
              </w:numPr>
              <w:rPr>
                <w:lang w:val="en-GB"/>
              </w:rPr>
            </w:pPr>
            <w:r w:rsidRPr="00B91012">
              <w:rPr>
                <w:lang w:val="en-GB"/>
              </w:rPr>
              <w:t>Progress in implementing the new co-financing policy;</w:t>
            </w:r>
          </w:p>
          <w:p w14:paraId="0B85B00B" w14:textId="77777777" w:rsidR="00CB2F0E" w:rsidRPr="00B91012" w:rsidRDefault="00CB2F0E" w:rsidP="00CB2F0E">
            <w:pPr>
              <w:numPr>
                <w:ilvl w:val="0"/>
                <w:numId w:val="1"/>
              </w:numPr>
            </w:pPr>
            <w:r w:rsidRPr="00B91012">
              <w:rPr>
                <w:lang w:val="en-GB"/>
              </w:rPr>
              <w:lastRenderedPageBreak/>
              <w:t>Performance of the Global Environment Facility’s network of agencies;</w:t>
            </w:r>
          </w:p>
        </w:tc>
        <w:tc>
          <w:tcPr>
            <w:tcW w:w="4675" w:type="dxa"/>
            <w:shd w:val="clear" w:color="auto" w:fill="auto"/>
          </w:tcPr>
          <w:p w14:paraId="22BF56E3" w14:textId="65192F69" w:rsidR="00CB2F0E" w:rsidRPr="00B91012" w:rsidRDefault="00CB2F0E" w:rsidP="00CB2F0E">
            <w:r w:rsidRPr="00B91012">
              <w:lastRenderedPageBreak/>
              <w:t>As part of its ongoing support to the implementation of the GEF-6 I</w:t>
            </w:r>
            <w:r w:rsidR="009D765B">
              <w:t xml:space="preserve">ntegrated Approach Pilots </w:t>
            </w:r>
            <w:r w:rsidRPr="00B91012">
              <w:t>and the formulation, development and implementation of the GEF-7 IPs, and other programmatic approaches, the GEF remains committed to improving all elements of design, management and implementation performance.</w:t>
            </w:r>
          </w:p>
          <w:p w14:paraId="2175017B" w14:textId="77777777" w:rsidR="00CB2F0E" w:rsidRPr="00B91012" w:rsidRDefault="00CB2F0E" w:rsidP="00CB2F0E">
            <w:pPr>
              <w:rPr>
                <w:lang w:val="en-GB"/>
              </w:rPr>
            </w:pPr>
          </w:p>
          <w:p w14:paraId="20C69C4F" w14:textId="77777777" w:rsidR="00CB2F0E" w:rsidRPr="00B91012" w:rsidRDefault="00CB2F0E" w:rsidP="00CB2F0E">
            <w:r w:rsidRPr="00B91012">
              <w:t>The GEF continues to make GEF-eligible countries aware of the processes and procedures that fall under the responsibility of the Conflict Resolution Commissioner.</w:t>
            </w:r>
          </w:p>
          <w:p w14:paraId="7E674741" w14:textId="77777777" w:rsidR="00CB2F0E" w:rsidRPr="00B91012" w:rsidRDefault="00CB2F0E" w:rsidP="00CB2F0E">
            <w:pPr>
              <w:rPr>
                <w:lang w:val="en-GB"/>
              </w:rPr>
            </w:pPr>
          </w:p>
          <w:p w14:paraId="5B259088" w14:textId="77777777" w:rsidR="00CB2F0E" w:rsidRPr="00B91012" w:rsidRDefault="00CB2F0E" w:rsidP="00CB2F0E">
            <w:r w:rsidRPr="00B91012">
              <w:t xml:space="preserve">The GEF remains committed to ensure sustainability of all its projects and programs, and </w:t>
            </w:r>
            <w:proofErr w:type="gramStart"/>
            <w:r w:rsidRPr="00B91012">
              <w:t>in particular GEF’s</w:t>
            </w:r>
            <w:proofErr w:type="gramEnd"/>
            <w:r w:rsidRPr="00B91012">
              <w:t xml:space="preserve"> support to sustainable financing of protected area systems, which remains a priority investment area in the GEF-7 biodiversity strategy. </w:t>
            </w:r>
          </w:p>
          <w:p w14:paraId="4B269E6D" w14:textId="77777777" w:rsidR="00CB2F0E" w:rsidRPr="00B91012" w:rsidRDefault="00CB2F0E" w:rsidP="00CB2F0E">
            <w:pPr>
              <w:rPr>
                <w:lang w:val="en-GB"/>
              </w:rPr>
            </w:pPr>
          </w:p>
          <w:p w14:paraId="2398A074" w14:textId="77777777" w:rsidR="00CB2F0E" w:rsidRPr="00B91012" w:rsidRDefault="00CB2F0E" w:rsidP="00CB2F0E">
            <w:r w:rsidRPr="00B91012">
              <w:t>The GEF continues to improve the efficiency and accountability of the GEF partnership using existing accounting and management mechanisms.</w:t>
            </w:r>
          </w:p>
          <w:p w14:paraId="3150485A" w14:textId="77777777" w:rsidR="00CB2F0E" w:rsidRPr="00B91012" w:rsidRDefault="00CB2F0E" w:rsidP="00CB2F0E">
            <w:pPr>
              <w:rPr>
                <w:lang w:val="en-GB"/>
              </w:rPr>
            </w:pPr>
          </w:p>
          <w:p w14:paraId="6FF45FBC" w14:textId="2239CEAE" w:rsidR="00CB2F0E" w:rsidRPr="00B91012" w:rsidRDefault="007D18C3" w:rsidP="00CB2F0E">
            <w:r w:rsidRPr="00B91012">
              <w:t xml:space="preserve">Section III </w:t>
            </w:r>
            <w:r w:rsidR="001A3273">
              <w:t xml:space="preserve">of this report </w:t>
            </w:r>
            <w:r w:rsidRPr="00B91012">
              <w:t>summarizes:</w:t>
            </w:r>
            <w:r w:rsidR="00CB2F0E" w:rsidRPr="00B91012">
              <w:t xml:space="preserve"> a) Progress in implementing the new co-financing policy; </w:t>
            </w:r>
            <w:r w:rsidR="00737DE6" w:rsidRPr="00B91012">
              <w:t xml:space="preserve">and b) </w:t>
            </w:r>
            <w:r w:rsidR="00CB2F0E" w:rsidRPr="00B91012">
              <w:t>Performance of the G</w:t>
            </w:r>
            <w:r w:rsidR="001A3273">
              <w:t>EF</w:t>
            </w:r>
            <w:r w:rsidR="00CB2F0E" w:rsidRPr="00B91012">
              <w:t>’s network of agencies.</w:t>
            </w:r>
          </w:p>
        </w:tc>
      </w:tr>
      <w:tr w:rsidR="00CB2F0E" w:rsidRPr="00CB2F0E" w14:paraId="1D8560C8" w14:textId="77777777" w:rsidTr="008354E6">
        <w:tc>
          <w:tcPr>
            <w:tcW w:w="4675" w:type="dxa"/>
            <w:shd w:val="clear" w:color="auto" w:fill="auto"/>
          </w:tcPr>
          <w:p w14:paraId="48620A74" w14:textId="77777777" w:rsidR="00CB2F0E" w:rsidRPr="009C6030" w:rsidRDefault="00CB2F0E" w:rsidP="00CB2F0E">
            <w:pPr>
              <w:rPr>
                <w:lang w:val="en-GB"/>
              </w:rPr>
            </w:pPr>
            <w:r w:rsidRPr="009C6030">
              <w:rPr>
                <w:i/>
                <w:iCs/>
                <w:lang w:val="en-GB"/>
              </w:rPr>
              <w:t>Encourages</w:t>
            </w:r>
            <w:r w:rsidRPr="009C6030">
              <w:rPr>
                <w:iCs/>
                <w:lang w:val="en-GB"/>
              </w:rPr>
              <w:t xml:space="preserve"> the Executive Secretary to work closely with the Global Environment Facility in the transition to the </w:t>
            </w:r>
            <w:r w:rsidRPr="009C6030">
              <w:rPr>
                <w:lang w:val="en-GB"/>
              </w:rPr>
              <w:t>post-2020 global biodiversity framework</w:t>
            </w:r>
            <w:r w:rsidRPr="009C6030">
              <w:rPr>
                <w:iCs/>
                <w:lang w:val="en-GB"/>
              </w:rPr>
              <w:t>;</w:t>
            </w:r>
          </w:p>
        </w:tc>
        <w:tc>
          <w:tcPr>
            <w:tcW w:w="4675" w:type="dxa"/>
            <w:shd w:val="clear" w:color="auto" w:fill="auto"/>
          </w:tcPr>
          <w:p w14:paraId="7437D8CF" w14:textId="2C6BA726" w:rsidR="00CB2F0E" w:rsidRPr="009C6030" w:rsidRDefault="00CB2F0E" w:rsidP="00CB2F0E">
            <w:pPr>
              <w:rPr>
                <w:iCs/>
                <w:lang w:val="en-GB"/>
              </w:rPr>
            </w:pPr>
            <w:r w:rsidRPr="00597952">
              <w:rPr>
                <w:lang w:val="en-GB"/>
              </w:rPr>
              <w:t>Since COP</w:t>
            </w:r>
            <w:r w:rsidR="00542212" w:rsidRPr="00597952">
              <w:rPr>
                <w:lang w:val="en-GB"/>
              </w:rPr>
              <w:t xml:space="preserve"> 14</w:t>
            </w:r>
            <w:r w:rsidRPr="00597952">
              <w:rPr>
                <w:lang w:val="en-GB"/>
              </w:rPr>
              <w:t xml:space="preserve">, the GEF has been actively engaged with the CBD on the transition to the post-2020 </w:t>
            </w:r>
            <w:r w:rsidR="003262DF" w:rsidRPr="00597952">
              <w:rPr>
                <w:lang w:val="en-GB"/>
              </w:rPr>
              <w:t>G</w:t>
            </w:r>
            <w:r w:rsidRPr="00597952">
              <w:rPr>
                <w:lang w:val="en-GB"/>
              </w:rPr>
              <w:t xml:space="preserve">lobal </w:t>
            </w:r>
            <w:r w:rsidR="003262DF" w:rsidRPr="00597952">
              <w:rPr>
                <w:lang w:val="en-GB"/>
              </w:rPr>
              <w:t>B</w:t>
            </w:r>
            <w:r w:rsidRPr="00597952">
              <w:rPr>
                <w:lang w:val="en-GB"/>
              </w:rPr>
              <w:t xml:space="preserve">iodiversity </w:t>
            </w:r>
            <w:r w:rsidR="003262DF" w:rsidRPr="00597952">
              <w:rPr>
                <w:lang w:val="en-GB"/>
              </w:rPr>
              <w:t>F</w:t>
            </w:r>
            <w:r w:rsidRPr="00597952">
              <w:rPr>
                <w:lang w:val="en-GB"/>
              </w:rPr>
              <w:t>ramework and GEF aims to continue this collaboration.</w:t>
            </w:r>
            <w:r w:rsidR="00300EB3" w:rsidRPr="00597952">
              <w:rPr>
                <w:lang w:val="en-GB"/>
              </w:rPr>
              <w:t xml:space="preserve"> GEF Secretariat staff have participated in </w:t>
            </w:r>
            <w:r w:rsidR="001348ED" w:rsidRPr="00597952">
              <w:rPr>
                <w:lang w:val="en-GB"/>
              </w:rPr>
              <w:t xml:space="preserve">the </w:t>
            </w:r>
            <w:r w:rsidR="00B12221" w:rsidRPr="00597952">
              <w:rPr>
                <w:lang w:val="en-GB"/>
              </w:rPr>
              <w:t>Regional Consultation on the Post-2020 Global Biodiversity Framework for</w:t>
            </w:r>
            <w:r w:rsidR="001348ED" w:rsidRPr="00597952">
              <w:rPr>
                <w:lang w:val="en-GB"/>
              </w:rPr>
              <w:t xml:space="preserve"> Asia-Pacific and </w:t>
            </w:r>
            <w:r w:rsidR="00B12221" w:rsidRPr="00597952">
              <w:rPr>
                <w:lang w:val="en-GB"/>
              </w:rPr>
              <w:t>Latin America and the Caribbean</w:t>
            </w:r>
            <w:r w:rsidR="001348ED" w:rsidRPr="00597952">
              <w:rPr>
                <w:lang w:val="en-GB"/>
              </w:rPr>
              <w:t xml:space="preserve"> sharing GEF’s experiences in supporting implementation of the CBD</w:t>
            </w:r>
            <w:r w:rsidR="00300EB3" w:rsidRPr="00597952">
              <w:rPr>
                <w:lang w:val="en-GB"/>
              </w:rPr>
              <w:t xml:space="preserve">. </w:t>
            </w:r>
            <w:r w:rsidR="003262DF" w:rsidRPr="00597952">
              <w:rPr>
                <w:lang w:val="en-GB"/>
              </w:rPr>
              <w:t>In addition, GEF Secretariat staff have attended the</w:t>
            </w:r>
            <w:r w:rsidR="00546B0D" w:rsidRPr="00597952">
              <w:rPr>
                <w:lang w:val="en-GB"/>
              </w:rPr>
              <w:t xml:space="preserve"> first and second meetings of the Open-ended Working Group (OEWG) on the Post-2020 Global Biodiversity Framework.</w:t>
            </w:r>
            <w:r w:rsidR="003262DF" w:rsidRPr="00597952">
              <w:rPr>
                <w:lang w:val="en-GB"/>
              </w:rPr>
              <w:t xml:space="preserve"> </w:t>
            </w:r>
            <w:r w:rsidR="00D26253" w:rsidRPr="00597952">
              <w:rPr>
                <w:lang w:val="en-GB"/>
              </w:rPr>
              <w:t>The Acting Executive Secretary attended the 57</w:t>
            </w:r>
            <w:r w:rsidR="00D26253" w:rsidRPr="00597952">
              <w:rPr>
                <w:vertAlign w:val="superscript"/>
                <w:lang w:val="en-GB"/>
              </w:rPr>
              <w:t>th</w:t>
            </w:r>
            <w:r w:rsidR="00D26253" w:rsidRPr="00597952">
              <w:rPr>
                <w:lang w:val="en-GB"/>
              </w:rPr>
              <w:t xml:space="preserve"> GEF Council in December 2019 and </w:t>
            </w:r>
            <w:r w:rsidR="00A3282C" w:rsidRPr="00597952">
              <w:rPr>
                <w:lang w:val="en-GB"/>
              </w:rPr>
              <w:t xml:space="preserve">presented to Council an overview of the </w:t>
            </w:r>
            <w:r w:rsidR="0001683E" w:rsidRPr="00597952">
              <w:rPr>
                <w:lang w:val="en-GB"/>
              </w:rPr>
              <w:t>post-2020 framework discussions.</w:t>
            </w:r>
            <w:r w:rsidR="00300EB3" w:rsidRPr="00597952">
              <w:rPr>
                <w:lang w:val="en-GB"/>
              </w:rPr>
              <w:t xml:space="preserve"> </w:t>
            </w:r>
            <w:r w:rsidR="0096351B" w:rsidRPr="00597952">
              <w:rPr>
                <w:lang w:val="en-GB"/>
              </w:rPr>
              <w:t>One</w:t>
            </w:r>
            <w:r w:rsidR="00300EB3" w:rsidRPr="00597952">
              <w:rPr>
                <w:lang w:val="en-GB"/>
              </w:rPr>
              <w:t xml:space="preserve"> of the co-chairs of the OEWG </w:t>
            </w:r>
            <w:r w:rsidR="0001683E" w:rsidRPr="00597952">
              <w:rPr>
                <w:lang w:val="en-GB"/>
              </w:rPr>
              <w:t xml:space="preserve">also </w:t>
            </w:r>
            <w:r w:rsidR="00300EB3" w:rsidRPr="00597952">
              <w:rPr>
                <w:lang w:val="en-GB"/>
              </w:rPr>
              <w:t xml:space="preserve">presented a summary of progress to date by the OEWG </w:t>
            </w:r>
            <w:r w:rsidR="00546B0D" w:rsidRPr="00597952">
              <w:rPr>
                <w:lang w:val="en-GB"/>
              </w:rPr>
              <w:t xml:space="preserve">in developing the zero draft of the Global Biodiversity Framework </w:t>
            </w:r>
            <w:r w:rsidR="00300EB3" w:rsidRPr="00597952">
              <w:rPr>
                <w:lang w:val="en-GB"/>
              </w:rPr>
              <w:t>at the 57</w:t>
            </w:r>
            <w:r w:rsidR="00300EB3" w:rsidRPr="00597952">
              <w:rPr>
                <w:vertAlign w:val="superscript"/>
                <w:lang w:val="en-GB"/>
              </w:rPr>
              <w:t>th</w:t>
            </w:r>
            <w:r w:rsidR="00300EB3" w:rsidRPr="00597952">
              <w:rPr>
                <w:lang w:val="en-GB"/>
              </w:rPr>
              <w:t xml:space="preserve"> </w:t>
            </w:r>
            <w:r w:rsidR="00976B54" w:rsidRPr="00597952">
              <w:rPr>
                <w:lang w:val="en-GB"/>
              </w:rPr>
              <w:t xml:space="preserve">GEF </w:t>
            </w:r>
            <w:r w:rsidR="00300EB3" w:rsidRPr="00597952">
              <w:rPr>
                <w:lang w:val="en-GB"/>
              </w:rPr>
              <w:t>Council</w:t>
            </w:r>
            <w:r w:rsidR="009F2933" w:rsidRPr="00597952">
              <w:rPr>
                <w:lang w:val="en-GB"/>
              </w:rPr>
              <w:t>.</w:t>
            </w:r>
            <w:r w:rsidR="009C6030" w:rsidRPr="00597952">
              <w:rPr>
                <w:lang w:val="en-GB"/>
              </w:rPr>
              <w:t xml:space="preserve"> GEF Secretariat communicates </w:t>
            </w:r>
            <w:r w:rsidR="005B147E" w:rsidRPr="00597952">
              <w:rPr>
                <w:lang w:val="en-GB"/>
              </w:rPr>
              <w:t>and collaborate</w:t>
            </w:r>
            <w:r w:rsidR="00A83FA0" w:rsidRPr="00597952">
              <w:rPr>
                <w:lang w:val="en-GB"/>
              </w:rPr>
              <w:t>s</w:t>
            </w:r>
            <w:r w:rsidR="005B147E" w:rsidRPr="00597952">
              <w:rPr>
                <w:lang w:val="en-GB"/>
              </w:rPr>
              <w:t xml:space="preserve"> on an ongoing basis </w:t>
            </w:r>
            <w:r w:rsidR="009C6030" w:rsidRPr="00597952">
              <w:rPr>
                <w:lang w:val="en-GB"/>
              </w:rPr>
              <w:t xml:space="preserve">with the CBD Secretariat </w:t>
            </w:r>
            <w:r w:rsidR="005B147E" w:rsidRPr="00597952">
              <w:rPr>
                <w:lang w:val="en-GB"/>
              </w:rPr>
              <w:t xml:space="preserve">and the Executive Secretary </w:t>
            </w:r>
            <w:r w:rsidR="009C6030" w:rsidRPr="00597952">
              <w:rPr>
                <w:lang w:val="en-GB"/>
              </w:rPr>
              <w:t>in the context of this process</w:t>
            </w:r>
            <w:r w:rsidR="005B147E" w:rsidRPr="00597952">
              <w:rPr>
                <w:lang w:val="en-GB"/>
              </w:rPr>
              <w:t>.</w:t>
            </w:r>
          </w:p>
        </w:tc>
      </w:tr>
    </w:tbl>
    <w:p w14:paraId="5A0BC304" w14:textId="3B3C7B80" w:rsidR="00896124" w:rsidRDefault="00896124" w:rsidP="00FD5D1A">
      <w:pPr>
        <w:rPr>
          <w:lang w:val="en-GB"/>
        </w:rPr>
      </w:pPr>
      <w:bookmarkStart w:id="44" w:name="_Hlk26275865"/>
      <w:bookmarkEnd w:id="1"/>
      <w:bookmarkEnd w:id="2"/>
    </w:p>
    <w:p w14:paraId="5C13B37F" w14:textId="77777777" w:rsidR="00822B60" w:rsidRDefault="00822B60" w:rsidP="00822B60">
      <w:pPr>
        <w:spacing w:after="0"/>
        <w:rPr>
          <w:lang w:val="en-GB"/>
        </w:rPr>
      </w:pPr>
    </w:p>
    <w:p w14:paraId="355A13A0" w14:textId="2C768652" w:rsidR="00F0526E" w:rsidRPr="00F354D2" w:rsidRDefault="00737DE6" w:rsidP="000C09D1">
      <w:pPr>
        <w:pStyle w:val="Heading1"/>
        <w:numPr>
          <w:ilvl w:val="0"/>
          <w:numId w:val="27"/>
        </w:numPr>
      </w:pPr>
      <w:bookmarkStart w:id="45" w:name="_Toc32494931"/>
      <w:r w:rsidRPr="00F354D2">
        <w:t>Portfolio Implementation</w:t>
      </w:r>
      <w:bookmarkEnd w:id="45"/>
      <w:r w:rsidRPr="00F354D2">
        <w:t xml:space="preserve"> </w:t>
      </w:r>
      <w:bookmarkEnd w:id="44"/>
    </w:p>
    <w:p w14:paraId="3CC5A3A4" w14:textId="5256DD9B" w:rsidR="004F0D75" w:rsidRPr="004F0D75" w:rsidRDefault="004F0D75" w:rsidP="000C09D1">
      <w:pPr>
        <w:pStyle w:val="Heading2"/>
      </w:pPr>
      <w:bookmarkStart w:id="46" w:name="_Toc32494932"/>
      <w:r>
        <w:t xml:space="preserve">Achieving </w:t>
      </w:r>
      <w:r w:rsidR="0086317A">
        <w:t>P</w:t>
      </w:r>
      <w:r>
        <w:t xml:space="preserve">roject </w:t>
      </w:r>
      <w:r w:rsidR="00F0526E">
        <w:t>D</w:t>
      </w:r>
      <w:r>
        <w:t xml:space="preserve">evelopment </w:t>
      </w:r>
      <w:r w:rsidR="00F0526E">
        <w:t>O</w:t>
      </w:r>
      <w:r>
        <w:t xml:space="preserve">bjectives and </w:t>
      </w:r>
      <w:r w:rsidR="00F0526E">
        <w:t>I</w:t>
      </w:r>
      <w:r>
        <w:t xml:space="preserve">mplementation </w:t>
      </w:r>
      <w:r w:rsidR="00F0526E">
        <w:t>Progress</w:t>
      </w:r>
      <w:bookmarkEnd w:id="46"/>
    </w:p>
    <w:p w14:paraId="04F78AC3" w14:textId="77777777" w:rsidR="0049708B" w:rsidRDefault="006257F6" w:rsidP="00FF3B4A">
      <w:pPr>
        <w:pStyle w:val="ListParagraph"/>
        <w:numPr>
          <w:ilvl w:val="0"/>
          <w:numId w:val="25"/>
        </w:numPr>
        <w:spacing w:before="240" w:after="240" w:line="240" w:lineRule="auto"/>
        <w:ind w:left="0" w:firstLine="0"/>
        <w:contextualSpacing w:val="0"/>
        <w:rPr>
          <w:rFonts w:eastAsia="Times New Roman" w:cstheme="minorHAnsi"/>
          <w:noProof/>
          <w:color w:val="000000"/>
          <w:sz w:val="24"/>
          <w:szCs w:val="24"/>
        </w:rPr>
      </w:pPr>
      <w:r w:rsidRPr="006257F6">
        <w:rPr>
          <w:rFonts w:eastAsia="Times New Roman" w:cstheme="minorHAnsi"/>
          <w:noProof/>
          <w:color w:val="000000"/>
          <w:sz w:val="24"/>
          <w:szCs w:val="24"/>
        </w:rPr>
        <w:t>Agencies self-rate the</w:t>
      </w:r>
      <w:r w:rsidR="009D765B">
        <w:rPr>
          <w:rFonts w:eastAsia="Times New Roman" w:cstheme="minorHAnsi"/>
          <w:noProof/>
          <w:color w:val="000000"/>
          <w:sz w:val="24"/>
          <w:szCs w:val="24"/>
        </w:rPr>
        <w:t xml:space="preserve"> </w:t>
      </w:r>
      <w:r w:rsidRPr="006257F6">
        <w:rPr>
          <w:rFonts w:eastAsia="Times New Roman" w:cstheme="minorHAnsi"/>
          <w:noProof/>
          <w:color w:val="000000"/>
          <w:sz w:val="24"/>
          <w:szCs w:val="24"/>
        </w:rPr>
        <w:t>dimensions</w:t>
      </w:r>
      <w:r w:rsidR="009D765B">
        <w:rPr>
          <w:rFonts w:eastAsia="Times New Roman" w:cstheme="minorHAnsi"/>
          <w:noProof/>
          <w:color w:val="000000"/>
          <w:sz w:val="24"/>
          <w:szCs w:val="24"/>
        </w:rPr>
        <w:t xml:space="preserve"> of achieving </w:t>
      </w:r>
      <w:r w:rsidR="009D765B" w:rsidRPr="0050139A">
        <w:rPr>
          <w:rFonts w:eastAsia="Times New Roman" w:cstheme="minorHAnsi"/>
          <w:i/>
          <w:noProof/>
          <w:color w:val="000000"/>
          <w:sz w:val="24"/>
          <w:szCs w:val="24"/>
        </w:rPr>
        <w:t>project development objectives</w:t>
      </w:r>
      <w:r w:rsidR="009D765B">
        <w:rPr>
          <w:rFonts w:eastAsia="Times New Roman" w:cstheme="minorHAnsi"/>
          <w:noProof/>
          <w:color w:val="000000"/>
          <w:sz w:val="24"/>
          <w:szCs w:val="24"/>
        </w:rPr>
        <w:t xml:space="preserve"> and </w:t>
      </w:r>
      <w:r w:rsidR="009D765B" w:rsidRPr="0050139A">
        <w:rPr>
          <w:rFonts w:eastAsia="Times New Roman" w:cstheme="minorHAnsi"/>
          <w:i/>
          <w:noProof/>
          <w:color w:val="000000"/>
          <w:sz w:val="24"/>
          <w:szCs w:val="24"/>
        </w:rPr>
        <w:t>implementation progress</w:t>
      </w:r>
      <w:r w:rsidRPr="0050139A">
        <w:rPr>
          <w:rFonts w:eastAsia="Times New Roman" w:cstheme="minorHAnsi"/>
          <w:i/>
          <w:noProof/>
          <w:color w:val="000000"/>
          <w:sz w:val="24"/>
          <w:szCs w:val="24"/>
        </w:rPr>
        <w:t xml:space="preserve"> each</w:t>
      </w:r>
      <w:r w:rsidRPr="006257F6">
        <w:rPr>
          <w:rFonts w:eastAsia="Times New Roman" w:cstheme="minorHAnsi"/>
          <w:noProof/>
          <w:color w:val="000000"/>
          <w:sz w:val="24"/>
          <w:szCs w:val="24"/>
        </w:rPr>
        <w:t xml:space="preserve"> year in Project implementation reports (PIR), in line with the 2010 GEF Monitoring and Evaluation Policy, followed by the recent GEF Monitoring Policy</w:t>
      </w:r>
      <w:r w:rsidRPr="006257F6">
        <w:rPr>
          <w:rFonts w:eastAsia="Times New Roman" w:cstheme="minorHAnsi"/>
          <w:noProof/>
          <w:color w:val="000000"/>
          <w:sz w:val="24"/>
          <w:szCs w:val="24"/>
          <w:vertAlign w:val="superscript"/>
        </w:rPr>
        <w:footnoteReference w:id="21"/>
      </w:r>
      <w:r w:rsidRPr="006257F6">
        <w:rPr>
          <w:rFonts w:eastAsia="Times New Roman" w:cstheme="minorHAnsi"/>
          <w:noProof/>
          <w:color w:val="000000"/>
          <w:sz w:val="24"/>
          <w:szCs w:val="24"/>
        </w:rPr>
        <w:t xml:space="preserve">.  While following GEF Policy, agencies also use their own standards and guidelines when rating projects. </w:t>
      </w:r>
      <w:r w:rsidR="00745611">
        <w:rPr>
          <w:rFonts w:eastAsia="Times New Roman" w:cstheme="minorHAnsi"/>
          <w:noProof/>
          <w:color w:val="000000"/>
          <w:sz w:val="24"/>
          <w:szCs w:val="24"/>
        </w:rPr>
        <w:t xml:space="preserve"> </w:t>
      </w:r>
    </w:p>
    <w:p w14:paraId="6BC78A66" w14:textId="0968C0B2" w:rsidR="00AA7AA8" w:rsidRPr="002C0617" w:rsidRDefault="00745611" w:rsidP="00AA7AA8">
      <w:pPr>
        <w:spacing w:before="240" w:after="240" w:line="252" w:lineRule="auto"/>
        <w:rPr>
          <w:rFonts w:eastAsia="Times New Roman" w:cstheme="minorHAnsi"/>
          <w:i/>
          <w:noProof/>
          <w:color w:val="000000"/>
          <w:sz w:val="24"/>
          <w:szCs w:val="24"/>
        </w:rPr>
      </w:pPr>
      <w:r w:rsidRPr="002C0617">
        <w:rPr>
          <w:rFonts w:eastAsia="Times New Roman" w:cstheme="minorHAnsi"/>
          <w:i/>
          <w:color w:val="000000"/>
          <w:sz w:val="24"/>
          <w:szCs w:val="24"/>
        </w:rPr>
        <w:lastRenderedPageBreak/>
        <w:t xml:space="preserve">The following information in all tables </w:t>
      </w:r>
      <w:r w:rsidR="0049708B" w:rsidRPr="002C0617">
        <w:rPr>
          <w:rFonts w:eastAsia="Times New Roman" w:cstheme="minorHAnsi"/>
          <w:i/>
          <w:noProof/>
          <w:color w:val="000000"/>
          <w:sz w:val="24"/>
          <w:szCs w:val="24"/>
        </w:rPr>
        <w:t>and figures</w:t>
      </w:r>
      <w:r w:rsidRPr="002C0617">
        <w:rPr>
          <w:rFonts w:eastAsia="Times New Roman" w:cstheme="minorHAnsi"/>
          <w:i/>
          <w:noProof/>
          <w:color w:val="000000"/>
          <w:sz w:val="24"/>
          <w:szCs w:val="24"/>
        </w:rPr>
        <w:t xml:space="preserve"> </w:t>
      </w:r>
      <w:r w:rsidRPr="002C0617">
        <w:rPr>
          <w:rFonts w:eastAsia="Times New Roman" w:cstheme="minorHAnsi"/>
          <w:i/>
          <w:color w:val="000000"/>
          <w:sz w:val="24"/>
          <w:szCs w:val="24"/>
        </w:rPr>
        <w:t>is derived from</w:t>
      </w:r>
      <w:r w:rsidR="00E02360" w:rsidRPr="002C0617">
        <w:rPr>
          <w:rFonts w:eastAsia="Times New Roman" w:cstheme="minorHAnsi"/>
          <w:i/>
          <w:color w:val="000000"/>
          <w:sz w:val="24"/>
          <w:szCs w:val="24"/>
        </w:rPr>
        <w:t xml:space="preserve"> the GEF’s</w:t>
      </w:r>
      <w:r w:rsidR="00AA7AA8" w:rsidRPr="002C0617">
        <w:rPr>
          <w:rFonts w:eastAsia="Times New Roman" w:cstheme="minorHAnsi"/>
          <w:i/>
          <w:color w:val="000000"/>
          <w:sz w:val="24"/>
          <w:szCs w:val="24"/>
        </w:rPr>
        <w:t xml:space="preserve"> active portfolio</w:t>
      </w:r>
      <w:r w:rsidR="000B1AB8" w:rsidRPr="002C0617">
        <w:rPr>
          <w:rFonts w:eastAsia="Times New Roman" w:cstheme="minorHAnsi"/>
          <w:i/>
          <w:color w:val="000000"/>
          <w:sz w:val="24"/>
          <w:szCs w:val="24"/>
        </w:rPr>
        <w:t xml:space="preserve"> in fiscal year 2019,</w:t>
      </w:r>
      <w:r w:rsidR="00AA7AA8" w:rsidRPr="002C0617">
        <w:rPr>
          <w:rFonts w:eastAsia="Times New Roman" w:cstheme="minorHAnsi"/>
          <w:i/>
          <w:color w:val="000000"/>
          <w:sz w:val="24"/>
          <w:szCs w:val="24"/>
        </w:rPr>
        <w:t xml:space="preserve"> which consists of 923 projects from GEF3-GEF6</w:t>
      </w:r>
      <w:r w:rsidR="000E75A8" w:rsidRPr="002C0617">
        <w:rPr>
          <w:rFonts w:eastAsia="Times New Roman" w:cstheme="minorHAnsi"/>
          <w:i/>
          <w:color w:val="000000"/>
          <w:sz w:val="24"/>
          <w:szCs w:val="24"/>
        </w:rPr>
        <w:t>, unless noted otherwise.</w:t>
      </w:r>
      <w:r w:rsidR="00532EF3">
        <w:rPr>
          <w:rFonts w:eastAsia="Times New Roman" w:cstheme="minorHAnsi"/>
          <w:i/>
          <w:color w:val="000000"/>
          <w:sz w:val="24"/>
          <w:szCs w:val="24"/>
        </w:rPr>
        <w:t xml:space="preserve">  The active portfolio </w:t>
      </w:r>
      <w:r w:rsidR="006A21EC">
        <w:rPr>
          <w:rFonts w:eastAsia="Times New Roman" w:cstheme="minorHAnsi"/>
          <w:i/>
          <w:color w:val="000000"/>
          <w:sz w:val="24"/>
          <w:szCs w:val="24"/>
        </w:rPr>
        <w:t>is composed of</w:t>
      </w:r>
      <w:r w:rsidR="00532EF3">
        <w:rPr>
          <w:rFonts w:eastAsia="Times New Roman" w:cstheme="minorHAnsi"/>
          <w:i/>
          <w:color w:val="000000"/>
          <w:sz w:val="24"/>
          <w:szCs w:val="24"/>
        </w:rPr>
        <w:t xml:space="preserve"> projects that are currently under implementation</w:t>
      </w:r>
      <w:r w:rsidR="006A21EC">
        <w:rPr>
          <w:rFonts w:eastAsia="Times New Roman" w:cstheme="minorHAnsi"/>
          <w:i/>
          <w:color w:val="000000"/>
          <w:sz w:val="24"/>
          <w:szCs w:val="24"/>
        </w:rPr>
        <w:t>.</w:t>
      </w:r>
    </w:p>
    <w:p w14:paraId="00E64EEE" w14:textId="5DB0042A" w:rsidR="006A21EC" w:rsidRPr="002C0617" w:rsidRDefault="0050139A" w:rsidP="00FF3B4A">
      <w:pPr>
        <w:pStyle w:val="ListParagraph"/>
        <w:numPr>
          <w:ilvl w:val="0"/>
          <w:numId w:val="25"/>
        </w:numPr>
        <w:spacing w:before="240" w:after="240" w:line="240" w:lineRule="auto"/>
        <w:ind w:left="0" w:firstLine="0"/>
        <w:contextualSpacing w:val="0"/>
        <w:rPr>
          <w:rFonts w:eastAsia="Times New Roman" w:cstheme="minorHAnsi"/>
          <w:noProof/>
          <w:color w:val="000000"/>
          <w:sz w:val="24"/>
          <w:szCs w:val="24"/>
        </w:rPr>
      </w:pPr>
      <w:r w:rsidRPr="002C0617">
        <w:rPr>
          <w:rFonts w:eastAsia="Times New Roman" w:cstheme="minorHAnsi"/>
          <w:noProof/>
          <w:color w:val="000000"/>
          <w:sz w:val="24"/>
          <w:szCs w:val="24"/>
        </w:rPr>
        <w:t xml:space="preserve">Performance of GEF </w:t>
      </w:r>
      <w:r w:rsidR="006257F6" w:rsidRPr="002C0617">
        <w:rPr>
          <w:rFonts w:eastAsia="Times New Roman" w:cstheme="minorHAnsi"/>
          <w:noProof/>
          <w:color w:val="000000"/>
          <w:sz w:val="24"/>
          <w:szCs w:val="24"/>
        </w:rPr>
        <w:t>operations</w:t>
      </w:r>
      <w:r w:rsidRPr="002C0617">
        <w:rPr>
          <w:rFonts w:eastAsia="Times New Roman" w:cstheme="minorHAnsi"/>
          <w:noProof/>
          <w:color w:val="000000"/>
          <w:sz w:val="24"/>
          <w:szCs w:val="24"/>
        </w:rPr>
        <w:t xml:space="preserve"> across </w:t>
      </w:r>
      <w:r w:rsidRPr="002C0617">
        <w:rPr>
          <w:rFonts w:eastAsia="Times New Roman" w:cstheme="minorHAnsi"/>
          <w:i/>
          <w:noProof/>
          <w:color w:val="000000"/>
          <w:sz w:val="24"/>
          <w:szCs w:val="24"/>
        </w:rPr>
        <w:t>all focal areas</w:t>
      </w:r>
      <w:r w:rsidR="00745611" w:rsidRPr="002C0617">
        <w:rPr>
          <w:rFonts w:eastAsia="Times New Roman" w:cstheme="minorHAnsi"/>
          <w:i/>
          <w:noProof/>
          <w:color w:val="000000"/>
          <w:sz w:val="24"/>
          <w:szCs w:val="24"/>
        </w:rPr>
        <w:t xml:space="preserve"> </w:t>
      </w:r>
      <w:r w:rsidR="00BA67BC" w:rsidRPr="002C0617">
        <w:rPr>
          <w:rFonts w:eastAsia="Times New Roman" w:cstheme="minorHAnsi"/>
          <w:noProof/>
          <w:color w:val="000000"/>
          <w:sz w:val="24"/>
          <w:szCs w:val="24"/>
        </w:rPr>
        <w:t>is</w:t>
      </w:r>
      <w:r w:rsidRPr="002C0617">
        <w:rPr>
          <w:rFonts w:eastAsia="Times New Roman" w:cstheme="minorHAnsi"/>
          <w:noProof/>
          <w:color w:val="000000"/>
          <w:sz w:val="24"/>
          <w:szCs w:val="24"/>
        </w:rPr>
        <w:t xml:space="preserve"> depicted in Figure 1 below. </w:t>
      </w:r>
      <w:r w:rsidR="006257F6" w:rsidRPr="002C0617">
        <w:rPr>
          <w:rFonts w:eastAsia="Times New Roman" w:cstheme="minorHAnsi"/>
          <w:noProof/>
          <w:color w:val="000000"/>
          <w:sz w:val="24"/>
          <w:szCs w:val="24"/>
        </w:rPr>
        <w:t xml:space="preserve"> </w:t>
      </w:r>
    </w:p>
    <w:p w14:paraId="1F56286C" w14:textId="57C01106" w:rsidR="006257F6" w:rsidRDefault="006257F6" w:rsidP="004700CD">
      <w:pPr>
        <w:spacing w:before="240" w:after="240" w:line="240" w:lineRule="auto"/>
        <w:jc w:val="center"/>
        <w:rPr>
          <w:rFonts w:eastAsiaTheme="minorEastAsia"/>
          <w:b/>
          <w:sz w:val="24"/>
          <w:szCs w:val="24"/>
        </w:rPr>
      </w:pPr>
      <w:bookmarkStart w:id="48" w:name="_Toc25257623"/>
      <w:r w:rsidRPr="002C0617">
        <w:rPr>
          <w:rFonts w:eastAsiaTheme="minorEastAsia"/>
          <w:b/>
          <w:sz w:val="24"/>
          <w:szCs w:val="24"/>
        </w:rPr>
        <w:t xml:space="preserve">Figure </w:t>
      </w:r>
      <w:r w:rsidR="0050139A" w:rsidRPr="002C0617">
        <w:rPr>
          <w:rFonts w:eastAsiaTheme="minorEastAsia"/>
          <w:b/>
          <w:sz w:val="24"/>
          <w:szCs w:val="24"/>
        </w:rPr>
        <w:t>1</w:t>
      </w:r>
      <w:r w:rsidRPr="002C0617">
        <w:rPr>
          <w:rFonts w:eastAsiaTheme="minorEastAsia"/>
          <w:b/>
          <w:sz w:val="24"/>
          <w:szCs w:val="24"/>
        </w:rPr>
        <w:t xml:space="preserve">. Development objective and </w:t>
      </w:r>
      <w:r w:rsidR="0050139A" w:rsidRPr="002C0617">
        <w:rPr>
          <w:rFonts w:eastAsiaTheme="minorEastAsia"/>
          <w:b/>
          <w:sz w:val="24"/>
          <w:szCs w:val="24"/>
        </w:rPr>
        <w:t>i</w:t>
      </w:r>
      <w:r w:rsidRPr="002C0617">
        <w:rPr>
          <w:rFonts w:eastAsiaTheme="minorEastAsia"/>
          <w:b/>
          <w:sz w:val="24"/>
          <w:szCs w:val="24"/>
        </w:rPr>
        <w:t>mplementation progress ratings</w:t>
      </w:r>
      <w:bookmarkEnd w:id="48"/>
      <w:r w:rsidR="0050139A" w:rsidRPr="002C0617">
        <w:rPr>
          <w:rFonts w:eastAsiaTheme="minorEastAsia"/>
          <w:b/>
          <w:sz w:val="24"/>
          <w:szCs w:val="24"/>
        </w:rPr>
        <w:t xml:space="preserve"> </w:t>
      </w:r>
      <w:r w:rsidR="00FD02A3" w:rsidRPr="002C0617">
        <w:rPr>
          <w:rFonts w:eastAsiaTheme="minorEastAsia"/>
          <w:b/>
          <w:sz w:val="24"/>
          <w:szCs w:val="24"/>
        </w:rPr>
        <w:t xml:space="preserve">for </w:t>
      </w:r>
      <w:r w:rsidR="007004DB" w:rsidRPr="002C0617">
        <w:rPr>
          <w:rFonts w:eastAsiaTheme="minorEastAsia"/>
          <w:b/>
          <w:sz w:val="24"/>
          <w:szCs w:val="24"/>
        </w:rPr>
        <w:t>A</w:t>
      </w:r>
      <w:r w:rsidR="00C654D4" w:rsidRPr="002C0617">
        <w:rPr>
          <w:rFonts w:eastAsiaTheme="minorEastAsia"/>
          <w:b/>
          <w:sz w:val="24"/>
          <w:szCs w:val="24"/>
        </w:rPr>
        <w:t xml:space="preserve">ctive GEF Portfolio </w:t>
      </w:r>
      <w:r w:rsidR="0050139A" w:rsidRPr="002C0617">
        <w:rPr>
          <w:rFonts w:eastAsiaTheme="minorEastAsia"/>
          <w:b/>
          <w:sz w:val="24"/>
          <w:szCs w:val="24"/>
        </w:rPr>
        <w:t>across all focal areas</w:t>
      </w:r>
      <w:r w:rsidR="007004DB" w:rsidRPr="002C0617">
        <w:rPr>
          <w:rFonts w:eastAsiaTheme="minorEastAsia"/>
          <w:b/>
          <w:sz w:val="24"/>
          <w:szCs w:val="24"/>
        </w:rPr>
        <w:t xml:space="preserve"> (fiscal year 2019)</w:t>
      </w:r>
    </w:p>
    <w:p w14:paraId="0ADE6DC9" w14:textId="1D18E383" w:rsidR="00620580" w:rsidRDefault="00620580" w:rsidP="00B312AC">
      <w:pPr>
        <w:spacing w:after="0" w:line="240" w:lineRule="auto"/>
        <w:jc w:val="center"/>
        <w:rPr>
          <w:rFonts w:eastAsiaTheme="minorEastAsia"/>
          <w:b/>
          <w:sz w:val="24"/>
          <w:szCs w:val="24"/>
        </w:rPr>
      </w:pPr>
      <w:r>
        <w:rPr>
          <w:noProof/>
        </w:rPr>
        <w:drawing>
          <wp:inline distT="0" distB="0" distL="0" distR="0" wp14:anchorId="14589BEF" wp14:editId="3C7994BC">
            <wp:extent cx="4914900" cy="2628900"/>
            <wp:effectExtent l="0" t="0" r="0" b="0"/>
            <wp:docPr id="1" name="Chart 1">
              <a:extLst xmlns:a="http://schemas.openxmlformats.org/drawingml/2006/main">
                <a:ext uri="{FF2B5EF4-FFF2-40B4-BE49-F238E27FC236}">
                  <a16:creationId xmlns:a16="http://schemas.microsoft.com/office/drawing/2014/main" id="{473D80E4-EBD2-4870-92A0-16FDC010CF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DCE936" w14:textId="5BEBA78A" w:rsidR="002A31BF" w:rsidRDefault="002A31BF" w:rsidP="004E7711">
      <w:pPr>
        <w:spacing w:after="0" w:line="240" w:lineRule="auto"/>
        <w:rPr>
          <w:rFonts w:eastAsiaTheme="minorEastAsia"/>
          <w:b/>
          <w:sz w:val="24"/>
          <w:szCs w:val="24"/>
        </w:rPr>
      </w:pPr>
    </w:p>
    <w:p w14:paraId="7A873AB0" w14:textId="145A2345" w:rsidR="002A31BF" w:rsidRDefault="002A31BF" w:rsidP="00B312AC">
      <w:pPr>
        <w:spacing w:after="0" w:line="240" w:lineRule="auto"/>
        <w:jc w:val="center"/>
        <w:rPr>
          <w:rFonts w:eastAsiaTheme="minorEastAsia"/>
          <w:b/>
          <w:sz w:val="24"/>
          <w:szCs w:val="24"/>
        </w:rPr>
      </w:pPr>
      <w:r>
        <w:rPr>
          <w:noProof/>
        </w:rPr>
        <w:drawing>
          <wp:inline distT="0" distB="0" distL="0" distR="0" wp14:anchorId="6107CA62" wp14:editId="269ABDA6">
            <wp:extent cx="5562599" cy="3057525"/>
            <wp:effectExtent l="0" t="0" r="635" b="0"/>
            <wp:docPr id="5" name="Chart 5">
              <a:extLst xmlns:a="http://schemas.openxmlformats.org/drawingml/2006/main">
                <a:ext uri="{FF2B5EF4-FFF2-40B4-BE49-F238E27FC236}">
                  <a16:creationId xmlns:a16="http://schemas.microsoft.com/office/drawing/2014/main" id="{4421E14E-B7B7-47E4-94F6-260FB27746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843719" w14:textId="3EB1507F" w:rsidR="000C3E78" w:rsidRPr="00B11155" w:rsidRDefault="000C3E78" w:rsidP="006257F6">
      <w:pPr>
        <w:spacing w:after="0" w:line="240" w:lineRule="auto"/>
        <w:jc w:val="center"/>
        <w:rPr>
          <w:rFonts w:eastAsiaTheme="minorEastAsia" w:cstheme="minorHAnsi"/>
          <w:b/>
          <w:bCs/>
          <w:i/>
          <w:sz w:val="24"/>
          <w:szCs w:val="24"/>
        </w:rPr>
      </w:pPr>
    </w:p>
    <w:p w14:paraId="15F5DC04" w14:textId="1A5AAECD" w:rsidR="00B312AC" w:rsidRDefault="0050139A" w:rsidP="00FF3B4A">
      <w:pPr>
        <w:pStyle w:val="ListParagraph"/>
        <w:numPr>
          <w:ilvl w:val="0"/>
          <w:numId w:val="25"/>
        </w:numPr>
        <w:spacing w:before="240" w:after="240" w:line="240" w:lineRule="auto"/>
        <w:ind w:left="0" w:firstLine="0"/>
        <w:contextualSpacing w:val="0"/>
        <w:rPr>
          <w:rFonts w:cstheme="minorHAnsi"/>
          <w:sz w:val="24"/>
          <w:szCs w:val="24"/>
        </w:rPr>
      </w:pPr>
      <w:r>
        <w:rPr>
          <w:rFonts w:cstheme="minorHAnsi"/>
          <w:sz w:val="24"/>
          <w:szCs w:val="24"/>
        </w:rPr>
        <w:t xml:space="preserve">Figure </w:t>
      </w:r>
      <w:r w:rsidR="004A76B5">
        <w:rPr>
          <w:rFonts w:cstheme="minorHAnsi"/>
          <w:sz w:val="24"/>
          <w:szCs w:val="24"/>
        </w:rPr>
        <w:t>2</w:t>
      </w:r>
      <w:r>
        <w:rPr>
          <w:rFonts w:cstheme="minorHAnsi"/>
          <w:sz w:val="24"/>
          <w:szCs w:val="24"/>
        </w:rPr>
        <w:t xml:space="preserve"> presents </w:t>
      </w:r>
      <w:r w:rsidR="004E7711">
        <w:rPr>
          <w:rFonts w:cstheme="minorHAnsi"/>
          <w:sz w:val="24"/>
          <w:szCs w:val="24"/>
        </w:rPr>
        <w:t xml:space="preserve">the share of </w:t>
      </w:r>
      <w:r>
        <w:rPr>
          <w:rFonts w:cstheme="minorHAnsi"/>
          <w:sz w:val="24"/>
          <w:szCs w:val="24"/>
        </w:rPr>
        <w:t xml:space="preserve">focal area projects </w:t>
      </w:r>
      <w:r w:rsidR="004E7711">
        <w:rPr>
          <w:rFonts w:cstheme="minorHAnsi"/>
          <w:sz w:val="24"/>
          <w:szCs w:val="24"/>
        </w:rPr>
        <w:t>achieving satisfactory performance</w:t>
      </w:r>
      <w:r>
        <w:rPr>
          <w:rFonts w:cstheme="minorHAnsi"/>
          <w:sz w:val="24"/>
          <w:szCs w:val="24"/>
        </w:rPr>
        <w:t xml:space="preserve">. Eighty-four percent of the biodiversity project cohort currently under implementation during </w:t>
      </w:r>
      <w:r>
        <w:rPr>
          <w:rFonts w:cstheme="minorHAnsi"/>
          <w:sz w:val="24"/>
          <w:szCs w:val="24"/>
        </w:rPr>
        <w:lastRenderedPageBreak/>
        <w:t xml:space="preserve">the reporting period </w:t>
      </w:r>
      <w:r w:rsidR="004E7711">
        <w:rPr>
          <w:rFonts w:cstheme="minorHAnsi"/>
          <w:sz w:val="24"/>
          <w:szCs w:val="24"/>
        </w:rPr>
        <w:t xml:space="preserve">have been rated as </w:t>
      </w:r>
      <w:r w:rsidR="00EC7F53">
        <w:rPr>
          <w:rFonts w:cstheme="minorHAnsi"/>
          <w:sz w:val="24"/>
          <w:szCs w:val="24"/>
        </w:rPr>
        <w:t xml:space="preserve">moderately </w:t>
      </w:r>
      <w:r w:rsidR="004E7711">
        <w:rPr>
          <w:rFonts w:cstheme="minorHAnsi"/>
          <w:sz w:val="24"/>
          <w:szCs w:val="24"/>
        </w:rPr>
        <w:t xml:space="preserve">satisfactory </w:t>
      </w:r>
      <w:r w:rsidR="00EC7F53">
        <w:rPr>
          <w:rFonts w:cstheme="minorHAnsi"/>
          <w:sz w:val="24"/>
          <w:szCs w:val="24"/>
        </w:rPr>
        <w:t xml:space="preserve">or better </w:t>
      </w:r>
      <w:r w:rsidR="004E7711">
        <w:rPr>
          <w:rFonts w:cstheme="minorHAnsi"/>
          <w:sz w:val="24"/>
          <w:szCs w:val="24"/>
        </w:rPr>
        <w:t>in achieving implementation progress and the project’s development objective.</w:t>
      </w:r>
      <w:r w:rsidR="00E426FB">
        <w:rPr>
          <w:rFonts w:cstheme="minorHAnsi"/>
          <w:sz w:val="24"/>
          <w:szCs w:val="24"/>
        </w:rPr>
        <w:t xml:space="preserve"> In addition, eighty-four percent of multi-focal area projects, which often include biodiversity resources, </w:t>
      </w:r>
      <w:r w:rsidR="004E31B7">
        <w:rPr>
          <w:rFonts w:cstheme="minorHAnsi"/>
          <w:sz w:val="24"/>
          <w:szCs w:val="24"/>
        </w:rPr>
        <w:t xml:space="preserve">have been </w:t>
      </w:r>
      <w:r w:rsidR="004E31B7" w:rsidRPr="004E31B7">
        <w:rPr>
          <w:rFonts w:cstheme="minorHAnsi"/>
          <w:sz w:val="24"/>
          <w:szCs w:val="24"/>
        </w:rPr>
        <w:t xml:space="preserve">rated as </w:t>
      </w:r>
      <w:r w:rsidR="00EC7F53">
        <w:rPr>
          <w:rFonts w:cstheme="minorHAnsi"/>
          <w:sz w:val="24"/>
          <w:szCs w:val="24"/>
        </w:rPr>
        <w:t xml:space="preserve">moderately </w:t>
      </w:r>
      <w:r w:rsidR="004E31B7" w:rsidRPr="004E31B7">
        <w:rPr>
          <w:rFonts w:cstheme="minorHAnsi"/>
          <w:sz w:val="24"/>
          <w:szCs w:val="24"/>
        </w:rPr>
        <w:t xml:space="preserve">satisfactory </w:t>
      </w:r>
      <w:r w:rsidR="00EC7F53">
        <w:rPr>
          <w:rFonts w:cstheme="minorHAnsi"/>
          <w:sz w:val="24"/>
          <w:szCs w:val="24"/>
        </w:rPr>
        <w:t xml:space="preserve">or better </w:t>
      </w:r>
      <w:r w:rsidR="004E31B7" w:rsidRPr="004E31B7">
        <w:rPr>
          <w:rFonts w:cstheme="minorHAnsi"/>
          <w:sz w:val="24"/>
          <w:szCs w:val="24"/>
        </w:rPr>
        <w:t xml:space="preserve">in achieving implementation progress and </w:t>
      </w:r>
      <w:r w:rsidR="004E31B7">
        <w:rPr>
          <w:rFonts w:cstheme="minorHAnsi"/>
          <w:sz w:val="24"/>
          <w:szCs w:val="24"/>
        </w:rPr>
        <w:t>90</w:t>
      </w:r>
      <w:r w:rsidR="004A76B5">
        <w:rPr>
          <w:rFonts w:cstheme="minorHAnsi"/>
          <w:sz w:val="24"/>
          <w:szCs w:val="24"/>
        </w:rPr>
        <w:t xml:space="preserve"> percent</w:t>
      </w:r>
      <w:r w:rsidR="004E31B7">
        <w:rPr>
          <w:rFonts w:cstheme="minorHAnsi"/>
          <w:sz w:val="24"/>
          <w:szCs w:val="24"/>
        </w:rPr>
        <w:t xml:space="preserve"> have been rated</w:t>
      </w:r>
      <w:r w:rsidR="000807F9">
        <w:rPr>
          <w:rFonts w:cstheme="minorHAnsi"/>
          <w:sz w:val="24"/>
          <w:szCs w:val="24"/>
        </w:rPr>
        <w:t xml:space="preserve"> moderately</w:t>
      </w:r>
      <w:r w:rsidR="004E31B7">
        <w:rPr>
          <w:rFonts w:cstheme="minorHAnsi"/>
          <w:sz w:val="24"/>
          <w:szCs w:val="24"/>
        </w:rPr>
        <w:t xml:space="preserve"> satisf</w:t>
      </w:r>
      <w:r w:rsidR="00617822">
        <w:rPr>
          <w:rFonts w:cstheme="minorHAnsi"/>
          <w:sz w:val="24"/>
          <w:szCs w:val="24"/>
        </w:rPr>
        <w:t>actory</w:t>
      </w:r>
      <w:r w:rsidR="000807F9">
        <w:rPr>
          <w:rFonts w:cstheme="minorHAnsi"/>
          <w:sz w:val="24"/>
          <w:szCs w:val="24"/>
        </w:rPr>
        <w:t xml:space="preserve"> or better</w:t>
      </w:r>
      <w:r w:rsidR="00617822">
        <w:rPr>
          <w:rFonts w:cstheme="minorHAnsi"/>
          <w:sz w:val="24"/>
          <w:szCs w:val="24"/>
        </w:rPr>
        <w:t xml:space="preserve"> in achieving the</w:t>
      </w:r>
      <w:r w:rsidR="004E31B7" w:rsidRPr="004E31B7">
        <w:rPr>
          <w:rFonts w:cstheme="minorHAnsi"/>
          <w:sz w:val="24"/>
          <w:szCs w:val="24"/>
        </w:rPr>
        <w:t xml:space="preserve"> project’s development objective</w:t>
      </w:r>
      <w:r w:rsidR="00617822">
        <w:rPr>
          <w:rFonts w:cstheme="minorHAnsi"/>
          <w:sz w:val="24"/>
          <w:szCs w:val="24"/>
        </w:rPr>
        <w:t xml:space="preserve">.   </w:t>
      </w:r>
    </w:p>
    <w:p w14:paraId="339FBAA7" w14:textId="77777777" w:rsidR="00B312AC" w:rsidRDefault="006257F6" w:rsidP="00195EFE">
      <w:pPr>
        <w:spacing w:before="240" w:after="0" w:line="240" w:lineRule="auto"/>
        <w:jc w:val="center"/>
        <w:rPr>
          <w:rFonts w:eastAsiaTheme="minorEastAsia" w:cstheme="minorHAnsi"/>
          <w:b/>
          <w:bCs/>
          <w:sz w:val="24"/>
          <w:szCs w:val="24"/>
        </w:rPr>
      </w:pPr>
      <w:bookmarkStart w:id="49" w:name="_Toc25257626"/>
      <w:r w:rsidRPr="00B11155">
        <w:rPr>
          <w:rFonts w:eastAsiaTheme="minorEastAsia" w:cstheme="minorHAnsi"/>
          <w:b/>
          <w:bCs/>
          <w:sz w:val="24"/>
          <w:szCs w:val="24"/>
        </w:rPr>
        <w:t>Figure</w:t>
      </w:r>
      <w:r w:rsidR="006C7488" w:rsidRPr="00B11155">
        <w:rPr>
          <w:rFonts w:eastAsiaTheme="minorEastAsia" w:cstheme="minorHAnsi"/>
          <w:b/>
          <w:bCs/>
          <w:sz w:val="24"/>
          <w:szCs w:val="24"/>
        </w:rPr>
        <w:t xml:space="preserve"> </w:t>
      </w:r>
      <w:r w:rsidR="0050139A">
        <w:rPr>
          <w:rFonts w:eastAsiaTheme="minorEastAsia" w:cstheme="minorHAnsi"/>
          <w:b/>
          <w:bCs/>
          <w:sz w:val="24"/>
          <w:szCs w:val="24"/>
        </w:rPr>
        <w:t>2</w:t>
      </w:r>
      <w:r w:rsidRPr="00B11155">
        <w:rPr>
          <w:rFonts w:eastAsiaTheme="minorEastAsia" w:cstheme="minorHAnsi"/>
          <w:b/>
          <w:bCs/>
          <w:sz w:val="24"/>
          <w:szCs w:val="24"/>
        </w:rPr>
        <w:t>. Share of projects under implementation rated satisfactorily by focal area</w:t>
      </w:r>
      <w:bookmarkEnd w:id="49"/>
      <w:r w:rsidR="00D72E47">
        <w:rPr>
          <w:rFonts w:eastAsiaTheme="minorEastAsia" w:cstheme="minorHAnsi"/>
          <w:b/>
          <w:bCs/>
          <w:sz w:val="24"/>
          <w:szCs w:val="24"/>
        </w:rPr>
        <w:t xml:space="preserve"> </w:t>
      </w:r>
    </w:p>
    <w:p w14:paraId="17ACA6B3" w14:textId="29441328" w:rsidR="006257F6" w:rsidRPr="00B11155" w:rsidRDefault="00D72E47" w:rsidP="00195EFE">
      <w:pPr>
        <w:spacing w:after="240" w:line="240" w:lineRule="auto"/>
        <w:jc w:val="center"/>
        <w:rPr>
          <w:rFonts w:eastAsiaTheme="minorEastAsia" w:cstheme="minorHAnsi"/>
          <w:b/>
          <w:bCs/>
          <w:sz w:val="24"/>
          <w:szCs w:val="24"/>
        </w:rPr>
      </w:pPr>
      <w:r>
        <w:rPr>
          <w:rFonts w:eastAsiaTheme="minorEastAsia" w:cstheme="minorHAnsi"/>
          <w:b/>
          <w:bCs/>
          <w:sz w:val="24"/>
          <w:szCs w:val="24"/>
        </w:rPr>
        <w:t>(fiscal year 2019)</w:t>
      </w:r>
    </w:p>
    <w:p w14:paraId="3AF0DEAA" w14:textId="4B7C3226" w:rsidR="00095C73" w:rsidRPr="00274354" w:rsidRDefault="00466079" w:rsidP="00274354">
      <w:pPr>
        <w:jc w:val="center"/>
        <w:rPr>
          <w:rFonts w:cstheme="minorHAnsi"/>
        </w:rPr>
      </w:pPr>
      <w:bookmarkStart w:id="50" w:name="_Toc23525337"/>
      <w:bookmarkStart w:id="51" w:name="_Toc18940489"/>
      <w:bookmarkStart w:id="52" w:name="_Toc24011742"/>
      <w:bookmarkStart w:id="53" w:name="_Toc25257585"/>
      <w:r>
        <w:rPr>
          <w:noProof/>
        </w:rPr>
        <w:drawing>
          <wp:inline distT="0" distB="0" distL="0" distR="0" wp14:anchorId="64287801" wp14:editId="29789A6B">
            <wp:extent cx="5943600" cy="3656965"/>
            <wp:effectExtent l="0" t="0" r="0" b="635"/>
            <wp:docPr id="7" name="Chart 7">
              <a:extLst xmlns:a="http://schemas.openxmlformats.org/drawingml/2006/main">
                <a:ext uri="{FF2B5EF4-FFF2-40B4-BE49-F238E27FC236}">
                  <a16:creationId xmlns:a16="http://schemas.microsoft.com/office/drawing/2014/main" id="{321EA1FA-DB06-47BD-B070-22A5A88EFE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8EFCEA" w14:textId="67D59515" w:rsidR="00B8671A" w:rsidRPr="00DD5DED" w:rsidRDefault="000D6425" w:rsidP="00FF3B4A">
      <w:pPr>
        <w:pStyle w:val="ListParagraph"/>
        <w:numPr>
          <w:ilvl w:val="0"/>
          <w:numId w:val="25"/>
        </w:numPr>
        <w:spacing w:before="240" w:after="240" w:line="240" w:lineRule="auto"/>
        <w:ind w:left="0" w:firstLine="0"/>
        <w:contextualSpacing w:val="0"/>
        <w:rPr>
          <w:rFonts w:eastAsiaTheme="majorEastAsia" w:cstheme="minorHAnsi"/>
          <w:sz w:val="24"/>
          <w:szCs w:val="24"/>
        </w:rPr>
      </w:pPr>
      <w:r w:rsidRPr="000D6425">
        <w:rPr>
          <w:rFonts w:eastAsiaTheme="majorEastAsia" w:cstheme="minorHAnsi"/>
          <w:sz w:val="24"/>
          <w:szCs w:val="24"/>
        </w:rPr>
        <w:t xml:space="preserve">Figure </w:t>
      </w:r>
      <w:r w:rsidR="00274354">
        <w:rPr>
          <w:rFonts w:eastAsiaTheme="majorEastAsia" w:cstheme="minorHAnsi"/>
          <w:sz w:val="24"/>
          <w:szCs w:val="24"/>
        </w:rPr>
        <w:t xml:space="preserve">3 </w:t>
      </w:r>
      <w:r w:rsidR="00CB0FF2">
        <w:rPr>
          <w:rFonts w:eastAsiaTheme="majorEastAsia" w:cstheme="minorHAnsi"/>
          <w:sz w:val="24"/>
          <w:szCs w:val="24"/>
        </w:rPr>
        <w:t>below</w:t>
      </w:r>
      <w:r w:rsidR="00274354">
        <w:rPr>
          <w:rFonts w:eastAsiaTheme="majorEastAsia" w:cstheme="minorHAnsi"/>
          <w:sz w:val="24"/>
          <w:szCs w:val="24"/>
        </w:rPr>
        <w:t xml:space="preserve"> presents performance data of biodiversity focal area projects as well as multi-focal area projects </w:t>
      </w:r>
      <w:r w:rsidR="00B8671A">
        <w:rPr>
          <w:rFonts w:eastAsiaTheme="majorEastAsia" w:cstheme="minorHAnsi"/>
          <w:sz w:val="24"/>
          <w:szCs w:val="24"/>
        </w:rPr>
        <w:t>using biodiversity resources.</w:t>
      </w:r>
      <w:r w:rsidR="000A4FFA">
        <w:rPr>
          <w:rFonts w:eastAsiaTheme="majorEastAsia" w:cstheme="minorHAnsi"/>
          <w:sz w:val="24"/>
          <w:szCs w:val="24"/>
        </w:rPr>
        <w:t xml:space="preserve"> Eighty-two percent of the cohort of projects </w:t>
      </w:r>
      <w:r w:rsidR="00235133">
        <w:rPr>
          <w:rFonts w:eastAsiaTheme="majorEastAsia" w:cstheme="minorHAnsi"/>
          <w:sz w:val="24"/>
          <w:szCs w:val="24"/>
        </w:rPr>
        <w:t>have been rated as moderately satisfactory or better.</w:t>
      </w:r>
    </w:p>
    <w:p w14:paraId="1DDAF622" w14:textId="77777777" w:rsidR="0091752D" w:rsidRDefault="0091752D" w:rsidP="0091752D">
      <w:pPr>
        <w:spacing w:before="240" w:after="240" w:line="240" w:lineRule="auto"/>
        <w:jc w:val="center"/>
        <w:rPr>
          <w:b/>
          <w:sz w:val="24"/>
        </w:rPr>
      </w:pPr>
      <w:r>
        <w:rPr>
          <w:b/>
          <w:sz w:val="24"/>
        </w:rPr>
        <w:br w:type="page"/>
      </w:r>
    </w:p>
    <w:p w14:paraId="2D5A93B6" w14:textId="6BE07AFC" w:rsidR="00895174" w:rsidRPr="0091752D" w:rsidRDefault="00FE1D06" w:rsidP="00195EFE">
      <w:pPr>
        <w:spacing w:before="240" w:after="240" w:line="240" w:lineRule="auto"/>
        <w:jc w:val="center"/>
        <w:rPr>
          <w:b/>
          <w:sz w:val="24"/>
        </w:rPr>
      </w:pPr>
      <w:r w:rsidRPr="0091752D">
        <w:rPr>
          <w:b/>
          <w:sz w:val="24"/>
        </w:rPr>
        <w:lastRenderedPageBreak/>
        <w:t>Figure 3. Ratings for Biodiversity Projects and Multi-focal area Projects Using Biodiversity Resources</w:t>
      </w:r>
      <w:r w:rsidR="002C0617" w:rsidRPr="0091752D">
        <w:rPr>
          <w:b/>
          <w:sz w:val="24"/>
        </w:rPr>
        <w:t xml:space="preserve"> (fiscal year 2019)</w:t>
      </w:r>
    </w:p>
    <w:p w14:paraId="6286AF77" w14:textId="2E4E6A16" w:rsidR="00903F9F" w:rsidRPr="0091752D" w:rsidRDefault="00895174" w:rsidP="00B312AC">
      <w:pPr>
        <w:jc w:val="center"/>
      </w:pPr>
      <w:r w:rsidRPr="0091752D">
        <w:rPr>
          <w:noProof/>
        </w:rPr>
        <w:drawing>
          <wp:inline distT="0" distB="0" distL="0" distR="0" wp14:anchorId="3EB06D87" wp14:editId="24189DD5">
            <wp:extent cx="5105400" cy="3095625"/>
            <wp:effectExtent l="0" t="0" r="0" b="0"/>
            <wp:docPr id="3" name="Chart 3">
              <a:extLst xmlns:a="http://schemas.openxmlformats.org/drawingml/2006/main">
                <a:ext uri="{FF2B5EF4-FFF2-40B4-BE49-F238E27FC236}">
                  <a16:creationId xmlns:a16="http://schemas.microsoft.com/office/drawing/2014/main" id="{EB922163-15B6-4429-A512-6067526CCF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148964D" w14:textId="7F47F4C2" w:rsidR="004A1029" w:rsidRPr="0091752D" w:rsidRDefault="004A1029" w:rsidP="00B312AC">
      <w:pPr>
        <w:jc w:val="center"/>
      </w:pPr>
      <w:r w:rsidRPr="0091752D">
        <w:rPr>
          <w:noProof/>
        </w:rPr>
        <w:drawing>
          <wp:inline distT="0" distB="0" distL="0" distR="0" wp14:anchorId="0685BFF9" wp14:editId="533A1BDF">
            <wp:extent cx="5133975" cy="3214688"/>
            <wp:effectExtent l="0" t="0" r="0" b="5080"/>
            <wp:docPr id="4" name="Chart 4">
              <a:extLst xmlns:a="http://schemas.openxmlformats.org/drawingml/2006/main">
                <a:ext uri="{FF2B5EF4-FFF2-40B4-BE49-F238E27FC236}">
                  <a16:creationId xmlns:a16="http://schemas.microsoft.com/office/drawing/2014/main" id="{7ABCF79D-3421-4D28-91FB-2164F0264E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350189B" w14:textId="77777777" w:rsidR="0081475B" w:rsidRPr="0091752D" w:rsidRDefault="0081475B" w:rsidP="0091752D">
      <w:r w:rsidRPr="0091752D">
        <w:br w:type="page"/>
      </w:r>
    </w:p>
    <w:p w14:paraId="3E2B82A6" w14:textId="5D6F5656" w:rsidR="006257F6" w:rsidRPr="007617FC" w:rsidRDefault="006257F6" w:rsidP="000C09D1">
      <w:pPr>
        <w:pStyle w:val="Heading2"/>
      </w:pPr>
      <w:bookmarkStart w:id="54" w:name="_Toc32494933"/>
      <w:r w:rsidRPr="007617FC">
        <w:lastRenderedPageBreak/>
        <w:t>Increasing Co-Financing</w:t>
      </w:r>
      <w:bookmarkEnd w:id="50"/>
      <w:r w:rsidRPr="007617FC">
        <w:t xml:space="preserve"> across the Portfolio</w:t>
      </w:r>
      <w:bookmarkEnd w:id="51"/>
      <w:bookmarkEnd w:id="52"/>
      <w:bookmarkEnd w:id="53"/>
      <w:bookmarkEnd w:id="54"/>
      <w:r w:rsidR="00101AA1">
        <w:t xml:space="preserve"> </w:t>
      </w:r>
    </w:p>
    <w:p w14:paraId="7B47467C" w14:textId="56C7E817" w:rsidR="006257F6" w:rsidRDefault="006257F6" w:rsidP="00FF3B4A">
      <w:pPr>
        <w:pStyle w:val="ListParagraph"/>
        <w:numPr>
          <w:ilvl w:val="0"/>
          <w:numId w:val="25"/>
        </w:numPr>
        <w:spacing w:before="240" w:after="240" w:line="240" w:lineRule="auto"/>
        <w:ind w:left="0" w:firstLine="0"/>
        <w:contextualSpacing w:val="0"/>
        <w:rPr>
          <w:rFonts w:eastAsia="Times New Roman" w:cstheme="minorHAnsi"/>
          <w:noProof/>
          <w:color w:val="000000"/>
          <w:sz w:val="24"/>
          <w:szCs w:val="24"/>
        </w:rPr>
      </w:pPr>
      <w:r w:rsidRPr="006257F6">
        <w:rPr>
          <w:rFonts w:eastAsia="Times New Roman" w:cstheme="minorHAnsi"/>
          <w:noProof/>
          <w:color w:val="000000"/>
          <w:sz w:val="24"/>
          <w:szCs w:val="24"/>
        </w:rPr>
        <w:t>Under the resources provided by its sixth replenishment, the GEF has reached its highest co-financing ratio, at $9.3 of co-financing for every dollar provided for GEF-6 projects that have been endorsed</w:t>
      </w:r>
      <w:r w:rsidR="004E7711">
        <w:rPr>
          <w:rFonts w:eastAsia="Times New Roman" w:cstheme="minorHAnsi"/>
          <w:noProof/>
          <w:color w:val="000000"/>
          <w:sz w:val="24"/>
          <w:szCs w:val="24"/>
        </w:rPr>
        <w:t xml:space="preserve"> by December 31, 2019.</w:t>
      </w:r>
      <w:r w:rsidRPr="006257F6">
        <w:rPr>
          <w:rFonts w:eastAsia="Times New Roman" w:cstheme="minorHAnsi"/>
          <w:noProof/>
          <w:color w:val="000000"/>
          <w:sz w:val="24"/>
          <w:szCs w:val="24"/>
        </w:rPr>
        <w:t xml:space="preserve"> This is measured by dividing the total co-financing amount by the GEF grant for each MSP and FSP under a given GEF period, and expressed as a ratio.</w:t>
      </w:r>
    </w:p>
    <w:p w14:paraId="78680485" w14:textId="42378C09" w:rsidR="006257F6" w:rsidRPr="00B11155" w:rsidRDefault="006257F6" w:rsidP="00195EFE">
      <w:pPr>
        <w:spacing w:before="240" w:after="240" w:line="240" w:lineRule="auto"/>
        <w:jc w:val="center"/>
        <w:rPr>
          <w:rFonts w:eastAsiaTheme="minorEastAsia" w:cstheme="minorHAnsi"/>
          <w:b/>
          <w:bCs/>
          <w:sz w:val="24"/>
          <w:szCs w:val="24"/>
        </w:rPr>
      </w:pPr>
      <w:bookmarkStart w:id="55" w:name="_Toc25257627"/>
      <w:r w:rsidRPr="00B11155">
        <w:rPr>
          <w:rFonts w:eastAsiaTheme="minorEastAsia" w:cstheme="minorHAnsi"/>
          <w:b/>
          <w:bCs/>
          <w:sz w:val="24"/>
          <w:szCs w:val="24"/>
        </w:rPr>
        <w:t>Figure</w:t>
      </w:r>
      <w:r w:rsidR="007617FC" w:rsidRPr="00B11155">
        <w:rPr>
          <w:rFonts w:eastAsiaTheme="minorEastAsia" w:cstheme="minorHAnsi"/>
          <w:b/>
          <w:bCs/>
          <w:sz w:val="24"/>
          <w:szCs w:val="24"/>
        </w:rPr>
        <w:t xml:space="preserve"> </w:t>
      </w:r>
      <w:r w:rsidR="00101FFE">
        <w:rPr>
          <w:rFonts w:eastAsiaTheme="minorEastAsia" w:cstheme="minorHAnsi"/>
          <w:b/>
          <w:bCs/>
          <w:sz w:val="24"/>
          <w:szCs w:val="24"/>
        </w:rPr>
        <w:t>4</w:t>
      </w:r>
      <w:r w:rsidRPr="00B11155">
        <w:rPr>
          <w:rFonts w:eastAsiaTheme="minorEastAsia" w:cstheme="minorHAnsi"/>
          <w:b/>
          <w:bCs/>
          <w:sz w:val="24"/>
          <w:szCs w:val="24"/>
        </w:rPr>
        <w:t>. Co-financing across GEF replenishment periods</w:t>
      </w:r>
      <w:bookmarkEnd w:id="55"/>
      <w:r w:rsidR="00101AA1">
        <w:rPr>
          <w:rStyle w:val="FootnoteReference"/>
          <w:rFonts w:eastAsiaTheme="minorEastAsia" w:cstheme="minorHAnsi"/>
          <w:b/>
          <w:bCs/>
          <w:sz w:val="24"/>
          <w:szCs w:val="24"/>
        </w:rPr>
        <w:footnoteReference w:id="22"/>
      </w:r>
    </w:p>
    <w:p w14:paraId="49825DB9" w14:textId="77777777" w:rsidR="006257F6" w:rsidRPr="006257F6" w:rsidRDefault="006257F6" w:rsidP="006257F6">
      <w:pPr>
        <w:jc w:val="center"/>
        <w:rPr>
          <w:rFonts w:cstheme="minorHAnsi"/>
        </w:rPr>
      </w:pPr>
      <w:r w:rsidRPr="006257F6">
        <w:rPr>
          <w:rFonts w:cstheme="minorHAnsi"/>
          <w:noProof/>
        </w:rPr>
        <w:drawing>
          <wp:inline distT="0" distB="0" distL="0" distR="0" wp14:anchorId="170218E6" wp14:editId="2982F01A">
            <wp:extent cx="2139951" cy="1809756"/>
            <wp:effectExtent l="0" t="0" r="0" b="0"/>
            <wp:docPr id="27" name="Chart 27">
              <a:extLst xmlns:a="http://schemas.openxmlformats.org/drawingml/2006/main">
                <a:ext uri="{FF2B5EF4-FFF2-40B4-BE49-F238E27FC236}">
                  <a16:creationId xmlns:a16="http://schemas.microsoft.com/office/drawing/2014/main" id="{7B1DC022-F629-4A9E-B722-CEEB7151E6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95F0EF4" w14:textId="77777777" w:rsidR="005770EA" w:rsidRDefault="006257F6" w:rsidP="00FF3B4A">
      <w:pPr>
        <w:pStyle w:val="ListParagraph"/>
        <w:numPr>
          <w:ilvl w:val="0"/>
          <w:numId w:val="25"/>
        </w:numPr>
        <w:spacing w:before="240" w:after="240" w:line="240" w:lineRule="auto"/>
        <w:ind w:left="0" w:firstLine="0"/>
        <w:contextualSpacing w:val="0"/>
        <w:rPr>
          <w:rFonts w:eastAsia="Times New Roman" w:cstheme="minorHAnsi"/>
          <w:noProof/>
          <w:color w:val="000000"/>
          <w:sz w:val="24"/>
          <w:szCs w:val="24"/>
        </w:rPr>
      </w:pPr>
      <w:r w:rsidRPr="006257F6">
        <w:rPr>
          <w:rFonts w:eastAsia="Times New Roman" w:cstheme="minorHAnsi"/>
          <w:noProof/>
          <w:color w:val="000000"/>
          <w:sz w:val="24"/>
          <w:szCs w:val="24"/>
        </w:rPr>
        <w:t>Co-financing contributes to the effectiveness, impacts and sustainability of GEF projects and programs, particularly by enabling the GEF to achieve longer-lasting and larger-scale global environmental benefits, and by strengthening partnerships.</w:t>
      </w:r>
      <w:r w:rsidR="006769A0">
        <w:rPr>
          <w:rFonts w:eastAsia="Times New Roman" w:cstheme="minorHAnsi"/>
          <w:noProof/>
          <w:color w:val="000000"/>
          <w:sz w:val="24"/>
          <w:szCs w:val="24"/>
        </w:rPr>
        <w:t xml:space="preserve">  </w:t>
      </w:r>
    </w:p>
    <w:p w14:paraId="2207ADA3" w14:textId="14906A4D" w:rsidR="00DA5902" w:rsidRPr="00790A47" w:rsidRDefault="005770EA" w:rsidP="00FF3B4A">
      <w:pPr>
        <w:pStyle w:val="ListParagraph"/>
        <w:numPr>
          <w:ilvl w:val="0"/>
          <w:numId w:val="25"/>
        </w:numPr>
        <w:spacing w:before="240" w:after="240" w:line="240" w:lineRule="auto"/>
        <w:ind w:left="0" w:firstLine="0"/>
        <w:contextualSpacing w:val="0"/>
        <w:rPr>
          <w:rFonts w:eastAsia="Times New Roman" w:cstheme="minorHAnsi"/>
          <w:noProof/>
          <w:color w:val="000000"/>
          <w:sz w:val="24"/>
          <w:szCs w:val="24"/>
        </w:rPr>
      </w:pPr>
      <w:r>
        <w:rPr>
          <w:rFonts w:eastAsia="Times New Roman" w:cstheme="minorHAnsi"/>
          <w:noProof/>
          <w:color w:val="000000"/>
          <w:sz w:val="24"/>
          <w:szCs w:val="24"/>
        </w:rPr>
        <w:t xml:space="preserve">As depicted in </w:t>
      </w:r>
      <w:r w:rsidR="009E3CAB">
        <w:rPr>
          <w:rFonts w:eastAsia="Times New Roman" w:cstheme="minorHAnsi"/>
          <w:noProof/>
          <w:color w:val="000000"/>
          <w:sz w:val="24"/>
          <w:szCs w:val="24"/>
        </w:rPr>
        <w:t>Figure 5</w:t>
      </w:r>
      <w:r>
        <w:rPr>
          <w:rFonts w:eastAsia="Times New Roman" w:cstheme="minorHAnsi"/>
          <w:noProof/>
          <w:color w:val="000000"/>
          <w:sz w:val="24"/>
          <w:szCs w:val="24"/>
        </w:rPr>
        <w:t xml:space="preserve"> below, </w:t>
      </w:r>
      <w:r w:rsidR="009A39B9">
        <w:rPr>
          <w:rFonts w:eastAsia="Times New Roman" w:cstheme="minorHAnsi"/>
          <w:noProof/>
          <w:color w:val="000000"/>
          <w:sz w:val="24"/>
          <w:szCs w:val="24"/>
        </w:rPr>
        <w:t>s</w:t>
      </w:r>
      <w:r w:rsidR="006257F6" w:rsidRPr="006257F6">
        <w:rPr>
          <w:rFonts w:eastAsia="Times New Roman" w:cstheme="minorHAnsi"/>
          <w:noProof/>
          <w:color w:val="000000"/>
          <w:sz w:val="24"/>
          <w:szCs w:val="24"/>
        </w:rPr>
        <w:t>pecific focal areas are attracting more co-financing than others. This is the case of the climate change and international waters that have respectively a $1</w:t>
      </w:r>
      <w:r w:rsidR="00925ECD">
        <w:rPr>
          <w:rFonts w:eastAsia="Times New Roman" w:cstheme="minorHAnsi"/>
          <w:noProof/>
          <w:color w:val="000000"/>
          <w:sz w:val="24"/>
          <w:szCs w:val="24"/>
        </w:rPr>
        <w:t xml:space="preserve"> to</w:t>
      </w:r>
      <w:r w:rsidR="00790A47">
        <w:rPr>
          <w:rFonts w:eastAsia="Times New Roman" w:cstheme="minorHAnsi"/>
          <w:noProof/>
          <w:color w:val="000000"/>
          <w:sz w:val="24"/>
          <w:szCs w:val="24"/>
        </w:rPr>
        <w:t xml:space="preserve"> </w:t>
      </w:r>
      <w:r w:rsidR="006257F6" w:rsidRPr="006257F6">
        <w:rPr>
          <w:rFonts w:eastAsia="Times New Roman" w:cstheme="minorHAnsi"/>
          <w:noProof/>
          <w:color w:val="000000"/>
          <w:sz w:val="24"/>
          <w:szCs w:val="24"/>
        </w:rPr>
        <w:t>$12.8 and a $1</w:t>
      </w:r>
      <w:r w:rsidR="00925ECD">
        <w:rPr>
          <w:rFonts w:eastAsia="Times New Roman" w:cstheme="minorHAnsi"/>
          <w:noProof/>
          <w:color w:val="000000"/>
          <w:sz w:val="24"/>
          <w:szCs w:val="24"/>
        </w:rPr>
        <w:t xml:space="preserve"> to </w:t>
      </w:r>
      <w:r w:rsidR="006257F6" w:rsidRPr="006257F6">
        <w:rPr>
          <w:rFonts w:eastAsia="Times New Roman" w:cstheme="minorHAnsi"/>
          <w:noProof/>
          <w:color w:val="000000"/>
          <w:sz w:val="24"/>
          <w:szCs w:val="24"/>
        </w:rPr>
        <w:t>$11.6 ratios.</w:t>
      </w:r>
      <w:bookmarkStart w:id="56" w:name="_Toc25257629"/>
    </w:p>
    <w:p w14:paraId="77E9F054" w14:textId="71199E70" w:rsidR="006257F6" w:rsidRPr="006257F6" w:rsidRDefault="006257F6" w:rsidP="00195EFE">
      <w:pPr>
        <w:spacing w:before="240" w:after="240" w:line="240" w:lineRule="auto"/>
        <w:jc w:val="center"/>
        <w:rPr>
          <w:rFonts w:eastAsiaTheme="minorEastAsia"/>
          <w:b/>
          <w:i/>
          <w:sz w:val="24"/>
          <w:szCs w:val="24"/>
        </w:rPr>
      </w:pPr>
      <w:r w:rsidRPr="00E75EAE">
        <w:rPr>
          <w:rFonts w:eastAsiaTheme="minorEastAsia"/>
          <w:b/>
          <w:sz w:val="24"/>
          <w:szCs w:val="24"/>
        </w:rPr>
        <w:t>Figure</w:t>
      </w:r>
      <w:r w:rsidR="007617FC" w:rsidRPr="00E75EAE">
        <w:rPr>
          <w:rFonts w:eastAsiaTheme="minorEastAsia"/>
          <w:b/>
          <w:sz w:val="24"/>
          <w:szCs w:val="24"/>
        </w:rPr>
        <w:t xml:space="preserve"> </w:t>
      </w:r>
      <w:r w:rsidR="00101FFE" w:rsidRPr="00E75EAE">
        <w:rPr>
          <w:rFonts w:eastAsiaTheme="minorEastAsia"/>
          <w:b/>
          <w:sz w:val="24"/>
          <w:szCs w:val="24"/>
        </w:rPr>
        <w:t>5</w:t>
      </w:r>
      <w:r w:rsidRPr="00E75EAE">
        <w:rPr>
          <w:rFonts w:eastAsiaTheme="minorEastAsia"/>
          <w:b/>
          <w:sz w:val="24"/>
          <w:szCs w:val="24"/>
        </w:rPr>
        <w:t>. Co-financing ratio by focal area</w:t>
      </w:r>
      <w:bookmarkEnd w:id="56"/>
      <w:r w:rsidR="009A39B9" w:rsidRPr="00E75EAE">
        <w:rPr>
          <w:rFonts w:eastAsiaTheme="minorEastAsia"/>
          <w:b/>
          <w:sz w:val="24"/>
          <w:szCs w:val="24"/>
        </w:rPr>
        <w:t xml:space="preserve"> for the</w:t>
      </w:r>
      <w:r w:rsidR="00E75EAE" w:rsidRPr="00E75EAE">
        <w:rPr>
          <w:rFonts w:eastAsiaTheme="minorEastAsia"/>
          <w:b/>
          <w:sz w:val="24"/>
          <w:szCs w:val="24"/>
        </w:rPr>
        <w:t xml:space="preserve"> active portfolio</w:t>
      </w:r>
      <w:r w:rsidR="005E7D47">
        <w:rPr>
          <w:rFonts w:eastAsiaTheme="minorEastAsia"/>
          <w:b/>
          <w:sz w:val="24"/>
          <w:szCs w:val="24"/>
        </w:rPr>
        <w:t xml:space="preserve"> (fiscal year 2019)</w:t>
      </w:r>
    </w:p>
    <w:p w14:paraId="64B5B243" w14:textId="77777777" w:rsidR="006257F6" w:rsidRPr="006257F6" w:rsidRDefault="006257F6" w:rsidP="006257F6">
      <w:pPr>
        <w:jc w:val="center"/>
        <w:rPr>
          <w:rFonts w:cstheme="minorHAnsi"/>
        </w:rPr>
      </w:pPr>
      <w:r w:rsidRPr="006257F6">
        <w:rPr>
          <w:rFonts w:cstheme="minorHAnsi"/>
          <w:noProof/>
        </w:rPr>
        <w:drawing>
          <wp:inline distT="0" distB="0" distL="0" distR="0" wp14:anchorId="172B10DD" wp14:editId="6A329EF3">
            <wp:extent cx="4114800" cy="1714500"/>
            <wp:effectExtent l="0" t="0" r="0" b="0"/>
            <wp:docPr id="11" name="Chart 11">
              <a:extLst xmlns:a="http://schemas.openxmlformats.org/drawingml/2006/main">
                <a:ext uri="{FF2B5EF4-FFF2-40B4-BE49-F238E27FC236}">
                  <a16:creationId xmlns:a16="http://schemas.microsoft.com/office/drawing/2014/main" id="{86C3CEF0-37CD-4947-B54E-C4E17A9E20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C7061D" w14:textId="77777777" w:rsidR="0018133E" w:rsidRDefault="006257F6" w:rsidP="00FF3B4A">
      <w:pPr>
        <w:pStyle w:val="ListParagraph"/>
        <w:numPr>
          <w:ilvl w:val="0"/>
          <w:numId w:val="25"/>
        </w:numPr>
        <w:spacing w:before="240" w:after="240" w:line="240" w:lineRule="auto"/>
        <w:ind w:left="0" w:firstLine="0"/>
        <w:contextualSpacing w:val="0"/>
        <w:rPr>
          <w:rFonts w:eastAsia="Times New Roman" w:cstheme="minorHAnsi"/>
          <w:noProof/>
          <w:color w:val="000000"/>
          <w:sz w:val="24"/>
          <w:szCs w:val="24"/>
        </w:rPr>
      </w:pPr>
      <w:bookmarkStart w:id="57" w:name="_Hlk24557208"/>
      <w:r w:rsidRPr="006257F6">
        <w:rPr>
          <w:rFonts w:eastAsia="Times New Roman" w:cstheme="minorHAnsi"/>
          <w:noProof/>
          <w:color w:val="000000"/>
          <w:sz w:val="24"/>
          <w:szCs w:val="24"/>
        </w:rPr>
        <w:lastRenderedPageBreak/>
        <w:t xml:space="preserve">Co-financing for child projects that are part of the ongoing portfolio is higher than for standalone FSPs. It reaches a ratio of 1:10.1 for projects under a program, and 1:7.8 for standalone FSPs. </w:t>
      </w:r>
      <w:bookmarkEnd w:id="57"/>
      <w:r w:rsidR="0018133E">
        <w:rPr>
          <w:rFonts w:eastAsia="Times New Roman" w:cstheme="minorHAnsi"/>
          <w:noProof/>
          <w:color w:val="000000"/>
          <w:sz w:val="24"/>
          <w:szCs w:val="24"/>
        </w:rPr>
        <w:t xml:space="preserve"> </w:t>
      </w:r>
    </w:p>
    <w:p w14:paraId="6A7369AD" w14:textId="3F94E7E5" w:rsidR="009F1049" w:rsidRPr="006B1014" w:rsidRDefault="006257F6" w:rsidP="00FF3B4A">
      <w:pPr>
        <w:pStyle w:val="ListParagraph"/>
        <w:numPr>
          <w:ilvl w:val="0"/>
          <w:numId w:val="25"/>
        </w:numPr>
        <w:spacing w:before="240" w:after="240" w:line="240" w:lineRule="auto"/>
        <w:ind w:left="0" w:firstLine="0"/>
        <w:contextualSpacing w:val="0"/>
        <w:rPr>
          <w:rFonts w:eastAsia="Times New Roman" w:cstheme="minorHAnsi"/>
          <w:noProof/>
          <w:color w:val="000000"/>
          <w:sz w:val="24"/>
          <w:szCs w:val="24"/>
        </w:rPr>
      </w:pPr>
      <w:r w:rsidRPr="006257F6">
        <w:rPr>
          <w:rFonts w:eastAsia="Times New Roman" w:cstheme="minorHAnsi"/>
          <w:noProof/>
          <w:color w:val="000000"/>
          <w:sz w:val="24"/>
          <w:szCs w:val="24"/>
        </w:rPr>
        <w:t xml:space="preserve">The co-financing ratio for </w:t>
      </w:r>
      <w:r w:rsidR="00925ECD">
        <w:rPr>
          <w:rFonts w:eastAsia="Times New Roman" w:cstheme="minorHAnsi"/>
          <w:noProof/>
          <w:color w:val="000000"/>
          <w:sz w:val="24"/>
          <w:szCs w:val="24"/>
        </w:rPr>
        <w:t xml:space="preserve">all GEF </w:t>
      </w:r>
      <w:r w:rsidRPr="006257F6">
        <w:rPr>
          <w:rFonts w:eastAsia="Times New Roman" w:cstheme="minorHAnsi"/>
          <w:noProof/>
          <w:color w:val="000000"/>
          <w:sz w:val="24"/>
          <w:szCs w:val="24"/>
        </w:rPr>
        <w:t>projects endorsed during the fiscal year 2019 reached 1:6.7. This level of co-financing is close to the target set for the</w:t>
      </w:r>
      <w:r w:rsidR="0030271D">
        <w:rPr>
          <w:rFonts w:eastAsia="Times New Roman" w:cstheme="minorHAnsi"/>
          <w:noProof/>
          <w:color w:val="000000"/>
          <w:sz w:val="24"/>
          <w:szCs w:val="24"/>
        </w:rPr>
        <w:t xml:space="preserve"> </w:t>
      </w:r>
      <w:r w:rsidR="0030271D" w:rsidRPr="00222F83">
        <w:rPr>
          <w:rFonts w:eastAsia="Times New Roman" w:cstheme="minorHAnsi"/>
          <w:i/>
          <w:noProof/>
          <w:color w:val="000000"/>
          <w:sz w:val="24"/>
          <w:szCs w:val="24"/>
        </w:rPr>
        <w:t>entire GEF portfolio</w:t>
      </w:r>
      <w:r w:rsidR="0030271D">
        <w:rPr>
          <w:rFonts w:eastAsia="Times New Roman" w:cstheme="minorHAnsi"/>
          <w:noProof/>
          <w:color w:val="000000"/>
          <w:sz w:val="24"/>
          <w:szCs w:val="24"/>
        </w:rPr>
        <w:t xml:space="preserve"> during the</w:t>
      </w:r>
      <w:r w:rsidRPr="006257F6">
        <w:rPr>
          <w:rFonts w:eastAsia="Times New Roman" w:cstheme="minorHAnsi"/>
          <w:noProof/>
          <w:color w:val="000000"/>
          <w:sz w:val="24"/>
          <w:szCs w:val="24"/>
        </w:rPr>
        <w:t xml:space="preserve"> GEF-7 period</w:t>
      </w:r>
      <w:r w:rsidR="0030271D">
        <w:rPr>
          <w:rFonts w:eastAsia="Times New Roman" w:cstheme="minorHAnsi"/>
          <w:noProof/>
          <w:color w:val="000000"/>
          <w:sz w:val="24"/>
          <w:szCs w:val="24"/>
        </w:rPr>
        <w:t xml:space="preserve"> which is</w:t>
      </w:r>
      <w:r w:rsidRPr="006257F6">
        <w:rPr>
          <w:rFonts w:eastAsia="Times New Roman" w:cstheme="minorHAnsi"/>
          <w:noProof/>
          <w:color w:val="000000"/>
          <w:sz w:val="24"/>
          <w:szCs w:val="24"/>
        </w:rPr>
        <w:t xml:space="preserve"> 1:7. Of the $2.2 billion in co-financing, $380 million came from private sector entities.</w:t>
      </w:r>
      <w:r w:rsidR="00842DC2">
        <w:rPr>
          <w:rFonts w:eastAsia="Times New Roman" w:cstheme="minorHAnsi"/>
          <w:noProof/>
          <w:color w:val="000000"/>
          <w:sz w:val="24"/>
          <w:szCs w:val="24"/>
        </w:rPr>
        <w:t xml:space="preserve"> </w:t>
      </w:r>
      <w:r w:rsidR="00C444CE" w:rsidRPr="00A87887">
        <w:rPr>
          <w:rFonts w:eastAsia="Times New Roman" w:cstheme="minorHAnsi"/>
          <w:noProof/>
          <w:color w:val="000000"/>
          <w:sz w:val="24"/>
          <w:szCs w:val="24"/>
        </w:rPr>
        <w:t>The co-financing ratio for all GEF biodiversity projects</w:t>
      </w:r>
      <w:r w:rsidR="000D0D8F" w:rsidRPr="00A87887">
        <w:rPr>
          <w:rFonts w:eastAsia="Times New Roman" w:cstheme="minorHAnsi"/>
          <w:noProof/>
          <w:color w:val="000000"/>
          <w:sz w:val="24"/>
          <w:szCs w:val="24"/>
        </w:rPr>
        <w:t xml:space="preserve"> </w:t>
      </w:r>
      <w:r w:rsidR="00C444CE" w:rsidRPr="00A87887">
        <w:rPr>
          <w:rFonts w:eastAsia="Times New Roman" w:cstheme="minorHAnsi"/>
          <w:noProof/>
          <w:color w:val="000000"/>
          <w:sz w:val="24"/>
          <w:szCs w:val="24"/>
        </w:rPr>
        <w:t>endorsed during the fiscal year 2019 reached 1</w:t>
      </w:r>
      <w:r w:rsidR="006B1014">
        <w:rPr>
          <w:rFonts w:eastAsia="Times New Roman" w:cstheme="minorHAnsi"/>
          <w:noProof/>
          <w:color w:val="000000"/>
          <w:sz w:val="24"/>
          <w:szCs w:val="24"/>
        </w:rPr>
        <w:t xml:space="preserve">: </w:t>
      </w:r>
      <w:r w:rsidR="004C0A06" w:rsidRPr="00A87887">
        <w:rPr>
          <w:rFonts w:eastAsia="Times New Roman" w:cstheme="minorHAnsi"/>
          <w:noProof/>
          <w:color w:val="000000"/>
          <w:sz w:val="24"/>
          <w:szCs w:val="24"/>
        </w:rPr>
        <w:t>5.</w:t>
      </w:r>
      <w:r w:rsidR="006B1014">
        <w:rPr>
          <w:rFonts w:eastAsia="Times New Roman" w:cstheme="minorHAnsi"/>
          <w:noProof/>
          <w:color w:val="000000"/>
          <w:sz w:val="24"/>
          <w:szCs w:val="24"/>
        </w:rPr>
        <w:t>2</w:t>
      </w:r>
      <w:r w:rsidR="00FE3665">
        <w:rPr>
          <w:rFonts w:eastAsia="Times New Roman" w:cstheme="minorHAnsi"/>
          <w:noProof/>
          <w:color w:val="000000"/>
          <w:sz w:val="24"/>
          <w:szCs w:val="24"/>
        </w:rPr>
        <w:t>, a slight increase over the active portfolio</w:t>
      </w:r>
      <w:r w:rsidR="00D57450">
        <w:rPr>
          <w:rFonts w:eastAsia="Times New Roman" w:cstheme="minorHAnsi"/>
          <w:noProof/>
          <w:color w:val="000000"/>
          <w:sz w:val="24"/>
          <w:szCs w:val="24"/>
        </w:rPr>
        <w:t>.</w:t>
      </w:r>
    </w:p>
    <w:p w14:paraId="7E66B2E1" w14:textId="6125E85A" w:rsidR="004829ED" w:rsidRPr="00F354D2" w:rsidRDefault="004829ED" w:rsidP="000C09D1">
      <w:pPr>
        <w:pStyle w:val="Heading1"/>
        <w:numPr>
          <w:ilvl w:val="0"/>
          <w:numId w:val="27"/>
        </w:numPr>
      </w:pPr>
      <w:bookmarkStart w:id="58" w:name="_Toc32494934"/>
      <w:r w:rsidRPr="00F354D2">
        <w:t>Progress Report on GEF-7 Corporate Results and Targets</w:t>
      </w:r>
      <w:bookmarkEnd w:id="58"/>
    </w:p>
    <w:p w14:paraId="1565070F" w14:textId="3520C6CD" w:rsidR="0071458C" w:rsidRPr="00D57450" w:rsidRDefault="0052576A" w:rsidP="00A02BDB">
      <w:pPr>
        <w:pStyle w:val="ListParagraph"/>
        <w:numPr>
          <w:ilvl w:val="0"/>
          <w:numId w:val="25"/>
        </w:numPr>
        <w:spacing w:before="240" w:after="240" w:line="240" w:lineRule="auto"/>
        <w:ind w:left="0" w:firstLine="0"/>
        <w:contextualSpacing w:val="0"/>
        <w:rPr>
          <w:rFonts w:eastAsia="Times New Roman" w:cstheme="minorHAnsi"/>
          <w:color w:val="000000"/>
          <w:sz w:val="24"/>
          <w:szCs w:val="24"/>
        </w:rPr>
      </w:pPr>
      <w:r w:rsidRPr="00A02BDB">
        <w:rPr>
          <w:rFonts w:eastAsia="Times New Roman" w:cstheme="minorHAnsi"/>
          <w:color w:val="000000"/>
          <w:sz w:val="24"/>
          <w:szCs w:val="24"/>
        </w:rPr>
        <w:t>As</w:t>
      </w:r>
      <w:r w:rsidRPr="00FF3B4A">
        <w:rPr>
          <w:snapToGrid w:val="0"/>
          <w:sz w:val="24"/>
          <w:szCs w:val="24"/>
        </w:rPr>
        <w:t xml:space="preserve"> part of the GEF-7 Replenishment Agreement, a series of corporate targets were agreed.</w:t>
      </w:r>
      <w:r w:rsidR="0079112F" w:rsidRPr="00FF3B4A">
        <w:rPr>
          <w:snapToGrid w:val="0"/>
        </w:rPr>
        <w:footnoteReference w:id="23"/>
      </w:r>
      <w:r w:rsidRPr="00D57450">
        <w:rPr>
          <w:rFonts w:eastAsia="Times New Roman" w:cstheme="minorHAnsi"/>
          <w:color w:val="000000"/>
          <w:sz w:val="24"/>
          <w:szCs w:val="24"/>
        </w:rPr>
        <w:t xml:space="preserve">  </w:t>
      </w:r>
      <w:r w:rsidR="0071458C" w:rsidRPr="00D57450">
        <w:rPr>
          <w:rFonts w:eastAsia="Times New Roman" w:cstheme="minorHAnsi"/>
          <w:color w:val="000000"/>
          <w:sz w:val="24"/>
          <w:szCs w:val="24"/>
        </w:rPr>
        <w:t>GEF-7 introduce</w:t>
      </w:r>
      <w:r w:rsidR="0073528F" w:rsidRPr="00D57450">
        <w:rPr>
          <w:rFonts w:eastAsia="Times New Roman" w:cstheme="minorHAnsi"/>
          <w:color w:val="000000"/>
          <w:sz w:val="24"/>
          <w:szCs w:val="24"/>
        </w:rPr>
        <w:t>d</w:t>
      </w:r>
      <w:r w:rsidR="0071458C" w:rsidRPr="00D57450">
        <w:rPr>
          <w:rFonts w:eastAsia="Times New Roman" w:cstheme="minorHAnsi"/>
          <w:color w:val="000000"/>
          <w:sz w:val="24"/>
          <w:szCs w:val="24"/>
        </w:rPr>
        <w:t xml:space="preserve"> an upgraded results framework with eleven core indicators that span all five focal areas, a</w:t>
      </w:r>
      <w:r w:rsidR="0073528F" w:rsidRPr="00D57450">
        <w:rPr>
          <w:rFonts w:eastAsia="Times New Roman" w:cstheme="minorHAnsi"/>
          <w:color w:val="000000"/>
          <w:sz w:val="24"/>
          <w:szCs w:val="24"/>
        </w:rPr>
        <w:t xml:space="preserve">ll </w:t>
      </w:r>
      <w:r w:rsidR="0071458C" w:rsidRPr="00D57450">
        <w:rPr>
          <w:rFonts w:eastAsia="Times New Roman" w:cstheme="minorHAnsi"/>
          <w:color w:val="000000"/>
          <w:sz w:val="24"/>
          <w:szCs w:val="24"/>
        </w:rPr>
        <w:t>of which are re</w:t>
      </w:r>
      <w:r w:rsidR="00954603" w:rsidRPr="00D57450">
        <w:rPr>
          <w:rFonts w:eastAsia="Times New Roman" w:cstheme="minorHAnsi"/>
          <w:color w:val="000000"/>
          <w:sz w:val="24"/>
          <w:szCs w:val="24"/>
        </w:rPr>
        <w:t>levant to the Aichi Biodiversity Targets given the breadth and comprehensive</w:t>
      </w:r>
      <w:r w:rsidR="0073528F" w:rsidRPr="00D57450">
        <w:rPr>
          <w:rFonts w:eastAsia="Times New Roman" w:cstheme="minorHAnsi"/>
          <w:color w:val="000000"/>
          <w:sz w:val="24"/>
          <w:szCs w:val="24"/>
        </w:rPr>
        <w:t xml:space="preserve"> of the Aichi Targets</w:t>
      </w:r>
      <w:r w:rsidR="0071458C" w:rsidRPr="00D57450">
        <w:rPr>
          <w:rFonts w:eastAsia="Times New Roman" w:cstheme="minorHAnsi"/>
          <w:color w:val="000000"/>
          <w:sz w:val="24"/>
          <w:szCs w:val="24"/>
        </w:rPr>
        <w:t>. The core indicators</w:t>
      </w:r>
      <w:r w:rsidR="003C348B" w:rsidRPr="00D57450">
        <w:rPr>
          <w:rFonts w:eastAsia="Times New Roman" w:cstheme="minorHAnsi"/>
          <w:color w:val="000000"/>
          <w:sz w:val="24"/>
          <w:szCs w:val="24"/>
        </w:rPr>
        <w:t>, along with associated sub-indicators and methodologies</w:t>
      </w:r>
      <w:r w:rsidR="00F41BDE" w:rsidRPr="00D57450">
        <w:rPr>
          <w:rFonts w:eastAsia="Times New Roman" w:cstheme="minorHAnsi"/>
          <w:color w:val="000000"/>
          <w:sz w:val="24"/>
          <w:szCs w:val="24"/>
        </w:rPr>
        <w:t>,</w:t>
      </w:r>
      <w:r w:rsidR="0071458C" w:rsidRPr="00D57450">
        <w:rPr>
          <w:rFonts w:eastAsia="Times New Roman" w:cstheme="minorHAnsi"/>
          <w:color w:val="000000"/>
          <w:sz w:val="24"/>
          <w:szCs w:val="24"/>
        </w:rPr>
        <w:t xml:space="preserve"> are expected to significantly enhance the GEF’s ability to capture, monitor, analyze and report on results. At the same time, by replacing focal area-specific tracking tools and results frameworks, the core indicators</w:t>
      </w:r>
      <w:r w:rsidR="002F5DC4" w:rsidRPr="00D57450">
        <w:rPr>
          <w:rFonts w:eastAsia="Times New Roman" w:cstheme="minorHAnsi"/>
          <w:color w:val="000000"/>
          <w:sz w:val="24"/>
          <w:szCs w:val="24"/>
        </w:rPr>
        <w:t xml:space="preserve"> </w:t>
      </w:r>
      <w:r w:rsidR="0071458C" w:rsidRPr="00D57450">
        <w:rPr>
          <w:rFonts w:eastAsia="Times New Roman" w:cstheme="minorHAnsi"/>
          <w:color w:val="000000"/>
          <w:sz w:val="24"/>
          <w:szCs w:val="24"/>
        </w:rPr>
        <w:t xml:space="preserve">will enable a substantial simplification of the GEF’s results architecture, and significantly reduce the monitoring and reporting burden at the project </w:t>
      </w:r>
      <w:r w:rsidR="00C220A9" w:rsidRPr="00D57450">
        <w:rPr>
          <w:rFonts w:eastAsia="Times New Roman" w:cstheme="minorHAnsi"/>
          <w:color w:val="000000"/>
          <w:sz w:val="24"/>
          <w:szCs w:val="24"/>
        </w:rPr>
        <w:t xml:space="preserve">and program level. </w:t>
      </w:r>
    </w:p>
    <w:p w14:paraId="2F948B54" w14:textId="75318E5C" w:rsidR="004723D9" w:rsidRPr="00C220A9" w:rsidRDefault="00B11155" w:rsidP="00FF3B4A">
      <w:pPr>
        <w:pStyle w:val="ListParagraph"/>
        <w:numPr>
          <w:ilvl w:val="0"/>
          <w:numId w:val="25"/>
        </w:numPr>
        <w:spacing w:before="240" w:after="240" w:line="240" w:lineRule="auto"/>
        <w:ind w:left="0" w:firstLine="0"/>
        <w:contextualSpacing w:val="0"/>
        <w:rPr>
          <w:rFonts w:eastAsia="Times New Roman" w:cstheme="minorHAnsi"/>
          <w:noProof/>
          <w:color w:val="000000"/>
          <w:sz w:val="24"/>
          <w:szCs w:val="24"/>
        </w:rPr>
      </w:pPr>
      <w:r w:rsidRPr="00D57450">
        <w:rPr>
          <w:rFonts w:eastAsia="Times New Roman" w:cstheme="minorHAnsi"/>
          <w:color w:val="000000"/>
          <w:sz w:val="24"/>
          <w:szCs w:val="24"/>
        </w:rPr>
        <w:t>Figure</w:t>
      </w:r>
      <w:r w:rsidR="00B1731D" w:rsidRPr="00D57450">
        <w:rPr>
          <w:rFonts w:eastAsia="Times New Roman" w:cstheme="minorHAnsi"/>
          <w:color w:val="000000"/>
          <w:sz w:val="24"/>
          <w:szCs w:val="24"/>
        </w:rPr>
        <w:t xml:space="preserve"> </w:t>
      </w:r>
      <w:r w:rsidR="00F36BB9" w:rsidRPr="00D57450">
        <w:rPr>
          <w:rFonts w:eastAsia="Times New Roman" w:cstheme="minorHAnsi"/>
          <w:color w:val="000000"/>
          <w:sz w:val="24"/>
          <w:szCs w:val="24"/>
        </w:rPr>
        <w:t>6</w:t>
      </w:r>
      <w:r w:rsidR="00B1731D" w:rsidRPr="00D57450">
        <w:rPr>
          <w:rFonts w:eastAsia="Times New Roman" w:cstheme="minorHAnsi"/>
          <w:color w:val="000000"/>
          <w:sz w:val="24"/>
          <w:szCs w:val="24"/>
        </w:rPr>
        <w:t xml:space="preserve"> below provides</w:t>
      </w:r>
      <w:r w:rsidR="0052576A" w:rsidRPr="00D57450">
        <w:rPr>
          <w:rFonts w:eastAsia="Times New Roman" w:cstheme="minorHAnsi"/>
          <w:color w:val="000000"/>
          <w:sz w:val="24"/>
          <w:szCs w:val="24"/>
        </w:rPr>
        <w:t xml:space="preserve"> the cumulative targets presented in GEF Council approved concepts (Project Information Forms-PIFs) from July 1, 201</w:t>
      </w:r>
      <w:r w:rsidR="00B1731D" w:rsidRPr="00D57450">
        <w:rPr>
          <w:rFonts w:eastAsia="Times New Roman" w:cstheme="minorHAnsi"/>
          <w:color w:val="000000"/>
          <w:sz w:val="24"/>
          <w:szCs w:val="24"/>
        </w:rPr>
        <w:t>8</w:t>
      </w:r>
      <w:r w:rsidR="0052576A" w:rsidRPr="00D57450">
        <w:rPr>
          <w:rFonts w:eastAsia="Times New Roman" w:cstheme="minorHAnsi"/>
          <w:color w:val="000000"/>
          <w:sz w:val="24"/>
          <w:szCs w:val="24"/>
        </w:rPr>
        <w:t xml:space="preserve"> to </w:t>
      </w:r>
      <w:r w:rsidR="00B1731D" w:rsidRPr="00D57450">
        <w:rPr>
          <w:rFonts w:eastAsia="Times New Roman" w:cstheme="minorHAnsi"/>
          <w:color w:val="000000"/>
          <w:sz w:val="24"/>
          <w:szCs w:val="24"/>
        </w:rPr>
        <w:t>December 31, 2019</w:t>
      </w:r>
      <w:r w:rsidR="0052576A" w:rsidRPr="00D57450">
        <w:rPr>
          <w:rFonts w:eastAsia="Times New Roman" w:cstheme="minorHAnsi"/>
          <w:color w:val="000000"/>
          <w:sz w:val="24"/>
          <w:szCs w:val="24"/>
        </w:rPr>
        <w:t xml:space="preserve"> </w:t>
      </w:r>
      <w:r w:rsidR="00C16B85" w:rsidRPr="00D57450">
        <w:rPr>
          <w:rFonts w:eastAsia="Times New Roman" w:cstheme="minorHAnsi"/>
          <w:color w:val="000000"/>
          <w:sz w:val="24"/>
          <w:szCs w:val="24"/>
        </w:rPr>
        <w:t xml:space="preserve">that are related </w:t>
      </w:r>
      <w:r w:rsidR="0052576A" w:rsidRPr="00D57450">
        <w:rPr>
          <w:rFonts w:eastAsia="Times New Roman" w:cstheme="minorHAnsi"/>
          <w:color w:val="000000"/>
          <w:sz w:val="24"/>
          <w:szCs w:val="24"/>
        </w:rPr>
        <w:t>to the CBD and the Strategic Plan for Biodiversity 2010-2020. The cumulative targets represent key expected outcomes from these projects.</w:t>
      </w:r>
    </w:p>
    <w:p w14:paraId="55D18C82" w14:textId="77777777" w:rsidR="001B2F27" w:rsidRDefault="001B2F27" w:rsidP="003F1966">
      <w:pPr>
        <w:spacing w:before="240" w:after="240" w:line="252" w:lineRule="auto"/>
        <w:rPr>
          <w:rFonts w:eastAsia="Times New Roman" w:cstheme="minorHAnsi"/>
          <w:b/>
          <w:noProof/>
          <w:color w:val="000000"/>
          <w:sz w:val="24"/>
          <w:szCs w:val="24"/>
        </w:rPr>
      </w:pPr>
      <w:r>
        <w:rPr>
          <w:rFonts w:eastAsia="Times New Roman" w:cstheme="minorHAnsi"/>
          <w:b/>
          <w:noProof/>
          <w:color w:val="000000"/>
          <w:sz w:val="24"/>
          <w:szCs w:val="24"/>
        </w:rPr>
        <w:br w:type="page"/>
      </w:r>
    </w:p>
    <w:p w14:paraId="1F48953B" w14:textId="243A3B4D" w:rsidR="003F1966" w:rsidRPr="007617FC" w:rsidRDefault="007617FC" w:rsidP="00195EFE">
      <w:pPr>
        <w:spacing w:before="240" w:after="240" w:line="240" w:lineRule="auto"/>
        <w:jc w:val="center"/>
        <w:rPr>
          <w:rFonts w:eastAsia="Times New Roman" w:cstheme="minorHAnsi"/>
          <w:b/>
          <w:noProof/>
          <w:color w:val="000000"/>
          <w:sz w:val="24"/>
          <w:szCs w:val="24"/>
        </w:rPr>
      </w:pPr>
      <w:r w:rsidRPr="007617FC">
        <w:rPr>
          <w:rFonts w:eastAsia="Times New Roman" w:cstheme="minorHAnsi"/>
          <w:b/>
          <w:noProof/>
          <w:color w:val="000000"/>
          <w:sz w:val="24"/>
          <w:szCs w:val="24"/>
        </w:rPr>
        <w:lastRenderedPageBreak/>
        <w:t xml:space="preserve">Figure </w:t>
      </w:r>
      <w:r w:rsidR="00F36BB9">
        <w:rPr>
          <w:rFonts w:eastAsia="Times New Roman" w:cstheme="minorHAnsi"/>
          <w:b/>
          <w:noProof/>
          <w:color w:val="000000"/>
          <w:sz w:val="24"/>
          <w:szCs w:val="24"/>
        </w:rPr>
        <w:t>6</w:t>
      </w:r>
      <w:r w:rsidRPr="007617FC">
        <w:rPr>
          <w:rFonts w:eastAsia="Times New Roman" w:cstheme="minorHAnsi"/>
          <w:b/>
          <w:noProof/>
          <w:color w:val="000000"/>
          <w:sz w:val="24"/>
          <w:szCs w:val="24"/>
        </w:rPr>
        <w:t>.</w:t>
      </w:r>
    </w:p>
    <w:p w14:paraId="726C87D3" w14:textId="03F15361" w:rsidR="003F1966" w:rsidRPr="003F1966" w:rsidRDefault="00076D61" w:rsidP="003F1966">
      <w:pPr>
        <w:spacing w:before="240" w:after="240" w:line="252" w:lineRule="auto"/>
        <w:rPr>
          <w:rFonts w:eastAsia="Times New Roman" w:cstheme="minorHAnsi"/>
          <w:noProof/>
          <w:color w:val="000000"/>
          <w:sz w:val="24"/>
          <w:szCs w:val="24"/>
        </w:rPr>
      </w:pPr>
      <w:r>
        <w:rPr>
          <w:noProof/>
        </w:rPr>
        <w:drawing>
          <wp:inline distT="0" distB="0" distL="0" distR="0" wp14:anchorId="5C18533A" wp14:editId="00C34B48">
            <wp:extent cx="5943600" cy="5557522"/>
            <wp:effectExtent l="0" t="0" r="0" b="5080"/>
            <wp:docPr id="790064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8">
                      <a:extLst>
                        <a:ext uri="{28A0092B-C50C-407E-A947-70E740481C1C}">
                          <a14:useLocalDpi xmlns:a14="http://schemas.microsoft.com/office/drawing/2010/main" val="0"/>
                        </a:ext>
                      </a:extLst>
                    </a:blip>
                    <a:stretch>
                      <a:fillRect/>
                    </a:stretch>
                  </pic:blipFill>
                  <pic:spPr>
                    <a:xfrm>
                      <a:off x="0" y="0"/>
                      <a:ext cx="5943600" cy="5557522"/>
                    </a:xfrm>
                    <a:prstGeom prst="rect">
                      <a:avLst/>
                    </a:prstGeom>
                  </pic:spPr>
                </pic:pic>
              </a:graphicData>
            </a:graphic>
          </wp:inline>
        </w:drawing>
      </w:r>
    </w:p>
    <w:p w14:paraId="0D938883" w14:textId="77777777" w:rsidR="006A4323" w:rsidRDefault="006A4323" w:rsidP="00CB2F0E">
      <w:pPr>
        <w:rPr>
          <w:b/>
        </w:rPr>
      </w:pPr>
    </w:p>
    <w:p w14:paraId="4D7F144C" w14:textId="77777777" w:rsidR="006A4323" w:rsidRDefault="006A4323" w:rsidP="00CB2F0E">
      <w:pPr>
        <w:rPr>
          <w:b/>
        </w:rPr>
      </w:pPr>
    </w:p>
    <w:p w14:paraId="4BF40359" w14:textId="77777777" w:rsidR="002A6C7A" w:rsidRDefault="002A6C7A" w:rsidP="00E2480F">
      <w:pPr>
        <w:spacing w:after="0" w:line="240" w:lineRule="auto"/>
        <w:rPr>
          <w:sz w:val="24"/>
          <w:szCs w:val="24"/>
        </w:rPr>
      </w:pPr>
    </w:p>
    <w:p w14:paraId="5AACC9DD" w14:textId="77777777" w:rsidR="002A6C7A" w:rsidRDefault="002A6C7A" w:rsidP="00E2480F">
      <w:pPr>
        <w:spacing w:after="0" w:line="240" w:lineRule="auto"/>
        <w:rPr>
          <w:sz w:val="24"/>
          <w:szCs w:val="24"/>
        </w:rPr>
      </w:pPr>
    </w:p>
    <w:p w14:paraId="0A245DF3" w14:textId="77777777" w:rsidR="002A6C7A" w:rsidRDefault="002A6C7A" w:rsidP="00E2480F">
      <w:pPr>
        <w:spacing w:after="0" w:line="240" w:lineRule="auto"/>
        <w:rPr>
          <w:sz w:val="24"/>
          <w:szCs w:val="24"/>
        </w:rPr>
      </w:pPr>
    </w:p>
    <w:p w14:paraId="7B3CEC7C" w14:textId="77777777" w:rsidR="002A6C7A" w:rsidRDefault="002A6C7A" w:rsidP="00E2480F">
      <w:pPr>
        <w:spacing w:after="0" w:line="240" w:lineRule="auto"/>
        <w:rPr>
          <w:sz w:val="24"/>
          <w:szCs w:val="24"/>
        </w:rPr>
      </w:pPr>
    </w:p>
    <w:p w14:paraId="76B35683" w14:textId="77777777" w:rsidR="002A6C7A" w:rsidRDefault="002A6C7A" w:rsidP="00E2480F">
      <w:pPr>
        <w:spacing w:after="0" w:line="240" w:lineRule="auto"/>
        <w:rPr>
          <w:sz w:val="24"/>
          <w:szCs w:val="24"/>
        </w:rPr>
      </w:pPr>
    </w:p>
    <w:p w14:paraId="0EEDDAE1" w14:textId="77777777" w:rsidR="002A6C7A" w:rsidRDefault="002A6C7A" w:rsidP="00E2480F">
      <w:pPr>
        <w:spacing w:after="0" w:line="240" w:lineRule="auto"/>
        <w:rPr>
          <w:sz w:val="24"/>
          <w:szCs w:val="24"/>
        </w:rPr>
      </w:pPr>
    </w:p>
    <w:p w14:paraId="5801B317" w14:textId="77777777" w:rsidR="002A6C7A" w:rsidRDefault="002A6C7A" w:rsidP="00E2480F">
      <w:pPr>
        <w:spacing w:after="0" w:line="240" w:lineRule="auto"/>
        <w:rPr>
          <w:sz w:val="24"/>
          <w:szCs w:val="24"/>
        </w:rPr>
      </w:pPr>
    </w:p>
    <w:p w14:paraId="44E3BE65" w14:textId="77777777" w:rsidR="002A6C7A" w:rsidRDefault="002A6C7A" w:rsidP="00E2480F">
      <w:pPr>
        <w:spacing w:after="0" w:line="240" w:lineRule="auto"/>
        <w:rPr>
          <w:sz w:val="24"/>
          <w:szCs w:val="24"/>
        </w:rPr>
      </w:pPr>
    </w:p>
    <w:p w14:paraId="30AEDD31" w14:textId="700BF677" w:rsidR="008A6D52" w:rsidRDefault="006A4323" w:rsidP="00FF3B4A">
      <w:pPr>
        <w:pStyle w:val="ListParagraph"/>
        <w:numPr>
          <w:ilvl w:val="0"/>
          <w:numId w:val="25"/>
        </w:numPr>
        <w:spacing w:before="240" w:after="240" w:line="240" w:lineRule="auto"/>
        <w:ind w:left="0" w:firstLine="0"/>
        <w:contextualSpacing w:val="0"/>
        <w:rPr>
          <w:sz w:val="24"/>
          <w:szCs w:val="24"/>
        </w:rPr>
      </w:pPr>
      <w:r w:rsidRPr="006A4323">
        <w:rPr>
          <w:sz w:val="24"/>
          <w:szCs w:val="24"/>
        </w:rPr>
        <w:lastRenderedPageBreak/>
        <w:t>As presented in the GEF-7 Programming Directions and Results Framework, the Impact Programs</w:t>
      </w:r>
      <w:r w:rsidR="003D0DAE">
        <w:rPr>
          <w:sz w:val="24"/>
          <w:szCs w:val="24"/>
        </w:rPr>
        <w:t xml:space="preserve"> </w:t>
      </w:r>
      <w:r w:rsidRPr="006A4323">
        <w:rPr>
          <w:sz w:val="24"/>
          <w:szCs w:val="24"/>
        </w:rPr>
        <w:t xml:space="preserve">deliver results on indicators 1 (terrestrial protected areas), 3 (area of land restored), 4 (landscapes with improved practices), and 6 greenhouse gas emissions mitigated). </w:t>
      </w:r>
    </w:p>
    <w:p w14:paraId="037F5441" w14:textId="7828ADF8" w:rsidR="004C3F85" w:rsidRDefault="006A4323" w:rsidP="00FF3B4A">
      <w:pPr>
        <w:pStyle w:val="ListParagraph"/>
        <w:numPr>
          <w:ilvl w:val="0"/>
          <w:numId w:val="25"/>
        </w:numPr>
        <w:spacing w:before="240" w:after="240" w:line="240" w:lineRule="auto"/>
        <w:ind w:left="0" w:firstLine="0"/>
        <w:contextualSpacing w:val="0"/>
        <w:rPr>
          <w:sz w:val="24"/>
          <w:szCs w:val="24"/>
        </w:rPr>
      </w:pPr>
      <w:r w:rsidRPr="00FF3B4A">
        <w:rPr>
          <w:snapToGrid w:val="0"/>
          <w:sz w:val="24"/>
          <w:szCs w:val="24"/>
        </w:rPr>
        <w:t>To date, the contribution of all Impact Programs to these 4 core indicators varies from 21% to</w:t>
      </w:r>
      <w:r w:rsidRPr="006A4323">
        <w:rPr>
          <w:sz w:val="24"/>
          <w:szCs w:val="24"/>
        </w:rPr>
        <w:t xml:space="preserve"> close to 70% of the entire GEF-7 targets </w:t>
      </w:r>
      <w:r w:rsidRPr="00755274">
        <w:rPr>
          <w:sz w:val="24"/>
          <w:szCs w:val="24"/>
        </w:rPr>
        <w:t>(</w:t>
      </w:r>
      <w:r w:rsidR="0069128A" w:rsidRPr="00755274">
        <w:rPr>
          <w:sz w:val="24"/>
          <w:szCs w:val="24"/>
        </w:rPr>
        <w:t xml:space="preserve">Figure </w:t>
      </w:r>
      <w:r w:rsidR="000F1D0C">
        <w:rPr>
          <w:sz w:val="24"/>
          <w:szCs w:val="24"/>
        </w:rPr>
        <w:t>7</w:t>
      </w:r>
      <w:r w:rsidRPr="00755274">
        <w:rPr>
          <w:sz w:val="24"/>
          <w:szCs w:val="24"/>
        </w:rPr>
        <w:t>),</w:t>
      </w:r>
      <w:r w:rsidRPr="006A4323">
        <w:rPr>
          <w:sz w:val="24"/>
          <w:szCs w:val="24"/>
        </w:rPr>
        <w:t xml:space="preserve"> whereas the total STAR resources programmed in the IPs only represent 23% of GEF-7 STAR target allocations.  </w:t>
      </w:r>
    </w:p>
    <w:p w14:paraId="2029255E" w14:textId="0C04DF84" w:rsidR="00A92A17" w:rsidRPr="007617FC" w:rsidRDefault="00414D11" w:rsidP="00195EFE">
      <w:pPr>
        <w:spacing w:before="240" w:after="240" w:line="240" w:lineRule="auto"/>
        <w:jc w:val="center"/>
        <w:rPr>
          <w:b/>
          <w:sz w:val="24"/>
          <w:szCs w:val="24"/>
          <w:lang w:val="en-GB"/>
        </w:rPr>
      </w:pPr>
      <w:r w:rsidRPr="004C3F85">
        <w:rPr>
          <w:b/>
          <w:sz w:val="24"/>
          <w:szCs w:val="24"/>
        </w:rPr>
        <w:t xml:space="preserve">Figure </w:t>
      </w:r>
      <w:r w:rsidR="000F1D0C">
        <w:rPr>
          <w:b/>
          <w:sz w:val="24"/>
          <w:szCs w:val="24"/>
        </w:rPr>
        <w:t>7</w:t>
      </w:r>
      <w:r w:rsidRPr="004C3F85">
        <w:rPr>
          <w:b/>
          <w:sz w:val="24"/>
          <w:szCs w:val="24"/>
          <w:lang w:val="x-none"/>
        </w:rPr>
        <w:t xml:space="preserve">. </w:t>
      </w:r>
      <w:r w:rsidRPr="004C3F85">
        <w:rPr>
          <w:b/>
          <w:sz w:val="24"/>
          <w:szCs w:val="24"/>
        </w:rPr>
        <w:t>Results</w:t>
      </w:r>
      <w:r w:rsidRPr="007617FC">
        <w:rPr>
          <w:b/>
          <w:sz w:val="24"/>
          <w:szCs w:val="24"/>
        </w:rPr>
        <w:t xml:space="preserve"> to date in GEF-7 and the contribution of Impact Programs to each core indicator, including the December 2019 Work Program</w:t>
      </w:r>
    </w:p>
    <w:p w14:paraId="780D043D" w14:textId="77C7423D" w:rsidR="007617FC" w:rsidRPr="009E5BBD" w:rsidRDefault="00A92A17" w:rsidP="00CB2F0E">
      <w:r w:rsidRPr="009E5BBD">
        <w:rPr>
          <w:noProof/>
        </w:rPr>
        <w:drawing>
          <wp:inline distT="0" distB="0" distL="0" distR="0" wp14:anchorId="640EF778" wp14:editId="7907BC1B">
            <wp:extent cx="5650032" cy="3214468"/>
            <wp:effectExtent l="0" t="0" r="8255" b="5080"/>
            <wp:docPr id="13987605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9">
                      <a:extLst>
                        <a:ext uri="{28A0092B-C50C-407E-A947-70E740481C1C}">
                          <a14:useLocalDpi xmlns:a14="http://schemas.microsoft.com/office/drawing/2010/main" val="0"/>
                        </a:ext>
                      </a:extLst>
                    </a:blip>
                    <a:stretch>
                      <a:fillRect/>
                    </a:stretch>
                  </pic:blipFill>
                  <pic:spPr>
                    <a:xfrm>
                      <a:off x="0" y="0"/>
                      <a:ext cx="5650032" cy="3214468"/>
                    </a:xfrm>
                    <a:prstGeom prst="rect">
                      <a:avLst/>
                    </a:prstGeom>
                  </pic:spPr>
                </pic:pic>
              </a:graphicData>
            </a:graphic>
          </wp:inline>
        </w:drawing>
      </w:r>
    </w:p>
    <w:p w14:paraId="43E3ECB9" w14:textId="77777777" w:rsidR="000F1D0C" w:rsidRPr="009E5BBD" w:rsidRDefault="000F1D0C" w:rsidP="00797044">
      <w:pPr>
        <w:spacing w:after="0" w:line="240" w:lineRule="auto"/>
        <w:rPr>
          <w:b/>
          <w:sz w:val="20"/>
          <w:szCs w:val="20"/>
          <w:u w:val="single"/>
        </w:rPr>
      </w:pPr>
      <w:r w:rsidRPr="009E5BBD">
        <w:rPr>
          <w:b/>
          <w:sz w:val="20"/>
          <w:szCs w:val="20"/>
          <w:u w:val="single"/>
        </w:rPr>
        <w:t>Key for Figure 7:</w:t>
      </w:r>
    </w:p>
    <w:p w14:paraId="3342E0E2" w14:textId="653A49A9" w:rsidR="000F1D0C" w:rsidRPr="009E5BBD" w:rsidRDefault="000F1D0C" w:rsidP="00797044">
      <w:pPr>
        <w:spacing w:after="0" w:line="240" w:lineRule="auto"/>
        <w:rPr>
          <w:sz w:val="20"/>
          <w:szCs w:val="20"/>
        </w:rPr>
      </w:pPr>
      <w:r w:rsidRPr="009E5BBD">
        <w:rPr>
          <w:sz w:val="20"/>
          <w:szCs w:val="20"/>
        </w:rPr>
        <w:t xml:space="preserve">Core Indicator </w:t>
      </w:r>
      <w:r w:rsidR="00797044" w:rsidRPr="009E5BBD">
        <w:rPr>
          <w:sz w:val="20"/>
          <w:szCs w:val="20"/>
        </w:rPr>
        <w:t>1</w:t>
      </w:r>
      <w:r w:rsidR="00301DDC" w:rsidRPr="009E5BBD">
        <w:rPr>
          <w:sz w:val="20"/>
          <w:szCs w:val="20"/>
        </w:rPr>
        <w:t>: Terrestrial protected areas created or under improved management for conservation and sustainable use (hectares)</w:t>
      </w:r>
    </w:p>
    <w:p w14:paraId="3E66F234" w14:textId="19D2E5A1" w:rsidR="00797044" w:rsidRPr="009E5BBD" w:rsidRDefault="00797044" w:rsidP="00797044">
      <w:pPr>
        <w:spacing w:after="0" w:line="240" w:lineRule="auto"/>
        <w:rPr>
          <w:sz w:val="20"/>
          <w:szCs w:val="20"/>
        </w:rPr>
      </w:pPr>
      <w:r w:rsidRPr="009E5BBD">
        <w:rPr>
          <w:sz w:val="20"/>
          <w:szCs w:val="20"/>
        </w:rPr>
        <w:t>Core Indicator 2</w:t>
      </w:r>
      <w:r w:rsidR="005D51F0" w:rsidRPr="009E5BBD">
        <w:rPr>
          <w:sz w:val="20"/>
          <w:szCs w:val="20"/>
        </w:rPr>
        <w:t>: Marine protected areas created or under improved management for conservation and sustainable use (hectares)</w:t>
      </w:r>
    </w:p>
    <w:p w14:paraId="24CE5CCF" w14:textId="3C05D226" w:rsidR="00797044" w:rsidRPr="009E5BBD" w:rsidRDefault="00797044" w:rsidP="00797044">
      <w:pPr>
        <w:spacing w:after="0" w:line="240" w:lineRule="auto"/>
        <w:rPr>
          <w:sz w:val="20"/>
          <w:szCs w:val="20"/>
        </w:rPr>
      </w:pPr>
      <w:r w:rsidRPr="009E5BBD">
        <w:rPr>
          <w:sz w:val="20"/>
          <w:szCs w:val="20"/>
        </w:rPr>
        <w:t>Core Indicator 3</w:t>
      </w:r>
      <w:r w:rsidR="00FA11A4" w:rsidRPr="009E5BBD">
        <w:rPr>
          <w:sz w:val="20"/>
          <w:szCs w:val="20"/>
        </w:rPr>
        <w:t>: Area of land restored (hectares)</w:t>
      </w:r>
    </w:p>
    <w:p w14:paraId="43A8525F" w14:textId="49EDABBA" w:rsidR="00797044" w:rsidRPr="009E5BBD" w:rsidRDefault="00797044" w:rsidP="00797044">
      <w:pPr>
        <w:spacing w:after="0" w:line="240" w:lineRule="auto"/>
        <w:rPr>
          <w:sz w:val="20"/>
          <w:szCs w:val="20"/>
        </w:rPr>
      </w:pPr>
      <w:r w:rsidRPr="009E5BBD">
        <w:rPr>
          <w:sz w:val="20"/>
          <w:szCs w:val="20"/>
        </w:rPr>
        <w:t>Core Indicator 4</w:t>
      </w:r>
      <w:r w:rsidR="00950398" w:rsidRPr="009E5BBD">
        <w:rPr>
          <w:sz w:val="20"/>
          <w:szCs w:val="20"/>
        </w:rPr>
        <w:t>: Area of landscapes under improved practices (hectares; excluding protected areas)</w:t>
      </w:r>
    </w:p>
    <w:p w14:paraId="024988C0" w14:textId="015DEDC9" w:rsidR="00797044" w:rsidRPr="009E5BBD" w:rsidRDefault="00797044" w:rsidP="00797044">
      <w:pPr>
        <w:spacing w:after="0" w:line="240" w:lineRule="auto"/>
        <w:rPr>
          <w:sz w:val="20"/>
          <w:szCs w:val="20"/>
        </w:rPr>
      </w:pPr>
      <w:r w:rsidRPr="009E5BBD">
        <w:rPr>
          <w:sz w:val="20"/>
          <w:szCs w:val="20"/>
        </w:rPr>
        <w:t>Core Indicator 5</w:t>
      </w:r>
      <w:r w:rsidR="0005795A" w:rsidRPr="009E5BBD">
        <w:rPr>
          <w:sz w:val="20"/>
          <w:szCs w:val="20"/>
        </w:rPr>
        <w:t>: Area of marine habitat under improved practices to benefit biodiversity (hectares; excluding protected areas)</w:t>
      </w:r>
    </w:p>
    <w:p w14:paraId="7F33C7C3" w14:textId="4EF08B92" w:rsidR="00797044" w:rsidRPr="009E5BBD" w:rsidRDefault="00797044" w:rsidP="00797044">
      <w:pPr>
        <w:spacing w:after="0" w:line="240" w:lineRule="auto"/>
        <w:rPr>
          <w:sz w:val="20"/>
          <w:szCs w:val="20"/>
        </w:rPr>
      </w:pPr>
      <w:r w:rsidRPr="009E5BBD">
        <w:rPr>
          <w:sz w:val="20"/>
          <w:szCs w:val="20"/>
        </w:rPr>
        <w:t>Core Indicator 6</w:t>
      </w:r>
      <w:r w:rsidR="003839E5" w:rsidRPr="009E5BBD">
        <w:rPr>
          <w:sz w:val="20"/>
          <w:szCs w:val="20"/>
        </w:rPr>
        <w:t>: Greenhouse Gas Emissions Mitigated (metric tons of carbon dioxide equivalent)</w:t>
      </w:r>
    </w:p>
    <w:p w14:paraId="42017D7D" w14:textId="533F40BA" w:rsidR="00797044" w:rsidRPr="009E5BBD" w:rsidRDefault="00797044" w:rsidP="00797044">
      <w:pPr>
        <w:spacing w:after="0" w:line="240" w:lineRule="auto"/>
        <w:rPr>
          <w:sz w:val="20"/>
          <w:szCs w:val="20"/>
        </w:rPr>
      </w:pPr>
      <w:r w:rsidRPr="009E5BBD">
        <w:rPr>
          <w:sz w:val="20"/>
          <w:szCs w:val="20"/>
        </w:rPr>
        <w:t>Core Indicator 7</w:t>
      </w:r>
      <w:r w:rsidR="007C58B8" w:rsidRPr="009E5BBD">
        <w:rPr>
          <w:sz w:val="20"/>
          <w:szCs w:val="20"/>
        </w:rPr>
        <w:t>: Number of shared water ecosystems (fresh or marine) under new or improved cooperative management</w:t>
      </w:r>
    </w:p>
    <w:p w14:paraId="7296B59F" w14:textId="302B723E" w:rsidR="00797044" w:rsidRPr="009E5BBD" w:rsidRDefault="00797044" w:rsidP="00797044">
      <w:pPr>
        <w:spacing w:after="0" w:line="240" w:lineRule="auto"/>
        <w:rPr>
          <w:sz w:val="20"/>
          <w:szCs w:val="20"/>
        </w:rPr>
      </w:pPr>
      <w:r w:rsidRPr="009E5BBD">
        <w:rPr>
          <w:sz w:val="20"/>
          <w:szCs w:val="20"/>
        </w:rPr>
        <w:t>Core Indicator 8</w:t>
      </w:r>
      <w:r w:rsidR="00546B04" w:rsidRPr="009E5BBD">
        <w:rPr>
          <w:sz w:val="20"/>
          <w:szCs w:val="20"/>
        </w:rPr>
        <w:t>: Globally over-exploited fisheries moved to more sustainable levels (metric tons)</w:t>
      </w:r>
    </w:p>
    <w:p w14:paraId="38BBBF11" w14:textId="46F2FDA6" w:rsidR="00797044" w:rsidRPr="009E5BBD" w:rsidRDefault="00797044" w:rsidP="00797044">
      <w:pPr>
        <w:spacing w:after="0" w:line="240" w:lineRule="auto"/>
        <w:rPr>
          <w:sz w:val="20"/>
          <w:szCs w:val="20"/>
        </w:rPr>
      </w:pPr>
      <w:r w:rsidRPr="009E5BBD">
        <w:rPr>
          <w:sz w:val="20"/>
          <w:szCs w:val="20"/>
        </w:rPr>
        <w:t>Core Indicator 9</w:t>
      </w:r>
      <w:r w:rsidR="00B34DC4" w:rsidRPr="009E5BBD">
        <w:rPr>
          <w:sz w:val="20"/>
          <w:szCs w:val="20"/>
        </w:rPr>
        <w:t>: Reduction, disposal/destruction, phase out, elimination, and avoidance of chemicals of global concern and their waste in the environment and in processes, materials, and products (metric tons of toxic chemicals reduced)</w:t>
      </w:r>
    </w:p>
    <w:p w14:paraId="6D110D57" w14:textId="242ECFED" w:rsidR="00797044" w:rsidRDefault="00797044" w:rsidP="00797044">
      <w:pPr>
        <w:spacing w:after="0" w:line="240" w:lineRule="auto"/>
        <w:rPr>
          <w:sz w:val="20"/>
          <w:szCs w:val="20"/>
        </w:rPr>
      </w:pPr>
      <w:r w:rsidRPr="009E5BBD">
        <w:rPr>
          <w:sz w:val="20"/>
          <w:szCs w:val="20"/>
        </w:rPr>
        <w:t>Core Indicator 10</w:t>
      </w:r>
      <w:r w:rsidR="00057945" w:rsidRPr="009E5BBD">
        <w:rPr>
          <w:sz w:val="20"/>
          <w:szCs w:val="20"/>
        </w:rPr>
        <w:t>: Reduction</w:t>
      </w:r>
      <w:r w:rsidR="00057945" w:rsidRPr="00BE18CC">
        <w:rPr>
          <w:sz w:val="20"/>
          <w:szCs w:val="20"/>
        </w:rPr>
        <w:t xml:space="preserve">, avoidance of emissions of POPs to air from point and non-point sources (grams of toxic equivalent </w:t>
      </w:r>
      <w:proofErr w:type="spellStart"/>
      <w:r w:rsidR="00057945" w:rsidRPr="00BE18CC">
        <w:rPr>
          <w:sz w:val="20"/>
          <w:szCs w:val="20"/>
        </w:rPr>
        <w:t>gTEQ</w:t>
      </w:r>
      <w:proofErr w:type="spellEnd"/>
      <w:r w:rsidR="00057945" w:rsidRPr="00BE18CC">
        <w:rPr>
          <w:sz w:val="20"/>
          <w:szCs w:val="20"/>
        </w:rPr>
        <w:t>)</w:t>
      </w:r>
    </w:p>
    <w:p w14:paraId="34D0B2BB" w14:textId="77777777" w:rsidR="00D17AEF" w:rsidRPr="00756593" w:rsidRDefault="00D17AEF" w:rsidP="00797044">
      <w:pPr>
        <w:spacing w:after="0" w:line="240" w:lineRule="auto"/>
        <w:rPr>
          <w:sz w:val="20"/>
          <w:szCs w:val="20"/>
        </w:rPr>
      </w:pPr>
    </w:p>
    <w:p w14:paraId="21715966" w14:textId="45679030" w:rsidR="00DF0187" w:rsidRPr="00F354D2" w:rsidRDefault="00DF0187" w:rsidP="000C09D1">
      <w:pPr>
        <w:pStyle w:val="Heading1"/>
        <w:numPr>
          <w:ilvl w:val="0"/>
          <w:numId w:val="27"/>
        </w:numPr>
      </w:pPr>
      <w:bookmarkStart w:id="59" w:name="_Toc32494935"/>
      <w:r w:rsidRPr="00F354D2">
        <w:lastRenderedPageBreak/>
        <w:t>Results from the GEF Independent Evaluation Office</w:t>
      </w:r>
      <w:bookmarkEnd w:id="59"/>
      <w:r w:rsidRPr="00F354D2">
        <w:t xml:space="preserve"> </w:t>
      </w:r>
    </w:p>
    <w:p w14:paraId="0DFF7547" w14:textId="787C9DC5" w:rsidR="00BB7B5B" w:rsidRPr="00DF0187" w:rsidRDefault="00DF0187" w:rsidP="001B2F27">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bookmarkStart w:id="60" w:name="_Hlk32089239"/>
      <w:r w:rsidRPr="001B2F27">
        <w:rPr>
          <w:rFonts w:ascii="Calibri" w:eastAsia="Times New Roman" w:hAnsi="Calibri" w:cs="Calibri"/>
          <w:sz w:val="24"/>
          <w:szCs w:val="24"/>
          <w:lang w:val="en"/>
        </w:rPr>
        <w:t>During</w:t>
      </w:r>
      <w:r w:rsidRPr="00FF3B4A">
        <w:rPr>
          <w:snapToGrid w:val="0"/>
          <w:sz w:val="24"/>
          <w:szCs w:val="24"/>
        </w:rPr>
        <w:t xml:space="preserve"> the reporting period, the Independent Evaluation Office of the GEF (IEO) conducted four</w:t>
      </w:r>
      <w:r w:rsidRPr="00DF0187">
        <w:rPr>
          <w:rFonts w:ascii="Calibri" w:eastAsia="Times New Roman" w:hAnsi="Calibri" w:cs="Calibri"/>
          <w:sz w:val="24"/>
          <w:szCs w:val="24"/>
          <w:lang w:val="en"/>
        </w:rPr>
        <w:t xml:space="preserve"> evaluations and reviews that are of relevance to the biodiversity focal area. The key messages from these evaluations are summarized below.</w:t>
      </w:r>
    </w:p>
    <w:p w14:paraId="3D63E9FC" w14:textId="5E740ED8" w:rsidR="00DF0187" w:rsidRDefault="00DF0187" w:rsidP="00105FB1">
      <w:pPr>
        <w:pStyle w:val="Heading3"/>
        <w:rPr>
          <w:lang w:val="en"/>
        </w:rPr>
      </w:pPr>
      <w:bookmarkStart w:id="61" w:name="_Toc32494936"/>
      <w:bookmarkEnd w:id="60"/>
      <w:r w:rsidRPr="00DF0187">
        <w:rPr>
          <w:lang w:val="en"/>
        </w:rPr>
        <w:t>Evaluation of GEF's Support to Mainstreaming Biodiversity 2018</w:t>
      </w:r>
      <w:r w:rsidRPr="00DF0187">
        <w:rPr>
          <w:vertAlign w:val="superscript"/>
          <w:lang w:val="en"/>
        </w:rPr>
        <w:footnoteReference w:id="24"/>
      </w:r>
      <w:bookmarkEnd w:id="61"/>
    </w:p>
    <w:p w14:paraId="3D144635" w14:textId="77777777" w:rsidR="00DF0187" w:rsidRPr="00DF0187" w:rsidRDefault="00DF0187" w:rsidP="00FF3B4A">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DF0187">
        <w:rPr>
          <w:rFonts w:ascii="Calibri" w:eastAsia="Times New Roman" w:hAnsi="Calibri" w:cs="Calibri"/>
          <w:sz w:val="24"/>
          <w:szCs w:val="24"/>
          <w:lang w:val="en"/>
        </w:rPr>
        <w:t>The evaluation was undertaken to assess the overall performance and effectiveness of GEF biodiversity mainstreaming–related projects, drawing on the portfolio of 471 projects, and three country case studies conducted in Colombia, India, and South Africa capturing the experiences from GEF-3 through GEF-6.</w:t>
      </w:r>
    </w:p>
    <w:p w14:paraId="4DD63B0A" w14:textId="77777777" w:rsidR="00DF0187" w:rsidRPr="00DF0187" w:rsidRDefault="00DF0187" w:rsidP="00FF3B4A">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FF3B4A">
        <w:rPr>
          <w:snapToGrid w:val="0"/>
          <w:sz w:val="24"/>
          <w:szCs w:val="24"/>
        </w:rPr>
        <w:t>At the time of the evaluation, the biodiversity mainstreaming portfolio composed of 471</w:t>
      </w:r>
      <w:r w:rsidRPr="00DF0187">
        <w:rPr>
          <w:rFonts w:ascii="Calibri" w:eastAsia="Times New Roman" w:hAnsi="Calibri" w:cs="Calibri"/>
          <w:sz w:val="24"/>
          <w:szCs w:val="24"/>
          <w:lang w:val="en"/>
        </w:rPr>
        <w:t xml:space="preserve"> projects totaling $2.34 billion in grants and $12.73 billion in co-financing. The evaluation reported that the mainstreaming portfolio increased substantially in GEF-6 from previous replenishment periods, comprising 51 percent of projects and 55 percent of the funding. It also noted that mainstreaming biodiversity was the GEF’s largest portfolio, surpassing the size of the protected areas and protected area systems portfolio in GEF-6</w:t>
      </w:r>
      <w:r w:rsidRPr="00DF0187">
        <w:rPr>
          <w:rFonts w:ascii="Calibri" w:eastAsia="Times New Roman" w:hAnsi="Calibri" w:cs="Calibri"/>
          <w:b/>
          <w:sz w:val="24"/>
          <w:szCs w:val="24"/>
          <w:lang w:val="en"/>
        </w:rPr>
        <w:t>.</w:t>
      </w:r>
    </w:p>
    <w:p w14:paraId="2EA3DC08" w14:textId="77777777" w:rsidR="00DF0187" w:rsidRPr="00DF0187" w:rsidRDefault="00DF0187" w:rsidP="00707CDE">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DF0187">
        <w:rPr>
          <w:rFonts w:ascii="Calibri" w:eastAsia="Times New Roman" w:hAnsi="Calibri" w:cs="Calibri"/>
          <w:sz w:val="24"/>
          <w:szCs w:val="24"/>
          <w:lang w:val="en"/>
        </w:rPr>
        <w:t>The evaluation stated that the regional distribution of biodiversity mainstreaming support was generally consistent with patterns of globally significant biodiversity. Through the various replenishment periods. GEF biodiversity mainstreaming support has appropriately focused on Asia and the Pacific and Latin America and the Caribbean regions, followed by Africa. The report noted that almost three-quarters of mainstreaming interventions focus on encouraging the inclusion of biodiversity-friendly activities in production practices, and over half of the projects with mainstreaming biodiversity objectives are implemented in the forestry and agriculture sectors.</w:t>
      </w:r>
    </w:p>
    <w:p w14:paraId="5F3CD9E0" w14:textId="77777777" w:rsidR="00DF0187" w:rsidRPr="00DF0187" w:rsidRDefault="00DF0187" w:rsidP="00FF3B4A">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FF3B4A">
        <w:rPr>
          <w:snapToGrid w:val="0"/>
          <w:sz w:val="24"/>
          <w:szCs w:val="24"/>
        </w:rPr>
        <w:t>GEF</w:t>
      </w:r>
      <w:r w:rsidRPr="00DF0187">
        <w:rPr>
          <w:rFonts w:ascii="Calibri" w:eastAsia="Times New Roman" w:hAnsi="Calibri" w:cs="Calibri"/>
          <w:sz w:val="24"/>
          <w:szCs w:val="24"/>
          <w:lang w:val="en"/>
        </w:rPr>
        <w:t xml:space="preserve"> mainstreaming projects are explicitly designed to address recognized threats to biodiversity to mitigate their effects on the biodiversity of global importance. Projects pursued this objective through diverse approaches which included the extension of landscape management practices, agroforestry and sustainable production systems, and biological connectivity linking vulnerable forests to protected areas. Implementation strategies were integrative and multitiered. </w:t>
      </w:r>
    </w:p>
    <w:p w14:paraId="3C7F3E57" w14:textId="77777777" w:rsidR="00DF0187" w:rsidRP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FA726F">
        <w:rPr>
          <w:snapToGrid w:val="0"/>
          <w:sz w:val="24"/>
          <w:szCs w:val="24"/>
        </w:rPr>
        <w:t>The</w:t>
      </w:r>
      <w:r w:rsidRPr="00DF0187">
        <w:rPr>
          <w:rFonts w:ascii="Calibri" w:eastAsia="Times New Roman" w:hAnsi="Calibri" w:cs="Calibri"/>
          <w:sz w:val="24"/>
          <w:szCs w:val="24"/>
          <w:lang w:val="en"/>
        </w:rPr>
        <w:t xml:space="preserve"> evaluation stated that project experiences validate the GEF’s theory of change model for biodiversity mainstreaming in diverse contexts, it is reflected in programming trends over successive cycles, and the model recognizes the dynamic and nonlinear process of </w:t>
      </w:r>
      <w:r w:rsidRPr="00DF0187">
        <w:rPr>
          <w:rFonts w:ascii="Calibri" w:eastAsia="Times New Roman" w:hAnsi="Calibri" w:cs="Calibri"/>
          <w:sz w:val="24"/>
          <w:szCs w:val="24"/>
          <w:lang w:val="en"/>
        </w:rPr>
        <w:lastRenderedPageBreak/>
        <w:t xml:space="preserve">mainstreaming. However, the evaluation notes the need for a more systematic application of the theory of change in project implementation. </w:t>
      </w:r>
    </w:p>
    <w:p w14:paraId="788772E2" w14:textId="77777777" w:rsidR="00DF0187" w:rsidRP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DF0187">
        <w:rPr>
          <w:rFonts w:ascii="Calibri" w:eastAsia="Times New Roman" w:hAnsi="Calibri" w:cs="Calibri"/>
          <w:sz w:val="24"/>
          <w:szCs w:val="24"/>
          <w:lang w:val="en"/>
        </w:rPr>
        <w:t>The evaluation reports that GEF’s biodiversity mainstreaming portfolio has been very relevant and has played a significant role in the implementation of the mandate of the global Convention on Biological Diversity and its member countries. The GEF has been instrumental in supporting national policy reform and planning frameworks that promote biodiversity considerations across sectors and territories.  In terms of performance, GEF projects have successfully elevated</w:t>
      </w:r>
      <w:r w:rsidRPr="00DF0187">
        <w:rPr>
          <w:rFonts w:ascii="Calibri" w:eastAsia="Times New Roman" w:hAnsi="Calibri" w:cs="Calibri"/>
          <w:sz w:val="24"/>
          <w:szCs w:val="24"/>
          <w:vertAlign w:val="superscript"/>
          <w:lang w:val="en"/>
        </w:rPr>
        <w:footnoteReference w:id="25"/>
      </w:r>
      <w:r w:rsidRPr="00DF0187">
        <w:rPr>
          <w:rFonts w:ascii="Calibri" w:eastAsia="Times New Roman" w:hAnsi="Calibri" w:cs="Calibri"/>
          <w:sz w:val="24"/>
          <w:szCs w:val="24"/>
          <w:lang w:val="en"/>
        </w:rPr>
        <w:t xml:space="preserve"> biodiversity conservation to targeted sectors, institutions, policies, and territories with globally significant biodiversity. The report also highlighted how a smaller cohort of projects and national partners were successfully accelerating</w:t>
      </w:r>
      <w:r w:rsidRPr="00DF0187">
        <w:rPr>
          <w:rFonts w:ascii="Calibri" w:eastAsia="Times New Roman" w:hAnsi="Calibri" w:cs="Calibri"/>
          <w:sz w:val="24"/>
          <w:szCs w:val="24"/>
          <w:vertAlign w:val="superscript"/>
          <w:lang w:val="en"/>
        </w:rPr>
        <w:footnoteReference w:id="26"/>
      </w:r>
      <w:r w:rsidRPr="00DF0187">
        <w:rPr>
          <w:rFonts w:ascii="Calibri" w:eastAsia="Times New Roman" w:hAnsi="Calibri" w:cs="Calibri"/>
          <w:sz w:val="24"/>
          <w:szCs w:val="24"/>
          <w:lang w:val="en"/>
        </w:rPr>
        <w:t xml:space="preserve"> biodiversity mainstreaming across sectors, institutions, and territories. Mainstreaming processes are gaining in scale and momentum and have started to affect systemic levels. </w:t>
      </w:r>
    </w:p>
    <w:p w14:paraId="7F4F3BCA" w14:textId="77777777" w:rsidR="00DF0187" w:rsidRP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DF0187">
        <w:rPr>
          <w:rFonts w:ascii="Calibri" w:eastAsia="Times New Roman" w:hAnsi="Calibri" w:cs="Calibri"/>
          <w:sz w:val="24"/>
          <w:szCs w:val="24"/>
          <w:lang w:val="en"/>
        </w:rPr>
        <w:t>Positive features that facilitated mainstreaming include the presence of preconditions including well-developed policy and regulatory frameworks for biodiversity conservation, recognized and capable scientific research institutions and expertise, and favorable political contexts. The progress achieved in mainstreaming biodiversity was directly influenced by intervening factors that were both directly related to the project’s implementation performance—efficiency, timely output delivery, monitoring, and adaptive management—as well as external to the immediate project context—national capacities and institutional commitment, governance cycles, and political and policy conditions.</w:t>
      </w:r>
    </w:p>
    <w:p w14:paraId="1DB59F9C" w14:textId="5F4B12C7" w:rsidR="00DF0187" w:rsidRP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FA726F">
        <w:rPr>
          <w:snapToGrid w:val="0"/>
          <w:sz w:val="24"/>
          <w:szCs w:val="24"/>
        </w:rPr>
        <w:t>The</w:t>
      </w:r>
      <w:r w:rsidRPr="00DF0187">
        <w:rPr>
          <w:rFonts w:ascii="Calibri" w:eastAsia="Times New Roman" w:hAnsi="Calibri" w:cs="Calibri"/>
          <w:sz w:val="24"/>
          <w:szCs w:val="24"/>
          <w:lang w:val="en"/>
        </w:rPr>
        <w:t xml:space="preserve"> GEF biodiversity mainstreaming portfolio has contributed to legal-environmental, regulatory, governance, and socioeconomic additionalities that go beyond incremental cost benefits. These include innovative approaches based on multi</w:t>
      </w:r>
      <w:r w:rsidR="008524DB">
        <w:rPr>
          <w:rFonts w:ascii="Calibri" w:eastAsia="Times New Roman" w:hAnsi="Calibri" w:cs="Calibri"/>
          <w:sz w:val="24"/>
          <w:szCs w:val="24"/>
          <w:lang w:val="en"/>
        </w:rPr>
        <w:t>-</w:t>
      </w:r>
      <w:r w:rsidRPr="00DF0187">
        <w:rPr>
          <w:rFonts w:ascii="Calibri" w:eastAsia="Times New Roman" w:hAnsi="Calibri" w:cs="Calibri"/>
          <w:sz w:val="24"/>
          <w:szCs w:val="24"/>
          <w:lang w:val="en"/>
        </w:rPr>
        <w:t>stakeholder partnerships linking grassroots organizations to regional research institutions, advocacy platforms, and national environmental authorities. However, the evaluation also mentioned the challenges of capturing additionalities—such as socioeconomic and environmental impacts deriving from GEF’s support.</w:t>
      </w:r>
    </w:p>
    <w:p w14:paraId="5BB8D473" w14:textId="77777777" w:rsidR="00DF0187" w:rsidRP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DF0187">
        <w:rPr>
          <w:rFonts w:ascii="Calibri" w:eastAsia="Times New Roman" w:hAnsi="Calibri" w:cs="Calibri"/>
          <w:sz w:val="24"/>
          <w:szCs w:val="24"/>
          <w:lang w:val="en"/>
        </w:rPr>
        <w:t>The evaluation points to the need for greater focus on quantitative measures particularly for outcomes and impacts. The evaluation observed that the GEF-7 core indicators and sub-indicators are a step in the right direction but are not adequate to capture the socioeconomic benefits, financial flow, and policy and regulatory reforms influenced by GEF interventions.</w:t>
      </w:r>
    </w:p>
    <w:p w14:paraId="7315C3B4" w14:textId="5B893C34" w:rsidR="006135B8" w:rsidRPr="00BB7B5B"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FA726F">
        <w:rPr>
          <w:snapToGrid w:val="0"/>
          <w:sz w:val="24"/>
          <w:szCs w:val="24"/>
        </w:rPr>
        <w:t>The</w:t>
      </w:r>
      <w:r w:rsidRPr="00DF0187">
        <w:rPr>
          <w:rFonts w:ascii="Calibri" w:eastAsia="Times New Roman" w:hAnsi="Calibri" w:cs="Calibri"/>
          <w:sz w:val="24"/>
          <w:szCs w:val="24"/>
          <w:lang w:val="en"/>
        </w:rPr>
        <w:t xml:space="preserve"> evaluation had 3 main recommendations (1) design mainstreaming interventions with a longer-term perspective and a resource envelope to ensure sustainability (2) improve and strengthen M&amp;E design and implementation to capture environmental, socioeconomic, </w:t>
      </w:r>
      <w:r w:rsidRPr="00DF0187">
        <w:rPr>
          <w:rFonts w:ascii="Calibri" w:eastAsia="Times New Roman" w:hAnsi="Calibri" w:cs="Calibri"/>
          <w:sz w:val="24"/>
          <w:szCs w:val="24"/>
          <w:lang w:val="en"/>
        </w:rPr>
        <w:lastRenderedPageBreak/>
        <w:t>financial, and policy and regulatory outcomes to assess performance, benefits, and trade-offs; and for adaptive management (3) the GEF should continue to leverage its convening power to improve policy design and process and strengthen inter-ministerial and intersectoral collaboration for mainstreaming biodiversity.</w:t>
      </w:r>
    </w:p>
    <w:p w14:paraId="2E75D80B" w14:textId="04175C45" w:rsidR="00DF0187" w:rsidRPr="00DF0187" w:rsidRDefault="00DF0187" w:rsidP="00DF0187">
      <w:pPr>
        <w:shd w:val="clear" w:color="auto" w:fill="FFFFFF"/>
        <w:spacing w:before="120" w:after="0" w:line="240" w:lineRule="auto"/>
        <w:rPr>
          <w:rFonts w:ascii="Calibri" w:eastAsia="Times New Roman" w:hAnsi="Calibri" w:cs="Calibri"/>
          <w:b/>
          <w:color w:val="222222"/>
          <w:sz w:val="24"/>
          <w:szCs w:val="24"/>
          <w:lang w:val="en"/>
        </w:rPr>
      </w:pPr>
      <w:r w:rsidRPr="00DF0187">
        <w:rPr>
          <w:rFonts w:ascii="Calibri" w:eastAsia="Times New Roman" w:hAnsi="Calibri" w:cs="Calibri"/>
          <w:b/>
          <w:color w:val="222222"/>
          <w:sz w:val="24"/>
          <w:szCs w:val="24"/>
          <w:lang w:val="en"/>
        </w:rPr>
        <w:t>Formative Review of the IAPs, July 2018</w:t>
      </w:r>
      <w:r w:rsidRPr="00DF0187">
        <w:rPr>
          <w:rFonts w:ascii="Calibri" w:eastAsia="Times New Roman" w:hAnsi="Calibri" w:cs="Calibri"/>
          <w:b/>
          <w:color w:val="222222"/>
          <w:sz w:val="24"/>
          <w:szCs w:val="24"/>
          <w:vertAlign w:val="superscript"/>
          <w:lang w:val="en"/>
        </w:rPr>
        <w:footnoteReference w:id="27"/>
      </w:r>
    </w:p>
    <w:p w14:paraId="79EDF56F" w14:textId="77777777" w:rsidR="00DF0187" w:rsidRP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color w:val="222222"/>
          <w:sz w:val="24"/>
          <w:szCs w:val="24"/>
          <w:lang w:val="en"/>
        </w:rPr>
      </w:pPr>
      <w:r w:rsidRPr="00DF0187">
        <w:rPr>
          <w:rFonts w:ascii="Calibri" w:eastAsia="Times New Roman" w:hAnsi="Calibri" w:cs="Calibri"/>
          <w:color w:val="222222"/>
          <w:sz w:val="24"/>
          <w:szCs w:val="24"/>
          <w:lang w:val="en"/>
        </w:rPr>
        <w:t>The formative review of the three integrated approach pilots (IAPs) - Sustainable Cities IAP, Fostering Sustainability and Resilience for Food Security in Sub-Saharan Africa - An Integrated Approach, and Taking Deforestation Out of Commodity Supply Chains - introduced in GEF-6 provided lessons and highlighted key good practices and areas for improvement to inform future GEF programs.</w:t>
      </w:r>
    </w:p>
    <w:p w14:paraId="38EDA28E" w14:textId="77777777" w:rsidR="00DF0187" w:rsidRP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color w:val="222222"/>
          <w:sz w:val="24"/>
          <w:szCs w:val="24"/>
          <w:lang w:val="en"/>
        </w:rPr>
      </w:pPr>
      <w:r w:rsidRPr="00FA726F">
        <w:rPr>
          <w:snapToGrid w:val="0"/>
          <w:sz w:val="24"/>
          <w:szCs w:val="24"/>
        </w:rPr>
        <w:t>The</w:t>
      </w:r>
      <w:r w:rsidRPr="00DF0187">
        <w:rPr>
          <w:rFonts w:ascii="Calibri" w:eastAsia="Times New Roman" w:hAnsi="Calibri" w:cs="Calibri"/>
          <w:color w:val="222222"/>
          <w:sz w:val="24"/>
          <w:szCs w:val="24"/>
          <w:lang w:val="en"/>
        </w:rPr>
        <w:t xml:space="preserve"> review reported observation of positive examples of alignment with country priorities through adequate entry points while noting that the strategy risks sidelining some focal areas. The review found that the commodities IAP child projects aligned with specific government priorities while the Food Security IAP showed synergies across biodiversity, climate change, and land degradation, with financial allocations clearly favoring the latter as an entry point. The report indicated that the biodiversity and climate change focal areas were included as more of an afterthought in project design. The review found that the drivers of the Cities IAP connect local urban sustainability priorities to climate change mitigation, biodiversity, and chemicals. It mentioned that the initial ambition of the Cities IAP was for a greater synergy, which was not pursued later in design. As per the review, taking deforestation out of commodity supply chains is addressed through interventions in the focal areas of biodiversity and climate change, as well as support for sustainable forest management.</w:t>
      </w:r>
    </w:p>
    <w:p w14:paraId="53820D4E" w14:textId="6F70A18E" w:rsid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color w:val="222222"/>
          <w:sz w:val="24"/>
          <w:szCs w:val="24"/>
          <w:lang w:val="en"/>
        </w:rPr>
      </w:pPr>
      <w:r w:rsidRPr="00DF0187">
        <w:rPr>
          <w:rFonts w:ascii="Calibri" w:eastAsia="Times New Roman" w:hAnsi="Calibri" w:cs="Calibri"/>
          <w:color w:val="222222"/>
          <w:sz w:val="24"/>
          <w:szCs w:val="24"/>
          <w:lang w:val="en"/>
        </w:rPr>
        <w:t>The review highlighted that integrated programming to tackle the main drivers of environmental degradation through the IAPs enables addressing the objectives of multiple conventions while allowing participating countries to address national environmental priorities. The report observed that all child projects of the IAPs responded to the multilateral environmental agreements and convention decisions referenced in the GEF-6 Programming Directions. The initiatives were mainly in support of biodiversity, land degradation, sustainable forest management, and climate change adaptation. The review highlighted that although the IAPs could respond across the focal areas, each convention has different demands and mandates, so the mediation and sidelining of some objectives occurred, and opportunities for stronger integration of focal areas were missed. Also, according to the review the degree to which programs aligned with national environmental priorities helped to increase program ownership at the country level through adequate entry points. The report noted that the GEF ensured that the IAPs were relevant to the participating countries while meeting the requirements of the conventions.</w:t>
      </w:r>
    </w:p>
    <w:p w14:paraId="6884A661" w14:textId="0E4B9171" w:rsidR="00DF0187" w:rsidRPr="00DF0187" w:rsidRDefault="00DF0187" w:rsidP="000C09D1">
      <w:pPr>
        <w:pStyle w:val="Heading2"/>
      </w:pPr>
      <w:bookmarkStart w:id="62" w:name="_Toc32494937"/>
      <w:r w:rsidRPr="00DF0187">
        <w:lastRenderedPageBreak/>
        <w:t>Evaluation of GEF Support for Transformational Change</w:t>
      </w:r>
      <w:r w:rsidRPr="00DF0187">
        <w:rPr>
          <w:vertAlign w:val="superscript"/>
        </w:rPr>
        <w:footnoteReference w:id="28"/>
      </w:r>
      <w:bookmarkEnd w:id="62"/>
    </w:p>
    <w:p w14:paraId="43EFD185" w14:textId="77777777" w:rsidR="00DF0187" w:rsidRP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DF0187">
        <w:rPr>
          <w:rFonts w:ascii="Calibri" w:eastAsia="Times New Roman" w:hAnsi="Calibri" w:cs="Calibri"/>
          <w:sz w:val="24"/>
          <w:szCs w:val="24"/>
          <w:lang w:val="en"/>
        </w:rPr>
        <w:t>Supporting transformational change is one of the strategic priorities of the GEF, including the GEF’s biodiversity focal area. The evaluation reviewed GEF experience in promoting transformational change and identified contributing factors. The purpose was to disseminate the findings for learning and to help the GEF and partner organizations to assess project and program concepts in advance to determine their probability for supporting their transformational change and how their designs could be strengthened.</w:t>
      </w:r>
    </w:p>
    <w:p w14:paraId="6245C5F0" w14:textId="77777777" w:rsidR="00DF0187" w:rsidRP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FA726F">
        <w:rPr>
          <w:snapToGrid w:val="0"/>
          <w:sz w:val="24"/>
          <w:szCs w:val="24"/>
        </w:rPr>
        <w:t>The</w:t>
      </w:r>
      <w:r w:rsidRPr="00DF0187">
        <w:rPr>
          <w:rFonts w:ascii="Calibri" w:eastAsia="Times New Roman" w:hAnsi="Calibri" w:cs="Calibri"/>
          <w:sz w:val="24"/>
          <w:szCs w:val="24"/>
          <w:lang w:val="en"/>
        </w:rPr>
        <w:t xml:space="preserve"> evaluation was based on a purposive sample of completed projects that were screened for meeting the criteria</w:t>
      </w:r>
      <w:r w:rsidRPr="00DF0187">
        <w:rPr>
          <w:rFonts w:ascii="Calibri" w:eastAsia="Times New Roman" w:hAnsi="Calibri" w:cs="Calibri"/>
          <w:sz w:val="24"/>
          <w:szCs w:val="24"/>
          <w:vertAlign w:val="superscript"/>
          <w:lang w:val="en"/>
        </w:rPr>
        <w:footnoteReference w:id="29"/>
      </w:r>
      <w:r w:rsidRPr="00DF0187">
        <w:rPr>
          <w:rFonts w:ascii="Calibri" w:eastAsia="Times New Roman" w:hAnsi="Calibri" w:cs="Calibri"/>
          <w:sz w:val="24"/>
          <w:szCs w:val="24"/>
          <w:lang w:val="en"/>
        </w:rPr>
        <w:t xml:space="preserve"> for transformational change and verified through independent project-level evaluations. Out of an initial set of 156 projects nominated by GEF Agencies, eight illustrative cases were selected </w:t>
      </w:r>
      <w:proofErr w:type="gramStart"/>
      <w:r w:rsidRPr="00DF0187">
        <w:rPr>
          <w:rFonts w:ascii="Calibri" w:eastAsia="Times New Roman" w:hAnsi="Calibri" w:cs="Calibri"/>
          <w:sz w:val="24"/>
          <w:szCs w:val="24"/>
          <w:lang w:val="en"/>
        </w:rPr>
        <w:t>taking into account</w:t>
      </w:r>
      <w:proofErr w:type="gramEnd"/>
      <w:r w:rsidRPr="00DF0187">
        <w:rPr>
          <w:rFonts w:ascii="Calibri" w:eastAsia="Times New Roman" w:hAnsi="Calibri" w:cs="Calibri"/>
          <w:sz w:val="24"/>
          <w:szCs w:val="24"/>
          <w:lang w:val="en"/>
        </w:rPr>
        <w:t xml:space="preserve"> their diversity in focus, regional distribution, and agency. The final sample included four cases with financing from the biodiversity focal area: </w:t>
      </w:r>
      <w:proofErr w:type="spellStart"/>
      <w:r w:rsidRPr="00DF0187">
        <w:rPr>
          <w:rFonts w:ascii="Calibri" w:eastAsia="Times New Roman" w:hAnsi="Calibri" w:cs="Calibri"/>
          <w:sz w:val="24"/>
          <w:szCs w:val="24"/>
          <w:lang w:val="en"/>
        </w:rPr>
        <w:t>Sanjiang</w:t>
      </w:r>
      <w:proofErr w:type="spellEnd"/>
      <w:r w:rsidRPr="00DF0187">
        <w:rPr>
          <w:rFonts w:ascii="Calibri" w:eastAsia="Times New Roman" w:hAnsi="Calibri" w:cs="Calibri"/>
          <w:sz w:val="24"/>
          <w:szCs w:val="24"/>
          <w:lang w:val="en"/>
        </w:rPr>
        <w:t xml:space="preserve"> Plain Wetlands Protection Project (China), Strengthening the Protected Area Systems in Namibia, Amazon Regional Protected Areas Program, Phase I (ARPA-I) (Brazil), and Promoting Payments for Environmental Services and Related Sustainable Financing Schemes in the Danube Basin (Bulgaria, Romania).</w:t>
      </w:r>
    </w:p>
    <w:p w14:paraId="63C2F8C9" w14:textId="174C01B2" w:rsid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DF0187">
        <w:rPr>
          <w:rFonts w:ascii="Calibri" w:eastAsia="Times New Roman" w:hAnsi="Calibri" w:cs="Calibri"/>
          <w:sz w:val="24"/>
          <w:szCs w:val="24"/>
          <w:lang w:val="en"/>
        </w:rPr>
        <w:t>The evaluation identified several factors contributing to transformational change that are relevant to biodiversity interventions. First, the interventions that achieved transformational change had ambitious objectives in terms of aiming at fundamental changes in addressing a market distortion or a systemic bottleneck that was a root cause for an environmental issue of global environmental concern. Second, the adequacy of the policy environment had an important impact on the depth and scale of reforms promoted by all transformational interventions. Third, the interventions that achieve transformation establish a mechanism for financial sustainability by integrating within government budgetary systems or by leveraging market forces and key stakeholders’ economic interests. Fourth, another common feature of interventions that achieved transformational change is that they all had good quality of project design, supervision by GEF Agency, and the effectiveness of implementation and execution. Some salient features that drive the quality include comprehensive diagnostic assessments to identify barriers to be addressed; coherent designs to target all identified barriers; early involvement of strong executing agencies that own project objectives and are willing to learn, adjust, and adapt the design, scope, and management as needed to ensure success. Lastly, transformation can be achieved by projects of different sizes.</w:t>
      </w:r>
    </w:p>
    <w:p w14:paraId="2CDCBF03" w14:textId="2E07E6D3" w:rsidR="00DF0187" w:rsidRPr="00DF0187" w:rsidRDefault="00DF0187" w:rsidP="000C09D1">
      <w:pPr>
        <w:pStyle w:val="Heading2"/>
      </w:pPr>
      <w:bookmarkStart w:id="63" w:name="_Hlk32092104"/>
      <w:bookmarkStart w:id="64" w:name="_Toc32494938"/>
      <w:r w:rsidRPr="00DF0187">
        <w:lastRenderedPageBreak/>
        <w:t xml:space="preserve">Evaluation of GEF Support to Scaling up Impact </w:t>
      </w:r>
      <w:bookmarkEnd w:id="63"/>
      <w:r w:rsidRPr="00DF0187">
        <w:t>2019</w:t>
      </w:r>
      <w:r w:rsidRPr="00DF0187">
        <w:rPr>
          <w:vertAlign w:val="superscript"/>
        </w:rPr>
        <w:footnoteReference w:id="30"/>
      </w:r>
      <w:bookmarkEnd w:id="64"/>
    </w:p>
    <w:p w14:paraId="2B989615" w14:textId="77777777" w:rsidR="00DF0187" w:rsidRPr="00DF0187" w:rsidRDefault="00DF0187" w:rsidP="00FA726F">
      <w:pPr>
        <w:pStyle w:val="ListParagraph"/>
        <w:numPr>
          <w:ilvl w:val="0"/>
          <w:numId w:val="25"/>
        </w:numPr>
        <w:spacing w:before="240" w:after="240" w:line="240" w:lineRule="auto"/>
        <w:ind w:left="0" w:firstLine="0"/>
        <w:contextualSpacing w:val="0"/>
        <w:rPr>
          <w:rFonts w:ascii="Calibri" w:eastAsia="Times New Roman" w:hAnsi="Calibri" w:cs="Calibri"/>
          <w:sz w:val="24"/>
          <w:szCs w:val="24"/>
          <w:lang w:val="en"/>
        </w:rPr>
      </w:pPr>
      <w:r w:rsidRPr="00DF0187">
        <w:rPr>
          <w:rFonts w:ascii="Calibri" w:eastAsia="Times New Roman" w:hAnsi="Calibri" w:cs="Calibri"/>
          <w:sz w:val="24"/>
          <w:szCs w:val="24"/>
          <w:lang w:val="en"/>
        </w:rPr>
        <w:t>This evaluation aimed to understand better and draw lessons on the processes through which scaling up occurs and the conditions under which it is effectively achieved. The evaluation drew evidence from the previous experiences of the GEF in scaling up. The evaluation assessed a total of 20 cases wherein positive quantitative scaling up outcomes were reported and influencing factors could be identified. Also, the evaluation included 40 additional cases with varying degrees of quantitative and qualitative information. Visits to completed GEF-supported projects were carried out in three countries: Costa Rica, Macedonia and Mauritius.</w:t>
      </w:r>
    </w:p>
    <w:p w14:paraId="17C25BC1" w14:textId="77777777" w:rsidR="00DF0187" w:rsidRPr="00DF0187" w:rsidRDefault="00DF0187" w:rsidP="00105FB1">
      <w:pPr>
        <w:numPr>
          <w:ilvl w:val="0"/>
          <w:numId w:val="17"/>
        </w:numPr>
        <w:tabs>
          <w:tab w:val="left" w:pos="1350"/>
        </w:tabs>
        <w:spacing w:before="120" w:after="120" w:line="240" w:lineRule="auto"/>
        <w:ind w:left="1080"/>
        <w:rPr>
          <w:rFonts w:ascii="Calibri" w:eastAsia="Times New Roman" w:hAnsi="Calibri" w:cs="Calibri"/>
          <w:sz w:val="24"/>
          <w:szCs w:val="24"/>
          <w:lang w:val="en"/>
        </w:rPr>
      </w:pPr>
      <w:r w:rsidRPr="00DF0187">
        <w:rPr>
          <w:rFonts w:ascii="Calibri" w:eastAsia="Times New Roman" w:hAnsi="Calibri" w:cs="Calibri"/>
          <w:sz w:val="24"/>
          <w:szCs w:val="24"/>
          <w:lang w:val="en"/>
        </w:rPr>
        <w:t xml:space="preserve">In the biodiversity focal area, the report found that the standardized outcomes were as much as 74.5 times higher in the scaling-up stage than in the piloting stage within the same case. The report noted that all biodiversity cases aimed to increase biodiversity conservation through various types of interventions. </w:t>
      </w:r>
      <w:bookmarkStart w:id="65" w:name="_1fob9te" w:colFirst="0" w:colLast="0"/>
      <w:bookmarkStart w:id="66" w:name="_3znysh7" w:colFirst="0" w:colLast="0"/>
      <w:bookmarkEnd w:id="65"/>
      <w:bookmarkEnd w:id="66"/>
    </w:p>
    <w:p w14:paraId="1646B077" w14:textId="664BCE83" w:rsidR="00DF0187" w:rsidRPr="00DF0187" w:rsidRDefault="00DF0187" w:rsidP="00105FB1">
      <w:pPr>
        <w:numPr>
          <w:ilvl w:val="0"/>
          <w:numId w:val="17"/>
        </w:numPr>
        <w:tabs>
          <w:tab w:val="left" w:pos="1350"/>
        </w:tabs>
        <w:spacing w:before="120" w:after="120" w:line="240" w:lineRule="auto"/>
        <w:ind w:left="1080"/>
        <w:rPr>
          <w:rFonts w:ascii="Calibri" w:eastAsia="Times New Roman" w:hAnsi="Calibri" w:cs="Calibri"/>
          <w:sz w:val="24"/>
          <w:szCs w:val="24"/>
          <w:lang w:val="en"/>
        </w:rPr>
      </w:pPr>
      <w:r w:rsidRPr="00DF0187">
        <w:rPr>
          <w:rFonts w:ascii="Calibri" w:eastAsia="Times New Roman" w:hAnsi="Calibri" w:cs="Calibri"/>
          <w:sz w:val="24"/>
          <w:szCs w:val="24"/>
          <w:lang w:val="en"/>
        </w:rPr>
        <w:t>The evaluation found that the median time period over which the GEF provided support was ten years, with some scaling-up outcomes achieved in as short a time as 3.5 years and some in as long as 18 years. Other cases reviewed by the evaluation received GEF support for as long as 25 years or more, with higher targets for the scale of outcomes and geographic area. The evaluation highlighted that successful scaling-up takes about 10 to 15 years of sustained effort also confirmed by the broader experience in literature and stakeholder interviews.</w:t>
      </w:r>
      <w:bookmarkStart w:id="67" w:name="_30j0zll" w:colFirst="0" w:colLast="0"/>
      <w:bookmarkEnd w:id="67"/>
    </w:p>
    <w:p w14:paraId="43DDC814" w14:textId="77777777" w:rsidR="00192AA9" w:rsidRDefault="00192AA9" w:rsidP="00192AA9"/>
    <w:p w14:paraId="07909D75" w14:textId="77777777" w:rsidR="00192AA9" w:rsidRDefault="00192AA9" w:rsidP="00192AA9"/>
    <w:p w14:paraId="122E3ABF" w14:textId="5F24F15B" w:rsidR="00192AA9" w:rsidRDefault="000F4FCC" w:rsidP="00192AA9">
      <w:pPr>
        <w:jc w:val="center"/>
        <w:rPr>
          <w:b/>
        </w:rPr>
      </w:pPr>
      <w:r>
        <w:rPr>
          <w:b/>
        </w:rPr>
        <w:t>__________</w:t>
      </w:r>
    </w:p>
    <w:p w14:paraId="46C277BE" w14:textId="77777777" w:rsidR="00192AA9" w:rsidRDefault="00192AA9" w:rsidP="00192AA9">
      <w:pPr>
        <w:jc w:val="center"/>
        <w:rPr>
          <w:b/>
        </w:rPr>
      </w:pPr>
    </w:p>
    <w:p w14:paraId="0756ECE6" w14:textId="77777777" w:rsidR="00192AA9" w:rsidRDefault="00192AA9" w:rsidP="00192AA9">
      <w:pPr>
        <w:jc w:val="center"/>
        <w:rPr>
          <w:b/>
        </w:rPr>
      </w:pPr>
    </w:p>
    <w:p w14:paraId="7D33A4EA" w14:textId="77777777" w:rsidR="00192AA9" w:rsidRDefault="00192AA9" w:rsidP="00192AA9">
      <w:pPr>
        <w:jc w:val="center"/>
        <w:rPr>
          <w:b/>
        </w:rPr>
      </w:pPr>
    </w:p>
    <w:p w14:paraId="660A4D4C" w14:textId="77777777" w:rsidR="00192AA9" w:rsidRDefault="00192AA9" w:rsidP="00192AA9">
      <w:pPr>
        <w:jc w:val="center"/>
        <w:rPr>
          <w:b/>
        </w:rPr>
      </w:pPr>
    </w:p>
    <w:p w14:paraId="3C6497D9" w14:textId="77777777" w:rsidR="00192AA9" w:rsidRDefault="00192AA9" w:rsidP="00192AA9">
      <w:pPr>
        <w:jc w:val="center"/>
        <w:rPr>
          <w:b/>
        </w:rPr>
      </w:pPr>
    </w:p>
    <w:p w14:paraId="0EC624C1" w14:textId="77777777" w:rsidR="00192AA9" w:rsidRDefault="00192AA9" w:rsidP="00192AA9">
      <w:pPr>
        <w:jc w:val="center"/>
        <w:rPr>
          <w:b/>
        </w:rPr>
      </w:pPr>
    </w:p>
    <w:p w14:paraId="6C528F9B" w14:textId="1604CA52" w:rsidR="005A4EA4" w:rsidRPr="0015143C" w:rsidRDefault="005A4EA4" w:rsidP="007207AF">
      <w:pPr>
        <w:jc w:val="center"/>
        <w:rPr>
          <w:b/>
          <w:sz w:val="24"/>
          <w:szCs w:val="24"/>
        </w:rPr>
      </w:pPr>
    </w:p>
    <w:sectPr w:rsidR="005A4EA4" w:rsidRPr="0015143C" w:rsidSect="007207AF">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B92DA" w14:textId="77777777" w:rsidR="00B42E55" w:rsidRDefault="00B42E55" w:rsidP="00CB2F0E">
      <w:pPr>
        <w:spacing w:after="0" w:line="240" w:lineRule="auto"/>
      </w:pPr>
      <w:r>
        <w:separator/>
      </w:r>
    </w:p>
  </w:endnote>
  <w:endnote w:type="continuationSeparator" w:id="0">
    <w:p w14:paraId="45462741" w14:textId="77777777" w:rsidR="00B42E55" w:rsidRDefault="00B42E55" w:rsidP="00CB2F0E">
      <w:pPr>
        <w:spacing w:after="0" w:line="240" w:lineRule="auto"/>
      </w:pPr>
      <w:r>
        <w:continuationSeparator/>
      </w:r>
    </w:p>
  </w:endnote>
  <w:endnote w:type="continuationNotice" w:id="1">
    <w:p w14:paraId="1304802E" w14:textId="77777777" w:rsidR="00B42E55" w:rsidRDefault="00B42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018572"/>
      <w:docPartObj>
        <w:docPartGallery w:val="Page Numbers (Bottom of Page)"/>
        <w:docPartUnique/>
      </w:docPartObj>
    </w:sdtPr>
    <w:sdtEndPr>
      <w:rPr>
        <w:noProof/>
      </w:rPr>
    </w:sdtEndPr>
    <w:sdtContent>
      <w:p w14:paraId="5D812A3C" w14:textId="77777777" w:rsidR="00483FC9" w:rsidRPr="00345956" w:rsidRDefault="00483FC9" w:rsidP="00483FC9">
        <w:pPr>
          <w:pStyle w:val="Footer"/>
          <w:jc w:val="center"/>
        </w:pPr>
        <w:r w:rsidRPr="00345956">
          <w:fldChar w:fldCharType="begin"/>
        </w:r>
        <w:r w:rsidRPr="00345956">
          <w:instrText xml:space="preserve"> PAGE   \* MERGEFORMAT </w:instrText>
        </w:r>
        <w:r w:rsidRPr="00345956">
          <w:fldChar w:fldCharType="separate"/>
        </w:r>
        <w:r>
          <w:t>1</w:t>
        </w:r>
        <w:r w:rsidRPr="00345956">
          <w:rPr>
            <w:noProof/>
          </w:rPr>
          <w:fldChar w:fldCharType="end"/>
        </w:r>
      </w:p>
    </w:sdtContent>
  </w:sdt>
  <w:p w14:paraId="0D1BE81E" w14:textId="77777777" w:rsidR="00483FC9" w:rsidRDefault="00483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1819" w14:textId="0081F76C" w:rsidR="00D879EE" w:rsidRPr="009230D9" w:rsidRDefault="00D879EE">
    <w:pPr>
      <w:pStyle w:val="Footer"/>
      <w:jc w:val="center"/>
      <w:rPr>
        <w:sz w:val="20"/>
        <w:szCs w:val="20"/>
      </w:rPr>
    </w:pPr>
  </w:p>
  <w:p w14:paraId="364CADA5" w14:textId="77777777" w:rsidR="00D879EE" w:rsidRDefault="00D87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87514"/>
      <w:docPartObj>
        <w:docPartGallery w:val="Page Numbers (Bottom of Page)"/>
        <w:docPartUnique/>
      </w:docPartObj>
    </w:sdtPr>
    <w:sdtEndPr>
      <w:rPr>
        <w:noProof/>
      </w:rPr>
    </w:sdtEndPr>
    <w:sdtContent>
      <w:p w14:paraId="461DE720" w14:textId="77777777" w:rsidR="0096056B" w:rsidRPr="00345956" w:rsidRDefault="0096056B">
        <w:pPr>
          <w:pStyle w:val="Footer"/>
          <w:jc w:val="center"/>
        </w:pPr>
        <w:r w:rsidRPr="00345956">
          <w:fldChar w:fldCharType="begin"/>
        </w:r>
        <w:r w:rsidRPr="00345956">
          <w:instrText xml:space="preserve"> PAGE   \* MERGEFORMAT </w:instrText>
        </w:r>
        <w:r w:rsidRPr="00345956">
          <w:fldChar w:fldCharType="separate"/>
        </w:r>
        <w:r w:rsidRPr="00345956">
          <w:rPr>
            <w:noProof/>
          </w:rPr>
          <w:t>2</w:t>
        </w:r>
        <w:r w:rsidRPr="00345956">
          <w:rPr>
            <w:noProof/>
          </w:rPr>
          <w:fldChar w:fldCharType="end"/>
        </w:r>
      </w:p>
    </w:sdtContent>
  </w:sdt>
  <w:p w14:paraId="0438817B" w14:textId="77777777" w:rsidR="0096056B" w:rsidRPr="00345956" w:rsidRDefault="009605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326062"/>
      <w:docPartObj>
        <w:docPartGallery w:val="Page Numbers (Bottom of Page)"/>
        <w:docPartUnique/>
      </w:docPartObj>
    </w:sdtPr>
    <w:sdtEndPr>
      <w:rPr>
        <w:noProof/>
        <w:szCs w:val="20"/>
      </w:rPr>
    </w:sdtEndPr>
    <w:sdtContent>
      <w:p w14:paraId="68F61A9D" w14:textId="77777777" w:rsidR="003560C8" w:rsidRPr="00345956" w:rsidRDefault="003560C8">
        <w:pPr>
          <w:pStyle w:val="Footer"/>
          <w:jc w:val="center"/>
          <w:rPr>
            <w:szCs w:val="20"/>
          </w:rPr>
        </w:pPr>
        <w:r w:rsidRPr="00345956">
          <w:rPr>
            <w:szCs w:val="20"/>
          </w:rPr>
          <w:fldChar w:fldCharType="begin"/>
        </w:r>
        <w:r w:rsidRPr="00345956">
          <w:rPr>
            <w:szCs w:val="20"/>
          </w:rPr>
          <w:instrText xml:space="preserve"> PAGE   \* MERGEFORMAT </w:instrText>
        </w:r>
        <w:r w:rsidRPr="00345956">
          <w:rPr>
            <w:szCs w:val="20"/>
          </w:rPr>
          <w:fldChar w:fldCharType="separate"/>
        </w:r>
        <w:r w:rsidRPr="00345956">
          <w:rPr>
            <w:noProof/>
            <w:szCs w:val="20"/>
          </w:rPr>
          <w:t>2</w:t>
        </w:r>
        <w:r w:rsidRPr="00345956">
          <w:rPr>
            <w:noProof/>
            <w:szCs w:val="20"/>
          </w:rPr>
          <w:fldChar w:fldCharType="end"/>
        </w:r>
      </w:p>
    </w:sdtContent>
  </w:sdt>
  <w:p w14:paraId="4467E8E7" w14:textId="77777777" w:rsidR="003560C8" w:rsidRDefault="00356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0341C" w14:textId="77777777" w:rsidR="00B42E55" w:rsidRDefault="00B42E55" w:rsidP="00CB2F0E">
      <w:pPr>
        <w:spacing w:after="0" w:line="240" w:lineRule="auto"/>
      </w:pPr>
      <w:r>
        <w:separator/>
      </w:r>
    </w:p>
  </w:footnote>
  <w:footnote w:type="continuationSeparator" w:id="0">
    <w:p w14:paraId="581DA56A" w14:textId="77777777" w:rsidR="00B42E55" w:rsidRDefault="00B42E55" w:rsidP="00CB2F0E">
      <w:pPr>
        <w:spacing w:after="0" w:line="240" w:lineRule="auto"/>
      </w:pPr>
      <w:r>
        <w:continuationSeparator/>
      </w:r>
    </w:p>
  </w:footnote>
  <w:footnote w:type="continuationNotice" w:id="1">
    <w:p w14:paraId="690F287F" w14:textId="77777777" w:rsidR="00B42E55" w:rsidRDefault="00B42E55">
      <w:pPr>
        <w:spacing w:after="0" w:line="240" w:lineRule="auto"/>
      </w:pPr>
    </w:p>
  </w:footnote>
  <w:footnote w:id="2">
    <w:p w14:paraId="3B20E88E" w14:textId="77777777" w:rsidR="00AF2846" w:rsidRPr="00513C2B" w:rsidRDefault="00AF2846">
      <w:pPr>
        <w:pStyle w:val="FootnoteText"/>
        <w:rPr>
          <w:kern w:val="18"/>
        </w:rPr>
      </w:pPr>
      <w:r w:rsidRPr="00513C2B">
        <w:rPr>
          <w:rStyle w:val="FootnoteReference"/>
        </w:rPr>
        <w:t>*</w:t>
      </w:r>
      <w:r w:rsidRPr="00513C2B">
        <w:t xml:space="preserve"> CBD/SBI/3/1.</w:t>
      </w:r>
    </w:p>
  </w:footnote>
  <w:footnote w:id="3">
    <w:p w14:paraId="572F5852" w14:textId="2A25EFDA" w:rsidR="00925734" w:rsidRPr="00925734" w:rsidRDefault="00925734">
      <w:pPr>
        <w:pStyle w:val="FootnoteText"/>
      </w:pPr>
      <w:r w:rsidRPr="00925734">
        <w:rPr>
          <w:rStyle w:val="FootnoteReference"/>
        </w:rPr>
        <w:footnoteRef/>
      </w:r>
      <w:r w:rsidRPr="00925734">
        <w:t xml:space="preserve">  </w:t>
      </w:r>
      <w:r>
        <w:t>See</w:t>
      </w:r>
      <w:r w:rsidRPr="0084309D">
        <w:t xml:space="preserve"> Decision XIV/23</w:t>
      </w:r>
      <w:r>
        <w:t>.</w:t>
      </w:r>
    </w:p>
  </w:footnote>
  <w:footnote w:id="4">
    <w:p w14:paraId="77214B73" w14:textId="77777777" w:rsidR="008D1A97" w:rsidRDefault="008D1A97">
      <w:pPr>
        <w:pStyle w:val="FootnoteText"/>
      </w:pPr>
      <w:r>
        <w:rPr>
          <w:rStyle w:val="FootnoteReference"/>
        </w:rPr>
        <w:footnoteRef/>
      </w:r>
      <w:r>
        <w:t xml:space="preserve"> </w:t>
      </w:r>
      <w:r w:rsidRPr="002C0C1F">
        <w:t>GEF, 201</w:t>
      </w:r>
      <w:r>
        <w:t>8</w:t>
      </w:r>
      <w:r w:rsidRPr="002C0C1F">
        <w:t xml:space="preserve">, </w:t>
      </w:r>
      <w:hyperlink r:id="rId1" w:history="1">
        <w:r>
          <w:rPr>
            <w:rStyle w:val="Hyperlink"/>
          </w:rPr>
          <w:t>Updated Results Architecture for GEF-7</w:t>
        </w:r>
      </w:hyperlink>
      <w:r>
        <w:t xml:space="preserve">, </w:t>
      </w:r>
      <w:r w:rsidRPr="001C2AC3">
        <w:t>GEF/C.54/11/Rev.02</w:t>
      </w:r>
      <w:r>
        <w:t>.</w:t>
      </w:r>
    </w:p>
  </w:footnote>
  <w:footnote w:id="5">
    <w:p w14:paraId="1BFA9E08" w14:textId="32880D77" w:rsidR="00121F26" w:rsidRDefault="00121F26">
      <w:pPr>
        <w:pStyle w:val="FootnoteText"/>
      </w:pPr>
      <w:r>
        <w:rPr>
          <w:rStyle w:val="FootnoteReference"/>
        </w:rPr>
        <w:footnoteRef/>
      </w:r>
      <w:r>
        <w:t xml:space="preserve"> </w:t>
      </w:r>
      <w:r w:rsidR="00800DBB">
        <w:t xml:space="preserve">GEF, 2019, </w:t>
      </w:r>
      <w:hyperlink r:id="rId2" w:history="1">
        <w:r w:rsidR="00E4505D">
          <w:rPr>
            <w:rStyle w:val="Hyperlink"/>
          </w:rPr>
          <w:t>Work Program for GEF Trust Fund</w:t>
        </w:r>
      </w:hyperlink>
      <w:r w:rsidR="00E4505D">
        <w:t xml:space="preserve">, </w:t>
      </w:r>
      <w:r w:rsidR="00E4505D" w:rsidRPr="00E4505D">
        <w:t>GEF/C.57/07</w:t>
      </w:r>
      <w:r w:rsidR="00E4505D">
        <w:t>.</w:t>
      </w:r>
    </w:p>
  </w:footnote>
  <w:footnote w:id="6">
    <w:p w14:paraId="4205B6AA" w14:textId="77777777" w:rsidR="00D879EE" w:rsidRPr="00E64E3B" w:rsidRDefault="00D879EE">
      <w:pPr>
        <w:pStyle w:val="FootnoteText"/>
      </w:pPr>
      <w:r w:rsidRPr="00E64E3B">
        <w:rPr>
          <w:rStyle w:val="FootnoteReference"/>
        </w:rPr>
        <w:footnoteRef/>
      </w:r>
      <w:r w:rsidRPr="00E64E3B">
        <w:t xml:space="preserve"> The figures include agency fees and project preparation grants.</w:t>
      </w:r>
    </w:p>
  </w:footnote>
  <w:footnote w:id="7">
    <w:p w14:paraId="0262F37D" w14:textId="4328FCBB" w:rsidR="00D879EE" w:rsidRPr="00F87BF7" w:rsidRDefault="00D879EE">
      <w:pPr>
        <w:pStyle w:val="FootnoteText"/>
      </w:pPr>
      <w:r w:rsidRPr="009C6183">
        <w:rPr>
          <w:rStyle w:val="FootnoteReference"/>
        </w:rPr>
        <w:footnoteRef/>
      </w:r>
      <w:r w:rsidRPr="009C6183">
        <w:rPr>
          <w:vertAlign w:val="superscript"/>
        </w:rPr>
        <w:t xml:space="preserve"> </w:t>
      </w:r>
      <w:r w:rsidRPr="009636E5">
        <w:t xml:space="preserve">These figures do not include agency fees or </w:t>
      </w:r>
      <w:r>
        <w:t xml:space="preserve">PPGs. </w:t>
      </w:r>
    </w:p>
    <w:p w14:paraId="2923B7C3" w14:textId="77777777" w:rsidR="00D879EE" w:rsidRPr="009636E5" w:rsidRDefault="00D879EE">
      <w:pPr>
        <w:pStyle w:val="FootnoteText"/>
      </w:pPr>
    </w:p>
  </w:footnote>
  <w:footnote w:id="8">
    <w:p w14:paraId="5A1FAE53" w14:textId="6E4DC5D1" w:rsidR="002F3F78" w:rsidRDefault="002F3F78">
      <w:pPr>
        <w:pStyle w:val="FootnoteText"/>
      </w:pPr>
      <w:r>
        <w:rPr>
          <w:rStyle w:val="FootnoteReference"/>
        </w:rPr>
        <w:footnoteRef/>
      </w:r>
      <w:r>
        <w:t xml:space="preserve"> The STAR allocations reported in this row represent</w:t>
      </w:r>
      <w:r w:rsidRPr="00240283">
        <w:t xml:space="preserve"> biodiversity focal area projects and multi-focal area projects using biodiversity resources that are not part of the</w:t>
      </w:r>
      <w:r>
        <w:t xml:space="preserve"> Impact Programs.</w:t>
      </w:r>
    </w:p>
  </w:footnote>
  <w:footnote w:id="9">
    <w:p w14:paraId="060B2D9B" w14:textId="3046F3CE" w:rsidR="00D879EE" w:rsidRDefault="00D879EE">
      <w:pPr>
        <w:pStyle w:val="FootnoteText"/>
      </w:pPr>
      <w:r>
        <w:rPr>
          <w:rStyle w:val="FootnoteReference"/>
        </w:rPr>
        <w:footnoteRef/>
      </w:r>
      <w:r>
        <w:t xml:space="preserve"> </w:t>
      </w:r>
      <w:r w:rsidR="0089790E" w:rsidRPr="0089790E">
        <w:t>These figures do not include agency fees or PPGs.</w:t>
      </w:r>
    </w:p>
  </w:footnote>
  <w:footnote w:id="10">
    <w:p w14:paraId="1AA01AB2" w14:textId="51B07E2D" w:rsidR="00D879EE" w:rsidRDefault="00D879EE">
      <w:pPr>
        <w:pStyle w:val="FootnoteText"/>
      </w:pPr>
      <w:r>
        <w:rPr>
          <w:rStyle w:val="FootnoteReference"/>
        </w:rPr>
        <w:footnoteRef/>
      </w:r>
      <w:r>
        <w:t xml:space="preserve"> </w:t>
      </w:r>
      <w:r w:rsidRPr="005B7CFC">
        <w:t xml:space="preserve">These figures include the full amount of the </w:t>
      </w:r>
      <w:r w:rsidR="00852C83">
        <w:t xml:space="preserve">PPGs </w:t>
      </w:r>
      <w:r w:rsidRPr="005B7CFC">
        <w:t>for programmatic approaches that include biodiversity resources.</w:t>
      </w:r>
    </w:p>
  </w:footnote>
  <w:footnote w:id="11">
    <w:p w14:paraId="6EA3132B" w14:textId="28A0037B" w:rsidR="00D879EE" w:rsidRPr="009636E5" w:rsidRDefault="00D879EE">
      <w:pPr>
        <w:pStyle w:val="FootnoteText"/>
      </w:pPr>
      <w:r w:rsidRPr="009C6183">
        <w:rPr>
          <w:rStyle w:val="FootnoteReference"/>
        </w:rPr>
        <w:footnoteRef/>
      </w:r>
      <w:r w:rsidRPr="009C6183">
        <w:rPr>
          <w:vertAlign w:val="superscript"/>
        </w:rPr>
        <w:t xml:space="preserve"> </w:t>
      </w:r>
      <w:r w:rsidRPr="009636E5">
        <w:t xml:space="preserve">These figures do not include agency fees or </w:t>
      </w:r>
      <w:r>
        <w:t>PPGs.</w:t>
      </w:r>
    </w:p>
  </w:footnote>
  <w:footnote w:id="12">
    <w:p w14:paraId="09E86936" w14:textId="6F7AB219" w:rsidR="00D879EE" w:rsidRPr="002C4A00" w:rsidRDefault="00D879EE">
      <w:pPr>
        <w:pStyle w:val="FootnoteText"/>
      </w:pPr>
      <w:r w:rsidRPr="009C6183">
        <w:rPr>
          <w:rStyle w:val="FootnoteReference"/>
        </w:rPr>
        <w:footnoteRef/>
      </w:r>
      <w:r w:rsidRPr="009C6183">
        <w:rPr>
          <w:vertAlign w:val="superscript"/>
        </w:rPr>
        <w:t xml:space="preserve"> </w:t>
      </w:r>
      <w:r w:rsidRPr="002C4A00">
        <w:t xml:space="preserve">These figures do not include agency fees or </w:t>
      </w:r>
      <w:r>
        <w:t>PPGs</w:t>
      </w:r>
      <w:r w:rsidRPr="002C4A00">
        <w:t>.</w:t>
      </w:r>
    </w:p>
  </w:footnote>
  <w:footnote w:id="13">
    <w:p w14:paraId="3418E382" w14:textId="0208423C" w:rsidR="00D879EE" w:rsidRPr="009636E5" w:rsidRDefault="00D879EE">
      <w:pPr>
        <w:pStyle w:val="FootnoteText"/>
      </w:pPr>
      <w:r w:rsidRPr="009C6183">
        <w:rPr>
          <w:rStyle w:val="FootnoteReference"/>
        </w:rPr>
        <w:footnoteRef/>
      </w:r>
      <w:r w:rsidRPr="009C6183">
        <w:rPr>
          <w:vertAlign w:val="superscript"/>
        </w:rPr>
        <w:t xml:space="preserve"> </w:t>
      </w:r>
      <w:r w:rsidRPr="009636E5">
        <w:t xml:space="preserve">These figures do not include agency fees or </w:t>
      </w:r>
      <w:r w:rsidRPr="009D765B">
        <w:t>project preparation grant amounts as these amounts cannot be associated with specific Aichi Targets.</w:t>
      </w:r>
    </w:p>
  </w:footnote>
  <w:footnote w:id="14">
    <w:p w14:paraId="39DCB01E" w14:textId="0BD02177" w:rsidR="00D879EE" w:rsidRPr="00A01188" w:rsidRDefault="00D879EE">
      <w:pPr>
        <w:pStyle w:val="FootnoteText"/>
      </w:pPr>
      <w:r w:rsidRPr="009C6183">
        <w:rPr>
          <w:rStyle w:val="FootnoteReference"/>
        </w:rPr>
        <w:footnoteRef/>
      </w:r>
      <w:r w:rsidRPr="009C6183">
        <w:rPr>
          <w:vertAlign w:val="superscript"/>
        </w:rPr>
        <w:t xml:space="preserve"> </w:t>
      </w:r>
      <w:r w:rsidRPr="00A01188">
        <w:t xml:space="preserve">These figures do not include agency fees or </w:t>
      </w:r>
      <w:r w:rsidR="006F2C32">
        <w:t>PPGs</w:t>
      </w:r>
      <w:proofErr w:type="gramStart"/>
      <w:r w:rsidR="006F2C32">
        <w:t xml:space="preserve">. </w:t>
      </w:r>
      <w:r w:rsidRPr="00A01188">
        <w:t>.</w:t>
      </w:r>
      <w:proofErr w:type="gramEnd"/>
    </w:p>
  </w:footnote>
  <w:footnote w:id="15">
    <w:p w14:paraId="625D4A16" w14:textId="158FE99B" w:rsidR="00D879EE" w:rsidRPr="00E50FC6" w:rsidRDefault="00D879EE">
      <w:pPr>
        <w:pStyle w:val="FootnoteText"/>
      </w:pPr>
      <w:r w:rsidRPr="009C6183">
        <w:rPr>
          <w:rStyle w:val="FootnoteReference"/>
        </w:rPr>
        <w:footnoteRef/>
      </w:r>
      <w:r w:rsidRPr="009C6183">
        <w:rPr>
          <w:vertAlign w:val="superscript"/>
        </w:rPr>
        <w:t xml:space="preserve"> </w:t>
      </w:r>
      <w:r w:rsidRPr="009636E5">
        <w:t>These figures do not include agency fees or</w:t>
      </w:r>
      <w:r>
        <w:t xml:space="preserve"> PPGs.</w:t>
      </w:r>
    </w:p>
  </w:footnote>
  <w:footnote w:id="16">
    <w:p w14:paraId="26BCA44D" w14:textId="77777777" w:rsidR="00D879EE" w:rsidRPr="009636E5" w:rsidRDefault="00D879EE">
      <w:pPr>
        <w:pStyle w:val="FootnoteText"/>
      </w:pPr>
      <w:r w:rsidRPr="009C6183">
        <w:rPr>
          <w:rStyle w:val="FootnoteReference"/>
        </w:rPr>
        <w:footnoteRef/>
      </w:r>
      <w:r w:rsidRPr="009636E5">
        <w:t>These figures do not include agency fees or project preparation grant amounts as these amounts can</w:t>
      </w:r>
      <w:r>
        <w:t>’t be associated with specific Aichi Targets</w:t>
      </w:r>
      <w:r w:rsidRPr="009636E5">
        <w:t xml:space="preserve">. </w:t>
      </w:r>
    </w:p>
  </w:footnote>
  <w:footnote w:id="17">
    <w:p w14:paraId="28A109B2" w14:textId="0FDE355E" w:rsidR="00AA7D0C" w:rsidRDefault="00AA7D0C">
      <w:pPr>
        <w:pStyle w:val="FootnoteText"/>
      </w:pPr>
      <w:r>
        <w:rPr>
          <w:rStyle w:val="FootnoteReference"/>
        </w:rPr>
        <w:footnoteRef/>
      </w:r>
      <w:r>
        <w:t xml:space="preserve">  </w:t>
      </w:r>
      <w:r w:rsidRPr="00AA7D0C">
        <w:t xml:space="preserve">See </w:t>
      </w:r>
      <w:r w:rsidR="00393922">
        <w:t>d</w:t>
      </w:r>
      <w:r w:rsidRPr="0084309D">
        <w:t>ecision XIV/23.</w:t>
      </w:r>
    </w:p>
  </w:footnote>
  <w:footnote w:id="18">
    <w:p w14:paraId="338B1B6E" w14:textId="77777777" w:rsidR="00D879EE" w:rsidRPr="001E67FD" w:rsidRDefault="00D879EE">
      <w:pPr>
        <w:pStyle w:val="FootnoteText"/>
      </w:pPr>
      <w:r w:rsidRPr="001E67FD">
        <w:rPr>
          <w:rStyle w:val="FootnoteReference"/>
          <w:kern w:val="18"/>
        </w:rPr>
        <w:footnoteRef/>
      </w:r>
      <w:r w:rsidRPr="001E67FD">
        <w:t xml:space="preserve"> See decision XIII/21.</w:t>
      </w:r>
    </w:p>
  </w:footnote>
  <w:footnote w:id="19">
    <w:p w14:paraId="06474507" w14:textId="3339E7C8" w:rsidR="00D879EE" w:rsidRDefault="00D879EE">
      <w:pPr>
        <w:pStyle w:val="FootnoteText"/>
      </w:pPr>
      <w:r>
        <w:rPr>
          <w:rStyle w:val="FootnoteReference"/>
        </w:rPr>
        <w:footnoteRef/>
      </w:r>
      <w:r>
        <w:t xml:space="preserve"> GEF, 2018, </w:t>
      </w:r>
      <w:hyperlink r:id="rId3" w:history="1">
        <w:r>
          <w:rPr>
            <w:rStyle w:val="Hyperlink"/>
            <w:iCs/>
          </w:rPr>
          <w:t>Updated Policy on Environmental and Social Safeguards</w:t>
        </w:r>
      </w:hyperlink>
      <w:r w:rsidR="00F86D91">
        <w:rPr>
          <w:iCs/>
        </w:rPr>
        <w:t xml:space="preserve">, Council </w:t>
      </w:r>
      <w:proofErr w:type="spellStart"/>
      <w:r w:rsidR="00F86D91">
        <w:rPr>
          <w:iCs/>
        </w:rPr>
        <w:t>document</w:t>
      </w:r>
      <w:r w:rsidRPr="0078035A">
        <w:rPr>
          <w:iCs/>
        </w:rPr>
        <w:t>GEF</w:t>
      </w:r>
      <w:proofErr w:type="spellEnd"/>
      <w:r w:rsidRPr="0078035A">
        <w:rPr>
          <w:iCs/>
        </w:rPr>
        <w:t>/C.55/07/Rev.01.</w:t>
      </w:r>
    </w:p>
  </w:footnote>
  <w:footnote w:id="20">
    <w:p w14:paraId="0CC6E4D3" w14:textId="25F60ADD" w:rsidR="00D879EE" w:rsidRDefault="00D879EE">
      <w:pPr>
        <w:pStyle w:val="FootnoteText"/>
      </w:pPr>
      <w:r>
        <w:rPr>
          <w:rStyle w:val="FootnoteReference"/>
        </w:rPr>
        <w:footnoteRef/>
      </w:r>
      <w:r>
        <w:t xml:space="preserve"> Ibid.</w:t>
      </w:r>
    </w:p>
  </w:footnote>
  <w:footnote w:id="21">
    <w:p w14:paraId="53337C94" w14:textId="2369AC2E" w:rsidR="00D879EE" w:rsidRDefault="00D879EE">
      <w:pPr>
        <w:pStyle w:val="FootnoteText"/>
      </w:pPr>
      <w:r>
        <w:rPr>
          <w:rStyle w:val="FootnoteReference"/>
        </w:rPr>
        <w:footnoteRef/>
      </w:r>
      <w:r>
        <w:t xml:space="preserve"> </w:t>
      </w:r>
      <w:bookmarkStart w:id="47" w:name="_Hlk32079827"/>
      <w:r>
        <w:t xml:space="preserve">GEF, 2019, </w:t>
      </w:r>
      <w:hyperlink r:id="rId4" w:history="1">
        <w:r>
          <w:rPr>
            <w:rStyle w:val="Hyperlink"/>
          </w:rPr>
          <w:t>GEF Policy on Monitoring</w:t>
        </w:r>
      </w:hyperlink>
      <w:r>
        <w:t xml:space="preserve">, </w:t>
      </w:r>
      <w:r w:rsidR="00AB40AF">
        <w:t xml:space="preserve">Council document </w:t>
      </w:r>
      <w:r w:rsidRPr="00597F69">
        <w:t>GEF/C.56/03/Rev.01</w:t>
      </w:r>
      <w:r>
        <w:t>.</w:t>
      </w:r>
      <w:bookmarkEnd w:id="47"/>
    </w:p>
  </w:footnote>
  <w:footnote w:id="22">
    <w:p w14:paraId="6804097D" w14:textId="4367D219" w:rsidR="00101AA1" w:rsidRDefault="00101AA1">
      <w:pPr>
        <w:pStyle w:val="FootnoteText"/>
      </w:pPr>
      <w:r>
        <w:rPr>
          <w:rStyle w:val="FootnoteReference"/>
        </w:rPr>
        <w:footnoteRef/>
      </w:r>
      <w:r>
        <w:t xml:space="preserve"> </w:t>
      </w:r>
      <w:r w:rsidR="00441238" w:rsidRPr="00441238">
        <w:t>GEF, 2019,</w:t>
      </w:r>
      <w:r w:rsidR="00B5122A" w:rsidRPr="00B5122A">
        <w:rPr>
          <w:rFonts w:eastAsiaTheme="minorHAnsi"/>
          <w:sz w:val="22"/>
          <w:szCs w:val="22"/>
        </w:rPr>
        <w:t xml:space="preserve"> </w:t>
      </w:r>
      <w:hyperlink r:id="rId5" w:history="1">
        <w:r w:rsidR="00491136">
          <w:rPr>
            <w:rStyle w:val="Hyperlink"/>
          </w:rPr>
          <w:t>The GEF Monitoring Report</w:t>
        </w:r>
      </w:hyperlink>
      <w:r w:rsidR="00491136">
        <w:t>,</w:t>
      </w:r>
      <w:r w:rsidR="00441238" w:rsidRPr="00441238">
        <w:t xml:space="preserve"> Council document</w:t>
      </w:r>
      <w:r w:rsidR="00491136">
        <w:t xml:space="preserve">, </w:t>
      </w:r>
      <w:r w:rsidR="00491136" w:rsidRPr="00491136">
        <w:t>GEF/C.57/03</w:t>
      </w:r>
      <w:r w:rsidR="00491136">
        <w:t>.</w:t>
      </w:r>
    </w:p>
  </w:footnote>
  <w:footnote w:id="23">
    <w:p w14:paraId="3A7936E5" w14:textId="5A227711" w:rsidR="00D879EE" w:rsidRDefault="00D879EE">
      <w:pPr>
        <w:pStyle w:val="FootnoteText"/>
      </w:pPr>
      <w:r>
        <w:rPr>
          <w:rStyle w:val="FootnoteReference"/>
        </w:rPr>
        <w:footnoteRef/>
      </w:r>
      <w:r>
        <w:t xml:space="preserve"> </w:t>
      </w:r>
      <w:r w:rsidRPr="002C0C1F">
        <w:t>GEF, 201</w:t>
      </w:r>
      <w:r w:rsidR="00516445">
        <w:t>8</w:t>
      </w:r>
      <w:r w:rsidRPr="002C0C1F">
        <w:t xml:space="preserve">, </w:t>
      </w:r>
      <w:hyperlink r:id="rId6" w:history="1">
        <w:r w:rsidR="00C528B9">
          <w:rPr>
            <w:rStyle w:val="Hyperlink"/>
          </w:rPr>
          <w:t>Updated Results Architecture for GEF-7</w:t>
        </w:r>
      </w:hyperlink>
      <w:r w:rsidR="00516445">
        <w:t xml:space="preserve">, </w:t>
      </w:r>
      <w:r w:rsidR="001B67B7">
        <w:t xml:space="preserve">Council document </w:t>
      </w:r>
      <w:r w:rsidR="001C2AC3" w:rsidRPr="001C2AC3">
        <w:t>GEF/C.54/11/Rev.02</w:t>
      </w:r>
      <w:r w:rsidR="001C2AC3">
        <w:t>.</w:t>
      </w:r>
    </w:p>
  </w:footnote>
  <w:footnote w:id="24">
    <w:p w14:paraId="30EC854C" w14:textId="0B59B8DB" w:rsidR="00D879EE" w:rsidRPr="0011432F" w:rsidRDefault="00D879EE" w:rsidP="00DF0187">
      <w:pPr>
        <w:spacing w:line="240" w:lineRule="auto"/>
        <w:rPr>
          <w:rFonts w:cstheme="minorHAnsi"/>
          <w:sz w:val="18"/>
          <w:szCs w:val="18"/>
        </w:rPr>
      </w:pPr>
      <w:r w:rsidRPr="0011432F">
        <w:rPr>
          <w:rFonts w:cstheme="minorHAnsi"/>
          <w:sz w:val="18"/>
          <w:szCs w:val="18"/>
          <w:vertAlign w:val="superscript"/>
        </w:rPr>
        <w:footnoteRef/>
      </w:r>
      <w:r w:rsidRPr="0011432F">
        <w:rPr>
          <w:rFonts w:cstheme="minorHAnsi"/>
          <w:sz w:val="18"/>
          <w:szCs w:val="18"/>
        </w:rPr>
        <w:t xml:space="preserve">GEF, 2018, GEF’s Support to Biodiversity Mainstreaming, </w:t>
      </w:r>
      <w:hyperlink r:id="rId7">
        <w:r w:rsidRPr="0011432F">
          <w:rPr>
            <w:rFonts w:cstheme="minorHAnsi"/>
            <w:color w:val="1155CC"/>
            <w:sz w:val="18"/>
            <w:szCs w:val="18"/>
            <w:u w:val="single"/>
          </w:rPr>
          <w:t>https://www.gefieo.org/evaluations/evaluation-gefs-support-mainstreaming-biodiversity-2018</w:t>
        </w:r>
      </w:hyperlink>
    </w:p>
    <w:p w14:paraId="7CC273B2" w14:textId="77777777" w:rsidR="00D879EE" w:rsidRPr="0060691A" w:rsidRDefault="00D879EE" w:rsidP="00DF0187">
      <w:pPr>
        <w:spacing w:line="240" w:lineRule="auto"/>
        <w:rPr>
          <w:rFonts w:ascii="Times New Roman" w:hAnsi="Times New Roman" w:cs="Times New Roman"/>
          <w:sz w:val="18"/>
          <w:szCs w:val="18"/>
        </w:rPr>
      </w:pPr>
    </w:p>
  </w:footnote>
  <w:footnote w:id="25">
    <w:p w14:paraId="4ADD719E" w14:textId="77777777" w:rsidR="00D879EE" w:rsidRPr="00DF0187" w:rsidRDefault="00D879EE" w:rsidP="00DF0187">
      <w:pPr>
        <w:spacing w:line="240" w:lineRule="auto"/>
        <w:rPr>
          <w:rFonts w:cstheme="minorHAnsi"/>
          <w:sz w:val="18"/>
          <w:szCs w:val="18"/>
        </w:rPr>
      </w:pPr>
      <w:r w:rsidRPr="00DF0187">
        <w:rPr>
          <w:rFonts w:cstheme="minorHAnsi"/>
          <w:sz w:val="18"/>
          <w:szCs w:val="18"/>
          <w:vertAlign w:val="superscript"/>
        </w:rPr>
        <w:footnoteRef/>
      </w:r>
      <w:r w:rsidRPr="00DF0187">
        <w:rPr>
          <w:rFonts w:cstheme="minorHAnsi"/>
          <w:sz w:val="18"/>
          <w:szCs w:val="18"/>
        </w:rPr>
        <w:t xml:space="preserve"> Elevation, by which the conservation sector becomes more effective at working with economic sectors; and biodiversity is taken up by a broader range of sectors, institutions, and actors. For details see GEF IEO </w:t>
      </w:r>
      <w:hyperlink r:id="rId8">
        <w:r w:rsidRPr="00DF0187">
          <w:rPr>
            <w:rFonts w:cstheme="minorHAnsi"/>
            <w:color w:val="1155CC"/>
            <w:sz w:val="18"/>
            <w:szCs w:val="18"/>
            <w:u w:val="single"/>
          </w:rPr>
          <w:t>Evaluation Report No. 134</w:t>
        </w:r>
      </w:hyperlink>
    </w:p>
  </w:footnote>
  <w:footnote w:id="26">
    <w:p w14:paraId="2C5CA147" w14:textId="77777777" w:rsidR="00D879EE" w:rsidRDefault="00D879EE" w:rsidP="00DF0187">
      <w:pPr>
        <w:spacing w:line="240" w:lineRule="auto"/>
        <w:rPr>
          <w:sz w:val="16"/>
          <w:szCs w:val="16"/>
        </w:rPr>
      </w:pPr>
      <w:r w:rsidRPr="00DF0187">
        <w:rPr>
          <w:rFonts w:cstheme="minorHAnsi"/>
          <w:sz w:val="18"/>
          <w:szCs w:val="18"/>
          <w:vertAlign w:val="superscript"/>
        </w:rPr>
        <w:footnoteRef/>
      </w:r>
      <w:r w:rsidRPr="00DF0187">
        <w:rPr>
          <w:rFonts w:cstheme="minorHAnsi"/>
          <w:sz w:val="18"/>
          <w:szCs w:val="18"/>
        </w:rPr>
        <w:t xml:space="preserve"> Transformation, where conservation moves from protected areas to the wider landscape, reflecting changes in the perception of biodiversity conservation as it applies to society; For details see GEF IEO </w:t>
      </w:r>
      <w:hyperlink r:id="rId9">
        <w:r w:rsidRPr="00DF0187">
          <w:rPr>
            <w:rFonts w:cstheme="minorHAnsi"/>
            <w:color w:val="1155CC"/>
            <w:sz w:val="18"/>
            <w:szCs w:val="18"/>
            <w:u w:val="single"/>
          </w:rPr>
          <w:t>Evaluation Report No. 134</w:t>
        </w:r>
      </w:hyperlink>
    </w:p>
  </w:footnote>
  <w:footnote w:id="27">
    <w:p w14:paraId="4254F2BE" w14:textId="5CB03867" w:rsidR="00D879EE" w:rsidRPr="00C10B42" w:rsidRDefault="00D879EE" w:rsidP="00DF0187">
      <w:pPr>
        <w:spacing w:line="240" w:lineRule="auto"/>
        <w:rPr>
          <w:rFonts w:cstheme="minorHAnsi"/>
          <w:sz w:val="18"/>
          <w:szCs w:val="18"/>
        </w:rPr>
      </w:pPr>
      <w:r w:rsidRPr="00DF0187">
        <w:rPr>
          <w:rFonts w:cstheme="minorHAnsi"/>
          <w:sz w:val="18"/>
          <w:szCs w:val="18"/>
          <w:vertAlign w:val="superscript"/>
        </w:rPr>
        <w:footnoteRef/>
      </w:r>
      <w:r w:rsidRPr="00DF0187">
        <w:rPr>
          <w:rFonts w:cstheme="minorHAnsi"/>
          <w:sz w:val="18"/>
          <w:szCs w:val="18"/>
        </w:rPr>
        <w:t xml:space="preserve"> </w:t>
      </w:r>
      <w:r>
        <w:rPr>
          <w:rFonts w:cstheme="minorHAnsi"/>
          <w:sz w:val="18"/>
          <w:szCs w:val="18"/>
        </w:rPr>
        <w:t xml:space="preserve">GEF, 2017, </w:t>
      </w:r>
      <w:r w:rsidR="001432DB">
        <w:rPr>
          <w:rFonts w:cstheme="minorHAnsi"/>
          <w:sz w:val="18"/>
          <w:szCs w:val="18"/>
        </w:rPr>
        <w:t>Formative Review of the GEF Integrated Approach Pilot</w:t>
      </w:r>
      <w:r w:rsidR="00C10B42">
        <w:rPr>
          <w:rFonts w:cstheme="minorHAnsi"/>
          <w:sz w:val="18"/>
          <w:szCs w:val="18"/>
        </w:rPr>
        <w:t xml:space="preserve"> Programs</w:t>
      </w:r>
      <w:r>
        <w:rPr>
          <w:rFonts w:cstheme="minorHAnsi"/>
          <w:sz w:val="18"/>
          <w:szCs w:val="18"/>
        </w:rPr>
        <w:t xml:space="preserve">, </w:t>
      </w:r>
      <w:hyperlink r:id="rId10" w:history="1">
        <w:r w:rsidRPr="008E545F">
          <w:rPr>
            <w:rStyle w:val="Hyperlink"/>
            <w:rFonts w:cstheme="minorHAnsi"/>
            <w:sz w:val="18"/>
            <w:szCs w:val="18"/>
          </w:rPr>
          <w:t>http://www.gefieo.org/sites/default/files/ieo/evaluations/files/iaps-2017_0.pdf</w:t>
        </w:r>
      </w:hyperlink>
    </w:p>
  </w:footnote>
  <w:footnote w:id="28">
    <w:p w14:paraId="4FF14C26" w14:textId="7C849F1F" w:rsidR="00D879EE" w:rsidRPr="00DF0187" w:rsidRDefault="00D879EE" w:rsidP="00DF0187">
      <w:pPr>
        <w:spacing w:line="240" w:lineRule="auto"/>
        <w:rPr>
          <w:rFonts w:eastAsia="Times New Roman" w:cstheme="minorHAnsi"/>
          <w:sz w:val="18"/>
          <w:szCs w:val="18"/>
        </w:rPr>
      </w:pPr>
      <w:r w:rsidRPr="00DF0187">
        <w:rPr>
          <w:rFonts w:cstheme="minorHAnsi"/>
          <w:sz w:val="18"/>
          <w:szCs w:val="18"/>
          <w:vertAlign w:val="superscript"/>
        </w:rPr>
        <w:footnoteRef/>
      </w:r>
      <w:r w:rsidRPr="00DF0187">
        <w:rPr>
          <w:rFonts w:eastAsia="Times New Roman" w:cstheme="minorHAnsi"/>
          <w:sz w:val="18"/>
          <w:szCs w:val="18"/>
        </w:rPr>
        <w:t xml:space="preserve"> </w:t>
      </w:r>
      <w:r>
        <w:rPr>
          <w:rFonts w:eastAsia="Times New Roman" w:cstheme="minorHAnsi"/>
          <w:sz w:val="18"/>
          <w:szCs w:val="18"/>
        </w:rPr>
        <w:t xml:space="preserve">GEF, 2017, </w:t>
      </w:r>
      <w:r w:rsidR="00A70F8D">
        <w:rPr>
          <w:rFonts w:eastAsia="Times New Roman" w:cstheme="minorHAnsi"/>
          <w:sz w:val="18"/>
          <w:szCs w:val="18"/>
        </w:rPr>
        <w:t>Evaluation of GEF Support for Transformational Change</w:t>
      </w:r>
      <w:r>
        <w:rPr>
          <w:rFonts w:eastAsia="Times New Roman" w:cstheme="minorHAnsi"/>
          <w:sz w:val="18"/>
          <w:szCs w:val="18"/>
        </w:rPr>
        <w:t xml:space="preserve">, </w:t>
      </w:r>
      <w:hyperlink r:id="rId11" w:history="1">
        <w:r w:rsidRPr="008E545F">
          <w:rPr>
            <w:rStyle w:val="Hyperlink"/>
            <w:rFonts w:eastAsia="Times New Roman" w:cstheme="minorHAnsi"/>
            <w:sz w:val="18"/>
            <w:szCs w:val="18"/>
          </w:rPr>
          <w:t>http://www.gefieo.org/sites/default/files/ieo/evaluations/files/transformational-change-2017.pdf</w:t>
        </w:r>
      </w:hyperlink>
    </w:p>
  </w:footnote>
  <w:footnote w:id="29">
    <w:p w14:paraId="77032192" w14:textId="03D9C8D3" w:rsidR="00D879EE" w:rsidRPr="005242CB" w:rsidRDefault="00D879EE" w:rsidP="00DF0187">
      <w:pPr>
        <w:spacing w:line="240" w:lineRule="auto"/>
        <w:rPr>
          <w:rFonts w:ascii="Times New Roman" w:eastAsia="Times New Roman" w:hAnsi="Times New Roman" w:cs="Times New Roman"/>
          <w:sz w:val="18"/>
          <w:szCs w:val="18"/>
        </w:rPr>
      </w:pPr>
      <w:r w:rsidRPr="00DF0187">
        <w:rPr>
          <w:rFonts w:cstheme="minorHAnsi"/>
          <w:sz w:val="18"/>
          <w:szCs w:val="18"/>
          <w:vertAlign w:val="superscript"/>
        </w:rPr>
        <w:footnoteRef/>
      </w:r>
      <w:r w:rsidRPr="00DF0187">
        <w:rPr>
          <w:rFonts w:eastAsia="Times New Roman" w:cstheme="minorHAnsi"/>
          <w:sz w:val="18"/>
          <w:szCs w:val="18"/>
        </w:rPr>
        <w:t xml:space="preserve"> The evaluation used four criteria to differentiate transformational interventions from those that are “merely” highly successful, complex, or </w:t>
      </w:r>
      <w:proofErr w:type="gramStart"/>
      <w:r w:rsidRPr="00DF0187">
        <w:rPr>
          <w:rFonts w:eastAsia="Times New Roman" w:cstheme="minorHAnsi"/>
          <w:sz w:val="18"/>
          <w:szCs w:val="18"/>
        </w:rPr>
        <w:t>large in size</w:t>
      </w:r>
      <w:proofErr w:type="gramEnd"/>
      <w:r w:rsidRPr="00DF0187">
        <w:rPr>
          <w:rFonts w:eastAsia="Times New Roman" w:cstheme="minorHAnsi"/>
          <w:sz w:val="18"/>
          <w:szCs w:val="18"/>
        </w:rPr>
        <w:t>: (</w:t>
      </w:r>
      <w:proofErr w:type="spellStart"/>
      <w:r w:rsidRPr="00DF0187">
        <w:rPr>
          <w:rFonts w:eastAsia="Times New Roman" w:cstheme="minorHAnsi"/>
          <w:sz w:val="18"/>
          <w:szCs w:val="18"/>
        </w:rPr>
        <w:t>i</w:t>
      </w:r>
      <w:proofErr w:type="spellEnd"/>
      <w:r w:rsidRPr="00DF0187">
        <w:rPr>
          <w:rFonts w:eastAsia="Times New Roman" w:cstheme="minorHAnsi"/>
          <w:sz w:val="18"/>
          <w:szCs w:val="18"/>
        </w:rPr>
        <w:t>) relevance; (ii) depth of change; (iii) scale of change; and (iv) sustainability.</w:t>
      </w:r>
    </w:p>
  </w:footnote>
  <w:footnote w:id="30">
    <w:p w14:paraId="4E2BE117" w14:textId="08C70252" w:rsidR="00D879EE" w:rsidRDefault="00D879EE" w:rsidP="00DF0187">
      <w:pPr>
        <w:spacing w:line="240" w:lineRule="auto"/>
        <w:rPr>
          <w:rFonts w:cstheme="minorHAnsi"/>
          <w:sz w:val="18"/>
          <w:szCs w:val="18"/>
        </w:rPr>
      </w:pPr>
      <w:r w:rsidRPr="00DF0187">
        <w:rPr>
          <w:rFonts w:cstheme="minorHAnsi"/>
          <w:sz w:val="18"/>
          <w:szCs w:val="18"/>
          <w:vertAlign w:val="superscript"/>
        </w:rPr>
        <w:footnoteRef/>
      </w:r>
      <w:r w:rsidRPr="00DF0187">
        <w:rPr>
          <w:rFonts w:cstheme="minorHAnsi"/>
          <w:sz w:val="18"/>
          <w:szCs w:val="18"/>
        </w:rPr>
        <w:t xml:space="preserve"> </w:t>
      </w:r>
      <w:r>
        <w:rPr>
          <w:rFonts w:cstheme="minorHAnsi"/>
          <w:sz w:val="18"/>
          <w:szCs w:val="18"/>
        </w:rPr>
        <w:t xml:space="preserve">GEF, 2019, </w:t>
      </w:r>
      <w:r w:rsidR="00A94A58">
        <w:rPr>
          <w:rFonts w:cstheme="minorHAnsi"/>
          <w:sz w:val="18"/>
          <w:szCs w:val="18"/>
        </w:rPr>
        <w:t>Evaluation of GEF Support to Scaling up Impact</w:t>
      </w:r>
      <w:r>
        <w:rPr>
          <w:rFonts w:cstheme="minorHAnsi"/>
          <w:sz w:val="18"/>
          <w:szCs w:val="18"/>
        </w:rPr>
        <w:t xml:space="preserve">, </w:t>
      </w:r>
      <w:hyperlink r:id="rId12" w:history="1">
        <w:r w:rsidRPr="008E545F">
          <w:rPr>
            <w:rStyle w:val="Hyperlink"/>
            <w:rFonts w:cstheme="minorHAnsi"/>
            <w:sz w:val="18"/>
            <w:szCs w:val="18"/>
          </w:rPr>
          <w:t>https://www.gefieo.org/evaluations/evaluation-gef-support-scaling-impact-2019</w:t>
        </w:r>
      </w:hyperlink>
    </w:p>
    <w:p w14:paraId="5C91041E" w14:textId="77777777" w:rsidR="00D879EE" w:rsidRPr="00DF0187" w:rsidRDefault="00D879EE" w:rsidP="00DF0187">
      <w:pPr>
        <w:spacing w:line="240" w:lineRule="auto"/>
        <w:rPr>
          <w:rFonts w:cstheme="minorHAns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21BF" w14:textId="1B340EAC" w:rsidR="00974F1B" w:rsidRPr="00974F1B" w:rsidRDefault="00974F1B" w:rsidP="00974F1B">
    <w:pPr>
      <w:pStyle w:val="Header"/>
      <w:jc w:val="right"/>
      <w:rPr>
        <w:rFonts w:ascii="Times New Roman" w:hAnsi="Times New Roman" w:cs="Times New Roman"/>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302"/>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 w15:restartNumberingAfterBreak="0">
    <w:nsid w:val="0E5C101D"/>
    <w:multiLevelType w:val="hybridMultilevel"/>
    <w:tmpl w:val="A390716C"/>
    <w:lvl w:ilvl="0" w:tplc="64BE5A58">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15151"/>
    <w:multiLevelType w:val="hybridMultilevel"/>
    <w:tmpl w:val="33A4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7DBF"/>
    <w:multiLevelType w:val="hybridMultilevel"/>
    <w:tmpl w:val="AACE1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06A19"/>
    <w:multiLevelType w:val="hybridMultilevel"/>
    <w:tmpl w:val="9C5E6720"/>
    <w:lvl w:ilvl="0" w:tplc="ABDC85F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44E9"/>
    <w:multiLevelType w:val="hybridMultilevel"/>
    <w:tmpl w:val="1954019A"/>
    <w:lvl w:ilvl="0" w:tplc="AC34B3AA">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90184"/>
    <w:multiLevelType w:val="hybridMultilevel"/>
    <w:tmpl w:val="9DA8A9C6"/>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111159"/>
    <w:multiLevelType w:val="hybridMultilevel"/>
    <w:tmpl w:val="93687712"/>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0442B4"/>
    <w:multiLevelType w:val="multilevel"/>
    <w:tmpl w:val="5928D00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F292AD4"/>
    <w:multiLevelType w:val="hybridMultilevel"/>
    <w:tmpl w:val="D4EE70BC"/>
    <w:lvl w:ilvl="0" w:tplc="331AE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D27A8"/>
    <w:multiLevelType w:val="hybridMultilevel"/>
    <w:tmpl w:val="34A88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A60D1"/>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2" w15:restartNumberingAfterBreak="0">
    <w:nsid w:val="588246A6"/>
    <w:multiLevelType w:val="hybridMultilevel"/>
    <w:tmpl w:val="3140D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9D722A"/>
    <w:multiLevelType w:val="hybridMultilevel"/>
    <w:tmpl w:val="ED964D58"/>
    <w:lvl w:ilvl="0" w:tplc="9A0A2298">
      <w:start w:val="1"/>
      <w:numFmt w:val="upperRoman"/>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A6D26B66">
      <w:start w:val="1"/>
      <w:numFmt w:val="lowerLetter"/>
      <w:lvlText w:val="%2"/>
      <w:lvlJc w:val="left"/>
      <w:pPr>
        <w:ind w:left="38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B566A850">
      <w:start w:val="1"/>
      <w:numFmt w:val="lowerRoman"/>
      <w:lvlText w:val="%3"/>
      <w:lvlJc w:val="left"/>
      <w:pPr>
        <w:ind w:left="45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B4604CE0">
      <w:start w:val="1"/>
      <w:numFmt w:val="decimal"/>
      <w:lvlText w:val="%4"/>
      <w:lvlJc w:val="left"/>
      <w:pPr>
        <w:ind w:left="53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C338EAA4">
      <w:start w:val="1"/>
      <w:numFmt w:val="lowerLetter"/>
      <w:lvlText w:val="%5"/>
      <w:lvlJc w:val="left"/>
      <w:pPr>
        <w:ind w:left="60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56D4720E">
      <w:start w:val="1"/>
      <w:numFmt w:val="lowerRoman"/>
      <w:lvlText w:val="%6"/>
      <w:lvlJc w:val="left"/>
      <w:pPr>
        <w:ind w:left="67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230840D6">
      <w:start w:val="1"/>
      <w:numFmt w:val="decimal"/>
      <w:lvlText w:val="%7"/>
      <w:lvlJc w:val="left"/>
      <w:pPr>
        <w:ind w:left="74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D1DA333A">
      <w:start w:val="1"/>
      <w:numFmt w:val="lowerLetter"/>
      <w:lvlText w:val="%8"/>
      <w:lvlJc w:val="left"/>
      <w:pPr>
        <w:ind w:left="81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9D403020">
      <w:start w:val="1"/>
      <w:numFmt w:val="lowerRoman"/>
      <w:lvlText w:val="%9"/>
      <w:lvlJc w:val="left"/>
      <w:pPr>
        <w:ind w:left="89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4" w15:restartNumberingAfterBreak="0">
    <w:nsid w:val="5CE211AC"/>
    <w:multiLevelType w:val="multilevel"/>
    <w:tmpl w:val="4D8A0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F01F21"/>
    <w:multiLevelType w:val="hybridMultilevel"/>
    <w:tmpl w:val="B90E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D2D4A"/>
    <w:multiLevelType w:val="hybridMultilevel"/>
    <w:tmpl w:val="0E46D18C"/>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7C7191"/>
    <w:multiLevelType w:val="multilevel"/>
    <w:tmpl w:val="3690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D77E53"/>
    <w:multiLevelType w:val="hybridMultilevel"/>
    <w:tmpl w:val="1D5CBD3A"/>
    <w:lvl w:ilvl="0" w:tplc="09FEA300">
      <w:start w:val="1"/>
      <w:numFmt w:val="upperRoman"/>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CDDC2F4C">
      <w:start w:val="1"/>
      <w:numFmt w:val="lowerLetter"/>
      <w:lvlText w:val="%2"/>
      <w:lvlJc w:val="left"/>
      <w:pPr>
        <w:ind w:left="38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D0C8462A">
      <w:start w:val="1"/>
      <w:numFmt w:val="lowerRoman"/>
      <w:lvlText w:val="%3"/>
      <w:lvlJc w:val="left"/>
      <w:pPr>
        <w:ind w:left="45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2A8A52C8">
      <w:start w:val="1"/>
      <w:numFmt w:val="decimal"/>
      <w:lvlText w:val="%4"/>
      <w:lvlJc w:val="left"/>
      <w:pPr>
        <w:ind w:left="53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4AEE19F2">
      <w:start w:val="1"/>
      <w:numFmt w:val="lowerLetter"/>
      <w:lvlText w:val="%5"/>
      <w:lvlJc w:val="left"/>
      <w:pPr>
        <w:ind w:left="60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A274A57A">
      <w:start w:val="1"/>
      <w:numFmt w:val="lowerRoman"/>
      <w:lvlText w:val="%6"/>
      <w:lvlJc w:val="left"/>
      <w:pPr>
        <w:ind w:left="67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E702D508">
      <w:start w:val="1"/>
      <w:numFmt w:val="decimal"/>
      <w:lvlText w:val="%7"/>
      <w:lvlJc w:val="left"/>
      <w:pPr>
        <w:ind w:left="74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45344734">
      <w:start w:val="1"/>
      <w:numFmt w:val="lowerLetter"/>
      <w:lvlText w:val="%8"/>
      <w:lvlJc w:val="left"/>
      <w:pPr>
        <w:ind w:left="81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148A5666">
      <w:start w:val="1"/>
      <w:numFmt w:val="lowerRoman"/>
      <w:lvlText w:val="%9"/>
      <w:lvlJc w:val="left"/>
      <w:pPr>
        <w:ind w:left="89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9" w15:restartNumberingAfterBreak="0">
    <w:nsid w:val="602D5726"/>
    <w:multiLevelType w:val="hybridMultilevel"/>
    <w:tmpl w:val="1954019A"/>
    <w:lvl w:ilvl="0" w:tplc="AC34B3AA">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43BD6"/>
    <w:multiLevelType w:val="multilevel"/>
    <w:tmpl w:val="8BF0E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EE46A3"/>
    <w:multiLevelType w:val="hybridMultilevel"/>
    <w:tmpl w:val="B834303A"/>
    <w:lvl w:ilvl="0" w:tplc="5652EF34">
      <w:start w:val="1"/>
      <w:numFmt w:val="decimal"/>
      <w:lvlText w:val="%1."/>
      <w:lvlJc w:val="left"/>
      <w:pPr>
        <w:ind w:left="107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B368C"/>
    <w:multiLevelType w:val="hybridMultilevel"/>
    <w:tmpl w:val="CA6E91C6"/>
    <w:lvl w:ilvl="0" w:tplc="7940F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C41B5"/>
    <w:multiLevelType w:val="multilevel"/>
    <w:tmpl w:val="DB362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F50F90"/>
    <w:multiLevelType w:val="hybridMultilevel"/>
    <w:tmpl w:val="54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E26CE"/>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26" w15:restartNumberingAfterBreak="0">
    <w:nsid w:val="72EC28A2"/>
    <w:multiLevelType w:val="multilevel"/>
    <w:tmpl w:val="2FBCB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6F3FB7"/>
    <w:multiLevelType w:val="hybridMultilevel"/>
    <w:tmpl w:val="40508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C0A8E"/>
    <w:multiLevelType w:val="hybridMultilevel"/>
    <w:tmpl w:val="1E2E374A"/>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8"/>
  </w:num>
  <w:num w:numId="3">
    <w:abstractNumId w:val="6"/>
  </w:num>
  <w:num w:numId="4">
    <w:abstractNumId w:val="7"/>
  </w:num>
  <w:num w:numId="5">
    <w:abstractNumId w:val="16"/>
  </w:num>
  <w:num w:numId="6">
    <w:abstractNumId w:val="22"/>
  </w:num>
  <w:num w:numId="7">
    <w:abstractNumId w:val="27"/>
  </w:num>
  <w:num w:numId="8">
    <w:abstractNumId w:val="12"/>
  </w:num>
  <w:num w:numId="9">
    <w:abstractNumId w:val="2"/>
  </w:num>
  <w:num w:numId="10">
    <w:abstractNumId w:val="15"/>
  </w:num>
  <w:num w:numId="11">
    <w:abstractNumId w:val="8"/>
  </w:num>
  <w:num w:numId="12">
    <w:abstractNumId w:val="9"/>
  </w:num>
  <w:num w:numId="13">
    <w:abstractNumId w:val="10"/>
  </w:num>
  <w:num w:numId="14">
    <w:abstractNumId w:val="0"/>
  </w:num>
  <w:num w:numId="15">
    <w:abstractNumId w:val="25"/>
  </w:num>
  <w:num w:numId="16">
    <w:abstractNumId w:val="11"/>
  </w:num>
  <w:num w:numId="17">
    <w:abstractNumId w:val="23"/>
  </w:num>
  <w:num w:numId="18">
    <w:abstractNumId w:val="14"/>
  </w:num>
  <w:num w:numId="19">
    <w:abstractNumId w:val="26"/>
  </w:num>
  <w:num w:numId="20">
    <w:abstractNumId w:val="17"/>
  </w:num>
  <w:num w:numId="21">
    <w:abstractNumId w:val="20"/>
  </w:num>
  <w:num w:numId="22">
    <w:abstractNumId w:val="24"/>
  </w:num>
  <w:num w:numId="23">
    <w:abstractNumId w:val="19"/>
  </w:num>
  <w:num w:numId="24">
    <w:abstractNumId w:val="4"/>
  </w:num>
  <w:num w:numId="25">
    <w:abstractNumId w:val="5"/>
  </w:num>
  <w:num w:numId="26">
    <w:abstractNumId w:val="3"/>
  </w:num>
  <w:num w:numId="27">
    <w:abstractNumId w:val="4"/>
    <w:lvlOverride w:ilvl="0">
      <w:startOverride w:val="1"/>
    </w:lvlOverride>
  </w:num>
  <w:num w:numId="28">
    <w:abstractNumId w:val="13"/>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0E"/>
    <w:rsid w:val="00000EC4"/>
    <w:rsid w:val="00001439"/>
    <w:rsid w:val="00001658"/>
    <w:rsid w:val="00001B38"/>
    <w:rsid w:val="0000301F"/>
    <w:rsid w:val="00006E00"/>
    <w:rsid w:val="00007B82"/>
    <w:rsid w:val="00007D36"/>
    <w:rsid w:val="00010A23"/>
    <w:rsid w:val="00011998"/>
    <w:rsid w:val="00014557"/>
    <w:rsid w:val="000156E8"/>
    <w:rsid w:val="000165CC"/>
    <w:rsid w:val="0001680B"/>
    <w:rsid w:val="0001683E"/>
    <w:rsid w:val="00016B44"/>
    <w:rsid w:val="000202C7"/>
    <w:rsid w:val="00020E95"/>
    <w:rsid w:val="00022461"/>
    <w:rsid w:val="000228F0"/>
    <w:rsid w:val="00022A15"/>
    <w:rsid w:val="00023073"/>
    <w:rsid w:val="00023CA5"/>
    <w:rsid w:val="00024A06"/>
    <w:rsid w:val="000272DB"/>
    <w:rsid w:val="00030C9E"/>
    <w:rsid w:val="00032D3D"/>
    <w:rsid w:val="000343DF"/>
    <w:rsid w:val="00035DB4"/>
    <w:rsid w:val="00043257"/>
    <w:rsid w:val="00043D73"/>
    <w:rsid w:val="00045526"/>
    <w:rsid w:val="0004564B"/>
    <w:rsid w:val="00046027"/>
    <w:rsid w:val="00051781"/>
    <w:rsid w:val="00052F52"/>
    <w:rsid w:val="0005361C"/>
    <w:rsid w:val="00053681"/>
    <w:rsid w:val="000536E8"/>
    <w:rsid w:val="000555C1"/>
    <w:rsid w:val="00055AB1"/>
    <w:rsid w:val="00055B4B"/>
    <w:rsid w:val="00055DCD"/>
    <w:rsid w:val="000561E6"/>
    <w:rsid w:val="00056693"/>
    <w:rsid w:val="00056AFA"/>
    <w:rsid w:val="00056F63"/>
    <w:rsid w:val="00057945"/>
    <w:rsid w:val="0005795A"/>
    <w:rsid w:val="00057DE2"/>
    <w:rsid w:val="00060DDA"/>
    <w:rsid w:val="00061F7D"/>
    <w:rsid w:val="000631ED"/>
    <w:rsid w:val="00064391"/>
    <w:rsid w:val="00064894"/>
    <w:rsid w:val="000667F9"/>
    <w:rsid w:val="00066FFE"/>
    <w:rsid w:val="00067520"/>
    <w:rsid w:val="000675B4"/>
    <w:rsid w:val="000717E0"/>
    <w:rsid w:val="00072157"/>
    <w:rsid w:val="00072457"/>
    <w:rsid w:val="000726EC"/>
    <w:rsid w:val="00072CCB"/>
    <w:rsid w:val="00074EE9"/>
    <w:rsid w:val="0007603C"/>
    <w:rsid w:val="00076BA8"/>
    <w:rsid w:val="00076D61"/>
    <w:rsid w:val="0007757A"/>
    <w:rsid w:val="000775B6"/>
    <w:rsid w:val="000779F5"/>
    <w:rsid w:val="000807F9"/>
    <w:rsid w:val="000817DB"/>
    <w:rsid w:val="00082420"/>
    <w:rsid w:val="00084746"/>
    <w:rsid w:val="00085DDE"/>
    <w:rsid w:val="000908B4"/>
    <w:rsid w:val="00091CF2"/>
    <w:rsid w:val="00091E48"/>
    <w:rsid w:val="00092644"/>
    <w:rsid w:val="000939E9"/>
    <w:rsid w:val="000945ED"/>
    <w:rsid w:val="000956F1"/>
    <w:rsid w:val="00095C6D"/>
    <w:rsid w:val="00095C73"/>
    <w:rsid w:val="00095D2E"/>
    <w:rsid w:val="00097AFE"/>
    <w:rsid w:val="00097D19"/>
    <w:rsid w:val="000A0213"/>
    <w:rsid w:val="000A0697"/>
    <w:rsid w:val="000A3206"/>
    <w:rsid w:val="000A3363"/>
    <w:rsid w:val="000A46B7"/>
    <w:rsid w:val="000A4CC8"/>
    <w:rsid w:val="000A4FFA"/>
    <w:rsid w:val="000A6F0C"/>
    <w:rsid w:val="000B0554"/>
    <w:rsid w:val="000B0D7C"/>
    <w:rsid w:val="000B1AB8"/>
    <w:rsid w:val="000B4E14"/>
    <w:rsid w:val="000B621D"/>
    <w:rsid w:val="000B6572"/>
    <w:rsid w:val="000B65EF"/>
    <w:rsid w:val="000B6775"/>
    <w:rsid w:val="000B6F1F"/>
    <w:rsid w:val="000C0136"/>
    <w:rsid w:val="000C09D1"/>
    <w:rsid w:val="000C13E7"/>
    <w:rsid w:val="000C234A"/>
    <w:rsid w:val="000C25B7"/>
    <w:rsid w:val="000C27DC"/>
    <w:rsid w:val="000C2D71"/>
    <w:rsid w:val="000C39B5"/>
    <w:rsid w:val="000C3E78"/>
    <w:rsid w:val="000C3EA7"/>
    <w:rsid w:val="000C3ECF"/>
    <w:rsid w:val="000C50C3"/>
    <w:rsid w:val="000C745F"/>
    <w:rsid w:val="000D0D8F"/>
    <w:rsid w:val="000D21F4"/>
    <w:rsid w:val="000D2822"/>
    <w:rsid w:val="000D321C"/>
    <w:rsid w:val="000D3AC1"/>
    <w:rsid w:val="000D48FE"/>
    <w:rsid w:val="000D5052"/>
    <w:rsid w:val="000D6145"/>
    <w:rsid w:val="000D6425"/>
    <w:rsid w:val="000D765D"/>
    <w:rsid w:val="000E10E9"/>
    <w:rsid w:val="000E2F5B"/>
    <w:rsid w:val="000E4167"/>
    <w:rsid w:val="000E536D"/>
    <w:rsid w:val="000E571D"/>
    <w:rsid w:val="000E6BFC"/>
    <w:rsid w:val="000E75A8"/>
    <w:rsid w:val="000E7932"/>
    <w:rsid w:val="000F104D"/>
    <w:rsid w:val="000F1D0C"/>
    <w:rsid w:val="000F35D1"/>
    <w:rsid w:val="000F4FCC"/>
    <w:rsid w:val="000F5056"/>
    <w:rsid w:val="000F5164"/>
    <w:rsid w:val="000F5257"/>
    <w:rsid w:val="000F6487"/>
    <w:rsid w:val="0010018C"/>
    <w:rsid w:val="00100A84"/>
    <w:rsid w:val="0010120A"/>
    <w:rsid w:val="00101AA1"/>
    <w:rsid w:val="00101C80"/>
    <w:rsid w:val="00101FFE"/>
    <w:rsid w:val="001020F1"/>
    <w:rsid w:val="00102140"/>
    <w:rsid w:val="001021D9"/>
    <w:rsid w:val="00102E35"/>
    <w:rsid w:val="00105BE1"/>
    <w:rsid w:val="00105FB1"/>
    <w:rsid w:val="00107422"/>
    <w:rsid w:val="00110B03"/>
    <w:rsid w:val="00112FA5"/>
    <w:rsid w:val="0011432F"/>
    <w:rsid w:val="0011476A"/>
    <w:rsid w:val="00115725"/>
    <w:rsid w:val="00115726"/>
    <w:rsid w:val="00115926"/>
    <w:rsid w:val="0011746B"/>
    <w:rsid w:val="00117B63"/>
    <w:rsid w:val="00121F26"/>
    <w:rsid w:val="001220CA"/>
    <w:rsid w:val="0012357D"/>
    <w:rsid w:val="001248A8"/>
    <w:rsid w:val="00124DCF"/>
    <w:rsid w:val="00124F7B"/>
    <w:rsid w:val="00126BE7"/>
    <w:rsid w:val="001271B3"/>
    <w:rsid w:val="00131B85"/>
    <w:rsid w:val="00132658"/>
    <w:rsid w:val="00133208"/>
    <w:rsid w:val="001348ED"/>
    <w:rsid w:val="00134C7F"/>
    <w:rsid w:val="001352EE"/>
    <w:rsid w:val="00135871"/>
    <w:rsid w:val="00135A47"/>
    <w:rsid w:val="001363CC"/>
    <w:rsid w:val="0013726D"/>
    <w:rsid w:val="0013766C"/>
    <w:rsid w:val="001376F9"/>
    <w:rsid w:val="0014002F"/>
    <w:rsid w:val="00141323"/>
    <w:rsid w:val="00141A73"/>
    <w:rsid w:val="00142462"/>
    <w:rsid w:val="001432DB"/>
    <w:rsid w:val="001440C5"/>
    <w:rsid w:val="001461C8"/>
    <w:rsid w:val="001468DB"/>
    <w:rsid w:val="001468F0"/>
    <w:rsid w:val="00150E96"/>
    <w:rsid w:val="00151051"/>
    <w:rsid w:val="0015143C"/>
    <w:rsid w:val="001515C6"/>
    <w:rsid w:val="00152EEB"/>
    <w:rsid w:val="00153E98"/>
    <w:rsid w:val="00154B54"/>
    <w:rsid w:val="001567A8"/>
    <w:rsid w:val="0015699D"/>
    <w:rsid w:val="00156FA8"/>
    <w:rsid w:val="001570E0"/>
    <w:rsid w:val="00157251"/>
    <w:rsid w:val="00160C00"/>
    <w:rsid w:val="00160E90"/>
    <w:rsid w:val="00160F7C"/>
    <w:rsid w:val="001613A5"/>
    <w:rsid w:val="001616A7"/>
    <w:rsid w:val="001622AA"/>
    <w:rsid w:val="0016338E"/>
    <w:rsid w:val="0016400B"/>
    <w:rsid w:val="001648B8"/>
    <w:rsid w:val="00164AC5"/>
    <w:rsid w:val="00164D0C"/>
    <w:rsid w:val="00164D58"/>
    <w:rsid w:val="00165950"/>
    <w:rsid w:val="001660BD"/>
    <w:rsid w:val="00167453"/>
    <w:rsid w:val="00173A75"/>
    <w:rsid w:val="00173AD1"/>
    <w:rsid w:val="00176DBE"/>
    <w:rsid w:val="00180EC8"/>
    <w:rsid w:val="0018133E"/>
    <w:rsid w:val="001823DE"/>
    <w:rsid w:val="001834C1"/>
    <w:rsid w:val="00183C48"/>
    <w:rsid w:val="0018432F"/>
    <w:rsid w:val="001847AE"/>
    <w:rsid w:val="001867BB"/>
    <w:rsid w:val="00186ACC"/>
    <w:rsid w:val="001915B0"/>
    <w:rsid w:val="00192235"/>
    <w:rsid w:val="00192AA9"/>
    <w:rsid w:val="00194416"/>
    <w:rsid w:val="00195EFE"/>
    <w:rsid w:val="001A0DB1"/>
    <w:rsid w:val="001A3273"/>
    <w:rsid w:val="001A3687"/>
    <w:rsid w:val="001A46B3"/>
    <w:rsid w:val="001A4890"/>
    <w:rsid w:val="001A555B"/>
    <w:rsid w:val="001A70EC"/>
    <w:rsid w:val="001A7C45"/>
    <w:rsid w:val="001B126B"/>
    <w:rsid w:val="001B2758"/>
    <w:rsid w:val="001B2F27"/>
    <w:rsid w:val="001B5939"/>
    <w:rsid w:val="001B6417"/>
    <w:rsid w:val="001B6418"/>
    <w:rsid w:val="001B67B7"/>
    <w:rsid w:val="001B73E1"/>
    <w:rsid w:val="001B75F0"/>
    <w:rsid w:val="001B7DB3"/>
    <w:rsid w:val="001C2106"/>
    <w:rsid w:val="001C2310"/>
    <w:rsid w:val="001C2AC3"/>
    <w:rsid w:val="001C2D09"/>
    <w:rsid w:val="001C383A"/>
    <w:rsid w:val="001C46BD"/>
    <w:rsid w:val="001C5F5E"/>
    <w:rsid w:val="001D0D41"/>
    <w:rsid w:val="001D0D92"/>
    <w:rsid w:val="001D2604"/>
    <w:rsid w:val="001D31F0"/>
    <w:rsid w:val="001D37C1"/>
    <w:rsid w:val="001D3D2F"/>
    <w:rsid w:val="001D47C7"/>
    <w:rsid w:val="001D626F"/>
    <w:rsid w:val="001D6812"/>
    <w:rsid w:val="001D7058"/>
    <w:rsid w:val="001D743B"/>
    <w:rsid w:val="001E179E"/>
    <w:rsid w:val="001E1F90"/>
    <w:rsid w:val="001E2C92"/>
    <w:rsid w:val="001E2D89"/>
    <w:rsid w:val="001E3E4B"/>
    <w:rsid w:val="001E45FF"/>
    <w:rsid w:val="001E4624"/>
    <w:rsid w:val="001E4F99"/>
    <w:rsid w:val="001E553B"/>
    <w:rsid w:val="001E6011"/>
    <w:rsid w:val="001F0262"/>
    <w:rsid w:val="001F5F17"/>
    <w:rsid w:val="001F7C7F"/>
    <w:rsid w:val="002014D1"/>
    <w:rsid w:val="0020459A"/>
    <w:rsid w:val="00204BD6"/>
    <w:rsid w:val="00204FF2"/>
    <w:rsid w:val="00205803"/>
    <w:rsid w:val="00206482"/>
    <w:rsid w:val="00206B86"/>
    <w:rsid w:val="00207786"/>
    <w:rsid w:val="00210DA3"/>
    <w:rsid w:val="00211E4B"/>
    <w:rsid w:val="0021333A"/>
    <w:rsid w:val="0021352B"/>
    <w:rsid w:val="00214307"/>
    <w:rsid w:val="00221235"/>
    <w:rsid w:val="00222F83"/>
    <w:rsid w:val="002232E3"/>
    <w:rsid w:val="00225025"/>
    <w:rsid w:val="0022661B"/>
    <w:rsid w:val="0022699F"/>
    <w:rsid w:val="00232754"/>
    <w:rsid w:val="00232822"/>
    <w:rsid w:val="00234361"/>
    <w:rsid w:val="00235133"/>
    <w:rsid w:val="00240283"/>
    <w:rsid w:val="0024103E"/>
    <w:rsid w:val="00241B9A"/>
    <w:rsid w:val="00242903"/>
    <w:rsid w:val="00243131"/>
    <w:rsid w:val="0024555C"/>
    <w:rsid w:val="00246A9F"/>
    <w:rsid w:val="00246E65"/>
    <w:rsid w:val="002476C8"/>
    <w:rsid w:val="00247801"/>
    <w:rsid w:val="00250ABB"/>
    <w:rsid w:val="002513A0"/>
    <w:rsid w:val="002519EA"/>
    <w:rsid w:val="00251D31"/>
    <w:rsid w:val="00252873"/>
    <w:rsid w:val="002537ED"/>
    <w:rsid w:val="00253DAE"/>
    <w:rsid w:val="002547BB"/>
    <w:rsid w:val="00254D8F"/>
    <w:rsid w:val="002569BB"/>
    <w:rsid w:val="00256E20"/>
    <w:rsid w:val="0025795D"/>
    <w:rsid w:val="002607D6"/>
    <w:rsid w:val="00260D95"/>
    <w:rsid w:val="00263FFC"/>
    <w:rsid w:val="002641E9"/>
    <w:rsid w:val="0026524A"/>
    <w:rsid w:val="00265820"/>
    <w:rsid w:val="002714B3"/>
    <w:rsid w:val="00272574"/>
    <w:rsid w:val="00273B2C"/>
    <w:rsid w:val="00274354"/>
    <w:rsid w:val="002753E6"/>
    <w:rsid w:val="00276134"/>
    <w:rsid w:val="0028111A"/>
    <w:rsid w:val="00281999"/>
    <w:rsid w:val="002819BC"/>
    <w:rsid w:val="00282210"/>
    <w:rsid w:val="00284346"/>
    <w:rsid w:val="00285082"/>
    <w:rsid w:val="002855CD"/>
    <w:rsid w:val="002857F7"/>
    <w:rsid w:val="00285BC8"/>
    <w:rsid w:val="00286B9C"/>
    <w:rsid w:val="00286D98"/>
    <w:rsid w:val="00287596"/>
    <w:rsid w:val="002918CE"/>
    <w:rsid w:val="00292825"/>
    <w:rsid w:val="0029320E"/>
    <w:rsid w:val="00294272"/>
    <w:rsid w:val="002967A2"/>
    <w:rsid w:val="002A0695"/>
    <w:rsid w:val="002A094F"/>
    <w:rsid w:val="002A202B"/>
    <w:rsid w:val="002A263B"/>
    <w:rsid w:val="002A31BF"/>
    <w:rsid w:val="002A3270"/>
    <w:rsid w:val="002A35E4"/>
    <w:rsid w:val="002A4F79"/>
    <w:rsid w:val="002A5D23"/>
    <w:rsid w:val="002A6865"/>
    <w:rsid w:val="002A6C7A"/>
    <w:rsid w:val="002B1FF4"/>
    <w:rsid w:val="002B2B66"/>
    <w:rsid w:val="002B2CC4"/>
    <w:rsid w:val="002B42DF"/>
    <w:rsid w:val="002B52FF"/>
    <w:rsid w:val="002B649F"/>
    <w:rsid w:val="002B7184"/>
    <w:rsid w:val="002B73E1"/>
    <w:rsid w:val="002B791B"/>
    <w:rsid w:val="002B7AF9"/>
    <w:rsid w:val="002C0617"/>
    <w:rsid w:val="002C0C1F"/>
    <w:rsid w:val="002C13CA"/>
    <w:rsid w:val="002C2B38"/>
    <w:rsid w:val="002C2FB9"/>
    <w:rsid w:val="002C4B46"/>
    <w:rsid w:val="002C52D6"/>
    <w:rsid w:val="002C6D8B"/>
    <w:rsid w:val="002C7B63"/>
    <w:rsid w:val="002D06AF"/>
    <w:rsid w:val="002D1C0A"/>
    <w:rsid w:val="002D54AD"/>
    <w:rsid w:val="002D582B"/>
    <w:rsid w:val="002D71D1"/>
    <w:rsid w:val="002E246D"/>
    <w:rsid w:val="002E252C"/>
    <w:rsid w:val="002E2631"/>
    <w:rsid w:val="002E3146"/>
    <w:rsid w:val="002E3E59"/>
    <w:rsid w:val="002E4D91"/>
    <w:rsid w:val="002E4E4F"/>
    <w:rsid w:val="002E56CE"/>
    <w:rsid w:val="002E59A1"/>
    <w:rsid w:val="002E60C7"/>
    <w:rsid w:val="002E69B8"/>
    <w:rsid w:val="002E6BA0"/>
    <w:rsid w:val="002E6C14"/>
    <w:rsid w:val="002E70AC"/>
    <w:rsid w:val="002E7804"/>
    <w:rsid w:val="002F10F4"/>
    <w:rsid w:val="002F131A"/>
    <w:rsid w:val="002F1986"/>
    <w:rsid w:val="002F2DC1"/>
    <w:rsid w:val="002F2EFA"/>
    <w:rsid w:val="002F3F78"/>
    <w:rsid w:val="002F5DC4"/>
    <w:rsid w:val="0030080D"/>
    <w:rsid w:val="00300D08"/>
    <w:rsid w:val="00300EB3"/>
    <w:rsid w:val="003014E0"/>
    <w:rsid w:val="00301DDC"/>
    <w:rsid w:val="0030271D"/>
    <w:rsid w:val="00303EF4"/>
    <w:rsid w:val="0030619C"/>
    <w:rsid w:val="0031021A"/>
    <w:rsid w:val="00310B83"/>
    <w:rsid w:val="00310C96"/>
    <w:rsid w:val="003112BD"/>
    <w:rsid w:val="0031199F"/>
    <w:rsid w:val="0031233B"/>
    <w:rsid w:val="00316561"/>
    <w:rsid w:val="003169FD"/>
    <w:rsid w:val="00317885"/>
    <w:rsid w:val="0032046E"/>
    <w:rsid w:val="00322637"/>
    <w:rsid w:val="0032509C"/>
    <w:rsid w:val="00325E13"/>
    <w:rsid w:val="003262DF"/>
    <w:rsid w:val="00326396"/>
    <w:rsid w:val="003269F2"/>
    <w:rsid w:val="00327C86"/>
    <w:rsid w:val="00330A3D"/>
    <w:rsid w:val="00331758"/>
    <w:rsid w:val="003322F5"/>
    <w:rsid w:val="00333B06"/>
    <w:rsid w:val="003341BE"/>
    <w:rsid w:val="0033465D"/>
    <w:rsid w:val="00335288"/>
    <w:rsid w:val="00337367"/>
    <w:rsid w:val="00337904"/>
    <w:rsid w:val="00341B7F"/>
    <w:rsid w:val="00341DE7"/>
    <w:rsid w:val="00341FFC"/>
    <w:rsid w:val="00343591"/>
    <w:rsid w:val="0034385C"/>
    <w:rsid w:val="00345933"/>
    <w:rsid w:val="00345956"/>
    <w:rsid w:val="00345DC8"/>
    <w:rsid w:val="00346A8B"/>
    <w:rsid w:val="00346C1A"/>
    <w:rsid w:val="00346C74"/>
    <w:rsid w:val="00347FC4"/>
    <w:rsid w:val="00350D2F"/>
    <w:rsid w:val="00351BBC"/>
    <w:rsid w:val="003529E7"/>
    <w:rsid w:val="00352D86"/>
    <w:rsid w:val="00354CC6"/>
    <w:rsid w:val="00355A82"/>
    <w:rsid w:val="00355FE3"/>
    <w:rsid w:val="003560C8"/>
    <w:rsid w:val="0035720F"/>
    <w:rsid w:val="003576FC"/>
    <w:rsid w:val="0035792B"/>
    <w:rsid w:val="0036045C"/>
    <w:rsid w:val="00360BBF"/>
    <w:rsid w:val="00362FE8"/>
    <w:rsid w:val="003641E4"/>
    <w:rsid w:val="003642E7"/>
    <w:rsid w:val="00364A84"/>
    <w:rsid w:val="00366FFE"/>
    <w:rsid w:val="003671F7"/>
    <w:rsid w:val="00367D00"/>
    <w:rsid w:val="0037042C"/>
    <w:rsid w:val="00371144"/>
    <w:rsid w:val="003711A7"/>
    <w:rsid w:val="003713B2"/>
    <w:rsid w:val="003730F8"/>
    <w:rsid w:val="00373E26"/>
    <w:rsid w:val="0037476E"/>
    <w:rsid w:val="00374C8D"/>
    <w:rsid w:val="00374D04"/>
    <w:rsid w:val="00375CDF"/>
    <w:rsid w:val="003765FD"/>
    <w:rsid w:val="0037713F"/>
    <w:rsid w:val="003771AB"/>
    <w:rsid w:val="00380427"/>
    <w:rsid w:val="003806CD"/>
    <w:rsid w:val="0038293A"/>
    <w:rsid w:val="0038348D"/>
    <w:rsid w:val="003836DB"/>
    <w:rsid w:val="003838AF"/>
    <w:rsid w:val="003839E5"/>
    <w:rsid w:val="00383E0D"/>
    <w:rsid w:val="00383E10"/>
    <w:rsid w:val="00385B5F"/>
    <w:rsid w:val="0038624B"/>
    <w:rsid w:val="00387CED"/>
    <w:rsid w:val="00390433"/>
    <w:rsid w:val="0039082E"/>
    <w:rsid w:val="00391285"/>
    <w:rsid w:val="00391D07"/>
    <w:rsid w:val="00393009"/>
    <w:rsid w:val="003938FF"/>
    <w:rsid w:val="00393922"/>
    <w:rsid w:val="00394E61"/>
    <w:rsid w:val="00395AFF"/>
    <w:rsid w:val="0039765D"/>
    <w:rsid w:val="003A141A"/>
    <w:rsid w:val="003A40BA"/>
    <w:rsid w:val="003A586D"/>
    <w:rsid w:val="003A5EB4"/>
    <w:rsid w:val="003A6BE0"/>
    <w:rsid w:val="003A6FD4"/>
    <w:rsid w:val="003A7D61"/>
    <w:rsid w:val="003B043C"/>
    <w:rsid w:val="003B087E"/>
    <w:rsid w:val="003B3523"/>
    <w:rsid w:val="003B3D19"/>
    <w:rsid w:val="003B52BB"/>
    <w:rsid w:val="003B7244"/>
    <w:rsid w:val="003B7507"/>
    <w:rsid w:val="003B7CCF"/>
    <w:rsid w:val="003C0730"/>
    <w:rsid w:val="003C10AA"/>
    <w:rsid w:val="003C1A90"/>
    <w:rsid w:val="003C2CA8"/>
    <w:rsid w:val="003C301D"/>
    <w:rsid w:val="003C348B"/>
    <w:rsid w:val="003C3659"/>
    <w:rsid w:val="003C487E"/>
    <w:rsid w:val="003C7593"/>
    <w:rsid w:val="003C7FC4"/>
    <w:rsid w:val="003D0DAE"/>
    <w:rsid w:val="003D2C75"/>
    <w:rsid w:val="003D500D"/>
    <w:rsid w:val="003D5590"/>
    <w:rsid w:val="003D575B"/>
    <w:rsid w:val="003D5C46"/>
    <w:rsid w:val="003D600B"/>
    <w:rsid w:val="003D66FF"/>
    <w:rsid w:val="003D7007"/>
    <w:rsid w:val="003D75F3"/>
    <w:rsid w:val="003E074D"/>
    <w:rsid w:val="003E3785"/>
    <w:rsid w:val="003E3CE1"/>
    <w:rsid w:val="003E5FA1"/>
    <w:rsid w:val="003E7086"/>
    <w:rsid w:val="003E74E3"/>
    <w:rsid w:val="003F0379"/>
    <w:rsid w:val="003F03C3"/>
    <w:rsid w:val="003F1966"/>
    <w:rsid w:val="003F265C"/>
    <w:rsid w:val="003F67A7"/>
    <w:rsid w:val="003F7CFC"/>
    <w:rsid w:val="003F7E4E"/>
    <w:rsid w:val="003F7EA1"/>
    <w:rsid w:val="0040084C"/>
    <w:rsid w:val="00401B0E"/>
    <w:rsid w:val="00402BF2"/>
    <w:rsid w:val="004036CA"/>
    <w:rsid w:val="00403FCE"/>
    <w:rsid w:val="00404535"/>
    <w:rsid w:val="00405B88"/>
    <w:rsid w:val="00405BD8"/>
    <w:rsid w:val="004070D0"/>
    <w:rsid w:val="0041162A"/>
    <w:rsid w:val="004135A7"/>
    <w:rsid w:val="00413A14"/>
    <w:rsid w:val="00413D4D"/>
    <w:rsid w:val="00414D11"/>
    <w:rsid w:val="0041518D"/>
    <w:rsid w:val="004154D3"/>
    <w:rsid w:val="00415F8E"/>
    <w:rsid w:val="00421945"/>
    <w:rsid w:val="0042203E"/>
    <w:rsid w:val="004220F7"/>
    <w:rsid w:val="00422E0D"/>
    <w:rsid w:val="00423A8E"/>
    <w:rsid w:val="00425AF5"/>
    <w:rsid w:val="0042639E"/>
    <w:rsid w:val="00426C1D"/>
    <w:rsid w:val="00432770"/>
    <w:rsid w:val="00432D2B"/>
    <w:rsid w:val="00432F8B"/>
    <w:rsid w:val="00433465"/>
    <w:rsid w:val="004339C0"/>
    <w:rsid w:val="0043622C"/>
    <w:rsid w:val="00441238"/>
    <w:rsid w:val="0044157B"/>
    <w:rsid w:val="0044301C"/>
    <w:rsid w:val="0044356A"/>
    <w:rsid w:val="004451ED"/>
    <w:rsid w:val="0044535C"/>
    <w:rsid w:val="00446719"/>
    <w:rsid w:val="004506A1"/>
    <w:rsid w:val="004529D0"/>
    <w:rsid w:val="00454147"/>
    <w:rsid w:val="0045589B"/>
    <w:rsid w:val="00457140"/>
    <w:rsid w:val="00460F53"/>
    <w:rsid w:val="00461CBF"/>
    <w:rsid w:val="00462577"/>
    <w:rsid w:val="00463BBF"/>
    <w:rsid w:val="00463CFB"/>
    <w:rsid w:val="00465390"/>
    <w:rsid w:val="00466079"/>
    <w:rsid w:val="004671F6"/>
    <w:rsid w:val="004700CD"/>
    <w:rsid w:val="004723D9"/>
    <w:rsid w:val="004728D3"/>
    <w:rsid w:val="004753A2"/>
    <w:rsid w:val="004753FC"/>
    <w:rsid w:val="00477CA3"/>
    <w:rsid w:val="0048109E"/>
    <w:rsid w:val="0048185E"/>
    <w:rsid w:val="004829ED"/>
    <w:rsid w:val="00483C88"/>
    <w:rsid w:val="00483FC9"/>
    <w:rsid w:val="00484A90"/>
    <w:rsid w:val="00485A71"/>
    <w:rsid w:val="00485EDA"/>
    <w:rsid w:val="00485FEC"/>
    <w:rsid w:val="00486A9D"/>
    <w:rsid w:val="0048752E"/>
    <w:rsid w:val="0048768C"/>
    <w:rsid w:val="00490508"/>
    <w:rsid w:val="00491136"/>
    <w:rsid w:val="00495845"/>
    <w:rsid w:val="00495FB3"/>
    <w:rsid w:val="0049674C"/>
    <w:rsid w:val="0049708B"/>
    <w:rsid w:val="004A00D9"/>
    <w:rsid w:val="004A1029"/>
    <w:rsid w:val="004A1F2C"/>
    <w:rsid w:val="004A25F8"/>
    <w:rsid w:val="004A3820"/>
    <w:rsid w:val="004A4CBA"/>
    <w:rsid w:val="004A5945"/>
    <w:rsid w:val="004A641A"/>
    <w:rsid w:val="004A6659"/>
    <w:rsid w:val="004A76B5"/>
    <w:rsid w:val="004A7FF7"/>
    <w:rsid w:val="004B1CDE"/>
    <w:rsid w:val="004B35BF"/>
    <w:rsid w:val="004B3B28"/>
    <w:rsid w:val="004B4432"/>
    <w:rsid w:val="004B4877"/>
    <w:rsid w:val="004B539A"/>
    <w:rsid w:val="004B647D"/>
    <w:rsid w:val="004B7D03"/>
    <w:rsid w:val="004C0A06"/>
    <w:rsid w:val="004C2BC9"/>
    <w:rsid w:val="004C3CD0"/>
    <w:rsid w:val="004C3F85"/>
    <w:rsid w:val="004C4465"/>
    <w:rsid w:val="004C48A0"/>
    <w:rsid w:val="004C52EE"/>
    <w:rsid w:val="004D2D09"/>
    <w:rsid w:val="004D31BD"/>
    <w:rsid w:val="004D3353"/>
    <w:rsid w:val="004D3CD6"/>
    <w:rsid w:val="004D6B9C"/>
    <w:rsid w:val="004D7136"/>
    <w:rsid w:val="004E0170"/>
    <w:rsid w:val="004E0D79"/>
    <w:rsid w:val="004E0E0B"/>
    <w:rsid w:val="004E20BB"/>
    <w:rsid w:val="004E31B7"/>
    <w:rsid w:val="004E4F77"/>
    <w:rsid w:val="004E50F3"/>
    <w:rsid w:val="004E62F4"/>
    <w:rsid w:val="004E6EB2"/>
    <w:rsid w:val="004E7711"/>
    <w:rsid w:val="004F0153"/>
    <w:rsid w:val="004F0D75"/>
    <w:rsid w:val="004F15A6"/>
    <w:rsid w:val="004F1B93"/>
    <w:rsid w:val="004F32B2"/>
    <w:rsid w:val="004F3CBD"/>
    <w:rsid w:val="004F4332"/>
    <w:rsid w:val="004F59BE"/>
    <w:rsid w:val="004F7B42"/>
    <w:rsid w:val="0050139A"/>
    <w:rsid w:val="005017F1"/>
    <w:rsid w:val="005029F8"/>
    <w:rsid w:val="00502BF4"/>
    <w:rsid w:val="00503A48"/>
    <w:rsid w:val="00503D75"/>
    <w:rsid w:val="005045C8"/>
    <w:rsid w:val="005048A3"/>
    <w:rsid w:val="00506145"/>
    <w:rsid w:val="005108B9"/>
    <w:rsid w:val="00510C1F"/>
    <w:rsid w:val="00510C36"/>
    <w:rsid w:val="005123F9"/>
    <w:rsid w:val="00513C2B"/>
    <w:rsid w:val="00516445"/>
    <w:rsid w:val="005174D3"/>
    <w:rsid w:val="00517A75"/>
    <w:rsid w:val="005235F1"/>
    <w:rsid w:val="00523A45"/>
    <w:rsid w:val="0052576A"/>
    <w:rsid w:val="005301A7"/>
    <w:rsid w:val="00531354"/>
    <w:rsid w:val="0053190A"/>
    <w:rsid w:val="00532141"/>
    <w:rsid w:val="00532EF3"/>
    <w:rsid w:val="00533428"/>
    <w:rsid w:val="005337EC"/>
    <w:rsid w:val="00533BD0"/>
    <w:rsid w:val="0053410A"/>
    <w:rsid w:val="005341E9"/>
    <w:rsid w:val="00535AC5"/>
    <w:rsid w:val="00535D49"/>
    <w:rsid w:val="0053621F"/>
    <w:rsid w:val="00536828"/>
    <w:rsid w:val="0053767B"/>
    <w:rsid w:val="005378E2"/>
    <w:rsid w:val="005379A6"/>
    <w:rsid w:val="00540C5C"/>
    <w:rsid w:val="00542212"/>
    <w:rsid w:val="00543A1F"/>
    <w:rsid w:val="00543EEF"/>
    <w:rsid w:val="00545ADD"/>
    <w:rsid w:val="00546B04"/>
    <w:rsid w:val="00546B0D"/>
    <w:rsid w:val="00550B85"/>
    <w:rsid w:val="005513DA"/>
    <w:rsid w:val="0055283A"/>
    <w:rsid w:val="00552ACC"/>
    <w:rsid w:val="00553A18"/>
    <w:rsid w:val="0055445F"/>
    <w:rsid w:val="005550BC"/>
    <w:rsid w:val="00557A70"/>
    <w:rsid w:val="00557CD1"/>
    <w:rsid w:val="00566650"/>
    <w:rsid w:val="00566A7F"/>
    <w:rsid w:val="005705F8"/>
    <w:rsid w:val="005706E3"/>
    <w:rsid w:val="00570F9E"/>
    <w:rsid w:val="00571541"/>
    <w:rsid w:val="00571B94"/>
    <w:rsid w:val="00572241"/>
    <w:rsid w:val="00572B1E"/>
    <w:rsid w:val="00573327"/>
    <w:rsid w:val="005737AF"/>
    <w:rsid w:val="00573F3B"/>
    <w:rsid w:val="00574DDC"/>
    <w:rsid w:val="0057704D"/>
    <w:rsid w:val="005770EA"/>
    <w:rsid w:val="005772B6"/>
    <w:rsid w:val="00580FB6"/>
    <w:rsid w:val="00584AD7"/>
    <w:rsid w:val="0058644E"/>
    <w:rsid w:val="0058727C"/>
    <w:rsid w:val="005879E2"/>
    <w:rsid w:val="00591E8B"/>
    <w:rsid w:val="00592BA4"/>
    <w:rsid w:val="00593EAF"/>
    <w:rsid w:val="0059656C"/>
    <w:rsid w:val="00596F7B"/>
    <w:rsid w:val="00597952"/>
    <w:rsid w:val="00597F69"/>
    <w:rsid w:val="005A0B27"/>
    <w:rsid w:val="005A10EE"/>
    <w:rsid w:val="005A16AD"/>
    <w:rsid w:val="005A3567"/>
    <w:rsid w:val="005A49F2"/>
    <w:rsid w:val="005A4EA4"/>
    <w:rsid w:val="005A4FD1"/>
    <w:rsid w:val="005A6661"/>
    <w:rsid w:val="005A6EDE"/>
    <w:rsid w:val="005B147E"/>
    <w:rsid w:val="005B15F8"/>
    <w:rsid w:val="005B169B"/>
    <w:rsid w:val="005B2765"/>
    <w:rsid w:val="005B332A"/>
    <w:rsid w:val="005B38F1"/>
    <w:rsid w:val="005B55F2"/>
    <w:rsid w:val="005B5911"/>
    <w:rsid w:val="005B5B6E"/>
    <w:rsid w:val="005B5CA4"/>
    <w:rsid w:val="005B6355"/>
    <w:rsid w:val="005B6977"/>
    <w:rsid w:val="005B7741"/>
    <w:rsid w:val="005B77E4"/>
    <w:rsid w:val="005B7CFC"/>
    <w:rsid w:val="005C1E25"/>
    <w:rsid w:val="005C5FB1"/>
    <w:rsid w:val="005C65F1"/>
    <w:rsid w:val="005C781C"/>
    <w:rsid w:val="005D438C"/>
    <w:rsid w:val="005D51F0"/>
    <w:rsid w:val="005D5F66"/>
    <w:rsid w:val="005D6736"/>
    <w:rsid w:val="005D7196"/>
    <w:rsid w:val="005D7A2D"/>
    <w:rsid w:val="005E01FD"/>
    <w:rsid w:val="005E3305"/>
    <w:rsid w:val="005E5339"/>
    <w:rsid w:val="005E56F3"/>
    <w:rsid w:val="005E6F5E"/>
    <w:rsid w:val="005E76E1"/>
    <w:rsid w:val="005E7775"/>
    <w:rsid w:val="005E7D47"/>
    <w:rsid w:val="005F13D1"/>
    <w:rsid w:val="005F4A52"/>
    <w:rsid w:val="005F4FC0"/>
    <w:rsid w:val="005F518E"/>
    <w:rsid w:val="005F62DB"/>
    <w:rsid w:val="00600873"/>
    <w:rsid w:val="006027FA"/>
    <w:rsid w:val="00604B02"/>
    <w:rsid w:val="006052D4"/>
    <w:rsid w:val="00606123"/>
    <w:rsid w:val="006102C7"/>
    <w:rsid w:val="006123AA"/>
    <w:rsid w:val="00612A7D"/>
    <w:rsid w:val="0061357E"/>
    <w:rsid w:val="006135B8"/>
    <w:rsid w:val="00613D10"/>
    <w:rsid w:val="006145F4"/>
    <w:rsid w:val="00614E95"/>
    <w:rsid w:val="00617822"/>
    <w:rsid w:val="00620580"/>
    <w:rsid w:val="00620CEE"/>
    <w:rsid w:val="00621DBE"/>
    <w:rsid w:val="00621E32"/>
    <w:rsid w:val="00622252"/>
    <w:rsid w:val="006222C9"/>
    <w:rsid w:val="00623B38"/>
    <w:rsid w:val="006247E9"/>
    <w:rsid w:val="00624C99"/>
    <w:rsid w:val="006257F6"/>
    <w:rsid w:val="006274BC"/>
    <w:rsid w:val="00630594"/>
    <w:rsid w:val="00631F5C"/>
    <w:rsid w:val="00633565"/>
    <w:rsid w:val="0063392C"/>
    <w:rsid w:val="0063398B"/>
    <w:rsid w:val="00635242"/>
    <w:rsid w:val="00635992"/>
    <w:rsid w:val="00636076"/>
    <w:rsid w:val="00640330"/>
    <w:rsid w:val="006403B6"/>
    <w:rsid w:val="00640729"/>
    <w:rsid w:val="00640CBE"/>
    <w:rsid w:val="00643516"/>
    <w:rsid w:val="00644B93"/>
    <w:rsid w:val="00647A11"/>
    <w:rsid w:val="00650963"/>
    <w:rsid w:val="00650B35"/>
    <w:rsid w:val="00651C70"/>
    <w:rsid w:val="00652801"/>
    <w:rsid w:val="006530C2"/>
    <w:rsid w:val="006546D5"/>
    <w:rsid w:val="0065498C"/>
    <w:rsid w:val="00655498"/>
    <w:rsid w:val="00656456"/>
    <w:rsid w:val="006610C8"/>
    <w:rsid w:val="0066226E"/>
    <w:rsid w:val="00662561"/>
    <w:rsid w:val="00663160"/>
    <w:rsid w:val="0066342E"/>
    <w:rsid w:val="00665E66"/>
    <w:rsid w:val="006707E2"/>
    <w:rsid w:val="006719AD"/>
    <w:rsid w:val="00674225"/>
    <w:rsid w:val="006749E6"/>
    <w:rsid w:val="00674D70"/>
    <w:rsid w:val="006769A0"/>
    <w:rsid w:val="00676B7F"/>
    <w:rsid w:val="00676C26"/>
    <w:rsid w:val="00677BD5"/>
    <w:rsid w:val="00680359"/>
    <w:rsid w:val="00681ACB"/>
    <w:rsid w:val="00682069"/>
    <w:rsid w:val="0068298D"/>
    <w:rsid w:val="00683C13"/>
    <w:rsid w:val="00684191"/>
    <w:rsid w:val="00685A2C"/>
    <w:rsid w:val="00685A2F"/>
    <w:rsid w:val="0068689D"/>
    <w:rsid w:val="0068710E"/>
    <w:rsid w:val="00687FB3"/>
    <w:rsid w:val="00690EA0"/>
    <w:rsid w:val="0069128A"/>
    <w:rsid w:val="00692790"/>
    <w:rsid w:val="0069394F"/>
    <w:rsid w:val="00693DB0"/>
    <w:rsid w:val="00694FF9"/>
    <w:rsid w:val="00695662"/>
    <w:rsid w:val="006966FA"/>
    <w:rsid w:val="00697DFA"/>
    <w:rsid w:val="006A0983"/>
    <w:rsid w:val="006A0E06"/>
    <w:rsid w:val="006A21EC"/>
    <w:rsid w:val="006A3E29"/>
    <w:rsid w:val="006A4323"/>
    <w:rsid w:val="006A576B"/>
    <w:rsid w:val="006A58EE"/>
    <w:rsid w:val="006A59A2"/>
    <w:rsid w:val="006A5CB6"/>
    <w:rsid w:val="006A62B8"/>
    <w:rsid w:val="006A74CC"/>
    <w:rsid w:val="006B1014"/>
    <w:rsid w:val="006B110A"/>
    <w:rsid w:val="006B152F"/>
    <w:rsid w:val="006B1923"/>
    <w:rsid w:val="006B1C4B"/>
    <w:rsid w:val="006B2593"/>
    <w:rsid w:val="006B73CA"/>
    <w:rsid w:val="006C0191"/>
    <w:rsid w:val="006C1717"/>
    <w:rsid w:val="006C32F8"/>
    <w:rsid w:val="006C3394"/>
    <w:rsid w:val="006C3804"/>
    <w:rsid w:val="006C3C40"/>
    <w:rsid w:val="006C6EC1"/>
    <w:rsid w:val="006C7488"/>
    <w:rsid w:val="006C7C1D"/>
    <w:rsid w:val="006D0403"/>
    <w:rsid w:val="006D2E13"/>
    <w:rsid w:val="006D3FE4"/>
    <w:rsid w:val="006D593B"/>
    <w:rsid w:val="006D5BDB"/>
    <w:rsid w:val="006D6CBF"/>
    <w:rsid w:val="006E0573"/>
    <w:rsid w:val="006E1745"/>
    <w:rsid w:val="006E19E1"/>
    <w:rsid w:val="006E27C4"/>
    <w:rsid w:val="006E36FE"/>
    <w:rsid w:val="006E386D"/>
    <w:rsid w:val="006E6D87"/>
    <w:rsid w:val="006F0B1C"/>
    <w:rsid w:val="006F0D89"/>
    <w:rsid w:val="006F1722"/>
    <w:rsid w:val="006F2C32"/>
    <w:rsid w:val="006F2EB5"/>
    <w:rsid w:val="006F483D"/>
    <w:rsid w:val="006F6973"/>
    <w:rsid w:val="0070007F"/>
    <w:rsid w:val="00700468"/>
    <w:rsid w:val="007004DB"/>
    <w:rsid w:val="00701215"/>
    <w:rsid w:val="00701EA4"/>
    <w:rsid w:val="007062AE"/>
    <w:rsid w:val="00707CDE"/>
    <w:rsid w:val="00711B71"/>
    <w:rsid w:val="007132FB"/>
    <w:rsid w:val="00713EBF"/>
    <w:rsid w:val="0071458C"/>
    <w:rsid w:val="00715AA3"/>
    <w:rsid w:val="00715C73"/>
    <w:rsid w:val="007160B7"/>
    <w:rsid w:val="00716775"/>
    <w:rsid w:val="007207AF"/>
    <w:rsid w:val="00722625"/>
    <w:rsid w:val="00725450"/>
    <w:rsid w:val="00731B11"/>
    <w:rsid w:val="007322CA"/>
    <w:rsid w:val="007347FC"/>
    <w:rsid w:val="0073528F"/>
    <w:rsid w:val="0073582F"/>
    <w:rsid w:val="00735E96"/>
    <w:rsid w:val="007363FF"/>
    <w:rsid w:val="00737B7B"/>
    <w:rsid w:val="00737DE6"/>
    <w:rsid w:val="007414D5"/>
    <w:rsid w:val="00741950"/>
    <w:rsid w:val="0074224F"/>
    <w:rsid w:val="007427D5"/>
    <w:rsid w:val="00744422"/>
    <w:rsid w:val="00745611"/>
    <w:rsid w:val="00745D50"/>
    <w:rsid w:val="0074716E"/>
    <w:rsid w:val="00747FA5"/>
    <w:rsid w:val="0075162E"/>
    <w:rsid w:val="00755274"/>
    <w:rsid w:val="0075581E"/>
    <w:rsid w:val="00756593"/>
    <w:rsid w:val="0075748F"/>
    <w:rsid w:val="007617FC"/>
    <w:rsid w:val="00761B24"/>
    <w:rsid w:val="007624F5"/>
    <w:rsid w:val="007625E7"/>
    <w:rsid w:val="00763443"/>
    <w:rsid w:val="00765AF9"/>
    <w:rsid w:val="00766F5D"/>
    <w:rsid w:val="00767404"/>
    <w:rsid w:val="00770278"/>
    <w:rsid w:val="00770366"/>
    <w:rsid w:val="00770C99"/>
    <w:rsid w:val="00773816"/>
    <w:rsid w:val="00773F4F"/>
    <w:rsid w:val="0077545E"/>
    <w:rsid w:val="00776AF5"/>
    <w:rsid w:val="00777B09"/>
    <w:rsid w:val="00777B37"/>
    <w:rsid w:val="00777FE7"/>
    <w:rsid w:val="00780300"/>
    <w:rsid w:val="0078035A"/>
    <w:rsid w:val="007813F9"/>
    <w:rsid w:val="00781AA9"/>
    <w:rsid w:val="00781F7B"/>
    <w:rsid w:val="0078242C"/>
    <w:rsid w:val="007824E4"/>
    <w:rsid w:val="00782851"/>
    <w:rsid w:val="0078500A"/>
    <w:rsid w:val="007856C0"/>
    <w:rsid w:val="0078683D"/>
    <w:rsid w:val="00787EDE"/>
    <w:rsid w:val="00790A47"/>
    <w:rsid w:val="0079112F"/>
    <w:rsid w:val="0079128F"/>
    <w:rsid w:val="007913F6"/>
    <w:rsid w:val="00791652"/>
    <w:rsid w:val="00793489"/>
    <w:rsid w:val="007940DF"/>
    <w:rsid w:val="00794670"/>
    <w:rsid w:val="00796959"/>
    <w:rsid w:val="00797044"/>
    <w:rsid w:val="00797B2C"/>
    <w:rsid w:val="007A1CFB"/>
    <w:rsid w:val="007A1EBB"/>
    <w:rsid w:val="007A2607"/>
    <w:rsid w:val="007A2E3C"/>
    <w:rsid w:val="007A3DA4"/>
    <w:rsid w:val="007A490D"/>
    <w:rsid w:val="007A4C6F"/>
    <w:rsid w:val="007A6202"/>
    <w:rsid w:val="007A75E5"/>
    <w:rsid w:val="007A75E6"/>
    <w:rsid w:val="007B1341"/>
    <w:rsid w:val="007B23C0"/>
    <w:rsid w:val="007B4AC4"/>
    <w:rsid w:val="007B66D8"/>
    <w:rsid w:val="007C1F9A"/>
    <w:rsid w:val="007C363B"/>
    <w:rsid w:val="007C4075"/>
    <w:rsid w:val="007C58B8"/>
    <w:rsid w:val="007D04AA"/>
    <w:rsid w:val="007D18C3"/>
    <w:rsid w:val="007D33ED"/>
    <w:rsid w:val="007D3937"/>
    <w:rsid w:val="007D463F"/>
    <w:rsid w:val="007D4DC0"/>
    <w:rsid w:val="007D5DCD"/>
    <w:rsid w:val="007D6E47"/>
    <w:rsid w:val="007D6EA2"/>
    <w:rsid w:val="007E056F"/>
    <w:rsid w:val="007E0C91"/>
    <w:rsid w:val="007E1B2A"/>
    <w:rsid w:val="007E1E7E"/>
    <w:rsid w:val="007E409E"/>
    <w:rsid w:val="007E45F7"/>
    <w:rsid w:val="007E4C9C"/>
    <w:rsid w:val="007E4D5D"/>
    <w:rsid w:val="007E5E63"/>
    <w:rsid w:val="007F0BA5"/>
    <w:rsid w:val="007F1051"/>
    <w:rsid w:val="007F13D1"/>
    <w:rsid w:val="007F1D06"/>
    <w:rsid w:val="007F2C15"/>
    <w:rsid w:val="007F3EA8"/>
    <w:rsid w:val="007F5960"/>
    <w:rsid w:val="007F64C2"/>
    <w:rsid w:val="007F6562"/>
    <w:rsid w:val="007F7B45"/>
    <w:rsid w:val="0080016B"/>
    <w:rsid w:val="00800759"/>
    <w:rsid w:val="00800DBB"/>
    <w:rsid w:val="0080179D"/>
    <w:rsid w:val="00801B49"/>
    <w:rsid w:val="00802595"/>
    <w:rsid w:val="00804FBA"/>
    <w:rsid w:val="008050F8"/>
    <w:rsid w:val="00806B8A"/>
    <w:rsid w:val="0081243A"/>
    <w:rsid w:val="00813501"/>
    <w:rsid w:val="0081475B"/>
    <w:rsid w:val="00814F5E"/>
    <w:rsid w:val="008167F1"/>
    <w:rsid w:val="00816D28"/>
    <w:rsid w:val="008220A1"/>
    <w:rsid w:val="00822775"/>
    <w:rsid w:val="00822B60"/>
    <w:rsid w:val="00824DC3"/>
    <w:rsid w:val="00826534"/>
    <w:rsid w:val="008273F6"/>
    <w:rsid w:val="00830438"/>
    <w:rsid w:val="008308EF"/>
    <w:rsid w:val="00832502"/>
    <w:rsid w:val="00833FEA"/>
    <w:rsid w:val="00834D6A"/>
    <w:rsid w:val="00834F1A"/>
    <w:rsid w:val="0083533E"/>
    <w:rsid w:val="008354E6"/>
    <w:rsid w:val="00837D88"/>
    <w:rsid w:val="00840D1F"/>
    <w:rsid w:val="008420A7"/>
    <w:rsid w:val="00842DC2"/>
    <w:rsid w:val="0084309D"/>
    <w:rsid w:val="008449BC"/>
    <w:rsid w:val="00844B48"/>
    <w:rsid w:val="00846988"/>
    <w:rsid w:val="00846B2A"/>
    <w:rsid w:val="0085071D"/>
    <w:rsid w:val="008524DB"/>
    <w:rsid w:val="00852B95"/>
    <w:rsid w:val="00852C83"/>
    <w:rsid w:val="00853CE5"/>
    <w:rsid w:val="0085539B"/>
    <w:rsid w:val="00857A08"/>
    <w:rsid w:val="00862079"/>
    <w:rsid w:val="0086317A"/>
    <w:rsid w:val="008633CF"/>
    <w:rsid w:val="00866989"/>
    <w:rsid w:val="008675CB"/>
    <w:rsid w:val="00870DC1"/>
    <w:rsid w:val="00871438"/>
    <w:rsid w:val="008717BC"/>
    <w:rsid w:val="00873C5E"/>
    <w:rsid w:val="00875C0E"/>
    <w:rsid w:val="00875C8D"/>
    <w:rsid w:val="008764B8"/>
    <w:rsid w:val="0087658C"/>
    <w:rsid w:val="008772A1"/>
    <w:rsid w:val="008779FD"/>
    <w:rsid w:val="00880206"/>
    <w:rsid w:val="008815E0"/>
    <w:rsid w:val="0088278F"/>
    <w:rsid w:val="0088430B"/>
    <w:rsid w:val="00884849"/>
    <w:rsid w:val="00886BF8"/>
    <w:rsid w:val="00891D4F"/>
    <w:rsid w:val="00891EAC"/>
    <w:rsid w:val="00892496"/>
    <w:rsid w:val="008926B8"/>
    <w:rsid w:val="00892C5D"/>
    <w:rsid w:val="00892E2D"/>
    <w:rsid w:val="008938E3"/>
    <w:rsid w:val="00893EC7"/>
    <w:rsid w:val="0089419A"/>
    <w:rsid w:val="00895174"/>
    <w:rsid w:val="00895320"/>
    <w:rsid w:val="00896124"/>
    <w:rsid w:val="008966D1"/>
    <w:rsid w:val="0089677D"/>
    <w:rsid w:val="00896971"/>
    <w:rsid w:val="0089753D"/>
    <w:rsid w:val="00897782"/>
    <w:rsid w:val="0089790E"/>
    <w:rsid w:val="008A0EC1"/>
    <w:rsid w:val="008A29AD"/>
    <w:rsid w:val="008A2A5E"/>
    <w:rsid w:val="008A33CD"/>
    <w:rsid w:val="008A4742"/>
    <w:rsid w:val="008A5C3C"/>
    <w:rsid w:val="008A6D52"/>
    <w:rsid w:val="008A74E2"/>
    <w:rsid w:val="008A78FA"/>
    <w:rsid w:val="008B1514"/>
    <w:rsid w:val="008B1940"/>
    <w:rsid w:val="008B1C8F"/>
    <w:rsid w:val="008B309D"/>
    <w:rsid w:val="008B4678"/>
    <w:rsid w:val="008B477F"/>
    <w:rsid w:val="008B4E84"/>
    <w:rsid w:val="008B6DC8"/>
    <w:rsid w:val="008C1A70"/>
    <w:rsid w:val="008C44EF"/>
    <w:rsid w:val="008C4D62"/>
    <w:rsid w:val="008C5C9B"/>
    <w:rsid w:val="008C69DD"/>
    <w:rsid w:val="008D065A"/>
    <w:rsid w:val="008D0858"/>
    <w:rsid w:val="008D1A97"/>
    <w:rsid w:val="008D2B3C"/>
    <w:rsid w:val="008D5A85"/>
    <w:rsid w:val="008D66B7"/>
    <w:rsid w:val="008D6A6F"/>
    <w:rsid w:val="008E0361"/>
    <w:rsid w:val="008E2513"/>
    <w:rsid w:val="008E2936"/>
    <w:rsid w:val="008E3913"/>
    <w:rsid w:val="008E575D"/>
    <w:rsid w:val="008E7A46"/>
    <w:rsid w:val="008F0D4C"/>
    <w:rsid w:val="008F2827"/>
    <w:rsid w:val="008F34B9"/>
    <w:rsid w:val="008F3EA9"/>
    <w:rsid w:val="009006A5"/>
    <w:rsid w:val="0090192B"/>
    <w:rsid w:val="00901B58"/>
    <w:rsid w:val="009034F1"/>
    <w:rsid w:val="0090391A"/>
    <w:rsid w:val="00903F9F"/>
    <w:rsid w:val="00904637"/>
    <w:rsid w:val="00904D39"/>
    <w:rsid w:val="00911A34"/>
    <w:rsid w:val="00911EB5"/>
    <w:rsid w:val="00912C3A"/>
    <w:rsid w:val="009133C4"/>
    <w:rsid w:val="00913FC5"/>
    <w:rsid w:val="00914784"/>
    <w:rsid w:val="00915CE3"/>
    <w:rsid w:val="0091752D"/>
    <w:rsid w:val="009205B6"/>
    <w:rsid w:val="00923029"/>
    <w:rsid w:val="009230D9"/>
    <w:rsid w:val="009254EC"/>
    <w:rsid w:val="009255E7"/>
    <w:rsid w:val="00925734"/>
    <w:rsid w:val="00925ECD"/>
    <w:rsid w:val="00925FCB"/>
    <w:rsid w:val="009260AD"/>
    <w:rsid w:val="00926978"/>
    <w:rsid w:val="0092709C"/>
    <w:rsid w:val="00927AC3"/>
    <w:rsid w:val="009336E2"/>
    <w:rsid w:val="009342E3"/>
    <w:rsid w:val="0093495A"/>
    <w:rsid w:val="0094069E"/>
    <w:rsid w:val="00941ABE"/>
    <w:rsid w:val="00942E7A"/>
    <w:rsid w:val="00943CE9"/>
    <w:rsid w:val="009444F8"/>
    <w:rsid w:val="00947F57"/>
    <w:rsid w:val="009502AC"/>
    <w:rsid w:val="00950398"/>
    <w:rsid w:val="00954182"/>
    <w:rsid w:val="00954603"/>
    <w:rsid w:val="009546CE"/>
    <w:rsid w:val="00956266"/>
    <w:rsid w:val="0096056B"/>
    <w:rsid w:val="00960F49"/>
    <w:rsid w:val="009618D8"/>
    <w:rsid w:val="00961A2B"/>
    <w:rsid w:val="00962169"/>
    <w:rsid w:val="009629C0"/>
    <w:rsid w:val="0096351B"/>
    <w:rsid w:val="00965294"/>
    <w:rsid w:val="00967A50"/>
    <w:rsid w:val="00967BDC"/>
    <w:rsid w:val="00970CE4"/>
    <w:rsid w:val="00974F1B"/>
    <w:rsid w:val="00974FAC"/>
    <w:rsid w:val="00975DBA"/>
    <w:rsid w:val="00976B54"/>
    <w:rsid w:val="009770ED"/>
    <w:rsid w:val="00977580"/>
    <w:rsid w:val="00977BCC"/>
    <w:rsid w:val="009813C2"/>
    <w:rsid w:val="00982EF5"/>
    <w:rsid w:val="00983521"/>
    <w:rsid w:val="00987559"/>
    <w:rsid w:val="0098771B"/>
    <w:rsid w:val="00993367"/>
    <w:rsid w:val="00993505"/>
    <w:rsid w:val="009946CB"/>
    <w:rsid w:val="00995738"/>
    <w:rsid w:val="00996062"/>
    <w:rsid w:val="00997189"/>
    <w:rsid w:val="009A11D3"/>
    <w:rsid w:val="009A2730"/>
    <w:rsid w:val="009A39B9"/>
    <w:rsid w:val="009A3D10"/>
    <w:rsid w:val="009A3D1F"/>
    <w:rsid w:val="009A61CF"/>
    <w:rsid w:val="009A6B3D"/>
    <w:rsid w:val="009B1E25"/>
    <w:rsid w:val="009B37CF"/>
    <w:rsid w:val="009B5EC4"/>
    <w:rsid w:val="009B7241"/>
    <w:rsid w:val="009B7ABE"/>
    <w:rsid w:val="009C16A2"/>
    <w:rsid w:val="009C16E7"/>
    <w:rsid w:val="009C1C92"/>
    <w:rsid w:val="009C36A4"/>
    <w:rsid w:val="009C3FB5"/>
    <w:rsid w:val="009C4413"/>
    <w:rsid w:val="009C48F1"/>
    <w:rsid w:val="009C6030"/>
    <w:rsid w:val="009C781B"/>
    <w:rsid w:val="009D1020"/>
    <w:rsid w:val="009D112B"/>
    <w:rsid w:val="009D3230"/>
    <w:rsid w:val="009D527C"/>
    <w:rsid w:val="009D5578"/>
    <w:rsid w:val="009D6EDB"/>
    <w:rsid w:val="009D765B"/>
    <w:rsid w:val="009D7DD2"/>
    <w:rsid w:val="009E010F"/>
    <w:rsid w:val="009E0185"/>
    <w:rsid w:val="009E28E8"/>
    <w:rsid w:val="009E2A0B"/>
    <w:rsid w:val="009E3CAB"/>
    <w:rsid w:val="009E5BBD"/>
    <w:rsid w:val="009E5D70"/>
    <w:rsid w:val="009E693D"/>
    <w:rsid w:val="009E7013"/>
    <w:rsid w:val="009E79EF"/>
    <w:rsid w:val="009F0A7F"/>
    <w:rsid w:val="009F0F1E"/>
    <w:rsid w:val="009F1049"/>
    <w:rsid w:val="009F1058"/>
    <w:rsid w:val="009F1892"/>
    <w:rsid w:val="009F23A8"/>
    <w:rsid w:val="009F2933"/>
    <w:rsid w:val="009F3CAF"/>
    <w:rsid w:val="009F4AC6"/>
    <w:rsid w:val="009F5425"/>
    <w:rsid w:val="009F6931"/>
    <w:rsid w:val="00A02BDB"/>
    <w:rsid w:val="00A0377B"/>
    <w:rsid w:val="00A04E60"/>
    <w:rsid w:val="00A05084"/>
    <w:rsid w:val="00A05F23"/>
    <w:rsid w:val="00A10DBF"/>
    <w:rsid w:val="00A116F8"/>
    <w:rsid w:val="00A11CCD"/>
    <w:rsid w:val="00A14B5E"/>
    <w:rsid w:val="00A15D50"/>
    <w:rsid w:val="00A15E90"/>
    <w:rsid w:val="00A16EB6"/>
    <w:rsid w:val="00A16F93"/>
    <w:rsid w:val="00A17C4B"/>
    <w:rsid w:val="00A21855"/>
    <w:rsid w:val="00A22283"/>
    <w:rsid w:val="00A22526"/>
    <w:rsid w:val="00A238C7"/>
    <w:rsid w:val="00A24364"/>
    <w:rsid w:val="00A27713"/>
    <w:rsid w:val="00A277D5"/>
    <w:rsid w:val="00A31466"/>
    <w:rsid w:val="00A3277C"/>
    <w:rsid w:val="00A327A8"/>
    <w:rsid w:val="00A3282C"/>
    <w:rsid w:val="00A330C1"/>
    <w:rsid w:val="00A331F3"/>
    <w:rsid w:val="00A3421C"/>
    <w:rsid w:val="00A342C0"/>
    <w:rsid w:val="00A35506"/>
    <w:rsid w:val="00A375A9"/>
    <w:rsid w:val="00A4025C"/>
    <w:rsid w:val="00A4025E"/>
    <w:rsid w:val="00A405D0"/>
    <w:rsid w:val="00A40E4E"/>
    <w:rsid w:val="00A41202"/>
    <w:rsid w:val="00A41B94"/>
    <w:rsid w:val="00A421ED"/>
    <w:rsid w:val="00A456AB"/>
    <w:rsid w:val="00A46D72"/>
    <w:rsid w:val="00A47911"/>
    <w:rsid w:val="00A50E55"/>
    <w:rsid w:val="00A51B99"/>
    <w:rsid w:val="00A575A5"/>
    <w:rsid w:val="00A60937"/>
    <w:rsid w:val="00A648E0"/>
    <w:rsid w:val="00A6493D"/>
    <w:rsid w:val="00A650A4"/>
    <w:rsid w:val="00A65169"/>
    <w:rsid w:val="00A66358"/>
    <w:rsid w:val="00A66478"/>
    <w:rsid w:val="00A7086B"/>
    <w:rsid w:val="00A70ECC"/>
    <w:rsid w:val="00A70F8D"/>
    <w:rsid w:val="00A71C5B"/>
    <w:rsid w:val="00A73BAB"/>
    <w:rsid w:val="00A75EC0"/>
    <w:rsid w:val="00A761CF"/>
    <w:rsid w:val="00A76387"/>
    <w:rsid w:val="00A80152"/>
    <w:rsid w:val="00A80C70"/>
    <w:rsid w:val="00A81C41"/>
    <w:rsid w:val="00A82751"/>
    <w:rsid w:val="00A82F65"/>
    <w:rsid w:val="00A83FA0"/>
    <w:rsid w:val="00A86A0C"/>
    <w:rsid w:val="00A87887"/>
    <w:rsid w:val="00A90A32"/>
    <w:rsid w:val="00A9200E"/>
    <w:rsid w:val="00A923DD"/>
    <w:rsid w:val="00A92A17"/>
    <w:rsid w:val="00A92EC5"/>
    <w:rsid w:val="00A943CA"/>
    <w:rsid w:val="00A94A58"/>
    <w:rsid w:val="00A95163"/>
    <w:rsid w:val="00A96984"/>
    <w:rsid w:val="00A96A54"/>
    <w:rsid w:val="00AA13C2"/>
    <w:rsid w:val="00AA1D04"/>
    <w:rsid w:val="00AA3DEC"/>
    <w:rsid w:val="00AA3F32"/>
    <w:rsid w:val="00AA4E02"/>
    <w:rsid w:val="00AA4E66"/>
    <w:rsid w:val="00AA7AA8"/>
    <w:rsid w:val="00AA7D0C"/>
    <w:rsid w:val="00AB0DCE"/>
    <w:rsid w:val="00AB15BD"/>
    <w:rsid w:val="00AB40AF"/>
    <w:rsid w:val="00AB51A6"/>
    <w:rsid w:val="00AB5233"/>
    <w:rsid w:val="00AB561B"/>
    <w:rsid w:val="00AB58F4"/>
    <w:rsid w:val="00AB5D13"/>
    <w:rsid w:val="00AB668E"/>
    <w:rsid w:val="00AB66D1"/>
    <w:rsid w:val="00AB7291"/>
    <w:rsid w:val="00AB74A7"/>
    <w:rsid w:val="00AC1963"/>
    <w:rsid w:val="00AC196B"/>
    <w:rsid w:val="00AC4C9E"/>
    <w:rsid w:val="00AC5C4D"/>
    <w:rsid w:val="00AC6CB7"/>
    <w:rsid w:val="00AC704C"/>
    <w:rsid w:val="00AD0292"/>
    <w:rsid w:val="00AD0667"/>
    <w:rsid w:val="00AD09D3"/>
    <w:rsid w:val="00AD0C50"/>
    <w:rsid w:val="00AD1269"/>
    <w:rsid w:val="00AD2A01"/>
    <w:rsid w:val="00AD3101"/>
    <w:rsid w:val="00AD4C87"/>
    <w:rsid w:val="00AD7540"/>
    <w:rsid w:val="00AE26CF"/>
    <w:rsid w:val="00AE3D31"/>
    <w:rsid w:val="00AE3F1D"/>
    <w:rsid w:val="00AE403F"/>
    <w:rsid w:val="00AE4491"/>
    <w:rsid w:val="00AE7452"/>
    <w:rsid w:val="00AE7FAF"/>
    <w:rsid w:val="00AF150D"/>
    <w:rsid w:val="00AF1807"/>
    <w:rsid w:val="00AF23C8"/>
    <w:rsid w:val="00AF2846"/>
    <w:rsid w:val="00AF29B7"/>
    <w:rsid w:val="00AF3D6A"/>
    <w:rsid w:val="00AF4137"/>
    <w:rsid w:val="00AF65DF"/>
    <w:rsid w:val="00AF7227"/>
    <w:rsid w:val="00B003EA"/>
    <w:rsid w:val="00B024D0"/>
    <w:rsid w:val="00B02739"/>
    <w:rsid w:val="00B05709"/>
    <w:rsid w:val="00B061B1"/>
    <w:rsid w:val="00B06324"/>
    <w:rsid w:val="00B1037E"/>
    <w:rsid w:val="00B11155"/>
    <w:rsid w:val="00B113B0"/>
    <w:rsid w:val="00B12221"/>
    <w:rsid w:val="00B126F9"/>
    <w:rsid w:val="00B133C7"/>
    <w:rsid w:val="00B136C3"/>
    <w:rsid w:val="00B13AFC"/>
    <w:rsid w:val="00B13BFB"/>
    <w:rsid w:val="00B15092"/>
    <w:rsid w:val="00B16219"/>
    <w:rsid w:val="00B169C6"/>
    <w:rsid w:val="00B1731D"/>
    <w:rsid w:val="00B20283"/>
    <w:rsid w:val="00B20B34"/>
    <w:rsid w:val="00B20E73"/>
    <w:rsid w:val="00B21845"/>
    <w:rsid w:val="00B22244"/>
    <w:rsid w:val="00B2245E"/>
    <w:rsid w:val="00B2392F"/>
    <w:rsid w:val="00B2559A"/>
    <w:rsid w:val="00B25FC7"/>
    <w:rsid w:val="00B3006A"/>
    <w:rsid w:val="00B3114E"/>
    <w:rsid w:val="00B312AC"/>
    <w:rsid w:val="00B31639"/>
    <w:rsid w:val="00B31799"/>
    <w:rsid w:val="00B3335F"/>
    <w:rsid w:val="00B34DC4"/>
    <w:rsid w:val="00B35A14"/>
    <w:rsid w:val="00B35A6D"/>
    <w:rsid w:val="00B367B7"/>
    <w:rsid w:val="00B37D35"/>
    <w:rsid w:val="00B37D65"/>
    <w:rsid w:val="00B4065B"/>
    <w:rsid w:val="00B40D9E"/>
    <w:rsid w:val="00B411C2"/>
    <w:rsid w:val="00B41C06"/>
    <w:rsid w:val="00B42CF1"/>
    <w:rsid w:val="00B42E55"/>
    <w:rsid w:val="00B430FE"/>
    <w:rsid w:val="00B43620"/>
    <w:rsid w:val="00B44248"/>
    <w:rsid w:val="00B4635F"/>
    <w:rsid w:val="00B50031"/>
    <w:rsid w:val="00B5122A"/>
    <w:rsid w:val="00B51F95"/>
    <w:rsid w:val="00B5496A"/>
    <w:rsid w:val="00B54D7D"/>
    <w:rsid w:val="00B57779"/>
    <w:rsid w:val="00B60224"/>
    <w:rsid w:val="00B62A70"/>
    <w:rsid w:val="00B62A9F"/>
    <w:rsid w:val="00B643C0"/>
    <w:rsid w:val="00B65F88"/>
    <w:rsid w:val="00B66C6A"/>
    <w:rsid w:val="00B672DD"/>
    <w:rsid w:val="00B70FA5"/>
    <w:rsid w:val="00B728E0"/>
    <w:rsid w:val="00B73242"/>
    <w:rsid w:val="00B740FB"/>
    <w:rsid w:val="00B7561B"/>
    <w:rsid w:val="00B756C0"/>
    <w:rsid w:val="00B76B9F"/>
    <w:rsid w:val="00B8137E"/>
    <w:rsid w:val="00B83AEA"/>
    <w:rsid w:val="00B83CC0"/>
    <w:rsid w:val="00B858FB"/>
    <w:rsid w:val="00B85AD4"/>
    <w:rsid w:val="00B8671A"/>
    <w:rsid w:val="00B87918"/>
    <w:rsid w:val="00B9021E"/>
    <w:rsid w:val="00B9076F"/>
    <w:rsid w:val="00B9081F"/>
    <w:rsid w:val="00B90F26"/>
    <w:rsid w:val="00B91012"/>
    <w:rsid w:val="00B926E0"/>
    <w:rsid w:val="00B92783"/>
    <w:rsid w:val="00B954D6"/>
    <w:rsid w:val="00B95879"/>
    <w:rsid w:val="00B95B4E"/>
    <w:rsid w:val="00BA1285"/>
    <w:rsid w:val="00BA1BC3"/>
    <w:rsid w:val="00BA1BE4"/>
    <w:rsid w:val="00BA2CBD"/>
    <w:rsid w:val="00BA3FA3"/>
    <w:rsid w:val="00BA408E"/>
    <w:rsid w:val="00BA5D30"/>
    <w:rsid w:val="00BA67BC"/>
    <w:rsid w:val="00BA6E26"/>
    <w:rsid w:val="00BB080A"/>
    <w:rsid w:val="00BB09F1"/>
    <w:rsid w:val="00BB1F0D"/>
    <w:rsid w:val="00BB2B3F"/>
    <w:rsid w:val="00BB3478"/>
    <w:rsid w:val="00BB6062"/>
    <w:rsid w:val="00BB6D22"/>
    <w:rsid w:val="00BB7B5B"/>
    <w:rsid w:val="00BB7E8A"/>
    <w:rsid w:val="00BB7FD7"/>
    <w:rsid w:val="00BC0417"/>
    <w:rsid w:val="00BC0ACB"/>
    <w:rsid w:val="00BC0CCE"/>
    <w:rsid w:val="00BC11B3"/>
    <w:rsid w:val="00BC1CCC"/>
    <w:rsid w:val="00BC29AF"/>
    <w:rsid w:val="00BC3648"/>
    <w:rsid w:val="00BC5C01"/>
    <w:rsid w:val="00BC5DA9"/>
    <w:rsid w:val="00BC5F20"/>
    <w:rsid w:val="00BC6C8A"/>
    <w:rsid w:val="00BD0592"/>
    <w:rsid w:val="00BD29EC"/>
    <w:rsid w:val="00BD587C"/>
    <w:rsid w:val="00BD7E98"/>
    <w:rsid w:val="00BE18CC"/>
    <w:rsid w:val="00BE4550"/>
    <w:rsid w:val="00BE5AF1"/>
    <w:rsid w:val="00BE5FAE"/>
    <w:rsid w:val="00BE6B75"/>
    <w:rsid w:val="00BF00A6"/>
    <w:rsid w:val="00BF0E96"/>
    <w:rsid w:val="00BF1B1B"/>
    <w:rsid w:val="00BF21AA"/>
    <w:rsid w:val="00BF3760"/>
    <w:rsid w:val="00BF405F"/>
    <w:rsid w:val="00BF44FE"/>
    <w:rsid w:val="00BF4A58"/>
    <w:rsid w:val="00BF7292"/>
    <w:rsid w:val="00C01876"/>
    <w:rsid w:val="00C027FD"/>
    <w:rsid w:val="00C02C3B"/>
    <w:rsid w:val="00C030C2"/>
    <w:rsid w:val="00C0368F"/>
    <w:rsid w:val="00C03B4D"/>
    <w:rsid w:val="00C045D3"/>
    <w:rsid w:val="00C0594B"/>
    <w:rsid w:val="00C06BC9"/>
    <w:rsid w:val="00C06DB2"/>
    <w:rsid w:val="00C109F2"/>
    <w:rsid w:val="00C10B42"/>
    <w:rsid w:val="00C114B1"/>
    <w:rsid w:val="00C11AB6"/>
    <w:rsid w:val="00C13596"/>
    <w:rsid w:val="00C13D23"/>
    <w:rsid w:val="00C14279"/>
    <w:rsid w:val="00C1434F"/>
    <w:rsid w:val="00C14943"/>
    <w:rsid w:val="00C15551"/>
    <w:rsid w:val="00C16B85"/>
    <w:rsid w:val="00C20DAB"/>
    <w:rsid w:val="00C2148E"/>
    <w:rsid w:val="00C220A9"/>
    <w:rsid w:val="00C22D1F"/>
    <w:rsid w:val="00C2399F"/>
    <w:rsid w:val="00C23E23"/>
    <w:rsid w:val="00C2608C"/>
    <w:rsid w:val="00C261DC"/>
    <w:rsid w:val="00C26D1B"/>
    <w:rsid w:val="00C27357"/>
    <w:rsid w:val="00C3491E"/>
    <w:rsid w:val="00C422B6"/>
    <w:rsid w:val="00C42C29"/>
    <w:rsid w:val="00C42C6F"/>
    <w:rsid w:val="00C42FAF"/>
    <w:rsid w:val="00C43B58"/>
    <w:rsid w:val="00C444CE"/>
    <w:rsid w:val="00C44C0F"/>
    <w:rsid w:val="00C46416"/>
    <w:rsid w:val="00C46C29"/>
    <w:rsid w:val="00C523F9"/>
    <w:rsid w:val="00C525B8"/>
    <w:rsid w:val="00C528B9"/>
    <w:rsid w:val="00C56687"/>
    <w:rsid w:val="00C56AC4"/>
    <w:rsid w:val="00C6091C"/>
    <w:rsid w:val="00C62CA8"/>
    <w:rsid w:val="00C6404C"/>
    <w:rsid w:val="00C654D4"/>
    <w:rsid w:val="00C66168"/>
    <w:rsid w:val="00C70AC0"/>
    <w:rsid w:val="00C71F49"/>
    <w:rsid w:val="00C734B3"/>
    <w:rsid w:val="00C737AB"/>
    <w:rsid w:val="00C73D1A"/>
    <w:rsid w:val="00C743DC"/>
    <w:rsid w:val="00C74E58"/>
    <w:rsid w:val="00C74E7B"/>
    <w:rsid w:val="00C75474"/>
    <w:rsid w:val="00C7559B"/>
    <w:rsid w:val="00C76F1C"/>
    <w:rsid w:val="00C77001"/>
    <w:rsid w:val="00C77163"/>
    <w:rsid w:val="00C8016A"/>
    <w:rsid w:val="00C80D8B"/>
    <w:rsid w:val="00C82CCC"/>
    <w:rsid w:val="00C82F50"/>
    <w:rsid w:val="00C83AA3"/>
    <w:rsid w:val="00C84771"/>
    <w:rsid w:val="00C84CE8"/>
    <w:rsid w:val="00C851FE"/>
    <w:rsid w:val="00C9363D"/>
    <w:rsid w:val="00C93668"/>
    <w:rsid w:val="00C93E18"/>
    <w:rsid w:val="00C9432C"/>
    <w:rsid w:val="00C95FAE"/>
    <w:rsid w:val="00CA2C08"/>
    <w:rsid w:val="00CA31A3"/>
    <w:rsid w:val="00CA435A"/>
    <w:rsid w:val="00CA4B5B"/>
    <w:rsid w:val="00CA4C4A"/>
    <w:rsid w:val="00CA5038"/>
    <w:rsid w:val="00CA5440"/>
    <w:rsid w:val="00CA5C54"/>
    <w:rsid w:val="00CA7643"/>
    <w:rsid w:val="00CA7C45"/>
    <w:rsid w:val="00CB03E8"/>
    <w:rsid w:val="00CB0FF2"/>
    <w:rsid w:val="00CB21B6"/>
    <w:rsid w:val="00CB2DC2"/>
    <w:rsid w:val="00CB2F0E"/>
    <w:rsid w:val="00CB4987"/>
    <w:rsid w:val="00CB5921"/>
    <w:rsid w:val="00CB6102"/>
    <w:rsid w:val="00CB620B"/>
    <w:rsid w:val="00CC12E9"/>
    <w:rsid w:val="00CC1D5D"/>
    <w:rsid w:val="00CC2970"/>
    <w:rsid w:val="00CC2D0D"/>
    <w:rsid w:val="00CC3C59"/>
    <w:rsid w:val="00CC7658"/>
    <w:rsid w:val="00CD11F5"/>
    <w:rsid w:val="00CD2F99"/>
    <w:rsid w:val="00CD3B29"/>
    <w:rsid w:val="00CD5B8C"/>
    <w:rsid w:val="00CD5BFD"/>
    <w:rsid w:val="00CD5FE7"/>
    <w:rsid w:val="00CE08BD"/>
    <w:rsid w:val="00CE27D3"/>
    <w:rsid w:val="00CE4EA8"/>
    <w:rsid w:val="00CE4F8B"/>
    <w:rsid w:val="00CE5240"/>
    <w:rsid w:val="00CE70E7"/>
    <w:rsid w:val="00CF02A1"/>
    <w:rsid w:val="00CF06E9"/>
    <w:rsid w:val="00CF0C10"/>
    <w:rsid w:val="00CF288C"/>
    <w:rsid w:val="00CF6C9F"/>
    <w:rsid w:val="00CF7229"/>
    <w:rsid w:val="00CF7465"/>
    <w:rsid w:val="00CF79CA"/>
    <w:rsid w:val="00D01754"/>
    <w:rsid w:val="00D0413B"/>
    <w:rsid w:val="00D0474E"/>
    <w:rsid w:val="00D04BE3"/>
    <w:rsid w:val="00D06A86"/>
    <w:rsid w:val="00D073ED"/>
    <w:rsid w:val="00D076AF"/>
    <w:rsid w:val="00D101D9"/>
    <w:rsid w:val="00D1036F"/>
    <w:rsid w:val="00D1118A"/>
    <w:rsid w:val="00D11281"/>
    <w:rsid w:val="00D11919"/>
    <w:rsid w:val="00D13DE4"/>
    <w:rsid w:val="00D144ED"/>
    <w:rsid w:val="00D14CC2"/>
    <w:rsid w:val="00D1570D"/>
    <w:rsid w:val="00D15786"/>
    <w:rsid w:val="00D164CD"/>
    <w:rsid w:val="00D16D0B"/>
    <w:rsid w:val="00D17AEF"/>
    <w:rsid w:val="00D17FB9"/>
    <w:rsid w:val="00D20923"/>
    <w:rsid w:val="00D217B9"/>
    <w:rsid w:val="00D21B1C"/>
    <w:rsid w:val="00D22166"/>
    <w:rsid w:val="00D22A7A"/>
    <w:rsid w:val="00D24276"/>
    <w:rsid w:val="00D24A99"/>
    <w:rsid w:val="00D24BA3"/>
    <w:rsid w:val="00D26253"/>
    <w:rsid w:val="00D30AA6"/>
    <w:rsid w:val="00D30DB1"/>
    <w:rsid w:val="00D31233"/>
    <w:rsid w:val="00D352C1"/>
    <w:rsid w:val="00D40556"/>
    <w:rsid w:val="00D410AA"/>
    <w:rsid w:val="00D41150"/>
    <w:rsid w:val="00D41673"/>
    <w:rsid w:val="00D4208F"/>
    <w:rsid w:val="00D42E12"/>
    <w:rsid w:val="00D43F49"/>
    <w:rsid w:val="00D44828"/>
    <w:rsid w:val="00D46058"/>
    <w:rsid w:val="00D472DD"/>
    <w:rsid w:val="00D475E7"/>
    <w:rsid w:val="00D47B2B"/>
    <w:rsid w:val="00D51333"/>
    <w:rsid w:val="00D52A9D"/>
    <w:rsid w:val="00D55121"/>
    <w:rsid w:val="00D56C20"/>
    <w:rsid w:val="00D57332"/>
    <w:rsid w:val="00D57450"/>
    <w:rsid w:val="00D602BE"/>
    <w:rsid w:val="00D61012"/>
    <w:rsid w:val="00D62189"/>
    <w:rsid w:val="00D6243A"/>
    <w:rsid w:val="00D641A4"/>
    <w:rsid w:val="00D66A1B"/>
    <w:rsid w:val="00D7091D"/>
    <w:rsid w:val="00D70A08"/>
    <w:rsid w:val="00D70B1E"/>
    <w:rsid w:val="00D715F4"/>
    <w:rsid w:val="00D71A1A"/>
    <w:rsid w:val="00D71CF8"/>
    <w:rsid w:val="00D71DD0"/>
    <w:rsid w:val="00D722AE"/>
    <w:rsid w:val="00D7232F"/>
    <w:rsid w:val="00D72710"/>
    <w:rsid w:val="00D72E47"/>
    <w:rsid w:val="00D74C07"/>
    <w:rsid w:val="00D7513D"/>
    <w:rsid w:val="00D75294"/>
    <w:rsid w:val="00D761C1"/>
    <w:rsid w:val="00D77265"/>
    <w:rsid w:val="00D805BA"/>
    <w:rsid w:val="00D824F5"/>
    <w:rsid w:val="00D855C2"/>
    <w:rsid w:val="00D85A31"/>
    <w:rsid w:val="00D85A9C"/>
    <w:rsid w:val="00D86AF8"/>
    <w:rsid w:val="00D87049"/>
    <w:rsid w:val="00D87159"/>
    <w:rsid w:val="00D879EE"/>
    <w:rsid w:val="00D900E7"/>
    <w:rsid w:val="00D9324B"/>
    <w:rsid w:val="00D968C5"/>
    <w:rsid w:val="00D97629"/>
    <w:rsid w:val="00D97819"/>
    <w:rsid w:val="00DA0CDC"/>
    <w:rsid w:val="00DA1004"/>
    <w:rsid w:val="00DA1A14"/>
    <w:rsid w:val="00DA227C"/>
    <w:rsid w:val="00DA29B1"/>
    <w:rsid w:val="00DA517E"/>
    <w:rsid w:val="00DA5902"/>
    <w:rsid w:val="00DA5D28"/>
    <w:rsid w:val="00DB1CA3"/>
    <w:rsid w:val="00DB4E40"/>
    <w:rsid w:val="00DB5809"/>
    <w:rsid w:val="00DB5C87"/>
    <w:rsid w:val="00DC01C1"/>
    <w:rsid w:val="00DC0220"/>
    <w:rsid w:val="00DC0E09"/>
    <w:rsid w:val="00DC1E0E"/>
    <w:rsid w:val="00DC28F0"/>
    <w:rsid w:val="00DC608C"/>
    <w:rsid w:val="00DD2642"/>
    <w:rsid w:val="00DD2EDE"/>
    <w:rsid w:val="00DD499D"/>
    <w:rsid w:val="00DD4C37"/>
    <w:rsid w:val="00DD5378"/>
    <w:rsid w:val="00DD540D"/>
    <w:rsid w:val="00DD572A"/>
    <w:rsid w:val="00DD5DED"/>
    <w:rsid w:val="00DD6EB6"/>
    <w:rsid w:val="00DD7D82"/>
    <w:rsid w:val="00DE06AC"/>
    <w:rsid w:val="00DE0ABC"/>
    <w:rsid w:val="00DE0D6E"/>
    <w:rsid w:val="00DE0FF8"/>
    <w:rsid w:val="00DE16C6"/>
    <w:rsid w:val="00DE16FC"/>
    <w:rsid w:val="00DE2F40"/>
    <w:rsid w:val="00DE363E"/>
    <w:rsid w:val="00DE3717"/>
    <w:rsid w:val="00DE69A4"/>
    <w:rsid w:val="00DE7343"/>
    <w:rsid w:val="00DE775D"/>
    <w:rsid w:val="00DF0065"/>
    <w:rsid w:val="00DF0187"/>
    <w:rsid w:val="00DF0624"/>
    <w:rsid w:val="00DF2196"/>
    <w:rsid w:val="00DF26C0"/>
    <w:rsid w:val="00DF3705"/>
    <w:rsid w:val="00DF3DAD"/>
    <w:rsid w:val="00DF4B21"/>
    <w:rsid w:val="00DF54D7"/>
    <w:rsid w:val="00DF7622"/>
    <w:rsid w:val="00DF78A9"/>
    <w:rsid w:val="00E02360"/>
    <w:rsid w:val="00E0301F"/>
    <w:rsid w:val="00E03213"/>
    <w:rsid w:val="00E03825"/>
    <w:rsid w:val="00E04506"/>
    <w:rsid w:val="00E13928"/>
    <w:rsid w:val="00E1485F"/>
    <w:rsid w:val="00E14F18"/>
    <w:rsid w:val="00E15366"/>
    <w:rsid w:val="00E1563C"/>
    <w:rsid w:val="00E1615F"/>
    <w:rsid w:val="00E1734C"/>
    <w:rsid w:val="00E20255"/>
    <w:rsid w:val="00E20EC7"/>
    <w:rsid w:val="00E24791"/>
    <w:rsid w:val="00E2480F"/>
    <w:rsid w:val="00E2525C"/>
    <w:rsid w:val="00E30D88"/>
    <w:rsid w:val="00E31E70"/>
    <w:rsid w:val="00E33D4C"/>
    <w:rsid w:val="00E34070"/>
    <w:rsid w:val="00E344CD"/>
    <w:rsid w:val="00E40E8A"/>
    <w:rsid w:val="00E41854"/>
    <w:rsid w:val="00E426FB"/>
    <w:rsid w:val="00E42E83"/>
    <w:rsid w:val="00E4505D"/>
    <w:rsid w:val="00E45276"/>
    <w:rsid w:val="00E46165"/>
    <w:rsid w:val="00E479BF"/>
    <w:rsid w:val="00E47A09"/>
    <w:rsid w:val="00E47B35"/>
    <w:rsid w:val="00E5056F"/>
    <w:rsid w:val="00E50757"/>
    <w:rsid w:val="00E516F8"/>
    <w:rsid w:val="00E5374F"/>
    <w:rsid w:val="00E5465E"/>
    <w:rsid w:val="00E5501D"/>
    <w:rsid w:val="00E55AA9"/>
    <w:rsid w:val="00E55C53"/>
    <w:rsid w:val="00E56EB8"/>
    <w:rsid w:val="00E575FF"/>
    <w:rsid w:val="00E60A11"/>
    <w:rsid w:val="00E62C15"/>
    <w:rsid w:val="00E62DA3"/>
    <w:rsid w:val="00E631CF"/>
    <w:rsid w:val="00E65630"/>
    <w:rsid w:val="00E65856"/>
    <w:rsid w:val="00E668CB"/>
    <w:rsid w:val="00E70901"/>
    <w:rsid w:val="00E7198A"/>
    <w:rsid w:val="00E72A6F"/>
    <w:rsid w:val="00E72FAF"/>
    <w:rsid w:val="00E7526D"/>
    <w:rsid w:val="00E75AD0"/>
    <w:rsid w:val="00E75EAE"/>
    <w:rsid w:val="00E768FE"/>
    <w:rsid w:val="00E77567"/>
    <w:rsid w:val="00E813CA"/>
    <w:rsid w:val="00E81548"/>
    <w:rsid w:val="00E81B7B"/>
    <w:rsid w:val="00E81E17"/>
    <w:rsid w:val="00E81FFB"/>
    <w:rsid w:val="00E826D5"/>
    <w:rsid w:val="00E83EC3"/>
    <w:rsid w:val="00E90057"/>
    <w:rsid w:val="00E9132C"/>
    <w:rsid w:val="00E91883"/>
    <w:rsid w:val="00E91D3B"/>
    <w:rsid w:val="00E92D83"/>
    <w:rsid w:val="00E92E1C"/>
    <w:rsid w:val="00E94E25"/>
    <w:rsid w:val="00E9663D"/>
    <w:rsid w:val="00E969C1"/>
    <w:rsid w:val="00E96F24"/>
    <w:rsid w:val="00E97E81"/>
    <w:rsid w:val="00EA1BC8"/>
    <w:rsid w:val="00EA2D3A"/>
    <w:rsid w:val="00EA30FA"/>
    <w:rsid w:val="00EA3BE7"/>
    <w:rsid w:val="00EA51FE"/>
    <w:rsid w:val="00EA6FB7"/>
    <w:rsid w:val="00EA718F"/>
    <w:rsid w:val="00EA751A"/>
    <w:rsid w:val="00EB003B"/>
    <w:rsid w:val="00EB0AD0"/>
    <w:rsid w:val="00EB245B"/>
    <w:rsid w:val="00EB296B"/>
    <w:rsid w:val="00EB2F82"/>
    <w:rsid w:val="00EB34F2"/>
    <w:rsid w:val="00EB4191"/>
    <w:rsid w:val="00EB46E3"/>
    <w:rsid w:val="00EB55A3"/>
    <w:rsid w:val="00EB5AF7"/>
    <w:rsid w:val="00EB6899"/>
    <w:rsid w:val="00EB7064"/>
    <w:rsid w:val="00EB72D8"/>
    <w:rsid w:val="00EC0F34"/>
    <w:rsid w:val="00EC2361"/>
    <w:rsid w:val="00EC4C64"/>
    <w:rsid w:val="00EC5E2B"/>
    <w:rsid w:val="00EC6F7A"/>
    <w:rsid w:val="00EC7F53"/>
    <w:rsid w:val="00ED1FEB"/>
    <w:rsid w:val="00ED2168"/>
    <w:rsid w:val="00ED3D88"/>
    <w:rsid w:val="00ED65A7"/>
    <w:rsid w:val="00ED73CC"/>
    <w:rsid w:val="00EE01A9"/>
    <w:rsid w:val="00EE0624"/>
    <w:rsid w:val="00EE55F6"/>
    <w:rsid w:val="00EE6E9F"/>
    <w:rsid w:val="00EE79F2"/>
    <w:rsid w:val="00EE7DFD"/>
    <w:rsid w:val="00EF2456"/>
    <w:rsid w:val="00EF4057"/>
    <w:rsid w:val="00EF43F7"/>
    <w:rsid w:val="00EF4794"/>
    <w:rsid w:val="00EF5D28"/>
    <w:rsid w:val="00EF72EB"/>
    <w:rsid w:val="00F00E79"/>
    <w:rsid w:val="00F018EA"/>
    <w:rsid w:val="00F01E32"/>
    <w:rsid w:val="00F01E37"/>
    <w:rsid w:val="00F0282A"/>
    <w:rsid w:val="00F0526E"/>
    <w:rsid w:val="00F06F9E"/>
    <w:rsid w:val="00F07AD5"/>
    <w:rsid w:val="00F1107B"/>
    <w:rsid w:val="00F121E4"/>
    <w:rsid w:val="00F12611"/>
    <w:rsid w:val="00F1282E"/>
    <w:rsid w:val="00F128C1"/>
    <w:rsid w:val="00F140E1"/>
    <w:rsid w:val="00F17971"/>
    <w:rsid w:val="00F17B6D"/>
    <w:rsid w:val="00F17F95"/>
    <w:rsid w:val="00F2020B"/>
    <w:rsid w:val="00F22303"/>
    <w:rsid w:val="00F24A85"/>
    <w:rsid w:val="00F25D31"/>
    <w:rsid w:val="00F30D7B"/>
    <w:rsid w:val="00F31AC1"/>
    <w:rsid w:val="00F354D2"/>
    <w:rsid w:val="00F3561F"/>
    <w:rsid w:val="00F35ED0"/>
    <w:rsid w:val="00F35F84"/>
    <w:rsid w:val="00F368E8"/>
    <w:rsid w:val="00F36BB9"/>
    <w:rsid w:val="00F36F34"/>
    <w:rsid w:val="00F40689"/>
    <w:rsid w:val="00F40A1E"/>
    <w:rsid w:val="00F40ED8"/>
    <w:rsid w:val="00F41879"/>
    <w:rsid w:val="00F41BDE"/>
    <w:rsid w:val="00F43F70"/>
    <w:rsid w:val="00F44776"/>
    <w:rsid w:val="00F45590"/>
    <w:rsid w:val="00F45C10"/>
    <w:rsid w:val="00F46C5C"/>
    <w:rsid w:val="00F46C82"/>
    <w:rsid w:val="00F47E97"/>
    <w:rsid w:val="00F47ECA"/>
    <w:rsid w:val="00F528E7"/>
    <w:rsid w:val="00F529AE"/>
    <w:rsid w:val="00F5494F"/>
    <w:rsid w:val="00F55A27"/>
    <w:rsid w:val="00F55D58"/>
    <w:rsid w:val="00F60D2A"/>
    <w:rsid w:val="00F636E8"/>
    <w:rsid w:val="00F63899"/>
    <w:rsid w:val="00F65E0A"/>
    <w:rsid w:val="00F65ED5"/>
    <w:rsid w:val="00F66009"/>
    <w:rsid w:val="00F6679E"/>
    <w:rsid w:val="00F7014F"/>
    <w:rsid w:val="00F70AB7"/>
    <w:rsid w:val="00F72BA3"/>
    <w:rsid w:val="00F73AA3"/>
    <w:rsid w:val="00F74FCE"/>
    <w:rsid w:val="00F7523E"/>
    <w:rsid w:val="00F806BA"/>
    <w:rsid w:val="00F80AF0"/>
    <w:rsid w:val="00F80C57"/>
    <w:rsid w:val="00F80F37"/>
    <w:rsid w:val="00F828A9"/>
    <w:rsid w:val="00F83221"/>
    <w:rsid w:val="00F838C0"/>
    <w:rsid w:val="00F8437D"/>
    <w:rsid w:val="00F854AB"/>
    <w:rsid w:val="00F86C71"/>
    <w:rsid w:val="00F86D91"/>
    <w:rsid w:val="00F87B44"/>
    <w:rsid w:val="00F87E83"/>
    <w:rsid w:val="00F91910"/>
    <w:rsid w:val="00F91E65"/>
    <w:rsid w:val="00F92130"/>
    <w:rsid w:val="00F922B8"/>
    <w:rsid w:val="00F93D49"/>
    <w:rsid w:val="00F94666"/>
    <w:rsid w:val="00F953EC"/>
    <w:rsid w:val="00FA06DE"/>
    <w:rsid w:val="00FA11A4"/>
    <w:rsid w:val="00FA31F3"/>
    <w:rsid w:val="00FA49A1"/>
    <w:rsid w:val="00FA6E81"/>
    <w:rsid w:val="00FA726F"/>
    <w:rsid w:val="00FA7599"/>
    <w:rsid w:val="00FA7A94"/>
    <w:rsid w:val="00FB00DA"/>
    <w:rsid w:val="00FB0598"/>
    <w:rsid w:val="00FB1282"/>
    <w:rsid w:val="00FB2B68"/>
    <w:rsid w:val="00FB34A9"/>
    <w:rsid w:val="00FB355B"/>
    <w:rsid w:val="00FB3F35"/>
    <w:rsid w:val="00FB569B"/>
    <w:rsid w:val="00FB6712"/>
    <w:rsid w:val="00FC01F4"/>
    <w:rsid w:val="00FC2954"/>
    <w:rsid w:val="00FC2FAB"/>
    <w:rsid w:val="00FC3464"/>
    <w:rsid w:val="00FC373D"/>
    <w:rsid w:val="00FC3740"/>
    <w:rsid w:val="00FC4131"/>
    <w:rsid w:val="00FC58A8"/>
    <w:rsid w:val="00FC6F72"/>
    <w:rsid w:val="00FC7856"/>
    <w:rsid w:val="00FC7F00"/>
    <w:rsid w:val="00FD02A3"/>
    <w:rsid w:val="00FD06C8"/>
    <w:rsid w:val="00FD0894"/>
    <w:rsid w:val="00FD0E85"/>
    <w:rsid w:val="00FD132F"/>
    <w:rsid w:val="00FD1C7A"/>
    <w:rsid w:val="00FD31CB"/>
    <w:rsid w:val="00FD5966"/>
    <w:rsid w:val="00FD5D1A"/>
    <w:rsid w:val="00FD66D7"/>
    <w:rsid w:val="00FD6C6A"/>
    <w:rsid w:val="00FE079E"/>
    <w:rsid w:val="00FE08E5"/>
    <w:rsid w:val="00FE1367"/>
    <w:rsid w:val="00FE1D06"/>
    <w:rsid w:val="00FE2D44"/>
    <w:rsid w:val="00FE327F"/>
    <w:rsid w:val="00FE32F2"/>
    <w:rsid w:val="00FE336E"/>
    <w:rsid w:val="00FE3665"/>
    <w:rsid w:val="00FE3EE1"/>
    <w:rsid w:val="00FE75BA"/>
    <w:rsid w:val="00FE7B2B"/>
    <w:rsid w:val="00FF002C"/>
    <w:rsid w:val="00FF0644"/>
    <w:rsid w:val="00FF0882"/>
    <w:rsid w:val="00FF19AA"/>
    <w:rsid w:val="00FF22AB"/>
    <w:rsid w:val="00FF3B4A"/>
    <w:rsid w:val="00FF3B5B"/>
    <w:rsid w:val="00FF524D"/>
    <w:rsid w:val="00FF59B5"/>
    <w:rsid w:val="00FF72CD"/>
    <w:rsid w:val="00FF7527"/>
    <w:rsid w:val="0A26ADFE"/>
    <w:rsid w:val="11EB18B7"/>
    <w:rsid w:val="11F7135F"/>
    <w:rsid w:val="176F01FE"/>
    <w:rsid w:val="1C00518B"/>
    <w:rsid w:val="2385F390"/>
    <w:rsid w:val="3E80D0E9"/>
    <w:rsid w:val="46244E97"/>
    <w:rsid w:val="493BB78C"/>
    <w:rsid w:val="4E8E4954"/>
    <w:rsid w:val="532D2B9E"/>
    <w:rsid w:val="549C41C2"/>
    <w:rsid w:val="562BE188"/>
    <w:rsid w:val="5C801B62"/>
    <w:rsid w:val="5D045C8C"/>
    <w:rsid w:val="696B82EE"/>
    <w:rsid w:val="6CF3F32F"/>
    <w:rsid w:val="6E04A9A3"/>
    <w:rsid w:val="6EFF47D2"/>
    <w:rsid w:val="7B762D2B"/>
    <w:rsid w:val="7C90E3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7A287D"/>
  <w15:chartTrackingRefBased/>
  <w15:docId w15:val="{771798F6-7D72-4FA9-9980-62EF73A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7136"/>
  </w:style>
  <w:style w:type="paragraph" w:styleId="Heading1">
    <w:name w:val="heading 1"/>
    <w:basedOn w:val="Normal"/>
    <w:next w:val="Normal"/>
    <w:link w:val="Heading1Char"/>
    <w:autoRedefine/>
    <w:qFormat/>
    <w:rsid w:val="000C09D1"/>
    <w:pPr>
      <w:keepNext/>
      <w:keepLines/>
      <w:spacing w:after="0" w:line="240" w:lineRule="auto"/>
      <w:jc w:val="center"/>
      <w:outlineLvl w:val="0"/>
    </w:pPr>
    <w:rPr>
      <w:rFonts w:ascii="Times New Roman" w:eastAsiaTheme="majorEastAsia" w:hAnsi="Times New Roman" w:cs="Times New Roman"/>
      <w:b/>
      <w:smallCaps/>
      <w:snapToGrid w:val="0"/>
      <w:lang w:val="en-GB"/>
    </w:rPr>
  </w:style>
  <w:style w:type="paragraph" w:styleId="Heading2">
    <w:name w:val="heading 2"/>
    <w:basedOn w:val="Normal"/>
    <w:next w:val="Normal"/>
    <w:link w:val="Heading2Char"/>
    <w:autoRedefine/>
    <w:unhideWhenUsed/>
    <w:qFormat/>
    <w:rsid w:val="000C09D1"/>
    <w:pPr>
      <w:keepNext/>
      <w:keepLines/>
      <w:spacing w:before="120" w:after="120" w:line="240" w:lineRule="auto"/>
      <w:jc w:val="center"/>
      <w:outlineLvl w:val="1"/>
    </w:pPr>
    <w:rPr>
      <w:rFonts w:ascii="Times New Roman" w:eastAsiaTheme="majorEastAsia" w:hAnsi="Times New Roman" w:cs="Times New Roman"/>
      <w:b/>
      <w:snapToGrid w:val="0"/>
      <w:lang w:val="en-GB"/>
    </w:rPr>
  </w:style>
  <w:style w:type="paragraph" w:styleId="Heading3">
    <w:name w:val="heading 3"/>
    <w:basedOn w:val="Normal"/>
    <w:next w:val="Normal"/>
    <w:link w:val="Heading3Char"/>
    <w:autoRedefine/>
    <w:uiPriority w:val="9"/>
    <w:unhideWhenUsed/>
    <w:qFormat/>
    <w:rsid w:val="00105FB1"/>
    <w:pPr>
      <w:keepNext/>
      <w:keepLines/>
      <w:spacing w:before="240" w:after="240" w:line="240" w:lineRule="auto"/>
      <w:outlineLvl w:val="2"/>
    </w:pPr>
    <w:rPr>
      <w:rFonts w:eastAsiaTheme="majorEastAsia"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Testo nota a piè di pagina Carattere Carattere,Testo nota a piè di pagina Carattere,Testo nota a piè di pagina Carattere1 Carattere,Testo nota a piè di pagina Carattere Carattere Carattere Carattere"/>
    <w:basedOn w:val="Normal"/>
    <w:link w:val="FootnoteTextChar"/>
    <w:autoRedefine/>
    <w:uiPriority w:val="99"/>
    <w:unhideWhenUsed/>
    <w:qFormat/>
    <w:rsid w:val="00513C2B"/>
    <w:pPr>
      <w:suppressLineNumbers/>
      <w:suppressAutoHyphens/>
      <w:spacing w:after="0" w:line="240" w:lineRule="auto"/>
    </w:pPr>
    <w:rPr>
      <w:rFonts w:ascii="Times New Roman" w:eastAsiaTheme="minorEastAsia" w:hAnsi="Times New Roman" w:cs="Times New Roman"/>
      <w:sz w:val="18"/>
      <w:szCs w:val="18"/>
      <w:lang w:val="en-GB"/>
    </w:rPr>
  </w:style>
  <w:style w:type="character" w:customStyle="1" w:styleId="FootnoteTextChar">
    <w:name w:val="Footnote Text Char"/>
    <w:aliases w:val="fn Char,Geneva 9 Char,Font: Geneva 9 Char,Boston 10 Char,f Char,Testo nota a piè di pagina Carattere Carattere Char,Testo nota a piè di pagina Carattere Char,Testo nota a piè di pagina Carattere1 Carattere Char"/>
    <w:basedOn w:val="DefaultParagraphFont"/>
    <w:link w:val="FootnoteText"/>
    <w:uiPriority w:val="99"/>
    <w:rsid w:val="00513C2B"/>
    <w:rPr>
      <w:rFonts w:ascii="Times New Roman" w:eastAsiaTheme="minorEastAsia" w:hAnsi="Times New Roman" w:cs="Times New Roman"/>
      <w:sz w:val="18"/>
      <w:szCs w:val="18"/>
      <w:lang w:val="en-GB"/>
    </w:rPr>
  </w:style>
  <w:style w:type="character" w:styleId="FootnoteReference">
    <w:name w:val="footnote reference"/>
    <w:aliases w:val="16 Point,Superscript 6 Point,Superscript 6 Point + 11 pt,ftref,Appel note de bas de page,number,Footnote Reference Superscript,-E Fußnotenzeichen,(Diplomarbeit FZ),(Diplomarbeit FZ)1,(Diplomarbeit FZ)2,(Diplomarbeit FZ)3,16 Poin"/>
    <w:basedOn w:val="DefaultParagraphFont"/>
    <w:link w:val="CharChar1CharCharCharChar1CharCharCharCharCharCharCharChar"/>
    <w:uiPriority w:val="99"/>
    <w:unhideWhenUsed/>
    <w:qFormat/>
    <w:rsid w:val="00CB2F0E"/>
    <w:rPr>
      <w:vertAlign w:val="superscript"/>
    </w:rPr>
  </w:style>
  <w:style w:type="character" w:styleId="Hyperlink">
    <w:name w:val="Hyperlink"/>
    <w:basedOn w:val="DefaultParagraphFont"/>
    <w:uiPriority w:val="99"/>
    <w:unhideWhenUsed/>
    <w:rsid w:val="006257F6"/>
    <w:rPr>
      <w:color w:val="0563C1" w:themeColor="hyperlink"/>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6257F6"/>
    <w:pPr>
      <w:spacing w:line="240" w:lineRule="exact"/>
      <w:jc w:val="both"/>
    </w:pPr>
    <w:rPr>
      <w:vertAlign w:val="superscript"/>
    </w:rPr>
  </w:style>
  <w:style w:type="paragraph" w:styleId="BalloonText">
    <w:name w:val="Balloon Text"/>
    <w:basedOn w:val="Normal"/>
    <w:link w:val="BalloonTextChar"/>
    <w:uiPriority w:val="99"/>
    <w:semiHidden/>
    <w:unhideWhenUsed/>
    <w:rsid w:val="00625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7F6"/>
    <w:rPr>
      <w:rFonts w:ascii="Segoe UI" w:hAnsi="Segoe UI" w:cs="Segoe UI"/>
      <w:sz w:val="18"/>
      <w:szCs w:val="18"/>
    </w:rPr>
  </w:style>
  <w:style w:type="paragraph" w:styleId="ListParagraph">
    <w:name w:val="List Paragraph"/>
    <w:basedOn w:val="Normal"/>
    <w:uiPriority w:val="34"/>
    <w:qFormat/>
    <w:rsid w:val="00BC29AF"/>
    <w:pPr>
      <w:ind w:left="720"/>
      <w:contextualSpacing/>
    </w:pPr>
  </w:style>
  <w:style w:type="paragraph" w:customStyle="1" w:styleId="Para1">
    <w:name w:val="Para1"/>
    <w:basedOn w:val="Normal"/>
    <w:rsid w:val="00FB355B"/>
    <w:pPr>
      <w:numPr>
        <w:numId w:val="11"/>
      </w:numPr>
      <w:spacing w:after="120" w:line="240" w:lineRule="auto"/>
    </w:pPr>
    <w:rPr>
      <w:rFonts w:ascii="Times New Roman" w:eastAsia="MS Mincho" w:hAnsi="Times New Roman" w:cs="Angsana New"/>
      <w:snapToGrid w:val="0"/>
      <w:szCs w:val="18"/>
      <w:lang w:val="en-GB"/>
    </w:rPr>
  </w:style>
  <w:style w:type="paragraph" w:customStyle="1" w:styleId="Para3">
    <w:name w:val="Para3"/>
    <w:basedOn w:val="Normal"/>
    <w:rsid w:val="00FB355B"/>
    <w:pPr>
      <w:numPr>
        <w:ilvl w:val="2"/>
        <w:numId w:val="11"/>
      </w:numPr>
      <w:tabs>
        <w:tab w:val="left" w:pos="1980"/>
      </w:tabs>
      <w:spacing w:before="80" w:after="80" w:line="240" w:lineRule="auto"/>
    </w:pPr>
    <w:rPr>
      <w:rFonts w:ascii="Times New Roman" w:eastAsia="MS Mincho" w:hAnsi="Times New Roman" w:cs="Angsana New"/>
      <w:szCs w:val="20"/>
      <w:lang w:val="en-GB"/>
    </w:rPr>
  </w:style>
  <w:style w:type="table" w:styleId="TableGrid">
    <w:name w:val="Table Grid"/>
    <w:basedOn w:val="TableNormal"/>
    <w:uiPriority w:val="59"/>
    <w:rsid w:val="00273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0D9"/>
  </w:style>
  <w:style w:type="paragraph" w:styleId="Footer">
    <w:name w:val="footer"/>
    <w:basedOn w:val="Normal"/>
    <w:link w:val="FooterChar"/>
    <w:uiPriority w:val="99"/>
    <w:unhideWhenUsed/>
    <w:rsid w:val="00923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0D9"/>
  </w:style>
  <w:style w:type="character" w:styleId="CommentReference">
    <w:name w:val="annotation reference"/>
    <w:basedOn w:val="DefaultParagraphFont"/>
    <w:uiPriority w:val="99"/>
    <w:semiHidden/>
    <w:unhideWhenUsed/>
    <w:rsid w:val="000A6F0C"/>
    <w:rPr>
      <w:sz w:val="16"/>
      <w:szCs w:val="16"/>
    </w:rPr>
  </w:style>
  <w:style w:type="paragraph" w:styleId="CommentText">
    <w:name w:val="annotation text"/>
    <w:basedOn w:val="Normal"/>
    <w:link w:val="CommentTextChar"/>
    <w:uiPriority w:val="99"/>
    <w:semiHidden/>
    <w:unhideWhenUsed/>
    <w:rsid w:val="000A6F0C"/>
    <w:pPr>
      <w:spacing w:line="240" w:lineRule="auto"/>
    </w:pPr>
    <w:rPr>
      <w:sz w:val="20"/>
      <w:szCs w:val="20"/>
    </w:rPr>
  </w:style>
  <w:style w:type="character" w:customStyle="1" w:styleId="CommentTextChar">
    <w:name w:val="Comment Text Char"/>
    <w:basedOn w:val="DefaultParagraphFont"/>
    <w:link w:val="CommentText"/>
    <w:uiPriority w:val="99"/>
    <w:semiHidden/>
    <w:rsid w:val="000A6F0C"/>
    <w:rPr>
      <w:sz w:val="20"/>
      <w:szCs w:val="20"/>
    </w:rPr>
  </w:style>
  <w:style w:type="paragraph" w:styleId="CommentSubject">
    <w:name w:val="annotation subject"/>
    <w:basedOn w:val="CommentText"/>
    <w:next w:val="CommentText"/>
    <w:link w:val="CommentSubjectChar"/>
    <w:uiPriority w:val="99"/>
    <w:semiHidden/>
    <w:unhideWhenUsed/>
    <w:rsid w:val="000A6F0C"/>
    <w:rPr>
      <w:b/>
      <w:bCs/>
    </w:rPr>
  </w:style>
  <w:style w:type="character" w:customStyle="1" w:styleId="CommentSubjectChar">
    <w:name w:val="Comment Subject Char"/>
    <w:basedOn w:val="CommentTextChar"/>
    <w:link w:val="CommentSubject"/>
    <w:uiPriority w:val="99"/>
    <w:semiHidden/>
    <w:rsid w:val="000A6F0C"/>
    <w:rPr>
      <w:b/>
      <w:bCs/>
      <w:sz w:val="20"/>
      <w:szCs w:val="20"/>
    </w:rPr>
  </w:style>
  <w:style w:type="character" w:styleId="UnresolvedMention">
    <w:name w:val="Unresolved Mention"/>
    <w:basedOn w:val="DefaultParagraphFont"/>
    <w:uiPriority w:val="99"/>
    <w:semiHidden/>
    <w:unhideWhenUsed/>
    <w:rsid w:val="00970CE4"/>
    <w:rPr>
      <w:color w:val="605E5C"/>
      <w:shd w:val="clear" w:color="auto" w:fill="E1DFDD"/>
    </w:rPr>
  </w:style>
  <w:style w:type="table" w:styleId="PlainTable4">
    <w:name w:val="Plain Table 4"/>
    <w:basedOn w:val="TableNormal"/>
    <w:uiPriority w:val="44"/>
    <w:rsid w:val="000631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C6D8B"/>
    <w:rPr>
      <w:color w:val="800080"/>
      <w:u w:val="single"/>
    </w:rPr>
  </w:style>
  <w:style w:type="paragraph" w:customStyle="1" w:styleId="msonormal0">
    <w:name w:val="msonormal"/>
    <w:basedOn w:val="Normal"/>
    <w:rsid w:val="002C6D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2C6D8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2C6D8B"/>
    <w:pPr>
      <w:spacing w:before="100" w:beforeAutospacing="1" w:after="100" w:afterAutospacing="1" w:line="240" w:lineRule="auto"/>
    </w:pPr>
    <w:rPr>
      <w:rFonts w:ascii="Tahoma" w:eastAsia="Times New Roman" w:hAnsi="Tahoma" w:cs="Tahoma"/>
      <w:color w:val="000000"/>
      <w:sz w:val="18"/>
      <w:szCs w:val="18"/>
    </w:rPr>
  </w:style>
  <w:style w:type="paragraph" w:customStyle="1" w:styleId="xl65">
    <w:name w:val="xl65"/>
    <w:basedOn w:val="Normal"/>
    <w:rsid w:val="002C6D8B"/>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6">
    <w:name w:val="xl66"/>
    <w:basedOn w:val="Normal"/>
    <w:rsid w:val="002C6D8B"/>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Normal"/>
    <w:rsid w:val="002C6D8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C6D8B"/>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71">
    <w:name w:val="xl71"/>
    <w:basedOn w:val="Normal"/>
    <w:rsid w:val="002C6D8B"/>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2C6D8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2C6D8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xl75">
    <w:name w:val="xl75"/>
    <w:basedOn w:val="Normal"/>
    <w:rsid w:val="002C6D8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2C6D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2C6D8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C09D1"/>
    <w:rPr>
      <w:rFonts w:ascii="Times New Roman" w:eastAsiaTheme="majorEastAsia" w:hAnsi="Times New Roman" w:cs="Times New Roman"/>
      <w:b/>
      <w:smallCaps/>
      <w:snapToGrid w:val="0"/>
      <w:lang w:val="en-GB"/>
    </w:rPr>
  </w:style>
  <w:style w:type="character" w:customStyle="1" w:styleId="Heading2Char">
    <w:name w:val="Heading 2 Char"/>
    <w:basedOn w:val="DefaultParagraphFont"/>
    <w:link w:val="Heading2"/>
    <w:rsid w:val="000C09D1"/>
    <w:rPr>
      <w:rFonts w:ascii="Times New Roman" w:eastAsiaTheme="majorEastAsia" w:hAnsi="Times New Roman" w:cs="Times New Roman"/>
      <w:b/>
      <w:snapToGrid w:val="0"/>
      <w:lang w:val="en-GB"/>
    </w:rPr>
  </w:style>
  <w:style w:type="character" w:customStyle="1" w:styleId="Heading3Char">
    <w:name w:val="Heading 3 Char"/>
    <w:basedOn w:val="DefaultParagraphFont"/>
    <w:link w:val="Heading3"/>
    <w:uiPriority w:val="9"/>
    <w:rsid w:val="00105FB1"/>
    <w:rPr>
      <w:rFonts w:eastAsiaTheme="majorEastAsia" w:cstheme="majorBidi"/>
      <w:i/>
      <w:sz w:val="24"/>
      <w:szCs w:val="24"/>
    </w:rPr>
  </w:style>
  <w:style w:type="paragraph" w:styleId="TOC2">
    <w:name w:val="toc 2"/>
    <w:basedOn w:val="Normal"/>
    <w:next w:val="Normal"/>
    <w:autoRedefine/>
    <w:uiPriority w:val="39"/>
    <w:unhideWhenUsed/>
    <w:rsid w:val="00287596"/>
    <w:pPr>
      <w:tabs>
        <w:tab w:val="right" w:leader="dot" w:pos="9360"/>
      </w:tabs>
      <w:spacing w:after="100"/>
      <w:ind w:left="720"/>
    </w:pPr>
  </w:style>
  <w:style w:type="paragraph" w:styleId="TOC1">
    <w:name w:val="toc 1"/>
    <w:basedOn w:val="Normal"/>
    <w:next w:val="Normal"/>
    <w:autoRedefine/>
    <w:uiPriority w:val="39"/>
    <w:unhideWhenUsed/>
    <w:rsid w:val="00211E4B"/>
    <w:pPr>
      <w:tabs>
        <w:tab w:val="left" w:pos="440"/>
        <w:tab w:val="right" w:leader="dot" w:pos="9350"/>
      </w:tabs>
      <w:spacing w:after="100"/>
      <w:jc w:val="both"/>
    </w:pPr>
  </w:style>
  <w:style w:type="paragraph" w:styleId="TOC3">
    <w:name w:val="toc 3"/>
    <w:basedOn w:val="Normal"/>
    <w:next w:val="Normal"/>
    <w:autoRedefine/>
    <w:uiPriority w:val="39"/>
    <w:unhideWhenUsed/>
    <w:rsid w:val="00E45276"/>
    <w:pPr>
      <w:spacing w:after="100"/>
      <w:ind w:left="1008"/>
    </w:pPr>
  </w:style>
  <w:style w:type="paragraph" w:customStyle="1" w:styleId="HEADINGNOTFORTOC">
    <w:name w:val="HEADING (NOT FOR TOC)"/>
    <w:basedOn w:val="Heading1"/>
    <w:next w:val="Heading2"/>
    <w:rsid w:val="00AF2846"/>
    <w:pPr>
      <w:keepLines w:val="0"/>
      <w:tabs>
        <w:tab w:val="left" w:pos="720"/>
      </w:tabs>
      <w:spacing w:before="240" w:after="120"/>
    </w:pPr>
    <w:rPr>
      <w:rFonts w:eastAsia="Times New Roman"/>
      <w:caps/>
      <w:smallCaps w:val="0"/>
      <w:szCs w:val="24"/>
      <w:lang w:val="en-CA"/>
    </w:rPr>
  </w:style>
  <w:style w:type="paragraph" w:customStyle="1" w:styleId="meetingname">
    <w:name w:val="meeting name"/>
    <w:basedOn w:val="Normal"/>
    <w:qFormat/>
    <w:rsid w:val="00AF2846"/>
    <w:pPr>
      <w:spacing w:after="0" w:line="240" w:lineRule="auto"/>
      <w:ind w:left="170" w:right="3119" w:hanging="170"/>
    </w:pPr>
    <w:rPr>
      <w:rFonts w:ascii="Times New Roman" w:eastAsia="Malgun Gothic" w:hAnsi="Times New Roman" w:cs="Times New Roman"/>
      <w:caps/>
      <w:snapToGrid w:val="0"/>
      <w:sz w:val="24"/>
      <w:szCs w:val="24"/>
      <w:lang w:val="en-CA"/>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uiPriority w:val="99"/>
    <w:rsid w:val="00AF2846"/>
    <w:pPr>
      <w:spacing w:line="240" w:lineRule="exact"/>
      <w:jc w:val="both"/>
    </w:pPr>
    <w:rPr>
      <w:rFonts w:ascii="Times New Roman" w:eastAsia="MS Mincho" w:hAnsi="Times New Roman" w:cs="Times New Roman"/>
      <w:sz w:val="18"/>
      <w:szCs w:val="20"/>
      <w:u w:val="single"/>
    </w:rPr>
  </w:style>
  <w:style w:type="character" w:styleId="PlaceholderText">
    <w:name w:val="Placeholder Text"/>
    <w:basedOn w:val="DefaultParagraphFont"/>
    <w:uiPriority w:val="99"/>
    <w:semiHidden/>
    <w:rsid w:val="00AF28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24484">
      <w:bodyDiv w:val="1"/>
      <w:marLeft w:val="0"/>
      <w:marRight w:val="0"/>
      <w:marTop w:val="0"/>
      <w:marBottom w:val="0"/>
      <w:divBdr>
        <w:top w:val="none" w:sz="0" w:space="0" w:color="auto"/>
        <w:left w:val="none" w:sz="0" w:space="0" w:color="auto"/>
        <w:bottom w:val="none" w:sz="0" w:space="0" w:color="auto"/>
        <w:right w:val="none" w:sz="0" w:space="0" w:color="auto"/>
      </w:divBdr>
    </w:div>
    <w:div w:id="392240787">
      <w:bodyDiv w:val="1"/>
      <w:marLeft w:val="0"/>
      <w:marRight w:val="0"/>
      <w:marTop w:val="0"/>
      <w:marBottom w:val="0"/>
      <w:divBdr>
        <w:top w:val="none" w:sz="0" w:space="0" w:color="auto"/>
        <w:left w:val="none" w:sz="0" w:space="0" w:color="auto"/>
        <w:bottom w:val="none" w:sz="0" w:space="0" w:color="auto"/>
        <w:right w:val="none" w:sz="0" w:space="0" w:color="auto"/>
      </w:divBdr>
    </w:div>
    <w:div w:id="397484473">
      <w:bodyDiv w:val="1"/>
      <w:marLeft w:val="0"/>
      <w:marRight w:val="0"/>
      <w:marTop w:val="0"/>
      <w:marBottom w:val="0"/>
      <w:divBdr>
        <w:top w:val="none" w:sz="0" w:space="0" w:color="auto"/>
        <w:left w:val="none" w:sz="0" w:space="0" w:color="auto"/>
        <w:bottom w:val="none" w:sz="0" w:space="0" w:color="auto"/>
        <w:right w:val="none" w:sz="0" w:space="0" w:color="auto"/>
      </w:divBdr>
    </w:div>
    <w:div w:id="405618028">
      <w:bodyDiv w:val="1"/>
      <w:marLeft w:val="0"/>
      <w:marRight w:val="0"/>
      <w:marTop w:val="0"/>
      <w:marBottom w:val="0"/>
      <w:divBdr>
        <w:top w:val="none" w:sz="0" w:space="0" w:color="auto"/>
        <w:left w:val="none" w:sz="0" w:space="0" w:color="auto"/>
        <w:bottom w:val="none" w:sz="0" w:space="0" w:color="auto"/>
        <w:right w:val="none" w:sz="0" w:space="0" w:color="auto"/>
      </w:divBdr>
    </w:div>
    <w:div w:id="420881569">
      <w:bodyDiv w:val="1"/>
      <w:marLeft w:val="0"/>
      <w:marRight w:val="0"/>
      <w:marTop w:val="0"/>
      <w:marBottom w:val="0"/>
      <w:divBdr>
        <w:top w:val="none" w:sz="0" w:space="0" w:color="auto"/>
        <w:left w:val="none" w:sz="0" w:space="0" w:color="auto"/>
        <w:bottom w:val="none" w:sz="0" w:space="0" w:color="auto"/>
        <w:right w:val="none" w:sz="0" w:space="0" w:color="auto"/>
      </w:divBdr>
    </w:div>
    <w:div w:id="468595302">
      <w:bodyDiv w:val="1"/>
      <w:marLeft w:val="0"/>
      <w:marRight w:val="0"/>
      <w:marTop w:val="0"/>
      <w:marBottom w:val="0"/>
      <w:divBdr>
        <w:top w:val="none" w:sz="0" w:space="0" w:color="auto"/>
        <w:left w:val="none" w:sz="0" w:space="0" w:color="auto"/>
        <w:bottom w:val="none" w:sz="0" w:space="0" w:color="auto"/>
        <w:right w:val="none" w:sz="0" w:space="0" w:color="auto"/>
      </w:divBdr>
    </w:div>
    <w:div w:id="661399083">
      <w:bodyDiv w:val="1"/>
      <w:marLeft w:val="0"/>
      <w:marRight w:val="0"/>
      <w:marTop w:val="0"/>
      <w:marBottom w:val="0"/>
      <w:divBdr>
        <w:top w:val="none" w:sz="0" w:space="0" w:color="auto"/>
        <w:left w:val="none" w:sz="0" w:space="0" w:color="auto"/>
        <w:bottom w:val="none" w:sz="0" w:space="0" w:color="auto"/>
        <w:right w:val="none" w:sz="0" w:space="0" w:color="auto"/>
      </w:divBdr>
    </w:div>
    <w:div w:id="788623227">
      <w:bodyDiv w:val="1"/>
      <w:marLeft w:val="0"/>
      <w:marRight w:val="0"/>
      <w:marTop w:val="0"/>
      <w:marBottom w:val="0"/>
      <w:divBdr>
        <w:top w:val="none" w:sz="0" w:space="0" w:color="auto"/>
        <w:left w:val="none" w:sz="0" w:space="0" w:color="auto"/>
        <w:bottom w:val="none" w:sz="0" w:space="0" w:color="auto"/>
        <w:right w:val="none" w:sz="0" w:space="0" w:color="auto"/>
      </w:divBdr>
    </w:div>
    <w:div w:id="874077343">
      <w:bodyDiv w:val="1"/>
      <w:marLeft w:val="0"/>
      <w:marRight w:val="0"/>
      <w:marTop w:val="0"/>
      <w:marBottom w:val="0"/>
      <w:divBdr>
        <w:top w:val="none" w:sz="0" w:space="0" w:color="auto"/>
        <w:left w:val="none" w:sz="0" w:space="0" w:color="auto"/>
        <w:bottom w:val="none" w:sz="0" w:space="0" w:color="auto"/>
        <w:right w:val="none" w:sz="0" w:space="0" w:color="auto"/>
      </w:divBdr>
    </w:div>
    <w:div w:id="884828222">
      <w:bodyDiv w:val="1"/>
      <w:marLeft w:val="0"/>
      <w:marRight w:val="0"/>
      <w:marTop w:val="0"/>
      <w:marBottom w:val="0"/>
      <w:divBdr>
        <w:top w:val="none" w:sz="0" w:space="0" w:color="auto"/>
        <w:left w:val="none" w:sz="0" w:space="0" w:color="auto"/>
        <w:bottom w:val="none" w:sz="0" w:space="0" w:color="auto"/>
        <w:right w:val="none" w:sz="0" w:space="0" w:color="auto"/>
      </w:divBdr>
    </w:div>
    <w:div w:id="953287482">
      <w:bodyDiv w:val="1"/>
      <w:marLeft w:val="0"/>
      <w:marRight w:val="0"/>
      <w:marTop w:val="0"/>
      <w:marBottom w:val="0"/>
      <w:divBdr>
        <w:top w:val="none" w:sz="0" w:space="0" w:color="auto"/>
        <w:left w:val="none" w:sz="0" w:space="0" w:color="auto"/>
        <w:bottom w:val="none" w:sz="0" w:space="0" w:color="auto"/>
        <w:right w:val="none" w:sz="0" w:space="0" w:color="auto"/>
      </w:divBdr>
      <w:divsChild>
        <w:div w:id="76874063">
          <w:marLeft w:val="0"/>
          <w:marRight w:val="0"/>
          <w:marTop w:val="0"/>
          <w:marBottom w:val="0"/>
          <w:divBdr>
            <w:top w:val="none" w:sz="0" w:space="0" w:color="auto"/>
            <w:left w:val="none" w:sz="0" w:space="0" w:color="auto"/>
            <w:bottom w:val="none" w:sz="0" w:space="0" w:color="auto"/>
            <w:right w:val="none" w:sz="0" w:space="0" w:color="auto"/>
          </w:divBdr>
        </w:div>
      </w:divsChild>
    </w:div>
    <w:div w:id="1010912092">
      <w:bodyDiv w:val="1"/>
      <w:marLeft w:val="0"/>
      <w:marRight w:val="0"/>
      <w:marTop w:val="0"/>
      <w:marBottom w:val="0"/>
      <w:divBdr>
        <w:top w:val="none" w:sz="0" w:space="0" w:color="auto"/>
        <w:left w:val="none" w:sz="0" w:space="0" w:color="auto"/>
        <w:bottom w:val="none" w:sz="0" w:space="0" w:color="auto"/>
        <w:right w:val="none" w:sz="0" w:space="0" w:color="auto"/>
      </w:divBdr>
    </w:div>
    <w:div w:id="1135566945">
      <w:bodyDiv w:val="1"/>
      <w:marLeft w:val="0"/>
      <w:marRight w:val="0"/>
      <w:marTop w:val="0"/>
      <w:marBottom w:val="0"/>
      <w:divBdr>
        <w:top w:val="none" w:sz="0" w:space="0" w:color="auto"/>
        <w:left w:val="none" w:sz="0" w:space="0" w:color="auto"/>
        <w:bottom w:val="none" w:sz="0" w:space="0" w:color="auto"/>
        <w:right w:val="none" w:sz="0" w:space="0" w:color="auto"/>
      </w:divBdr>
    </w:div>
    <w:div w:id="1146240466">
      <w:bodyDiv w:val="1"/>
      <w:marLeft w:val="0"/>
      <w:marRight w:val="0"/>
      <w:marTop w:val="0"/>
      <w:marBottom w:val="0"/>
      <w:divBdr>
        <w:top w:val="none" w:sz="0" w:space="0" w:color="auto"/>
        <w:left w:val="none" w:sz="0" w:space="0" w:color="auto"/>
        <w:bottom w:val="none" w:sz="0" w:space="0" w:color="auto"/>
        <w:right w:val="none" w:sz="0" w:space="0" w:color="auto"/>
      </w:divBdr>
      <w:divsChild>
        <w:div w:id="814643664">
          <w:marLeft w:val="0"/>
          <w:marRight w:val="0"/>
          <w:marTop w:val="0"/>
          <w:marBottom w:val="0"/>
          <w:divBdr>
            <w:top w:val="none" w:sz="0" w:space="0" w:color="auto"/>
            <w:left w:val="none" w:sz="0" w:space="0" w:color="auto"/>
            <w:bottom w:val="none" w:sz="0" w:space="0" w:color="auto"/>
            <w:right w:val="none" w:sz="0" w:space="0" w:color="auto"/>
          </w:divBdr>
        </w:div>
      </w:divsChild>
    </w:div>
    <w:div w:id="1788236671">
      <w:bodyDiv w:val="1"/>
      <w:marLeft w:val="0"/>
      <w:marRight w:val="0"/>
      <w:marTop w:val="0"/>
      <w:marBottom w:val="0"/>
      <w:divBdr>
        <w:top w:val="none" w:sz="0" w:space="0" w:color="auto"/>
        <w:left w:val="none" w:sz="0" w:space="0" w:color="auto"/>
        <w:bottom w:val="none" w:sz="0" w:space="0" w:color="auto"/>
        <w:right w:val="none" w:sz="0" w:space="0" w:color="auto"/>
      </w:divBdr>
    </w:div>
    <w:div w:id="1806701807">
      <w:bodyDiv w:val="1"/>
      <w:marLeft w:val="0"/>
      <w:marRight w:val="0"/>
      <w:marTop w:val="0"/>
      <w:marBottom w:val="0"/>
      <w:divBdr>
        <w:top w:val="none" w:sz="0" w:space="0" w:color="auto"/>
        <w:left w:val="none" w:sz="0" w:space="0" w:color="auto"/>
        <w:bottom w:val="none" w:sz="0" w:space="0" w:color="auto"/>
        <w:right w:val="none" w:sz="0" w:space="0" w:color="auto"/>
      </w:divBdr>
    </w:div>
    <w:div w:id="1849323820">
      <w:bodyDiv w:val="1"/>
      <w:marLeft w:val="0"/>
      <w:marRight w:val="0"/>
      <w:marTop w:val="0"/>
      <w:marBottom w:val="0"/>
      <w:divBdr>
        <w:top w:val="none" w:sz="0" w:space="0" w:color="auto"/>
        <w:left w:val="none" w:sz="0" w:space="0" w:color="auto"/>
        <w:bottom w:val="none" w:sz="0" w:space="0" w:color="auto"/>
        <w:right w:val="none" w:sz="0" w:space="0" w:color="auto"/>
      </w:divBdr>
    </w:div>
    <w:div w:id="1916157981">
      <w:bodyDiv w:val="1"/>
      <w:marLeft w:val="0"/>
      <w:marRight w:val="0"/>
      <w:marTop w:val="0"/>
      <w:marBottom w:val="0"/>
      <w:divBdr>
        <w:top w:val="none" w:sz="0" w:space="0" w:color="auto"/>
        <w:left w:val="none" w:sz="0" w:space="0" w:color="auto"/>
        <w:bottom w:val="none" w:sz="0" w:space="0" w:color="auto"/>
        <w:right w:val="none" w:sz="0" w:space="0" w:color="auto"/>
      </w:divBdr>
    </w:div>
    <w:div w:id="1999072434">
      <w:bodyDiv w:val="1"/>
      <w:marLeft w:val="0"/>
      <w:marRight w:val="0"/>
      <w:marTop w:val="0"/>
      <w:marBottom w:val="0"/>
      <w:divBdr>
        <w:top w:val="none" w:sz="0" w:space="0" w:color="auto"/>
        <w:left w:val="none" w:sz="0" w:space="0" w:color="auto"/>
        <w:bottom w:val="none" w:sz="0" w:space="0" w:color="auto"/>
        <w:right w:val="none" w:sz="0" w:space="0" w:color="auto"/>
      </w:divBdr>
    </w:div>
    <w:div w:id="20836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26"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chart" Target="charts/chart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4.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chart" Target="charts/chart3.xm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2/cop-12-dec-30-en.pdf"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gefieo.org/evaluations/evaluation-gefs-support-mainstreaming-biodiversity-2018" TargetMode="External"/><Relationship Id="rId3" Type="http://schemas.openxmlformats.org/officeDocument/2006/relationships/hyperlink" Target="https://www.thegef.org/sites/default/files/council-meeting-documents/EN_GEF.C.55.07_ES_Safeguards.pdf" TargetMode="External"/><Relationship Id="rId7" Type="http://schemas.openxmlformats.org/officeDocument/2006/relationships/hyperlink" Target="https://www.gefieo.org/evaluations/evaluation-gefs-support-mainstreaming-biodiversity-2018" TargetMode="External"/><Relationship Id="rId12" Type="http://schemas.openxmlformats.org/officeDocument/2006/relationships/hyperlink" Target="https://www.gefieo.org/evaluations/evaluation-gef-support-scaling-impact-2019" TargetMode="External"/><Relationship Id="rId2" Type="http://schemas.openxmlformats.org/officeDocument/2006/relationships/hyperlink" Target="https://www.thegef.org/sites/default/files/council-meeting-documents/EN_GEF_C.57_07_Work%20Program%20for%20GEF%20Trust%20Fund.pdf" TargetMode="External"/><Relationship Id="rId1" Type="http://schemas.openxmlformats.org/officeDocument/2006/relationships/hyperlink" Target="http://www.thegef.org/sites/default/files/council-meeting-documents/EN_GEF.C.54.11.Rev_.02_Results.pdf" TargetMode="External"/><Relationship Id="rId6" Type="http://schemas.openxmlformats.org/officeDocument/2006/relationships/hyperlink" Target="http://www.thegef.org/sites/default/files/council-meeting-documents/EN_GEF.C.54.11.Rev_.02_Results.pdf" TargetMode="External"/><Relationship Id="rId11" Type="http://schemas.openxmlformats.org/officeDocument/2006/relationships/hyperlink" Target="http://www.gefieo.org/sites/default/files/ieo/evaluations/files/transformational-change-2017.pdf" TargetMode="External"/><Relationship Id="rId5" Type="http://schemas.openxmlformats.org/officeDocument/2006/relationships/hyperlink" Target="http://www.thegef.org/sites/default/files/council-meeting-documents/EN_GEF.C.57.03_GEF%20Monitoring%20Report%202019_0.pdf" TargetMode="External"/><Relationship Id="rId10" Type="http://schemas.openxmlformats.org/officeDocument/2006/relationships/hyperlink" Target="http://www.gefieo.org/sites/default/files/ieo/evaluations/files/iaps-2017_0.pdf" TargetMode="External"/><Relationship Id="rId4" Type="http://schemas.openxmlformats.org/officeDocument/2006/relationships/hyperlink" Target="https://www.thegef.org/sites/default/files/council-meeting-documents/EN_GEF.C.56.03.Rev_.01_Policy_on_Monitoring.pdf" TargetMode="External"/><Relationship Id="rId9" Type="http://schemas.openxmlformats.org/officeDocument/2006/relationships/hyperlink" Target="https://www.gefieo.org/evaluations/evaluation-gefs-support-mainstreaming-biodiversity-201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worldbankgroup-my.sharepoint.com/personal/swyatt_thegef_org/Documents/Biodiversity/COP%202020/COP%20Report/DO%20IP%20rating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worldbankgroup-my.sharepoint.com/personal/swyatt_thegef_org/Documents/Biodiversity/COP%202020/COP%20Report/DO%20IP%20rating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b331348\AppData\Local\Microsoft\Windows\INetCache\Content.Outlook\1QPUI0VU\Rating_Templat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B444901\AppData\Local\Microsoft\Windows\INetCache\Content.Outlook\6LILCZI2\BD%20ratings.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WB444901\AppData\Local\Microsoft\Windows\INetCache\Content.Outlook\6LILCZI2\BD%20ratings.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WB356010\AppData\Local\Microsoft\Windows\INetCache\Content.Outlook\JJYRL5HI\cofin%20by%20FA%20FY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latin typeface="+mn-lt"/>
                <a:ea typeface="+mn-ea"/>
                <a:cs typeface="+mn-cs"/>
              </a:rPr>
              <a:t>Development Objective Ratings</a:t>
            </a:r>
          </a:p>
          <a:p>
            <a:pPr>
              <a:defRPr lang="en-US" sz="1400" b="0" i="0" u="none" strike="noStrike" kern="1200" spc="0" baseline="0">
                <a:solidFill>
                  <a:sysClr val="windowText" lastClr="000000">
                    <a:lumMod val="65000"/>
                    <a:lumOff val="35000"/>
                  </a:sysClr>
                </a:solidFill>
                <a:latin typeface="+mn-lt"/>
                <a:ea typeface="+mn-ea"/>
                <a:cs typeface="+mn-cs"/>
              </a:defRPr>
            </a:pPr>
            <a:r>
              <a:rPr lang="en-US" sz="1100" b="0" i="0" u="none" strike="noStrike" kern="1200" spc="0" baseline="0">
                <a:solidFill>
                  <a:sysClr val="windowText" lastClr="000000">
                    <a:lumMod val="65000"/>
                    <a:lumOff val="35000"/>
                  </a:sysClr>
                </a:solidFill>
                <a:latin typeface="+mn-lt"/>
                <a:ea typeface="+mn-ea"/>
                <a:cs typeface="+mn-cs"/>
              </a:rPr>
              <a:t>(87% rated Moderately Satisfactory or better)</a:t>
            </a:r>
          </a:p>
        </c:rich>
      </c:tx>
      <c:overlay val="0"/>
    </c:title>
    <c:autoTitleDeleted val="0"/>
    <c:plotArea>
      <c:layout/>
      <c:pieChart>
        <c:varyColors val="1"/>
        <c:ser>
          <c:idx val="4"/>
          <c:order val="0"/>
          <c:tx>
            <c:strRef>
              <c:f>Sheet1!$A$8</c:f>
              <c:strCache>
                <c:ptCount val="1"/>
                <c:pt idx="0">
                  <c:v>Development Objective Ratings for Active Projects </c:v>
                </c:pt>
              </c:strCache>
            </c:strRef>
          </c:tx>
          <c:spPr>
            <a:ln w="3175">
              <a:solidFill>
                <a:schemeClr val="bg1"/>
              </a:solidFill>
            </a:ln>
          </c:spPr>
          <c:dPt>
            <c:idx val="0"/>
            <c:bubble3D val="0"/>
            <c:spPr>
              <a:solidFill>
                <a:schemeClr val="accent6">
                  <a:lumMod val="50000"/>
                </a:schemeClr>
              </a:solidFill>
              <a:ln w="3175">
                <a:solidFill>
                  <a:schemeClr val="bg1"/>
                </a:solidFill>
              </a:ln>
            </c:spPr>
            <c:extLst>
              <c:ext xmlns:c16="http://schemas.microsoft.com/office/drawing/2014/chart" uri="{C3380CC4-5D6E-409C-BE32-E72D297353CC}">
                <c16:uniqueId val="{00000001-2E32-48A1-8EBB-56BFB93C0EBF}"/>
              </c:ext>
            </c:extLst>
          </c:dPt>
          <c:dPt>
            <c:idx val="1"/>
            <c:bubble3D val="0"/>
            <c:spPr>
              <a:solidFill>
                <a:schemeClr val="accent6">
                  <a:lumMod val="75000"/>
                </a:schemeClr>
              </a:solidFill>
              <a:ln w="3175">
                <a:solidFill>
                  <a:schemeClr val="bg1"/>
                </a:solidFill>
              </a:ln>
            </c:spPr>
            <c:extLst>
              <c:ext xmlns:c16="http://schemas.microsoft.com/office/drawing/2014/chart" uri="{C3380CC4-5D6E-409C-BE32-E72D297353CC}">
                <c16:uniqueId val="{00000003-2E32-48A1-8EBB-56BFB93C0EBF}"/>
              </c:ext>
            </c:extLst>
          </c:dPt>
          <c:dPt>
            <c:idx val="2"/>
            <c:bubble3D val="0"/>
            <c:spPr>
              <a:solidFill>
                <a:schemeClr val="accent6">
                  <a:lumMod val="60000"/>
                  <a:lumOff val="40000"/>
                </a:schemeClr>
              </a:solidFill>
              <a:ln w="3175">
                <a:solidFill>
                  <a:schemeClr val="bg1"/>
                </a:solidFill>
              </a:ln>
            </c:spPr>
            <c:extLst>
              <c:ext xmlns:c16="http://schemas.microsoft.com/office/drawing/2014/chart" uri="{C3380CC4-5D6E-409C-BE32-E72D297353CC}">
                <c16:uniqueId val="{00000005-2E32-48A1-8EBB-56BFB93C0EBF}"/>
              </c:ext>
            </c:extLst>
          </c:dPt>
          <c:dPt>
            <c:idx val="3"/>
            <c:bubble3D val="0"/>
            <c:spPr>
              <a:solidFill>
                <a:schemeClr val="accent1">
                  <a:lumMod val="60000"/>
                  <a:lumOff val="40000"/>
                </a:schemeClr>
              </a:solidFill>
              <a:ln w="3175">
                <a:solidFill>
                  <a:schemeClr val="bg1"/>
                </a:solidFill>
              </a:ln>
            </c:spPr>
            <c:extLst>
              <c:ext xmlns:c16="http://schemas.microsoft.com/office/drawing/2014/chart" uri="{C3380CC4-5D6E-409C-BE32-E72D297353CC}">
                <c16:uniqueId val="{00000007-2E32-48A1-8EBB-56BFB93C0EBF}"/>
              </c:ext>
            </c:extLst>
          </c:dPt>
          <c:dPt>
            <c:idx val="4"/>
            <c:bubble3D val="0"/>
            <c:spPr>
              <a:solidFill>
                <a:schemeClr val="accent1">
                  <a:lumMod val="75000"/>
                </a:schemeClr>
              </a:solidFill>
              <a:ln w="3175">
                <a:solidFill>
                  <a:schemeClr val="bg1"/>
                </a:solidFill>
              </a:ln>
            </c:spPr>
            <c:extLst>
              <c:ext xmlns:c16="http://schemas.microsoft.com/office/drawing/2014/chart" uri="{C3380CC4-5D6E-409C-BE32-E72D297353CC}">
                <c16:uniqueId val="{00000009-2E32-48A1-8EBB-56BFB93C0EBF}"/>
              </c:ext>
            </c:extLst>
          </c:dPt>
          <c:dPt>
            <c:idx val="5"/>
            <c:bubble3D val="0"/>
            <c:spPr>
              <a:solidFill>
                <a:schemeClr val="accent1">
                  <a:lumMod val="50000"/>
                </a:schemeClr>
              </a:solidFill>
              <a:ln w="3175">
                <a:solidFill>
                  <a:schemeClr val="bg1"/>
                </a:solidFill>
              </a:ln>
            </c:spPr>
            <c:extLst>
              <c:ext xmlns:c16="http://schemas.microsoft.com/office/drawing/2014/chart" uri="{C3380CC4-5D6E-409C-BE32-E72D297353CC}">
                <c16:uniqueId val="{0000000B-2E32-48A1-8EBB-56BFB93C0EBF}"/>
              </c:ext>
            </c:extLst>
          </c:dPt>
          <c:cat>
            <c:strRef>
              <c:f>Sheet1!$B$7:$G$7</c:f>
              <c:strCache>
                <c:ptCount val="6"/>
                <c:pt idx="0">
                  <c:v>Highly Satisfactory (4%)</c:v>
                </c:pt>
                <c:pt idx="1">
                  <c:v>Satisfactory (46%)</c:v>
                </c:pt>
                <c:pt idx="2">
                  <c:v>Moderately Satisfactory (32%)</c:v>
                </c:pt>
                <c:pt idx="3">
                  <c:v>Moderately Unsatisfactory (13%)</c:v>
                </c:pt>
                <c:pt idx="4">
                  <c:v>Unsatisfactory (4%)</c:v>
                </c:pt>
                <c:pt idx="5">
                  <c:v>Highly Unsatisfactory (1%)</c:v>
                </c:pt>
              </c:strCache>
            </c:strRef>
          </c:cat>
          <c:val>
            <c:numRef>
              <c:f>Sheet1!$B$8:$G$8</c:f>
              <c:numCache>
                <c:formatCode>General</c:formatCode>
                <c:ptCount val="6"/>
                <c:pt idx="0">
                  <c:v>54</c:v>
                </c:pt>
                <c:pt idx="1">
                  <c:v>424</c:v>
                </c:pt>
                <c:pt idx="2">
                  <c:v>267</c:v>
                </c:pt>
                <c:pt idx="3">
                  <c:v>82</c:v>
                </c:pt>
                <c:pt idx="4">
                  <c:v>18</c:v>
                </c:pt>
                <c:pt idx="5">
                  <c:v>4</c:v>
                </c:pt>
              </c:numCache>
            </c:numRef>
          </c:val>
          <c:extLst>
            <c:ext xmlns:c16="http://schemas.microsoft.com/office/drawing/2014/chart" uri="{C3380CC4-5D6E-409C-BE32-E72D297353CC}">
              <c16:uniqueId val="{0000000C-2E32-48A1-8EBB-56BFB93C0EBF}"/>
            </c:ext>
          </c:extLst>
        </c:ser>
        <c:ser>
          <c:idx val="5"/>
          <c:order val="1"/>
          <c:tx>
            <c:strRef>
              <c:f>Sheet1!$A$9</c:f>
              <c:strCache>
                <c:ptCount val="1"/>
                <c:pt idx="0">
                  <c:v>Implementation Progress Ratings for Active Projects </c:v>
                </c:pt>
              </c:strCache>
            </c:strRef>
          </c:tx>
          <c:cat>
            <c:strRef>
              <c:f>Sheet1!$B$7:$G$7</c:f>
              <c:strCache>
                <c:ptCount val="6"/>
                <c:pt idx="0">
                  <c:v>Highly Satisfactory (4%)</c:v>
                </c:pt>
                <c:pt idx="1">
                  <c:v>Satisfactory (46%)</c:v>
                </c:pt>
                <c:pt idx="2">
                  <c:v>Moderately Satisfactory (32%)</c:v>
                </c:pt>
                <c:pt idx="3">
                  <c:v>Moderately Unsatisfactory (13%)</c:v>
                </c:pt>
                <c:pt idx="4">
                  <c:v>Unsatisfactory (4%)</c:v>
                </c:pt>
                <c:pt idx="5">
                  <c:v>Highly Unsatisfactory (1%)</c:v>
                </c:pt>
              </c:strCache>
            </c:strRef>
          </c:cat>
          <c:val>
            <c:numRef>
              <c:f>Sheet1!$B$9:$G$9</c:f>
              <c:numCache>
                <c:formatCode>General</c:formatCode>
                <c:ptCount val="6"/>
                <c:pt idx="0">
                  <c:v>37</c:v>
                </c:pt>
                <c:pt idx="1">
                  <c:v>391</c:v>
                </c:pt>
                <c:pt idx="2">
                  <c:v>275</c:v>
                </c:pt>
                <c:pt idx="3">
                  <c:v>107</c:v>
                </c:pt>
                <c:pt idx="4">
                  <c:v>35</c:v>
                </c:pt>
                <c:pt idx="5">
                  <c:v>4</c:v>
                </c:pt>
              </c:numCache>
            </c:numRef>
          </c:val>
          <c:extLst>
            <c:ext xmlns:c16="http://schemas.microsoft.com/office/drawing/2014/chart" uri="{C3380CC4-5D6E-409C-BE32-E72D297353CC}">
              <c16:uniqueId val="{0000000D-2E32-48A1-8EBB-56BFB93C0EBF}"/>
            </c:ext>
          </c:extLst>
        </c:ser>
        <c:ser>
          <c:idx val="6"/>
          <c:order val="2"/>
          <c:tx>
            <c:strRef>
              <c:f>Sheet1!$A$8</c:f>
              <c:strCache>
                <c:ptCount val="1"/>
                <c:pt idx="0">
                  <c:v>Development Objective Ratings for Active Projects </c:v>
                </c:pt>
              </c:strCache>
            </c:strRef>
          </c:tx>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F-2E32-48A1-8EBB-56BFB93C0EBF}"/>
              </c:ext>
            </c:extLst>
          </c:dPt>
          <c:dPt>
            <c:idx val="1"/>
            <c:bubble3D val="0"/>
            <c:spPr>
              <a:solidFill>
                <a:schemeClr val="accent6">
                  <a:lumMod val="75000"/>
                </a:schemeClr>
              </a:solidFill>
              <a:ln w="6350">
                <a:solidFill>
                  <a:schemeClr val="lt1"/>
                </a:solidFill>
              </a:ln>
              <a:effectLst/>
            </c:spPr>
            <c:extLst>
              <c:ext xmlns:c16="http://schemas.microsoft.com/office/drawing/2014/chart" uri="{C3380CC4-5D6E-409C-BE32-E72D297353CC}">
                <c16:uniqueId val="{00000011-2E32-48A1-8EBB-56BFB93C0EBF}"/>
              </c:ext>
            </c:extLst>
          </c:dPt>
          <c:dPt>
            <c:idx val="2"/>
            <c:bubble3D val="0"/>
            <c:spPr>
              <a:solidFill>
                <a:schemeClr val="accent6">
                  <a:lumMod val="60000"/>
                  <a:lumOff val="40000"/>
                </a:schemeClr>
              </a:solidFill>
              <a:ln w="6350">
                <a:solidFill>
                  <a:schemeClr val="lt1"/>
                </a:solidFill>
              </a:ln>
              <a:effectLst/>
            </c:spPr>
            <c:extLst>
              <c:ext xmlns:c16="http://schemas.microsoft.com/office/drawing/2014/chart" uri="{C3380CC4-5D6E-409C-BE32-E72D297353CC}">
                <c16:uniqueId val="{00000013-2E32-48A1-8EBB-56BFB93C0EBF}"/>
              </c:ext>
            </c:extLst>
          </c:dPt>
          <c:dPt>
            <c:idx val="3"/>
            <c:bubble3D val="0"/>
            <c:spPr>
              <a:solidFill>
                <a:schemeClr val="accent1">
                  <a:lumMod val="60000"/>
                  <a:lumOff val="40000"/>
                </a:schemeClr>
              </a:solidFill>
              <a:ln w="6350">
                <a:solidFill>
                  <a:schemeClr val="lt1"/>
                </a:solidFill>
              </a:ln>
              <a:effectLst/>
            </c:spPr>
            <c:extLst>
              <c:ext xmlns:c16="http://schemas.microsoft.com/office/drawing/2014/chart" uri="{C3380CC4-5D6E-409C-BE32-E72D297353CC}">
                <c16:uniqueId val="{00000015-2E32-48A1-8EBB-56BFB93C0EBF}"/>
              </c:ext>
            </c:extLst>
          </c:dPt>
          <c:dPt>
            <c:idx val="4"/>
            <c:bubble3D val="0"/>
            <c:spPr>
              <a:solidFill>
                <a:schemeClr val="accent1">
                  <a:lumMod val="75000"/>
                </a:schemeClr>
              </a:solidFill>
              <a:ln w="6350">
                <a:solidFill>
                  <a:schemeClr val="lt1"/>
                </a:solidFill>
              </a:ln>
              <a:effectLst/>
            </c:spPr>
            <c:extLst>
              <c:ext xmlns:c16="http://schemas.microsoft.com/office/drawing/2014/chart" uri="{C3380CC4-5D6E-409C-BE32-E72D297353CC}">
                <c16:uniqueId val="{00000017-2E32-48A1-8EBB-56BFB93C0EBF}"/>
              </c:ext>
            </c:extLst>
          </c:dPt>
          <c:dPt>
            <c:idx val="5"/>
            <c:bubble3D val="0"/>
            <c:spPr>
              <a:solidFill>
                <a:schemeClr val="accent1">
                  <a:lumMod val="50000"/>
                </a:schemeClr>
              </a:solidFill>
              <a:ln w="6350">
                <a:solidFill>
                  <a:schemeClr val="lt1"/>
                </a:solidFill>
              </a:ln>
              <a:effectLst/>
            </c:spPr>
            <c:extLst>
              <c:ext xmlns:c16="http://schemas.microsoft.com/office/drawing/2014/chart" uri="{C3380CC4-5D6E-409C-BE32-E72D297353CC}">
                <c16:uniqueId val="{00000019-2E32-48A1-8EBB-56BFB93C0EBF}"/>
              </c:ext>
            </c:extLst>
          </c:dPt>
          <c:cat>
            <c:strRef>
              <c:f>Sheet1!$B$7:$G$7</c:f>
              <c:strCache>
                <c:ptCount val="6"/>
                <c:pt idx="0">
                  <c:v>Highly Satisfactory (4%)</c:v>
                </c:pt>
                <c:pt idx="1">
                  <c:v>Satisfactory (46%)</c:v>
                </c:pt>
                <c:pt idx="2">
                  <c:v>Moderately Satisfactory (32%)</c:v>
                </c:pt>
                <c:pt idx="3">
                  <c:v>Moderately Unsatisfactory (13%)</c:v>
                </c:pt>
                <c:pt idx="4">
                  <c:v>Unsatisfactory (4%)</c:v>
                </c:pt>
                <c:pt idx="5">
                  <c:v>Highly Unsatisfactory (1%)</c:v>
                </c:pt>
              </c:strCache>
            </c:strRef>
          </c:cat>
          <c:val>
            <c:numRef>
              <c:f>Sheet1!$B$8:$G$8</c:f>
              <c:numCache>
                <c:formatCode>General</c:formatCode>
                <c:ptCount val="6"/>
                <c:pt idx="0">
                  <c:v>54</c:v>
                </c:pt>
                <c:pt idx="1">
                  <c:v>424</c:v>
                </c:pt>
                <c:pt idx="2">
                  <c:v>267</c:v>
                </c:pt>
                <c:pt idx="3">
                  <c:v>82</c:v>
                </c:pt>
                <c:pt idx="4">
                  <c:v>18</c:v>
                </c:pt>
                <c:pt idx="5">
                  <c:v>4</c:v>
                </c:pt>
              </c:numCache>
            </c:numRef>
          </c:val>
          <c:extLst>
            <c:ext xmlns:c16="http://schemas.microsoft.com/office/drawing/2014/chart" uri="{C3380CC4-5D6E-409C-BE32-E72D297353CC}">
              <c16:uniqueId val="{0000001A-2E32-48A1-8EBB-56BFB93C0EBF}"/>
            </c:ext>
          </c:extLst>
        </c:ser>
        <c:ser>
          <c:idx val="7"/>
          <c:order val="3"/>
          <c:tx>
            <c:strRef>
              <c:f>Sheet1!$A$9</c:f>
              <c:strCache>
                <c:ptCount val="1"/>
                <c:pt idx="0">
                  <c:v>Implementation Progress Ratings for Active Projects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C-2E32-48A1-8EBB-56BFB93C0E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E-2E32-48A1-8EBB-56BFB93C0E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0-2E32-48A1-8EBB-56BFB93C0E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2-2E32-48A1-8EBB-56BFB93C0E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4-2E32-48A1-8EBB-56BFB93C0E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6-2E32-48A1-8EBB-56BFB93C0EBF}"/>
              </c:ext>
            </c:extLst>
          </c:dPt>
          <c:cat>
            <c:strRef>
              <c:f>Sheet1!$B$7:$G$7</c:f>
              <c:strCache>
                <c:ptCount val="6"/>
                <c:pt idx="0">
                  <c:v>Highly Satisfactory (4%)</c:v>
                </c:pt>
                <c:pt idx="1">
                  <c:v>Satisfactory (46%)</c:v>
                </c:pt>
                <c:pt idx="2">
                  <c:v>Moderately Satisfactory (32%)</c:v>
                </c:pt>
                <c:pt idx="3">
                  <c:v>Moderately Unsatisfactory (13%)</c:v>
                </c:pt>
                <c:pt idx="4">
                  <c:v>Unsatisfactory (4%)</c:v>
                </c:pt>
                <c:pt idx="5">
                  <c:v>Highly Unsatisfactory (1%)</c:v>
                </c:pt>
              </c:strCache>
            </c:strRef>
          </c:cat>
          <c:val>
            <c:numRef>
              <c:f>Sheet1!$B$9:$G$9</c:f>
              <c:numCache>
                <c:formatCode>General</c:formatCode>
                <c:ptCount val="6"/>
                <c:pt idx="0">
                  <c:v>37</c:v>
                </c:pt>
                <c:pt idx="1">
                  <c:v>391</c:v>
                </c:pt>
                <c:pt idx="2">
                  <c:v>275</c:v>
                </c:pt>
                <c:pt idx="3">
                  <c:v>107</c:v>
                </c:pt>
                <c:pt idx="4">
                  <c:v>35</c:v>
                </c:pt>
                <c:pt idx="5">
                  <c:v>4</c:v>
                </c:pt>
              </c:numCache>
            </c:numRef>
          </c:val>
          <c:extLst>
            <c:ext xmlns:c16="http://schemas.microsoft.com/office/drawing/2014/chart" uri="{C3380CC4-5D6E-409C-BE32-E72D297353CC}">
              <c16:uniqueId val="{00000027-2E32-48A1-8EBB-56BFB93C0EBF}"/>
            </c:ext>
          </c:extLst>
        </c:ser>
        <c:ser>
          <c:idx val="2"/>
          <c:order val="4"/>
          <c:tx>
            <c:strRef>
              <c:f>Sheet1!$A$8</c:f>
              <c:strCache>
                <c:ptCount val="1"/>
                <c:pt idx="0">
                  <c:v>Development Objective Ratings for Active Projects </c:v>
                </c:pt>
              </c:strCache>
            </c:strRef>
          </c:tx>
          <c:dPt>
            <c:idx val="0"/>
            <c:bubble3D val="0"/>
            <c:spPr>
              <a:solidFill>
                <a:schemeClr val="accent6">
                  <a:lumMod val="50000"/>
                </a:schemeClr>
              </a:solidFill>
            </c:spPr>
            <c:extLst>
              <c:ext xmlns:c16="http://schemas.microsoft.com/office/drawing/2014/chart" uri="{C3380CC4-5D6E-409C-BE32-E72D297353CC}">
                <c16:uniqueId val="{00000029-2E32-48A1-8EBB-56BFB93C0EBF}"/>
              </c:ext>
            </c:extLst>
          </c:dPt>
          <c:dPt>
            <c:idx val="1"/>
            <c:bubble3D val="0"/>
            <c:spPr>
              <a:solidFill>
                <a:schemeClr val="accent6">
                  <a:lumMod val="75000"/>
                </a:schemeClr>
              </a:solidFill>
              <a:ln w="6350"/>
            </c:spPr>
            <c:extLst>
              <c:ext xmlns:c16="http://schemas.microsoft.com/office/drawing/2014/chart" uri="{C3380CC4-5D6E-409C-BE32-E72D297353CC}">
                <c16:uniqueId val="{0000002B-2E32-48A1-8EBB-56BFB93C0EBF}"/>
              </c:ext>
            </c:extLst>
          </c:dPt>
          <c:dPt>
            <c:idx val="2"/>
            <c:bubble3D val="0"/>
            <c:spPr>
              <a:solidFill>
                <a:schemeClr val="accent6">
                  <a:lumMod val="60000"/>
                  <a:lumOff val="40000"/>
                </a:schemeClr>
              </a:solidFill>
              <a:ln w="6350"/>
            </c:spPr>
            <c:extLst>
              <c:ext xmlns:c16="http://schemas.microsoft.com/office/drawing/2014/chart" uri="{C3380CC4-5D6E-409C-BE32-E72D297353CC}">
                <c16:uniqueId val="{0000002D-2E32-48A1-8EBB-56BFB93C0EBF}"/>
              </c:ext>
            </c:extLst>
          </c:dPt>
          <c:dPt>
            <c:idx val="3"/>
            <c:bubble3D val="0"/>
            <c:spPr>
              <a:solidFill>
                <a:schemeClr val="accent1">
                  <a:lumMod val="60000"/>
                  <a:lumOff val="40000"/>
                </a:schemeClr>
              </a:solidFill>
              <a:ln w="6350"/>
            </c:spPr>
            <c:extLst>
              <c:ext xmlns:c16="http://schemas.microsoft.com/office/drawing/2014/chart" uri="{C3380CC4-5D6E-409C-BE32-E72D297353CC}">
                <c16:uniqueId val="{0000002F-2E32-48A1-8EBB-56BFB93C0EBF}"/>
              </c:ext>
            </c:extLst>
          </c:dPt>
          <c:dPt>
            <c:idx val="4"/>
            <c:bubble3D val="0"/>
            <c:spPr>
              <a:solidFill>
                <a:schemeClr val="accent1">
                  <a:lumMod val="75000"/>
                </a:schemeClr>
              </a:solidFill>
              <a:ln w="6350"/>
            </c:spPr>
            <c:extLst>
              <c:ext xmlns:c16="http://schemas.microsoft.com/office/drawing/2014/chart" uri="{C3380CC4-5D6E-409C-BE32-E72D297353CC}">
                <c16:uniqueId val="{00000031-2E32-48A1-8EBB-56BFB93C0EBF}"/>
              </c:ext>
            </c:extLst>
          </c:dPt>
          <c:dPt>
            <c:idx val="5"/>
            <c:bubble3D val="0"/>
            <c:spPr>
              <a:solidFill>
                <a:schemeClr val="accent1">
                  <a:lumMod val="50000"/>
                </a:schemeClr>
              </a:solidFill>
              <a:ln w="6350"/>
            </c:spPr>
            <c:extLst>
              <c:ext xmlns:c16="http://schemas.microsoft.com/office/drawing/2014/chart" uri="{C3380CC4-5D6E-409C-BE32-E72D297353CC}">
                <c16:uniqueId val="{00000033-2E32-48A1-8EBB-56BFB93C0EBF}"/>
              </c:ext>
            </c:extLst>
          </c:dPt>
          <c:cat>
            <c:strRef>
              <c:f>Sheet1!$B$7:$G$7</c:f>
              <c:strCache>
                <c:ptCount val="6"/>
                <c:pt idx="0">
                  <c:v>Highly Satisfactory (4%)</c:v>
                </c:pt>
                <c:pt idx="1">
                  <c:v>Satisfactory (46%)</c:v>
                </c:pt>
                <c:pt idx="2">
                  <c:v>Moderately Satisfactory (32%)</c:v>
                </c:pt>
                <c:pt idx="3">
                  <c:v>Moderately Unsatisfactory (13%)</c:v>
                </c:pt>
                <c:pt idx="4">
                  <c:v>Unsatisfactory (4%)</c:v>
                </c:pt>
                <c:pt idx="5">
                  <c:v>Highly Unsatisfactory (1%)</c:v>
                </c:pt>
              </c:strCache>
            </c:strRef>
          </c:cat>
          <c:val>
            <c:numRef>
              <c:f>Sheet1!$B$8:$G$8</c:f>
              <c:numCache>
                <c:formatCode>General</c:formatCode>
                <c:ptCount val="6"/>
                <c:pt idx="0">
                  <c:v>54</c:v>
                </c:pt>
                <c:pt idx="1">
                  <c:v>424</c:v>
                </c:pt>
                <c:pt idx="2">
                  <c:v>267</c:v>
                </c:pt>
                <c:pt idx="3">
                  <c:v>82</c:v>
                </c:pt>
                <c:pt idx="4">
                  <c:v>18</c:v>
                </c:pt>
                <c:pt idx="5">
                  <c:v>4</c:v>
                </c:pt>
              </c:numCache>
            </c:numRef>
          </c:val>
          <c:extLst>
            <c:ext xmlns:c16="http://schemas.microsoft.com/office/drawing/2014/chart" uri="{C3380CC4-5D6E-409C-BE32-E72D297353CC}">
              <c16:uniqueId val="{00000034-2E32-48A1-8EBB-56BFB93C0EBF}"/>
            </c:ext>
          </c:extLst>
        </c:ser>
        <c:ser>
          <c:idx val="3"/>
          <c:order val="5"/>
          <c:tx>
            <c:strRef>
              <c:f>Sheet1!$A$9</c:f>
              <c:strCache>
                <c:ptCount val="1"/>
                <c:pt idx="0">
                  <c:v>Implementation Progress Ratings for Active Projects </c:v>
                </c:pt>
              </c:strCache>
            </c:strRef>
          </c:tx>
          <c:cat>
            <c:strRef>
              <c:f>Sheet1!$B$7:$G$7</c:f>
              <c:strCache>
                <c:ptCount val="6"/>
                <c:pt idx="0">
                  <c:v>Highly Satisfactory (4%)</c:v>
                </c:pt>
                <c:pt idx="1">
                  <c:v>Satisfactory (46%)</c:v>
                </c:pt>
                <c:pt idx="2">
                  <c:v>Moderately Satisfactory (32%)</c:v>
                </c:pt>
                <c:pt idx="3">
                  <c:v>Moderately Unsatisfactory (13%)</c:v>
                </c:pt>
                <c:pt idx="4">
                  <c:v>Unsatisfactory (4%)</c:v>
                </c:pt>
                <c:pt idx="5">
                  <c:v>Highly Unsatisfactory (1%)</c:v>
                </c:pt>
              </c:strCache>
            </c:strRef>
          </c:cat>
          <c:val>
            <c:numRef>
              <c:f>Sheet1!$B$9:$G$9</c:f>
              <c:numCache>
                <c:formatCode>General</c:formatCode>
                <c:ptCount val="6"/>
                <c:pt idx="0">
                  <c:v>37</c:v>
                </c:pt>
                <c:pt idx="1">
                  <c:v>391</c:v>
                </c:pt>
                <c:pt idx="2">
                  <c:v>275</c:v>
                </c:pt>
                <c:pt idx="3">
                  <c:v>107</c:v>
                </c:pt>
                <c:pt idx="4">
                  <c:v>35</c:v>
                </c:pt>
                <c:pt idx="5">
                  <c:v>4</c:v>
                </c:pt>
              </c:numCache>
            </c:numRef>
          </c:val>
          <c:extLst>
            <c:ext xmlns:c16="http://schemas.microsoft.com/office/drawing/2014/chart" uri="{C3380CC4-5D6E-409C-BE32-E72D297353CC}">
              <c16:uniqueId val="{00000035-2E32-48A1-8EBB-56BFB93C0EBF}"/>
            </c:ext>
          </c:extLst>
        </c:ser>
        <c:ser>
          <c:idx val="0"/>
          <c:order val="6"/>
          <c:tx>
            <c:strRef>
              <c:f>Sheet1!$A$8</c:f>
              <c:strCache>
                <c:ptCount val="1"/>
                <c:pt idx="0">
                  <c:v>Development Objective Ratings for Active Projects </c:v>
                </c:pt>
              </c:strCache>
            </c:strRef>
          </c:tx>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37-2E32-48A1-8EBB-56BFB93C0EBF}"/>
              </c:ext>
            </c:extLst>
          </c:dPt>
          <c:dPt>
            <c:idx val="1"/>
            <c:bubble3D val="0"/>
            <c:spPr>
              <a:solidFill>
                <a:schemeClr val="accent6">
                  <a:lumMod val="75000"/>
                </a:schemeClr>
              </a:solidFill>
              <a:ln w="6350">
                <a:solidFill>
                  <a:schemeClr val="lt1"/>
                </a:solidFill>
              </a:ln>
              <a:effectLst/>
            </c:spPr>
            <c:extLst>
              <c:ext xmlns:c16="http://schemas.microsoft.com/office/drawing/2014/chart" uri="{C3380CC4-5D6E-409C-BE32-E72D297353CC}">
                <c16:uniqueId val="{00000039-2E32-48A1-8EBB-56BFB93C0EBF}"/>
              </c:ext>
            </c:extLst>
          </c:dPt>
          <c:dPt>
            <c:idx val="2"/>
            <c:bubble3D val="0"/>
            <c:spPr>
              <a:solidFill>
                <a:schemeClr val="accent6">
                  <a:lumMod val="60000"/>
                  <a:lumOff val="40000"/>
                </a:schemeClr>
              </a:solidFill>
              <a:ln w="6350">
                <a:solidFill>
                  <a:schemeClr val="lt1"/>
                </a:solidFill>
              </a:ln>
              <a:effectLst/>
            </c:spPr>
            <c:extLst>
              <c:ext xmlns:c16="http://schemas.microsoft.com/office/drawing/2014/chart" uri="{C3380CC4-5D6E-409C-BE32-E72D297353CC}">
                <c16:uniqueId val="{0000003B-2E32-48A1-8EBB-56BFB93C0EBF}"/>
              </c:ext>
            </c:extLst>
          </c:dPt>
          <c:dPt>
            <c:idx val="3"/>
            <c:bubble3D val="0"/>
            <c:spPr>
              <a:solidFill>
                <a:schemeClr val="accent1">
                  <a:lumMod val="60000"/>
                  <a:lumOff val="40000"/>
                </a:schemeClr>
              </a:solidFill>
              <a:ln w="6350">
                <a:solidFill>
                  <a:schemeClr val="lt1"/>
                </a:solidFill>
              </a:ln>
              <a:effectLst/>
            </c:spPr>
            <c:extLst>
              <c:ext xmlns:c16="http://schemas.microsoft.com/office/drawing/2014/chart" uri="{C3380CC4-5D6E-409C-BE32-E72D297353CC}">
                <c16:uniqueId val="{0000003D-2E32-48A1-8EBB-56BFB93C0EBF}"/>
              </c:ext>
            </c:extLst>
          </c:dPt>
          <c:dPt>
            <c:idx val="4"/>
            <c:bubble3D val="0"/>
            <c:spPr>
              <a:solidFill>
                <a:schemeClr val="accent1">
                  <a:lumMod val="75000"/>
                </a:schemeClr>
              </a:solidFill>
              <a:ln w="6350">
                <a:solidFill>
                  <a:schemeClr val="lt1"/>
                </a:solidFill>
              </a:ln>
              <a:effectLst/>
            </c:spPr>
            <c:extLst>
              <c:ext xmlns:c16="http://schemas.microsoft.com/office/drawing/2014/chart" uri="{C3380CC4-5D6E-409C-BE32-E72D297353CC}">
                <c16:uniqueId val="{0000003F-2E32-48A1-8EBB-56BFB93C0EBF}"/>
              </c:ext>
            </c:extLst>
          </c:dPt>
          <c:dPt>
            <c:idx val="5"/>
            <c:bubble3D val="0"/>
            <c:spPr>
              <a:solidFill>
                <a:schemeClr val="accent1">
                  <a:lumMod val="50000"/>
                </a:schemeClr>
              </a:solidFill>
              <a:ln w="6350">
                <a:solidFill>
                  <a:schemeClr val="lt1"/>
                </a:solidFill>
              </a:ln>
              <a:effectLst/>
            </c:spPr>
            <c:extLst>
              <c:ext xmlns:c16="http://schemas.microsoft.com/office/drawing/2014/chart" uri="{C3380CC4-5D6E-409C-BE32-E72D297353CC}">
                <c16:uniqueId val="{00000041-2E32-48A1-8EBB-56BFB93C0EBF}"/>
              </c:ext>
            </c:extLst>
          </c:dPt>
          <c:cat>
            <c:strRef>
              <c:f>Sheet1!$B$7:$G$7</c:f>
              <c:strCache>
                <c:ptCount val="6"/>
                <c:pt idx="0">
                  <c:v>Highly Satisfactory (4%)</c:v>
                </c:pt>
                <c:pt idx="1">
                  <c:v>Satisfactory (46%)</c:v>
                </c:pt>
                <c:pt idx="2">
                  <c:v>Moderately Satisfactory (32%)</c:v>
                </c:pt>
                <c:pt idx="3">
                  <c:v>Moderately Unsatisfactory (13%)</c:v>
                </c:pt>
                <c:pt idx="4">
                  <c:v>Unsatisfactory (4%)</c:v>
                </c:pt>
                <c:pt idx="5">
                  <c:v>Highly Unsatisfactory (1%)</c:v>
                </c:pt>
              </c:strCache>
            </c:strRef>
          </c:cat>
          <c:val>
            <c:numRef>
              <c:f>Sheet1!$B$8:$G$8</c:f>
              <c:numCache>
                <c:formatCode>General</c:formatCode>
                <c:ptCount val="6"/>
                <c:pt idx="0">
                  <c:v>54</c:v>
                </c:pt>
                <c:pt idx="1">
                  <c:v>424</c:v>
                </c:pt>
                <c:pt idx="2">
                  <c:v>267</c:v>
                </c:pt>
                <c:pt idx="3">
                  <c:v>82</c:v>
                </c:pt>
                <c:pt idx="4">
                  <c:v>18</c:v>
                </c:pt>
                <c:pt idx="5">
                  <c:v>4</c:v>
                </c:pt>
              </c:numCache>
            </c:numRef>
          </c:val>
          <c:extLst>
            <c:ext xmlns:c16="http://schemas.microsoft.com/office/drawing/2014/chart" uri="{C3380CC4-5D6E-409C-BE32-E72D297353CC}">
              <c16:uniqueId val="{00000042-2E32-48A1-8EBB-56BFB93C0EBF}"/>
            </c:ext>
          </c:extLst>
        </c:ser>
        <c:ser>
          <c:idx val="1"/>
          <c:order val="7"/>
          <c:tx>
            <c:strRef>
              <c:f>Sheet1!$A$9</c:f>
              <c:strCache>
                <c:ptCount val="1"/>
                <c:pt idx="0">
                  <c:v>Implementation Progress Ratings for Active Projects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44-2E32-48A1-8EBB-56BFB93C0E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46-2E32-48A1-8EBB-56BFB93C0E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48-2E32-48A1-8EBB-56BFB93C0E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4A-2E32-48A1-8EBB-56BFB93C0E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4C-2E32-48A1-8EBB-56BFB93C0E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4E-2E32-48A1-8EBB-56BFB93C0EBF}"/>
              </c:ext>
            </c:extLst>
          </c:dPt>
          <c:cat>
            <c:strRef>
              <c:f>Sheet1!$B$7:$G$7</c:f>
              <c:strCache>
                <c:ptCount val="6"/>
                <c:pt idx="0">
                  <c:v>Highly Satisfactory (4%)</c:v>
                </c:pt>
                <c:pt idx="1">
                  <c:v>Satisfactory (46%)</c:v>
                </c:pt>
                <c:pt idx="2">
                  <c:v>Moderately Satisfactory (32%)</c:v>
                </c:pt>
                <c:pt idx="3">
                  <c:v>Moderately Unsatisfactory (13%)</c:v>
                </c:pt>
                <c:pt idx="4">
                  <c:v>Unsatisfactory (4%)</c:v>
                </c:pt>
                <c:pt idx="5">
                  <c:v>Highly Unsatisfactory (1%)</c:v>
                </c:pt>
              </c:strCache>
            </c:strRef>
          </c:cat>
          <c:val>
            <c:numRef>
              <c:f>Sheet1!$B$9:$G$9</c:f>
              <c:numCache>
                <c:formatCode>General</c:formatCode>
                <c:ptCount val="6"/>
                <c:pt idx="0">
                  <c:v>37</c:v>
                </c:pt>
                <c:pt idx="1">
                  <c:v>391</c:v>
                </c:pt>
                <c:pt idx="2">
                  <c:v>275</c:v>
                </c:pt>
                <c:pt idx="3">
                  <c:v>107</c:v>
                </c:pt>
                <c:pt idx="4">
                  <c:v>35</c:v>
                </c:pt>
                <c:pt idx="5">
                  <c:v>4</c:v>
                </c:pt>
              </c:numCache>
            </c:numRef>
          </c:val>
          <c:extLst>
            <c:ext xmlns:c16="http://schemas.microsoft.com/office/drawing/2014/chart" uri="{C3380CC4-5D6E-409C-BE32-E72D297353CC}">
              <c16:uniqueId val="{0000004F-2E32-48A1-8EBB-56BFB93C0EB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4621497894158577"/>
          <c:y val="0.3347217467381795"/>
          <c:w val="0.34985577833698622"/>
          <c:h val="0.493561696507681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ln>
      <a:noFill/>
    </a:ln>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Implementation Progress Ratings</a:t>
            </a:r>
          </a:p>
          <a:p>
            <a:pPr>
              <a:defRPr/>
            </a:pPr>
            <a:r>
              <a:rPr lang="en-US" sz="1100"/>
              <a:t>(82% rated Moderately Satisfactory</a:t>
            </a:r>
            <a:r>
              <a:rPr lang="en-US" sz="1100" baseline="0"/>
              <a:t> or better)</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01128378190082"/>
          <c:y val="0.23476635514018693"/>
          <c:w val="0.38184724283594018"/>
          <c:h val="0.69462097611630325"/>
        </c:manualLayout>
      </c:layout>
      <c:pieChart>
        <c:varyColors val="1"/>
        <c:ser>
          <c:idx val="1"/>
          <c:order val="1"/>
          <c:tx>
            <c:strRef>
              <c:f>Sheet1!$A$9</c:f>
              <c:strCache>
                <c:ptCount val="1"/>
                <c:pt idx="0">
                  <c:v>Implementation Progress Ratings for Active Projects </c:v>
                </c:pt>
              </c:strCache>
            </c:strRef>
          </c:tx>
          <c:spPr>
            <a:solidFill>
              <a:schemeClr val="accent6">
                <a:lumMod val="75000"/>
              </a:schemeClr>
            </a:solidFill>
            <a:ln w="3175"/>
          </c:spPr>
          <c:dPt>
            <c:idx val="0"/>
            <c:bubble3D val="0"/>
            <c:spPr>
              <a:solidFill>
                <a:schemeClr val="accent6">
                  <a:lumMod val="50000"/>
                </a:schemeClr>
              </a:solidFill>
              <a:ln w="3175">
                <a:solidFill>
                  <a:schemeClr val="lt1"/>
                </a:solidFill>
              </a:ln>
              <a:effectLst/>
            </c:spPr>
            <c:extLst>
              <c:ext xmlns:c16="http://schemas.microsoft.com/office/drawing/2014/chart" uri="{C3380CC4-5D6E-409C-BE32-E72D297353CC}">
                <c16:uniqueId val="{00000001-B9E7-42C3-BDE6-560846DE58AD}"/>
              </c:ext>
            </c:extLst>
          </c:dPt>
          <c:dPt>
            <c:idx val="1"/>
            <c:bubble3D val="0"/>
            <c:spPr>
              <a:solidFill>
                <a:schemeClr val="accent6">
                  <a:lumMod val="75000"/>
                </a:schemeClr>
              </a:solidFill>
              <a:ln w="3175">
                <a:solidFill>
                  <a:schemeClr val="lt1"/>
                </a:solidFill>
              </a:ln>
              <a:effectLst/>
            </c:spPr>
            <c:extLst>
              <c:ext xmlns:c16="http://schemas.microsoft.com/office/drawing/2014/chart" uri="{C3380CC4-5D6E-409C-BE32-E72D297353CC}">
                <c16:uniqueId val="{00000003-B9E7-42C3-BDE6-560846DE58AD}"/>
              </c:ext>
            </c:extLst>
          </c:dPt>
          <c:dPt>
            <c:idx val="2"/>
            <c:bubble3D val="0"/>
            <c:spPr>
              <a:solidFill>
                <a:schemeClr val="accent6">
                  <a:lumMod val="60000"/>
                  <a:lumOff val="40000"/>
                </a:schemeClr>
              </a:solidFill>
              <a:ln w="3175">
                <a:solidFill>
                  <a:schemeClr val="lt1"/>
                </a:solidFill>
              </a:ln>
              <a:effectLst/>
            </c:spPr>
            <c:extLst>
              <c:ext xmlns:c16="http://schemas.microsoft.com/office/drawing/2014/chart" uri="{C3380CC4-5D6E-409C-BE32-E72D297353CC}">
                <c16:uniqueId val="{00000005-B9E7-42C3-BDE6-560846DE58AD}"/>
              </c:ext>
            </c:extLst>
          </c:dPt>
          <c:dPt>
            <c:idx val="3"/>
            <c:bubble3D val="0"/>
            <c:spPr>
              <a:solidFill>
                <a:schemeClr val="accent1">
                  <a:lumMod val="60000"/>
                  <a:lumOff val="40000"/>
                </a:schemeClr>
              </a:solidFill>
              <a:ln w="3175">
                <a:solidFill>
                  <a:schemeClr val="lt1"/>
                </a:solidFill>
              </a:ln>
              <a:effectLst/>
            </c:spPr>
            <c:extLst>
              <c:ext xmlns:c16="http://schemas.microsoft.com/office/drawing/2014/chart" uri="{C3380CC4-5D6E-409C-BE32-E72D297353CC}">
                <c16:uniqueId val="{00000007-B9E7-42C3-BDE6-560846DE58AD}"/>
              </c:ext>
            </c:extLst>
          </c:dPt>
          <c:dPt>
            <c:idx val="4"/>
            <c:bubble3D val="0"/>
            <c:spPr>
              <a:solidFill>
                <a:schemeClr val="accent1">
                  <a:lumMod val="75000"/>
                </a:schemeClr>
              </a:solidFill>
              <a:ln w="3175">
                <a:solidFill>
                  <a:schemeClr val="lt1"/>
                </a:solidFill>
              </a:ln>
              <a:effectLst/>
            </c:spPr>
            <c:extLst>
              <c:ext xmlns:c16="http://schemas.microsoft.com/office/drawing/2014/chart" uri="{C3380CC4-5D6E-409C-BE32-E72D297353CC}">
                <c16:uniqueId val="{00000009-B9E7-42C3-BDE6-560846DE58AD}"/>
              </c:ext>
            </c:extLst>
          </c:dPt>
          <c:dPt>
            <c:idx val="5"/>
            <c:bubble3D val="0"/>
            <c:spPr>
              <a:solidFill>
                <a:schemeClr val="accent1">
                  <a:lumMod val="50000"/>
                </a:schemeClr>
              </a:solidFill>
              <a:ln w="3175">
                <a:solidFill>
                  <a:schemeClr val="lt1"/>
                </a:solidFill>
              </a:ln>
              <a:effectLst/>
            </c:spPr>
            <c:extLst>
              <c:ext xmlns:c16="http://schemas.microsoft.com/office/drawing/2014/chart" uri="{C3380CC4-5D6E-409C-BE32-E72D297353CC}">
                <c16:uniqueId val="{0000000B-B9E7-42C3-BDE6-560846DE58AD}"/>
              </c:ext>
            </c:extLst>
          </c:dPt>
          <c:cat>
            <c:strRef>
              <c:f>Sheet1!$B$7:$G$7</c:f>
              <c:strCache>
                <c:ptCount val="6"/>
                <c:pt idx="0">
                  <c:v>Highly Satisfactory (4%)</c:v>
                </c:pt>
                <c:pt idx="1">
                  <c:v>Satisfactory (46%)</c:v>
                </c:pt>
                <c:pt idx="2">
                  <c:v>Moderately Satisfactory (32%)</c:v>
                </c:pt>
                <c:pt idx="3">
                  <c:v>Moderately Unsatisfactory (13%)</c:v>
                </c:pt>
                <c:pt idx="4">
                  <c:v>Unsatisfactory (4%)</c:v>
                </c:pt>
                <c:pt idx="5">
                  <c:v>Highly Unsatisfactory (1%)</c:v>
                </c:pt>
              </c:strCache>
            </c:strRef>
          </c:cat>
          <c:val>
            <c:numRef>
              <c:f>Sheet1!$B$9:$G$9</c:f>
              <c:numCache>
                <c:formatCode>General</c:formatCode>
                <c:ptCount val="6"/>
                <c:pt idx="0">
                  <c:v>37</c:v>
                </c:pt>
                <c:pt idx="1">
                  <c:v>391</c:v>
                </c:pt>
                <c:pt idx="2">
                  <c:v>275</c:v>
                </c:pt>
                <c:pt idx="3">
                  <c:v>107</c:v>
                </c:pt>
                <c:pt idx="4">
                  <c:v>35</c:v>
                </c:pt>
                <c:pt idx="5">
                  <c:v>4</c:v>
                </c:pt>
              </c:numCache>
            </c:numRef>
          </c:val>
          <c:extLst>
            <c:ext xmlns:c16="http://schemas.microsoft.com/office/drawing/2014/chart" uri="{C3380CC4-5D6E-409C-BE32-E72D297353CC}">
              <c16:uniqueId val="{0000000C-B9E7-42C3-BDE6-560846DE58AD}"/>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Sheet1!$A$8</c15:sqref>
                        </c15:formulaRef>
                      </c:ext>
                    </c:extLst>
                    <c:strCache>
                      <c:ptCount val="1"/>
                      <c:pt idx="0">
                        <c:v>Development Objective Ratings for Active Projects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B9E7-42C3-BDE6-560846DE58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B9E7-42C3-BDE6-560846DE58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B9E7-42C3-BDE6-560846DE58A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B9E7-42C3-BDE6-560846DE58A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B9E7-42C3-BDE6-560846DE58A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B9E7-42C3-BDE6-560846DE58AD}"/>
                    </c:ext>
                  </c:extLst>
                </c:dPt>
                <c:cat>
                  <c:strRef>
                    <c:extLst>
                      <c:ext uri="{02D57815-91ED-43cb-92C2-25804820EDAC}">
                        <c15:formulaRef>
                          <c15:sqref>Sheet1!$B$7:$G$7</c15:sqref>
                        </c15:formulaRef>
                      </c:ext>
                    </c:extLst>
                    <c:strCache>
                      <c:ptCount val="6"/>
                      <c:pt idx="0">
                        <c:v>Highly Satisfactory (4%)</c:v>
                      </c:pt>
                      <c:pt idx="1">
                        <c:v>Satisfactory (46%)</c:v>
                      </c:pt>
                      <c:pt idx="2">
                        <c:v>Moderately Satisfactory (32%)</c:v>
                      </c:pt>
                      <c:pt idx="3">
                        <c:v>Moderately Unsatisfactory (13%)</c:v>
                      </c:pt>
                      <c:pt idx="4">
                        <c:v>Unsatisfactory (4%)</c:v>
                      </c:pt>
                      <c:pt idx="5">
                        <c:v>Highly Unsatisfactory (1%)</c:v>
                      </c:pt>
                    </c:strCache>
                  </c:strRef>
                </c:cat>
                <c:val>
                  <c:numRef>
                    <c:extLst>
                      <c:ext uri="{02D57815-91ED-43cb-92C2-25804820EDAC}">
                        <c15:formulaRef>
                          <c15:sqref>Sheet1!$B$8:$G$8</c15:sqref>
                        </c15:formulaRef>
                      </c:ext>
                    </c:extLst>
                    <c:numCache>
                      <c:formatCode>General</c:formatCode>
                      <c:ptCount val="6"/>
                      <c:pt idx="0">
                        <c:v>54</c:v>
                      </c:pt>
                      <c:pt idx="1">
                        <c:v>424</c:v>
                      </c:pt>
                      <c:pt idx="2">
                        <c:v>267</c:v>
                      </c:pt>
                      <c:pt idx="3">
                        <c:v>82</c:v>
                      </c:pt>
                      <c:pt idx="4">
                        <c:v>18</c:v>
                      </c:pt>
                      <c:pt idx="5">
                        <c:v>4</c:v>
                      </c:pt>
                    </c:numCache>
                  </c:numRef>
                </c:val>
                <c:extLst>
                  <c:ext xmlns:c16="http://schemas.microsoft.com/office/drawing/2014/chart" uri="{C3380CC4-5D6E-409C-BE32-E72D297353CC}">
                    <c16:uniqueId val="{00000019-B9E7-42C3-BDE6-560846DE58AD}"/>
                  </c:ext>
                </c:extLst>
              </c15:ser>
            </c15:filteredPieSeries>
          </c:ext>
        </c:extLst>
      </c:pieChart>
      <c:spPr>
        <a:noFill/>
        <a:ln>
          <a:noFill/>
        </a:ln>
        <a:effectLst/>
      </c:spPr>
    </c:plotArea>
    <c:legend>
      <c:legendPos val="r"/>
      <c:layout>
        <c:manualLayout>
          <c:xMode val="edge"/>
          <c:yMode val="edge"/>
          <c:x val="0.58950625737000262"/>
          <c:y val="0.35637367804594461"/>
          <c:w val="0.31159175773770498"/>
          <c:h val="0.420563691220840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452427821522312"/>
          <c:y val="0.23460177697382423"/>
          <c:w val="0.65388283195369812"/>
          <c:h val="0.72238763123359584"/>
        </c:manualLayout>
      </c:layout>
      <c:barChart>
        <c:barDir val="bar"/>
        <c:grouping val="stacked"/>
        <c:varyColors val="0"/>
        <c:ser>
          <c:idx val="0"/>
          <c:order val="0"/>
          <c:tx>
            <c:strRef>
              <c:f>'DO.IP FA '!$F$22</c:f>
              <c:strCache>
                <c:ptCount val="1"/>
                <c:pt idx="0">
                  <c:v>White space</c:v>
                </c:pt>
              </c:strCache>
            </c:strRef>
          </c:tx>
          <c:spPr>
            <a:noFill/>
            <a:ln>
              <a:noFill/>
            </a:ln>
            <a:effectLst/>
          </c:spPr>
          <c:invertIfNegative val="0"/>
          <c:dLbls>
            <c:dLbl>
              <c:idx val="0"/>
              <c:tx>
                <c:rich>
                  <a:bodyPr/>
                  <a:lstStyle/>
                  <a:p>
                    <a:fld id="{487D711E-3EDB-4C7C-97AE-A8EFBAC87900}" type="CELLRANGE">
                      <a:rPr lang="en-US" b="1"/>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4CF2-40A6-AD9B-8E00BFD19474}"/>
                </c:ext>
              </c:extLst>
            </c:dLbl>
            <c:dLbl>
              <c:idx val="1"/>
              <c:tx>
                <c:rich>
                  <a:bodyPr/>
                  <a:lstStyle/>
                  <a:p>
                    <a:fld id="{FD3D5F3F-F4A3-4FD8-99D9-7AC75FFAF261}" type="CELLRANGE">
                      <a:rPr lang="en-CA"/>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4CF2-40A6-AD9B-8E00BFD19474}"/>
                </c:ext>
              </c:extLst>
            </c:dLbl>
            <c:dLbl>
              <c:idx val="2"/>
              <c:tx>
                <c:rich>
                  <a:bodyPr/>
                  <a:lstStyle/>
                  <a:p>
                    <a:fld id="{8A890518-8791-42F1-AD67-9CF90556B21A}" type="CELLRANGE">
                      <a:rPr lang="en-CA"/>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4CF2-40A6-AD9B-8E00BFD19474}"/>
                </c:ext>
              </c:extLst>
            </c:dLbl>
            <c:dLbl>
              <c:idx val="3"/>
              <c:layout>
                <c:manualLayout>
                  <c:x val="1.1691077319463438E-2"/>
                  <c:y val="0"/>
                </c:manualLayout>
              </c:layout>
              <c:tx>
                <c:rich>
                  <a:bodyPr/>
                  <a:lstStyle/>
                  <a:p>
                    <a:fld id="{D56B6AC2-41FB-4F19-B09E-8B485ACBB540}" type="CELLRANGE">
                      <a:rPr lang="en-US"/>
                      <a:pPr/>
                      <a:t>[CELLRANGE]</a:t>
                    </a:fld>
                    <a:endParaRPr lang="en-CA"/>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4CF2-40A6-AD9B-8E00BFD19474}"/>
                </c:ext>
              </c:extLst>
            </c:dLbl>
            <c:dLbl>
              <c:idx val="4"/>
              <c:tx>
                <c:rich>
                  <a:bodyPr/>
                  <a:lstStyle/>
                  <a:p>
                    <a:fld id="{B85ADD0B-1F84-4E1E-AE35-50D9CECC0CD2}" type="CELLRANGE">
                      <a:rPr lang="en-CA"/>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4CF2-40A6-AD9B-8E00BFD19474}"/>
                </c:ext>
              </c:extLst>
            </c:dLbl>
            <c:dLbl>
              <c:idx val="5"/>
              <c:tx>
                <c:rich>
                  <a:bodyPr/>
                  <a:lstStyle/>
                  <a:p>
                    <a:fld id="{090C92B9-2631-4F29-A215-F8010452D3EB}" type="CELLRANGE">
                      <a:rPr lang="en-CA"/>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4CF2-40A6-AD9B-8E00BFD19474}"/>
                </c:ext>
              </c:extLst>
            </c:dLbl>
            <c:dLbl>
              <c:idx val="6"/>
              <c:tx>
                <c:rich>
                  <a:bodyPr/>
                  <a:lstStyle/>
                  <a:p>
                    <a:fld id="{4A2B5C33-95C8-4CC1-BC73-BB100C8D0D52}" type="CELLRANGE">
                      <a:rPr lang="en-CA"/>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4CF2-40A6-AD9B-8E00BFD19474}"/>
                </c:ext>
              </c:extLst>
            </c:dLbl>
            <c:dLbl>
              <c:idx val="7"/>
              <c:tx>
                <c:rich>
                  <a:bodyPr/>
                  <a:lstStyle/>
                  <a:p>
                    <a:endParaRPr lang="en-US"/>
                  </a:p>
                </c:rich>
              </c:tx>
              <c:dLblPos val="in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F2-40A6-AD9B-8E00BFD1947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E693D"/>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'DO.IP FA '!$A$23:$A$30</c:f>
              <c:strCache>
                <c:ptCount val="7"/>
                <c:pt idx="1">
                  <c:v>Land Degradation</c:v>
                </c:pt>
                <c:pt idx="2">
                  <c:v>Chemicals &amp; Waste</c:v>
                </c:pt>
                <c:pt idx="3">
                  <c:v>Multi-focal Area</c:v>
                </c:pt>
                <c:pt idx="4">
                  <c:v>Biodiversity</c:v>
                </c:pt>
                <c:pt idx="5">
                  <c:v>Climate Change</c:v>
                </c:pt>
                <c:pt idx="6">
                  <c:v>International Waters</c:v>
                </c:pt>
              </c:strCache>
            </c:strRef>
          </c:cat>
          <c:val>
            <c:numRef>
              <c:f>'DO.IP FA '!$F$23:$F$30</c:f>
              <c:numCache>
                <c:formatCode>0%</c:formatCode>
                <c:ptCount val="8"/>
                <c:pt idx="0">
                  <c:v>0.8</c:v>
                </c:pt>
                <c:pt idx="1">
                  <c:v>0.8</c:v>
                </c:pt>
                <c:pt idx="2">
                  <c:v>0.8</c:v>
                </c:pt>
                <c:pt idx="3">
                  <c:v>0.8</c:v>
                </c:pt>
                <c:pt idx="4">
                  <c:v>0.8</c:v>
                </c:pt>
                <c:pt idx="5">
                  <c:v>0.8</c:v>
                </c:pt>
                <c:pt idx="6">
                  <c:v>0.8</c:v>
                </c:pt>
              </c:numCache>
            </c:numRef>
          </c:val>
          <c:extLst>
            <c:ext xmlns:c15="http://schemas.microsoft.com/office/drawing/2012/chart" uri="{02D57815-91ED-43cb-92C2-25804820EDAC}">
              <c15:datalabelsRange>
                <c15:f>'DO.IP FA '!$C$23:$C$30</c15:f>
                <c15:dlblRangeCache>
                  <c:ptCount val="8"/>
                  <c:pt idx="1">
                    <c:v>53 projects</c:v>
                  </c:pt>
                  <c:pt idx="2">
                    <c:v>80 projects</c:v>
                  </c:pt>
                  <c:pt idx="3">
                    <c:v>158 projects</c:v>
                  </c:pt>
                  <c:pt idx="4">
                    <c:v>154 projects</c:v>
                  </c:pt>
                  <c:pt idx="5">
                    <c:v>195 projects</c:v>
                  </c:pt>
                  <c:pt idx="6">
                    <c:v>35 projects</c:v>
                  </c:pt>
                </c15:dlblRangeCache>
              </c15:datalabelsRange>
            </c:ext>
            <c:ext xmlns:c16="http://schemas.microsoft.com/office/drawing/2014/chart" uri="{C3380CC4-5D6E-409C-BE32-E72D297353CC}">
              <c16:uniqueId val="{00000008-4CF2-40A6-AD9B-8E00BFD19474}"/>
            </c:ext>
          </c:extLst>
        </c:ser>
        <c:ser>
          <c:idx val="1"/>
          <c:order val="1"/>
          <c:tx>
            <c:strRef>
              <c:f>'DO.IP FA '!$G$22</c:f>
              <c:strCache>
                <c:ptCount val="1"/>
                <c:pt idx="0">
                  <c:v>Implementation Progress</c:v>
                </c:pt>
              </c:strCache>
            </c:strRef>
          </c:tx>
          <c:spPr>
            <a:solidFill>
              <a:srgbClr val="0E693D"/>
            </a:solidFill>
            <a:ln>
              <a:solidFill>
                <a:schemeClr val="bg1"/>
              </a:solidFill>
            </a:ln>
            <a:effectLst/>
          </c:spPr>
          <c:invertIfNegative val="0"/>
          <c:dLbls>
            <c:dLbl>
              <c:idx val="0"/>
              <c:layout>
                <c:manualLayout>
                  <c:x val="1.9309132968548422E-2"/>
                  <c:y val="5.42299349240780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F2-40A6-AD9B-8E00BFD1947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'DO.IP FA '!$A$23:$A$30</c:f>
              <c:strCache>
                <c:ptCount val="7"/>
                <c:pt idx="1">
                  <c:v>Land Degradation</c:v>
                </c:pt>
                <c:pt idx="2">
                  <c:v>Chemicals &amp; Waste</c:v>
                </c:pt>
                <c:pt idx="3">
                  <c:v>Multi-focal Area</c:v>
                </c:pt>
                <c:pt idx="4">
                  <c:v>Biodiversity</c:v>
                </c:pt>
                <c:pt idx="5">
                  <c:v>Climate Change</c:v>
                </c:pt>
                <c:pt idx="6">
                  <c:v>International Waters</c:v>
                </c:pt>
              </c:strCache>
            </c:strRef>
          </c:cat>
          <c:val>
            <c:numRef>
              <c:f>'DO.IP FA '!$G$23:$G$30</c:f>
              <c:numCache>
                <c:formatCode>0%</c:formatCode>
                <c:ptCount val="8"/>
                <c:pt idx="0">
                  <c:v>0</c:v>
                </c:pt>
                <c:pt idx="1">
                  <c:v>0.91</c:v>
                </c:pt>
                <c:pt idx="2">
                  <c:v>0.86</c:v>
                </c:pt>
                <c:pt idx="3">
                  <c:v>0.84</c:v>
                </c:pt>
                <c:pt idx="4">
                  <c:v>0.84</c:v>
                </c:pt>
                <c:pt idx="5">
                  <c:v>0.8</c:v>
                </c:pt>
                <c:pt idx="6">
                  <c:v>0.71</c:v>
                </c:pt>
              </c:numCache>
            </c:numRef>
          </c:val>
          <c:extLst>
            <c:ext xmlns:c16="http://schemas.microsoft.com/office/drawing/2014/chart" uri="{C3380CC4-5D6E-409C-BE32-E72D297353CC}">
              <c16:uniqueId val="{0000000A-4CF2-40A6-AD9B-8E00BFD19474}"/>
            </c:ext>
          </c:extLst>
        </c:ser>
        <c:ser>
          <c:idx val="2"/>
          <c:order val="2"/>
          <c:tx>
            <c:strRef>
              <c:f>'DO.IP FA '!$H$22</c:f>
              <c:strCache>
                <c:ptCount val="1"/>
                <c:pt idx="0">
                  <c:v>Gray Shading</c:v>
                </c:pt>
              </c:strCache>
            </c:strRef>
          </c:tx>
          <c:spPr>
            <a:solidFill>
              <a:schemeClr val="bg1">
                <a:lumMod val="85000"/>
              </a:schemeClr>
            </a:solidFill>
            <a:ln>
              <a:solidFill>
                <a:schemeClr val="bg1"/>
              </a:solidFill>
            </a:ln>
            <a:effectLst/>
          </c:spPr>
          <c:invertIfNegative val="0"/>
          <c:cat>
            <c:strRef>
              <c:f>'DO.IP FA '!$A$23:$A$30</c:f>
              <c:strCache>
                <c:ptCount val="7"/>
                <c:pt idx="1">
                  <c:v>Land Degradation</c:v>
                </c:pt>
                <c:pt idx="2">
                  <c:v>Chemicals &amp; Waste</c:v>
                </c:pt>
                <c:pt idx="3">
                  <c:v>Multi-focal Area</c:v>
                </c:pt>
                <c:pt idx="4">
                  <c:v>Biodiversity</c:v>
                </c:pt>
                <c:pt idx="5">
                  <c:v>Climate Change</c:v>
                </c:pt>
                <c:pt idx="6">
                  <c:v>International Waters</c:v>
                </c:pt>
              </c:strCache>
            </c:strRef>
          </c:cat>
          <c:val>
            <c:numRef>
              <c:f>'DO.IP FA '!$H$23:$H$30</c:f>
              <c:numCache>
                <c:formatCode>0%</c:formatCode>
                <c:ptCount val="8"/>
                <c:pt idx="0">
                  <c:v>0</c:v>
                </c:pt>
                <c:pt idx="1">
                  <c:v>7.0175438596491224E-2</c:v>
                </c:pt>
                <c:pt idx="2">
                  <c:v>0.12</c:v>
                </c:pt>
                <c:pt idx="3">
                  <c:v>0.15053763440860213</c:v>
                </c:pt>
                <c:pt idx="4">
                  <c:v>0.15384615384615385</c:v>
                </c:pt>
                <c:pt idx="5">
                  <c:v>0.20731707317073167</c:v>
                </c:pt>
                <c:pt idx="6">
                  <c:v>0.25531914893617025</c:v>
                </c:pt>
              </c:numCache>
            </c:numRef>
          </c:val>
          <c:extLst>
            <c:ext xmlns:c16="http://schemas.microsoft.com/office/drawing/2014/chart" uri="{C3380CC4-5D6E-409C-BE32-E72D297353CC}">
              <c16:uniqueId val="{0000000B-4CF2-40A6-AD9B-8E00BFD19474}"/>
            </c:ext>
          </c:extLst>
        </c:ser>
        <c:ser>
          <c:idx val="3"/>
          <c:order val="3"/>
          <c:tx>
            <c:strRef>
              <c:f>'DO.IP FA '!$I$22</c:f>
              <c:strCache>
                <c:ptCount val="1"/>
                <c:pt idx="0">
                  <c:v>White Space</c:v>
                </c:pt>
              </c:strCache>
            </c:strRef>
          </c:tx>
          <c:spPr>
            <a:noFill/>
            <a:ln>
              <a:noFill/>
            </a:ln>
            <a:effectLst/>
          </c:spPr>
          <c:invertIfNegative val="0"/>
          <c:dLbls>
            <c:dLbl>
              <c:idx val="0"/>
              <c:tx>
                <c:rich>
                  <a:bodyPr/>
                  <a:lstStyle/>
                  <a:p>
                    <a:fld id="{19D33F97-C6CF-42B0-936A-C1A05CA0D845}" type="CELLRANGE">
                      <a:rPr lang="en-US" b="1"/>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4CF2-40A6-AD9B-8E00BFD19474}"/>
                </c:ext>
              </c:extLst>
            </c:dLbl>
            <c:dLbl>
              <c:idx val="1"/>
              <c:tx>
                <c:rich>
                  <a:bodyPr/>
                  <a:lstStyle/>
                  <a:p>
                    <a:fld id="{3B3A1F95-6D6D-453D-BC43-422840CC86BA}" type="CELLRANGE">
                      <a:rPr lang="en-CA"/>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4CF2-40A6-AD9B-8E00BFD19474}"/>
                </c:ext>
              </c:extLst>
            </c:dLbl>
            <c:dLbl>
              <c:idx val="2"/>
              <c:tx>
                <c:rich>
                  <a:bodyPr/>
                  <a:lstStyle/>
                  <a:p>
                    <a:fld id="{1356F9C4-F528-4B43-873F-648A80616597}" type="CELLRANGE">
                      <a:rPr lang="en-CA"/>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4CF2-40A6-AD9B-8E00BFD19474}"/>
                </c:ext>
              </c:extLst>
            </c:dLbl>
            <c:dLbl>
              <c:idx val="3"/>
              <c:tx>
                <c:rich>
                  <a:bodyPr/>
                  <a:lstStyle/>
                  <a:p>
                    <a:fld id="{B5DF3200-17E0-4E25-B6FB-4538EAD483F7}" type="CELLRANGE">
                      <a:rPr lang="en-CA"/>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4CF2-40A6-AD9B-8E00BFD19474}"/>
                </c:ext>
              </c:extLst>
            </c:dLbl>
            <c:dLbl>
              <c:idx val="4"/>
              <c:tx>
                <c:rich>
                  <a:bodyPr/>
                  <a:lstStyle/>
                  <a:p>
                    <a:fld id="{A2FF275F-80A0-4E69-AAA9-D7EE1FBF27D3}" type="CELLRANGE">
                      <a:rPr lang="en-CA"/>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4CF2-40A6-AD9B-8E00BFD19474}"/>
                </c:ext>
              </c:extLst>
            </c:dLbl>
            <c:dLbl>
              <c:idx val="5"/>
              <c:tx>
                <c:rich>
                  <a:bodyPr/>
                  <a:lstStyle/>
                  <a:p>
                    <a:fld id="{B861C18A-7CE1-4FC3-A1F2-252D8E56C6A4}" type="CELLRANGE">
                      <a:rPr lang="en-CA"/>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4CF2-40A6-AD9B-8E00BFD19474}"/>
                </c:ext>
              </c:extLst>
            </c:dLbl>
            <c:dLbl>
              <c:idx val="6"/>
              <c:tx>
                <c:rich>
                  <a:bodyPr/>
                  <a:lstStyle/>
                  <a:p>
                    <a:fld id="{36B15039-715E-4A78-AC5A-C3C43D14A01A}" type="CELLRANGE">
                      <a:rPr lang="en-CA"/>
                      <a:pPr/>
                      <a:t>[CELLRANGE]</a:t>
                    </a:fld>
                    <a:endParaRPr lang="en-C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4CF2-40A6-AD9B-8E00BFD19474}"/>
                </c:ext>
              </c:extLst>
            </c:dLbl>
            <c:dLbl>
              <c:idx val="7"/>
              <c:tx>
                <c:rich>
                  <a:bodyPr/>
                  <a:lstStyle/>
                  <a:p>
                    <a:endParaRPr lang="en-US"/>
                  </a:p>
                </c:rich>
              </c:tx>
              <c:dLblPos val="in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CF2-40A6-AD9B-8E00BFD19474}"/>
                </c:ext>
              </c:extLst>
            </c:dLbl>
            <c:spPr>
              <a:noFill/>
              <a:ln>
                <a:noFill/>
              </a:ln>
              <a:effectLst/>
            </c:spPr>
            <c:txPr>
              <a:bodyPr rot="0" spcFirstLastPara="1" vertOverflow="ellipsis" vert="horz" wrap="square" lIns="38100" tIns="19050" rIns="38100" bIns="19050" anchor="ctr" anchorCtr="0">
                <a:spAutoFit/>
              </a:bodyPr>
              <a:lstStyle/>
              <a:p>
                <a:pPr algn="r">
                  <a:defRPr sz="1100" b="0" i="0" u="none" strike="noStrike" kern="1200" baseline="0">
                    <a:solidFill>
                      <a:srgbClr val="0F6CB6"/>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'DO.IP FA '!$A$23:$A$30</c:f>
              <c:strCache>
                <c:ptCount val="7"/>
                <c:pt idx="1">
                  <c:v>Land Degradation</c:v>
                </c:pt>
                <c:pt idx="2">
                  <c:v>Chemicals &amp; Waste</c:v>
                </c:pt>
                <c:pt idx="3">
                  <c:v>Multi-focal Area</c:v>
                </c:pt>
                <c:pt idx="4">
                  <c:v>Biodiversity</c:v>
                </c:pt>
                <c:pt idx="5">
                  <c:v>Climate Change</c:v>
                </c:pt>
                <c:pt idx="6">
                  <c:v>International Waters</c:v>
                </c:pt>
              </c:strCache>
            </c:strRef>
          </c:cat>
          <c:val>
            <c:numRef>
              <c:f>'DO.IP FA '!$I$23:$I$30</c:f>
              <c:numCache>
                <c:formatCode>0%</c:formatCode>
                <c:ptCount val="8"/>
                <c:pt idx="0">
                  <c:v>2.1</c:v>
                </c:pt>
                <c:pt idx="1">
                  <c:v>1</c:v>
                </c:pt>
                <c:pt idx="2">
                  <c:v>1</c:v>
                </c:pt>
                <c:pt idx="3">
                  <c:v>1</c:v>
                </c:pt>
                <c:pt idx="4">
                  <c:v>1</c:v>
                </c:pt>
                <c:pt idx="5">
                  <c:v>1</c:v>
                </c:pt>
                <c:pt idx="6">
                  <c:v>1</c:v>
                </c:pt>
              </c:numCache>
            </c:numRef>
          </c:val>
          <c:extLst>
            <c:ext xmlns:c15="http://schemas.microsoft.com/office/drawing/2012/chart" uri="{02D57815-91ED-43cb-92C2-25804820EDAC}">
              <c15:datalabelsRange>
                <c15:f>'DO.IP FA '!$E$23:$E$30</c15:f>
                <c15:dlblRangeCache>
                  <c:ptCount val="8"/>
                  <c:pt idx="1">
                    <c:v>52 projects</c:v>
                  </c:pt>
                  <c:pt idx="2">
                    <c:v>81 projects</c:v>
                  </c:pt>
                  <c:pt idx="3">
                    <c:v>170 projects</c:v>
                  </c:pt>
                  <c:pt idx="4">
                    <c:v>161 projects</c:v>
                  </c:pt>
                  <c:pt idx="5">
                    <c:v>215 projects</c:v>
                  </c:pt>
                  <c:pt idx="6">
                    <c:v>37 projects</c:v>
                  </c:pt>
                </c15:dlblRangeCache>
              </c15:datalabelsRange>
            </c:ext>
            <c:ext xmlns:c16="http://schemas.microsoft.com/office/drawing/2014/chart" uri="{C3380CC4-5D6E-409C-BE32-E72D297353CC}">
              <c16:uniqueId val="{00000014-4CF2-40A6-AD9B-8E00BFD19474}"/>
            </c:ext>
          </c:extLst>
        </c:ser>
        <c:ser>
          <c:idx val="4"/>
          <c:order val="4"/>
          <c:tx>
            <c:strRef>
              <c:f>'DO.IP FA '!$J$22</c:f>
              <c:strCache>
                <c:ptCount val="1"/>
                <c:pt idx="0">
                  <c:v>Development Objective</c:v>
                </c:pt>
              </c:strCache>
            </c:strRef>
          </c:tx>
          <c:spPr>
            <a:solidFill>
              <a:srgbClr val="0F6CB6"/>
            </a:solidFill>
            <a:ln>
              <a:solidFill>
                <a:schemeClr val="bg1"/>
              </a:solidFill>
            </a:ln>
            <a:effectLst/>
          </c:spPr>
          <c:invertIfNegative val="0"/>
          <c:dLbls>
            <c:dLbl>
              <c:idx val="0"/>
              <c:layout>
                <c:manualLayout>
                  <c:x val="-3.0125895280039235E-2"/>
                  <c:y val="8.3152566883586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CF2-40A6-AD9B-8E00BFD1947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'DO.IP FA '!$A$23:$A$30</c:f>
              <c:strCache>
                <c:ptCount val="7"/>
                <c:pt idx="1">
                  <c:v>Land Degradation</c:v>
                </c:pt>
                <c:pt idx="2">
                  <c:v>Chemicals &amp; Waste</c:v>
                </c:pt>
                <c:pt idx="3">
                  <c:v>Multi-focal Area</c:v>
                </c:pt>
                <c:pt idx="4">
                  <c:v>Biodiversity</c:v>
                </c:pt>
                <c:pt idx="5">
                  <c:v>Climate Change</c:v>
                </c:pt>
                <c:pt idx="6">
                  <c:v>International Waters</c:v>
                </c:pt>
              </c:strCache>
            </c:strRef>
          </c:cat>
          <c:val>
            <c:numRef>
              <c:f>'DO.IP FA '!$J$23:$J$30</c:f>
              <c:numCache>
                <c:formatCode>0%</c:formatCode>
                <c:ptCount val="8"/>
                <c:pt idx="0">
                  <c:v>0</c:v>
                </c:pt>
                <c:pt idx="1">
                  <c:v>0.94</c:v>
                </c:pt>
                <c:pt idx="2">
                  <c:v>0.93</c:v>
                </c:pt>
                <c:pt idx="3">
                  <c:v>0.9</c:v>
                </c:pt>
                <c:pt idx="4">
                  <c:v>0.84</c:v>
                </c:pt>
                <c:pt idx="5">
                  <c:v>0.87</c:v>
                </c:pt>
                <c:pt idx="6">
                  <c:v>0.8</c:v>
                </c:pt>
              </c:numCache>
            </c:numRef>
          </c:val>
          <c:extLst>
            <c:ext xmlns:c16="http://schemas.microsoft.com/office/drawing/2014/chart" uri="{C3380CC4-5D6E-409C-BE32-E72D297353CC}">
              <c16:uniqueId val="{00000016-4CF2-40A6-AD9B-8E00BFD19474}"/>
            </c:ext>
          </c:extLst>
        </c:ser>
        <c:ser>
          <c:idx val="5"/>
          <c:order val="5"/>
          <c:tx>
            <c:strRef>
              <c:f>'DO.IP FA '!$K$22</c:f>
              <c:strCache>
                <c:ptCount val="1"/>
                <c:pt idx="0">
                  <c:v>Gray Shading</c:v>
                </c:pt>
              </c:strCache>
            </c:strRef>
          </c:tx>
          <c:spPr>
            <a:solidFill>
              <a:schemeClr val="bg1">
                <a:lumMod val="85000"/>
              </a:schemeClr>
            </a:solidFill>
            <a:ln>
              <a:solidFill>
                <a:schemeClr val="bg1"/>
              </a:solidFill>
            </a:ln>
            <a:effectLst/>
          </c:spPr>
          <c:invertIfNegative val="0"/>
          <c:cat>
            <c:strRef>
              <c:f>'DO.IP FA '!$A$23:$A$30</c:f>
              <c:strCache>
                <c:ptCount val="7"/>
                <c:pt idx="1">
                  <c:v>Land Degradation</c:v>
                </c:pt>
                <c:pt idx="2">
                  <c:v>Chemicals &amp; Waste</c:v>
                </c:pt>
                <c:pt idx="3">
                  <c:v>Multi-focal Area</c:v>
                </c:pt>
                <c:pt idx="4">
                  <c:v>Biodiversity</c:v>
                </c:pt>
                <c:pt idx="5">
                  <c:v>Climate Change</c:v>
                </c:pt>
                <c:pt idx="6">
                  <c:v>International Waters</c:v>
                </c:pt>
              </c:strCache>
            </c:strRef>
          </c:cat>
          <c:val>
            <c:numRef>
              <c:f>'DO.IP FA '!$K$23:$K$30</c:f>
              <c:numCache>
                <c:formatCode>0%</c:formatCode>
                <c:ptCount val="8"/>
                <c:pt idx="0">
                  <c:v>0</c:v>
                </c:pt>
                <c:pt idx="1">
                  <c:v>8.7719298245614086E-2</c:v>
                </c:pt>
                <c:pt idx="2">
                  <c:v>0</c:v>
                </c:pt>
                <c:pt idx="3">
                  <c:v>8.6021505376344121E-2</c:v>
                </c:pt>
                <c:pt idx="4">
                  <c:v>0.11538461538461542</c:v>
                </c:pt>
                <c:pt idx="5">
                  <c:v>0.12601626016260159</c:v>
                </c:pt>
                <c:pt idx="6">
                  <c:v>0.21276595744680848</c:v>
                </c:pt>
              </c:numCache>
            </c:numRef>
          </c:val>
          <c:extLst>
            <c:ext xmlns:c16="http://schemas.microsoft.com/office/drawing/2014/chart" uri="{C3380CC4-5D6E-409C-BE32-E72D297353CC}">
              <c16:uniqueId val="{00000017-4CF2-40A6-AD9B-8E00BFD19474}"/>
            </c:ext>
          </c:extLst>
        </c:ser>
        <c:dLbls>
          <c:showLegendKey val="0"/>
          <c:showVal val="0"/>
          <c:showCatName val="0"/>
          <c:showSerName val="0"/>
          <c:showPercent val="0"/>
          <c:showBubbleSize val="0"/>
        </c:dLbls>
        <c:gapWidth val="40"/>
        <c:overlap val="100"/>
        <c:axId val="104954840"/>
        <c:axId val="104955232"/>
      </c:barChart>
      <c:catAx>
        <c:axId val="104954840"/>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crossAx val="104955232"/>
        <c:crosses val="autoZero"/>
        <c:auto val="1"/>
        <c:lblAlgn val="ctr"/>
        <c:lblOffset val="100"/>
        <c:noMultiLvlLbl val="0"/>
      </c:catAx>
      <c:valAx>
        <c:axId val="104955232"/>
        <c:scaling>
          <c:orientation val="minMax"/>
          <c:max val="3.8"/>
          <c:min val="0"/>
        </c:scaling>
        <c:delete val="1"/>
        <c:axPos val="t"/>
        <c:numFmt formatCode="0%" sourceLinked="1"/>
        <c:majorTickMark val="out"/>
        <c:minorTickMark val="none"/>
        <c:tickLblPos val="nextTo"/>
        <c:crossAx val="104954840"/>
        <c:crosses val="autoZero"/>
        <c:crossBetween val="between"/>
        <c:majorUnit val="2.8"/>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Implementation Progress</a:t>
            </a:r>
          </a:p>
          <a:p>
            <a:pPr>
              <a:defRPr/>
            </a:pPr>
            <a:r>
              <a:rPr lang="en-US" sz="1100"/>
              <a:t>(82%</a:t>
            </a:r>
            <a:r>
              <a:rPr lang="en-US" sz="1100" baseline="0"/>
              <a:t> rated as Moderately Satisfactory or better)</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1"/>
          <c:order val="1"/>
          <c:tx>
            <c:strRef>
              <c:f>Sheet1!$C$11</c:f>
              <c:strCache>
                <c:ptCount val="1"/>
                <c:pt idx="0">
                  <c:v>Implementation Progress</c:v>
                </c:pt>
              </c:strCache>
            </c:strRef>
          </c:tx>
          <c:spPr>
            <a:ln w="3175"/>
          </c:spPr>
          <c:dPt>
            <c:idx val="0"/>
            <c:bubble3D val="0"/>
            <c:spPr>
              <a:solidFill>
                <a:schemeClr val="accent6">
                  <a:lumMod val="50000"/>
                </a:schemeClr>
              </a:solidFill>
              <a:ln w="3175">
                <a:solidFill>
                  <a:schemeClr val="lt1"/>
                </a:solidFill>
              </a:ln>
              <a:effectLst/>
            </c:spPr>
            <c:extLst>
              <c:ext xmlns:c16="http://schemas.microsoft.com/office/drawing/2014/chart" uri="{C3380CC4-5D6E-409C-BE32-E72D297353CC}">
                <c16:uniqueId val="{00000001-F60E-4790-8BA3-5B4A1CDC96A3}"/>
              </c:ext>
            </c:extLst>
          </c:dPt>
          <c:dPt>
            <c:idx val="1"/>
            <c:bubble3D val="0"/>
            <c:spPr>
              <a:solidFill>
                <a:schemeClr val="accent6">
                  <a:lumMod val="75000"/>
                </a:schemeClr>
              </a:solidFill>
              <a:ln w="3175">
                <a:solidFill>
                  <a:schemeClr val="lt1"/>
                </a:solidFill>
              </a:ln>
              <a:effectLst/>
            </c:spPr>
            <c:extLst>
              <c:ext xmlns:c16="http://schemas.microsoft.com/office/drawing/2014/chart" uri="{C3380CC4-5D6E-409C-BE32-E72D297353CC}">
                <c16:uniqueId val="{00000003-F60E-4790-8BA3-5B4A1CDC96A3}"/>
              </c:ext>
            </c:extLst>
          </c:dPt>
          <c:dPt>
            <c:idx val="2"/>
            <c:bubble3D val="0"/>
            <c:spPr>
              <a:solidFill>
                <a:schemeClr val="accent6">
                  <a:lumMod val="60000"/>
                  <a:lumOff val="40000"/>
                </a:schemeClr>
              </a:solidFill>
              <a:ln w="3175">
                <a:solidFill>
                  <a:schemeClr val="lt1"/>
                </a:solidFill>
              </a:ln>
              <a:effectLst/>
            </c:spPr>
            <c:extLst>
              <c:ext xmlns:c16="http://schemas.microsoft.com/office/drawing/2014/chart" uri="{C3380CC4-5D6E-409C-BE32-E72D297353CC}">
                <c16:uniqueId val="{00000005-F60E-4790-8BA3-5B4A1CDC96A3}"/>
              </c:ext>
            </c:extLst>
          </c:dPt>
          <c:dPt>
            <c:idx val="3"/>
            <c:bubble3D val="0"/>
            <c:spPr>
              <a:solidFill>
                <a:schemeClr val="accent1">
                  <a:lumMod val="60000"/>
                  <a:lumOff val="40000"/>
                </a:schemeClr>
              </a:solidFill>
              <a:ln w="3175">
                <a:solidFill>
                  <a:schemeClr val="lt1"/>
                </a:solidFill>
              </a:ln>
              <a:effectLst/>
            </c:spPr>
            <c:extLst>
              <c:ext xmlns:c16="http://schemas.microsoft.com/office/drawing/2014/chart" uri="{C3380CC4-5D6E-409C-BE32-E72D297353CC}">
                <c16:uniqueId val="{00000007-F60E-4790-8BA3-5B4A1CDC96A3}"/>
              </c:ext>
            </c:extLst>
          </c:dPt>
          <c:dPt>
            <c:idx val="4"/>
            <c:bubble3D val="0"/>
            <c:spPr>
              <a:solidFill>
                <a:schemeClr val="accent1">
                  <a:lumMod val="75000"/>
                </a:schemeClr>
              </a:solidFill>
              <a:ln w="3175">
                <a:solidFill>
                  <a:schemeClr val="lt1"/>
                </a:solidFill>
              </a:ln>
              <a:effectLst/>
            </c:spPr>
            <c:extLst>
              <c:ext xmlns:c16="http://schemas.microsoft.com/office/drawing/2014/chart" uri="{C3380CC4-5D6E-409C-BE32-E72D297353CC}">
                <c16:uniqueId val="{00000009-F60E-4790-8BA3-5B4A1CDC96A3}"/>
              </c:ext>
            </c:extLst>
          </c:dPt>
          <c:dPt>
            <c:idx val="5"/>
            <c:bubble3D val="0"/>
            <c:spPr>
              <a:solidFill>
                <a:schemeClr val="accent1">
                  <a:lumMod val="50000"/>
                </a:schemeClr>
              </a:solidFill>
              <a:ln w="3175">
                <a:solidFill>
                  <a:schemeClr val="lt1"/>
                </a:solidFill>
              </a:ln>
              <a:effectLst/>
            </c:spPr>
            <c:extLst>
              <c:ext xmlns:c16="http://schemas.microsoft.com/office/drawing/2014/chart" uri="{C3380CC4-5D6E-409C-BE32-E72D297353CC}">
                <c16:uniqueId val="{0000000B-F60E-4790-8BA3-5B4A1CDC96A3}"/>
              </c:ext>
            </c:extLst>
          </c:dPt>
          <c:cat>
            <c:strRef>
              <c:f>Sheet1!$A$12:$A$17</c:f>
              <c:strCache>
                <c:ptCount val="6"/>
                <c:pt idx="0">
                  <c:v>Highly Satisfactory (5%)</c:v>
                </c:pt>
                <c:pt idx="1">
                  <c:v>Satisfactory (46%)</c:v>
                </c:pt>
                <c:pt idx="2">
                  <c:v>Moderately Satisfactory (31%)</c:v>
                </c:pt>
                <c:pt idx="3">
                  <c:v>Moderately Unsatisfactory (12%)</c:v>
                </c:pt>
                <c:pt idx="4">
                  <c:v>Unsatisfactory (5%)</c:v>
                </c:pt>
                <c:pt idx="5">
                  <c:v>Highly Unsatisfactory (1%)</c:v>
                </c:pt>
              </c:strCache>
            </c:strRef>
          </c:cat>
          <c:val>
            <c:numRef>
              <c:f>Sheet1!$C$12:$C$17</c:f>
              <c:numCache>
                <c:formatCode>0%</c:formatCode>
                <c:ptCount val="6"/>
                <c:pt idx="0">
                  <c:v>4.7619047619047616E-2</c:v>
                </c:pt>
                <c:pt idx="1">
                  <c:v>0.46218487394957986</c:v>
                </c:pt>
                <c:pt idx="2">
                  <c:v>0.31092436974789917</c:v>
                </c:pt>
                <c:pt idx="3">
                  <c:v>0.11764705882352941</c:v>
                </c:pt>
                <c:pt idx="4">
                  <c:v>5.3221288515406161E-2</c:v>
                </c:pt>
                <c:pt idx="5">
                  <c:v>8.4033613445378148E-3</c:v>
                </c:pt>
              </c:numCache>
            </c:numRef>
          </c:val>
          <c:extLst>
            <c:ext xmlns:c16="http://schemas.microsoft.com/office/drawing/2014/chart" uri="{C3380CC4-5D6E-409C-BE32-E72D297353CC}">
              <c16:uniqueId val="{0000000C-F60E-4790-8BA3-5B4A1CDC96A3}"/>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Sheet1!$B$11</c15:sqref>
                        </c15:formulaRef>
                      </c:ext>
                    </c:extLst>
                    <c:strCache>
                      <c:ptCount val="1"/>
                      <c:pt idx="0">
                        <c:v>Development Objective </c:v>
                      </c:pt>
                    </c:strCache>
                  </c:strRef>
                </c:tx>
                <c:spPr>
                  <a:ln w="3175"/>
                </c:spPr>
                <c:dPt>
                  <c:idx val="0"/>
                  <c:bubble3D val="0"/>
                  <c:spPr>
                    <a:solidFill>
                      <a:schemeClr val="accent6">
                        <a:lumMod val="50000"/>
                      </a:schemeClr>
                    </a:solidFill>
                    <a:ln w="3175">
                      <a:solidFill>
                        <a:schemeClr val="lt1"/>
                      </a:solidFill>
                    </a:ln>
                    <a:effectLst/>
                  </c:spPr>
                  <c:extLst>
                    <c:ext xmlns:c16="http://schemas.microsoft.com/office/drawing/2014/chart" uri="{C3380CC4-5D6E-409C-BE32-E72D297353CC}">
                      <c16:uniqueId val="{0000000E-F60E-4790-8BA3-5B4A1CDC96A3}"/>
                    </c:ext>
                  </c:extLst>
                </c:dPt>
                <c:dPt>
                  <c:idx val="1"/>
                  <c:bubble3D val="0"/>
                  <c:spPr>
                    <a:solidFill>
                      <a:schemeClr val="accent6">
                        <a:lumMod val="75000"/>
                      </a:schemeClr>
                    </a:solidFill>
                    <a:ln w="3175">
                      <a:solidFill>
                        <a:schemeClr val="lt1"/>
                      </a:solidFill>
                    </a:ln>
                    <a:effectLst/>
                  </c:spPr>
                  <c:extLst>
                    <c:ext xmlns:c16="http://schemas.microsoft.com/office/drawing/2014/chart" uri="{C3380CC4-5D6E-409C-BE32-E72D297353CC}">
                      <c16:uniqueId val="{00000010-F60E-4790-8BA3-5B4A1CDC96A3}"/>
                    </c:ext>
                  </c:extLst>
                </c:dPt>
                <c:dPt>
                  <c:idx val="2"/>
                  <c:bubble3D val="0"/>
                  <c:spPr>
                    <a:solidFill>
                      <a:schemeClr val="accent6">
                        <a:lumMod val="60000"/>
                        <a:lumOff val="40000"/>
                      </a:schemeClr>
                    </a:solidFill>
                    <a:ln w="3175">
                      <a:solidFill>
                        <a:schemeClr val="lt1"/>
                      </a:solidFill>
                    </a:ln>
                    <a:effectLst/>
                  </c:spPr>
                  <c:extLst>
                    <c:ext xmlns:c16="http://schemas.microsoft.com/office/drawing/2014/chart" uri="{C3380CC4-5D6E-409C-BE32-E72D297353CC}">
                      <c16:uniqueId val="{00000012-F60E-4790-8BA3-5B4A1CDC96A3}"/>
                    </c:ext>
                  </c:extLst>
                </c:dPt>
                <c:dPt>
                  <c:idx val="3"/>
                  <c:bubble3D val="0"/>
                  <c:spPr>
                    <a:solidFill>
                      <a:schemeClr val="accent1">
                        <a:lumMod val="60000"/>
                        <a:lumOff val="40000"/>
                      </a:schemeClr>
                    </a:solidFill>
                    <a:ln w="3175">
                      <a:solidFill>
                        <a:schemeClr val="lt1"/>
                      </a:solidFill>
                    </a:ln>
                    <a:effectLst/>
                  </c:spPr>
                  <c:extLst>
                    <c:ext xmlns:c16="http://schemas.microsoft.com/office/drawing/2014/chart" uri="{C3380CC4-5D6E-409C-BE32-E72D297353CC}">
                      <c16:uniqueId val="{00000014-F60E-4790-8BA3-5B4A1CDC96A3}"/>
                    </c:ext>
                  </c:extLst>
                </c:dPt>
                <c:dPt>
                  <c:idx val="4"/>
                  <c:bubble3D val="0"/>
                  <c:spPr>
                    <a:solidFill>
                      <a:schemeClr val="accent1">
                        <a:lumMod val="75000"/>
                      </a:schemeClr>
                    </a:solidFill>
                    <a:ln w="3175">
                      <a:solidFill>
                        <a:schemeClr val="lt1"/>
                      </a:solidFill>
                    </a:ln>
                    <a:effectLst/>
                  </c:spPr>
                  <c:extLst>
                    <c:ext xmlns:c16="http://schemas.microsoft.com/office/drawing/2014/chart" uri="{C3380CC4-5D6E-409C-BE32-E72D297353CC}">
                      <c16:uniqueId val="{00000016-F60E-4790-8BA3-5B4A1CDC96A3}"/>
                    </c:ext>
                  </c:extLst>
                </c:dPt>
                <c:dPt>
                  <c:idx val="5"/>
                  <c:bubble3D val="0"/>
                  <c:spPr>
                    <a:solidFill>
                      <a:schemeClr val="accent1">
                        <a:lumMod val="50000"/>
                      </a:schemeClr>
                    </a:solidFill>
                    <a:ln w="3175">
                      <a:solidFill>
                        <a:schemeClr val="lt1"/>
                      </a:solidFill>
                    </a:ln>
                    <a:effectLst/>
                  </c:spPr>
                  <c:extLst>
                    <c:ext xmlns:c16="http://schemas.microsoft.com/office/drawing/2014/chart" uri="{C3380CC4-5D6E-409C-BE32-E72D297353CC}">
                      <c16:uniqueId val="{00000018-F60E-4790-8BA3-5B4A1CDC96A3}"/>
                    </c:ext>
                  </c:extLst>
                </c:dPt>
                <c:cat>
                  <c:strRef>
                    <c:extLst>
                      <c:ext uri="{02D57815-91ED-43cb-92C2-25804820EDAC}">
                        <c15:formulaRef>
                          <c15:sqref>Sheet1!$A$12:$A$17</c15:sqref>
                        </c15:formulaRef>
                      </c:ext>
                    </c:extLst>
                    <c:strCache>
                      <c:ptCount val="6"/>
                      <c:pt idx="0">
                        <c:v>Highly Satisfactory (5%)</c:v>
                      </c:pt>
                      <c:pt idx="1">
                        <c:v>Satisfactory (46%)</c:v>
                      </c:pt>
                      <c:pt idx="2">
                        <c:v>Moderately Satisfactory (31%)</c:v>
                      </c:pt>
                      <c:pt idx="3">
                        <c:v>Moderately Unsatisfactory (12%)</c:v>
                      </c:pt>
                      <c:pt idx="4">
                        <c:v>Unsatisfactory (5%)</c:v>
                      </c:pt>
                      <c:pt idx="5">
                        <c:v>Highly Unsatisfactory (1%)</c:v>
                      </c:pt>
                    </c:strCache>
                  </c:strRef>
                </c:cat>
                <c:val>
                  <c:numRef>
                    <c:extLst>
                      <c:ext uri="{02D57815-91ED-43cb-92C2-25804820EDAC}">
                        <c15:formulaRef>
                          <c15:sqref>Sheet1!$B$12:$B$17</c15:sqref>
                        </c15:formulaRef>
                      </c:ext>
                    </c:extLst>
                    <c:numCache>
                      <c:formatCode>0%</c:formatCode>
                      <c:ptCount val="6"/>
                      <c:pt idx="0">
                        <c:v>5.3221288515406161E-2</c:v>
                      </c:pt>
                      <c:pt idx="1">
                        <c:v>0.49859943977591037</c:v>
                      </c:pt>
                      <c:pt idx="2">
                        <c:v>0.30252100840336132</c:v>
                      </c:pt>
                      <c:pt idx="3">
                        <c:v>0.11764705882352941</c:v>
                      </c:pt>
                      <c:pt idx="4">
                        <c:v>2.2408963585434174E-2</c:v>
                      </c:pt>
                      <c:pt idx="5">
                        <c:v>5.6022408963585435E-3</c:v>
                      </c:pt>
                    </c:numCache>
                  </c:numRef>
                </c:val>
                <c:extLst>
                  <c:ext xmlns:c16="http://schemas.microsoft.com/office/drawing/2014/chart" uri="{C3380CC4-5D6E-409C-BE32-E72D297353CC}">
                    <c16:uniqueId val="{00000019-F60E-4790-8BA3-5B4A1CDC96A3}"/>
                  </c:ext>
                </c:extLst>
              </c15:ser>
            </c15:filteredPieSeries>
          </c:ext>
        </c:extLst>
      </c:pieChart>
      <c:spPr>
        <a:noFill/>
        <a:ln>
          <a:noFill/>
        </a:ln>
        <a:effectLst/>
      </c:spPr>
    </c:plotArea>
    <c:legend>
      <c:legendPos val="r"/>
      <c:layout>
        <c:manualLayout>
          <c:xMode val="edge"/>
          <c:yMode val="edge"/>
          <c:x val="0.56500528851803977"/>
          <c:y val="0.33687672117908335"/>
          <c:w val="0.38612684608453796"/>
          <c:h val="0.44538760347264283"/>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Achieve</a:t>
            </a:r>
            <a:r>
              <a:rPr lang="en-US" baseline="0"/>
              <a:t>ment of the </a:t>
            </a:r>
            <a:r>
              <a:rPr lang="en-US"/>
              <a:t>Development Objective(s)</a:t>
            </a:r>
          </a:p>
          <a:p>
            <a:pPr>
              <a:defRPr/>
            </a:pPr>
            <a:r>
              <a:rPr lang="en-US" sz="1100"/>
              <a:t>(85% rated as Moderately</a:t>
            </a:r>
            <a:r>
              <a:rPr lang="en-US" sz="1100" baseline="0"/>
              <a:t> Satisfactory or better)</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Sheet1!$B$20</c:f>
              <c:strCache>
                <c:ptCount val="1"/>
                <c:pt idx="0">
                  <c:v>Development Objective </c:v>
                </c:pt>
              </c:strCache>
            </c:strRef>
          </c:tx>
          <c:spPr>
            <a:ln w="3175"/>
          </c:spPr>
          <c:dPt>
            <c:idx val="0"/>
            <c:bubble3D val="0"/>
            <c:spPr>
              <a:solidFill>
                <a:schemeClr val="accent6">
                  <a:lumMod val="50000"/>
                </a:schemeClr>
              </a:solidFill>
              <a:ln w="3175">
                <a:solidFill>
                  <a:schemeClr val="lt1"/>
                </a:solidFill>
              </a:ln>
              <a:effectLst/>
            </c:spPr>
            <c:extLst>
              <c:ext xmlns:c16="http://schemas.microsoft.com/office/drawing/2014/chart" uri="{C3380CC4-5D6E-409C-BE32-E72D297353CC}">
                <c16:uniqueId val="{00000001-B6F0-43AD-9CA4-4537735A3176}"/>
              </c:ext>
            </c:extLst>
          </c:dPt>
          <c:dPt>
            <c:idx val="1"/>
            <c:bubble3D val="0"/>
            <c:spPr>
              <a:solidFill>
                <a:schemeClr val="accent6">
                  <a:lumMod val="75000"/>
                </a:schemeClr>
              </a:solidFill>
              <a:ln w="3175">
                <a:solidFill>
                  <a:schemeClr val="lt1"/>
                </a:solidFill>
              </a:ln>
              <a:effectLst/>
            </c:spPr>
            <c:extLst>
              <c:ext xmlns:c16="http://schemas.microsoft.com/office/drawing/2014/chart" uri="{C3380CC4-5D6E-409C-BE32-E72D297353CC}">
                <c16:uniqueId val="{00000003-B6F0-43AD-9CA4-4537735A3176}"/>
              </c:ext>
            </c:extLst>
          </c:dPt>
          <c:dPt>
            <c:idx val="2"/>
            <c:bubble3D val="0"/>
            <c:spPr>
              <a:solidFill>
                <a:schemeClr val="accent6">
                  <a:lumMod val="60000"/>
                  <a:lumOff val="40000"/>
                </a:schemeClr>
              </a:solidFill>
              <a:ln w="3175">
                <a:solidFill>
                  <a:schemeClr val="lt1"/>
                </a:solidFill>
              </a:ln>
              <a:effectLst/>
            </c:spPr>
            <c:extLst>
              <c:ext xmlns:c16="http://schemas.microsoft.com/office/drawing/2014/chart" uri="{C3380CC4-5D6E-409C-BE32-E72D297353CC}">
                <c16:uniqueId val="{00000005-B6F0-43AD-9CA4-4537735A3176}"/>
              </c:ext>
            </c:extLst>
          </c:dPt>
          <c:dPt>
            <c:idx val="3"/>
            <c:bubble3D val="0"/>
            <c:spPr>
              <a:solidFill>
                <a:schemeClr val="accent1">
                  <a:lumMod val="60000"/>
                  <a:lumOff val="40000"/>
                </a:schemeClr>
              </a:solidFill>
              <a:ln w="3175">
                <a:solidFill>
                  <a:schemeClr val="lt1"/>
                </a:solidFill>
              </a:ln>
              <a:effectLst/>
            </c:spPr>
            <c:extLst>
              <c:ext xmlns:c16="http://schemas.microsoft.com/office/drawing/2014/chart" uri="{C3380CC4-5D6E-409C-BE32-E72D297353CC}">
                <c16:uniqueId val="{00000007-B6F0-43AD-9CA4-4537735A3176}"/>
              </c:ext>
            </c:extLst>
          </c:dPt>
          <c:dPt>
            <c:idx val="4"/>
            <c:bubble3D val="0"/>
            <c:spPr>
              <a:solidFill>
                <a:schemeClr val="accent1">
                  <a:lumMod val="75000"/>
                </a:schemeClr>
              </a:solidFill>
              <a:ln w="3175">
                <a:solidFill>
                  <a:schemeClr val="lt1"/>
                </a:solidFill>
              </a:ln>
              <a:effectLst/>
            </c:spPr>
            <c:extLst>
              <c:ext xmlns:c16="http://schemas.microsoft.com/office/drawing/2014/chart" uri="{C3380CC4-5D6E-409C-BE32-E72D297353CC}">
                <c16:uniqueId val="{00000009-B6F0-43AD-9CA4-4537735A3176}"/>
              </c:ext>
            </c:extLst>
          </c:dPt>
          <c:dPt>
            <c:idx val="5"/>
            <c:bubble3D val="0"/>
            <c:spPr>
              <a:solidFill>
                <a:schemeClr val="accent1">
                  <a:lumMod val="50000"/>
                </a:schemeClr>
              </a:solidFill>
              <a:ln w="3175">
                <a:solidFill>
                  <a:schemeClr val="lt1"/>
                </a:solidFill>
              </a:ln>
              <a:effectLst/>
            </c:spPr>
            <c:extLst>
              <c:ext xmlns:c16="http://schemas.microsoft.com/office/drawing/2014/chart" uri="{C3380CC4-5D6E-409C-BE32-E72D297353CC}">
                <c16:uniqueId val="{0000000B-B6F0-43AD-9CA4-4537735A3176}"/>
              </c:ext>
            </c:extLst>
          </c:dPt>
          <c:cat>
            <c:strRef>
              <c:f>Sheet1!$A$21:$A$26</c:f>
              <c:strCache>
                <c:ptCount val="6"/>
                <c:pt idx="0">
                  <c:v>Highly Satisfactory (5%)</c:v>
                </c:pt>
                <c:pt idx="1">
                  <c:v>Satisfactory (50%)</c:v>
                </c:pt>
                <c:pt idx="2">
                  <c:v>Moderately Satisfactory (30%)</c:v>
                </c:pt>
                <c:pt idx="3">
                  <c:v>Moderately Unsatisfactory (12%)</c:v>
                </c:pt>
                <c:pt idx="4">
                  <c:v>Unsatisfactory (2%)</c:v>
                </c:pt>
                <c:pt idx="5">
                  <c:v>Highly Unsatisfactory (1%)</c:v>
                </c:pt>
              </c:strCache>
            </c:strRef>
          </c:cat>
          <c:val>
            <c:numRef>
              <c:f>Sheet1!$B$21:$B$26</c:f>
              <c:numCache>
                <c:formatCode>0%</c:formatCode>
                <c:ptCount val="6"/>
                <c:pt idx="0">
                  <c:v>5.3221288515406161E-2</c:v>
                </c:pt>
                <c:pt idx="1">
                  <c:v>0.49859943977591037</c:v>
                </c:pt>
                <c:pt idx="2">
                  <c:v>0.30252100840336132</c:v>
                </c:pt>
                <c:pt idx="3">
                  <c:v>0.11764705882352941</c:v>
                </c:pt>
                <c:pt idx="4">
                  <c:v>2.2408963585434174E-2</c:v>
                </c:pt>
                <c:pt idx="5">
                  <c:v>5.6022408963585435E-3</c:v>
                </c:pt>
              </c:numCache>
            </c:numRef>
          </c:val>
          <c:extLst>
            <c:ext xmlns:c16="http://schemas.microsoft.com/office/drawing/2014/chart" uri="{C3380CC4-5D6E-409C-BE32-E72D297353CC}">
              <c16:uniqueId val="{0000000C-B6F0-43AD-9CA4-4537735A317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0549866331643598"/>
          <c:y val="0.35153427019978301"/>
          <c:w val="0.33760585121664988"/>
          <c:h val="0.400002737435172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GEF-3</c:v>
                </c:pt>
                <c:pt idx="1">
                  <c:v>GEF-4</c:v>
                </c:pt>
                <c:pt idx="2">
                  <c:v>GEF-5</c:v>
                </c:pt>
                <c:pt idx="3">
                  <c:v>GEF-6</c:v>
                </c:pt>
              </c:strCache>
            </c:strRef>
          </c:cat>
          <c:val>
            <c:numRef>
              <c:f>Sheet1!$B$1:$B$4</c:f>
              <c:numCache>
                <c:formatCode>0.0</c:formatCode>
                <c:ptCount val="4"/>
                <c:pt idx="0">
                  <c:v>5.79</c:v>
                </c:pt>
                <c:pt idx="1">
                  <c:v>6.11</c:v>
                </c:pt>
                <c:pt idx="2">
                  <c:v>8.32</c:v>
                </c:pt>
                <c:pt idx="3">
                  <c:v>9.31</c:v>
                </c:pt>
              </c:numCache>
            </c:numRef>
          </c:val>
          <c:extLst>
            <c:ext xmlns:c16="http://schemas.microsoft.com/office/drawing/2014/chart" uri="{C3380CC4-5D6E-409C-BE32-E72D297353CC}">
              <c16:uniqueId val="{00000000-9432-4378-88D7-B5E9F923E7E8}"/>
            </c:ext>
          </c:extLst>
        </c:ser>
        <c:dLbls>
          <c:showLegendKey val="0"/>
          <c:showVal val="0"/>
          <c:showCatName val="0"/>
          <c:showSerName val="0"/>
          <c:showPercent val="0"/>
          <c:showBubbleSize val="0"/>
        </c:dLbls>
        <c:gapWidth val="80"/>
        <c:overlap val="-27"/>
        <c:axId val="1577766879"/>
        <c:axId val="1578158111"/>
      </c:barChart>
      <c:catAx>
        <c:axId val="1577766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158111"/>
        <c:crosses val="autoZero"/>
        <c:auto val="1"/>
        <c:lblAlgn val="ctr"/>
        <c:lblOffset val="100"/>
        <c:noMultiLvlLbl val="0"/>
      </c:catAx>
      <c:valAx>
        <c:axId val="1578158111"/>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7668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'C:\Users\wb331348\OneDrive - WBG\PPO\monitoring report\[FY19 DATA FINAL_Monitoring Report Working File v_3.xlsx]COFIN FA'!$C$13</c:f>
              <c:strCache>
                <c:ptCount val="1"/>
                <c:pt idx="0">
                  <c:v>co-fin ratio</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'[1]COFIN FA'!$A$14:$A$19</c:f>
              <c:strCache>
                <c:ptCount val="6"/>
                <c:pt idx="0">
                  <c:v>Biodiversity</c:v>
                </c:pt>
                <c:pt idx="1">
                  <c:v>Chemicals and Waste</c:v>
                </c:pt>
                <c:pt idx="2">
                  <c:v>Climate Change</c:v>
                </c:pt>
                <c:pt idx="3">
                  <c:v>International Waters</c:v>
                </c:pt>
                <c:pt idx="4">
                  <c:v>Land Degradation</c:v>
                </c:pt>
                <c:pt idx="5">
                  <c:v>Multi Focal Area</c:v>
                </c:pt>
              </c:strCache>
            </c:strRef>
          </c:cat>
          <c:val>
            <c:numRef>
              <c:f>'[1]COFIN FA'!$C$14:$C$19</c:f>
              <c:numCache>
                <c:formatCode>General</c:formatCode>
                <c:ptCount val="6"/>
                <c:pt idx="0">
                  <c:v>4.8197846298113269</c:v>
                </c:pt>
                <c:pt idx="1">
                  <c:v>4.8217913413511173</c:v>
                </c:pt>
                <c:pt idx="2">
                  <c:v>12.787901799391946</c:v>
                </c:pt>
                <c:pt idx="3">
                  <c:v>11.610156747351491</c:v>
                </c:pt>
                <c:pt idx="4">
                  <c:v>6.3140169250798346</c:v>
                </c:pt>
                <c:pt idx="5">
                  <c:v>7.7653261265929538</c:v>
                </c:pt>
              </c:numCache>
            </c:numRef>
          </c:val>
          <c:extLst>
            <c:ext xmlns:c16="http://schemas.microsoft.com/office/drawing/2014/chart" uri="{C3380CC4-5D6E-409C-BE32-E72D297353CC}">
              <c16:uniqueId val="{00000000-E7BC-4C38-AC8A-00AB1B3B0A81}"/>
            </c:ext>
          </c:extLst>
        </c:ser>
        <c:dLbls>
          <c:showLegendKey val="0"/>
          <c:showVal val="0"/>
          <c:showCatName val="0"/>
          <c:showSerName val="0"/>
          <c:showPercent val="0"/>
          <c:showBubbleSize val="0"/>
        </c:dLbls>
        <c:gapWidth val="80"/>
        <c:overlap val="-27"/>
        <c:axId val="1286127311"/>
        <c:axId val="2086535439"/>
        <c:extLst>
          <c:ext xmlns:c15="http://schemas.microsoft.com/office/drawing/2012/chart" uri="{02D57815-91ED-43cb-92C2-25804820EDAC}">
            <c15:filteredBarSeries>
              <c15:ser>
                <c:idx val="0"/>
                <c:order val="0"/>
                <c:tx>
                  <c:strRef>
                    <c:extLst>
                      <c:ext uri="{02D57815-91ED-43cb-92C2-25804820EDAC}">
                        <c15:formulaRef>
                          <c15:sqref>'C:\Users\wb331348\OneDrive - WBG\PPO\monitoring report\[FY19 DATA FINAL_Monitoring Report Working File v_3.xlsx]COFIN FA'!$B$13</c15:sqref>
                        </c15:formulaRef>
                      </c:ext>
                    </c:extLst>
                    <c:strCache>
                      <c:ptCount val="1"/>
                      <c:pt idx="0">
                        <c:v>Grants (%)</c:v>
                      </c:pt>
                    </c:strCache>
                  </c:strRef>
                </c:tx>
                <c:spPr>
                  <a:solidFill>
                    <a:schemeClr val="accent1"/>
                  </a:solidFill>
                  <a:ln>
                    <a:noFill/>
                  </a:ln>
                  <a:effectLst/>
                </c:spPr>
                <c:invertIfNegative val="0"/>
                <c:cat>
                  <c:strRef>
                    <c:extLst>
                      <c:ext uri="{02D57815-91ED-43cb-92C2-25804820EDAC}">
                        <c15:formulaRef>
                          <c15:sqref>'[1]COFIN FA'!$A$14:$A$19</c15:sqref>
                        </c15:formulaRef>
                      </c:ext>
                    </c:extLst>
                    <c:strCache>
                      <c:ptCount val="6"/>
                      <c:pt idx="0">
                        <c:v>Biodiversity</c:v>
                      </c:pt>
                      <c:pt idx="1">
                        <c:v>Chemicals and Waste</c:v>
                      </c:pt>
                      <c:pt idx="2">
                        <c:v>Climate Change</c:v>
                      </c:pt>
                      <c:pt idx="3">
                        <c:v>International Waters</c:v>
                      </c:pt>
                      <c:pt idx="4">
                        <c:v>Land Degradation</c:v>
                      </c:pt>
                      <c:pt idx="5">
                        <c:v>Multi Focal Area</c:v>
                      </c:pt>
                    </c:strCache>
                  </c:strRef>
                </c:cat>
                <c:val>
                  <c:numRef>
                    <c:extLst>
                      <c:ext uri="{02D57815-91ED-43cb-92C2-25804820EDAC}">
                        <c15:formulaRef>
                          <c15:sqref>'[1]COFIN FA'!$B$14:$B$19</c15:sqref>
                        </c15:formulaRef>
                      </c:ext>
                    </c:extLst>
                    <c:numCache>
                      <c:formatCode>General</c:formatCode>
                      <c:ptCount val="6"/>
                      <c:pt idx="0">
                        <c:v>17</c:v>
                      </c:pt>
                      <c:pt idx="1">
                        <c:v>10</c:v>
                      </c:pt>
                      <c:pt idx="2">
                        <c:v>25</c:v>
                      </c:pt>
                      <c:pt idx="3">
                        <c:v>6</c:v>
                      </c:pt>
                      <c:pt idx="4">
                        <c:v>4</c:v>
                      </c:pt>
                      <c:pt idx="5">
                        <c:v>38</c:v>
                      </c:pt>
                    </c:numCache>
                  </c:numRef>
                </c:val>
                <c:extLst>
                  <c:ext xmlns:c16="http://schemas.microsoft.com/office/drawing/2014/chart" uri="{C3380CC4-5D6E-409C-BE32-E72D297353CC}">
                    <c16:uniqueId val="{00000001-E7BC-4C38-AC8A-00AB1B3B0A81}"/>
                  </c:ext>
                </c:extLst>
              </c15:ser>
            </c15:filteredBarSeries>
          </c:ext>
        </c:extLst>
      </c:barChart>
      <c:catAx>
        <c:axId val="1286127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535439"/>
        <c:crosses val="autoZero"/>
        <c:auto val="1"/>
        <c:lblAlgn val="ctr"/>
        <c:lblOffset val="100"/>
        <c:noMultiLvlLbl val="0"/>
      </c:catAx>
      <c:valAx>
        <c:axId val="2086535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12731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0.23307</cdr:x>
      <cdr:y>0.04898</cdr:y>
    </cdr:from>
    <cdr:to>
      <cdr:x>0.63532</cdr:x>
      <cdr:y>0.27307</cdr:y>
    </cdr:to>
    <cdr:sp macro="" textlink="">
      <cdr:nvSpPr>
        <cdr:cNvPr id="2" name="TextBox 1"/>
        <cdr:cNvSpPr txBox="1"/>
      </cdr:nvSpPr>
      <cdr:spPr>
        <a:xfrm xmlns:a="http://schemas.openxmlformats.org/drawingml/2006/main">
          <a:off x="1522044" y="182880"/>
          <a:ext cx="2626830" cy="8367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1100" b="1">
              <a:solidFill>
                <a:srgbClr val="0E693D"/>
              </a:solidFill>
            </a:rPr>
            <a:t>Implementation Progress</a:t>
          </a:r>
        </a:p>
        <a:p xmlns:a="http://schemas.openxmlformats.org/drawingml/2006/main">
          <a:pPr algn="r"/>
          <a:r>
            <a:rPr lang="en-US" sz="1000">
              <a:solidFill>
                <a:srgbClr val="0E693D"/>
              </a:solidFill>
            </a:rPr>
            <a:t>Percentage of Projects</a:t>
          </a:r>
          <a:r>
            <a:rPr lang="en-US" sz="1000" baseline="0">
              <a:solidFill>
                <a:srgbClr val="0E693D"/>
              </a:solidFill>
            </a:rPr>
            <a:t> Rated</a:t>
          </a:r>
        </a:p>
        <a:p xmlns:a="http://schemas.openxmlformats.org/drawingml/2006/main">
          <a:pPr algn="r"/>
          <a:r>
            <a:rPr lang="en-US" sz="1000" baseline="0">
              <a:solidFill>
                <a:srgbClr val="0E693D"/>
              </a:solidFill>
            </a:rPr>
            <a:t> </a:t>
          </a:r>
          <a:r>
            <a:rPr lang="en-US" sz="1000" i="1" baseline="0">
              <a:solidFill>
                <a:srgbClr val="0E693D"/>
              </a:solidFill>
            </a:rPr>
            <a:t>Moderately Satisfactory </a:t>
          </a:r>
        </a:p>
        <a:p xmlns:a="http://schemas.openxmlformats.org/drawingml/2006/main">
          <a:pPr algn="r"/>
          <a:r>
            <a:rPr lang="en-US" sz="1000" baseline="0">
              <a:solidFill>
                <a:srgbClr val="0E693D"/>
              </a:solidFill>
            </a:rPr>
            <a:t>or above</a:t>
          </a:r>
          <a:endParaRPr lang="en-US" sz="1000">
            <a:solidFill>
              <a:srgbClr val="0E693D"/>
            </a:solidFill>
          </a:endParaRPr>
        </a:p>
      </cdr:txBody>
    </cdr:sp>
  </cdr:relSizeAnchor>
  <cdr:relSizeAnchor xmlns:cdr="http://schemas.openxmlformats.org/drawingml/2006/chartDrawing">
    <cdr:from>
      <cdr:x>0.60359</cdr:x>
      <cdr:y>0.05918</cdr:y>
    </cdr:from>
    <cdr:to>
      <cdr:x>0.99417</cdr:x>
      <cdr:y>0.2814</cdr:y>
    </cdr:to>
    <cdr:sp macro="" textlink="">
      <cdr:nvSpPr>
        <cdr:cNvPr id="3" name="TextBox 1"/>
        <cdr:cNvSpPr txBox="1"/>
      </cdr:nvSpPr>
      <cdr:spPr>
        <a:xfrm xmlns:a="http://schemas.openxmlformats.org/drawingml/2006/main">
          <a:off x="3941676" y="220980"/>
          <a:ext cx="2550564" cy="8297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sz="1100" b="1">
              <a:solidFill>
                <a:srgbClr val="0F6CB6"/>
              </a:solidFill>
            </a:rPr>
            <a:t>Development Objective</a:t>
          </a:r>
        </a:p>
        <a:p xmlns:a="http://schemas.openxmlformats.org/drawingml/2006/main">
          <a:pPr algn="r"/>
          <a:r>
            <a:rPr lang="en-US" sz="1000">
              <a:solidFill>
                <a:srgbClr val="0F6CB6"/>
              </a:solidFill>
            </a:rPr>
            <a:t>Percentage of Projects</a:t>
          </a:r>
          <a:r>
            <a:rPr lang="en-US" sz="1000" baseline="0">
              <a:solidFill>
                <a:srgbClr val="0F6CB6"/>
              </a:solidFill>
            </a:rPr>
            <a:t> Rated </a:t>
          </a:r>
        </a:p>
        <a:p xmlns:a="http://schemas.openxmlformats.org/drawingml/2006/main">
          <a:pPr algn="r"/>
          <a:r>
            <a:rPr lang="en-US" sz="1000" i="1" baseline="0">
              <a:solidFill>
                <a:srgbClr val="0F6CB6"/>
              </a:solidFill>
            </a:rPr>
            <a:t>Moderately Satisfactory </a:t>
          </a:r>
        </a:p>
        <a:p xmlns:a="http://schemas.openxmlformats.org/drawingml/2006/main">
          <a:pPr algn="r"/>
          <a:r>
            <a:rPr lang="en-US" sz="1000" baseline="0">
              <a:solidFill>
                <a:srgbClr val="0F6CB6"/>
              </a:solidFill>
            </a:rPr>
            <a:t>or above</a:t>
          </a:r>
          <a:endParaRPr lang="en-US" sz="1000">
            <a:solidFill>
              <a:srgbClr val="0F6CB6"/>
            </a:solidFill>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07C0693C2141E48CF6787E265A3927"/>
        <w:category>
          <w:name w:val="General"/>
          <w:gallery w:val="placeholder"/>
        </w:category>
        <w:types>
          <w:type w:val="bbPlcHdr"/>
        </w:types>
        <w:behaviors>
          <w:behavior w:val="content"/>
        </w:behaviors>
        <w:guid w:val="{B1CCE1A3-7CEE-4A8E-B31F-C16AA2F0CD59}"/>
      </w:docPartPr>
      <w:docPartBody>
        <w:p w:rsidR="00723176" w:rsidRDefault="00637C32" w:rsidP="00637C32">
          <w:pPr>
            <w:pStyle w:val="7207C0693C2141E48CF6787E265A3927"/>
          </w:pPr>
          <w:r w:rsidRPr="00C725B6">
            <w:rPr>
              <w:rStyle w:val="PlaceholderText"/>
            </w:rPr>
            <w:t>[Subject]</w:t>
          </w:r>
        </w:p>
      </w:docPartBody>
    </w:docPart>
    <w:docPart>
      <w:docPartPr>
        <w:name w:val="B16882D3CD1D4AF581A165F293A75A9E"/>
        <w:category>
          <w:name w:val="General"/>
          <w:gallery w:val="placeholder"/>
        </w:category>
        <w:types>
          <w:type w:val="bbPlcHdr"/>
        </w:types>
        <w:behaviors>
          <w:behavior w:val="content"/>
        </w:behaviors>
        <w:guid w:val="{E828BA2B-402F-43DB-BCF6-9E39A5B91AB6}"/>
      </w:docPartPr>
      <w:docPartBody>
        <w:p w:rsidR="00723176" w:rsidRDefault="00637C32" w:rsidP="00637C32">
          <w:pPr>
            <w:pStyle w:val="B16882D3CD1D4AF581A165F293A75A9E"/>
          </w:pPr>
          <w:r w:rsidRPr="00C725B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32"/>
    <w:rsid w:val="002E5893"/>
    <w:rsid w:val="00637C32"/>
    <w:rsid w:val="00723176"/>
    <w:rsid w:val="009653BF"/>
    <w:rsid w:val="00E530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176"/>
    <w:rPr>
      <w:color w:val="808080"/>
    </w:rPr>
  </w:style>
  <w:style w:type="paragraph" w:customStyle="1" w:styleId="7207C0693C2141E48CF6787E265A3927">
    <w:name w:val="7207C0693C2141E48CF6787E265A3927"/>
    <w:rsid w:val="00637C32"/>
  </w:style>
  <w:style w:type="paragraph" w:customStyle="1" w:styleId="B16882D3CD1D4AF581A165F293A75A9E">
    <w:name w:val="B16882D3CD1D4AF581A165F293A75A9E"/>
    <w:rsid w:val="00637C32"/>
  </w:style>
  <w:style w:type="paragraph" w:customStyle="1" w:styleId="30A7825E02CC4C0A82FF55ED02BAD813">
    <w:name w:val="30A7825E02CC4C0A82FF55ED02BAD813"/>
    <w:rsid w:val="00637C32"/>
  </w:style>
  <w:style w:type="paragraph" w:customStyle="1" w:styleId="AB57621758274B1983F6392475BD1141">
    <w:name w:val="AB57621758274B1983F6392475BD1141"/>
    <w:rsid w:val="00637C32"/>
  </w:style>
  <w:style w:type="paragraph" w:customStyle="1" w:styleId="6B0E0D4F88734936806EE74494FD8563">
    <w:name w:val="6B0E0D4F88734936806EE74494FD8563"/>
    <w:rsid w:val="00723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01D5-7BF8-4CB4-8636-3E4B4661B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A6FE8-8EFF-419C-9EB8-CD639FE30815}">
  <ds:schemaRefs>
    <ds:schemaRef ds:uri="http://schemas.microsoft.com/office/2006/documentManagement/types"/>
    <ds:schemaRef ds:uri="http://schemas.microsoft.com/office/infopath/2007/PartnerControls"/>
    <ds:schemaRef ds:uri="358298e0-1b7e-4ebe-8695-94439b74f0d1"/>
    <ds:schemaRef ds:uri="http://purl.org/dc/elements/1.1/"/>
    <ds:schemaRef ds:uri="http://schemas.microsoft.com/office/2006/metadata/properties"/>
    <ds:schemaRef ds:uri="13ad741f-c0db-4e29-b5a6-03b4a1bc18b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0FEA929-E220-42D8-AF99-53750059D9DF}">
  <ds:schemaRefs>
    <ds:schemaRef ds:uri="http://schemas.microsoft.com/sharepoint/v3/contenttype/forms"/>
  </ds:schemaRefs>
</ds:datastoreItem>
</file>

<file path=customXml/itemProps4.xml><?xml version="1.0" encoding="utf-8"?>
<ds:datastoreItem xmlns:ds="http://schemas.openxmlformats.org/officeDocument/2006/customXml" ds:itemID="{69523A36-164B-4C46-BEDC-EDF98AF2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10569</Words>
  <Characters>60245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Financial mechanism - PRELIMINARY REPORT OF THE GLOBAL ENVIRONMENT FACILITY</vt:lpstr>
    </vt:vector>
  </TitlesOfParts>
  <Company/>
  <LinksUpToDate>false</LinksUpToDate>
  <CharactersWithSpaces>70673</CharactersWithSpaces>
  <SharedDoc>false</SharedDoc>
  <HLinks>
    <vt:vector size="594" baseType="variant">
      <vt:variant>
        <vt:i4>7864381</vt:i4>
      </vt:variant>
      <vt:variant>
        <vt:i4>345</vt:i4>
      </vt:variant>
      <vt:variant>
        <vt:i4>0</vt:i4>
      </vt:variant>
      <vt:variant>
        <vt:i4>5</vt:i4>
      </vt:variant>
      <vt:variant>
        <vt:lpwstr>http://www.thegef.org/project/10309</vt:lpwstr>
      </vt:variant>
      <vt:variant>
        <vt:lpwstr/>
      </vt:variant>
      <vt:variant>
        <vt:i4>7995453</vt:i4>
      </vt:variant>
      <vt:variant>
        <vt:i4>342</vt:i4>
      </vt:variant>
      <vt:variant>
        <vt:i4>0</vt:i4>
      </vt:variant>
      <vt:variant>
        <vt:i4>5</vt:i4>
      </vt:variant>
      <vt:variant>
        <vt:lpwstr>http://www.thegef.org/project/10322</vt:lpwstr>
      </vt:variant>
      <vt:variant>
        <vt:lpwstr/>
      </vt:variant>
      <vt:variant>
        <vt:i4>1310739</vt:i4>
      </vt:variant>
      <vt:variant>
        <vt:i4>339</vt:i4>
      </vt:variant>
      <vt:variant>
        <vt:i4>0</vt:i4>
      </vt:variant>
      <vt:variant>
        <vt:i4>5</vt:i4>
      </vt:variant>
      <vt:variant>
        <vt:lpwstr>https://www.thegef.org/project/10200</vt:lpwstr>
      </vt:variant>
      <vt:variant>
        <vt:lpwstr/>
      </vt:variant>
      <vt:variant>
        <vt:i4>1179667</vt:i4>
      </vt:variant>
      <vt:variant>
        <vt:i4>336</vt:i4>
      </vt:variant>
      <vt:variant>
        <vt:i4>0</vt:i4>
      </vt:variant>
      <vt:variant>
        <vt:i4>5</vt:i4>
      </vt:variant>
      <vt:variant>
        <vt:lpwstr>https://www.thegef.org/project/10206</vt:lpwstr>
      </vt:variant>
      <vt:variant>
        <vt:lpwstr/>
      </vt:variant>
      <vt:variant>
        <vt:i4>1835027</vt:i4>
      </vt:variant>
      <vt:variant>
        <vt:i4>333</vt:i4>
      </vt:variant>
      <vt:variant>
        <vt:i4>0</vt:i4>
      </vt:variant>
      <vt:variant>
        <vt:i4>5</vt:i4>
      </vt:variant>
      <vt:variant>
        <vt:lpwstr>https://www.thegef.org/project/10208</vt:lpwstr>
      </vt:variant>
      <vt:variant>
        <vt:lpwstr/>
      </vt:variant>
      <vt:variant>
        <vt:i4>2031642</vt:i4>
      </vt:variant>
      <vt:variant>
        <vt:i4>330</vt:i4>
      </vt:variant>
      <vt:variant>
        <vt:i4>0</vt:i4>
      </vt:variant>
      <vt:variant>
        <vt:i4>5</vt:i4>
      </vt:variant>
      <vt:variant>
        <vt:lpwstr>https://www.thegef.org/project/10198</vt:lpwstr>
      </vt:variant>
      <vt:variant>
        <vt:lpwstr/>
      </vt:variant>
      <vt:variant>
        <vt:i4>1376275</vt:i4>
      </vt:variant>
      <vt:variant>
        <vt:i4>327</vt:i4>
      </vt:variant>
      <vt:variant>
        <vt:i4>0</vt:i4>
      </vt:variant>
      <vt:variant>
        <vt:i4>5</vt:i4>
      </vt:variant>
      <vt:variant>
        <vt:lpwstr>https://www.thegef.org/project/10201</vt:lpwstr>
      </vt:variant>
      <vt:variant>
        <vt:lpwstr/>
      </vt:variant>
      <vt:variant>
        <vt:i4>1310746</vt:i4>
      </vt:variant>
      <vt:variant>
        <vt:i4>324</vt:i4>
      </vt:variant>
      <vt:variant>
        <vt:i4>0</vt:i4>
      </vt:variant>
      <vt:variant>
        <vt:i4>5</vt:i4>
      </vt:variant>
      <vt:variant>
        <vt:lpwstr>https://www.thegef.org/project/10391</vt:lpwstr>
      </vt:variant>
      <vt:variant>
        <vt:lpwstr/>
      </vt:variant>
      <vt:variant>
        <vt:i4>7929914</vt:i4>
      </vt:variant>
      <vt:variant>
        <vt:i4>321</vt:i4>
      </vt:variant>
      <vt:variant>
        <vt:i4>0</vt:i4>
      </vt:variant>
      <vt:variant>
        <vt:i4>5</vt:i4>
      </vt:variant>
      <vt:variant>
        <vt:lpwstr>http://www.thegef.org/project/10412</vt:lpwstr>
      </vt:variant>
      <vt:variant>
        <vt:lpwstr/>
      </vt:variant>
      <vt:variant>
        <vt:i4>7405631</vt:i4>
      </vt:variant>
      <vt:variant>
        <vt:i4>318</vt:i4>
      </vt:variant>
      <vt:variant>
        <vt:i4>0</vt:i4>
      </vt:variant>
      <vt:variant>
        <vt:i4>5</vt:i4>
      </vt:variant>
      <vt:variant>
        <vt:lpwstr>http://www.thegef.org/project/10192</vt:lpwstr>
      </vt:variant>
      <vt:variant>
        <vt:lpwstr/>
      </vt:variant>
      <vt:variant>
        <vt:i4>7929914</vt:i4>
      </vt:variant>
      <vt:variant>
        <vt:i4>315</vt:i4>
      </vt:variant>
      <vt:variant>
        <vt:i4>0</vt:i4>
      </vt:variant>
      <vt:variant>
        <vt:i4>5</vt:i4>
      </vt:variant>
      <vt:variant>
        <vt:lpwstr>http://www.thegef.org/project/10415</vt:lpwstr>
      </vt:variant>
      <vt:variant>
        <vt:lpwstr/>
      </vt:variant>
      <vt:variant>
        <vt:i4>8192061</vt:i4>
      </vt:variant>
      <vt:variant>
        <vt:i4>312</vt:i4>
      </vt:variant>
      <vt:variant>
        <vt:i4>0</vt:i4>
      </vt:variant>
      <vt:variant>
        <vt:i4>5</vt:i4>
      </vt:variant>
      <vt:variant>
        <vt:lpwstr>http://www.thegef.org/project/10356</vt:lpwstr>
      </vt:variant>
      <vt:variant>
        <vt:lpwstr/>
      </vt:variant>
      <vt:variant>
        <vt:i4>7340094</vt:i4>
      </vt:variant>
      <vt:variant>
        <vt:i4>309</vt:i4>
      </vt:variant>
      <vt:variant>
        <vt:i4>0</vt:i4>
      </vt:variant>
      <vt:variant>
        <vt:i4>5</vt:i4>
      </vt:variant>
      <vt:variant>
        <vt:lpwstr>http://www.thegef.org/project/10081</vt:lpwstr>
      </vt:variant>
      <vt:variant>
        <vt:lpwstr/>
      </vt:variant>
      <vt:variant>
        <vt:i4>8192061</vt:i4>
      </vt:variant>
      <vt:variant>
        <vt:i4>306</vt:i4>
      </vt:variant>
      <vt:variant>
        <vt:i4>0</vt:i4>
      </vt:variant>
      <vt:variant>
        <vt:i4>5</vt:i4>
      </vt:variant>
      <vt:variant>
        <vt:lpwstr>http://www.thegef.org/project/10352</vt:lpwstr>
      </vt:variant>
      <vt:variant>
        <vt:lpwstr/>
      </vt:variant>
      <vt:variant>
        <vt:i4>7340095</vt:i4>
      </vt:variant>
      <vt:variant>
        <vt:i4>303</vt:i4>
      </vt:variant>
      <vt:variant>
        <vt:i4>0</vt:i4>
      </vt:variant>
      <vt:variant>
        <vt:i4>5</vt:i4>
      </vt:variant>
      <vt:variant>
        <vt:lpwstr>http://www.thegef.org/project/10188</vt:lpwstr>
      </vt:variant>
      <vt:variant>
        <vt:lpwstr/>
      </vt:variant>
      <vt:variant>
        <vt:i4>7340095</vt:i4>
      </vt:variant>
      <vt:variant>
        <vt:i4>300</vt:i4>
      </vt:variant>
      <vt:variant>
        <vt:i4>0</vt:i4>
      </vt:variant>
      <vt:variant>
        <vt:i4>5</vt:i4>
      </vt:variant>
      <vt:variant>
        <vt:lpwstr>http://www.thegef.org/project/10181</vt:lpwstr>
      </vt:variant>
      <vt:variant>
        <vt:lpwstr/>
      </vt:variant>
      <vt:variant>
        <vt:i4>7929916</vt:i4>
      </vt:variant>
      <vt:variant>
        <vt:i4>297</vt:i4>
      </vt:variant>
      <vt:variant>
        <vt:i4>0</vt:i4>
      </vt:variant>
      <vt:variant>
        <vt:i4>5</vt:i4>
      </vt:variant>
      <vt:variant>
        <vt:lpwstr>http://www.thegef.org/project/10211</vt:lpwstr>
      </vt:variant>
      <vt:variant>
        <vt:lpwstr/>
      </vt:variant>
      <vt:variant>
        <vt:i4>7995450</vt:i4>
      </vt:variant>
      <vt:variant>
        <vt:i4>294</vt:i4>
      </vt:variant>
      <vt:variant>
        <vt:i4>0</vt:i4>
      </vt:variant>
      <vt:variant>
        <vt:i4>5</vt:i4>
      </vt:variant>
      <vt:variant>
        <vt:lpwstr>http://www.thegef.org/project/10420</vt:lpwstr>
      </vt:variant>
      <vt:variant>
        <vt:lpwstr/>
      </vt:variant>
      <vt:variant>
        <vt:i4>7340093</vt:i4>
      </vt:variant>
      <vt:variant>
        <vt:i4>291</vt:i4>
      </vt:variant>
      <vt:variant>
        <vt:i4>0</vt:i4>
      </vt:variant>
      <vt:variant>
        <vt:i4>5</vt:i4>
      </vt:variant>
      <vt:variant>
        <vt:lpwstr>http://www.thegef.org/project/10381</vt:lpwstr>
      </vt:variant>
      <vt:variant>
        <vt:lpwstr/>
      </vt:variant>
      <vt:variant>
        <vt:i4>8257599</vt:i4>
      </vt:variant>
      <vt:variant>
        <vt:i4>288</vt:i4>
      </vt:variant>
      <vt:variant>
        <vt:i4>0</vt:i4>
      </vt:variant>
      <vt:variant>
        <vt:i4>5</vt:i4>
      </vt:variant>
      <vt:variant>
        <vt:lpwstr>http://www.thegef.org/project/10161</vt:lpwstr>
      </vt:variant>
      <vt:variant>
        <vt:lpwstr/>
      </vt:variant>
      <vt:variant>
        <vt:i4>8257597</vt:i4>
      </vt:variant>
      <vt:variant>
        <vt:i4>285</vt:i4>
      </vt:variant>
      <vt:variant>
        <vt:i4>0</vt:i4>
      </vt:variant>
      <vt:variant>
        <vt:i4>5</vt:i4>
      </vt:variant>
      <vt:variant>
        <vt:lpwstr>http://www.thegef.org/project/10362</vt:lpwstr>
      </vt:variant>
      <vt:variant>
        <vt:lpwstr/>
      </vt:variant>
      <vt:variant>
        <vt:i4>8257597</vt:i4>
      </vt:variant>
      <vt:variant>
        <vt:i4>282</vt:i4>
      </vt:variant>
      <vt:variant>
        <vt:i4>0</vt:i4>
      </vt:variant>
      <vt:variant>
        <vt:i4>5</vt:i4>
      </vt:variant>
      <vt:variant>
        <vt:lpwstr>http://www.thegef.org/project/10363</vt:lpwstr>
      </vt:variant>
      <vt:variant>
        <vt:lpwstr/>
      </vt:variant>
      <vt:variant>
        <vt:i4>8192061</vt:i4>
      </vt:variant>
      <vt:variant>
        <vt:i4>279</vt:i4>
      </vt:variant>
      <vt:variant>
        <vt:i4>0</vt:i4>
      </vt:variant>
      <vt:variant>
        <vt:i4>5</vt:i4>
      </vt:variant>
      <vt:variant>
        <vt:lpwstr>http://www.thegef.org/project/10359</vt:lpwstr>
      </vt:variant>
      <vt:variant>
        <vt:lpwstr/>
      </vt:variant>
      <vt:variant>
        <vt:i4>7864380</vt:i4>
      </vt:variant>
      <vt:variant>
        <vt:i4>276</vt:i4>
      </vt:variant>
      <vt:variant>
        <vt:i4>0</vt:i4>
      </vt:variant>
      <vt:variant>
        <vt:i4>5</vt:i4>
      </vt:variant>
      <vt:variant>
        <vt:lpwstr>http://www.thegef.org/project/10204</vt:lpwstr>
      </vt:variant>
      <vt:variant>
        <vt:lpwstr/>
      </vt:variant>
      <vt:variant>
        <vt:i4>7995455</vt:i4>
      </vt:variant>
      <vt:variant>
        <vt:i4>273</vt:i4>
      </vt:variant>
      <vt:variant>
        <vt:i4>0</vt:i4>
      </vt:variant>
      <vt:variant>
        <vt:i4>5</vt:i4>
      </vt:variant>
      <vt:variant>
        <vt:lpwstr>http://www.thegef.org/project/10125</vt:lpwstr>
      </vt:variant>
      <vt:variant>
        <vt:lpwstr/>
      </vt:variant>
      <vt:variant>
        <vt:i4>7995452</vt:i4>
      </vt:variant>
      <vt:variant>
        <vt:i4>270</vt:i4>
      </vt:variant>
      <vt:variant>
        <vt:i4>0</vt:i4>
      </vt:variant>
      <vt:variant>
        <vt:i4>5</vt:i4>
      </vt:variant>
      <vt:variant>
        <vt:lpwstr>http://www.thegef.org/project/10220</vt:lpwstr>
      </vt:variant>
      <vt:variant>
        <vt:lpwstr/>
      </vt:variant>
      <vt:variant>
        <vt:i4>7995453</vt:i4>
      </vt:variant>
      <vt:variant>
        <vt:i4>267</vt:i4>
      </vt:variant>
      <vt:variant>
        <vt:i4>0</vt:i4>
      </vt:variant>
      <vt:variant>
        <vt:i4>5</vt:i4>
      </vt:variant>
      <vt:variant>
        <vt:lpwstr>http://www.thegef.org/project/10322</vt:lpwstr>
      </vt:variant>
      <vt:variant>
        <vt:lpwstr/>
      </vt:variant>
      <vt:variant>
        <vt:i4>8126525</vt:i4>
      </vt:variant>
      <vt:variant>
        <vt:i4>264</vt:i4>
      </vt:variant>
      <vt:variant>
        <vt:i4>0</vt:i4>
      </vt:variant>
      <vt:variant>
        <vt:i4>5</vt:i4>
      </vt:variant>
      <vt:variant>
        <vt:lpwstr>http://www.thegef.org/project/10346</vt:lpwstr>
      </vt:variant>
      <vt:variant>
        <vt:lpwstr/>
      </vt:variant>
      <vt:variant>
        <vt:i4>8257597</vt:i4>
      </vt:variant>
      <vt:variant>
        <vt:i4>261</vt:i4>
      </vt:variant>
      <vt:variant>
        <vt:i4>0</vt:i4>
      </vt:variant>
      <vt:variant>
        <vt:i4>5</vt:i4>
      </vt:variant>
      <vt:variant>
        <vt:lpwstr>http://www.thegef.org/project/10360</vt:lpwstr>
      </vt:variant>
      <vt:variant>
        <vt:lpwstr/>
      </vt:variant>
      <vt:variant>
        <vt:i4>7929919</vt:i4>
      </vt:variant>
      <vt:variant>
        <vt:i4>258</vt:i4>
      </vt:variant>
      <vt:variant>
        <vt:i4>0</vt:i4>
      </vt:variant>
      <vt:variant>
        <vt:i4>5</vt:i4>
      </vt:variant>
      <vt:variant>
        <vt:lpwstr>http://www.thegef.org/project/10117</vt:lpwstr>
      </vt:variant>
      <vt:variant>
        <vt:lpwstr/>
      </vt:variant>
      <vt:variant>
        <vt:i4>7929916</vt:i4>
      </vt:variant>
      <vt:variant>
        <vt:i4>255</vt:i4>
      </vt:variant>
      <vt:variant>
        <vt:i4>0</vt:i4>
      </vt:variant>
      <vt:variant>
        <vt:i4>5</vt:i4>
      </vt:variant>
      <vt:variant>
        <vt:lpwstr>http://www.thegef.org/project/10216</vt:lpwstr>
      </vt:variant>
      <vt:variant>
        <vt:lpwstr/>
      </vt:variant>
      <vt:variant>
        <vt:i4>7995455</vt:i4>
      </vt:variant>
      <vt:variant>
        <vt:i4>252</vt:i4>
      </vt:variant>
      <vt:variant>
        <vt:i4>0</vt:i4>
      </vt:variant>
      <vt:variant>
        <vt:i4>5</vt:i4>
      </vt:variant>
      <vt:variant>
        <vt:lpwstr>http://www.thegef.org/project/10124</vt:lpwstr>
      </vt:variant>
      <vt:variant>
        <vt:lpwstr/>
      </vt:variant>
      <vt:variant>
        <vt:i4>7995455</vt:i4>
      </vt:variant>
      <vt:variant>
        <vt:i4>249</vt:i4>
      </vt:variant>
      <vt:variant>
        <vt:i4>0</vt:i4>
      </vt:variant>
      <vt:variant>
        <vt:i4>5</vt:i4>
      </vt:variant>
      <vt:variant>
        <vt:lpwstr>http://www.thegef.org/project/10122</vt:lpwstr>
      </vt:variant>
      <vt:variant>
        <vt:lpwstr/>
      </vt:variant>
      <vt:variant>
        <vt:i4>7405629</vt:i4>
      </vt:variant>
      <vt:variant>
        <vt:i4>246</vt:i4>
      </vt:variant>
      <vt:variant>
        <vt:i4>0</vt:i4>
      </vt:variant>
      <vt:variant>
        <vt:i4>5</vt:i4>
      </vt:variant>
      <vt:variant>
        <vt:lpwstr>http://www.thegef.org/project/10393</vt:lpwstr>
      </vt:variant>
      <vt:variant>
        <vt:lpwstr/>
      </vt:variant>
      <vt:variant>
        <vt:i4>8323135</vt:i4>
      </vt:variant>
      <vt:variant>
        <vt:i4>243</vt:i4>
      </vt:variant>
      <vt:variant>
        <vt:i4>0</vt:i4>
      </vt:variant>
      <vt:variant>
        <vt:i4>5</vt:i4>
      </vt:variant>
      <vt:variant>
        <vt:lpwstr>http://www.thegef.org/project/10170</vt:lpwstr>
      </vt:variant>
      <vt:variant>
        <vt:lpwstr/>
      </vt:variant>
      <vt:variant>
        <vt:i4>8257599</vt:i4>
      </vt:variant>
      <vt:variant>
        <vt:i4>240</vt:i4>
      </vt:variant>
      <vt:variant>
        <vt:i4>0</vt:i4>
      </vt:variant>
      <vt:variant>
        <vt:i4>5</vt:i4>
      </vt:variant>
      <vt:variant>
        <vt:lpwstr>http://www.thegef.org/project/10169</vt:lpwstr>
      </vt:variant>
      <vt:variant>
        <vt:lpwstr/>
      </vt:variant>
      <vt:variant>
        <vt:i4>7995452</vt:i4>
      </vt:variant>
      <vt:variant>
        <vt:i4>237</vt:i4>
      </vt:variant>
      <vt:variant>
        <vt:i4>0</vt:i4>
      </vt:variant>
      <vt:variant>
        <vt:i4>5</vt:i4>
      </vt:variant>
      <vt:variant>
        <vt:lpwstr>http://www.thegef.org/project/10228</vt:lpwstr>
      </vt:variant>
      <vt:variant>
        <vt:lpwstr/>
      </vt:variant>
      <vt:variant>
        <vt:i4>8126527</vt:i4>
      </vt:variant>
      <vt:variant>
        <vt:i4>234</vt:i4>
      </vt:variant>
      <vt:variant>
        <vt:i4>0</vt:i4>
      </vt:variant>
      <vt:variant>
        <vt:i4>5</vt:i4>
      </vt:variant>
      <vt:variant>
        <vt:lpwstr>http://www.thegef.org/project/10142</vt:lpwstr>
      </vt:variant>
      <vt:variant>
        <vt:lpwstr/>
      </vt:variant>
      <vt:variant>
        <vt:i4>7929917</vt:i4>
      </vt:variant>
      <vt:variant>
        <vt:i4>231</vt:i4>
      </vt:variant>
      <vt:variant>
        <vt:i4>0</vt:i4>
      </vt:variant>
      <vt:variant>
        <vt:i4>5</vt:i4>
      </vt:variant>
      <vt:variant>
        <vt:lpwstr>http://www.thegef.org/project/10316</vt:lpwstr>
      </vt:variant>
      <vt:variant>
        <vt:lpwstr/>
      </vt:variant>
      <vt:variant>
        <vt:i4>8126527</vt:i4>
      </vt:variant>
      <vt:variant>
        <vt:i4>228</vt:i4>
      </vt:variant>
      <vt:variant>
        <vt:i4>0</vt:i4>
      </vt:variant>
      <vt:variant>
        <vt:i4>5</vt:i4>
      </vt:variant>
      <vt:variant>
        <vt:lpwstr>http://www.thegef.org/project/10147</vt:lpwstr>
      </vt:variant>
      <vt:variant>
        <vt:lpwstr/>
      </vt:variant>
      <vt:variant>
        <vt:i4>7864378</vt:i4>
      </vt:variant>
      <vt:variant>
        <vt:i4>225</vt:i4>
      </vt:variant>
      <vt:variant>
        <vt:i4>0</vt:i4>
      </vt:variant>
      <vt:variant>
        <vt:i4>5</vt:i4>
      </vt:variant>
      <vt:variant>
        <vt:lpwstr>http://www.thegef.org/project/10409</vt:lpwstr>
      </vt:variant>
      <vt:variant>
        <vt:lpwstr/>
      </vt:variant>
      <vt:variant>
        <vt:i4>8257599</vt:i4>
      </vt:variant>
      <vt:variant>
        <vt:i4>222</vt:i4>
      </vt:variant>
      <vt:variant>
        <vt:i4>0</vt:i4>
      </vt:variant>
      <vt:variant>
        <vt:i4>5</vt:i4>
      </vt:variant>
      <vt:variant>
        <vt:lpwstr>http://www.thegef.org/project/10162</vt:lpwstr>
      </vt:variant>
      <vt:variant>
        <vt:lpwstr/>
      </vt:variant>
      <vt:variant>
        <vt:i4>7340093</vt:i4>
      </vt:variant>
      <vt:variant>
        <vt:i4>219</vt:i4>
      </vt:variant>
      <vt:variant>
        <vt:i4>0</vt:i4>
      </vt:variant>
      <vt:variant>
        <vt:i4>5</vt:i4>
      </vt:variant>
      <vt:variant>
        <vt:lpwstr>http://www.thegef.org/project/10386</vt:lpwstr>
      </vt:variant>
      <vt:variant>
        <vt:lpwstr/>
      </vt:variant>
      <vt:variant>
        <vt:i4>8323134</vt:i4>
      </vt:variant>
      <vt:variant>
        <vt:i4>216</vt:i4>
      </vt:variant>
      <vt:variant>
        <vt:i4>0</vt:i4>
      </vt:variant>
      <vt:variant>
        <vt:i4>5</vt:i4>
      </vt:variant>
      <vt:variant>
        <vt:lpwstr>http://www.thegef.org/project/10079</vt:lpwstr>
      </vt:variant>
      <vt:variant>
        <vt:lpwstr/>
      </vt:variant>
      <vt:variant>
        <vt:i4>7995455</vt:i4>
      </vt:variant>
      <vt:variant>
        <vt:i4>213</vt:i4>
      </vt:variant>
      <vt:variant>
        <vt:i4>0</vt:i4>
      </vt:variant>
      <vt:variant>
        <vt:i4>5</vt:i4>
      </vt:variant>
      <vt:variant>
        <vt:lpwstr>http://www.thegef.org/project/10123</vt:lpwstr>
      </vt:variant>
      <vt:variant>
        <vt:lpwstr/>
      </vt:variant>
      <vt:variant>
        <vt:i4>8126525</vt:i4>
      </vt:variant>
      <vt:variant>
        <vt:i4>210</vt:i4>
      </vt:variant>
      <vt:variant>
        <vt:i4>0</vt:i4>
      </vt:variant>
      <vt:variant>
        <vt:i4>5</vt:i4>
      </vt:variant>
      <vt:variant>
        <vt:lpwstr>http://www.thegef.org/project/10343</vt:lpwstr>
      </vt:variant>
      <vt:variant>
        <vt:lpwstr/>
      </vt:variant>
      <vt:variant>
        <vt:i4>7864378</vt:i4>
      </vt:variant>
      <vt:variant>
        <vt:i4>207</vt:i4>
      </vt:variant>
      <vt:variant>
        <vt:i4>0</vt:i4>
      </vt:variant>
      <vt:variant>
        <vt:i4>5</vt:i4>
      </vt:variant>
      <vt:variant>
        <vt:lpwstr>http://www.thegef.org/project/10404</vt:lpwstr>
      </vt:variant>
      <vt:variant>
        <vt:lpwstr/>
      </vt:variant>
      <vt:variant>
        <vt:i4>7929916</vt:i4>
      </vt:variant>
      <vt:variant>
        <vt:i4>204</vt:i4>
      </vt:variant>
      <vt:variant>
        <vt:i4>0</vt:i4>
      </vt:variant>
      <vt:variant>
        <vt:i4>5</vt:i4>
      </vt:variant>
      <vt:variant>
        <vt:lpwstr>http://www.thegef.org/project/10219</vt:lpwstr>
      </vt:variant>
      <vt:variant>
        <vt:lpwstr/>
      </vt:variant>
      <vt:variant>
        <vt:i4>7405629</vt:i4>
      </vt:variant>
      <vt:variant>
        <vt:i4>201</vt:i4>
      </vt:variant>
      <vt:variant>
        <vt:i4>0</vt:i4>
      </vt:variant>
      <vt:variant>
        <vt:i4>5</vt:i4>
      </vt:variant>
      <vt:variant>
        <vt:lpwstr>http://www.thegef.org/project/10396</vt:lpwstr>
      </vt:variant>
      <vt:variant>
        <vt:lpwstr/>
      </vt:variant>
      <vt:variant>
        <vt:i4>7929916</vt:i4>
      </vt:variant>
      <vt:variant>
        <vt:i4>198</vt:i4>
      </vt:variant>
      <vt:variant>
        <vt:i4>0</vt:i4>
      </vt:variant>
      <vt:variant>
        <vt:i4>5</vt:i4>
      </vt:variant>
      <vt:variant>
        <vt:lpwstr>http://www.thegef.org/project/10217</vt:lpwstr>
      </vt:variant>
      <vt:variant>
        <vt:lpwstr/>
      </vt:variant>
      <vt:variant>
        <vt:i4>7864378</vt:i4>
      </vt:variant>
      <vt:variant>
        <vt:i4>195</vt:i4>
      </vt:variant>
      <vt:variant>
        <vt:i4>0</vt:i4>
      </vt:variant>
      <vt:variant>
        <vt:i4>5</vt:i4>
      </vt:variant>
      <vt:variant>
        <vt:lpwstr>http://www.thegef.org/project/10400</vt:lpwstr>
      </vt:variant>
      <vt:variant>
        <vt:lpwstr/>
      </vt:variant>
      <vt:variant>
        <vt:i4>8192061</vt:i4>
      </vt:variant>
      <vt:variant>
        <vt:i4>192</vt:i4>
      </vt:variant>
      <vt:variant>
        <vt:i4>0</vt:i4>
      </vt:variant>
      <vt:variant>
        <vt:i4>5</vt:i4>
      </vt:variant>
      <vt:variant>
        <vt:lpwstr>http://www.thegef.org/project/10351</vt:lpwstr>
      </vt:variant>
      <vt:variant>
        <vt:lpwstr/>
      </vt:variant>
      <vt:variant>
        <vt:i4>8257597</vt:i4>
      </vt:variant>
      <vt:variant>
        <vt:i4>189</vt:i4>
      </vt:variant>
      <vt:variant>
        <vt:i4>0</vt:i4>
      </vt:variant>
      <vt:variant>
        <vt:i4>5</vt:i4>
      </vt:variant>
      <vt:variant>
        <vt:lpwstr>http://www.thegef.org/project/10361</vt:lpwstr>
      </vt:variant>
      <vt:variant>
        <vt:lpwstr/>
      </vt:variant>
      <vt:variant>
        <vt:i4>8323134</vt:i4>
      </vt:variant>
      <vt:variant>
        <vt:i4>186</vt:i4>
      </vt:variant>
      <vt:variant>
        <vt:i4>0</vt:i4>
      </vt:variant>
      <vt:variant>
        <vt:i4>5</vt:i4>
      </vt:variant>
      <vt:variant>
        <vt:lpwstr>http://www.thegef.org/project/10073</vt:lpwstr>
      </vt:variant>
      <vt:variant>
        <vt:lpwstr/>
      </vt:variant>
      <vt:variant>
        <vt:i4>7929916</vt:i4>
      </vt:variant>
      <vt:variant>
        <vt:i4>183</vt:i4>
      </vt:variant>
      <vt:variant>
        <vt:i4>0</vt:i4>
      </vt:variant>
      <vt:variant>
        <vt:i4>5</vt:i4>
      </vt:variant>
      <vt:variant>
        <vt:lpwstr>http://www.thegef.org/project/10213</vt:lpwstr>
      </vt:variant>
      <vt:variant>
        <vt:lpwstr/>
      </vt:variant>
      <vt:variant>
        <vt:i4>8323134</vt:i4>
      </vt:variant>
      <vt:variant>
        <vt:i4>180</vt:i4>
      </vt:variant>
      <vt:variant>
        <vt:i4>0</vt:i4>
      </vt:variant>
      <vt:variant>
        <vt:i4>5</vt:i4>
      </vt:variant>
      <vt:variant>
        <vt:lpwstr>http://www.thegef.org/project/10075</vt:lpwstr>
      </vt:variant>
      <vt:variant>
        <vt:lpwstr/>
      </vt:variant>
      <vt:variant>
        <vt:i4>7405631</vt:i4>
      </vt:variant>
      <vt:variant>
        <vt:i4>177</vt:i4>
      </vt:variant>
      <vt:variant>
        <vt:i4>0</vt:i4>
      </vt:variant>
      <vt:variant>
        <vt:i4>5</vt:i4>
      </vt:variant>
      <vt:variant>
        <vt:lpwstr>http://www.thegef.org/project/10190</vt:lpwstr>
      </vt:variant>
      <vt:variant>
        <vt:lpwstr/>
      </vt:variant>
      <vt:variant>
        <vt:i4>7929919</vt:i4>
      </vt:variant>
      <vt:variant>
        <vt:i4>174</vt:i4>
      </vt:variant>
      <vt:variant>
        <vt:i4>0</vt:i4>
      </vt:variant>
      <vt:variant>
        <vt:i4>5</vt:i4>
      </vt:variant>
      <vt:variant>
        <vt:lpwstr>http://www.thegef.org/project/10113</vt:lpwstr>
      </vt:variant>
      <vt:variant>
        <vt:lpwstr/>
      </vt:variant>
      <vt:variant>
        <vt:i4>7340094</vt:i4>
      </vt:variant>
      <vt:variant>
        <vt:i4>171</vt:i4>
      </vt:variant>
      <vt:variant>
        <vt:i4>0</vt:i4>
      </vt:variant>
      <vt:variant>
        <vt:i4>5</vt:i4>
      </vt:variant>
      <vt:variant>
        <vt:lpwstr>http://www.thegef.org/project/10085</vt:lpwstr>
      </vt:variant>
      <vt:variant>
        <vt:lpwstr/>
      </vt:variant>
      <vt:variant>
        <vt:i4>1835056</vt:i4>
      </vt:variant>
      <vt:variant>
        <vt:i4>164</vt:i4>
      </vt:variant>
      <vt:variant>
        <vt:i4>0</vt:i4>
      </vt:variant>
      <vt:variant>
        <vt:i4>5</vt:i4>
      </vt:variant>
      <vt:variant>
        <vt:lpwstr/>
      </vt:variant>
      <vt:variant>
        <vt:lpwstr>_Toc32494939</vt:lpwstr>
      </vt:variant>
      <vt:variant>
        <vt:i4>1900592</vt:i4>
      </vt:variant>
      <vt:variant>
        <vt:i4>158</vt:i4>
      </vt:variant>
      <vt:variant>
        <vt:i4>0</vt:i4>
      </vt:variant>
      <vt:variant>
        <vt:i4>5</vt:i4>
      </vt:variant>
      <vt:variant>
        <vt:lpwstr/>
      </vt:variant>
      <vt:variant>
        <vt:lpwstr>_Toc32494938</vt:lpwstr>
      </vt:variant>
      <vt:variant>
        <vt:i4>1179696</vt:i4>
      </vt:variant>
      <vt:variant>
        <vt:i4>152</vt:i4>
      </vt:variant>
      <vt:variant>
        <vt:i4>0</vt:i4>
      </vt:variant>
      <vt:variant>
        <vt:i4>5</vt:i4>
      </vt:variant>
      <vt:variant>
        <vt:lpwstr/>
      </vt:variant>
      <vt:variant>
        <vt:lpwstr>_Toc32494937</vt:lpwstr>
      </vt:variant>
      <vt:variant>
        <vt:i4>1245232</vt:i4>
      </vt:variant>
      <vt:variant>
        <vt:i4>146</vt:i4>
      </vt:variant>
      <vt:variant>
        <vt:i4>0</vt:i4>
      </vt:variant>
      <vt:variant>
        <vt:i4>5</vt:i4>
      </vt:variant>
      <vt:variant>
        <vt:lpwstr/>
      </vt:variant>
      <vt:variant>
        <vt:lpwstr>_Toc32494936</vt:lpwstr>
      </vt:variant>
      <vt:variant>
        <vt:i4>1048624</vt:i4>
      </vt:variant>
      <vt:variant>
        <vt:i4>140</vt:i4>
      </vt:variant>
      <vt:variant>
        <vt:i4>0</vt:i4>
      </vt:variant>
      <vt:variant>
        <vt:i4>5</vt:i4>
      </vt:variant>
      <vt:variant>
        <vt:lpwstr/>
      </vt:variant>
      <vt:variant>
        <vt:lpwstr>_Toc32494935</vt:lpwstr>
      </vt:variant>
      <vt:variant>
        <vt:i4>1114160</vt:i4>
      </vt:variant>
      <vt:variant>
        <vt:i4>134</vt:i4>
      </vt:variant>
      <vt:variant>
        <vt:i4>0</vt:i4>
      </vt:variant>
      <vt:variant>
        <vt:i4>5</vt:i4>
      </vt:variant>
      <vt:variant>
        <vt:lpwstr/>
      </vt:variant>
      <vt:variant>
        <vt:lpwstr>_Toc32494934</vt:lpwstr>
      </vt:variant>
      <vt:variant>
        <vt:i4>1441840</vt:i4>
      </vt:variant>
      <vt:variant>
        <vt:i4>128</vt:i4>
      </vt:variant>
      <vt:variant>
        <vt:i4>0</vt:i4>
      </vt:variant>
      <vt:variant>
        <vt:i4>5</vt:i4>
      </vt:variant>
      <vt:variant>
        <vt:lpwstr/>
      </vt:variant>
      <vt:variant>
        <vt:lpwstr>_Toc32494933</vt:lpwstr>
      </vt:variant>
      <vt:variant>
        <vt:i4>1507376</vt:i4>
      </vt:variant>
      <vt:variant>
        <vt:i4>122</vt:i4>
      </vt:variant>
      <vt:variant>
        <vt:i4>0</vt:i4>
      </vt:variant>
      <vt:variant>
        <vt:i4>5</vt:i4>
      </vt:variant>
      <vt:variant>
        <vt:lpwstr/>
      </vt:variant>
      <vt:variant>
        <vt:lpwstr>_Toc32494932</vt:lpwstr>
      </vt:variant>
      <vt:variant>
        <vt:i4>1310768</vt:i4>
      </vt:variant>
      <vt:variant>
        <vt:i4>116</vt:i4>
      </vt:variant>
      <vt:variant>
        <vt:i4>0</vt:i4>
      </vt:variant>
      <vt:variant>
        <vt:i4>5</vt:i4>
      </vt:variant>
      <vt:variant>
        <vt:lpwstr/>
      </vt:variant>
      <vt:variant>
        <vt:lpwstr>_Toc32494931</vt:lpwstr>
      </vt:variant>
      <vt:variant>
        <vt:i4>1376304</vt:i4>
      </vt:variant>
      <vt:variant>
        <vt:i4>110</vt:i4>
      </vt:variant>
      <vt:variant>
        <vt:i4>0</vt:i4>
      </vt:variant>
      <vt:variant>
        <vt:i4>5</vt:i4>
      </vt:variant>
      <vt:variant>
        <vt:lpwstr/>
      </vt:variant>
      <vt:variant>
        <vt:lpwstr>_Toc32494930</vt:lpwstr>
      </vt:variant>
      <vt:variant>
        <vt:i4>1835057</vt:i4>
      </vt:variant>
      <vt:variant>
        <vt:i4>104</vt:i4>
      </vt:variant>
      <vt:variant>
        <vt:i4>0</vt:i4>
      </vt:variant>
      <vt:variant>
        <vt:i4>5</vt:i4>
      </vt:variant>
      <vt:variant>
        <vt:lpwstr/>
      </vt:variant>
      <vt:variant>
        <vt:lpwstr>_Toc32494929</vt:lpwstr>
      </vt:variant>
      <vt:variant>
        <vt:i4>1900593</vt:i4>
      </vt:variant>
      <vt:variant>
        <vt:i4>98</vt:i4>
      </vt:variant>
      <vt:variant>
        <vt:i4>0</vt:i4>
      </vt:variant>
      <vt:variant>
        <vt:i4>5</vt:i4>
      </vt:variant>
      <vt:variant>
        <vt:lpwstr/>
      </vt:variant>
      <vt:variant>
        <vt:lpwstr>_Toc32494928</vt:lpwstr>
      </vt:variant>
      <vt:variant>
        <vt:i4>1179697</vt:i4>
      </vt:variant>
      <vt:variant>
        <vt:i4>92</vt:i4>
      </vt:variant>
      <vt:variant>
        <vt:i4>0</vt:i4>
      </vt:variant>
      <vt:variant>
        <vt:i4>5</vt:i4>
      </vt:variant>
      <vt:variant>
        <vt:lpwstr/>
      </vt:variant>
      <vt:variant>
        <vt:lpwstr>_Toc32494927</vt:lpwstr>
      </vt:variant>
      <vt:variant>
        <vt:i4>1245233</vt:i4>
      </vt:variant>
      <vt:variant>
        <vt:i4>86</vt:i4>
      </vt:variant>
      <vt:variant>
        <vt:i4>0</vt:i4>
      </vt:variant>
      <vt:variant>
        <vt:i4>5</vt:i4>
      </vt:variant>
      <vt:variant>
        <vt:lpwstr/>
      </vt:variant>
      <vt:variant>
        <vt:lpwstr>_Toc32494926</vt:lpwstr>
      </vt:variant>
      <vt:variant>
        <vt:i4>1048625</vt:i4>
      </vt:variant>
      <vt:variant>
        <vt:i4>80</vt:i4>
      </vt:variant>
      <vt:variant>
        <vt:i4>0</vt:i4>
      </vt:variant>
      <vt:variant>
        <vt:i4>5</vt:i4>
      </vt:variant>
      <vt:variant>
        <vt:lpwstr/>
      </vt:variant>
      <vt:variant>
        <vt:lpwstr>_Toc32494925</vt:lpwstr>
      </vt:variant>
      <vt:variant>
        <vt:i4>1114161</vt:i4>
      </vt:variant>
      <vt:variant>
        <vt:i4>74</vt:i4>
      </vt:variant>
      <vt:variant>
        <vt:i4>0</vt:i4>
      </vt:variant>
      <vt:variant>
        <vt:i4>5</vt:i4>
      </vt:variant>
      <vt:variant>
        <vt:lpwstr/>
      </vt:variant>
      <vt:variant>
        <vt:lpwstr>_Toc32494924</vt:lpwstr>
      </vt:variant>
      <vt:variant>
        <vt:i4>1441841</vt:i4>
      </vt:variant>
      <vt:variant>
        <vt:i4>68</vt:i4>
      </vt:variant>
      <vt:variant>
        <vt:i4>0</vt:i4>
      </vt:variant>
      <vt:variant>
        <vt:i4>5</vt:i4>
      </vt:variant>
      <vt:variant>
        <vt:lpwstr/>
      </vt:variant>
      <vt:variant>
        <vt:lpwstr>_Toc32494923</vt:lpwstr>
      </vt:variant>
      <vt:variant>
        <vt:i4>1507377</vt:i4>
      </vt:variant>
      <vt:variant>
        <vt:i4>62</vt:i4>
      </vt:variant>
      <vt:variant>
        <vt:i4>0</vt:i4>
      </vt:variant>
      <vt:variant>
        <vt:i4>5</vt:i4>
      </vt:variant>
      <vt:variant>
        <vt:lpwstr/>
      </vt:variant>
      <vt:variant>
        <vt:lpwstr>_Toc32494922</vt:lpwstr>
      </vt:variant>
      <vt:variant>
        <vt:i4>1310769</vt:i4>
      </vt:variant>
      <vt:variant>
        <vt:i4>56</vt:i4>
      </vt:variant>
      <vt:variant>
        <vt:i4>0</vt:i4>
      </vt:variant>
      <vt:variant>
        <vt:i4>5</vt:i4>
      </vt:variant>
      <vt:variant>
        <vt:lpwstr/>
      </vt:variant>
      <vt:variant>
        <vt:lpwstr>_Toc32494921</vt:lpwstr>
      </vt:variant>
      <vt:variant>
        <vt:i4>1376305</vt:i4>
      </vt:variant>
      <vt:variant>
        <vt:i4>50</vt:i4>
      </vt:variant>
      <vt:variant>
        <vt:i4>0</vt:i4>
      </vt:variant>
      <vt:variant>
        <vt:i4>5</vt:i4>
      </vt:variant>
      <vt:variant>
        <vt:lpwstr/>
      </vt:variant>
      <vt:variant>
        <vt:lpwstr>_Toc32494920</vt:lpwstr>
      </vt:variant>
      <vt:variant>
        <vt:i4>1835058</vt:i4>
      </vt:variant>
      <vt:variant>
        <vt:i4>44</vt:i4>
      </vt:variant>
      <vt:variant>
        <vt:i4>0</vt:i4>
      </vt:variant>
      <vt:variant>
        <vt:i4>5</vt:i4>
      </vt:variant>
      <vt:variant>
        <vt:lpwstr/>
      </vt:variant>
      <vt:variant>
        <vt:lpwstr>_Toc32494919</vt:lpwstr>
      </vt:variant>
      <vt:variant>
        <vt:i4>1900594</vt:i4>
      </vt:variant>
      <vt:variant>
        <vt:i4>38</vt:i4>
      </vt:variant>
      <vt:variant>
        <vt:i4>0</vt:i4>
      </vt:variant>
      <vt:variant>
        <vt:i4>5</vt:i4>
      </vt:variant>
      <vt:variant>
        <vt:lpwstr/>
      </vt:variant>
      <vt:variant>
        <vt:lpwstr>_Toc32494918</vt:lpwstr>
      </vt:variant>
      <vt:variant>
        <vt:i4>1179698</vt:i4>
      </vt:variant>
      <vt:variant>
        <vt:i4>32</vt:i4>
      </vt:variant>
      <vt:variant>
        <vt:i4>0</vt:i4>
      </vt:variant>
      <vt:variant>
        <vt:i4>5</vt:i4>
      </vt:variant>
      <vt:variant>
        <vt:lpwstr/>
      </vt:variant>
      <vt:variant>
        <vt:lpwstr>_Toc32494917</vt:lpwstr>
      </vt:variant>
      <vt:variant>
        <vt:i4>1245234</vt:i4>
      </vt:variant>
      <vt:variant>
        <vt:i4>26</vt:i4>
      </vt:variant>
      <vt:variant>
        <vt:i4>0</vt:i4>
      </vt:variant>
      <vt:variant>
        <vt:i4>5</vt:i4>
      </vt:variant>
      <vt:variant>
        <vt:lpwstr/>
      </vt:variant>
      <vt:variant>
        <vt:lpwstr>_Toc32494916</vt:lpwstr>
      </vt:variant>
      <vt:variant>
        <vt:i4>1048626</vt:i4>
      </vt:variant>
      <vt:variant>
        <vt:i4>20</vt:i4>
      </vt:variant>
      <vt:variant>
        <vt:i4>0</vt:i4>
      </vt:variant>
      <vt:variant>
        <vt:i4>5</vt:i4>
      </vt:variant>
      <vt:variant>
        <vt:lpwstr/>
      </vt:variant>
      <vt:variant>
        <vt:lpwstr>_Toc32494915</vt:lpwstr>
      </vt:variant>
      <vt:variant>
        <vt:i4>1114162</vt:i4>
      </vt:variant>
      <vt:variant>
        <vt:i4>14</vt:i4>
      </vt:variant>
      <vt:variant>
        <vt:i4>0</vt:i4>
      </vt:variant>
      <vt:variant>
        <vt:i4>5</vt:i4>
      </vt:variant>
      <vt:variant>
        <vt:lpwstr/>
      </vt:variant>
      <vt:variant>
        <vt:lpwstr>_Toc32494914</vt:lpwstr>
      </vt:variant>
      <vt:variant>
        <vt:i4>1441842</vt:i4>
      </vt:variant>
      <vt:variant>
        <vt:i4>8</vt:i4>
      </vt:variant>
      <vt:variant>
        <vt:i4>0</vt:i4>
      </vt:variant>
      <vt:variant>
        <vt:i4>5</vt:i4>
      </vt:variant>
      <vt:variant>
        <vt:lpwstr/>
      </vt:variant>
      <vt:variant>
        <vt:lpwstr>_Toc32494913</vt:lpwstr>
      </vt:variant>
      <vt:variant>
        <vt:i4>1507378</vt:i4>
      </vt:variant>
      <vt:variant>
        <vt:i4>2</vt:i4>
      </vt:variant>
      <vt:variant>
        <vt:i4>0</vt:i4>
      </vt:variant>
      <vt:variant>
        <vt:i4>5</vt:i4>
      </vt:variant>
      <vt:variant>
        <vt:lpwstr/>
      </vt:variant>
      <vt:variant>
        <vt:lpwstr>_Toc32494912</vt:lpwstr>
      </vt:variant>
      <vt:variant>
        <vt:i4>5767194</vt:i4>
      </vt:variant>
      <vt:variant>
        <vt:i4>33</vt:i4>
      </vt:variant>
      <vt:variant>
        <vt:i4>0</vt:i4>
      </vt:variant>
      <vt:variant>
        <vt:i4>5</vt:i4>
      </vt:variant>
      <vt:variant>
        <vt:lpwstr>https://www.gefieo.org/evaluations/evaluation-gef-support-scaling-impact-2019</vt:lpwstr>
      </vt:variant>
      <vt:variant>
        <vt:lpwstr/>
      </vt:variant>
      <vt:variant>
        <vt:i4>1704010</vt:i4>
      </vt:variant>
      <vt:variant>
        <vt:i4>30</vt:i4>
      </vt:variant>
      <vt:variant>
        <vt:i4>0</vt:i4>
      </vt:variant>
      <vt:variant>
        <vt:i4>5</vt:i4>
      </vt:variant>
      <vt:variant>
        <vt:lpwstr>http://www.gefieo.org/sites/default/files/ieo/evaluations/files/transformational-change-2017.pdf</vt:lpwstr>
      </vt:variant>
      <vt:variant>
        <vt:lpwstr/>
      </vt:variant>
      <vt:variant>
        <vt:i4>4522016</vt:i4>
      </vt:variant>
      <vt:variant>
        <vt:i4>27</vt:i4>
      </vt:variant>
      <vt:variant>
        <vt:i4>0</vt:i4>
      </vt:variant>
      <vt:variant>
        <vt:i4>5</vt:i4>
      </vt:variant>
      <vt:variant>
        <vt:lpwstr>http://www.gefieo.org/sites/default/files/ieo/evaluations/files/iaps-2017_0.pdf</vt:lpwstr>
      </vt:variant>
      <vt:variant>
        <vt:lpwstr/>
      </vt:variant>
      <vt:variant>
        <vt:i4>3801124</vt:i4>
      </vt:variant>
      <vt:variant>
        <vt:i4>24</vt:i4>
      </vt:variant>
      <vt:variant>
        <vt:i4>0</vt:i4>
      </vt:variant>
      <vt:variant>
        <vt:i4>5</vt:i4>
      </vt:variant>
      <vt:variant>
        <vt:lpwstr>https://www.gefieo.org/evaluations/evaluation-gefs-support-mainstreaming-biodiversity-2018</vt:lpwstr>
      </vt:variant>
      <vt:variant>
        <vt:lpwstr/>
      </vt:variant>
      <vt:variant>
        <vt:i4>3801124</vt:i4>
      </vt:variant>
      <vt:variant>
        <vt:i4>21</vt:i4>
      </vt:variant>
      <vt:variant>
        <vt:i4>0</vt:i4>
      </vt:variant>
      <vt:variant>
        <vt:i4>5</vt:i4>
      </vt:variant>
      <vt:variant>
        <vt:lpwstr>https://www.gefieo.org/evaluations/evaluation-gefs-support-mainstreaming-biodiversity-2018</vt:lpwstr>
      </vt:variant>
      <vt:variant>
        <vt:lpwstr/>
      </vt:variant>
      <vt:variant>
        <vt:i4>3801124</vt:i4>
      </vt:variant>
      <vt:variant>
        <vt:i4>18</vt:i4>
      </vt:variant>
      <vt:variant>
        <vt:i4>0</vt:i4>
      </vt:variant>
      <vt:variant>
        <vt:i4>5</vt:i4>
      </vt:variant>
      <vt:variant>
        <vt:lpwstr>https://www.gefieo.org/evaluations/evaluation-gefs-support-mainstreaming-biodiversity-2018</vt:lpwstr>
      </vt:variant>
      <vt:variant>
        <vt:lpwstr/>
      </vt:variant>
      <vt:variant>
        <vt:i4>7209048</vt:i4>
      </vt:variant>
      <vt:variant>
        <vt:i4>15</vt:i4>
      </vt:variant>
      <vt:variant>
        <vt:i4>0</vt:i4>
      </vt:variant>
      <vt:variant>
        <vt:i4>5</vt:i4>
      </vt:variant>
      <vt:variant>
        <vt:lpwstr>http://www.thegef.org/sites/default/files/council-meeting-documents/EN_GEF.C.54.11.Rev_.02_Results.pdf</vt:lpwstr>
      </vt:variant>
      <vt:variant>
        <vt:lpwstr/>
      </vt:variant>
      <vt:variant>
        <vt:i4>6160491</vt:i4>
      </vt:variant>
      <vt:variant>
        <vt:i4>12</vt:i4>
      </vt:variant>
      <vt:variant>
        <vt:i4>0</vt:i4>
      </vt:variant>
      <vt:variant>
        <vt:i4>5</vt:i4>
      </vt:variant>
      <vt:variant>
        <vt:lpwstr>http://www.thegef.org/sites/default/files/council-meeting-documents/EN_GEF.C.57.03_GEF Monitoring Report 2019_0.pdf</vt:lpwstr>
      </vt:variant>
      <vt:variant>
        <vt:lpwstr/>
      </vt:variant>
      <vt:variant>
        <vt:i4>5439587</vt:i4>
      </vt:variant>
      <vt:variant>
        <vt:i4>9</vt:i4>
      </vt:variant>
      <vt:variant>
        <vt:i4>0</vt:i4>
      </vt:variant>
      <vt:variant>
        <vt:i4>5</vt:i4>
      </vt:variant>
      <vt:variant>
        <vt:lpwstr>https://www.thegef.org/sites/default/files/council-meeting-documents/EN_GEF.C.56.03.Rev_.01_Policy_on_Monitoring.pdf</vt:lpwstr>
      </vt:variant>
      <vt:variant>
        <vt:lpwstr/>
      </vt:variant>
      <vt:variant>
        <vt:i4>262185</vt:i4>
      </vt:variant>
      <vt:variant>
        <vt:i4>6</vt:i4>
      </vt:variant>
      <vt:variant>
        <vt:i4>0</vt:i4>
      </vt:variant>
      <vt:variant>
        <vt:i4>5</vt:i4>
      </vt:variant>
      <vt:variant>
        <vt:lpwstr>https://www.thegef.org/sites/default/files/council-meeting-documents/EN_GEF.C.55.07_ES_Safeguards.pdf</vt:lpwstr>
      </vt:variant>
      <vt:variant>
        <vt:lpwstr/>
      </vt:variant>
      <vt:variant>
        <vt:i4>2031705</vt:i4>
      </vt:variant>
      <vt:variant>
        <vt:i4>3</vt:i4>
      </vt:variant>
      <vt:variant>
        <vt:i4>0</vt:i4>
      </vt:variant>
      <vt:variant>
        <vt:i4>5</vt:i4>
      </vt:variant>
      <vt:variant>
        <vt:lpwstr>https://www.thegef.org/sites/default/files/council-meeting-documents/EN_GEF_C.57_07_Work Program for GEF Trust Fund.pdf</vt:lpwstr>
      </vt:variant>
      <vt:variant>
        <vt:lpwstr/>
      </vt:variant>
      <vt:variant>
        <vt:i4>7209048</vt:i4>
      </vt:variant>
      <vt:variant>
        <vt:i4>0</vt:i4>
      </vt:variant>
      <vt:variant>
        <vt:i4>0</vt:i4>
      </vt:variant>
      <vt:variant>
        <vt:i4>5</vt:i4>
      </vt:variant>
      <vt:variant>
        <vt:lpwstr>http://www.thegef.org/sites/default/files/council-meeting-documents/EN_GEF.C.54.11.Rev_.02_Results.pdf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mechanism - PRELIMINARY REPORT OF THE GLOBAL ENVIRONMENT FACILITY</dc:title>
  <dc:subject>CBD/SBI/3/6/Add.1</dc:subject>
  <dc:creator>Mark Thomas Zimsky</dc:creator>
  <cp:keywords>Subsidiary Body on Implementation, third meeting</cp:keywords>
  <dc:description/>
  <cp:lastModifiedBy>Veronique Lefebvre</cp:lastModifiedBy>
  <cp:revision>3</cp:revision>
  <cp:lastPrinted>2020-02-10T21:22:00Z</cp:lastPrinted>
  <dcterms:created xsi:type="dcterms:W3CDTF">2020-07-20T19:24:00Z</dcterms:created>
  <dcterms:modified xsi:type="dcterms:W3CDTF">2020-07-20T19:25:00Z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