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2494A353" w14:textId="77777777" w:rsidTr="008A1499">
        <w:trPr>
          <w:trHeight w:val="850"/>
        </w:trPr>
        <w:tc>
          <w:tcPr>
            <w:tcW w:w="975" w:type="dxa"/>
            <w:vAlign w:val="bottom"/>
          </w:tcPr>
          <w:p w14:paraId="34FB5A2C"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9BF1C2F" w14:textId="77777777" w:rsidR="008A1499" w:rsidRPr="003F1A75" w:rsidRDefault="008A1499" w:rsidP="008A1499">
            <w:pPr>
              <w:pStyle w:val="AASmallLogo"/>
            </w:pPr>
          </w:p>
        </w:tc>
        <w:tc>
          <w:tcPr>
            <w:tcW w:w="1434" w:type="dxa"/>
            <w:noWrap/>
            <w:vAlign w:val="bottom"/>
          </w:tcPr>
          <w:p w14:paraId="23A8F484" w14:textId="493914F8" w:rsidR="008A1499" w:rsidRPr="003F1A75" w:rsidRDefault="00D40773" w:rsidP="008A1499">
            <w:pPr>
              <w:pStyle w:val="AASmallLogo"/>
            </w:pPr>
            <w:r w:rsidRPr="00E05C9A">
              <w:rPr>
                <w:noProof/>
                <w:color w:val="000000" w:themeColor="text1"/>
                <w:lang w:val="fr-FR" w:eastAsia="fr-FR"/>
              </w:rPr>
              <w:drawing>
                <wp:inline distT="0" distB="0" distL="0" distR="0" wp14:anchorId="2DE64CE1" wp14:editId="772024F5">
                  <wp:extent cx="590550" cy="361950"/>
                  <wp:effectExtent l="0" t="0" r="0" b="0"/>
                  <wp:docPr id="162280471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3F1A75">
              <w:t xml:space="preserve"> </w:t>
            </w:r>
          </w:p>
          <w:p w14:paraId="23B943B2" w14:textId="77777777" w:rsidR="008A1499" w:rsidRPr="003F1A75" w:rsidRDefault="008A1499" w:rsidP="008A1499">
            <w:pPr>
              <w:pStyle w:val="AASmallLogo"/>
            </w:pPr>
          </w:p>
        </w:tc>
        <w:tc>
          <w:tcPr>
            <w:tcW w:w="8073" w:type="dxa"/>
            <w:vAlign w:val="bottom"/>
          </w:tcPr>
          <w:p w14:paraId="1566D20B" w14:textId="213C59E5" w:rsidR="008A1499" w:rsidRPr="003F1A75" w:rsidRDefault="008A1499" w:rsidP="003F1A75">
            <w:pPr>
              <w:pStyle w:val="ABSymbol"/>
            </w:pPr>
            <w:r w:rsidRPr="003F1A75">
              <w:rPr>
                <w:sz w:val="40"/>
              </w:rPr>
              <w:t>CBD</w:t>
            </w:r>
            <w:r w:rsidRPr="003F1A75">
              <w:t>/</w:t>
            </w:r>
            <w:r w:rsidR="00975047">
              <w:t>NP</w:t>
            </w:r>
            <w:r w:rsidRPr="003F1A75">
              <w:t>/</w:t>
            </w:r>
            <w:r w:rsidR="00975047">
              <w:t>MOP/6/</w:t>
            </w:r>
            <w:r w:rsidR="00CA7194">
              <w:t>/L</w:t>
            </w:r>
            <w:r w:rsidR="00BD5749">
              <w:t>.</w:t>
            </w:r>
            <w:r w:rsidR="00CA7194">
              <w:t>5</w:t>
            </w:r>
          </w:p>
        </w:tc>
      </w:tr>
    </w:tbl>
    <w:p w14:paraId="754A6AE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0546F" w14:paraId="6D3122D5" w14:textId="77777777" w:rsidTr="008A1499">
        <w:trPr>
          <w:trHeight w:val="1814"/>
        </w:trPr>
        <w:tc>
          <w:tcPr>
            <w:tcW w:w="7370" w:type="dxa"/>
          </w:tcPr>
          <w:p w14:paraId="42F36819" w14:textId="276976D2" w:rsidR="008A1499" w:rsidRPr="003F1A75" w:rsidRDefault="00D40773" w:rsidP="008A1499">
            <w:pPr>
              <w:pStyle w:val="ACLargeLogo"/>
            </w:pPr>
            <w:r w:rsidRPr="00E05C9A">
              <w:rPr>
                <w:noProof/>
                <w:color w:val="000000" w:themeColor="text1"/>
                <w:lang w:val="fr-FR" w:eastAsia="fr-FR"/>
              </w:rPr>
              <w:drawing>
                <wp:inline distT="0" distB="0" distL="0" distR="0" wp14:anchorId="7AEF8086" wp14:editId="51229DD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3F1A75">
              <w:t xml:space="preserve"> </w:t>
            </w:r>
          </w:p>
          <w:p w14:paraId="0EED54A3" w14:textId="77777777" w:rsidR="008A1499" w:rsidRPr="003F1A75" w:rsidRDefault="008A1499" w:rsidP="008A1499">
            <w:pPr>
              <w:pStyle w:val="ACLargeLogo"/>
            </w:pPr>
          </w:p>
        </w:tc>
        <w:tc>
          <w:tcPr>
            <w:tcW w:w="3112" w:type="dxa"/>
          </w:tcPr>
          <w:p w14:paraId="41D4A49E" w14:textId="75E34FCA" w:rsidR="008A1499" w:rsidRPr="00CA7194" w:rsidRDefault="008A1499" w:rsidP="008A1499">
            <w:pPr>
              <w:pStyle w:val="AEDistrNormal"/>
              <w:rPr>
                <w:lang w:val="fr-FR"/>
              </w:rPr>
            </w:pPr>
            <w:r w:rsidRPr="00CA7194">
              <w:rPr>
                <w:lang w:val="fr-FR"/>
              </w:rPr>
              <w:t>Distr.</w:t>
            </w:r>
            <w:r w:rsidR="004E5CCD" w:rsidRPr="00CA7194">
              <w:rPr>
                <w:lang w:val="fr-FR"/>
              </w:rPr>
              <w:t xml:space="preserve"> limitée</w:t>
            </w:r>
            <w:r w:rsidRPr="00CA7194">
              <w:rPr>
                <w:lang w:val="fr-FR"/>
              </w:rPr>
              <w:t xml:space="preserve"> </w:t>
            </w:r>
          </w:p>
          <w:p w14:paraId="15BC0C1B" w14:textId="03E0FBAD" w:rsidR="008A1499" w:rsidRPr="00CA7194" w:rsidRDefault="001A6A15" w:rsidP="008A1499">
            <w:pPr>
              <w:pStyle w:val="AEDistrNormal"/>
              <w:rPr>
                <w:lang w:val="fr-FR"/>
              </w:rPr>
            </w:pPr>
            <w:r w:rsidRPr="00CA7194">
              <w:rPr>
                <w:lang w:val="fr-FR"/>
              </w:rPr>
              <w:t>2</w:t>
            </w:r>
            <w:r w:rsidR="00CA7194">
              <w:rPr>
                <w:lang w:val="fr-FR"/>
              </w:rPr>
              <w:t>3</w:t>
            </w:r>
            <w:r w:rsidR="00BD5749" w:rsidRPr="00CA7194">
              <w:rPr>
                <w:lang w:val="fr-FR"/>
              </w:rPr>
              <w:t xml:space="preserve"> </w:t>
            </w:r>
            <w:r w:rsidR="004E5CCD" w:rsidRPr="00CA7194">
              <w:rPr>
                <w:lang w:val="fr-FR"/>
              </w:rPr>
              <w:t xml:space="preserve">octobre </w:t>
            </w:r>
            <w:r w:rsidR="0087796A" w:rsidRPr="00CA7194">
              <w:rPr>
                <w:lang w:val="fr-FR"/>
              </w:rPr>
              <w:t>2026</w:t>
            </w:r>
          </w:p>
          <w:p w14:paraId="51F2C9A9" w14:textId="77777777" w:rsidR="004E5CCD" w:rsidRPr="00CA7194" w:rsidRDefault="004E5CCD" w:rsidP="004E5CCD">
            <w:pPr>
              <w:pStyle w:val="AEDistrNormal"/>
              <w:rPr>
                <w:lang w:val="fr-FR"/>
              </w:rPr>
            </w:pPr>
            <w:r w:rsidRPr="00CA7194">
              <w:rPr>
                <w:lang w:val="fr-FR"/>
              </w:rPr>
              <w:t>Français</w:t>
            </w:r>
          </w:p>
          <w:p w14:paraId="6A291EF4" w14:textId="6A3B0045" w:rsidR="008A1499" w:rsidRPr="00CA7194" w:rsidRDefault="004E5CCD" w:rsidP="004E5CCD">
            <w:pPr>
              <w:pStyle w:val="AEDistrNormal"/>
              <w:rPr>
                <w:lang w:val="fr-FR"/>
              </w:rPr>
            </w:pPr>
            <w:r w:rsidRPr="00CA7194">
              <w:rPr>
                <w:lang w:val="fr-FR"/>
              </w:rPr>
              <w:t xml:space="preserve">Original : anglais </w:t>
            </w:r>
          </w:p>
          <w:p w14:paraId="46956ADB" w14:textId="77777777" w:rsidR="008A1499" w:rsidRPr="00CA7194" w:rsidRDefault="008A1499" w:rsidP="008A1499">
            <w:pPr>
              <w:pStyle w:val="AEDistrNormal6pt"/>
              <w:rPr>
                <w:lang w:val="fr-FR"/>
              </w:rPr>
            </w:pPr>
          </w:p>
        </w:tc>
      </w:tr>
    </w:tbl>
    <w:p w14:paraId="111225F7" w14:textId="77777777" w:rsidR="008A1499" w:rsidRPr="00CA7194"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3E59709" w14:textId="77777777" w:rsidTr="00E55664">
        <w:trPr>
          <w:trHeight w:val="2358"/>
        </w:trPr>
        <w:tc>
          <w:tcPr>
            <w:tcW w:w="6094" w:type="dxa"/>
          </w:tcPr>
          <w:p w14:paraId="4D6D7FC8" w14:textId="3FA69F22" w:rsidR="00D40773" w:rsidRPr="004B0859" w:rsidRDefault="00D40773" w:rsidP="00D40773">
            <w:pPr>
              <w:pStyle w:val="AFCorNNormal"/>
              <w:rPr>
                <w:rFonts w:asciiTheme="majorBidi" w:hAnsiTheme="majorBidi" w:cstheme="majorBidi"/>
                <w:sz w:val="24"/>
                <w:szCs w:val="24"/>
                <w:lang w:val="fr-FR"/>
              </w:rPr>
            </w:pPr>
            <w:r w:rsidRPr="004B0859">
              <w:rPr>
                <w:rFonts w:asciiTheme="majorBidi" w:hAnsiTheme="majorBidi" w:cstheme="majorBidi"/>
                <w:b/>
                <w:bCs/>
                <w:color w:val="212529"/>
                <w:sz w:val="24"/>
                <w:szCs w:val="24"/>
                <w:shd w:val="clear" w:color="auto" w:fill="FFFFFF"/>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45A781DF" w14:textId="48940927" w:rsidR="008A1499" w:rsidRPr="00D40773" w:rsidRDefault="00975047" w:rsidP="008A1499">
            <w:pPr>
              <w:pStyle w:val="AFCorNBold"/>
              <w:rPr>
                <w:lang w:val="fr-FR"/>
              </w:rPr>
            </w:pPr>
            <w:r w:rsidRPr="00D40773">
              <w:rPr>
                <w:lang w:val="fr-FR"/>
              </w:rPr>
              <w:t>Si</w:t>
            </w:r>
            <w:r w:rsidR="00D40773" w:rsidRPr="00D40773">
              <w:rPr>
                <w:lang w:val="fr-FR"/>
              </w:rPr>
              <w:t>xième réunion</w:t>
            </w:r>
          </w:p>
          <w:p w14:paraId="462E33D6" w14:textId="25D2D389" w:rsidR="008A1499" w:rsidRPr="00D40773" w:rsidRDefault="00D40773" w:rsidP="008A1499">
            <w:pPr>
              <w:pStyle w:val="AFCorNNormal"/>
              <w:rPr>
                <w:lang w:val="fr-FR"/>
              </w:rPr>
            </w:pPr>
            <w:r w:rsidRPr="00D40773">
              <w:rPr>
                <w:lang w:val="fr-FR"/>
              </w:rPr>
              <w:t>E</w:t>
            </w:r>
            <w:r w:rsidR="00975047" w:rsidRPr="00D40773">
              <w:rPr>
                <w:lang w:val="fr-FR"/>
              </w:rPr>
              <w:t xml:space="preserve">revan, 19–30 </w:t>
            </w:r>
            <w:r w:rsidRPr="00D40773">
              <w:rPr>
                <w:lang w:val="fr-FR"/>
              </w:rPr>
              <w:t xml:space="preserve">octobre </w:t>
            </w:r>
            <w:r w:rsidR="00975047" w:rsidRPr="00D40773">
              <w:rPr>
                <w:lang w:val="fr-FR"/>
              </w:rPr>
              <w:t>2026</w:t>
            </w:r>
          </w:p>
          <w:p w14:paraId="75876936" w14:textId="03631BCB" w:rsidR="008A1499" w:rsidRPr="00D40773" w:rsidRDefault="00D40773" w:rsidP="008A1499">
            <w:pPr>
              <w:pStyle w:val="AFCorNNormal"/>
              <w:rPr>
                <w:lang w:val="fr-FR"/>
              </w:rPr>
            </w:pPr>
            <w:r w:rsidRPr="00D40773">
              <w:rPr>
                <w:lang w:val="fr-FR"/>
              </w:rPr>
              <w:t>Point</w:t>
            </w:r>
            <w:r w:rsidR="008A1499" w:rsidRPr="00D40773">
              <w:rPr>
                <w:lang w:val="fr-FR"/>
              </w:rPr>
              <w:t xml:space="preserve"> </w:t>
            </w:r>
            <w:r w:rsidR="00BD5749" w:rsidRPr="00D40773">
              <w:rPr>
                <w:lang w:val="fr-FR"/>
              </w:rPr>
              <w:t>9</w:t>
            </w:r>
            <w:r w:rsidRPr="00D40773">
              <w:rPr>
                <w:lang w:val="fr-FR"/>
              </w:rPr>
              <w:t xml:space="preserve"> de l’ordre du jour</w:t>
            </w:r>
            <w:r w:rsidR="008A1499" w:rsidRPr="00D40773">
              <w:rPr>
                <w:lang w:val="fr-FR"/>
              </w:rPr>
              <w:t xml:space="preserve"> </w:t>
            </w:r>
          </w:p>
          <w:p w14:paraId="1C4E2722" w14:textId="1B48E7D4" w:rsidR="008A1499" w:rsidRPr="00D40773" w:rsidRDefault="00D40773" w:rsidP="008A1499">
            <w:pPr>
              <w:pStyle w:val="AFCorNBold"/>
              <w:rPr>
                <w:lang w:val="fr-FR"/>
              </w:rPr>
            </w:pPr>
            <w:r w:rsidRPr="00D40773">
              <w:rPr>
                <w:lang w:val="fr-FR"/>
              </w:rPr>
              <w:t xml:space="preserve">Amélioration de la mise en </w:t>
            </w:r>
            <w:r>
              <w:rPr>
                <w:lang w:val="fr-FR"/>
              </w:rPr>
              <w:t>œuvre</w:t>
            </w:r>
            <w:r w:rsidRPr="00D40773">
              <w:rPr>
                <w:lang w:val="fr-FR"/>
              </w:rPr>
              <w:t xml:space="preserve"> du Protocole de Nagoya</w:t>
            </w:r>
          </w:p>
          <w:p w14:paraId="66DC3FF7" w14:textId="1A3E4043" w:rsidR="005649FD" w:rsidRPr="005649FD" w:rsidRDefault="005649FD" w:rsidP="005649FD">
            <w:pPr>
              <w:pStyle w:val="AFCorNNormal"/>
            </w:pPr>
          </w:p>
        </w:tc>
        <w:tc>
          <w:tcPr>
            <w:tcW w:w="4388" w:type="dxa"/>
          </w:tcPr>
          <w:p w14:paraId="2A8ED09B" w14:textId="77777777" w:rsidR="008A1499" w:rsidRPr="003F1A75" w:rsidRDefault="008A1499" w:rsidP="008A1499">
            <w:pPr>
              <w:pStyle w:val="CBDNormal"/>
              <w:jc w:val="left"/>
            </w:pPr>
          </w:p>
        </w:tc>
      </w:tr>
    </w:tbl>
    <w:p w14:paraId="59E00E1B" w14:textId="3B1CA07F" w:rsidR="00C9161D" w:rsidRPr="004E5CCD" w:rsidRDefault="007733B4" w:rsidP="001A6A15">
      <w:pPr>
        <w:pStyle w:val="CBDTitle"/>
        <w:rPr>
          <w:caps/>
          <w:lang w:val="fr-FR"/>
        </w:rPr>
      </w:pPr>
      <w:sdt>
        <w:sdtPr>
          <w:rPr>
            <w:lang w:val="fr-CA"/>
          </w:r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EndPr/>
        <w:sdtContent>
          <w:r w:rsidR="004E5CCD" w:rsidRPr="004E5CCD">
            <w:rPr>
              <w:lang w:val="fr-CA"/>
            </w:rPr>
            <w:t>Amélioration de la mise en œuvre du Protocole de Nagoya</w:t>
          </w:r>
        </w:sdtContent>
      </w:sdt>
      <w:r w:rsidR="00105372" w:rsidRPr="004E5CCD">
        <w:rPr>
          <w:caps/>
          <w:lang w:val="fr-FR"/>
        </w:rPr>
        <w:t xml:space="preserve"> </w:t>
      </w:r>
    </w:p>
    <w:p w14:paraId="48F29D90" w14:textId="7E40A12A" w:rsidR="005649FD" w:rsidRPr="00D40773" w:rsidRDefault="00D40773" w:rsidP="005F39C6">
      <w:pPr>
        <w:pStyle w:val="CBDSubTitle"/>
        <w:rPr>
          <w:lang w:val="fr-FR"/>
        </w:rPr>
      </w:pPr>
      <w:r w:rsidRPr="00D40773">
        <w:rPr>
          <w:lang w:val="fr-FR"/>
        </w:rPr>
        <w:t xml:space="preserve">Projet de décision </w:t>
      </w:r>
      <w:r w:rsidR="004B0859">
        <w:rPr>
          <w:lang w:val="fr-FR"/>
        </w:rPr>
        <w:t>soumis</w:t>
      </w:r>
      <w:r w:rsidRPr="00D40773">
        <w:rPr>
          <w:lang w:val="fr-FR"/>
        </w:rPr>
        <w:t xml:space="preserve"> par le Président du Groupe de travail </w:t>
      </w:r>
      <w:r w:rsidR="00F30F12" w:rsidRPr="00D40773">
        <w:rPr>
          <w:lang w:val="fr-FR"/>
        </w:rPr>
        <w:t>I</w:t>
      </w:r>
    </w:p>
    <w:p w14:paraId="5305E601" w14:textId="77777777" w:rsidR="004E5CCD" w:rsidRPr="0086516F" w:rsidRDefault="004E5CCD" w:rsidP="004E5CCD">
      <w:pPr>
        <w:pStyle w:val="Para20"/>
        <w:ind w:left="1134"/>
        <w:rPr>
          <w:i/>
          <w:iCs/>
          <w:color w:val="000000" w:themeColor="text1"/>
          <w:lang w:val="fr-FR"/>
        </w:rPr>
      </w:pPr>
      <w:r w:rsidRPr="0086516F">
        <w:rPr>
          <w:i/>
          <w:iCs/>
          <w:color w:val="000000" w:themeColor="text1"/>
          <w:lang w:val="fr-FR"/>
        </w:rPr>
        <w:t>La Conférence des Parties siégeant en tant que réunion des Parties au Protocole de Nagoya</w:t>
      </w:r>
    </w:p>
    <w:p w14:paraId="24559B3E" w14:textId="77777777" w:rsidR="004E5CCD" w:rsidRPr="0086516F" w:rsidRDefault="004E5CCD" w:rsidP="004E5CCD">
      <w:pPr>
        <w:pStyle w:val="CBDNormalNoNumber"/>
        <w:keepNext/>
        <w:rPr>
          <w:bCs/>
          <w:color w:val="000000" w:themeColor="text1"/>
          <w:u w:color="000000"/>
          <w:bdr w:val="nil"/>
          <w:lang w:val="fr-FR"/>
        </w:rPr>
      </w:pPr>
      <w:r w:rsidRPr="0086516F">
        <w:rPr>
          <w:b/>
          <w:bCs/>
          <w:color w:val="000000" w:themeColor="text1"/>
          <w:u w:color="000000"/>
          <w:bdr w:val="nil"/>
          <w:lang w:val="fr-FR"/>
        </w:rPr>
        <w:t>I</w:t>
      </w:r>
      <w:r w:rsidRPr="0086516F">
        <w:rPr>
          <w:b/>
          <w:bCs/>
          <w:color w:val="000000" w:themeColor="text1"/>
          <w:u w:color="000000"/>
          <w:bdr w:val="nil"/>
          <w:lang w:val="fr-FR"/>
        </w:rPr>
        <w:br/>
        <w:t>Création et renforcement des capacités et sensibilisation</w:t>
      </w:r>
    </w:p>
    <w:p w14:paraId="03315C10" w14:textId="77777777" w:rsidR="004E5CCD" w:rsidRPr="0086516F" w:rsidRDefault="004E5CCD" w:rsidP="00AB3077">
      <w:pPr>
        <w:pStyle w:val="CBDNormalNumber"/>
        <w:numPr>
          <w:ilvl w:val="0"/>
          <w:numId w:val="0"/>
        </w:numPr>
        <w:tabs>
          <w:tab w:val="clear" w:pos="567"/>
          <w:tab w:val="left" w:pos="1170"/>
        </w:tabs>
        <w:ind w:left="567"/>
        <w:rPr>
          <w:rFonts w:eastAsia="Times New Roman"/>
          <w:color w:val="000000" w:themeColor="text1"/>
          <w:kern w:val="22"/>
          <w:lang w:val="fr-FR"/>
        </w:rPr>
      </w:pPr>
      <w:r>
        <w:rPr>
          <w:i/>
          <w:color w:val="000000" w:themeColor="text1"/>
          <w:lang w:val="fr-FR"/>
        </w:rPr>
        <w:tab/>
      </w:r>
      <w:r w:rsidRPr="00EA1C8C">
        <w:rPr>
          <w:iCs/>
          <w:color w:val="000000" w:themeColor="text1"/>
          <w:lang w:val="fr-FR"/>
        </w:rPr>
        <w:t xml:space="preserve">1. </w:t>
      </w:r>
      <w:r>
        <w:rPr>
          <w:iCs/>
          <w:color w:val="000000" w:themeColor="text1"/>
          <w:lang w:val="fr-FR"/>
        </w:rPr>
        <w:tab/>
      </w:r>
      <w:r w:rsidRPr="0086516F">
        <w:rPr>
          <w:i/>
          <w:color w:val="000000" w:themeColor="text1"/>
          <w:lang w:val="fr-FR"/>
        </w:rPr>
        <w:t xml:space="preserve">Rappelle </w:t>
      </w:r>
      <w:r w:rsidRPr="0086516F">
        <w:rPr>
          <w:iCs/>
          <w:color w:val="000000" w:themeColor="text1"/>
          <w:lang w:val="fr-FR"/>
        </w:rPr>
        <w:t>sa décision</w:t>
      </w:r>
      <w:r w:rsidRPr="0086516F">
        <w:rPr>
          <w:rFonts w:eastAsia="Times New Roman"/>
          <w:color w:val="000000" w:themeColor="text1"/>
          <w:kern w:val="22"/>
          <w:lang w:val="fr-FR"/>
        </w:rPr>
        <w:t> </w:t>
      </w:r>
      <w:hyperlink r:id="rId15" w:history="1">
        <w:r w:rsidRPr="009C0E92">
          <w:rPr>
            <w:rStyle w:val="Hyperlink"/>
            <w:rFonts w:eastAsia="Times New Roman"/>
            <w:kern w:val="22"/>
            <w:lang w:val="fr-FR"/>
          </w:rPr>
          <w:t>NP-5/3</w:t>
        </w:r>
      </w:hyperlink>
      <w:r w:rsidRPr="009C0E92">
        <w:rPr>
          <w:lang w:val="fr-FR"/>
        </w:rPr>
        <w:t xml:space="preserve"> </w:t>
      </w:r>
      <w:r w:rsidRPr="0086516F">
        <w:rPr>
          <w:color w:val="000000" w:themeColor="text1"/>
          <w:lang w:val="fr-FR"/>
        </w:rPr>
        <w:t xml:space="preserve"> du 1</w:t>
      </w:r>
      <w:r w:rsidRPr="0086516F">
        <w:rPr>
          <w:color w:val="000000" w:themeColor="text1"/>
          <w:vertAlign w:val="superscript"/>
          <w:lang w:val="fr-FR"/>
        </w:rPr>
        <w:t>er</w:t>
      </w:r>
      <w:r w:rsidRPr="0086516F">
        <w:rPr>
          <w:color w:val="000000" w:themeColor="text1"/>
          <w:lang w:val="fr-FR"/>
        </w:rPr>
        <w:t> novembre 2024</w:t>
      </w:r>
      <w:r w:rsidRPr="0086516F">
        <w:rPr>
          <w:rFonts w:eastAsia="Times New Roman"/>
          <w:color w:val="000000" w:themeColor="text1"/>
          <w:kern w:val="22"/>
          <w:lang w:val="fr-FR"/>
        </w:rPr>
        <w:t>, par laquelle elle a adopté le plan d’action pour la création et le renforcement des capacités au titre du Protocole de Nagoya sur l’accès aux ressources génétiques et le partage juste et équitable des avantages découlant de leur utilisation</w:t>
      </w:r>
      <w:r>
        <w:rPr>
          <w:rStyle w:val="FootnoteReference"/>
          <w:rFonts w:eastAsia="Times New Roman"/>
          <w:color w:val="000000" w:themeColor="text1"/>
          <w:kern w:val="22"/>
        </w:rPr>
        <w:footnoteReference w:id="1"/>
      </w:r>
      <w:r w:rsidRPr="0086516F">
        <w:rPr>
          <w:rFonts w:eastAsia="Times New Roman"/>
          <w:color w:val="000000" w:themeColor="text1"/>
          <w:kern w:val="22"/>
          <w:lang w:val="fr-FR"/>
        </w:rPr>
        <w:t>, et sa décision </w:t>
      </w:r>
      <w:hyperlink r:id="rId16" w:history="1">
        <w:r w:rsidRPr="009C0E92">
          <w:rPr>
            <w:rStyle w:val="Hyperlink"/>
            <w:rFonts w:eastAsia="Times New Roman"/>
            <w:kern w:val="22"/>
            <w:lang w:val="fr-FR"/>
          </w:rPr>
          <w:t>NP-1/9</w:t>
        </w:r>
      </w:hyperlink>
      <w:r w:rsidRPr="009C0E92">
        <w:rPr>
          <w:rFonts w:eastAsia="Times New Roman"/>
          <w:color w:val="000000" w:themeColor="text1"/>
          <w:kern w:val="22"/>
          <w:lang w:val="fr-FR"/>
        </w:rPr>
        <w:t xml:space="preserve"> </w:t>
      </w:r>
      <w:r w:rsidRPr="0086516F">
        <w:rPr>
          <w:color w:val="000000" w:themeColor="text1"/>
          <w:lang w:val="fr-FR"/>
        </w:rPr>
        <w:t xml:space="preserve"> </w:t>
      </w:r>
      <w:r w:rsidRPr="0086516F">
        <w:rPr>
          <w:rFonts w:eastAsia="Times New Roman"/>
          <w:color w:val="000000" w:themeColor="text1"/>
          <w:kern w:val="22"/>
          <w:lang w:val="fr-FR"/>
        </w:rPr>
        <w:t>du 17 octobre 2014, par laquelle elle a adopté la stratégie de sensibilisation pour le Protocole;</w:t>
      </w:r>
    </w:p>
    <w:p w14:paraId="17A590AE" w14:textId="77777777" w:rsidR="004E5CCD" w:rsidRPr="0086516F" w:rsidRDefault="004E5CCD" w:rsidP="00AB3077">
      <w:pPr>
        <w:pStyle w:val="CBDNormalNoNumber"/>
        <w:tabs>
          <w:tab w:val="clear" w:pos="567"/>
          <w:tab w:val="clear" w:pos="1134"/>
          <w:tab w:val="left" w:pos="1170"/>
        </w:tabs>
        <w:rPr>
          <w:rFonts w:eastAsia="Times New Roman"/>
          <w:iCs/>
          <w:color w:val="000000" w:themeColor="text1"/>
          <w:szCs w:val="24"/>
          <w:lang w:val="fr-FR"/>
        </w:rPr>
      </w:pPr>
      <w:r>
        <w:rPr>
          <w:rFonts w:eastAsia="Times New Roman"/>
          <w:color w:val="000000" w:themeColor="text1"/>
          <w:szCs w:val="24"/>
          <w:lang w:val="fr-FR"/>
        </w:rPr>
        <w:tab/>
      </w:r>
      <w:r w:rsidRPr="0086516F">
        <w:rPr>
          <w:rFonts w:eastAsia="Times New Roman"/>
          <w:color w:val="000000" w:themeColor="text1"/>
          <w:szCs w:val="24"/>
          <w:lang w:val="fr-FR"/>
        </w:rPr>
        <w:t>2.</w:t>
      </w:r>
      <w:r w:rsidRPr="0086516F">
        <w:rPr>
          <w:rFonts w:eastAsia="Times New Roman"/>
          <w:color w:val="000000" w:themeColor="text1"/>
          <w:szCs w:val="24"/>
          <w:lang w:val="fr-FR"/>
        </w:rPr>
        <w:tab/>
      </w:r>
      <w:r w:rsidRPr="0086516F">
        <w:rPr>
          <w:i/>
          <w:color w:val="000000" w:themeColor="text1"/>
          <w:lang w:val="fr-FR"/>
        </w:rPr>
        <w:t xml:space="preserve">Encourage </w:t>
      </w:r>
      <w:r w:rsidRPr="0086516F">
        <w:rPr>
          <w:rFonts w:eastAsia="Times New Roman"/>
          <w:color w:val="000000" w:themeColor="text1"/>
          <w:kern w:val="22"/>
          <w:lang w:val="fr-FR"/>
        </w:rPr>
        <w:t>les Parties, les autres gouvernements</w:t>
      </w:r>
      <w:r>
        <w:rPr>
          <w:rFonts w:eastAsia="Times New Roman"/>
          <w:color w:val="000000" w:themeColor="text1"/>
          <w:kern w:val="22"/>
          <w:lang w:val="fr-FR"/>
        </w:rPr>
        <w:t>,</w:t>
      </w:r>
      <w:r w:rsidRPr="0086516F">
        <w:rPr>
          <w:rFonts w:eastAsia="Times New Roman"/>
          <w:color w:val="000000" w:themeColor="text1"/>
          <w:kern w:val="22"/>
          <w:lang w:val="fr-FR"/>
        </w:rPr>
        <w:t xml:space="preserve"> les </w:t>
      </w:r>
      <w:r>
        <w:rPr>
          <w:rFonts w:eastAsia="Times New Roman"/>
          <w:color w:val="000000" w:themeColor="text1"/>
          <w:kern w:val="22"/>
          <w:lang w:val="fr-FR"/>
        </w:rPr>
        <w:t xml:space="preserve">organismes compétents et les </w:t>
      </w:r>
      <w:r w:rsidRPr="0086516F">
        <w:rPr>
          <w:rFonts w:eastAsia="Times New Roman"/>
          <w:color w:val="000000" w:themeColor="text1"/>
          <w:kern w:val="22"/>
          <w:lang w:val="fr-FR"/>
        </w:rPr>
        <w:t>autres parties prenantes, notamment les centres régionaux et infrarégionaux d’appui à la coopération technique et scientifique, qui sont en mesure de le faire, en tenant compte des circonstances, des priorités, des capacités et de la législation de chaque pays, à :</w:t>
      </w:r>
    </w:p>
    <w:p w14:paraId="45AC25E6" w14:textId="77777777" w:rsidR="004E5CCD" w:rsidRPr="0086516F" w:rsidRDefault="004E5CCD" w:rsidP="004E5CCD">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Pr="0086516F">
        <w:rPr>
          <w:rFonts w:eastAsia="Times New Roman"/>
          <w:iCs/>
          <w:color w:val="000000" w:themeColor="text1"/>
          <w:szCs w:val="24"/>
          <w:lang w:val="fr-FR"/>
        </w:rPr>
        <w:t>a)</w:t>
      </w:r>
      <w:r w:rsidRPr="0086516F">
        <w:rPr>
          <w:rFonts w:eastAsia="Times New Roman"/>
          <w:iCs/>
          <w:color w:val="000000" w:themeColor="text1"/>
          <w:szCs w:val="24"/>
          <w:lang w:val="fr-FR"/>
        </w:rPr>
        <w:tab/>
      </w:r>
      <w:r>
        <w:rPr>
          <w:rFonts w:eastAsia="Times New Roman"/>
          <w:iCs/>
          <w:color w:val="000000" w:themeColor="text1"/>
          <w:szCs w:val="24"/>
          <w:lang w:val="fr-FR"/>
        </w:rPr>
        <w:t>R</w:t>
      </w:r>
      <w:r w:rsidRPr="0086516F">
        <w:rPr>
          <w:rFonts w:eastAsia="Times New Roman"/>
          <w:color w:val="000000" w:themeColor="text1"/>
          <w:lang w:val="fr-FR"/>
        </w:rPr>
        <w:t>edoubler d’efforts pour renforcer l</w:t>
      </w:r>
      <w:r>
        <w:rPr>
          <w:rFonts w:eastAsia="Times New Roman"/>
          <w:color w:val="000000" w:themeColor="text1"/>
          <w:lang w:val="fr-FR"/>
        </w:rPr>
        <w:t>a</w:t>
      </w:r>
      <w:r w:rsidRPr="0086516F">
        <w:rPr>
          <w:rFonts w:eastAsia="Times New Roman"/>
          <w:color w:val="000000" w:themeColor="text1"/>
          <w:lang w:val="fr-FR"/>
        </w:rPr>
        <w:t xml:space="preserve"> capacité à long terme </w:t>
      </w:r>
      <w:r>
        <w:rPr>
          <w:rFonts w:eastAsia="Times New Roman"/>
          <w:color w:val="000000" w:themeColor="text1"/>
          <w:lang w:val="fr-FR"/>
        </w:rPr>
        <w:t>d’</w:t>
      </w:r>
      <w:r w:rsidRPr="0086516F">
        <w:rPr>
          <w:rFonts w:eastAsia="Times New Roman"/>
          <w:color w:val="000000" w:themeColor="text1"/>
          <w:lang w:val="fr-FR"/>
        </w:rPr>
        <w:t xml:space="preserve">appliquer les dispositions du Protocole de Nagoya, conformément à </w:t>
      </w:r>
      <w:r>
        <w:rPr>
          <w:rFonts w:eastAsia="Times New Roman"/>
          <w:color w:val="000000" w:themeColor="text1"/>
          <w:lang w:val="fr-FR"/>
        </w:rPr>
        <w:t xml:space="preserve">son </w:t>
      </w:r>
      <w:r w:rsidRPr="0086516F">
        <w:rPr>
          <w:rFonts w:eastAsia="Times New Roman"/>
          <w:color w:val="000000" w:themeColor="text1"/>
          <w:lang w:val="fr-FR"/>
        </w:rPr>
        <w:t>article 22 et au plan d’action pour la création et le renforcement des capacités au titre du Protocole;</w:t>
      </w:r>
    </w:p>
    <w:p w14:paraId="7836CC5B" w14:textId="0FD4860E" w:rsidR="004E5CCD" w:rsidRPr="0086516F" w:rsidRDefault="004E5CCD" w:rsidP="004E5CCD">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Pr="0086516F">
        <w:rPr>
          <w:rFonts w:eastAsia="Times New Roman"/>
          <w:iCs/>
          <w:color w:val="000000" w:themeColor="text1"/>
          <w:szCs w:val="24"/>
          <w:lang w:val="fr-FR"/>
        </w:rPr>
        <w:t>b)</w:t>
      </w:r>
      <w:r w:rsidRPr="0086516F">
        <w:rPr>
          <w:rFonts w:eastAsia="Times New Roman"/>
          <w:iCs/>
          <w:color w:val="000000" w:themeColor="text1"/>
          <w:szCs w:val="24"/>
          <w:lang w:val="fr-FR"/>
        </w:rPr>
        <w:tab/>
      </w:r>
      <w:r>
        <w:rPr>
          <w:rFonts w:eastAsia="Times New Roman"/>
          <w:color w:val="000000" w:themeColor="text1"/>
          <w:lang w:val="fr-FR"/>
        </w:rPr>
        <w:t>T</w:t>
      </w:r>
      <w:r w:rsidRPr="0086516F">
        <w:rPr>
          <w:rFonts w:eastAsia="Times New Roman"/>
          <w:color w:val="000000" w:themeColor="text1"/>
          <w:lang w:val="fr-FR"/>
        </w:rPr>
        <w:t xml:space="preserve">enir compte des conclusions et des messages clefs du deuxième exercice d’évaluation et d’examen de l’efficacité du Protocole de Nagoya, recouvrant les domaines où les Parties ont besoin de davantage d’appui, ainsi que des mesures </w:t>
      </w:r>
      <w:r w:rsidR="00CA7194">
        <w:rPr>
          <w:rFonts w:eastAsia="Times New Roman"/>
          <w:color w:val="000000" w:themeColor="text1"/>
          <w:lang w:val="fr-FR"/>
        </w:rPr>
        <w:t xml:space="preserve">indicatives </w:t>
      </w:r>
      <w:r w:rsidRPr="0086516F">
        <w:rPr>
          <w:rFonts w:eastAsia="Times New Roman"/>
          <w:color w:val="000000" w:themeColor="text1"/>
          <w:lang w:val="fr-FR"/>
        </w:rPr>
        <w:t>pouvant être prises au niveau national pour renforcer l’application des dispositions du Protocole</w:t>
      </w:r>
      <w:r w:rsidRPr="0086516F">
        <w:rPr>
          <w:rFonts w:eastAsia="Times New Roman"/>
          <w:iCs/>
          <w:color w:val="000000" w:themeColor="text1"/>
          <w:vertAlign w:val="superscript"/>
          <w:lang w:val="fr-FR"/>
        </w:rPr>
        <w:footnoteReference w:id="2"/>
      </w:r>
      <w:r w:rsidRPr="0086516F">
        <w:rPr>
          <w:rFonts w:eastAsia="Times New Roman"/>
          <w:color w:val="000000" w:themeColor="text1"/>
          <w:lang w:val="fr-FR"/>
        </w:rPr>
        <w:t>;</w:t>
      </w:r>
    </w:p>
    <w:p w14:paraId="694ABD29" w14:textId="2547E51A" w:rsidR="004E5CCD" w:rsidRPr="0086516F" w:rsidRDefault="004E5CCD" w:rsidP="004E5CCD">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Pr="0086516F">
        <w:rPr>
          <w:rFonts w:eastAsia="Times New Roman"/>
          <w:iCs/>
          <w:color w:val="000000" w:themeColor="text1"/>
          <w:szCs w:val="24"/>
          <w:lang w:val="fr-FR"/>
        </w:rPr>
        <w:t>c)</w:t>
      </w:r>
      <w:r w:rsidRPr="0086516F">
        <w:rPr>
          <w:rFonts w:eastAsia="Times New Roman"/>
          <w:iCs/>
          <w:color w:val="000000" w:themeColor="text1"/>
          <w:szCs w:val="24"/>
          <w:lang w:val="fr-FR"/>
        </w:rPr>
        <w:tab/>
      </w:r>
      <w:r>
        <w:rPr>
          <w:rFonts w:eastAsia="Times New Roman"/>
          <w:color w:val="000000" w:themeColor="text1"/>
          <w:lang w:val="fr-FR"/>
        </w:rPr>
        <w:t>R</w:t>
      </w:r>
      <w:r w:rsidRPr="0086516F">
        <w:rPr>
          <w:rFonts w:eastAsia="Times New Roman"/>
          <w:color w:val="000000" w:themeColor="text1"/>
          <w:lang w:val="fr-FR"/>
        </w:rPr>
        <w:t>enforcer les capacités des autorités nationales d’appliquer les dispositions du Protocole de Nagoya et les mesures nationales relatives à l’accès et au partage des avantages, notamment celles de mener à bien, de manière efficiente et effectiv</w:t>
      </w:r>
      <w:r w:rsidR="00A76FF8">
        <w:rPr>
          <w:rFonts w:eastAsia="Times New Roman"/>
          <w:color w:val="000000" w:themeColor="text1"/>
          <w:lang w:val="fr-FR"/>
        </w:rPr>
        <w:t>e :</w:t>
      </w:r>
      <w:r w:rsidRPr="0086516F">
        <w:rPr>
          <w:rFonts w:eastAsia="Times New Roman"/>
          <w:color w:val="000000" w:themeColor="text1"/>
          <w:lang w:val="fr-FR"/>
        </w:rPr>
        <w:t xml:space="preserve"> l</w:t>
      </w:r>
      <w:r w:rsidR="00A76FF8">
        <w:rPr>
          <w:rFonts w:eastAsia="Times New Roman"/>
          <w:color w:val="000000" w:themeColor="text1"/>
          <w:lang w:val="fr-FR"/>
        </w:rPr>
        <w:t>a gestion de</w:t>
      </w:r>
      <w:r w:rsidRPr="0086516F">
        <w:rPr>
          <w:rFonts w:eastAsia="Times New Roman"/>
          <w:color w:val="000000" w:themeColor="text1"/>
          <w:lang w:val="fr-FR"/>
        </w:rPr>
        <w:t xml:space="preserve">s processus d’octroi de l’accès, </w:t>
      </w:r>
      <w:r w:rsidR="00A76FF8">
        <w:rPr>
          <w:rFonts w:eastAsia="Times New Roman"/>
          <w:color w:val="000000" w:themeColor="text1"/>
          <w:lang w:val="fr-FR"/>
        </w:rPr>
        <w:t xml:space="preserve">la fourniture </w:t>
      </w:r>
      <w:r w:rsidRPr="0086516F">
        <w:rPr>
          <w:rFonts w:eastAsia="Times New Roman"/>
          <w:color w:val="000000" w:themeColor="text1"/>
          <w:lang w:val="fr-FR"/>
        </w:rPr>
        <w:t xml:space="preserve">en temps voulu de réponses aux demandes d’information de la part des utilisateurs de </w:t>
      </w:r>
      <w:r w:rsidRPr="0086516F">
        <w:rPr>
          <w:rFonts w:eastAsia="Times New Roman"/>
          <w:color w:val="000000" w:themeColor="text1"/>
          <w:lang w:val="fr-FR"/>
        </w:rPr>
        <w:lastRenderedPageBreak/>
        <w:t>ressources génétiques,</w:t>
      </w:r>
      <w:r w:rsidR="00A76FF8">
        <w:rPr>
          <w:rFonts w:eastAsia="Times New Roman"/>
          <w:color w:val="000000" w:themeColor="text1"/>
          <w:lang w:val="fr-FR"/>
        </w:rPr>
        <w:t xml:space="preserve"> la</w:t>
      </w:r>
      <w:r w:rsidRPr="0086516F">
        <w:rPr>
          <w:rFonts w:eastAsia="Times New Roman"/>
          <w:color w:val="000000" w:themeColor="text1"/>
          <w:lang w:val="fr-FR"/>
        </w:rPr>
        <w:t xml:space="preserve"> négoci</w:t>
      </w:r>
      <w:r w:rsidR="00A76FF8">
        <w:rPr>
          <w:rFonts w:eastAsia="Times New Roman"/>
          <w:color w:val="000000" w:themeColor="text1"/>
          <w:lang w:val="fr-FR"/>
        </w:rPr>
        <w:t>ation de</w:t>
      </w:r>
      <w:r w:rsidRPr="0086516F">
        <w:rPr>
          <w:rFonts w:eastAsia="Times New Roman"/>
          <w:color w:val="000000" w:themeColor="text1"/>
          <w:lang w:val="fr-FR"/>
        </w:rPr>
        <w:t xml:space="preserve"> conditions arrêtées d’un commun accord et </w:t>
      </w:r>
      <w:r w:rsidR="00A76FF8">
        <w:rPr>
          <w:rFonts w:eastAsia="Times New Roman"/>
          <w:color w:val="000000" w:themeColor="text1"/>
          <w:lang w:val="fr-FR"/>
        </w:rPr>
        <w:t xml:space="preserve">la </w:t>
      </w:r>
      <w:r w:rsidRPr="0086516F">
        <w:rPr>
          <w:rFonts w:eastAsia="Times New Roman"/>
          <w:color w:val="000000" w:themeColor="text1"/>
          <w:lang w:val="fr-FR"/>
        </w:rPr>
        <w:t>garanti</w:t>
      </w:r>
      <w:r w:rsidR="00A76FF8">
        <w:rPr>
          <w:rFonts w:eastAsia="Times New Roman"/>
          <w:color w:val="000000" w:themeColor="text1"/>
          <w:lang w:val="fr-FR"/>
        </w:rPr>
        <w:t xml:space="preserve">e du </w:t>
      </w:r>
      <w:r w:rsidRPr="0086516F">
        <w:rPr>
          <w:rFonts w:eastAsia="Times New Roman"/>
          <w:color w:val="000000" w:themeColor="text1"/>
          <w:lang w:val="fr-FR"/>
        </w:rPr>
        <w:t>respect des obligations conformément aux articles </w:t>
      </w:r>
      <w:r w:rsidRPr="0086516F">
        <w:rPr>
          <w:rFonts w:eastAsia="Times New Roman"/>
          <w:iCs/>
          <w:color w:val="000000" w:themeColor="text1"/>
          <w:szCs w:val="24"/>
          <w:lang w:val="fr-FR"/>
        </w:rPr>
        <w:t>[</w:t>
      </w:r>
      <w:r w:rsidRPr="0086516F">
        <w:rPr>
          <w:rFonts w:eastAsia="Times New Roman"/>
          <w:color w:val="000000" w:themeColor="text1"/>
          <w:lang w:val="fr-FR"/>
        </w:rPr>
        <w:t>10,</w:t>
      </w:r>
      <w:r w:rsidRPr="0086516F">
        <w:rPr>
          <w:rFonts w:eastAsia="Times New Roman"/>
          <w:iCs/>
          <w:color w:val="000000" w:themeColor="text1"/>
          <w:szCs w:val="24"/>
          <w:lang w:val="fr-FR"/>
        </w:rPr>
        <w:t xml:space="preserve">] </w:t>
      </w:r>
      <w:r w:rsidRPr="0086516F">
        <w:rPr>
          <w:rFonts w:eastAsia="Times New Roman"/>
          <w:color w:val="000000" w:themeColor="text1"/>
          <w:lang w:val="fr-FR"/>
        </w:rPr>
        <w:t>15, 16, 17 et 18 du Protocole;</w:t>
      </w:r>
    </w:p>
    <w:p w14:paraId="7347C2B4" w14:textId="62EF9EE3" w:rsidR="004E5CCD" w:rsidRPr="0086516F" w:rsidRDefault="004E5CCD" w:rsidP="004E5CCD">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Pr="0086516F">
        <w:rPr>
          <w:rFonts w:eastAsia="Times New Roman"/>
          <w:iCs/>
          <w:color w:val="000000" w:themeColor="text1"/>
          <w:szCs w:val="24"/>
          <w:lang w:val="fr-FR"/>
        </w:rPr>
        <w:t>d)</w:t>
      </w:r>
      <w:r w:rsidRPr="0086516F">
        <w:rPr>
          <w:rFonts w:eastAsia="Times New Roman"/>
          <w:iCs/>
          <w:color w:val="000000" w:themeColor="text1"/>
          <w:szCs w:val="24"/>
          <w:lang w:val="fr-FR"/>
        </w:rPr>
        <w:tab/>
      </w:r>
      <w:r>
        <w:rPr>
          <w:rFonts w:eastAsia="Times New Roman"/>
          <w:color w:val="000000" w:themeColor="text1"/>
          <w:lang w:val="fr-FR"/>
        </w:rPr>
        <w:t>P</w:t>
      </w:r>
      <w:r w:rsidRPr="0086516F">
        <w:rPr>
          <w:rFonts w:eastAsia="Times New Roman"/>
          <w:color w:val="000000" w:themeColor="text1"/>
          <w:lang w:val="fr-FR"/>
        </w:rPr>
        <w:t>romouvoir l</w:t>
      </w:r>
      <w:r w:rsidR="00A76FF8">
        <w:rPr>
          <w:rFonts w:eastAsia="Times New Roman"/>
          <w:color w:val="000000" w:themeColor="text1"/>
          <w:lang w:val="fr-FR"/>
        </w:rPr>
        <w:t xml:space="preserve">’échange </w:t>
      </w:r>
      <w:r w:rsidRPr="0086516F">
        <w:rPr>
          <w:rFonts w:eastAsia="Times New Roman"/>
          <w:color w:val="000000" w:themeColor="text1"/>
          <w:lang w:val="fr-FR"/>
        </w:rPr>
        <w:t>de données d’expérience, de meilleures pratiques, d</w:t>
      </w:r>
      <w:r w:rsidR="00A76FF8">
        <w:rPr>
          <w:rFonts w:eastAsia="Times New Roman"/>
          <w:color w:val="000000" w:themeColor="text1"/>
          <w:lang w:val="fr-FR"/>
        </w:rPr>
        <w:t>’</w:t>
      </w:r>
      <w:r w:rsidRPr="0086516F">
        <w:rPr>
          <w:rFonts w:eastAsia="Times New Roman"/>
          <w:color w:val="000000" w:themeColor="text1"/>
          <w:lang w:val="fr-FR"/>
        </w:rPr>
        <w:t>exemples de réussite et d</w:t>
      </w:r>
      <w:r w:rsidR="00A76FF8">
        <w:rPr>
          <w:rFonts w:eastAsia="Times New Roman"/>
          <w:color w:val="000000" w:themeColor="text1"/>
          <w:lang w:val="fr-FR"/>
        </w:rPr>
        <w:t>’</w:t>
      </w:r>
      <w:r w:rsidRPr="0086516F">
        <w:rPr>
          <w:rFonts w:eastAsia="Times New Roman"/>
          <w:color w:val="000000" w:themeColor="text1"/>
          <w:lang w:val="fr-FR"/>
        </w:rPr>
        <w:t>enseignements tirés concernant l’application des dispositions du Protocole de Nagoya parmi un large éventail d’acteurs participant aux processus d’accès et de partage des avantages, et établir des directives, en particulier dans les domaines recensés dans les conclusions et les messages clefs;</w:t>
      </w:r>
    </w:p>
    <w:p w14:paraId="23057A6A" w14:textId="77777777" w:rsidR="004E5CCD" w:rsidRPr="0086516F" w:rsidRDefault="004E5CCD" w:rsidP="004E5CCD">
      <w:pPr>
        <w:pStyle w:val="CBDNormalNoNumber"/>
        <w:tabs>
          <w:tab w:val="clear" w:pos="567"/>
        </w:tabs>
        <w:rPr>
          <w:color w:val="000000" w:themeColor="text1"/>
          <w:u w:color="000000"/>
          <w:bdr w:val="nil"/>
          <w:lang w:val="fr-FR"/>
        </w:rPr>
      </w:pPr>
      <w:r>
        <w:rPr>
          <w:color w:val="000000" w:themeColor="text1"/>
          <w:u w:color="000000"/>
          <w:bdr w:val="nil"/>
          <w:lang w:val="fr-FR"/>
        </w:rPr>
        <w:tab/>
      </w:r>
      <w:r w:rsidRPr="0086516F">
        <w:rPr>
          <w:color w:val="000000" w:themeColor="text1"/>
          <w:u w:color="000000"/>
          <w:bdr w:val="nil"/>
          <w:lang w:val="fr-FR"/>
        </w:rPr>
        <w:t>e)</w:t>
      </w:r>
      <w:r w:rsidRPr="0086516F">
        <w:rPr>
          <w:color w:val="000000" w:themeColor="text1"/>
          <w:u w:color="000000"/>
          <w:bdr w:val="nil"/>
          <w:lang w:val="fr-FR"/>
        </w:rPr>
        <w:tab/>
      </w:r>
      <w:r>
        <w:rPr>
          <w:rFonts w:eastAsia="Times New Roman"/>
          <w:color w:val="000000" w:themeColor="text1"/>
          <w:lang w:val="fr-FR"/>
        </w:rPr>
        <w:t>P</w:t>
      </w:r>
      <w:r w:rsidRPr="0086516F">
        <w:rPr>
          <w:rFonts w:eastAsia="Times New Roman"/>
          <w:color w:val="000000" w:themeColor="text1"/>
          <w:lang w:val="fr-FR"/>
        </w:rPr>
        <w:t>romouvoir la création d’initiatives régionales et mondiales visant à faciliter le partage de</w:t>
      </w:r>
      <w:r>
        <w:rPr>
          <w:rFonts w:eastAsia="Times New Roman"/>
          <w:color w:val="000000" w:themeColor="text1"/>
          <w:lang w:val="fr-FR"/>
        </w:rPr>
        <w:t>s</w:t>
      </w:r>
      <w:r w:rsidRPr="0086516F">
        <w:rPr>
          <w:rFonts w:eastAsia="Times New Roman"/>
          <w:color w:val="000000" w:themeColor="text1"/>
          <w:lang w:val="fr-FR"/>
        </w:rPr>
        <w:t xml:space="preserve"> données d’expérience et des enseignements tirés parmi les différents acteurs, dont les peuples autochtones et communautés locales;</w:t>
      </w:r>
    </w:p>
    <w:p w14:paraId="2435F420" w14:textId="77777777" w:rsidR="004E5CCD" w:rsidRPr="0086516F" w:rsidRDefault="004E5CCD" w:rsidP="004E5CCD">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Pr="0086516F">
        <w:rPr>
          <w:rFonts w:eastAsia="Times New Roman"/>
          <w:iCs/>
          <w:color w:val="000000" w:themeColor="text1"/>
          <w:szCs w:val="24"/>
          <w:lang w:val="fr-FR"/>
        </w:rPr>
        <w:t>f)</w:t>
      </w:r>
      <w:r w:rsidRPr="0086516F">
        <w:rPr>
          <w:rFonts w:eastAsia="Times New Roman"/>
          <w:iCs/>
          <w:color w:val="000000" w:themeColor="text1"/>
          <w:szCs w:val="24"/>
          <w:lang w:val="fr-FR"/>
        </w:rPr>
        <w:tab/>
      </w:r>
      <w:r>
        <w:rPr>
          <w:rFonts w:eastAsia="Times New Roman"/>
          <w:color w:val="000000" w:themeColor="text1"/>
          <w:lang w:val="fr-FR"/>
        </w:rPr>
        <w:t>C</w:t>
      </w:r>
      <w:r w:rsidRPr="0086516F">
        <w:rPr>
          <w:rFonts w:eastAsia="Times New Roman"/>
          <w:color w:val="000000" w:themeColor="text1"/>
          <w:lang w:val="fr-FR"/>
        </w:rPr>
        <w:t>réer ou renforcer des mécanismes facilitant les partenariats entre utilisateurs et fournisseurs de ressources génétiques et détenteurs de connaissances traditionnelles associées;</w:t>
      </w:r>
    </w:p>
    <w:p w14:paraId="44E32B45" w14:textId="77777777" w:rsidR="004E5CCD" w:rsidRPr="0086516F" w:rsidRDefault="004E5CCD" w:rsidP="004E5CCD">
      <w:pPr>
        <w:pStyle w:val="CBDNormalNoNumber"/>
        <w:tabs>
          <w:tab w:val="clear" w:pos="567"/>
        </w:tabs>
        <w:rPr>
          <w:color w:val="000000" w:themeColor="text1"/>
          <w:u w:color="000000"/>
          <w:bdr w:val="nil"/>
          <w:lang w:val="fr-FR"/>
        </w:rPr>
      </w:pPr>
      <w:r>
        <w:rPr>
          <w:color w:val="000000" w:themeColor="text1"/>
          <w:u w:color="000000"/>
          <w:bdr w:val="nil"/>
          <w:lang w:val="fr-FR"/>
        </w:rPr>
        <w:tab/>
      </w:r>
      <w:r w:rsidRPr="0086516F">
        <w:rPr>
          <w:color w:val="000000" w:themeColor="text1"/>
          <w:u w:color="000000"/>
          <w:bdr w:val="nil"/>
          <w:lang w:val="fr-FR"/>
        </w:rPr>
        <w:t>g)</w:t>
      </w:r>
      <w:r w:rsidRPr="0086516F">
        <w:rPr>
          <w:color w:val="000000" w:themeColor="text1"/>
          <w:u w:color="000000"/>
          <w:bdr w:val="nil"/>
          <w:lang w:val="fr-FR"/>
        </w:rPr>
        <w:tab/>
      </w:r>
      <w:r>
        <w:rPr>
          <w:rFonts w:eastAsia="Times New Roman"/>
          <w:color w:val="000000" w:themeColor="text1"/>
          <w:lang w:val="fr-FR"/>
        </w:rPr>
        <w:t>C</w:t>
      </w:r>
      <w:r w:rsidRPr="0086516F">
        <w:rPr>
          <w:rFonts w:eastAsia="Times New Roman"/>
          <w:color w:val="000000" w:themeColor="text1"/>
          <w:lang w:val="fr-FR"/>
        </w:rPr>
        <w:t>onsigner et partager</w:t>
      </w:r>
      <w:r>
        <w:rPr>
          <w:rFonts w:eastAsia="Times New Roman"/>
          <w:color w:val="000000" w:themeColor="text1"/>
          <w:lang w:val="fr-FR"/>
        </w:rPr>
        <w:t>,</w:t>
      </w:r>
      <w:r w:rsidRPr="0086516F">
        <w:rPr>
          <w:rFonts w:eastAsia="Times New Roman"/>
          <w:color w:val="000000" w:themeColor="text1"/>
          <w:lang w:val="fr-FR"/>
        </w:rPr>
        <w:t xml:space="preserve"> par l’intermédiaire du Centre d’échange sur l’accès et le partage des avantages, les enseignements tirés, les meilleures pratiques et les ressources de création et de renforcement des capacités pour l’application des dispositions du Protocole de Nagoya;</w:t>
      </w:r>
    </w:p>
    <w:p w14:paraId="59FFC005" w14:textId="77777777" w:rsidR="004E5CCD" w:rsidRPr="0086516F" w:rsidRDefault="004E5CCD" w:rsidP="004E5CCD">
      <w:pPr>
        <w:pStyle w:val="CBDNormalNoNumber"/>
        <w:tabs>
          <w:tab w:val="clear" w:pos="567"/>
        </w:tabs>
        <w:rPr>
          <w:color w:val="000000" w:themeColor="text1"/>
          <w:u w:color="000000"/>
          <w:bdr w:val="nil"/>
          <w:lang w:val="fr-FR"/>
        </w:rPr>
      </w:pPr>
      <w:r>
        <w:rPr>
          <w:color w:val="000000" w:themeColor="text1"/>
          <w:u w:color="000000"/>
          <w:bdr w:val="nil"/>
          <w:lang w:val="fr-FR"/>
        </w:rPr>
        <w:tab/>
      </w:r>
      <w:r w:rsidRPr="0086516F">
        <w:rPr>
          <w:color w:val="000000" w:themeColor="text1"/>
          <w:u w:color="000000"/>
          <w:bdr w:val="nil"/>
          <w:lang w:val="fr-FR"/>
        </w:rPr>
        <w:t>h)</w:t>
      </w:r>
      <w:r w:rsidRPr="0086516F">
        <w:rPr>
          <w:color w:val="000000" w:themeColor="text1"/>
          <w:u w:color="000000"/>
          <w:bdr w:val="nil"/>
          <w:lang w:val="fr-FR"/>
        </w:rPr>
        <w:tab/>
      </w:r>
      <w:r>
        <w:rPr>
          <w:rFonts w:eastAsia="Times New Roman"/>
          <w:color w:val="000000" w:themeColor="text1"/>
          <w:lang w:val="fr-FR"/>
        </w:rPr>
        <w:t>A</w:t>
      </w:r>
      <w:r w:rsidRPr="0086516F">
        <w:rPr>
          <w:rFonts w:eastAsia="Times New Roman"/>
          <w:color w:val="000000" w:themeColor="text1"/>
          <w:lang w:val="fr-FR"/>
        </w:rPr>
        <w:t>ppuyer les travaux relatifs aux systèmes d’information facilitant l’accès et le partage des avantages et le respect des obligations au titre du Protocole de Nagoya et rendre ces systèmes compatibles avec le Centre d’échange sur l’accès et le partage des avantages, selon qu’il conviendra;</w:t>
      </w:r>
    </w:p>
    <w:p w14:paraId="4376645F" w14:textId="515A3D33" w:rsidR="004E5CCD" w:rsidRPr="0086516F" w:rsidRDefault="004E5CCD" w:rsidP="004E5CCD">
      <w:pPr>
        <w:pStyle w:val="CBDNormalNoNumber"/>
        <w:tabs>
          <w:tab w:val="clear" w:pos="567"/>
        </w:tabs>
        <w:rPr>
          <w:color w:val="000000" w:themeColor="text1"/>
          <w:u w:color="000000"/>
          <w:bdr w:val="nil"/>
          <w:lang w:val="fr-FR"/>
        </w:rPr>
      </w:pPr>
      <w:r>
        <w:rPr>
          <w:color w:val="000000" w:themeColor="text1"/>
          <w:u w:color="000000"/>
          <w:bdr w:val="nil"/>
          <w:lang w:val="fr-FR"/>
        </w:rPr>
        <w:tab/>
      </w:r>
      <w:r w:rsidRPr="0086516F">
        <w:rPr>
          <w:color w:val="000000" w:themeColor="text1"/>
          <w:u w:color="000000"/>
          <w:bdr w:val="nil"/>
          <w:lang w:val="fr-FR"/>
        </w:rPr>
        <w:t>i)</w:t>
      </w:r>
      <w:r w:rsidRPr="0086516F">
        <w:rPr>
          <w:color w:val="000000" w:themeColor="text1"/>
          <w:u w:color="000000"/>
          <w:bdr w:val="nil"/>
          <w:lang w:val="fr-FR"/>
        </w:rPr>
        <w:tab/>
      </w:r>
      <w:r>
        <w:rPr>
          <w:color w:val="000000" w:themeColor="text1"/>
          <w:u w:color="000000"/>
          <w:bdr w:val="nil"/>
          <w:lang w:val="fr-FR"/>
        </w:rPr>
        <w:t>S</w:t>
      </w:r>
      <w:r w:rsidRPr="0086516F">
        <w:rPr>
          <w:color w:val="000000" w:themeColor="text1"/>
          <w:u w:color="000000"/>
          <w:bdr w:val="nil"/>
          <w:lang w:val="fr-FR"/>
        </w:rPr>
        <w:t xml:space="preserve">outenir la </w:t>
      </w:r>
      <w:r w:rsidRPr="0086516F">
        <w:rPr>
          <w:rFonts w:eastAsia="Times New Roman"/>
          <w:color w:val="000000" w:themeColor="text1"/>
          <w:lang w:val="fr-FR"/>
        </w:rPr>
        <w:t xml:space="preserve">publication et l’utilisation d’informations </w:t>
      </w:r>
      <w:r>
        <w:rPr>
          <w:rFonts w:eastAsia="Times New Roman"/>
          <w:color w:val="000000" w:themeColor="text1"/>
          <w:lang w:val="fr-FR"/>
        </w:rPr>
        <w:t>sur le site du</w:t>
      </w:r>
      <w:r w:rsidRPr="0086516F">
        <w:rPr>
          <w:rFonts w:eastAsia="Times New Roman"/>
          <w:color w:val="000000" w:themeColor="text1"/>
          <w:lang w:val="fr-FR"/>
        </w:rPr>
        <w:t xml:space="preserve"> Centre d’échange sur l’accès et le partage des avantages par les peuples autochtones et communautés locales, par exemple en in</w:t>
      </w:r>
      <w:r w:rsidR="00A76FF8">
        <w:rPr>
          <w:rFonts w:eastAsia="Times New Roman"/>
          <w:color w:val="000000" w:themeColor="text1"/>
          <w:lang w:val="fr-FR"/>
        </w:rPr>
        <w:t>tégr</w:t>
      </w:r>
      <w:r w:rsidRPr="0086516F">
        <w:rPr>
          <w:rFonts w:eastAsia="Times New Roman"/>
          <w:color w:val="000000" w:themeColor="text1"/>
          <w:lang w:val="fr-FR"/>
        </w:rPr>
        <w:t>ant des formations au Centre d’échange au titre des activités pertinentes de création et de renforcement des capacités, selon qu’il conviendra;</w:t>
      </w:r>
    </w:p>
    <w:p w14:paraId="2FF56136" w14:textId="61B697D3" w:rsidR="004E5CCD" w:rsidRPr="0086516F" w:rsidRDefault="004E5CCD" w:rsidP="004E5CCD">
      <w:pPr>
        <w:pStyle w:val="CBDNormalNoNumber"/>
        <w:tabs>
          <w:tab w:val="clear" w:pos="567"/>
        </w:tabs>
        <w:rPr>
          <w:color w:val="000000" w:themeColor="text1"/>
          <w:lang w:val="fr-FR"/>
        </w:rPr>
      </w:pPr>
      <w:r>
        <w:rPr>
          <w:rFonts w:eastAsia="Times New Roman"/>
          <w:color w:val="000000" w:themeColor="text1"/>
          <w:lang w:val="fr-FR"/>
        </w:rPr>
        <w:tab/>
      </w:r>
      <w:r w:rsidRPr="0086516F">
        <w:rPr>
          <w:rFonts w:eastAsia="Times New Roman"/>
          <w:color w:val="000000" w:themeColor="text1"/>
          <w:lang w:val="fr-FR"/>
        </w:rPr>
        <w:t>3.</w:t>
      </w:r>
      <w:r w:rsidRPr="0086516F">
        <w:rPr>
          <w:rFonts w:eastAsia="Times New Roman"/>
          <w:color w:val="000000" w:themeColor="text1"/>
          <w:lang w:val="fr-FR"/>
        </w:rPr>
        <w:tab/>
      </w:r>
      <w:r w:rsidRPr="0086516F">
        <w:rPr>
          <w:rFonts w:eastAsia="Times New Roman"/>
          <w:i/>
          <w:iCs/>
          <w:color w:val="000000" w:themeColor="text1"/>
          <w:lang w:val="fr-FR"/>
        </w:rPr>
        <w:t>Invite</w:t>
      </w:r>
      <w:r w:rsidRPr="0086516F">
        <w:rPr>
          <w:rFonts w:eastAsia="Times New Roman"/>
          <w:color w:val="000000" w:themeColor="text1"/>
          <w:lang w:val="fr-FR"/>
        </w:rPr>
        <w:t xml:space="preserve"> les Parties, les autres gouvernements, les peuples autochtones et communautés locales, les organismes compétents</w:t>
      </w:r>
      <w:r>
        <w:rPr>
          <w:rFonts w:eastAsia="Times New Roman"/>
          <w:color w:val="000000" w:themeColor="text1"/>
          <w:lang w:val="fr-FR"/>
        </w:rPr>
        <w:t xml:space="preserve"> et les </w:t>
      </w:r>
      <w:r w:rsidRPr="0086516F">
        <w:rPr>
          <w:rFonts w:eastAsia="Times New Roman"/>
          <w:color w:val="000000" w:themeColor="text1"/>
          <w:lang w:val="fr-FR"/>
        </w:rPr>
        <w:t xml:space="preserve">autres parties prenantes, notamment, selon qu’il conviendra, les centres d’appui à la coopération technique et scientifique, à renforcer leur action de communication, selon la disponibilité des ressources et les priorités nationales, notamment à l’aide de campagnes </w:t>
      </w:r>
      <w:r w:rsidR="00A76FF8">
        <w:rPr>
          <w:rFonts w:eastAsia="Times New Roman"/>
          <w:color w:val="000000" w:themeColor="text1"/>
          <w:lang w:val="fr-FR"/>
        </w:rPr>
        <w:t>destin</w:t>
      </w:r>
      <w:r w:rsidRPr="0086516F">
        <w:rPr>
          <w:rFonts w:eastAsia="Times New Roman"/>
          <w:color w:val="000000" w:themeColor="text1"/>
          <w:lang w:val="fr-FR"/>
        </w:rPr>
        <w:t xml:space="preserve">ées </w:t>
      </w:r>
      <w:r w:rsidR="00A76FF8">
        <w:rPr>
          <w:rFonts w:eastAsia="Times New Roman"/>
          <w:color w:val="000000" w:themeColor="text1"/>
          <w:lang w:val="fr-FR"/>
        </w:rPr>
        <w:t xml:space="preserve">aux </w:t>
      </w:r>
      <w:r w:rsidRPr="0086516F">
        <w:rPr>
          <w:rFonts w:eastAsia="Times New Roman"/>
          <w:color w:val="000000" w:themeColor="text1"/>
          <w:lang w:val="fr-FR"/>
        </w:rPr>
        <w:t>différent</w:t>
      </w:r>
      <w:r w:rsidR="00B938A4">
        <w:rPr>
          <w:rFonts w:eastAsia="Times New Roman"/>
          <w:color w:val="000000" w:themeColor="text1"/>
          <w:lang w:val="fr-FR"/>
        </w:rPr>
        <w:t xml:space="preserve">s </w:t>
      </w:r>
      <w:r w:rsidRPr="0086516F">
        <w:rPr>
          <w:rFonts w:eastAsia="Times New Roman"/>
          <w:color w:val="000000" w:themeColor="text1"/>
          <w:lang w:val="fr-FR"/>
        </w:rPr>
        <w:t>acteurs de l’accès et du partage des avantages, et à envisager de :</w:t>
      </w:r>
    </w:p>
    <w:p w14:paraId="739F2024" w14:textId="016802B5" w:rsidR="004E5CCD" w:rsidRPr="0086516F" w:rsidRDefault="004E5CCD" w:rsidP="004E5CCD">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Pr="0086516F">
        <w:rPr>
          <w:rFonts w:eastAsia="Times New Roman"/>
          <w:iCs/>
          <w:color w:val="000000" w:themeColor="text1"/>
          <w:szCs w:val="24"/>
          <w:lang w:val="fr-FR"/>
        </w:rPr>
        <w:t>a)</w:t>
      </w:r>
      <w:r w:rsidRPr="0086516F">
        <w:rPr>
          <w:rFonts w:eastAsia="Times New Roman"/>
          <w:iCs/>
          <w:color w:val="000000" w:themeColor="text1"/>
          <w:szCs w:val="24"/>
          <w:lang w:val="fr-FR"/>
        </w:rPr>
        <w:tab/>
      </w:r>
      <w:r w:rsidRPr="0086516F">
        <w:rPr>
          <w:rFonts w:eastAsia="Times New Roman"/>
          <w:color w:val="000000" w:themeColor="text1"/>
          <w:lang w:val="fr-FR"/>
        </w:rPr>
        <w:t>Promouvoir le troisième objectif de la Convention sur la diversité biologique</w:t>
      </w:r>
      <w:r w:rsidRPr="0086516F">
        <w:rPr>
          <w:rStyle w:val="FootnoteReference"/>
          <w:rFonts w:eastAsia="Times New Roman"/>
          <w:iCs/>
          <w:color w:val="000000" w:themeColor="text1"/>
          <w:szCs w:val="24"/>
          <w:lang w:val="fr-FR"/>
        </w:rPr>
        <w:footnoteReference w:id="3"/>
      </w:r>
      <w:r w:rsidRPr="0086516F">
        <w:rPr>
          <w:rFonts w:eastAsia="Times New Roman"/>
          <w:color w:val="000000" w:themeColor="text1"/>
          <w:lang w:val="fr-FR"/>
        </w:rPr>
        <w:t>, à savoir le partage juste et équitable des avantages découlant de</w:t>
      </w:r>
      <w:r w:rsidR="00B938A4">
        <w:rPr>
          <w:rFonts w:eastAsia="Times New Roman"/>
          <w:color w:val="000000" w:themeColor="text1"/>
          <w:lang w:val="fr-FR"/>
        </w:rPr>
        <w:t xml:space="preserve"> </w:t>
      </w:r>
      <w:r w:rsidRPr="0086516F">
        <w:rPr>
          <w:rFonts w:eastAsia="Times New Roman"/>
          <w:color w:val="000000" w:themeColor="text1"/>
          <w:lang w:val="fr-FR"/>
        </w:rPr>
        <w:t xml:space="preserve">l’utilisation de ressources génétiques, de façon qu’il soit accepté et perçu comme une stratégie de valorisation de la biodiversité, d’appui à sa conservation et à son utilisation durable, et d’ouvrir des possibilités de développement durable, </w:t>
      </w:r>
      <w:r>
        <w:rPr>
          <w:rFonts w:eastAsia="Times New Roman"/>
          <w:color w:val="000000" w:themeColor="text1"/>
          <w:lang w:val="fr-FR"/>
        </w:rPr>
        <w:t>conformément aux</w:t>
      </w:r>
      <w:r w:rsidRPr="0086516F">
        <w:rPr>
          <w:rFonts w:eastAsia="Times New Roman"/>
          <w:color w:val="000000" w:themeColor="text1"/>
          <w:lang w:val="fr-FR"/>
        </w:rPr>
        <w:t xml:space="preserve"> conclusions et messages clefs;</w:t>
      </w:r>
    </w:p>
    <w:p w14:paraId="3AA108E1" w14:textId="77777777" w:rsidR="004E5CCD" w:rsidRPr="0086516F" w:rsidRDefault="004E5CCD" w:rsidP="004E5CCD">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Pr="0086516F">
        <w:rPr>
          <w:rFonts w:eastAsia="Times New Roman"/>
          <w:iCs/>
          <w:color w:val="000000" w:themeColor="text1"/>
          <w:szCs w:val="24"/>
          <w:lang w:val="fr-FR"/>
        </w:rPr>
        <w:t>b)</w:t>
      </w:r>
      <w:r w:rsidRPr="0086516F">
        <w:rPr>
          <w:rFonts w:eastAsia="Times New Roman"/>
          <w:iCs/>
          <w:color w:val="000000" w:themeColor="text1"/>
          <w:szCs w:val="24"/>
          <w:lang w:val="fr-FR"/>
        </w:rPr>
        <w:tab/>
      </w:r>
      <w:r w:rsidRPr="0086516F">
        <w:rPr>
          <w:rFonts w:eastAsia="Times New Roman"/>
          <w:color w:val="000000" w:themeColor="text1"/>
          <w:lang w:val="fr-FR"/>
        </w:rPr>
        <w:t>Poursuivre l’application de la stratégie de sensibilisation au titre du Protocole de Nagoya;</w:t>
      </w:r>
    </w:p>
    <w:p w14:paraId="4EDE66B2" w14:textId="4A6C3752" w:rsidR="004E5CCD" w:rsidRPr="0086516F" w:rsidRDefault="004E5CCD" w:rsidP="004E5CCD">
      <w:pPr>
        <w:pStyle w:val="CBDNormalNoNumber"/>
        <w:tabs>
          <w:tab w:val="clear" w:pos="567"/>
        </w:tabs>
        <w:rPr>
          <w:rFonts w:eastAsia="Times New Roman"/>
          <w:iCs/>
          <w:color w:val="000000" w:themeColor="text1"/>
          <w:szCs w:val="24"/>
          <w:lang w:val="fr-FR"/>
        </w:rPr>
      </w:pPr>
      <w:r>
        <w:rPr>
          <w:rFonts w:eastAsia="Times New Roman"/>
          <w:iCs/>
          <w:color w:val="000000" w:themeColor="text1"/>
          <w:szCs w:val="24"/>
          <w:lang w:val="fr-FR"/>
        </w:rPr>
        <w:tab/>
      </w:r>
      <w:r w:rsidRPr="0086516F">
        <w:rPr>
          <w:rFonts w:eastAsia="Times New Roman"/>
          <w:iCs/>
          <w:color w:val="000000" w:themeColor="text1"/>
          <w:szCs w:val="24"/>
          <w:lang w:val="fr-FR"/>
        </w:rPr>
        <w:t>c)</w:t>
      </w:r>
      <w:r w:rsidRPr="0086516F">
        <w:rPr>
          <w:rFonts w:eastAsia="Times New Roman"/>
          <w:iCs/>
          <w:color w:val="000000" w:themeColor="text1"/>
          <w:szCs w:val="24"/>
          <w:lang w:val="fr-FR"/>
        </w:rPr>
        <w:tab/>
      </w:r>
      <w:r w:rsidRPr="0086516F">
        <w:rPr>
          <w:rFonts w:eastAsia="Times New Roman"/>
          <w:color w:val="000000" w:themeColor="text1"/>
          <w:lang w:val="fr-FR"/>
        </w:rPr>
        <w:t xml:space="preserve">Recourir aux moyens existants, tels que la </w:t>
      </w:r>
      <w:r w:rsidR="00B938A4">
        <w:rPr>
          <w:rFonts w:eastAsia="Times New Roman"/>
          <w:color w:val="000000" w:themeColor="text1"/>
          <w:lang w:val="fr-FR"/>
        </w:rPr>
        <w:t xml:space="preserve">boîte à </w:t>
      </w:r>
      <w:r w:rsidRPr="0086516F">
        <w:rPr>
          <w:rFonts w:eastAsia="Times New Roman"/>
          <w:color w:val="000000" w:themeColor="text1"/>
          <w:lang w:val="fr-FR"/>
        </w:rPr>
        <w:t>outils pour la communication, l’éducation et la sensibilisation du public</w:t>
      </w:r>
      <w:r w:rsidRPr="0086516F">
        <w:rPr>
          <w:rStyle w:val="FootnoteReference"/>
          <w:rFonts w:eastAsia="Times New Roman"/>
          <w:iCs/>
          <w:color w:val="000000" w:themeColor="text1"/>
          <w:szCs w:val="24"/>
          <w:lang w:val="fr-FR"/>
        </w:rPr>
        <w:footnoteReference w:id="4"/>
      </w:r>
      <w:r w:rsidRPr="0086516F">
        <w:rPr>
          <w:rFonts w:eastAsia="Times New Roman"/>
          <w:color w:val="000000" w:themeColor="text1"/>
          <w:lang w:val="fr-FR"/>
        </w:rPr>
        <w:t xml:space="preserve"> et tenir compte notamment des considérations liées à l’accès et au partage des avantages;</w:t>
      </w:r>
    </w:p>
    <w:p w14:paraId="45169507" w14:textId="2B03C58C" w:rsidR="004E5CCD" w:rsidRPr="0086516F" w:rsidRDefault="004E5CCD" w:rsidP="004E5CCD">
      <w:pPr>
        <w:pStyle w:val="CBDNormalNoNumber"/>
        <w:tabs>
          <w:tab w:val="clear" w:pos="567"/>
        </w:tabs>
        <w:ind w:left="0"/>
        <w:rPr>
          <w:rFonts w:eastAsia="Times New Roman"/>
          <w:color w:val="000000" w:themeColor="text1"/>
          <w:kern w:val="22"/>
          <w:lang w:val="fr-FR"/>
        </w:rPr>
      </w:pPr>
      <w:r>
        <w:rPr>
          <w:rFonts w:eastAsia="Times New Roman"/>
          <w:color w:val="000000" w:themeColor="text1"/>
          <w:kern w:val="22"/>
          <w:lang w:val="fr-FR"/>
        </w:rPr>
        <w:tab/>
      </w:r>
      <w:r w:rsidRPr="0086516F">
        <w:rPr>
          <w:rFonts w:eastAsia="Times New Roman"/>
          <w:color w:val="000000" w:themeColor="text1"/>
          <w:kern w:val="22"/>
          <w:lang w:val="fr-FR"/>
        </w:rPr>
        <w:t>4.</w:t>
      </w:r>
      <w:r w:rsidRPr="0086516F">
        <w:rPr>
          <w:rFonts w:eastAsia="Times New Roman"/>
          <w:color w:val="000000" w:themeColor="text1"/>
          <w:kern w:val="22"/>
          <w:lang w:val="fr-FR"/>
        </w:rPr>
        <w:tab/>
      </w:r>
      <w:r w:rsidRPr="0086516F">
        <w:rPr>
          <w:i/>
          <w:color w:val="000000" w:themeColor="text1"/>
          <w:lang w:val="fr-FR"/>
        </w:rPr>
        <w:t xml:space="preserve">Prie </w:t>
      </w:r>
      <w:r w:rsidRPr="0086516F">
        <w:rPr>
          <w:rFonts w:eastAsia="Times New Roman"/>
          <w:color w:val="000000" w:themeColor="text1"/>
          <w:kern w:val="22"/>
          <w:lang w:val="fr-FR"/>
        </w:rPr>
        <w:t xml:space="preserve">la Secrétaire exécutive, </w:t>
      </w:r>
      <w:r w:rsidR="00B938A4">
        <w:rPr>
          <w:rFonts w:eastAsia="Times New Roman"/>
          <w:color w:val="000000" w:themeColor="text1"/>
          <w:kern w:val="22"/>
          <w:lang w:val="fr-FR"/>
        </w:rPr>
        <w:t>sous réserve</w:t>
      </w:r>
      <w:r w:rsidRPr="0086516F">
        <w:rPr>
          <w:rFonts w:eastAsia="Times New Roman"/>
          <w:color w:val="000000" w:themeColor="text1"/>
          <w:kern w:val="22"/>
          <w:lang w:val="fr-FR"/>
        </w:rPr>
        <w:t xml:space="preserve"> des ressources</w:t>
      </w:r>
      <w:r w:rsidR="00B938A4">
        <w:rPr>
          <w:rFonts w:eastAsia="Times New Roman"/>
          <w:color w:val="000000" w:themeColor="text1"/>
          <w:kern w:val="22"/>
          <w:lang w:val="fr-FR"/>
        </w:rPr>
        <w:t xml:space="preserve"> disponibles</w:t>
      </w:r>
      <w:r w:rsidRPr="0086516F">
        <w:rPr>
          <w:rFonts w:eastAsia="Times New Roman"/>
          <w:color w:val="000000" w:themeColor="text1"/>
          <w:kern w:val="22"/>
          <w:lang w:val="fr-FR"/>
        </w:rPr>
        <w:t>, de :</w:t>
      </w:r>
    </w:p>
    <w:p w14:paraId="0E6009A2" w14:textId="77777777" w:rsidR="004E5CCD" w:rsidRPr="0086516F" w:rsidRDefault="004E5CCD" w:rsidP="004E5CCD">
      <w:pPr>
        <w:pStyle w:val="CBDNormalNoNumber"/>
        <w:tabs>
          <w:tab w:val="clear" w:pos="567"/>
        </w:tabs>
        <w:rPr>
          <w:rFonts w:eastAsia="Times New Roman"/>
          <w:i/>
          <w:color w:val="000000" w:themeColor="text1"/>
          <w:szCs w:val="24"/>
          <w:lang w:val="fr-FR"/>
        </w:rPr>
      </w:pPr>
      <w:r>
        <w:rPr>
          <w:rFonts w:eastAsia="Times New Roman"/>
          <w:color w:val="000000" w:themeColor="text1"/>
          <w:szCs w:val="24"/>
          <w:lang w:val="fr-FR"/>
        </w:rPr>
        <w:tab/>
      </w:r>
      <w:r w:rsidRPr="0086516F">
        <w:rPr>
          <w:rFonts w:eastAsia="Times New Roman"/>
          <w:color w:val="000000" w:themeColor="text1"/>
          <w:szCs w:val="24"/>
          <w:lang w:val="fr-FR"/>
        </w:rPr>
        <w:t>a)</w:t>
      </w:r>
      <w:r w:rsidRPr="0086516F">
        <w:rPr>
          <w:rFonts w:eastAsia="Times New Roman"/>
          <w:color w:val="000000" w:themeColor="text1"/>
          <w:szCs w:val="24"/>
          <w:lang w:val="fr-FR"/>
        </w:rPr>
        <w:tab/>
        <w:t>Faciliter et p</w:t>
      </w:r>
      <w:r w:rsidRPr="0086516F">
        <w:rPr>
          <w:rFonts w:eastAsia="Times New Roman"/>
          <w:color w:val="000000" w:themeColor="text1"/>
          <w:lang w:val="fr-FR"/>
        </w:rPr>
        <w:t xml:space="preserve">romouvoir l’action de communication des acteurs susmentionnés au paragraphe 3 par l’élaboration de supports de communication ciblés qui soulignent les exemples de réussite et les meilleures pratiques et </w:t>
      </w:r>
      <w:r>
        <w:rPr>
          <w:rFonts w:eastAsia="Times New Roman"/>
          <w:color w:val="000000" w:themeColor="text1"/>
          <w:lang w:val="fr-FR"/>
        </w:rPr>
        <w:t xml:space="preserve">par </w:t>
      </w:r>
      <w:r w:rsidRPr="0086516F">
        <w:rPr>
          <w:rFonts w:eastAsia="Times New Roman"/>
          <w:color w:val="000000" w:themeColor="text1"/>
          <w:lang w:val="fr-FR"/>
        </w:rPr>
        <w:t xml:space="preserve">la diffusion de ces informations, notamment </w:t>
      </w:r>
      <w:r>
        <w:rPr>
          <w:rFonts w:eastAsia="Times New Roman"/>
          <w:color w:val="000000" w:themeColor="text1"/>
          <w:lang w:val="fr-FR"/>
        </w:rPr>
        <w:t xml:space="preserve">au moyen </w:t>
      </w:r>
      <w:r w:rsidRPr="0086516F">
        <w:rPr>
          <w:rFonts w:eastAsia="Times New Roman"/>
          <w:color w:val="000000" w:themeColor="text1"/>
          <w:lang w:val="fr-FR"/>
        </w:rPr>
        <w:t>du Centre d’échange sur l’accès et le partage des avantages;</w:t>
      </w:r>
    </w:p>
    <w:p w14:paraId="155E4866" w14:textId="77777777" w:rsidR="004E5CCD" w:rsidRPr="0086516F" w:rsidRDefault="004E5CCD" w:rsidP="004E5CCD">
      <w:pPr>
        <w:pStyle w:val="CBDNormalNoNumber"/>
        <w:tabs>
          <w:tab w:val="clear" w:pos="567"/>
        </w:tabs>
        <w:rPr>
          <w:rFonts w:eastAsia="Times New Roman"/>
          <w:i/>
          <w:color w:val="000000" w:themeColor="text1"/>
          <w:szCs w:val="24"/>
          <w:lang w:val="fr-FR"/>
        </w:rPr>
      </w:pPr>
      <w:r>
        <w:rPr>
          <w:rFonts w:eastAsia="Times New Roman"/>
          <w:color w:val="000000" w:themeColor="text1"/>
          <w:szCs w:val="24"/>
          <w:lang w:val="fr-FR"/>
        </w:rPr>
        <w:lastRenderedPageBreak/>
        <w:tab/>
      </w:r>
      <w:r w:rsidRPr="0086516F">
        <w:rPr>
          <w:rFonts w:eastAsia="Times New Roman"/>
          <w:color w:val="000000" w:themeColor="text1"/>
          <w:szCs w:val="24"/>
          <w:lang w:val="fr-FR"/>
        </w:rPr>
        <w:t>b)</w:t>
      </w:r>
      <w:r w:rsidRPr="0086516F">
        <w:rPr>
          <w:rFonts w:eastAsia="Times New Roman"/>
          <w:color w:val="000000" w:themeColor="text1"/>
          <w:szCs w:val="24"/>
          <w:lang w:val="fr-FR"/>
        </w:rPr>
        <w:tab/>
      </w:r>
      <w:r w:rsidRPr="0086516F">
        <w:rPr>
          <w:rFonts w:eastAsia="Times New Roman"/>
          <w:color w:val="000000" w:themeColor="text1"/>
          <w:lang w:val="fr-FR"/>
        </w:rPr>
        <w:t xml:space="preserve">Faciliter et encourager les échanges </w:t>
      </w:r>
      <w:r>
        <w:rPr>
          <w:rFonts w:eastAsia="Times New Roman"/>
          <w:color w:val="000000" w:themeColor="text1"/>
          <w:lang w:val="fr-FR"/>
        </w:rPr>
        <w:t>cit</w:t>
      </w:r>
      <w:r w:rsidRPr="0086516F">
        <w:rPr>
          <w:rFonts w:eastAsia="Times New Roman"/>
          <w:color w:val="000000" w:themeColor="text1"/>
          <w:lang w:val="fr-FR"/>
        </w:rPr>
        <w:t>és aux alinéas</w:t>
      </w:r>
      <w:r>
        <w:rPr>
          <w:color w:val="000000" w:themeColor="text1"/>
          <w:lang w:val="fr-FR"/>
        </w:rPr>
        <w:t xml:space="preserve"> </w:t>
      </w:r>
      <w:r w:rsidRPr="0086516F">
        <w:rPr>
          <w:color w:val="000000" w:themeColor="text1"/>
          <w:lang w:val="fr-FR"/>
        </w:rPr>
        <w:t>d</w:t>
      </w:r>
      <w:r w:rsidRPr="0086516F">
        <w:rPr>
          <w:rFonts w:eastAsia="Times New Roman"/>
          <w:color w:val="000000" w:themeColor="text1"/>
          <w:lang w:val="fr-FR"/>
        </w:rPr>
        <w:t xml:space="preserve">) et e) </w:t>
      </w:r>
      <w:r>
        <w:rPr>
          <w:rFonts w:eastAsia="Times New Roman"/>
          <w:color w:val="000000" w:themeColor="text1"/>
          <w:lang w:val="fr-FR"/>
        </w:rPr>
        <w:t xml:space="preserve">du paragraphe 2 </w:t>
      </w:r>
      <w:r w:rsidRPr="0086516F">
        <w:rPr>
          <w:rFonts w:eastAsia="Times New Roman"/>
          <w:color w:val="000000" w:themeColor="text1"/>
          <w:lang w:val="fr-FR"/>
        </w:rPr>
        <w:t>ci-dessus au sujet des domaines recensés dans les conclusions et les messages clefs, notamment par l</w:t>
      </w:r>
      <w:r>
        <w:rPr>
          <w:rFonts w:eastAsia="Times New Roman"/>
          <w:color w:val="000000" w:themeColor="text1"/>
          <w:lang w:val="fr-FR"/>
        </w:rPr>
        <w:t xml:space="preserve">a tenue </w:t>
      </w:r>
      <w:r w:rsidRPr="0086516F">
        <w:rPr>
          <w:rFonts w:eastAsia="Times New Roman"/>
          <w:color w:val="000000" w:themeColor="text1"/>
          <w:lang w:val="fr-FR"/>
        </w:rPr>
        <w:t>d’ateliers régionaux;</w:t>
      </w:r>
    </w:p>
    <w:p w14:paraId="5D0C1B8A" w14:textId="77777777" w:rsidR="004E5CCD" w:rsidRPr="0086516F" w:rsidRDefault="004E5CCD" w:rsidP="004E5CCD">
      <w:pPr>
        <w:pStyle w:val="CBDNormalNoNumber"/>
        <w:tabs>
          <w:tab w:val="clear" w:pos="567"/>
        </w:tabs>
        <w:rPr>
          <w:rFonts w:eastAsia="Times New Roman"/>
          <w:color w:val="000000" w:themeColor="text1"/>
          <w:lang w:val="fr-FR"/>
        </w:rPr>
      </w:pPr>
      <w:r>
        <w:rPr>
          <w:rFonts w:eastAsia="Times New Roman"/>
          <w:color w:val="000000" w:themeColor="text1"/>
          <w:szCs w:val="24"/>
          <w:lang w:val="fr-FR"/>
        </w:rPr>
        <w:tab/>
      </w:r>
      <w:r w:rsidRPr="0086516F">
        <w:rPr>
          <w:rFonts w:eastAsia="Times New Roman"/>
          <w:color w:val="000000" w:themeColor="text1"/>
          <w:szCs w:val="24"/>
          <w:lang w:val="fr-FR"/>
        </w:rPr>
        <w:t>c)</w:t>
      </w:r>
      <w:r w:rsidRPr="0086516F">
        <w:rPr>
          <w:rFonts w:eastAsia="Times New Roman"/>
          <w:color w:val="000000" w:themeColor="text1"/>
          <w:szCs w:val="24"/>
          <w:lang w:val="fr-FR"/>
        </w:rPr>
        <w:tab/>
      </w:r>
      <w:r w:rsidRPr="0086516F">
        <w:rPr>
          <w:rFonts w:eastAsia="Times New Roman"/>
          <w:color w:val="000000" w:themeColor="text1"/>
          <w:lang w:val="fr-FR"/>
        </w:rPr>
        <w:t xml:space="preserve">Promouvoir l’intégration de l’accès et du partage des avantages dans les initiatives régionales et sous-régionales de création et de renforcement des capacités, dans les cadres de coopération existants et dans les travaux des institutions régionales et sous-régionales compétentes, notamment les centres d’appui à la coopération technique et scientifique, et </w:t>
      </w:r>
      <w:r>
        <w:rPr>
          <w:rFonts w:eastAsia="Times New Roman"/>
          <w:color w:val="000000" w:themeColor="text1"/>
          <w:lang w:val="fr-FR"/>
        </w:rPr>
        <w:t>épauler</w:t>
      </w:r>
      <w:r w:rsidRPr="0086516F">
        <w:rPr>
          <w:rFonts w:eastAsia="Times New Roman"/>
          <w:color w:val="000000" w:themeColor="text1"/>
          <w:lang w:val="fr-FR"/>
        </w:rPr>
        <w:t xml:space="preserve"> </w:t>
      </w:r>
      <w:r>
        <w:rPr>
          <w:rFonts w:eastAsia="Times New Roman"/>
          <w:color w:val="000000" w:themeColor="text1"/>
          <w:lang w:val="fr-FR"/>
        </w:rPr>
        <w:t>par l’entremise</w:t>
      </w:r>
      <w:r w:rsidRPr="0086516F">
        <w:rPr>
          <w:rFonts w:eastAsia="Times New Roman"/>
          <w:color w:val="000000" w:themeColor="text1"/>
          <w:lang w:val="fr-FR"/>
        </w:rPr>
        <w:t xml:space="preserve"> de ces centres la création et la mise en place de points de contrôle au titre de l’article 17 du Protocole de Nagoya;</w:t>
      </w:r>
    </w:p>
    <w:p w14:paraId="34895699" w14:textId="0E3107F6" w:rsidR="004E5CCD" w:rsidRPr="0086516F" w:rsidRDefault="004E5CCD" w:rsidP="004E5CCD">
      <w:pPr>
        <w:pStyle w:val="CBDNormalNoNumber"/>
        <w:tabs>
          <w:tab w:val="clear" w:pos="567"/>
        </w:tabs>
        <w:rPr>
          <w:rFonts w:eastAsia="Times New Roman"/>
          <w:i/>
          <w:color w:val="000000" w:themeColor="text1"/>
          <w:szCs w:val="24"/>
          <w:lang w:val="fr-FR"/>
        </w:rPr>
      </w:pPr>
      <w:r>
        <w:rPr>
          <w:rFonts w:eastAsia="Times New Roman"/>
          <w:color w:val="000000" w:themeColor="text1"/>
          <w:lang w:val="fr-FR"/>
        </w:rPr>
        <w:tab/>
      </w:r>
      <w:r w:rsidRPr="0086516F">
        <w:rPr>
          <w:rFonts w:eastAsia="Times New Roman"/>
          <w:color w:val="000000" w:themeColor="text1"/>
          <w:lang w:val="fr-FR"/>
        </w:rPr>
        <w:t>d)</w:t>
      </w:r>
      <w:r w:rsidRPr="0086516F">
        <w:rPr>
          <w:rFonts w:eastAsia="Times New Roman"/>
          <w:color w:val="000000" w:themeColor="text1"/>
          <w:lang w:val="fr-FR"/>
        </w:rPr>
        <w:tab/>
      </w:r>
      <w:r w:rsidRPr="0086516F">
        <w:rPr>
          <w:rFonts w:eastAsia="Times New Roman"/>
          <w:iCs/>
          <w:color w:val="000000" w:themeColor="text1"/>
          <w:lang w:val="fr-FR"/>
        </w:rPr>
        <w:t xml:space="preserve">Promouvoir la coopération, la collaboration et les synergies entre les secrétariats des accords multilatéraux sur l’environnement </w:t>
      </w:r>
      <w:r w:rsidR="00B938A4">
        <w:rPr>
          <w:rFonts w:eastAsia="Times New Roman"/>
          <w:iCs/>
          <w:color w:val="000000" w:themeColor="text1"/>
          <w:lang w:val="fr-FR"/>
        </w:rPr>
        <w:t>et autres accords internationaux pertinents et organisations internationales compétentes, ayant trait</w:t>
      </w:r>
      <w:r w:rsidRPr="0086516F">
        <w:rPr>
          <w:rFonts w:eastAsia="Times New Roman"/>
          <w:iCs/>
          <w:color w:val="000000" w:themeColor="text1"/>
          <w:lang w:val="fr-FR"/>
        </w:rPr>
        <w:t xml:space="preserve"> à l’accès et au partage des avantages, </w:t>
      </w:r>
      <w:r w:rsidR="00B938A4">
        <w:rPr>
          <w:rFonts w:eastAsia="Times New Roman"/>
          <w:iCs/>
          <w:color w:val="000000" w:themeColor="text1"/>
          <w:lang w:val="fr-FR"/>
        </w:rPr>
        <w:t xml:space="preserve">tout en </w:t>
      </w:r>
      <w:r w:rsidR="00787689">
        <w:rPr>
          <w:rFonts w:eastAsia="Times New Roman"/>
          <w:iCs/>
          <w:color w:val="000000" w:themeColor="text1"/>
          <w:lang w:val="fr-FR"/>
        </w:rPr>
        <w:t>prenant en considération</w:t>
      </w:r>
      <w:r w:rsidR="00B938A4">
        <w:rPr>
          <w:rFonts w:eastAsia="Times New Roman"/>
          <w:iCs/>
          <w:color w:val="000000" w:themeColor="text1"/>
          <w:lang w:val="fr-FR"/>
        </w:rPr>
        <w:t xml:space="preserve"> leurs mandats et </w:t>
      </w:r>
      <w:r w:rsidR="00787689">
        <w:rPr>
          <w:rFonts w:eastAsia="Times New Roman"/>
          <w:iCs/>
          <w:color w:val="000000" w:themeColor="text1"/>
          <w:lang w:val="fr-FR"/>
        </w:rPr>
        <w:t>champs d’application</w:t>
      </w:r>
      <w:r w:rsidR="00FA79F5">
        <w:rPr>
          <w:rFonts w:eastAsia="Times New Roman"/>
          <w:iCs/>
          <w:color w:val="000000" w:themeColor="text1"/>
          <w:lang w:val="fr-FR"/>
        </w:rPr>
        <w:t> </w:t>
      </w:r>
      <w:r w:rsidR="00B938A4">
        <w:rPr>
          <w:rFonts w:eastAsia="Times New Roman"/>
          <w:iCs/>
          <w:color w:val="000000" w:themeColor="text1"/>
          <w:lang w:val="fr-FR"/>
        </w:rPr>
        <w:t>respectifs</w:t>
      </w:r>
      <w:r w:rsidRPr="0086516F">
        <w:rPr>
          <w:rFonts w:eastAsia="Times New Roman"/>
          <w:iCs/>
          <w:color w:val="000000" w:themeColor="text1"/>
          <w:lang w:val="fr-FR"/>
        </w:rPr>
        <w:t>;</w:t>
      </w:r>
    </w:p>
    <w:p w14:paraId="13CC00C7" w14:textId="77777777" w:rsidR="004E5CCD" w:rsidRPr="0086516F" w:rsidRDefault="004E5CCD" w:rsidP="004E5CCD">
      <w:pPr>
        <w:pStyle w:val="CBDNormalNoNumber"/>
        <w:keepNext/>
        <w:rPr>
          <w:bCs/>
          <w:color w:val="000000" w:themeColor="text1"/>
          <w:lang w:val="fr-FR"/>
        </w:rPr>
      </w:pPr>
      <w:r w:rsidRPr="0086516F">
        <w:rPr>
          <w:b/>
          <w:bCs/>
          <w:color w:val="000000" w:themeColor="text1"/>
          <w:lang w:val="fr-FR"/>
        </w:rPr>
        <w:t>II</w:t>
      </w:r>
      <w:r w:rsidRPr="0086516F">
        <w:rPr>
          <w:b/>
          <w:bCs/>
          <w:color w:val="000000" w:themeColor="text1"/>
          <w:lang w:val="fr-FR"/>
        </w:rPr>
        <w:br/>
        <w:t>Centre d’échange sur l’accès et le partage des avantages et échange d’informations</w:t>
      </w:r>
    </w:p>
    <w:p w14:paraId="144699ED" w14:textId="24CD8791" w:rsidR="004E5CCD" w:rsidRPr="0086516F" w:rsidRDefault="004E5CCD" w:rsidP="004E5CCD">
      <w:pPr>
        <w:pStyle w:val="CBDNormalNoNumber"/>
        <w:tabs>
          <w:tab w:val="clear" w:pos="567"/>
        </w:tabs>
        <w:rPr>
          <w:rFonts w:eastAsia="Times New Roman"/>
          <w:color w:val="000000" w:themeColor="text1"/>
          <w:kern w:val="22"/>
          <w:lang w:val="fr-FR"/>
        </w:rPr>
      </w:pPr>
      <w:r>
        <w:rPr>
          <w:rFonts w:eastAsia="Times New Roman"/>
          <w:color w:val="000000" w:themeColor="text1"/>
          <w:kern w:val="22"/>
          <w:lang w:val="fr-FR"/>
        </w:rPr>
        <w:tab/>
      </w:r>
      <w:r w:rsidRPr="0086516F">
        <w:rPr>
          <w:rFonts w:eastAsia="Times New Roman"/>
          <w:color w:val="000000" w:themeColor="text1"/>
          <w:kern w:val="22"/>
          <w:lang w:val="fr-FR"/>
        </w:rPr>
        <w:t>5.</w:t>
      </w:r>
      <w:r w:rsidRPr="0086516F">
        <w:rPr>
          <w:rFonts w:eastAsia="Times New Roman"/>
          <w:color w:val="000000" w:themeColor="text1"/>
          <w:kern w:val="22"/>
          <w:lang w:val="fr-FR"/>
        </w:rPr>
        <w:tab/>
      </w:r>
      <w:r w:rsidRPr="0086516F">
        <w:rPr>
          <w:i/>
          <w:color w:val="000000" w:themeColor="text1"/>
          <w:lang w:val="fr-FR"/>
        </w:rPr>
        <w:t xml:space="preserve">Souligne </w:t>
      </w:r>
      <w:r w:rsidRPr="0086516F">
        <w:rPr>
          <w:rFonts w:eastAsia="Times New Roman"/>
          <w:color w:val="000000" w:themeColor="text1"/>
          <w:kern w:val="22"/>
          <w:lang w:val="fr-FR"/>
        </w:rPr>
        <w:t xml:space="preserve">le rôle essentiel du Centre d’échange sur l’accès et le partage des avantages </w:t>
      </w:r>
      <w:r w:rsidR="00FA79F5">
        <w:rPr>
          <w:rFonts w:eastAsia="Times New Roman"/>
          <w:color w:val="000000" w:themeColor="text1"/>
          <w:kern w:val="22"/>
          <w:lang w:val="fr-FR"/>
        </w:rPr>
        <w:t>pour ce qui est d’</w:t>
      </w:r>
      <w:r w:rsidRPr="0086516F">
        <w:rPr>
          <w:rFonts w:eastAsia="Times New Roman"/>
          <w:color w:val="000000" w:themeColor="text1"/>
          <w:kern w:val="22"/>
          <w:lang w:val="fr-FR"/>
        </w:rPr>
        <w:t>appu</w:t>
      </w:r>
      <w:r w:rsidR="00FA79F5">
        <w:rPr>
          <w:rFonts w:eastAsia="Times New Roman"/>
          <w:color w:val="000000" w:themeColor="text1"/>
          <w:kern w:val="22"/>
          <w:lang w:val="fr-FR"/>
        </w:rPr>
        <w:t>yer</w:t>
      </w:r>
      <w:r w:rsidRPr="0086516F">
        <w:rPr>
          <w:rFonts w:eastAsia="Times New Roman"/>
          <w:color w:val="000000" w:themeColor="text1"/>
          <w:kern w:val="22"/>
          <w:lang w:val="fr-FR"/>
        </w:rPr>
        <w:t xml:space="preserve"> l’application effective des dispositions du Protocole de Nagoya;</w:t>
      </w:r>
    </w:p>
    <w:p w14:paraId="738BE572" w14:textId="77777777" w:rsidR="004E5CCD" w:rsidRPr="0086516F" w:rsidRDefault="004E5CCD" w:rsidP="004E5CCD">
      <w:pPr>
        <w:pStyle w:val="CBDNormalNoNumber"/>
        <w:tabs>
          <w:tab w:val="clear" w:pos="567"/>
        </w:tabs>
        <w:rPr>
          <w:rFonts w:eastAsia="Times New Roman"/>
          <w:color w:val="000000" w:themeColor="text1"/>
          <w:kern w:val="22"/>
          <w:lang w:val="fr-FR"/>
        </w:rPr>
      </w:pPr>
      <w:r>
        <w:rPr>
          <w:rFonts w:eastAsia="Times New Roman"/>
          <w:color w:val="000000" w:themeColor="text1"/>
          <w:kern w:val="22"/>
          <w:lang w:val="fr-FR"/>
        </w:rPr>
        <w:tab/>
      </w:r>
      <w:r w:rsidRPr="0086516F">
        <w:rPr>
          <w:rFonts w:eastAsia="Times New Roman"/>
          <w:color w:val="000000" w:themeColor="text1"/>
          <w:kern w:val="22"/>
          <w:lang w:val="fr-FR"/>
        </w:rPr>
        <w:t>6.</w:t>
      </w:r>
      <w:r w:rsidRPr="0086516F">
        <w:rPr>
          <w:rFonts w:eastAsia="Times New Roman"/>
          <w:color w:val="000000" w:themeColor="text1"/>
          <w:kern w:val="22"/>
          <w:lang w:val="fr-FR"/>
        </w:rPr>
        <w:tab/>
      </w:r>
      <w:r w:rsidRPr="00432AEC">
        <w:rPr>
          <w:rFonts w:eastAsia="Times New Roman"/>
          <w:i/>
          <w:iCs/>
          <w:color w:val="000000" w:themeColor="text1"/>
          <w:kern w:val="22"/>
          <w:lang w:val="fr-FR"/>
        </w:rPr>
        <w:t xml:space="preserve">Souligne </w:t>
      </w:r>
      <w:r>
        <w:rPr>
          <w:rFonts w:eastAsia="Times New Roman"/>
          <w:color w:val="000000" w:themeColor="text1"/>
          <w:kern w:val="22"/>
          <w:lang w:val="fr-FR"/>
        </w:rPr>
        <w:t xml:space="preserve">qu’il importe </w:t>
      </w:r>
      <w:r w:rsidRPr="0086516F">
        <w:rPr>
          <w:rFonts w:eastAsia="Times New Roman"/>
          <w:color w:val="000000" w:themeColor="text1"/>
          <w:kern w:val="22"/>
          <w:lang w:val="fr-FR"/>
        </w:rPr>
        <w:t>pour les Parties de publier toutes les informations obligatoires dont elles disposent par l’intermédiaire du Centre d’échange sur l’accès et le partage des avantages et de veiller à ce qu’elles soient actualisées afin de renforcer l’efficacité du Protocole de Nagoya;</w:t>
      </w:r>
    </w:p>
    <w:p w14:paraId="58EE4A23" w14:textId="2AF38806" w:rsidR="004E5CCD" w:rsidRPr="0086516F" w:rsidRDefault="004E5CCD" w:rsidP="004E5CCD">
      <w:pPr>
        <w:pStyle w:val="CBDNormalNoNumber"/>
        <w:tabs>
          <w:tab w:val="clear" w:pos="567"/>
        </w:tabs>
        <w:rPr>
          <w:rFonts w:eastAsia="Times New Roman"/>
          <w:color w:val="000000" w:themeColor="text1"/>
          <w:kern w:val="22"/>
          <w:lang w:val="fr-FR"/>
        </w:rPr>
      </w:pPr>
      <w:r>
        <w:rPr>
          <w:rFonts w:eastAsia="Times New Roman"/>
          <w:color w:val="000000" w:themeColor="text1"/>
          <w:kern w:val="22"/>
          <w:lang w:val="fr-FR"/>
        </w:rPr>
        <w:tab/>
      </w:r>
      <w:r w:rsidRPr="0086516F">
        <w:rPr>
          <w:rFonts w:eastAsia="Times New Roman"/>
          <w:color w:val="000000" w:themeColor="text1"/>
          <w:kern w:val="22"/>
          <w:lang w:val="fr-FR"/>
        </w:rPr>
        <w:t>7.</w:t>
      </w:r>
      <w:r w:rsidRPr="0086516F">
        <w:rPr>
          <w:rFonts w:eastAsia="Times New Roman"/>
          <w:color w:val="000000" w:themeColor="text1"/>
          <w:kern w:val="22"/>
          <w:lang w:val="fr-FR"/>
        </w:rPr>
        <w:tab/>
      </w:r>
      <w:r w:rsidRPr="0086516F">
        <w:rPr>
          <w:rFonts w:eastAsia="Times New Roman"/>
          <w:i/>
          <w:iCs/>
          <w:color w:val="000000" w:themeColor="text1"/>
          <w:kern w:val="22"/>
          <w:lang w:val="fr-FR"/>
        </w:rPr>
        <w:t xml:space="preserve">Demande </w:t>
      </w:r>
      <w:r w:rsidRPr="0086516F">
        <w:rPr>
          <w:rFonts w:eastAsia="Times New Roman"/>
          <w:color w:val="000000" w:themeColor="text1"/>
          <w:kern w:val="22"/>
          <w:lang w:val="fr-FR"/>
        </w:rPr>
        <w:t xml:space="preserve">aux Parties de communiquer des informations actualisées, exactes et </w:t>
      </w:r>
      <w:r w:rsidR="00FA79F5">
        <w:rPr>
          <w:rFonts w:eastAsia="Times New Roman"/>
          <w:color w:val="000000" w:themeColor="text1"/>
          <w:kern w:val="22"/>
          <w:lang w:val="fr-FR"/>
        </w:rPr>
        <w:t xml:space="preserve">d’ordre </w:t>
      </w:r>
      <w:r w:rsidRPr="0086516F">
        <w:rPr>
          <w:rFonts w:eastAsia="Times New Roman"/>
          <w:color w:val="000000" w:themeColor="text1"/>
          <w:kern w:val="22"/>
          <w:lang w:val="fr-FR"/>
        </w:rPr>
        <w:t>pratique</w:t>
      </w:r>
      <w:r w:rsidR="00FA79F5">
        <w:rPr>
          <w:rFonts w:eastAsia="Times New Roman"/>
          <w:color w:val="000000" w:themeColor="text1"/>
          <w:kern w:val="22"/>
          <w:lang w:val="fr-FR"/>
        </w:rPr>
        <w:t xml:space="preserve"> concernant</w:t>
      </w:r>
      <w:r w:rsidRPr="0086516F">
        <w:rPr>
          <w:rFonts w:eastAsia="Times New Roman"/>
          <w:color w:val="000000" w:themeColor="text1"/>
          <w:kern w:val="22"/>
          <w:lang w:val="fr-FR"/>
        </w:rPr>
        <w:t xml:space="preserve"> les procédures d’accès et de partage des avantages et les clauses contractuelles types </w:t>
      </w:r>
      <w:r>
        <w:rPr>
          <w:rFonts w:eastAsia="Times New Roman"/>
          <w:color w:val="000000" w:themeColor="text1"/>
          <w:kern w:val="22"/>
          <w:lang w:val="fr-FR"/>
        </w:rPr>
        <w:t xml:space="preserve">nationales </w:t>
      </w:r>
      <w:r w:rsidRPr="0086516F">
        <w:rPr>
          <w:rFonts w:eastAsia="Times New Roman"/>
          <w:color w:val="000000" w:themeColor="text1"/>
          <w:kern w:val="22"/>
          <w:lang w:val="fr-FR"/>
        </w:rPr>
        <w:t>au Centre d’échange sur l’accès et le partage des avantages, conformément à l’article 14 du Protocole de Nagoya;</w:t>
      </w:r>
    </w:p>
    <w:p w14:paraId="489F06FE" w14:textId="77777777" w:rsidR="004E5CCD" w:rsidRPr="0086516F" w:rsidRDefault="004E5CCD" w:rsidP="004E5CCD">
      <w:pPr>
        <w:pStyle w:val="CBDNormalNoNumber"/>
        <w:tabs>
          <w:tab w:val="clear" w:pos="567"/>
        </w:tabs>
        <w:rPr>
          <w:rFonts w:eastAsia="Times New Roman"/>
          <w:color w:val="000000" w:themeColor="text1"/>
          <w:kern w:val="22"/>
          <w:lang w:val="fr-FR"/>
        </w:rPr>
      </w:pPr>
      <w:r>
        <w:rPr>
          <w:rFonts w:eastAsia="Times New Roman"/>
          <w:color w:val="000000" w:themeColor="text1"/>
          <w:kern w:val="22"/>
          <w:lang w:val="fr-FR"/>
        </w:rPr>
        <w:tab/>
      </w:r>
      <w:r w:rsidRPr="0086516F">
        <w:rPr>
          <w:rFonts w:eastAsia="Times New Roman"/>
          <w:color w:val="000000" w:themeColor="text1"/>
          <w:kern w:val="22"/>
          <w:lang w:val="fr-FR"/>
        </w:rPr>
        <w:t>8.</w:t>
      </w:r>
      <w:r w:rsidRPr="0086516F">
        <w:rPr>
          <w:rFonts w:eastAsia="Times New Roman"/>
          <w:color w:val="000000" w:themeColor="text1"/>
          <w:kern w:val="22"/>
          <w:lang w:val="fr-FR"/>
        </w:rPr>
        <w:tab/>
      </w:r>
      <w:r w:rsidRPr="0086516F">
        <w:rPr>
          <w:i/>
          <w:color w:val="000000" w:themeColor="text1"/>
          <w:lang w:val="fr-FR"/>
        </w:rPr>
        <w:t xml:space="preserve">Note avec inquiétude </w:t>
      </w:r>
      <w:r w:rsidRPr="0086516F">
        <w:rPr>
          <w:rFonts w:eastAsia="Times New Roman"/>
          <w:color w:val="000000" w:themeColor="text1"/>
          <w:kern w:val="22"/>
          <w:lang w:val="fr-FR"/>
        </w:rPr>
        <w:t xml:space="preserve">que </w:t>
      </w:r>
      <w:r>
        <w:rPr>
          <w:rFonts w:eastAsia="Times New Roman"/>
          <w:color w:val="000000" w:themeColor="text1"/>
          <w:kern w:val="22"/>
          <w:lang w:val="fr-FR"/>
        </w:rPr>
        <w:t xml:space="preserve">bon </w:t>
      </w:r>
      <w:r w:rsidRPr="0086516F">
        <w:rPr>
          <w:rFonts w:eastAsia="Times New Roman"/>
          <w:color w:val="000000" w:themeColor="text1"/>
          <w:kern w:val="22"/>
          <w:lang w:val="fr-FR"/>
        </w:rPr>
        <w:t>nombre de Parties n’ont pas encore communiqué</w:t>
      </w:r>
      <w:r>
        <w:rPr>
          <w:rFonts w:eastAsia="Times New Roman"/>
          <w:color w:val="000000" w:themeColor="text1"/>
          <w:kern w:val="22"/>
          <w:lang w:val="fr-FR"/>
        </w:rPr>
        <w:t>,  comme elles sont tenues de le faire,</w:t>
      </w:r>
      <w:r w:rsidRPr="0086516F">
        <w:rPr>
          <w:rFonts w:eastAsia="Times New Roman"/>
          <w:color w:val="000000" w:themeColor="text1"/>
          <w:kern w:val="22"/>
          <w:lang w:val="fr-FR"/>
        </w:rPr>
        <w:t xml:space="preserve"> toutes les informations dont elles disposent</w:t>
      </w:r>
      <w:r>
        <w:rPr>
          <w:rFonts w:eastAsia="Times New Roman"/>
          <w:color w:val="000000" w:themeColor="text1"/>
          <w:kern w:val="22"/>
          <w:lang w:val="fr-FR"/>
        </w:rPr>
        <w:t xml:space="preserve"> </w:t>
      </w:r>
      <w:r w:rsidRPr="0086516F">
        <w:rPr>
          <w:rFonts w:eastAsia="Times New Roman"/>
          <w:color w:val="000000" w:themeColor="text1"/>
          <w:kern w:val="22"/>
          <w:lang w:val="fr-FR"/>
        </w:rPr>
        <w:t xml:space="preserve">au Centre d’échange sur l’accès et le partage des avantages, et les exhorte à le faire, comme le prévoit l’article 14 du Protocole de Nagoya, dès que possible, et </w:t>
      </w:r>
      <w:r>
        <w:rPr>
          <w:rFonts w:eastAsia="Times New Roman"/>
          <w:color w:val="000000" w:themeColor="text1"/>
          <w:kern w:val="22"/>
          <w:lang w:val="fr-FR"/>
        </w:rPr>
        <w:t>à</w:t>
      </w:r>
      <w:r w:rsidRPr="0086516F">
        <w:rPr>
          <w:rFonts w:eastAsia="Times New Roman"/>
          <w:color w:val="000000" w:themeColor="text1"/>
          <w:kern w:val="22"/>
          <w:lang w:val="fr-FR"/>
        </w:rPr>
        <w:t xml:space="preserve"> les tenir à jour;</w:t>
      </w:r>
    </w:p>
    <w:p w14:paraId="17DC15CB" w14:textId="77777777" w:rsidR="004E5CCD" w:rsidRPr="0086516F" w:rsidRDefault="004E5CCD" w:rsidP="004E5CCD">
      <w:pPr>
        <w:pStyle w:val="CBDNormalNoNumber"/>
        <w:tabs>
          <w:tab w:val="clear" w:pos="567"/>
        </w:tabs>
        <w:rPr>
          <w:rFonts w:eastAsia="Times New Roman"/>
          <w:color w:val="000000" w:themeColor="text1"/>
          <w:kern w:val="22"/>
          <w:lang w:val="fr-FR"/>
        </w:rPr>
      </w:pPr>
      <w:r>
        <w:rPr>
          <w:rFonts w:eastAsia="Times New Roman"/>
          <w:color w:val="000000" w:themeColor="text1"/>
          <w:kern w:val="22"/>
          <w:lang w:val="fr-FR"/>
        </w:rPr>
        <w:tab/>
      </w:r>
      <w:r w:rsidRPr="0086516F">
        <w:rPr>
          <w:rFonts w:eastAsia="Times New Roman"/>
          <w:color w:val="000000" w:themeColor="text1"/>
          <w:kern w:val="22"/>
          <w:lang w:val="fr-FR"/>
        </w:rPr>
        <w:t>9.</w:t>
      </w:r>
      <w:r w:rsidRPr="0086516F">
        <w:rPr>
          <w:rFonts w:eastAsia="Times New Roman"/>
          <w:color w:val="000000" w:themeColor="text1"/>
          <w:kern w:val="22"/>
          <w:lang w:val="fr-FR"/>
        </w:rPr>
        <w:tab/>
      </w:r>
      <w:r w:rsidRPr="0086516F">
        <w:rPr>
          <w:i/>
          <w:iCs/>
          <w:color w:val="000000" w:themeColor="text1"/>
          <w:lang w:val="fr-FR"/>
        </w:rPr>
        <w:t xml:space="preserve">Encourage </w:t>
      </w:r>
      <w:r w:rsidRPr="0086516F">
        <w:rPr>
          <w:color w:val="000000" w:themeColor="text1"/>
          <w:lang w:val="fr-FR"/>
        </w:rPr>
        <w:t xml:space="preserve">les Parties à tirer parti de l’interopérabilité entre le Centre d’échange sur l’accès et le partage des avantages et les systèmes d’information nationaux </w:t>
      </w:r>
      <w:r>
        <w:rPr>
          <w:color w:val="000000" w:themeColor="text1"/>
          <w:lang w:val="fr-FR"/>
        </w:rPr>
        <w:t xml:space="preserve">correspondants </w:t>
      </w:r>
      <w:r w:rsidRPr="0086516F">
        <w:rPr>
          <w:color w:val="000000" w:themeColor="text1"/>
          <w:lang w:val="fr-FR"/>
        </w:rPr>
        <w:t>pour faciliter la publication d’informations relatives aux certificats de conformité reconnus à l’échelle internationale et aux communiqués de points de contrôle;</w:t>
      </w:r>
    </w:p>
    <w:p w14:paraId="713CC637" w14:textId="5B732FCC" w:rsidR="004E5CCD" w:rsidRPr="0086516F" w:rsidRDefault="004E5CCD" w:rsidP="004E5CCD">
      <w:pPr>
        <w:pStyle w:val="CBDNormalNoNumber"/>
        <w:keepNext/>
        <w:tabs>
          <w:tab w:val="clear" w:pos="567"/>
        </w:tabs>
        <w:rPr>
          <w:rFonts w:eastAsia="Times New Roman"/>
          <w:color w:val="000000" w:themeColor="text1"/>
          <w:kern w:val="22"/>
          <w:lang w:val="fr-FR"/>
        </w:rPr>
      </w:pPr>
      <w:r>
        <w:rPr>
          <w:rFonts w:eastAsia="Times New Roman"/>
          <w:color w:val="000000" w:themeColor="text1"/>
          <w:kern w:val="22"/>
          <w:lang w:val="fr-FR"/>
        </w:rPr>
        <w:tab/>
      </w:r>
      <w:r w:rsidRPr="0086516F">
        <w:rPr>
          <w:rFonts w:eastAsia="Times New Roman"/>
          <w:color w:val="000000" w:themeColor="text1"/>
          <w:kern w:val="22"/>
          <w:lang w:val="fr-FR"/>
        </w:rPr>
        <w:t>10.</w:t>
      </w:r>
      <w:r w:rsidRPr="0086516F">
        <w:rPr>
          <w:rFonts w:eastAsia="Times New Roman"/>
          <w:color w:val="000000" w:themeColor="text1"/>
          <w:kern w:val="22"/>
          <w:lang w:val="fr-FR"/>
        </w:rPr>
        <w:tab/>
      </w:r>
      <w:r w:rsidRPr="0086516F">
        <w:rPr>
          <w:i/>
          <w:color w:val="000000" w:themeColor="text1"/>
          <w:lang w:val="fr-FR"/>
        </w:rPr>
        <w:t xml:space="preserve">Prie </w:t>
      </w:r>
      <w:r w:rsidRPr="0086516F">
        <w:rPr>
          <w:rFonts w:eastAsia="Times New Roman"/>
          <w:color w:val="000000" w:themeColor="text1"/>
          <w:kern w:val="22"/>
          <w:lang w:val="fr-FR"/>
        </w:rPr>
        <w:t xml:space="preserve">la Secrétaire exécutive, </w:t>
      </w:r>
      <w:r w:rsidR="00FA79F5">
        <w:rPr>
          <w:rFonts w:eastAsia="Times New Roman"/>
          <w:color w:val="000000" w:themeColor="text1"/>
          <w:kern w:val="22"/>
          <w:lang w:val="fr-FR"/>
        </w:rPr>
        <w:t xml:space="preserve">sous réserve des </w:t>
      </w:r>
      <w:r w:rsidRPr="0086516F">
        <w:rPr>
          <w:rFonts w:eastAsia="Times New Roman"/>
          <w:color w:val="000000" w:themeColor="text1"/>
          <w:kern w:val="22"/>
          <w:lang w:val="fr-FR"/>
        </w:rPr>
        <w:t>ressources</w:t>
      </w:r>
      <w:r w:rsidR="00FA79F5">
        <w:rPr>
          <w:rFonts w:eastAsia="Times New Roman"/>
          <w:color w:val="000000" w:themeColor="text1"/>
          <w:kern w:val="22"/>
          <w:lang w:val="fr-FR"/>
        </w:rPr>
        <w:t xml:space="preserve"> disponibles</w:t>
      </w:r>
      <w:r w:rsidRPr="0086516F">
        <w:rPr>
          <w:rFonts w:eastAsia="Times New Roman"/>
          <w:color w:val="000000" w:themeColor="text1"/>
          <w:kern w:val="22"/>
          <w:lang w:val="fr-FR"/>
        </w:rPr>
        <w:t>, de :</w:t>
      </w:r>
    </w:p>
    <w:p w14:paraId="438D1208" w14:textId="77777777" w:rsidR="004E5CCD" w:rsidRPr="0086516F" w:rsidRDefault="004E5CCD" w:rsidP="004E5CCD">
      <w:pPr>
        <w:pStyle w:val="CBDNormalNoNumber"/>
        <w:tabs>
          <w:tab w:val="clear" w:pos="567"/>
        </w:tabs>
        <w:rPr>
          <w:color w:val="000000" w:themeColor="text1"/>
          <w:lang w:val="fr-FR"/>
        </w:rPr>
      </w:pPr>
      <w:r>
        <w:rPr>
          <w:color w:val="000000" w:themeColor="text1"/>
          <w:lang w:val="fr-FR"/>
        </w:rPr>
        <w:tab/>
      </w:r>
      <w:r w:rsidRPr="0086516F">
        <w:rPr>
          <w:color w:val="000000" w:themeColor="text1"/>
          <w:lang w:val="fr-FR"/>
        </w:rPr>
        <w:t>a)</w:t>
      </w:r>
      <w:r w:rsidRPr="0086516F">
        <w:rPr>
          <w:color w:val="000000" w:themeColor="text1"/>
          <w:lang w:val="fr-FR"/>
        </w:rPr>
        <w:tab/>
        <w:t>Continuer de renforcer le Centre d’échange sur l’accès et le partage des avantages et d’encourager la publication et l’utilisation d’informations par l’intermédiaire de ce dernier, conformément à ses modalités de fonctionnemen</w:t>
      </w:r>
      <w:r>
        <w:rPr>
          <w:color w:val="000000" w:themeColor="text1"/>
          <w:lang w:val="fr-FR"/>
        </w:rPr>
        <w:t xml:space="preserve">t et </w:t>
      </w:r>
      <w:r w:rsidRPr="0086516F">
        <w:rPr>
          <w:color w:val="000000" w:themeColor="text1"/>
          <w:lang w:val="fr-FR"/>
        </w:rPr>
        <w:t>en tenant compte :</w:t>
      </w:r>
    </w:p>
    <w:p w14:paraId="15F9A5E2" w14:textId="77777777" w:rsidR="004E5CCD" w:rsidRPr="0086516F" w:rsidRDefault="004E5CCD" w:rsidP="004E5CCD">
      <w:pPr>
        <w:pStyle w:val="CBDNormalNumber"/>
        <w:numPr>
          <w:ilvl w:val="0"/>
          <w:numId w:val="0"/>
        </w:numPr>
        <w:tabs>
          <w:tab w:val="clear" w:pos="567"/>
        </w:tabs>
        <w:ind w:left="1701" w:hanging="1134"/>
        <w:rPr>
          <w:rFonts w:eastAsia="Times New Roman"/>
          <w:color w:val="000000" w:themeColor="text1"/>
          <w:szCs w:val="24"/>
          <w:lang w:val="fr-FR"/>
        </w:rPr>
      </w:pPr>
      <w:r>
        <w:rPr>
          <w:rFonts w:eastAsia="Times New Roman"/>
          <w:color w:val="000000" w:themeColor="text1"/>
          <w:szCs w:val="24"/>
          <w:lang w:val="fr-FR"/>
        </w:rPr>
        <w:tab/>
      </w:r>
      <w:r w:rsidRPr="0086516F">
        <w:rPr>
          <w:rFonts w:eastAsia="Times New Roman"/>
          <w:color w:val="000000" w:themeColor="text1"/>
          <w:szCs w:val="24"/>
          <w:lang w:val="fr-FR"/>
        </w:rPr>
        <w:t>i)</w:t>
      </w:r>
      <w:r w:rsidRPr="0086516F">
        <w:rPr>
          <w:rFonts w:eastAsia="Times New Roman"/>
          <w:color w:val="000000" w:themeColor="text1"/>
          <w:szCs w:val="24"/>
          <w:lang w:val="fr-FR"/>
        </w:rPr>
        <w:tab/>
        <w:t xml:space="preserve">Des retours reçus, en particulier des Parties et du Comité consultatif informel </w:t>
      </w:r>
      <w:r>
        <w:rPr>
          <w:rFonts w:eastAsia="Times New Roman"/>
          <w:color w:val="000000" w:themeColor="text1"/>
          <w:szCs w:val="24"/>
          <w:lang w:val="fr-FR"/>
        </w:rPr>
        <w:t>sur</w:t>
      </w:r>
      <w:r w:rsidRPr="0086516F">
        <w:rPr>
          <w:rFonts w:eastAsia="Times New Roman"/>
          <w:color w:val="000000" w:themeColor="text1"/>
          <w:szCs w:val="24"/>
          <w:lang w:val="fr-FR"/>
        </w:rPr>
        <w:t xml:space="preserve"> le Centre d’échange sur l’accès et le partage des avantages, notamment les objectifs et les priorités pour l’administration et l’avancement du Centre d’échange par le </w:t>
      </w:r>
      <w:r>
        <w:rPr>
          <w:rFonts w:eastAsia="Times New Roman"/>
          <w:color w:val="000000" w:themeColor="text1"/>
          <w:szCs w:val="24"/>
          <w:lang w:val="fr-FR"/>
        </w:rPr>
        <w:t>secrétariat</w:t>
      </w:r>
      <w:r w:rsidRPr="0086516F">
        <w:rPr>
          <w:rFonts w:eastAsia="Times New Roman"/>
          <w:iCs/>
          <w:color w:val="000000" w:themeColor="text1"/>
          <w:szCs w:val="24"/>
          <w:vertAlign w:val="superscript"/>
          <w:lang w:val="fr-FR"/>
        </w:rPr>
        <w:footnoteReference w:id="5"/>
      </w:r>
      <w:r w:rsidRPr="0086516F">
        <w:rPr>
          <w:rFonts w:eastAsia="Times New Roman"/>
          <w:color w:val="000000" w:themeColor="text1"/>
          <w:szCs w:val="24"/>
          <w:lang w:val="fr-FR"/>
        </w:rPr>
        <w:t>;</w:t>
      </w:r>
    </w:p>
    <w:p w14:paraId="255D94F0" w14:textId="77777777" w:rsidR="004E5CCD" w:rsidRPr="0086516F" w:rsidRDefault="004E5CCD" w:rsidP="004E5CCD">
      <w:pPr>
        <w:pStyle w:val="CBDNormalNumber"/>
        <w:numPr>
          <w:ilvl w:val="0"/>
          <w:numId w:val="0"/>
        </w:numPr>
        <w:tabs>
          <w:tab w:val="clear" w:pos="567"/>
        </w:tabs>
        <w:ind w:left="567"/>
        <w:rPr>
          <w:rFonts w:eastAsia="Times New Roman"/>
          <w:color w:val="000000" w:themeColor="text1"/>
          <w:szCs w:val="24"/>
          <w:lang w:val="fr-FR"/>
        </w:rPr>
      </w:pPr>
      <w:r>
        <w:rPr>
          <w:rFonts w:eastAsia="Times New Roman"/>
          <w:color w:val="000000" w:themeColor="text1"/>
          <w:szCs w:val="24"/>
          <w:lang w:val="fr-FR"/>
        </w:rPr>
        <w:tab/>
      </w:r>
      <w:r w:rsidRPr="0086516F">
        <w:rPr>
          <w:rFonts w:eastAsia="Times New Roman"/>
          <w:color w:val="000000" w:themeColor="text1"/>
          <w:szCs w:val="24"/>
          <w:lang w:val="fr-FR"/>
        </w:rPr>
        <w:t>ii)</w:t>
      </w:r>
      <w:r w:rsidRPr="0086516F">
        <w:rPr>
          <w:rFonts w:eastAsia="Times New Roman"/>
          <w:color w:val="000000" w:themeColor="text1"/>
          <w:szCs w:val="24"/>
          <w:lang w:val="fr-FR"/>
        </w:rPr>
        <w:tab/>
        <w:t xml:space="preserve">Des informations </w:t>
      </w:r>
      <w:r>
        <w:rPr>
          <w:rFonts w:eastAsia="Times New Roman"/>
          <w:color w:val="000000" w:themeColor="text1"/>
          <w:szCs w:val="24"/>
          <w:lang w:val="fr-FR"/>
        </w:rPr>
        <w:t>utiles</w:t>
      </w:r>
      <w:r w:rsidRPr="0086516F">
        <w:rPr>
          <w:rFonts w:eastAsia="Times New Roman"/>
          <w:color w:val="000000" w:themeColor="text1"/>
          <w:szCs w:val="24"/>
          <w:lang w:val="fr-FR"/>
        </w:rPr>
        <w:t xml:space="preserve"> issues du deuxième exercice d’évaluation et d’examen;</w:t>
      </w:r>
    </w:p>
    <w:p w14:paraId="122779C1" w14:textId="77777777" w:rsidR="004E5CCD" w:rsidRPr="0086516F" w:rsidRDefault="004E5CCD" w:rsidP="004E5CCD">
      <w:pPr>
        <w:pStyle w:val="CBDNormalNoNumber"/>
        <w:tabs>
          <w:tab w:val="clear" w:pos="567"/>
        </w:tabs>
        <w:rPr>
          <w:rFonts w:eastAsia="Times New Roman"/>
          <w:color w:val="000000" w:themeColor="text1"/>
          <w:szCs w:val="24"/>
          <w:lang w:val="fr-FR"/>
        </w:rPr>
      </w:pPr>
      <w:r>
        <w:rPr>
          <w:rFonts w:eastAsia="Times New Roman"/>
          <w:color w:val="000000" w:themeColor="text1"/>
          <w:szCs w:val="24"/>
          <w:lang w:val="fr-FR"/>
        </w:rPr>
        <w:tab/>
      </w:r>
      <w:r w:rsidRPr="0086516F">
        <w:rPr>
          <w:rFonts w:eastAsia="Times New Roman"/>
          <w:color w:val="000000" w:themeColor="text1"/>
          <w:szCs w:val="24"/>
          <w:lang w:val="fr-FR"/>
        </w:rPr>
        <w:t>b)</w:t>
      </w:r>
      <w:r w:rsidRPr="0086516F">
        <w:rPr>
          <w:rFonts w:eastAsia="Times New Roman"/>
          <w:color w:val="000000" w:themeColor="text1"/>
          <w:szCs w:val="24"/>
          <w:lang w:val="fr-FR"/>
        </w:rPr>
        <w:tab/>
        <w:t xml:space="preserve">Tenir une réunion du Comité consultatif informel </w:t>
      </w:r>
      <w:r>
        <w:rPr>
          <w:rFonts w:eastAsia="Times New Roman"/>
          <w:color w:val="000000" w:themeColor="text1"/>
          <w:szCs w:val="24"/>
          <w:lang w:val="fr-FR"/>
        </w:rPr>
        <w:t>sur</w:t>
      </w:r>
      <w:r w:rsidRPr="0086516F">
        <w:rPr>
          <w:rFonts w:eastAsia="Times New Roman"/>
          <w:color w:val="000000" w:themeColor="text1"/>
          <w:szCs w:val="24"/>
          <w:lang w:val="fr-FR"/>
        </w:rPr>
        <w:t xml:space="preserve"> le Centre d’échange sur l’accès et le partage des avantages avant la septième réunion de la Conférence des Parties siégeant en tant que réunion des Parties au Protocole de Nagoya et, selon que de besoin, des discussions informelles en ligne, et de rendre compte des résultats des travaux du Comité à la septième réunion;</w:t>
      </w:r>
    </w:p>
    <w:p w14:paraId="0F76AE4B" w14:textId="70D54133" w:rsidR="004E5CCD" w:rsidRPr="00FA79F5" w:rsidRDefault="004E5CCD" w:rsidP="00FA79F5">
      <w:pPr>
        <w:pStyle w:val="CBDNormalNoNumber"/>
        <w:keepNext/>
        <w:rPr>
          <w:b/>
          <w:bCs/>
          <w:color w:val="000000" w:themeColor="text1"/>
          <w:u w:color="000000"/>
          <w:bdr w:val="nil"/>
          <w:lang w:val="fr-FR"/>
        </w:rPr>
      </w:pPr>
      <w:r w:rsidRPr="0086516F">
        <w:rPr>
          <w:b/>
          <w:bCs/>
          <w:color w:val="000000" w:themeColor="text1"/>
          <w:u w:color="000000"/>
          <w:bdr w:val="nil"/>
          <w:lang w:val="fr-FR"/>
        </w:rPr>
        <w:lastRenderedPageBreak/>
        <w:t>III</w:t>
      </w:r>
      <w:r w:rsidRPr="0086516F">
        <w:rPr>
          <w:b/>
          <w:bCs/>
          <w:color w:val="000000" w:themeColor="text1"/>
          <w:u w:color="000000"/>
          <w:bdr w:val="nil"/>
          <w:lang w:val="fr-FR"/>
        </w:rPr>
        <w:br/>
        <w:t>Le Protocole de Nagoya dans le contexte du Cadre mondial de la biodiversité de Kunming-Montréal</w:t>
      </w:r>
    </w:p>
    <w:p w14:paraId="57092A2B" w14:textId="77777777" w:rsidR="004E5CCD" w:rsidRPr="0086516F" w:rsidRDefault="004E5CCD" w:rsidP="004E5CCD">
      <w:pPr>
        <w:pStyle w:val="CBDNormalNoNumber"/>
        <w:tabs>
          <w:tab w:val="clear" w:pos="567"/>
        </w:tabs>
        <w:rPr>
          <w:rFonts w:eastAsia="Times New Roman"/>
          <w:color w:val="000000" w:themeColor="text1"/>
          <w:kern w:val="22"/>
          <w:lang w:val="fr-FR"/>
        </w:rPr>
      </w:pPr>
      <w:r>
        <w:rPr>
          <w:rFonts w:eastAsia="Times New Roman"/>
          <w:color w:val="000000" w:themeColor="text1"/>
          <w:kern w:val="22"/>
          <w:lang w:val="fr-FR"/>
        </w:rPr>
        <w:tab/>
      </w:r>
      <w:r w:rsidRPr="0086516F">
        <w:rPr>
          <w:rFonts w:eastAsia="Times New Roman"/>
          <w:color w:val="000000" w:themeColor="text1"/>
          <w:kern w:val="22"/>
          <w:lang w:val="fr-FR"/>
        </w:rPr>
        <w:t>11.</w:t>
      </w:r>
      <w:r w:rsidRPr="0086516F">
        <w:rPr>
          <w:rFonts w:eastAsia="Times New Roman"/>
          <w:color w:val="000000" w:themeColor="text1"/>
          <w:kern w:val="22"/>
          <w:lang w:val="fr-FR"/>
        </w:rPr>
        <w:tab/>
      </w:r>
      <w:r w:rsidRPr="0086516F">
        <w:rPr>
          <w:i/>
          <w:iCs/>
          <w:color w:val="000000" w:themeColor="text1"/>
          <w:lang w:val="fr-FR"/>
        </w:rPr>
        <w:t xml:space="preserve">Rappelle </w:t>
      </w:r>
      <w:r w:rsidRPr="0086516F">
        <w:rPr>
          <w:rFonts w:eastAsia="Times New Roman"/>
          <w:color w:val="000000" w:themeColor="text1"/>
          <w:kern w:val="22"/>
          <w:lang w:val="fr-FR"/>
        </w:rPr>
        <w:t>sa décision </w:t>
      </w:r>
      <w:hyperlink r:id="rId17" w:history="1">
        <w:r w:rsidRPr="009C0E92">
          <w:rPr>
            <w:rStyle w:val="Hyperlink"/>
            <w:rFonts w:eastAsia="Times New Roman"/>
            <w:iCs/>
            <w:szCs w:val="24"/>
            <w:lang w:val="fr-FR"/>
          </w:rPr>
          <w:t>NP-5/6</w:t>
        </w:r>
      </w:hyperlink>
      <w:r w:rsidRPr="0086516F">
        <w:rPr>
          <w:color w:val="000000" w:themeColor="text1"/>
          <w:lang w:val="fr-FR"/>
        </w:rPr>
        <w:t xml:space="preserve"> du 25 octobre </w:t>
      </w:r>
      <w:proofErr w:type="gramStart"/>
      <w:r w:rsidRPr="0086516F">
        <w:rPr>
          <w:color w:val="000000" w:themeColor="text1"/>
          <w:lang w:val="fr-FR"/>
        </w:rPr>
        <w:t>2024;</w:t>
      </w:r>
      <w:proofErr w:type="gramEnd"/>
    </w:p>
    <w:p w14:paraId="15A392EF" w14:textId="77777777" w:rsidR="004E5CCD" w:rsidRPr="0086516F" w:rsidRDefault="004E5CCD" w:rsidP="004E5CCD">
      <w:pPr>
        <w:pStyle w:val="CBDNormalNoNumber"/>
        <w:tabs>
          <w:tab w:val="clear" w:pos="567"/>
        </w:tabs>
        <w:rPr>
          <w:rFonts w:eastAsia="Times New Roman"/>
          <w:color w:val="000000" w:themeColor="text1"/>
          <w:kern w:val="22"/>
          <w:lang w:val="fr-FR"/>
        </w:rPr>
      </w:pPr>
      <w:r>
        <w:rPr>
          <w:rFonts w:eastAsia="Times New Roman"/>
          <w:color w:val="000000" w:themeColor="text1"/>
          <w:kern w:val="22"/>
          <w:lang w:val="fr-FR"/>
        </w:rPr>
        <w:tab/>
      </w:r>
      <w:r w:rsidRPr="0086516F">
        <w:rPr>
          <w:rFonts w:eastAsia="Times New Roman"/>
          <w:color w:val="000000" w:themeColor="text1"/>
          <w:kern w:val="22"/>
          <w:lang w:val="fr-FR"/>
        </w:rPr>
        <w:t>12.</w:t>
      </w:r>
      <w:r w:rsidRPr="0086516F">
        <w:rPr>
          <w:rFonts w:eastAsia="Times New Roman"/>
          <w:color w:val="000000" w:themeColor="text1"/>
          <w:kern w:val="22"/>
          <w:lang w:val="fr-FR"/>
        </w:rPr>
        <w:tab/>
      </w:r>
      <w:r w:rsidRPr="0086516F">
        <w:rPr>
          <w:rStyle w:val="Emphasis"/>
          <w:color w:val="000000" w:themeColor="text1"/>
          <w:lang w:val="fr-FR"/>
        </w:rPr>
        <w:t>Encourage</w:t>
      </w:r>
      <w:r w:rsidRPr="0086516F">
        <w:rPr>
          <w:color w:val="000000" w:themeColor="text1"/>
          <w:lang w:val="fr-FR"/>
        </w:rPr>
        <w:t xml:space="preserve"> les Parties à communiquer, dans les deuxièmes rapports nationaux sur l’application des dispositions du Protocole de Nagoya, des informations complètes et ventilées sur les avantages perçus, notamment, selon qu’il conviendra, les détails des avantages </w:t>
      </w:r>
      <w:r>
        <w:rPr>
          <w:color w:val="000000" w:themeColor="text1"/>
          <w:lang w:val="fr-FR"/>
        </w:rPr>
        <w:t>monétaires</w:t>
      </w:r>
      <w:r w:rsidRPr="0086516F">
        <w:rPr>
          <w:color w:val="000000" w:themeColor="text1"/>
          <w:lang w:val="fr-FR"/>
        </w:rPr>
        <w:t xml:space="preserve"> et non </w:t>
      </w:r>
      <w:r>
        <w:rPr>
          <w:color w:val="000000" w:themeColor="text1"/>
          <w:lang w:val="fr-FR"/>
        </w:rPr>
        <w:t xml:space="preserve">monétaires </w:t>
      </w:r>
      <w:r w:rsidRPr="0086516F">
        <w:rPr>
          <w:color w:val="000000" w:themeColor="text1"/>
          <w:lang w:val="fr-FR"/>
        </w:rPr>
        <w:t>découlant de l’utilisation des ressources génétiques et des connaissances traditionnelles associées, ceux qui en bénéficient, notamment les peuples autochtones et communautés locales, et la proportion des avantages allouée à la conservation et à l’utilisation durable de la biodiversité, conformément à la législation nationale et sans préjudice de la protection des informations confidentielles;</w:t>
      </w:r>
    </w:p>
    <w:p w14:paraId="5DB80E96" w14:textId="1CD9043B" w:rsidR="005649FD" w:rsidRPr="004B0859" w:rsidRDefault="004E5CCD" w:rsidP="00B0546F">
      <w:pPr>
        <w:pStyle w:val="Para20"/>
        <w:keepNext/>
        <w:tabs>
          <w:tab w:val="clear" w:pos="1701"/>
          <w:tab w:val="left" w:pos="1170"/>
          <w:tab w:val="left" w:pos="1440"/>
          <w:tab w:val="left" w:pos="1710"/>
        </w:tabs>
        <w:ind w:left="567" w:firstLine="153"/>
        <w:rPr>
          <w:lang w:val="fr-FR"/>
        </w:rPr>
      </w:pPr>
      <w:r>
        <w:rPr>
          <w:color w:val="000000" w:themeColor="text1"/>
          <w:kern w:val="22"/>
          <w:lang w:val="fr-FR"/>
        </w:rPr>
        <w:tab/>
      </w:r>
      <w:r w:rsidRPr="0086516F">
        <w:rPr>
          <w:color w:val="000000" w:themeColor="text1"/>
          <w:kern w:val="22"/>
          <w:lang w:val="fr-FR"/>
        </w:rPr>
        <w:t>13.</w:t>
      </w:r>
      <w:r w:rsidRPr="0086516F">
        <w:rPr>
          <w:color w:val="000000" w:themeColor="text1"/>
          <w:kern w:val="22"/>
          <w:lang w:val="fr-FR"/>
        </w:rPr>
        <w:tab/>
      </w:r>
      <w:r w:rsidRPr="0086516F">
        <w:rPr>
          <w:i/>
          <w:color w:val="000000" w:themeColor="text1"/>
          <w:kern w:val="22"/>
          <w:lang w:val="fr-FR"/>
        </w:rPr>
        <w:t>Note</w:t>
      </w:r>
      <w:r w:rsidRPr="0086516F">
        <w:rPr>
          <w:color w:val="000000" w:themeColor="text1"/>
          <w:kern w:val="22"/>
          <w:lang w:val="fr-FR"/>
        </w:rPr>
        <w:t xml:space="preserve"> </w:t>
      </w:r>
      <w:r w:rsidRPr="0086516F">
        <w:rPr>
          <w:color w:val="000000" w:themeColor="text1"/>
          <w:lang w:val="fr-FR"/>
        </w:rPr>
        <w:t>que les résultats du deuxième exercice d’évaluation et d’examen sont complétés par la décision 17/-- de la Conférence des Parties à la Convention sur l’examen mondial des progrès collectifs accomplis dans la mise en œuvre du Cadre mondial de la biodiversité de Kunming-Montréal</w:t>
      </w:r>
      <w:r w:rsidRPr="0086516F">
        <w:rPr>
          <w:rStyle w:val="FootnoteReference"/>
          <w:color w:val="000000" w:themeColor="text1"/>
          <w:kern w:val="22"/>
          <w:lang w:val="fr-FR"/>
        </w:rPr>
        <w:footnoteReference w:id="6"/>
      </w:r>
      <w:r w:rsidRPr="0086516F">
        <w:rPr>
          <w:color w:val="000000" w:themeColor="text1"/>
          <w:kern w:val="22"/>
          <w:lang w:val="fr-FR"/>
        </w:rPr>
        <w:t xml:space="preserve">, </w:t>
      </w:r>
      <w:r w:rsidRPr="0086516F">
        <w:rPr>
          <w:color w:val="000000" w:themeColor="text1"/>
          <w:lang w:val="fr-FR"/>
        </w:rPr>
        <w:t xml:space="preserve">en particulier en </w:t>
      </w:r>
      <w:r w:rsidR="004B0859" w:rsidRPr="0086516F">
        <w:rPr>
          <w:color w:val="000000" w:themeColor="text1"/>
          <w:lang w:val="fr-FR"/>
        </w:rPr>
        <w:t>ce qui concerne son objectif C et sa cible 13</w:t>
      </w:r>
      <w:r w:rsidR="004B0859">
        <w:rPr>
          <w:color w:val="000000" w:themeColor="text1"/>
          <w:lang w:val="fr-FR"/>
        </w:rPr>
        <w:t>.</w:t>
      </w:r>
    </w:p>
    <w:p w14:paraId="23D7BBA9" w14:textId="77777777" w:rsidR="005649FD" w:rsidRPr="004B0859" w:rsidRDefault="005649FD" w:rsidP="005649FD">
      <w:pPr>
        <w:pStyle w:val="CBDNormalNoNumber"/>
        <w:rPr>
          <w:lang w:val="fr-FR"/>
        </w:rPr>
      </w:pPr>
    </w:p>
    <w:p w14:paraId="5F2B403A" w14:textId="791488F9" w:rsidR="00A111D1" w:rsidRPr="003F1A75" w:rsidRDefault="00A111D1" w:rsidP="005649FD">
      <w:pPr>
        <w:pStyle w:val="CBDNormalNoNumber"/>
        <w:jc w:val="center"/>
      </w:pPr>
      <w:r w:rsidRPr="003F1A75">
        <w:t>__________</w:t>
      </w:r>
    </w:p>
    <w:sectPr w:rsidR="00A111D1" w:rsidRPr="003F1A75" w:rsidSect="005649FD">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164E8" w14:textId="77777777" w:rsidR="007733B4" w:rsidRPr="003F1A75" w:rsidRDefault="007733B4" w:rsidP="00CF1848">
      <w:r w:rsidRPr="003F1A75">
        <w:separator/>
      </w:r>
    </w:p>
  </w:endnote>
  <w:endnote w:type="continuationSeparator" w:id="0">
    <w:p w14:paraId="58B16512" w14:textId="77777777" w:rsidR="007733B4" w:rsidRPr="003F1A75" w:rsidRDefault="007733B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77777777" w:rsidR="00D75CA6" w:rsidRPr="003F1A75" w:rsidRDefault="00D75CA6" w:rsidP="00D75CA6">
            <w:pPr>
              <w:pStyle w:val="Footer"/>
              <w:jc w:val="left"/>
            </w:pPr>
            <w:r w:rsidRPr="00D44CD7">
              <w:rPr>
                <w:szCs w:val="20"/>
              </w:rPr>
              <w:fldChar w:fldCharType="begin"/>
            </w:r>
            <w:r w:rsidRPr="00D44CD7">
              <w:rPr>
                <w:szCs w:val="20"/>
              </w:rPr>
              <w:instrText xml:space="preserve"> PAGE </w:instrText>
            </w:r>
            <w:r w:rsidRPr="00D44CD7">
              <w:rPr>
                <w:szCs w:val="20"/>
              </w:rPr>
              <w:fldChar w:fldCharType="separate"/>
            </w:r>
            <w:r w:rsidRPr="00D44CD7">
              <w:rPr>
                <w:noProof/>
                <w:szCs w:val="20"/>
              </w:rPr>
              <w:t>2</w:t>
            </w:r>
            <w:r w:rsidRPr="00D44CD7">
              <w:rPr>
                <w:szCs w:val="20"/>
              </w:rPr>
              <w:fldChar w:fldCharType="end"/>
            </w:r>
            <w:r w:rsidRPr="00D44CD7">
              <w:rPr>
                <w:szCs w:val="20"/>
              </w:rPr>
              <w:t>/</w:t>
            </w:r>
            <w:r w:rsidRPr="00D44CD7">
              <w:rPr>
                <w:szCs w:val="20"/>
              </w:rPr>
              <w:fldChar w:fldCharType="begin"/>
            </w:r>
            <w:r w:rsidRPr="00D44CD7">
              <w:rPr>
                <w:szCs w:val="20"/>
              </w:rPr>
              <w:instrText xml:space="preserve"> NUMPAGES  </w:instrText>
            </w:r>
            <w:r w:rsidRPr="00D44CD7">
              <w:rPr>
                <w:szCs w:val="20"/>
              </w:rPr>
              <w:fldChar w:fldCharType="separate"/>
            </w:r>
            <w:r w:rsidRPr="00D44CD7">
              <w:rPr>
                <w:noProof/>
                <w:szCs w:val="20"/>
              </w:rPr>
              <w:t>2</w:t>
            </w:r>
            <w:r w:rsidRPr="00D44CD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D40491" w14:textId="77777777" w:rsidR="00D75CA6" w:rsidRPr="00D44CD7" w:rsidRDefault="00D75CA6" w:rsidP="00D44CD7">
        <w:pPr>
          <w:pStyle w:val="Footer"/>
          <w:jc w:val="right"/>
        </w:pPr>
        <w:r w:rsidRPr="00D44CD7">
          <w:rPr>
            <w:szCs w:val="20"/>
          </w:rPr>
          <w:fldChar w:fldCharType="begin"/>
        </w:r>
        <w:r w:rsidRPr="00D44CD7">
          <w:rPr>
            <w:szCs w:val="20"/>
          </w:rPr>
          <w:instrText xml:space="preserve"> PAGE </w:instrText>
        </w:r>
        <w:r w:rsidRPr="00D44CD7">
          <w:rPr>
            <w:szCs w:val="20"/>
          </w:rPr>
          <w:fldChar w:fldCharType="separate"/>
        </w:r>
        <w:r w:rsidRPr="00D44CD7">
          <w:rPr>
            <w:szCs w:val="20"/>
          </w:rPr>
          <w:t>2</w:t>
        </w:r>
        <w:r w:rsidRPr="00D44CD7">
          <w:rPr>
            <w:szCs w:val="20"/>
          </w:rPr>
          <w:fldChar w:fldCharType="end"/>
        </w:r>
        <w:r w:rsidRPr="00D44CD7">
          <w:rPr>
            <w:szCs w:val="20"/>
          </w:rPr>
          <w:t>/</w:t>
        </w:r>
        <w:r w:rsidRPr="00D44CD7">
          <w:rPr>
            <w:szCs w:val="20"/>
          </w:rPr>
          <w:fldChar w:fldCharType="begin"/>
        </w:r>
        <w:r w:rsidRPr="00D44CD7">
          <w:rPr>
            <w:szCs w:val="20"/>
          </w:rPr>
          <w:instrText xml:space="preserve"> NUMPAGES  </w:instrText>
        </w:r>
        <w:r w:rsidRPr="00D44CD7">
          <w:rPr>
            <w:szCs w:val="20"/>
          </w:rPr>
          <w:fldChar w:fldCharType="separate"/>
        </w:r>
        <w:r w:rsidRPr="00D44CD7">
          <w:rPr>
            <w:szCs w:val="20"/>
          </w:rPr>
          <w:t>3</w:t>
        </w:r>
        <w:r w:rsidRPr="00D44CD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5E05D" w14:textId="77777777" w:rsidR="007733B4" w:rsidRPr="003F1A75" w:rsidRDefault="007733B4" w:rsidP="00CF1848">
      <w:r w:rsidRPr="003F1A75">
        <w:separator/>
      </w:r>
    </w:p>
  </w:footnote>
  <w:footnote w:type="continuationSeparator" w:id="0">
    <w:p w14:paraId="72C0F531" w14:textId="77777777" w:rsidR="007733B4" w:rsidRPr="003F1A75" w:rsidRDefault="007733B4" w:rsidP="00CF1848">
      <w:r w:rsidRPr="003F1A75">
        <w:continuationSeparator/>
      </w:r>
    </w:p>
  </w:footnote>
  <w:footnote w:id="1">
    <w:p w14:paraId="5DCCEE8A" w14:textId="77777777" w:rsidR="004E5CCD" w:rsidRPr="00103E63" w:rsidRDefault="004E5CCD" w:rsidP="004E5CCD">
      <w:pPr>
        <w:pStyle w:val="FootnoteText"/>
        <w:rPr>
          <w:lang w:val="fr-FR"/>
        </w:rPr>
      </w:pPr>
      <w:r>
        <w:rPr>
          <w:rStyle w:val="FootnoteReference"/>
        </w:rPr>
        <w:footnoteRef/>
      </w:r>
      <w:r w:rsidRPr="00103E63">
        <w:rPr>
          <w:lang w:val="fr-FR"/>
        </w:rPr>
        <w:t xml:space="preserve"> Nations Unies, </w:t>
      </w:r>
      <w:r w:rsidRPr="00103E63">
        <w:rPr>
          <w:i/>
          <w:iCs/>
          <w:lang w:val="fr-FR"/>
        </w:rPr>
        <w:t>Recueil des Traités</w:t>
      </w:r>
      <w:r w:rsidRPr="00103E63">
        <w:rPr>
          <w:lang w:val="fr-FR"/>
        </w:rPr>
        <w:t xml:space="preserve">, vol. 3008, </w:t>
      </w:r>
      <w:r>
        <w:rPr>
          <w:lang w:val="fr-FR"/>
        </w:rPr>
        <w:t>n°</w:t>
      </w:r>
      <w:r w:rsidRPr="00103E63">
        <w:rPr>
          <w:lang w:val="fr-FR"/>
        </w:rPr>
        <w:t>30619.</w:t>
      </w:r>
    </w:p>
  </w:footnote>
  <w:footnote w:id="2">
    <w:p w14:paraId="19E80DB6" w14:textId="1073C47E" w:rsidR="004E5CCD" w:rsidRPr="00834D76" w:rsidRDefault="004E5CCD" w:rsidP="004E5CCD">
      <w:pPr>
        <w:pStyle w:val="FootnoteText"/>
        <w:rPr>
          <w:lang w:val="fr-CA"/>
        </w:rPr>
      </w:pPr>
      <w:r w:rsidRPr="00834D76">
        <w:rPr>
          <w:rStyle w:val="FootnoteReference"/>
          <w:lang w:val="fr-CA"/>
        </w:rPr>
        <w:footnoteRef/>
      </w:r>
      <w:r w:rsidR="004B0859">
        <w:rPr>
          <w:lang w:val="fr-CA"/>
        </w:rPr>
        <w:t xml:space="preserve"> </w:t>
      </w:r>
      <w:r w:rsidRPr="00834D76">
        <w:rPr>
          <w:lang w:val="fr-CA"/>
        </w:rPr>
        <w:t>Voir</w:t>
      </w:r>
      <w:r>
        <w:rPr>
          <w:lang w:val="fr-CA"/>
        </w:rPr>
        <w:t xml:space="preserve"> </w:t>
      </w:r>
      <w:hyperlink r:id="rId1" w:history="1">
        <w:r w:rsidRPr="00BA65CE">
          <w:rPr>
            <w:rStyle w:val="Hyperlink"/>
            <w:rFonts w:eastAsia="Times New Roman"/>
            <w:iCs/>
            <w:szCs w:val="24"/>
            <w:lang w:val="fr-CA"/>
          </w:rPr>
          <w:t>CBD/SBI/7/7</w:t>
        </w:r>
      </w:hyperlink>
      <w:r w:rsidRPr="00834D76">
        <w:rPr>
          <w:rFonts w:eastAsia="Times New Roman"/>
          <w:iCs/>
          <w:szCs w:val="24"/>
          <w:lang w:val="fr-CA"/>
        </w:rPr>
        <w:t>, annexes I et II.</w:t>
      </w:r>
    </w:p>
  </w:footnote>
  <w:footnote w:id="3">
    <w:p w14:paraId="7662AFF8" w14:textId="77777777" w:rsidR="004E5CCD" w:rsidRPr="00834D76" w:rsidRDefault="004E5CCD" w:rsidP="004E5CCD">
      <w:pPr>
        <w:pStyle w:val="FootnoteText"/>
        <w:rPr>
          <w:lang w:val="fr-CA"/>
        </w:rPr>
      </w:pPr>
      <w:r w:rsidRPr="00834D76">
        <w:rPr>
          <w:rStyle w:val="FootnoteReference"/>
          <w:lang w:val="fr-CA"/>
        </w:rPr>
        <w:footnoteRef/>
      </w:r>
      <w:r>
        <w:rPr>
          <w:lang w:val="fr-CA"/>
        </w:rPr>
        <w:t xml:space="preserve"> </w:t>
      </w:r>
      <w:r w:rsidRPr="00834D76">
        <w:rPr>
          <w:lang w:val="fr-CA"/>
        </w:rPr>
        <w:t xml:space="preserve">Nations Unies, </w:t>
      </w:r>
      <w:r w:rsidRPr="00834D76">
        <w:rPr>
          <w:i/>
          <w:iCs/>
          <w:lang w:val="fr-CA"/>
        </w:rPr>
        <w:t>Recueil des Traités</w:t>
      </w:r>
      <w:r w:rsidRPr="00834D76">
        <w:rPr>
          <w:lang w:val="fr-CA"/>
        </w:rPr>
        <w:t>, vol. 1760, n</w:t>
      </w:r>
      <w:r w:rsidRPr="00834D76">
        <w:rPr>
          <w:vertAlign w:val="superscript"/>
          <w:lang w:val="fr-CA"/>
        </w:rPr>
        <w:t>o</w:t>
      </w:r>
      <w:r w:rsidRPr="00834D76">
        <w:rPr>
          <w:lang w:val="fr-CA"/>
        </w:rPr>
        <w:t> 30619.</w:t>
      </w:r>
    </w:p>
  </w:footnote>
  <w:footnote w:id="4">
    <w:p w14:paraId="4305A76B" w14:textId="77777777" w:rsidR="004E5CCD" w:rsidRPr="00834D76" w:rsidRDefault="004E5CCD" w:rsidP="004E5CCD">
      <w:pPr>
        <w:pStyle w:val="FootnoteText"/>
        <w:rPr>
          <w:lang w:val="fr-CA"/>
        </w:rPr>
      </w:pPr>
      <w:r w:rsidRPr="00834D76">
        <w:rPr>
          <w:rStyle w:val="FootnoteReference"/>
          <w:lang w:val="fr-CA"/>
        </w:rPr>
        <w:footnoteRef/>
      </w:r>
      <w:r w:rsidRPr="00103E63">
        <w:rPr>
          <w:lang w:val="fr-CA"/>
        </w:rPr>
        <w:t xml:space="preserve"> </w:t>
      </w:r>
      <w:hyperlink r:id="rId2" w:history="1">
        <w:r w:rsidRPr="00BB7357">
          <w:rPr>
            <w:rStyle w:val="Hyperlink"/>
            <w:lang w:val="fr-CA"/>
          </w:rPr>
          <w:t>www.cbd.int/abs/doc/cepa-toolkit-fr.pdf</w:t>
        </w:r>
      </w:hyperlink>
      <w:r w:rsidRPr="00834D76">
        <w:rPr>
          <w:lang w:val="fr-CA"/>
        </w:rPr>
        <w:t xml:space="preserve">. </w:t>
      </w:r>
    </w:p>
  </w:footnote>
  <w:footnote w:id="5">
    <w:p w14:paraId="217D6158" w14:textId="77777777" w:rsidR="004E5CCD" w:rsidRPr="00834D76" w:rsidRDefault="004E5CCD" w:rsidP="004E5CCD">
      <w:pPr>
        <w:pStyle w:val="FootnoteText"/>
        <w:snapToGrid w:val="0"/>
        <w:contextualSpacing/>
        <w:rPr>
          <w:lang w:val="fr-CA"/>
        </w:rPr>
      </w:pPr>
      <w:r w:rsidRPr="00834D76">
        <w:rPr>
          <w:rStyle w:val="FootnoteReference"/>
          <w:lang w:val="fr-CA"/>
        </w:rPr>
        <w:footnoteRef/>
      </w:r>
      <w:r>
        <w:rPr>
          <w:lang w:val="fr-CA"/>
        </w:rPr>
        <w:t xml:space="preserve"> </w:t>
      </w:r>
      <w:r w:rsidRPr="00834D76">
        <w:rPr>
          <w:lang w:val="fr-CA"/>
        </w:rPr>
        <w:t xml:space="preserve">Voir </w:t>
      </w:r>
      <w:hyperlink r:id="rId3" w:history="1">
        <w:r w:rsidRPr="007D077D">
          <w:rPr>
            <w:rStyle w:val="Hyperlink"/>
            <w:lang w:val="fr-CA"/>
          </w:rPr>
          <w:t>CBD/NP/ABSCH-IAC/6/3</w:t>
        </w:r>
      </w:hyperlink>
      <w:r w:rsidRPr="00834D76">
        <w:rPr>
          <w:lang w:val="fr-CA"/>
        </w:rPr>
        <w:t>.</w:t>
      </w:r>
    </w:p>
  </w:footnote>
  <w:footnote w:id="6">
    <w:p w14:paraId="620C3CC4" w14:textId="77777777" w:rsidR="004E5CCD" w:rsidRPr="00873641" w:rsidRDefault="004E5CCD" w:rsidP="004E5CCD">
      <w:pPr>
        <w:pStyle w:val="FootnoteText"/>
        <w:rPr>
          <w:lang w:val="fr-CA"/>
        </w:rPr>
      </w:pPr>
      <w:r>
        <w:rPr>
          <w:rStyle w:val="FootnoteReference"/>
        </w:rPr>
        <w:footnoteRef/>
      </w:r>
      <w:r w:rsidRPr="00873641">
        <w:rPr>
          <w:lang w:val="fr-CA"/>
        </w:rPr>
        <w:t xml:space="preserve"> </w:t>
      </w:r>
      <w:r w:rsidRPr="00A30D1A">
        <w:rPr>
          <w:lang w:val="fr-CA"/>
        </w:rPr>
        <w:t>Décision </w:t>
      </w:r>
      <w:hyperlink r:id="rId4" w:history="1">
        <w:r w:rsidRPr="00A30D1A">
          <w:rPr>
            <w:rStyle w:val="Hyperlink"/>
            <w:lang w:val="fr-CA"/>
          </w:rPr>
          <w:t>15/4</w:t>
        </w:r>
      </w:hyperlink>
      <w:r w:rsidRPr="00A30D1A">
        <w:rPr>
          <w:lang w:val="fr-CA"/>
        </w:rPr>
        <w:t>, annexe</w:t>
      </w:r>
      <w:r w:rsidRPr="00873641">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194B" w14:textId="5A4EF9B2" w:rsidR="00534681" w:rsidRPr="003F1A75" w:rsidRDefault="007733B4"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D71C57">
          <w:rPr>
            <w:szCs w:val="20"/>
          </w:rPr>
          <w:t>CBD/NP/MOP/6/</w:t>
        </w:r>
        <w:r w:rsidR="00787689">
          <w:rPr>
            <w:szCs w:val="20"/>
          </w:rPr>
          <w:t>L</w:t>
        </w:r>
        <w:r w:rsidR="00D71C57">
          <w:rPr>
            <w:szCs w:val="20"/>
          </w:rPr>
          <w:t>.</w:t>
        </w:r>
        <w:r w:rsidR="00787689">
          <w:rPr>
            <w:szCs w:val="20"/>
          </w:rPr>
          <w:t>5</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5D2D135" w14:textId="134E9F1F" w:rsidR="009505C9" w:rsidRPr="003F1A75" w:rsidRDefault="00787689" w:rsidP="007C4951">
        <w:pPr>
          <w:pStyle w:val="Header"/>
          <w:spacing w:after="240"/>
          <w:jc w:val="right"/>
        </w:pPr>
        <w:r>
          <w:t>CBD/NP/MOP/6/L.5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7171B"/>
    <w:rsid w:val="000D0F68"/>
    <w:rsid w:val="000E673A"/>
    <w:rsid w:val="000F349B"/>
    <w:rsid w:val="000F6945"/>
    <w:rsid w:val="000F74F5"/>
    <w:rsid w:val="000F78FC"/>
    <w:rsid w:val="001031DF"/>
    <w:rsid w:val="00105372"/>
    <w:rsid w:val="001054A6"/>
    <w:rsid w:val="00105649"/>
    <w:rsid w:val="001078A1"/>
    <w:rsid w:val="001312AD"/>
    <w:rsid w:val="00131E7A"/>
    <w:rsid w:val="00134846"/>
    <w:rsid w:val="00172AF6"/>
    <w:rsid w:val="00176CEE"/>
    <w:rsid w:val="001847AD"/>
    <w:rsid w:val="00186DD8"/>
    <w:rsid w:val="001A35EC"/>
    <w:rsid w:val="001A6A15"/>
    <w:rsid w:val="001B13FE"/>
    <w:rsid w:val="00227D0F"/>
    <w:rsid w:val="00227D4E"/>
    <w:rsid w:val="002B0C13"/>
    <w:rsid w:val="003008FE"/>
    <w:rsid w:val="00301239"/>
    <w:rsid w:val="0030169D"/>
    <w:rsid w:val="003060EB"/>
    <w:rsid w:val="003153EB"/>
    <w:rsid w:val="0032136E"/>
    <w:rsid w:val="00321985"/>
    <w:rsid w:val="00351205"/>
    <w:rsid w:val="00372F74"/>
    <w:rsid w:val="003F1A75"/>
    <w:rsid w:val="003F6815"/>
    <w:rsid w:val="003F7224"/>
    <w:rsid w:val="00427D21"/>
    <w:rsid w:val="00443340"/>
    <w:rsid w:val="00447F4A"/>
    <w:rsid w:val="00456F67"/>
    <w:rsid w:val="004644C2"/>
    <w:rsid w:val="00467F9C"/>
    <w:rsid w:val="004B0859"/>
    <w:rsid w:val="004E5CCD"/>
    <w:rsid w:val="0051006C"/>
    <w:rsid w:val="00534681"/>
    <w:rsid w:val="00540EC9"/>
    <w:rsid w:val="0056068E"/>
    <w:rsid w:val="00563442"/>
    <w:rsid w:val="0056348E"/>
    <w:rsid w:val="005649FD"/>
    <w:rsid w:val="00565B42"/>
    <w:rsid w:val="005B35E2"/>
    <w:rsid w:val="005C4CE6"/>
    <w:rsid w:val="005F39C6"/>
    <w:rsid w:val="006122BA"/>
    <w:rsid w:val="006478BF"/>
    <w:rsid w:val="00682D3C"/>
    <w:rsid w:val="006A15C2"/>
    <w:rsid w:val="006A73C1"/>
    <w:rsid w:val="006B2290"/>
    <w:rsid w:val="006F5C00"/>
    <w:rsid w:val="00717D88"/>
    <w:rsid w:val="00720E54"/>
    <w:rsid w:val="00726A43"/>
    <w:rsid w:val="00735206"/>
    <w:rsid w:val="00761A81"/>
    <w:rsid w:val="007733B4"/>
    <w:rsid w:val="00786056"/>
    <w:rsid w:val="00787689"/>
    <w:rsid w:val="007942D3"/>
    <w:rsid w:val="007B2099"/>
    <w:rsid w:val="007B6C09"/>
    <w:rsid w:val="007B7741"/>
    <w:rsid w:val="007C4951"/>
    <w:rsid w:val="007E09DA"/>
    <w:rsid w:val="007E0F8A"/>
    <w:rsid w:val="007F718D"/>
    <w:rsid w:val="00801FAD"/>
    <w:rsid w:val="008178B6"/>
    <w:rsid w:val="00862473"/>
    <w:rsid w:val="00865B74"/>
    <w:rsid w:val="00866063"/>
    <w:rsid w:val="0087796A"/>
    <w:rsid w:val="008974F0"/>
    <w:rsid w:val="008A1499"/>
    <w:rsid w:val="008B012A"/>
    <w:rsid w:val="008E471B"/>
    <w:rsid w:val="00906E17"/>
    <w:rsid w:val="00930BA1"/>
    <w:rsid w:val="0093169E"/>
    <w:rsid w:val="009505C9"/>
    <w:rsid w:val="00950752"/>
    <w:rsid w:val="00966424"/>
    <w:rsid w:val="00975047"/>
    <w:rsid w:val="009C2DE6"/>
    <w:rsid w:val="009F6B2D"/>
    <w:rsid w:val="00A111D1"/>
    <w:rsid w:val="00A460B3"/>
    <w:rsid w:val="00A76FF8"/>
    <w:rsid w:val="00AA6F92"/>
    <w:rsid w:val="00AB3077"/>
    <w:rsid w:val="00AB6934"/>
    <w:rsid w:val="00AD38EF"/>
    <w:rsid w:val="00AF42DE"/>
    <w:rsid w:val="00B0546F"/>
    <w:rsid w:val="00B3369F"/>
    <w:rsid w:val="00B51FC6"/>
    <w:rsid w:val="00B938A4"/>
    <w:rsid w:val="00B94E6C"/>
    <w:rsid w:val="00BB4606"/>
    <w:rsid w:val="00BD1372"/>
    <w:rsid w:val="00BD5749"/>
    <w:rsid w:val="00C23D2F"/>
    <w:rsid w:val="00C443BD"/>
    <w:rsid w:val="00C451C5"/>
    <w:rsid w:val="00C75225"/>
    <w:rsid w:val="00C9161D"/>
    <w:rsid w:val="00CA0C1D"/>
    <w:rsid w:val="00CA7194"/>
    <w:rsid w:val="00CD7C07"/>
    <w:rsid w:val="00CF1848"/>
    <w:rsid w:val="00D12044"/>
    <w:rsid w:val="00D170D9"/>
    <w:rsid w:val="00D33EFC"/>
    <w:rsid w:val="00D40773"/>
    <w:rsid w:val="00D40DBC"/>
    <w:rsid w:val="00D44CD7"/>
    <w:rsid w:val="00D6070B"/>
    <w:rsid w:val="00D61C85"/>
    <w:rsid w:val="00D71C57"/>
    <w:rsid w:val="00D75CA6"/>
    <w:rsid w:val="00D76A18"/>
    <w:rsid w:val="00D80849"/>
    <w:rsid w:val="00D82E8F"/>
    <w:rsid w:val="00D94E20"/>
    <w:rsid w:val="00DB5E0F"/>
    <w:rsid w:val="00DD118C"/>
    <w:rsid w:val="00DE765C"/>
    <w:rsid w:val="00E16B0E"/>
    <w:rsid w:val="00E55664"/>
    <w:rsid w:val="00E57E8D"/>
    <w:rsid w:val="00E66235"/>
    <w:rsid w:val="00E83C24"/>
    <w:rsid w:val="00E8556C"/>
    <w:rsid w:val="00E9318D"/>
    <w:rsid w:val="00E93F3E"/>
    <w:rsid w:val="00F063C2"/>
    <w:rsid w:val="00F30F12"/>
    <w:rsid w:val="00F53193"/>
    <w:rsid w:val="00F5357E"/>
    <w:rsid w:val="00F6586C"/>
    <w:rsid w:val="00F9038B"/>
    <w:rsid w:val="00F94774"/>
    <w:rsid w:val="00F963E7"/>
    <w:rsid w:val="00FA4FFD"/>
    <w:rsid w:val="00FA663B"/>
    <w:rsid w:val="00FA79F5"/>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A2FB6C9F-EF4D-4888-8DFB-EA669258D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E8556C"/>
    <w:pPr>
      <w:spacing w:after="160" w:line="240" w:lineRule="exact"/>
      <w:jc w:val="left"/>
    </w:pPr>
    <w:rPr>
      <w:rFonts w:asciiTheme="minorHAnsi" w:eastAsiaTheme="minorEastAsia" w:hAnsiTheme="minorHAnsi" w:cstheme="minorBidi"/>
      <w:sz w:val="24"/>
      <w:szCs w:val="24"/>
      <w:vertAlign w:val="superscript"/>
    </w:rPr>
  </w:style>
  <w:style w:type="paragraph" w:customStyle="1" w:styleId="Para20">
    <w:name w:val="Para 2"/>
    <w:qFormat/>
    <w:rsid w:val="00E8556C"/>
    <w:pPr>
      <w:tabs>
        <w:tab w:val="left" w:pos="1701"/>
      </w:tabs>
      <w:spacing w:before="120" w:after="120"/>
      <w:jc w:val="both"/>
    </w:pPr>
    <w:rPr>
      <w:rFonts w:ascii="Times New Roman" w:eastAsia="Times New Roman" w:hAnsi="Times New Roman" w:cs="Times New Roman"/>
      <w:sz w:val="22"/>
      <w:lang w:val="en-GB"/>
    </w:rPr>
  </w:style>
  <w:style w:type="paragraph" w:customStyle="1" w:styleId="CBDcompilationH2">
    <w:name w:val="CBD_compilation_H2"/>
    <w:basedOn w:val="CBDSubTitle"/>
    <w:qFormat/>
    <w:rsid w:val="004E5CCD"/>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 Type="http://schemas.openxmlformats.org/officeDocument/2006/relationships/customXml" Target="../customXml/item2.xml"/><Relationship Id="rId16" Type="http://schemas.openxmlformats.org/officeDocument/2006/relationships/hyperlink" Target="https://www.cbd.int/decisions/np-mop?m=np-mop-0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NP/ABSCH-IAC/6/3" TargetMode="External"/><Relationship Id="rId2" Type="http://schemas.openxmlformats.org/officeDocument/2006/relationships/hyperlink" Target="http://www.cbd.int/abs/doc/cepa-toolkit-fr.pdf" TargetMode="External"/><Relationship Id="rId1" Type="http://schemas.openxmlformats.org/officeDocument/2006/relationships/hyperlink" Target="https://www.cbd.int/documents/CBD/SBI/7/7"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393045">
          <w:pPr>
            <w:pStyle w:val="231655F7C16F4CD6AA12DCC7F439990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337072"/>
    <w:rsid w:val="00393045"/>
    <w:rsid w:val="0043120D"/>
    <w:rsid w:val="00645307"/>
    <w:rsid w:val="00660EAD"/>
    <w:rsid w:val="00682D3C"/>
    <w:rsid w:val="00761A81"/>
    <w:rsid w:val="009F6B2D"/>
    <w:rsid w:val="00B26A57"/>
    <w:rsid w:val="00B7244F"/>
    <w:rsid w:val="00E16B0E"/>
    <w:rsid w:val="00E473E5"/>
    <w:rsid w:val="00EB7993"/>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CEFDA5A9-30BE-4AEB-B7B2-F04DCF509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4</TotalTime>
  <Pages>4</Pages>
  <Words>1673</Words>
  <Characters>9540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Amélioration de la mise en œuvre du Protocole de Nagoya</vt:lpstr>
    </vt:vector>
  </TitlesOfParts>
  <Company>SCBD</Company>
  <LinksUpToDate>false</LinksUpToDate>
  <CharactersWithSpaces>11191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Amélioration de la mise en œuvre du Protocole de Nagoya</dc:title>
  <dc:subject>CBD/NP/MOP/6/L.5</dc:subject>
  <dc:creator>Veronique Lefebvre</dc:creator>
  <cp:keywords>Convention on Biological Diversity</cp:keywords>
  <cp:lastModifiedBy>Mariko Nishi</cp:lastModifiedBy>
  <cp:revision>7</cp:revision>
  <cp:lastPrinted>2020-01-21T16:56:00Z</cp:lastPrinted>
  <dcterms:created xsi:type="dcterms:W3CDTF">2026-10-23T13:51:00Z</dcterms:created>
  <dcterms:modified xsi:type="dcterms:W3CDTF">2026-10-23T13:57:00Z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