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90" w:type="dxa"/>
        <w:tblInd w:w="-34" w:type="dxa"/>
        <w:tblLook w:val="04A0" w:firstRow="1" w:lastRow="0" w:firstColumn="1" w:lastColumn="0" w:noHBand="0" w:noVBand="1"/>
      </w:tblPr>
      <w:tblGrid>
        <w:gridCol w:w="34"/>
        <w:gridCol w:w="1134"/>
        <w:gridCol w:w="5515"/>
        <w:gridCol w:w="164"/>
        <w:gridCol w:w="2543"/>
      </w:tblGrid>
      <w:tr w:rsidR="008D1E6A" w:rsidRPr="000F7AFB" w14:paraId="11FF1F13" w14:textId="77777777" w:rsidTr="00915656">
        <w:trPr>
          <w:trHeight w:val="709"/>
        </w:trPr>
        <w:tc>
          <w:tcPr>
            <w:tcW w:w="1168" w:type="dxa"/>
            <w:gridSpan w:val="2"/>
            <w:tcBorders>
              <w:bottom w:val="single" w:sz="12" w:space="0" w:color="auto"/>
            </w:tcBorders>
            <w:shd w:val="clear" w:color="auto" w:fill="auto"/>
          </w:tcPr>
          <w:p w14:paraId="38E4D4AB" w14:textId="2E84A058" w:rsidR="008D1E6A" w:rsidRPr="000F7AFB" w:rsidRDefault="004E0441" w:rsidP="00200BB0">
            <w:pPr>
              <w:suppressLineNumbers/>
              <w:suppressAutoHyphens/>
              <w:adjustRightInd w:val="0"/>
              <w:snapToGrid w:val="0"/>
              <w:rPr>
                <w:rFonts w:ascii="Cambria" w:eastAsia="Malgun Gothic" w:hAnsi="Cambria"/>
                <w:snapToGrid w:val="0"/>
                <w:kern w:val="22"/>
              </w:rPr>
            </w:pPr>
            <w:r>
              <w:rPr>
                <w:rFonts w:ascii="Cambria" w:eastAsia="Malgun Gothic" w:hAnsi="Cambria"/>
                <w:snapToGrid w:val="0"/>
                <w:kern w:val="22"/>
              </w:rPr>
              <w:t xml:space="preserve"> </w:t>
            </w:r>
            <w:r w:rsidR="005E4DD1" w:rsidRPr="00D2123B">
              <w:rPr>
                <w:rFonts w:ascii="Cambria" w:eastAsia="Malgun Gothic" w:hAnsi="Cambria"/>
                <w:noProof/>
                <w:snapToGrid w:val="0"/>
                <w:kern w:val="22"/>
                <w:lang w:eastAsia="en-GB"/>
              </w:rPr>
              <w:drawing>
                <wp:inline distT="0" distB="0" distL="0" distR="0" wp14:anchorId="2DE5A9F4" wp14:editId="5EB5CFB4">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679" w:type="dxa"/>
            <w:gridSpan w:val="2"/>
            <w:tcBorders>
              <w:bottom w:val="single" w:sz="12" w:space="0" w:color="auto"/>
            </w:tcBorders>
            <w:shd w:val="clear" w:color="auto" w:fill="auto"/>
          </w:tcPr>
          <w:p w14:paraId="3DBF63E3" w14:textId="77777777" w:rsidR="008D1E6A" w:rsidRPr="000F7AFB" w:rsidRDefault="005E4DD1" w:rsidP="008D1E6A">
            <w:pPr>
              <w:suppressLineNumbers/>
              <w:tabs>
                <w:tab w:val="left" w:pos="325"/>
              </w:tabs>
              <w:suppressAutoHyphens/>
              <w:adjustRightInd w:val="0"/>
              <w:snapToGrid w:val="0"/>
              <w:rPr>
                <w:rFonts w:ascii="Cambria" w:eastAsia="Malgun Gothic" w:hAnsi="Cambria"/>
                <w:snapToGrid w:val="0"/>
                <w:kern w:val="22"/>
              </w:rPr>
            </w:pPr>
            <w:r w:rsidRPr="000F7AFB">
              <w:rPr>
                <w:rFonts w:ascii="Cambria" w:eastAsia="Malgun Gothic" w:hAnsi="Cambria"/>
                <w:noProof/>
                <w:snapToGrid w:val="0"/>
                <w:kern w:val="22"/>
                <w:lang w:eastAsia="en-GB"/>
              </w:rPr>
              <w:drawing>
                <wp:inline distT="0" distB="0" distL="0" distR="0" wp14:anchorId="7FEE12F7" wp14:editId="6B5A811E">
                  <wp:extent cx="342900" cy="400050"/>
                  <wp:effectExtent l="0" t="0" r="0" b="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2543" w:type="dxa"/>
            <w:tcBorders>
              <w:bottom w:val="single" w:sz="12" w:space="0" w:color="auto"/>
            </w:tcBorders>
            <w:shd w:val="clear" w:color="auto" w:fill="auto"/>
          </w:tcPr>
          <w:p w14:paraId="7267C50B" w14:textId="77777777" w:rsidR="008D1E6A" w:rsidRPr="000F7AFB" w:rsidRDefault="008D1E6A" w:rsidP="008D1E6A">
            <w:pPr>
              <w:suppressLineNumbers/>
              <w:suppressAutoHyphens/>
              <w:adjustRightInd w:val="0"/>
              <w:snapToGrid w:val="0"/>
              <w:jc w:val="right"/>
              <w:rPr>
                <w:rFonts w:ascii="Arial" w:eastAsia="Malgun Gothic" w:hAnsi="Arial" w:cs="Arial"/>
                <w:b/>
                <w:snapToGrid w:val="0"/>
                <w:kern w:val="22"/>
                <w:sz w:val="32"/>
                <w:szCs w:val="32"/>
              </w:rPr>
            </w:pPr>
            <w:r w:rsidRPr="000F7AFB">
              <w:rPr>
                <w:rFonts w:ascii="Arial" w:eastAsia="Malgun Gothic" w:hAnsi="Arial" w:cs="Arial"/>
                <w:b/>
                <w:snapToGrid w:val="0"/>
                <w:kern w:val="22"/>
                <w:sz w:val="32"/>
                <w:szCs w:val="32"/>
              </w:rPr>
              <w:t>CBD</w:t>
            </w:r>
          </w:p>
        </w:tc>
      </w:tr>
      <w:tr w:rsidR="008D1E6A" w:rsidRPr="000F7AFB" w14:paraId="16E7E77F" w14:textId="77777777" w:rsidTr="00200BB0">
        <w:tblPrEx>
          <w:tblBorders>
            <w:bottom w:val="single" w:sz="30" w:space="0" w:color="000000"/>
          </w:tblBorders>
          <w:tblLook w:val="0000" w:firstRow="0" w:lastRow="0" w:firstColumn="0" w:lastColumn="0" w:noHBand="0" w:noVBand="0"/>
        </w:tblPrEx>
        <w:trPr>
          <w:gridBefore w:val="1"/>
          <w:wBefore w:w="34" w:type="dxa"/>
          <w:cantSplit/>
          <w:trHeight w:val="1693"/>
        </w:trPr>
        <w:tc>
          <w:tcPr>
            <w:tcW w:w="6649" w:type="dxa"/>
            <w:gridSpan w:val="2"/>
            <w:tcBorders>
              <w:bottom w:val="single" w:sz="36" w:space="0" w:color="000000"/>
            </w:tcBorders>
          </w:tcPr>
          <w:p w14:paraId="5C7639FE" w14:textId="77777777" w:rsidR="008D1E6A" w:rsidRPr="000F7AFB" w:rsidRDefault="005E4DD1" w:rsidP="008D1E6A">
            <w:pPr>
              <w:suppressLineNumbers/>
              <w:suppressAutoHyphens/>
              <w:adjustRightInd w:val="0"/>
              <w:snapToGrid w:val="0"/>
              <w:ind w:right="1962"/>
              <w:jc w:val="right"/>
              <w:rPr>
                <w:rFonts w:eastAsia="Malgun Gothic"/>
                <w:snapToGrid w:val="0"/>
                <w:kern w:val="22"/>
                <w:szCs w:val="22"/>
              </w:rPr>
            </w:pPr>
            <w:r w:rsidRPr="000F7AFB">
              <w:rPr>
                <w:rFonts w:eastAsia="Malgun Gothic"/>
                <w:noProof/>
                <w:snapToGrid w:val="0"/>
                <w:kern w:val="22"/>
                <w:szCs w:val="22"/>
                <w:lang w:eastAsia="en-GB"/>
              </w:rPr>
              <w:drawing>
                <wp:inline distT="0" distB="0" distL="0" distR="0" wp14:anchorId="0A18519D" wp14:editId="61FFB54C">
                  <wp:extent cx="2838450" cy="1076325"/>
                  <wp:effectExtent l="0" t="0" r="0" b="0"/>
                  <wp:docPr id="2"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2707" w:type="dxa"/>
            <w:gridSpan w:val="2"/>
            <w:tcBorders>
              <w:bottom w:val="single" w:sz="36" w:space="0" w:color="000000"/>
            </w:tcBorders>
            <w:noWrap/>
          </w:tcPr>
          <w:p w14:paraId="3E9BB032" w14:textId="77777777" w:rsidR="008D1E6A" w:rsidRPr="000F7AFB" w:rsidRDefault="008D1E6A" w:rsidP="008D1E6A">
            <w:pPr>
              <w:suppressLineNumbers/>
              <w:suppressAutoHyphens/>
              <w:adjustRightInd w:val="0"/>
              <w:snapToGrid w:val="0"/>
              <w:ind w:left="338"/>
              <w:rPr>
                <w:rFonts w:eastAsia="Malgun Gothic"/>
                <w:snapToGrid w:val="0"/>
                <w:kern w:val="22"/>
                <w:szCs w:val="22"/>
              </w:rPr>
            </w:pPr>
            <w:r w:rsidRPr="000F7AFB">
              <w:rPr>
                <w:rFonts w:eastAsia="Malgun Gothic"/>
                <w:snapToGrid w:val="0"/>
                <w:kern w:val="22"/>
                <w:szCs w:val="22"/>
              </w:rPr>
              <w:t>Distr.</w:t>
            </w:r>
          </w:p>
          <w:p w14:paraId="75C34FB8" w14:textId="77777777" w:rsidR="008D1E6A" w:rsidRPr="000F7AFB" w:rsidRDefault="008D1E6A" w:rsidP="008D1E6A">
            <w:pPr>
              <w:suppressLineNumbers/>
              <w:suppressAutoHyphens/>
              <w:adjustRightInd w:val="0"/>
              <w:snapToGrid w:val="0"/>
              <w:ind w:left="338"/>
              <w:rPr>
                <w:rFonts w:eastAsia="Malgun Gothic"/>
                <w:snapToGrid w:val="0"/>
                <w:kern w:val="22"/>
                <w:szCs w:val="22"/>
              </w:rPr>
            </w:pPr>
            <w:r w:rsidRPr="000F7AFB">
              <w:rPr>
                <w:rFonts w:eastAsia="Malgun Gothic"/>
                <w:snapToGrid w:val="0"/>
                <w:kern w:val="22"/>
                <w:szCs w:val="22"/>
              </w:rPr>
              <w:t>GENERAL</w:t>
            </w:r>
          </w:p>
          <w:p w14:paraId="60D632B6" w14:textId="77777777" w:rsidR="008D1E6A" w:rsidRPr="000F7AFB" w:rsidRDefault="008D1E6A" w:rsidP="008D1E6A">
            <w:pPr>
              <w:suppressLineNumbers/>
              <w:suppressAutoHyphens/>
              <w:adjustRightInd w:val="0"/>
              <w:snapToGrid w:val="0"/>
              <w:ind w:left="338"/>
              <w:rPr>
                <w:rFonts w:eastAsia="Malgun Gothic"/>
                <w:snapToGrid w:val="0"/>
                <w:kern w:val="22"/>
                <w:szCs w:val="22"/>
              </w:rPr>
            </w:pPr>
          </w:p>
          <w:p w14:paraId="14646D7A" w14:textId="28C609AB" w:rsidR="008D1E6A" w:rsidRPr="000F7AFB" w:rsidRDefault="004A6E0F" w:rsidP="008D1E6A">
            <w:pPr>
              <w:suppressLineNumbers/>
              <w:suppressAutoHyphens/>
              <w:autoSpaceDE w:val="0"/>
              <w:autoSpaceDN w:val="0"/>
              <w:adjustRightInd w:val="0"/>
              <w:snapToGrid w:val="0"/>
              <w:ind w:left="338"/>
              <w:jc w:val="left"/>
              <w:rPr>
                <w:rFonts w:eastAsia="MS Mincho"/>
                <w:snapToGrid w:val="0"/>
                <w:kern w:val="22"/>
                <w:szCs w:val="22"/>
              </w:rPr>
            </w:pPr>
            <w:r w:rsidRPr="004A6E0F">
              <w:rPr>
                <w:rFonts w:eastAsia="Malgun Gothic"/>
                <w:snapToGrid w:val="0"/>
                <w:kern w:val="22"/>
                <w:szCs w:val="22"/>
                <w:lang w:eastAsia="ko-KR"/>
              </w:rPr>
              <w:t>CBD/WG8J/10/INF/7</w:t>
            </w:r>
          </w:p>
          <w:p w14:paraId="08578F6A" w14:textId="00D423D1" w:rsidR="008D1E6A" w:rsidRPr="000F7AFB" w:rsidRDefault="00872032" w:rsidP="008D1E6A">
            <w:pPr>
              <w:suppressLineNumbers/>
              <w:suppressAutoHyphens/>
              <w:adjustRightInd w:val="0"/>
              <w:snapToGrid w:val="0"/>
              <w:ind w:left="338"/>
              <w:rPr>
                <w:rFonts w:eastAsia="Malgun Gothic"/>
                <w:snapToGrid w:val="0"/>
                <w:kern w:val="22"/>
                <w:szCs w:val="22"/>
              </w:rPr>
            </w:pPr>
            <w:r>
              <w:rPr>
                <w:rFonts w:eastAsia="Malgun Gothic"/>
                <w:snapToGrid w:val="0"/>
                <w:kern w:val="22"/>
                <w:szCs w:val="22"/>
              </w:rPr>
              <w:t>25</w:t>
            </w:r>
            <w:r w:rsidR="003F3A20">
              <w:rPr>
                <w:rFonts w:eastAsia="Malgun Gothic"/>
                <w:snapToGrid w:val="0"/>
                <w:kern w:val="22"/>
                <w:szCs w:val="22"/>
              </w:rPr>
              <w:t xml:space="preserve"> November 2017</w:t>
            </w:r>
          </w:p>
          <w:p w14:paraId="37C5D921" w14:textId="77777777" w:rsidR="00DF5E24" w:rsidRDefault="00DF5E24" w:rsidP="008D1E6A">
            <w:pPr>
              <w:suppressLineNumbers/>
              <w:suppressAutoHyphens/>
              <w:adjustRightInd w:val="0"/>
              <w:snapToGrid w:val="0"/>
              <w:ind w:left="338"/>
              <w:rPr>
                <w:rFonts w:eastAsia="Malgun Gothic"/>
                <w:snapToGrid w:val="0"/>
                <w:kern w:val="22"/>
                <w:szCs w:val="22"/>
              </w:rPr>
            </w:pPr>
          </w:p>
          <w:p w14:paraId="22259593" w14:textId="07276490" w:rsidR="008D1E6A" w:rsidRPr="000F7AFB" w:rsidRDefault="008D1E6A" w:rsidP="008D1E6A">
            <w:pPr>
              <w:suppressLineNumbers/>
              <w:suppressAutoHyphens/>
              <w:adjustRightInd w:val="0"/>
              <w:snapToGrid w:val="0"/>
              <w:ind w:left="338"/>
              <w:rPr>
                <w:rFonts w:eastAsia="Malgun Gothic"/>
                <w:snapToGrid w:val="0"/>
                <w:kern w:val="22"/>
                <w:szCs w:val="22"/>
              </w:rPr>
            </w:pPr>
            <w:r w:rsidRPr="000F7AFB">
              <w:rPr>
                <w:rFonts w:eastAsia="Malgun Gothic"/>
                <w:snapToGrid w:val="0"/>
                <w:kern w:val="22"/>
                <w:szCs w:val="22"/>
              </w:rPr>
              <w:t>ENGLISH</w:t>
            </w:r>
            <w:r w:rsidR="00200BB0">
              <w:rPr>
                <w:rFonts w:eastAsia="Malgun Gothic"/>
                <w:snapToGrid w:val="0"/>
                <w:kern w:val="22"/>
                <w:szCs w:val="22"/>
              </w:rPr>
              <w:t xml:space="preserve"> ONLY</w:t>
            </w:r>
          </w:p>
        </w:tc>
      </w:tr>
    </w:tbl>
    <w:p w14:paraId="59A8A45D" w14:textId="77777777" w:rsidR="008D1E6A" w:rsidRPr="00C515D8" w:rsidRDefault="008D1E6A" w:rsidP="00200BB0">
      <w:pPr>
        <w:suppressLineNumbers/>
        <w:suppressAutoHyphens/>
        <w:adjustRightInd w:val="0"/>
        <w:snapToGrid w:val="0"/>
        <w:ind w:left="170" w:right="4014" w:hanging="170"/>
        <w:jc w:val="left"/>
        <w:rPr>
          <w:snapToGrid w:val="0"/>
          <w:color w:val="000000"/>
          <w:kern w:val="22"/>
          <w:szCs w:val="22"/>
        </w:rPr>
      </w:pPr>
      <w:bookmarkStart w:id="0" w:name="_Hlk412100843"/>
      <w:r w:rsidRPr="00C515D8">
        <w:rPr>
          <w:rFonts w:eastAsia="Malgun Gothic"/>
          <w:snapToGrid w:val="0"/>
          <w:color w:val="000000"/>
          <w:kern w:val="22"/>
          <w:szCs w:val="22"/>
        </w:rPr>
        <w:t>AD HOC OPEN-ENDED INTER-SESSIONAL WORKING GROUP ON ARTICLE 8(j) AND RELATED PROVISIONS OF THE CONVENTION ON BIOLOGICAL DIVERSITY</w:t>
      </w:r>
    </w:p>
    <w:p w14:paraId="35B66A96" w14:textId="77777777" w:rsidR="008D1E6A" w:rsidRPr="00C515D8" w:rsidRDefault="008D1E6A" w:rsidP="008D1E6A">
      <w:pPr>
        <w:suppressLineNumbers/>
        <w:suppressAutoHyphens/>
        <w:adjustRightInd w:val="0"/>
        <w:snapToGrid w:val="0"/>
        <w:ind w:left="170" w:right="4740" w:hanging="170"/>
        <w:jc w:val="left"/>
        <w:rPr>
          <w:rFonts w:eastAsia="Malgun Gothic"/>
          <w:snapToGrid w:val="0"/>
          <w:color w:val="000000"/>
          <w:kern w:val="22"/>
          <w:szCs w:val="22"/>
        </w:rPr>
      </w:pPr>
      <w:r w:rsidRPr="00C515D8">
        <w:rPr>
          <w:rFonts w:eastAsia="Malgun Gothic"/>
          <w:snapToGrid w:val="0"/>
          <w:color w:val="000000"/>
          <w:kern w:val="22"/>
          <w:szCs w:val="22"/>
        </w:rPr>
        <w:t>Tenth meeting</w:t>
      </w:r>
    </w:p>
    <w:p w14:paraId="3223DE6D" w14:textId="77777777" w:rsidR="008D1E6A" w:rsidRPr="00C515D8" w:rsidRDefault="008D1E6A" w:rsidP="008D1E6A">
      <w:pPr>
        <w:suppressLineNumbers/>
        <w:suppressAutoHyphens/>
        <w:adjustRightInd w:val="0"/>
        <w:snapToGrid w:val="0"/>
        <w:ind w:left="170" w:right="3119" w:hanging="170"/>
        <w:jc w:val="left"/>
        <w:rPr>
          <w:rFonts w:eastAsia="Malgun Gothic"/>
          <w:snapToGrid w:val="0"/>
          <w:color w:val="000000"/>
          <w:kern w:val="22"/>
          <w:szCs w:val="22"/>
        </w:rPr>
      </w:pPr>
      <w:r w:rsidRPr="00C515D8">
        <w:rPr>
          <w:rFonts w:eastAsia="Malgun Gothic"/>
          <w:snapToGrid w:val="0"/>
          <w:color w:val="000000"/>
          <w:kern w:val="22"/>
          <w:szCs w:val="22"/>
        </w:rPr>
        <w:t>Montreal, Canada, 13-16 December 2017</w:t>
      </w:r>
    </w:p>
    <w:p w14:paraId="2518BE96" w14:textId="5DE2BDA3" w:rsidR="008D1E6A" w:rsidRPr="00C515D8" w:rsidRDefault="008D1E6A" w:rsidP="008D1E6A">
      <w:pPr>
        <w:suppressLineNumbers/>
        <w:suppressAutoHyphens/>
        <w:adjustRightInd w:val="0"/>
        <w:snapToGrid w:val="0"/>
        <w:ind w:left="170" w:right="3119" w:hanging="170"/>
        <w:jc w:val="left"/>
        <w:rPr>
          <w:rFonts w:eastAsia="Malgun Gothic"/>
          <w:snapToGrid w:val="0"/>
          <w:color w:val="000000"/>
          <w:kern w:val="22"/>
          <w:szCs w:val="22"/>
        </w:rPr>
      </w:pPr>
      <w:r w:rsidRPr="00C515D8">
        <w:rPr>
          <w:rFonts w:eastAsia="Malgun Gothic"/>
          <w:snapToGrid w:val="0"/>
          <w:color w:val="000000"/>
          <w:kern w:val="22"/>
          <w:szCs w:val="22"/>
        </w:rPr>
        <w:t xml:space="preserve">Item </w:t>
      </w:r>
      <w:r w:rsidR="00AF7350">
        <w:rPr>
          <w:rFonts w:eastAsia="Malgun Gothic"/>
          <w:snapToGrid w:val="0"/>
          <w:color w:val="000000"/>
          <w:kern w:val="22"/>
          <w:szCs w:val="22"/>
        </w:rPr>
        <w:t>6</w:t>
      </w:r>
      <w:r w:rsidRPr="00C515D8">
        <w:rPr>
          <w:rFonts w:eastAsia="Malgun Gothic"/>
          <w:snapToGrid w:val="0"/>
          <w:color w:val="000000"/>
          <w:kern w:val="22"/>
          <w:szCs w:val="22"/>
        </w:rPr>
        <w:t xml:space="preserve"> of the provisional agenda</w:t>
      </w:r>
      <w:r w:rsidRPr="00C515D8">
        <w:rPr>
          <w:rFonts w:eastAsia="Malgun Gothic"/>
          <w:snapToGrid w:val="0"/>
          <w:color w:val="000000"/>
          <w:kern w:val="22"/>
          <w:szCs w:val="22"/>
        </w:rPr>
        <w:footnoteReference w:customMarkFollows="1" w:id="1"/>
        <w:t>*</w:t>
      </w:r>
    </w:p>
    <w:p w14:paraId="6A459452" w14:textId="354241A7" w:rsidR="001B5945" w:rsidRPr="002C1726" w:rsidRDefault="001B5945" w:rsidP="00454E81">
      <w:pPr>
        <w:pStyle w:val="Heading1"/>
        <w:rPr>
          <w:i/>
          <w:lang w:val="en-US"/>
        </w:rPr>
      </w:pPr>
      <w:bookmarkStart w:id="1" w:name="_Hlk499810745"/>
      <w:bookmarkStart w:id="2" w:name="_GoBack"/>
      <w:bookmarkEnd w:id="0"/>
      <w:r w:rsidRPr="001B5945">
        <w:rPr>
          <w:snapToGrid w:val="0"/>
        </w:rPr>
        <w:t>SUMMARY OF SAFEGUARD-RELATED PROVISIONS OF PRINCIPLES, GUIDELINES AND OTHER TOOLS</w:t>
      </w:r>
      <w:r w:rsidRPr="001B5945">
        <w:t xml:space="preserve"> </w:t>
      </w:r>
      <w:r w:rsidR="002C1726">
        <w:rPr>
          <w:lang w:val="en-US"/>
        </w:rPr>
        <w:t>under the convention on biological diversity</w:t>
      </w:r>
      <w:bookmarkEnd w:id="2"/>
    </w:p>
    <w:p w14:paraId="33CD58F2" w14:textId="0A57F438" w:rsidR="00736BC2" w:rsidRPr="00C515D8" w:rsidRDefault="00736BC2" w:rsidP="000F7AFB">
      <w:pPr>
        <w:pStyle w:val="heading2notforTOC"/>
        <w:tabs>
          <w:tab w:val="clear" w:pos="567"/>
        </w:tabs>
        <w:spacing w:before="0"/>
        <w:rPr>
          <w:kern w:val="22"/>
          <w:szCs w:val="22"/>
        </w:rPr>
      </w:pPr>
      <w:r w:rsidRPr="00C515D8">
        <w:rPr>
          <w:kern w:val="22"/>
          <w:szCs w:val="22"/>
        </w:rPr>
        <w:t>Note by the Executive Secretary</w:t>
      </w:r>
    </w:p>
    <w:p w14:paraId="67DA0797" w14:textId="77777777" w:rsidR="00736BC2" w:rsidRPr="00C515D8" w:rsidRDefault="009E60E3" w:rsidP="000F7AFB">
      <w:pPr>
        <w:pStyle w:val="Heading1"/>
        <w:tabs>
          <w:tab w:val="clear" w:pos="720"/>
        </w:tabs>
        <w:spacing w:before="0"/>
        <w:rPr>
          <w:kern w:val="22"/>
          <w:szCs w:val="22"/>
          <w:lang w:val="en-GB"/>
        </w:rPr>
      </w:pPr>
      <w:r w:rsidRPr="00C515D8">
        <w:rPr>
          <w:kern w:val="22"/>
          <w:szCs w:val="22"/>
          <w:lang w:val="en-GB"/>
        </w:rPr>
        <w:t>INTRODUCTION</w:t>
      </w:r>
    </w:p>
    <w:p w14:paraId="4D3ADCDE" w14:textId="63313790" w:rsidR="00AF7350" w:rsidRPr="00AF7350" w:rsidRDefault="00015717" w:rsidP="00DF5E24">
      <w:pPr>
        <w:pStyle w:val="Para1"/>
        <w:tabs>
          <w:tab w:val="clear" w:pos="502"/>
        </w:tabs>
        <w:ind w:left="0"/>
        <w:rPr>
          <w:szCs w:val="22"/>
          <w:u w:val="single"/>
        </w:rPr>
      </w:pPr>
      <w:r w:rsidRPr="00C515D8">
        <w:rPr>
          <w:szCs w:val="22"/>
        </w:rPr>
        <w:t xml:space="preserve">At its </w:t>
      </w:r>
      <w:r w:rsidR="0007252D" w:rsidRPr="00C515D8">
        <w:rPr>
          <w:szCs w:val="22"/>
        </w:rPr>
        <w:t>twelfth</w:t>
      </w:r>
      <w:r w:rsidR="00647547" w:rsidRPr="00C515D8">
        <w:rPr>
          <w:szCs w:val="22"/>
        </w:rPr>
        <w:t xml:space="preserve"> </w:t>
      </w:r>
      <w:r w:rsidRPr="00C515D8">
        <w:rPr>
          <w:szCs w:val="22"/>
        </w:rPr>
        <w:t xml:space="preserve">meeting, the Conference of the Parties </w:t>
      </w:r>
      <w:r w:rsidR="00D2406D" w:rsidRPr="00C515D8">
        <w:rPr>
          <w:szCs w:val="22"/>
        </w:rPr>
        <w:t xml:space="preserve">adopted </w:t>
      </w:r>
      <w:r w:rsidR="00200BB0">
        <w:rPr>
          <w:szCs w:val="22"/>
        </w:rPr>
        <w:t>the voluntary guidelines on safeguards in b</w:t>
      </w:r>
      <w:r w:rsidR="00D2406D" w:rsidRPr="00C515D8">
        <w:rPr>
          <w:szCs w:val="22"/>
        </w:rPr>
        <w:t>iodiversity financing mechanisms</w:t>
      </w:r>
      <w:r w:rsidR="004B0029" w:rsidRPr="00C515D8">
        <w:rPr>
          <w:szCs w:val="22"/>
        </w:rPr>
        <w:t xml:space="preserve"> </w:t>
      </w:r>
      <w:r w:rsidR="00200BB0">
        <w:rPr>
          <w:szCs w:val="22"/>
        </w:rPr>
        <w:t>through d</w:t>
      </w:r>
      <w:r w:rsidR="004B0029" w:rsidRPr="00C515D8">
        <w:rPr>
          <w:szCs w:val="22"/>
        </w:rPr>
        <w:t>ecision XII/3, paragraph 15 and annex III</w:t>
      </w:r>
      <w:r w:rsidR="00D2406D" w:rsidRPr="00C515D8">
        <w:rPr>
          <w:szCs w:val="22"/>
        </w:rPr>
        <w:t xml:space="preserve">. </w:t>
      </w:r>
      <w:bookmarkStart w:id="3" w:name="_Hlk498607541"/>
    </w:p>
    <w:bookmarkEnd w:id="3"/>
    <w:p w14:paraId="465728B8" w14:textId="0DADF697" w:rsidR="00CC604D" w:rsidRPr="00C515D8" w:rsidRDefault="00AF7350" w:rsidP="00454E81">
      <w:pPr>
        <w:pStyle w:val="Para1"/>
        <w:tabs>
          <w:tab w:val="clear" w:pos="502"/>
        </w:tabs>
        <w:ind w:left="0"/>
        <w:rPr>
          <w:rFonts w:eastAsia="MS Mincho"/>
          <w:szCs w:val="22"/>
        </w:rPr>
      </w:pPr>
      <w:r>
        <w:t>An analysis of decisions</w:t>
      </w:r>
      <w:r w:rsidR="00454E81">
        <w:t xml:space="preserve">, </w:t>
      </w:r>
      <w:r>
        <w:t xml:space="preserve">guidance and principles </w:t>
      </w:r>
      <w:r w:rsidR="00454E81">
        <w:t>of the Convention on Biological Diversity</w:t>
      </w:r>
      <w:r w:rsidR="00454E81">
        <w:t xml:space="preserve"> </w:t>
      </w:r>
      <w:r>
        <w:t xml:space="preserve">shows that many of </w:t>
      </w:r>
      <w:r w:rsidRPr="00454E81">
        <w:rPr>
          <w:szCs w:val="22"/>
        </w:rPr>
        <w:t>these</w:t>
      </w:r>
      <w:r>
        <w:t xml:space="preserve"> contain elements that are relevant to safeguards to protect </w:t>
      </w:r>
      <w:r w:rsidR="00454E81">
        <w:t xml:space="preserve">the </w:t>
      </w:r>
      <w:r w:rsidR="00454E81">
        <w:t>rights</w:t>
      </w:r>
      <w:r w:rsidR="00454E81">
        <w:t xml:space="preserve"> of indigenous peoples and local communities</w:t>
      </w:r>
      <w:r>
        <w:t xml:space="preserve">. </w:t>
      </w:r>
      <w:r>
        <w:rPr>
          <w:szCs w:val="22"/>
        </w:rPr>
        <w:t>T</w:t>
      </w:r>
      <w:r w:rsidR="003D54AF" w:rsidRPr="00C515D8">
        <w:rPr>
          <w:rFonts w:eastAsia="MS Mincho"/>
          <w:szCs w:val="22"/>
        </w:rPr>
        <w:t>he present</w:t>
      </w:r>
      <w:r w:rsidR="003D54AF" w:rsidRPr="00C515D8">
        <w:rPr>
          <w:szCs w:val="22"/>
        </w:rPr>
        <w:t xml:space="preserve"> document</w:t>
      </w:r>
      <w:r w:rsidR="00CC604D" w:rsidRPr="00C515D8">
        <w:rPr>
          <w:szCs w:val="22"/>
        </w:rPr>
        <w:t xml:space="preserve"> </w:t>
      </w:r>
      <w:r>
        <w:rPr>
          <w:szCs w:val="22"/>
        </w:rPr>
        <w:t xml:space="preserve">thus </w:t>
      </w:r>
      <w:r w:rsidR="00A64D2A">
        <w:rPr>
          <w:szCs w:val="22"/>
        </w:rPr>
        <w:t xml:space="preserve">provides </w:t>
      </w:r>
      <w:r w:rsidR="001B5945">
        <w:rPr>
          <w:szCs w:val="22"/>
        </w:rPr>
        <w:t>a</w:t>
      </w:r>
      <w:r w:rsidR="00A64D2A">
        <w:rPr>
          <w:szCs w:val="22"/>
        </w:rPr>
        <w:t xml:space="preserve"> </w:t>
      </w:r>
      <w:r w:rsidR="00CC604D" w:rsidRPr="00C515D8">
        <w:rPr>
          <w:szCs w:val="22"/>
        </w:rPr>
        <w:t>s</w:t>
      </w:r>
      <w:r w:rsidR="00323FE1">
        <w:rPr>
          <w:iCs/>
          <w:kern w:val="22"/>
          <w:szCs w:val="22"/>
        </w:rPr>
        <w:t>ummary of safeguard</w:t>
      </w:r>
      <w:r w:rsidR="00323FE1">
        <w:rPr>
          <w:iCs/>
          <w:kern w:val="22"/>
          <w:szCs w:val="22"/>
        </w:rPr>
        <w:noBreakHyphen/>
      </w:r>
      <w:r w:rsidR="00CC604D" w:rsidRPr="00C515D8">
        <w:rPr>
          <w:iCs/>
          <w:kern w:val="22"/>
          <w:szCs w:val="22"/>
        </w:rPr>
        <w:t xml:space="preserve">related provisions of </w:t>
      </w:r>
      <w:r>
        <w:rPr>
          <w:iCs/>
          <w:kern w:val="22"/>
          <w:szCs w:val="22"/>
        </w:rPr>
        <w:t xml:space="preserve">such </w:t>
      </w:r>
      <w:r w:rsidR="00454E81">
        <w:rPr>
          <w:iCs/>
          <w:kern w:val="22"/>
          <w:szCs w:val="22"/>
        </w:rPr>
        <w:t>principles, guidelines and other t</w:t>
      </w:r>
      <w:r w:rsidR="00CC604D" w:rsidRPr="00C515D8">
        <w:rPr>
          <w:iCs/>
          <w:kern w:val="22"/>
          <w:szCs w:val="22"/>
        </w:rPr>
        <w:t>ools</w:t>
      </w:r>
      <w:r w:rsidRPr="00AF7350">
        <w:rPr>
          <w:szCs w:val="22"/>
        </w:rPr>
        <w:t xml:space="preserve"> </w:t>
      </w:r>
      <w:r>
        <w:rPr>
          <w:szCs w:val="22"/>
        </w:rPr>
        <w:t xml:space="preserve">in </w:t>
      </w:r>
      <w:r w:rsidR="00454E81">
        <w:rPr>
          <w:szCs w:val="22"/>
        </w:rPr>
        <w:t xml:space="preserve">a </w:t>
      </w:r>
      <w:r>
        <w:rPr>
          <w:szCs w:val="22"/>
        </w:rPr>
        <w:t>table format to complement the informat</w:t>
      </w:r>
      <w:r w:rsidR="00DB6CFD">
        <w:rPr>
          <w:szCs w:val="22"/>
        </w:rPr>
        <w:t xml:space="preserve">ion </w:t>
      </w:r>
      <w:r w:rsidR="00454E81">
        <w:rPr>
          <w:szCs w:val="22"/>
        </w:rPr>
        <w:t xml:space="preserve">provided </w:t>
      </w:r>
      <w:r w:rsidR="00DB6CFD">
        <w:rPr>
          <w:szCs w:val="22"/>
        </w:rPr>
        <w:t xml:space="preserve">in </w:t>
      </w:r>
      <w:r w:rsidR="00454E81">
        <w:rPr>
          <w:szCs w:val="22"/>
        </w:rPr>
        <w:t>the note by the Executive Secretary on t</w:t>
      </w:r>
      <w:r w:rsidR="00454E81" w:rsidRPr="00454E81">
        <w:rPr>
          <w:szCs w:val="22"/>
        </w:rPr>
        <w:t>aking the voluntary guidelines on safeguards in biodiversity financing mechanisms into account when selecting, designing and implementing biodiversity financing mechanisms and when developing instrument-specific safeguards</w:t>
      </w:r>
      <w:r w:rsidR="00DB6CFD">
        <w:rPr>
          <w:szCs w:val="22"/>
        </w:rPr>
        <w:t xml:space="preserve"> </w:t>
      </w:r>
      <w:r w:rsidR="00454E81">
        <w:rPr>
          <w:szCs w:val="22"/>
        </w:rPr>
        <w:t>(</w:t>
      </w:r>
      <w:r w:rsidR="00DB6CFD">
        <w:rPr>
          <w:szCs w:val="22"/>
        </w:rPr>
        <w:t>CBD/WG8J/10/6</w:t>
      </w:r>
      <w:r w:rsidR="00454E81">
        <w:rPr>
          <w:szCs w:val="22"/>
        </w:rPr>
        <w:t>).</w:t>
      </w:r>
    </w:p>
    <w:p w14:paraId="59273C4C" w14:textId="2CD91528" w:rsidR="00183698" w:rsidRPr="00C515D8" w:rsidRDefault="00AF7350" w:rsidP="00AF7350">
      <w:pPr>
        <w:rPr>
          <w:b/>
          <w:iCs/>
          <w:snapToGrid w:val="0"/>
          <w:kern w:val="22"/>
          <w:szCs w:val="22"/>
        </w:rPr>
        <w:sectPr w:rsidR="00183698" w:rsidRPr="00C515D8" w:rsidSect="00183698">
          <w:headerReference w:type="even" r:id="rId11"/>
          <w:headerReference w:type="default" r:id="rId12"/>
          <w:footerReference w:type="even" r:id="rId13"/>
          <w:footerReference w:type="default" r:id="rId14"/>
          <w:type w:val="continuous"/>
          <w:pgSz w:w="11906" w:h="16838" w:code="9"/>
          <w:pgMar w:top="1021" w:right="1349" w:bottom="1134" w:left="1440" w:header="454" w:footer="720" w:gutter="0"/>
          <w:cols w:space="720"/>
          <w:titlePg/>
          <w:docGrid w:linePitch="299"/>
        </w:sectPr>
      </w:pPr>
      <w:bookmarkStart w:id="4" w:name="_Hlk499299808"/>
      <w:bookmarkEnd w:id="1"/>
      <w:r>
        <w:rPr>
          <w:szCs w:val="22"/>
        </w:rPr>
        <w:t xml:space="preserve"> </w:t>
      </w:r>
    </w:p>
    <w:p w14:paraId="0E06A225" w14:textId="7DAC5883" w:rsidR="008101CE" w:rsidRPr="00C515D8" w:rsidRDefault="008101CE" w:rsidP="00454E81">
      <w:pPr>
        <w:pStyle w:val="Heading1"/>
        <w:rPr>
          <w:snapToGrid w:val="0"/>
        </w:rPr>
      </w:pPr>
      <w:r w:rsidRPr="00C515D8">
        <w:rPr>
          <w:snapToGrid w:val="0"/>
        </w:rPr>
        <w:lastRenderedPageBreak/>
        <w:t>Summary of safeguard-related provisions of CBD Principles, Guidelines and Other Tools</w:t>
      </w:r>
      <w:bookmarkEnd w:id="4"/>
    </w:p>
    <w:p w14:paraId="2F871639" w14:textId="77777777" w:rsidR="008101CE" w:rsidRPr="00C515D8" w:rsidRDefault="008101CE">
      <w:pPr>
        <w:rPr>
          <w:szCs w:val="22"/>
        </w:rPr>
      </w:pPr>
    </w:p>
    <w:tbl>
      <w:tblPr>
        <w:tblStyle w:val="TableNormal1"/>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472C4"/>
        <w:tblLook w:val="04A0" w:firstRow="1" w:lastRow="0" w:firstColumn="1" w:lastColumn="0" w:noHBand="0" w:noVBand="1"/>
      </w:tblPr>
      <w:tblGrid>
        <w:gridCol w:w="1270"/>
        <w:gridCol w:w="3544"/>
        <w:gridCol w:w="9780"/>
        <w:gridCol w:w="73"/>
      </w:tblGrid>
      <w:tr w:rsidR="008101CE" w:rsidRPr="00C515D8" w14:paraId="74EACA23" w14:textId="77777777" w:rsidTr="00D23B0B">
        <w:trPr>
          <w:tblHeader/>
        </w:trPr>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6C6C45B2"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b/>
                <w:bCs/>
                <w:lang w:val="en-GB"/>
              </w:rPr>
              <w:t>Decision</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10BAB853"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b/>
                <w:bCs/>
                <w:lang w:val="en-GB"/>
              </w:rPr>
              <w:t>Guidelines</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663E08F7" w14:textId="77777777" w:rsidR="008101CE" w:rsidRPr="00C515D8" w:rsidRDefault="008101CE" w:rsidP="00AF7350">
            <w:pPr>
              <w:pStyle w:val="Corps"/>
              <w:spacing w:before="40" w:after="40" w:line="240" w:lineRule="auto"/>
              <w:jc w:val="center"/>
              <w:rPr>
                <w:rFonts w:ascii="Times New Roman" w:hAnsi="Times New Roman" w:cs="Times New Roman"/>
                <w:lang w:val="en-GB"/>
              </w:rPr>
            </w:pPr>
            <w:r w:rsidRPr="00C515D8">
              <w:rPr>
                <w:rFonts w:ascii="Times New Roman" w:hAnsi="Times New Roman" w:cs="Times New Roman"/>
                <w:b/>
                <w:bCs/>
                <w:lang w:val="en-GB"/>
              </w:rPr>
              <w:t>Provisions Relevant to Safeguards</w:t>
            </w:r>
          </w:p>
        </w:tc>
      </w:tr>
      <w:tr w:rsidR="008101CE" w:rsidRPr="00C515D8" w14:paraId="45F1DB62" w14:textId="77777777" w:rsidTr="00D23B0B">
        <w:tblPrEx>
          <w:shd w:val="clear" w:color="auto" w:fill="CDD4E9"/>
        </w:tblPrEx>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6E599BD2"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VI/15</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7EBBB1E9"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Proposals for the Design and Implementation of Incentive Measures</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01A523C5"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Full and effective participation of all stakeholders, take into account different levels of decision making.</w:t>
            </w:r>
          </w:p>
          <w:p w14:paraId="3759F43D"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Equitable and inclusive benefit sharing, equity in sharing/assuming costs</w:t>
            </w:r>
          </w:p>
          <w:p w14:paraId="10FBA06E"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Besides considering the approach communities use to value biodiversity, incentive measures should support to the extent possible the social and economic development needs of indigenous and local communities.</w:t>
            </w:r>
          </w:p>
          <w:p w14:paraId="204659DB"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Promote policy integration with appropriate Institutional mechanisms (respect existing mechanisms in local communities) for the implementation of incentive measures. </w:t>
            </w:r>
          </w:p>
        </w:tc>
      </w:tr>
      <w:tr w:rsidR="008101CE" w:rsidRPr="00C515D8" w14:paraId="791C780E" w14:textId="77777777" w:rsidTr="00D23B0B">
        <w:tblPrEx>
          <w:shd w:val="clear" w:color="auto" w:fill="CDD4E9"/>
        </w:tblPrEx>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6A7A1A9C"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VI/23</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695BD4F8"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Guiding Principles for the Prevention, Introduction and Mitigation of Impacts of Alien Species that Threaten Ecosystems, Habitats or Species</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0306296E"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Involvement of all stakeholder groups</w:t>
            </w:r>
          </w:p>
          <w:p w14:paraId="1E7013B1"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Consider socio-economic implications of invasive species for indigenous peoples and local communities</w:t>
            </w:r>
          </w:p>
          <w:p w14:paraId="4CB01FA8"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Respect to the lifestyles of indigenous and local communities when considering mitigation measures.</w:t>
            </w:r>
          </w:p>
          <w:p w14:paraId="1BBB3CE9"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Use of traditional knowledge in the development and implementation of measures to address invasive alien species, in accordance with Article 8(j) of the Convention</w:t>
            </w:r>
          </w:p>
        </w:tc>
      </w:tr>
      <w:tr w:rsidR="008101CE" w:rsidRPr="00C515D8" w14:paraId="7901D314" w14:textId="77777777" w:rsidTr="00D23B0B">
        <w:tblPrEx>
          <w:shd w:val="clear" w:color="auto" w:fill="CDD4E9"/>
        </w:tblPrEx>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5436A0E1"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VI/24</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4EC6B1E0"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 xml:space="preserve">Bonn Guidelines on Access to Genetic Resources and Fair and Equitable sharing of the Benefits Arising out of Their Utilization </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37A2CBEC"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Promote the adequate and effective transfer of appropriate technology to all stakeholders in providing Parties, in particular indigenous and local communities</w:t>
            </w:r>
          </w:p>
          <w:p w14:paraId="7B75E5A3"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Recognition of the protection of customary and traditional practices in benefit-sharing regimes and mechanisms </w:t>
            </w:r>
          </w:p>
          <w:p w14:paraId="74F7944D"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Effective participation and Information </w:t>
            </w:r>
          </w:p>
          <w:p w14:paraId="59013200"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Disclosure information on traditional knowledge and practices/innovations for intellectual property rights purposes</w:t>
            </w:r>
          </w:p>
          <w:p w14:paraId="1DE816B9"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Appropriate consultative arrangements</w:t>
            </w:r>
          </w:p>
          <w:p w14:paraId="6BBC802F"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IPLCs should give their consent, subject to domestic law</w:t>
            </w:r>
          </w:p>
          <w:p w14:paraId="398E8821"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Effective participation can facilitate to monitor compliance</w:t>
            </w:r>
          </w:p>
          <w:p w14:paraId="2C0939F9"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Strengthening capacities for technology transfer to conserve and sustainably use their genetic resources</w:t>
            </w:r>
          </w:p>
        </w:tc>
      </w:tr>
      <w:tr w:rsidR="008101CE" w:rsidRPr="00C515D8" w14:paraId="53FDF837" w14:textId="77777777" w:rsidTr="00D23B0B">
        <w:tblPrEx>
          <w:shd w:val="clear" w:color="auto" w:fill="CDD4E9"/>
        </w:tblPrEx>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560BAD5C"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VII/11</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19068F72"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The Ecosystem Approach</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2BB9C6E8"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Adaptive management is needed, with broad stakeholder participation in planning, and defining policy and management.</w:t>
            </w:r>
          </w:p>
          <w:p w14:paraId="1110787E"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Full and effective participation, transparency, compensation for power inequities and accountability adapted to each community of interest.</w:t>
            </w:r>
          </w:p>
          <w:p w14:paraId="3FEB34D1"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lastRenderedPageBreak/>
              <w:t xml:space="preserve">Ensure equitable share of cost and benefits. Address inter-generational equity, while taking into account immediate and critical needs (e.g., hunger, poverty, shelter). </w:t>
            </w:r>
          </w:p>
          <w:p w14:paraId="3D5614DC" w14:textId="726D6E78"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Follow societal mechanisms already existing. Appropriate institutional a</w:t>
            </w:r>
            <w:r w:rsidR="00C515D8">
              <w:rPr>
                <w:sz w:val="22"/>
                <w:szCs w:val="22"/>
                <w:lang w:val="en-GB"/>
              </w:rPr>
              <w:t>rrangements are essential for</w:t>
            </w:r>
            <w:r w:rsidRPr="00C515D8">
              <w:rPr>
                <w:sz w:val="22"/>
                <w:szCs w:val="22"/>
                <w:lang w:val="en-GB"/>
              </w:rPr>
              <w:t xml:space="preserve"> </w:t>
            </w:r>
            <w:r w:rsidR="00C515D8">
              <w:rPr>
                <w:sz w:val="22"/>
                <w:szCs w:val="22"/>
                <w:lang w:val="en-GB"/>
              </w:rPr>
              <w:t>complementarity</w:t>
            </w:r>
            <w:r w:rsidRPr="00C515D8">
              <w:rPr>
                <w:sz w:val="22"/>
                <w:szCs w:val="22"/>
                <w:lang w:val="en-GB"/>
              </w:rPr>
              <w:t xml:space="preserve"> and </w:t>
            </w:r>
            <w:r w:rsidR="00C515D8">
              <w:rPr>
                <w:sz w:val="22"/>
                <w:szCs w:val="22"/>
                <w:lang w:val="en-GB"/>
              </w:rPr>
              <w:t xml:space="preserve">to </w:t>
            </w:r>
            <w:r w:rsidRPr="00C515D8">
              <w:rPr>
                <w:sz w:val="22"/>
                <w:szCs w:val="22"/>
                <w:lang w:val="en-GB"/>
              </w:rPr>
              <w:t xml:space="preserve">allow </w:t>
            </w:r>
            <w:r w:rsidR="00C515D8">
              <w:rPr>
                <w:sz w:val="22"/>
                <w:szCs w:val="22"/>
                <w:lang w:val="en-GB"/>
              </w:rPr>
              <w:t xml:space="preserve">for </w:t>
            </w:r>
            <w:r w:rsidRPr="00C515D8">
              <w:rPr>
                <w:sz w:val="22"/>
                <w:szCs w:val="22"/>
                <w:lang w:val="en-GB"/>
              </w:rPr>
              <w:t xml:space="preserve">long-term implementation. </w:t>
            </w:r>
          </w:p>
          <w:p w14:paraId="2A6B1B15"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The knowledge base for any management decision should include particularly traditional and local knowledge and practices. Indigenous and local knowledge should be treated with full respect of Article 8(j) and further decisions of the CBD.</w:t>
            </w:r>
          </w:p>
          <w:p w14:paraId="69FAC254"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As far as challenges for the implementation are concerned, the ecosystem approach need to deal with complex issues such as law enforcement, land tenure rights, and the rights of indigenous and local communities. In this regard, implementation requires political will, including that of institutions and communities. </w:t>
            </w:r>
          </w:p>
        </w:tc>
      </w:tr>
      <w:tr w:rsidR="008101CE" w:rsidRPr="00C515D8" w14:paraId="183D0041" w14:textId="77777777" w:rsidTr="00D23B0B">
        <w:tblPrEx>
          <w:shd w:val="clear" w:color="auto" w:fill="CDD4E9"/>
        </w:tblPrEx>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51283ECE"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lastRenderedPageBreak/>
              <w:t>VII/12</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0FFE4319"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Addis Ababa Principles and Guidelines for the Sustainable Use of Biodiversity</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2860DCE4" w14:textId="3F82A2A4"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There is need for congruence in policies and laws at all levels of governance.</w:t>
            </w:r>
            <w:r w:rsidR="00720630" w:rsidRPr="00C515D8">
              <w:rPr>
                <w:sz w:val="22"/>
                <w:szCs w:val="22"/>
                <w:lang w:val="en-GB"/>
              </w:rPr>
              <w:t xml:space="preserve"> </w:t>
            </w:r>
            <w:r w:rsidRPr="00C515D8">
              <w:rPr>
                <w:sz w:val="22"/>
                <w:szCs w:val="22"/>
                <w:lang w:val="en-GB"/>
              </w:rPr>
              <w:t xml:space="preserve">Consider local customs and traditions when drafting new legislation and regulations. </w:t>
            </w:r>
          </w:p>
          <w:p w14:paraId="2706E342"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Enable delegating rights, responsibility, and accountability to those who use and/or manage biological resources. Users should participate in making decisions and have the authority to execute them. </w:t>
            </w:r>
          </w:p>
          <w:p w14:paraId="4E4918F1" w14:textId="336D814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Develop cooperation between researchers and indigenous and local communities, as research partners, and use their expertise and guidance.</w:t>
            </w:r>
            <w:r w:rsidR="00720630" w:rsidRPr="00C515D8">
              <w:rPr>
                <w:sz w:val="22"/>
                <w:szCs w:val="22"/>
                <w:lang w:val="en-GB"/>
              </w:rPr>
              <w:t xml:space="preserve"> </w:t>
            </w:r>
            <w:r w:rsidRPr="00C515D8">
              <w:rPr>
                <w:sz w:val="22"/>
                <w:szCs w:val="22"/>
                <w:lang w:val="en-GB"/>
              </w:rPr>
              <w:t>When using traditional knowledge ensure that approval of the holder has been obtained.</w:t>
            </w:r>
          </w:p>
          <w:p w14:paraId="654EB7B4"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Adaptive management should be in place and incorporate systems to generate sustainable revenue, respecting the rights of indigenous and local communities and ensuring an equitable sharing of benefits. If resource use/harvest needs to be reduced, mitigation measures are to be applied for affected stakeholders.</w:t>
            </w:r>
          </w:p>
          <w:p w14:paraId="17EA72A6"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Refer to Article 8(j) with regard to indigenous and local community issues (decision V/16), in particular element 3, tasks 6, 13 and 14.</w:t>
            </w:r>
          </w:p>
        </w:tc>
      </w:tr>
      <w:tr w:rsidR="008101CE" w:rsidRPr="00C515D8" w14:paraId="506DE4C0" w14:textId="77777777" w:rsidTr="00D23B0B">
        <w:tblPrEx>
          <w:shd w:val="clear" w:color="auto" w:fill="CDD4E9"/>
        </w:tblPrEx>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773F8F0F" w14:textId="3362A7A3"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VII/14</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5C601D4C"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Guidelines on Biodiversity and Tourism Development</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6E50C758" w14:textId="77777777" w:rsidR="008101CE" w:rsidRPr="00C515D8" w:rsidRDefault="008101CE" w:rsidP="00AF735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210" w:hanging="142"/>
              <w:contextualSpacing w:val="0"/>
              <w:rPr>
                <w:sz w:val="22"/>
                <w:szCs w:val="22"/>
                <w:lang w:val="en-GB"/>
              </w:rPr>
            </w:pPr>
            <w:r w:rsidRPr="00C515D8">
              <w:rPr>
                <w:sz w:val="22"/>
                <w:szCs w:val="22"/>
                <w:lang w:val="en-GB"/>
              </w:rPr>
              <w:t>Ensure transparency, consultation, participation and accountability from the beginning. Prior Informed Consent is to be obtained if legislation demands it.</w:t>
            </w:r>
          </w:p>
          <w:p w14:paraId="2BFC79E6" w14:textId="77777777" w:rsidR="008101CE" w:rsidRPr="00C515D8" w:rsidRDefault="008101CE" w:rsidP="00AF735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210" w:hanging="142"/>
              <w:contextualSpacing w:val="0"/>
              <w:rPr>
                <w:sz w:val="22"/>
                <w:szCs w:val="22"/>
                <w:lang w:val="en-GB"/>
              </w:rPr>
            </w:pPr>
            <w:r w:rsidRPr="00C515D8">
              <w:rPr>
                <w:sz w:val="22"/>
                <w:szCs w:val="22"/>
                <w:lang w:val="en-GB"/>
              </w:rPr>
              <w:t xml:space="preserve">Monitor and surveillance of social and environmental impacts. Develop indicators for early warning, particularly regarding livelihoods and food and health security of local and indigenous populations. </w:t>
            </w:r>
          </w:p>
          <w:p w14:paraId="0FDD3B02" w14:textId="77777777" w:rsidR="008101CE" w:rsidRPr="00C515D8" w:rsidRDefault="008101CE" w:rsidP="00AF735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210" w:hanging="142"/>
              <w:contextualSpacing w:val="0"/>
              <w:rPr>
                <w:sz w:val="22"/>
                <w:szCs w:val="22"/>
                <w:lang w:val="en-GB"/>
              </w:rPr>
            </w:pPr>
            <w:r w:rsidRPr="00C515D8">
              <w:rPr>
                <w:sz w:val="22"/>
                <w:szCs w:val="22"/>
                <w:lang w:val="en-GB"/>
              </w:rPr>
              <w:t>Apply adaptive management following the ecosystem approach and taking precautionary principles into account, and considering amendments to the legal framework when necessary.</w:t>
            </w:r>
          </w:p>
          <w:p w14:paraId="352D7606" w14:textId="643F8F61" w:rsidR="008101CE" w:rsidRPr="00C515D8" w:rsidRDefault="008101CE" w:rsidP="00AF735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210" w:hanging="142"/>
              <w:contextualSpacing w:val="0"/>
              <w:rPr>
                <w:sz w:val="22"/>
                <w:szCs w:val="22"/>
                <w:lang w:val="en-GB"/>
              </w:rPr>
            </w:pPr>
            <w:r w:rsidRPr="00C515D8">
              <w:rPr>
                <w:sz w:val="22"/>
                <w:szCs w:val="22"/>
                <w:lang w:val="en-GB"/>
              </w:rPr>
              <w:lastRenderedPageBreak/>
              <w:t>Recognize the diversity of social and cultural factors affecting natural-resource use and sustainability. Awareness campaigns explaining the link between cultural diversity and biological diversity will need to be tailored for various audiences.</w:t>
            </w:r>
            <w:r w:rsidR="00720630" w:rsidRPr="00C515D8">
              <w:rPr>
                <w:sz w:val="22"/>
                <w:szCs w:val="22"/>
                <w:lang w:val="en-GB"/>
              </w:rPr>
              <w:t xml:space="preserve"> </w:t>
            </w:r>
          </w:p>
          <w:p w14:paraId="2C1583CC" w14:textId="61EB7722" w:rsidR="008101CE" w:rsidRPr="00C515D8" w:rsidRDefault="00454E81" w:rsidP="00AF735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before="40" w:after="40"/>
              <w:ind w:left="210" w:hanging="142"/>
              <w:contextualSpacing w:val="0"/>
              <w:rPr>
                <w:sz w:val="22"/>
                <w:szCs w:val="22"/>
                <w:lang w:val="en-GB"/>
              </w:rPr>
            </w:pPr>
            <w:r>
              <w:rPr>
                <w:sz w:val="22"/>
                <w:szCs w:val="22"/>
                <w:lang w:val="en-GB"/>
              </w:rPr>
              <w:t>Capacity-</w:t>
            </w:r>
            <w:r w:rsidR="008101CE" w:rsidRPr="00C515D8">
              <w:rPr>
                <w:sz w:val="22"/>
                <w:szCs w:val="22"/>
                <w:lang w:val="en-GB"/>
              </w:rPr>
              <w:t xml:space="preserve">building to strengthen and develop the capacities of local and indigenous communities so they are equipped with the necessary decision-making abilities, skills, knowledge and relevant training, prior to tourist in-flows. </w:t>
            </w:r>
          </w:p>
        </w:tc>
      </w:tr>
      <w:tr w:rsidR="008101CE" w:rsidRPr="00C515D8" w14:paraId="6EF4E6B9" w14:textId="77777777" w:rsidTr="00D23B0B">
        <w:tblPrEx>
          <w:shd w:val="clear" w:color="auto" w:fill="CDD4E9"/>
        </w:tblPrEx>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22ED8A12"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lastRenderedPageBreak/>
              <w:t>VII/16</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0DD692BC"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Akwé: Kon Voluntary Guidelines for the Conduct of Cultural, Environmental and Social Impact Assessment regarding Developments Proposed to Take Place on, or which are Likely to Impact on, Sacred Sites and on Lands and Waters Traditionally Occupied or Used by Indigenous and Local Communities</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7BC7E0A1"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Enable transparency, consultation, full participation and accountability in all the phases and stages of the conduct of cultural, environmental and social impact assessments of projects to take place or have an impact in sacred sites or lands occupied by ILCs.</w:t>
            </w:r>
          </w:p>
          <w:p w14:paraId="3E017261"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Guidelines should be adapted to every context</w:t>
            </w:r>
          </w:p>
          <w:p w14:paraId="588DD0AC"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Nothing in the guidelines should adversely affect biodiversity and the livelihoods of other communities, and they should be implemented in a manner that is consistent with international law and with other international obligations.</w:t>
            </w:r>
          </w:p>
          <w:p w14:paraId="538B43BB" w14:textId="41CA5C8D"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The Guidelines allow </w:t>
            </w:r>
            <w:r w:rsidR="00C515D8">
              <w:rPr>
                <w:sz w:val="22"/>
                <w:szCs w:val="22"/>
                <w:lang w:val="en-GB"/>
              </w:rPr>
              <w:t>for the consideration of</w:t>
            </w:r>
            <w:r w:rsidRPr="00C515D8">
              <w:rPr>
                <w:sz w:val="22"/>
                <w:szCs w:val="22"/>
                <w:lang w:val="en-GB"/>
              </w:rPr>
              <w:t xml:space="preserve"> the integration of cultural, environmental and social impact assessments as a single process. This includes a variety of societal mechanisms and characteristics that should be integrated in baseline studies and respected.</w:t>
            </w:r>
          </w:p>
          <w:p w14:paraId="20B23055"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Should be used in conjunction with the voluntary guidelines on biodiversity-inclusive environmental impact assessment </w:t>
            </w:r>
          </w:p>
        </w:tc>
      </w:tr>
      <w:tr w:rsidR="008101CE" w:rsidRPr="00C515D8" w14:paraId="69E8B2C6" w14:textId="77777777" w:rsidTr="00D23B0B">
        <w:tblPrEx>
          <w:shd w:val="clear" w:color="auto" w:fill="CDD4E9"/>
        </w:tblPrEx>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444429BD"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VIII/28</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06020C1C"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Voluntary Guidelines on Biodiversity-Inclusive Impact Assessment</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1797367C"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Guidelines should reflect the ecological, socio-economic, cultural and institutional conditions for which the EIA system is designed. (biodiversity is influenced by cultural, social, economic and biophysical factors)</w:t>
            </w:r>
          </w:p>
          <w:p w14:paraId="1F120240"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Take into account social/economic value of biodiversity</w:t>
            </w:r>
          </w:p>
          <w:p w14:paraId="10ED0481"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Full and effective participation, easily accessible information in adapted formats and languages, local ownership and transparency in decision making for a successful EIA.</w:t>
            </w:r>
          </w:p>
          <w:p w14:paraId="6FD285A1"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Ensure inclusion of future generations among the stakeholders.</w:t>
            </w:r>
          </w:p>
          <w:p w14:paraId="7A5D573D"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Apply the precautionary approach</w:t>
            </w:r>
          </w:p>
        </w:tc>
      </w:tr>
      <w:tr w:rsidR="008101CE" w:rsidRPr="00C515D8" w14:paraId="064BDD0E" w14:textId="77777777" w:rsidTr="00D23B0B">
        <w:tblPrEx>
          <w:shd w:val="clear" w:color="auto" w:fill="CDD4E9"/>
        </w:tblPrEx>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1F1F3A43"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X/42</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0C0AD823" w14:textId="321EB201"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The Tkarihwaié:ri Code of Ethical Conduct to Ensure Respect for the Cultural and Intellectual Heritage of I</w:t>
            </w:r>
            <w:r w:rsidR="00C515D8">
              <w:rPr>
                <w:rFonts w:ascii="Times New Roman" w:hAnsi="Times New Roman" w:cs="Times New Roman"/>
                <w:lang w:val="en-GB"/>
              </w:rPr>
              <w:t>ndigenous and Local Communities</w:t>
            </w:r>
          </w:p>
        </w:tc>
        <w:tc>
          <w:tcPr>
            <w:tcW w:w="3359" w:type="pct"/>
            <w:gridSpan w:val="2"/>
            <w:tcBorders>
              <w:top w:val="single" w:sz="4" w:space="0" w:color="000000"/>
              <w:left w:val="single" w:sz="4" w:space="0" w:color="000000"/>
              <w:bottom w:val="single" w:sz="4" w:space="0" w:color="000000"/>
              <w:right w:val="single" w:sz="4" w:space="0" w:color="000000"/>
            </w:tcBorders>
            <w:shd w:val="clear" w:color="auto" w:fill="auto"/>
          </w:tcPr>
          <w:p w14:paraId="1712683F"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IPLCs should appoint relevant holders of knowledge and negotiations regarding traditional knowledge should take place prior the start of activities.</w:t>
            </w:r>
          </w:p>
          <w:p w14:paraId="3835EED6" w14:textId="2D9F2695"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Traditional knowledge sh</w:t>
            </w:r>
            <w:r w:rsidR="00C515D8">
              <w:rPr>
                <w:sz w:val="22"/>
                <w:szCs w:val="22"/>
                <w:lang w:val="en-GB"/>
              </w:rPr>
              <w:t>ould be respected as legitimate</w:t>
            </w:r>
            <w:r w:rsidRPr="00C515D8">
              <w:rPr>
                <w:sz w:val="22"/>
                <w:szCs w:val="22"/>
                <w:lang w:val="en-GB"/>
              </w:rPr>
              <w:t xml:space="preserve"> and specific considerations should be provided for it in any activities/interactions.</w:t>
            </w:r>
            <w:r w:rsidR="00720630" w:rsidRPr="00C515D8">
              <w:rPr>
                <w:sz w:val="22"/>
                <w:szCs w:val="22"/>
                <w:lang w:val="en-GB"/>
              </w:rPr>
              <w:t xml:space="preserve"> </w:t>
            </w:r>
          </w:p>
          <w:p w14:paraId="08185931"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Free Prior informed consent (FPIC) should be obtained.</w:t>
            </w:r>
          </w:p>
          <w:p w14:paraId="29227149"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lastRenderedPageBreak/>
              <w:t xml:space="preserve">Ensure mechanisms for fair and equitable benefit sharing. </w:t>
            </w:r>
          </w:p>
          <w:p w14:paraId="2960D81C"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Protect and enhance the relationship between IPLCs and their environment.</w:t>
            </w:r>
          </w:p>
          <w:p w14:paraId="034F74CE"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Full involvement of IPLCs on assessing potential harms to biodiversity (reaffirms the Precautionary approach contained in preamble of CBD)</w:t>
            </w:r>
          </w:p>
          <w:p w14:paraId="1A40B304"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Traditional land tenure should be recognized, in accordance with national domestic law and international obligations, to ensure access to traditional lands, waters and sacred sites. Restitution and compensation measures should be envisaged.</w:t>
            </w:r>
          </w:p>
          <w:p w14:paraId="3F20726D"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Indigenous and local communities should be actively involved in the management of lands and waters traditionally occupied or used by them, including sacred sites and protected areas.</w:t>
            </w:r>
          </w:p>
          <w:p w14:paraId="5AD2A580"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Social dynamics and structure of indigenous and local communities should be respected, including the right to pass on their knowledge in accordance with their traditions and customs.</w:t>
            </w:r>
          </w:p>
          <w:p w14:paraId="5E23FA89"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Conflict should be avoided and appropriate conflict resolution mechanisms should be put in place</w:t>
            </w:r>
          </w:p>
          <w:p w14:paraId="254F4E36"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Methodologies should integrate the vital role that indigenous and local community women play in the conservation and sustainable use of biological diversity.</w:t>
            </w:r>
          </w:p>
          <w:p w14:paraId="6E782B6E"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Full and effective participation, respecting local decision-making processes and time frames for such decision-making.</w:t>
            </w:r>
          </w:p>
          <w:p w14:paraId="1327158C"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Confidentiality, information imparted by the indigenous and local communities should not be used or disclosed for purposes other than those for which it was consented to, neither shared with third parties without consent.</w:t>
            </w:r>
          </w:p>
          <w:p w14:paraId="5D7255A1" w14:textId="77777777" w:rsidR="008101CE" w:rsidRPr="00C515D8" w:rsidRDefault="008101CE" w:rsidP="00AF7350">
            <w:pPr>
              <w:pStyle w:val="ListParagraph"/>
              <w:widowControl w:val="0"/>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40" w:after="40"/>
              <w:ind w:left="210" w:hanging="142"/>
              <w:contextualSpacing w:val="0"/>
              <w:rPr>
                <w:sz w:val="22"/>
                <w:szCs w:val="22"/>
                <w:lang w:val="en-GB"/>
              </w:rPr>
            </w:pPr>
            <w:r w:rsidRPr="00C515D8">
              <w:rPr>
                <w:sz w:val="22"/>
                <w:szCs w:val="22"/>
                <w:lang w:val="en-GB"/>
              </w:rPr>
              <w:t>Information obtained from activities/interactions with indigenous and local communities should be shared with them in understandable and culturally appropriate formats.</w:t>
            </w:r>
          </w:p>
        </w:tc>
      </w:tr>
      <w:tr w:rsidR="008101CE" w:rsidRPr="00C515D8" w14:paraId="07FC10FA" w14:textId="77777777" w:rsidTr="00D23B0B">
        <w:tblPrEx>
          <w:shd w:val="clear" w:color="auto" w:fill="CDD4E9"/>
        </w:tblPrEx>
        <w:trPr>
          <w:gridAfter w:val="1"/>
          <w:wAfter w:w="25" w:type="pct"/>
        </w:trPr>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276C1437" w14:textId="42E482CC"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lastRenderedPageBreak/>
              <w:t>XII/12</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7850494F"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Plan of Action on Customary Sustainable Use of Biological Diversity</w:t>
            </w:r>
          </w:p>
        </w:tc>
        <w:tc>
          <w:tcPr>
            <w:tcW w:w="3334" w:type="pct"/>
            <w:tcBorders>
              <w:top w:val="single" w:sz="4" w:space="0" w:color="000000"/>
              <w:left w:val="single" w:sz="4" w:space="0" w:color="000000"/>
              <w:bottom w:val="single" w:sz="4" w:space="0" w:color="000000"/>
              <w:right w:val="single" w:sz="4" w:space="0" w:color="000000"/>
            </w:tcBorders>
            <w:shd w:val="clear" w:color="auto" w:fill="auto"/>
          </w:tcPr>
          <w:p w14:paraId="3B1958E8"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Incorporate customary sustainable use practices or policies into national biodiversity strategies and action plans. </w:t>
            </w:r>
          </w:p>
          <w:p w14:paraId="567483D6"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Collaborate with indigenous and local communities to promote and strengthen community based initiatives to achieve enhanced implementation of Article 10(c).</w:t>
            </w:r>
          </w:p>
          <w:p w14:paraId="4EF2947D" w14:textId="43B50646"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FPIC from indigenous and local communities to approve, or to get involved in the establishment, expansion, governance and management of Protected </w:t>
            </w:r>
            <w:r w:rsidR="00C515D8" w:rsidRPr="00C515D8">
              <w:rPr>
                <w:sz w:val="22"/>
                <w:szCs w:val="22"/>
                <w:lang w:val="en-GB"/>
              </w:rPr>
              <w:t>Areas (</w:t>
            </w:r>
            <w:r w:rsidRPr="00C515D8">
              <w:rPr>
                <w:sz w:val="22"/>
                <w:szCs w:val="22"/>
                <w:lang w:val="en-GB"/>
              </w:rPr>
              <w:t>PAs).</w:t>
            </w:r>
          </w:p>
          <w:p w14:paraId="4B3760E4"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Application of traditional knowledge and customary sustainable use of biodiversity in PAs and promotion of the use of community protocols and/or other community procedures. </w:t>
            </w:r>
          </w:p>
          <w:p w14:paraId="268CF0BC" w14:textId="0B23CA98"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lastRenderedPageBreak/>
              <w:t xml:space="preserve">Full participation, in particular of women, is </w:t>
            </w:r>
            <w:r w:rsidR="00C515D8">
              <w:rPr>
                <w:sz w:val="22"/>
                <w:szCs w:val="22"/>
                <w:lang w:val="en-GB"/>
              </w:rPr>
              <w:t>essential</w:t>
            </w:r>
            <w:r w:rsidRPr="00C515D8">
              <w:rPr>
                <w:sz w:val="22"/>
                <w:szCs w:val="22"/>
                <w:lang w:val="en-GB"/>
              </w:rPr>
              <w:t xml:space="preserve"> for the successful development and implementation of policies and programmes for customary sustainable use of biological diversity.</w:t>
            </w:r>
          </w:p>
        </w:tc>
      </w:tr>
      <w:tr w:rsidR="008101CE" w:rsidRPr="00C515D8" w14:paraId="6EB7C541" w14:textId="77777777" w:rsidTr="00D23B0B">
        <w:tblPrEx>
          <w:shd w:val="clear" w:color="auto" w:fill="CDD4E9"/>
        </w:tblPrEx>
        <w:trPr>
          <w:gridAfter w:val="1"/>
          <w:wAfter w:w="25" w:type="pct"/>
        </w:trPr>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6C23EE88"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lastRenderedPageBreak/>
              <w:t>XII/5</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3982BB96"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Biodiversity for poverty eradication and sustainable development</w:t>
            </w:r>
          </w:p>
        </w:tc>
        <w:tc>
          <w:tcPr>
            <w:tcW w:w="3334" w:type="pct"/>
            <w:tcBorders>
              <w:top w:val="single" w:sz="4" w:space="0" w:color="000000"/>
              <w:left w:val="single" w:sz="4" w:space="0" w:color="000000"/>
              <w:bottom w:val="single" w:sz="4" w:space="0" w:color="000000"/>
              <w:right w:val="single" w:sz="4" w:space="0" w:color="000000"/>
            </w:tcBorders>
            <w:shd w:val="clear" w:color="auto" w:fill="auto"/>
          </w:tcPr>
          <w:p w14:paraId="67633DC9"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 xml:space="preserve">Promote wide stakeholder consultations during the development of sectoral integration plans (with special attention to women, the poor, marginalized and vulnerable people), including FPIC, </w:t>
            </w:r>
            <w:r w:rsidRPr="00C515D8">
              <w:rPr>
                <w:color w:val="000000" w:themeColor="text1"/>
                <w:sz w:val="22"/>
                <w:szCs w:val="22"/>
                <w:lang w:val="en-GB"/>
              </w:rPr>
              <w:t>in order to identify potential impacts, develop appropriate measures to minimize/mitigate them, implement the plans, and monitor and evaluate them.</w:t>
            </w:r>
          </w:p>
          <w:p w14:paraId="65462F1E"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Ensure capacity-building programmes that include both scientific and traditional knowledge, community-based management, and the use of the ecosystem approach.</w:t>
            </w:r>
          </w:p>
          <w:p w14:paraId="508A8FB4"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rPr>
            </w:pPr>
            <w:r w:rsidRPr="00C515D8">
              <w:rPr>
                <w:sz w:val="22"/>
                <w:szCs w:val="22"/>
                <w:lang w:val="en-GB"/>
              </w:rPr>
              <w:t>Give special attention to gender and social equity, access to genetic resources and fair and equitable sharing of benefits arising from the utilization of genetic resources.</w:t>
            </w:r>
          </w:p>
        </w:tc>
      </w:tr>
      <w:tr w:rsidR="008101CE" w:rsidRPr="00C515D8" w14:paraId="2ED512A2" w14:textId="77777777" w:rsidTr="00D23B0B">
        <w:tblPrEx>
          <w:shd w:val="clear" w:color="auto" w:fill="CDD4E9"/>
        </w:tblPrEx>
        <w:trPr>
          <w:gridAfter w:val="1"/>
          <w:wAfter w:w="25" w:type="pct"/>
        </w:trPr>
        <w:tc>
          <w:tcPr>
            <w:tcW w:w="433" w:type="pct"/>
            <w:tcBorders>
              <w:top w:val="single" w:sz="4" w:space="0" w:color="000000"/>
              <w:left w:val="single" w:sz="4" w:space="0" w:color="000000"/>
              <w:bottom w:val="single" w:sz="4" w:space="0" w:color="000000"/>
              <w:right w:val="single" w:sz="4" w:space="0" w:color="000000"/>
            </w:tcBorders>
            <w:shd w:val="clear" w:color="auto" w:fill="auto"/>
          </w:tcPr>
          <w:p w14:paraId="1B1738CA" w14:textId="77777777"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XIII/18</w:t>
            </w:r>
          </w:p>
        </w:tc>
        <w:tc>
          <w:tcPr>
            <w:tcW w:w="1208" w:type="pct"/>
            <w:tcBorders>
              <w:top w:val="single" w:sz="4" w:space="0" w:color="000000"/>
              <w:left w:val="single" w:sz="4" w:space="0" w:color="000000"/>
              <w:bottom w:val="single" w:sz="4" w:space="0" w:color="000000"/>
              <w:right w:val="single" w:sz="4" w:space="0" w:color="000000"/>
            </w:tcBorders>
            <w:shd w:val="clear" w:color="auto" w:fill="auto"/>
          </w:tcPr>
          <w:p w14:paraId="64EA5FB1" w14:textId="1E3167D1" w:rsidR="008101CE" w:rsidRPr="00C515D8" w:rsidRDefault="008101CE" w:rsidP="00AF7350">
            <w:pPr>
              <w:pStyle w:val="Corps"/>
              <w:spacing w:before="40" w:after="40" w:line="240" w:lineRule="auto"/>
              <w:rPr>
                <w:rFonts w:ascii="Times New Roman" w:hAnsi="Times New Roman" w:cs="Times New Roman"/>
                <w:lang w:val="en-GB"/>
              </w:rPr>
            </w:pPr>
            <w:r w:rsidRPr="00C515D8">
              <w:rPr>
                <w:rFonts w:ascii="Times New Roman" w:hAnsi="Times New Roman" w:cs="Times New Roman"/>
                <w:lang w:val="en-GB"/>
              </w:rPr>
              <w:t>The Mo’otz kuxtal</w:t>
            </w:r>
            <w:r w:rsidR="00720630" w:rsidRPr="00C515D8">
              <w:rPr>
                <w:rFonts w:ascii="Times New Roman" w:hAnsi="Times New Roman" w:cs="Times New Roman"/>
                <w:lang w:val="en-GB"/>
              </w:rPr>
              <w:t xml:space="preserve"> </w:t>
            </w:r>
            <w:r w:rsidRPr="00C515D8">
              <w:rPr>
                <w:rFonts w:ascii="Times New Roman" w:hAnsi="Times New Roman" w:cs="Times New Roman"/>
                <w:lang w:val="en-GB"/>
              </w:rPr>
              <w:t>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w:t>
            </w:r>
            <w:r w:rsidR="00720630" w:rsidRPr="00C515D8">
              <w:rPr>
                <w:rFonts w:ascii="Times New Roman" w:hAnsi="Times New Roman" w:cs="Times New Roman"/>
                <w:lang w:val="en-GB"/>
              </w:rPr>
              <w:t xml:space="preserve"> </w:t>
            </w:r>
            <w:r w:rsidRPr="00C515D8">
              <w:rPr>
                <w:rFonts w:ascii="Times New Roman" w:hAnsi="Times New Roman" w:cs="Times New Roman"/>
                <w:lang w:val="en-GB"/>
              </w:rPr>
              <w:t xml:space="preserve">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w:t>
            </w:r>
          </w:p>
        </w:tc>
        <w:tc>
          <w:tcPr>
            <w:tcW w:w="3334" w:type="pct"/>
            <w:tcBorders>
              <w:top w:val="single" w:sz="4" w:space="0" w:color="000000"/>
              <w:left w:val="single" w:sz="4" w:space="0" w:color="000000"/>
              <w:bottom w:val="single" w:sz="4" w:space="0" w:color="000000"/>
              <w:right w:val="single" w:sz="4" w:space="0" w:color="000000"/>
            </w:tcBorders>
            <w:shd w:val="clear" w:color="auto" w:fill="auto"/>
          </w:tcPr>
          <w:p w14:paraId="0E65FFFE" w14:textId="17E51A59" w:rsidR="008101CE" w:rsidRPr="00C515D8" w:rsidRDefault="00C515D8" w:rsidP="00AF7350">
            <w:pPr>
              <w:pStyle w:val="ListParagraph"/>
              <w:numPr>
                <w:ilvl w:val="0"/>
                <w:numId w:val="17"/>
              </w:numPr>
              <w:spacing w:before="40" w:after="40"/>
              <w:ind w:left="210" w:hanging="142"/>
              <w:contextualSpacing w:val="0"/>
              <w:rPr>
                <w:sz w:val="22"/>
                <w:szCs w:val="22"/>
                <w:lang w:val="en-GB" w:eastAsia="en-US"/>
              </w:rPr>
            </w:pPr>
            <w:r>
              <w:rPr>
                <w:sz w:val="22"/>
                <w:szCs w:val="22"/>
                <w:lang w:val="en-GB" w:eastAsia="en-US"/>
              </w:rPr>
              <w:t xml:space="preserve">Application of these </w:t>
            </w:r>
            <w:r w:rsidR="008101CE" w:rsidRPr="00C515D8">
              <w:rPr>
                <w:sz w:val="22"/>
                <w:szCs w:val="22"/>
                <w:lang w:val="en-GB" w:eastAsia="en-US"/>
              </w:rPr>
              <w:t>guidelines requires full and effective participation of indigenous peoples and local communities, taking into account national legislation and customary laws.</w:t>
            </w:r>
          </w:p>
          <w:p w14:paraId="7A1A5BF5"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eastAsia="en-US"/>
              </w:rPr>
            </w:pPr>
            <w:r w:rsidRPr="00C515D8">
              <w:rPr>
                <w:sz w:val="22"/>
                <w:szCs w:val="22"/>
                <w:lang w:val="en-GB" w:eastAsia="en-US"/>
              </w:rPr>
              <w:t>Unless otherwise mutually agreed, consent merely allows temporary use of such traditional knowledge for the purpose for which it was granted. A renegotiation should be envisaged if purpose is modified.</w:t>
            </w:r>
          </w:p>
          <w:p w14:paraId="6046B80B"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eastAsia="en-US"/>
              </w:rPr>
            </w:pPr>
            <w:r w:rsidRPr="00C515D8">
              <w:rPr>
                <w:sz w:val="22"/>
                <w:szCs w:val="22"/>
                <w:lang w:val="en-GB" w:eastAsia="en-US"/>
              </w:rPr>
              <w:t>Fair and equitable benefit</w:t>
            </w:r>
            <w:r w:rsidRPr="00C515D8">
              <w:rPr>
                <w:sz w:val="22"/>
                <w:szCs w:val="22"/>
                <w:lang w:val="en-GB"/>
              </w:rPr>
              <w:t xml:space="preserve"> sharing</w:t>
            </w:r>
            <w:r w:rsidRPr="00C515D8">
              <w:rPr>
                <w:sz w:val="22"/>
                <w:szCs w:val="22"/>
                <w:lang w:val="en-GB" w:eastAsia="en-US"/>
              </w:rPr>
              <w:t xml:space="preserve"> (monetary or non-monetary) based on mutually agreed terms. This should take into account all relevant groups, relevant community level procedures, and gender and age/intergenerational considerations, as appropriate.</w:t>
            </w:r>
          </w:p>
          <w:p w14:paraId="140F6985"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eastAsia="en-US"/>
              </w:rPr>
            </w:pPr>
            <w:r w:rsidRPr="00C515D8">
              <w:rPr>
                <w:sz w:val="22"/>
                <w:szCs w:val="22"/>
                <w:lang w:val="en-GB" w:eastAsia="en-US"/>
              </w:rPr>
              <w:t>Tools for preventing and reporting on unlawful appropriation and use of traditional knowledge should be established, if not, parties should take appropriate actions to ensure mutually agreed terms have been established and that knowledge has been accessed following those terms.</w:t>
            </w:r>
          </w:p>
          <w:p w14:paraId="2E4FDFE5"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eastAsia="en-US"/>
              </w:rPr>
            </w:pPr>
            <w:r w:rsidRPr="00C515D8">
              <w:rPr>
                <w:sz w:val="22"/>
                <w:szCs w:val="22"/>
                <w:lang w:val="en-GB" w:eastAsia="en-US"/>
              </w:rPr>
              <w:t>Mechanisms for grievance and redress to address non-compliance should be agreed as part of the terms.</w:t>
            </w:r>
          </w:p>
          <w:p w14:paraId="494D2018" w14:textId="77777777" w:rsidR="008101CE" w:rsidRPr="00C515D8" w:rsidRDefault="008101CE" w:rsidP="00AF7350">
            <w:pPr>
              <w:pStyle w:val="ListParagraph"/>
              <w:numPr>
                <w:ilvl w:val="0"/>
                <w:numId w:val="17"/>
              </w:numPr>
              <w:spacing w:before="40" w:after="40"/>
              <w:ind w:left="210" w:hanging="142"/>
              <w:contextualSpacing w:val="0"/>
              <w:rPr>
                <w:sz w:val="22"/>
                <w:szCs w:val="22"/>
                <w:lang w:val="en-GB" w:eastAsia="en-US"/>
              </w:rPr>
            </w:pPr>
            <w:r w:rsidRPr="00C515D8">
              <w:rPr>
                <w:sz w:val="22"/>
                <w:szCs w:val="22"/>
                <w:lang w:val="en-GB" w:eastAsia="en-US"/>
              </w:rPr>
              <w:t>The process should comply and adapt to national legislation and to all the local requirements in terms of indigenous and local authorities, community timeframes and language, customary laws, community protocols, practices and customary decision-making processes.</w:t>
            </w:r>
          </w:p>
        </w:tc>
      </w:tr>
    </w:tbl>
    <w:p w14:paraId="22963744" w14:textId="4EA0B221" w:rsidR="00A93D1A" w:rsidRDefault="00454E81" w:rsidP="00454E81">
      <w:pPr>
        <w:jc w:val="center"/>
        <w:rPr>
          <w:rFonts w:ascii="Calibri" w:eastAsia="Calibri" w:hAnsi="Calibri" w:cs="Calibri"/>
          <w:color w:val="000000"/>
          <w:szCs w:val="22"/>
          <w:u w:color="000000"/>
          <w:bdr w:val="nil"/>
          <w:lang w:val="en-US" w:eastAsia="fr-FR"/>
        </w:rPr>
      </w:pPr>
      <w:r>
        <w:rPr>
          <w:rFonts w:ascii="Calibri" w:eastAsia="Calibri" w:hAnsi="Calibri" w:cs="Calibri"/>
          <w:color w:val="000000"/>
          <w:szCs w:val="22"/>
          <w:u w:color="000000"/>
          <w:bdr w:val="nil"/>
          <w:lang w:val="en-US" w:eastAsia="fr-FR"/>
        </w:rPr>
        <w:t>__________</w:t>
      </w:r>
    </w:p>
    <w:sectPr w:rsidR="00A93D1A" w:rsidSect="00454E81">
      <w:pgSz w:w="16838" w:h="11906" w:orient="landscape" w:code="9"/>
      <w:pgMar w:top="1077" w:right="1021" w:bottom="1077" w:left="1140" w:header="459"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6816F" w14:textId="77777777" w:rsidR="003A5E58" w:rsidRDefault="003A5E58">
      <w:r>
        <w:separator/>
      </w:r>
    </w:p>
  </w:endnote>
  <w:endnote w:type="continuationSeparator" w:id="0">
    <w:p w14:paraId="08E034D6" w14:textId="77777777" w:rsidR="003A5E58" w:rsidRDefault="003A5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OrigGarmnd BT">
    <w:altName w:val="Constantia"/>
    <w:charset w:val="00"/>
    <w:family w:val="roman"/>
    <w:pitch w:val="variable"/>
    <w:sig w:usb0="00000087" w:usb1="00000000" w:usb2="00000000" w:usb3="00000000" w:csb0="0000001B"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05A0C" w14:textId="77777777" w:rsidR="00C800FA" w:rsidRDefault="00C800FA" w:rsidP="000F7A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35F8C" w14:textId="77777777" w:rsidR="00C800FA" w:rsidRDefault="00C800FA" w:rsidP="000F7A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CDA01" w14:textId="77777777" w:rsidR="003A5E58" w:rsidRDefault="003A5E58">
      <w:r>
        <w:separator/>
      </w:r>
    </w:p>
  </w:footnote>
  <w:footnote w:type="continuationSeparator" w:id="0">
    <w:p w14:paraId="192C6719" w14:textId="77777777" w:rsidR="003A5E58" w:rsidRDefault="003A5E58">
      <w:r>
        <w:continuationSeparator/>
      </w:r>
    </w:p>
  </w:footnote>
  <w:footnote w:id="1">
    <w:p w14:paraId="32E3A6D2" w14:textId="774B4F71" w:rsidR="00C800FA" w:rsidRPr="00FC17BD" w:rsidRDefault="00C800FA" w:rsidP="004F27EA">
      <w:pPr>
        <w:pStyle w:val="FootnoteText"/>
        <w:keepLines w:val="0"/>
        <w:suppressLineNumbers/>
        <w:suppressAutoHyphens/>
        <w:adjustRightInd w:val="0"/>
        <w:snapToGrid w:val="0"/>
        <w:ind w:firstLine="0"/>
        <w:jc w:val="left"/>
        <w:rPr>
          <w:kern w:val="18"/>
          <w:szCs w:val="18"/>
          <w:lang w:val="en-US"/>
        </w:rPr>
      </w:pPr>
      <w:r w:rsidRPr="00FC17BD">
        <w:rPr>
          <w:rStyle w:val="FootnoteReference"/>
          <w:kern w:val="18"/>
          <w:sz w:val="18"/>
          <w:szCs w:val="18"/>
          <w:lang w:val="en-US"/>
        </w:rPr>
        <w:t>*</w:t>
      </w:r>
      <w:r w:rsidRPr="00FC17BD">
        <w:rPr>
          <w:kern w:val="18"/>
          <w:szCs w:val="18"/>
          <w:lang w:val="en-US"/>
        </w:rPr>
        <w:t xml:space="preserve"> CBD/WG8J/10/1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7BF35" w14:textId="7F3DE4D5" w:rsidR="00C800FA" w:rsidRDefault="00C800FA" w:rsidP="00323FE1">
    <w:pPr>
      <w:pStyle w:val="Header"/>
      <w:jc w:val="left"/>
    </w:pPr>
    <w:r>
      <w:t>C</w:t>
    </w:r>
    <w:r w:rsidR="00454E81">
      <w:t>BD/WG8J/10/INF/7</w:t>
    </w:r>
  </w:p>
  <w:p w14:paraId="532F5A13" w14:textId="7F0D4ABC" w:rsidR="00C800FA" w:rsidRDefault="00C800FA" w:rsidP="00323FE1">
    <w:pPr>
      <w:pStyle w:val="Header"/>
      <w:spacing w:after="240"/>
      <w:jc w:val="left"/>
    </w:pPr>
    <w:r>
      <w:t xml:space="preserve">Page </w:t>
    </w:r>
    <w:r>
      <w:fldChar w:fldCharType="begin"/>
    </w:r>
    <w:r>
      <w:instrText xml:space="preserve"> PAGE   \* MERGEFORMAT </w:instrText>
    </w:r>
    <w:r>
      <w:fldChar w:fldCharType="separate"/>
    </w:r>
    <w:r w:rsidR="003C2B5B">
      <w:rPr>
        <w:noProof/>
      </w:rPr>
      <w:t>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0348" w14:textId="303588CB" w:rsidR="00C800FA" w:rsidRDefault="00C800FA" w:rsidP="00323FE1">
    <w:pPr>
      <w:pStyle w:val="Header"/>
      <w:tabs>
        <w:tab w:val="clear" w:pos="4320"/>
        <w:tab w:val="clear" w:pos="8640"/>
      </w:tabs>
      <w:jc w:val="right"/>
    </w:pPr>
    <w:r>
      <w:t>C</w:t>
    </w:r>
    <w:r w:rsidR="00454E81">
      <w:t>BD/WG8J/10/INF/7</w:t>
    </w:r>
  </w:p>
  <w:p w14:paraId="5C6C9CDF" w14:textId="65814F3E" w:rsidR="00C800FA" w:rsidRDefault="00C800FA" w:rsidP="00323FE1">
    <w:pPr>
      <w:pStyle w:val="Header"/>
      <w:tabs>
        <w:tab w:val="clear" w:pos="4320"/>
        <w:tab w:val="clear" w:pos="8640"/>
      </w:tabs>
      <w:spacing w:after="240"/>
      <w:jc w:val="right"/>
    </w:pPr>
    <w:r>
      <w:t xml:space="preserve">Page </w:t>
    </w:r>
    <w:r>
      <w:fldChar w:fldCharType="begin"/>
    </w:r>
    <w:r>
      <w:instrText xml:space="preserve"> PAGE   \* MERGEFORMAT </w:instrText>
    </w:r>
    <w:r>
      <w:fldChar w:fldCharType="separate"/>
    </w:r>
    <w:r w:rsidR="003C2B5B">
      <w:rPr>
        <w:noProof/>
      </w:rPr>
      <w:t>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6A22CE3"/>
    <w:multiLevelType w:val="hybridMultilevel"/>
    <w:tmpl w:val="52224D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0920C1"/>
    <w:multiLevelType w:val="hybridMultilevel"/>
    <w:tmpl w:val="AB90698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C746412C"/>
    <w:lvl w:ilvl="0">
      <w:start w:val="1"/>
      <w:numFmt w:val="decimal"/>
      <w:pStyle w:val="Para1"/>
      <w:lvlText w:val="%1."/>
      <w:lvlJc w:val="left"/>
      <w:pPr>
        <w:tabs>
          <w:tab w:val="num" w:pos="502"/>
        </w:tabs>
        <w:ind w:left="142" w:firstLine="0"/>
      </w:pPr>
      <w:rPr>
        <w:rFonts w:hint="default"/>
        <w:b w:val="0"/>
        <w:i w:val="0"/>
        <w:sz w:val="22"/>
      </w:rPr>
    </w:lvl>
    <w:lvl w:ilvl="1">
      <w:start w:val="1"/>
      <w:numFmt w:val="lowerLetter"/>
      <w:lvlText w:val="%2)"/>
      <w:lvlJc w:val="left"/>
      <w:pPr>
        <w:tabs>
          <w:tab w:val="num" w:pos="1440"/>
        </w:tabs>
        <w:ind w:left="0" w:firstLine="720"/>
      </w:pPr>
      <w:rPr>
        <w:rFonts w:hint="default"/>
        <w:b w:val="0"/>
        <w:i w:val="0"/>
        <w:lang w:val="en-GB"/>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3185E"/>
    <w:multiLevelType w:val="hybridMultilevel"/>
    <w:tmpl w:val="C030730A"/>
    <w:lvl w:ilvl="0" w:tplc="DC4043B4">
      <w:start w:val="1"/>
      <w:numFmt w:val="upperRoman"/>
      <w:lvlText w:val="%1."/>
      <w:lvlJc w:val="left"/>
      <w:pPr>
        <w:ind w:left="1699" w:hanging="990"/>
      </w:pPr>
      <w:rPr>
        <w:rFonts w:hint="default"/>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69C60CAC"/>
    <w:multiLevelType w:val="hybridMultilevel"/>
    <w:tmpl w:val="AD366472"/>
    <w:lvl w:ilvl="0" w:tplc="892C01F0">
      <w:start w:val="1"/>
      <w:numFmt w:val="upp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6E557CFA"/>
    <w:multiLevelType w:val="hybridMultilevel"/>
    <w:tmpl w:val="C4E08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6"/>
  </w:num>
  <w:num w:numId="4">
    <w:abstractNumId w:val="4"/>
  </w:num>
  <w:num w:numId="5">
    <w:abstractNumId w:val="5"/>
  </w:num>
  <w:num w:numId="6">
    <w:abstractNumId w:val="7"/>
  </w:num>
  <w:num w:numId="7">
    <w:abstractNumId w:val="9"/>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2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2"/>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B0F"/>
    <w:rsid w:val="00000FB4"/>
    <w:rsid w:val="00001971"/>
    <w:rsid w:val="00002448"/>
    <w:rsid w:val="000028F4"/>
    <w:rsid w:val="00003A66"/>
    <w:rsid w:val="00004E33"/>
    <w:rsid w:val="000066FE"/>
    <w:rsid w:val="00006CDB"/>
    <w:rsid w:val="00007A33"/>
    <w:rsid w:val="000101C8"/>
    <w:rsid w:val="00010CCC"/>
    <w:rsid w:val="00010DE2"/>
    <w:rsid w:val="00013A48"/>
    <w:rsid w:val="000149C7"/>
    <w:rsid w:val="00014D17"/>
    <w:rsid w:val="00015717"/>
    <w:rsid w:val="00021009"/>
    <w:rsid w:val="0002427A"/>
    <w:rsid w:val="00024C34"/>
    <w:rsid w:val="00024ED2"/>
    <w:rsid w:val="00025319"/>
    <w:rsid w:val="000255BE"/>
    <w:rsid w:val="00027CDD"/>
    <w:rsid w:val="00031906"/>
    <w:rsid w:val="00031D0D"/>
    <w:rsid w:val="0003279E"/>
    <w:rsid w:val="000355EA"/>
    <w:rsid w:val="0003588F"/>
    <w:rsid w:val="000361EC"/>
    <w:rsid w:val="00042CD7"/>
    <w:rsid w:val="00042DB8"/>
    <w:rsid w:val="0004314D"/>
    <w:rsid w:val="00043C1B"/>
    <w:rsid w:val="00045C5D"/>
    <w:rsid w:val="00046F5B"/>
    <w:rsid w:val="00047F27"/>
    <w:rsid w:val="00051B0F"/>
    <w:rsid w:val="00051D05"/>
    <w:rsid w:val="00053269"/>
    <w:rsid w:val="00053DBD"/>
    <w:rsid w:val="000548D1"/>
    <w:rsid w:val="00054A44"/>
    <w:rsid w:val="00054B6C"/>
    <w:rsid w:val="00057A84"/>
    <w:rsid w:val="00057D59"/>
    <w:rsid w:val="00060790"/>
    <w:rsid w:val="00060D39"/>
    <w:rsid w:val="0006231C"/>
    <w:rsid w:val="00062DCF"/>
    <w:rsid w:val="000637FB"/>
    <w:rsid w:val="00065A83"/>
    <w:rsid w:val="00066EA8"/>
    <w:rsid w:val="0007116D"/>
    <w:rsid w:val="000711E1"/>
    <w:rsid w:val="000714CD"/>
    <w:rsid w:val="0007252D"/>
    <w:rsid w:val="00072CC1"/>
    <w:rsid w:val="00072F3C"/>
    <w:rsid w:val="00073724"/>
    <w:rsid w:val="0007657E"/>
    <w:rsid w:val="00077D88"/>
    <w:rsid w:val="0008091F"/>
    <w:rsid w:val="000835DA"/>
    <w:rsid w:val="00085DFE"/>
    <w:rsid w:val="000860E6"/>
    <w:rsid w:val="00086720"/>
    <w:rsid w:val="00086814"/>
    <w:rsid w:val="0008794C"/>
    <w:rsid w:val="0009169A"/>
    <w:rsid w:val="00091AED"/>
    <w:rsid w:val="000927F6"/>
    <w:rsid w:val="00092D56"/>
    <w:rsid w:val="00095912"/>
    <w:rsid w:val="000969C0"/>
    <w:rsid w:val="00097DCE"/>
    <w:rsid w:val="000A006E"/>
    <w:rsid w:val="000A19D2"/>
    <w:rsid w:val="000A1F0F"/>
    <w:rsid w:val="000A354E"/>
    <w:rsid w:val="000A6B1C"/>
    <w:rsid w:val="000A7222"/>
    <w:rsid w:val="000A760B"/>
    <w:rsid w:val="000A7D72"/>
    <w:rsid w:val="000B0F8C"/>
    <w:rsid w:val="000B17F7"/>
    <w:rsid w:val="000B2841"/>
    <w:rsid w:val="000B31BE"/>
    <w:rsid w:val="000B5C6C"/>
    <w:rsid w:val="000B5D9E"/>
    <w:rsid w:val="000C0182"/>
    <w:rsid w:val="000C02D6"/>
    <w:rsid w:val="000C0876"/>
    <w:rsid w:val="000C4E4E"/>
    <w:rsid w:val="000C6CDC"/>
    <w:rsid w:val="000C7E69"/>
    <w:rsid w:val="000D0F3D"/>
    <w:rsid w:val="000D4207"/>
    <w:rsid w:val="000D43F2"/>
    <w:rsid w:val="000D4F25"/>
    <w:rsid w:val="000D6E8F"/>
    <w:rsid w:val="000E1E38"/>
    <w:rsid w:val="000E4508"/>
    <w:rsid w:val="000E72F1"/>
    <w:rsid w:val="000E74DA"/>
    <w:rsid w:val="000F1602"/>
    <w:rsid w:val="000F32C2"/>
    <w:rsid w:val="000F63F9"/>
    <w:rsid w:val="000F7AFB"/>
    <w:rsid w:val="0010138E"/>
    <w:rsid w:val="0010163F"/>
    <w:rsid w:val="001026E2"/>
    <w:rsid w:val="001034B5"/>
    <w:rsid w:val="00103891"/>
    <w:rsid w:val="00104762"/>
    <w:rsid w:val="00110CD5"/>
    <w:rsid w:val="00112627"/>
    <w:rsid w:val="00112BFB"/>
    <w:rsid w:val="0011463A"/>
    <w:rsid w:val="001147F0"/>
    <w:rsid w:val="001148B6"/>
    <w:rsid w:val="00121C07"/>
    <w:rsid w:val="0012226E"/>
    <w:rsid w:val="00122DCF"/>
    <w:rsid w:val="001245B1"/>
    <w:rsid w:val="00125869"/>
    <w:rsid w:val="00125E64"/>
    <w:rsid w:val="00125FD3"/>
    <w:rsid w:val="001265CA"/>
    <w:rsid w:val="0012731D"/>
    <w:rsid w:val="001302C2"/>
    <w:rsid w:val="00130CD8"/>
    <w:rsid w:val="00131EE2"/>
    <w:rsid w:val="001333BC"/>
    <w:rsid w:val="00134643"/>
    <w:rsid w:val="00134725"/>
    <w:rsid w:val="00135994"/>
    <w:rsid w:val="00136818"/>
    <w:rsid w:val="00136B14"/>
    <w:rsid w:val="00136D1E"/>
    <w:rsid w:val="00137224"/>
    <w:rsid w:val="001372B5"/>
    <w:rsid w:val="00137D59"/>
    <w:rsid w:val="0014072D"/>
    <w:rsid w:val="001411DF"/>
    <w:rsid w:val="00141E38"/>
    <w:rsid w:val="00142DDA"/>
    <w:rsid w:val="001436F7"/>
    <w:rsid w:val="00143F1F"/>
    <w:rsid w:val="00146D7F"/>
    <w:rsid w:val="00147AC1"/>
    <w:rsid w:val="00155D9C"/>
    <w:rsid w:val="00161158"/>
    <w:rsid w:val="001622F5"/>
    <w:rsid w:val="00162788"/>
    <w:rsid w:val="00163F0E"/>
    <w:rsid w:val="0016458C"/>
    <w:rsid w:val="00165A18"/>
    <w:rsid w:val="00165C8D"/>
    <w:rsid w:val="001662F3"/>
    <w:rsid w:val="00166CF0"/>
    <w:rsid w:val="00166F0F"/>
    <w:rsid w:val="001678C5"/>
    <w:rsid w:val="00167CAE"/>
    <w:rsid w:val="00167CE5"/>
    <w:rsid w:val="00170CF7"/>
    <w:rsid w:val="00172230"/>
    <w:rsid w:val="00172C56"/>
    <w:rsid w:val="00173AA6"/>
    <w:rsid w:val="00176CA9"/>
    <w:rsid w:val="00176E3E"/>
    <w:rsid w:val="0017740A"/>
    <w:rsid w:val="0017775B"/>
    <w:rsid w:val="001808E1"/>
    <w:rsid w:val="00182781"/>
    <w:rsid w:val="00183698"/>
    <w:rsid w:val="0018470D"/>
    <w:rsid w:val="0018493F"/>
    <w:rsid w:val="00184B66"/>
    <w:rsid w:val="001856DE"/>
    <w:rsid w:val="00185D8D"/>
    <w:rsid w:val="00186580"/>
    <w:rsid w:val="0018677A"/>
    <w:rsid w:val="00186E73"/>
    <w:rsid w:val="001871C7"/>
    <w:rsid w:val="00187942"/>
    <w:rsid w:val="00190120"/>
    <w:rsid w:val="001902C8"/>
    <w:rsid w:val="00190733"/>
    <w:rsid w:val="00190F13"/>
    <w:rsid w:val="001913E2"/>
    <w:rsid w:val="00193991"/>
    <w:rsid w:val="00194E32"/>
    <w:rsid w:val="001972B7"/>
    <w:rsid w:val="00197A08"/>
    <w:rsid w:val="00197DD9"/>
    <w:rsid w:val="00197F4E"/>
    <w:rsid w:val="001A1578"/>
    <w:rsid w:val="001A1684"/>
    <w:rsid w:val="001A25A6"/>
    <w:rsid w:val="001A29E5"/>
    <w:rsid w:val="001B242B"/>
    <w:rsid w:val="001B286D"/>
    <w:rsid w:val="001B567E"/>
    <w:rsid w:val="001B5945"/>
    <w:rsid w:val="001B6C90"/>
    <w:rsid w:val="001B72E2"/>
    <w:rsid w:val="001C1062"/>
    <w:rsid w:val="001C1869"/>
    <w:rsid w:val="001D143C"/>
    <w:rsid w:val="001D27C1"/>
    <w:rsid w:val="001D2E9D"/>
    <w:rsid w:val="001D355D"/>
    <w:rsid w:val="001D3E8E"/>
    <w:rsid w:val="001D6130"/>
    <w:rsid w:val="001D6F78"/>
    <w:rsid w:val="001D78AE"/>
    <w:rsid w:val="001E0F9F"/>
    <w:rsid w:val="001E2149"/>
    <w:rsid w:val="001E47FA"/>
    <w:rsid w:val="001E5D87"/>
    <w:rsid w:val="001E6E09"/>
    <w:rsid w:val="001F2BF3"/>
    <w:rsid w:val="001F2E45"/>
    <w:rsid w:val="001F355D"/>
    <w:rsid w:val="001F380F"/>
    <w:rsid w:val="001F4149"/>
    <w:rsid w:val="001F4B7E"/>
    <w:rsid w:val="001F4FD3"/>
    <w:rsid w:val="001F5938"/>
    <w:rsid w:val="001F6B36"/>
    <w:rsid w:val="001F72E1"/>
    <w:rsid w:val="00200609"/>
    <w:rsid w:val="002008CD"/>
    <w:rsid w:val="00200BB0"/>
    <w:rsid w:val="00200C45"/>
    <w:rsid w:val="00201A66"/>
    <w:rsid w:val="00201EDB"/>
    <w:rsid w:val="002024E6"/>
    <w:rsid w:val="00202655"/>
    <w:rsid w:val="0020382A"/>
    <w:rsid w:val="00204630"/>
    <w:rsid w:val="0020559C"/>
    <w:rsid w:val="00206047"/>
    <w:rsid w:val="00207845"/>
    <w:rsid w:val="0021020B"/>
    <w:rsid w:val="00210F1C"/>
    <w:rsid w:val="002154CB"/>
    <w:rsid w:val="00215FB4"/>
    <w:rsid w:val="002168F0"/>
    <w:rsid w:val="002171E4"/>
    <w:rsid w:val="00217910"/>
    <w:rsid w:val="002179AE"/>
    <w:rsid w:val="0022022C"/>
    <w:rsid w:val="00221678"/>
    <w:rsid w:val="002223A2"/>
    <w:rsid w:val="00222712"/>
    <w:rsid w:val="002247AC"/>
    <w:rsid w:val="002247EA"/>
    <w:rsid w:val="00224D32"/>
    <w:rsid w:val="00224E21"/>
    <w:rsid w:val="002250AF"/>
    <w:rsid w:val="00225E23"/>
    <w:rsid w:val="00227407"/>
    <w:rsid w:val="00227606"/>
    <w:rsid w:val="002277F2"/>
    <w:rsid w:val="002311D0"/>
    <w:rsid w:val="00231A12"/>
    <w:rsid w:val="00232229"/>
    <w:rsid w:val="00233240"/>
    <w:rsid w:val="00233BF3"/>
    <w:rsid w:val="00233DCB"/>
    <w:rsid w:val="0023474F"/>
    <w:rsid w:val="002354E5"/>
    <w:rsid w:val="002357D0"/>
    <w:rsid w:val="00236F16"/>
    <w:rsid w:val="00237853"/>
    <w:rsid w:val="00237E60"/>
    <w:rsid w:val="00240582"/>
    <w:rsid w:val="002416E6"/>
    <w:rsid w:val="002418F5"/>
    <w:rsid w:val="00244C24"/>
    <w:rsid w:val="00245E02"/>
    <w:rsid w:val="00246E22"/>
    <w:rsid w:val="002473A0"/>
    <w:rsid w:val="002501A1"/>
    <w:rsid w:val="00251429"/>
    <w:rsid w:val="00251E69"/>
    <w:rsid w:val="002530D8"/>
    <w:rsid w:val="00254367"/>
    <w:rsid w:val="00256384"/>
    <w:rsid w:val="002568B2"/>
    <w:rsid w:val="002575ED"/>
    <w:rsid w:val="00260107"/>
    <w:rsid w:val="00262A61"/>
    <w:rsid w:val="00263171"/>
    <w:rsid w:val="002641A2"/>
    <w:rsid w:val="00265593"/>
    <w:rsid w:val="00266F34"/>
    <w:rsid w:val="002712C2"/>
    <w:rsid w:val="002716E8"/>
    <w:rsid w:val="00272ECE"/>
    <w:rsid w:val="0027350E"/>
    <w:rsid w:val="00273C9C"/>
    <w:rsid w:val="00275836"/>
    <w:rsid w:val="00275AFC"/>
    <w:rsid w:val="00280FC6"/>
    <w:rsid w:val="002828CA"/>
    <w:rsid w:val="00282EE5"/>
    <w:rsid w:val="00283CBC"/>
    <w:rsid w:val="0028412B"/>
    <w:rsid w:val="00284F79"/>
    <w:rsid w:val="0028581F"/>
    <w:rsid w:val="002874D6"/>
    <w:rsid w:val="0028765B"/>
    <w:rsid w:val="00290A5C"/>
    <w:rsid w:val="00292B39"/>
    <w:rsid w:val="002972D8"/>
    <w:rsid w:val="002A07D6"/>
    <w:rsid w:val="002A18D2"/>
    <w:rsid w:val="002A1901"/>
    <w:rsid w:val="002A3813"/>
    <w:rsid w:val="002A44B3"/>
    <w:rsid w:val="002A45F5"/>
    <w:rsid w:val="002A602E"/>
    <w:rsid w:val="002A63BA"/>
    <w:rsid w:val="002B0050"/>
    <w:rsid w:val="002B07F0"/>
    <w:rsid w:val="002B11B7"/>
    <w:rsid w:val="002B1611"/>
    <w:rsid w:val="002B1697"/>
    <w:rsid w:val="002B1E17"/>
    <w:rsid w:val="002B36B1"/>
    <w:rsid w:val="002B45D3"/>
    <w:rsid w:val="002B4CD7"/>
    <w:rsid w:val="002B7B15"/>
    <w:rsid w:val="002B7DB2"/>
    <w:rsid w:val="002C06D1"/>
    <w:rsid w:val="002C082F"/>
    <w:rsid w:val="002C1726"/>
    <w:rsid w:val="002C246E"/>
    <w:rsid w:val="002C2FCA"/>
    <w:rsid w:val="002C32C8"/>
    <w:rsid w:val="002C33C8"/>
    <w:rsid w:val="002C36C6"/>
    <w:rsid w:val="002C3B17"/>
    <w:rsid w:val="002C5B27"/>
    <w:rsid w:val="002C65D7"/>
    <w:rsid w:val="002C6B8D"/>
    <w:rsid w:val="002C7812"/>
    <w:rsid w:val="002C7973"/>
    <w:rsid w:val="002D1B19"/>
    <w:rsid w:val="002D2B46"/>
    <w:rsid w:val="002D3B78"/>
    <w:rsid w:val="002D560A"/>
    <w:rsid w:val="002D765C"/>
    <w:rsid w:val="002E17A2"/>
    <w:rsid w:val="002E2D9B"/>
    <w:rsid w:val="002E70DD"/>
    <w:rsid w:val="002F085C"/>
    <w:rsid w:val="002F1332"/>
    <w:rsid w:val="002F3C4E"/>
    <w:rsid w:val="002F4582"/>
    <w:rsid w:val="002F57CC"/>
    <w:rsid w:val="002F5ECA"/>
    <w:rsid w:val="002F6B85"/>
    <w:rsid w:val="002F7943"/>
    <w:rsid w:val="002F7C49"/>
    <w:rsid w:val="0030248D"/>
    <w:rsid w:val="003024F6"/>
    <w:rsid w:val="003030CC"/>
    <w:rsid w:val="00303953"/>
    <w:rsid w:val="003049CF"/>
    <w:rsid w:val="003054D3"/>
    <w:rsid w:val="003057DC"/>
    <w:rsid w:val="00306EC9"/>
    <w:rsid w:val="0030742F"/>
    <w:rsid w:val="003078D3"/>
    <w:rsid w:val="00307AE6"/>
    <w:rsid w:val="00312CDD"/>
    <w:rsid w:val="00312D78"/>
    <w:rsid w:val="003163FB"/>
    <w:rsid w:val="003164C1"/>
    <w:rsid w:val="0032072D"/>
    <w:rsid w:val="003212E4"/>
    <w:rsid w:val="00323718"/>
    <w:rsid w:val="00323D31"/>
    <w:rsid w:val="00323FE1"/>
    <w:rsid w:val="003241B8"/>
    <w:rsid w:val="0032511F"/>
    <w:rsid w:val="00326A56"/>
    <w:rsid w:val="00326BED"/>
    <w:rsid w:val="00330326"/>
    <w:rsid w:val="003320EF"/>
    <w:rsid w:val="0033248C"/>
    <w:rsid w:val="00332D41"/>
    <w:rsid w:val="00332F41"/>
    <w:rsid w:val="00333FFD"/>
    <w:rsid w:val="003340AB"/>
    <w:rsid w:val="0034016B"/>
    <w:rsid w:val="00341FBC"/>
    <w:rsid w:val="00345F87"/>
    <w:rsid w:val="0034606B"/>
    <w:rsid w:val="003474AE"/>
    <w:rsid w:val="00350D51"/>
    <w:rsid w:val="00350EDE"/>
    <w:rsid w:val="003518DF"/>
    <w:rsid w:val="00352058"/>
    <w:rsid w:val="00352380"/>
    <w:rsid w:val="00352ED5"/>
    <w:rsid w:val="00355C89"/>
    <w:rsid w:val="0035651A"/>
    <w:rsid w:val="00357FAC"/>
    <w:rsid w:val="00360DB7"/>
    <w:rsid w:val="00360F6D"/>
    <w:rsid w:val="00360FB1"/>
    <w:rsid w:val="00361CBD"/>
    <w:rsid w:val="0036253A"/>
    <w:rsid w:val="00362557"/>
    <w:rsid w:val="00362C2F"/>
    <w:rsid w:val="00362FA9"/>
    <w:rsid w:val="00363346"/>
    <w:rsid w:val="00365AE8"/>
    <w:rsid w:val="003677A1"/>
    <w:rsid w:val="00370D4A"/>
    <w:rsid w:val="00370D54"/>
    <w:rsid w:val="00371A95"/>
    <w:rsid w:val="00372086"/>
    <w:rsid w:val="003722E1"/>
    <w:rsid w:val="00375216"/>
    <w:rsid w:val="0037661B"/>
    <w:rsid w:val="00376FA4"/>
    <w:rsid w:val="0037704A"/>
    <w:rsid w:val="00377942"/>
    <w:rsid w:val="00377BE4"/>
    <w:rsid w:val="003830C4"/>
    <w:rsid w:val="003831DF"/>
    <w:rsid w:val="003846DA"/>
    <w:rsid w:val="003846DF"/>
    <w:rsid w:val="00390D22"/>
    <w:rsid w:val="00391E5D"/>
    <w:rsid w:val="0039205B"/>
    <w:rsid w:val="0039643D"/>
    <w:rsid w:val="00396764"/>
    <w:rsid w:val="00396F33"/>
    <w:rsid w:val="00397675"/>
    <w:rsid w:val="003A0FE6"/>
    <w:rsid w:val="003A1534"/>
    <w:rsid w:val="003A2570"/>
    <w:rsid w:val="003A341F"/>
    <w:rsid w:val="003A505B"/>
    <w:rsid w:val="003A5E58"/>
    <w:rsid w:val="003B2163"/>
    <w:rsid w:val="003B2C78"/>
    <w:rsid w:val="003B3FF7"/>
    <w:rsid w:val="003B4AFB"/>
    <w:rsid w:val="003B5C61"/>
    <w:rsid w:val="003B6B0D"/>
    <w:rsid w:val="003B73DF"/>
    <w:rsid w:val="003C0118"/>
    <w:rsid w:val="003C0B66"/>
    <w:rsid w:val="003C1C2B"/>
    <w:rsid w:val="003C2B5B"/>
    <w:rsid w:val="003C2B6C"/>
    <w:rsid w:val="003C386E"/>
    <w:rsid w:val="003C453C"/>
    <w:rsid w:val="003C47E8"/>
    <w:rsid w:val="003C4FFA"/>
    <w:rsid w:val="003C7089"/>
    <w:rsid w:val="003D1C0B"/>
    <w:rsid w:val="003D2343"/>
    <w:rsid w:val="003D23B9"/>
    <w:rsid w:val="003D4DCA"/>
    <w:rsid w:val="003D54AF"/>
    <w:rsid w:val="003D54CE"/>
    <w:rsid w:val="003D6619"/>
    <w:rsid w:val="003D6ECE"/>
    <w:rsid w:val="003E095B"/>
    <w:rsid w:val="003E22D9"/>
    <w:rsid w:val="003E35B3"/>
    <w:rsid w:val="003E45D7"/>
    <w:rsid w:val="003E4930"/>
    <w:rsid w:val="003E5282"/>
    <w:rsid w:val="003E5665"/>
    <w:rsid w:val="003E5E74"/>
    <w:rsid w:val="003E6AF6"/>
    <w:rsid w:val="003E79F0"/>
    <w:rsid w:val="003E7B55"/>
    <w:rsid w:val="003E7DC4"/>
    <w:rsid w:val="003F0969"/>
    <w:rsid w:val="003F12B6"/>
    <w:rsid w:val="003F26F3"/>
    <w:rsid w:val="003F3A20"/>
    <w:rsid w:val="003F5955"/>
    <w:rsid w:val="003F5C8A"/>
    <w:rsid w:val="003F6289"/>
    <w:rsid w:val="003F62D8"/>
    <w:rsid w:val="00400139"/>
    <w:rsid w:val="004018F0"/>
    <w:rsid w:val="00403DCB"/>
    <w:rsid w:val="00406F4E"/>
    <w:rsid w:val="00407953"/>
    <w:rsid w:val="00407AF3"/>
    <w:rsid w:val="004100DA"/>
    <w:rsid w:val="004112E0"/>
    <w:rsid w:val="004114E9"/>
    <w:rsid w:val="004118D4"/>
    <w:rsid w:val="00412A8F"/>
    <w:rsid w:val="00412C62"/>
    <w:rsid w:val="00412FAE"/>
    <w:rsid w:val="00413667"/>
    <w:rsid w:val="00414559"/>
    <w:rsid w:val="004148CB"/>
    <w:rsid w:val="00415B07"/>
    <w:rsid w:val="00417F96"/>
    <w:rsid w:val="0042052D"/>
    <w:rsid w:val="00421398"/>
    <w:rsid w:val="0042156C"/>
    <w:rsid w:val="00421B87"/>
    <w:rsid w:val="004226F4"/>
    <w:rsid w:val="00431816"/>
    <w:rsid w:val="0043246C"/>
    <w:rsid w:val="00432CC1"/>
    <w:rsid w:val="0043318E"/>
    <w:rsid w:val="0043455D"/>
    <w:rsid w:val="004363E9"/>
    <w:rsid w:val="0043652E"/>
    <w:rsid w:val="004366C9"/>
    <w:rsid w:val="00436730"/>
    <w:rsid w:val="0043680B"/>
    <w:rsid w:val="00436815"/>
    <w:rsid w:val="00436C31"/>
    <w:rsid w:val="00437860"/>
    <w:rsid w:val="00437EC2"/>
    <w:rsid w:val="004402E5"/>
    <w:rsid w:val="004403A7"/>
    <w:rsid w:val="00440586"/>
    <w:rsid w:val="00440D7D"/>
    <w:rsid w:val="00440E78"/>
    <w:rsid w:val="0044241D"/>
    <w:rsid w:val="0044272B"/>
    <w:rsid w:val="004441DE"/>
    <w:rsid w:val="004442F6"/>
    <w:rsid w:val="004444D4"/>
    <w:rsid w:val="00444F8C"/>
    <w:rsid w:val="004454E1"/>
    <w:rsid w:val="00445BB8"/>
    <w:rsid w:val="0044658C"/>
    <w:rsid w:val="00447C59"/>
    <w:rsid w:val="00451F0D"/>
    <w:rsid w:val="00453445"/>
    <w:rsid w:val="004538C0"/>
    <w:rsid w:val="00454274"/>
    <w:rsid w:val="00454E81"/>
    <w:rsid w:val="004556A4"/>
    <w:rsid w:val="0045642D"/>
    <w:rsid w:val="00460385"/>
    <w:rsid w:val="00461537"/>
    <w:rsid w:val="004616B6"/>
    <w:rsid w:val="004623A4"/>
    <w:rsid w:val="004626DC"/>
    <w:rsid w:val="00463CFF"/>
    <w:rsid w:val="0046525A"/>
    <w:rsid w:val="00465E6E"/>
    <w:rsid w:val="00465E91"/>
    <w:rsid w:val="0046609D"/>
    <w:rsid w:val="004670A4"/>
    <w:rsid w:val="00467858"/>
    <w:rsid w:val="00467C04"/>
    <w:rsid w:val="004701F9"/>
    <w:rsid w:val="00471975"/>
    <w:rsid w:val="004735F1"/>
    <w:rsid w:val="00474D9C"/>
    <w:rsid w:val="00476016"/>
    <w:rsid w:val="0047604E"/>
    <w:rsid w:val="00482EA6"/>
    <w:rsid w:val="00483DF2"/>
    <w:rsid w:val="00487F40"/>
    <w:rsid w:val="0049031F"/>
    <w:rsid w:val="004904BC"/>
    <w:rsid w:val="00490C4B"/>
    <w:rsid w:val="004917A6"/>
    <w:rsid w:val="00493133"/>
    <w:rsid w:val="004967FA"/>
    <w:rsid w:val="00496C26"/>
    <w:rsid w:val="00496E04"/>
    <w:rsid w:val="00497EA2"/>
    <w:rsid w:val="004A0361"/>
    <w:rsid w:val="004A32D6"/>
    <w:rsid w:val="004A39C8"/>
    <w:rsid w:val="004A49A0"/>
    <w:rsid w:val="004A56C7"/>
    <w:rsid w:val="004A5D02"/>
    <w:rsid w:val="004A6E0F"/>
    <w:rsid w:val="004B0029"/>
    <w:rsid w:val="004B06AC"/>
    <w:rsid w:val="004B0C85"/>
    <w:rsid w:val="004B260E"/>
    <w:rsid w:val="004B3528"/>
    <w:rsid w:val="004B446A"/>
    <w:rsid w:val="004B49CF"/>
    <w:rsid w:val="004B4E97"/>
    <w:rsid w:val="004B523B"/>
    <w:rsid w:val="004B5E74"/>
    <w:rsid w:val="004B6036"/>
    <w:rsid w:val="004B61B8"/>
    <w:rsid w:val="004B6734"/>
    <w:rsid w:val="004B697C"/>
    <w:rsid w:val="004B69BE"/>
    <w:rsid w:val="004B750F"/>
    <w:rsid w:val="004C0441"/>
    <w:rsid w:val="004C0F24"/>
    <w:rsid w:val="004C1BED"/>
    <w:rsid w:val="004C29D8"/>
    <w:rsid w:val="004C4753"/>
    <w:rsid w:val="004C7CFE"/>
    <w:rsid w:val="004D046D"/>
    <w:rsid w:val="004D1F3B"/>
    <w:rsid w:val="004D2802"/>
    <w:rsid w:val="004D2DC3"/>
    <w:rsid w:val="004D5FCC"/>
    <w:rsid w:val="004D7B5B"/>
    <w:rsid w:val="004D7E3E"/>
    <w:rsid w:val="004E0441"/>
    <w:rsid w:val="004E15E7"/>
    <w:rsid w:val="004E1BF8"/>
    <w:rsid w:val="004E1C30"/>
    <w:rsid w:val="004E2033"/>
    <w:rsid w:val="004E32B2"/>
    <w:rsid w:val="004E3FDB"/>
    <w:rsid w:val="004E59D0"/>
    <w:rsid w:val="004E6143"/>
    <w:rsid w:val="004E6C6A"/>
    <w:rsid w:val="004E7AF9"/>
    <w:rsid w:val="004F0BF8"/>
    <w:rsid w:val="004F27EA"/>
    <w:rsid w:val="004F3047"/>
    <w:rsid w:val="004F4973"/>
    <w:rsid w:val="004F7F18"/>
    <w:rsid w:val="00500075"/>
    <w:rsid w:val="005004AC"/>
    <w:rsid w:val="00500D30"/>
    <w:rsid w:val="00501370"/>
    <w:rsid w:val="00501D5D"/>
    <w:rsid w:val="00502D33"/>
    <w:rsid w:val="00503E57"/>
    <w:rsid w:val="00505414"/>
    <w:rsid w:val="005059D1"/>
    <w:rsid w:val="005060EE"/>
    <w:rsid w:val="005061FB"/>
    <w:rsid w:val="005067DB"/>
    <w:rsid w:val="00507725"/>
    <w:rsid w:val="005103A0"/>
    <w:rsid w:val="00511161"/>
    <w:rsid w:val="005111AD"/>
    <w:rsid w:val="00512B0B"/>
    <w:rsid w:val="00513D6A"/>
    <w:rsid w:val="0051431A"/>
    <w:rsid w:val="00514A6D"/>
    <w:rsid w:val="005154FA"/>
    <w:rsid w:val="005168EA"/>
    <w:rsid w:val="0052099C"/>
    <w:rsid w:val="00520BB4"/>
    <w:rsid w:val="00521AB6"/>
    <w:rsid w:val="005220B4"/>
    <w:rsid w:val="00522EA6"/>
    <w:rsid w:val="005231FE"/>
    <w:rsid w:val="0052345F"/>
    <w:rsid w:val="005234B6"/>
    <w:rsid w:val="00523F4D"/>
    <w:rsid w:val="005242AD"/>
    <w:rsid w:val="00524927"/>
    <w:rsid w:val="00524BA7"/>
    <w:rsid w:val="00526421"/>
    <w:rsid w:val="00526963"/>
    <w:rsid w:val="00531382"/>
    <w:rsid w:val="00532CF4"/>
    <w:rsid w:val="00533023"/>
    <w:rsid w:val="0053681F"/>
    <w:rsid w:val="00540420"/>
    <w:rsid w:val="005405B9"/>
    <w:rsid w:val="00541B95"/>
    <w:rsid w:val="00543644"/>
    <w:rsid w:val="00543903"/>
    <w:rsid w:val="005444A9"/>
    <w:rsid w:val="005469C8"/>
    <w:rsid w:val="00546DF1"/>
    <w:rsid w:val="00552379"/>
    <w:rsid w:val="00552F9A"/>
    <w:rsid w:val="005545E9"/>
    <w:rsid w:val="005557A5"/>
    <w:rsid w:val="005558E8"/>
    <w:rsid w:val="005567B3"/>
    <w:rsid w:val="00556BFC"/>
    <w:rsid w:val="005570CC"/>
    <w:rsid w:val="0056008E"/>
    <w:rsid w:val="00561BC5"/>
    <w:rsid w:val="005651CC"/>
    <w:rsid w:val="005652DA"/>
    <w:rsid w:val="00565542"/>
    <w:rsid w:val="00565BEB"/>
    <w:rsid w:val="005668CF"/>
    <w:rsid w:val="00570237"/>
    <w:rsid w:val="0057095B"/>
    <w:rsid w:val="005720CD"/>
    <w:rsid w:val="00572D5E"/>
    <w:rsid w:val="005731D2"/>
    <w:rsid w:val="00573655"/>
    <w:rsid w:val="0057487C"/>
    <w:rsid w:val="00575C63"/>
    <w:rsid w:val="00576BC6"/>
    <w:rsid w:val="0058135A"/>
    <w:rsid w:val="0058275A"/>
    <w:rsid w:val="00584396"/>
    <w:rsid w:val="005843B5"/>
    <w:rsid w:val="00584F38"/>
    <w:rsid w:val="00585198"/>
    <w:rsid w:val="00586A4F"/>
    <w:rsid w:val="005870D8"/>
    <w:rsid w:val="005904CE"/>
    <w:rsid w:val="00594030"/>
    <w:rsid w:val="0059486C"/>
    <w:rsid w:val="005962F8"/>
    <w:rsid w:val="0059720E"/>
    <w:rsid w:val="005A06D0"/>
    <w:rsid w:val="005A1D09"/>
    <w:rsid w:val="005A243C"/>
    <w:rsid w:val="005A3CB2"/>
    <w:rsid w:val="005A5162"/>
    <w:rsid w:val="005A571E"/>
    <w:rsid w:val="005B03FF"/>
    <w:rsid w:val="005B0843"/>
    <w:rsid w:val="005B0C00"/>
    <w:rsid w:val="005B0DCE"/>
    <w:rsid w:val="005B1814"/>
    <w:rsid w:val="005B1FD6"/>
    <w:rsid w:val="005B21FB"/>
    <w:rsid w:val="005B5C75"/>
    <w:rsid w:val="005B6E83"/>
    <w:rsid w:val="005B7524"/>
    <w:rsid w:val="005B78CE"/>
    <w:rsid w:val="005C034B"/>
    <w:rsid w:val="005C0386"/>
    <w:rsid w:val="005C25EE"/>
    <w:rsid w:val="005C2A47"/>
    <w:rsid w:val="005C3E10"/>
    <w:rsid w:val="005C5CE1"/>
    <w:rsid w:val="005C7364"/>
    <w:rsid w:val="005D0951"/>
    <w:rsid w:val="005D320E"/>
    <w:rsid w:val="005D32BB"/>
    <w:rsid w:val="005D33C2"/>
    <w:rsid w:val="005D468A"/>
    <w:rsid w:val="005D4CBC"/>
    <w:rsid w:val="005D6097"/>
    <w:rsid w:val="005D74B5"/>
    <w:rsid w:val="005E01FE"/>
    <w:rsid w:val="005E03E2"/>
    <w:rsid w:val="005E12BA"/>
    <w:rsid w:val="005E1CEE"/>
    <w:rsid w:val="005E21F7"/>
    <w:rsid w:val="005E2B03"/>
    <w:rsid w:val="005E4DD1"/>
    <w:rsid w:val="005F1448"/>
    <w:rsid w:val="005F32DF"/>
    <w:rsid w:val="005F5391"/>
    <w:rsid w:val="005F666F"/>
    <w:rsid w:val="005F6BED"/>
    <w:rsid w:val="0060049F"/>
    <w:rsid w:val="00600A0B"/>
    <w:rsid w:val="00601FA4"/>
    <w:rsid w:val="0060252F"/>
    <w:rsid w:val="006026C2"/>
    <w:rsid w:val="00602BBA"/>
    <w:rsid w:val="00602E35"/>
    <w:rsid w:val="00605C38"/>
    <w:rsid w:val="0060648E"/>
    <w:rsid w:val="0061132D"/>
    <w:rsid w:val="006128A2"/>
    <w:rsid w:val="00615B02"/>
    <w:rsid w:val="006170A8"/>
    <w:rsid w:val="006170FB"/>
    <w:rsid w:val="006219AB"/>
    <w:rsid w:val="0062255C"/>
    <w:rsid w:val="006229F7"/>
    <w:rsid w:val="00623500"/>
    <w:rsid w:val="00623F81"/>
    <w:rsid w:val="00624C20"/>
    <w:rsid w:val="006258D6"/>
    <w:rsid w:val="00627FE2"/>
    <w:rsid w:val="00630C66"/>
    <w:rsid w:val="00630F8B"/>
    <w:rsid w:val="0063117F"/>
    <w:rsid w:val="0063584A"/>
    <w:rsid w:val="006362D5"/>
    <w:rsid w:val="006379C8"/>
    <w:rsid w:val="00640076"/>
    <w:rsid w:val="00641BD7"/>
    <w:rsid w:val="00642257"/>
    <w:rsid w:val="00642B8A"/>
    <w:rsid w:val="00643F4B"/>
    <w:rsid w:val="00646103"/>
    <w:rsid w:val="00646FDD"/>
    <w:rsid w:val="00647547"/>
    <w:rsid w:val="00647BEC"/>
    <w:rsid w:val="00647FDE"/>
    <w:rsid w:val="0065236D"/>
    <w:rsid w:val="006544FA"/>
    <w:rsid w:val="0065456C"/>
    <w:rsid w:val="006548AB"/>
    <w:rsid w:val="00654B36"/>
    <w:rsid w:val="00657020"/>
    <w:rsid w:val="006605CB"/>
    <w:rsid w:val="00661B55"/>
    <w:rsid w:val="00661DEE"/>
    <w:rsid w:val="00663795"/>
    <w:rsid w:val="00663F0C"/>
    <w:rsid w:val="00665929"/>
    <w:rsid w:val="00666B34"/>
    <w:rsid w:val="006676EF"/>
    <w:rsid w:val="00667ADA"/>
    <w:rsid w:val="00667E18"/>
    <w:rsid w:val="00670C0A"/>
    <w:rsid w:val="006714A6"/>
    <w:rsid w:val="00673EAD"/>
    <w:rsid w:val="00676E4D"/>
    <w:rsid w:val="0067728E"/>
    <w:rsid w:val="00680D0E"/>
    <w:rsid w:val="0068493A"/>
    <w:rsid w:val="00684960"/>
    <w:rsid w:val="00684A41"/>
    <w:rsid w:val="00685B9F"/>
    <w:rsid w:val="006868D5"/>
    <w:rsid w:val="00686970"/>
    <w:rsid w:val="006876BF"/>
    <w:rsid w:val="00687D69"/>
    <w:rsid w:val="0069051F"/>
    <w:rsid w:val="0069095A"/>
    <w:rsid w:val="00691530"/>
    <w:rsid w:val="00692541"/>
    <w:rsid w:val="006928A4"/>
    <w:rsid w:val="00692ACD"/>
    <w:rsid w:val="00695061"/>
    <w:rsid w:val="006952F4"/>
    <w:rsid w:val="0069649A"/>
    <w:rsid w:val="00696A07"/>
    <w:rsid w:val="00696AB4"/>
    <w:rsid w:val="00696EBD"/>
    <w:rsid w:val="00697B28"/>
    <w:rsid w:val="006A0A80"/>
    <w:rsid w:val="006A0EC2"/>
    <w:rsid w:val="006A12BF"/>
    <w:rsid w:val="006A4658"/>
    <w:rsid w:val="006A5282"/>
    <w:rsid w:val="006A6470"/>
    <w:rsid w:val="006A7B78"/>
    <w:rsid w:val="006A7FA9"/>
    <w:rsid w:val="006B0883"/>
    <w:rsid w:val="006B675B"/>
    <w:rsid w:val="006B6A43"/>
    <w:rsid w:val="006C1145"/>
    <w:rsid w:val="006C276C"/>
    <w:rsid w:val="006C58A2"/>
    <w:rsid w:val="006C65FB"/>
    <w:rsid w:val="006C7342"/>
    <w:rsid w:val="006C7A6C"/>
    <w:rsid w:val="006C7EF3"/>
    <w:rsid w:val="006D077C"/>
    <w:rsid w:val="006D1729"/>
    <w:rsid w:val="006D1EF6"/>
    <w:rsid w:val="006D296D"/>
    <w:rsid w:val="006D29D3"/>
    <w:rsid w:val="006D2D6D"/>
    <w:rsid w:val="006D31F5"/>
    <w:rsid w:val="006D4258"/>
    <w:rsid w:val="006D5080"/>
    <w:rsid w:val="006D522B"/>
    <w:rsid w:val="006D524D"/>
    <w:rsid w:val="006D537D"/>
    <w:rsid w:val="006D66FA"/>
    <w:rsid w:val="006D6FAF"/>
    <w:rsid w:val="006D72D7"/>
    <w:rsid w:val="006E0C7D"/>
    <w:rsid w:val="006E1228"/>
    <w:rsid w:val="006E1391"/>
    <w:rsid w:val="006E1A45"/>
    <w:rsid w:val="006E1AA8"/>
    <w:rsid w:val="006E4058"/>
    <w:rsid w:val="006E4B04"/>
    <w:rsid w:val="006E4E08"/>
    <w:rsid w:val="006E59C2"/>
    <w:rsid w:val="006E5DD1"/>
    <w:rsid w:val="006E6168"/>
    <w:rsid w:val="006E67E5"/>
    <w:rsid w:val="006E6B90"/>
    <w:rsid w:val="006E750A"/>
    <w:rsid w:val="006E7EAD"/>
    <w:rsid w:val="006F0D56"/>
    <w:rsid w:val="006F0E95"/>
    <w:rsid w:val="006F1FB9"/>
    <w:rsid w:val="006F3178"/>
    <w:rsid w:val="006F3C31"/>
    <w:rsid w:val="006F6894"/>
    <w:rsid w:val="006F7A0B"/>
    <w:rsid w:val="00700A89"/>
    <w:rsid w:val="00701641"/>
    <w:rsid w:val="007018AC"/>
    <w:rsid w:val="00702DD3"/>
    <w:rsid w:val="00703B56"/>
    <w:rsid w:val="00703E3E"/>
    <w:rsid w:val="0070552B"/>
    <w:rsid w:val="00707758"/>
    <w:rsid w:val="007100BA"/>
    <w:rsid w:val="007110B9"/>
    <w:rsid w:val="00711832"/>
    <w:rsid w:val="00713561"/>
    <w:rsid w:val="00713943"/>
    <w:rsid w:val="007144E1"/>
    <w:rsid w:val="007145AD"/>
    <w:rsid w:val="00714B1B"/>
    <w:rsid w:val="00715F67"/>
    <w:rsid w:val="00717ED1"/>
    <w:rsid w:val="00720630"/>
    <w:rsid w:val="00721F6F"/>
    <w:rsid w:val="0072346E"/>
    <w:rsid w:val="00723A84"/>
    <w:rsid w:val="007242F9"/>
    <w:rsid w:val="00725D82"/>
    <w:rsid w:val="007277E5"/>
    <w:rsid w:val="007279B8"/>
    <w:rsid w:val="00727D69"/>
    <w:rsid w:val="00730AE3"/>
    <w:rsid w:val="007353B0"/>
    <w:rsid w:val="00735D57"/>
    <w:rsid w:val="00736BC2"/>
    <w:rsid w:val="0073702C"/>
    <w:rsid w:val="00737156"/>
    <w:rsid w:val="007372F7"/>
    <w:rsid w:val="00737A80"/>
    <w:rsid w:val="00740BAC"/>
    <w:rsid w:val="00740F6D"/>
    <w:rsid w:val="007419B8"/>
    <w:rsid w:val="00742C77"/>
    <w:rsid w:val="00745306"/>
    <w:rsid w:val="0074604F"/>
    <w:rsid w:val="0074787A"/>
    <w:rsid w:val="007500D4"/>
    <w:rsid w:val="00752C9A"/>
    <w:rsid w:val="007534FB"/>
    <w:rsid w:val="00754043"/>
    <w:rsid w:val="00754188"/>
    <w:rsid w:val="00755ED1"/>
    <w:rsid w:val="007567F1"/>
    <w:rsid w:val="00756EF9"/>
    <w:rsid w:val="00760098"/>
    <w:rsid w:val="0076164C"/>
    <w:rsid w:val="007616E1"/>
    <w:rsid w:val="0076239F"/>
    <w:rsid w:val="00764D61"/>
    <w:rsid w:val="0076733D"/>
    <w:rsid w:val="00776D22"/>
    <w:rsid w:val="00780C24"/>
    <w:rsid w:val="00780F62"/>
    <w:rsid w:val="0078161F"/>
    <w:rsid w:val="00783746"/>
    <w:rsid w:val="00783CC0"/>
    <w:rsid w:val="00785337"/>
    <w:rsid w:val="007861D7"/>
    <w:rsid w:val="0078753C"/>
    <w:rsid w:val="0079033F"/>
    <w:rsid w:val="00790F10"/>
    <w:rsid w:val="007917E5"/>
    <w:rsid w:val="00791CD4"/>
    <w:rsid w:val="00792D70"/>
    <w:rsid w:val="00795189"/>
    <w:rsid w:val="00796154"/>
    <w:rsid w:val="007978B0"/>
    <w:rsid w:val="00797E67"/>
    <w:rsid w:val="007A3343"/>
    <w:rsid w:val="007A3526"/>
    <w:rsid w:val="007A3C1B"/>
    <w:rsid w:val="007A40C9"/>
    <w:rsid w:val="007A4930"/>
    <w:rsid w:val="007A6AC7"/>
    <w:rsid w:val="007B0E25"/>
    <w:rsid w:val="007B1F9B"/>
    <w:rsid w:val="007B29C5"/>
    <w:rsid w:val="007B2FEE"/>
    <w:rsid w:val="007B33F6"/>
    <w:rsid w:val="007B48FE"/>
    <w:rsid w:val="007B5137"/>
    <w:rsid w:val="007B6BE1"/>
    <w:rsid w:val="007B75C0"/>
    <w:rsid w:val="007C20B3"/>
    <w:rsid w:val="007C2466"/>
    <w:rsid w:val="007C4204"/>
    <w:rsid w:val="007C474E"/>
    <w:rsid w:val="007C6B87"/>
    <w:rsid w:val="007C6BE7"/>
    <w:rsid w:val="007C7C08"/>
    <w:rsid w:val="007D1991"/>
    <w:rsid w:val="007D3618"/>
    <w:rsid w:val="007D3C6C"/>
    <w:rsid w:val="007D4679"/>
    <w:rsid w:val="007D481D"/>
    <w:rsid w:val="007D56B1"/>
    <w:rsid w:val="007D60A7"/>
    <w:rsid w:val="007D64B8"/>
    <w:rsid w:val="007E004D"/>
    <w:rsid w:val="007E0C9E"/>
    <w:rsid w:val="007E341F"/>
    <w:rsid w:val="007E4EE5"/>
    <w:rsid w:val="007E5425"/>
    <w:rsid w:val="007E55B3"/>
    <w:rsid w:val="007E612B"/>
    <w:rsid w:val="007E70FC"/>
    <w:rsid w:val="007F077E"/>
    <w:rsid w:val="007F0A20"/>
    <w:rsid w:val="007F11ED"/>
    <w:rsid w:val="007F218D"/>
    <w:rsid w:val="007F2C23"/>
    <w:rsid w:val="007F5CD1"/>
    <w:rsid w:val="007F638C"/>
    <w:rsid w:val="007F70F9"/>
    <w:rsid w:val="007F7326"/>
    <w:rsid w:val="0080079E"/>
    <w:rsid w:val="00800854"/>
    <w:rsid w:val="00801007"/>
    <w:rsid w:val="008023B3"/>
    <w:rsid w:val="00802885"/>
    <w:rsid w:val="00802951"/>
    <w:rsid w:val="0080377E"/>
    <w:rsid w:val="00805703"/>
    <w:rsid w:val="008101CE"/>
    <w:rsid w:val="008101D7"/>
    <w:rsid w:val="008110B7"/>
    <w:rsid w:val="008115A8"/>
    <w:rsid w:val="00811CED"/>
    <w:rsid w:val="00812ED7"/>
    <w:rsid w:val="00814693"/>
    <w:rsid w:val="00815953"/>
    <w:rsid w:val="00817C5F"/>
    <w:rsid w:val="008213DF"/>
    <w:rsid w:val="00821DA6"/>
    <w:rsid w:val="008238EB"/>
    <w:rsid w:val="008241A0"/>
    <w:rsid w:val="00825343"/>
    <w:rsid w:val="0082560B"/>
    <w:rsid w:val="00826F0B"/>
    <w:rsid w:val="00827436"/>
    <w:rsid w:val="00827947"/>
    <w:rsid w:val="00827FA7"/>
    <w:rsid w:val="00830ADB"/>
    <w:rsid w:val="00836536"/>
    <w:rsid w:val="008373CD"/>
    <w:rsid w:val="00837B4F"/>
    <w:rsid w:val="008405F7"/>
    <w:rsid w:val="00842016"/>
    <w:rsid w:val="00842111"/>
    <w:rsid w:val="00842812"/>
    <w:rsid w:val="008428E7"/>
    <w:rsid w:val="00843FF1"/>
    <w:rsid w:val="00844AD8"/>
    <w:rsid w:val="00844DA5"/>
    <w:rsid w:val="00845FE2"/>
    <w:rsid w:val="0084635F"/>
    <w:rsid w:val="0084701C"/>
    <w:rsid w:val="00851A4F"/>
    <w:rsid w:val="00853718"/>
    <w:rsid w:val="00853D63"/>
    <w:rsid w:val="00853F08"/>
    <w:rsid w:val="00854A3C"/>
    <w:rsid w:val="008556E4"/>
    <w:rsid w:val="00855944"/>
    <w:rsid w:val="00855F25"/>
    <w:rsid w:val="008577A8"/>
    <w:rsid w:val="00857A75"/>
    <w:rsid w:val="008601D0"/>
    <w:rsid w:val="00861005"/>
    <w:rsid w:val="00861AAF"/>
    <w:rsid w:val="008629D0"/>
    <w:rsid w:val="008640A0"/>
    <w:rsid w:val="00865015"/>
    <w:rsid w:val="0086631A"/>
    <w:rsid w:val="00870A55"/>
    <w:rsid w:val="00870EC4"/>
    <w:rsid w:val="00871BBA"/>
    <w:rsid w:val="00872032"/>
    <w:rsid w:val="008723DD"/>
    <w:rsid w:val="008725F9"/>
    <w:rsid w:val="00872C13"/>
    <w:rsid w:val="00874F67"/>
    <w:rsid w:val="00875625"/>
    <w:rsid w:val="00881BFC"/>
    <w:rsid w:val="00881CCA"/>
    <w:rsid w:val="00882ABB"/>
    <w:rsid w:val="00883D6A"/>
    <w:rsid w:val="008842CF"/>
    <w:rsid w:val="00884907"/>
    <w:rsid w:val="00884C69"/>
    <w:rsid w:val="00886D7B"/>
    <w:rsid w:val="008870BD"/>
    <w:rsid w:val="0089041F"/>
    <w:rsid w:val="008905ED"/>
    <w:rsid w:val="0089162C"/>
    <w:rsid w:val="00891AB1"/>
    <w:rsid w:val="0089308D"/>
    <w:rsid w:val="00893DA2"/>
    <w:rsid w:val="00894542"/>
    <w:rsid w:val="00896A78"/>
    <w:rsid w:val="0089794D"/>
    <w:rsid w:val="008A3C27"/>
    <w:rsid w:val="008A71F6"/>
    <w:rsid w:val="008B1384"/>
    <w:rsid w:val="008B144C"/>
    <w:rsid w:val="008B1CA0"/>
    <w:rsid w:val="008B1D1B"/>
    <w:rsid w:val="008B1F91"/>
    <w:rsid w:val="008B232B"/>
    <w:rsid w:val="008B2556"/>
    <w:rsid w:val="008B28B9"/>
    <w:rsid w:val="008B39D5"/>
    <w:rsid w:val="008B3FED"/>
    <w:rsid w:val="008B5457"/>
    <w:rsid w:val="008B5DD7"/>
    <w:rsid w:val="008B6D98"/>
    <w:rsid w:val="008C0C1B"/>
    <w:rsid w:val="008C0EA9"/>
    <w:rsid w:val="008C1FF0"/>
    <w:rsid w:val="008C38A7"/>
    <w:rsid w:val="008C4812"/>
    <w:rsid w:val="008C65CE"/>
    <w:rsid w:val="008C69B8"/>
    <w:rsid w:val="008C6D7E"/>
    <w:rsid w:val="008D1E6A"/>
    <w:rsid w:val="008D28A2"/>
    <w:rsid w:val="008D59AE"/>
    <w:rsid w:val="008D59CC"/>
    <w:rsid w:val="008D6583"/>
    <w:rsid w:val="008E0F6D"/>
    <w:rsid w:val="008E1DFE"/>
    <w:rsid w:val="008E2257"/>
    <w:rsid w:val="008E471C"/>
    <w:rsid w:val="008E4F50"/>
    <w:rsid w:val="008E7DC2"/>
    <w:rsid w:val="008F2431"/>
    <w:rsid w:val="008F2A0E"/>
    <w:rsid w:val="008F32EC"/>
    <w:rsid w:val="008F40E9"/>
    <w:rsid w:val="008F4C80"/>
    <w:rsid w:val="008F72EF"/>
    <w:rsid w:val="00900602"/>
    <w:rsid w:val="00901CF7"/>
    <w:rsid w:val="00902835"/>
    <w:rsid w:val="0090420A"/>
    <w:rsid w:val="00905488"/>
    <w:rsid w:val="00906F90"/>
    <w:rsid w:val="00907C2C"/>
    <w:rsid w:val="00910DFE"/>
    <w:rsid w:val="00913EA2"/>
    <w:rsid w:val="00914075"/>
    <w:rsid w:val="00914306"/>
    <w:rsid w:val="00915656"/>
    <w:rsid w:val="0092054C"/>
    <w:rsid w:val="00920CAB"/>
    <w:rsid w:val="00920FCF"/>
    <w:rsid w:val="0092149F"/>
    <w:rsid w:val="0092172E"/>
    <w:rsid w:val="00922674"/>
    <w:rsid w:val="009229BC"/>
    <w:rsid w:val="00922A73"/>
    <w:rsid w:val="0092366F"/>
    <w:rsid w:val="00924FD4"/>
    <w:rsid w:val="009262FD"/>
    <w:rsid w:val="009275EA"/>
    <w:rsid w:val="009278D0"/>
    <w:rsid w:val="00930CDC"/>
    <w:rsid w:val="00930EA9"/>
    <w:rsid w:val="00932C6A"/>
    <w:rsid w:val="00933DDD"/>
    <w:rsid w:val="00933FB8"/>
    <w:rsid w:val="00934AB4"/>
    <w:rsid w:val="00935D6E"/>
    <w:rsid w:val="009363AB"/>
    <w:rsid w:val="00936D7C"/>
    <w:rsid w:val="009372C5"/>
    <w:rsid w:val="00940ED1"/>
    <w:rsid w:val="0094271D"/>
    <w:rsid w:val="00943C7D"/>
    <w:rsid w:val="00944499"/>
    <w:rsid w:val="00944B08"/>
    <w:rsid w:val="00944EA3"/>
    <w:rsid w:val="00946B7A"/>
    <w:rsid w:val="00947716"/>
    <w:rsid w:val="00947A9E"/>
    <w:rsid w:val="00950D71"/>
    <w:rsid w:val="00951529"/>
    <w:rsid w:val="00951981"/>
    <w:rsid w:val="00952EC2"/>
    <w:rsid w:val="009542B3"/>
    <w:rsid w:val="00954905"/>
    <w:rsid w:val="00956C11"/>
    <w:rsid w:val="00956E62"/>
    <w:rsid w:val="009570C0"/>
    <w:rsid w:val="00960EDC"/>
    <w:rsid w:val="0096227E"/>
    <w:rsid w:val="00962ECE"/>
    <w:rsid w:val="00965343"/>
    <w:rsid w:val="009658EA"/>
    <w:rsid w:val="00966906"/>
    <w:rsid w:val="00966A18"/>
    <w:rsid w:val="0096705F"/>
    <w:rsid w:val="00967683"/>
    <w:rsid w:val="00970154"/>
    <w:rsid w:val="00972247"/>
    <w:rsid w:val="009729E3"/>
    <w:rsid w:val="00973097"/>
    <w:rsid w:val="00977062"/>
    <w:rsid w:val="00977A51"/>
    <w:rsid w:val="00980860"/>
    <w:rsid w:val="00980ACD"/>
    <w:rsid w:val="00981121"/>
    <w:rsid w:val="009819D7"/>
    <w:rsid w:val="00986795"/>
    <w:rsid w:val="009871F6"/>
    <w:rsid w:val="009873BF"/>
    <w:rsid w:val="0098766D"/>
    <w:rsid w:val="00987941"/>
    <w:rsid w:val="009911B8"/>
    <w:rsid w:val="00991B68"/>
    <w:rsid w:val="00993C49"/>
    <w:rsid w:val="00993F5B"/>
    <w:rsid w:val="00995923"/>
    <w:rsid w:val="00996037"/>
    <w:rsid w:val="009974D1"/>
    <w:rsid w:val="009A1111"/>
    <w:rsid w:val="009A18B5"/>
    <w:rsid w:val="009A2504"/>
    <w:rsid w:val="009A26E0"/>
    <w:rsid w:val="009A5987"/>
    <w:rsid w:val="009B115E"/>
    <w:rsid w:val="009B153C"/>
    <w:rsid w:val="009B186A"/>
    <w:rsid w:val="009B1D52"/>
    <w:rsid w:val="009B2179"/>
    <w:rsid w:val="009B2284"/>
    <w:rsid w:val="009B421A"/>
    <w:rsid w:val="009B497D"/>
    <w:rsid w:val="009B5850"/>
    <w:rsid w:val="009B6063"/>
    <w:rsid w:val="009B6415"/>
    <w:rsid w:val="009C25A7"/>
    <w:rsid w:val="009C27F2"/>
    <w:rsid w:val="009C4E43"/>
    <w:rsid w:val="009C7DA3"/>
    <w:rsid w:val="009D06CA"/>
    <w:rsid w:val="009D28F0"/>
    <w:rsid w:val="009D315C"/>
    <w:rsid w:val="009D4806"/>
    <w:rsid w:val="009D59BE"/>
    <w:rsid w:val="009D68BB"/>
    <w:rsid w:val="009D76E7"/>
    <w:rsid w:val="009E0114"/>
    <w:rsid w:val="009E1488"/>
    <w:rsid w:val="009E167E"/>
    <w:rsid w:val="009E1A3F"/>
    <w:rsid w:val="009E2915"/>
    <w:rsid w:val="009E4450"/>
    <w:rsid w:val="009E60E3"/>
    <w:rsid w:val="009E6BED"/>
    <w:rsid w:val="009E6ED9"/>
    <w:rsid w:val="009E6EDE"/>
    <w:rsid w:val="009F026D"/>
    <w:rsid w:val="009F0F31"/>
    <w:rsid w:val="009F2224"/>
    <w:rsid w:val="009F2388"/>
    <w:rsid w:val="009F289E"/>
    <w:rsid w:val="009F388C"/>
    <w:rsid w:val="009F44E9"/>
    <w:rsid w:val="009F4BD0"/>
    <w:rsid w:val="009F4FC4"/>
    <w:rsid w:val="009F54F6"/>
    <w:rsid w:val="009F6AC9"/>
    <w:rsid w:val="009F760E"/>
    <w:rsid w:val="00A006D9"/>
    <w:rsid w:val="00A0080F"/>
    <w:rsid w:val="00A023BA"/>
    <w:rsid w:val="00A04019"/>
    <w:rsid w:val="00A05176"/>
    <w:rsid w:val="00A06262"/>
    <w:rsid w:val="00A06D04"/>
    <w:rsid w:val="00A11F35"/>
    <w:rsid w:val="00A124AE"/>
    <w:rsid w:val="00A12B4D"/>
    <w:rsid w:val="00A14529"/>
    <w:rsid w:val="00A147C0"/>
    <w:rsid w:val="00A14D45"/>
    <w:rsid w:val="00A1692F"/>
    <w:rsid w:val="00A171F2"/>
    <w:rsid w:val="00A205E3"/>
    <w:rsid w:val="00A20D4B"/>
    <w:rsid w:val="00A24B2D"/>
    <w:rsid w:val="00A2540E"/>
    <w:rsid w:val="00A259BA"/>
    <w:rsid w:val="00A25D52"/>
    <w:rsid w:val="00A25E8C"/>
    <w:rsid w:val="00A26ADC"/>
    <w:rsid w:val="00A30082"/>
    <w:rsid w:val="00A303E3"/>
    <w:rsid w:val="00A30F71"/>
    <w:rsid w:val="00A311C3"/>
    <w:rsid w:val="00A31889"/>
    <w:rsid w:val="00A31E06"/>
    <w:rsid w:val="00A32A37"/>
    <w:rsid w:val="00A32E2F"/>
    <w:rsid w:val="00A33E0B"/>
    <w:rsid w:val="00A34A0F"/>
    <w:rsid w:val="00A3586F"/>
    <w:rsid w:val="00A37167"/>
    <w:rsid w:val="00A376AB"/>
    <w:rsid w:val="00A3785B"/>
    <w:rsid w:val="00A379A0"/>
    <w:rsid w:val="00A43A57"/>
    <w:rsid w:val="00A43C22"/>
    <w:rsid w:val="00A43CAB"/>
    <w:rsid w:val="00A4431D"/>
    <w:rsid w:val="00A47C9E"/>
    <w:rsid w:val="00A522A3"/>
    <w:rsid w:val="00A529BD"/>
    <w:rsid w:val="00A52C26"/>
    <w:rsid w:val="00A54227"/>
    <w:rsid w:val="00A55994"/>
    <w:rsid w:val="00A5639E"/>
    <w:rsid w:val="00A56714"/>
    <w:rsid w:val="00A56CF1"/>
    <w:rsid w:val="00A578CF"/>
    <w:rsid w:val="00A63313"/>
    <w:rsid w:val="00A648D3"/>
    <w:rsid w:val="00A64D2A"/>
    <w:rsid w:val="00A64EA6"/>
    <w:rsid w:val="00A659C8"/>
    <w:rsid w:val="00A65C02"/>
    <w:rsid w:val="00A66D74"/>
    <w:rsid w:val="00A67670"/>
    <w:rsid w:val="00A70155"/>
    <w:rsid w:val="00A709AD"/>
    <w:rsid w:val="00A72FE4"/>
    <w:rsid w:val="00A73034"/>
    <w:rsid w:val="00A73291"/>
    <w:rsid w:val="00A734AF"/>
    <w:rsid w:val="00A76756"/>
    <w:rsid w:val="00A80102"/>
    <w:rsid w:val="00A805CD"/>
    <w:rsid w:val="00A8387B"/>
    <w:rsid w:val="00A8407A"/>
    <w:rsid w:val="00A85449"/>
    <w:rsid w:val="00A85E73"/>
    <w:rsid w:val="00A86891"/>
    <w:rsid w:val="00A91118"/>
    <w:rsid w:val="00A9234C"/>
    <w:rsid w:val="00A93082"/>
    <w:rsid w:val="00A934C4"/>
    <w:rsid w:val="00A93C71"/>
    <w:rsid w:val="00A93D1A"/>
    <w:rsid w:val="00A941DB"/>
    <w:rsid w:val="00A94EDB"/>
    <w:rsid w:val="00A955A2"/>
    <w:rsid w:val="00A95638"/>
    <w:rsid w:val="00A95BDF"/>
    <w:rsid w:val="00A96114"/>
    <w:rsid w:val="00A970C2"/>
    <w:rsid w:val="00A974B2"/>
    <w:rsid w:val="00AA0DFE"/>
    <w:rsid w:val="00AA260C"/>
    <w:rsid w:val="00AA41E9"/>
    <w:rsid w:val="00AA5944"/>
    <w:rsid w:val="00AA6C12"/>
    <w:rsid w:val="00AA7E2C"/>
    <w:rsid w:val="00AA7E74"/>
    <w:rsid w:val="00AB03ED"/>
    <w:rsid w:val="00AB1688"/>
    <w:rsid w:val="00AB1BD7"/>
    <w:rsid w:val="00AB2429"/>
    <w:rsid w:val="00AB5186"/>
    <w:rsid w:val="00AC006C"/>
    <w:rsid w:val="00AC078E"/>
    <w:rsid w:val="00AC0934"/>
    <w:rsid w:val="00AC0B37"/>
    <w:rsid w:val="00AC23A6"/>
    <w:rsid w:val="00AC2E7B"/>
    <w:rsid w:val="00AC37E7"/>
    <w:rsid w:val="00AC471A"/>
    <w:rsid w:val="00AC62F4"/>
    <w:rsid w:val="00AC6DC5"/>
    <w:rsid w:val="00AD0F14"/>
    <w:rsid w:val="00AD2686"/>
    <w:rsid w:val="00AD3103"/>
    <w:rsid w:val="00AD3201"/>
    <w:rsid w:val="00AD6466"/>
    <w:rsid w:val="00AE1C04"/>
    <w:rsid w:val="00AE2952"/>
    <w:rsid w:val="00AE2B3E"/>
    <w:rsid w:val="00AE4FE4"/>
    <w:rsid w:val="00AE5824"/>
    <w:rsid w:val="00AE7388"/>
    <w:rsid w:val="00AF09B0"/>
    <w:rsid w:val="00AF1A2B"/>
    <w:rsid w:val="00AF4B8F"/>
    <w:rsid w:val="00AF6804"/>
    <w:rsid w:val="00AF7350"/>
    <w:rsid w:val="00AF73C0"/>
    <w:rsid w:val="00AF79AC"/>
    <w:rsid w:val="00AF7DAC"/>
    <w:rsid w:val="00AF7FC4"/>
    <w:rsid w:val="00B018CD"/>
    <w:rsid w:val="00B01EBA"/>
    <w:rsid w:val="00B02CA2"/>
    <w:rsid w:val="00B03232"/>
    <w:rsid w:val="00B0532D"/>
    <w:rsid w:val="00B05D59"/>
    <w:rsid w:val="00B05EF8"/>
    <w:rsid w:val="00B06031"/>
    <w:rsid w:val="00B06066"/>
    <w:rsid w:val="00B06177"/>
    <w:rsid w:val="00B10A34"/>
    <w:rsid w:val="00B12B55"/>
    <w:rsid w:val="00B13926"/>
    <w:rsid w:val="00B13DB9"/>
    <w:rsid w:val="00B147A7"/>
    <w:rsid w:val="00B151E2"/>
    <w:rsid w:val="00B1591D"/>
    <w:rsid w:val="00B15999"/>
    <w:rsid w:val="00B168FA"/>
    <w:rsid w:val="00B16BC6"/>
    <w:rsid w:val="00B17E7D"/>
    <w:rsid w:val="00B2586C"/>
    <w:rsid w:val="00B26161"/>
    <w:rsid w:val="00B30297"/>
    <w:rsid w:val="00B303B7"/>
    <w:rsid w:val="00B3046A"/>
    <w:rsid w:val="00B30B2F"/>
    <w:rsid w:val="00B30ED2"/>
    <w:rsid w:val="00B3221E"/>
    <w:rsid w:val="00B33F54"/>
    <w:rsid w:val="00B34E08"/>
    <w:rsid w:val="00B377D7"/>
    <w:rsid w:val="00B37CB9"/>
    <w:rsid w:val="00B40723"/>
    <w:rsid w:val="00B4115D"/>
    <w:rsid w:val="00B42A35"/>
    <w:rsid w:val="00B42AC4"/>
    <w:rsid w:val="00B43D9B"/>
    <w:rsid w:val="00B445B9"/>
    <w:rsid w:val="00B45CDE"/>
    <w:rsid w:val="00B45D81"/>
    <w:rsid w:val="00B50693"/>
    <w:rsid w:val="00B51369"/>
    <w:rsid w:val="00B51B8B"/>
    <w:rsid w:val="00B52888"/>
    <w:rsid w:val="00B54EB9"/>
    <w:rsid w:val="00B55634"/>
    <w:rsid w:val="00B55909"/>
    <w:rsid w:val="00B55F4B"/>
    <w:rsid w:val="00B565B9"/>
    <w:rsid w:val="00B57BA9"/>
    <w:rsid w:val="00B60FF2"/>
    <w:rsid w:val="00B6157E"/>
    <w:rsid w:val="00B62281"/>
    <w:rsid w:val="00B634FD"/>
    <w:rsid w:val="00B63D66"/>
    <w:rsid w:val="00B6519F"/>
    <w:rsid w:val="00B65B14"/>
    <w:rsid w:val="00B701FE"/>
    <w:rsid w:val="00B70F85"/>
    <w:rsid w:val="00B719B9"/>
    <w:rsid w:val="00B7798B"/>
    <w:rsid w:val="00B8050C"/>
    <w:rsid w:val="00B81A77"/>
    <w:rsid w:val="00B81D72"/>
    <w:rsid w:val="00B83419"/>
    <w:rsid w:val="00B837D6"/>
    <w:rsid w:val="00B84324"/>
    <w:rsid w:val="00B85AC5"/>
    <w:rsid w:val="00B86C64"/>
    <w:rsid w:val="00B87160"/>
    <w:rsid w:val="00B90432"/>
    <w:rsid w:val="00B91E8B"/>
    <w:rsid w:val="00B92396"/>
    <w:rsid w:val="00B938F6"/>
    <w:rsid w:val="00B94D5A"/>
    <w:rsid w:val="00B963C6"/>
    <w:rsid w:val="00B967B6"/>
    <w:rsid w:val="00BA0ACE"/>
    <w:rsid w:val="00BA1CEE"/>
    <w:rsid w:val="00BA2D66"/>
    <w:rsid w:val="00BA38AE"/>
    <w:rsid w:val="00BA469B"/>
    <w:rsid w:val="00BA57D0"/>
    <w:rsid w:val="00BA687B"/>
    <w:rsid w:val="00BA6928"/>
    <w:rsid w:val="00BB0AAA"/>
    <w:rsid w:val="00BB2412"/>
    <w:rsid w:val="00BB2C1F"/>
    <w:rsid w:val="00BB37D8"/>
    <w:rsid w:val="00BB384E"/>
    <w:rsid w:val="00BB3E98"/>
    <w:rsid w:val="00BB3FE6"/>
    <w:rsid w:val="00BB5F93"/>
    <w:rsid w:val="00BB6581"/>
    <w:rsid w:val="00BC09F5"/>
    <w:rsid w:val="00BC0FD6"/>
    <w:rsid w:val="00BC1119"/>
    <w:rsid w:val="00BC113F"/>
    <w:rsid w:val="00BC3146"/>
    <w:rsid w:val="00BC4915"/>
    <w:rsid w:val="00BD08F0"/>
    <w:rsid w:val="00BD0A39"/>
    <w:rsid w:val="00BD1CE0"/>
    <w:rsid w:val="00BD24CA"/>
    <w:rsid w:val="00BD3EEF"/>
    <w:rsid w:val="00BD6637"/>
    <w:rsid w:val="00BD78E4"/>
    <w:rsid w:val="00BD7AA4"/>
    <w:rsid w:val="00BE076F"/>
    <w:rsid w:val="00BE0B44"/>
    <w:rsid w:val="00BE0C92"/>
    <w:rsid w:val="00BE1222"/>
    <w:rsid w:val="00BE1A7E"/>
    <w:rsid w:val="00BE386C"/>
    <w:rsid w:val="00BE43CC"/>
    <w:rsid w:val="00BE4CBC"/>
    <w:rsid w:val="00BF1059"/>
    <w:rsid w:val="00BF18CD"/>
    <w:rsid w:val="00BF2FAC"/>
    <w:rsid w:val="00BF42E0"/>
    <w:rsid w:val="00BF4D65"/>
    <w:rsid w:val="00BF7692"/>
    <w:rsid w:val="00C00281"/>
    <w:rsid w:val="00C008C9"/>
    <w:rsid w:val="00C01148"/>
    <w:rsid w:val="00C0123C"/>
    <w:rsid w:val="00C01907"/>
    <w:rsid w:val="00C01943"/>
    <w:rsid w:val="00C01E1E"/>
    <w:rsid w:val="00C04B6F"/>
    <w:rsid w:val="00C051F3"/>
    <w:rsid w:val="00C058F2"/>
    <w:rsid w:val="00C05DF5"/>
    <w:rsid w:val="00C06555"/>
    <w:rsid w:val="00C06AF6"/>
    <w:rsid w:val="00C06F57"/>
    <w:rsid w:val="00C110A1"/>
    <w:rsid w:val="00C12C9F"/>
    <w:rsid w:val="00C160BB"/>
    <w:rsid w:val="00C165F1"/>
    <w:rsid w:val="00C21132"/>
    <w:rsid w:val="00C216E3"/>
    <w:rsid w:val="00C23136"/>
    <w:rsid w:val="00C234C3"/>
    <w:rsid w:val="00C239F8"/>
    <w:rsid w:val="00C25013"/>
    <w:rsid w:val="00C27CD9"/>
    <w:rsid w:val="00C301EB"/>
    <w:rsid w:val="00C31FC0"/>
    <w:rsid w:val="00C32C64"/>
    <w:rsid w:val="00C34CF8"/>
    <w:rsid w:val="00C3544B"/>
    <w:rsid w:val="00C36094"/>
    <w:rsid w:val="00C37DDF"/>
    <w:rsid w:val="00C4036F"/>
    <w:rsid w:val="00C40ED4"/>
    <w:rsid w:val="00C429C1"/>
    <w:rsid w:val="00C434B4"/>
    <w:rsid w:val="00C43A64"/>
    <w:rsid w:val="00C45FA2"/>
    <w:rsid w:val="00C46E22"/>
    <w:rsid w:val="00C47726"/>
    <w:rsid w:val="00C477E7"/>
    <w:rsid w:val="00C515D8"/>
    <w:rsid w:val="00C5192E"/>
    <w:rsid w:val="00C521EA"/>
    <w:rsid w:val="00C52E64"/>
    <w:rsid w:val="00C53653"/>
    <w:rsid w:val="00C5423E"/>
    <w:rsid w:val="00C54CA3"/>
    <w:rsid w:val="00C55777"/>
    <w:rsid w:val="00C56093"/>
    <w:rsid w:val="00C63948"/>
    <w:rsid w:val="00C644D3"/>
    <w:rsid w:val="00C64D07"/>
    <w:rsid w:val="00C65387"/>
    <w:rsid w:val="00C65813"/>
    <w:rsid w:val="00C67208"/>
    <w:rsid w:val="00C678A4"/>
    <w:rsid w:val="00C67CD0"/>
    <w:rsid w:val="00C711C6"/>
    <w:rsid w:val="00C72607"/>
    <w:rsid w:val="00C726D9"/>
    <w:rsid w:val="00C729D6"/>
    <w:rsid w:val="00C7442F"/>
    <w:rsid w:val="00C7541E"/>
    <w:rsid w:val="00C77252"/>
    <w:rsid w:val="00C800FA"/>
    <w:rsid w:val="00C80255"/>
    <w:rsid w:val="00C81ADB"/>
    <w:rsid w:val="00C81F1F"/>
    <w:rsid w:val="00C82019"/>
    <w:rsid w:val="00C83123"/>
    <w:rsid w:val="00C83D4B"/>
    <w:rsid w:val="00C84E04"/>
    <w:rsid w:val="00C860A8"/>
    <w:rsid w:val="00C90831"/>
    <w:rsid w:val="00C9280A"/>
    <w:rsid w:val="00C93951"/>
    <w:rsid w:val="00C94D43"/>
    <w:rsid w:val="00C97BA1"/>
    <w:rsid w:val="00CA3975"/>
    <w:rsid w:val="00CA56DC"/>
    <w:rsid w:val="00CA5CAE"/>
    <w:rsid w:val="00CA620D"/>
    <w:rsid w:val="00CA6635"/>
    <w:rsid w:val="00CA75EB"/>
    <w:rsid w:val="00CA7832"/>
    <w:rsid w:val="00CB084E"/>
    <w:rsid w:val="00CB2713"/>
    <w:rsid w:val="00CB3074"/>
    <w:rsid w:val="00CB5805"/>
    <w:rsid w:val="00CB6821"/>
    <w:rsid w:val="00CB7E49"/>
    <w:rsid w:val="00CC1081"/>
    <w:rsid w:val="00CC11DC"/>
    <w:rsid w:val="00CC1225"/>
    <w:rsid w:val="00CC3162"/>
    <w:rsid w:val="00CC4674"/>
    <w:rsid w:val="00CC4A6A"/>
    <w:rsid w:val="00CC5E19"/>
    <w:rsid w:val="00CC604D"/>
    <w:rsid w:val="00CC69CA"/>
    <w:rsid w:val="00CC77C3"/>
    <w:rsid w:val="00CC783E"/>
    <w:rsid w:val="00CC7A18"/>
    <w:rsid w:val="00CC7B76"/>
    <w:rsid w:val="00CC7C2B"/>
    <w:rsid w:val="00CC7F99"/>
    <w:rsid w:val="00CD1024"/>
    <w:rsid w:val="00CD1903"/>
    <w:rsid w:val="00CD1BFF"/>
    <w:rsid w:val="00CD4564"/>
    <w:rsid w:val="00CD4BA9"/>
    <w:rsid w:val="00CD75DA"/>
    <w:rsid w:val="00CE0613"/>
    <w:rsid w:val="00CE2C9B"/>
    <w:rsid w:val="00CE3611"/>
    <w:rsid w:val="00CE46EF"/>
    <w:rsid w:val="00CE5E87"/>
    <w:rsid w:val="00CE6086"/>
    <w:rsid w:val="00CE75BD"/>
    <w:rsid w:val="00CF0A7E"/>
    <w:rsid w:val="00CF0D44"/>
    <w:rsid w:val="00CF1480"/>
    <w:rsid w:val="00CF2BD5"/>
    <w:rsid w:val="00CF3B7F"/>
    <w:rsid w:val="00CF5014"/>
    <w:rsid w:val="00CF5BF2"/>
    <w:rsid w:val="00CF5E1F"/>
    <w:rsid w:val="00CF696B"/>
    <w:rsid w:val="00CF792D"/>
    <w:rsid w:val="00D00AFD"/>
    <w:rsid w:val="00D030E2"/>
    <w:rsid w:val="00D0315C"/>
    <w:rsid w:val="00D0324C"/>
    <w:rsid w:val="00D10CBA"/>
    <w:rsid w:val="00D10EF7"/>
    <w:rsid w:val="00D12E74"/>
    <w:rsid w:val="00D13050"/>
    <w:rsid w:val="00D15273"/>
    <w:rsid w:val="00D16555"/>
    <w:rsid w:val="00D1701C"/>
    <w:rsid w:val="00D21122"/>
    <w:rsid w:val="00D2123B"/>
    <w:rsid w:val="00D21B66"/>
    <w:rsid w:val="00D21ED8"/>
    <w:rsid w:val="00D222B1"/>
    <w:rsid w:val="00D22CD6"/>
    <w:rsid w:val="00D2304B"/>
    <w:rsid w:val="00D23085"/>
    <w:rsid w:val="00D23B0B"/>
    <w:rsid w:val="00D23F19"/>
    <w:rsid w:val="00D23FCA"/>
    <w:rsid w:val="00D2406D"/>
    <w:rsid w:val="00D241CB"/>
    <w:rsid w:val="00D242C3"/>
    <w:rsid w:val="00D24E21"/>
    <w:rsid w:val="00D25A25"/>
    <w:rsid w:val="00D26109"/>
    <w:rsid w:val="00D26161"/>
    <w:rsid w:val="00D27BD0"/>
    <w:rsid w:val="00D3031D"/>
    <w:rsid w:val="00D30F1D"/>
    <w:rsid w:val="00D31DB6"/>
    <w:rsid w:val="00D34D01"/>
    <w:rsid w:val="00D36062"/>
    <w:rsid w:val="00D365B3"/>
    <w:rsid w:val="00D36996"/>
    <w:rsid w:val="00D403B1"/>
    <w:rsid w:val="00D40D16"/>
    <w:rsid w:val="00D41464"/>
    <w:rsid w:val="00D42503"/>
    <w:rsid w:val="00D443A6"/>
    <w:rsid w:val="00D4500F"/>
    <w:rsid w:val="00D45400"/>
    <w:rsid w:val="00D45860"/>
    <w:rsid w:val="00D45A3F"/>
    <w:rsid w:val="00D45C97"/>
    <w:rsid w:val="00D51A4D"/>
    <w:rsid w:val="00D52B7B"/>
    <w:rsid w:val="00D53D3C"/>
    <w:rsid w:val="00D53FB2"/>
    <w:rsid w:val="00D55338"/>
    <w:rsid w:val="00D56224"/>
    <w:rsid w:val="00D57792"/>
    <w:rsid w:val="00D57887"/>
    <w:rsid w:val="00D60802"/>
    <w:rsid w:val="00D618B4"/>
    <w:rsid w:val="00D62F9B"/>
    <w:rsid w:val="00D64806"/>
    <w:rsid w:val="00D64D4B"/>
    <w:rsid w:val="00D6530F"/>
    <w:rsid w:val="00D65998"/>
    <w:rsid w:val="00D6626C"/>
    <w:rsid w:val="00D6739E"/>
    <w:rsid w:val="00D67ADE"/>
    <w:rsid w:val="00D70776"/>
    <w:rsid w:val="00D73412"/>
    <w:rsid w:val="00D7360B"/>
    <w:rsid w:val="00D73AB7"/>
    <w:rsid w:val="00D76CBB"/>
    <w:rsid w:val="00D77457"/>
    <w:rsid w:val="00D774AF"/>
    <w:rsid w:val="00D77AAB"/>
    <w:rsid w:val="00D82483"/>
    <w:rsid w:val="00D83ED5"/>
    <w:rsid w:val="00D8540A"/>
    <w:rsid w:val="00D8573C"/>
    <w:rsid w:val="00D86EA9"/>
    <w:rsid w:val="00D8783D"/>
    <w:rsid w:val="00D90EA4"/>
    <w:rsid w:val="00D912A4"/>
    <w:rsid w:val="00D9173E"/>
    <w:rsid w:val="00D93D9C"/>
    <w:rsid w:val="00D95832"/>
    <w:rsid w:val="00D95CD2"/>
    <w:rsid w:val="00D964F9"/>
    <w:rsid w:val="00D96B58"/>
    <w:rsid w:val="00DA0C07"/>
    <w:rsid w:val="00DA222F"/>
    <w:rsid w:val="00DA235B"/>
    <w:rsid w:val="00DA3DC0"/>
    <w:rsid w:val="00DA3F2D"/>
    <w:rsid w:val="00DA5BB2"/>
    <w:rsid w:val="00DA6536"/>
    <w:rsid w:val="00DA7039"/>
    <w:rsid w:val="00DB03FA"/>
    <w:rsid w:val="00DB1EB1"/>
    <w:rsid w:val="00DB4346"/>
    <w:rsid w:val="00DB4784"/>
    <w:rsid w:val="00DB5EDF"/>
    <w:rsid w:val="00DB61F1"/>
    <w:rsid w:val="00DB6CFD"/>
    <w:rsid w:val="00DB75EF"/>
    <w:rsid w:val="00DB7F7B"/>
    <w:rsid w:val="00DC1181"/>
    <w:rsid w:val="00DC3AF0"/>
    <w:rsid w:val="00DC5662"/>
    <w:rsid w:val="00DC58F1"/>
    <w:rsid w:val="00DC789F"/>
    <w:rsid w:val="00DD00BC"/>
    <w:rsid w:val="00DD151B"/>
    <w:rsid w:val="00DD240D"/>
    <w:rsid w:val="00DD2698"/>
    <w:rsid w:val="00DD3265"/>
    <w:rsid w:val="00DD370D"/>
    <w:rsid w:val="00DD4F1C"/>
    <w:rsid w:val="00DD5CF5"/>
    <w:rsid w:val="00DD66AD"/>
    <w:rsid w:val="00DD6875"/>
    <w:rsid w:val="00DD7722"/>
    <w:rsid w:val="00DD7AE2"/>
    <w:rsid w:val="00DE3983"/>
    <w:rsid w:val="00DE3BB2"/>
    <w:rsid w:val="00DE40E1"/>
    <w:rsid w:val="00DE6F79"/>
    <w:rsid w:val="00DE721B"/>
    <w:rsid w:val="00DE749B"/>
    <w:rsid w:val="00DF0116"/>
    <w:rsid w:val="00DF069B"/>
    <w:rsid w:val="00DF0A11"/>
    <w:rsid w:val="00DF3632"/>
    <w:rsid w:val="00DF5A14"/>
    <w:rsid w:val="00DF5E24"/>
    <w:rsid w:val="00E00BBC"/>
    <w:rsid w:val="00E00CF6"/>
    <w:rsid w:val="00E011E2"/>
    <w:rsid w:val="00E01A0F"/>
    <w:rsid w:val="00E02A22"/>
    <w:rsid w:val="00E04D5C"/>
    <w:rsid w:val="00E0550F"/>
    <w:rsid w:val="00E07D54"/>
    <w:rsid w:val="00E07D9A"/>
    <w:rsid w:val="00E11048"/>
    <w:rsid w:val="00E12D98"/>
    <w:rsid w:val="00E13046"/>
    <w:rsid w:val="00E1475D"/>
    <w:rsid w:val="00E151E3"/>
    <w:rsid w:val="00E23ACF"/>
    <w:rsid w:val="00E25371"/>
    <w:rsid w:val="00E25D7B"/>
    <w:rsid w:val="00E268AE"/>
    <w:rsid w:val="00E328F2"/>
    <w:rsid w:val="00E33CA2"/>
    <w:rsid w:val="00E34564"/>
    <w:rsid w:val="00E368EE"/>
    <w:rsid w:val="00E36A4C"/>
    <w:rsid w:val="00E36F4C"/>
    <w:rsid w:val="00E40360"/>
    <w:rsid w:val="00E4284E"/>
    <w:rsid w:val="00E42932"/>
    <w:rsid w:val="00E42DC3"/>
    <w:rsid w:val="00E43B0D"/>
    <w:rsid w:val="00E43C22"/>
    <w:rsid w:val="00E45C47"/>
    <w:rsid w:val="00E46A25"/>
    <w:rsid w:val="00E505F4"/>
    <w:rsid w:val="00E505FC"/>
    <w:rsid w:val="00E51CC0"/>
    <w:rsid w:val="00E51FE2"/>
    <w:rsid w:val="00E5403C"/>
    <w:rsid w:val="00E54911"/>
    <w:rsid w:val="00E54FD7"/>
    <w:rsid w:val="00E556C6"/>
    <w:rsid w:val="00E55F28"/>
    <w:rsid w:val="00E56442"/>
    <w:rsid w:val="00E57149"/>
    <w:rsid w:val="00E617A3"/>
    <w:rsid w:val="00E62397"/>
    <w:rsid w:val="00E63133"/>
    <w:rsid w:val="00E64B5F"/>
    <w:rsid w:val="00E65532"/>
    <w:rsid w:val="00E669DC"/>
    <w:rsid w:val="00E67DFF"/>
    <w:rsid w:val="00E71028"/>
    <w:rsid w:val="00E71413"/>
    <w:rsid w:val="00E7193C"/>
    <w:rsid w:val="00E72A6B"/>
    <w:rsid w:val="00E72E8E"/>
    <w:rsid w:val="00E73194"/>
    <w:rsid w:val="00E801BC"/>
    <w:rsid w:val="00E80C03"/>
    <w:rsid w:val="00E8220F"/>
    <w:rsid w:val="00E8462F"/>
    <w:rsid w:val="00E8773D"/>
    <w:rsid w:val="00E9088C"/>
    <w:rsid w:val="00E90A1B"/>
    <w:rsid w:val="00E90D1C"/>
    <w:rsid w:val="00E944AD"/>
    <w:rsid w:val="00E94CC7"/>
    <w:rsid w:val="00E95313"/>
    <w:rsid w:val="00E95E0C"/>
    <w:rsid w:val="00E96A9F"/>
    <w:rsid w:val="00EA0081"/>
    <w:rsid w:val="00EA0DD9"/>
    <w:rsid w:val="00EA2219"/>
    <w:rsid w:val="00EA231C"/>
    <w:rsid w:val="00EA312B"/>
    <w:rsid w:val="00EA33F9"/>
    <w:rsid w:val="00EA457F"/>
    <w:rsid w:val="00EA4A88"/>
    <w:rsid w:val="00EA6103"/>
    <w:rsid w:val="00EA7525"/>
    <w:rsid w:val="00EA7F36"/>
    <w:rsid w:val="00EB0992"/>
    <w:rsid w:val="00EB111C"/>
    <w:rsid w:val="00EB1780"/>
    <w:rsid w:val="00EB2403"/>
    <w:rsid w:val="00EB398B"/>
    <w:rsid w:val="00EB4313"/>
    <w:rsid w:val="00EB43F2"/>
    <w:rsid w:val="00EB4FA2"/>
    <w:rsid w:val="00EB780A"/>
    <w:rsid w:val="00EC1DC8"/>
    <w:rsid w:val="00EC30FB"/>
    <w:rsid w:val="00EC351F"/>
    <w:rsid w:val="00EC4117"/>
    <w:rsid w:val="00EC45EC"/>
    <w:rsid w:val="00EC6EBC"/>
    <w:rsid w:val="00EC736D"/>
    <w:rsid w:val="00EC776E"/>
    <w:rsid w:val="00EC7A48"/>
    <w:rsid w:val="00ED219A"/>
    <w:rsid w:val="00ED34D1"/>
    <w:rsid w:val="00ED3733"/>
    <w:rsid w:val="00ED4ACA"/>
    <w:rsid w:val="00ED4D9C"/>
    <w:rsid w:val="00ED5B78"/>
    <w:rsid w:val="00ED6022"/>
    <w:rsid w:val="00ED64FD"/>
    <w:rsid w:val="00ED6611"/>
    <w:rsid w:val="00EE492A"/>
    <w:rsid w:val="00EE4D03"/>
    <w:rsid w:val="00EE5524"/>
    <w:rsid w:val="00EE57F4"/>
    <w:rsid w:val="00EE5F67"/>
    <w:rsid w:val="00EE5FA2"/>
    <w:rsid w:val="00EF0E63"/>
    <w:rsid w:val="00EF2369"/>
    <w:rsid w:val="00EF4898"/>
    <w:rsid w:val="00EF5795"/>
    <w:rsid w:val="00EF579B"/>
    <w:rsid w:val="00EF5918"/>
    <w:rsid w:val="00EF5A12"/>
    <w:rsid w:val="00EF5B44"/>
    <w:rsid w:val="00EF7615"/>
    <w:rsid w:val="00F01B05"/>
    <w:rsid w:val="00F02066"/>
    <w:rsid w:val="00F033F5"/>
    <w:rsid w:val="00F04116"/>
    <w:rsid w:val="00F0492C"/>
    <w:rsid w:val="00F0529D"/>
    <w:rsid w:val="00F05797"/>
    <w:rsid w:val="00F07037"/>
    <w:rsid w:val="00F07AFD"/>
    <w:rsid w:val="00F107DE"/>
    <w:rsid w:val="00F117D9"/>
    <w:rsid w:val="00F12A79"/>
    <w:rsid w:val="00F13356"/>
    <w:rsid w:val="00F16431"/>
    <w:rsid w:val="00F205D5"/>
    <w:rsid w:val="00F22DBD"/>
    <w:rsid w:val="00F23A89"/>
    <w:rsid w:val="00F25190"/>
    <w:rsid w:val="00F25963"/>
    <w:rsid w:val="00F26C30"/>
    <w:rsid w:val="00F30B04"/>
    <w:rsid w:val="00F323FE"/>
    <w:rsid w:val="00F324B8"/>
    <w:rsid w:val="00F3342A"/>
    <w:rsid w:val="00F33B5D"/>
    <w:rsid w:val="00F37B7D"/>
    <w:rsid w:val="00F41B79"/>
    <w:rsid w:val="00F41E41"/>
    <w:rsid w:val="00F42F3F"/>
    <w:rsid w:val="00F434D8"/>
    <w:rsid w:val="00F43ED4"/>
    <w:rsid w:val="00F47462"/>
    <w:rsid w:val="00F47595"/>
    <w:rsid w:val="00F47912"/>
    <w:rsid w:val="00F507C9"/>
    <w:rsid w:val="00F51FFA"/>
    <w:rsid w:val="00F570A3"/>
    <w:rsid w:val="00F57242"/>
    <w:rsid w:val="00F62B53"/>
    <w:rsid w:val="00F6364A"/>
    <w:rsid w:val="00F63873"/>
    <w:rsid w:val="00F63A96"/>
    <w:rsid w:val="00F63EAE"/>
    <w:rsid w:val="00F6535C"/>
    <w:rsid w:val="00F65862"/>
    <w:rsid w:val="00F66604"/>
    <w:rsid w:val="00F6689D"/>
    <w:rsid w:val="00F66AD0"/>
    <w:rsid w:val="00F706EE"/>
    <w:rsid w:val="00F74B85"/>
    <w:rsid w:val="00F75A58"/>
    <w:rsid w:val="00F7692E"/>
    <w:rsid w:val="00F77417"/>
    <w:rsid w:val="00F8056C"/>
    <w:rsid w:val="00F83415"/>
    <w:rsid w:val="00F865D1"/>
    <w:rsid w:val="00F86A9C"/>
    <w:rsid w:val="00F873ED"/>
    <w:rsid w:val="00F87623"/>
    <w:rsid w:val="00F90313"/>
    <w:rsid w:val="00F93385"/>
    <w:rsid w:val="00F93EA8"/>
    <w:rsid w:val="00F94AF0"/>
    <w:rsid w:val="00F95C1E"/>
    <w:rsid w:val="00F96427"/>
    <w:rsid w:val="00FA08AB"/>
    <w:rsid w:val="00FA0FFF"/>
    <w:rsid w:val="00FA12B5"/>
    <w:rsid w:val="00FA2DD2"/>
    <w:rsid w:val="00FA3F21"/>
    <w:rsid w:val="00FA5543"/>
    <w:rsid w:val="00FA71CD"/>
    <w:rsid w:val="00FA74C1"/>
    <w:rsid w:val="00FA74CC"/>
    <w:rsid w:val="00FB0F75"/>
    <w:rsid w:val="00FB45FF"/>
    <w:rsid w:val="00FB4C39"/>
    <w:rsid w:val="00FB58CF"/>
    <w:rsid w:val="00FB5F34"/>
    <w:rsid w:val="00FB74C7"/>
    <w:rsid w:val="00FC0727"/>
    <w:rsid w:val="00FC11FA"/>
    <w:rsid w:val="00FC147E"/>
    <w:rsid w:val="00FC17BD"/>
    <w:rsid w:val="00FC2285"/>
    <w:rsid w:val="00FC36DB"/>
    <w:rsid w:val="00FC3FB7"/>
    <w:rsid w:val="00FC6CDC"/>
    <w:rsid w:val="00FD1693"/>
    <w:rsid w:val="00FD2FBC"/>
    <w:rsid w:val="00FD34CE"/>
    <w:rsid w:val="00FD44EB"/>
    <w:rsid w:val="00FD4E42"/>
    <w:rsid w:val="00FD5168"/>
    <w:rsid w:val="00FD5906"/>
    <w:rsid w:val="00FD5AD4"/>
    <w:rsid w:val="00FD6330"/>
    <w:rsid w:val="00FD7A9F"/>
    <w:rsid w:val="00FE53A1"/>
    <w:rsid w:val="00FE661E"/>
    <w:rsid w:val="00FE6665"/>
    <w:rsid w:val="00FE7BDA"/>
    <w:rsid w:val="00FE7D85"/>
    <w:rsid w:val="00FE7FFA"/>
    <w:rsid w:val="00FF1CFE"/>
    <w:rsid w:val="00FF2DDD"/>
    <w:rsid w:val="00FF3594"/>
    <w:rsid w:val="00FF4C93"/>
    <w:rsid w:val="00FF4FAE"/>
    <w:rsid w:val="00FF51C7"/>
    <w:rsid w:val="00FF6131"/>
    <w:rsid w:val="00FF6BDE"/>
    <w:rsid w:val="00FF7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166A47"/>
  <w15:docId w15:val="{5EEFE6EE-B205-4070-BCF6-1D1ED2FA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2"/>
      <w:szCs w:val="24"/>
      <w:lang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val="x-none"/>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3"/>
      </w:numPr>
      <w:spacing w:before="120" w:after="120"/>
    </w:pPr>
    <w:rPr>
      <w:snapToGrid w:val="0"/>
      <w:szCs w:val="1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lang w:val="x-none"/>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semiHidden/>
    <w:rPr>
      <w:sz w:val="16"/>
    </w:rPr>
  </w:style>
  <w:style w:type="paragraph" w:styleId="CommentText">
    <w:name w:val="annotation text"/>
    <w:basedOn w:val="Normal"/>
    <w:link w:val="CommentTextChar"/>
    <w:uiPriority w:val="99"/>
    <w:semiHidden/>
    <w:pPr>
      <w:spacing w:after="120" w:line="240" w:lineRule="exact"/>
    </w:pPr>
    <w:rPr>
      <w:lang w:val="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AC2E7B"/>
    <w:rPr>
      <w:sz w:val="22"/>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rsid w:val="00E5403C"/>
    <w:pPr>
      <w:spacing w:before="120" w:after="120"/>
      <w:jc w:val="left"/>
    </w:pPr>
    <w:rPr>
      <w:rFonts w:eastAsia="Batang"/>
      <w:b/>
      <w:i/>
      <w:snapToGrid w:val="0"/>
      <w:lang w:eastAsia="ko-KR"/>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styleId="NormalWeb">
    <w:name w:val="Normal (Web)"/>
    <w:basedOn w:val="Normal"/>
    <w:uiPriority w:val="99"/>
    <w:rsid w:val="009E6ED9"/>
    <w:pPr>
      <w:spacing w:before="100" w:beforeAutospacing="1" w:after="100" w:afterAutospacing="1"/>
      <w:jc w:val="left"/>
    </w:pPr>
    <w:rPr>
      <w:rFonts w:ascii="Verdana" w:eastAsia="Arial Unicode MS" w:hAnsi="Verdana"/>
      <w:color w:val="000000"/>
      <w:sz w:val="18"/>
      <w:szCs w:val="18"/>
      <w:lang w:val="en-US"/>
    </w:rPr>
  </w:style>
  <w:style w:type="paragraph" w:customStyle="1" w:styleId="goal">
    <w:name w:val="goal"/>
    <w:basedOn w:val="BodyText2"/>
    <w:rsid w:val="009E6ED9"/>
    <w:pPr>
      <w:tabs>
        <w:tab w:val="clear" w:pos="-1440"/>
        <w:tab w:val="clear" w:pos="-720"/>
        <w:tab w:val="clear" w:pos="0"/>
        <w:tab w:val="clear" w:pos="720"/>
        <w:tab w:val="clear" w:pos="1080"/>
        <w:tab w:val="clear" w:pos="1440"/>
      </w:tabs>
      <w:suppressAutoHyphens w:val="0"/>
      <w:spacing w:line="240" w:lineRule="auto"/>
      <w:ind w:left="0" w:firstLine="0"/>
    </w:pPr>
    <w:rPr>
      <w:rFonts w:ascii="Times New Roman Bold" w:hAnsi="Times New Roman Bold"/>
      <w:b/>
      <w:bCs/>
    </w:rPr>
  </w:style>
  <w:style w:type="character" w:styleId="Hyperlink">
    <w:name w:val="Hyperlink"/>
    <w:rsid w:val="009E6ED9"/>
    <w:rPr>
      <w:color w:val="0000FF"/>
      <w:sz w:val="18"/>
      <w:u w:val="single"/>
    </w:rPr>
  </w:style>
  <w:style w:type="character" w:styleId="Emphasis">
    <w:name w:val="Emphasis"/>
    <w:qFormat/>
    <w:rsid w:val="0009169A"/>
    <w:rPr>
      <w:i/>
      <w:iCs/>
    </w:rPr>
  </w:style>
  <w:style w:type="paragraph" w:customStyle="1" w:styleId="Default">
    <w:name w:val="Default"/>
    <w:rsid w:val="009F388C"/>
    <w:pPr>
      <w:autoSpaceDE w:val="0"/>
      <w:autoSpaceDN w:val="0"/>
      <w:adjustRightInd w:val="0"/>
    </w:pPr>
    <w:rPr>
      <w:color w:val="000000"/>
      <w:sz w:val="24"/>
      <w:szCs w:val="24"/>
      <w:lang w:val="en-US" w:eastAsia="en-US"/>
    </w:rPr>
  </w:style>
  <w:style w:type="character" w:customStyle="1" w:styleId="SCOTT">
    <w:name w:val="SCOTT"/>
    <w:semiHidden/>
    <w:rsid w:val="006F1FB9"/>
    <w:rPr>
      <w:rFonts w:ascii="Palatino Linotype" w:hAnsi="Palatino Linotype"/>
      <w:b w:val="0"/>
      <w:bCs w:val="0"/>
      <w:i w:val="0"/>
      <w:iCs w:val="0"/>
      <w:strike w:val="0"/>
      <w:color w:val="008000"/>
      <w:sz w:val="24"/>
      <w:szCs w:val="24"/>
      <w:u w:val="none"/>
    </w:rPr>
  </w:style>
  <w:style w:type="paragraph" w:customStyle="1" w:styleId="headingrec">
    <w:name w:val="headingrec"/>
    <w:basedOn w:val="Normal"/>
    <w:rsid w:val="006F1FB9"/>
    <w:pPr>
      <w:keepNext/>
      <w:spacing w:before="120" w:after="120"/>
      <w:jc w:val="center"/>
    </w:pPr>
    <w:rPr>
      <w:b/>
      <w:bCs/>
      <w:i/>
      <w:iCs/>
      <w:szCs w:val="22"/>
      <w:lang w:val="en-US"/>
    </w:rPr>
  </w:style>
  <w:style w:type="paragraph" w:styleId="BalloonText">
    <w:name w:val="Balloon Text"/>
    <w:basedOn w:val="Normal"/>
    <w:semiHidden/>
    <w:rsid w:val="00EB4FA2"/>
    <w:rPr>
      <w:rFonts w:ascii="Tahoma" w:hAnsi="Tahoma" w:cs="Tahoma"/>
      <w:sz w:val="16"/>
      <w:szCs w:val="16"/>
    </w:rPr>
  </w:style>
  <w:style w:type="paragraph" w:customStyle="1" w:styleId="RKnormal">
    <w:name w:val="RKnormal"/>
    <w:basedOn w:val="Normal"/>
    <w:rsid w:val="005651CC"/>
    <w:pPr>
      <w:tabs>
        <w:tab w:val="left" w:pos="2835"/>
      </w:tabs>
      <w:overflowPunct w:val="0"/>
      <w:autoSpaceDE w:val="0"/>
      <w:autoSpaceDN w:val="0"/>
      <w:adjustRightInd w:val="0"/>
      <w:spacing w:line="240" w:lineRule="atLeast"/>
      <w:jc w:val="left"/>
      <w:textAlignment w:val="baseline"/>
    </w:pPr>
    <w:rPr>
      <w:rFonts w:ascii="OrigGarmnd BT" w:hAnsi="OrigGarmnd BT"/>
      <w:sz w:val="24"/>
      <w:szCs w:val="20"/>
      <w:lang w:val="sv-SE"/>
    </w:rPr>
  </w:style>
  <w:style w:type="paragraph" w:styleId="CommentSubject">
    <w:name w:val="annotation subject"/>
    <w:basedOn w:val="CommentText"/>
    <w:next w:val="CommentText"/>
    <w:semiHidden/>
    <w:rsid w:val="00377942"/>
    <w:pPr>
      <w:spacing w:after="0" w:line="240" w:lineRule="auto"/>
    </w:pPr>
    <w:rPr>
      <w:b/>
      <w:bCs/>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43652E"/>
    <w:rPr>
      <w:sz w:val="18"/>
      <w:szCs w:val="24"/>
      <w:lang w:eastAsia="en-US"/>
    </w:rPr>
  </w:style>
  <w:style w:type="paragraph" w:customStyle="1" w:styleId="para10">
    <w:name w:val="para1"/>
    <w:basedOn w:val="Normal"/>
    <w:uiPriority w:val="99"/>
    <w:rsid w:val="00DD7AE2"/>
    <w:pPr>
      <w:tabs>
        <w:tab w:val="num" w:pos="360"/>
      </w:tabs>
      <w:snapToGrid w:val="0"/>
      <w:spacing w:before="120" w:after="120"/>
    </w:pPr>
    <w:rPr>
      <w:szCs w:val="22"/>
      <w:lang w:val="en-US"/>
    </w:rPr>
  </w:style>
  <w:style w:type="character" w:customStyle="1" w:styleId="Heading1Char">
    <w:name w:val="Heading 1 Char"/>
    <w:link w:val="Heading1"/>
    <w:rsid w:val="00A8387B"/>
    <w:rPr>
      <w:b/>
      <w:caps/>
      <w:sz w:val="22"/>
      <w:szCs w:val="24"/>
      <w:lang w:eastAsia="en-US"/>
    </w:rPr>
  </w:style>
  <w:style w:type="paragraph" w:customStyle="1" w:styleId="recommendation">
    <w:name w:val="recommendation"/>
    <w:basedOn w:val="Heading2"/>
    <w:qFormat/>
    <w:rsid w:val="00CC1081"/>
    <w:rPr>
      <w:lang w:eastAsia="x-none"/>
    </w:rPr>
  </w:style>
  <w:style w:type="character" w:customStyle="1" w:styleId="CommentTextChar">
    <w:name w:val="Comment Text Char"/>
    <w:link w:val="CommentText"/>
    <w:uiPriority w:val="99"/>
    <w:semiHidden/>
    <w:rsid w:val="004B6734"/>
    <w:rPr>
      <w:sz w:val="22"/>
      <w:szCs w:val="24"/>
      <w:lang w:eastAsia="en-US"/>
    </w:rPr>
  </w:style>
  <w:style w:type="character" w:styleId="LineNumber">
    <w:name w:val="line number"/>
    <w:rsid w:val="008373CD"/>
  </w:style>
  <w:style w:type="table" w:styleId="TableGrid">
    <w:name w:val="Table Grid"/>
    <w:basedOn w:val="TableNormal"/>
    <w:uiPriority w:val="39"/>
    <w:rsid w:val="00392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F5B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sv-SE" w:eastAsia="sv-SE"/>
    </w:rPr>
  </w:style>
  <w:style w:type="character" w:customStyle="1" w:styleId="HTMLPreformattedChar">
    <w:name w:val="HTML Preformatted Char"/>
    <w:link w:val="HTMLPreformatted"/>
    <w:uiPriority w:val="99"/>
    <w:rsid w:val="00CF5BF2"/>
    <w:rPr>
      <w:rFonts w:ascii="Courier New" w:hAnsi="Courier New" w:cs="Courier New"/>
      <w:lang w:val="sv-SE" w:eastAsia="sv-SE"/>
    </w:rPr>
  </w:style>
  <w:style w:type="paragraph" w:styleId="Revision">
    <w:name w:val="Revision"/>
    <w:hidden/>
    <w:uiPriority w:val="99"/>
    <w:semiHidden/>
    <w:rsid w:val="00CF5BF2"/>
    <w:rPr>
      <w:sz w:val="22"/>
      <w:szCs w:val="24"/>
      <w:lang w:eastAsia="en-US"/>
    </w:rPr>
  </w:style>
  <w:style w:type="paragraph" w:customStyle="1" w:styleId="p1">
    <w:name w:val="p1"/>
    <w:basedOn w:val="Normal"/>
    <w:rsid w:val="00754188"/>
    <w:pPr>
      <w:jc w:val="left"/>
    </w:pPr>
    <w:rPr>
      <w:rFonts w:ascii="Times" w:eastAsia="Calibri" w:hAnsi="Times"/>
      <w:sz w:val="16"/>
      <w:szCs w:val="16"/>
      <w:lang w:val="sv-SE" w:eastAsia="sv-SE"/>
    </w:rPr>
  </w:style>
  <w:style w:type="character" w:customStyle="1" w:styleId="apple-converted-space">
    <w:name w:val="apple-converted-space"/>
    <w:rsid w:val="00754188"/>
  </w:style>
  <w:style w:type="paragraph" w:styleId="ListParagraph">
    <w:name w:val="List Paragraph"/>
    <w:basedOn w:val="Normal"/>
    <w:uiPriority w:val="34"/>
    <w:qFormat/>
    <w:rsid w:val="003F62D8"/>
    <w:pPr>
      <w:ind w:left="720"/>
      <w:contextualSpacing/>
      <w:jc w:val="left"/>
    </w:pPr>
    <w:rPr>
      <w:sz w:val="24"/>
      <w:lang w:eastAsia="en-CA"/>
    </w:rPr>
  </w:style>
  <w:style w:type="table" w:customStyle="1" w:styleId="TableGrid1">
    <w:name w:val="Table Grid1"/>
    <w:basedOn w:val="TableNormal"/>
    <w:next w:val="TableGrid"/>
    <w:uiPriority w:val="39"/>
    <w:rsid w:val="008A71F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223A2"/>
    <w:rPr>
      <w:color w:val="808080"/>
      <w:shd w:val="clear" w:color="auto" w:fill="E6E6E6"/>
    </w:rPr>
  </w:style>
  <w:style w:type="table" w:customStyle="1" w:styleId="TableNormal1">
    <w:name w:val="Table Normal1"/>
    <w:rsid w:val="008101CE"/>
    <w:pPr>
      <w:pBdr>
        <w:top w:val="nil"/>
        <w:left w:val="nil"/>
        <w:bottom w:val="nil"/>
        <w:right w:val="nil"/>
        <w:between w:val="nil"/>
        <w:bar w:val="nil"/>
      </w:pBdr>
    </w:pPr>
    <w:rPr>
      <w:rFonts w:eastAsia="Arial Unicode MS"/>
      <w:bdr w:val="nil"/>
      <w:lang w:val="fr-FR" w:eastAsia="fr-FR"/>
    </w:rPr>
    <w:tblPr>
      <w:tblInd w:w="0" w:type="dxa"/>
      <w:tblCellMar>
        <w:top w:w="0" w:type="dxa"/>
        <w:left w:w="0" w:type="dxa"/>
        <w:bottom w:w="0" w:type="dxa"/>
        <w:right w:w="0" w:type="dxa"/>
      </w:tblCellMar>
    </w:tblPr>
  </w:style>
  <w:style w:type="paragraph" w:customStyle="1" w:styleId="Corps">
    <w:name w:val="Corps"/>
    <w:rsid w:val="008101CE"/>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fr-FR" w:eastAsia="fr-FR"/>
    </w:rPr>
  </w:style>
  <w:style w:type="character" w:customStyle="1" w:styleId="UnresolvedMention2">
    <w:name w:val="Unresolved Mention2"/>
    <w:basedOn w:val="DefaultParagraphFont"/>
    <w:uiPriority w:val="99"/>
    <w:semiHidden/>
    <w:unhideWhenUsed/>
    <w:rsid w:val="00DB75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98692">
      <w:bodyDiv w:val="1"/>
      <w:marLeft w:val="0"/>
      <w:marRight w:val="0"/>
      <w:marTop w:val="0"/>
      <w:marBottom w:val="0"/>
      <w:divBdr>
        <w:top w:val="none" w:sz="0" w:space="0" w:color="auto"/>
        <w:left w:val="none" w:sz="0" w:space="0" w:color="auto"/>
        <w:bottom w:val="none" w:sz="0" w:space="0" w:color="auto"/>
        <w:right w:val="none" w:sz="0" w:space="0" w:color="auto"/>
      </w:divBdr>
      <w:divsChild>
        <w:div w:id="166095829">
          <w:marLeft w:val="0"/>
          <w:marRight w:val="0"/>
          <w:marTop w:val="0"/>
          <w:marBottom w:val="0"/>
          <w:divBdr>
            <w:top w:val="none" w:sz="0" w:space="0" w:color="auto"/>
            <w:left w:val="none" w:sz="0" w:space="0" w:color="auto"/>
            <w:bottom w:val="none" w:sz="0" w:space="0" w:color="auto"/>
            <w:right w:val="none" w:sz="0" w:space="0" w:color="auto"/>
          </w:divBdr>
          <w:divsChild>
            <w:div w:id="1364476022">
              <w:marLeft w:val="0"/>
              <w:marRight w:val="0"/>
              <w:marTop w:val="0"/>
              <w:marBottom w:val="0"/>
              <w:divBdr>
                <w:top w:val="none" w:sz="0" w:space="0" w:color="auto"/>
                <w:left w:val="none" w:sz="0" w:space="0" w:color="auto"/>
                <w:bottom w:val="none" w:sz="0" w:space="0" w:color="auto"/>
                <w:right w:val="none" w:sz="0" w:space="0" w:color="auto"/>
              </w:divBdr>
              <w:divsChild>
                <w:div w:id="54859309">
                  <w:marLeft w:val="0"/>
                  <w:marRight w:val="0"/>
                  <w:marTop w:val="0"/>
                  <w:marBottom w:val="0"/>
                  <w:divBdr>
                    <w:top w:val="none" w:sz="0" w:space="0" w:color="auto"/>
                    <w:left w:val="none" w:sz="0" w:space="0" w:color="auto"/>
                    <w:bottom w:val="none" w:sz="0" w:space="0" w:color="auto"/>
                    <w:right w:val="none" w:sz="0" w:space="0" w:color="auto"/>
                  </w:divBdr>
                  <w:divsChild>
                    <w:div w:id="327363974">
                      <w:marLeft w:val="3000"/>
                      <w:marRight w:val="0"/>
                      <w:marTop w:val="0"/>
                      <w:marBottom w:val="0"/>
                      <w:divBdr>
                        <w:top w:val="none" w:sz="0" w:space="0" w:color="auto"/>
                        <w:left w:val="none" w:sz="0" w:space="0" w:color="auto"/>
                        <w:bottom w:val="none" w:sz="0" w:space="0" w:color="auto"/>
                        <w:right w:val="none" w:sz="0" w:space="0" w:color="auto"/>
                      </w:divBdr>
                      <w:divsChild>
                        <w:div w:id="384722057">
                          <w:marLeft w:val="0"/>
                          <w:marRight w:val="0"/>
                          <w:marTop w:val="0"/>
                          <w:marBottom w:val="0"/>
                          <w:divBdr>
                            <w:top w:val="none" w:sz="0" w:space="0" w:color="auto"/>
                            <w:left w:val="none" w:sz="0" w:space="0" w:color="auto"/>
                            <w:bottom w:val="single" w:sz="48" w:space="0" w:color="FFFFFF"/>
                            <w:right w:val="none" w:sz="0" w:space="0" w:color="auto"/>
                          </w:divBdr>
                          <w:divsChild>
                            <w:div w:id="754329443">
                              <w:marLeft w:val="0"/>
                              <w:marRight w:val="0"/>
                              <w:marTop w:val="0"/>
                              <w:marBottom w:val="0"/>
                              <w:divBdr>
                                <w:top w:val="none" w:sz="0" w:space="0" w:color="auto"/>
                                <w:left w:val="none" w:sz="0" w:space="0" w:color="auto"/>
                                <w:bottom w:val="none" w:sz="0" w:space="0" w:color="auto"/>
                                <w:right w:val="none" w:sz="0" w:space="0" w:color="auto"/>
                              </w:divBdr>
                              <w:divsChild>
                                <w:div w:id="682557484">
                                  <w:marLeft w:val="0"/>
                                  <w:marRight w:val="0"/>
                                  <w:marTop w:val="0"/>
                                  <w:marBottom w:val="0"/>
                                  <w:divBdr>
                                    <w:top w:val="none" w:sz="0" w:space="0" w:color="auto"/>
                                    <w:left w:val="none" w:sz="0" w:space="0" w:color="auto"/>
                                    <w:bottom w:val="none" w:sz="0" w:space="0" w:color="auto"/>
                                    <w:right w:val="none" w:sz="0" w:space="0" w:color="auto"/>
                                  </w:divBdr>
                                  <w:divsChild>
                                    <w:div w:id="85080509">
                                      <w:marLeft w:val="0"/>
                                      <w:marRight w:val="0"/>
                                      <w:marTop w:val="0"/>
                                      <w:marBottom w:val="0"/>
                                      <w:divBdr>
                                        <w:top w:val="none" w:sz="0" w:space="0" w:color="auto"/>
                                        <w:left w:val="none" w:sz="0" w:space="0" w:color="auto"/>
                                        <w:bottom w:val="none" w:sz="0" w:space="0" w:color="auto"/>
                                        <w:right w:val="none" w:sz="0" w:space="0" w:color="auto"/>
                                      </w:divBdr>
                                      <w:divsChild>
                                        <w:div w:id="683558296">
                                          <w:marLeft w:val="0"/>
                                          <w:marRight w:val="0"/>
                                          <w:marTop w:val="0"/>
                                          <w:marBottom w:val="0"/>
                                          <w:divBdr>
                                            <w:top w:val="none" w:sz="0" w:space="0" w:color="auto"/>
                                            <w:left w:val="none" w:sz="0" w:space="0" w:color="auto"/>
                                            <w:bottom w:val="none" w:sz="0" w:space="0" w:color="auto"/>
                                            <w:right w:val="none" w:sz="0" w:space="0" w:color="auto"/>
                                          </w:divBdr>
                                          <w:divsChild>
                                            <w:div w:id="169179045">
                                              <w:marLeft w:val="0"/>
                                              <w:marRight w:val="0"/>
                                              <w:marTop w:val="0"/>
                                              <w:marBottom w:val="0"/>
                                              <w:divBdr>
                                                <w:top w:val="none" w:sz="0" w:space="0" w:color="auto"/>
                                                <w:left w:val="none" w:sz="0" w:space="0" w:color="auto"/>
                                                <w:bottom w:val="none" w:sz="0" w:space="0" w:color="auto"/>
                                                <w:right w:val="none" w:sz="0" w:space="0" w:color="auto"/>
                                              </w:divBdr>
                                              <w:divsChild>
                                                <w:div w:id="1381395721">
                                                  <w:marLeft w:val="0"/>
                                                  <w:marRight w:val="0"/>
                                                  <w:marTop w:val="0"/>
                                                  <w:marBottom w:val="0"/>
                                                  <w:divBdr>
                                                    <w:top w:val="none" w:sz="0" w:space="0" w:color="auto"/>
                                                    <w:left w:val="none" w:sz="0" w:space="0" w:color="auto"/>
                                                    <w:bottom w:val="none" w:sz="0" w:space="0" w:color="auto"/>
                                                    <w:right w:val="none" w:sz="0" w:space="0" w:color="auto"/>
                                                  </w:divBdr>
                                                  <w:divsChild>
                                                    <w:div w:id="24203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515240">
      <w:bodyDiv w:val="1"/>
      <w:marLeft w:val="0"/>
      <w:marRight w:val="0"/>
      <w:marTop w:val="0"/>
      <w:marBottom w:val="0"/>
      <w:divBdr>
        <w:top w:val="none" w:sz="0" w:space="0" w:color="auto"/>
        <w:left w:val="none" w:sz="0" w:space="0" w:color="auto"/>
        <w:bottom w:val="none" w:sz="0" w:space="0" w:color="auto"/>
        <w:right w:val="none" w:sz="0" w:space="0" w:color="auto"/>
      </w:divBdr>
      <w:divsChild>
        <w:div w:id="1223248448">
          <w:marLeft w:val="0"/>
          <w:marRight w:val="0"/>
          <w:marTop w:val="0"/>
          <w:marBottom w:val="0"/>
          <w:divBdr>
            <w:top w:val="none" w:sz="0" w:space="0" w:color="auto"/>
            <w:left w:val="none" w:sz="0" w:space="0" w:color="auto"/>
            <w:bottom w:val="none" w:sz="0" w:space="0" w:color="auto"/>
            <w:right w:val="none" w:sz="0" w:space="0" w:color="auto"/>
          </w:divBdr>
          <w:divsChild>
            <w:div w:id="2053265067">
              <w:marLeft w:val="0"/>
              <w:marRight w:val="0"/>
              <w:marTop w:val="0"/>
              <w:marBottom w:val="0"/>
              <w:divBdr>
                <w:top w:val="none" w:sz="0" w:space="0" w:color="auto"/>
                <w:left w:val="none" w:sz="0" w:space="0" w:color="auto"/>
                <w:bottom w:val="none" w:sz="0" w:space="0" w:color="auto"/>
                <w:right w:val="none" w:sz="0" w:space="0" w:color="auto"/>
              </w:divBdr>
              <w:divsChild>
                <w:div w:id="296572335">
                  <w:marLeft w:val="0"/>
                  <w:marRight w:val="0"/>
                  <w:marTop w:val="0"/>
                  <w:marBottom w:val="0"/>
                  <w:divBdr>
                    <w:top w:val="none" w:sz="0" w:space="0" w:color="auto"/>
                    <w:left w:val="none" w:sz="0" w:space="0" w:color="auto"/>
                    <w:bottom w:val="none" w:sz="0" w:space="0" w:color="auto"/>
                    <w:right w:val="none" w:sz="0" w:space="0" w:color="auto"/>
                  </w:divBdr>
                </w:div>
                <w:div w:id="742029729">
                  <w:marLeft w:val="0"/>
                  <w:marRight w:val="0"/>
                  <w:marTop w:val="0"/>
                  <w:marBottom w:val="0"/>
                  <w:divBdr>
                    <w:top w:val="none" w:sz="0" w:space="0" w:color="auto"/>
                    <w:left w:val="none" w:sz="0" w:space="0" w:color="auto"/>
                    <w:bottom w:val="none" w:sz="0" w:space="0" w:color="auto"/>
                    <w:right w:val="none" w:sz="0" w:space="0" w:color="auto"/>
                  </w:divBdr>
                  <w:divsChild>
                    <w:div w:id="1620528022">
                      <w:marLeft w:val="0"/>
                      <w:marRight w:val="0"/>
                      <w:marTop w:val="0"/>
                      <w:marBottom w:val="0"/>
                      <w:divBdr>
                        <w:top w:val="none" w:sz="0" w:space="0" w:color="auto"/>
                        <w:left w:val="none" w:sz="0" w:space="0" w:color="auto"/>
                        <w:bottom w:val="none" w:sz="0" w:space="0" w:color="auto"/>
                        <w:right w:val="none" w:sz="0" w:space="0" w:color="auto"/>
                      </w:divBdr>
                      <w:divsChild>
                        <w:div w:id="110796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1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786179">
      <w:bodyDiv w:val="1"/>
      <w:marLeft w:val="0"/>
      <w:marRight w:val="0"/>
      <w:marTop w:val="0"/>
      <w:marBottom w:val="0"/>
      <w:divBdr>
        <w:top w:val="none" w:sz="0" w:space="0" w:color="auto"/>
        <w:left w:val="none" w:sz="0" w:space="0" w:color="auto"/>
        <w:bottom w:val="none" w:sz="0" w:space="0" w:color="auto"/>
        <w:right w:val="none" w:sz="0" w:space="0" w:color="auto"/>
      </w:divBdr>
    </w:div>
    <w:div w:id="867836000">
      <w:bodyDiv w:val="1"/>
      <w:marLeft w:val="0"/>
      <w:marRight w:val="0"/>
      <w:marTop w:val="0"/>
      <w:marBottom w:val="0"/>
      <w:divBdr>
        <w:top w:val="none" w:sz="0" w:space="0" w:color="auto"/>
        <w:left w:val="none" w:sz="0" w:space="0" w:color="auto"/>
        <w:bottom w:val="none" w:sz="0" w:space="0" w:color="auto"/>
        <w:right w:val="none" w:sz="0" w:space="0" w:color="auto"/>
      </w:divBdr>
      <w:divsChild>
        <w:div w:id="815804154">
          <w:marLeft w:val="0"/>
          <w:marRight w:val="0"/>
          <w:marTop w:val="0"/>
          <w:marBottom w:val="0"/>
          <w:divBdr>
            <w:top w:val="none" w:sz="0" w:space="0" w:color="auto"/>
            <w:left w:val="none" w:sz="0" w:space="0" w:color="auto"/>
            <w:bottom w:val="none" w:sz="0" w:space="0" w:color="auto"/>
            <w:right w:val="none" w:sz="0" w:space="0" w:color="auto"/>
          </w:divBdr>
        </w:div>
        <w:div w:id="1006900343">
          <w:marLeft w:val="0"/>
          <w:marRight w:val="0"/>
          <w:marTop w:val="0"/>
          <w:marBottom w:val="0"/>
          <w:divBdr>
            <w:top w:val="none" w:sz="0" w:space="0" w:color="auto"/>
            <w:left w:val="none" w:sz="0" w:space="0" w:color="auto"/>
            <w:bottom w:val="none" w:sz="0" w:space="0" w:color="auto"/>
            <w:right w:val="none" w:sz="0" w:space="0" w:color="auto"/>
          </w:divBdr>
        </w:div>
      </w:divsChild>
    </w:div>
    <w:div w:id="906037642">
      <w:bodyDiv w:val="1"/>
      <w:marLeft w:val="0"/>
      <w:marRight w:val="0"/>
      <w:marTop w:val="0"/>
      <w:marBottom w:val="0"/>
      <w:divBdr>
        <w:top w:val="none" w:sz="0" w:space="0" w:color="auto"/>
        <w:left w:val="none" w:sz="0" w:space="0" w:color="auto"/>
        <w:bottom w:val="none" w:sz="0" w:space="0" w:color="auto"/>
        <w:right w:val="none" w:sz="0" w:space="0" w:color="auto"/>
      </w:divBdr>
    </w:div>
    <w:div w:id="909464390">
      <w:bodyDiv w:val="1"/>
      <w:marLeft w:val="0"/>
      <w:marRight w:val="0"/>
      <w:marTop w:val="0"/>
      <w:marBottom w:val="0"/>
      <w:divBdr>
        <w:top w:val="none" w:sz="0" w:space="0" w:color="auto"/>
        <w:left w:val="none" w:sz="0" w:space="0" w:color="auto"/>
        <w:bottom w:val="none" w:sz="0" w:space="0" w:color="auto"/>
        <w:right w:val="none" w:sz="0" w:space="0" w:color="auto"/>
      </w:divBdr>
      <w:divsChild>
        <w:div w:id="405340471">
          <w:marLeft w:val="0"/>
          <w:marRight w:val="0"/>
          <w:marTop w:val="0"/>
          <w:marBottom w:val="0"/>
          <w:divBdr>
            <w:top w:val="none" w:sz="0" w:space="0" w:color="auto"/>
            <w:left w:val="none" w:sz="0" w:space="0" w:color="auto"/>
            <w:bottom w:val="none" w:sz="0" w:space="0" w:color="auto"/>
            <w:right w:val="none" w:sz="0" w:space="0" w:color="auto"/>
          </w:divBdr>
          <w:divsChild>
            <w:div w:id="1082068700">
              <w:marLeft w:val="0"/>
              <w:marRight w:val="0"/>
              <w:marTop w:val="0"/>
              <w:marBottom w:val="0"/>
              <w:divBdr>
                <w:top w:val="none" w:sz="0" w:space="0" w:color="auto"/>
                <w:left w:val="none" w:sz="0" w:space="0" w:color="auto"/>
                <w:bottom w:val="none" w:sz="0" w:space="0" w:color="auto"/>
                <w:right w:val="none" w:sz="0" w:space="0" w:color="auto"/>
              </w:divBdr>
              <w:divsChild>
                <w:div w:id="569465897">
                  <w:marLeft w:val="0"/>
                  <w:marRight w:val="0"/>
                  <w:marTop w:val="0"/>
                  <w:marBottom w:val="0"/>
                  <w:divBdr>
                    <w:top w:val="none" w:sz="0" w:space="0" w:color="auto"/>
                    <w:left w:val="none" w:sz="0" w:space="0" w:color="auto"/>
                    <w:bottom w:val="none" w:sz="0" w:space="0" w:color="auto"/>
                    <w:right w:val="none" w:sz="0" w:space="0" w:color="auto"/>
                  </w:divBdr>
                  <w:divsChild>
                    <w:div w:id="2011594461">
                      <w:marLeft w:val="0"/>
                      <w:marRight w:val="0"/>
                      <w:marTop w:val="0"/>
                      <w:marBottom w:val="0"/>
                      <w:divBdr>
                        <w:top w:val="none" w:sz="0" w:space="0" w:color="auto"/>
                        <w:left w:val="none" w:sz="0" w:space="0" w:color="auto"/>
                        <w:bottom w:val="none" w:sz="0" w:space="0" w:color="auto"/>
                        <w:right w:val="none" w:sz="0" w:space="0" w:color="auto"/>
                      </w:divBdr>
                      <w:divsChild>
                        <w:div w:id="2141879578">
                          <w:marLeft w:val="0"/>
                          <w:marRight w:val="0"/>
                          <w:marTop w:val="0"/>
                          <w:marBottom w:val="0"/>
                          <w:divBdr>
                            <w:top w:val="none" w:sz="0" w:space="0" w:color="auto"/>
                            <w:left w:val="none" w:sz="0" w:space="0" w:color="auto"/>
                            <w:bottom w:val="none" w:sz="0" w:space="0" w:color="auto"/>
                            <w:right w:val="none" w:sz="0" w:space="0" w:color="auto"/>
                          </w:divBdr>
                          <w:divsChild>
                            <w:div w:id="366415673">
                              <w:marLeft w:val="0"/>
                              <w:marRight w:val="0"/>
                              <w:marTop w:val="0"/>
                              <w:marBottom w:val="0"/>
                              <w:divBdr>
                                <w:top w:val="none" w:sz="0" w:space="0" w:color="auto"/>
                                <w:left w:val="none" w:sz="0" w:space="0" w:color="auto"/>
                                <w:bottom w:val="none" w:sz="0" w:space="0" w:color="auto"/>
                                <w:right w:val="none" w:sz="0" w:space="0" w:color="auto"/>
                              </w:divBdr>
                              <w:divsChild>
                                <w:div w:id="1611159795">
                                  <w:marLeft w:val="0"/>
                                  <w:marRight w:val="0"/>
                                  <w:marTop w:val="0"/>
                                  <w:marBottom w:val="0"/>
                                  <w:divBdr>
                                    <w:top w:val="none" w:sz="0" w:space="0" w:color="auto"/>
                                    <w:left w:val="none" w:sz="0" w:space="0" w:color="auto"/>
                                    <w:bottom w:val="none" w:sz="0" w:space="0" w:color="auto"/>
                                    <w:right w:val="none" w:sz="0" w:space="0" w:color="auto"/>
                                  </w:divBdr>
                                  <w:divsChild>
                                    <w:div w:id="50136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5958048">
      <w:bodyDiv w:val="1"/>
      <w:marLeft w:val="0"/>
      <w:marRight w:val="0"/>
      <w:marTop w:val="0"/>
      <w:marBottom w:val="0"/>
      <w:divBdr>
        <w:top w:val="none" w:sz="0" w:space="0" w:color="auto"/>
        <w:left w:val="none" w:sz="0" w:space="0" w:color="auto"/>
        <w:bottom w:val="none" w:sz="0" w:space="0" w:color="auto"/>
        <w:right w:val="none" w:sz="0" w:space="0" w:color="auto"/>
      </w:divBdr>
      <w:divsChild>
        <w:div w:id="538594828">
          <w:marLeft w:val="0"/>
          <w:marRight w:val="0"/>
          <w:marTop w:val="0"/>
          <w:marBottom w:val="0"/>
          <w:divBdr>
            <w:top w:val="none" w:sz="0" w:space="0" w:color="auto"/>
            <w:left w:val="none" w:sz="0" w:space="0" w:color="auto"/>
            <w:bottom w:val="none" w:sz="0" w:space="0" w:color="auto"/>
            <w:right w:val="none" w:sz="0" w:space="0" w:color="auto"/>
          </w:divBdr>
          <w:divsChild>
            <w:div w:id="1628117872">
              <w:marLeft w:val="0"/>
              <w:marRight w:val="0"/>
              <w:marTop w:val="0"/>
              <w:marBottom w:val="0"/>
              <w:divBdr>
                <w:top w:val="none" w:sz="0" w:space="0" w:color="auto"/>
                <w:left w:val="none" w:sz="0" w:space="0" w:color="auto"/>
                <w:bottom w:val="none" w:sz="0" w:space="0" w:color="auto"/>
                <w:right w:val="none" w:sz="0" w:space="0" w:color="auto"/>
              </w:divBdr>
              <w:divsChild>
                <w:div w:id="1497453733">
                  <w:marLeft w:val="0"/>
                  <w:marRight w:val="0"/>
                  <w:marTop w:val="0"/>
                  <w:marBottom w:val="0"/>
                  <w:divBdr>
                    <w:top w:val="none" w:sz="0" w:space="0" w:color="auto"/>
                    <w:left w:val="none" w:sz="0" w:space="0" w:color="auto"/>
                    <w:bottom w:val="none" w:sz="0" w:space="0" w:color="auto"/>
                    <w:right w:val="none" w:sz="0" w:space="0" w:color="auto"/>
                  </w:divBdr>
                  <w:divsChild>
                    <w:div w:id="9306394">
                      <w:marLeft w:val="3000"/>
                      <w:marRight w:val="0"/>
                      <w:marTop w:val="0"/>
                      <w:marBottom w:val="0"/>
                      <w:divBdr>
                        <w:top w:val="none" w:sz="0" w:space="0" w:color="auto"/>
                        <w:left w:val="none" w:sz="0" w:space="0" w:color="auto"/>
                        <w:bottom w:val="none" w:sz="0" w:space="0" w:color="auto"/>
                        <w:right w:val="none" w:sz="0" w:space="0" w:color="auto"/>
                      </w:divBdr>
                      <w:divsChild>
                        <w:div w:id="1779989316">
                          <w:marLeft w:val="0"/>
                          <w:marRight w:val="0"/>
                          <w:marTop w:val="0"/>
                          <w:marBottom w:val="0"/>
                          <w:divBdr>
                            <w:top w:val="none" w:sz="0" w:space="0" w:color="auto"/>
                            <w:left w:val="none" w:sz="0" w:space="0" w:color="auto"/>
                            <w:bottom w:val="single" w:sz="48" w:space="0" w:color="FFFFFF"/>
                            <w:right w:val="none" w:sz="0" w:space="0" w:color="auto"/>
                          </w:divBdr>
                          <w:divsChild>
                            <w:div w:id="1859272274">
                              <w:marLeft w:val="0"/>
                              <w:marRight w:val="0"/>
                              <w:marTop w:val="0"/>
                              <w:marBottom w:val="0"/>
                              <w:divBdr>
                                <w:top w:val="none" w:sz="0" w:space="0" w:color="auto"/>
                                <w:left w:val="none" w:sz="0" w:space="0" w:color="auto"/>
                                <w:bottom w:val="none" w:sz="0" w:space="0" w:color="auto"/>
                                <w:right w:val="none" w:sz="0" w:space="0" w:color="auto"/>
                              </w:divBdr>
                              <w:divsChild>
                                <w:div w:id="147718814">
                                  <w:marLeft w:val="0"/>
                                  <w:marRight w:val="0"/>
                                  <w:marTop w:val="0"/>
                                  <w:marBottom w:val="0"/>
                                  <w:divBdr>
                                    <w:top w:val="none" w:sz="0" w:space="0" w:color="auto"/>
                                    <w:left w:val="none" w:sz="0" w:space="0" w:color="auto"/>
                                    <w:bottom w:val="none" w:sz="0" w:space="0" w:color="auto"/>
                                    <w:right w:val="none" w:sz="0" w:space="0" w:color="auto"/>
                                  </w:divBdr>
                                  <w:divsChild>
                                    <w:div w:id="907573377">
                                      <w:marLeft w:val="0"/>
                                      <w:marRight w:val="0"/>
                                      <w:marTop w:val="0"/>
                                      <w:marBottom w:val="0"/>
                                      <w:divBdr>
                                        <w:top w:val="none" w:sz="0" w:space="0" w:color="auto"/>
                                        <w:left w:val="none" w:sz="0" w:space="0" w:color="auto"/>
                                        <w:bottom w:val="none" w:sz="0" w:space="0" w:color="auto"/>
                                        <w:right w:val="none" w:sz="0" w:space="0" w:color="auto"/>
                                      </w:divBdr>
                                      <w:divsChild>
                                        <w:div w:id="1379471426">
                                          <w:marLeft w:val="0"/>
                                          <w:marRight w:val="0"/>
                                          <w:marTop w:val="0"/>
                                          <w:marBottom w:val="0"/>
                                          <w:divBdr>
                                            <w:top w:val="none" w:sz="0" w:space="0" w:color="auto"/>
                                            <w:left w:val="none" w:sz="0" w:space="0" w:color="auto"/>
                                            <w:bottom w:val="none" w:sz="0" w:space="0" w:color="auto"/>
                                            <w:right w:val="none" w:sz="0" w:space="0" w:color="auto"/>
                                          </w:divBdr>
                                          <w:divsChild>
                                            <w:div w:id="1077674036">
                                              <w:marLeft w:val="0"/>
                                              <w:marRight w:val="0"/>
                                              <w:marTop w:val="0"/>
                                              <w:marBottom w:val="0"/>
                                              <w:divBdr>
                                                <w:top w:val="none" w:sz="0" w:space="0" w:color="auto"/>
                                                <w:left w:val="none" w:sz="0" w:space="0" w:color="auto"/>
                                                <w:bottom w:val="none" w:sz="0" w:space="0" w:color="auto"/>
                                                <w:right w:val="none" w:sz="0" w:space="0" w:color="auto"/>
                                              </w:divBdr>
                                              <w:divsChild>
                                                <w:div w:id="946497622">
                                                  <w:marLeft w:val="0"/>
                                                  <w:marRight w:val="0"/>
                                                  <w:marTop w:val="0"/>
                                                  <w:marBottom w:val="0"/>
                                                  <w:divBdr>
                                                    <w:top w:val="none" w:sz="0" w:space="0" w:color="auto"/>
                                                    <w:left w:val="none" w:sz="0" w:space="0" w:color="auto"/>
                                                    <w:bottom w:val="none" w:sz="0" w:space="0" w:color="auto"/>
                                                    <w:right w:val="none" w:sz="0" w:space="0" w:color="auto"/>
                                                  </w:divBdr>
                                                  <w:divsChild>
                                                    <w:div w:id="155133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6778011">
      <w:bodyDiv w:val="1"/>
      <w:marLeft w:val="0"/>
      <w:marRight w:val="0"/>
      <w:marTop w:val="0"/>
      <w:marBottom w:val="0"/>
      <w:divBdr>
        <w:top w:val="none" w:sz="0" w:space="0" w:color="auto"/>
        <w:left w:val="none" w:sz="0" w:space="0" w:color="auto"/>
        <w:bottom w:val="none" w:sz="0" w:space="0" w:color="auto"/>
        <w:right w:val="none" w:sz="0" w:space="0" w:color="auto"/>
      </w:divBdr>
      <w:divsChild>
        <w:div w:id="1698502483">
          <w:marLeft w:val="0"/>
          <w:marRight w:val="0"/>
          <w:marTop w:val="0"/>
          <w:marBottom w:val="0"/>
          <w:divBdr>
            <w:top w:val="none" w:sz="0" w:space="0" w:color="auto"/>
            <w:left w:val="none" w:sz="0" w:space="0" w:color="auto"/>
            <w:bottom w:val="none" w:sz="0" w:space="0" w:color="auto"/>
            <w:right w:val="none" w:sz="0" w:space="0" w:color="auto"/>
          </w:divBdr>
          <w:divsChild>
            <w:div w:id="1844707461">
              <w:marLeft w:val="0"/>
              <w:marRight w:val="0"/>
              <w:marTop w:val="0"/>
              <w:marBottom w:val="0"/>
              <w:divBdr>
                <w:top w:val="none" w:sz="0" w:space="0" w:color="auto"/>
                <w:left w:val="none" w:sz="0" w:space="0" w:color="auto"/>
                <w:bottom w:val="none" w:sz="0" w:space="0" w:color="auto"/>
                <w:right w:val="none" w:sz="0" w:space="0" w:color="auto"/>
              </w:divBdr>
              <w:divsChild>
                <w:div w:id="893472136">
                  <w:marLeft w:val="0"/>
                  <w:marRight w:val="300"/>
                  <w:marTop w:val="0"/>
                  <w:marBottom w:val="0"/>
                  <w:divBdr>
                    <w:top w:val="none" w:sz="0" w:space="0" w:color="auto"/>
                    <w:left w:val="none" w:sz="0" w:space="0" w:color="auto"/>
                    <w:bottom w:val="none" w:sz="0" w:space="0" w:color="auto"/>
                    <w:right w:val="none" w:sz="0" w:space="0" w:color="auto"/>
                  </w:divBdr>
                  <w:divsChild>
                    <w:div w:id="1598757718">
                      <w:marLeft w:val="0"/>
                      <w:marRight w:val="0"/>
                      <w:marTop w:val="0"/>
                      <w:marBottom w:val="0"/>
                      <w:divBdr>
                        <w:top w:val="none" w:sz="0" w:space="0" w:color="auto"/>
                        <w:left w:val="none" w:sz="0" w:space="0" w:color="auto"/>
                        <w:bottom w:val="none" w:sz="0" w:space="0" w:color="auto"/>
                        <w:right w:val="none" w:sz="0" w:space="0" w:color="auto"/>
                      </w:divBdr>
                      <w:divsChild>
                        <w:div w:id="238028873">
                          <w:marLeft w:val="0"/>
                          <w:marRight w:val="0"/>
                          <w:marTop w:val="0"/>
                          <w:marBottom w:val="0"/>
                          <w:divBdr>
                            <w:top w:val="none" w:sz="0" w:space="0" w:color="auto"/>
                            <w:left w:val="none" w:sz="0" w:space="0" w:color="auto"/>
                            <w:bottom w:val="none" w:sz="0" w:space="0" w:color="auto"/>
                            <w:right w:val="none" w:sz="0" w:space="0" w:color="auto"/>
                          </w:divBdr>
                          <w:divsChild>
                            <w:div w:id="1188443977">
                              <w:marLeft w:val="0"/>
                              <w:marRight w:val="0"/>
                              <w:marTop w:val="0"/>
                              <w:marBottom w:val="0"/>
                              <w:divBdr>
                                <w:top w:val="none" w:sz="0" w:space="0" w:color="auto"/>
                                <w:left w:val="none" w:sz="0" w:space="0" w:color="auto"/>
                                <w:bottom w:val="none" w:sz="0" w:space="0" w:color="auto"/>
                                <w:right w:val="none" w:sz="0" w:space="0" w:color="auto"/>
                              </w:divBdr>
                              <w:divsChild>
                                <w:div w:id="451555163">
                                  <w:marLeft w:val="0"/>
                                  <w:marRight w:val="0"/>
                                  <w:marTop w:val="0"/>
                                  <w:marBottom w:val="0"/>
                                  <w:divBdr>
                                    <w:top w:val="none" w:sz="0" w:space="0" w:color="auto"/>
                                    <w:left w:val="none" w:sz="0" w:space="0" w:color="auto"/>
                                    <w:bottom w:val="none" w:sz="0" w:space="0" w:color="auto"/>
                                    <w:right w:val="none" w:sz="0" w:space="0" w:color="auto"/>
                                  </w:divBdr>
                                  <w:divsChild>
                                    <w:div w:id="661662317">
                                      <w:marLeft w:val="0"/>
                                      <w:marRight w:val="0"/>
                                      <w:marTop w:val="0"/>
                                      <w:marBottom w:val="0"/>
                                      <w:divBdr>
                                        <w:top w:val="none" w:sz="0" w:space="0" w:color="auto"/>
                                        <w:left w:val="none" w:sz="0" w:space="0" w:color="auto"/>
                                        <w:bottom w:val="none" w:sz="0" w:space="0" w:color="auto"/>
                                        <w:right w:val="none" w:sz="0" w:space="0" w:color="auto"/>
                                      </w:divBdr>
                                      <w:divsChild>
                                        <w:div w:id="2052604583">
                                          <w:marLeft w:val="0"/>
                                          <w:marRight w:val="0"/>
                                          <w:marTop w:val="0"/>
                                          <w:marBottom w:val="0"/>
                                          <w:divBdr>
                                            <w:top w:val="none" w:sz="0" w:space="0" w:color="auto"/>
                                            <w:left w:val="none" w:sz="0" w:space="0" w:color="auto"/>
                                            <w:bottom w:val="none" w:sz="0" w:space="0" w:color="auto"/>
                                            <w:right w:val="none" w:sz="0" w:space="0" w:color="auto"/>
                                          </w:divBdr>
                                          <w:divsChild>
                                            <w:div w:id="1592592087">
                                              <w:marLeft w:val="0"/>
                                              <w:marRight w:val="0"/>
                                              <w:marTop w:val="0"/>
                                              <w:marBottom w:val="0"/>
                                              <w:divBdr>
                                                <w:top w:val="none" w:sz="0" w:space="0" w:color="auto"/>
                                                <w:left w:val="none" w:sz="0" w:space="0" w:color="auto"/>
                                                <w:bottom w:val="none" w:sz="0" w:space="0" w:color="auto"/>
                                                <w:right w:val="none" w:sz="0" w:space="0" w:color="auto"/>
                                              </w:divBdr>
                                              <w:divsChild>
                                                <w:div w:id="1280185888">
                                                  <w:marLeft w:val="0"/>
                                                  <w:marRight w:val="0"/>
                                                  <w:marTop w:val="0"/>
                                                  <w:marBottom w:val="0"/>
                                                  <w:divBdr>
                                                    <w:top w:val="none" w:sz="0" w:space="0" w:color="auto"/>
                                                    <w:left w:val="none" w:sz="0" w:space="0" w:color="auto"/>
                                                    <w:bottom w:val="none" w:sz="0" w:space="0" w:color="auto"/>
                                                    <w:right w:val="none" w:sz="0" w:space="0" w:color="auto"/>
                                                  </w:divBdr>
                                                  <w:divsChild>
                                                    <w:div w:id="345719231">
                                                      <w:marLeft w:val="0"/>
                                                      <w:marRight w:val="0"/>
                                                      <w:marTop w:val="0"/>
                                                      <w:marBottom w:val="0"/>
                                                      <w:divBdr>
                                                        <w:top w:val="none" w:sz="0" w:space="0" w:color="auto"/>
                                                        <w:left w:val="none" w:sz="0" w:space="0" w:color="auto"/>
                                                        <w:bottom w:val="none" w:sz="0" w:space="0" w:color="auto"/>
                                                        <w:right w:val="none" w:sz="0" w:space="0" w:color="auto"/>
                                                      </w:divBdr>
                                                    </w:div>
                                                    <w:div w:id="150038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7309562">
      <w:bodyDiv w:val="1"/>
      <w:marLeft w:val="0"/>
      <w:marRight w:val="0"/>
      <w:marTop w:val="0"/>
      <w:marBottom w:val="0"/>
      <w:divBdr>
        <w:top w:val="none" w:sz="0" w:space="0" w:color="auto"/>
        <w:left w:val="none" w:sz="0" w:space="0" w:color="auto"/>
        <w:bottom w:val="none" w:sz="0" w:space="0" w:color="auto"/>
        <w:right w:val="none" w:sz="0" w:space="0" w:color="auto"/>
      </w:divBdr>
    </w:div>
    <w:div w:id="1609700430">
      <w:bodyDiv w:val="1"/>
      <w:marLeft w:val="0"/>
      <w:marRight w:val="0"/>
      <w:marTop w:val="0"/>
      <w:marBottom w:val="0"/>
      <w:divBdr>
        <w:top w:val="none" w:sz="0" w:space="0" w:color="auto"/>
        <w:left w:val="none" w:sz="0" w:space="0" w:color="auto"/>
        <w:bottom w:val="none" w:sz="0" w:space="0" w:color="auto"/>
        <w:right w:val="none" w:sz="0" w:space="0" w:color="auto"/>
      </w:divBdr>
      <w:divsChild>
        <w:div w:id="2013335235">
          <w:marLeft w:val="0"/>
          <w:marRight w:val="0"/>
          <w:marTop w:val="0"/>
          <w:marBottom w:val="0"/>
          <w:divBdr>
            <w:top w:val="none" w:sz="0" w:space="0" w:color="auto"/>
            <w:left w:val="none" w:sz="0" w:space="0" w:color="auto"/>
            <w:bottom w:val="none" w:sz="0" w:space="0" w:color="auto"/>
            <w:right w:val="none" w:sz="0" w:space="0" w:color="auto"/>
          </w:divBdr>
          <w:divsChild>
            <w:div w:id="1230766310">
              <w:marLeft w:val="0"/>
              <w:marRight w:val="0"/>
              <w:marTop w:val="0"/>
              <w:marBottom w:val="0"/>
              <w:divBdr>
                <w:top w:val="none" w:sz="0" w:space="0" w:color="auto"/>
                <w:left w:val="none" w:sz="0" w:space="0" w:color="auto"/>
                <w:bottom w:val="none" w:sz="0" w:space="0" w:color="auto"/>
                <w:right w:val="none" w:sz="0" w:space="0" w:color="auto"/>
              </w:divBdr>
              <w:divsChild>
                <w:div w:id="1465731559">
                  <w:marLeft w:val="0"/>
                  <w:marRight w:val="300"/>
                  <w:marTop w:val="0"/>
                  <w:marBottom w:val="0"/>
                  <w:divBdr>
                    <w:top w:val="none" w:sz="0" w:space="0" w:color="auto"/>
                    <w:left w:val="none" w:sz="0" w:space="0" w:color="auto"/>
                    <w:bottom w:val="none" w:sz="0" w:space="0" w:color="auto"/>
                    <w:right w:val="none" w:sz="0" w:space="0" w:color="auto"/>
                  </w:divBdr>
                  <w:divsChild>
                    <w:div w:id="653728478">
                      <w:marLeft w:val="0"/>
                      <w:marRight w:val="0"/>
                      <w:marTop w:val="0"/>
                      <w:marBottom w:val="0"/>
                      <w:divBdr>
                        <w:top w:val="none" w:sz="0" w:space="0" w:color="auto"/>
                        <w:left w:val="none" w:sz="0" w:space="0" w:color="auto"/>
                        <w:bottom w:val="none" w:sz="0" w:space="0" w:color="auto"/>
                        <w:right w:val="none" w:sz="0" w:space="0" w:color="auto"/>
                      </w:divBdr>
                      <w:divsChild>
                        <w:div w:id="497308115">
                          <w:marLeft w:val="0"/>
                          <w:marRight w:val="0"/>
                          <w:marTop w:val="0"/>
                          <w:marBottom w:val="0"/>
                          <w:divBdr>
                            <w:top w:val="none" w:sz="0" w:space="0" w:color="auto"/>
                            <w:left w:val="none" w:sz="0" w:space="0" w:color="auto"/>
                            <w:bottom w:val="none" w:sz="0" w:space="0" w:color="auto"/>
                            <w:right w:val="none" w:sz="0" w:space="0" w:color="auto"/>
                          </w:divBdr>
                          <w:divsChild>
                            <w:div w:id="1413697505">
                              <w:marLeft w:val="0"/>
                              <w:marRight w:val="0"/>
                              <w:marTop w:val="0"/>
                              <w:marBottom w:val="0"/>
                              <w:divBdr>
                                <w:top w:val="none" w:sz="0" w:space="0" w:color="auto"/>
                                <w:left w:val="none" w:sz="0" w:space="0" w:color="auto"/>
                                <w:bottom w:val="none" w:sz="0" w:space="0" w:color="auto"/>
                                <w:right w:val="none" w:sz="0" w:space="0" w:color="auto"/>
                              </w:divBdr>
                              <w:divsChild>
                                <w:div w:id="2144274978">
                                  <w:marLeft w:val="0"/>
                                  <w:marRight w:val="0"/>
                                  <w:marTop w:val="0"/>
                                  <w:marBottom w:val="0"/>
                                  <w:divBdr>
                                    <w:top w:val="none" w:sz="0" w:space="0" w:color="auto"/>
                                    <w:left w:val="none" w:sz="0" w:space="0" w:color="auto"/>
                                    <w:bottom w:val="none" w:sz="0" w:space="0" w:color="auto"/>
                                    <w:right w:val="none" w:sz="0" w:space="0" w:color="auto"/>
                                  </w:divBdr>
                                  <w:divsChild>
                                    <w:div w:id="1540623521">
                                      <w:marLeft w:val="0"/>
                                      <w:marRight w:val="0"/>
                                      <w:marTop w:val="0"/>
                                      <w:marBottom w:val="0"/>
                                      <w:divBdr>
                                        <w:top w:val="none" w:sz="0" w:space="0" w:color="auto"/>
                                        <w:left w:val="none" w:sz="0" w:space="0" w:color="auto"/>
                                        <w:bottom w:val="none" w:sz="0" w:space="0" w:color="auto"/>
                                        <w:right w:val="none" w:sz="0" w:space="0" w:color="auto"/>
                                      </w:divBdr>
                                      <w:divsChild>
                                        <w:div w:id="944653759">
                                          <w:marLeft w:val="0"/>
                                          <w:marRight w:val="0"/>
                                          <w:marTop w:val="0"/>
                                          <w:marBottom w:val="0"/>
                                          <w:divBdr>
                                            <w:top w:val="none" w:sz="0" w:space="0" w:color="auto"/>
                                            <w:left w:val="none" w:sz="0" w:space="0" w:color="auto"/>
                                            <w:bottom w:val="none" w:sz="0" w:space="0" w:color="auto"/>
                                            <w:right w:val="none" w:sz="0" w:space="0" w:color="auto"/>
                                          </w:divBdr>
                                          <w:divsChild>
                                            <w:div w:id="2006281812">
                                              <w:marLeft w:val="0"/>
                                              <w:marRight w:val="0"/>
                                              <w:marTop w:val="0"/>
                                              <w:marBottom w:val="0"/>
                                              <w:divBdr>
                                                <w:top w:val="none" w:sz="0" w:space="0" w:color="auto"/>
                                                <w:left w:val="none" w:sz="0" w:space="0" w:color="auto"/>
                                                <w:bottom w:val="none" w:sz="0" w:space="0" w:color="auto"/>
                                                <w:right w:val="none" w:sz="0" w:space="0" w:color="auto"/>
                                              </w:divBdr>
                                              <w:divsChild>
                                                <w:div w:id="1288661660">
                                                  <w:marLeft w:val="0"/>
                                                  <w:marRight w:val="0"/>
                                                  <w:marTop w:val="0"/>
                                                  <w:marBottom w:val="0"/>
                                                  <w:divBdr>
                                                    <w:top w:val="none" w:sz="0" w:space="0" w:color="auto"/>
                                                    <w:left w:val="none" w:sz="0" w:space="0" w:color="auto"/>
                                                    <w:bottom w:val="none" w:sz="0" w:space="0" w:color="auto"/>
                                                    <w:right w:val="none" w:sz="0" w:space="0" w:color="auto"/>
                                                  </w:divBdr>
                                                  <w:divsChild>
                                                    <w:div w:id="1266378034">
                                                      <w:marLeft w:val="0"/>
                                                      <w:marRight w:val="0"/>
                                                      <w:marTop w:val="0"/>
                                                      <w:marBottom w:val="0"/>
                                                      <w:divBdr>
                                                        <w:top w:val="none" w:sz="0" w:space="0" w:color="auto"/>
                                                        <w:left w:val="none" w:sz="0" w:space="0" w:color="auto"/>
                                                        <w:bottom w:val="none" w:sz="0" w:space="0" w:color="auto"/>
                                                        <w:right w:val="none" w:sz="0" w:space="0" w:color="auto"/>
                                                      </w:divBdr>
                                                    </w:div>
                                                    <w:div w:id="136139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2324006">
      <w:bodyDiv w:val="1"/>
      <w:marLeft w:val="0"/>
      <w:marRight w:val="0"/>
      <w:marTop w:val="0"/>
      <w:marBottom w:val="0"/>
      <w:divBdr>
        <w:top w:val="none" w:sz="0" w:space="0" w:color="auto"/>
        <w:left w:val="none" w:sz="0" w:space="0" w:color="auto"/>
        <w:bottom w:val="none" w:sz="0" w:space="0" w:color="auto"/>
        <w:right w:val="none" w:sz="0" w:space="0" w:color="auto"/>
      </w:divBdr>
      <w:divsChild>
        <w:div w:id="1605260059">
          <w:marLeft w:val="0"/>
          <w:marRight w:val="0"/>
          <w:marTop w:val="0"/>
          <w:marBottom w:val="0"/>
          <w:divBdr>
            <w:top w:val="none" w:sz="0" w:space="0" w:color="auto"/>
            <w:left w:val="none" w:sz="0" w:space="0" w:color="auto"/>
            <w:bottom w:val="none" w:sz="0" w:space="0" w:color="auto"/>
            <w:right w:val="none" w:sz="0" w:space="0" w:color="auto"/>
          </w:divBdr>
          <w:divsChild>
            <w:div w:id="1039621402">
              <w:marLeft w:val="0"/>
              <w:marRight w:val="0"/>
              <w:marTop w:val="0"/>
              <w:marBottom w:val="0"/>
              <w:divBdr>
                <w:top w:val="none" w:sz="0" w:space="0" w:color="auto"/>
                <w:left w:val="none" w:sz="0" w:space="0" w:color="auto"/>
                <w:bottom w:val="none" w:sz="0" w:space="0" w:color="auto"/>
                <w:right w:val="none" w:sz="0" w:space="0" w:color="auto"/>
              </w:divBdr>
              <w:divsChild>
                <w:div w:id="45689650">
                  <w:marLeft w:val="0"/>
                  <w:marRight w:val="300"/>
                  <w:marTop w:val="0"/>
                  <w:marBottom w:val="0"/>
                  <w:divBdr>
                    <w:top w:val="none" w:sz="0" w:space="0" w:color="auto"/>
                    <w:left w:val="none" w:sz="0" w:space="0" w:color="auto"/>
                    <w:bottom w:val="none" w:sz="0" w:space="0" w:color="auto"/>
                    <w:right w:val="none" w:sz="0" w:space="0" w:color="auto"/>
                  </w:divBdr>
                  <w:divsChild>
                    <w:div w:id="1698580708">
                      <w:marLeft w:val="0"/>
                      <w:marRight w:val="0"/>
                      <w:marTop w:val="0"/>
                      <w:marBottom w:val="0"/>
                      <w:divBdr>
                        <w:top w:val="none" w:sz="0" w:space="0" w:color="auto"/>
                        <w:left w:val="none" w:sz="0" w:space="0" w:color="auto"/>
                        <w:bottom w:val="none" w:sz="0" w:space="0" w:color="auto"/>
                        <w:right w:val="none" w:sz="0" w:space="0" w:color="auto"/>
                      </w:divBdr>
                      <w:divsChild>
                        <w:div w:id="2077238290">
                          <w:marLeft w:val="0"/>
                          <w:marRight w:val="0"/>
                          <w:marTop w:val="0"/>
                          <w:marBottom w:val="0"/>
                          <w:divBdr>
                            <w:top w:val="none" w:sz="0" w:space="0" w:color="auto"/>
                            <w:left w:val="none" w:sz="0" w:space="0" w:color="auto"/>
                            <w:bottom w:val="none" w:sz="0" w:space="0" w:color="auto"/>
                            <w:right w:val="none" w:sz="0" w:space="0" w:color="auto"/>
                          </w:divBdr>
                          <w:divsChild>
                            <w:div w:id="1530412920">
                              <w:marLeft w:val="0"/>
                              <w:marRight w:val="0"/>
                              <w:marTop w:val="0"/>
                              <w:marBottom w:val="0"/>
                              <w:divBdr>
                                <w:top w:val="none" w:sz="0" w:space="0" w:color="auto"/>
                                <w:left w:val="none" w:sz="0" w:space="0" w:color="auto"/>
                                <w:bottom w:val="none" w:sz="0" w:space="0" w:color="auto"/>
                                <w:right w:val="none" w:sz="0" w:space="0" w:color="auto"/>
                              </w:divBdr>
                              <w:divsChild>
                                <w:div w:id="999887665">
                                  <w:marLeft w:val="0"/>
                                  <w:marRight w:val="0"/>
                                  <w:marTop w:val="0"/>
                                  <w:marBottom w:val="0"/>
                                  <w:divBdr>
                                    <w:top w:val="none" w:sz="0" w:space="0" w:color="auto"/>
                                    <w:left w:val="none" w:sz="0" w:space="0" w:color="auto"/>
                                    <w:bottom w:val="none" w:sz="0" w:space="0" w:color="auto"/>
                                    <w:right w:val="none" w:sz="0" w:space="0" w:color="auto"/>
                                  </w:divBdr>
                                  <w:divsChild>
                                    <w:div w:id="1847404908">
                                      <w:marLeft w:val="0"/>
                                      <w:marRight w:val="0"/>
                                      <w:marTop w:val="0"/>
                                      <w:marBottom w:val="0"/>
                                      <w:divBdr>
                                        <w:top w:val="none" w:sz="0" w:space="0" w:color="auto"/>
                                        <w:left w:val="none" w:sz="0" w:space="0" w:color="auto"/>
                                        <w:bottom w:val="none" w:sz="0" w:space="0" w:color="auto"/>
                                        <w:right w:val="none" w:sz="0" w:space="0" w:color="auto"/>
                                      </w:divBdr>
                                      <w:divsChild>
                                        <w:div w:id="1092817560">
                                          <w:marLeft w:val="0"/>
                                          <w:marRight w:val="0"/>
                                          <w:marTop w:val="0"/>
                                          <w:marBottom w:val="0"/>
                                          <w:divBdr>
                                            <w:top w:val="none" w:sz="0" w:space="0" w:color="auto"/>
                                            <w:left w:val="none" w:sz="0" w:space="0" w:color="auto"/>
                                            <w:bottom w:val="none" w:sz="0" w:space="0" w:color="auto"/>
                                            <w:right w:val="none" w:sz="0" w:space="0" w:color="auto"/>
                                          </w:divBdr>
                                          <w:divsChild>
                                            <w:div w:id="284238402">
                                              <w:marLeft w:val="0"/>
                                              <w:marRight w:val="0"/>
                                              <w:marTop w:val="0"/>
                                              <w:marBottom w:val="0"/>
                                              <w:divBdr>
                                                <w:top w:val="none" w:sz="0" w:space="0" w:color="auto"/>
                                                <w:left w:val="none" w:sz="0" w:space="0" w:color="auto"/>
                                                <w:bottom w:val="none" w:sz="0" w:space="0" w:color="auto"/>
                                                <w:right w:val="none" w:sz="0" w:space="0" w:color="auto"/>
                                              </w:divBdr>
                                              <w:divsChild>
                                                <w:div w:id="1661617554">
                                                  <w:marLeft w:val="0"/>
                                                  <w:marRight w:val="0"/>
                                                  <w:marTop w:val="0"/>
                                                  <w:marBottom w:val="0"/>
                                                  <w:divBdr>
                                                    <w:top w:val="none" w:sz="0" w:space="0" w:color="auto"/>
                                                    <w:left w:val="none" w:sz="0" w:space="0" w:color="auto"/>
                                                    <w:bottom w:val="none" w:sz="0" w:space="0" w:color="auto"/>
                                                    <w:right w:val="none" w:sz="0" w:space="0" w:color="auto"/>
                                                  </w:divBdr>
                                                  <w:divsChild>
                                                    <w:div w:id="563957110">
                                                      <w:marLeft w:val="0"/>
                                                      <w:marRight w:val="0"/>
                                                      <w:marTop w:val="0"/>
                                                      <w:marBottom w:val="0"/>
                                                      <w:divBdr>
                                                        <w:top w:val="none" w:sz="0" w:space="0" w:color="auto"/>
                                                        <w:left w:val="none" w:sz="0" w:space="0" w:color="auto"/>
                                                        <w:bottom w:val="none" w:sz="0" w:space="0" w:color="auto"/>
                                                        <w:right w:val="none" w:sz="0" w:space="0" w:color="auto"/>
                                                      </w:divBdr>
                                                    </w:div>
                                                    <w:div w:id="125967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7496359">
      <w:bodyDiv w:val="1"/>
      <w:marLeft w:val="0"/>
      <w:marRight w:val="0"/>
      <w:marTop w:val="0"/>
      <w:marBottom w:val="0"/>
      <w:divBdr>
        <w:top w:val="none" w:sz="0" w:space="0" w:color="auto"/>
        <w:left w:val="none" w:sz="0" w:space="0" w:color="auto"/>
        <w:bottom w:val="none" w:sz="0" w:space="0" w:color="auto"/>
        <w:right w:val="none" w:sz="0" w:space="0" w:color="auto"/>
      </w:divBdr>
    </w:div>
    <w:div w:id="192475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ott\Local%20Settings\Temporary%20Internet%20Files\OLK1\template-8j.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A76D6-6AE0-4970-A64A-01859A58D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template-8j.dot</Template>
  <TotalTime>98</TotalTime>
  <Pages>6</Pages>
  <Words>2148</Words>
  <Characters>12249</Characters>
  <Application>Microsoft Office Word</Application>
  <DocSecurity>0</DocSecurity>
  <Lines>102</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SUMMARY OF SAFEGUARD-RELATED PROVISIONS OF CBD PRINCIPLES, GUIDELINES AND OTHER TOOLS</vt:lpstr>
      <vt:lpstr>Integration of Article 8(j) and provisions related to indigenous peoples and local communities in the work of the Convention and its Protocols</vt:lpstr>
    </vt:vector>
  </TitlesOfParts>
  <Company>Biodiversity</Company>
  <LinksUpToDate>false</LinksUpToDate>
  <CharactersWithSpaces>14369</CharactersWithSpaces>
  <SharedDoc>false</SharedDoc>
  <HyperlinkBase/>
  <HLinks>
    <vt:vector size="66" baseType="variant">
      <vt:variant>
        <vt:i4>327770</vt:i4>
      </vt:variant>
      <vt:variant>
        <vt:i4>12</vt:i4>
      </vt:variant>
      <vt:variant>
        <vt:i4>0</vt:i4>
      </vt:variant>
      <vt:variant>
        <vt:i4>5</vt:i4>
      </vt:variant>
      <vt:variant>
        <vt:lpwstr>https://www.cbd.int/doc/decisions/cop-11/cop-11-dec-14-en.doc</vt:lpwstr>
      </vt:variant>
      <vt:variant>
        <vt:lpwstr/>
      </vt:variant>
      <vt:variant>
        <vt:i4>327770</vt:i4>
      </vt:variant>
      <vt:variant>
        <vt:i4>9</vt:i4>
      </vt:variant>
      <vt:variant>
        <vt:i4>0</vt:i4>
      </vt:variant>
      <vt:variant>
        <vt:i4>5</vt:i4>
      </vt:variant>
      <vt:variant>
        <vt:lpwstr>https://www.cbd.int/doc/decisions/cop-11/cop-11-dec-14-en.doc</vt:lpwstr>
      </vt:variant>
      <vt:variant>
        <vt:lpwstr/>
      </vt:variant>
      <vt:variant>
        <vt:i4>524362</vt:i4>
      </vt:variant>
      <vt:variant>
        <vt:i4>6</vt:i4>
      </vt:variant>
      <vt:variant>
        <vt:i4>0</vt:i4>
      </vt:variant>
      <vt:variant>
        <vt:i4>5</vt:i4>
      </vt:variant>
      <vt:variant>
        <vt:lpwstr>https://www.cbd.int/doc/decisions/cop-10/cop-10-dec-43-en.pdf</vt:lpwstr>
      </vt:variant>
      <vt:variant>
        <vt:lpwstr/>
      </vt:variant>
      <vt:variant>
        <vt:i4>5308428</vt:i4>
      </vt:variant>
      <vt:variant>
        <vt:i4>3</vt:i4>
      </vt:variant>
      <vt:variant>
        <vt:i4>0</vt:i4>
      </vt:variant>
      <vt:variant>
        <vt:i4>5</vt:i4>
      </vt:variant>
      <vt:variant>
        <vt:lpwstr>https://www.cbd.int/convention/wg8j.shtml</vt:lpwstr>
      </vt:variant>
      <vt:variant>
        <vt:lpwstr/>
      </vt:variant>
      <vt:variant>
        <vt:i4>131147</vt:i4>
      </vt:variant>
      <vt:variant>
        <vt:i4>0</vt:i4>
      </vt:variant>
      <vt:variant>
        <vt:i4>0</vt:i4>
      </vt:variant>
      <vt:variant>
        <vt:i4>5</vt:i4>
      </vt:variant>
      <vt:variant>
        <vt:lpwstr>https://www.cbd.int/decision/cop/?id=7132</vt:lpwstr>
      </vt:variant>
      <vt:variant>
        <vt:lpwstr/>
      </vt:variant>
      <vt:variant>
        <vt:i4>3211370</vt:i4>
      </vt:variant>
      <vt:variant>
        <vt:i4>15</vt:i4>
      </vt:variant>
      <vt:variant>
        <vt:i4>0</vt:i4>
      </vt:variant>
      <vt:variant>
        <vt:i4>5</vt:i4>
      </vt:variant>
      <vt:variant>
        <vt:lpwstr>https://www.cbd.int/cop/cop-13/other/declaration-muuchtambal-en.pdf</vt:lpwstr>
      </vt:variant>
      <vt:variant>
        <vt:lpwstr/>
      </vt:variant>
      <vt:variant>
        <vt:i4>4587586</vt:i4>
      </vt:variant>
      <vt:variant>
        <vt:i4>12</vt:i4>
      </vt:variant>
      <vt:variant>
        <vt:i4>0</vt:i4>
      </vt:variant>
      <vt:variant>
        <vt:i4>5</vt:i4>
      </vt:variant>
      <vt:variant>
        <vt:lpwstr>https://www.cbd.int/tk/default.shtml</vt:lpwstr>
      </vt:variant>
      <vt:variant>
        <vt:lpwstr/>
      </vt:variant>
      <vt:variant>
        <vt:i4>6619190</vt:i4>
      </vt:variant>
      <vt:variant>
        <vt:i4>9</vt:i4>
      </vt:variant>
      <vt:variant>
        <vt:i4>0</vt:i4>
      </vt:variant>
      <vt:variant>
        <vt:i4>5</vt:i4>
      </vt:variant>
      <vt:variant>
        <vt:lpwstr>https://www.cbd.int/decision/cop/default.shtml?id=13175</vt:lpwstr>
      </vt:variant>
      <vt:variant>
        <vt:lpwstr/>
      </vt:variant>
      <vt:variant>
        <vt:i4>5111830</vt:i4>
      </vt:variant>
      <vt:variant>
        <vt:i4>6</vt:i4>
      </vt:variant>
      <vt:variant>
        <vt:i4>0</vt:i4>
      </vt:variant>
      <vt:variant>
        <vt:i4>5</vt:i4>
      </vt:variant>
      <vt:variant>
        <vt:lpwstr>https://www.cbd.int/doc/lists/nfp-cbd-tk.pdf</vt:lpwstr>
      </vt:variant>
      <vt:variant>
        <vt:lpwstr/>
      </vt:variant>
      <vt:variant>
        <vt:i4>5505053</vt:i4>
      </vt:variant>
      <vt:variant>
        <vt:i4>3</vt:i4>
      </vt:variant>
      <vt:variant>
        <vt:i4>0</vt:i4>
      </vt:variant>
      <vt:variant>
        <vt:i4>5</vt:i4>
      </vt:variant>
      <vt:variant>
        <vt:lpwstr>https://www.cbd.int/doc/?meeting=WG8J-05</vt:lpwstr>
      </vt:variant>
      <vt:variant>
        <vt:lpwstr/>
      </vt:variant>
      <vt:variant>
        <vt:i4>8126574</vt:i4>
      </vt:variant>
      <vt:variant>
        <vt:i4>0</vt:i4>
      </vt:variant>
      <vt:variant>
        <vt:i4>0</vt:i4>
      </vt:variant>
      <vt:variant>
        <vt:i4>5</vt:i4>
      </vt:variant>
      <vt:variant>
        <vt:lpwstr>https://www.cbd.int/traditional/fund.shtml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SAFEGUARD-RELATED PROVISIONS OF CBD PRINCIPLES, GUIDELINES AND OTHER TOOLS</dc:title>
  <dc:subject>AD HOC OPEN-ENDED INTER-SESSIONAL WORKING GROUP ON ARTICLE 8(j) AND RELATED PROVISIONS OF THE CONVENTION ON BIOLOGICAL DIVERSITY</dc:subject>
  <dc:creator>SCBD</dc:creator>
  <cp:lastModifiedBy>veronique lefebvre</cp:lastModifiedBy>
  <cp:revision>6</cp:revision>
  <cp:lastPrinted>2017-11-30T18:08:00Z</cp:lastPrinted>
  <dcterms:created xsi:type="dcterms:W3CDTF">2017-11-29T19:41:00Z</dcterms:created>
  <dcterms:modified xsi:type="dcterms:W3CDTF">2017-11-30T18:25:00Z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