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5406EE" w14:paraId="480A03FA" w14:textId="77777777" w:rsidTr="0039772E">
        <w:trPr>
          <w:trHeight w:val="1438"/>
        </w:trPr>
        <w:tc>
          <w:tcPr>
            <w:tcW w:w="5238" w:type="dxa"/>
          </w:tcPr>
          <w:p w14:paraId="52C378A4" w14:textId="52A39FAE" w:rsidR="0039772E" w:rsidRPr="005406EE" w:rsidRDefault="0039772E" w:rsidP="00D620E8">
            <w:pPr>
              <w:ind w:right="1426"/>
              <w:jc w:val="left"/>
              <w:rPr>
                <w:rFonts w:ascii="Univers" w:hAnsi="Univers"/>
                <w:sz w:val="32"/>
                <w:lang w:val="fr-FR"/>
              </w:rPr>
            </w:pPr>
            <w:r w:rsidRPr="005406EE">
              <w:rPr>
                <w:rFonts w:ascii="Univers" w:hAnsi="Univers"/>
                <w:b/>
                <w:sz w:val="32"/>
                <w:lang w:val="fr-FR"/>
              </w:rPr>
              <w:t xml:space="preserve">CONVENTION </w:t>
            </w:r>
            <w:r w:rsidR="00D620E8" w:rsidRPr="005406EE">
              <w:rPr>
                <w:rFonts w:ascii="Univers" w:hAnsi="Univers"/>
                <w:b/>
                <w:sz w:val="32"/>
                <w:lang w:val="fr-FR"/>
              </w:rPr>
              <w:t>SUR</w:t>
            </w:r>
          </w:p>
          <w:p w14:paraId="2FF81CF2" w14:textId="66732BB8" w:rsidR="0039772E" w:rsidRPr="005406EE" w:rsidRDefault="00D620E8" w:rsidP="00D620E8">
            <w:pPr>
              <w:spacing w:after="120"/>
              <w:ind w:right="1422"/>
              <w:jc w:val="left"/>
              <w:rPr>
                <w:lang w:val="fr-FR"/>
              </w:rPr>
            </w:pPr>
            <w:r w:rsidRPr="005406EE">
              <w:rPr>
                <w:rFonts w:ascii="Univers" w:hAnsi="Univers"/>
                <w:b/>
                <w:sz w:val="32"/>
                <w:lang w:val="fr-FR"/>
              </w:rPr>
              <w:t>LA DIVERSITÉ BIOLOGIQUE</w:t>
            </w:r>
            <w:r w:rsidR="0039772E" w:rsidRPr="005406EE">
              <w:rPr>
                <w:rFonts w:ascii="Univers" w:hAnsi="Univers"/>
                <w:b/>
                <w:sz w:val="32"/>
                <w:lang w:val="fr-FR"/>
              </w:rPr>
              <w:t xml:space="preserve"> </w:t>
            </w:r>
          </w:p>
        </w:tc>
        <w:tc>
          <w:tcPr>
            <w:tcW w:w="450" w:type="dxa"/>
          </w:tcPr>
          <w:p w14:paraId="5C7B42EF" w14:textId="77777777" w:rsidR="0039772E" w:rsidRPr="005406EE" w:rsidRDefault="0039772E" w:rsidP="00D66AFB">
            <w:pPr>
              <w:spacing w:after="120"/>
              <w:rPr>
                <w:lang w:val="fr-FR"/>
              </w:rPr>
            </w:pPr>
          </w:p>
        </w:tc>
        <w:tc>
          <w:tcPr>
            <w:tcW w:w="4201" w:type="dxa"/>
          </w:tcPr>
          <w:sdt>
            <w:sdtPr>
              <w:rPr>
                <w:lang w:val="fr-FR"/>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312CBA7D" w:rsidR="0039772E" w:rsidRPr="005406EE" w:rsidRDefault="000878A3" w:rsidP="00D66AFB">
                <w:pPr>
                  <w:ind w:left="1298"/>
                  <w:rPr>
                    <w:lang w:val="fr-FR"/>
                  </w:rPr>
                </w:pPr>
                <w:r w:rsidRPr="005406EE">
                  <w:rPr>
                    <w:lang w:val="fr-FR"/>
                  </w:rPr>
                  <w:t>CBD/SBI/3/CRP.5</w:t>
                </w:r>
              </w:p>
            </w:sdtContent>
          </w:sdt>
          <w:p w14:paraId="110C4E5D" w14:textId="135D2660" w:rsidR="0039772E" w:rsidRPr="005406EE" w:rsidRDefault="0040158B" w:rsidP="00D66AFB">
            <w:pPr>
              <w:spacing w:after="120"/>
              <w:ind w:left="1298"/>
              <w:rPr>
                <w:lang w:val="fr-FR"/>
              </w:rPr>
            </w:pPr>
            <w:r w:rsidRPr="005406EE">
              <w:rPr>
                <w:lang w:val="fr-FR"/>
              </w:rPr>
              <w:t xml:space="preserve">27 </w:t>
            </w:r>
            <w:r w:rsidR="00D620E8" w:rsidRPr="005406EE">
              <w:rPr>
                <w:lang w:val="fr-FR"/>
              </w:rPr>
              <w:t>mai</w:t>
            </w:r>
            <w:r w:rsidR="0039772E" w:rsidRPr="005406EE">
              <w:rPr>
                <w:lang w:val="fr-FR"/>
              </w:rPr>
              <w:t xml:space="preserve"> 2021</w:t>
            </w:r>
          </w:p>
          <w:p w14:paraId="2026F212" w14:textId="02D0B878" w:rsidR="0039772E" w:rsidRPr="005406EE" w:rsidRDefault="00D620E8" w:rsidP="00D66AFB">
            <w:pPr>
              <w:spacing w:after="120"/>
              <w:ind w:left="1298"/>
              <w:rPr>
                <w:lang w:val="fr-FR"/>
              </w:rPr>
            </w:pPr>
            <w:r w:rsidRPr="005406EE">
              <w:rPr>
                <w:lang w:val="fr-FR"/>
              </w:rPr>
              <w:t>FRANÇAIS</w:t>
            </w:r>
          </w:p>
          <w:p w14:paraId="11215D6E" w14:textId="3BBBED5F" w:rsidR="0039772E" w:rsidRPr="005406EE" w:rsidRDefault="0039772E" w:rsidP="00D66AFB">
            <w:pPr>
              <w:spacing w:after="120"/>
              <w:ind w:left="1298"/>
              <w:rPr>
                <w:lang w:val="fr-FR"/>
              </w:rPr>
            </w:pPr>
            <w:r w:rsidRPr="005406EE">
              <w:rPr>
                <w:lang w:val="fr-FR"/>
              </w:rPr>
              <w:t xml:space="preserve">ORIGINAL: </w:t>
            </w:r>
            <w:r w:rsidR="00D620E8" w:rsidRPr="005406EE">
              <w:rPr>
                <w:lang w:val="fr-FR"/>
              </w:rPr>
              <w:t>ANGLAIS</w:t>
            </w:r>
          </w:p>
        </w:tc>
      </w:tr>
    </w:tbl>
    <w:p w14:paraId="7A4DBB04" w14:textId="4BA03470" w:rsidR="00134846" w:rsidRPr="005406EE" w:rsidRDefault="00D620E8" w:rsidP="00D620E8">
      <w:pPr>
        <w:pStyle w:val="meetingname"/>
        <w:ind w:left="284" w:right="4398" w:hanging="284"/>
        <w:jc w:val="left"/>
        <w:rPr>
          <w:kern w:val="22"/>
          <w:lang w:val="fr-FR"/>
        </w:rPr>
      </w:pPr>
      <w:r w:rsidRPr="005406EE">
        <w:rPr>
          <w:kern w:val="22"/>
          <w:lang w:val="fr-FR"/>
        </w:rPr>
        <w:t>ORGANE SUBSIDIAIRE CHARGÉ DE L’APPLICATION</w:t>
      </w:r>
    </w:p>
    <w:p w14:paraId="0BFD0DF8" w14:textId="77777777" w:rsidR="00D620E8" w:rsidRPr="005406EE" w:rsidRDefault="00D620E8" w:rsidP="00D620E8">
      <w:pPr>
        <w:pStyle w:val="Cornernotation"/>
        <w:rPr>
          <w:snapToGrid w:val="0"/>
          <w:kern w:val="22"/>
          <w:szCs w:val="22"/>
          <w:lang w:val="fr-FR"/>
        </w:rPr>
      </w:pPr>
      <w:r w:rsidRPr="005406EE">
        <w:rPr>
          <w:snapToGrid w:val="0"/>
          <w:kern w:val="22"/>
          <w:szCs w:val="22"/>
          <w:lang w:val="fr-FR"/>
        </w:rPr>
        <w:t>Troisième réunion</w:t>
      </w:r>
    </w:p>
    <w:p w14:paraId="617EF6D0" w14:textId="060D9899" w:rsidR="00134846" w:rsidRPr="005406EE" w:rsidRDefault="00D620E8" w:rsidP="00D620E8">
      <w:pPr>
        <w:ind w:left="284" w:hanging="284"/>
        <w:jc w:val="left"/>
        <w:rPr>
          <w:snapToGrid w:val="0"/>
          <w:kern w:val="22"/>
          <w:szCs w:val="22"/>
          <w:lang w:val="fr-FR" w:eastAsia="nb-NO"/>
        </w:rPr>
      </w:pPr>
      <w:r w:rsidRPr="005406EE">
        <w:rPr>
          <w:snapToGrid w:val="0"/>
          <w:kern w:val="22"/>
          <w:szCs w:val="22"/>
          <w:lang w:val="fr-FR"/>
        </w:rPr>
        <w:t>En ligne, 16 mai – 13 juin 2021</w:t>
      </w:r>
    </w:p>
    <w:p w14:paraId="5ECF7635" w14:textId="37F119FC" w:rsidR="00C9161D" w:rsidRPr="005406EE" w:rsidRDefault="00D620E8" w:rsidP="00C9161D">
      <w:pPr>
        <w:rPr>
          <w:snapToGrid w:val="0"/>
          <w:kern w:val="22"/>
          <w:szCs w:val="22"/>
          <w:lang w:val="fr-FR"/>
        </w:rPr>
      </w:pPr>
      <w:r w:rsidRPr="005406EE">
        <w:rPr>
          <w:snapToGrid w:val="0"/>
          <w:kern w:val="22"/>
          <w:szCs w:val="22"/>
          <w:lang w:val="fr-FR"/>
        </w:rPr>
        <w:t>Point</w:t>
      </w:r>
      <w:r w:rsidR="0040158B" w:rsidRPr="005406EE">
        <w:rPr>
          <w:snapToGrid w:val="0"/>
          <w:kern w:val="22"/>
          <w:szCs w:val="22"/>
          <w:lang w:val="fr-FR"/>
        </w:rPr>
        <w:t xml:space="preserve"> </w:t>
      </w:r>
      <w:r w:rsidR="00890ADC" w:rsidRPr="005406EE">
        <w:rPr>
          <w:snapToGrid w:val="0"/>
          <w:kern w:val="22"/>
          <w:szCs w:val="22"/>
          <w:lang w:val="fr-FR"/>
        </w:rPr>
        <w:t>9</w:t>
      </w:r>
      <w:r w:rsidRPr="005406EE">
        <w:rPr>
          <w:snapToGrid w:val="0"/>
          <w:kern w:val="22"/>
          <w:szCs w:val="22"/>
          <w:lang w:val="fr-FR"/>
        </w:rPr>
        <w:t xml:space="preserve"> de l’ordre du jour</w:t>
      </w:r>
    </w:p>
    <w:p w14:paraId="3FFD024C" w14:textId="77777777" w:rsidR="00227C9D" w:rsidRPr="005406EE" w:rsidRDefault="00227C9D" w:rsidP="00C9161D">
      <w:pPr>
        <w:rPr>
          <w:lang w:val="fr-FR"/>
        </w:rPr>
      </w:pPr>
    </w:p>
    <w:p w14:paraId="57F6B7A1" w14:textId="4ED80FE3" w:rsidR="00C9161D" w:rsidRPr="005406EE" w:rsidRDefault="00D620E8" w:rsidP="00D14043">
      <w:pPr>
        <w:pStyle w:val="Titre1"/>
        <w:rPr>
          <w:lang w:val="fr-FR"/>
        </w:rPr>
      </w:pPr>
      <w:sdt>
        <w:sdtPr>
          <w:rPr>
            <w:lang w:val="fr-FR"/>
          </w:rPr>
          <w:alias w:val="Title"/>
          <w:tag w:val=""/>
          <w:id w:val="772832786"/>
          <w:placeholder>
            <w:docPart w:val="54761CFD67374AA79853C3D7DBE5BB7D"/>
          </w:placeholder>
          <w:dataBinding w:prefixMappings="xmlns:ns0='http://purl.org/dc/elements/1.1/' xmlns:ns1='http://schemas.openxmlformats.org/package/2006/metadata/core-properties' " w:xpath="/ns1:coreProperties[1]/ns0:title[1]" w:storeItemID="{6C3C8BC8-F283-45AE-878A-BAB7291924A1}"/>
          <w:text/>
        </w:sdtPr>
        <w:sdtContent>
          <w:r w:rsidRPr="005406EE">
            <w:rPr>
              <w:lang w:val="fr-FR"/>
            </w:rPr>
            <w:t>POSSIBILITÉS D'AMÉLIOR</w:t>
          </w:r>
          <w:r w:rsidR="00E12519">
            <w:rPr>
              <w:lang w:val="fr-FR"/>
            </w:rPr>
            <w:t>ATION D</w:t>
          </w:r>
          <w:r w:rsidRPr="005406EE">
            <w:rPr>
              <w:lang w:val="fr-FR"/>
            </w:rPr>
            <w:t>ES MÉCANISMES DE PLANIFICATION, DE RAPPORTS ET D'EXAMEN EN VUE DE RENFORCER L'APPLICATION DE LA CONVENTION</w:t>
          </w:r>
        </w:sdtContent>
      </w:sdt>
    </w:p>
    <w:p w14:paraId="2EEF764E" w14:textId="38A564FD" w:rsidR="00F6586C" w:rsidRPr="005406EE" w:rsidRDefault="00D620E8" w:rsidP="001E6BC2">
      <w:pPr>
        <w:pStyle w:val="Style1"/>
        <w:tabs>
          <w:tab w:val="clear" w:pos="720"/>
        </w:tabs>
        <w:rPr>
          <w:bCs w:val="0"/>
          <w:i w:val="0"/>
          <w:iCs w:val="0"/>
          <w:lang w:val="fr-FR"/>
        </w:rPr>
      </w:pPr>
      <w:r w:rsidRPr="005406EE">
        <w:rPr>
          <w:bCs w:val="0"/>
          <w:i w:val="0"/>
          <w:iCs w:val="0"/>
          <w:lang w:val="fr-FR"/>
        </w:rPr>
        <w:t>Projet de recommandation soumis par le Président</w:t>
      </w:r>
    </w:p>
    <w:p w14:paraId="712CA641" w14:textId="62131590" w:rsidR="00227C9D" w:rsidRPr="005406EE" w:rsidRDefault="00D620E8" w:rsidP="001E6BC2">
      <w:pPr>
        <w:pStyle w:val="Para1"/>
        <w:numPr>
          <w:ilvl w:val="0"/>
          <w:numId w:val="0"/>
        </w:numPr>
        <w:adjustRightInd w:val="0"/>
        <w:ind w:firstLine="720"/>
        <w:rPr>
          <w:i/>
          <w:iCs/>
          <w:lang w:val="fr-FR"/>
        </w:rPr>
      </w:pPr>
      <w:r w:rsidRPr="005406EE">
        <w:rPr>
          <w:lang w:val="fr-FR"/>
        </w:rPr>
        <w:t>L'Organe subsidiaire chargé de l'application recommande à la Conférence des Parties d'adopter, à sa quinzième réunion, une décision comprenant les éléments suivants, en tenant compte également des conclusions de la vingt-quatrième réunion de l'Organe subsidiaire chargé de fournir des avis scientifiques et techniques et de la troisième réunion du Groupe de travail à composition non limitée sur le Cadre mondial de la biodiversité pour l'après-2020</w:t>
      </w:r>
      <w:r w:rsidRPr="005406EE">
        <w:rPr>
          <w:lang w:val="fr-FR"/>
        </w:rPr>
        <w:t xml:space="preserve"> </w:t>
      </w:r>
      <w:r w:rsidR="00227C9D" w:rsidRPr="005406EE">
        <w:rPr>
          <w:rFonts w:asciiTheme="majorBidi" w:hAnsiTheme="majorBidi" w:cstheme="majorBidi"/>
          <w:szCs w:val="22"/>
          <w:lang w:val="fr-FR"/>
        </w:rPr>
        <w:t>:</w:t>
      </w:r>
    </w:p>
    <w:p w14:paraId="58F30778" w14:textId="438D07CF" w:rsidR="00227C9D" w:rsidRPr="005406EE" w:rsidRDefault="00D620E8" w:rsidP="001E6BC2">
      <w:pPr>
        <w:pStyle w:val="Para1"/>
        <w:numPr>
          <w:ilvl w:val="0"/>
          <w:numId w:val="0"/>
        </w:numPr>
        <w:suppressLineNumbers/>
        <w:suppressAutoHyphens/>
        <w:adjustRightInd w:val="0"/>
        <w:ind w:firstLine="720"/>
        <w:rPr>
          <w:rFonts w:asciiTheme="majorBidi" w:hAnsiTheme="majorBidi" w:cstheme="majorBidi"/>
          <w:kern w:val="22"/>
          <w:szCs w:val="22"/>
          <w:lang w:val="fr-FR"/>
        </w:rPr>
      </w:pPr>
      <w:r w:rsidRPr="005406EE">
        <w:rPr>
          <w:rFonts w:asciiTheme="majorBidi" w:hAnsiTheme="majorBidi" w:cstheme="majorBidi"/>
          <w:i/>
          <w:iCs/>
          <w:kern w:val="22"/>
          <w:szCs w:val="22"/>
          <w:lang w:val="fr-FR"/>
        </w:rPr>
        <w:t>La Conférence des Parties</w:t>
      </w:r>
      <w:r w:rsidR="001A41AD" w:rsidRPr="005406EE">
        <w:rPr>
          <w:rFonts w:asciiTheme="majorBidi" w:hAnsiTheme="majorBidi" w:cstheme="majorBidi"/>
          <w:kern w:val="22"/>
          <w:szCs w:val="22"/>
          <w:lang w:val="fr-FR"/>
        </w:rPr>
        <w:t>,</w:t>
      </w:r>
    </w:p>
    <w:p w14:paraId="7E726A2C" w14:textId="5B63B816" w:rsidR="00227C9D" w:rsidRPr="005406EE" w:rsidRDefault="00D620E8" w:rsidP="001E6BC2">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lang w:val="fr-FR"/>
        </w:rPr>
      </w:pPr>
      <w:r w:rsidRPr="005406EE">
        <w:rPr>
          <w:i/>
          <w:kern w:val="22"/>
          <w:szCs w:val="24"/>
          <w:lang w:val="fr-FR"/>
        </w:rPr>
        <w:t xml:space="preserve">Rappelant </w:t>
      </w:r>
      <w:r w:rsidRPr="005406EE">
        <w:rPr>
          <w:iCs/>
          <w:kern w:val="22"/>
          <w:szCs w:val="24"/>
          <w:lang w:val="fr-FR"/>
        </w:rPr>
        <w:t>les articles 6, 23 et 26 de la Convention</w:t>
      </w:r>
      <w:r w:rsidR="00227C9D" w:rsidRPr="005406EE">
        <w:rPr>
          <w:kern w:val="22"/>
          <w:szCs w:val="24"/>
          <w:lang w:val="fr-FR"/>
        </w:rPr>
        <w:t>,</w:t>
      </w:r>
    </w:p>
    <w:p w14:paraId="06600330" w14:textId="724483CF" w:rsidR="00227C9D" w:rsidRPr="005406EE" w:rsidRDefault="00D620E8" w:rsidP="001E6BC2">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lang w:val="fr-FR"/>
        </w:rPr>
      </w:pPr>
      <w:r w:rsidRPr="005406EE">
        <w:rPr>
          <w:i/>
          <w:kern w:val="22"/>
          <w:szCs w:val="24"/>
          <w:lang w:val="fr-FR"/>
        </w:rPr>
        <w:t xml:space="preserve">Rappelant également </w:t>
      </w:r>
      <w:r w:rsidRPr="005406EE">
        <w:rPr>
          <w:iCs/>
          <w:kern w:val="22"/>
          <w:szCs w:val="24"/>
          <w:lang w:val="fr-FR"/>
        </w:rPr>
        <w:t>les décisions IX/8, X/2, X/10, XI/10, XIII/27, 14/27 et 14/34</w:t>
      </w:r>
      <w:r w:rsidR="00227C9D" w:rsidRPr="005406EE">
        <w:rPr>
          <w:iCs/>
          <w:kern w:val="22"/>
          <w:szCs w:val="24"/>
          <w:lang w:val="fr-FR"/>
        </w:rPr>
        <w:t>,</w:t>
      </w:r>
    </w:p>
    <w:p w14:paraId="2C66FCD0" w14:textId="5EB9280E" w:rsidR="00227C9D" w:rsidRPr="005406EE" w:rsidRDefault="00D620E8" w:rsidP="00C50864">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4"/>
          <w:lang w:val="fr-FR"/>
        </w:rPr>
      </w:pPr>
      <w:r w:rsidRPr="005406EE">
        <w:rPr>
          <w:i/>
          <w:kern w:val="22"/>
          <w:szCs w:val="24"/>
          <w:lang w:val="fr-FR"/>
        </w:rPr>
        <w:t xml:space="preserve">Rappelant en outre </w:t>
      </w:r>
      <w:r w:rsidRPr="005406EE">
        <w:rPr>
          <w:iCs/>
          <w:kern w:val="22"/>
          <w:szCs w:val="24"/>
          <w:lang w:val="fr-FR"/>
        </w:rPr>
        <w:t>la décision 14/29, dans laquelle elle a reconnu que l'application par les Parties et la mise en œuvre des engagements qui en découlent devaient être renforcées afin de mettre la communauté mondiale sur la voie de la réalisation de la Vision 2050 exposée dans le Plan stratégique pour la biodiversité 2011-2020</w:t>
      </w:r>
      <w:r w:rsidR="005406EE">
        <w:rPr>
          <w:rStyle w:val="Appelnotedebasdep"/>
          <w:iCs/>
          <w:kern w:val="22"/>
          <w:szCs w:val="24"/>
        </w:rPr>
        <w:footnoteReference w:id="2"/>
      </w:r>
      <w:r w:rsidRPr="005406EE">
        <w:rPr>
          <w:iCs/>
          <w:kern w:val="22"/>
          <w:szCs w:val="24"/>
          <w:lang w:val="fr-FR"/>
        </w:rPr>
        <w:t>, souligne que les rapports nationaux, prévus à l'article 26 de la Convention, restent un élément essentiel de l'examen des progrès de la mise en œuvre dans le cadre de l'approche d'examen multidimensionnel, et reconnaît que les éléments de l'approche d'examen multidimensionnel au titre de la Convention devraient être techniquement solides, objectifs, transparents, collaboratifs et constructifs et viser à faciliter les efforts accrus des Parties</w:t>
      </w:r>
      <w:r w:rsidRPr="005406EE">
        <w:rPr>
          <w:iCs/>
          <w:kern w:val="22"/>
          <w:szCs w:val="24"/>
          <w:lang w:val="fr-FR"/>
        </w:rPr>
        <w:t xml:space="preserve"> </w:t>
      </w:r>
      <w:r w:rsidR="00227C9D" w:rsidRPr="005406EE">
        <w:rPr>
          <w:iCs/>
          <w:kern w:val="22"/>
          <w:szCs w:val="24"/>
          <w:lang w:val="fr-FR"/>
        </w:rPr>
        <w:t>;</w:t>
      </w:r>
    </w:p>
    <w:p w14:paraId="05FD9022" w14:textId="66DB2DEA" w:rsidR="00227C9D" w:rsidRPr="005406EE" w:rsidRDefault="00D620E8" w:rsidP="00C50864">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fr-FR"/>
        </w:rPr>
      </w:pPr>
      <w:r w:rsidRPr="005406EE">
        <w:rPr>
          <w:i/>
          <w:iCs/>
          <w:kern w:val="22"/>
          <w:szCs w:val="22"/>
          <w:lang w:val="fr-FR"/>
        </w:rPr>
        <w:t xml:space="preserve">Rappelant également </w:t>
      </w:r>
      <w:r w:rsidRPr="005406EE">
        <w:rPr>
          <w:kern w:val="22"/>
          <w:szCs w:val="22"/>
          <w:lang w:val="fr-FR"/>
        </w:rPr>
        <w:t>que les stratégies et plans d'action nationaux en matière de biodiversité sont le principal instrument d'application de la Convention au niveau national et que les rapports nationaux sont le principal instrument de suivi et d'examen de la mise en œuvre de la Convention et du Cadre mondial de la biodiversité pour l'après-2020</w:t>
      </w:r>
      <w:r w:rsidR="00227C9D" w:rsidRPr="005406EE">
        <w:rPr>
          <w:kern w:val="22"/>
          <w:lang w:val="fr-FR"/>
        </w:rPr>
        <w:t>,</w:t>
      </w:r>
    </w:p>
    <w:p w14:paraId="6A70B99A" w14:textId="752CD0C9" w:rsidR="00227C9D" w:rsidRPr="005406EE" w:rsidRDefault="00D620E8" w:rsidP="001E6BC2">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lang w:val="fr-FR"/>
        </w:rPr>
      </w:pPr>
      <w:r w:rsidRPr="005406EE">
        <w:rPr>
          <w:i/>
          <w:iCs/>
          <w:kern w:val="22"/>
          <w:lang w:val="fr-FR"/>
        </w:rPr>
        <w:t xml:space="preserve">Notant avec inquiétude </w:t>
      </w:r>
      <w:r w:rsidRPr="005406EE">
        <w:rPr>
          <w:kern w:val="22"/>
          <w:lang w:val="fr-FR"/>
        </w:rPr>
        <w:t>les progrès limités dans la mise en œuvre du Plan stratégique pour la biodiversité 2011 2020, et soulignant la nécessité de renforcer la mise en œuvre à tous les niveaux et par tous les secteurs de la société pour atteindre les objectifs du Cadre mondial de la biodiversité pour l'après-2020</w:t>
      </w:r>
      <w:r w:rsidR="00227C9D" w:rsidRPr="005406EE">
        <w:rPr>
          <w:kern w:val="22"/>
          <w:lang w:val="fr-FR"/>
        </w:rPr>
        <w:t>,</w:t>
      </w:r>
    </w:p>
    <w:p w14:paraId="018D372B" w14:textId="0A02D379" w:rsidR="00227C9D" w:rsidRPr="005406EE" w:rsidRDefault="00227C9D" w:rsidP="001E6BC2">
      <w:pPr>
        <w:pStyle w:val="Para1"/>
        <w:numPr>
          <w:ilvl w:val="0"/>
          <w:numId w:val="23"/>
        </w:numPr>
        <w:suppressLineNumbers/>
        <w:suppressAutoHyphens/>
        <w:adjustRightInd w:val="0"/>
        <w:ind w:left="0"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w:t>
      </w:r>
      <w:r w:rsidR="00D620E8" w:rsidRPr="005406EE">
        <w:rPr>
          <w:rFonts w:asciiTheme="majorBidi" w:hAnsiTheme="majorBidi" w:cstheme="majorBidi"/>
          <w:i/>
          <w:iCs/>
          <w:kern w:val="22"/>
          <w:szCs w:val="22"/>
          <w:lang w:val="fr-FR"/>
        </w:rPr>
        <w:t xml:space="preserve">Adopte </w:t>
      </w:r>
      <w:r w:rsidR="00D620E8" w:rsidRPr="005406EE">
        <w:rPr>
          <w:rFonts w:asciiTheme="majorBidi" w:hAnsiTheme="majorBidi" w:cstheme="majorBidi"/>
          <w:kern w:val="22"/>
          <w:szCs w:val="22"/>
          <w:lang w:val="fr-FR"/>
        </w:rPr>
        <w:t>une approche multidimensionnelle renforcée de la planification, du suivi, de l'établissement de rapports et de l'examen en vue d'améliorer la mise en œuvre de la Convention sur la diversité biologique et du Cadre mondial de la biodiversité pour l'après-2020, comprenant</w:t>
      </w:r>
      <w:r w:rsidR="00E12519">
        <w:rPr>
          <w:rFonts w:asciiTheme="majorBidi" w:hAnsiTheme="majorBidi" w:cstheme="majorBidi"/>
          <w:kern w:val="22"/>
          <w:szCs w:val="22"/>
          <w:lang w:val="fr-FR"/>
        </w:rPr>
        <w:t xml:space="preserve"> </w:t>
      </w:r>
      <w:r w:rsidRPr="005406EE">
        <w:rPr>
          <w:rFonts w:asciiTheme="majorBidi" w:hAnsiTheme="majorBidi" w:cstheme="majorBidi"/>
          <w:kern w:val="22"/>
          <w:szCs w:val="22"/>
          <w:lang w:val="fr-FR"/>
        </w:rPr>
        <w:t>:]</w:t>
      </w:r>
    </w:p>
    <w:p w14:paraId="218A2784" w14:textId="1DAC52A3" w:rsidR="00227C9D" w:rsidRPr="005406EE" w:rsidRDefault="00227C9D" w:rsidP="001E6BC2">
      <w:pPr>
        <w:pStyle w:val="Para1"/>
        <w:numPr>
          <w:ilvl w:val="0"/>
          <w:numId w:val="0"/>
        </w:numPr>
        <w:suppressLineNumbers/>
        <w:suppressAutoHyphens/>
        <w:adjustRightInd w:val="0"/>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a)</w:t>
      </w:r>
      <w:r w:rsidRPr="005406EE">
        <w:rPr>
          <w:rFonts w:asciiTheme="majorBidi" w:hAnsiTheme="majorBidi" w:cstheme="majorBidi"/>
          <w:kern w:val="22"/>
          <w:szCs w:val="22"/>
          <w:lang w:val="fr-FR"/>
        </w:rPr>
        <w:tab/>
      </w:r>
      <w:r w:rsidR="00D620E8" w:rsidRPr="005406EE">
        <w:rPr>
          <w:rFonts w:asciiTheme="majorBidi" w:hAnsiTheme="majorBidi" w:cstheme="majorBidi"/>
          <w:kern w:val="22"/>
          <w:szCs w:val="22"/>
          <w:lang w:val="fr-FR"/>
        </w:rPr>
        <w:t>Des stratégies et plans d'action nationaux pour la biodiversité (SPANB) révisés et mis à jour [conformément aux] [selon les] orientations de l'annexe A, et [alignés sur] [conformes au] Cadre mondial de la biodiversité pour l'après-2020, en tant que principal mécanisme de planification nationale conformément à l'article 6 de la Convention ; [devant être communiqués à la Secrétaire exécutive [d'ici la COP 16]</w:t>
      </w:r>
      <w:r w:rsidR="00D620E8" w:rsidRPr="005406EE">
        <w:rPr>
          <w:rFonts w:asciiTheme="majorBidi" w:hAnsiTheme="majorBidi" w:cstheme="majorBidi"/>
          <w:kern w:val="22"/>
          <w:szCs w:val="22"/>
          <w:lang w:val="fr-FR"/>
        </w:rPr>
        <w:t xml:space="preserve"> </w:t>
      </w:r>
      <w:r w:rsidRPr="005406EE">
        <w:rPr>
          <w:rFonts w:asciiTheme="majorBidi" w:hAnsiTheme="majorBidi" w:cstheme="majorBidi"/>
          <w:kern w:val="22"/>
          <w:szCs w:val="22"/>
          <w:lang w:val="fr-FR"/>
        </w:rPr>
        <w:t>;</w:t>
      </w:r>
    </w:p>
    <w:p w14:paraId="4C1AC3F4" w14:textId="096C2B21" w:rsidR="00227C9D" w:rsidRPr="005406EE" w:rsidRDefault="00227C9D" w:rsidP="001E6BC2">
      <w:pPr>
        <w:pStyle w:val="Para1"/>
        <w:numPr>
          <w:ilvl w:val="0"/>
          <w:numId w:val="0"/>
        </w:numPr>
        <w:suppressLineNumbers/>
        <w:suppressAutoHyphens/>
        <w:adjustRightInd w:val="0"/>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lastRenderedPageBreak/>
        <w:t>b)</w:t>
      </w:r>
      <w:r w:rsidRPr="005406EE">
        <w:rPr>
          <w:rFonts w:asciiTheme="majorBidi" w:hAnsiTheme="majorBidi" w:cstheme="majorBidi"/>
          <w:kern w:val="22"/>
          <w:szCs w:val="22"/>
          <w:lang w:val="fr-FR"/>
        </w:rPr>
        <w:tab/>
      </w:r>
      <w:bookmarkStart w:id="0" w:name="_Hlk72849767"/>
      <w:r w:rsidR="00D620E8" w:rsidRPr="005406EE">
        <w:rPr>
          <w:rFonts w:asciiTheme="majorBidi" w:hAnsiTheme="majorBidi" w:cstheme="majorBidi"/>
          <w:kern w:val="22"/>
          <w:szCs w:val="22"/>
          <w:lang w:val="fr-FR"/>
        </w:rPr>
        <w:t>[La communication des cibles et actions nationales [reflétant tous les objectifs et cibles du] [liées au] Cadre mondial de la biodiversité pour l'après-2020 [dans un format standardisé] [et conformément aux directives de l'annexe A], en tant que composante du SPANB ou en tant que soumission autonome dans le cas où le SPANB ne serait pas mis à jour avant la [COP16]</w:t>
      </w:r>
      <w:r w:rsidRPr="005406EE">
        <w:rPr>
          <w:rFonts w:asciiTheme="majorBidi" w:hAnsiTheme="majorBidi" w:cstheme="majorBidi"/>
          <w:kern w:val="22"/>
          <w:szCs w:val="22"/>
          <w:lang w:val="fr-FR"/>
        </w:rPr>
        <w:t>;]</w:t>
      </w:r>
    </w:p>
    <w:p w14:paraId="39DC342E" w14:textId="06D95547" w:rsidR="00227C9D" w:rsidRPr="005406EE" w:rsidRDefault="00227C9D" w:rsidP="001E6BC2">
      <w:pPr>
        <w:pStyle w:val="Para1"/>
        <w:numPr>
          <w:ilvl w:val="0"/>
          <w:numId w:val="0"/>
        </w:numPr>
        <w:suppressLineNumbers/>
        <w:suppressAutoHyphens/>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 xml:space="preserve">b </w:t>
      </w:r>
      <w:proofErr w:type="spellStart"/>
      <w:r w:rsidRPr="005406EE">
        <w:rPr>
          <w:rFonts w:asciiTheme="majorBidi" w:hAnsiTheme="majorBidi" w:cstheme="majorBidi"/>
          <w:kern w:val="22"/>
          <w:szCs w:val="22"/>
          <w:lang w:val="fr-FR"/>
        </w:rPr>
        <w:t>alt</w:t>
      </w:r>
      <w:proofErr w:type="spellEnd"/>
      <w:r w:rsidRPr="005406EE">
        <w:rPr>
          <w:rFonts w:asciiTheme="majorBidi" w:hAnsiTheme="majorBidi" w:cstheme="majorBidi"/>
          <w:kern w:val="22"/>
          <w:szCs w:val="22"/>
          <w:lang w:val="fr-FR"/>
        </w:rPr>
        <w:t>)</w:t>
      </w:r>
      <w:r w:rsidRPr="005406EE">
        <w:rPr>
          <w:rFonts w:asciiTheme="majorBidi" w:hAnsiTheme="majorBidi" w:cstheme="majorBidi"/>
          <w:kern w:val="22"/>
          <w:szCs w:val="22"/>
          <w:lang w:val="fr-FR"/>
        </w:rPr>
        <w:tab/>
        <w:t>[</w:t>
      </w:r>
      <w:r w:rsidR="00D620E8" w:rsidRPr="005406EE">
        <w:rPr>
          <w:rFonts w:asciiTheme="majorBidi" w:hAnsiTheme="majorBidi" w:cstheme="majorBidi"/>
          <w:kern w:val="22"/>
          <w:szCs w:val="22"/>
          <w:lang w:val="fr-FR"/>
        </w:rPr>
        <w:t>Des rapports sur le niveau d'ambition des pays national tenant compte des engagements nationaux et des contributions en tant que moyen de normaliser le lien entre les cibles et les actions nationales des SPANB et la réalisation des objectifs du cadre mondial de la biodiversité pour l'après-2020 ; il pourrait s'agir d'une soumission autonome dans le cas où le SPANB n'est pas mis à jour à temps et/ou d'une composante d'un SPANB communiqué conformément aux orientations fondées sur les indicateurs principaux, en vue de contribuer à une analyse mondiale de l'écart du niveau d'ambition des Parties et des autres gouvernements par rapport au nouveau cadre</w:t>
      </w:r>
      <w:r w:rsidR="00D620E8" w:rsidRPr="005406EE">
        <w:rPr>
          <w:rFonts w:asciiTheme="majorBidi" w:hAnsiTheme="majorBidi" w:cstheme="majorBidi"/>
          <w:kern w:val="22"/>
          <w:szCs w:val="22"/>
          <w:lang w:val="fr-FR"/>
        </w:rPr>
        <w:t xml:space="preserve"> </w:t>
      </w:r>
      <w:r w:rsidRPr="005406EE">
        <w:rPr>
          <w:rFonts w:asciiTheme="majorBidi" w:hAnsiTheme="majorBidi" w:cstheme="majorBidi"/>
          <w:kern w:val="22"/>
          <w:szCs w:val="22"/>
          <w:lang w:val="fr-FR"/>
        </w:rPr>
        <w:t>;]</w:t>
      </w:r>
    </w:p>
    <w:bookmarkEnd w:id="0"/>
    <w:p w14:paraId="4FCAA446" w14:textId="1301DA67" w:rsidR="00227C9D" w:rsidRPr="005406EE" w:rsidRDefault="00227C9D" w:rsidP="001E6BC2">
      <w:pPr>
        <w:pStyle w:val="Para1"/>
        <w:numPr>
          <w:ilvl w:val="0"/>
          <w:numId w:val="0"/>
        </w:numPr>
        <w:suppressLineNumbers/>
        <w:suppressAutoHyphens/>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c)</w:t>
      </w:r>
      <w:r w:rsidRPr="005406EE">
        <w:rPr>
          <w:rFonts w:asciiTheme="majorBidi" w:hAnsiTheme="majorBidi" w:cstheme="majorBidi"/>
          <w:kern w:val="22"/>
          <w:szCs w:val="22"/>
          <w:lang w:val="fr-FR"/>
        </w:rPr>
        <w:tab/>
        <w:t>[</w:t>
      </w:r>
      <w:r w:rsidR="00D620E8" w:rsidRPr="005406EE">
        <w:rPr>
          <w:rFonts w:asciiTheme="majorBidi" w:hAnsiTheme="majorBidi" w:cstheme="majorBidi"/>
          <w:kern w:val="22"/>
          <w:szCs w:val="22"/>
          <w:lang w:val="fr-FR"/>
        </w:rPr>
        <w:t xml:space="preserve">Un mécanisme visant à enregistrer, de manière standardisée, les engagements supplémentaires [volontaires] des acteurs non étatiques qui contribuent au cadre mondial de la biodiversité à inclure dans le Programme d'action </w:t>
      </w:r>
      <w:proofErr w:type="spellStart"/>
      <w:r w:rsidR="00D620E8" w:rsidRPr="005406EE">
        <w:rPr>
          <w:rFonts w:asciiTheme="majorBidi" w:hAnsiTheme="majorBidi" w:cstheme="majorBidi"/>
          <w:kern w:val="22"/>
          <w:szCs w:val="22"/>
          <w:lang w:val="fr-FR"/>
        </w:rPr>
        <w:t>Sharm</w:t>
      </w:r>
      <w:proofErr w:type="spellEnd"/>
      <w:r w:rsidR="00D620E8" w:rsidRPr="005406EE">
        <w:rPr>
          <w:rFonts w:asciiTheme="majorBidi" w:hAnsiTheme="majorBidi" w:cstheme="majorBidi"/>
          <w:kern w:val="22"/>
          <w:szCs w:val="22"/>
          <w:lang w:val="fr-FR"/>
        </w:rPr>
        <w:t xml:space="preserve"> El-Sheikh - Kunming en faveur de la nature et des populations</w:t>
      </w:r>
      <w:r w:rsidRPr="005406EE">
        <w:rPr>
          <w:rFonts w:asciiTheme="majorBidi" w:hAnsiTheme="majorBidi" w:cstheme="majorBidi"/>
          <w:kern w:val="22"/>
          <w:szCs w:val="22"/>
          <w:lang w:val="fr-FR"/>
        </w:rPr>
        <w:t>;]</w:t>
      </w:r>
    </w:p>
    <w:p w14:paraId="2C0CE9EC" w14:textId="15A81B06" w:rsidR="00227C9D" w:rsidRPr="005406EE" w:rsidRDefault="00227C9D" w:rsidP="001E6BC2">
      <w:pPr>
        <w:pStyle w:val="Para1"/>
        <w:numPr>
          <w:ilvl w:val="0"/>
          <w:numId w:val="0"/>
        </w:numPr>
        <w:suppressLineNumbers/>
        <w:suppressAutoHyphens/>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d)</w:t>
      </w:r>
      <w:r w:rsidRPr="005406EE">
        <w:rPr>
          <w:rFonts w:asciiTheme="majorBidi" w:hAnsiTheme="majorBidi" w:cstheme="majorBidi"/>
          <w:kern w:val="22"/>
          <w:szCs w:val="22"/>
          <w:lang w:val="fr-FR"/>
        </w:rPr>
        <w:tab/>
      </w:r>
      <w:r w:rsidR="00D620E8" w:rsidRPr="005406EE">
        <w:rPr>
          <w:rFonts w:asciiTheme="majorBidi" w:hAnsiTheme="majorBidi" w:cstheme="majorBidi"/>
          <w:kern w:val="22"/>
          <w:szCs w:val="22"/>
          <w:lang w:val="fr-FR"/>
        </w:rPr>
        <w:t>Des rapports nationaux [normalisés] conformément à l'article 26 de la Convention [sur tous les objectifs nationaux identifiés dans les SPANB] utilisant, [sous réserve de la fourniture de ressources financières adéquates par les pays développés Parties conformément à l'article 20], l'ensemble adopté d'indicateurs principaux et complétés, le cas échéant, par des indicateurs facultatifs et complémentaires dans le cadre de suivi du Cadre mondial de la biodiversité pour l'après-2020 et d'autres indicateurs nationaux et alignés, le cas échéant, sur d'autres processus de rapport, y compris les Objectifs de développement durable et les rapports sur les accords multilatéraux relatifs à l'environnement [liés à la biodiversité] au moyen d'un outil modulaire de communication des données [comme DART</w:t>
      </w:r>
      <w:r w:rsidRPr="005406EE">
        <w:rPr>
          <w:rFonts w:asciiTheme="majorBidi" w:hAnsiTheme="majorBidi" w:cstheme="majorBidi"/>
          <w:kern w:val="22"/>
          <w:szCs w:val="22"/>
          <w:lang w:val="fr-FR"/>
        </w:rPr>
        <w:t>]</w:t>
      </w:r>
      <w:r w:rsidR="00E12519">
        <w:rPr>
          <w:rFonts w:asciiTheme="majorBidi" w:hAnsiTheme="majorBidi" w:cstheme="majorBidi"/>
          <w:kern w:val="22"/>
          <w:szCs w:val="22"/>
          <w:lang w:val="fr-FR"/>
        </w:rPr>
        <w:t xml:space="preserve"> </w:t>
      </w:r>
      <w:r w:rsidRPr="005406EE">
        <w:rPr>
          <w:rFonts w:asciiTheme="majorBidi" w:hAnsiTheme="majorBidi" w:cstheme="majorBidi"/>
          <w:kern w:val="22"/>
          <w:szCs w:val="22"/>
          <w:lang w:val="fr-FR"/>
        </w:rPr>
        <w:t>;</w:t>
      </w:r>
    </w:p>
    <w:p w14:paraId="0676CA12" w14:textId="43B3A264" w:rsidR="00227C9D" w:rsidRPr="005406EE" w:rsidRDefault="00227C9D" w:rsidP="001E6BC2">
      <w:pPr>
        <w:pStyle w:val="Para1"/>
        <w:numPr>
          <w:ilvl w:val="0"/>
          <w:numId w:val="0"/>
        </w:numPr>
        <w:suppressLineNumbers/>
        <w:suppressAutoHyphens/>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e)</w:t>
      </w:r>
      <w:r w:rsidRPr="005406EE">
        <w:rPr>
          <w:rFonts w:asciiTheme="majorBidi" w:hAnsiTheme="majorBidi" w:cstheme="majorBidi"/>
          <w:kern w:val="22"/>
          <w:szCs w:val="22"/>
          <w:lang w:val="fr-FR"/>
        </w:rPr>
        <w:tab/>
        <w:t>[</w:t>
      </w:r>
      <w:r w:rsidR="00D620E8" w:rsidRPr="005406EE">
        <w:rPr>
          <w:rFonts w:asciiTheme="majorBidi" w:hAnsiTheme="majorBidi" w:cstheme="majorBidi"/>
          <w:kern w:val="22"/>
          <w:szCs w:val="22"/>
          <w:lang w:val="fr-FR"/>
        </w:rPr>
        <w:t>Une analyse du [niveau d'ambition [collectif] tel qu'il est exprimé dans les SPANB] [ou des engagements nationaux en tant que contributions] au regard de [la contribution de chaque pays à la perte historique de la biodiversité mondiale] des objectifs mondiaux du Cadre mondial de la biodiversité pour l'après-2020 afin d'identifier [les possibilités de renforcer davantage l'ambition] [les lacunes dans l'ambition et d'aider les Parties à les combler, notamment en ce qui concerne le financement et les autres ressources fournies aux pays en développement</w:t>
      </w:r>
      <w:r w:rsidRPr="005406EE">
        <w:rPr>
          <w:rFonts w:asciiTheme="majorBidi" w:hAnsiTheme="majorBidi" w:cstheme="majorBidi"/>
          <w:kern w:val="22"/>
          <w:szCs w:val="22"/>
          <w:lang w:val="fr-FR"/>
        </w:rPr>
        <w:t>.]</w:t>
      </w:r>
    </w:p>
    <w:p w14:paraId="1632C505" w14:textId="49246E4B" w:rsidR="00227C9D" w:rsidRPr="005406EE" w:rsidRDefault="00227C9D" w:rsidP="001E6BC2">
      <w:pPr>
        <w:pStyle w:val="Para1"/>
        <w:numPr>
          <w:ilvl w:val="0"/>
          <w:numId w:val="0"/>
        </w:numPr>
        <w:suppressLineNumbers/>
        <w:suppressAutoHyphens/>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f)</w:t>
      </w:r>
      <w:r w:rsidRPr="005406EE">
        <w:rPr>
          <w:rFonts w:asciiTheme="majorBidi" w:hAnsiTheme="majorBidi" w:cstheme="majorBidi"/>
          <w:kern w:val="22"/>
          <w:szCs w:val="22"/>
          <w:lang w:val="fr-FR"/>
        </w:rPr>
        <w:tab/>
        <w:t>[</w:t>
      </w:r>
      <w:r w:rsidR="00D620E8" w:rsidRPr="005406EE">
        <w:rPr>
          <w:rFonts w:asciiTheme="majorBidi" w:hAnsiTheme="majorBidi" w:cstheme="majorBidi"/>
          <w:kern w:val="22"/>
          <w:szCs w:val="22"/>
          <w:lang w:val="fr-FR"/>
        </w:rPr>
        <w:t>Un examen périodique] de l'état d'avancement [collectif] de la mise en œuvre [des trois objectifs de la Convention], en vue d'atteindre les objectifs du Cadre mondial de la biodiversité pour l'après-2020, conformément à l'article 23.4, [y compris [...l'objectif 30 par 30] les moyens de mise en œuvre/le financement transformateur et les autres ressources fournies aux [pays en développement] conformément à l'article 20]  [d'une manière globale et propice, en tenant compte de tous les objectifs et cibles du Cadre mondial], [à la lumière des meilleures données scientifiques disponibles, y compris les évaluations de l'IPBES] [en utilisant les prochaines éditions des Perspectives mondiales de la biodiversité], en utilisant les informations des rapports nationaux, [et les informations provenant des accords multilatéraux sur l'environnement ​pertinents] [et les informations sur le soutien fourni, reçu et utilisé] [l'analyse mondiale du niveau d'ambition [collective]] et d'autres sources d'information pertinentes [, ce qui serait suivi par [et un segment politique de haut niveau] [et un renforcement de l'ambition et/ou de la mise en œuvre] [un renforcement des efforts dans les SPANB mis à jour et révisés] [, le cas échéant</w:t>
      </w:r>
      <w:r w:rsidRPr="005406EE">
        <w:rPr>
          <w:rFonts w:asciiTheme="majorBidi" w:hAnsiTheme="majorBidi" w:cstheme="majorBidi"/>
          <w:kern w:val="22"/>
          <w:szCs w:val="22"/>
          <w:lang w:val="fr-FR"/>
        </w:rPr>
        <w:t>]</w:t>
      </w:r>
      <w:r w:rsidR="00E12519">
        <w:rPr>
          <w:rFonts w:asciiTheme="majorBidi" w:hAnsiTheme="majorBidi" w:cstheme="majorBidi"/>
          <w:kern w:val="22"/>
          <w:szCs w:val="22"/>
          <w:lang w:val="fr-FR"/>
        </w:rPr>
        <w:t xml:space="preserve"> </w:t>
      </w:r>
      <w:r w:rsidR="00FD6D6E" w:rsidRPr="005406EE">
        <w:rPr>
          <w:rFonts w:asciiTheme="majorBidi" w:hAnsiTheme="majorBidi" w:cstheme="majorBidi"/>
          <w:kern w:val="22"/>
          <w:szCs w:val="22"/>
          <w:lang w:val="fr-FR"/>
        </w:rPr>
        <w:t>;</w:t>
      </w:r>
    </w:p>
    <w:p w14:paraId="34BD184D" w14:textId="59272B6E" w:rsidR="00227C9D" w:rsidRPr="005406EE" w:rsidRDefault="00227C9D" w:rsidP="001E6BC2">
      <w:pPr>
        <w:pStyle w:val="Para1"/>
        <w:numPr>
          <w:ilvl w:val="0"/>
          <w:numId w:val="0"/>
        </w:numPr>
        <w:suppressLineNumbers/>
        <w:suppressAutoHyphens/>
        <w:adjustRightInd w:val="0"/>
        <w:snapToGrid w:val="0"/>
        <w:ind w:firstLine="720"/>
        <w:rPr>
          <w:rFonts w:asciiTheme="majorBidi" w:hAnsiTheme="majorBidi" w:cstheme="majorBidi"/>
          <w:kern w:val="22"/>
          <w:szCs w:val="22"/>
          <w:lang w:val="fr-FR"/>
        </w:rPr>
      </w:pPr>
      <w:r w:rsidRPr="005406EE">
        <w:rPr>
          <w:rFonts w:asciiTheme="majorBidi" w:hAnsiTheme="majorBidi" w:cstheme="majorBidi"/>
          <w:kern w:val="22"/>
          <w:szCs w:val="22"/>
          <w:lang w:val="fr-FR"/>
        </w:rPr>
        <w:t>g)</w:t>
      </w:r>
      <w:r w:rsidRPr="005406EE">
        <w:rPr>
          <w:rFonts w:asciiTheme="majorBidi" w:hAnsiTheme="majorBidi" w:cstheme="majorBidi"/>
          <w:kern w:val="22"/>
          <w:szCs w:val="22"/>
          <w:lang w:val="fr-FR"/>
        </w:rPr>
        <w:tab/>
      </w:r>
      <w:r w:rsidR="00D620E8" w:rsidRPr="005406EE">
        <w:rPr>
          <w:rFonts w:asciiTheme="majorBidi" w:hAnsiTheme="majorBidi" w:cstheme="majorBidi"/>
          <w:kern w:val="22"/>
          <w:szCs w:val="22"/>
          <w:lang w:val="fr-FR"/>
        </w:rPr>
        <w:t>Des examens collégiaux [ou d'experts] pays par pays de la mise en œuvre [par le biais] [suivis] d'un forum ouvert [pour partager l'expérience et les enseignements tirés] qui donnera à chaque Partie la possibilité de participer au moins [une fois] [deux fois] au cours de la période 2021-2030 [conformément aux directives adoptées par la COP [15][16]]] [ainsi que l'examen volontaire par les pairs pour promouvoir le partage des expériences par les Parties]</w:t>
      </w:r>
      <w:r w:rsidR="00D620E8" w:rsidRPr="005406EE">
        <w:rPr>
          <w:rFonts w:asciiTheme="majorBidi" w:hAnsiTheme="majorBidi" w:cstheme="majorBidi"/>
          <w:kern w:val="22"/>
          <w:szCs w:val="22"/>
          <w:lang w:val="fr-FR"/>
        </w:rPr>
        <w:t xml:space="preserve"> </w:t>
      </w:r>
      <w:r w:rsidR="002A5D9F" w:rsidRPr="005406EE">
        <w:rPr>
          <w:rFonts w:asciiTheme="majorBidi" w:hAnsiTheme="majorBidi" w:cstheme="majorBidi"/>
          <w:kern w:val="22"/>
          <w:szCs w:val="22"/>
          <w:lang w:val="fr-FR"/>
        </w:rPr>
        <w:t>;</w:t>
      </w:r>
    </w:p>
    <w:p w14:paraId="555A0063" w14:textId="6D217E9B" w:rsidR="00227C9D" w:rsidRPr="005406EE" w:rsidRDefault="00227C9D" w:rsidP="001E6BC2">
      <w:pPr>
        <w:pStyle w:val="Para1"/>
        <w:numPr>
          <w:ilvl w:val="0"/>
          <w:numId w:val="0"/>
        </w:numPr>
        <w:suppressLineNumbers/>
        <w:suppressAutoHyphens/>
        <w:kinsoku w:val="0"/>
        <w:overflowPunct w:val="0"/>
        <w:autoSpaceDE w:val="0"/>
        <w:autoSpaceDN w:val="0"/>
        <w:adjustRightInd w:val="0"/>
        <w:snapToGrid w:val="0"/>
        <w:ind w:firstLine="720"/>
        <w:rPr>
          <w:kern w:val="22"/>
          <w:szCs w:val="24"/>
          <w:lang w:val="fr-FR"/>
        </w:rPr>
      </w:pPr>
      <w:r w:rsidRPr="005406EE">
        <w:rPr>
          <w:iCs/>
          <w:kern w:val="22"/>
          <w:szCs w:val="22"/>
          <w:lang w:val="fr-FR"/>
        </w:rPr>
        <w:t>2.</w:t>
      </w:r>
      <w:r w:rsidR="00FB2914" w:rsidRPr="005406EE">
        <w:rPr>
          <w:iCs/>
          <w:kern w:val="22"/>
          <w:szCs w:val="22"/>
          <w:lang w:val="fr-FR"/>
        </w:rPr>
        <w:tab/>
      </w:r>
      <w:r w:rsidRPr="005406EE">
        <w:rPr>
          <w:iCs/>
          <w:kern w:val="22"/>
          <w:szCs w:val="22"/>
          <w:lang w:val="fr-FR"/>
        </w:rPr>
        <w:t>[</w:t>
      </w:r>
      <w:r w:rsidR="00D620E8" w:rsidRPr="005406EE">
        <w:rPr>
          <w:i/>
          <w:kern w:val="22"/>
          <w:szCs w:val="22"/>
          <w:lang w:val="fr-FR"/>
        </w:rPr>
        <w:t xml:space="preserve">Décide </w:t>
      </w:r>
      <w:r w:rsidR="00D620E8" w:rsidRPr="005406EE">
        <w:rPr>
          <w:iCs/>
          <w:kern w:val="22"/>
          <w:szCs w:val="22"/>
          <w:lang w:val="fr-FR"/>
        </w:rPr>
        <w:t>d'organiser un segment politique de haut niveau en tant qu'élément [de l'examen][du bilan] mondial</w:t>
      </w:r>
      <w:r w:rsidRPr="005406EE">
        <w:rPr>
          <w:kern w:val="22"/>
          <w:szCs w:val="24"/>
          <w:lang w:val="fr-FR"/>
        </w:rPr>
        <w:t>]</w:t>
      </w:r>
      <w:r w:rsidR="00E12519">
        <w:rPr>
          <w:kern w:val="22"/>
          <w:szCs w:val="24"/>
          <w:lang w:val="fr-FR"/>
        </w:rPr>
        <w:t xml:space="preserve"> </w:t>
      </w:r>
      <w:r w:rsidRPr="005406EE">
        <w:rPr>
          <w:kern w:val="22"/>
          <w:szCs w:val="24"/>
          <w:lang w:val="fr-FR"/>
        </w:rPr>
        <w:t>;</w:t>
      </w:r>
    </w:p>
    <w:p w14:paraId="78CDBB91" w14:textId="29776CD9" w:rsidR="00227C9D" w:rsidRPr="005406EE" w:rsidRDefault="00227C9D" w:rsidP="001E6BC2">
      <w:pPr>
        <w:pStyle w:val="Para1"/>
        <w:numPr>
          <w:ilvl w:val="0"/>
          <w:numId w:val="0"/>
        </w:numPr>
        <w:suppressLineNumbers/>
        <w:tabs>
          <w:tab w:val="left" w:pos="720"/>
        </w:tabs>
        <w:suppressAutoHyphens/>
        <w:kinsoku w:val="0"/>
        <w:overflowPunct w:val="0"/>
        <w:autoSpaceDE w:val="0"/>
        <w:autoSpaceDN w:val="0"/>
        <w:adjustRightInd w:val="0"/>
        <w:snapToGrid w:val="0"/>
        <w:ind w:firstLine="720"/>
        <w:rPr>
          <w:kern w:val="22"/>
          <w:szCs w:val="22"/>
          <w:lang w:val="fr-FR"/>
        </w:rPr>
      </w:pPr>
      <w:r w:rsidRPr="005406EE">
        <w:rPr>
          <w:kern w:val="22"/>
          <w:szCs w:val="22"/>
          <w:lang w:val="fr-FR"/>
        </w:rPr>
        <w:t xml:space="preserve">2. </w:t>
      </w:r>
      <w:r w:rsidRPr="005406EE">
        <w:rPr>
          <w:i/>
          <w:iCs/>
          <w:kern w:val="22"/>
          <w:szCs w:val="22"/>
          <w:lang w:val="fr-FR"/>
        </w:rPr>
        <w:t>bis</w:t>
      </w:r>
      <w:r w:rsidR="00FB2914" w:rsidRPr="005406EE">
        <w:rPr>
          <w:i/>
          <w:iCs/>
          <w:kern w:val="22"/>
          <w:szCs w:val="22"/>
          <w:lang w:val="fr-FR"/>
        </w:rPr>
        <w:tab/>
      </w:r>
      <w:r w:rsidR="00D620E8" w:rsidRPr="005406EE">
        <w:rPr>
          <w:i/>
          <w:iCs/>
          <w:kern w:val="22"/>
          <w:szCs w:val="22"/>
          <w:lang w:val="fr-FR"/>
        </w:rPr>
        <w:t xml:space="preserve">Décide </w:t>
      </w:r>
      <w:r w:rsidRPr="005406EE">
        <w:rPr>
          <w:kern w:val="22"/>
          <w:szCs w:val="22"/>
          <w:lang w:val="fr-FR"/>
        </w:rPr>
        <w:t>:</w:t>
      </w:r>
    </w:p>
    <w:p w14:paraId="07A18F35" w14:textId="408550F0" w:rsidR="00227C9D" w:rsidRPr="005406EE" w:rsidRDefault="00D620E8" w:rsidP="001E6BC2">
      <w:pPr>
        <w:pStyle w:val="Para1"/>
        <w:numPr>
          <w:ilvl w:val="0"/>
          <w:numId w:val="20"/>
        </w:numPr>
        <w:suppressLineNumbers/>
        <w:suppressAutoHyphens/>
        <w:adjustRightInd w:val="0"/>
        <w:snapToGrid w:val="0"/>
        <w:ind w:left="0" w:firstLine="720"/>
        <w:rPr>
          <w:kern w:val="22"/>
          <w:szCs w:val="22"/>
          <w:lang w:val="fr-FR"/>
        </w:rPr>
      </w:pPr>
      <w:r w:rsidRPr="005406EE">
        <w:rPr>
          <w:kern w:val="22"/>
          <w:szCs w:val="22"/>
          <w:lang w:val="fr-FR"/>
        </w:rPr>
        <w:lastRenderedPageBreak/>
        <w:t>D'examiner, lors de sa seizième réunion [en 2023], le niveau d'ambition [collectif] attendu des Parties et des acteurs non étatiques en vue d'atteindre les objectifs du Cadre mondial de la biodiversité pour l'après-2020</w:t>
      </w:r>
      <w:r w:rsidRPr="005406EE">
        <w:rPr>
          <w:kern w:val="22"/>
          <w:szCs w:val="22"/>
          <w:lang w:val="fr-FR"/>
        </w:rPr>
        <w:t xml:space="preserve"> </w:t>
      </w:r>
      <w:r w:rsidR="00227C9D" w:rsidRPr="005406EE">
        <w:rPr>
          <w:iCs/>
          <w:kern w:val="22"/>
          <w:szCs w:val="22"/>
          <w:lang w:val="fr-FR"/>
        </w:rPr>
        <w:t>;</w:t>
      </w:r>
    </w:p>
    <w:p w14:paraId="5BFF9C86" w14:textId="390300D0" w:rsidR="00227C9D" w:rsidRPr="005406EE" w:rsidRDefault="00D620E8" w:rsidP="001E6BC2">
      <w:pPr>
        <w:pStyle w:val="Para1"/>
        <w:numPr>
          <w:ilvl w:val="0"/>
          <w:numId w:val="20"/>
        </w:numPr>
        <w:suppressLineNumbers/>
        <w:suppressAutoHyphens/>
        <w:adjustRightInd w:val="0"/>
        <w:snapToGrid w:val="0"/>
        <w:ind w:left="0" w:firstLine="720"/>
        <w:rPr>
          <w:kern w:val="22"/>
          <w:szCs w:val="22"/>
          <w:lang w:val="fr-FR"/>
        </w:rPr>
      </w:pPr>
      <w:r w:rsidRPr="005406EE">
        <w:rPr>
          <w:kern w:val="22"/>
          <w:szCs w:val="22"/>
          <w:lang w:val="fr-FR"/>
        </w:rPr>
        <w:t>De réaliser, lors de sa dix-septième réunion [en 2025], un premier [examen] [bilan] mondial des progrès accomplis et des mesures prises en vue de la mise en place du Cadre mondial de la biodiversité pour l'après-2020, sur la base des stratégies et des plans d'action nationaux actualisés en matière de biodiversité, des septièmes rapports nationaux et d'autres informations, y compris les enseignements tirés [des examens volontaires pays par pays par des pairs ou des experts et] des informations scientifiques [y compris la sixième édition des Perspectives mondiales de la diversité biologique,] [la troisième édition des Perspectives locales de la diversité biologique] [une analyse des tendances des indicateurs principaux et autres indicateurs pertinents] et [des évaluations pertinentes réalisées par l'IPBES</w:t>
      </w:r>
      <w:r w:rsidRPr="005406EE">
        <w:rPr>
          <w:kern w:val="22"/>
          <w:szCs w:val="22"/>
          <w:lang w:val="fr-FR"/>
        </w:rPr>
        <w:t xml:space="preserve"> </w:t>
      </w:r>
      <w:r w:rsidR="00227C9D" w:rsidRPr="005406EE">
        <w:rPr>
          <w:kern w:val="22"/>
          <w:szCs w:val="22"/>
          <w:lang w:val="fr-FR"/>
        </w:rPr>
        <w:t>;]</w:t>
      </w:r>
    </w:p>
    <w:p w14:paraId="7824AA53" w14:textId="42C2F62E" w:rsidR="00227C9D" w:rsidRPr="005406EE" w:rsidRDefault="00D620E8" w:rsidP="001E6BC2">
      <w:pPr>
        <w:pStyle w:val="Para1"/>
        <w:numPr>
          <w:ilvl w:val="0"/>
          <w:numId w:val="20"/>
        </w:numPr>
        <w:suppressLineNumbers/>
        <w:suppressAutoHyphens/>
        <w:adjustRightInd w:val="0"/>
        <w:snapToGrid w:val="0"/>
        <w:ind w:left="0" w:firstLine="720"/>
        <w:rPr>
          <w:kern w:val="22"/>
          <w:szCs w:val="22"/>
          <w:lang w:val="fr-FR"/>
        </w:rPr>
      </w:pPr>
      <w:r w:rsidRPr="005406EE">
        <w:rPr>
          <w:kern w:val="22"/>
          <w:szCs w:val="22"/>
          <w:lang w:val="fr-FR"/>
        </w:rPr>
        <w:t>D'effectuer, lors de sa dix-huitième réunion [en 2027/8], un examen actualisé des progrès accomplis en vue de la mise en place du Cadre mondial de la biodiversité pour l'après-2020, sur la base des informations actualisées fournies par les Parties, y compris les enseignements tirés [des examens volontaires pays par pays par les pairs ou par des experts] et des informations scientifiques supplémentaires</w:t>
      </w:r>
      <w:r w:rsidRPr="005406EE">
        <w:rPr>
          <w:kern w:val="22"/>
          <w:szCs w:val="22"/>
          <w:lang w:val="fr-FR"/>
        </w:rPr>
        <w:t xml:space="preserve"> </w:t>
      </w:r>
      <w:r w:rsidR="00227C9D" w:rsidRPr="005406EE">
        <w:rPr>
          <w:iCs/>
          <w:kern w:val="22"/>
          <w:szCs w:val="22"/>
          <w:lang w:val="fr-FR"/>
        </w:rPr>
        <w:t>;</w:t>
      </w:r>
    </w:p>
    <w:p w14:paraId="31A736B4" w14:textId="499C0961" w:rsidR="00227C9D" w:rsidRPr="005406EE" w:rsidRDefault="00D620E8" w:rsidP="001E6BC2">
      <w:pPr>
        <w:pStyle w:val="Para1"/>
        <w:numPr>
          <w:ilvl w:val="0"/>
          <w:numId w:val="20"/>
        </w:numPr>
        <w:suppressLineNumbers/>
        <w:suppressAutoHyphens/>
        <w:adjustRightInd w:val="0"/>
        <w:snapToGrid w:val="0"/>
        <w:ind w:left="0" w:firstLine="720"/>
        <w:rPr>
          <w:iCs/>
          <w:kern w:val="22"/>
          <w:szCs w:val="22"/>
          <w:lang w:val="fr-FR"/>
        </w:rPr>
      </w:pPr>
      <w:r w:rsidRPr="005406EE">
        <w:rPr>
          <w:kern w:val="22"/>
          <w:szCs w:val="22"/>
          <w:lang w:val="fr-FR"/>
        </w:rPr>
        <w:t>De réaliser, lors de sa dix-neuvième réunion [en 2030], un deuxième [examen] [bilan] mondial des progrès accomplis et des mesures prises en vue de la mise en place du Cadre mondial de la biodiversité pour l'après-2020, sur la base des stratégies et plans d'action nationaux actualisés en matière de biodiversité, des septièmes rapports nationaux et d'autres informations, y compris les enseignements tirés [des examens volontaires par des pairs ou des experts pays par pays et] des informations scientifiques [y compris la sixième édition des Perspectives mondiales de la biodiversité, la troisième édition des Perspectives locales de la biodiversité [une analyse des tendances des indicateurs principaux et autres indicateurs pertinents] et [les évaluations pertinentes réalisées par l'IPBES</w:t>
      </w:r>
      <w:r w:rsidRPr="005406EE">
        <w:rPr>
          <w:kern w:val="22"/>
          <w:szCs w:val="22"/>
          <w:lang w:val="fr-FR"/>
        </w:rPr>
        <w:t xml:space="preserve"> </w:t>
      </w:r>
      <w:r w:rsidR="00227C9D" w:rsidRPr="005406EE">
        <w:rPr>
          <w:kern w:val="22"/>
          <w:szCs w:val="22"/>
          <w:lang w:val="fr-FR"/>
        </w:rPr>
        <w:t>;]</w:t>
      </w:r>
    </w:p>
    <w:p w14:paraId="76EA574D" w14:textId="2FCA3B11" w:rsidR="00227C9D" w:rsidRPr="005406EE" w:rsidRDefault="00D620E8" w:rsidP="001E6BC2">
      <w:pPr>
        <w:pStyle w:val="Para1"/>
        <w:numPr>
          <w:ilvl w:val="0"/>
          <w:numId w:val="22"/>
        </w:numPr>
        <w:suppressLineNumbers/>
        <w:suppressAutoHyphens/>
        <w:kinsoku w:val="0"/>
        <w:overflowPunct w:val="0"/>
        <w:autoSpaceDE w:val="0"/>
        <w:autoSpaceDN w:val="0"/>
        <w:adjustRightInd w:val="0"/>
        <w:snapToGrid w:val="0"/>
        <w:ind w:left="0" w:firstLine="720"/>
        <w:rPr>
          <w:kern w:val="22"/>
          <w:lang w:val="fr-FR"/>
        </w:rPr>
      </w:pPr>
      <w:r w:rsidRPr="005406EE">
        <w:rPr>
          <w:i/>
          <w:iCs/>
          <w:kern w:val="22"/>
          <w:lang w:val="fr-FR"/>
        </w:rPr>
        <w:t xml:space="preserve">Décide en outre </w:t>
      </w:r>
      <w:r w:rsidRPr="005406EE">
        <w:rPr>
          <w:kern w:val="22"/>
          <w:lang w:val="fr-FR"/>
        </w:rPr>
        <w:t>que les indicateurs principaux seront utilisés dans les [évaluations mondiales] pour suivre les progrès accomplis dans la réalisation des objectifs du Cadre mondial de la biodiversité pour l'après-2020, complétés, le cas échéant, par les indicateurs des composantes et les indicateurs complémentaires</w:t>
      </w:r>
      <w:r w:rsidRPr="005406EE">
        <w:rPr>
          <w:i/>
          <w:iCs/>
          <w:kern w:val="22"/>
          <w:lang w:val="fr-FR"/>
        </w:rPr>
        <w:t xml:space="preserve"> </w:t>
      </w:r>
      <w:r w:rsidR="00227C9D" w:rsidRPr="005406EE">
        <w:rPr>
          <w:kern w:val="22"/>
          <w:lang w:val="fr-FR"/>
        </w:rPr>
        <w:t>;</w:t>
      </w:r>
    </w:p>
    <w:p w14:paraId="172422DB" w14:textId="65979AE5" w:rsidR="00227C9D" w:rsidRPr="005406EE" w:rsidRDefault="00D620E8" w:rsidP="001E6BC2">
      <w:pPr>
        <w:pStyle w:val="Para1"/>
        <w:numPr>
          <w:ilvl w:val="0"/>
          <w:numId w:val="22"/>
        </w:numPr>
        <w:suppressLineNumbers/>
        <w:suppressAutoHyphens/>
        <w:kinsoku w:val="0"/>
        <w:overflowPunct w:val="0"/>
        <w:autoSpaceDE w:val="0"/>
        <w:autoSpaceDN w:val="0"/>
        <w:adjustRightInd w:val="0"/>
        <w:snapToGrid w:val="0"/>
        <w:ind w:left="0" w:firstLine="720"/>
        <w:rPr>
          <w:rFonts w:asciiTheme="majorBidi" w:hAnsiTheme="majorBidi" w:cstheme="majorBidi"/>
          <w:kern w:val="22"/>
          <w:szCs w:val="22"/>
          <w:lang w:val="fr-FR"/>
        </w:rPr>
      </w:pPr>
      <w:r w:rsidRPr="005406EE">
        <w:rPr>
          <w:i/>
          <w:iCs/>
          <w:kern w:val="22"/>
          <w:szCs w:val="22"/>
          <w:lang w:val="fr-FR"/>
        </w:rPr>
        <w:t xml:space="preserve">Accueille favorablement </w:t>
      </w:r>
      <w:r w:rsidRPr="005406EE">
        <w:rPr>
          <w:kern w:val="22"/>
          <w:szCs w:val="22"/>
          <w:lang w:val="fr-FR"/>
        </w:rPr>
        <w:t>les orientations relatives aux stratégies et plans d'action nationaux pour la biodiversité révisés et mis à jour figurant à l'annexe A</w:t>
      </w:r>
      <w:bookmarkStart w:id="1" w:name="_Ref73031286"/>
      <w:r w:rsidR="005406EE">
        <w:rPr>
          <w:rStyle w:val="Appelnotedebasdep"/>
          <w:kern w:val="22"/>
          <w:szCs w:val="22"/>
        </w:rPr>
        <w:footnoteReference w:id="3"/>
      </w:r>
      <w:bookmarkEnd w:id="1"/>
      <w:r w:rsidRPr="005406EE">
        <w:rPr>
          <w:kern w:val="22"/>
          <w:szCs w:val="22"/>
          <w:lang w:val="fr-FR"/>
        </w:rPr>
        <w:t xml:space="preserve"> [, y compris les éléments relatifs à la communication des objectifs et actions nationaux liés au Cadre mondial de la biodiversité pour l'après-2020 dans un format normalisé] [, y compris les éléments relatifs à la communication de l'ambition nationale sur la base des engagements nationaux, ainsi qu'une normalisation de la manière dont les objectifs et actions nationaux dans les stratégies et plans d'action nationaux pour la biodiversité sont liés à la réalisation des objectifs et cibles du Cadre mondial de la biodiversité pour l'après-2020</w:t>
      </w:r>
      <w:r w:rsidR="00E12519">
        <w:rPr>
          <w:kern w:val="22"/>
          <w:szCs w:val="22"/>
          <w:lang w:val="fr-FR"/>
        </w:rPr>
        <w:t xml:space="preserve"> </w:t>
      </w:r>
      <w:r w:rsidR="008C79F1" w:rsidRPr="005406EE">
        <w:rPr>
          <w:kern w:val="22"/>
          <w:szCs w:val="22"/>
          <w:lang w:val="fr-FR"/>
        </w:rPr>
        <w:t>;</w:t>
      </w:r>
    </w:p>
    <w:p w14:paraId="6059E507" w14:textId="09A75399" w:rsidR="008C79F1" w:rsidRPr="005406EE" w:rsidRDefault="00D620E8" w:rsidP="001E6BC2">
      <w:pPr>
        <w:pStyle w:val="Para1"/>
        <w:numPr>
          <w:ilvl w:val="0"/>
          <w:numId w:val="22"/>
        </w:numPr>
        <w:suppressLineNumbers/>
        <w:suppressAutoHyphens/>
        <w:kinsoku w:val="0"/>
        <w:overflowPunct w:val="0"/>
        <w:autoSpaceDE w:val="0"/>
        <w:autoSpaceDN w:val="0"/>
        <w:adjustRightInd w:val="0"/>
        <w:snapToGrid w:val="0"/>
        <w:ind w:left="0" w:firstLine="720"/>
        <w:rPr>
          <w:rFonts w:asciiTheme="majorBidi" w:hAnsiTheme="majorBidi" w:cstheme="majorBidi"/>
          <w:kern w:val="22"/>
          <w:szCs w:val="22"/>
          <w:lang w:val="fr-FR"/>
        </w:rPr>
      </w:pPr>
      <w:r w:rsidRPr="005406EE">
        <w:rPr>
          <w:i/>
          <w:iCs/>
          <w:kern w:val="22"/>
          <w:szCs w:val="22"/>
          <w:lang w:val="fr-FR"/>
        </w:rPr>
        <w:t xml:space="preserve">Accueille favorablement </w:t>
      </w:r>
      <w:r w:rsidRPr="005406EE">
        <w:rPr>
          <w:kern w:val="22"/>
          <w:szCs w:val="22"/>
          <w:lang w:val="fr-FR"/>
        </w:rPr>
        <w:t xml:space="preserve">le formulaire relatif aux engagements supplémentaires [volontaires] des acteurs non étatiques qui contribuent au cadre mondial pour la biodiversité, à inclure dans le Programme d'action </w:t>
      </w:r>
      <w:proofErr w:type="spellStart"/>
      <w:r w:rsidRPr="005406EE">
        <w:rPr>
          <w:kern w:val="22"/>
          <w:szCs w:val="22"/>
          <w:lang w:val="fr-FR"/>
        </w:rPr>
        <w:t>Sharm</w:t>
      </w:r>
      <w:proofErr w:type="spellEnd"/>
      <w:r w:rsidRPr="005406EE">
        <w:rPr>
          <w:kern w:val="22"/>
          <w:szCs w:val="22"/>
          <w:lang w:val="fr-FR"/>
        </w:rPr>
        <w:t xml:space="preserve"> El-Sheikh - Kunming en faveur de la nature et des populations ;] à l'annexe B</w:t>
      </w:r>
      <w:bookmarkStart w:id="2" w:name="_Ref73032326"/>
      <w:r w:rsidR="008C79F1" w:rsidRPr="005406EE">
        <w:rPr>
          <w:rStyle w:val="Appelnotedebasdep"/>
          <w:rFonts w:asciiTheme="majorBidi" w:hAnsiTheme="majorBidi" w:cstheme="majorBidi"/>
          <w:kern w:val="22"/>
          <w:szCs w:val="22"/>
          <w:lang w:val="fr-FR"/>
        </w:rPr>
        <w:footnoteReference w:id="4"/>
      </w:r>
      <w:bookmarkEnd w:id="2"/>
      <w:r w:rsidRPr="005406EE">
        <w:rPr>
          <w:kern w:val="22"/>
          <w:szCs w:val="22"/>
          <w:lang w:val="fr-FR"/>
        </w:rPr>
        <w:t>;</w:t>
      </w:r>
    </w:p>
    <w:p w14:paraId="73B42398" w14:textId="3A9160BE" w:rsidR="008C79F1" w:rsidRPr="005406EE" w:rsidRDefault="00D620E8" w:rsidP="001E6BC2">
      <w:pPr>
        <w:pStyle w:val="Para1"/>
        <w:numPr>
          <w:ilvl w:val="0"/>
          <w:numId w:val="22"/>
        </w:numPr>
        <w:suppressLineNumbers/>
        <w:suppressAutoHyphens/>
        <w:adjustRightInd w:val="0"/>
        <w:snapToGrid w:val="0"/>
        <w:ind w:left="0" w:firstLine="720"/>
        <w:rPr>
          <w:bCs/>
          <w:kern w:val="22"/>
          <w:szCs w:val="22"/>
          <w:lang w:val="fr-FR"/>
        </w:rPr>
      </w:pPr>
      <w:r w:rsidRPr="005406EE">
        <w:rPr>
          <w:i/>
          <w:iCs/>
          <w:kern w:val="22"/>
          <w:szCs w:val="22"/>
          <w:lang w:val="fr-FR"/>
        </w:rPr>
        <w:t xml:space="preserve">Demande </w:t>
      </w:r>
      <w:r w:rsidRPr="005406EE">
        <w:rPr>
          <w:kern w:val="22"/>
          <w:szCs w:val="22"/>
          <w:lang w:val="fr-FR"/>
        </w:rPr>
        <w:t>aux Parties d'examiner et de mettre à jour leurs stratégies et plans d'action nationaux en matière de biodiversité, y compris l'élaboration ou la mise à jour des cibles nationales par rapport à chacun des objectifs du Cadre mondial de la biodiversité pour l'après-2020, en suivant les orientations fournies à l'annexe A</w:t>
      </w:r>
      <w:r w:rsidR="005406EE" w:rsidRPr="00A30CC2">
        <w:rPr>
          <w:kern w:val="22"/>
          <w:szCs w:val="22"/>
          <w:vertAlign w:val="superscript"/>
        </w:rPr>
        <w:fldChar w:fldCharType="begin"/>
      </w:r>
      <w:r w:rsidR="005406EE" w:rsidRPr="001E6BC2">
        <w:rPr>
          <w:kern w:val="22"/>
          <w:szCs w:val="22"/>
          <w:vertAlign w:val="superscript"/>
        </w:rPr>
        <w:instrText xml:space="preserve"> NOTEREF _Ref73031286 \h  \* MERGEFORMAT </w:instrText>
      </w:r>
      <w:r w:rsidR="005406EE" w:rsidRPr="00A30CC2">
        <w:rPr>
          <w:kern w:val="22"/>
          <w:szCs w:val="22"/>
          <w:vertAlign w:val="superscript"/>
        </w:rPr>
      </w:r>
      <w:r w:rsidR="005406EE" w:rsidRPr="00A30CC2">
        <w:rPr>
          <w:kern w:val="22"/>
          <w:szCs w:val="22"/>
          <w:vertAlign w:val="superscript"/>
        </w:rPr>
        <w:fldChar w:fldCharType="separate"/>
      </w:r>
      <w:r w:rsidR="005406EE" w:rsidRPr="001E6BC2">
        <w:rPr>
          <w:kern w:val="22"/>
          <w:szCs w:val="22"/>
          <w:vertAlign w:val="superscript"/>
        </w:rPr>
        <w:t>2</w:t>
      </w:r>
      <w:r w:rsidR="005406EE" w:rsidRPr="00A30CC2">
        <w:rPr>
          <w:kern w:val="22"/>
          <w:szCs w:val="22"/>
          <w:vertAlign w:val="superscript"/>
        </w:rPr>
        <w:fldChar w:fldCharType="end"/>
      </w:r>
      <w:r w:rsidRPr="005406EE">
        <w:rPr>
          <w:kern w:val="22"/>
          <w:szCs w:val="22"/>
          <w:lang w:val="fr-FR"/>
        </w:rPr>
        <w:t xml:space="preserve">, en vue de contribuer à la pleine réalisation des objectifs du Cadre, et en </w:t>
      </w:r>
      <w:r w:rsidRPr="005406EE">
        <w:rPr>
          <w:kern w:val="22"/>
          <w:szCs w:val="22"/>
          <w:lang w:val="fr-FR"/>
        </w:rPr>
        <w:lastRenderedPageBreak/>
        <w:t>tenant compte des priorités et circonstances nationales, et de les soumettre, par l'intermédiaire du centre d'échange, au plus tard [dans les deux ans] après l'adoption du Cadre, [et de mettre à jour ces cibles nationales et les efforts de mise en œuvre correspondants avant la COP-17]</w:t>
      </w:r>
      <w:r w:rsidRPr="005406EE">
        <w:rPr>
          <w:kern w:val="22"/>
          <w:szCs w:val="22"/>
          <w:lang w:val="fr-FR"/>
        </w:rPr>
        <w:t xml:space="preserve"> </w:t>
      </w:r>
      <w:r w:rsidR="008C79F1" w:rsidRPr="005406EE">
        <w:rPr>
          <w:bCs/>
          <w:lang w:val="fr-FR"/>
        </w:rPr>
        <w:t>;</w:t>
      </w:r>
    </w:p>
    <w:p w14:paraId="60C66731" w14:textId="7A6A3229" w:rsidR="008C79F1" w:rsidRPr="005406EE" w:rsidRDefault="00D620E8" w:rsidP="001E6BC2">
      <w:pPr>
        <w:pStyle w:val="Para1"/>
        <w:numPr>
          <w:ilvl w:val="0"/>
          <w:numId w:val="22"/>
        </w:numPr>
        <w:suppressLineNumbers/>
        <w:suppressAutoHyphens/>
        <w:adjustRightInd w:val="0"/>
        <w:snapToGrid w:val="0"/>
        <w:ind w:left="0" w:firstLine="720"/>
        <w:rPr>
          <w:bCs/>
          <w:kern w:val="22"/>
          <w:szCs w:val="22"/>
          <w:lang w:val="fr-FR"/>
        </w:rPr>
      </w:pPr>
      <w:r w:rsidRPr="005406EE">
        <w:rPr>
          <w:i/>
          <w:color w:val="000000" w:themeColor="text1"/>
          <w:kern w:val="22"/>
          <w:szCs w:val="22"/>
          <w:lang w:val="fr-FR"/>
        </w:rPr>
        <w:t xml:space="preserve">Encourage </w:t>
      </w:r>
      <w:r w:rsidRPr="005406EE">
        <w:rPr>
          <w:iCs/>
          <w:color w:val="000000" w:themeColor="text1"/>
          <w:kern w:val="22"/>
          <w:szCs w:val="22"/>
          <w:lang w:val="fr-FR"/>
        </w:rPr>
        <w:t>toutes les Parties à utiliser les indicateurs principaux et à [adapter et] utiliser la liste des indicateurs constitutifs et complémentaires dans le cadre des processus de planification nationale, y compris les stratégies et plans d'action nationaux pour la biodiversité [ou les programmes pour la conservation et l'utilisation durable de la biodiversité] et d'autres processus de planification nationale [selon qu'il convient et en fonction de leurs priorités et circonstances nationales</w:t>
      </w:r>
      <w:r w:rsidR="00E12519">
        <w:rPr>
          <w:iCs/>
          <w:color w:val="000000" w:themeColor="text1"/>
          <w:kern w:val="22"/>
          <w:szCs w:val="22"/>
          <w:lang w:val="fr-FR"/>
        </w:rPr>
        <w:t xml:space="preserve"> </w:t>
      </w:r>
      <w:r w:rsidR="008C79F1" w:rsidRPr="005406EE">
        <w:rPr>
          <w:iCs/>
          <w:color w:val="000000" w:themeColor="text1"/>
          <w:kern w:val="22"/>
          <w:szCs w:val="22"/>
          <w:lang w:val="fr-FR"/>
        </w:rPr>
        <w:t>;]</w:t>
      </w:r>
    </w:p>
    <w:p w14:paraId="3671AF13" w14:textId="4342F2D2" w:rsidR="008C79F1" w:rsidRPr="005406EE" w:rsidRDefault="00D620E8" w:rsidP="001E6BC2">
      <w:pPr>
        <w:pStyle w:val="Para1"/>
        <w:numPr>
          <w:ilvl w:val="0"/>
          <w:numId w:val="22"/>
        </w:numPr>
        <w:suppressLineNumbers/>
        <w:suppressAutoHyphens/>
        <w:kinsoku w:val="0"/>
        <w:overflowPunct w:val="0"/>
        <w:autoSpaceDE w:val="0"/>
        <w:autoSpaceDN w:val="0"/>
        <w:adjustRightInd w:val="0"/>
        <w:snapToGrid w:val="0"/>
        <w:ind w:left="0" w:firstLine="720"/>
        <w:rPr>
          <w:kern w:val="22"/>
          <w:szCs w:val="22"/>
          <w:lang w:val="fr-FR"/>
        </w:rPr>
      </w:pPr>
      <w:r w:rsidRPr="005406EE">
        <w:rPr>
          <w:i/>
          <w:iCs/>
          <w:kern w:val="22"/>
          <w:szCs w:val="22"/>
          <w:lang w:val="fr-FR"/>
        </w:rPr>
        <w:t xml:space="preserve">Adopte </w:t>
      </w:r>
      <w:r w:rsidRPr="005406EE">
        <w:rPr>
          <w:kern w:val="22"/>
          <w:szCs w:val="22"/>
          <w:lang w:val="fr-FR"/>
        </w:rPr>
        <w:t>les directives pour les septième [et huitième] rapports nationaux figurant à l'annexe C</w:t>
      </w:r>
      <w:bookmarkStart w:id="3" w:name="_Ref73031548"/>
      <w:r w:rsidR="005406EE">
        <w:rPr>
          <w:rStyle w:val="Appelnotedebasdep"/>
          <w:kern w:val="22"/>
          <w:szCs w:val="22"/>
        </w:rPr>
        <w:footnoteReference w:id="5"/>
      </w:r>
      <w:bookmarkEnd w:id="3"/>
      <w:r w:rsidRPr="005406EE">
        <w:rPr>
          <w:kern w:val="22"/>
          <w:szCs w:val="22"/>
          <w:lang w:val="fr-FR"/>
        </w:rPr>
        <w:t>, y compris le formulaire de rapport</w:t>
      </w:r>
      <w:r w:rsidR="00E12519">
        <w:rPr>
          <w:kern w:val="22"/>
          <w:szCs w:val="22"/>
          <w:lang w:val="fr-FR"/>
        </w:rPr>
        <w:t xml:space="preserve"> </w:t>
      </w:r>
      <w:r w:rsidR="008C79F1" w:rsidRPr="005406EE">
        <w:rPr>
          <w:kern w:val="22"/>
          <w:szCs w:val="22"/>
          <w:lang w:val="fr-FR"/>
        </w:rPr>
        <w:t>;</w:t>
      </w:r>
    </w:p>
    <w:p w14:paraId="42563170" w14:textId="571340DC" w:rsidR="008C79F1" w:rsidRPr="005406EE" w:rsidRDefault="00D620E8" w:rsidP="001E6BC2">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cstheme="majorBidi"/>
          <w:kern w:val="22"/>
          <w:szCs w:val="22"/>
          <w:lang w:val="fr-FR"/>
        </w:rPr>
      </w:pPr>
      <w:r w:rsidRPr="005406EE">
        <w:rPr>
          <w:i/>
          <w:kern w:val="22"/>
          <w:szCs w:val="22"/>
          <w:lang w:val="fr-FR"/>
        </w:rPr>
        <w:t xml:space="preserve">Décide </w:t>
      </w:r>
      <w:r w:rsidRPr="005406EE">
        <w:rPr>
          <w:iCs/>
          <w:kern w:val="22"/>
          <w:szCs w:val="22"/>
          <w:lang w:val="fr-FR"/>
        </w:rPr>
        <w:t>que les indicateurs phares [devraient être] [seront] utilisés par [toutes] les Parties dans leurs rapports nationaux pour rendre compte de leur mise en œuvre du Cadre mondial de la biodiversité pour l'après-2020, lorsque cela est techniquement possible et selon [qu'il convient] [qu'il est applicable] [et conformément à l'article 20] [et encourage la mise en place de mécanismes visant à renforcer les capacités des pays en développement afin d'aider à combler les lacunes en matière de suivi et de rapports]</w:t>
      </w:r>
      <w:r w:rsidR="00E12519">
        <w:rPr>
          <w:iCs/>
          <w:kern w:val="22"/>
          <w:szCs w:val="22"/>
          <w:lang w:val="fr-FR"/>
        </w:rPr>
        <w:t xml:space="preserve"> </w:t>
      </w:r>
      <w:r w:rsidR="008C79F1" w:rsidRPr="005406EE">
        <w:rPr>
          <w:iCs/>
          <w:kern w:val="22"/>
          <w:szCs w:val="22"/>
          <w:lang w:val="fr-FR"/>
        </w:rPr>
        <w:t>;</w:t>
      </w:r>
    </w:p>
    <w:p w14:paraId="7FB35EBD" w14:textId="34661F48" w:rsidR="008C79F1" w:rsidRPr="005406EE" w:rsidRDefault="00D620E8" w:rsidP="001E6BC2">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cstheme="majorBidi"/>
          <w:kern w:val="22"/>
          <w:szCs w:val="22"/>
          <w:lang w:val="fr-FR"/>
        </w:rPr>
      </w:pPr>
      <w:r w:rsidRPr="005406EE">
        <w:rPr>
          <w:i/>
          <w:color w:val="000000" w:themeColor="text1"/>
          <w:kern w:val="22"/>
          <w:szCs w:val="22"/>
          <w:lang w:val="fr-FR"/>
        </w:rPr>
        <w:t xml:space="preserve">Invite </w:t>
      </w:r>
      <w:r w:rsidRPr="005406EE">
        <w:rPr>
          <w:iCs/>
          <w:color w:val="000000" w:themeColor="text1"/>
          <w:kern w:val="22"/>
          <w:szCs w:val="22"/>
          <w:lang w:val="fr-FR"/>
        </w:rPr>
        <w:t>les Parties à [adapter et] utiliser la liste des indicateurs de composantes et des indicateurs complémentaires dans leurs processus de planification nationale [comme il convient et selon leurs priorités et circonstances nationales] et dans leurs rapports nationaux pour rendre compte de leurs progrès dans la mise en œuvre du Cadre mondial de la biodiversité pour l'après-2020, conformément à l'article 26 de la Convention, [comme il convient et selon leurs priorités et circonstances nationales</w:t>
      </w:r>
      <w:r w:rsidRPr="005406EE">
        <w:rPr>
          <w:i/>
          <w:color w:val="000000" w:themeColor="text1"/>
          <w:kern w:val="22"/>
          <w:szCs w:val="22"/>
          <w:lang w:val="fr-FR"/>
        </w:rPr>
        <w:t xml:space="preserve"> </w:t>
      </w:r>
      <w:r w:rsidR="008C79F1" w:rsidRPr="005406EE">
        <w:rPr>
          <w:iCs/>
          <w:color w:val="000000" w:themeColor="text1"/>
          <w:kern w:val="22"/>
          <w:szCs w:val="22"/>
          <w:lang w:val="fr-FR"/>
        </w:rPr>
        <w:t>;]</w:t>
      </w:r>
    </w:p>
    <w:p w14:paraId="6E2A2182" w14:textId="1BAF2F53" w:rsidR="00227C9D" w:rsidRPr="005406EE" w:rsidRDefault="00D620E8" w:rsidP="001E6BC2">
      <w:pPr>
        <w:pStyle w:val="Para1"/>
        <w:numPr>
          <w:ilvl w:val="0"/>
          <w:numId w:val="22"/>
        </w:numPr>
        <w:suppressLineNumbers/>
        <w:tabs>
          <w:tab w:val="left" w:pos="720"/>
        </w:tabs>
        <w:suppressAutoHyphens/>
        <w:kinsoku w:val="0"/>
        <w:overflowPunct w:val="0"/>
        <w:autoSpaceDE w:val="0"/>
        <w:autoSpaceDN w:val="0"/>
        <w:adjustRightInd w:val="0"/>
        <w:spacing w:before="0"/>
        <w:ind w:left="0" w:firstLine="720"/>
        <w:rPr>
          <w:kern w:val="22"/>
          <w:szCs w:val="24"/>
          <w:lang w:val="fr-FR"/>
        </w:rPr>
      </w:pPr>
      <w:r w:rsidRPr="005406EE">
        <w:rPr>
          <w:i/>
          <w:kern w:val="22"/>
          <w:szCs w:val="24"/>
          <w:lang w:val="fr-FR"/>
        </w:rPr>
        <w:t xml:space="preserve">Demande </w:t>
      </w:r>
      <w:r w:rsidRPr="005406EE">
        <w:rPr>
          <w:iCs/>
          <w:kern w:val="22"/>
          <w:szCs w:val="24"/>
          <w:lang w:val="fr-FR"/>
        </w:rPr>
        <w:t>aux Parties de soumettre leur septième rapport national au plus tard le [30 juin 2024] et leur huitième rapport au plus tard le [juin 2029], y compris des informations sur les progrès nationaux vers la réalisation des cibles nationales et en utilisant l'ensemble convenu d'indicateurs phares énoncés dans le cadre de suivi</w:t>
      </w:r>
      <w:r w:rsidR="005406EE">
        <w:rPr>
          <w:rStyle w:val="Appelnotedebasdep"/>
          <w:kern w:val="22"/>
          <w:szCs w:val="24"/>
        </w:rPr>
        <w:footnoteReference w:id="6"/>
      </w:r>
      <w:r w:rsidR="005406EE">
        <w:rPr>
          <w:kern w:val="22"/>
          <w:szCs w:val="24"/>
        </w:rPr>
        <w:t xml:space="preserve"> </w:t>
      </w:r>
      <w:r w:rsidRPr="005406EE">
        <w:rPr>
          <w:iCs/>
          <w:kern w:val="22"/>
          <w:szCs w:val="24"/>
          <w:lang w:val="fr-FR"/>
        </w:rPr>
        <w:t xml:space="preserve"> du Cadre mondial de la biodiversité pour l'après-2020 adopté dans la décision 15/--, et en utilisant le formulaire fourni à l'annexe</w:t>
      </w:r>
      <w:r w:rsidRPr="005406EE">
        <w:rPr>
          <w:i/>
          <w:kern w:val="22"/>
          <w:szCs w:val="24"/>
          <w:lang w:val="fr-FR"/>
        </w:rPr>
        <w:t xml:space="preserve"> C</w:t>
      </w:r>
      <w:r w:rsidRPr="005406EE">
        <w:rPr>
          <w:kern w:val="22"/>
          <w:szCs w:val="24"/>
          <w:vertAlign w:val="superscript"/>
          <w:lang w:val="fr-FR"/>
        </w:rPr>
        <w:fldChar w:fldCharType="begin"/>
      </w:r>
      <w:r w:rsidRPr="005406EE">
        <w:rPr>
          <w:kern w:val="22"/>
          <w:szCs w:val="24"/>
          <w:vertAlign w:val="superscript"/>
          <w:lang w:val="fr-FR"/>
        </w:rPr>
        <w:instrText xml:space="preserve"> NOTEREF _Ref73031548 \h  \* MERGEFORMAT </w:instrText>
      </w:r>
      <w:r w:rsidRPr="005406EE">
        <w:rPr>
          <w:kern w:val="22"/>
          <w:szCs w:val="24"/>
          <w:vertAlign w:val="superscript"/>
          <w:lang w:val="fr-FR"/>
        </w:rPr>
      </w:r>
      <w:r w:rsidRPr="005406EE">
        <w:rPr>
          <w:kern w:val="22"/>
          <w:szCs w:val="24"/>
          <w:vertAlign w:val="superscript"/>
          <w:lang w:val="fr-FR"/>
        </w:rPr>
        <w:fldChar w:fldCharType="separate"/>
      </w:r>
      <w:r w:rsidRPr="005406EE">
        <w:rPr>
          <w:kern w:val="22"/>
          <w:szCs w:val="24"/>
          <w:vertAlign w:val="superscript"/>
          <w:lang w:val="fr-FR"/>
        </w:rPr>
        <w:t>4</w:t>
      </w:r>
      <w:r w:rsidRPr="005406EE">
        <w:rPr>
          <w:kern w:val="22"/>
          <w:szCs w:val="24"/>
          <w:vertAlign w:val="superscript"/>
          <w:lang w:val="fr-FR"/>
        </w:rPr>
        <w:fldChar w:fldCharType="end"/>
      </w:r>
      <w:r w:rsidRPr="005406EE">
        <w:rPr>
          <w:i/>
          <w:kern w:val="22"/>
          <w:szCs w:val="24"/>
          <w:lang w:val="fr-FR"/>
        </w:rPr>
        <w:t xml:space="preserve"> </w:t>
      </w:r>
      <w:r w:rsidR="008C79F1" w:rsidRPr="005406EE">
        <w:rPr>
          <w:kern w:val="22"/>
          <w:szCs w:val="24"/>
          <w:lang w:val="fr-FR"/>
        </w:rPr>
        <w:t>;</w:t>
      </w:r>
      <w:r w:rsidRPr="005406EE">
        <w:rPr>
          <w:kern w:val="22"/>
          <w:szCs w:val="24"/>
          <w:lang w:val="fr-FR"/>
        </w:rPr>
        <w:t xml:space="preserve"> </w:t>
      </w:r>
    </w:p>
    <w:p w14:paraId="6154738F" w14:textId="2D2735C6" w:rsidR="00227C9D" w:rsidRPr="005406EE" w:rsidRDefault="00D620E8" w:rsidP="001E6BC2">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cstheme="majorBidi"/>
          <w:kern w:val="22"/>
          <w:szCs w:val="22"/>
          <w:lang w:val="fr-FR"/>
        </w:rPr>
      </w:pPr>
      <w:r w:rsidRPr="005406EE">
        <w:rPr>
          <w:i/>
          <w:iCs/>
          <w:kern w:val="22"/>
          <w:szCs w:val="22"/>
          <w:lang w:val="fr-FR"/>
        </w:rPr>
        <w:t>Adopte</w:t>
      </w:r>
      <w:r w:rsidRPr="005406EE">
        <w:rPr>
          <w:kern w:val="22"/>
          <w:szCs w:val="22"/>
          <w:lang w:val="fr-FR"/>
        </w:rPr>
        <w:t xml:space="preserve"> le modus operandi du forum à composition non limitée de l'Organe subsidiaire chargé de l'application figurant à l'annexe D</w:t>
      </w:r>
      <w:bookmarkStart w:id="4" w:name="_Ref73032344"/>
      <w:r w:rsidR="005406EE">
        <w:rPr>
          <w:rStyle w:val="Appelnotedebasdep"/>
          <w:kern w:val="22"/>
          <w:szCs w:val="22"/>
        </w:rPr>
        <w:footnoteReference w:id="7"/>
      </w:r>
      <w:bookmarkEnd w:id="4"/>
      <w:r w:rsidRPr="005406EE">
        <w:rPr>
          <w:kern w:val="22"/>
          <w:szCs w:val="22"/>
          <w:lang w:val="fr-FR"/>
        </w:rPr>
        <w:t>, reconnaissant qu'il complète l'examen volontaire par les pairs inclus dans l'approche multidimensionnelle de l'examen au titre de la Convention, mentionnée dans la décision 14/29.</w:t>
      </w:r>
    </w:p>
    <w:p w14:paraId="7FE20E2F" w14:textId="020E7062" w:rsidR="00227C9D" w:rsidRPr="005406EE" w:rsidRDefault="00227C9D"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szCs w:val="24"/>
          <w:lang w:val="fr-FR"/>
        </w:rPr>
      </w:pPr>
      <w:r w:rsidRPr="005406EE">
        <w:rPr>
          <w:i/>
          <w:kern w:val="22"/>
          <w:szCs w:val="24"/>
          <w:lang w:val="fr-FR"/>
        </w:rPr>
        <w:t>Encourage</w:t>
      </w:r>
      <w:r w:rsidR="00D620E8" w:rsidRPr="005406EE">
        <w:rPr>
          <w:i/>
          <w:kern w:val="22"/>
          <w:szCs w:val="24"/>
          <w:lang w:val="fr-FR"/>
        </w:rPr>
        <w:t xml:space="preserve"> les</w:t>
      </w:r>
      <w:r w:rsidRPr="005406EE">
        <w:rPr>
          <w:iCs/>
          <w:kern w:val="22"/>
          <w:szCs w:val="24"/>
          <w:lang w:val="fr-FR"/>
        </w:rPr>
        <w:t xml:space="preserve"> Parties</w:t>
      </w:r>
      <w:r w:rsidR="00D620E8" w:rsidRPr="005406EE">
        <w:rPr>
          <w:iCs/>
          <w:kern w:val="22"/>
          <w:szCs w:val="24"/>
          <w:lang w:val="fr-FR"/>
        </w:rPr>
        <w:t xml:space="preserve"> à </w:t>
      </w:r>
      <w:r w:rsidR="00D11C56" w:rsidRPr="005406EE">
        <w:rPr>
          <w:iCs/>
          <w:kern w:val="22"/>
          <w:szCs w:val="24"/>
          <w:lang w:val="fr-FR"/>
        </w:rPr>
        <w:t>:</w:t>
      </w:r>
    </w:p>
    <w:p w14:paraId="2BBFFC80" w14:textId="792B5729" w:rsidR="00227C9D" w:rsidRPr="005406EE" w:rsidRDefault="00D620E8" w:rsidP="001E6BC2">
      <w:pPr>
        <w:pStyle w:val="Para1"/>
        <w:numPr>
          <w:ilvl w:val="1"/>
          <w:numId w:val="24"/>
        </w:numPr>
        <w:suppressLineNumbers/>
        <w:suppressAutoHyphens/>
        <w:kinsoku w:val="0"/>
        <w:overflowPunct w:val="0"/>
        <w:autoSpaceDE w:val="0"/>
        <w:autoSpaceDN w:val="0"/>
        <w:adjustRightInd w:val="0"/>
        <w:spacing w:before="0"/>
        <w:ind w:left="0" w:firstLine="720"/>
        <w:rPr>
          <w:kern w:val="22"/>
          <w:szCs w:val="24"/>
          <w:lang w:val="fr-FR"/>
        </w:rPr>
      </w:pPr>
      <w:r w:rsidRPr="005406EE">
        <w:rPr>
          <w:kern w:val="22"/>
          <w:lang w:val="fr-FR"/>
        </w:rPr>
        <w:t xml:space="preserve">Faciliter, le cas échéant, la participation et la coordination des points focaux des autres conventions liées à la biodiversité et des conventions de Rio, des peuples autochtones et des communautés locales, ainsi que de toutes les parties prenantes concernées, y compris les administrations infranationales et locales, les instituts nationaux de statistique et autres détenteurs de données, les organisations non gouvernementales, les groupes de femmes, les groupes de jeunes, la communauté des affaires et des finances et les représentants des secteurs liés à la biodiversité ou en dépendant, ainsi que la coordination entre eux, dans le cadre de l'élaboration, de la révision et de la mise à jour des stratégies et plans d'action nationaux en faveur de la biodiversité, de la préparation des septième et huitième rapports nationaux et des processus volontaires d'examen pays par pays par des pairs ou des experts, et promouvoir les synergies avec les </w:t>
      </w:r>
      <w:r w:rsidRPr="005406EE">
        <w:rPr>
          <w:kern w:val="22"/>
          <w:lang w:val="fr-FR"/>
        </w:rPr>
        <w:lastRenderedPageBreak/>
        <w:t>conventions relatives à la biodiversité et la convention de Rio ainsi que les examens nationaux volontaires relatifs à la mise en œuvre des objectifs de développement durable</w:t>
      </w:r>
      <w:r w:rsidRPr="005406EE">
        <w:rPr>
          <w:kern w:val="22"/>
          <w:lang w:val="fr-FR"/>
        </w:rPr>
        <w:t xml:space="preserve"> </w:t>
      </w:r>
      <w:r w:rsidR="00530C1A" w:rsidRPr="005406EE">
        <w:rPr>
          <w:iCs/>
          <w:kern w:val="22"/>
          <w:szCs w:val="24"/>
          <w:lang w:val="fr-FR"/>
        </w:rPr>
        <w:t>;</w:t>
      </w:r>
    </w:p>
    <w:p w14:paraId="7F4693A9" w14:textId="50923704" w:rsidR="00227C9D" w:rsidRPr="005406EE" w:rsidRDefault="00D620E8" w:rsidP="001E6BC2">
      <w:pPr>
        <w:pStyle w:val="Para1"/>
        <w:numPr>
          <w:ilvl w:val="1"/>
          <w:numId w:val="24"/>
        </w:numPr>
        <w:suppressLineNumbers/>
        <w:suppressAutoHyphens/>
        <w:kinsoku w:val="0"/>
        <w:overflowPunct w:val="0"/>
        <w:autoSpaceDE w:val="0"/>
        <w:autoSpaceDN w:val="0"/>
        <w:adjustRightInd w:val="0"/>
        <w:spacing w:before="0"/>
        <w:ind w:left="0" w:firstLine="720"/>
        <w:rPr>
          <w:kern w:val="22"/>
          <w:szCs w:val="24"/>
          <w:lang w:val="fr-FR"/>
        </w:rPr>
      </w:pPr>
      <w:r w:rsidRPr="005406EE">
        <w:rPr>
          <w:kern w:val="22"/>
          <w:shd w:val="clear" w:color="auto" w:fill="FFFFFF"/>
          <w:lang w:val="fr-FR"/>
        </w:rPr>
        <w:t>Tenir compte du plan d'action en faveur de l'égalité des sexes pour l'après-2020 dans tous les aspects, et à toutes les échelles, concernant la planification, la mise en œuvre, l'établissement de rapports et l'examen liés au Cadre mondial de la biodiversité pour l'après-2020</w:t>
      </w:r>
      <w:r w:rsidRPr="005406EE">
        <w:rPr>
          <w:kern w:val="22"/>
          <w:shd w:val="clear" w:color="auto" w:fill="FFFFFF"/>
          <w:lang w:val="fr-FR"/>
        </w:rPr>
        <w:t xml:space="preserve"> </w:t>
      </w:r>
      <w:r w:rsidR="00227C9D" w:rsidRPr="005406EE">
        <w:rPr>
          <w:kern w:val="22"/>
          <w:lang w:val="fr-FR"/>
        </w:rPr>
        <w:t>;</w:t>
      </w:r>
    </w:p>
    <w:p w14:paraId="519BC071" w14:textId="3A4DC427" w:rsidR="00227C9D" w:rsidRPr="005406EE" w:rsidRDefault="00D620E8"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lang w:val="fr-FR"/>
        </w:rPr>
      </w:pPr>
      <w:r w:rsidRPr="005406EE">
        <w:rPr>
          <w:i/>
          <w:iCs/>
          <w:kern w:val="22"/>
          <w:lang w:val="fr-FR"/>
        </w:rPr>
        <w:t xml:space="preserve">Invite </w:t>
      </w:r>
      <w:r w:rsidRPr="005406EE">
        <w:rPr>
          <w:kern w:val="22"/>
          <w:lang w:val="fr-FR"/>
        </w:rPr>
        <w:t>les peuples autochtones et les communautés locales, les gouvernements infranationaux, les villes et autres autorités locales, les organisations intergouvernementales, les autres accords multilatéraux sur l'environnement, les organisations non gouvernementales, les groupes de femmes, les groupes de jeunes, les organismes de recherche, le monde des affaires et de la finance et les représentants des secteurs liés à la biodiversité ou en dépendant, à élaborer des engagements à l'appui du Cadre mondial de la biodiversité pour l'après-2020, en utilisant le formulaire fourni à l'annexe B</w:t>
      </w:r>
      <w:r w:rsidRPr="005406EE">
        <w:rPr>
          <w:kern w:val="22"/>
          <w:vertAlign w:val="superscript"/>
          <w:lang w:val="fr-FR"/>
        </w:rPr>
        <w:t>4</w:t>
      </w:r>
      <w:r w:rsidRPr="005406EE">
        <w:rPr>
          <w:kern w:val="22"/>
          <w:lang w:val="fr-FR"/>
        </w:rPr>
        <w:t xml:space="preserve">, à les enregistrer sur la plateforme en ligne du Programme d'action </w:t>
      </w:r>
      <w:proofErr w:type="spellStart"/>
      <w:r w:rsidRPr="005406EE">
        <w:rPr>
          <w:kern w:val="22"/>
          <w:lang w:val="fr-FR"/>
        </w:rPr>
        <w:t>Sharm</w:t>
      </w:r>
      <w:proofErr w:type="spellEnd"/>
      <w:r w:rsidRPr="005406EE">
        <w:rPr>
          <w:kern w:val="22"/>
          <w:lang w:val="fr-FR"/>
        </w:rPr>
        <w:t xml:space="preserve"> El-Sheikh - Kunming en faveur de la nature et des populations, et à rendre compte de leur mise en œuvr</w:t>
      </w:r>
      <w:r w:rsidRPr="005406EE">
        <w:rPr>
          <w:kern w:val="22"/>
          <w:lang w:val="fr-FR"/>
        </w:rPr>
        <w:t>e</w:t>
      </w:r>
      <w:r w:rsidRPr="005406EE">
        <w:rPr>
          <w:i/>
          <w:iCs/>
          <w:kern w:val="22"/>
          <w:lang w:val="fr-FR"/>
        </w:rPr>
        <w:t xml:space="preserve"> </w:t>
      </w:r>
      <w:r w:rsidR="00227C9D" w:rsidRPr="005406EE">
        <w:rPr>
          <w:kern w:val="22"/>
          <w:lang w:val="fr-FR"/>
        </w:rPr>
        <w:t>;</w:t>
      </w:r>
    </w:p>
    <w:p w14:paraId="5F32873D" w14:textId="03E33244" w:rsidR="00227C9D" w:rsidRPr="005406EE" w:rsidRDefault="00D620E8"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lang w:val="fr-FR"/>
        </w:rPr>
      </w:pPr>
      <w:r w:rsidRPr="005406EE">
        <w:rPr>
          <w:i/>
          <w:kern w:val="22"/>
          <w:szCs w:val="24"/>
          <w:lang w:val="fr-FR"/>
        </w:rPr>
        <w:t xml:space="preserve">Invite </w:t>
      </w:r>
      <w:r w:rsidRPr="005406EE">
        <w:rPr>
          <w:iCs/>
          <w:kern w:val="22"/>
          <w:szCs w:val="24"/>
          <w:lang w:val="fr-FR"/>
        </w:rPr>
        <w:t xml:space="preserve">les organisations internationales, régionales, </w:t>
      </w:r>
      <w:proofErr w:type="spellStart"/>
      <w:r w:rsidRPr="005406EE">
        <w:rPr>
          <w:iCs/>
          <w:kern w:val="22"/>
          <w:szCs w:val="24"/>
          <w:lang w:val="fr-FR"/>
        </w:rPr>
        <w:t>sous-régionales</w:t>
      </w:r>
      <w:proofErr w:type="spellEnd"/>
      <w:r w:rsidRPr="005406EE">
        <w:rPr>
          <w:iCs/>
          <w:kern w:val="22"/>
          <w:szCs w:val="24"/>
          <w:lang w:val="fr-FR"/>
        </w:rPr>
        <w:t xml:space="preserve"> ou nationales compétentes à soutenir les pays dans la mise à jour et la révision des stratégies et plans d'action nationaux en matière de biodiversité et dans la préparation des rapports nationaux, notamment en fournissant des données pertinentes, en soutenant la mise en œuvre du cadre de suivi et des activités d'information et de développement des capacités</w:t>
      </w:r>
      <w:r w:rsidRPr="005406EE">
        <w:rPr>
          <w:i/>
          <w:kern w:val="22"/>
          <w:szCs w:val="24"/>
          <w:lang w:val="fr-FR"/>
        </w:rPr>
        <w:t xml:space="preserve"> </w:t>
      </w:r>
      <w:r w:rsidR="00227C9D" w:rsidRPr="005406EE">
        <w:rPr>
          <w:kern w:val="22"/>
          <w:szCs w:val="24"/>
          <w:lang w:val="fr-FR"/>
        </w:rPr>
        <w:t>;</w:t>
      </w:r>
    </w:p>
    <w:p w14:paraId="307B2759" w14:textId="7AF80A66" w:rsidR="00227C9D" w:rsidRPr="005406EE" w:rsidRDefault="00D620E8"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lang w:val="fr-FR"/>
        </w:rPr>
      </w:pPr>
      <w:r w:rsidRPr="005406EE">
        <w:rPr>
          <w:i/>
          <w:kern w:val="22"/>
          <w:szCs w:val="24"/>
          <w:lang w:val="fr-FR"/>
        </w:rPr>
        <w:t xml:space="preserve">Prie </w:t>
      </w:r>
      <w:r w:rsidRPr="005406EE">
        <w:rPr>
          <w:iCs/>
          <w:kern w:val="22"/>
          <w:szCs w:val="24"/>
          <w:lang w:val="fr-FR"/>
        </w:rPr>
        <w:t>la Secrétaire exécutive de soutenir l'opérationnalisation de l'approche multidimensionnelle renforcée de la planification, du suivi, de l'établissement de rapports et de l'examen énoncée au paragraphe 1, y compris, le cas échéant, en</w:t>
      </w:r>
      <w:r w:rsidRPr="005406EE">
        <w:rPr>
          <w:i/>
          <w:kern w:val="22"/>
          <w:szCs w:val="24"/>
          <w:lang w:val="fr-FR"/>
        </w:rPr>
        <w:t xml:space="preserve"> </w:t>
      </w:r>
      <w:r w:rsidR="00227C9D" w:rsidRPr="005406EE">
        <w:rPr>
          <w:kern w:val="22"/>
          <w:szCs w:val="24"/>
          <w:lang w:val="fr-FR"/>
        </w:rPr>
        <w:t>:</w:t>
      </w:r>
    </w:p>
    <w:p w14:paraId="7FA1424B" w14:textId="7B149000" w:rsidR="00227C9D" w:rsidRPr="005406EE" w:rsidRDefault="00D620E8" w:rsidP="001E6BC2">
      <w:pPr>
        <w:pStyle w:val="Para1"/>
        <w:numPr>
          <w:ilvl w:val="1"/>
          <w:numId w:val="21"/>
        </w:numPr>
        <w:suppressLineNumbers/>
        <w:suppressAutoHyphens/>
        <w:kinsoku w:val="0"/>
        <w:overflowPunct w:val="0"/>
        <w:autoSpaceDE w:val="0"/>
        <w:autoSpaceDN w:val="0"/>
        <w:adjustRightInd w:val="0"/>
        <w:ind w:left="0" w:firstLine="720"/>
        <w:rPr>
          <w:kern w:val="22"/>
          <w:szCs w:val="24"/>
          <w:lang w:val="fr-FR"/>
        </w:rPr>
      </w:pPr>
      <w:r w:rsidRPr="005406EE">
        <w:rPr>
          <w:kern w:val="22"/>
          <w:szCs w:val="24"/>
          <w:lang w:val="fr-FR"/>
        </w:rPr>
        <w:t xml:space="preserve">Développant </w:t>
      </w:r>
      <w:r w:rsidR="00E12519">
        <w:rPr>
          <w:kern w:val="22"/>
          <w:szCs w:val="24"/>
          <w:lang w:val="fr-FR"/>
        </w:rPr>
        <w:t xml:space="preserve">plus avant </w:t>
      </w:r>
      <w:r w:rsidRPr="005406EE">
        <w:rPr>
          <w:kern w:val="22"/>
          <w:szCs w:val="24"/>
          <w:lang w:val="fr-FR"/>
        </w:rPr>
        <w:t xml:space="preserve">et </w:t>
      </w:r>
      <w:r w:rsidR="00E12519">
        <w:rPr>
          <w:kern w:val="22"/>
          <w:szCs w:val="24"/>
          <w:lang w:val="fr-FR"/>
        </w:rPr>
        <w:t xml:space="preserve">en </w:t>
      </w:r>
      <w:r w:rsidRPr="005406EE">
        <w:rPr>
          <w:kern w:val="22"/>
          <w:szCs w:val="24"/>
          <w:lang w:val="fr-FR"/>
        </w:rPr>
        <w:t>soutenant l'utilisation des lignes directrices des annexes A, B, C et D</w:t>
      </w:r>
      <w:r w:rsidRPr="005406EE">
        <w:rPr>
          <w:kern w:val="22"/>
          <w:szCs w:val="24"/>
          <w:lang w:val="fr-FR"/>
        </w:rPr>
        <w:t xml:space="preserve"> </w:t>
      </w:r>
      <w:r w:rsidR="005866EF" w:rsidRPr="005406EE">
        <w:rPr>
          <w:kern w:val="22"/>
          <w:szCs w:val="24"/>
          <w:vertAlign w:val="superscript"/>
          <w:lang w:val="fr-FR"/>
        </w:rPr>
        <w:fldChar w:fldCharType="begin"/>
      </w:r>
      <w:r w:rsidR="005866EF" w:rsidRPr="005406EE">
        <w:rPr>
          <w:kern w:val="22"/>
          <w:szCs w:val="24"/>
          <w:vertAlign w:val="superscript"/>
          <w:lang w:val="fr-FR"/>
        </w:rPr>
        <w:instrText xml:space="preserve"> NOTEREF _Ref73031286 \h </w:instrText>
      </w:r>
      <w:r w:rsidR="00FA70DE" w:rsidRPr="005406EE">
        <w:rPr>
          <w:kern w:val="22"/>
          <w:szCs w:val="24"/>
          <w:vertAlign w:val="superscript"/>
          <w:lang w:val="fr-FR"/>
        </w:rPr>
        <w:instrText xml:space="preserve"> \* MERGEFORMAT </w:instrText>
      </w:r>
      <w:r w:rsidR="005866EF" w:rsidRPr="005406EE">
        <w:rPr>
          <w:kern w:val="22"/>
          <w:szCs w:val="24"/>
          <w:vertAlign w:val="superscript"/>
          <w:lang w:val="fr-FR"/>
        </w:rPr>
      </w:r>
      <w:r w:rsidR="005866EF" w:rsidRPr="005406EE">
        <w:rPr>
          <w:kern w:val="22"/>
          <w:szCs w:val="24"/>
          <w:vertAlign w:val="superscript"/>
          <w:lang w:val="fr-FR"/>
        </w:rPr>
        <w:fldChar w:fldCharType="separate"/>
      </w:r>
      <w:r w:rsidR="005866EF" w:rsidRPr="005406EE">
        <w:rPr>
          <w:kern w:val="22"/>
          <w:szCs w:val="24"/>
          <w:vertAlign w:val="superscript"/>
          <w:lang w:val="fr-FR"/>
        </w:rPr>
        <w:t>2</w:t>
      </w:r>
      <w:r w:rsidR="005866EF" w:rsidRPr="005406EE">
        <w:rPr>
          <w:kern w:val="22"/>
          <w:szCs w:val="24"/>
          <w:vertAlign w:val="superscript"/>
          <w:lang w:val="fr-FR"/>
        </w:rPr>
        <w:fldChar w:fldCharType="end"/>
      </w:r>
      <w:r w:rsidR="00172090" w:rsidRPr="005406EE">
        <w:rPr>
          <w:kern w:val="22"/>
          <w:szCs w:val="24"/>
          <w:vertAlign w:val="superscript"/>
          <w:lang w:val="fr-FR"/>
        </w:rPr>
        <w:t>,</w:t>
      </w:r>
      <w:r w:rsidR="00172090" w:rsidRPr="005406EE">
        <w:rPr>
          <w:kern w:val="22"/>
          <w:szCs w:val="24"/>
          <w:vertAlign w:val="superscript"/>
          <w:lang w:val="fr-FR"/>
        </w:rPr>
        <w:fldChar w:fldCharType="begin"/>
      </w:r>
      <w:r w:rsidR="00172090" w:rsidRPr="005406EE">
        <w:rPr>
          <w:kern w:val="22"/>
          <w:szCs w:val="24"/>
          <w:vertAlign w:val="superscript"/>
          <w:lang w:val="fr-FR"/>
        </w:rPr>
        <w:instrText xml:space="preserve"> NOTEREF _Ref73032326 \h </w:instrText>
      </w:r>
      <w:r w:rsidR="00172090" w:rsidRPr="005406EE">
        <w:rPr>
          <w:kern w:val="22"/>
          <w:szCs w:val="24"/>
          <w:vertAlign w:val="superscript"/>
          <w:lang w:val="fr-FR"/>
        </w:rPr>
      </w:r>
      <w:r w:rsidR="00172090" w:rsidRPr="005406EE">
        <w:rPr>
          <w:kern w:val="22"/>
          <w:szCs w:val="24"/>
          <w:vertAlign w:val="superscript"/>
          <w:lang w:val="fr-FR"/>
        </w:rPr>
        <w:fldChar w:fldCharType="separate"/>
      </w:r>
      <w:r w:rsidR="00172090" w:rsidRPr="005406EE">
        <w:rPr>
          <w:kern w:val="22"/>
          <w:szCs w:val="24"/>
          <w:vertAlign w:val="superscript"/>
          <w:lang w:val="fr-FR"/>
        </w:rPr>
        <w:t>3</w:t>
      </w:r>
      <w:r w:rsidR="00172090" w:rsidRPr="005406EE">
        <w:rPr>
          <w:kern w:val="22"/>
          <w:szCs w:val="24"/>
          <w:vertAlign w:val="superscript"/>
          <w:lang w:val="fr-FR"/>
        </w:rPr>
        <w:fldChar w:fldCharType="end"/>
      </w:r>
      <w:r w:rsidR="00172090" w:rsidRPr="005406EE">
        <w:rPr>
          <w:kern w:val="22"/>
          <w:szCs w:val="24"/>
          <w:vertAlign w:val="superscript"/>
          <w:lang w:val="fr-FR"/>
        </w:rPr>
        <w:t>,</w:t>
      </w:r>
      <w:r w:rsidR="00FA70DE" w:rsidRPr="005406EE">
        <w:rPr>
          <w:kern w:val="22"/>
          <w:szCs w:val="24"/>
          <w:vertAlign w:val="superscript"/>
          <w:lang w:val="fr-FR"/>
        </w:rPr>
        <w:fldChar w:fldCharType="begin"/>
      </w:r>
      <w:r w:rsidR="00FA70DE" w:rsidRPr="005406EE">
        <w:rPr>
          <w:kern w:val="22"/>
          <w:szCs w:val="24"/>
          <w:vertAlign w:val="superscript"/>
          <w:lang w:val="fr-FR"/>
        </w:rPr>
        <w:instrText xml:space="preserve"> NOTEREF _Ref73031548 \h </w:instrText>
      </w:r>
      <w:r w:rsidR="00FA70DE" w:rsidRPr="005406EE">
        <w:rPr>
          <w:kern w:val="22"/>
          <w:szCs w:val="24"/>
          <w:vertAlign w:val="superscript"/>
          <w:lang w:val="fr-FR"/>
        </w:rPr>
      </w:r>
      <w:r w:rsidR="00FA70DE" w:rsidRPr="005406EE">
        <w:rPr>
          <w:kern w:val="22"/>
          <w:szCs w:val="24"/>
          <w:vertAlign w:val="superscript"/>
          <w:lang w:val="fr-FR"/>
        </w:rPr>
        <w:fldChar w:fldCharType="separate"/>
      </w:r>
      <w:r w:rsidR="00FA70DE" w:rsidRPr="005406EE">
        <w:rPr>
          <w:kern w:val="22"/>
          <w:szCs w:val="24"/>
          <w:vertAlign w:val="superscript"/>
          <w:lang w:val="fr-FR"/>
        </w:rPr>
        <w:t>4</w:t>
      </w:r>
      <w:r w:rsidR="00FA70DE" w:rsidRPr="005406EE">
        <w:rPr>
          <w:kern w:val="22"/>
          <w:szCs w:val="24"/>
          <w:vertAlign w:val="superscript"/>
          <w:lang w:val="fr-FR"/>
        </w:rPr>
        <w:fldChar w:fldCharType="end"/>
      </w:r>
      <w:r w:rsidR="00FA70DE" w:rsidRPr="005406EE">
        <w:rPr>
          <w:kern w:val="22"/>
          <w:szCs w:val="24"/>
          <w:vertAlign w:val="superscript"/>
          <w:lang w:val="fr-FR"/>
        </w:rPr>
        <w:t>,</w:t>
      </w:r>
      <w:r w:rsidR="00FA70DE" w:rsidRPr="005406EE">
        <w:rPr>
          <w:kern w:val="22"/>
          <w:szCs w:val="24"/>
          <w:vertAlign w:val="superscript"/>
          <w:lang w:val="fr-FR"/>
        </w:rPr>
        <w:fldChar w:fldCharType="begin"/>
      </w:r>
      <w:r w:rsidR="00FA70DE" w:rsidRPr="005406EE">
        <w:rPr>
          <w:kern w:val="22"/>
          <w:szCs w:val="24"/>
          <w:vertAlign w:val="superscript"/>
          <w:lang w:val="fr-FR"/>
        </w:rPr>
        <w:instrText xml:space="preserve"> NOTEREF _Ref73032344 \h </w:instrText>
      </w:r>
      <w:r w:rsidR="00FA70DE" w:rsidRPr="005406EE">
        <w:rPr>
          <w:kern w:val="22"/>
          <w:szCs w:val="24"/>
          <w:vertAlign w:val="superscript"/>
          <w:lang w:val="fr-FR"/>
        </w:rPr>
      </w:r>
      <w:r w:rsidR="00FA70DE" w:rsidRPr="005406EE">
        <w:rPr>
          <w:kern w:val="22"/>
          <w:szCs w:val="24"/>
          <w:vertAlign w:val="superscript"/>
          <w:lang w:val="fr-FR"/>
        </w:rPr>
        <w:fldChar w:fldCharType="separate"/>
      </w:r>
      <w:r w:rsidR="00FA70DE" w:rsidRPr="005406EE">
        <w:rPr>
          <w:kern w:val="22"/>
          <w:szCs w:val="24"/>
          <w:vertAlign w:val="superscript"/>
          <w:lang w:val="fr-FR"/>
        </w:rPr>
        <w:t>6</w:t>
      </w:r>
      <w:r w:rsidR="00FA70DE" w:rsidRPr="005406EE">
        <w:rPr>
          <w:kern w:val="22"/>
          <w:szCs w:val="24"/>
          <w:vertAlign w:val="superscript"/>
          <w:lang w:val="fr-FR"/>
        </w:rPr>
        <w:fldChar w:fldCharType="end"/>
      </w:r>
      <w:r w:rsidR="00E12519" w:rsidRPr="005406EE">
        <w:rPr>
          <w:kern w:val="22"/>
          <w:szCs w:val="24"/>
          <w:lang w:val="fr-FR"/>
        </w:rPr>
        <w:t>;</w:t>
      </w:r>
    </w:p>
    <w:p w14:paraId="68792397" w14:textId="45391280" w:rsidR="00227C9D" w:rsidRPr="005406EE" w:rsidRDefault="00D620E8" w:rsidP="001E6BC2">
      <w:pPr>
        <w:pStyle w:val="Para1"/>
        <w:numPr>
          <w:ilvl w:val="1"/>
          <w:numId w:val="21"/>
        </w:numPr>
        <w:suppressLineNumbers/>
        <w:suppressAutoHyphens/>
        <w:kinsoku w:val="0"/>
        <w:overflowPunct w:val="0"/>
        <w:autoSpaceDE w:val="0"/>
        <w:autoSpaceDN w:val="0"/>
        <w:adjustRightInd w:val="0"/>
        <w:ind w:left="0" w:firstLine="720"/>
        <w:rPr>
          <w:kern w:val="22"/>
          <w:szCs w:val="24"/>
          <w:lang w:val="fr-FR"/>
        </w:rPr>
      </w:pPr>
      <w:r w:rsidRPr="005406EE">
        <w:rPr>
          <w:kern w:val="22"/>
          <w:szCs w:val="24"/>
          <w:lang w:val="fr-FR"/>
        </w:rPr>
        <w:t xml:space="preserve">Développant plus avant l'outil en ligne pour les rapports nationaux sur le centre d'échange d'informations de la Convention, l'outil en ligne de suivi des décisions, et le Programme d'action de </w:t>
      </w:r>
      <w:proofErr w:type="spellStart"/>
      <w:r w:rsidRPr="005406EE">
        <w:rPr>
          <w:kern w:val="22"/>
          <w:szCs w:val="24"/>
          <w:lang w:val="fr-FR"/>
        </w:rPr>
        <w:t>Sharm</w:t>
      </w:r>
      <w:proofErr w:type="spellEnd"/>
      <w:r w:rsidRPr="005406EE">
        <w:rPr>
          <w:kern w:val="22"/>
          <w:szCs w:val="24"/>
          <w:lang w:val="fr-FR"/>
        </w:rPr>
        <w:t xml:space="preserve"> El-Sheikh - Kunming en faveur de la nature et des populations</w:t>
      </w:r>
      <w:r w:rsidRPr="005406EE">
        <w:rPr>
          <w:kern w:val="22"/>
          <w:szCs w:val="24"/>
          <w:lang w:val="fr-FR"/>
        </w:rPr>
        <w:t xml:space="preserve"> </w:t>
      </w:r>
      <w:r w:rsidR="00227C9D" w:rsidRPr="005406EE">
        <w:rPr>
          <w:kern w:val="22"/>
          <w:szCs w:val="24"/>
          <w:lang w:val="fr-FR"/>
        </w:rPr>
        <w:t>;</w:t>
      </w:r>
    </w:p>
    <w:p w14:paraId="0A574AE0" w14:textId="531975E3" w:rsidR="00227C9D" w:rsidRPr="005406EE" w:rsidRDefault="00D620E8" w:rsidP="001E6BC2">
      <w:pPr>
        <w:pStyle w:val="Para1"/>
        <w:numPr>
          <w:ilvl w:val="1"/>
          <w:numId w:val="21"/>
        </w:numPr>
        <w:suppressLineNumbers/>
        <w:suppressAutoHyphens/>
        <w:kinsoku w:val="0"/>
        <w:overflowPunct w:val="0"/>
        <w:autoSpaceDE w:val="0"/>
        <w:autoSpaceDN w:val="0"/>
        <w:adjustRightInd w:val="0"/>
        <w:ind w:left="0" w:firstLine="720"/>
        <w:rPr>
          <w:kern w:val="22"/>
          <w:szCs w:val="24"/>
          <w:lang w:val="fr-FR"/>
        </w:rPr>
      </w:pPr>
      <w:r w:rsidRPr="005406EE">
        <w:rPr>
          <w:kern w:val="22"/>
          <w:szCs w:val="24"/>
          <w:lang w:val="fr-FR"/>
        </w:rPr>
        <w:t xml:space="preserve">Facilitant l'utilisation d'outils de communication des données, tels que </w:t>
      </w:r>
      <w:r w:rsidRPr="005406EE">
        <w:rPr>
          <w:kern w:val="22"/>
          <w:szCs w:val="24"/>
          <w:lang w:val="fr-FR"/>
        </w:rPr>
        <w:t xml:space="preserve">le </w:t>
      </w:r>
      <w:proofErr w:type="spellStart"/>
      <w:r w:rsidR="00227C9D" w:rsidRPr="005406EE">
        <w:rPr>
          <w:kern w:val="22"/>
          <w:szCs w:val="24"/>
          <w:lang w:val="fr-FR"/>
        </w:rPr>
        <w:t>DaRT</w:t>
      </w:r>
      <w:proofErr w:type="spellEnd"/>
      <w:r w:rsidRPr="005406EE">
        <w:rPr>
          <w:kern w:val="22"/>
          <w:szCs w:val="24"/>
          <w:lang w:val="fr-FR"/>
        </w:rPr>
        <w:t xml:space="preserve"> </w:t>
      </w:r>
      <w:r w:rsidR="00227C9D" w:rsidRPr="005406EE">
        <w:rPr>
          <w:kern w:val="22"/>
          <w:szCs w:val="24"/>
          <w:lang w:val="fr-FR"/>
        </w:rPr>
        <w:t>;</w:t>
      </w:r>
    </w:p>
    <w:p w14:paraId="51E01FE2" w14:textId="629FA6BC" w:rsidR="00227C9D" w:rsidRPr="005406EE" w:rsidRDefault="00D620E8" w:rsidP="001E6BC2">
      <w:pPr>
        <w:pStyle w:val="Para1"/>
        <w:numPr>
          <w:ilvl w:val="1"/>
          <w:numId w:val="21"/>
        </w:numPr>
        <w:suppressLineNumbers/>
        <w:suppressAutoHyphens/>
        <w:kinsoku w:val="0"/>
        <w:overflowPunct w:val="0"/>
        <w:autoSpaceDE w:val="0"/>
        <w:autoSpaceDN w:val="0"/>
        <w:adjustRightInd w:val="0"/>
        <w:ind w:left="0" w:firstLine="720"/>
        <w:rPr>
          <w:kern w:val="22"/>
          <w:szCs w:val="24"/>
          <w:lang w:val="fr-FR"/>
        </w:rPr>
      </w:pPr>
      <w:r w:rsidRPr="005406EE">
        <w:rPr>
          <w:kern w:val="22"/>
          <w:szCs w:val="24"/>
          <w:lang w:val="fr-FR"/>
        </w:rPr>
        <w:t>Coordonnant l'élaboration [d'analyses de l'ambition collective et] [d'examens] [</w:t>
      </w:r>
      <w:r w:rsidRPr="005406EE">
        <w:rPr>
          <w:kern w:val="22"/>
          <w:szCs w:val="24"/>
          <w:lang w:val="fr-FR"/>
        </w:rPr>
        <w:t xml:space="preserve">de </w:t>
      </w:r>
      <w:r w:rsidRPr="005406EE">
        <w:rPr>
          <w:kern w:val="22"/>
          <w:szCs w:val="24"/>
          <w:lang w:val="fr-FR"/>
        </w:rPr>
        <w:t>bilans] mondiaux</w:t>
      </w:r>
      <w:r w:rsidRPr="005406EE">
        <w:rPr>
          <w:kern w:val="22"/>
          <w:szCs w:val="24"/>
          <w:lang w:val="fr-FR"/>
        </w:rPr>
        <w:t xml:space="preserve"> </w:t>
      </w:r>
      <w:r w:rsidR="00227C9D" w:rsidRPr="005406EE">
        <w:rPr>
          <w:kern w:val="22"/>
          <w:szCs w:val="24"/>
          <w:lang w:val="fr-FR"/>
        </w:rPr>
        <w:t>;</w:t>
      </w:r>
    </w:p>
    <w:p w14:paraId="1E33F6E6" w14:textId="0579748E" w:rsidR="00227C9D" w:rsidRPr="005406EE" w:rsidRDefault="00D620E8" w:rsidP="001E6BC2">
      <w:pPr>
        <w:pStyle w:val="Para1"/>
        <w:numPr>
          <w:ilvl w:val="1"/>
          <w:numId w:val="21"/>
        </w:numPr>
        <w:suppressLineNumbers/>
        <w:suppressAutoHyphens/>
        <w:kinsoku w:val="0"/>
        <w:overflowPunct w:val="0"/>
        <w:autoSpaceDE w:val="0"/>
        <w:autoSpaceDN w:val="0"/>
        <w:adjustRightInd w:val="0"/>
        <w:ind w:left="0" w:firstLine="720"/>
        <w:rPr>
          <w:kern w:val="22"/>
          <w:szCs w:val="24"/>
          <w:lang w:val="fr-FR"/>
        </w:rPr>
      </w:pPr>
      <w:r w:rsidRPr="005406EE">
        <w:rPr>
          <w:kern w:val="22"/>
          <w:szCs w:val="24"/>
          <w:lang w:val="fr-FR"/>
        </w:rPr>
        <w:t>Coordonnant les partenaires concernés et en collaborant avec eux pour assurer le [renforcement] [développement] des capacités nécessaires et d'autres formes de soutien en vue d'améliorer la planification, le suivi, l'examen et les rapports</w:t>
      </w:r>
      <w:r w:rsidRPr="005406EE">
        <w:rPr>
          <w:kern w:val="22"/>
          <w:szCs w:val="24"/>
          <w:lang w:val="fr-FR"/>
        </w:rPr>
        <w:t xml:space="preserve"> </w:t>
      </w:r>
      <w:r w:rsidR="009C13DC" w:rsidRPr="005406EE">
        <w:rPr>
          <w:kern w:val="22"/>
          <w:szCs w:val="24"/>
          <w:lang w:val="fr-FR"/>
        </w:rPr>
        <w:t>;</w:t>
      </w:r>
    </w:p>
    <w:p w14:paraId="64CEE6F9" w14:textId="0A30B7AB" w:rsidR="00D620E8" w:rsidRPr="005406EE" w:rsidRDefault="00D620E8" w:rsidP="00D620E8">
      <w:pPr>
        <w:pStyle w:val="Para1"/>
        <w:numPr>
          <w:ilvl w:val="0"/>
          <w:numId w:val="22"/>
        </w:numPr>
        <w:suppressLineNumbers/>
        <w:suppressAutoHyphens/>
        <w:kinsoku w:val="0"/>
        <w:overflowPunct w:val="0"/>
        <w:autoSpaceDE w:val="0"/>
        <w:autoSpaceDN w:val="0"/>
        <w:adjustRightInd w:val="0"/>
        <w:ind w:left="0" w:firstLine="720"/>
        <w:rPr>
          <w:kern w:val="22"/>
          <w:lang w:val="fr-FR"/>
        </w:rPr>
      </w:pPr>
      <w:r w:rsidRPr="005406EE">
        <w:rPr>
          <w:i/>
          <w:iCs/>
          <w:kern w:val="22"/>
          <w:lang w:val="fr-FR"/>
        </w:rPr>
        <w:t>Demande</w:t>
      </w:r>
      <w:r w:rsidRPr="005406EE">
        <w:rPr>
          <w:kern w:val="22"/>
          <w:lang w:val="fr-FR"/>
        </w:rPr>
        <w:t xml:space="preserve"> au Fonds pour l'environnement mondial et </w:t>
      </w:r>
      <w:r w:rsidR="00E12519" w:rsidRPr="00E12519">
        <w:rPr>
          <w:i/>
          <w:iCs/>
          <w:kern w:val="22"/>
          <w:lang w:val="fr-FR"/>
        </w:rPr>
        <w:t>prie</w:t>
      </w:r>
      <w:r w:rsidRPr="005406EE">
        <w:rPr>
          <w:kern w:val="22"/>
          <w:lang w:val="fr-FR"/>
        </w:rPr>
        <w:t xml:space="preserve"> les autres entités de financement </w:t>
      </w:r>
      <w:r w:rsidR="00E12519">
        <w:rPr>
          <w:kern w:val="22"/>
          <w:lang w:val="fr-FR"/>
        </w:rPr>
        <w:t>de</w:t>
      </w:r>
      <w:r w:rsidRPr="005406EE">
        <w:rPr>
          <w:kern w:val="22"/>
          <w:lang w:val="fr-FR"/>
        </w:rPr>
        <w:t xml:space="preserve"> mettre des fonds à la disposition des pays en développement, en particulier des pays les moins avancés et des petits États insulaires en développement ainsi que des Parties dont l'économie est en transition, en temps opportun et avec diligence, afin de soutenir la mise à jour ou la révision des stratégies et plans d'action nationaux pour la biodiversité conformément aux lignes directrices de l'annexe A</w:t>
      </w:r>
      <w:r w:rsidRPr="005406EE">
        <w:rPr>
          <w:vertAlign w:val="superscript"/>
          <w:lang w:val="fr-FR"/>
        </w:rPr>
        <w:fldChar w:fldCharType="begin"/>
      </w:r>
      <w:r w:rsidRPr="005406EE">
        <w:rPr>
          <w:vertAlign w:val="superscript"/>
          <w:lang w:val="fr-FR"/>
        </w:rPr>
        <w:instrText xml:space="preserve"> NOTEREF _Ref73031286 \h  \* MERGEFORMAT </w:instrText>
      </w:r>
      <w:r w:rsidRPr="005406EE">
        <w:rPr>
          <w:vertAlign w:val="superscript"/>
          <w:lang w:val="fr-FR"/>
        </w:rPr>
      </w:r>
      <w:r w:rsidRPr="005406EE">
        <w:rPr>
          <w:vertAlign w:val="superscript"/>
          <w:lang w:val="fr-FR"/>
        </w:rPr>
        <w:fldChar w:fldCharType="separate"/>
      </w:r>
      <w:r w:rsidRPr="005406EE">
        <w:rPr>
          <w:vertAlign w:val="superscript"/>
          <w:lang w:val="fr-FR"/>
        </w:rPr>
        <w:t>2</w:t>
      </w:r>
      <w:r w:rsidRPr="005406EE">
        <w:rPr>
          <w:vertAlign w:val="superscript"/>
          <w:lang w:val="fr-FR"/>
        </w:rPr>
        <w:fldChar w:fldCharType="end"/>
      </w:r>
      <w:r w:rsidRPr="005406EE">
        <w:rPr>
          <w:kern w:val="22"/>
          <w:lang w:val="fr-FR"/>
        </w:rPr>
        <w:t xml:space="preserve"> et de soutenir la préparation des rapports nationaux conformément aux lignes directrices de l'annexe C</w:t>
      </w:r>
      <w:r w:rsidRPr="005406EE">
        <w:rPr>
          <w:iCs/>
          <w:vertAlign w:val="superscript"/>
          <w:lang w:val="fr-FR"/>
        </w:rPr>
        <w:fldChar w:fldCharType="begin"/>
      </w:r>
      <w:r w:rsidRPr="005406EE">
        <w:rPr>
          <w:vertAlign w:val="superscript"/>
          <w:lang w:val="fr-FR"/>
        </w:rPr>
        <w:instrText xml:space="preserve"> NOTEREF _Ref73031548 \h </w:instrText>
      </w:r>
      <w:r w:rsidRPr="005406EE">
        <w:rPr>
          <w:iCs/>
          <w:vertAlign w:val="superscript"/>
          <w:lang w:val="fr-FR"/>
        </w:rPr>
        <w:instrText xml:space="preserve"> \* MERGEFORMAT </w:instrText>
      </w:r>
      <w:r w:rsidRPr="005406EE">
        <w:rPr>
          <w:iCs/>
          <w:vertAlign w:val="superscript"/>
          <w:lang w:val="fr-FR"/>
        </w:rPr>
      </w:r>
      <w:r w:rsidRPr="005406EE">
        <w:rPr>
          <w:iCs/>
          <w:vertAlign w:val="superscript"/>
          <w:lang w:val="fr-FR"/>
        </w:rPr>
        <w:fldChar w:fldCharType="separate"/>
      </w:r>
      <w:r w:rsidRPr="005406EE">
        <w:rPr>
          <w:vertAlign w:val="superscript"/>
          <w:lang w:val="fr-FR"/>
        </w:rPr>
        <w:t>4</w:t>
      </w:r>
      <w:r w:rsidRPr="005406EE">
        <w:rPr>
          <w:iCs/>
          <w:vertAlign w:val="superscript"/>
          <w:lang w:val="fr-FR"/>
        </w:rPr>
        <w:fldChar w:fldCharType="end"/>
      </w:r>
      <w:r w:rsidRPr="005406EE">
        <w:rPr>
          <w:kern w:val="22"/>
          <w:lang w:val="fr-FR"/>
        </w:rPr>
        <w:t>,  y compris pour le développement de systèmes nationaux de suivi et de gestion de l'information qui faciliteraient le suivi des indicateurs principaux et, le cas échéant, des indicateurs constitutifs et complémentaires, afin que les Parties puissent entamer ces processus dès que possible après l'adoption du Cadre mondial de la biodiversité pour l'après-2020</w:t>
      </w:r>
      <w:r w:rsidR="001F4DB2" w:rsidRPr="005406EE">
        <w:rPr>
          <w:kern w:val="22"/>
          <w:lang w:val="fr-FR"/>
        </w:rPr>
        <w:t>.</w:t>
      </w:r>
    </w:p>
    <w:p w14:paraId="18DD2B01" w14:textId="77777777" w:rsidR="00227C9D" w:rsidRPr="005406EE" w:rsidRDefault="00227C9D" w:rsidP="00227C9D">
      <w:pPr>
        <w:jc w:val="center"/>
        <w:rPr>
          <w:rFonts w:asciiTheme="majorBidi" w:hAnsiTheme="majorBidi" w:cstheme="majorBidi"/>
          <w:lang w:val="fr-FR"/>
        </w:rPr>
      </w:pPr>
      <w:r w:rsidRPr="005406EE">
        <w:rPr>
          <w:rFonts w:asciiTheme="majorBidi" w:hAnsiTheme="majorBidi" w:cstheme="majorBidi"/>
          <w:lang w:val="fr-FR"/>
        </w:rPr>
        <w:t>__________</w:t>
      </w:r>
    </w:p>
    <w:p w14:paraId="3093D971" w14:textId="77777777" w:rsidR="00B3369F" w:rsidRPr="005406EE" w:rsidRDefault="00B3369F" w:rsidP="00C9161D">
      <w:pPr>
        <w:rPr>
          <w:lang w:val="fr-FR"/>
        </w:rPr>
      </w:pPr>
    </w:p>
    <w:sectPr w:rsidR="00B3369F" w:rsidRPr="005406EE"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8A0D" w14:textId="77777777" w:rsidR="006621E6" w:rsidRDefault="006621E6" w:rsidP="00CF1848">
      <w:r>
        <w:separator/>
      </w:r>
    </w:p>
  </w:endnote>
  <w:endnote w:type="continuationSeparator" w:id="0">
    <w:p w14:paraId="76C844B4" w14:textId="77777777" w:rsidR="006621E6" w:rsidRDefault="006621E6" w:rsidP="00CF1848">
      <w:r>
        <w:continuationSeparator/>
      </w:r>
    </w:p>
  </w:endnote>
  <w:endnote w:type="continuationNotice" w:id="1">
    <w:p w14:paraId="3F10DFEA" w14:textId="77777777" w:rsidR="006621E6" w:rsidRDefault="0066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D828" w14:textId="77777777" w:rsidR="006621E6" w:rsidRDefault="006621E6" w:rsidP="00CF1848">
      <w:r>
        <w:separator/>
      </w:r>
    </w:p>
  </w:footnote>
  <w:footnote w:type="continuationSeparator" w:id="0">
    <w:p w14:paraId="2E3EB04A" w14:textId="77777777" w:rsidR="006621E6" w:rsidRDefault="006621E6" w:rsidP="00CF1848">
      <w:r>
        <w:continuationSeparator/>
      </w:r>
    </w:p>
  </w:footnote>
  <w:footnote w:type="continuationNotice" w:id="1">
    <w:p w14:paraId="67CB2911" w14:textId="77777777" w:rsidR="006621E6" w:rsidRDefault="006621E6"/>
  </w:footnote>
  <w:footnote w:id="2">
    <w:p w14:paraId="00428CFD" w14:textId="5ED90B6C" w:rsidR="005406EE" w:rsidRPr="001E6BC2" w:rsidRDefault="005406EE" w:rsidP="005406EE">
      <w:pPr>
        <w:pStyle w:val="Notedebasdepage"/>
        <w:ind w:firstLine="0"/>
        <w:jc w:val="left"/>
        <w:rPr>
          <w:kern w:val="18"/>
          <w:szCs w:val="18"/>
        </w:rPr>
      </w:pPr>
      <w:r w:rsidRPr="001E6BC2">
        <w:rPr>
          <w:rStyle w:val="Appelnotedebasdep"/>
          <w:kern w:val="18"/>
          <w:sz w:val="18"/>
          <w:szCs w:val="18"/>
        </w:rPr>
        <w:footnoteRef/>
      </w:r>
      <w:r w:rsidRPr="001E6BC2">
        <w:rPr>
          <w:kern w:val="18"/>
          <w:szCs w:val="18"/>
        </w:rPr>
        <w:t xml:space="preserve"> </w:t>
      </w:r>
      <w:r>
        <w:rPr>
          <w:kern w:val="18"/>
          <w:szCs w:val="18"/>
        </w:rPr>
        <w:t>D</w:t>
      </w:r>
      <w:r w:rsidRPr="001E6BC2">
        <w:rPr>
          <w:kern w:val="18"/>
          <w:szCs w:val="18"/>
        </w:rPr>
        <w:t xml:space="preserve">ecision </w:t>
      </w:r>
      <w:hyperlink r:id="rId1" w:history="1">
        <w:r w:rsidRPr="001E6BC2">
          <w:rPr>
            <w:rStyle w:val="Lienhypertexte"/>
            <w:kern w:val="18"/>
            <w:szCs w:val="18"/>
          </w:rPr>
          <w:t>X/2</w:t>
        </w:r>
      </w:hyperlink>
      <w:r w:rsidRPr="001E6BC2">
        <w:rPr>
          <w:kern w:val="18"/>
          <w:szCs w:val="18"/>
        </w:rPr>
        <w:t>, annex</w:t>
      </w:r>
      <w:r w:rsidR="00E12519">
        <w:rPr>
          <w:kern w:val="18"/>
          <w:szCs w:val="18"/>
        </w:rPr>
        <w:t>e</w:t>
      </w:r>
      <w:r w:rsidRPr="001E6BC2">
        <w:rPr>
          <w:kern w:val="18"/>
          <w:szCs w:val="18"/>
        </w:rPr>
        <w:t>.</w:t>
      </w:r>
    </w:p>
  </w:footnote>
  <w:footnote w:id="3">
    <w:p w14:paraId="0070D315" w14:textId="6A693006" w:rsidR="005406EE" w:rsidRPr="001E6BC2" w:rsidRDefault="005406EE" w:rsidP="005406EE">
      <w:pPr>
        <w:pStyle w:val="Notedebasdepage"/>
        <w:ind w:firstLine="0"/>
        <w:jc w:val="left"/>
        <w:rPr>
          <w:rFonts w:asciiTheme="majorBidi" w:hAnsiTheme="majorBidi" w:cstheme="majorBidi"/>
          <w:kern w:val="18"/>
          <w:szCs w:val="18"/>
        </w:rPr>
      </w:pPr>
      <w:r w:rsidRPr="001E6BC2">
        <w:rPr>
          <w:rStyle w:val="Appelnotedebasdep"/>
          <w:rFonts w:asciiTheme="majorBidi" w:hAnsiTheme="majorBidi" w:cstheme="majorBidi"/>
          <w:kern w:val="18"/>
          <w:sz w:val="18"/>
          <w:szCs w:val="18"/>
        </w:rPr>
        <w:footnoteRef/>
      </w:r>
      <w:r w:rsidRPr="001E6BC2">
        <w:rPr>
          <w:rFonts w:asciiTheme="majorBidi" w:hAnsiTheme="majorBidi" w:cstheme="majorBidi"/>
          <w:kern w:val="18"/>
          <w:szCs w:val="18"/>
        </w:rPr>
        <w:t xml:space="preserve"> </w:t>
      </w:r>
      <w:r w:rsidRPr="005406EE">
        <w:rPr>
          <w:rFonts w:asciiTheme="majorBidi" w:hAnsiTheme="majorBidi" w:cstheme="majorBidi"/>
          <w:kern w:val="18"/>
          <w:szCs w:val="18"/>
        </w:rPr>
        <w:t xml:space="preserve">Annexe A : Orientations sur les SPANB. </w:t>
      </w:r>
      <w:proofErr w:type="spellStart"/>
      <w:r w:rsidRPr="005406EE">
        <w:rPr>
          <w:rFonts w:asciiTheme="majorBidi" w:hAnsiTheme="majorBidi" w:cstheme="majorBidi"/>
          <w:kern w:val="18"/>
          <w:szCs w:val="18"/>
        </w:rPr>
        <w:t>L'annexe</w:t>
      </w:r>
      <w:proofErr w:type="spellEnd"/>
      <w:r w:rsidRPr="005406EE">
        <w:rPr>
          <w:rFonts w:asciiTheme="majorBidi" w:hAnsiTheme="majorBidi" w:cstheme="majorBidi"/>
          <w:kern w:val="18"/>
          <w:szCs w:val="18"/>
        </w:rPr>
        <w:t xml:space="preserve"> sera </w:t>
      </w:r>
      <w:proofErr w:type="spellStart"/>
      <w:r w:rsidRPr="005406EE">
        <w:rPr>
          <w:rFonts w:asciiTheme="majorBidi" w:hAnsiTheme="majorBidi" w:cstheme="majorBidi"/>
          <w:kern w:val="18"/>
          <w:szCs w:val="18"/>
        </w:rPr>
        <w:t>élaborée</w:t>
      </w:r>
      <w:proofErr w:type="spellEnd"/>
      <w:r w:rsidRPr="005406EE">
        <w:rPr>
          <w:rFonts w:asciiTheme="majorBidi" w:hAnsiTheme="majorBidi" w:cstheme="majorBidi"/>
          <w:kern w:val="18"/>
          <w:szCs w:val="18"/>
        </w:rPr>
        <w:t xml:space="preserve"> à la lumière des discussions </w:t>
      </w:r>
      <w:proofErr w:type="spellStart"/>
      <w:r w:rsidRPr="005406EE">
        <w:rPr>
          <w:rFonts w:asciiTheme="majorBidi" w:hAnsiTheme="majorBidi" w:cstheme="majorBidi"/>
          <w:kern w:val="18"/>
          <w:szCs w:val="18"/>
        </w:rPr>
        <w:t>ultérieures</w:t>
      </w:r>
      <w:proofErr w:type="spellEnd"/>
      <w:r w:rsidRPr="005406EE">
        <w:rPr>
          <w:rFonts w:asciiTheme="majorBidi" w:hAnsiTheme="majorBidi" w:cstheme="majorBidi"/>
          <w:kern w:val="18"/>
          <w:szCs w:val="18"/>
        </w:rPr>
        <w:t xml:space="preserve">, y </w:t>
      </w:r>
      <w:proofErr w:type="spellStart"/>
      <w:r w:rsidRPr="005406EE">
        <w:rPr>
          <w:rFonts w:asciiTheme="majorBidi" w:hAnsiTheme="majorBidi" w:cstheme="majorBidi"/>
          <w:kern w:val="18"/>
          <w:szCs w:val="18"/>
        </w:rPr>
        <w:t>compris</w:t>
      </w:r>
      <w:proofErr w:type="spellEnd"/>
      <w:r w:rsidRPr="005406EE">
        <w:rPr>
          <w:rFonts w:asciiTheme="majorBidi" w:hAnsiTheme="majorBidi" w:cstheme="majorBidi"/>
          <w:kern w:val="18"/>
          <w:szCs w:val="18"/>
        </w:rPr>
        <w:t xml:space="preserve"> les </w:t>
      </w:r>
      <w:proofErr w:type="spellStart"/>
      <w:r w:rsidRPr="005406EE">
        <w:rPr>
          <w:rFonts w:asciiTheme="majorBidi" w:hAnsiTheme="majorBidi" w:cstheme="majorBidi"/>
          <w:kern w:val="18"/>
          <w:szCs w:val="18"/>
        </w:rPr>
        <w:t>négociations</w:t>
      </w:r>
      <w:proofErr w:type="spellEnd"/>
      <w:r w:rsidRPr="005406EE">
        <w:rPr>
          <w:rFonts w:asciiTheme="majorBidi" w:hAnsiTheme="majorBidi" w:cstheme="majorBidi"/>
          <w:kern w:val="18"/>
          <w:szCs w:val="18"/>
        </w:rPr>
        <w:t xml:space="preserve"> de la </w:t>
      </w:r>
      <w:proofErr w:type="spellStart"/>
      <w:r w:rsidRPr="005406EE">
        <w:rPr>
          <w:rFonts w:asciiTheme="majorBidi" w:hAnsiTheme="majorBidi" w:cstheme="majorBidi"/>
          <w:kern w:val="18"/>
          <w:szCs w:val="18"/>
        </w:rPr>
        <w:t>troisième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réunion</w:t>
      </w:r>
      <w:proofErr w:type="spellEnd"/>
      <w:r w:rsidRPr="005406EE">
        <w:rPr>
          <w:rFonts w:asciiTheme="majorBidi" w:hAnsiTheme="majorBidi" w:cstheme="majorBidi"/>
          <w:kern w:val="18"/>
          <w:szCs w:val="18"/>
        </w:rPr>
        <w:t xml:space="preserve"> du Groupe de travail sur le Cadre </w:t>
      </w:r>
      <w:proofErr w:type="spellStart"/>
      <w:r w:rsidRPr="005406EE">
        <w:rPr>
          <w:rFonts w:asciiTheme="majorBidi" w:hAnsiTheme="majorBidi" w:cstheme="majorBidi"/>
          <w:kern w:val="18"/>
          <w:szCs w:val="18"/>
        </w:rPr>
        <w:t>mondial</w:t>
      </w:r>
      <w:proofErr w:type="spellEnd"/>
      <w:r w:rsidRPr="005406EE">
        <w:rPr>
          <w:rFonts w:asciiTheme="majorBidi" w:hAnsiTheme="majorBidi" w:cstheme="majorBidi"/>
          <w:kern w:val="18"/>
          <w:szCs w:val="18"/>
        </w:rPr>
        <w:t xml:space="preserve"> de la </w:t>
      </w:r>
      <w:proofErr w:type="spellStart"/>
      <w:r w:rsidRPr="005406EE">
        <w:rPr>
          <w:rFonts w:asciiTheme="majorBidi" w:hAnsiTheme="majorBidi" w:cstheme="majorBidi"/>
          <w:kern w:val="18"/>
          <w:szCs w:val="18"/>
        </w:rPr>
        <w:t>biodiversité</w:t>
      </w:r>
      <w:proofErr w:type="spellEnd"/>
      <w:r w:rsidRPr="005406EE">
        <w:rPr>
          <w:rFonts w:asciiTheme="majorBidi" w:hAnsiTheme="majorBidi" w:cstheme="majorBidi"/>
          <w:kern w:val="18"/>
          <w:szCs w:val="18"/>
        </w:rPr>
        <w:t xml:space="preserve"> pour l'après-2020, et </w:t>
      </w:r>
      <w:proofErr w:type="spellStart"/>
      <w:r w:rsidRPr="005406EE">
        <w:rPr>
          <w:rFonts w:asciiTheme="majorBidi" w:hAnsiTheme="majorBidi" w:cstheme="majorBidi"/>
          <w:kern w:val="18"/>
          <w:szCs w:val="18"/>
        </w:rPr>
        <w:t>finalisée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par</w:t>
      </w:r>
      <w:proofErr w:type="spellEnd"/>
      <w:r w:rsidRPr="005406EE">
        <w:rPr>
          <w:rFonts w:asciiTheme="majorBidi" w:hAnsiTheme="majorBidi" w:cstheme="majorBidi"/>
          <w:kern w:val="18"/>
          <w:szCs w:val="18"/>
        </w:rPr>
        <w:t xml:space="preserve"> la </w:t>
      </w:r>
      <w:proofErr w:type="spellStart"/>
      <w:r w:rsidRPr="005406EE">
        <w:rPr>
          <w:rFonts w:asciiTheme="majorBidi" w:hAnsiTheme="majorBidi" w:cstheme="majorBidi"/>
          <w:kern w:val="18"/>
          <w:szCs w:val="18"/>
        </w:rPr>
        <w:t>Conférence</w:t>
      </w:r>
      <w:proofErr w:type="spellEnd"/>
      <w:r w:rsidRPr="005406EE">
        <w:rPr>
          <w:rFonts w:asciiTheme="majorBidi" w:hAnsiTheme="majorBidi" w:cstheme="majorBidi"/>
          <w:kern w:val="18"/>
          <w:szCs w:val="18"/>
        </w:rPr>
        <w:t xml:space="preserve"> des Parties </w:t>
      </w:r>
      <w:proofErr w:type="spellStart"/>
      <w:r w:rsidRPr="005406EE">
        <w:rPr>
          <w:rFonts w:asciiTheme="majorBidi" w:hAnsiTheme="majorBidi" w:cstheme="majorBidi"/>
          <w:kern w:val="18"/>
          <w:szCs w:val="18"/>
        </w:rPr>
        <w:t>lors</w:t>
      </w:r>
      <w:proofErr w:type="spellEnd"/>
      <w:r w:rsidRPr="005406EE">
        <w:rPr>
          <w:rFonts w:asciiTheme="majorBidi" w:hAnsiTheme="majorBidi" w:cstheme="majorBidi"/>
          <w:kern w:val="18"/>
          <w:szCs w:val="18"/>
        </w:rPr>
        <w:t xml:space="preserve"> de </w:t>
      </w:r>
      <w:proofErr w:type="spellStart"/>
      <w:r w:rsidRPr="005406EE">
        <w:rPr>
          <w:rFonts w:asciiTheme="majorBidi" w:hAnsiTheme="majorBidi" w:cstheme="majorBidi"/>
          <w:kern w:val="18"/>
          <w:szCs w:val="18"/>
        </w:rPr>
        <w:t>sa</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quinzième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réunion</w:t>
      </w:r>
      <w:proofErr w:type="spellEnd"/>
      <w:r w:rsidRPr="00CF4D29">
        <w:rPr>
          <w:rFonts w:asciiTheme="majorBidi" w:hAnsiTheme="majorBidi" w:cstheme="majorBidi"/>
          <w:kern w:val="18"/>
          <w:szCs w:val="18"/>
        </w:rPr>
        <w:t>.</w:t>
      </w:r>
    </w:p>
  </w:footnote>
  <w:footnote w:id="4">
    <w:p w14:paraId="3B6DB687" w14:textId="2B62056C" w:rsidR="008C79F1" w:rsidRPr="001E6BC2" w:rsidRDefault="008C79F1" w:rsidP="001E6BC2">
      <w:pPr>
        <w:pStyle w:val="Notedebasdepage"/>
        <w:ind w:firstLine="0"/>
        <w:jc w:val="left"/>
        <w:rPr>
          <w:rFonts w:asciiTheme="majorBidi" w:hAnsiTheme="majorBidi" w:cstheme="majorBidi"/>
          <w:kern w:val="18"/>
          <w:szCs w:val="18"/>
        </w:rPr>
      </w:pPr>
      <w:r w:rsidRPr="001E6BC2">
        <w:rPr>
          <w:rStyle w:val="Appelnotedebasdep"/>
          <w:rFonts w:asciiTheme="majorBidi" w:hAnsiTheme="majorBidi" w:cstheme="majorBidi"/>
          <w:kern w:val="18"/>
          <w:sz w:val="18"/>
          <w:szCs w:val="18"/>
        </w:rPr>
        <w:footnoteRef/>
      </w:r>
      <w:r w:rsidRPr="001E6BC2">
        <w:rPr>
          <w:rFonts w:asciiTheme="majorBidi" w:hAnsiTheme="majorBidi" w:cstheme="majorBidi"/>
          <w:kern w:val="18"/>
          <w:szCs w:val="18"/>
        </w:rPr>
        <w:t xml:space="preserve"> </w:t>
      </w:r>
      <w:r w:rsidR="005406EE" w:rsidRPr="005406EE">
        <w:rPr>
          <w:rFonts w:asciiTheme="majorBidi" w:hAnsiTheme="majorBidi" w:cstheme="majorBidi"/>
          <w:kern w:val="18"/>
          <w:szCs w:val="18"/>
        </w:rPr>
        <w:t xml:space="preserve">Annexe B : </w:t>
      </w:r>
      <w:proofErr w:type="gramStart"/>
      <w:r w:rsidR="005406EE" w:rsidRPr="005406EE">
        <w:rPr>
          <w:rFonts w:asciiTheme="majorBidi" w:hAnsiTheme="majorBidi" w:cstheme="majorBidi"/>
          <w:kern w:val="18"/>
          <w:szCs w:val="18"/>
        </w:rPr>
        <w:t>Orientations</w:t>
      </w:r>
      <w:proofErr w:type="gramEnd"/>
      <w:r w:rsidR="005406EE" w:rsidRPr="005406EE">
        <w:rPr>
          <w:rFonts w:asciiTheme="majorBidi" w:hAnsiTheme="majorBidi" w:cstheme="majorBidi"/>
          <w:kern w:val="18"/>
          <w:szCs w:val="18"/>
        </w:rPr>
        <w:t xml:space="preserve"> relatives à la participation des </w:t>
      </w:r>
      <w:proofErr w:type="spellStart"/>
      <w:r w:rsidR="005406EE" w:rsidRPr="005406EE">
        <w:rPr>
          <w:rFonts w:asciiTheme="majorBidi" w:hAnsiTheme="majorBidi" w:cstheme="majorBidi"/>
          <w:kern w:val="18"/>
          <w:szCs w:val="18"/>
        </w:rPr>
        <w:t>acteurs</w:t>
      </w:r>
      <w:proofErr w:type="spellEnd"/>
      <w:r w:rsidR="005406EE" w:rsidRPr="005406EE">
        <w:rPr>
          <w:rFonts w:asciiTheme="majorBidi" w:hAnsiTheme="majorBidi" w:cstheme="majorBidi"/>
          <w:kern w:val="18"/>
          <w:szCs w:val="18"/>
        </w:rPr>
        <w:t xml:space="preserve"> non </w:t>
      </w:r>
      <w:proofErr w:type="spellStart"/>
      <w:r w:rsidR="005406EE" w:rsidRPr="005406EE">
        <w:rPr>
          <w:rFonts w:asciiTheme="majorBidi" w:hAnsiTheme="majorBidi" w:cstheme="majorBidi"/>
          <w:kern w:val="18"/>
          <w:szCs w:val="18"/>
        </w:rPr>
        <w:t>étatiques</w:t>
      </w:r>
      <w:proofErr w:type="spellEnd"/>
      <w:r w:rsidR="005406EE" w:rsidRPr="005406EE">
        <w:rPr>
          <w:rFonts w:asciiTheme="majorBidi" w:hAnsiTheme="majorBidi" w:cstheme="majorBidi"/>
          <w:kern w:val="18"/>
          <w:szCs w:val="18"/>
        </w:rPr>
        <w:t xml:space="preserve">.  </w:t>
      </w:r>
      <w:proofErr w:type="spellStart"/>
      <w:r w:rsidR="005406EE" w:rsidRPr="005406EE">
        <w:rPr>
          <w:rFonts w:asciiTheme="majorBidi" w:hAnsiTheme="majorBidi" w:cstheme="majorBidi"/>
          <w:kern w:val="18"/>
          <w:szCs w:val="18"/>
        </w:rPr>
        <w:t>L'annexe</w:t>
      </w:r>
      <w:proofErr w:type="spellEnd"/>
      <w:r w:rsidR="005406EE" w:rsidRPr="005406EE">
        <w:rPr>
          <w:rFonts w:asciiTheme="majorBidi" w:hAnsiTheme="majorBidi" w:cstheme="majorBidi"/>
          <w:kern w:val="18"/>
          <w:szCs w:val="18"/>
        </w:rPr>
        <w:t xml:space="preserve"> sera </w:t>
      </w:r>
      <w:proofErr w:type="spellStart"/>
      <w:r w:rsidR="005406EE" w:rsidRPr="005406EE">
        <w:rPr>
          <w:rFonts w:asciiTheme="majorBidi" w:hAnsiTheme="majorBidi" w:cstheme="majorBidi"/>
          <w:kern w:val="18"/>
          <w:szCs w:val="18"/>
        </w:rPr>
        <w:t>élaborée</w:t>
      </w:r>
      <w:proofErr w:type="spellEnd"/>
      <w:r w:rsidR="005406EE" w:rsidRPr="005406EE">
        <w:rPr>
          <w:rFonts w:asciiTheme="majorBidi" w:hAnsiTheme="majorBidi" w:cstheme="majorBidi"/>
          <w:kern w:val="18"/>
          <w:szCs w:val="18"/>
        </w:rPr>
        <w:t xml:space="preserve"> à la lumière des discussions </w:t>
      </w:r>
      <w:proofErr w:type="spellStart"/>
      <w:r w:rsidR="005406EE" w:rsidRPr="005406EE">
        <w:rPr>
          <w:rFonts w:asciiTheme="majorBidi" w:hAnsiTheme="majorBidi" w:cstheme="majorBidi"/>
          <w:kern w:val="18"/>
          <w:szCs w:val="18"/>
        </w:rPr>
        <w:t>ultérieures</w:t>
      </w:r>
      <w:proofErr w:type="spellEnd"/>
      <w:r w:rsidR="005406EE" w:rsidRPr="005406EE">
        <w:rPr>
          <w:rFonts w:asciiTheme="majorBidi" w:hAnsiTheme="majorBidi" w:cstheme="majorBidi"/>
          <w:kern w:val="18"/>
          <w:szCs w:val="18"/>
        </w:rPr>
        <w:t xml:space="preserve">, y </w:t>
      </w:r>
      <w:proofErr w:type="spellStart"/>
      <w:r w:rsidR="005406EE" w:rsidRPr="005406EE">
        <w:rPr>
          <w:rFonts w:asciiTheme="majorBidi" w:hAnsiTheme="majorBidi" w:cstheme="majorBidi"/>
          <w:kern w:val="18"/>
          <w:szCs w:val="18"/>
        </w:rPr>
        <w:t>compris</w:t>
      </w:r>
      <w:proofErr w:type="spellEnd"/>
      <w:r w:rsidR="005406EE" w:rsidRPr="005406EE">
        <w:rPr>
          <w:rFonts w:asciiTheme="majorBidi" w:hAnsiTheme="majorBidi" w:cstheme="majorBidi"/>
          <w:kern w:val="18"/>
          <w:szCs w:val="18"/>
        </w:rPr>
        <w:t xml:space="preserve"> les </w:t>
      </w:r>
      <w:proofErr w:type="spellStart"/>
      <w:r w:rsidR="005406EE" w:rsidRPr="005406EE">
        <w:rPr>
          <w:rFonts w:asciiTheme="majorBidi" w:hAnsiTheme="majorBidi" w:cstheme="majorBidi"/>
          <w:kern w:val="18"/>
          <w:szCs w:val="18"/>
        </w:rPr>
        <w:t>négociations</w:t>
      </w:r>
      <w:proofErr w:type="spellEnd"/>
      <w:r w:rsidR="005406EE" w:rsidRPr="005406EE">
        <w:rPr>
          <w:rFonts w:asciiTheme="majorBidi" w:hAnsiTheme="majorBidi" w:cstheme="majorBidi"/>
          <w:kern w:val="18"/>
          <w:szCs w:val="18"/>
        </w:rPr>
        <w:t xml:space="preserve"> de la </w:t>
      </w:r>
      <w:proofErr w:type="spellStart"/>
      <w:r w:rsidR="005406EE" w:rsidRPr="005406EE">
        <w:rPr>
          <w:rFonts w:asciiTheme="majorBidi" w:hAnsiTheme="majorBidi" w:cstheme="majorBidi"/>
          <w:kern w:val="18"/>
          <w:szCs w:val="18"/>
        </w:rPr>
        <w:t>troisième</w:t>
      </w:r>
      <w:proofErr w:type="spellEnd"/>
      <w:r w:rsidR="005406EE" w:rsidRPr="005406EE">
        <w:rPr>
          <w:rFonts w:asciiTheme="majorBidi" w:hAnsiTheme="majorBidi" w:cstheme="majorBidi"/>
          <w:kern w:val="18"/>
          <w:szCs w:val="18"/>
        </w:rPr>
        <w:t xml:space="preserve"> </w:t>
      </w:r>
      <w:proofErr w:type="spellStart"/>
      <w:r w:rsidR="005406EE" w:rsidRPr="005406EE">
        <w:rPr>
          <w:rFonts w:asciiTheme="majorBidi" w:hAnsiTheme="majorBidi" w:cstheme="majorBidi"/>
          <w:kern w:val="18"/>
          <w:szCs w:val="18"/>
        </w:rPr>
        <w:t>réunion</w:t>
      </w:r>
      <w:proofErr w:type="spellEnd"/>
      <w:r w:rsidR="005406EE" w:rsidRPr="005406EE">
        <w:rPr>
          <w:rFonts w:asciiTheme="majorBidi" w:hAnsiTheme="majorBidi" w:cstheme="majorBidi"/>
          <w:kern w:val="18"/>
          <w:szCs w:val="18"/>
        </w:rPr>
        <w:t xml:space="preserve"> du Groupe de travail sur le Cadre </w:t>
      </w:r>
      <w:proofErr w:type="spellStart"/>
      <w:r w:rsidR="005406EE" w:rsidRPr="005406EE">
        <w:rPr>
          <w:rFonts w:asciiTheme="majorBidi" w:hAnsiTheme="majorBidi" w:cstheme="majorBidi"/>
          <w:kern w:val="18"/>
          <w:szCs w:val="18"/>
        </w:rPr>
        <w:t>mondial</w:t>
      </w:r>
      <w:proofErr w:type="spellEnd"/>
      <w:r w:rsidR="005406EE" w:rsidRPr="005406EE">
        <w:rPr>
          <w:rFonts w:asciiTheme="majorBidi" w:hAnsiTheme="majorBidi" w:cstheme="majorBidi"/>
          <w:kern w:val="18"/>
          <w:szCs w:val="18"/>
        </w:rPr>
        <w:t xml:space="preserve"> de la </w:t>
      </w:r>
      <w:proofErr w:type="spellStart"/>
      <w:r w:rsidR="005406EE" w:rsidRPr="005406EE">
        <w:rPr>
          <w:rFonts w:asciiTheme="majorBidi" w:hAnsiTheme="majorBidi" w:cstheme="majorBidi"/>
          <w:kern w:val="18"/>
          <w:szCs w:val="18"/>
        </w:rPr>
        <w:t>biodiversité</w:t>
      </w:r>
      <w:proofErr w:type="spellEnd"/>
      <w:r w:rsidR="005406EE" w:rsidRPr="005406EE">
        <w:rPr>
          <w:rFonts w:asciiTheme="majorBidi" w:hAnsiTheme="majorBidi" w:cstheme="majorBidi"/>
          <w:kern w:val="18"/>
          <w:szCs w:val="18"/>
        </w:rPr>
        <w:t xml:space="preserve"> pour l'après-2020, et </w:t>
      </w:r>
      <w:proofErr w:type="spellStart"/>
      <w:r w:rsidR="005406EE" w:rsidRPr="005406EE">
        <w:rPr>
          <w:rFonts w:asciiTheme="majorBidi" w:hAnsiTheme="majorBidi" w:cstheme="majorBidi"/>
          <w:kern w:val="18"/>
          <w:szCs w:val="18"/>
        </w:rPr>
        <w:t>finalisée</w:t>
      </w:r>
      <w:proofErr w:type="spellEnd"/>
      <w:r w:rsidR="005406EE" w:rsidRPr="005406EE">
        <w:rPr>
          <w:rFonts w:asciiTheme="majorBidi" w:hAnsiTheme="majorBidi" w:cstheme="majorBidi"/>
          <w:kern w:val="18"/>
          <w:szCs w:val="18"/>
        </w:rPr>
        <w:t xml:space="preserve"> </w:t>
      </w:r>
      <w:proofErr w:type="spellStart"/>
      <w:r w:rsidR="005406EE" w:rsidRPr="005406EE">
        <w:rPr>
          <w:rFonts w:asciiTheme="majorBidi" w:hAnsiTheme="majorBidi" w:cstheme="majorBidi"/>
          <w:kern w:val="18"/>
          <w:szCs w:val="18"/>
        </w:rPr>
        <w:t>par</w:t>
      </w:r>
      <w:proofErr w:type="spellEnd"/>
      <w:r w:rsidR="005406EE" w:rsidRPr="005406EE">
        <w:rPr>
          <w:rFonts w:asciiTheme="majorBidi" w:hAnsiTheme="majorBidi" w:cstheme="majorBidi"/>
          <w:kern w:val="18"/>
          <w:szCs w:val="18"/>
        </w:rPr>
        <w:t xml:space="preserve"> la </w:t>
      </w:r>
      <w:proofErr w:type="spellStart"/>
      <w:r w:rsidR="005406EE" w:rsidRPr="005406EE">
        <w:rPr>
          <w:rFonts w:asciiTheme="majorBidi" w:hAnsiTheme="majorBidi" w:cstheme="majorBidi"/>
          <w:kern w:val="18"/>
          <w:szCs w:val="18"/>
        </w:rPr>
        <w:t>Conférence</w:t>
      </w:r>
      <w:proofErr w:type="spellEnd"/>
      <w:r w:rsidR="005406EE" w:rsidRPr="005406EE">
        <w:rPr>
          <w:rFonts w:asciiTheme="majorBidi" w:hAnsiTheme="majorBidi" w:cstheme="majorBidi"/>
          <w:kern w:val="18"/>
          <w:szCs w:val="18"/>
        </w:rPr>
        <w:t xml:space="preserve"> des Parties </w:t>
      </w:r>
      <w:proofErr w:type="spellStart"/>
      <w:r w:rsidR="005406EE" w:rsidRPr="005406EE">
        <w:rPr>
          <w:rFonts w:asciiTheme="majorBidi" w:hAnsiTheme="majorBidi" w:cstheme="majorBidi"/>
          <w:kern w:val="18"/>
          <w:szCs w:val="18"/>
        </w:rPr>
        <w:t>lors</w:t>
      </w:r>
      <w:proofErr w:type="spellEnd"/>
      <w:r w:rsidR="005406EE" w:rsidRPr="005406EE">
        <w:rPr>
          <w:rFonts w:asciiTheme="majorBidi" w:hAnsiTheme="majorBidi" w:cstheme="majorBidi"/>
          <w:kern w:val="18"/>
          <w:szCs w:val="18"/>
        </w:rPr>
        <w:t xml:space="preserve"> de </w:t>
      </w:r>
      <w:proofErr w:type="spellStart"/>
      <w:r w:rsidR="005406EE" w:rsidRPr="005406EE">
        <w:rPr>
          <w:rFonts w:asciiTheme="majorBidi" w:hAnsiTheme="majorBidi" w:cstheme="majorBidi"/>
          <w:kern w:val="18"/>
          <w:szCs w:val="18"/>
        </w:rPr>
        <w:t>sa</w:t>
      </w:r>
      <w:proofErr w:type="spellEnd"/>
      <w:r w:rsidR="005406EE" w:rsidRPr="005406EE">
        <w:rPr>
          <w:rFonts w:asciiTheme="majorBidi" w:hAnsiTheme="majorBidi" w:cstheme="majorBidi"/>
          <w:kern w:val="18"/>
          <w:szCs w:val="18"/>
        </w:rPr>
        <w:t xml:space="preserve"> </w:t>
      </w:r>
      <w:proofErr w:type="spellStart"/>
      <w:r w:rsidR="005406EE" w:rsidRPr="005406EE">
        <w:rPr>
          <w:rFonts w:asciiTheme="majorBidi" w:hAnsiTheme="majorBidi" w:cstheme="majorBidi"/>
          <w:kern w:val="18"/>
          <w:szCs w:val="18"/>
        </w:rPr>
        <w:t>quinzième</w:t>
      </w:r>
      <w:proofErr w:type="spellEnd"/>
      <w:r w:rsidR="005406EE" w:rsidRPr="005406EE">
        <w:rPr>
          <w:rFonts w:asciiTheme="majorBidi" w:hAnsiTheme="majorBidi" w:cstheme="majorBidi"/>
          <w:kern w:val="18"/>
          <w:szCs w:val="18"/>
        </w:rPr>
        <w:t xml:space="preserve"> </w:t>
      </w:r>
      <w:proofErr w:type="spellStart"/>
      <w:r w:rsidR="005406EE" w:rsidRPr="005406EE">
        <w:rPr>
          <w:rFonts w:asciiTheme="majorBidi" w:hAnsiTheme="majorBidi" w:cstheme="majorBidi"/>
          <w:kern w:val="18"/>
          <w:szCs w:val="18"/>
        </w:rPr>
        <w:t>réunion</w:t>
      </w:r>
      <w:proofErr w:type="spellEnd"/>
      <w:r w:rsidR="005406EE" w:rsidRPr="005406EE">
        <w:rPr>
          <w:rFonts w:asciiTheme="majorBidi" w:hAnsiTheme="majorBidi" w:cstheme="majorBidi"/>
          <w:kern w:val="18"/>
          <w:szCs w:val="18"/>
        </w:rPr>
        <w:t>.</w:t>
      </w:r>
      <w:r w:rsidRPr="00CF4D29">
        <w:rPr>
          <w:rFonts w:asciiTheme="majorBidi" w:hAnsiTheme="majorBidi" w:cstheme="majorBidi"/>
          <w:kern w:val="18"/>
          <w:szCs w:val="18"/>
        </w:rPr>
        <w:t>.</w:t>
      </w:r>
    </w:p>
  </w:footnote>
  <w:footnote w:id="5">
    <w:p w14:paraId="027255BD" w14:textId="5A8B0E20" w:rsidR="005406EE" w:rsidRPr="00CF4D29" w:rsidRDefault="005406EE" w:rsidP="005406EE">
      <w:pPr>
        <w:pStyle w:val="Notedebasdepage"/>
        <w:ind w:firstLine="0"/>
        <w:jc w:val="left"/>
        <w:rPr>
          <w:rFonts w:asciiTheme="majorBidi" w:hAnsiTheme="majorBidi" w:cstheme="majorBidi"/>
          <w:kern w:val="18"/>
          <w:szCs w:val="18"/>
        </w:rPr>
      </w:pPr>
      <w:r w:rsidRPr="001E6BC2">
        <w:rPr>
          <w:rStyle w:val="Appelnotedebasdep"/>
          <w:rFonts w:asciiTheme="majorBidi" w:hAnsiTheme="majorBidi" w:cstheme="majorBidi"/>
          <w:kern w:val="18"/>
          <w:sz w:val="18"/>
          <w:szCs w:val="18"/>
        </w:rPr>
        <w:footnoteRef/>
      </w:r>
      <w:r w:rsidRPr="003A5804">
        <w:rPr>
          <w:rFonts w:asciiTheme="majorBidi" w:hAnsiTheme="majorBidi" w:cstheme="majorBidi"/>
          <w:kern w:val="18"/>
          <w:szCs w:val="18"/>
        </w:rPr>
        <w:t xml:space="preserve"> </w:t>
      </w:r>
      <w:r w:rsidRPr="005406EE">
        <w:rPr>
          <w:rFonts w:asciiTheme="majorBidi" w:hAnsiTheme="majorBidi" w:cstheme="majorBidi"/>
          <w:kern w:val="18"/>
          <w:szCs w:val="18"/>
        </w:rPr>
        <w:t xml:space="preserve">Annexe C : Directives et </w:t>
      </w:r>
      <w:proofErr w:type="spellStart"/>
      <w:r w:rsidRPr="005406EE">
        <w:rPr>
          <w:rFonts w:asciiTheme="majorBidi" w:hAnsiTheme="majorBidi" w:cstheme="majorBidi"/>
          <w:kern w:val="18"/>
          <w:szCs w:val="18"/>
        </w:rPr>
        <w:t>formulaire</w:t>
      </w:r>
      <w:proofErr w:type="spellEnd"/>
      <w:r w:rsidRPr="005406EE">
        <w:rPr>
          <w:rFonts w:asciiTheme="majorBidi" w:hAnsiTheme="majorBidi" w:cstheme="majorBidi"/>
          <w:kern w:val="18"/>
          <w:szCs w:val="18"/>
        </w:rPr>
        <w:t xml:space="preserve"> de communication des rapports </w:t>
      </w:r>
      <w:proofErr w:type="spellStart"/>
      <w:r w:rsidRPr="005406EE">
        <w:rPr>
          <w:rFonts w:asciiTheme="majorBidi" w:hAnsiTheme="majorBidi" w:cstheme="majorBidi"/>
          <w:kern w:val="18"/>
          <w:szCs w:val="18"/>
        </w:rPr>
        <w:t>nationaux</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L'annexe</w:t>
      </w:r>
      <w:proofErr w:type="spellEnd"/>
      <w:r w:rsidRPr="005406EE">
        <w:rPr>
          <w:rFonts w:asciiTheme="majorBidi" w:hAnsiTheme="majorBidi" w:cstheme="majorBidi"/>
          <w:kern w:val="18"/>
          <w:szCs w:val="18"/>
        </w:rPr>
        <w:t xml:space="preserve"> sera </w:t>
      </w:r>
      <w:proofErr w:type="spellStart"/>
      <w:r w:rsidRPr="005406EE">
        <w:rPr>
          <w:rFonts w:asciiTheme="majorBidi" w:hAnsiTheme="majorBidi" w:cstheme="majorBidi"/>
          <w:kern w:val="18"/>
          <w:szCs w:val="18"/>
        </w:rPr>
        <w:t>élaborée</w:t>
      </w:r>
      <w:proofErr w:type="spellEnd"/>
      <w:r w:rsidRPr="005406EE">
        <w:rPr>
          <w:rFonts w:asciiTheme="majorBidi" w:hAnsiTheme="majorBidi" w:cstheme="majorBidi"/>
          <w:kern w:val="18"/>
          <w:szCs w:val="18"/>
        </w:rPr>
        <w:t xml:space="preserve"> à la lumière des discussions </w:t>
      </w:r>
      <w:proofErr w:type="spellStart"/>
      <w:r w:rsidRPr="005406EE">
        <w:rPr>
          <w:rFonts w:asciiTheme="majorBidi" w:hAnsiTheme="majorBidi" w:cstheme="majorBidi"/>
          <w:kern w:val="18"/>
          <w:szCs w:val="18"/>
        </w:rPr>
        <w:t>ultérieures</w:t>
      </w:r>
      <w:proofErr w:type="spellEnd"/>
      <w:r w:rsidRPr="005406EE">
        <w:rPr>
          <w:rFonts w:asciiTheme="majorBidi" w:hAnsiTheme="majorBidi" w:cstheme="majorBidi"/>
          <w:kern w:val="18"/>
          <w:szCs w:val="18"/>
        </w:rPr>
        <w:t xml:space="preserve">, y </w:t>
      </w:r>
      <w:proofErr w:type="spellStart"/>
      <w:r w:rsidRPr="005406EE">
        <w:rPr>
          <w:rFonts w:asciiTheme="majorBidi" w:hAnsiTheme="majorBidi" w:cstheme="majorBidi"/>
          <w:kern w:val="18"/>
          <w:szCs w:val="18"/>
        </w:rPr>
        <w:t>compris</w:t>
      </w:r>
      <w:proofErr w:type="spellEnd"/>
      <w:r w:rsidRPr="005406EE">
        <w:rPr>
          <w:rFonts w:asciiTheme="majorBidi" w:hAnsiTheme="majorBidi" w:cstheme="majorBidi"/>
          <w:kern w:val="18"/>
          <w:szCs w:val="18"/>
        </w:rPr>
        <w:t xml:space="preserve"> les </w:t>
      </w:r>
      <w:proofErr w:type="spellStart"/>
      <w:r w:rsidRPr="005406EE">
        <w:rPr>
          <w:rFonts w:asciiTheme="majorBidi" w:hAnsiTheme="majorBidi" w:cstheme="majorBidi"/>
          <w:kern w:val="18"/>
          <w:szCs w:val="18"/>
        </w:rPr>
        <w:t>négociations</w:t>
      </w:r>
      <w:proofErr w:type="spellEnd"/>
      <w:r w:rsidRPr="005406EE">
        <w:rPr>
          <w:rFonts w:asciiTheme="majorBidi" w:hAnsiTheme="majorBidi" w:cstheme="majorBidi"/>
          <w:kern w:val="18"/>
          <w:szCs w:val="18"/>
        </w:rPr>
        <w:t xml:space="preserve"> de la </w:t>
      </w:r>
      <w:proofErr w:type="spellStart"/>
      <w:r w:rsidRPr="005406EE">
        <w:rPr>
          <w:rFonts w:asciiTheme="majorBidi" w:hAnsiTheme="majorBidi" w:cstheme="majorBidi"/>
          <w:kern w:val="18"/>
          <w:szCs w:val="18"/>
        </w:rPr>
        <w:t>troisième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réunion</w:t>
      </w:r>
      <w:proofErr w:type="spellEnd"/>
      <w:r w:rsidRPr="005406EE">
        <w:rPr>
          <w:rFonts w:asciiTheme="majorBidi" w:hAnsiTheme="majorBidi" w:cstheme="majorBidi"/>
          <w:kern w:val="18"/>
          <w:szCs w:val="18"/>
        </w:rPr>
        <w:t xml:space="preserve"> du Groupe de travail sur le Cadre </w:t>
      </w:r>
      <w:proofErr w:type="spellStart"/>
      <w:r w:rsidRPr="005406EE">
        <w:rPr>
          <w:rFonts w:asciiTheme="majorBidi" w:hAnsiTheme="majorBidi" w:cstheme="majorBidi"/>
          <w:kern w:val="18"/>
          <w:szCs w:val="18"/>
        </w:rPr>
        <w:t>mondial</w:t>
      </w:r>
      <w:proofErr w:type="spellEnd"/>
      <w:r w:rsidRPr="005406EE">
        <w:rPr>
          <w:rFonts w:asciiTheme="majorBidi" w:hAnsiTheme="majorBidi" w:cstheme="majorBidi"/>
          <w:kern w:val="18"/>
          <w:szCs w:val="18"/>
        </w:rPr>
        <w:t xml:space="preserve"> de la </w:t>
      </w:r>
      <w:proofErr w:type="spellStart"/>
      <w:r w:rsidRPr="005406EE">
        <w:rPr>
          <w:rFonts w:asciiTheme="majorBidi" w:hAnsiTheme="majorBidi" w:cstheme="majorBidi"/>
          <w:kern w:val="18"/>
          <w:szCs w:val="18"/>
        </w:rPr>
        <w:t>biodiversité</w:t>
      </w:r>
      <w:proofErr w:type="spellEnd"/>
      <w:r w:rsidRPr="005406EE">
        <w:rPr>
          <w:rFonts w:asciiTheme="majorBidi" w:hAnsiTheme="majorBidi" w:cstheme="majorBidi"/>
          <w:kern w:val="18"/>
          <w:szCs w:val="18"/>
        </w:rPr>
        <w:t xml:space="preserve"> pour l'après-2020, et </w:t>
      </w:r>
      <w:proofErr w:type="spellStart"/>
      <w:r w:rsidRPr="005406EE">
        <w:rPr>
          <w:rFonts w:asciiTheme="majorBidi" w:hAnsiTheme="majorBidi" w:cstheme="majorBidi"/>
          <w:kern w:val="18"/>
          <w:szCs w:val="18"/>
        </w:rPr>
        <w:t>finalisée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par</w:t>
      </w:r>
      <w:proofErr w:type="spellEnd"/>
      <w:r w:rsidRPr="005406EE">
        <w:rPr>
          <w:rFonts w:asciiTheme="majorBidi" w:hAnsiTheme="majorBidi" w:cstheme="majorBidi"/>
          <w:kern w:val="18"/>
          <w:szCs w:val="18"/>
        </w:rPr>
        <w:t xml:space="preserve"> la </w:t>
      </w:r>
      <w:proofErr w:type="spellStart"/>
      <w:r w:rsidRPr="005406EE">
        <w:rPr>
          <w:rFonts w:asciiTheme="majorBidi" w:hAnsiTheme="majorBidi" w:cstheme="majorBidi"/>
          <w:kern w:val="18"/>
          <w:szCs w:val="18"/>
        </w:rPr>
        <w:t>Conférence</w:t>
      </w:r>
      <w:proofErr w:type="spellEnd"/>
      <w:r w:rsidRPr="005406EE">
        <w:rPr>
          <w:rFonts w:asciiTheme="majorBidi" w:hAnsiTheme="majorBidi" w:cstheme="majorBidi"/>
          <w:kern w:val="18"/>
          <w:szCs w:val="18"/>
        </w:rPr>
        <w:t xml:space="preserve"> des Parties </w:t>
      </w:r>
      <w:proofErr w:type="spellStart"/>
      <w:r w:rsidRPr="005406EE">
        <w:rPr>
          <w:rFonts w:asciiTheme="majorBidi" w:hAnsiTheme="majorBidi" w:cstheme="majorBidi"/>
          <w:kern w:val="18"/>
          <w:szCs w:val="18"/>
        </w:rPr>
        <w:t>lors</w:t>
      </w:r>
      <w:proofErr w:type="spellEnd"/>
      <w:r w:rsidRPr="005406EE">
        <w:rPr>
          <w:rFonts w:asciiTheme="majorBidi" w:hAnsiTheme="majorBidi" w:cstheme="majorBidi"/>
          <w:kern w:val="18"/>
          <w:szCs w:val="18"/>
        </w:rPr>
        <w:t xml:space="preserve"> de </w:t>
      </w:r>
      <w:proofErr w:type="spellStart"/>
      <w:r w:rsidRPr="005406EE">
        <w:rPr>
          <w:rFonts w:asciiTheme="majorBidi" w:hAnsiTheme="majorBidi" w:cstheme="majorBidi"/>
          <w:kern w:val="18"/>
          <w:szCs w:val="18"/>
        </w:rPr>
        <w:t>sa</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quinzième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réunion</w:t>
      </w:r>
      <w:proofErr w:type="spellEnd"/>
      <w:r w:rsidRPr="005406EE">
        <w:rPr>
          <w:rFonts w:asciiTheme="majorBidi" w:hAnsiTheme="majorBidi" w:cstheme="majorBidi"/>
          <w:kern w:val="18"/>
          <w:szCs w:val="18"/>
        </w:rPr>
        <w:t>.</w:t>
      </w:r>
      <w:r w:rsidRPr="00CF4D29">
        <w:rPr>
          <w:rFonts w:asciiTheme="majorBidi" w:hAnsiTheme="majorBidi" w:cstheme="majorBidi"/>
          <w:kern w:val="18"/>
          <w:szCs w:val="18"/>
        </w:rPr>
        <w:t>.</w:t>
      </w:r>
    </w:p>
  </w:footnote>
  <w:footnote w:id="6">
    <w:p w14:paraId="2AB73462" w14:textId="536925FF" w:rsidR="005406EE" w:rsidRPr="001E6BC2" w:rsidRDefault="005406EE" w:rsidP="005406EE">
      <w:pPr>
        <w:pStyle w:val="Notedebasdepage"/>
        <w:ind w:firstLine="0"/>
        <w:jc w:val="left"/>
        <w:rPr>
          <w:rFonts w:asciiTheme="majorBidi" w:hAnsiTheme="majorBidi" w:cstheme="majorBidi"/>
          <w:kern w:val="18"/>
          <w:szCs w:val="18"/>
        </w:rPr>
      </w:pPr>
      <w:r w:rsidRPr="001E6BC2">
        <w:rPr>
          <w:rStyle w:val="Appelnotedebasdep"/>
          <w:rFonts w:asciiTheme="majorBidi" w:hAnsiTheme="majorBidi" w:cstheme="majorBidi"/>
          <w:kern w:val="18"/>
          <w:sz w:val="18"/>
          <w:szCs w:val="18"/>
        </w:rPr>
        <w:footnoteRef/>
      </w:r>
      <w:r w:rsidRPr="001E6BC2">
        <w:rPr>
          <w:rFonts w:asciiTheme="majorBidi" w:hAnsiTheme="majorBidi" w:cstheme="majorBidi"/>
          <w:kern w:val="18"/>
          <w:szCs w:val="18"/>
        </w:rPr>
        <w:t xml:space="preserve"> </w:t>
      </w:r>
      <w:r w:rsidRPr="005406EE">
        <w:rPr>
          <w:rFonts w:asciiTheme="majorBidi" w:hAnsiTheme="majorBidi" w:cstheme="majorBidi"/>
          <w:kern w:val="18"/>
          <w:szCs w:val="18"/>
        </w:rPr>
        <w:t xml:space="preserve">Le cadre de </w:t>
      </w:r>
      <w:proofErr w:type="spellStart"/>
      <w:r w:rsidRPr="005406EE">
        <w:rPr>
          <w:rFonts w:asciiTheme="majorBidi" w:hAnsiTheme="majorBidi" w:cstheme="majorBidi"/>
          <w:kern w:val="18"/>
          <w:szCs w:val="18"/>
        </w:rPr>
        <w:t>suivi</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est</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en</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cours</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d'élaboration</w:t>
      </w:r>
      <w:proofErr w:type="spellEnd"/>
      <w:r w:rsidRPr="005406EE">
        <w:rPr>
          <w:rFonts w:asciiTheme="majorBidi" w:hAnsiTheme="majorBidi" w:cstheme="majorBidi"/>
          <w:kern w:val="18"/>
          <w:szCs w:val="18"/>
        </w:rPr>
        <w:t xml:space="preserve"> dans le cadre du </w:t>
      </w:r>
      <w:proofErr w:type="spellStart"/>
      <w:r w:rsidRPr="005406EE">
        <w:rPr>
          <w:rFonts w:asciiTheme="majorBidi" w:hAnsiTheme="majorBidi" w:cstheme="majorBidi"/>
          <w:kern w:val="18"/>
          <w:szCs w:val="18"/>
        </w:rPr>
        <w:t>processus</w:t>
      </w:r>
      <w:proofErr w:type="spellEnd"/>
      <w:r w:rsidRPr="005406EE">
        <w:rPr>
          <w:rFonts w:asciiTheme="majorBidi" w:hAnsiTheme="majorBidi" w:cstheme="majorBidi"/>
          <w:kern w:val="18"/>
          <w:szCs w:val="18"/>
        </w:rPr>
        <w:t xml:space="preserve"> post-2020 et sera </w:t>
      </w:r>
      <w:proofErr w:type="spellStart"/>
      <w:r w:rsidRPr="005406EE">
        <w:rPr>
          <w:rFonts w:asciiTheme="majorBidi" w:hAnsiTheme="majorBidi" w:cstheme="majorBidi"/>
          <w:kern w:val="18"/>
          <w:szCs w:val="18"/>
        </w:rPr>
        <w:t>finalisé</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par</w:t>
      </w:r>
      <w:proofErr w:type="spellEnd"/>
      <w:r w:rsidRPr="005406EE">
        <w:rPr>
          <w:rFonts w:asciiTheme="majorBidi" w:hAnsiTheme="majorBidi" w:cstheme="majorBidi"/>
          <w:kern w:val="18"/>
          <w:szCs w:val="18"/>
        </w:rPr>
        <w:t xml:space="preserve"> la </w:t>
      </w:r>
      <w:proofErr w:type="spellStart"/>
      <w:r w:rsidRPr="005406EE">
        <w:rPr>
          <w:rFonts w:asciiTheme="majorBidi" w:hAnsiTheme="majorBidi" w:cstheme="majorBidi"/>
          <w:kern w:val="18"/>
          <w:szCs w:val="18"/>
        </w:rPr>
        <w:t>Conférence</w:t>
      </w:r>
      <w:proofErr w:type="spellEnd"/>
      <w:r w:rsidRPr="005406EE">
        <w:rPr>
          <w:rFonts w:asciiTheme="majorBidi" w:hAnsiTheme="majorBidi" w:cstheme="majorBidi"/>
          <w:kern w:val="18"/>
          <w:szCs w:val="18"/>
        </w:rPr>
        <w:t xml:space="preserve"> des Parties </w:t>
      </w:r>
      <w:proofErr w:type="spellStart"/>
      <w:r w:rsidRPr="005406EE">
        <w:rPr>
          <w:rFonts w:asciiTheme="majorBidi" w:hAnsiTheme="majorBidi" w:cstheme="majorBidi"/>
          <w:kern w:val="18"/>
          <w:szCs w:val="18"/>
        </w:rPr>
        <w:t>lors</w:t>
      </w:r>
      <w:proofErr w:type="spellEnd"/>
      <w:r w:rsidRPr="005406EE">
        <w:rPr>
          <w:rFonts w:asciiTheme="majorBidi" w:hAnsiTheme="majorBidi" w:cstheme="majorBidi"/>
          <w:kern w:val="18"/>
          <w:szCs w:val="18"/>
        </w:rPr>
        <w:t xml:space="preserve"> de </w:t>
      </w:r>
      <w:proofErr w:type="spellStart"/>
      <w:r w:rsidRPr="005406EE">
        <w:rPr>
          <w:rFonts w:asciiTheme="majorBidi" w:hAnsiTheme="majorBidi" w:cstheme="majorBidi"/>
          <w:kern w:val="18"/>
          <w:szCs w:val="18"/>
        </w:rPr>
        <w:t>sa</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quinzième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réunion</w:t>
      </w:r>
      <w:proofErr w:type="spellEnd"/>
      <w:r w:rsidRPr="001E6BC2">
        <w:rPr>
          <w:rFonts w:asciiTheme="majorBidi" w:hAnsiTheme="majorBidi" w:cstheme="majorBidi"/>
          <w:kern w:val="18"/>
          <w:szCs w:val="18"/>
        </w:rPr>
        <w:t>.</w:t>
      </w:r>
    </w:p>
  </w:footnote>
  <w:footnote w:id="7">
    <w:p w14:paraId="5446C63E" w14:textId="637BED49" w:rsidR="005406EE" w:rsidRPr="001E6BC2" w:rsidRDefault="005406EE" w:rsidP="005406EE">
      <w:pPr>
        <w:pStyle w:val="Notedebasdepage"/>
        <w:ind w:firstLine="0"/>
        <w:jc w:val="left"/>
        <w:rPr>
          <w:rFonts w:asciiTheme="majorBidi" w:hAnsiTheme="majorBidi" w:cstheme="majorBidi"/>
          <w:kern w:val="18"/>
          <w:szCs w:val="18"/>
        </w:rPr>
      </w:pPr>
      <w:r w:rsidRPr="001E6BC2">
        <w:rPr>
          <w:rStyle w:val="Appelnotedebasdep"/>
          <w:rFonts w:asciiTheme="majorBidi" w:hAnsiTheme="majorBidi" w:cstheme="majorBidi"/>
          <w:kern w:val="18"/>
          <w:sz w:val="18"/>
          <w:szCs w:val="18"/>
        </w:rPr>
        <w:footnoteRef/>
      </w:r>
      <w:r w:rsidRPr="001E6BC2">
        <w:rPr>
          <w:rFonts w:asciiTheme="majorBidi" w:hAnsiTheme="majorBidi" w:cstheme="majorBidi"/>
          <w:kern w:val="18"/>
          <w:szCs w:val="18"/>
        </w:rPr>
        <w:t xml:space="preserve"> </w:t>
      </w:r>
      <w:r w:rsidRPr="005406EE">
        <w:rPr>
          <w:rFonts w:asciiTheme="majorBidi" w:hAnsiTheme="majorBidi" w:cstheme="majorBidi"/>
          <w:kern w:val="18"/>
          <w:szCs w:val="18"/>
        </w:rPr>
        <w:t xml:space="preserve">Annexe D : </w:t>
      </w:r>
      <w:proofErr w:type="spellStart"/>
      <w:r w:rsidRPr="005406EE">
        <w:rPr>
          <w:rFonts w:asciiTheme="majorBidi" w:hAnsiTheme="majorBidi" w:cstheme="majorBidi"/>
          <w:kern w:val="18"/>
          <w:szCs w:val="18"/>
        </w:rPr>
        <w:t>Modalités</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d'examen</w:t>
      </w:r>
      <w:proofErr w:type="spellEnd"/>
      <w:r w:rsidRPr="005406EE">
        <w:rPr>
          <w:rFonts w:asciiTheme="majorBidi" w:hAnsiTheme="majorBidi" w:cstheme="majorBidi"/>
          <w:kern w:val="18"/>
          <w:szCs w:val="18"/>
        </w:rPr>
        <w:t xml:space="preserve"> pays par pays. </w:t>
      </w:r>
      <w:proofErr w:type="spellStart"/>
      <w:r w:rsidRPr="005406EE">
        <w:rPr>
          <w:rFonts w:asciiTheme="majorBidi" w:hAnsiTheme="majorBidi" w:cstheme="majorBidi"/>
          <w:kern w:val="18"/>
          <w:szCs w:val="18"/>
        </w:rPr>
        <w:t>L'annexe</w:t>
      </w:r>
      <w:proofErr w:type="spellEnd"/>
      <w:r w:rsidRPr="005406EE">
        <w:rPr>
          <w:rFonts w:asciiTheme="majorBidi" w:hAnsiTheme="majorBidi" w:cstheme="majorBidi"/>
          <w:kern w:val="18"/>
          <w:szCs w:val="18"/>
        </w:rPr>
        <w:t xml:space="preserve"> sera </w:t>
      </w:r>
      <w:proofErr w:type="spellStart"/>
      <w:r w:rsidRPr="005406EE">
        <w:rPr>
          <w:rFonts w:asciiTheme="majorBidi" w:hAnsiTheme="majorBidi" w:cstheme="majorBidi"/>
          <w:kern w:val="18"/>
          <w:szCs w:val="18"/>
        </w:rPr>
        <w:t>élaborée</w:t>
      </w:r>
      <w:proofErr w:type="spellEnd"/>
      <w:r w:rsidRPr="005406EE">
        <w:rPr>
          <w:rFonts w:asciiTheme="majorBidi" w:hAnsiTheme="majorBidi" w:cstheme="majorBidi"/>
          <w:kern w:val="18"/>
          <w:szCs w:val="18"/>
        </w:rPr>
        <w:t xml:space="preserve"> à la lumière des discussions </w:t>
      </w:r>
      <w:proofErr w:type="spellStart"/>
      <w:r w:rsidRPr="005406EE">
        <w:rPr>
          <w:rFonts w:asciiTheme="majorBidi" w:hAnsiTheme="majorBidi" w:cstheme="majorBidi"/>
          <w:kern w:val="18"/>
          <w:szCs w:val="18"/>
        </w:rPr>
        <w:t>ultérieures</w:t>
      </w:r>
      <w:proofErr w:type="spellEnd"/>
      <w:r w:rsidRPr="005406EE">
        <w:rPr>
          <w:rFonts w:asciiTheme="majorBidi" w:hAnsiTheme="majorBidi" w:cstheme="majorBidi"/>
          <w:kern w:val="18"/>
          <w:szCs w:val="18"/>
        </w:rPr>
        <w:t xml:space="preserve">, y </w:t>
      </w:r>
      <w:proofErr w:type="spellStart"/>
      <w:r w:rsidRPr="005406EE">
        <w:rPr>
          <w:rFonts w:asciiTheme="majorBidi" w:hAnsiTheme="majorBidi" w:cstheme="majorBidi"/>
          <w:kern w:val="18"/>
          <w:szCs w:val="18"/>
        </w:rPr>
        <w:t>compris</w:t>
      </w:r>
      <w:proofErr w:type="spellEnd"/>
      <w:r w:rsidRPr="005406EE">
        <w:rPr>
          <w:rFonts w:asciiTheme="majorBidi" w:hAnsiTheme="majorBidi" w:cstheme="majorBidi"/>
          <w:kern w:val="18"/>
          <w:szCs w:val="18"/>
        </w:rPr>
        <w:t xml:space="preserve"> les </w:t>
      </w:r>
      <w:proofErr w:type="spellStart"/>
      <w:r w:rsidRPr="005406EE">
        <w:rPr>
          <w:rFonts w:asciiTheme="majorBidi" w:hAnsiTheme="majorBidi" w:cstheme="majorBidi"/>
          <w:kern w:val="18"/>
          <w:szCs w:val="18"/>
        </w:rPr>
        <w:t>négociations</w:t>
      </w:r>
      <w:proofErr w:type="spellEnd"/>
      <w:r w:rsidRPr="005406EE">
        <w:rPr>
          <w:rFonts w:asciiTheme="majorBidi" w:hAnsiTheme="majorBidi" w:cstheme="majorBidi"/>
          <w:kern w:val="18"/>
          <w:szCs w:val="18"/>
        </w:rPr>
        <w:t xml:space="preserve"> de la </w:t>
      </w:r>
      <w:proofErr w:type="spellStart"/>
      <w:r w:rsidRPr="005406EE">
        <w:rPr>
          <w:rFonts w:asciiTheme="majorBidi" w:hAnsiTheme="majorBidi" w:cstheme="majorBidi"/>
          <w:kern w:val="18"/>
          <w:szCs w:val="18"/>
        </w:rPr>
        <w:t>troisième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réunion</w:t>
      </w:r>
      <w:proofErr w:type="spellEnd"/>
      <w:r w:rsidRPr="005406EE">
        <w:rPr>
          <w:rFonts w:asciiTheme="majorBidi" w:hAnsiTheme="majorBidi" w:cstheme="majorBidi"/>
          <w:kern w:val="18"/>
          <w:szCs w:val="18"/>
        </w:rPr>
        <w:t xml:space="preserve"> du Groupe de travail sur le Cadre </w:t>
      </w:r>
      <w:proofErr w:type="spellStart"/>
      <w:r w:rsidRPr="005406EE">
        <w:rPr>
          <w:rFonts w:asciiTheme="majorBidi" w:hAnsiTheme="majorBidi" w:cstheme="majorBidi"/>
          <w:kern w:val="18"/>
          <w:szCs w:val="18"/>
        </w:rPr>
        <w:t>mondial</w:t>
      </w:r>
      <w:proofErr w:type="spellEnd"/>
      <w:r w:rsidRPr="005406EE">
        <w:rPr>
          <w:rFonts w:asciiTheme="majorBidi" w:hAnsiTheme="majorBidi" w:cstheme="majorBidi"/>
          <w:kern w:val="18"/>
          <w:szCs w:val="18"/>
        </w:rPr>
        <w:t xml:space="preserve"> pour la </w:t>
      </w:r>
      <w:proofErr w:type="spellStart"/>
      <w:r w:rsidRPr="005406EE">
        <w:rPr>
          <w:rFonts w:asciiTheme="majorBidi" w:hAnsiTheme="majorBidi" w:cstheme="majorBidi"/>
          <w:kern w:val="18"/>
          <w:szCs w:val="18"/>
        </w:rPr>
        <w:t>biodiversité</w:t>
      </w:r>
      <w:proofErr w:type="spellEnd"/>
      <w:r w:rsidRPr="005406EE">
        <w:rPr>
          <w:rFonts w:asciiTheme="majorBidi" w:hAnsiTheme="majorBidi" w:cstheme="majorBidi"/>
          <w:kern w:val="18"/>
          <w:szCs w:val="18"/>
        </w:rPr>
        <w:t xml:space="preserve"> pour l'après-2020, et </w:t>
      </w:r>
      <w:proofErr w:type="spellStart"/>
      <w:r w:rsidRPr="005406EE">
        <w:rPr>
          <w:rFonts w:asciiTheme="majorBidi" w:hAnsiTheme="majorBidi" w:cstheme="majorBidi"/>
          <w:kern w:val="18"/>
          <w:szCs w:val="18"/>
        </w:rPr>
        <w:t>finalisée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par</w:t>
      </w:r>
      <w:proofErr w:type="spellEnd"/>
      <w:r w:rsidRPr="005406EE">
        <w:rPr>
          <w:rFonts w:asciiTheme="majorBidi" w:hAnsiTheme="majorBidi" w:cstheme="majorBidi"/>
          <w:kern w:val="18"/>
          <w:szCs w:val="18"/>
        </w:rPr>
        <w:t xml:space="preserve"> la </w:t>
      </w:r>
      <w:proofErr w:type="spellStart"/>
      <w:r w:rsidRPr="005406EE">
        <w:rPr>
          <w:rFonts w:asciiTheme="majorBidi" w:hAnsiTheme="majorBidi" w:cstheme="majorBidi"/>
          <w:kern w:val="18"/>
          <w:szCs w:val="18"/>
        </w:rPr>
        <w:t>Conférence</w:t>
      </w:r>
      <w:proofErr w:type="spellEnd"/>
      <w:r w:rsidRPr="005406EE">
        <w:rPr>
          <w:rFonts w:asciiTheme="majorBidi" w:hAnsiTheme="majorBidi" w:cstheme="majorBidi"/>
          <w:kern w:val="18"/>
          <w:szCs w:val="18"/>
        </w:rPr>
        <w:t xml:space="preserve"> des Parties </w:t>
      </w:r>
      <w:proofErr w:type="spellStart"/>
      <w:r w:rsidRPr="005406EE">
        <w:rPr>
          <w:rFonts w:asciiTheme="majorBidi" w:hAnsiTheme="majorBidi" w:cstheme="majorBidi"/>
          <w:kern w:val="18"/>
          <w:szCs w:val="18"/>
        </w:rPr>
        <w:t>lors</w:t>
      </w:r>
      <w:proofErr w:type="spellEnd"/>
      <w:r w:rsidRPr="005406EE">
        <w:rPr>
          <w:rFonts w:asciiTheme="majorBidi" w:hAnsiTheme="majorBidi" w:cstheme="majorBidi"/>
          <w:kern w:val="18"/>
          <w:szCs w:val="18"/>
        </w:rPr>
        <w:t xml:space="preserve"> de </w:t>
      </w:r>
      <w:proofErr w:type="spellStart"/>
      <w:r w:rsidRPr="005406EE">
        <w:rPr>
          <w:rFonts w:asciiTheme="majorBidi" w:hAnsiTheme="majorBidi" w:cstheme="majorBidi"/>
          <w:kern w:val="18"/>
          <w:szCs w:val="18"/>
        </w:rPr>
        <w:t>sa</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quinzième</w:t>
      </w:r>
      <w:proofErr w:type="spellEnd"/>
      <w:r w:rsidRPr="005406EE">
        <w:rPr>
          <w:rFonts w:asciiTheme="majorBidi" w:hAnsiTheme="majorBidi" w:cstheme="majorBidi"/>
          <w:kern w:val="18"/>
          <w:szCs w:val="18"/>
        </w:rPr>
        <w:t xml:space="preserve"> </w:t>
      </w:r>
      <w:proofErr w:type="spellStart"/>
      <w:r w:rsidRPr="005406EE">
        <w:rPr>
          <w:rFonts w:asciiTheme="majorBidi" w:hAnsiTheme="majorBidi" w:cstheme="majorBidi"/>
          <w:kern w:val="18"/>
          <w:szCs w:val="18"/>
        </w:rPr>
        <w:t>réunion</w:t>
      </w:r>
      <w:proofErr w:type="spellEnd"/>
      <w:r w:rsidRPr="005406EE">
        <w:rPr>
          <w:rFonts w:asciiTheme="majorBidi" w:hAnsiTheme="majorBidi" w:cstheme="majorBidi"/>
          <w:kern w:val="18"/>
          <w:szCs w:val="18"/>
        </w:rPr>
        <w:t>.</w:t>
      </w:r>
      <w:r w:rsidRPr="00BD439E">
        <w:rPr>
          <w:rFonts w:asciiTheme="majorBidi" w:hAnsiTheme="majorBidi" w:cstheme="majorBidi"/>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3BC20A3F" w14:textId="3A26CC63" w:rsidR="00534681" w:rsidRPr="001E6BC2" w:rsidRDefault="000878A3" w:rsidP="001E6BC2">
        <w:pPr>
          <w:pStyle w:val="En-tte"/>
          <w:tabs>
            <w:tab w:val="clear" w:pos="4320"/>
            <w:tab w:val="clear" w:pos="8640"/>
          </w:tabs>
          <w:jc w:val="left"/>
        </w:pPr>
        <w:r w:rsidRPr="00DD1DDF">
          <w:rPr>
            <w:lang w:val="fr-FR"/>
          </w:rPr>
          <w:t>CBD/SBI/3/CRP.5</w:t>
        </w:r>
      </w:p>
    </w:sdtContent>
  </w:sdt>
  <w:p w14:paraId="1E0FDE0B" w14:textId="77777777" w:rsidR="00534681" w:rsidRPr="001E6BC2" w:rsidRDefault="00534681" w:rsidP="001E6BC2">
    <w:pPr>
      <w:pStyle w:val="En-tte"/>
      <w:tabs>
        <w:tab w:val="clear" w:pos="4320"/>
        <w:tab w:val="clear" w:pos="8640"/>
      </w:tabs>
      <w:jc w:val="left"/>
    </w:pPr>
    <w:r w:rsidRPr="001E6BC2">
      <w:t xml:space="preserve">Page </w:t>
    </w:r>
    <w:r w:rsidRPr="001E6BC2">
      <w:fldChar w:fldCharType="begin"/>
    </w:r>
    <w:r w:rsidRPr="001E6BC2">
      <w:instrText xml:space="preserve"> PAGE   \* MERGEFORMAT </w:instrText>
    </w:r>
    <w:r w:rsidRPr="001E6BC2">
      <w:fldChar w:fldCharType="separate"/>
    </w:r>
    <w:r w:rsidR="00F6586C" w:rsidRPr="001E6BC2">
      <w:t>2</w:t>
    </w:r>
    <w:r w:rsidRPr="001E6BC2">
      <w:fldChar w:fldCharType="end"/>
    </w:r>
  </w:p>
  <w:p w14:paraId="61C60697" w14:textId="77777777" w:rsidR="00534681" w:rsidRPr="001E6BC2" w:rsidRDefault="00534681" w:rsidP="001E6BC2">
    <w:pPr>
      <w:pStyle w:val="En-tte"/>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2C4EC37E" w14:textId="78A672B2" w:rsidR="009505C9" w:rsidRPr="001E6BC2" w:rsidRDefault="000878A3" w:rsidP="001E6BC2">
        <w:pPr>
          <w:pStyle w:val="En-tte"/>
          <w:tabs>
            <w:tab w:val="clear" w:pos="4320"/>
            <w:tab w:val="clear" w:pos="8640"/>
          </w:tabs>
          <w:jc w:val="right"/>
        </w:pPr>
        <w:r w:rsidRPr="00DD1DDF">
          <w:rPr>
            <w:lang w:val="fr-FR"/>
          </w:rPr>
          <w:t>CBD/SBI/3/CRP.5</w:t>
        </w:r>
      </w:p>
    </w:sdtContent>
  </w:sdt>
  <w:p w14:paraId="64AE8439" w14:textId="77777777" w:rsidR="009505C9" w:rsidRPr="001E6BC2" w:rsidRDefault="009505C9" w:rsidP="001E6BC2">
    <w:pPr>
      <w:pStyle w:val="En-tte"/>
      <w:tabs>
        <w:tab w:val="clear" w:pos="4320"/>
        <w:tab w:val="clear" w:pos="8640"/>
      </w:tabs>
      <w:jc w:val="right"/>
    </w:pPr>
    <w:r w:rsidRPr="001E6BC2">
      <w:t xml:space="preserve">Page </w:t>
    </w:r>
    <w:r w:rsidRPr="001E6BC2">
      <w:fldChar w:fldCharType="begin"/>
    </w:r>
    <w:r w:rsidRPr="001E6BC2">
      <w:instrText xml:space="preserve"> PAGE   \* MERGEFORMAT </w:instrText>
    </w:r>
    <w:r w:rsidRPr="001E6BC2">
      <w:fldChar w:fldCharType="separate"/>
    </w:r>
    <w:r w:rsidR="00F6586C" w:rsidRPr="001E6BC2">
      <w:t>3</w:t>
    </w:r>
    <w:r w:rsidRPr="001E6BC2">
      <w:fldChar w:fldCharType="end"/>
    </w:r>
  </w:p>
  <w:p w14:paraId="16137B8A" w14:textId="77777777" w:rsidR="009505C9" w:rsidRPr="001E6BC2" w:rsidRDefault="009505C9" w:rsidP="001E6BC2">
    <w:pPr>
      <w:pStyle w:val="En-tte"/>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A27"/>
    <w:multiLevelType w:val="hybridMultilevel"/>
    <w:tmpl w:val="FCB8D78A"/>
    <w:lvl w:ilvl="0" w:tplc="DD6885FC">
      <w:start w:val="3"/>
      <w:numFmt w:val="decimal"/>
      <w:lvlText w:val="%1."/>
      <w:lvlJc w:val="left"/>
      <w:pPr>
        <w:ind w:left="360" w:hanging="360"/>
      </w:pPr>
      <w:rPr>
        <w:rFonts w:hint="default"/>
        <w:i w:val="0"/>
        <w:iCs/>
      </w:rPr>
    </w:lvl>
    <w:lvl w:ilvl="1" w:tplc="040C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5CEC"/>
    <w:multiLevelType w:val="hybridMultilevel"/>
    <w:tmpl w:val="E110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FA1DC3"/>
    <w:multiLevelType w:val="multilevel"/>
    <w:tmpl w:val="58620AE6"/>
    <w:lvl w:ilvl="0">
      <w:start w:val="3"/>
      <w:numFmt w:val="decimal"/>
      <w:lvlText w:val="%1."/>
      <w:lvlJc w:val="left"/>
      <w:pPr>
        <w:ind w:left="360" w:hanging="360"/>
      </w:pPr>
      <w:rPr>
        <w:rFonts w:hint="default"/>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81738E4"/>
    <w:multiLevelType w:val="hybridMultilevel"/>
    <w:tmpl w:val="A78C392C"/>
    <w:lvl w:ilvl="0" w:tplc="0409000F">
      <w:start w:val="3"/>
      <w:numFmt w:val="decimal"/>
      <w:lvlText w:val="%1."/>
      <w:lvlJc w:val="left"/>
      <w:pPr>
        <w:ind w:left="720" w:hanging="360"/>
      </w:pPr>
      <w:rPr>
        <w:rFonts w:hint="default"/>
      </w:rPr>
    </w:lvl>
    <w:lvl w:ilvl="1" w:tplc="040C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90B2857"/>
    <w:multiLevelType w:val="hybridMultilevel"/>
    <w:tmpl w:val="2B54954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73DF0"/>
    <w:multiLevelType w:val="multilevel"/>
    <w:tmpl w:val="A056923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111B3"/>
    <w:multiLevelType w:val="hybridMultilevel"/>
    <w:tmpl w:val="2DF0B0B8"/>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D77B4"/>
    <w:multiLevelType w:val="multilevel"/>
    <w:tmpl w:val="0DA60FA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23244"/>
    <w:multiLevelType w:val="multilevel"/>
    <w:tmpl w:val="28D000E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620"/>
        </w:tabs>
        <w:ind w:left="540" w:firstLine="720"/>
      </w:pPr>
      <w:rPr>
        <w:rFonts w:cs="Times New Roman" w:hint="default"/>
        <w:b w:val="0"/>
        <w:i w:val="0"/>
      </w:rPr>
    </w:lvl>
    <w:lvl w:ilvl="2">
      <w:start w:val="1"/>
      <w:numFmt w:val="lowerRoman"/>
      <w:lvlText w:val="(%3)"/>
      <w:lvlJc w:val="right"/>
      <w:pPr>
        <w:tabs>
          <w:tab w:val="num" w:pos="2591"/>
        </w:tabs>
        <w:ind w:left="2591" w:hanging="431"/>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2"/>
  </w:num>
  <w:num w:numId="5">
    <w:abstractNumId w:val="11"/>
  </w:num>
  <w:num w:numId="6">
    <w:abstractNumId w:val="1"/>
  </w:num>
  <w:num w:numId="7">
    <w:abstractNumId w:val="4"/>
  </w:num>
  <w:num w:numId="8">
    <w:abstractNumId w:val="10"/>
    <w:lvlOverride w:ilvl="0">
      <w:startOverride w:val="1"/>
    </w:lvlOverride>
  </w:num>
  <w:num w:numId="9">
    <w:abstractNumId w:val="17"/>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4"/>
  </w:num>
  <w:num w:numId="15">
    <w:abstractNumId w:val="13"/>
  </w:num>
  <w:num w:numId="16">
    <w:abstractNumId w:val="2"/>
  </w:num>
  <w:num w:numId="17">
    <w:abstractNumId w:val="19"/>
  </w:num>
  <w:num w:numId="18">
    <w:abstractNumId w:val="20"/>
  </w:num>
  <w:num w:numId="19">
    <w:abstractNumId w:val="18"/>
  </w:num>
  <w:num w:numId="20">
    <w:abstractNumId w:val="15"/>
  </w:num>
  <w:num w:numId="21">
    <w:abstractNumId w:val="0"/>
  </w:num>
  <w:num w:numId="22">
    <w:abstractNumId w:val="8"/>
  </w:num>
  <w:num w:numId="23">
    <w:abstractNumId w:val="3"/>
  </w:num>
  <w:num w:numId="24">
    <w:abstractNumId w:val="6"/>
  </w:num>
  <w:num w:numId="25">
    <w:abstractNumId w:val="16"/>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33E5"/>
    <w:rsid w:val="00036420"/>
    <w:rsid w:val="00057D40"/>
    <w:rsid w:val="0007171B"/>
    <w:rsid w:val="00086353"/>
    <w:rsid w:val="000878A3"/>
    <w:rsid w:val="000D40F0"/>
    <w:rsid w:val="000E673A"/>
    <w:rsid w:val="000F74F5"/>
    <w:rsid w:val="00105372"/>
    <w:rsid w:val="00113164"/>
    <w:rsid w:val="001312AD"/>
    <w:rsid w:val="00131E7A"/>
    <w:rsid w:val="00134846"/>
    <w:rsid w:val="001534EE"/>
    <w:rsid w:val="001621C2"/>
    <w:rsid w:val="00172090"/>
    <w:rsid w:val="00172A61"/>
    <w:rsid w:val="00172AF6"/>
    <w:rsid w:val="00176CEE"/>
    <w:rsid w:val="00180AD7"/>
    <w:rsid w:val="00186DD8"/>
    <w:rsid w:val="001A41AD"/>
    <w:rsid w:val="001A7658"/>
    <w:rsid w:val="001B13FE"/>
    <w:rsid w:val="001B1AD8"/>
    <w:rsid w:val="001C6D6F"/>
    <w:rsid w:val="001D36F2"/>
    <w:rsid w:val="001E6BC2"/>
    <w:rsid w:val="001F4DB2"/>
    <w:rsid w:val="00202CEA"/>
    <w:rsid w:val="0020792B"/>
    <w:rsid w:val="00210A10"/>
    <w:rsid w:val="002239EF"/>
    <w:rsid w:val="00227C9D"/>
    <w:rsid w:val="0023080B"/>
    <w:rsid w:val="002933B5"/>
    <w:rsid w:val="00294404"/>
    <w:rsid w:val="002A243B"/>
    <w:rsid w:val="002A5D9F"/>
    <w:rsid w:val="002C4258"/>
    <w:rsid w:val="002C7396"/>
    <w:rsid w:val="0030169D"/>
    <w:rsid w:val="003060EB"/>
    <w:rsid w:val="003153EB"/>
    <w:rsid w:val="00316862"/>
    <w:rsid w:val="00321985"/>
    <w:rsid w:val="00334B2C"/>
    <w:rsid w:val="00351205"/>
    <w:rsid w:val="00372F74"/>
    <w:rsid w:val="00375A87"/>
    <w:rsid w:val="003830A4"/>
    <w:rsid w:val="00387E35"/>
    <w:rsid w:val="003912DF"/>
    <w:rsid w:val="0039772E"/>
    <w:rsid w:val="003A5804"/>
    <w:rsid w:val="003C5CD5"/>
    <w:rsid w:val="003E2876"/>
    <w:rsid w:val="003F2DB0"/>
    <w:rsid w:val="003F7224"/>
    <w:rsid w:val="0040158B"/>
    <w:rsid w:val="00401A23"/>
    <w:rsid w:val="00417F72"/>
    <w:rsid w:val="00427D21"/>
    <w:rsid w:val="00435451"/>
    <w:rsid w:val="00441DC6"/>
    <w:rsid w:val="0045065C"/>
    <w:rsid w:val="00457A2A"/>
    <w:rsid w:val="004644C2"/>
    <w:rsid w:val="00467F9C"/>
    <w:rsid w:val="004800CD"/>
    <w:rsid w:val="004846E9"/>
    <w:rsid w:val="004A15AC"/>
    <w:rsid w:val="004B4A34"/>
    <w:rsid w:val="004C3C72"/>
    <w:rsid w:val="004C6125"/>
    <w:rsid w:val="004D5A95"/>
    <w:rsid w:val="004F4F7B"/>
    <w:rsid w:val="004F70EB"/>
    <w:rsid w:val="005115EA"/>
    <w:rsid w:val="00522F73"/>
    <w:rsid w:val="00530C1A"/>
    <w:rsid w:val="0053327F"/>
    <w:rsid w:val="00534681"/>
    <w:rsid w:val="00537C5B"/>
    <w:rsid w:val="005406EE"/>
    <w:rsid w:val="00563442"/>
    <w:rsid w:val="00565B42"/>
    <w:rsid w:val="00572FCF"/>
    <w:rsid w:val="00574E66"/>
    <w:rsid w:val="005866EF"/>
    <w:rsid w:val="00586DD2"/>
    <w:rsid w:val="00590476"/>
    <w:rsid w:val="005A6A2A"/>
    <w:rsid w:val="005C4CE6"/>
    <w:rsid w:val="005F081D"/>
    <w:rsid w:val="005F5C45"/>
    <w:rsid w:val="0060465C"/>
    <w:rsid w:val="006122BA"/>
    <w:rsid w:val="00616AC8"/>
    <w:rsid w:val="00637E50"/>
    <w:rsid w:val="006621E6"/>
    <w:rsid w:val="006B2290"/>
    <w:rsid w:val="006B46CC"/>
    <w:rsid w:val="006C6F49"/>
    <w:rsid w:val="006D43A1"/>
    <w:rsid w:val="006F2A2A"/>
    <w:rsid w:val="00703A83"/>
    <w:rsid w:val="00717D88"/>
    <w:rsid w:val="007272FF"/>
    <w:rsid w:val="00747856"/>
    <w:rsid w:val="00756573"/>
    <w:rsid w:val="007812D7"/>
    <w:rsid w:val="00785C2C"/>
    <w:rsid w:val="00786056"/>
    <w:rsid w:val="007942D3"/>
    <w:rsid w:val="007B2099"/>
    <w:rsid w:val="007B6C09"/>
    <w:rsid w:val="007B7741"/>
    <w:rsid w:val="007C00BB"/>
    <w:rsid w:val="007E09DA"/>
    <w:rsid w:val="007E1602"/>
    <w:rsid w:val="007E2208"/>
    <w:rsid w:val="008178B6"/>
    <w:rsid w:val="008224B3"/>
    <w:rsid w:val="00823607"/>
    <w:rsid w:val="00833114"/>
    <w:rsid w:val="00840547"/>
    <w:rsid w:val="0085361E"/>
    <w:rsid w:val="00853A2F"/>
    <w:rsid w:val="00865B74"/>
    <w:rsid w:val="008723D0"/>
    <w:rsid w:val="0087258B"/>
    <w:rsid w:val="00890ADC"/>
    <w:rsid w:val="008974F0"/>
    <w:rsid w:val="008A2D8F"/>
    <w:rsid w:val="008A3452"/>
    <w:rsid w:val="008B012A"/>
    <w:rsid w:val="008C79F1"/>
    <w:rsid w:val="008D0BCB"/>
    <w:rsid w:val="008E5A86"/>
    <w:rsid w:val="008F4350"/>
    <w:rsid w:val="008F5B6F"/>
    <w:rsid w:val="00906E17"/>
    <w:rsid w:val="00923F55"/>
    <w:rsid w:val="009248E2"/>
    <w:rsid w:val="00927803"/>
    <w:rsid w:val="00930BA1"/>
    <w:rsid w:val="0093169E"/>
    <w:rsid w:val="0094027A"/>
    <w:rsid w:val="009505C9"/>
    <w:rsid w:val="00950752"/>
    <w:rsid w:val="00950774"/>
    <w:rsid w:val="00964097"/>
    <w:rsid w:val="00966424"/>
    <w:rsid w:val="00983839"/>
    <w:rsid w:val="009A1C6A"/>
    <w:rsid w:val="009A4D96"/>
    <w:rsid w:val="009A613D"/>
    <w:rsid w:val="009C13DC"/>
    <w:rsid w:val="009C2DE6"/>
    <w:rsid w:val="009E44B8"/>
    <w:rsid w:val="009E491C"/>
    <w:rsid w:val="00A253A5"/>
    <w:rsid w:val="00A30CC2"/>
    <w:rsid w:val="00A3139D"/>
    <w:rsid w:val="00A40633"/>
    <w:rsid w:val="00A63B52"/>
    <w:rsid w:val="00A723ED"/>
    <w:rsid w:val="00AA6F92"/>
    <w:rsid w:val="00AB6934"/>
    <w:rsid w:val="00AD44DC"/>
    <w:rsid w:val="00AF42DE"/>
    <w:rsid w:val="00B041FF"/>
    <w:rsid w:val="00B12932"/>
    <w:rsid w:val="00B14EB9"/>
    <w:rsid w:val="00B3369F"/>
    <w:rsid w:val="00B42804"/>
    <w:rsid w:val="00B52E9F"/>
    <w:rsid w:val="00B52EC3"/>
    <w:rsid w:val="00B53B7B"/>
    <w:rsid w:val="00B61185"/>
    <w:rsid w:val="00B7273F"/>
    <w:rsid w:val="00B77455"/>
    <w:rsid w:val="00B917C4"/>
    <w:rsid w:val="00B928FA"/>
    <w:rsid w:val="00B94E6C"/>
    <w:rsid w:val="00BB4606"/>
    <w:rsid w:val="00BD439E"/>
    <w:rsid w:val="00BD5860"/>
    <w:rsid w:val="00C20E0E"/>
    <w:rsid w:val="00C23D2F"/>
    <w:rsid w:val="00C443BD"/>
    <w:rsid w:val="00C44514"/>
    <w:rsid w:val="00C451C5"/>
    <w:rsid w:val="00C472EA"/>
    <w:rsid w:val="00C50864"/>
    <w:rsid w:val="00C9161D"/>
    <w:rsid w:val="00CA0C1D"/>
    <w:rsid w:val="00CA6C5E"/>
    <w:rsid w:val="00CB2796"/>
    <w:rsid w:val="00CB465C"/>
    <w:rsid w:val="00CE0C67"/>
    <w:rsid w:val="00CF1848"/>
    <w:rsid w:val="00CF4D29"/>
    <w:rsid w:val="00D11C56"/>
    <w:rsid w:val="00D12044"/>
    <w:rsid w:val="00D14043"/>
    <w:rsid w:val="00D33EFC"/>
    <w:rsid w:val="00D36832"/>
    <w:rsid w:val="00D40DBC"/>
    <w:rsid w:val="00D4445B"/>
    <w:rsid w:val="00D52B8A"/>
    <w:rsid w:val="00D620E8"/>
    <w:rsid w:val="00D63071"/>
    <w:rsid w:val="00D76A18"/>
    <w:rsid w:val="00D80849"/>
    <w:rsid w:val="00D82E8F"/>
    <w:rsid w:val="00D84581"/>
    <w:rsid w:val="00DC082A"/>
    <w:rsid w:val="00DC3EC3"/>
    <w:rsid w:val="00DD089D"/>
    <w:rsid w:val="00DD118C"/>
    <w:rsid w:val="00DD1DDF"/>
    <w:rsid w:val="00DD3153"/>
    <w:rsid w:val="00E12519"/>
    <w:rsid w:val="00E127B9"/>
    <w:rsid w:val="00E27346"/>
    <w:rsid w:val="00E456C8"/>
    <w:rsid w:val="00E521EE"/>
    <w:rsid w:val="00E53B70"/>
    <w:rsid w:val="00E66235"/>
    <w:rsid w:val="00E83C24"/>
    <w:rsid w:val="00E90EE1"/>
    <w:rsid w:val="00E9318D"/>
    <w:rsid w:val="00EA51AB"/>
    <w:rsid w:val="00EB6BEE"/>
    <w:rsid w:val="00EE1628"/>
    <w:rsid w:val="00F21DBB"/>
    <w:rsid w:val="00F32EDE"/>
    <w:rsid w:val="00F331DF"/>
    <w:rsid w:val="00F334EC"/>
    <w:rsid w:val="00F43B95"/>
    <w:rsid w:val="00F53193"/>
    <w:rsid w:val="00F6586C"/>
    <w:rsid w:val="00F94774"/>
    <w:rsid w:val="00FA663B"/>
    <w:rsid w:val="00FA70DE"/>
    <w:rsid w:val="00FB2914"/>
    <w:rsid w:val="00FC53DB"/>
    <w:rsid w:val="00FC72CA"/>
    <w:rsid w:val="00FD4EB5"/>
    <w:rsid w:val="00FD6D6E"/>
    <w:rsid w:val="00FE08D8"/>
    <w:rsid w:val="00FE4643"/>
    <w:rsid w:val="00FE67B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styleId="Mentionnonrsolue">
    <w:name w:val="Unresolved Mention"/>
    <w:basedOn w:val="Policepardfaut"/>
    <w:uiPriority w:val="99"/>
    <w:semiHidden/>
    <w:unhideWhenUsed/>
    <w:rsid w:val="00DD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
      <w:docPartPr>
        <w:name w:val="54761CFD67374AA79853C3D7DBE5BB7D"/>
        <w:category>
          <w:name w:val="General"/>
          <w:gallery w:val="placeholder"/>
        </w:category>
        <w:types>
          <w:type w:val="bbPlcHdr"/>
        </w:types>
        <w:behaviors>
          <w:behavior w:val="content"/>
        </w:behaviors>
        <w:guid w:val="{9CABEC2A-047C-433F-AD3C-A09C2CC04A9F}"/>
      </w:docPartPr>
      <w:docPartBody>
        <w:p w:rsidR="000C6C1C" w:rsidRDefault="00810A55">
          <w:pPr>
            <w:pStyle w:val="54761CFD67374AA79853C3D7DBE5BB7D"/>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6C1C"/>
    <w:rsid w:val="0046422C"/>
    <w:rsid w:val="004760CF"/>
    <w:rsid w:val="004E092F"/>
    <w:rsid w:val="00500A2B"/>
    <w:rsid w:val="005225D9"/>
    <w:rsid w:val="00543401"/>
    <w:rsid w:val="0058288D"/>
    <w:rsid w:val="00665C6B"/>
    <w:rsid w:val="006801B3"/>
    <w:rsid w:val="007A28AE"/>
    <w:rsid w:val="00810A55"/>
    <w:rsid w:val="008C6619"/>
    <w:rsid w:val="008D420E"/>
    <w:rsid w:val="0098642F"/>
    <w:rsid w:val="00B0397C"/>
    <w:rsid w:val="00BB5BB3"/>
    <w:rsid w:val="00C8104B"/>
    <w:rsid w:val="00D31D12"/>
    <w:rsid w:val="00DD2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4761CFD67374AA79853C3D7DBE5BB7D">
    <w:name w:val="54761CFD67374AA79853C3D7DBE5BB7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5EDC9BF-2E21-4A92-9FCF-1589B48993AD}">
  <ds:schemaRefs>
    <ds:schemaRef ds:uri="http://schemas.openxmlformats.org/officeDocument/2006/bibliography"/>
  </ds:schemaRefs>
</ds:datastoreItem>
</file>

<file path=customXml/itemProps5.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2980</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POSSIBILITÉS D'AMÉLIORATION DES MÉCANISMES DE PLANIFICATION, DE RAPPORTS ET D'EXAMEN EN VUE DE RENFORCER L'APPLICATION DE LA CONVENTION</dc:title>
  <dc:subject>CBD/SBI/3/CRP.5</dc:subject>
  <dc:creator>SBI-3</dc:creator>
  <cp:keywords>Convention on Biological Diversity, Subsidiary Body on Implementation, third meeting</cp:keywords>
  <cp:lastModifiedBy>matthias massoulier</cp:lastModifiedBy>
  <cp:revision>4</cp:revision>
  <cp:lastPrinted>2020-01-21T16:56:00Z</cp:lastPrinted>
  <dcterms:created xsi:type="dcterms:W3CDTF">2021-05-29T10:50:00Z</dcterms:created>
  <dcterms:modified xsi:type="dcterms:W3CDTF">2021-05-29T12:08:00Z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