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210AD6" w:rsidRPr="00711439" w14:paraId="1D286B5C" w14:textId="77777777" w:rsidTr="003A3844">
        <w:tc>
          <w:tcPr>
            <w:tcW w:w="1371" w:type="dxa"/>
            <w:tcBorders>
              <w:bottom w:val="single" w:sz="12" w:space="0" w:color="000000"/>
            </w:tcBorders>
          </w:tcPr>
          <w:p w14:paraId="37670410" w14:textId="77777777" w:rsidR="00210AD6" w:rsidRPr="00711439" w:rsidRDefault="00210AD6" w:rsidP="003A3844">
            <w:pPr>
              <w:topLinePunct/>
              <w:rPr>
                <w:noProof/>
              </w:rPr>
            </w:pPr>
            <w:r w:rsidRPr="00711439">
              <w:rPr>
                <w:rFonts w:ascii="Cambria" w:hAnsi="Cambria"/>
                <w:noProof/>
                <w:snapToGrid w:val="0"/>
                <w:kern w:val="22"/>
                <w:lang w:val="en-US"/>
              </w:rPr>
              <w:drawing>
                <wp:inline distT="0" distB="0" distL="0" distR="0" wp14:anchorId="384FA84E" wp14:editId="62F8833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613BB99" w14:textId="77777777" w:rsidR="00210AD6" w:rsidRPr="00711439" w:rsidRDefault="00210AD6" w:rsidP="003A3844">
            <w:pPr>
              <w:topLinePunct/>
            </w:pPr>
            <w:r w:rsidRPr="00711439">
              <w:rPr>
                <w:noProof/>
                <w:lang w:val="en-US"/>
              </w:rPr>
              <w:drawing>
                <wp:inline distT="0" distB="0" distL="0" distR="0" wp14:anchorId="72CDB3E2" wp14:editId="587AD112">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3E1091A2" w14:textId="77777777" w:rsidR="00210AD6" w:rsidRPr="00711439" w:rsidRDefault="00210AD6" w:rsidP="003A3844">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1CAFBE68" w14:textId="77777777" w:rsidR="00210AD6" w:rsidRPr="00711439" w:rsidRDefault="00210AD6" w:rsidP="003A3844">
            <w:pPr>
              <w:topLinePunct/>
              <w:rPr>
                <w:rFonts w:ascii="Univers" w:hAnsi="Univers"/>
                <w:b/>
                <w:sz w:val="36"/>
                <w:szCs w:val="36"/>
              </w:rPr>
            </w:pPr>
          </w:p>
        </w:tc>
      </w:tr>
      <w:tr w:rsidR="00210AD6" w:rsidRPr="00711439" w14:paraId="0B258136" w14:textId="77777777" w:rsidTr="003A3844">
        <w:trPr>
          <w:trHeight w:val="1693"/>
        </w:trPr>
        <w:tc>
          <w:tcPr>
            <w:tcW w:w="5242" w:type="dxa"/>
            <w:gridSpan w:val="3"/>
          </w:tcPr>
          <w:p w14:paraId="32AB5827" w14:textId="77777777" w:rsidR="00210AD6" w:rsidRPr="00711439" w:rsidRDefault="00210AD6" w:rsidP="003A3844">
            <w:pPr>
              <w:topLinePunct/>
              <w:rPr>
                <w:sz w:val="16"/>
                <w:szCs w:val="16"/>
              </w:rPr>
            </w:pPr>
          </w:p>
          <w:p w14:paraId="72619EB1" w14:textId="77777777" w:rsidR="00210AD6" w:rsidRPr="00711439" w:rsidRDefault="00210AD6" w:rsidP="003A3844">
            <w:pPr>
              <w:topLinePunct/>
              <w:rPr>
                <w:b/>
                <w:sz w:val="40"/>
                <w:szCs w:val="40"/>
              </w:rPr>
            </w:pPr>
            <w:r w:rsidRPr="00711439">
              <w:rPr>
                <w:b/>
                <w:noProof/>
                <w:sz w:val="40"/>
                <w:szCs w:val="40"/>
                <w:lang w:val="en-US"/>
              </w:rPr>
              <w:drawing>
                <wp:inline distT="0" distB="0" distL="0" distR="0" wp14:anchorId="7AB395FF" wp14:editId="568E5E82">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2611D3EE" w14:textId="77777777" w:rsidR="00210AD6" w:rsidRPr="00711439" w:rsidRDefault="00210AD6" w:rsidP="003A3844">
            <w:pPr>
              <w:topLinePunct/>
              <w:rPr>
                <w:b/>
                <w:sz w:val="16"/>
                <w:szCs w:val="16"/>
              </w:rPr>
            </w:pPr>
          </w:p>
        </w:tc>
        <w:tc>
          <w:tcPr>
            <w:tcW w:w="1980" w:type="dxa"/>
          </w:tcPr>
          <w:p w14:paraId="14FC0D08" w14:textId="77777777" w:rsidR="00210AD6" w:rsidRPr="00711439" w:rsidRDefault="00210AD6" w:rsidP="003A3844">
            <w:pPr>
              <w:topLinePunct/>
            </w:pPr>
          </w:p>
        </w:tc>
        <w:tc>
          <w:tcPr>
            <w:tcW w:w="2610" w:type="dxa"/>
          </w:tcPr>
          <w:p w14:paraId="248CAEE5" w14:textId="77777777" w:rsidR="00210AD6" w:rsidRPr="00210AD6" w:rsidRDefault="00210AD6" w:rsidP="003A3844">
            <w:pPr>
              <w:topLinePunct/>
              <w:spacing w:before="120"/>
              <w:rPr>
                <w:sz w:val="24"/>
              </w:rPr>
            </w:pPr>
            <w:r w:rsidRPr="00210AD6">
              <w:rPr>
                <w:sz w:val="24"/>
              </w:rPr>
              <w:t xml:space="preserve">Distr. </w:t>
            </w:r>
          </w:p>
          <w:p w14:paraId="441E4981" w14:textId="77777777" w:rsidR="00210AD6" w:rsidRPr="00210AD6" w:rsidRDefault="00210AD6" w:rsidP="003A3844">
            <w:pPr>
              <w:topLinePunct/>
              <w:rPr>
                <w:sz w:val="24"/>
              </w:rPr>
            </w:pPr>
            <w:r w:rsidRPr="00210AD6">
              <w:rPr>
                <w:sz w:val="24"/>
              </w:rPr>
              <w:t>LIMITED</w:t>
            </w:r>
          </w:p>
          <w:p w14:paraId="58F6AA2F" w14:textId="77777777" w:rsidR="00210AD6" w:rsidRPr="00210AD6" w:rsidRDefault="00210AD6" w:rsidP="003A3844">
            <w:pPr>
              <w:topLinePunct/>
              <w:rPr>
                <w:sz w:val="24"/>
              </w:rPr>
            </w:pPr>
          </w:p>
          <w:p w14:paraId="09EBC27E" w14:textId="75550FF3" w:rsidR="00210AD6" w:rsidRPr="00210AD6" w:rsidRDefault="00210AD6" w:rsidP="003A3844">
            <w:pPr>
              <w:topLinePunct/>
              <w:rPr>
                <w:sz w:val="24"/>
              </w:rPr>
            </w:pPr>
            <w:r w:rsidRPr="00210AD6">
              <w:rPr>
                <w:sz w:val="24"/>
              </w:rPr>
              <w:t>CBD/COP/14/L.</w:t>
            </w:r>
            <w:r w:rsidRPr="00210AD6">
              <w:rPr>
                <w:rFonts w:hint="eastAsia"/>
                <w:sz w:val="24"/>
              </w:rPr>
              <w:t>20</w:t>
            </w:r>
          </w:p>
          <w:p w14:paraId="34910117" w14:textId="77777777" w:rsidR="00210AD6" w:rsidRPr="00210AD6" w:rsidRDefault="00210AD6" w:rsidP="003A3844">
            <w:pPr>
              <w:topLinePunct/>
              <w:rPr>
                <w:sz w:val="24"/>
              </w:rPr>
            </w:pPr>
            <w:r w:rsidRPr="00210AD6">
              <w:rPr>
                <w:rFonts w:hint="eastAsia"/>
                <w:sz w:val="24"/>
              </w:rPr>
              <w:t>26</w:t>
            </w:r>
            <w:r w:rsidRPr="00210AD6">
              <w:rPr>
                <w:sz w:val="24"/>
              </w:rPr>
              <w:t xml:space="preserve"> November 2018</w:t>
            </w:r>
          </w:p>
          <w:p w14:paraId="39E3945D" w14:textId="77777777" w:rsidR="00210AD6" w:rsidRPr="00210AD6" w:rsidRDefault="00210AD6" w:rsidP="003A3844">
            <w:pPr>
              <w:topLinePunct/>
              <w:rPr>
                <w:sz w:val="24"/>
              </w:rPr>
            </w:pPr>
          </w:p>
          <w:p w14:paraId="6ABF98C9" w14:textId="77777777" w:rsidR="00210AD6" w:rsidRPr="00210AD6" w:rsidRDefault="00210AD6" w:rsidP="003A3844">
            <w:pPr>
              <w:topLinePunct/>
              <w:rPr>
                <w:sz w:val="24"/>
              </w:rPr>
            </w:pPr>
            <w:r w:rsidRPr="00210AD6">
              <w:rPr>
                <w:rFonts w:hint="eastAsia"/>
                <w:sz w:val="24"/>
              </w:rPr>
              <w:t>CHINESE</w:t>
            </w:r>
          </w:p>
          <w:p w14:paraId="53555187" w14:textId="77777777" w:rsidR="00210AD6" w:rsidRPr="00711439" w:rsidRDefault="00210AD6" w:rsidP="003A3844">
            <w:pPr>
              <w:spacing w:after="120"/>
              <w:rPr>
                <w:rFonts w:ascii="Courier New" w:hAnsi="Courier New"/>
                <w:szCs w:val="22"/>
              </w:rPr>
            </w:pPr>
            <w:r w:rsidRPr="00210AD6">
              <w:rPr>
                <w:sz w:val="24"/>
              </w:rPr>
              <w:t>ORIGINAL: ENGLISH</w:t>
            </w:r>
          </w:p>
        </w:tc>
      </w:tr>
    </w:tbl>
    <w:p w14:paraId="5F454711" w14:textId="77777777" w:rsidR="00666863" w:rsidRDefault="00666863">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14:paraId="7FC452BB"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29A6BDEE"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7CD11FCF" w14:textId="7DDC0AE6"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3514D0" w:rsidRPr="00F602E3">
        <w:rPr>
          <w:rFonts w:cs="Times New Roman"/>
          <w:noProof/>
          <w:sz w:val="24"/>
        </w:rPr>
        <w:t>22</w:t>
      </w:r>
    </w:p>
    <w:p w14:paraId="7DBE4BEB" w14:textId="53CB1B2C" w:rsidR="00666863" w:rsidRPr="00526DA7" w:rsidRDefault="003514D0">
      <w:pPr>
        <w:pStyle w:val="Heading1"/>
        <w:rPr>
          <w:rFonts w:ascii="SimHei" w:eastAsia="SimHei" w:hAnsi="SimHei" w:cs="Times New Roman"/>
          <w:b w:val="0"/>
          <w:kern w:val="22"/>
          <w:sz w:val="28"/>
        </w:rPr>
      </w:pPr>
      <w:r w:rsidRPr="003514D0">
        <w:rPr>
          <w:rFonts w:ascii="SimHei" w:eastAsia="SimHei" w:hAnsi="SimHei" w:cs="Times New Roman" w:hint="eastAsia"/>
          <w:b w:val="0"/>
          <w:noProof/>
          <w:kern w:val="22"/>
          <w:sz w:val="28"/>
        </w:rPr>
        <w:t>将生物多样性纳入能源和采矿、基础设施、制造和加工部门的主流</w:t>
      </w:r>
    </w:p>
    <w:p w14:paraId="0873832A" w14:textId="618BCD7B" w:rsidR="00666863" w:rsidRDefault="003514D0" w:rsidP="00362B19">
      <w:pPr>
        <w:pStyle w:val="Heading1"/>
        <w:spacing w:before="120" w:after="240"/>
        <w:rPr>
          <w:rFonts w:cs="Times New Roman"/>
          <w:kern w:val="22"/>
          <w:sz w:val="24"/>
        </w:rPr>
      </w:pPr>
      <w:r>
        <w:rPr>
          <w:rFonts w:ascii="SimSun" w:cs="Times New Roman" w:hint="eastAsia"/>
          <w:caps w:val="0"/>
          <w:noProof/>
          <w:kern w:val="22"/>
          <w:sz w:val="24"/>
        </w:rPr>
        <w:t>第二工作组主席</w:t>
      </w:r>
      <w:r w:rsidR="00666863">
        <w:rPr>
          <w:rFonts w:ascii="SimSun" w:cs="Times New Roman" w:hint="eastAsia"/>
          <w:caps w:val="0"/>
          <w:noProof/>
          <w:kern w:val="22"/>
          <w:sz w:val="24"/>
        </w:rPr>
        <w:t>提交的决定草案</w:t>
      </w:r>
    </w:p>
    <w:p w14:paraId="2BF6A7EA" w14:textId="77777777" w:rsidR="00D1552E" w:rsidRDefault="00D1552E" w:rsidP="00D1552E">
      <w:pPr>
        <w:suppressLineNumbers/>
        <w:suppressAutoHyphens/>
        <w:spacing w:before="240" w:after="120"/>
        <w:ind w:firstLine="720"/>
        <w:rPr>
          <w:rFonts w:ascii="KaiTi" w:eastAsia="KaiTi" w:hAnsi="KaiTi" w:cs="Batang"/>
          <w:iCs/>
          <w:color w:val="000000"/>
          <w:kern w:val="22"/>
          <w:sz w:val="24"/>
          <w:lang w:bidi="th-TH"/>
        </w:rPr>
      </w:pPr>
      <w:bookmarkStart w:id="0" w:name="_Ref314474052"/>
      <w:r w:rsidRPr="00A57031">
        <w:rPr>
          <w:rFonts w:ascii="KaiTi" w:eastAsia="KaiTi" w:hAnsi="KaiTi" w:cs="SimSun" w:hint="eastAsia"/>
          <w:iCs/>
          <w:color w:val="000000"/>
          <w:kern w:val="22"/>
          <w:sz w:val="24"/>
          <w:lang w:eastAsia="ja-JP" w:bidi="th-TH"/>
        </w:rPr>
        <w:t>缔约</w:t>
      </w:r>
      <w:r w:rsidRPr="00A57031">
        <w:rPr>
          <w:rFonts w:ascii="KaiTi" w:eastAsia="KaiTi" w:hAnsi="KaiTi" w:cs="Batang"/>
          <w:iCs/>
          <w:color w:val="000000"/>
          <w:kern w:val="22"/>
          <w:sz w:val="24"/>
          <w:lang w:eastAsia="ja-JP" w:bidi="th-TH"/>
        </w:rPr>
        <w:t>方大</w:t>
      </w:r>
      <w:r w:rsidRPr="00A57031">
        <w:rPr>
          <w:rFonts w:ascii="KaiTi" w:eastAsia="KaiTi" w:hAnsi="KaiTi" w:cs="SimSun" w:hint="eastAsia"/>
          <w:iCs/>
          <w:color w:val="000000"/>
          <w:kern w:val="22"/>
          <w:sz w:val="24"/>
          <w:lang w:eastAsia="ja-JP" w:bidi="th-TH"/>
        </w:rPr>
        <w:t>会</w:t>
      </w:r>
      <w:r w:rsidRPr="00A57031">
        <w:rPr>
          <w:rFonts w:ascii="KaiTi" w:eastAsia="KaiTi" w:hAnsi="KaiTi" w:cs="Batang"/>
          <w:iCs/>
          <w:color w:val="000000"/>
          <w:kern w:val="22"/>
          <w:sz w:val="24"/>
          <w:lang w:eastAsia="ja-JP" w:bidi="th-TH"/>
        </w:rPr>
        <w:t>，</w:t>
      </w:r>
    </w:p>
    <w:p w14:paraId="30948630" w14:textId="7BA3A359" w:rsidR="00D1552E" w:rsidRPr="00210AD6" w:rsidRDefault="00D1552E" w:rsidP="00210AD6">
      <w:pPr>
        <w:pStyle w:val="ListParagraph"/>
        <w:suppressLineNumbers/>
        <w:suppressAutoHyphens/>
        <w:adjustRightInd w:val="0"/>
        <w:snapToGrid w:val="0"/>
        <w:spacing w:before="120" w:after="120"/>
        <w:ind w:left="0" w:firstLine="720"/>
        <w:contextualSpacing w:val="0"/>
        <w:rPr>
          <w:rFonts w:cs="Times New Roman"/>
          <w:sz w:val="24"/>
        </w:rPr>
      </w:pPr>
      <w:r w:rsidRPr="00210AD6">
        <w:rPr>
          <w:rFonts w:ascii="KaiTi" w:eastAsia="KaiTi" w:hAnsi="KaiTi" w:cs="Times New Roman"/>
          <w:iCs/>
          <w:color w:val="000000"/>
          <w:kern w:val="22"/>
          <w:sz w:val="24"/>
          <w:lang w:eastAsia="ja-JP" w:bidi="th-TH"/>
        </w:rPr>
        <w:t>回顾</w:t>
      </w:r>
      <w:hyperlink r:id="rId11" w:history="1">
        <w:r w:rsidRPr="00210AD6">
          <w:rPr>
            <w:rStyle w:val="Hyperlink"/>
            <w:sz w:val="24"/>
            <w:lang w:val="zh-CN"/>
          </w:rPr>
          <w:t>第</w:t>
        </w:r>
        <w:r w:rsidRPr="00210AD6">
          <w:rPr>
            <w:rStyle w:val="Hyperlink"/>
            <w:kern w:val="22"/>
            <w:sz w:val="24"/>
          </w:rPr>
          <w:t>XIII/3</w:t>
        </w:r>
        <w:r w:rsidRPr="00210AD6">
          <w:rPr>
            <w:rStyle w:val="Hyperlink"/>
            <w:sz w:val="24"/>
            <w:lang w:val="zh-CN"/>
          </w:rPr>
          <w:t>号决定</w:t>
        </w:r>
      </w:hyperlink>
      <w:r w:rsidRPr="00210AD6">
        <w:rPr>
          <w:rFonts w:cs="Times New Roman"/>
          <w:sz w:val="24"/>
        </w:rPr>
        <w:t>，</w:t>
      </w:r>
      <w:r w:rsidRPr="00210AD6">
        <w:rPr>
          <w:rFonts w:cs="Times New Roman"/>
          <w:sz w:val="24"/>
          <w:lang w:val="zh-CN"/>
        </w:rPr>
        <w:t>其中考虑将生物多样性纳入农业、林业、渔业</w:t>
      </w:r>
      <w:r w:rsidR="00027830" w:rsidRPr="00210AD6">
        <w:rPr>
          <w:rFonts w:cs="Times New Roman"/>
          <w:sz w:val="24"/>
          <w:lang w:val="zh-CN"/>
        </w:rPr>
        <w:t>和水产养殖</w:t>
      </w:r>
      <w:r w:rsidRPr="00210AD6">
        <w:rPr>
          <w:rFonts w:cs="Times New Roman"/>
          <w:sz w:val="24"/>
          <w:lang w:val="zh-CN"/>
        </w:rPr>
        <w:t>、旅游业主流以及跨领域问题</w:t>
      </w:r>
      <w:r w:rsidRPr="00210AD6">
        <w:rPr>
          <w:rFonts w:cs="Times New Roman"/>
          <w:sz w:val="24"/>
        </w:rPr>
        <w:t>，</w:t>
      </w:r>
      <w:r w:rsidRPr="00210AD6">
        <w:rPr>
          <w:rFonts w:cs="Times New Roman"/>
          <w:sz w:val="24"/>
          <w:lang w:val="zh-CN"/>
        </w:rPr>
        <w:t>并决定在第十四届会议上处理生物多样性纳入能源和采矿、基础设施、制造和加工业以及卫生部门主流的问题</w:t>
      </w:r>
      <w:r w:rsidRPr="00210AD6">
        <w:rPr>
          <w:rFonts w:cs="Times New Roman"/>
          <w:sz w:val="24"/>
        </w:rPr>
        <w:t>，</w:t>
      </w:r>
      <w:r w:rsidR="00DF2E9A" w:rsidRPr="00210AD6">
        <w:rPr>
          <w:rFonts w:cs="Times New Roman"/>
          <w:sz w:val="24"/>
        </w:rPr>
        <w:t xml:space="preserve"> </w:t>
      </w:r>
    </w:p>
    <w:p w14:paraId="4CECB288" w14:textId="419E4044" w:rsidR="00D1552E" w:rsidRPr="00210AD6" w:rsidRDefault="00D1552E" w:rsidP="00210AD6">
      <w:pPr>
        <w:pStyle w:val="ListParagraph"/>
        <w:suppressLineNumbers/>
        <w:suppressAutoHyphens/>
        <w:adjustRightInd w:val="0"/>
        <w:snapToGrid w:val="0"/>
        <w:spacing w:before="120" w:after="120"/>
        <w:ind w:left="0" w:firstLine="720"/>
        <w:contextualSpacing w:val="0"/>
        <w:rPr>
          <w:rFonts w:cs="Times New Roman"/>
          <w:sz w:val="24"/>
        </w:rPr>
      </w:pPr>
      <w:r w:rsidRPr="00210AD6">
        <w:rPr>
          <w:rFonts w:ascii="KaiTi" w:eastAsia="KaiTi" w:hAnsi="KaiTi" w:cs="Times New Roman"/>
          <w:iCs/>
          <w:color w:val="000000"/>
          <w:kern w:val="22"/>
          <w:sz w:val="24"/>
          <w:lang w:eastAsia="ja-JP" w:bidi="th-TH"/>
        </w:rPr>
        <w:t>又回顾</w:t>
      </w:r>
      <w:r w:rsidRPr="00210AD6">
        <w:rPr>
          <w:rFonts w:cs="Times New Roman"/>
          <w:sz w:val="24"/>
        </w:rPr>
        <w:t>2016</w:t>
      </w:r>
      <w:r w:rsidRPr="00210AD6">
        <w:rPr>
          <w:rFonts w:cs="Times New Roman"/>
          <w:sz w:val="24"/>
          <w:lang w:val="zh-CN"/>
        </w:rPr>
        <w:t>年</w:t>
      </w:r>
      <w:r w:rsidRPr="00210AD6">
        <w:rPr>
          <w:rFonts w:cs="Times New Roman"/>
          <w:sz w:val="24"/>
        </w:rPr>
        <w:t>12</w:t>
      </w:r>
      <w:r w:rsidRPr="00210AD6">
        <w:rPr>
          <w:rFonts w:cs="Times New Roman"/>
          <w:sz w:val="24"/>
          <w:lang w:val="zh-CN"/>
        </w:rPr>
        <w:t>月</w:t>
      </w:r>
      <w:r w:rsidRPr="00210AD6">
        <w:rPr>
          <w:rFonts w:cs="Times New Roman"/>
          <w:sz w:val="24"/>
        </w:rPr>
        <w:t>3</w:t>
      </w:r>
      <w:r w:rsidRPr="00210AD6">
        <w:rPr>
          <w:rFonts w:cs="Times New Roman"/>
          <w:sz w:val="24"/>
          <w:lang w:val="zh-CN"/>
        </w:rPr>
        <w:t>日在墨西哥坎昆举行的</w:t>
      </w:r>
      <w:r w:rsidR="00027830" w:rsidRPr="00210AD6">
        <w:rPr>
          <w:rFonts w:cs="Times New Roman"/>
          <w:sz w:val="24"/>
          <w:lang w:val="zh-CN"/>
        </w:rPr>
        <w:t>第十三届会议的</w:t>
      </w:r>
      <w:r w:rsidRPr="00210AD6">
        <w:rPr>
          <w:rFonts w:cs="Times New Roman"/>
          <w:sz w:val="24"/>
          <w:lang w:val="zh-CN"/>
        </w:rPr>
        <w:t>高级别会议通过的《将养护和可持续利用生物多样性纳入主流以增进福祉的坎昆宣言》，</w:t>
      </w:r>
      <w:r w:rsidRPr="00210AD6">
        <w:rPr>
          <w:rFonts w:cs="Times New Roman"/>
          <w:sz w:val="24"/>
          <w:vertAlign w:val="superscript"/>
          <w:lang w:val="zh-CN"/>
        </w:rPr>
        <w:footnoteReference w:id="1"/>
      </w:r>
      <w:r w:rsidRPr="00210AD6">
        <w:rPr>
          <w:rFonts w:cs="Times New Roman"/>
          <w:sz w:val="24"/>
          <w:lang w:val="zh-CN"/>
        </w:rPr>
        <w:t xml:space="preserve"> </w:t>
      </w:r>
      <w:r w:rsidRPr="00210AD6">
        <w:rPr>
          <w:rFonts w:cs="Times New Roman"/>
          <w:sz w:val="24"/>
        </w:rPr>
        <w:t>以及</w:t>
      </w:r>
      <w:r w:rsidRPr="00210AD6">
        <w:rPr>
          <w:rFonts w:cs="Times New Roman"/>
          <w:sz w:val="24"/>
        </w:rPr>
        <w:t>2018</w:t>
      </w:r>
      <w:r w:rsidRPr="00210AD6">
        <w:rPr>
          <w:rFonts w:cs="Times New Roman"/>
          <w:sz w:val="24"/>
        </w:rPr>
        <w:t>年</w:t>
      </w:r>
      <w:r w:rsidRPr="00210AD6">
        <w:rPr>
          <w:rFonts w:cs="Times New Roman"/>
          <w:sz w:val="24"/>
        </w:rPr>
        <w:t>11</w:t>
      </w:r>
      <w:r w:rsidRPr="00210AD6">
        <w:rPr>
          <w:rFonts w:cs="Times New Roman"/>
          <w:sz w:val="24"/>
        </w:rPr>
        <w:t>月</w:t>
      </w:r>
      <w:r w:rsidRPr="00210AD6">
        <w:rPr>
          <w:rFonts w:cs="Times New Roman"/>
          <w:sz w:val="24"/>
        </w:rPr>
        <w:t>15</w:t>
      </w:r>
      <w:r w:rsidRPr="00210AD6">
        <w:rPr>
          <w:rFonts w:cs="Times New Roman"/>
          <w:sz w:val="24"/>
        </w:rPr>
        <w:t>日在</w:t>
      </w:r>
      <w:r w:rsidRPr="00210AD6">
        <w:rPr>
          <w:rFonts w:cs="Times New Roman"/>
          <w:sz w:val="24"/>
          <w:lang w:val="en-US"/>
        </w:rPr>
        <w:t>埃及</w:t>
      </w:r>
      <w:r w:rsidRPr="00210AD6">
        <w:rPr>
          <w:rFonts w:cs="Times New Roman"/>
          <w:sz w:val="24"/>
        </w:rPr>
        <w:t>沙姆沙伊赫</w:t>
      </w:r>
      <w:r w:rsidR="00027830" w:rsidRPr="00210AD6">
        <w:rPr>
          <w:rFonts w:cs="Times New Roman"/>
          <w:sz w:val="24"/>
        </w:rPr>
        <w:t>举行的第十四届会议的</w:t>
      </w:r>
      <w:r w:rsidRPr="00210AD6">
        <w:rPr>
          <w:rFonts w:cs="Times New Roman"/>
          <w:sz w:val="24"/>
        </w:rPr>
        <w:t>高级别会议上通过的《沙姆沙伊赫宣言》，</w:t>
      </w:r>
      <w:r w:rsidRPr="00210AD6">
        <w:rPr>
          <w:rStyle w:val="FootnoteReference"/>
        </w:rPr>
        <w:footnoteReference w:id="2"/>
      </w:r>
    </w:p>
    <w:p w14:paraId="2F89F61B" w14:textId="77777777" w:rsidR="00D1552E" w:rsidRPr="00210AD6" w:rsidRDefault="00D1552E" w:rsidP="00210AD6">
      <w:pPr>
        <w:pStyle w:val="ListParagraph"/>
        <w:suppressLineNumbers/>
        <w:suppressAutoHyphens/>
        <w:adjustRightInd w:val="0"/>
        <w:snapToGrid w:val="0"/>
        <w:spacing w:before="120" w:after="120"/>
        <w:ind w:left="0" w:firstLine="720"/>
        <w:contextualSpacing w:val="0"/>
        <w:rPr>
          <w:rFonts w:cs="Times New Roman"/>
          <w:sz w:val="24"/>
          <w:lang w:val="en-US"/>
        </w:rPr>
      </w:pPr>
      <w:r w:rsidRPr="00210AD6">
        <w:rPr>
          <w:rFonts w:ascii="KaiTi" w:eastAsia="KaiTi" w:hAnsi="KaiTi" w:cs="Times New Roman"/>
          <w:iCs/>
          <w:color w:val="000000"/>
          <w:kern w:val="22"/>
          <w:sz w:val="24"/>
          <w:lang w:eastAsia="ja-JP" w:bidi="th-TH"/>
        </w:rPr>
        <w:t>还回顾</w:t>
      </w:r>
      <w:r w:rsidRPr="00210AD6">
        <w:rPr>
          <w:rFonts w:cs="Times New Roman"/>
          <w:sz w:val="24"/>
        </w:rPr>
        <w:t>关于涵盖生物多样性各个方面的影响评估的自愿准则</w:t>
      </w:r>
      <w:r w:rsidRPr="00210AD6">
        <w:rPr>
          <w:rFonts w:cs="Times New Roman"/>
          <w:sz w:val="24"/>
          <w:lang w:val="en-US"/>
        </w:rPr>
        <w:t>的第</w:t>
      </w:r>
      <w:r w:rsidRPr="00210AD6">
        <w:rPr>
          <w:rFonts w:cs="Times New Roman"/>
          <w:sz w:val="24"/>
          <w:lang w:val="en-US"/>
        </w:rPr>
        <w:t>VIII/28</w:t>
      </w:r>
      <w:r w:rsidRPr="00210AD6">
        <w:rPr>
          <w:rFonts w:cs="Times New Roman"/>
          <w:sz w:val="24"/>
          <w:lang w:val="en-US"/>
        </w:rPr>
        <w:t>号决定，</w:t>
      </w:r>
    </w:p>
    <w:p w14:paraId="5AB33675" w14:textId="322245B3" w:rsidR="00D1552E" w:rsidRPr="00210AD6" w:rsidRDefault="00D1552E" w:rsidP="00210AD6">
      <w:pPr>
        <w:pStyle w:val="ListParagraph"/>
        <w:widowControl w:val="0"/>
        <w:suppressLineNumbers/>
        <w:suppressAutoHyphens/>
        <w:adjustRightInd w:val="0"/>
        <w:snapToGrid w:val="0"/>
        <w:spacing w:before="120" w:after="120"/>
        <w:ind w:left="0" w:firstLine="720"/>
        <w:contextualSpacing w:val="0"/>
        <w:rPr>
          <w:rFonts w:cs="Times New Roman"/>
          <w:kern w:val="22"/>
          <w:sz w:val="24"/>
        </w:rPr>
      </w:pPr>
      <w:bookmarkStart w:id="2" w:name="_Ref516589359"/>
      <w:bookmarkStart w:id="3" w:name="_Ref516653888"/>
      <w:r w:rsidRPr="00210AD6">
        <w:rPr>
          <w:rFonts w:ascii="KaiTi" w:eastAsia="KaiTi" w:hAnsi="KaiTi" w:cs="Times New Roman"/>
          <w:iCs/>
          <w:color w:val="000000"/>
          <w:kern w:val="22"/>
          <w:sz w:val="24"/>
          <w:lang w:eastAsia="ja-JP" w:bidi="th-TH"/>
        </w:rPr>
        <w:t>认识到</w:t>
      </w:r>
      <w:r w:rsidRPr="00210AD6">
        <w:rPr>
          <w:rFonts w:cs="Times New Roman"/>
          <w:kern w:val="22"/>
          <w:sz w:val="24"/>
          <w:lang w:val="zh-CN"/>
        </w:rPr>
        <w:t>能源和采矿、基础设施、制造和加工业部门一方面依赖生物多样性和生物多样性支撑的生态系统功能和服务</w:t>
      </w:r>
      <w:r w:rsidRPr="00210AD6">
        <w:rPr>
          <w:rFonts w:cs="Times New Roman"/>
          <w:kern w:val="22"/>
          <w:sz w:val="24"/>
        </w:rPr>
        <w:t>，</w:t>
      </w:r>
      <w:r w:rsidRPr="00210AD6">
        <w:rPr>
          <w:rFonts w:cs="Times New Roman"/>
          <w:kern w:val="22"/>
          <w:sz w:val="24"/>
          <w:lang w:val="zh-CN"/>
        </w:rPr>
        <w:t>生物多样性的丧失可对这些部门产生不利影响</w:t>
      </w:r>
      <w:r w:rsidRPr="00210AD6">
        <w:rPr>
          <w:rFonts w:cs="Times New Roman"/>
          <w:kern w:val="22"/>
          <w:sz w:val="24"/>
        </w:rPr>
        <w:t>，</w:t>
      </w:r>
      <w:r w:rsidRPr="00210AD6">
        <w:rPr>
          <w:rFonts w:cs="Times New Roman"/>
          <w:kern w:val="22"/>
          <w:sz w:val="24"/>
          <w:lang w:val="zh-CN"/>
        </w:rPr>
        <w:t>另一方面又对生物多样性有潜在影响</w:t>
      </w:r>
      <w:r w:rsidRPr="00210AD6">
        <w:rPr>
          <w:rFonts w:cs="Times New Roman"/>
          <w:kern w:val="22"/>
          <w:sz w:val="24"/>
        </w:rPr>
        <w:t>，</w:t>
      </w:r>
      <w:r w:rsidRPr="00210AD6">
        <w:rPr>
          <w:rFonts w:cs="Times New Roman"/>
          <w:kern w:val="22"/>
          <w:sz w:val="24"/>
          <w:lang w:val="zh-CN"/>
        </w:rPr>
        <w:t>可能威胁到对人类</w:t>
      </w:r>
      <w:r w:rsidR="00027830" w:rsidRPr="00210AD6">
        <w:rPr>
          <w:rFonts w:cs="Times New Roman"/>
          <w:kern w:val="22"/>
          <w:sz w:val="24"/>
          <w:lang w:val="zh-CN"/>
        </w:rPr>
        <w:t>和地球生命</w:t>
      </w:r>
      <w:r w:rsidRPr="00210AD6">
        <w:rPr>
          <w:rFonts w:cs="Times New Roman"/>
          <w:kern w:val="22"/>
          <w:sz w:val="24"/>
          <w:lang w:val="zh-CN"/>
        </w:rPr>
        <w:t>至关重要的生态系统功能和服务的提供</w:t>
      </w:r>
      <w:r w:rsidRPr="00210AD6">
        <w:rPr>
          <w:rFonts w:cs="Times New Roman"/>
          <w:kern w:val="22"/>
          <w:sz w:val="24"/>
        </w:rPr>
        <w:t>，</w:t>
      </w:r>
    </w:p>
    <w:bookmarkEnd w:id="2"/>
    <w:bookmarkEnd w:id="3"/>
    <w:p w14:paraId="283D1FBD" w14:textId="16217F58" w:rsidR="00D1552E" w:rsidRPr="00210AD6" w:rsidRDefault="00D1552E" w:rsidP="00210AD6">
      <w:pPr>
        <w:pStyle w:val="ListParagraph"/>
        <w:widowControl w:val="0"/>
        <w:suppressLineNumbers/>
        <w:suppressAutoHyphens/>
        <w:adjustRightInd w:val="0"/>
        <w:snapToGrid w:val="0"/>
        <w:spacing w:before="120" w:after="120"/>
        <w:ind w:left="0" w:firstLine="720"/>
        <w:contextualSpacing w:val="0"/>
        <w:rPr>
          <w:rFonts w:cs="Times New Roman"/>
          <w:kern w:val="22"/>
          <w:sz w:val="24"/>
          <w:lang w:val="zh-CN"/>
        </w:rPr>
      </w:pPr>
      <w:r w:rsidRPr="00210AD6">
        <w:rPr>
          <w:rFonts w:ascii="KaiTi" w:eastAsia="KaiTi" w:hAnsi="KaiTi" w:cs="Times New Roman"/>
          <w:iCs/>
          <w:color w:val="000000"/>
          <w:kern w:val="22"/>
          <w:sz w:val="24"/>
          <w:lang w:eastAsia="ja-JP" w:bidi="th-TH"/>
        </w:rPr>
        <w:t>强调</w:t>
      </w:r>
      <w:r w:rsidRPr="00210AD6">
        <w:rPr>
          <w:rFonts w:cs="Times New Roman"/>
          <w:kern w:val="22"/>
          <w:sz w:val="24"/>
          <w:lang w:val="zh-CN"/>
        </w:rPr>
        <w:t>将生物多样性纳入能源和采矿、基础设施、制造和加工业部门的主流</w:t>
      </w:r>
      <w:r w:rsidRPr="00210AD6">
        <w:rPr>
          <w:rFonts w:cs="Times New Roman"/>
          <w:kern w:val="22"/>
          <w:sz w:val="24"/>
        </w:rPr>
        <w:t>，</w:t>
      </w:r>
      <w:r w:rsidRPr="00210AD6">
        <w:rPr>
          <w:rFonts w:cs="Times New Roman"/>
          <w:kern w:val="22"/>
          <w:sz w:val="24"/>
          <w:lang w:val="zh-CN"/>
        </w:rPr>
        <w:t>对于遏制生物多样性丧失</w:t>
      </w:r>
      <w:r w:rsidRPr="00210AD6">
        <w:rPr>
          <w:rFonts w:cs="Times New Roman"/>
          <w:kern w:val="22"/>
          <w:sz w:val="24"/>
        </w:rPr>
        <w:t>，</w:t>
      </w:r>
      <w:r w:rsidRPr="00210AD6">
        <w:rPr>
          <w:rFonts w:cs="Times New Roman"/>
          <w:kern w:val="22"/>
          <w:sz w:val="24"/>
          <w:lang w:val="zh-CN"/>
        </w:rPr>
        <w:t>实现《</w:t>
      </w:r>
      <w:r w:rsidRPr="00210AD6">
        <w:rPr>
          <w:rFonts w:cs="Times New Roman"/>
          <w:kern w:val="22"/>
          <w:sz w:val="24"/>
        </w:rPr>
        <w:t>2011-2020</w:t>
      </w:r>
      <w:r w:rsidRPr="00210AD6">
        <w:rPr>
          <w:rFonts w:cs="Times New Roman"/>
          <w:kern w:val="22"/>
          <w:sz w:val="24"/>
          <w:lang w:val="zh-CN"/>
        </w:rPr>
        <w:t>年生物多样性战略计划》</w:t>
      </w:r>
      <w:r w:rsidRPr="00210AD6">
        <w:rPr>
          <w:rStyle w:val="FootnoteReference"/>
          <w:kern w:val="22"/>
          <w:lang w:val="zh-CN"/>
        </w:rPr>
        <w:footnoteReference w:id="3"/>
      </w:r>
      <w:r w:rsidRPr="00210AD6">
        <w:rPr>
          <w:rFonts w:cs="Times New Roman"/>
          <w:kern w:val="22"/>
          <w:sz w:val="24"/>
          <w:lang w:val="zh-CN"/>
        </w:rPr>
        <w:t xml:space="preserve"> </w:t>
      </w:r>
      <w:r w:rsidRPr="00210AD6">
        <w:rPr>
          <w:rFonts w:cs="Times New Roman"/>
          <w:kern w:val="22"/>
          <w:sz w:val="24"/>
        </w:rPr>
        <w:t>和</w:t>
      </w:r>
      <w:r w:rsidRPr="00210AD6">
        <w:rPr>
          <w:rFonts w:cs="Times New Roman"/>
          <w:kern w:val="22"/>
          <w:sz w:val="24"/>
          <w:lang w:val="zh-CN"/>
        </w:rPr>
        <w:t>《</w:t>
      </w:r>
      <w:r w:rsidRPr="00210AD6">
        <w:rPr>
          <w:rFonts w:cs="Times New Roman"/>
          <w:kern w:val="22"/>
          <w:sz w:val="24"/>
        </w:rPr>
        <w:t>2030</w:t>
      </w:r>
      <w:r w:rsidRPr="00210AD6">
        <w:rPr>
          <w:rFonts w:cs="Times New Roman"/>
          <w:kern w:val="22"/>
          <w:sz w:val="24"/>
          <w:lang w:val="zh-CN"/>
        </w:rPr>
        <w:t>年可持续发展</w:t>
      </w:r>
      <w:r w:rsidRPr="00210AD6">
        <w:rPr>
          <w:rFonts w:cs="Times New Roman"/>
          <w:kern w:val="22"/>
          <w:sz w:val="24"/>
          <w:lang w:val="zh-CN"/>
        </w:rPr>
        <w:lastRenderedPageBreak/>
        <w:t>议程》</w:t>
      </w:r>
      <w:r w:rsidRPr="00210AD6">
        <w:rPr>
          <w:rStyle w:val="FootnoteReference"/>
          <w:kern w:val="22"/>
          <w:lang w:val="zh-CN"/>
        </w:rPr>
        <w:footnoteReference w:id="4"/>
      </w:r>
      <w:r w:rsidRPr="00210AD6">
        <w:rPr>
          <w:rFonts w:cs="Times New Roman"/>
          <w:kern w:val="22"/>
          <w:sz w:val="24"/>
          <w:lang w:val="zh-CN"/>
        </w:rPr>
        <w:t xml:space="preserve"> </w:t>
      </w:r>
      <w:r w:rsidR="00027830" w:rsidRPr="00210AD6">
        <w:rPr>
          <w:rFonts w:cs="Times New Roman"/>
          <w:kern w:val="22"/>
          <w:sz w:val="24"/>
          <w:lang w:val="zh-CN"/>
        </w:rPr>
        <w:t>、</w:t>
      </w:r>
      <w:r w:rsidRPr="00210AD6">
        <w:rPr>
          <w:rFonts w:cs="Times New Roman"/>
          <w:kern w:val="22"/>
          <w:sz w:val="24"/>
          <w:lang w:val="zh-CN"/>
        </w:rPr>
        <w:t>可持续发展目标</w:t>
      </w:r>
      <w:r w:rsidR="00027830" w:rsidRPr="00210AD6">
        <w:rPr>
          <w:rFonts w:cs="Times New Roman"/>
          <w:kern w:val="22"/>
          <w:sz w:val="24"/>
          <w:lang w:val="zh-CN"/>
        </w:rPr>
        <w:t>和《巴黎协定》</w:t>
      </w:r>
      <w:r w:rsidR="00027830" w:rsidRPr="00210AD6">
        <w:rPr>
          <w:rStyle w:val="FootnoteReference"/>
          <w:kern w:val="22"/>
          <w:lang w:val="zh-CN"/>
        </w:rPr>
        <w:footnoteReference w:id="5"/>
      </w:r>
      <w:r w:rsidRPr="00210AD6">
        <w:rPr>
          <w:rFonts w:cs="Times New Roman"/>
          <w:kern w:val="22"/>
          <w:sz w:val="24"/>
          <w:lang w:val="zh-CN"/>
        </w:rPr>
        <w:t>等多边协定和国际进程的目标至关重要，</w:t>
      </w:r>
    </w:p>
    <w:p w14:paraId="4BF76B74" w14:textId="77777777" w:rsidR="00D1552E" w:rsidRPr="00210AD6" w:rsidRDefault="00D1552E" w:rsidP="00210AD6">
      <w:pPr>
        <w:pStyle w:val="ListParagraph"/>
        <w:suppressLineNumbers/>
        <w:suppressAutoHyphens/>
        <w:adjustRightInd w:val="0"/>
        <w:snapToGrid w:val="0"/>
        <w:spacing w:before="120" w:after="120"/>
        <w:ind w:left="0" w:firstLine="720"/>
        <w:contextualSpacing w:val="0"/>
        <w:rPr>
          <w:rFonts w:cs="Times New Roman"/>
          <w:kern w:val="22"/>
          <w:sz w:val="24"/>
        </w:rPr>
      </w:pPr>
      <w:r w:rsidRPr="00210AD6">
        <w:rPr>
          <w:rFonts w:ascii="KaiTi" w:eastAsia="KaiTi" w:hAnsi="KaiTi" w:cs="Times New Roman"/>
          <w:iCs/>
          <w:color w:val="000000"/>
          <w:kern w:val="22"/>
          <w:sz w:val="24"/>
          <w:lang w:eastAsia="ja-JP" w:bidi="th-TH"/>
        </w:rPr>
        <w:t>强调</w:t>
      </w:r>
      <w:r w:rsidRPr="00210AD6">
        <w:rPr>
          <w:rFonts w:cs="Times New Roman"/>
          <w:kern w:val="22"/>
          <w:sz w:val="24"/>
          <w:lang w:val="zh-CN"/>
        </w:rPr>
        <w:t>企业和金融部门、土著人民和地方社区、民间社会、地方和次国家政府、学术界以及妇女、青年和其他相关利益攸关方在促进生物多样性主流化方面的重要作用</w:t>
      </w:r>
      <w:r w:rsidRPr="00210AD6">
        <w:rPr>
          <w:rFonts w:cs="Times New Roman"/>
          <w:kern w:val="22"/>
          <w:sz w:val="24"/>
        </w:rPr>
        <w:t>,</w:t>
      </w:r>
    </w:p>
    <w:p w14:paraId="6DE21A27" w14:textId="55A70A41" w:rsidR="00D1552E" w:rsidRPr="00210AD6" w:rsidRDefault="00D1552E" w:rsidP="00210AD6">
      <w:pPr>
        <w:pStyle w:val="ListParagraph"/>
        <w:suppressLineNumbers/>
        <w:suppressAutoHyphens/>
        <w:adjustRightInd w:val="0"/>
        <w:snapToGrid w:val="0"/>
        <w:spacing w:before="120" w:after="120"/>
        <w:ind w:left="0" w:firstLine="720"/>
        <w:contextualSpacing w:val="0"/>
        <w:rPr>
          <w:rFonts w:cs="Times New Roman"/>
          <w:sz w:val="24"/>
        </w:rPr>
      </w:pPr>
      <w:r w:rsidRPr="00210AD6">
        <w:rPr>
          <w:rFonts w:ascii="KaiTi" w:eastAsia="KaiTi" w:hAnsi="KaiTi" w:cs="Times New Roman"/>
          <w:iCs/>
          <w:color w:val="000000"/>
          <w:kern w:val="22"/>
          <w:sz w:val="24"/>
          <w:lang w:eastAsia="ja-JP" w:bidi="th-TH"/>
        </w:rPr>
        <w:t>肯定</w:t>
      </w:r>
      <w:r w:rsidRPr="00210AD6">
        <w:rPr>
          <w:rFonts w:cs="Times New Roman"/>
          <w:sz w:val="24"/>
          <w:lang w:val="zh-CN"/>
        </w:rPr>
        <w:t>各国际组织、</w:t>
      </w:r>
      <w:r w:rsidRPr="00210AD6">
        <w:rPr>
          <w:rFonts w:cs="Times New Roman"/>
          <w:kern w:val="22"/>
          <w:sz w:val="24"/>
          <w:lang w:val="zh-CN"/>
        </w:rPr>
        <w:t>相关伙伴组织和倡议为推动企业在生物多样性方面的实践所做的工作</w:t>
      </w:r>
      <w:r w:rsidRPr="00210AD6">
        <w:rPr>
          <w:rFonts w:cs="Times New Roman"/>
          <w:kern w:val="22"/>
          <w:sz w:val="24"/>
        </w:rPr>
        <w:t>，</w:t>
      </w:r>
      <w:r w:rsidRPr="00210AD6">
        <w:rPr>
          <w:rFonts w:cs="Times New Roman"/>
          <w:kern w:val="22"/>
          <w:sz w:val="24"/>
          <w:lang w:val="zh-CN"/>
        </w:rPr>
        <w:t>例如联合国环境规划署、一个地球网络、</w:t>
      </w:r>
      <w:r w:rsidRPr="00210AD6">
        <w:rPr>
          <w:rFonts w:cs="Times New Roman"/>
          <w:sz w:val="24"/>
          <w:lang w:val="zh-CN"/>
        </w:rPr>
        <w:t>联合国全球契约、联合国统计司、</w:t>
      </w:r>
      <w:r w:rsidRPr="00210AD6">
        <w:rPr>
          <w:rFonts w:cs="Times New Roman"/>
          <w:sz w:val="24"/>
        </w:rPr>
        <w:t>移栖物种公约及其多利益攸关方能源问题工作队</w:t>
      </w:r>
      <w:r w:rsidRPr="00210AD6">
        <w:rPr>
          <w:rFonts w:cs="Times New Roman"/>
          <w:sz w:val="24"/>
          <w:lang w:val="zh-CN"/>
        </w:rPr>
        <w:t>、</w:t>
      </w:r>
      <w:r w:rsidR="007102A8" w:rsidRPr="00210AD6">
        <w:rPr>
          <w:rFonts w:cs="Times New Roman"/>
          <w:sz w:val="24"/>
          <w:lang w:val="zh-CN"/>
        </w:rPr>
        <w:t>联合国贸易和发展会议及其</w:t>
      </w:r>
      <w:r w:rsidR="007102A8" w:rsidRPr="00210AD6">
        <w:rPr>
          <w:rFonts w:cs="Times New Roman"/>
          <w:sz w:val="24"/>
        </w:rPr>
        <w:t>生物贸易倡议、</w:t>
      </w:r>
      <w:r w:rsidRPr="00210AD6">
        <w:rPr>
          <w:rFonts w:cs="Times New Roman"/>
          <w:sz w:val="24"/>
          <w:lang w:val="zh-CN"/>
        </w:rPr>
        <w:t>国际保护联盟、国际综合报告委员会、剑桥可持续领导力研究所、自然资本联盟及其生物多样性工作组、全球报告倡议等所做的工作，</w:t>
      </w:r>
    </w:p>
    <w:p w14:paraId="16124248" w14:textId="77777777" w:rsidR="00D1552E" w:rsidRPr="00210AD6" w:rsidRDefault="00D1552E" w:rsidP="00210AD6">
      <w:pPr>
        <w:pStyle w:val="ListParagraph"/>
        <w:widowControl w:val="0"/>
        <w:suppressLineNumbers/>
        <w:suppressAutoHyphens/>
        <w:adjustRightInd w:val="0"/>
        <w:snapToGrid w:val="0"/>
        <w:spacing w:before="120" w:after="120"/>
        <w:ind w:left="0" w:firstLine="720"/>
        <w:contextualSpacing w:val="0"/>
        <w:rPr>
          <w:rStyle w:val="StylePatternClearGray-15Kernat11pt"/>
          <w:rFonts w:cs="Times New Roman"/>
          <w:color w:val="000000" w:themeColor="text1"/>
          <w:sz w:val="24"/>
        </w:rPr>
      </w:pPr>
      <w:r w:rsidRPr="00210AD6">
        <w:rPr>
          <w:rFonts w:ascii="KaiTi" w:eastAsia="KaiTi" w:hAnsi="KaiTi" w:cs="Times New Roman"/>
          <w:iCs/>
          <w:color w:val="000000"/>
          <w:kern w:val="22"/>
          <w:sz w:val="24"/>
          <w:lang w:eastAsia="ja-JP" w:bidi="th-TH"/>
        </w:rPr>
        <w:t>表示注意到</w:t>
      </w:r>
      <w:r w:rsidRPr="00210AD6">
        <w:rPr>
          <w:rFonts w:cs="Times New Roman"/>
          <w:color w:val="000000" w:themeColor="text1"/>
          <w:kern w:val="22"/>
          <w:sz w:val="24"/>
          <w:lang w:val="zh-CN"/>
        </w:rPr>
        <w:t>《城市与生物多样性展望》、</w:t>
      </w:r>
      <w:r w:rsidRPr="00210AD6">
        <w:rPr>
          <w:rStyle w:val="FootnoteReference"/>
          <w:color w:val="000000" w:themeColor="text1"/>
          <w:kern w:val="22"/>
          <w:lang w:val="zh-CN"/>
        </w:rPr>
        <w:footnoteReference w:id="6"/>
      </w:r>
      <w:r w:rsidRPr="00210AD6">
        <w:rPr>
          <w:rFonts w:cs="Times New Roman"/>
          <w:color w:val="000000" w:themeColor="text1"/>
          <w:kern w:val="22"/>
          <w:sz w:val="24"/>
          <w:lang w:val="zh-CN"/>
        </w:rPr>
        <w:t>《</w:t>
      </w:r>
      <w:r w:rsidRPr="00210AD6">
        <w:rPr>
          <w:rFonts w:cs="Times New Roman"/>
          <w:color w:val="000000" w:themeColor="text1"/>
          <w:kern w:val="22"/>
          <w:sz w:val="24"/>
        </w:rPr>
        <w:t>为所有人建设可持续城市和人类住区基多宣言》</w:t>
      </w:r>
      <w:r w:rsidRPr="00210AD6">
        <w:rPr>
          <w:rFonts w:cs="Times New Roman"/>
          <w:snapToGrid w:val="0"/>
          <w:color w:val="000000" w:themeColor="text1"/>
          <w:kern w:val="22"/>
          <w:sz w:val="24"/>
          <w:vertAlign w:val="superscript"/>
          <w:lang w:eastAsia="en-US"/>
        </w:rPr>
        <w:footnoteReference w:id="7"/>
      </w:r>
      <w:r w:rsidRPr="00210AD6">
        <w:rPr>
          <w:rFonts w:cs="Times New Roman"/>
          <w:color w:val="000000" w:themeColor="text1"/>
          <w:kern w:val="22"/>
          <w:sz w:val="24"/>
        </w:rPr>
        <w:t>和国际资源小组的报告</w:t>
      </w:r>
      <w:r w:rsidRPr="00210AD6">
        <w:rPr>
          <w:rStyle w:val="FootnoteReference"/>
          <w:color w:val="000000" w:themeColor="text1"/>
          <w:kern w:val="22"/>
        </w:rPr>
        <w:footnoteReference w:id="8"/>
      </w:r>
      <w:r w:rsidRPr="00210AD6">
        <w:rPr>
          <w:rStyle w:val="StylePatternClearGray-15Kernat11pt"/>
          <w:rFonts w:cs="Times New Roman"/>
          <w:color w:val="000000" w:themeColor="text1"/>
          <w:sz w:val="24"/>
          <w:lang w:val="zh-CN"/>
        </w:rPr>
        <w:t>及其有关需要在城市层面将生物多样性纳入主流的重要讯息</w:t>
      </w:r>
      <w:r w:rsidRPr="00210AD6">
        <w:rPr>
          <w:rStyle w:val="StylePatternClearGray-15Kernat11pt"/>
          <w:rFonts w:cs="Times New Roman"/>
          <w:color w:val="000000" w:themeColor="text1"/>
          <w:sz w:val="24"/>
        </w:rPr>
        <w:t>，</w:t>
      </w:r>
    </w:p>
    <w:p w14:paraId="55857E3A" w14:textId="65210AE5" w:rsidR="00D1552E" w:rsidRPr="00210AD6" w:rsidRDefault="00D1552E" w:rsidP="00210AD6">
      <w:pPr>
        <w:pStyle w:val="ListParagraph"/>
        <w:widowControl w:val="0"/>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认识到</w:t>
      </w:r>
      <w:r w:rsidRPr="00210AD6">
        <w:rPr>
          <w:rFonts w:cs="Times New Roman"/>
          <w:color w:val="000000" w:themeColor="text1"/>
          <w:kern w:val="22"/>
          <w:sz w:val="24"/>
        </w:rPr>
        <w:t>主流化对于实现《公约》的目标、《</w:t>
      </w:r>
      <w:r w:rsidRPr="00210AD6">
        <w:rPr>
          <w:rFonts w:cs="Times New Roman"/>
          <w:color w:val="000000" w:themeColor="text1"/>
          <w:kern w:val="22"/>
          <w:sz w:val="24"/>
        </w:rPr>
        <w:t>2011-2020</w:t>
      </w:r>
      <w:r w:rsidRPr="00210AD6">
        <w:rPr>
          <w:rFonts w:cs="Times New Roman"/>
          <w:color w:val="000000" w:themeColor="text1"/>
          <w:kern w:val="22"/>
          <w:sz w:val="24"/>
        </w:rPr>
        <w:t>年生物多样性战略计划》及其爱知生物多样性指标和</w:t>
      </w:r>
      <w:r w:rsidRPr="00210AD6">
        <w:rPr>
          <w:rFonts w:cs="Times New Roman"/>
          <w:color w:val="000000" w:themeColor="text1"/>
          <w:kern w:val="22"/>
          <w:sz w:val="24"/>
        </w:rPr>
        <w:t>2050</w:t>
      </w:r>
      <w:r w:rsidRPr="00210AD6">
        <w:rPr>
          <w:rFonts w:cs="Times New Roman"/>
          <w:color w:val="000000" w:themeColor="text1"/>
          <w:kern w:val="22"/>
          <w:sz w:val="24"/>
        </w:rPr>
        <w:t>年生物多样性愿景至关重要，应成为</w:t>
      </w:r>
      <w:r w:rsidRPr="00210AD6">
        <w:rPr>
          <w:rFonts w:cs="Times New Roman"/>
          <w:color w:val="000000" w:themeColor="text1"/>
          <w:kern w:val="22"/>
          <w:sz w:val="24"/>
        </w:rPr>
        <w:t>2020</w:t>
      </w:r>
      <w:r w:rsidRPr="00210AD6">
        <w:rPr>
          <w:rFonts w:cs="Times New Roman"/>
          <w:color w:val="000000" w:themeColor="text1"/>
          <w:kern w:val="22"/>
          <w:sz w:val="24"/>
        </w:rPr>
        <w:t>年后</w:t>
      </w:r>
      <w:r w:rsidR="007102A8" w:rsidRPr="00210AD6">
        <w:rPr>
          <w:rFonts w:cs="Times New Roman"/>
          <w:color w:val="000000" w:themeColor="text1"/>
          <w:kern w:val="22"/>
          <w:sz w:val="24"/>
        </w:rPr>
        <w:t>全球</w:t>
      </w:r>
      <w:r w:rsidRPr="00210AD6">
        <w:rPr>
          <w:rFonts w:cs="Times New Roman"/>
          <w:color w:val="000000" w:themeColor="text1"/>
          <w:kern w:val="22"/>
          <w:sz w:val="24"/>
        </w:rPr>
        <w:t>生物多样性框架的一个关键要素，以在整个社会和经济实现必需的转型变革，包括所有层面的行为和决策变革，</w:t>
      </w:r>
    </w:p>
    <w:p w14:paraId="7D484824" w14:textId="77777777" w:rsidR="00D1552E" w:rsidRPr="00210AD6" w:rsidRDefault="00D1552E"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欢迎</w:t>
      </w:r>
      <w:r w:rsidRPr="00210AD6">
        <w:rPr>
          <w:rFonts w:cs="Times New Roman"/>
          <w:color w:val="000000" w:themeColor="text1"/>
          <w:kern w:val="22"/>
          <w:sz w:val="24"/>
        </w:rPr>
        <w:t>生物多样性主流化问题国际专家讲习班题为</w:t>
      </w:r>
      <w:r w:rsidRPr="00210AD6">
        <w:rPr>
          <w:rFonts w:cs="Times New Roman"/>
          <w:color w:val="000000" w:themeColor="text1"/>
          <w:kern w:val="22"/>
          <w:sz w:val="24"/>
        </w:rPr>
        <w:t>“</w:t>
      </w:r>
      <w:r w:rsidRPr="00210AD6">
        <w:rPr>
          <w:rFonts w:cs="Times New Roman"/>
          <w:color w:val="000000" w:themeColor="text1"/>
          <w:kern w:val="22"/>
          <w:sz w:val="24"/>
        </w:rPr>
        <w:t>我们面临的道路：生物</w:t>
      </w:r>
      <w:r w:rsidRPr="00210AD6">
        <w:rPr>
          <w:rFonts w:cs="Times New Roman"/>
          <w:color w:val="000000" w:themeColor="text1"/>
          <w:spacing w:val="20"/>
          <w:kern w:val="22"/>
          <w:sz w:val="24"/>
        </w:rPr>
        <w:t>多样性主流化促进福祉的</w:t>
      </w:r>
      <w:r w:rsidRPr="00210AD6">
        <w:rPr>
          <w:rFonts w:cs="Times New Roman"/>
          <w:color w:val="000000" w:themeColor="text1"/>
          <w:kern w:val="22"/>
          <w:sz w:val="24"/>
        </w:rPr>
        <w:t>进展</w:t>
      </w:r>
      <w:r w:rsidRPr="00210AD6">
        <w:rPr>
          <w:rFonts w:cs="Times New Roman"/>
          <w:color w:val="000000" w:themeColor="text1"/>
          <w:kern w:val="22"/>
          <w:sz w:val="24"/>
        </w:rPr>
        <w:t>”</w:t>
      </w:r>
      <w:r w:rsidRPr="00210AD6">
        <w:rPr>
          <w:rFonts w:cs="Times New Roman"/>
          <w:color w:val="000000" w:themeColor="text1"/>
          <w:kern w:val="22"/>
          <w:sz w:val="24"/>
        </w:rPr>
        <w:t>的报告；</w:t>
      </w:r>
      <w:r w:rsidRPr="00210AD6">
        <w:rPr>
          <w:rStyle w:val="FootnoteReference"/>
          <w:color w:val="000000" w:themeColor="text1"/>
          <w:kern w:val="22"/>
        </w:rPr>
        <w:footnoteReference w:id="9"/>
      </w:r>
    </w:p>
    <w:p w14:paraId="59047B72" w14:textId="77777777" w:rsidR="00D1552E" w:rsidRPr="00210AD6" w:rsidRDefault="00D1552E"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又欢迎</w:t>
      </w:r>
      <w:r w:rsidRPr="00210AD6">
        <w:rPr>
          <w:rFonts w:cs="Times New Roman"/>
          <w:color w:val="000000" w:themeColor="text1"/>
          <w:kern w:val="22"/>
          <w:sz w:val="24"/>
        </w:rPr>
        <w:t>能源和采矿、基础设施以及制造和加工业部门主流化问题国际专家讲习班报告的执行摘要；</w:t>
      </w:r>
      <w:r w:rsidRPr="00210AD6">
        <w:rPr>
          <w:rStyle w:val="FootnoteReference"/>
          <w:color w:val="000000" w:themeColor="text1"/>
          <w:kern w:val="22"/>
        </w:rPr>
        <w:footnoteReference w:id="10"/>
      </w:r>
    </w:p>
    <w:p w14:paraId="1C00B3AF" w14:textId="77777777" w:rsidR="00D1552E" w:rsidRPr="00210AD6" w:rsidRDefault="00D1552E"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注意到</w:t>
      </w:r>
      <w:r w:rsidRPr="00210AD6">
        <w:rPr>
          <w:rFonts w:cs="Times New Roman"/>
          <w:color w:val="000000" w:themeColor="text1"/>
          <w:kern w:val="22"/>
          <w:sz w:val="24"/>
        </w:rPr>
        <w:t>审评生物多样性主流化的成效并查明其障碍和挑战，包括通过现有双边、区域和多边机制进行能力建设、技术转让、调动和提供资金的需要，具有重要意义；</w:t>
      </w:r>
    </w:p>
    <w:p w14:paraId="315BD79C" w14:textId="462B6223" w:rsidR="001A3613" w:rsidRPr="00210AD6" w:rsidRDefault="001A3613"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还注意到</w:t>
      </w:r>
      <w:r w:rsidR="004F09EF" w:rsidRPr="00210AD6">
        <w:rPr>
          <w:rFonts w:cs="Times New Roman"/>
          <w:color w:val="000000" w:themeColor="text1"/>
          <w:kern w:val="22"/>
          <w:sz w:val="24"/>
        </w:rPr>
        <w:t>让企业</w:t>
      </w:r>
      <w:r w:rsidR="00E64CC2" w:rsidRPr="00210AD6">
        <w:rPr>
          <w:rFonts w:cs="Times New Roman"/>
          <w:color w:val="000000" w:themeColor="text1"/>
          <w:kern w:val="22"/>
          <w:sz w:val="24"/>
        </w:rPr>
        <w:t>项目</w:t>
      </w:r>
      <w:r w:rsidR="004F09EF" w:rsidRPr="00210AD6">
        <w:rPr>
          <w:rFonts w:cs="Times New Roman"/>
          <w:color w:val="000000" w:themeColor="text1"/>
          <w:kern w:val="22"/>
          <w:sz w:val="24"/>
        </w:rPr>
        <w:t>有能力支持生物多样性主流</w:t>
      </w:r>
      <w:r w:rsidR="00EE363C" w:rsidRPr="00210AD6">
        <w:rPr>
          <w:rFonts w:cs="Times New Roman"/>
          <w:color w:val="000000" w:themeColor="text1"/>
          <w:kern w:val="22"/>
          <w:sz w:val="24"/>
        </w:rPr>
        <w:t>化</w:t>
      </w:r>
      <w:r w:rsidR="004F09EF" w:rsidRPr="00210AD6">
        <w:rPr>
          <w:rFonts w:cs="Times New Roman"/>
          <w:color w:val="000000" w:themeColor="text1"/>
          <w:kern w:val="22"/>
          <w:sz w:val="24"/>
        </w:rPr>
        <w:t>的重要性；</w:t>
      </w:r>
    </w:p>
    <w:p w14:paraId="61FA104C" w14:textId="77777777" w:rsidR="00D1552E" w:rsidRPr="00210AD6" w:rsidRDefault="00D1552E"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kern w:val="22"/>
          <w:sz w:val="24"/>
        </w:rPr>
      </w:pPr>
      <w:r w:rsidRPr="00210AD6">
        <w:rPr>
          <w:rFonts w:ascii="KaiTi" w:eastAsia="KaiTi" w:hAnsi="KaiTi" w:cs="Times New Roman"/>
          <w:iCs/>
          <w:color w:val="000000"/>
          <w:kern w:val="22"/>
          <w:sz w:val="24"/>
          <w:lang w:eastAsia="ja-JP" w:bidi="th-TH"/>
        </w:rPr>
        <w:t>欢迎</w:t>
      </w:r>
      <w:r w:rsidRPr="00210AD6">
        <w:rPr>
          <w:rFonts w:cs="Times New Roman"/>
          <w:color w:val="000000" w:themeColor="text1"/>
          <w:kern w:val="22"/>
          <w:sz w:val="24"/>
        </w:rPr>
        <w:t>执行秘书编写的生物多样性报告订正行动分类和相关指导意见；</w:t>
      </w:r>
      <w:r w:rsidRPr="00210AD6">
        <w:rPr>
          <w:rStyle w:val="FootnoteReference"/>
          <w:color w:val="000000" w:themeColor="text1"/>
        </w:rPr>
        <w:footnoteReference w:id="11"/>
      </w:r>
    </w:p>
    <w:p w14:paraId="515017A3" w14:textId="0B6AB853" w:rsidR="00D1552E" w:rsidRPr="00210AD6" w:rsidRDefault="00D1552E"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color w:val="000000" w:themeColor="text1"/>
          <w:sz w:val="24"/>
          <w:lang w:val="zh-CN"/>
        </w:rPr>
      </w:pPr>
      <w:r w:rsidRPr="00210AD6">
        <w:rPr>
          <w:rFonts w:ascii="KaiTi" w:eastAsia="KaiTi" w:hAnsi="KaiTi" w:cs="Times New Roman"/>
          <w:iCs/>
          <w:color w:val="000000"/>
          <w:kern w:val="22"/>
          <w:sz w:val="24"/>
          <w:lang w:eastAsia="ja-JP" w:bidi="th-TH"/>
        </w:rPr>
        <w:t>认识到</w:t>
      </w:r>
      <w:r w:rsidRPr="00210AD6">
        <w:rPr>
          <w:rFonts w:cs="Times New Roman"/>
          <w:color w:val="000000" w:themeColor="text1"/>
          <w:kern w:val="22"/>
          <w:sz w:val="24"/>
          <w:lang w:val="zh-CN"/>
        </w:rPr>
        <w:t>虽然存在</w:t>
      </w:r>
      <w:r w:rsidRPr="00210AD6">
        <w:rPr>
          <w:rFonts w:cs="Times New Roman"/>
          <w:color w:val="000000" w:themeColor="text1"/>
          <w:sz w:val="24"/>
          <w:lang w:val="zh-CN"/>
        </w:rPr>
        <w:t>保护和可持续利用生物多样性的政策和工具</w:t>
      </w:r>
      <w:r w:rsidRPr="00210AD6">
        <w:rPr>
          <w:rFonts w:cs="Times New Roman"/>
          <w:color w:val="000000" w:themeColor="text1"/>
          <w:sz w:val="24"/>
        </w:rPr>
        <w:t>，</w:t>
      </w:r>
      <w:r w:rsidRPr="00210AD6">
        <w:rPr>
          <w:rFonts w:cs="Times New Roman"/>
          <w:color w:val="000000" w:themeColor="text1"/>
          <w:sz w:val="24"/>
          <w:lang w:val="zh-CN"/>
        </w:rPr>
        <w:t>但仍有机会将生物多样性纳入</w:t>
      </w:r>
      <w:r w:rsidRPr="00210AD6">
        <w:rPr>
          <w:rFonts w:cs="Times New Roman"/>
          <w:color w:val="000000" w:themeColor="text1"/>
          <w:kern w:val="22"/>
          <w:sz w:val="24"/>
          <w:lang w:val="zh-CN"/>
        </w:rPr>
        <w:t>能源和采矿</w:t>
      </w:r>
      <w:r w:rsidRPr="00210AD6">
        <w:rPr>
          <w:rFonts w:cs="Times New Roman"/>
          <w:color w:val="000000" w:themeColor="text1"/>
          <w:sz w:val="24"/>
          <w:lang w:val="zh-CN"/>
        </w:rPr>
        <w:t>、基础设施、制造和加工业等部门的主流</w:t>
      </w:r>
      <w:r w:rsidRPr="00210AD6">
        <w:rPr>
          <w:rFonts w:cs="Times New Roman"/>
          <w:color w:val="000000" w:themeColor="text1"/>
          <w:sz w:val="24"/>
        </w:rPr>
        <w:t>，</w:t>
      </w:r>
      <w:r w:rsidRPr="00210AD6">
        <w:rPr>
          <w:rFonts w:cs="Times New Roman"/>
          <w:color w:val="000000" w:themeColor="text1"/>
          <w:sz w:val="24"/>
          <w:lang w:val="zh-CN"/>
        </w:rPr>
        <w:t>包括在</w:t>
      </w:r>
      <w:r w:rsidR="00E64CC2" w:rsidRPr="00210AD6">
        <w:rPr>
          <w:rFonts w:cs="Times New Roman"/>
          <w:color w:val="000000" w:themeColor="text1"/>
          <w:sz w:val="24"/>
          <w:lang w:val="zh-CN"/>
        </w:rPr>
        <w:t>综合空间</w:t>
      </w:r>
      <w:r w:rsidRPr="00210AD6">
        <w:rPr>
          <w:rFonts w:cs="Times New Roman"/>
          <w:color w:val="000000" w:themeColor="text1"/>
          <w:sz w:val="24"/>
          <w:lang w:val="zh-CN"/>
        </w:rPr>
        <w:t>战略规划、</w:t>
      </w:r>
      <w:r w:rsidR="00E64CC2" w:rsidRPr="00210AD6">
        <w:rPr>
          <w:rFonts w:cs="Times New Roman"/>
          <w:color w:val="000000" w:themeColor="text1"/>
          <w:sz w:val="24"/>
          <w:lang w:val="zh-CN"/>
        </w:rPr>
        <w:t>项目设计、</w:t>
      </w:r>
      <w:r w:rsidRPr="00210AD6">
        <w:rPr>
          <w:rFonts w:cs="Times New Roman"/>
          <w:color w:val="000000" w:themeColor="text1"/>
          <w:sz w:val="24"/>
          <w:lang w:val="zh-CN"/>
        </w:rPr>
        <w:t>决策、整个经济和整个部门的政策方面</w:t>
      </w:r>
      <w:r w:rsidR="00E64CC2" w:rsidRPr="00210AD6">
        <w:rPr>
          <w:rFonts w:cs="Times New Roman"/>
          <w:color w:val="000000" w:themeColor="text1"/>
          <w:sz w:val="24"/>
          <w:lang w:val="zh-CN"/>
        </w:rPr>
        <w:t>，包括按照</w:t>
      </w:r>
      <w:r w:rsidR="00E64CC2" w:rsidRPr="00210AD6">
        <w:rPr>
          <w:rFonts w:cs="Times New Roman"/>
          <w:color w:val="000000" w:themeColor="text1"/>
          <w:sz w:val="24"/>
        </w:rPr>
        <w:t>爱知生物多样性目</w:t>
      </w:r>
      <w:r w:rsidR="00E64CC2" w:rsidRPr="00210AD6">
        <w:rPr>
          <w:rFonts w:cs="Times New Roman"/>
          <w:color w:val="000000" w:themeColor="text1"/>
          <w:sz w:val="24"/>
        </w:rPr>
        <w:lastRenderedPageBreak/>
        <w:t>标</w:t>
      </w:r>
      <w:r w:rsidR="00E64CC2" w:rsidRPr="00210AD6">
        <w:rPr>
          <w:rFonts w:cs="Times New Roman"/>
          <w:color w:val="000000" w:themeColor="text1"/>
          <w:sz w:val="24"/>
        </w:rPr>
        <w:t xml:space="preserve"> 3</w:t>
      </w:r>
      <w:r w:rsidR="00E64CC2" w:rsidRPr="00210AD6">
        <w:rPr>
          <w:rFonts w:cs="Times New Roman"/>
          <w:color w:val="000000" w:themeColor="text1"/>
          <w:sz w:val="24"/>
        </w:rPr>
        <w:t>采取的激励措施</w:t>
      </w:r>
      <w:r w:rsidRPr="00210AD6">
        <w:rPr>
          <w:rFonts w:cs="Times New Roman"/>
          <w:color w:val="000000" w:themeColor="text1"/>
          <w:sz w:val="24"/>
          <w:lang w:val="zh-CN"/>
        </w:rPr>
        <w:t>；</w:t>
      </w:r>
    </w:p>
    <w:p w14:paraId="14DC1344" w14:textId="7B3D3850" w:rsidR="00273B1C" w:rsidRPr="00210AD6" w:rsidRDefault="00273B1C" w:rsidP="00CC37F8">
      <w:pPr>
        <w:pStyle w:val="ListParagraph"/>
        <w:widowControl w:val="0"/>
        <w:numPr>
          <w:ilvl w:val="0"/>
          <w:numId w:val="8"/>
        </w:numPr>
        <w:suppressLineNumbers/>
        <w:suppressAutoHyphens/>
        <w:adjustRightInd w:val="0"/>
        <w:snapToGrid w:val="0"/>
        <w:spacing w:before="120" w:after="120"/>
        <w:ind w:left="0" w:firstLine="720"/>
        <w:contextualSpacing w:val="0"/>
        <w:rPr>
          <w:rFonts w:cs="Times New Roman"/>
          <w:snapToGrid w:val="0"/>
          <w:color w:val="000000" w:themeColor="text1"/>
          <w:sz w:val="24"/>
          <w:lang w:val="zh-CN"/>
        </w:rPr>
      </w:pPr>
      <w:r w:rsidRPr="00210AD6">
        <w:rPr>
          <w:rFonts w:ascii="KaiTi" w:eastAsia="KaiTi" w:hAnsi="KaiTi" w:cs="Times New Roman"/>
          <w:iCs/>
          <w:color w:val="000000"/>
          <w:kern w:val="22"/>
          <w:sz w:val="24"/>
          <w:lang w:eastAsia="ja-JP" w:bidi="th-TH"/>
        </w:rPr>
        <w:t>认识到</w:t>
      </w:r>
      <w:r w:rsidRPr="00210AD6">
        <w:rPr>
          <w:rFonts w:cs="Times New Roman"/>
          <w:color w:val="000000" w:themeColor="text1"/>
          <w:sz w:val="24"/>
          <w:lang w:val="zh-CN"/>
        </w:rPr>
        <w:t>多边开发银行、保险公司、商业部门、金融机构和其他金融投资来源可发挥关键作用，将环境和社会保障措施及最佳做法纳入主流，以避免对生物多样性和生态基础设施造成不可弥补的损害；</w:t>
      </w:r>
    </w:p>
    <w:p w14:paraId="08A7B4DD" w14:textId="7F9E783A"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val="zh-CN" w:eastAsia="zh-CN"/>
        </w:rPr>
      </w:pPr>
      <w:r w:rsidRPr="00210AD6">
        <w:rPr>
          <w:rFonts w:ascii="KaiTi" w:eastAsia="KaiTi" w:hAnsi="KaiTi"/>
          <w:iCs/>
          <w:snapToGrid/>
          <w:color w:val="000000"/>
          <w:sz w:val="24"/>
          <w:szCs w:val="24"/>
          <w:lang w:eastAsia="ja-JP" w:bidi="th-TH"/>
        </w:rPr>
        <w:t>又认识</w:t>
      </w:r>
      <w:r w:rsidRPr="00210AD6">
        <w:rPr>
          <w:rFonts w:ascii="KaiTi" w:eastAsia="KaiTi" w:hAnsi="KaiTi"/>
          <w:iCs/>
          <w:snapToGrid/>
          <w:color w:val="000000"/>
          <w:lang w:eastAsia="ja-JP" w:bidi="th-TH"/>
        </w:rPr>
        <w:t>到</w:t>
      </w:r>
      <w:r w:rsidRPr="00210AD6">
        <w:rPr>
          <w:rStyle w:val="style21"/>
          <w:rFonts w:eastAsia="SimSun"/>
          <w:color w:val="000000" w:themeColor="text1"/>
          <w:lang w:eastAsia="zh-CN"/>
        </w:rPr>
        <w:t>现在有机会更广泛地应用涵盖生物多样性各个方面的影响评估</w:t>
      </w:r>
      <w:r w:rsidRPr="00210AD6">
        <w:rPr>
          <w:rFonts w:eastAsia="SimSun"/>
          <w:color w:val="000000" w:themeColor="text1"/>
          <w:sz w:val="24"/>
          <w:szCs w:val="24"/>
          <w:lang w:val="zh-CN" w:eastAsia="zh-CN"/>
        </w:rPr>
        <w:t>，将生物多样性考虑纳入</w:t>
      </w:r>
      <w:r w:rsidR="006E5C1C" w:rsidRPr="00210AD6">
        <w:rPr>
          <w:rFonts w:eastAsia="SimSun"/>
          <w:color w:val="000000" w:themeColor="text1"/>
          <w:sz w:val="24"/>
          <w:szCs w:val="24"/>
          <w:lang w:val="zh-CN" w:eastAsia="zh-CN"/>
        </w:rPr>
        <w:t>可行性研究、</w:t>
      </w:r>
      <w:r w:rsidRPr="00210AD6">
        <w:rPr>
          <w:rFonts w:eastAsia="SimSun"/>
          <w:color w:val="000000" w:themeColor="text1"/>
          <w:sz w:val="24"/>
          <w:szCs w:val="24"/>
          <w:lang w:val="zh-CN" w:eastAsia="zh-CN"/>
        </w:rPr>
        <w:t>风险评估和风险通报</w:t>
      </w:r>
      <w:r w:rsidRPr="00210AD6">
        <w:rPr>
          <w:rFonts w:eastAsia="SimSun"/>
          <w:color w:val="000000" w:themeColor="text1"/>
          <w:sz w:val="24"/>
          <w:szCs w:val="24"/>
          <w:lang w:eastAsia="zh-CN"/>
        </w:rPr>
        <w:t>，</w:t>
      </w:r>
      <w:r w:rsidRPr="00210AD6">
        <w:rPr>
          <w:rFonts w:eastAsia="SimSun"/>
          <w:color w:val="000000" w:themeColor="text1"/>
          <w:sz w:val="24"/>
          <w:szCs w:val="24"/>
          <w:lang w:val="zh-CN" w:eastAsia="zh-CN"/>
        </w:rPr>
        <w:t>尤其是政策、计划和方案的战略性环境评估</w:t>
      </w:r>
      <w:r w:rsidRPr="00210AD6">
        <w:rPr>
          <w:rFonts w:eastAsia="SimSun"/>
          <w:color w:val="000000" w:themeColor="text1"/>
          <w:sz w:val="24"/>
          <w:szCs w:val="24"/>
          <w:lang w:eastAsia="zh-CN"/>
        </w:rPr>
        <w:t>，</w:t>
      </w:r>
      <w:r w:rsidRPr="00210AD6">
        <w:rPr>
          <w:rFonts w:eastAsia="SimSun"/>
          <w:color w:val="000000" w:themeColor="text1"/>
          <w:sz w:val="24"/>
          <w:szCs w:val="24"/>
          <w:lang w:val="zh-CN" w:eastAsia="zh-CN"/>
        </w:rPr>
        <w:t>以及在国家和区域层面利用空间规划</w:t>
      </w:r>
      <w:r w:rsidR="006E5C1C" w:rsidRPr="00210AD6">
        <w:rPr>
          <w:rFonts w:eastAsia="SimSun"/>
          <w:color w:val="000000" w:themeColor="text1"/>
          <w:sz w:val="24"/>
          <w:szCs w:val="24"/>
          <w:lang w:val="zh-CN" w:eastAsia="zh-CN"/>
        </w:rPr>
        <w:t>，</w:t>
      </w:r>
      <w:r w:rsidR="006E5C1C" w:rsidRPr="00210AD6">
        <w:rPr>
          <w:rFonts w:eastAsia="SimSun"/>
          <w:color w:val="000000" w:themeColor="text1"/>
          <w:sz w:val="24"/>
          <w:szCs w:val="24"/>
          <w:lang w:eastAsia="zh-CN"/>
        </w:rPr>
        <w:t>以及调整监管框架，以鼓励评估和披露与投资者和企业有关的生物多样性损失相关的金融风险</w:t>
      </w:r>
      <w:r w:rsidRPr="00210AD6">
        <w:rPr>
          <w:rFonts w:eastAsia="SimSun"/>
          <w:color w:val="000000" w:themeColor="text1"/>
          <w:sz w:val="24"/>
          <w:szCs w:val="24"/>
          <w:lang w:eastAsia="zh-CN"/>
        </w:rPr>
        <w:t>；</w:t>
      </w:r>
    </w:p>
    <w:p w14:paraId="24D2444D" w14:textId="77777777"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val="zh-CN" w:eastAsia="zh-CN"/>
        </w:rPr>
      </w:pPr>
      <w:r w:rsidRPr="00210AD6">
        <w:rPr>
          <w:rFonts w:ascii="KaiTi" w:eastAsia="KaiTi" w:hAnsi="KaiTi"/>
          <w:iCs/>
          <w:snapToGrid/>
          <w:color w:val="000000"/>
          <w:sz w:val="24"/>
          <w:szCs w:val="24"/>
          <w:lang w:eastAsia="ja-JP" w:bidi="th-TH"/>
        </w:rPr>
        <w:t>欢迎</w:t>
      </w:r>
      <w:r w:rsidRPr="00210AD6">
        <w:rPr>
          <w:rStyle w:val="style21"/>
          <w:rFonts w:eastAsia="SimSun"/>
          <w:color w:val="000000" w:themeColor="text1"/>
          <w:lang w:val="zh-CN" w:eastAsia="zh-CN"/>
        </w:rPr>
        <w:t>联</w:t>
      </w:r>
      <w:r w:rsidRPr="00210AD6">
        <w:rPr>
          <w:rStyle w:val="style21"/>
          <w:rFonts w:eastAsia="SimSun"/>
          <w:color w:val="000000" w:themeColor="text1"/>
          <w:lang w:eastAsia="zh-CN"/>
        </w:rPr>
        <w:t>合国环境大会</w:t>
      </w:r>
      <w:r w:rsidRPr="00210AD6">
        <w:rPr>
          <w:rFonts w:eastAsia="SimSun"/>
          <w:color w:val="000000" w:themeColor="text1"/>
          <w:sz w:val="24"/>
          <w:szCs w:val="24"/>
          <w:lang w:eastAsia="zh-CN"/>
        </w:rPr>
        <w:t>关于将生物多样性纳入主要部门主流以减轻污染的</w:t>
      </w:r>
      <w:hyperlink r:id="rId12" w:history="1">
        <w:r w:rsidRPr="00210AD6">
          <w:rPr>
            <w:rStyle w:val="Hyperlink"/>
            <w:rFonts w:eastAsia="SimSun"/>
            <w:sz w:val="24"/>
            <w:szCs w:val="24"/>
            <w:lang w:eastAsia="zh-CN"/>
          </w:rPr>
          <w:t>第</w:t>
        </w:r>
        <w:r w:rsidRPr="00210AD6">
          <w:rPr>
            <w:rStyle w:val="Hyperlink"/>
            <w:rFonts w:eastAsia="SimSun"/>
            <w:sz w:val="24"/>
            <w:szCs w:val="24"/>
            <w:lang w:eastAsia="zh-CN"/>
          </w:rPr>
          <w:t>3/2</w:t>
        </w:r>
        <w:r w:rsidRPr="00210AD6">
          <w:rPr>
            <w:rStyle w:val="Hyperlink"/>
            <w:rFonts w:eastAsia="SimSun"/>
            <w:sz w:val="24"/>
            <w:szCs w:val="24"/>
            <w:lang w:eastAsia="zh-CN"/>
          </w:rPr>
          <w:t>号决议</w:t>
        </w:r>
      </w:hyperlink>
      <w:r w:rsidRPr="00210AD6">
        <w:rPr>
          <w:rFonts w:eastAsia="SimSun"/>
          <w:color w:val="000000" w:themeColor="text1"/>
          <w:sz w:val="24"/>
          <w:szCs w:val="24"/>
          <w:lang w:eastAsia="zh-CN"/>
        </w:rPr>
        <w:t>；</w:t>
      </w:r>
    </w:p>
    <w:p w14:paraId="3192F26C" w14:textId="77777777"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sidRPr="00210AD6">
        <w:rPr>
          <w:rFonts w:ascii="KaiTi" w:eastAsia="KaiTi" w:hAnsi="KaiTi"/>
          <w:iCs/>
          <w:snapToGrid/>
          <w:color w:val="000000"/>
          <w:sz w:val="24"/>
          <w:szCs w:val="24"/>
          <w:lang w:eastAsia="ja-JP" w:bidi="th-TH"/>
        </w:rPr>
        <w:t>又欢迎</w:t>
      </w:r>
      <w:r w:rsidRPr="00210AD6">
        <w:rPr>
          <w:rFonts w:eastAsia="SimSun"/>
          <w:color w:val="000000" w:themeColor="text1"/>
          <w:sz w:val="24"/>
          <w:szCs w:val="24"/>
          <w:lang w:eastAsia="zh-CN"/>
        </w:rPr>
        <w:t>2017</w:t>
      </w:r>
      <w:r w:rsidRPr="00210AD6">
        <w:rPr>
          <w:rFonts w:eastAsia="SimSun"/>
          <w:color w:val="000000" w:themeColor="text1"/>
          <w:sz w:val="24"/>
          <w:szCs w:val="24"/>
          <w:lang w:eastAsia="zh-CN"/>
        </w:rPr>
        <w:t>年联合国粮食及农业组织大会关于粮食及农业组织将成为农业部门生物多样性主流化平台的决定，以及粮食及农业组织于和生物多样性公约秘书处</w:t>
      </w:r>
      <w:r w:rsidRPr="00210AD6">
        <w:rPr>
          <w:rFonts w:eastAsia="SimSun"/>
          <w:color w:val="000000" w:themeColor="text1"/>
          <w:sz w:val="24"/>
          <w:szCs w:val="24"/>
          <w:lang w:eastAsia="zh-CN"/>
        </w:rPr>
        <w:t>2018</w:t>
      </w:r>
      <w:r w:rsidRPr="00210AD6">
        <w:rPr>
          <w:rFonts w:eastAsia="SimSun"/>
          <w:color w:val="000000" w:themeColor="text1"/>
          <w:sz w:val="24"/>
          <w:szCs w:val="24"/>
          <w:lang w:eastAsia="zh-CN"/>
        </w:rPr>
        <w:t>年</w:t>
      </w:r>
      <w:r w:rsidRPr="00210AD6">
        <w:rPr>
          <w:rFonts w:eastAsia="SimSun"/>
          <w:color w:val="000000" w:themeColor="text1"/>
          <w:sz w:val="24"/>
          <w:szCs w:val="24"/>
          <w:lang w:eastAsia="zh-CN"/>
        </w:rPr>
        <w:t>5</w:t>
      </w:r>
      <w:r w:rsidRPr="00210AD6">
        <w:rPr>
          <w:rFonts w:eastAsia="SimSun"/>
          <w:color w:val="000000" w:themeColor="text1"/>
          <w:sz w:val="24"/>
          <w:szCs w:val="24"/>
          <w:lang w:eastAsia="zh-CN"/>
        </w:rPr>
        <w:t>月</w:t>
      </w:r>
      <w:r w:rsidRPr="00210AD6">
        <w:rPr>
          <w:rFonts w:eastAsia="SimSun"/>
          <w:color w:val="000000" w:themeColor="text1"/>
          <w:sz w:val="24"/>
          <w:szCs w:val="24"/>
          <w:lang w:eastAsia="zh-CN"/>
        </w:rPr>
        <w:t>29</w:t>
      </w:r>
      <w:r w:rsidRPr="00210AD6">
        <w:rPr>
          <w:rFonts w:eastAsia="SimSun"/>
          <w:color w:val="000000" w:themeColor="text1"/>
          <w:sz w:val="24"/>
          <w:szCs w:val="24"/>
          <w:lang w:eastAsia="zh-CN"/>
        </w:rPr>
        <w:t>日至</w:t>
      </w:r>
      <w:r w:rsidRPr="00210AD6">
        <w:rPr>
          <w:rFonts w:eastAsia="SimSun"/>
          <w:color w:val="000000" w:themeColor="text1"/>
          <w:sz w:val="24"/>
          <w:szCs w:val="24"/>
          <w:lang w:eastAsia="zh-CN"/>
        </w:rPr>
        <w:t>31</w:t>
      </w:r>
      <w:r w:rsidRPr="00210AD6">
        <w:rPr>
          <w:rFonts w:eastAsia="SimSun"/>
          <w:color w:val="000000" w:themeColor="text1"/>
          <w:sz w:val="24"/>
          <w:szCs w:val="24"/>
          <w:lang w:eastAsia="zh-CN"/>
        </w:rPr>
        <w:t>日举办的关于农业部门生物多样性主流化多利益攸关方对话的成果；</w:t>
      </w:r>
      <w:r w:rsidRPr="00210AD6">
        <w:rPr>
          <w:rStyle w:val="FootnoteReference"/>
          <w:rFonts w:eastAsia="SimSun"/>
          <w:color w:val="000000" w:themeColor="text1"/>
          <w:szCs w:val="24"/>
        </w:rPr>
        <w:footnoteReference w:id="12"/>
      </w:r>
    </w:p>
    <w:p w14:paraId="6D6AF8C4" w14:textId="1AFDAC05"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sidRPr="00210AD6">
        <w:rPr>
          <w:rFonts w:ascii="KaiTi" w:eastAsia="KaiTi" w:hAnsi="KaiTi"/>
          <w:iCs/>
          <w:snapToGrid/>
          <w:color w:val="000000"/>
          <w:sz w:val="24"/>
          <w:szCs w:val="24"/>
          <w:lang w:eastAsia="ja-JP" w:bidi="th-TH"/>
        </w:rPr>
        <w:t>欢迎</w:t>
      </w:r>
      <w:r w:rsidRPr="00210AD6">
        <w:rPr>
          <w:rFonts w:eastAsia="SimSun"/>
          <w:color w:val="000000" w:themeColor="text1"/>
          <w:sz w:val="24"/>
          <w:szCs w:val="24"/>
          <w:lang w:eastAsia="zh-CN"/>
        </w:rPr>
        <w:t>养护野生动物移栖物种公约缔约方大会第十二届会议的决议，决议支持将生物多样性纳入能源部门的主流，</w:t>
      </w:r>
      <w:r w:rsidRPr="00210AD6">
        <w:rPr>
          <w:rStyle w:val="FootnoteReference"/>
          <w:rFonts w:eastAsia="SimSun"/>
          <w:szCs w:val="24"/>
        </w:rPr>
        <w:footnoteReference w:id="13"/>
      </w:r>
      <w:r w:rsidR="00DD5157">
        <w:rPr>
          <w:rFonts w:eastAsia="SimSun" w:hint="eastAsia"/>
          <w:color w:val="000000" w:themeColor="text1"/>
          <w:sz w:val="24"/>
          <w:szCs w:val="24"/>
          <w:lang w:eastAsia="zh-CN"/>
        </w:rPr>
        <w:t xml:space="preserve"> </w:t>
      </w:r>
      <w:r w:rsidRPr="00210AD6">
        <w:rPr>
          <w:rFonts w:eastAsia="SimSun"/>
          <w:color w:val="000000" w:themeColor="text1"/>
          <w:sz w:val="24"/>
          <w:szCs w:val="24"/>
          <w:lang w:eastAsia="zh-CN"/>
        </w:rPr>
        <w:t>特别是开发可再生能源时考虑到环境影响评估，监测出现的信息，交流来自更广泛空间规划进程的信息，又欢迎《移栖物种公约》及其多利益攸关方能源工作队为推动能源部门的生物多样性做法所做的工作；</w:t>
      </w:r>
    </w:p>
    <w:p w14:paraId="3BD667BF" w14:textId="77777777"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sidRPr="00210AD6">
        <w:rPr>
          <w:rFonts w:ascii="KaiTi" w:eastAsia="KaiTi" w:hAnsi="KaiTi"/>
          <w:iCs/>
          <w:snapToGrid/>
          <w:color w:val="000000"/>
          <w:sz w:val="24"/>
          <w:szCs w:val="24"/>
          <w:lang w:eastAsia="ja-JP" w:bidi="th-TH"/>
        </w:rPr>
        <w:t>敦促</w:t>
      </w:r>
      <w:r w:rsidRPr="00210AD6">
        <w:rPr>
          <w:rFonts w:eastAsia="SimSun"/>
          <w:color w:val="000000" w:themeColor="text1"/>
          <w:sz w:val="24"/>
          <w:szCs w:val="24"/>
          <w:lang w:val="zh-CN" w:eastAsia="zh-CN"/>
        </w:rPr>
        <w:t>各缔约方并邀请其他国家政府、伙伴和相关利益攸关方执行缔约方大会以往有关生物多样性主流化问题的决定</w:t>
      </w:r>
      <w:r w:rsidRPr="00210AD6">
        <w:rPr>
          <w:rFonts w:eastAsia="SimSun"/>
          <w:color w:val="000000" w:themeColor="text1"/>
          <w:sz w:val="24"/>
          <w:szCs w:val="24"/>
          <w:lang w:eastAsia="zh-CN"/>
        </w:rPr>
        <w:t>；</w:t>
      </w:r>
    </w:p>
    <w:p w14:paraId="2B56DD7C" w14:textId="3FABDEA4" w:rsidR="00D1552E" w:rsidRPr="00210AD6" w:rsidRDefault="00D1552E"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val="zh-CN" w:eastAsia="zh-CN"/>
        </w:rPr>
      </w:pPr>
      <w:r w:rsidRPr="00210AD6">
        <w:rPr>
          <w:rFonts w:ascii="KaiTi" w:eastAsia="KaiTi" w:hAnsi="KaiTi"/>
          <w:iCs/>
          <w:snapToGrid/>
          <w:color w:val="000000"/>
          <w:sz w:val="24"/>
          <w:szCs w:val="24"/>
          <w:lang w:eastAsia="ja-JP" w:bidi="th-TH"/>
        </w:rPr>
        <w:t>鼓励</w:t>
      </w:r>
      <w:r w:rsidRPr="00210AD6">
        <w:rPr>
          <w:rFonts w:eastAsia="SimSun"/>
          <w:color w:val="000000" w:themeColor="text1"/>
          <w:sz w:val="24"/>
          <w:szCs w:val="24"/>
          <w:lang w:val="zh-CN" w:eastAsia="zh-CN"/>
        </w:rPr>
        <w:t>各缔约方</w:t>
      </w:r>
      <w:r w:rsidR="00A01D0E" w:rsidRPr="00210AD6">
        <w:rPr>
          <w:rFonts w:eastAsia="SimSun"/>
          <w:color w:val="000000" w:themeColor="text1"/>
          <w:sz w:val="24"/>
          <w:szCs w:val="24"/>
          <w:lang w:val="zh-CN" w:eastAsia="zh-CN"/>
        </w:rPr>
        <w:t>并邀请</w:t>
      </w:r>
      <w:r w:rsidRPr="00210AD6">
        <w:rPr>
          <w:rFonts w:eastAsia="SimSun"/>
          <w:color w:val="000000" w:themeColor="text1"/>
          <w:sz w:val="24"/>
          <w:szCs w:val="24"/>
          <w:lang w:val="zh-CN" w:eastAsia="zh-CN"/>
        </w:rPr>
        <w:t>其他国家政府和相关利益攸关方，特别是参与能源和采矿、基础设施、制造和加工业部门的公共和私营实体，酌情根据其国家能力和国情、优先事项和法规：</w:t>
      </w:r>
    </w:p>
    <w:p w14:paraId="3E7BA262" w14:textId="77777777" w:rsidR="00D1552E" w:rsidRPr="00210AD6" w:rsidRDefault="00D1552E" w:rsidP="00CC37F8">
      <w:pPr>
        <w:pStyle w:val="StylePara1Kernat11pt"/>
        <w:numPr>
          <w:ilvl w:val="0"/>
          <w:numId w:val="9"/>
        </w:numPr>
        <w:suppressLineNumbers/>
        <w:suppressAutoHyphens/>
        <w:adjustRightInd w:val="0"/>
        <w:snapToGrid w:val="0"/>
        <w:ind w:left="0" w:firstLine="720"/>
        <w:rPr>
          <w:rFonts w:eastAsia="SimSun"/>
          <w:color w:val="000000" w:themeColor="text1"/>
          <w:sz w:val="24"/>
          <w:szCs w:val="24"/>
          <w:lang w:val="zh-CN" w:eastAsia="zh-CN"/>
        </w:rPr>
      </w:pPr>
      <w:r w:rsidRPr="00210AD6">
        <w:rPr>
          <w:rFonts w:eastAsia="SimSun"/>
          <w:color w:val="000000" w:themeColor="text1"/>
          <w:sz w:val="24"/>
          <w:szCs w:val="24"/>
          <w:lang w:val="zh-CN" w:eastAsia="zh-CN"/>
        </w:rPr>
        <w:t>注意到各自部门内部对生物多样性的潜在影响和依赖性的趋势，以期确定将生物多样性纳入主流的机会；</w:t>
      </w:r>
    </w:p>
    <w:p w14:paraId="28115641" w14:textId="77777777" w:rsidR="00D1552E" w:rsidRPr="00210AD6" w:rsidRDefault="00D1552E" w:rsidP="00CC37F8">
      <w:pPr>
        <w:pStyle w:val="StylePara1Kernat11pt"/>
        <w:numPr>
          <w:ilvl w:val="0"/>
          <w:numId w:val="9"/>
        </w:numPr>
        <w:suppressLineNumbers/>
        <w:suppressAutoHyphens/>
        <w:adjustRightInd w:val="0"/>
        <w:snapToGrid w:val="0"/>
        <w:ind w:left="0" w:firstLine="720"/>
        <w:rPr>
          <w:rFonts w:eastAsia="SimSun"/>
          <w:color w:val="000000" w:themeColor="text1"/>
          <w:sz w:val="24"/>
          <w:szCs w:val="24"/>
          <w:lang w:val="zh-CN" w:eastAsia="zh-CN"/>
        </w:rPr>
      </w:pPr>
      <w:r w:rsidRPr="00210AD6">
        <w:rPr>
          <w:rFonts w:eastAsia="SimSun"/>
          <w:color w:val="000000" w:themeColor="text1"/>
          <w:sz w:val="24"/>
          <w:szCs w:val="24"/>
          <w:lang w:val="zh-CN" w:eastAsia="zh-CN"/>
        </w:rPr>
        <w:t>通过战略环境评估和综合空间规划等现有工具，包括评价此类投资的替代办法，将保护、加强和可持续利用生物多样性和生态系统功能和服务的方法纳入这些部门投资的上游决定；</w:t>
      </w:r>
    </w:p>
    <w:p w14:paraId="3C26CE7C" w14:textId="0EFEDBCD" w:rsidR="00D1552E" w:rsidRPr="00210AD6" w:rsidRDefault="00D1552E" w:rsidP="00CC37F8">
      <w:pPr>
        <w:pStyle w:val="StylePara1Kernat11pt"/>
        <w:numPr>
          <w:ilvl w:val="0"/>
          <w:numId w:val="9"/>
        </w:numPr>
        <w:suppressLineNumbers/>
        <w:suppressAutoHyphens/>
        <w:adjustRightInd w:val="0"/>
        <w:snapToGrid w:val="0"/>
        <w:ind w:left="0" w:firstLine="720"/>
        <w:rPr>
          <w:rFonts w:eastAsia="SimSun"/>
          <w:color w:val="000000" w:themeColor="text1"/>
          <w:sz w:val="24"/>
          <w:szCs w:val="24"/>
          <w:lang w:val="zh-CN" w:eastAsia="zh-CN"/>
        </w:rPr>
      </w:pPr>
      <w:r w:rsidRPr="00210AD6">
        <w:rPr>
          <w:rFonts w:eastAsia="SimSun"/>
          <w:color w:val="000000" w:themeColor="text1"/>
          <w:sz w:val="24"/>
          <w:szCs w:val="24"/>
          <w:lang w:val="zh-CN" w:eastAsia="zh-CN"/>
        </w:rPr>
        <w:t>将环境影响评估</w:t>
      </w:r>
      <w:r w:rsidRPr="00210AD6">
        <w:rPr>
          <w:rStyle w:val="FootnoteReference"/>
          <w:rFonts w:eastAsia="SimSun"/>
          <w:szCs w:val="24"/>
        </w:rPr>
        <w:footnoteReference w:id="14"/>
      </w:r>
      <w:r w:rsidR="000C7700">
        <w:rPr>
          <w:rFonts w:eastAsia="SimSun" w:hint="eastAsia"/>
          <w:color w:val="000000" w:themeColor="text1"/>
          <w:sz w:val="24"/>
          <w:szCs w:val="24"/>
          <w:lang w:val="zh-CN" w:eastAsia="zh-CN"/>
        </w:rPr>
        <w:t xml:space="preserve"> </w:t>
      </w:r>
      <w:r w:rsidRPr="00210AD6">
        <w:rPr>
          <w:rFonts w:eastAsia="SimSun"/>
          <w:color w:val="000000" w:themeColor="text1"/>
          <w:sz w:val="24"/>
          <w:szCs w:val="24"/>
          <w:lang w:val="zh-CN" w:eastAsia="zh-CN"/>
        </w:rPr>
        <w:t>和生物多样性主流化的最佳做法应用于这些部门包括公共和私营金融机构批准项目和投资的决定；</w:t>
      </w:r>
    </w:p>
    <w:p w14:paraId="37CC40D7" w14:textId="77777777" w:rsidR="00D1552E" w:rsidRPr="00210AD6" w:rsidRDefault="00D1552E" w:rsidP="00CC37F8">
      <w:pPr>
        <w:pStyle w:val="StylePara1Kernat11pt"/>
        <w:numPr>
          <w:ilvl w:val="0"/>
          <w:numId w:val="9"/>
        </w:numPr>
        <w:suppressLineNumbers/>
        <w:suppressAutoHyphens/>
        <w:adjustRightInd w:val="0"/>
        <w:snapToGrid w:val="0"/>
        <w:ind w:left="0" w:firstLine="720"/>
        <w:rPr>
          <w:rFonts w:eastAsia="SimSun"/>
          <w:color w:val="000000" w:themeColor="text1"/>
          <w:sz w:val="24"/>
          <w:szCs w:val="24"/>
          <w:lang w:val="zh-CN" w:eastAsia="zh-CN"/>
        </w:rPr>
      </w:pPr>
      <w:r w:rsidRPr="00210AD6">
        <w:rPr>
          <w:rFonts w:eastAsia="SimSun"/>
          <w:color w:val="000000" w:themeColor="text1"/>
          <w:sz w:val="24"/>
          <w:szCs w:val="24"/>
          <w:lang w:val="zh-CN" w:eastAsia="zh-CN"/>
        </w:rPr>
        <w:t>在规划和设计新项目和新计划时应用缓解层级；</w:t>
      </w:r>
    </w:p>
    <w:bookmarkEnd w:id="0"/>
    <w:p w14:paraId="43C9B22E" w14:textId="77777777" w:rsidR="00DD5157" w:rsidRDefault="00DD5157" w:rsidP="00CC37F8">
      <w:pPr>
        <w:pStyle w:val="StylePara1Kernat11pt"/>
        <w:numPr>
          <w:ilvl w:val="0"/>
          <w:numId w:val="9"/>
        </w:numPr>
        <w:suppressLineNumbers/>
        <w:suppressAutoHyphens/>
        <w:adjustRightInd w:val="0"/>
        <w:snapToGrid w:val="0"/>
        <w:ind w:left="0" w:firstLine="720"/>
        <w:rPr>
          <w:rFonts w:eastAsia="SimSun"/>
          <w:color w:val="000000" w:themeColor="text1"/>
          <w:sz w:val="24"/>
          <w:szCs w:val="24"/>
          <w:lang w:val="en-US" w:eastAsia="zh-CN"/>
        </w:rPr>
      </w:pPr>
      <w:r>
        <w:rPr>
          <w:rFonts w:ascii="SimSun" w:eastAsia="SimSun" w:hAnsi="SimSun" w:cs="SimSun" w:hint="eastAsia"/>
          <w:sz w:val="24"/>
          <w:szCs w:val="24"/>
          <w:lang w:eastAsia="zh-CN"/>
        </w:rPr>
        <w:lastRenderedPageBreak/>
        <w:t>审查并酌情更新法律框架</w:t>
      </w:r>
      <w:r>
        <w:rPr>
          <w:rFonts w:eastAsia="SimSun" w:hint="eastAsia"/>
          <w:sz w:val="24"/>
          <w:szCs w:val="24"/>
          <w:lang w:eastAsia="zh-CN"/>
        </w:rPr>
        <w:t>、</w:t>
      </w:r>
      <w:r>
        <w:rPr>
          <w:rFonts w:ascii="SimSun" w:eastAsia="SimSun" w:hAnsi="SimSun" w:cs="SimSun" w:hint="eastAsia"/>
          <w:sz w:val="24"/>
          <w:szCs w:val="24"/>
          <w:lang w:eastAsia="zh-CN"/>
        </w:rPr>
        <w:t>政策和做法</w:t>
      </w:r>
      <w:r>
        <w:rPr>
          <w:rFonts w:ascii="SimSun" w:eastAsia="SimSun" w:hAnsi="SimSun" w:cs="SimSun" w:hint="eastAsia"/>
          <w:color w:val="000000"/>
          <w:sz w:val="24"/>
          <w:szCs w:val="24"/>
          <w:lang w:eastAsia="zh-CN"/>
        </w:rPr>
        <w:t>，以促进把生物多样性纳入能源和采矿、基础设施和制造及加工部门的主流，包括通过保障、监测和监督措施，并促进有关部门、学术界、妇女、青年和其他相关利益攸关方的充分和有效参与，酌情与土著人民和地方社区进行协商，以期按照国际协定、国家政策、法规和情况，获得自由、事先和知情同意；</w:t>
      </w:r>
    </w:p>
    <w:p w14:paraId="2BC56D0C"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color w:val="000000" w:themeColor="text1"/>
          <w:sz w:val="24"/>
          <w:szCs w:val="24"/>
          <w:lang w:val="zh-CN" w:eastAsia="zh-CN"/>
        </w:rPr>
      </w:pPr>
      <w:r>
        <w:rPr>
          <w:rFonts w:eastAsia="SimSun" w:hint="eastAsia"/>
          <w:color w:val="000000" w:themeColor="text1"/>
          <w:sz w:val="24"/>
          <w:szCs w:val="24"/>
          <w:lang w:val="zh-CN" w:eastAsia="zh-CN"/>
        </w:rPr>
        <w:t>根据国际义务，酌情提供有效的激励措施和适当的治理机制，加强与可持续消费和生产有关的最佳做法和现有最佳</w:t>
      </w:r>
      <w:r w:rsidRPr="00D74D31">
        <w:rPr>
          <w:rFonts w:eastAsia="SimSun" w:hint="eastAsia"/>
          <w:color w:val="000000" w:themeColor="text1"/>
          <w:sz w:val="24"/>
          <w:szCs w:val="24"/>
          <w:lang w:val="zh-CN" w:eastAsia="zh-CN"/>
        </w:rPr>
        <w:t>创新</w:t>
      </w:r>
      <w:r>
        <w:rPr>
          <w:rFonts w:eastAsia="SimSun" w:hint="eastAsia"/>
          <w:color w:val="000000" w:themeColor="text1"/>
          <w:sz w:val="24"/>
          <w:szCs w:val="24"/>
          <w:lang w:val="zh-CN" w:eastAsia="zh-CN"/>
        </w:rPr>
        <w:t>技术，</w:t>
      </w:r>
      <w:r w:rsidRPr="00D74D31">
        <w:rPr>
          <w:rFonts w:eastAsia="SimSun" w:hint="eastAsia"/>
          <w:color w:val="000000" w:themeColor="text1"/>
          <w:sz w:val="24"/>
          <w:szCs w:val="24"/>
          <w:lang w:val="zh-CN" w:eastAsia="zh-CN"/>
        </w:rPr>
        <w:t>其中包括</w:t>
      </w:r>
      <w:r>
        <w:rPr>
          <w:rFonts w:eastAsia="SimSun" w:hint="eastAsia"/>
          <w:color w:val="000000" w:themeColor="text1"/>
          <w:sz w:val="24"/>
          <w:szCs w:val="24"/>
          <w:lang w:val="zh-CN" w:eastAsia="zh-CN"/>
        </w:rPr>
        <w:t>将生物多样性纳入能源和采矿、基础设施、制造和加工业部门的主流；</w:t>
      </w:r>
    </w:p>
    <w:p w14:paraId="4FF53322"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促进和加强能源和采矿、基础设施、制造和加工业以及其他支持保护和可持续利用生物多样性的部门实施的可持续消费和生产最佳做法；</w:t>
      </w:r>
    </w:p>
    <w:p w14:paraId="0CB78E06"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酌情审评和使用现有工具，包括有关企业规划、设计、供应和价值链、可持续采购和消费的政策，促进能源和采矿、基础设施、制造和加工业部门在生物多样性方面的可持续消费和生产，使市场转向更可持续的消费、生产和创新，并继续开展合作制定和实施其他公司政策和措施；</w:t>
      </w:r>
    </w:p>
    <w:p w14:paraId="78D03A84"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审评并酌情更新法律框架、政策和做法，以促进社会经济和企业政策和规划中生物多样性保护和可持续利用的主流化，包括通过供应链中的最佳做法激励措施，可持续生产和消费及场地或生产工厂规模措施，要求企业报告对生物多样性的依赖性和影响，强化自愿披露，制定或更新有关可持续采购的法律，以及使市场转向更可持续的产品和技术的类似政策；</w:t>
      </w:r>
    </w:p>
    <w:p w14:paraId="6761DEF3"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设计和酌情实施鼓励商业和金融部门投资于将生物多样性纳入所有部门主流的措施，包括促进公开披露与生物多样性有关的公司活动的措施，并鼓励金融部门根据第</w:t>
      </w:r>
      <w:r>
        <w:rPr>
          <w:rFonts w:eastAsia="SimSun" w:hint="eastAsia"/>
          <w:color w:val="000000" w:themeColor="text1"/>
          <w:sz w:val="24"/>
          <w:szCs w:val="24"/>
          <w:lang w:val="zh-CN" w:eastAsia="zh-CN"/>
        </w:rPr>
        <w:t>X/3</w:t>
      </w:r>
      <w:r>
        <w:rPr>
          <w:rFonts w:eastAsia="SimSun" w:hint="eastAsia"/>
          <w:color w:val="000000" w:themeColor="text1"/>
          <w:sz w:val="24"/>
          <w:szCs w:val="24"/>
          <w:lang w:val="zh-CN" w:eastAsia="zh-CN"/>
        </w:rPr>
        <w:t>号决定第</w:t>
      </w:r>
      <w:r>
        <w:rPr>
          <w:rFonts w:eastAsia="SimSun" w:hint="eastAsia"/>
          <w:color w:val="000000" w:themeColor="text1"/>
          <w:sz w:val="24"/>
          <w:szCs w:val="24"/>
          <w:lang w:val="zh-CN" w:eastAsia="zh-CN"/>
        </w:rPr>
        <w:t>9(b)(</w:t>
      </w:r>
      <w:r>
        <w:rPr>
          <w:rFonts w:eastAsia="SimSun" w:hint="eastAsia"/>
          <w:color w:val="000000" w:themeColor="text1"/>
          <w:sz w:val="24"/>
          <w:szCs w:val="24"/>
          <w:lang w:val="zh-CN" w:eastAsia="zh-CN"/>
        </w:rPr>
        <w:t>二</w:t>
      </w:r>
      <w:r>
        <w:rPr>
          <w:rFonts w:eastAsia="SimSun" w:hint="eastAsia"/>
          <w:color w:val="000000" w:themeColor="text1"/>
          <w:sz w:val="24"/>
          <w:szCs w:val="24"/>
          <w:lang w:val="zh-CN" w:eastAsia="zh-CN"/>
        </w:rPr>
        <w:t>)</w:t>
      </w:r>
      <w:r>
        <w:rPr>
          <w:rFonts w:eastAsia="SimSun" w:hint="eastAsia"/>
          <w:color w:val="000000" w:themeColor="text1"/>
          <w:sz w:val="24"/>
          <w:szCs w:val="24"/>
          <w:lang w:val="zh-CN" w:eastAsia="zh-CN"/>
        </w:rPr>
        <w:t>段，制定在筹资和投资方面考虑到生物多样性和生态系统价值的方法；</w:t>
      </w:r>
    </w:p>
    <w:p w14:paraId="30B2FA01"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鼓励在能源和采矿、基础设施、制造和加工业部门的生物多样性主流化方面应用技术、研发和创新；</w:t>
      </w:r>
    </w:p>
    <w:p w14:paraId="5D2DB727"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酌情评价和寻求在能源和采矿、基础设施、制造和加工业部门利用基于生态系统的方法的机会；</w:t>
      </w:r>
    </w:p>
    <w:p w14:paraId="3DD83540"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将生物多样性和生态系统功能和服务纳入城市规划和发展，并在城市、陆地景观和海洋景观的空间规划中纳入保护、加强、恢复和可持续利用生物多样性和生态系统功能和服务的方法；</w:t>
      </w:r>
    </w:p>
    <w:p w14:paraId="2A7FA92D"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与土著人民和地方社区以及公共、私营和民间社会部门的所有相关利益攸关方合作，以建立和加强协调机制，促进解决生物多样性丧失的根本原因，促进所有部门的生物多样性主流化；</w:t>
      </w:r>
    </w:p>
    <w:p w14:paraId="7E89DD6A"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发展政府协调机制、利益攸关方投入和参与机制、多利益攸关方知识平台以及独立的政府审计或评价机构，以增进生物多样性主流化并加强国家一级的执行；</w:t>
      </w:r>
    </w:p>
    <w:p w14:paraId="0A0022F2"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建立知识平台，将各级政府机构、工商部门、土著人民和地方社区及利益攸关方聚集在一起，解决生物多样性主流化方面的技术问题，同时考虑到与环境管理和公司社会责任有关的事项；</w:t>
      </w:r>
    </w:p>
    <w:p w14:paraId="42496612"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lastRenderedPageBreak/>
        <w:t>为生物多样性的有效主流化建设能力和促进能力建设；</w:t>
      </w:r>
    </w:p>
    <w:p w14:paraId="14DD974F" w14:textId="77777777" w:rsidR="00DD5157" w:rsidRDefault="00DD5157" w:rsidP="00CC37F8">
      <w:pPr>
        <w:pStyle w:val="StylePara1Kernat11pt"/>
        <w:numPr>
          <w:ilvl w:val="0"/>
          <w:numId w:val="10"/>
        </w:numPr>
        <w:suppressLineNumbers/>
        <w:tabs>
          <w:tab w:val="left" w:pos="720"/>
        </w:tabs>
        <w:suppressAutoHyphens/>
        <w:adjustRightInd w:val="0"/>
        <w:snapToGrid w:val="0"/>
        <w:ind w:left="0" w:firstLine="720"/>
        <w:rPr>
          <w:rFonts w:eastAsia="SimSun" w:hint="eastAsia"/>
          <w:color w:val="000000" w:themeColor="text1"/>
          <w:sz w:val="24"/>
          <w:szCs w:val="24"/>
          <w:lang w:val="zh-CN" w:eastAsia="zh-CN"/>
        </w:rPr>
      </w:pPr>
      <w:r>
        <w:rPr>
          <w:rFonts w:eastAsia="SimSun" w:hint="eastAsia"/>
          <w:color w:val="000000" w:themeColor="text1"/>
          <w:sz w:val="24"/>
          <w:szCs w:val="24"/>
          <w:lang w:val="zh-CN" w:eastAsia="zh-CN"/>
        </w:rPr>
        <w:t>在《</w:t>
      </w:r>
      <w:r>
        <w:rPr>
          <w:rFonts w:eastAsia="SimSun" w:hint="eastAsia"/>
          <w:color w:val="000000" w:themeColor="text1"/>
          <w:sz w:val="24"/>
          <w:szCs w:val="24"/>
          <w:lang w:val="zh-CN" w:eastAsia="zh-CN"/>
        </w:rPr>
        <w:t>2011-2020</w:t>
      </w:r>
      <w:r>
        <w:rPr>
          <w:rFonts w:eastAsia="SimSun" w:hint="eastAsia"/>
          <w:color w:val="000000" w:themeColor="text1"/>
          <w:sz w:val="24"/>
          <w:szCs w:val="24"/>
          <w:lang w:val="zh-CN" w:eastAsia="zh-CN"/>
        </w:rPr>
        <w:t>年生物多样性战略计划》和《</w:t>
      </w:r>
      <w:r>
        <w:rPr>
          <w:rFonts w:eastAsia="SimSun" w:hint="eastAsia"/>
          <w:color w:val="000000" w:themeColor="text1"/>
          <w:sz w:val="24"/>
          <w:szCs w:val="24"/>
          <w:lang w:val="zh-CN" w:eastAsia="zh-CN"/>
        </w:rPr>
        <w:t>2030</w:t>
      </w:r>
      <w:r>
        <w:rPr>
          <w:rFonts w:eastAsia="SimSun" w:hint="eastAsia"/>
          <w:color w:val="000000" w:themeColor="text1"/>
          <w:sz w:val="24"/>
          <w:szCs w:val="24"/>
          <w:lang w:val="zh-CN" w:eastAsia="zh-CN"/>
        </w:rPr>
        <w:t>年可持续发展议程》</w:t>
      </w:r>
      <w:r>
        <w:rPr>
          <w:rFonts w:eastAsia="SimSun" w:hint="eastAsia"/>
          <w:color w:val="000000" w:themeColor="text1"/>
          <w:sz w:val="24"/>
          <w:szCs w:val="24"/>
          <w:vertAlign w:val="superscript"/>
          <w:lang w:val="zh-CN" w:eastAsia="zh-CN"/>
        </w:rPr>
        <w:t>4</w:t>
      </w:r>
      <w:r>
        <w:rPr>
          <w:rFonts w:eastAsia="SimSun" w:hint="eastAsia"/>
          <w:color w:val="000000" w:themeColor="text1"/>
          <w:sz w:val="24"/>
          <w:szCs w:val="24"/>
          <w:lang w:val="zh-CN" w:eastAsia="zh-CN"/>
        </w:rPr>
        <w:t>的框架内，促进负责生物多样性以及能源和采矿、基础设施、制造和加工部门的部委和其他机构制定政策、工作计划和具体行动，促进将生物多样性纳入这些部门的主流，并酌情将这些政策、工作计划和具体行动纳入其国家生物多样性战略和行动计划；</w:t>
      </w:r>
    </w:p>
    <w:p w14:paraId="14027237" w14:textId="77777777" w:rsidR="00DD5157" w:rsidRDefault="00DD5157" w:rsidP="00CC37F8">
      <w:pPr>
        <w:pStyle w:val="StylePara1Kernat11pt"/>
        <w:numPr>
          <w:ilvl w:val="0"/>
          <w:numId w:val="8"/>
        </w:numPr>
        <w:suppressLineNumbers/>
        <w:suppressAutoHyphens/>
        <w:adjustRightInd w:val="0"/>
        <w:snapToGrid w:val="0"/>
        <w:ind w:left="0" w:firstLine="720"/>
        <w:rPr>
          <w:rFonts w:eastAsia="SimSun" w:hint="eastAsia"/>
          <w:color w:val="000000" w:themeColor="text1"/>
          <w:sz w:val="24"/>
          <w:szCs w:val="24"/>
          <w:lang w:eastAsia="zh-CN"/>
        </w:rPr>
      </w:pPr>
      <w:r>
        <w:rPr>
          <w:rFonts w:ascii="KaiTi" w:eastAsia="KaiTi" w:hAnsi="KaiTi" w:hint="eastAsia"/>
          <w:iCs/>
          <w:color w:val="000000"/>
          <w:sz w:val="24"/>
          <w:szCs w:val="24"/>
          <w:lang w:eastAsia="ja-JP" w:bidi="th-TH"/>
        </w:rPr>
        <w:t>吁请</w:t>
      </w:r>
      <w:r>
        <w:rPr>
          <w:rFonts w:eastAsia="SimSun" w:hint="eastAsia"/>
          <w:color w:val="000000" w:themeColor="text1"/>
          <w:sz w:val="24"/>
          <w:szCs w:val="24"/>
          <w:lang w:val="zh-CN" w:eastAsia="zh-CN"/>
        </w:rPr>
        <w:t>企业界使用执行秘书编写的</w:t>
      </w:r>
      <w:r w:rsidRPr="00D74D31">
        <w:rPr>
          <w:rFonts w:eastAsia="SimSun" w:hint="eastAsia"/>
          <w:color w:val="000000" w:themeColor="text1"/>
          <w:sz w:val="24"/>
          <w:szCs w:val="24"/>
          <w:lang w:val="zh-CN" w:eastAsia="zh-CN"/>
        </w:rPr>
        <w:t>企业报告</w:t>
      </w:r>
      <w:r>
        <w:rPr>
          <w:rFonts w:eastAsia="SimSun" w:hint="eastAsia"/>
          <w:color w:val="000000" w:themeColor="text1"/>
          <w:sz w:val="24"/>
          <w:szCs w:val="24"/>
          <w:lang w:val="zh-CN" w:eastAsia="zh-CN"/>
        </w:rPr>
        <w:t>生物多样性</w:t>
      </w:r>
      <w:r w:rsidRPr="00D74D31">
        <w:rPr>
          <w:rFonts w:eastAsia="SimSun" w:hint="eastAsia"/>
          <w:color w:val="000000" w:themeColor="text1"/>
          <w:sz w:val="24"/>
          <w:szCs w:val="24"/>
          <w:lang w:val="zh-CN" w:eastAsia="zh-CN"/>
        </w:rPr>
        <w:t>有关活动</w:t>
      </w:r>
      <w:r>
        <w:rPr>
          <w:rFonts w:eastAsia="SimSun" w:hint="eastAsia"/>
          <w:color w:val="000000" w:themeColor="text1"/>
          <w:sz w:val="24"/>
          <w:szCs w:val="24"/>
          <w:lang w:val="zh-CN" w:eastAsia="zh-CN"/>
        </w:rPr>
        <w:t>的订正行动</w:t>
      </w:r>
      <w:r w:rsidRPr="00D74D31">
        <w:rPr>
          <w:rFonts w:eastAsia="SimSun" w:hint="eastAsia"/>
          <w:color w:val="000000" w:themeColor="text1"/>
          <w:sz w:val="24"/>
          <w:szCs w:val="24"/>
          <w:lang w:val="zh-CN" w:eastAsia="zh-CN"/>
        </w:rPr>
        <w:t>类别</w:t>
      </w:r>
      <w:r>
        <w:rPr>
          <w:rFonts w:eastAsia="SimSun" w:hint="eastAsia"/>
          <w:color w:val="000000" w:themeColor="text1"/>
          <w:sz w:val="24"/>
          <w:szCs w:val="24"/>
          <w:lang w:val="zh-CN" w:eastAsia="zh-CN"/>
        </w:rPr>
        <w:t>和相关指导意见</w:t>
      </w:r>
      <w:r w:rsidRPr="00D74D31">
        <w:rPr>
          <w:rFonts w:eastAsia="SimSun" w:hint="eastAsia"/>
          <w:color w:val="000000" w:themeColor="text1"/>
          <w:sz w:val="24"/>
          <w:szCs w:val="24"/>
          <w:lang w:val="zh-CN" w:eastAsia="zh-CN"/>
        </w:rPr>
        <w:t>，包括为投资者和民间社会在内的所有利益攸关方，改进公司生物多样性业绩的可比信息的情况；</w:t>
      </w:r>
    </w:p>
    <w:p w14:paraId="3CE46A84" w14:textId="77777777" w:rsidR="00DD5157" w:rsidRPr="00D74D31" w:rsidRDefault="00DD5157"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val="zh-CN" w:eastAsia="zh-CN"/>
        </w:rPr>
      </w:pPr>
      <w:r>
        <w:rPr>
          <w:rFonts w:ascii="KaiTi" w:eastAsia="KaiTi" w:hAnsi="KaiTi" w:hint="eastAsia"/>
          <w:iCs/>
          <w:color w:val="000000"/>
          <w:sz w:val="24"/>
          <w:szCs w:val="24"/>
          <w:lang w:eastAsia="ja-JP" w:bidi="th-TH"/>
        </w:rPr>
        <w:t>邀请</w:t>
      </w:r>
      <w:r>
        <w:rPr>
          <w:rFonts w:eastAsia="SimSun" w:hint="eastAsia"/>
          <w:color w:val="000000" w:themeColor="text1"/>
          <w:sz w:val="24"/>
          <w:szCs w:val="24"/>
          <w:lang w:val="zh-CN" w:eastAsia="zh-CN"/>
        </w:rPr>
        <w:t>多边开发银行、保险公司、工商部门、金融机构和其他金融投资方</w:t>
      </w:r>
      <w:r w:rsidRPr="00D74D31">
        <w:rPr>
          <w:rFonts w:eastAsia="SimSun" w:hint="eastAsia"/>
          <w:color w:val="000000" w:themeColor="text1"/>
          <w:sz w:val="24"/>
          <w:szCs w:val="24"/>
          <w:lang w:val="zh-CN" w:eastAsia="zh-CN"/>
        </w:rPr>
        <w:t>，更多地采用和酌情改进保护和可持续利用生物多样性的最佳做法以及有关</w:t>
      </w:r>
      <w:r>
        <w:rPr>
          <w:rFonts w:eastAsia="SimSun" w:hint="eastAsia"/>
          <w:color w:val="000000" w:themeColor="text1"/>
          <w:sz w:val="24"/>
          <w:szCs w:val="24"/>
          <w:lang w:val="zh-CN" w:eastAsia="zh-CN"/>
        </w:rPr>
        <w:t>这些部门投资决策的社会和环境保障措施，让他们</w:t>
      </w:r>
      <w:r w:rsidRPr="00D74D31">
        <w:rPr>
          <w:rFonts w:eastAsia="SimSun" w:hint="eastAsia"/>
          <w:color w:val="000000" w:themeColor="text1"/>
          <w:sz w:val="24"/>
          <w:szCs w:val="24"/>
          <w:lang w:val="zh-CN" w:eastAsia="zh-CN"/>
        </w:rPr>
        <w:t>知道和</w:t>
      </w:r>
      <w:r>
        <w:rPr>
          <w:rFonts w:eastAsia="SimSun" w:hint="eastAsia"/>
          <w:color w:val="000000" w:themeColor="text1"/>
          <w:sz w:val="24"/>
          <w:szCs w:val="24"/>
          <w:lang w:val="zh-CN" w:eastAsia="zh-CN"/>
        </w:rPr>
        <w:t>了解最好的科学知识和实践</w:t>
      </w:r>
      <w:r w:rsidRPr="00D74D31">
        <w:rPr>
          <w:rFonts w:eastAsia="SimSun" w:hint="eastAsia"/>
          <w:color w:val="000000" w:themeColor="text1"/>
          <w:sz w:val="24"/>
          <w:szCs w:val="24"/>
          <w:lang w:val="zh-CN" w:eastAsia="zh-CN"/>
        </w:rPr>
        <w:t>；</w:t>
      </w:r>
    </w:p>
    <w:p w14:paraId="21D72F2F" w14:textId="77777777" w:rsidR="00DD5157" w:rsidRDefault="00DD5157"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Pr>
          <w:rFonts w:ascii="KaiTi" w:eastAsia="KaiTi" w:hAnsi="KaiTi" w:hint="eastAsia"/>
          <w:iCs/>
          <w:color w:val="000000"/>
          <w:sz w:val="24"/>
          <w:szCs w:val="24"/>
          <w:lang w:eastAsia="ja-JP" w:bidi="th-TH"/>
        </w:rPr>
        <w:t>邀请</w:t>
      </w:r>
      <w:r>
        <w:rPr>
          <w:rFonts w:eastAsia="SimSun" w:hint="eastAsia"/>
          <w:color w:val="000000" w:themeColor="text1"/>
          <w:sz w:val="24"/>
          <w:szCs w:val="24"/>
          <w:lang w:val="zh-CN" w:eastAsia="zh-CN"/>
        </w:rPr>
        <w:t>相关组织和倡议进一步加大工作力度</w:t>
      </w:r>
      <w:r>
        <w:rPr>
          <w:rFonts w:eastAsia="SimSun" w:hint="eastAsia"/>
          <w:color w:val="000000" w:themeColor="text1"/>
          <w:sz w:val="24"/>
          <w:szCs w:val="24"/>
          <w:lang w:eastAsia="zh-CN"/>
        </w:rPr>
        <w:t>，以确定</w:t>
      </w:r>
      <w:r>
        <w:rPr>
          <w:rFonts w:eastAsia="SimSun" w:hint="eastAsia"/>
          <w:color w:val="000000" w:themeColor="text1"/>
          <w:sz w:val="24"/>
          <w:szCs w:val="24"/>
          <w:lang w:val="zh-CN" w:eastAsia="zh-CN"/>
        </w:rPr>
        <w:t>企业和金融部门设计、宣传和实施</w:t>
      </w:r>
      <w:r>
        <w:rPr>
          <w:rFonts w:eastAsia="SimSun" w:hint="eastAsia"/>
          <w:color w:val="000000" w:themeColor="text1"/>
          <w:sz w:val="24"/>
          <w:szCs w:val="24"/>
          <w:lang w:eastAsia="zh-CN"/>
        </w:rPr>
        <w:t>生物多样性</w:t>
      </w:r>
      <w:r>
        <w:rPr>
          <w:rFonts w:eastAsia="SimSun" w:hint="eastAsia"/>
          <w:color w:val="000000" w:themeColor="text1"/>
          <w:sz w:val="24"/>
          <w:szCs w:val="24"/>
          <w:lang w:val="zh-CN" w:eastAsia="zh-CN"/>
        </w:rPr>
        <w:t>主流化的关键要素，并加强相互信息共享和合作</w:t>
      </w:r>
      <w:r>
        <w:rPr>
          <w:rFonts w:eastAsia="SimSun" w:hint="eastAsia"/>
          <w:color w:val="000000" w:themeColor="text1"/>
          <w:sz w:val="24"/>
          <w:szCs w:val="24"/>
          <w:lang w:eastAsia="zh-CN"/>
        </w:rPr>
        <w:t>，</w:t>
      </w:r>
      <w:r>
        <w:rPr>
          <w:rFonts w:eastAsia="SimSun" w:hint="eastAsia"/>
          <w:color w:val="000000" w:themeColor="text1"/>
          <w:sz w:val="24"/>
          <w:szCs w:val="24"/>
          <w:lang w:val="zh-CN" w:eastAsia="zh-CN"/>
        </w:rPr>
        <w:t>特别是</w:t>
      </w:r>
      <w:r>
        <w:rPr>
          <w:rFonts w:eastAsia="SimSun" w:hint="eastAsia"/>
          <w:color w:val="000000" w:themeColor="text1"/>
          <w:sz w:val="24"/>
          <w:szCs w:val="24"/>
          <w:lang w:eastAsia="zh-CN"/>
        </w:rPr>
        <w:t>：</w:t>
      </w:r>
    </w:p>
    <w:p w14:paraId="5739E0C2" w14:textId="77777777" w:rsidR="00DD5157" w:rsidRDefault="00DD5157" w:rsidP="00CC37F8">
      <w:pPr>
        <w:pStyle w:val="ListParagraph"/>
        <w:numPr>
          <w:ilvl w:val="2"/>
          <w:numId w:val="11"/>
        </w:numPr>
        <w:suppressLineNumbers/>
        <w:suppressAutoHyphens/>
        <w:adjustRightInd w:val="0"/>
        <w:snapToGrid w:val="0"/>
        <w:spacing w:before="120" w:after="120"/>
        <w:ind w:left="0" w:firstLine="720"/>
        <w:contextualSpacing w:val="0"/>
        <w:rPr>
          <w:rFonts w:eastAsiaTheme="minorEastAsia" w:cs="Times New Roman"/>
          <w:color w:val="000000" w:themeColor="text1"/>
          <w:sz w:val="24"/>
          <w:lang w:val="zh-CN"/>
        </w:rPr>
      </w:pPr>
      <w:r>
        <w:rPr>
          <w:rFonts w:hAnsi="DengXian" w:cs="Times New Roman" w:hint="eastAsia"/>
          <w:color w:val="000000" w:themeColor="text1"/>
          <w:sz w:val="24"/>
          <w:lang w:val="zh-CN"/>
        </w:rPr>
        <w:t>按上文第</w:t>
      </w:r>
      <w:r>
        <w:rPr>
          <w:rFonts w:cs="Times New Roman" w:hint="eastAsia"/>
          <w:color w:val="000000" w:themeColor="text1"/>
          <w:sz w:val="24"/>
          <w:lang w:val="zh-CN"/>
        </w:rPr>
        <w:t>11(h)</w:t>
      </w:r>
      <w:r>
        <w:rPr>
          <w:rFonts w:hAnsi="DengXian" w:cs="Times New Roman" w:hint="eastAsia"/>
          <w:color w:val="000000" w:themeColor="text1"/>
          <w:sz w:val="24"/>
          <w:lang w:val="zh-CN"/>
        </w:rPr>
        <w:t>段所述，改善企业对这些部门生物多样性的重要性和价值的内在化，并促进经验和良好做法的交流；</w:t>
      </w:r>
    </w:p>
    <w:p w14:paraId="627065A4" w14:textId="77777777" w:rsidR="00DD5157" w:rsidRDefault="00DD5157" w:rsidP="00CC37F8">
      <w:pPr>
        <w:pStyle w:val="ListParagraph"/>
        <w:numPr>
          <w:ilvl w:val="2"/>
          <w:numId w:val="11"/>
        </w:numPr>
        <w:suppressLineNumbers/>
        <w:suppressAutoHyphens/>
        <w:adjustRightInd w:val="0"/>
        <w:snapToGrid w:val="0"/>
        <w:spacing w:before="120" w:after="120"/>
        <w:ind w:left="0" w:firstLine="720"/>
        <w:contextualSpacing w:val="0"/>
        <w:rPr>
          <w:rFonts w:cs="Times New Roman" w:hint="eastAsia"/>
          <w:color w:val="000000" w:themeColor="text1"/>
          <w:kern w:val="22"/>
          <w:sz w:val="24"/>
        </w:rPr>
      </w:pPr>
      <w:r>
        <w:rPr>
          <w:rFonts w:hAnsi="DengXian" w:cs="Times New Roman" w:hint="eastAsia"/>
          <w:color w:val="000000" w:themeColor="text1"/>
          <w:sz w:val="24"/>
        </w:rPr>
        <w:t>制定和改进标准、指标、基线和其他工具，以衡量这些部门的企业对生物多样性的依赖性和对生物多样性的影响，向企业管理者和投资者提供可靠、可信和可操作的信息，以改进决策，促进环境、社会和治理投资；</w:t>
      </w:r>
    </w:p>
    <w:p w14:paraId="0CF82564" w14:textId="77777777" w:rsidR="00DD5157" w:rsidRDefault="00DD5157" w:rsidP="00CC37F8">
      <w:pPr>
        <w:pStyle w:val="ListParagraph"/>
        <w:numPr>
          <w:ilvl w:val="2"/>
          <w:numId w:val="11"/>
        </w:numPr>
        <w:suppressLineNumbers/>
        <w:suppressAutoHyphens/>
        <w:adjustRightInd w:val="0"/>
        <w:snapToGrid w:val="0"/>
        <w:spacing w:before="120" w:after="120"/>
        <w:ind w:left="0" w:firstLine="720"/>
        <w:contextualSpacing w:val="0"/>
        <w:rPr>
          <w:rFonts w:cs="Times New Roman"/>
          <w:color w:val="000000" w:themeColor="text1"/>
          <w:kern w:val="22"/>
          <w:sz w:val="24"/>
        </w:rPr>
      </w:pPr>
      <w:r>
        <w:rPr>
          <w:rFonts w:hAnsi="DengXian" w:cs="Times New Roman" w:hint="eastAsia"/>
          <w:color w:val="000000" w:themeColor="text1"/>
          <w:sz w:val="24"/>
          <w:lang w:val="zh-CN"/>
        </w:rPr>
        <w:t>对照《</w:t>
      </w:r>
      <w:r>
        <w:rPr>
          <w:rFonts w:cs="Times New Roman"/>
          <w:color w:val="000000" w:themeColor="text1"/>
          <w:sz w:val="24"/>
        </w:rPr>
        <w:t>2030</w:t>
      </w:r>
      <w:r>
        <w:rPr>
          <w:rFonts w:hAnsi="DengXian" w:cs="Times New Roman" w:hint="eastAsia"/>
          <w:color w:val="000000" w:themeColor="text1"/>
          <w:sz w:val="24"/>
          <w:lang w:val="zh-CN"/>
        </w:rPr>
        <w:t>年可持续发展议程》及其《可持续发展目标》</w:t>
      </w:r>
      <w:r>
        <w:rPr>
          <w:rFonts w:hAnsi="DengXian" w:cs="Times New Roman" w:hint="eastAsia"/>
          <w:color w:val="000000" w:themeColor="text1"/>
          <w:sz w:val="24"/>
        </w:rPr>
        <w:t>，</w:t>
      </w:r>
      <w:r>
        <w:rPr>
          <w:rFonts w:cs="Times New Roman" w:hint="eastAsia"/>
          <w:color w:val="000000" w:themeColor="text1"/>
          <w:sz w:val="24"/>
          <w:vertAlign w:val="superscript"/>
        </w:rPr>
        <w:t xml:space="preserve"> </w:t>
      </w:r>
      <w:r>
        <w:rPr>
          <w:rFonts w:hAnsi="DengXian" w:cs="Times New Roman" w:hint="eastAsia"/>
          <w:color w:val="000000" w:themeColor="text1"/>
          <w:sz w:val="24"/>
          <w:lang w:val="zh-CN"/>
        </w:rPr>
        <w:t>就如何加强企业报告中有关生态系统和生物多样性影响和依赖性的组成部分制定具体指导意见</w:t>
      </w:r>
      <w:r>
        <w:rPr>
          <w:rFonts w:hAnsi="DengXian" w:cs="Times New Roman" w:hint="eastAsia"/>
          <w:color w:val="000000" w:themeColor="text1"/>
          <w:sz w:val="24"/>
        </w:rPr>
        <w:t>；</w:t>
      </w:r>
    </w:p>
    <w:p w14:paraId="26BF1484" w14:textId="77777777" w:rsidR="00DD5157" w:rsidRDefault="00DD5157" w:rsidP="00CC37F8">
      <w:pPr>
        <w:pStyle w:val="ListParagraph"/>
        <w:numPr>
          <w:ilvl w:val="2"/>
          <w:numId w:val="11"/>
        </w:numPr>
        <w:suppressLineNumbers/>
        <w:suppressAutoHyphens/>
        <w:adjustRightInd w:val="0"/>
        <w:snapToGrid w:val="0"/>
        <w:spacing w:before="120" w:after="120"/>
        <w:ind w:left="0" w:firstLine="720"/>
        <w:contextualSpacing w:val="0"/>
        <w:rPr>
          <w:rFonts w:cs="Times New Roman"/>
          <w:color w:val="000000" w:themeColor="text1"/>
          <w:kern w:val="22"/>
          <w:sz w:val="24"/>
        </w:rPr>
      </w:pPr>
      <w:r>
        <w:rPr>
          <w:rFonts w:hAnsi="DengXian" w:cs="Times New Roman" w:hint="eastAsia"/>
          <w:color w:val="000000" w:themeColor="text1"/>
          <w:sz w:val="24"/>
        </w:rPr>
        <w:t>酌情加强联合国环境经济核算系统与工商和金融部门使用的生物多样性和生态系统核算框架之间的联系；</w:t>
      </w:r>
    </w:p>
    <w:p w14:paraId="0B82E5B9" w14:textId="77777777" w:rsidR="00DD5157" w:rsidRDefault="00DD5157"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Pr>
          <w:rFonts w:ascii="KaiTi" w:eastAsia="KaiTi" w:hAnsi="KaiTi" w:hint="eastAsia"/>
          <w:iCs/>
          <w:color w:val="000000"/>
          <w:sz w:val="24"/>
          <w:szCs w:val="24"/>
          <w:lang w:eastAsia="ja-JP" w:bidi="th-TH"/>
        </w:rPr>
        <w:t>决定</w:t>
      </w:r>
      <w:r>
        <w:rPr>
          <w:rFonts w:eastAsia="SimSun" w:hint="eastAsia"/>
          <w:color w:val="000000" w:themeColor="text1"/>
          <w:sz w:val="24"/>
          <w:szCs w:val="24"/>
          <w:lang w:val="zh-CN" w:eastAsia="zh-CN"/>
        </w:rPr>
        <w:t>制定生物多样性主流化的长期战略办法</w:t>
      </w:r>
      <w:r>
        <w:rPr>
          <w:rFonts w:eastAsia="SimSun" w:hint="eastAsia"/>
          <w:color w:val="000000" w:themeColor="text1"/>
          <w:sz w:val="24"/>
          <w:szCs w:val="24"/>
          <w:lang w:eastAsia="zh-CN"/>
        </w:rPr>
        <w:t>；</w:t>
      </w:r>
    </w:p>
    <w:p w14:paraId="37B38E8C" w14:textId="77777777" w:rsidR="00DD5157" w:rsidRDefault="00DD5157"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Pr>
          <w:rFonts w:ascii="KaiTi" w:eastAsia="KaiTi" w:hAnsi="KaiTi" w:hint="eastAsia"/>
          <w:iCs/>
          <w:color w:val="000000"/>
          <w:sz w:val="24"/>
          <w:szCs w:val="24"/>
          <w:lang w:eastAsia="ja-JP" w:bidi="th-TH"/>
        </w:rPr>
        <w:t>又决定</w:t>
      </w:r>
      <w:r>
        <w:rPr>
          <w:rFonts w:eastAsia="SimSun" w:hint="eastAsia"/>
          <w:color w:val="000000" w:themeColor="text1"/>
          <w:sz w:val="24"/>
          <w:szCs w:val="24"/>
          <w:lang w:val="zh-CN" w:eastAsia="zh-CN"/>
        </w:rPr>
        <w:t>设立一个生物多样性主流化问题非正式咨询小组</w:t>
      </w:r>
      <w:r>
        <w:rPr>
          <w:rFonts w:eastAsia="SimSun" w:hint="eastAsia"/>
          <w:color w:val="000000" w:themeColor="text1"/>
          <w:sz w:val="24"/>
          <w:szCs w:val="24"/>
          <w:lang w:eastAsia="zh-CN"/>
        </w:rPr>
        <w:t>，其职权范围见附件二，就</w:t>
      </w:r>
      <w:r>
        <w:rPr>
          <w:rFonts w:eastAsia="SimSun" w:hint="eastAsia"/>
          <w:color w:val="000000" w:themeColor="text1"/>
          <w:sz w:val="24"/>
          <w:szCs w:val="24"/>
          <w:lang w:val="zh-CN" w:eastAsia="zh-CN"/>
        </w:rPr>
        <w:t>进一步制定推动生物多样性主流化的长期办法的提案向执行秘书和主席团提供咨询意见，包括适当将主流化纳入</w:t>
      </w:r>
      <w:r>
        <w:rPr>
          <w:rFonts w:eastAsia="SimSun" w:hint="eastAsia"/>
          <w:color w:val="000000" w:themeColor="text1"/>
          <w:sz w:val="24"/>
          <w:szCs w:val="24"/>
          <w:lang w:val="zh-CN" w:eastAsia="zh-CN"/>
        </w:rPr>
        <w:t>2020</w:t>
      </w:r>
      <w:r>
        <w:rPr>
          <w:rFonts w:eastAsia="SimSun" w:hint="eastAsia"/>
          <w:color w:val="000000" w:themeColor="text1"/>
          <w:sz w:val="24"/>
          <w:szCs w:val="24"/>
          <w:lang w:val="zh-CN" w:eastAsia="zh-CN"/>
        </w:rPr>
        <w:t>年后全球生物多样性框架的途径，提交执行问题附属机构第三次会议审议</w:t>
      </w:r>
      <w:r>
        <w:rPr>
          <w:rFonts w:eastAsia="SimSun" w:hint="eastAsia"/>
          <w:color w:val="000000" w:themeColor="text1"/>
          <w:sz w:val="24"/>
          <w:szCs w:val="24"/>
          <w:lang w:eastAsia="zh-CN"/>
        </w:rPr>
        <w:t>；</w:t>
      </w:r>
    </w:p>
    <w:p w14:paraId="7E706E5E" w14:textId="77777777" w:rsidR="00DD5157" w:rsidRDefault="00DD5157" w:rsidP="00CC37F8">
      <w:pPr>
        <w:pStyle w:val="StylePara1Kernat11pt"/>
        <w:numPr>
          <w:ilvl w:val="0"/>
          <w:numId w:val="8"/>
        </w:numPr>
        <w:suppressLineNumbers/>
        <w:suppressAutoHyphens/>
        <w:adjustRightInd w:val="0"/>
        <w:snapToGrid w:val="0"/>
        <w:ind w:left="0" w:firstLine="720"/>
        <w:rPr>
          <w:rFonts w:eastAsia="SimSun"/>
          <w:color w:val="000000" w:themeColor="text1"/>
          <w:sz w:val="24"/>
          <w:szCs w:val="24"/>
          <w:lang w:eastAsia="zh-CN"/>
        </w:rPr>
      </w:pPr>
      <w:r>
        <w:rPr>
          <w:rFonts w:ascii="KaiTi" w:eastAsia="KaiTi" w:hAnsi="KaiTi" w:hint="eastAsia"/>
          <w:iCs/>
          <w:color w:val="000000"/>
          <w:sz w:val="24"/>
          <w:szCs w:val="24"/>
          <w:lang w:eastAsia="ja-JP" w:bidi="th-TH"/>
        </w:rPr>
        <w:t>请</w:t>
      </w:r>
      <w:r>
        <w:rPr>
          <w:rFonts w:eastAsia="SimSun" w:hint="eastAsia"/>
          <w:color w:val="000000" w:themeColor="text1"/>
          <w:sz w:val="24"/>
          <w:szCs w:val="24"/>
          <w:lang w:val="zh-CN" w:eastAsia="zh-CN"/>
        </w:rPr>
        <w:t>执行秘书在资金允许的情况下</w:t>
      </w:r>
      <w:r>
        <w:rPr>
          <w:rFonts w:eastAsia="SimSun" w:hint="eastAsia"/>
          <w:color w:val="000000" w:themeColor="text1"/>
          <w:sz w:val="24"/>
          <w:szCs w:val="24"/>
          <w:lang w:eastAsia="zh-CN"/>
        </w:rPr>
        <w:t>：</w:t>
      </w:r>
    </w:p>
    <w:p w14:paraId="3A47005D"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val="zh-CN" w:eastAsia="zh-CN"/>
        </w:rPr>
        <w:t>进行支持执行本决定的活动</w:t>
      </w:r>
      <w:r>
        <w:rPr>
          <w:rFonts w:eastAsia="SimSun" w:hint="eastAsia"/>
          <w:color w:val="000000" w:themeColor="text1"/>
          <w:sz w:val="24"/>
          <w:szCs w:val="24"/>
          <w:lang w:eastAsia="zh-CN"/>
        </w:rPr>
        <w:t>，</w:t>
      </w:r>
      <w:r>
        <w:rPr>
          <w:rFonts w:eastAsia="SimSun" w:hint="eastAsia"/>
          <w:color w:val="000000" w:themeColor="text1"/>
          <w:sz w:val="24"/>
          <w:szCs w:val="24"/>
          <w:lang w:val="zh-CN" w:eastAsia="zh-CN"/>
        </w:rPr>
        <w:t>并按照缔约方大会以前各项决定的要求</w:t>
      </w:r>
      <w:r>
        <w:rPr>
          <w:rFonts w:eastAsia="SimSun" w:hint="eastAsia"/>
          <w:color w:val="000000" w:themeColor="text1"/>
          <w:sz w:val="24"/>
          <w:szCs w:val="24"/>
          <w:lang w:eastAsia="zh-CN"/>
        </w:rPr>
        <w:t>，</w:t>
      </w:r>
      <w:r>
        <w:rPr>
          <w:rFonts w:eastAsia="SimSun" w:hint="eastAsia"/>
          <w:color w:val="000000" w:themeColor="text1"/>
          <w:sz w:val="24"/>
          <w:szCs w:val="24"/>
          <w:lang w:val="zh-CN" w:eastAsia="zh-CN"/>
        </w:rPr>
        <w:t>继续支持与生物多样性主流化有关的工作</w:t>
      </w:r>
      <w:r>
        <w:rPr>
          <w:rFonts w:eastAsia="SimSun" w:hint="eastAsia"/>
          <w:color w:val="000000" w:themeColor="text1"/>
          <w:sz w:val="24"/>
          <w:szCs w:val="24"/>
          <w:lang w:eastAsia="zh-CN"/>
        </w:rPr>
        <w:t>；</w:t>
      </w:r>
    </w:p>
    <w:p w14:paraId="50E5BF22"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t>确保将关于生物多样性主流化的讨论和投入适当纳入</w:t>
      </w:r>
      <w:r>
        <w:rPr>
          <w:rFonts w:eastAsia="SimSun"/>
          <w:color w:val="000000" w:themeColor="text1"/>
          <w:sz w:val="24"/>
          <w:szCs w:val="24"/>
          <w:lang w:eastAsia="zh-CN"/>
        </w:rPr>
        <w:t>2020</w:t>
      </w:r>
      <w:r>
        <w:rPr>
          <w:rFonts w:eastAsia="SimSun" w:hint="eastAsia"/>
          <w:color w:val="000000" w:themeColor="text1"/>
          <w:sz w:val="24"/>
          <w:szCs w:val="24"/>
          <w:lang w:eastAsia="zh-CN"/>
        </w:rPr>
        <w:t>年后全球生物多样性框架的制定工作，包括技术和政策讨论以及各利益攸关方和合作伙伴的投入；</w:t>
      </w:r>
    </w:p>
    <w:p w14:paraId="18E262E8"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val="zh-CN" w:eastAsia="zh-CN"/>
        </w:rPr>
        <w:t>根据本文件附件一所载提案</w:t>
      </w:r>
      <w:r>
        <w:rPr>
          <w:rFonts w:eastAsia="SimSun" w:hint="eastAsia"/>
          <w:color w:val="000000" w:themeColor="text1"/>
          <w:sz w:val="24"/>
          <w:szCs w:val="24"/>
          <w:lang w:eastAsia="zh-CN"/>
        </w:rPr>
        <w:t>，</w:t>
      </w:r>
      <w:r>
        <w:rPr>
          <w:rFonts w:eastAsia="SimSun" w:hint="eastAsia"/>
          <w:color w:val="000000" w:themeColor="text1"/>
          <w:sz w:val="24"/>
          <w:szCs w:val="24"/>
          <w:lang w:val="zh-CN" w:eastAsia="zh-CN"/>
        </w:rPr>
        <w:t>并在上文第</w:t>
      </w:r>
      <w:r>
        <w:rPr>
          <w:rFonts w:eastAsia="SimSun" w:hint="eastAsia"/>
          <w:color w:val="000000" w:themeColor="text1"/>
          <w:sz w:val="24"/>
          <w:szCs w:val="24"/>
          <w:lang w:val="zh-CN" w:eastAsia="zh-CN"/>
        </w:rPr>
        <w:t>18</w:t>
      </w:r>
      <w:r>
        <w:rPr>
          <w:rFonts w:eastAsia="SimSun" w:hint="eastAsia"/>
          <w:color w:val="000000" w:themeColor="text1"/>
          <w:sz w:val="24"/>
          <w:szCs w:val="24"/>
          <w:lang w:val="zh-CN" w:eastAsia="zh-CN"/>
        </w:rPr>
        <w:t>段所述非正式咨询小组的支持下</w:t>
      </w:r>
      <w:r>
        <w:rPr>
          <w:rFonts w:eastAsia="SimSun" w:hint="eastAsia"/>
          <w:color w:val="000000" w:themeColor="text1"/>
          <w:sz w:val="24"/>
          <w:szCs w:val="24"/>
          <w:lang w:eastAsia="zh-CN"/>
        </w:rPr>
        <w:t>，与该</w:t>
      </w:r>
      <w:r>
        <w:rPr>
          <w:rFonts w:eastAsia="SimSun" w:hint="eastAsia"/>
          <w:color w:val="000000" w:themeColor="text1"/>
          <w:sz w:val="24"/>
          <w:szCs w:val="24"/>
          <w:lang w:val="zh-CN" w:eastAsia="zh-CN"/>
        </w:rPr>
        <w:t>非正式咨询小组和有关缔约方合作，进一步制定生物多样性主流化长期战略办法</w:t>
      </w:r>
      <w:r>
        <w:rPr>
          <w:rFonts w:eastAsia="SimSun" w:hint="eastAsia"/>
          <w:color w:val="000000" w:themeColor="text1"/>
          <w:sz w:val="24"/>
          <w:szCs w:val="24"/>
          <w:lang w:eastAsia="zh-CN"/>
        </w:rPr>
        <w:t>；</w:t>
      </w:r>
    </w:p>
    <w:p w14:paraId="3FF912CE"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val="zh-CN" w:eastAsia="zh-CN"/>
        </w:rPr>
        <w:t>与相关组织和倡议合作</w:t>
      </w:r>
      <w:r>
        <w:rPr>
          <w:rFonts w:eastAsia="SimSun" w:hint="eastAsia"/>
          <w:color w:val="000000" w:themeColor="text1"/>
          <w:sz w:val="24"/>
          <w:szCs w:val="24"/>
          <w:lang w:eastAsia="zh-CN"/>
        </w:rPr>
        <w:t>，开展额外工作，促进</w:t>
      </w:r>
      <w:r>
        <w:rPr>
          <w:rFonts w:eastAsia="SimSun" w:hint="eastAsia"/>
          <w:color w:val="000000" w:themeColor="text1"/>
          <w:sz w:val="24"/>
          <w:szCs w:val="24"/>
          <w:lang w:val="zh-CN" w:eastAsia="zh-CN"/>
        </w:rPr>
        <w:t>披露和报告企业对生物多样性的影响和依赖</w:t>
      </w:r>
      <w:r>
        <w:rPr>
          <w:rFonts w:eastAsia="SimSun" w:hint="eastAsia"/>
          <w:color w:val="000000" w:themeColor="text1"/>
          <w:sz w:val="24"/>
          <w:szCs w:val="24"/>
          <w:lang w:eastAsia="zh-CN"/>
        </w:rPr>
        <w:t>，</w:t>
      </w:r>
      <w:r>
        <w:rPr>
          <w:rFonts w:eastAsia="SimSun" w:hint="eastAsia"/>
          <w:color w:val="000000" w:themeColor="text1"/>
          <w:sz w:val="24"/>
          <w:szCs w:val="24"/>
          <w:lang w:val="zh-CN" w:eastAsia="zh-CN"/>
        </w:rPr>
        <w:t>包括支持上文第</w:t>
      </w:r>
      <w:r>
        <w:rPr>
          <w:rFonts w:eastAsia="SimSun" w:hint="eastAsia"/>
          <w:color w:val="000000" w:themeColor="text1"/>
          <w:sz w:val="24"/>
          <w:szCs w:val="24"/>
          <w:lang w:val="zh-CN" w:eastAsia="zh-CN"/>
        </w:rPr>
        <w:t>14</w:t>
      </w:r>
      <w:r>
        <w:rPr>
          <w:rFonts w:eastAsia="SimSun" w:hint="eastAsia"/>
          <w:color w:val="000000" w:themeColor="text1"/>
          <w:sz w:val="24"/>
          <w:szCs w:val="24"/>
          <w:lang w:val="zh-CN" w:eastAsia="zh-CN"/>
        </w:rPr>
        <w:t>段所列目标</w:t>
      </w:r>
      <w:r>
        <w:rPr>
          <w:rFonts w:eastAsia="SimSun" w:hint="eastAsia"/>
          <w:color w:val="000000" w:themeColor="text1"/>
          <w:sz w:val="24"/>
          <w:szCs w:val="24"/>
          <w:lang w:eastAsia="zh-CN"/>
        </w:rPr>
        <w:t>；</w:t>
      </w:r>
    </w:p>
    <w:p w14:paraId="51534F56" w14:textId="77E2F62D" w:rsidR="00DD5157" w:rsidRDefault="00D74D31"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t>进行额外工作</w:t>
      </w:r>
      <w:r w:rsidR="00DD5157">
        <w:rPr>
          <w:rFonts w:eastAsia="SimSun" w:hint="eastAsia"/>
          <w:color w:val="000000" w:themeColor="text1"/>
          <w:sz w:val="24"/>
          <w:szCs w:val="24"/>
          <w:lang w:eastAsia="zh-CN"/>
        </w:rPr>
        <w:t>，审视土著人民和地方社区在生物多样性主流化方面的作用；</w:t>
      </w:r>
      <w:r w:rsidR="00DD5157">
        <w:rPr>
          <w:rFonts w:eastAsia="SimSun"/>
          <w:color w:val="000000" w:themeColor="text1"/>
          <w:sz w:val="24"/>
          <w:szCs w:val="24"/>
          <w:lang w:eastAsia="zh-CN"/>
        </w:rPr>
        <w:t xml:space="preserve">   </w:t>
      </w:r>
    </w:p>
    <w:p w14:paraId="041782AB"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lastRenderedPageBreak/>
        <w:t>向执行问题附属机构第三次会议报告上述行动的进展情况，供缔约方大会第十五届会议随后审议；</w:t>
      </w:r>
    </w:p>
    <w:p w14:paraId="14FC873B"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t>在进行其他能力建设活动的同时，与有关组织和利益攸关方合作，继续组织论坛，包括区域论坛，讨论和交流主要部门生物多样性主流化的经验；</w:t>
      </w:r>
    </w:p>
    <w:p w14:paraId="36DCA33F" w14:textId="77777777" w:rsidR="00DD5157" w:rsidRDefault="00DD5157" w:rsidP="00CC37F8">
      <w:pPr>
        <w:pStyle w:val="StylePara1Kernat11pt"/>
        <w:numPr>
          <w:ilvl w:val="0"/>
          <w:numId w:val="12"/>
        </w:numPr>
        <w:suppressLineNumbers/>
        <w:tabs>
          <w:tab w:val="clear" w:pos="360"/>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t>在生物多样性主流化方面与有关多边协定和国际组织秘书处发展合作和伙伴关系；</w:t>
      </w:r>
    </w:p>
    <w:p w14:paraId="496F864C" w14:textId="77777777" w:rsidR="00DD5157" w:rsidRDefault="00DD5157" w:rsidP="00CC37F8">
      <w:pPr>
        <w:pStyle w:val="StylePara1Kernat11pt"/>
        <w:numPr>
          <w:ilvl w:val="0"/>
          <w:numId w:val="12"/>
        </w:numPr>
        <w:suppressLineNumbers/>
        <w:tabs>
          <w:tab w:val="left" w:pos="1440"/>
        </w:tabs>
        <w:suppressAutoHyphens/>
        <w:adjustRightInd w:val="0"/>
        <w:snapToGrid w:val="0"/>
        <w:rPr>
          <w:rFonts w:eastAsia="SimSun"/>
          <w:color w:val="000000" w:themeColor="text1"/>
          <w:sz w:val="24"/>
          <w:szCs w:val="24"/>
          <w:lang w:eastAsia="zh-CN"/>
        </w:rPr>
      </w:pPr>
      <w:r>
        <w:rPr>
          <w:rFonts w:eastAsia="SimSun" w:hint="eastAsia"/>
          <w:color w:val="000000" w:themeColor="text1"/>
          <w:sz w:val="24"/>
          <w:szCs w:val="24"/>
          <w:lang w:eastAsia="zh-CN"/>
        </w:rPr>
        <w:t>继续酌情与生物多样性指标伙伴关系和其他伙伴关系及利益攸关方合作，制定衡量主流化成功的指标，这将为将生物多样性主流化充分纳入</w:t>
      </w:r>
      <w:r>
        <w:rPr>
          <w:rFonts w:eastAsia="SimSun"/>
          <w:color w:val="000000" w:themeColor="text1"/>
          <w:sz w:val="24"/>
          <w:szCs w:val="24"/>
          <w:lang w:eastAsia="zh-CN"/>
        </w:rPr>
        <w:t>2020</w:t>
      </w:r>
      <w:r>
        <w:rPr>
          <w:rFonts w:eastAsia="SimSun" w:hint="eastAsia"/>
          <w:color w:val="000000" w:themeColor="text1"/>
          <w:sz w:val="24"/>
          <w:szCs w:val="24"/>
          <w:lang w:eastAsia="zh-CN"/>
        </w:rPr>
        <w:t>年后全球生物多样性框架奠定基础。</w:t>
      </w:r>
    </w:p>
    <w:p w14:paraId="567FE65A" w14:textId="77777777" w:rsidR="00DD5157" w:rsidRDefault="00DD5157" w:rsidP="00DD5157">
      <w:pPr>
        <w:jc w:val="center"/>
        <w:rPr>
          <w:rFonts w:ascii="KaiTi" w:eastAsia="KaiTi" w:hAnsi="KaiTi"/>
          <w:kern w:val="22"/>
          <w:sz w:val="24"/>
        </w:rPr>
      </w:pPr>
      <w:r>
        <w:rPr>
          <w:rFonts w:ascii="KaiTi" w:eastAsia="KaiTi" w:hAnsi="KaiTi" w:hint="eastAsia"/>
          <w:kern w:val="22"/>
          <w:sz w:val="24"/>
          <w:lang w:val="zh-CN"/>
        </w:rPr>
        <w:t>附件一</w:t>
      </w:r>
    </w:p>
    <w:p w14:paraId="03B4F53F" w14:textId="77777777" w:rsidR="00DD5157" w:rsidRDefault="00DD5157" w:rsidP="00DD5157">
      <w:pPr>
        <w:pStyle w:val="HEADINGNOTFORTOC"/>
        <w:keepNext w:val="0"/>
        <w:suppressLineNumbers/>
        <w:suppressAutoHyphens/>
        <w:adjustRightInd w:val="0"/>
        <w:snapToGrid w:val="0"/>
        <w:spacing w:before="120"/>
        <w:rPr>
          <w:rFonts w:eastAsiaTheme="minorEastAsia" w:hint="eastAsia"/>
          <w:spacing w:val="-10"/>
          <w:kern w:val="22"/>
          <w:sz w:val="24"/>
        </w:rPr>
      </w:pPr>
      <w:r>
        <w:rPr>
          <w:rFonts w:hAnsi="SimSun" w:hint="eastAsia"/>
          <w:spacing w:val="-10"/>
          <w:kern w:val="22"/>
          <w:sz w:val="24"/>
          <w:lang w:val="zh-CN"/>
        </w:rPr>
        <w:t>关于推动生物多样性主流化的长期战略办法的提案</w:t>
      </w:r>
    </w:p>
    <w:p w14:paraId="5031309A" w14:textId="77777777" w:rsidR="00DD5157" w:rsidRDefault="00DD5157" w:rsidP="00DD5157">
      <w:pPr>
        <w:pStyle w:val="Heading1"/>
        <w:suppressLineNumbers/>
        <w:tabs>
          <w:tab w:val="left" w:pos="360"/>
        </w:tabs>
        <w:suppressAutoHyphens/>
        <w:adjustRightInd w:val="0"/>
        <w:snapToGrid w:val="0"/>
        <w:spacing w:before="120"/>
        <w:rPr>
          <w:rFonts w:eastAsiaTheme="minorEastAsia"/>
          <w:sz w:val="24"/>
        </w:rPr>
      </w:pPr>
      <w:r>
        <w:rPr>
          <w:rFonts w:eastAsiaTheme="minorEastAsia" w:hAnsi="SimSun" w:hint="eastAsia"/>
          <w:kern w:val="22"/>
          <w:sz w:val="24"/>
          <w:lang w:val="zh-CN"/>
        </w:rPr>
        <w:t>一</w:t>
      </w:r>
      <w:r>
        <w:rPr>
          <w:rFonts w:eastAsiaTheme="minorEastAsia" w:hAnsi="SimSun" w:hint="eastAsia"/>
          <w:kern w:val="22"/>
          <w:sz w:val="24"/>
          <w:lang w:val="zh-CN"/>
        </w:rPr>
        <w:t xml:space="preserve">.   </w:t>
      </w:r>
      <w:r>
        <w:rPr>
          <w:rFonts w:eastAsiaTheme="minorEastAsia" w:hAnsi="SimSun" w:hint="eastAsia"/>
          <w:kern w:val="22"/>
          <w:sz w:val="24"/>
          <w:lang w:val="zh-CN"/>
        </w:rPr>
        <w:t>导言</w:t>
      </w:r>
    </w:p>
    <w:p w14:paraId="0A225F10" w14:textId="77777777" w:rsidR="00DD5157" w:rsidRDefault="00DD5157" w:rsidP="00CC37F8">
      <w:pPr>
        <w:pStyle w:val="Para10"/>
        <w:numPr>
          <w:ilvl w:val="0"/>
          <w:numId w:val="13"/>
        </w:numPr>
        <w:suppressLineNumbers/>
        <w:suppressAutoHyphens/>
        <w:adjustRightInd w:val="0"/>
        <w:snapToGrid w:val="0"/>
        <w:ind w:left="0" w:firstLine="0"/>
        <w:rPr>
          <w:rFonts w:eastAsia="SimSun" w:hAnsi="SimSun" w:cs="Times New Roman"/>
          <w:bCs w:val="0"/>
          <w:sz w:val="24"/>
          <w:szCs w:val="24"/>
          <w:lang w:val="zh-CN"/>
        </w:rPr>
      </w:pPr>
      <w:r>
        <w:rPr>
          <w:rFonts w:eastAsia="SimSun" w:hAnsi="SimSun" w:cs="Times New Roman" w:hint="eastAsia"/>
          <w:bCs w:val="0"/>
          <w:sz w:val="24"/>
          <w:szCs w:val="24"/>
          <w:lang w:val="zh-CN"/>
        </w:rPr>
        <w:t>生物多样性主流化是实现《公约》目标的主要办法之一。尽管已采取许多行动和决定促使生物多样性成为关键部门和跨领域政策的主流，特别是在缔约方大会第十三届和第十四届会议审议的部门，但</w:t>
      </w:r>
      <w:r>
        <w:rPr>
          <w:rFonts w:eastAsia="SimSun" w:hAnsi="SimSun" w:cs="Times New Roman" w:hint="eastAsia"/>
          <w:bCs w:val="0"/>
          <w:sz w:val="24"/>
          <w:szCs w:val="24"/>
          <w:lang w:val="zh-CN"/>
        </w:rPr>
        <w:t>2020</w:t>
      </w:r>
      <w:r>
        <w:rPr>
          <w:rFonts w:eastAsia="SimSun" w:hAnsi="SimSun" w:cs="Times New Roman" w:hint="eastAsia"/>
          <w:bCs w:val="0"/>
          <w:sz w:val="24"/>
          <w:szCs w:val="24"/>
          <w:lang w:val="zh-CN"/>
        </w:rPr>
        <w:t>年后全球生物多样性框架需要设定一个长期战略办法，以便采取行动更有效地推动部门内和跨部门主流化，促进部门间的协调。</w:t>
      </w:r>
    </w:p>
    <w:p w14:paraId="63A5977E" w14:textId="77777777" w:rsidR="00DD5157" w:rsidRDefault="00DD5157" w:rsidP="00CC37F8">
      <w:pPr>
        <w:pStyle w:val="Para10"/>
        <w:numPr>
          <w:ilvl w:val="0"/>
          <w:numId w:val="13"/>
        </w:numPr>
        <w:suppressLineNumbers/>
        <w:suppressAutoHyphens/>
        <w:adjustRightInd w:val="0"/>
        <w:snapToGrid w:val="0"/>
        <w:ind w:left="0" w:firstLine="0"/>
        <w:rPr>
          <w:rFonts w:eastAsia="SimSun" w:hAnsi="SimSun" w:cs="Times New Roman" w:hint="eastAsia"/>
          <w:bCs w:val="0"/>
          <w:sz w:val="24"/>
          <w:szCs w:val="24"/>
          <w:lang w:val="zh-CN"/>
        </w:rPr>
      </w:pPr>
      <w:r>
        <w:rPr>
          <w:rFonts w:eastAsia="SimSun" w:hAnsi="SimSun" w:cs="Times New Roman" w:hint="eastAsia"/>
          <w:bCs w:val="0"/>
          <w:sz w:val="24"/>
          <w:szCs w:val="24"/>
          <w:lang w:val="zh-CN"/>
        </w:rPr>
        <w:t>这一办法的目标应该是按照缔约方的国家能力和国情，根据可能的影响和效益的科学证据确定行动的优先次序，并确定需要参与实施此类行动的关键行动者和适当的机制，前者的重点在于执行缔约方大会以往与主流化有关的决定。它还应有助于评估和监测差距和进展。长期办法应由缔约方大会应不断审查，并保持足够的灵活性，以应对相关变化。</w:t>
      </w:r>
    </w:p>
    <w:p w14:paraId="62B19CD4" w14:textId="77777777" w:rsidR="00DD5157" w:rsidRDefault="00DD5157" w:rsidP="00CC37F8">
      <w:pPr>
        <w:pStyle w:val="Para10"/>
        <w:numPr>
          <w:ilvl w:val="0"/>
          <w:numId w:val="13"/>
        </w:numPr>
        <w:suppressLineNumbers/>
        <w:suppressAutoHyphens/>
        <w:adjustRightInd w:val="0"/>
        <w:snapToGrid w:val="0"/>
        <w:ind w:left="0" w:firstLine="0"/>
        <w:rPr>
          <w:rFonts w:eastAsia="SimSun" w:hAnsi="SimSun" w:cs="Times New Roman" w:hint="eastAsia"/>
          <w:bCs w:val="0"/>
          <w:sz w:val="24"/>
          <w:szCs w:val="24"/>
          <w:lang w:val="zh-CN"/>
        </w:rPr>
      </w:pPr>
      <w:r>
        <w:rPr>
          <w:rFonts w:eastAsia="SimSun" w:hAnsi="SimSun" w:cs="Times New Roman" w:hint="eastAsia"/>
          <w:bCs w:val="0"/>
          <w:sz w:val="24"/>
          <w:szCs w:val="24"/>
          <w:lang w:val="zh-CN"/>
        </w:rPr>
        <w:t>为了制定这一战略办法，执行秘书将参照非正式咨询小组和主席团的咨询意见，为进行技术和政策讨论以及各利益攸关方和伙伴的参与提供支持。</w:t>
      </w:r>
    </w:p>
    <w:p w14:paraId="52DA6BF9" w14:textId="77777777" w:rsidR="00DD5157" w:rsidRDefault="00DD5157" w:rsidP="00DD5157">
      <w:pPr>
        <w:pStyle w:val="Heading1"/>
        <w:suppressLineNumbers/>
        <w:suppressAutoHyphens/>
        <w:adjustRightInd w:val="0"/>
        <w:snapToGrid w:val="0"/>
        <w:spacing w:before="120"/>
        <w:rPr>
          <w:rFonts w:eastAsiaTheme="minorEastAsia" w:hint="eastAsia"/>
          <w:kern w:val="22"/>
          <w:sz w:val="24"/>
        </w:rPr>
      </w:pPr>
      <w:r>
        <w:rPr>
          <w:rFonts w:eastAsiaTheme="minorEastAsia" w:hAnsi="SimSun" w:hint="eastAsia"/>
          <w:kern w:val="22"/>
          <w:sz w:val="24"/>
          <w:lang w:val="zh-CN"/>
        </w:rPr>
        <w:t>二</w:t>
      </w:r>
      <w:r>
        <w:rPr>
          <w:rFonts w:eastAsiaTheme="minorEastAsia" w:hAnsi="SimSun" w:hint="eastAsia"/>
          <w:kern w:val="22"/>
          <w:sz w:val="24"/>
          <w:lang w:val="zh-CN"/>
        </w:rPr>
        <w:t xml:space="preserve">.    </w:t>
      </w:r>
      <w:r>
        <w:rPr>
          <w:rFonts w:eastAsiaTheme="minorEastAsia" w:hAnsi="SimSun" w:hint="eastAsia"/>
          <w:kern w:val="22"/>
          <w:sz w:val="24"/>
          <w:lang w:val="zh-CN"/>
        </w:rPr>
        <w:t>需要制定长期生物多样性主流化战略办法的领域</w:t>
      </w:r>
    </w:p>
    <w:p w14:paraId="206D0C12" w14:textId="77777777" w:rsidR="00DD5157" w:rsidRPr="00DD5157" w:rsidRDefault="00DD5157" w:rsidP="00CC37F8">
      <w:pPr>
        <w:pStyle w:val="Para10"/>
        <w:numPr>
          <w:ilvl w:val="0"/>
          <w:numId w:val="13"/>
        </w:numPr>
        <w:suppressLineNumbers/>
        <w:suppressAutoHyphens/>
        <w:adjustRightInd w:val="0"/>
        <w:ind w:left="0" w:firstLine="0"/>
        <w:rPr>
          <w:rFonts w:eastAsia="SimSun" w:cs="Times New Roman"/>
          <w:sz w:val="24"/>
          <w:szCs w:val="24"/>
        </w:rPr>
      </w:pPr>
      <w:r w:rsidRPr="00DD5157">
        <w:rPr>
          <w:rFonts w:eastAsia="SimSun" w:cs="Times New Roman"/>
          <w:bCs w:val="0"/>
          <w:sz w:val="24"/>
          <w:szCs w:val="24"/>
          <w:lang w:val="zh-CN"/>
        </w:rPr>
        <w:t>制定生物多样化主流化的长期办法必须采取一些行动</w:t>
      </w:r>
      <w:r w:rsidRPr="00DD5157">
        <w:rPr>
          <w:rFonts w:eastAsia="SimSun" w:cs="Times New Roman"/>
          <w:sz w:val="24"/>
          <w:szCs w:val="24"/>
        </w:rPr>
        <w:t>，</w:t>
      </w:r>
      <w:r w:rsidRPr="00DD5157">
        <w:rPr>
          <w:rFonts w:eastAsia="SimSun" w:cs="Times New Roman"/>
          <w:sz w:val="24"/>
          <w:szCs w:val="24"/>
          <w:lang w:val="zh-CN"/>
        </w:rPr>
        <w:t>包括政府、企业、土著人民和地方社区、以及其他伙伴和利益相关方采取的行动。国际、国家、地方和次国家层面的活动也是必要的，还必须采取与具体部门或分部门密切相关、反映国家状况和国情的行动。</w:t>
      </w:r>
    </w:p>
    <w:p w14:paraId="1274D580" w14:textId="77777777" w:rsidR="00DD5157" w:rsidRPr="00DD5157" w:rsidRDefault="00DD5157" w:rsidP="00CC37F8">
      <w:pPr>
        <w:pStyle w:val="Para10"/>
        <w:numPr>
          <w:ilvl w:val="0"/>
          <w:numId w:val="13"/>
        </w:numPr>
        <w:suppressLineNumbers/>
        <w:suppressAutoHyphens/>
        <w:adjustRightInd w:val="0"/>
        <w:ind w:left="0" w:firstLine="0"/>
        <w:rPr>
          <w:rFonts w:eastAsia="SimSun" w:cs="Times New Roman"/>
          <w:kern w:val="22"/>
          <w:sz w:val="24"/>
          <w:szCs w:val="24"/>
        </w:rPr>
      </w:pPr>
      <w:r w:rsidRPr="00DD5157">
        <w:rPr>
          <w:rFonts w:eastAsia="SimSun" w:cs="Times New Roman"/>
          <w:bCs w:val="0"/>
          <w:sz w:val="24"/>
          <w:szCs w:val="24"/>
          <w:lang w:val="zh-CN"/>
        </w:rPr>
        <w:t>执行秘书应：</w:t>
      </w:r>
    </w:p>
    <w:p w14:paraId="272F4381" w14:textId="77777777" w:rsidR="00DD5157" w:rsidRPr="00DD5157" w:rsidRDefault="00DD5157" w:rsidP="00CC37F8">
      <w:pPr>
        <w:pStyle w:val="ListParagraph"/>
        <w:numPr>
          <w:ilvl w:val="0"/>
          <w:numId w:val="14"/>
        </w:numPr>
        <w:suppressLineNumber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查明这些部门规划和决策所用</w:t>
      </w:r>
      <w:r w:rsidRPr="00DD5157">
        <w:rPr>
          <w:rFonts w:cs="Times New Roman"/>
          <w:sz w:val="24"/>
          <w:lang w:val="zh-CN"/>
        </w:rPr>
        <w:t>——</w:t>
      </w:r>
      <w:r w:rsidRPr="00DD5157">
        <w:rPr>
          <w:rFonts w:cs="Times New Roman"/>
          <w:sz w:val="24"/>
          <w:lang w:val="zh-CN"/>
        </w:rPr>
        <w:t>特别是《生物多样性公约》条款和决定所载</w:t>
      </w:r>
      <w:r w:rsidRPr="00DD5157">
        <w:rPr>
          <w:rFonts w:cs="Times New Roman"/>
          <w:sz w:val="24"/>
          <w:lang w:val="zh-CN"/>
        </w:rPr>
        <w:t>——</w:t>
      </w:r>
      <w:r w:rsidRPr="00DD5157">
        <w:rPr>
          <w:rFonts w:cs="Times New Roman"/>
          <w:sz w:val="24"/>
          <w:lang w:val="zh-CN"/>
        </w:rPr>
        <w:t>现行生物多样性主流化做法、准则、方法、经验和工具以及其他战略行动；</w:t>
      </w:r>
    </w:p>
    <w:p w14:paraId="5B3D6196" w14:textId="77777777" w:rsidR="00DD5157" w:rsidRPr="00DD5157" w:rsidRDefault="00DD5157" w:rsidP="00CC37F8">
      <w:pPr>
        <w:pStyle w:val="ListParagraph"/>
        <w:numPr>
          <w:ilvl w:val="0"/>
          <w:numId w:val="14"/>
        </w:numPr>
        <w:suppressLineNumbers/>
        <w:suppressAutoHyphens/>
        <w:adjustRightInd w:val="0"/>
        <w:spacing w:before="120" w:after="120"/>
        <w:ind w:left="0" w:firstLine="720"/>
        <w:contextualSpacing w:val="0"/>
        <w:rPr>
          <w:rFonts w:cs="Times New Roman"/>
          <w:sz w:val="24"/>
          <w:lang w:val="zh-CN"/>
        </w:rPr>
      </w:pPr>
      <w:r w:rsidRPr="00DD5157">
        <w:rPr>
          <w:rFonts w:cs="Times New Roman"/>
          <w:sz w:val="24"/>
          <w:lang w:val="zh-CN"/>
        </w:rPr>
        <w:t>考虑《生物多样性公约》、有关伙伴组织和举措的现有方案如何能够在能力建设等方面更好地为这种长期战略办法作出贡献，并查明对生物多样性主流化重要的工作领域存在的差距；</w:t>
      </w:r>
    </w:p>
    <w:p w14:paraId="5CD59A65" w14:textId="77777777" w:rsidR="00DD5157" w:rsidRPr="00DD5157" w:rsidRDefault="00DD5157" w:rsidP="00CC37F8">
      <w:pPr>
        <w:pStyle w:val="ListParagraph"/>
        <w:numPr>
          <w:ilvl w:val="0"/>
          <w:numId w:val="14"/>
        </w:numPr>
        <w:suppressLineNumbers/>
        <w:suppressAutoHyphens/>
        <w:adjustRightInd w:val="0"/>
        <w:spacing w:before="120" w:after="120"/>
        <w:ind w:left="0" w:firstLine="720"/>
        <w:contextualSpacing w:val="0"/>
        <w:rPr>
          <w:rFonts w:cs="Times New Roman"/>
          <w:sz w:val="24"/>
          <w:lang w:val="zh-CN"/>
        </w:rPr>
      </w:pPr>
      <w:r w:rsidRPr="00DD5157">
        <w:rPr>
          <w:rFonts w:cs="Times New Roman"/>
          <w:sz w:val="24"/>
          <w:lang w:val="zh-CN"/>
        </w:rPr>
        <w:t>继续参与重要国际进程，包括《</w:t>
      </w:r>
      <w:r w:rsidRPr="00DD5157">
        <w:rPr>
          <w:rFonts w:cs="Times New Roman"/>
          <w:sz w:val="24"/>
          <w:lang w:val="zh-CN"/>
        </w:rPr>
        <w:t>2030</w:t>
      </w:r>
      <w:r w:rsidRPr="00DD5157">
        <w:rPr>
          <w:rFonts w:cs="Times New Roman"/>
          <w:sz w:val="24"/>
          <w:lang w:val="zh-CN"/>
        </w:rPr>
        <w:t>年可持续发展议程》；</w:t>
      </w:r>
    </w:p>
    <w:p w14:paraId="09910BE8" w14:textId="77777777" w:rsidR="00DD5157" w:rsidRPr="00DD5157" w:rsidRDefault="00DD5157" w:rsidP="00CC37F8">
      <w:pPr>
        <w:pStyle w:val="Para10"/>
        <w:numPr>
          <w:ilvl w:val="0"/>
          <w:numId w:val="13"/>
        </w:numPr>
        <w:suppressLineNumbers/>
        <w:suppressAutoHyphens/>
        <w:adjustRightInd w:val="0"/>
        <w:ind w:left="0" w:firstLine="0"/>
        <w:rPr>
          <w:rFonts w:eastAsia="SimSun" w:cs="Times New Roman"/>
          <w:sz w:val="24"/>
          <w:szCs w:val="24"/>
          <w:lang w:val="zh-CN"/>
        </w:rPr>
      </w:pPr>
      <w:r w:rsidRPr="00DD5157">
        <w:rPr>
          <w:rFonts w:eastAsia="SimSun" w:cs="Times New Roman"/>
          <w:sz w:val="24"/>
          <w:szCs w:val="24"/>
          <w:lang w:val="zh-CN"/>
        </w:rPr>
        <w:t>执行秘书还应在考虑到上文第</w:t>
      </w:r>
      <w:r w:rsidRPr="00DD5157">
        <w:rPr>
          <w:rFonts w:eastAsia="SimSun" w:cs="Times New Roman"/>
          <w:sz w:val="24"/>
          <w:szCs w:val="24"/>
          <w:lang w:val="zh-CN"/>
        </w:rPr>
        <w:t>5</w:t>
      </w:r>
      <w:r w:rsidRPr="00DD5157">
        <w:rPr>
          <w:rFonts w:eastAsia="SimSun" w:cs="Times New Roman"/>
          <w:sz w:val="24"/>
          <w:szCs w:val="24"/>
          <w:lang w:val="zh-CN"/>
        </w:rPr>
        <w:t>段以及生物多样性主流化非正式咨询小组和主席团的咨询意见的基础上，设计这样一个生物多样性主流化长期战略办法，作为</w:t>
      </w:r>
      <w:r w:rsidRPr="00DD5157">
        <w:rPr>
          <w:rFonts w:eastAsia="SimSun" w:cs="Times New Roman"/>
          <w:sz w:val="24"/>
          <w:szCs w:val="24"/>
          <w:lang w:val="zh-CN"/>
        </w:rPr>
        <w:t>2020</w:t>
      </w:r>
      <w:r w:rsidRPr="00DD5157">
        <w:rPr>
          <w:rFonts w:eastAsia="SimSun" w:cs="Times New Roman"/>
          <w:bCs w:val="0"/>
          <w:sz w:val="24"/>
          <w:szCs w:val="24"/>
          <w:lang w:val="zh-CN"/>
        </w:rPr>
        <w:t>年后生物多样性框架的关键要素</w:t>
      </w:r>
      <w:r w:rsidRPr="00DD5157">
        <w:rPr>
          <w:rFonts w:eastAsia="SimSun" w:cs="Times New Roman"/>
          <w:sz w:val="24"/>
          <w:szCs w:val="24"/>
          <w:lang w:val="zh-CN"/>
        </w:rPr>
        <w:t xml:space="preserve"> </w:t>
      </w:r>
      <w:r w:rsidRPr="00DD5157">
        <w:rPr>
          <w:rFonts w:eastAsia="SimSun" w:cs="Times New Roman"/>
          <w:sz w:val="24"/>
          <w:szCs w:val="24"/>
          <w:lang w:val="zh-CN"/>
        </w:rPr>
        <w:t>，其中包括以下领域和行动：</w:t>
      </w:r>
    </w:p>
    <w:p w14:paraId="1C827663"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lastRenderedPageBreak/>
        <w:t>审视业已在卫生教育、国家立法和政策等战略工具中采用的不同主流化做法的有效性以及扩大其使用的必要步骤；</w:t>
      </w:r>
    </w:p>
    <w:p w14:paraId="540462CB"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研究和分析缔约方使用主流化办法的程度，查明主要差距、障碍和挑战；</w:t>
      </w:r>
    </w:p>
    <w:p w14:paraId="474EF3BE"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根据第</w:t>
      </w:r>
      <w:r w:rsidRPr="00DD5157">
        <w:rPr>
          <w:rFonts w:cs="Times New Roman"/>
          <w:sz w:val="24"/>
          <w:lang w:val="zh-CN"/>
        </w:rPr>
        <w:t>X/3</w:t>
      </w:r>
      <w:r w:rsidRPr="00DD5157">
        <w:rPr>
          <w:rFonts w:cs="Times New Roman"/>
          <w:sz w:val="24"/>
          <w:lang w:val="zh-CN"/>
        </w:rPr>
        <w:t>号决定第</w:t>
      </w:r>
      <w:r w:rsidRPr="00DD5157">
        <w:rPr>
          <w:rFonts w:cs="Times New Roman"/>
          <w:sz w:val="24"/>
          <w:lang w:val="zh-CN"/>
        </w:rPr>
        <w:t>9(b)(</w:t>
      </w:r>
      <w:r w:rsidRPr="00DD5157">
        <w:rPr>
          <w:rFonts w:cs="Times New Roman"/>
          <w:sz w:val="24"/>
          <w:lang w:val="zh-CN"/>
        </w:rPr>
        <w:t>二</w:t>
      </w:r>
      <w:r w:rsidRPr="00DD5157">
        <w:rPr>
          <w:rFonts w:cs="Times New Roman"/>
          <w:sz w:val="24"/>
          <w:lang w:val="zh-CN"/>
        </w:rPr>
        <w:t>)</w:t>
      </w:r>
      <w:r w:rsidRPr="00DD5157">
        <w:rPr>
          <w:rFonts w:cs="Times New Roman"/>
          <w:sz w:val="24"/>
          <w:lang w:val="zh-CN"/>
        </w:rPr>
        <w:t>段，促进有关生物多样性和生态系统功能和服务的重要性和价值内在化的努力；</w:t>
      </w:r>
    </w:p>
    <w:p w14:paraId="3AE98C60"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促进制定和应用主流化办法的科学指标的努力；</w:t>
      </w:r>
    </w:p>
    <w:p w14:paraId="2CBB1C3D"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查明区域、次区域、国家、次国家和地方层面的生物多样性主流化能力建设和培训需求，以及与具体经济部门或次级部门有关的此类需求；</w:t>
      </w:r>
    </w:p>
    <w:p w14:paraId="21371014"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查明促进主流化的科技合作、财务支持和技术转让的机会；</w:t>
      </w:r>
    </w:p>
    <w:p w14:paraId="5870806B"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查明发展新伙伴关系和加强现有伙伴关系，包括与城市和国家以下各级政府的此类关系，的机会，以实现生物多样性主流化的进一步进展；</w:t>
      </w:r>
    </w:p>
    <w:p w14:paraId="6EFB68B4"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查明国家、次国家和地方层面生物多样性主流化行动执行情况的可能监测机制，例如地方一级的《城市生物多样性新加坡指数》；</w:t>
      </w:r>
    </w:p>
    <w:p w14:paraId="3DECA772"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设计一个推动企业和金融部门参与生物多样性主流化的战略；</w:t>
      </w:r>
    </w:p>
    <w:p w14:paraId="3AE0832D"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kern w:val="22"/>
          <w:sz w:val="24"/>
        </w:rPr>
      </w:pPr>
      <w:r w:rsidRPr="00DD5157">
        <w:rPr>
          <w:rFonts w:cs="Times New Roman"/>
          <w:sz w:val="24"/>
          <w:lang w:val="zh-CN"/>
        </w:rPr>
        <w:t>查明与生物多样性主流化有关的具有成本效益的做法、准则、方法、经验和工具以及其他战略行动</w:t>
      </w:r>
      <w:r w:rsidRPr="00DD5157">
        <w:rPr>
          <w:rFonts w:cs="Times New Roman"/>
          <w:sz w:val="24"/>
        </w:rPr>
        <w:t>，</w:t>
      </w:r>
      <w:r w:rsidRPr="00DD5157">
        <w:rPr>
          <w:rFonts w:cs="Times New Roman"/>
          <w:sz w:val="24"/>
          <w:lang w:val="zh-CN"/>
        </w:rPr>
        <w:t>以便加强《公约》的执行</w:t>
      </w:r>
      <w:r w:rsidRPr="00DD5157">
        <w:rPr>
          <w:rFonts w:cs="Times New Roman"/>
          <w:sz w:val="24"/>
        </w:rPr>
        <w:t>；</w:t>
      </w:r>
    </w:p>
    <w:p w14:paraId="5215291E"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查明国家、次国家和地方各级法规、进程、政策和方案中阻碍生物多样性主流化的障碍；</w:t>
      </w:r>
    </w:p>
    <w:p w14:paraId="10D74097"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查明克服生物多样性主流化障碍的备选办法和解决办法；</w:t>
      </w:r>
    </w:p>
    <w:p w14:paraId="2CD5886B"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查明落实这些行动的关键任务以及面临的挑战和差距；</w:t>
      </w:r>
    </w:p>
    <w:p w14:paraId="16DF471E"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kern w:val="22"/>
          <w:sz w:val="24"/>
        </w:rPr>
      </w:pPr>
      <w:r w:rsidRPr="00DD5157">
        <w:rPr>
          <w:rFonts w:cs="Times New Roman"/>
          <w:sz w:val="24"/>
          <w:lang w:val="zh-CN"/>
        </w:rPr>
        <w:t>建议优先行动、时限和相关行为体；</w:t>
      </w:r>
    </w:p>
    <w:p w14:paraId="0EB80000"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查明可能需要作出额外努力以进一步推动《公约》下主流化工作的领域；</w:t>
      </w:r>
    </w:p>
    <w:p w14:paraId="43E4B905" w14:textId="77777777" w:rsidR="00DD5157" w:rsidRPr="00DD5157" w:rsidRDefault="00DD5157" w:rsidP="00CC37F8">
      <w:pPr>
        <w:pStyle w:val="ListParagraph"/>
        <w:numPr>
          <w:ilvl w:val="0"/>
          <w:numId w:val="15"/>
        </w:numPr>
        <w:suppressLineNumbers/>
        <w:tabs>
          <w:tab w:val="left" w:pos="1440"/>
        </w:tabs>
        <w:suppressAutoHyphens/>
        <w:adjustRightInd w:val="0"/>
        <w:spacing w:before="120" w:after="120"/>
        <w:ind w:left="0" w:firstLine="720"/>
        <w:contextualSpacing w:val="0"/>
        <w:rPr>
          <w:rFonts w:cs="Times New Roman"/>
          <w:sz w:val="24"/>
          <w:lang w:val="zh-CN"/>
        </w:rPr>
      </w:pPr>
      <w:r w:rsidRPr="00DD5157">
        <w:rPr>
          <w:rFonts w:cs="Times New Roman"/>
          <w:sz w:val="24"/>
          <w:lang w:val="zh-CN"/>
        </w:rPr>
        <w:t>提出任何其他相关建议，包括关于其他举措或事态发展、会议和其他机会的建议，以帮助推动这项工作。</w:t>
      </w:r>
    </w:p>
    <w:p w14:paraId="389AD76C" w14:textId="77777777" w:rsidR="00DD5157" w:rsidRDefault="00DD5157" w:rsidP="00DD5157">
      <w:pPr>
        <w:pStyle w:val="Para10"/>
        <w:suppressLineNumbers/>
        <w:suppressAutoHyphens/>
        <w:adjustRightInd w:val="0"/>
        <w:snapToGrid w:val="0"/>
        <w:jc w:val="center"/>
        <w:rPr>
          <w:rFonts w:ascii="KaiTi" w:eastAsia="KaiTi" w:hAnsi="KaiTi" w:hint="eastAsia"/>
          <w:kern w:val="22"/>
          <w:sz w:val="24"/>
        </w:rPr>
      </w:pPr>
      <w:r>
        <w:rPr>
          <w:rFonts w:ascii="KaiTi" w:eastAsia="KaiTi" w:hAnsi="KaiTi" w:hint="eastAsia"/>
          <w:kern w:val="22"/>
          <w:sz w:val="24"/>
          <w:lang w:val="zh-CN"/>
        </w:rPr>
        <w:t>附件二</w:t>
      </w:r>
    </w:p>
    <w:p w14:paraId="27472593" w14:textId="77777777" w:rsidR="00DD5157" w:rsidRDefault="00DD5157" w:rsidP="00DD5157">
      <w:pPr>
        <w:pStyle w:val="HEADINGNOTFORTOC"/>
        <w:suppressLineNumbers/>
        <w:suppressAutoHyphens/>
        <w:adjustRightInd w:val="0"/>
        <w:spacing w:before="120" w:line="240" w:lineRule="atLeast"/>
        <w:rPr>
          <w:rFonts w:eastAsiaTheme="minorEastAsia" w:hint="eastAsia"/>
          <w:kern w:val="22"/>
          <w:sz w:val="24"/>
        </w:rPr>
      </w:pPr>
      <w:r>
        <w:rPr>
          <w:rFonts w:hAnsi="SimSun" w:hint="eastAsia"/>
          <w:kern w:val="22"/>
          <w:sz w:val="24"/>
          <w:lang w:val="zh-CN"/>
        </w:rPr>
        <w:t>生物多样性主流化问题非正式咨询小组的职权范围</w:t>
      </w:r>
    </w:p>
    <w:p w14:paraId="6F793BFC" w14:textId="77777777" w:rsidR="00DD5157" w:rsidRDefault="00DD5157" w:rsidP="00CC37F8">
      <w:pPr>
        <w:pStyle w:val="Para10"/>
        <w:numPr>
          <w:ilvl w:val="0"/>
          <w:numId w:val="16"/>
        </w:numPr>
        <w:suppressLineNumbers/>
        <w:suppressAutoHyphens/>
        <w:adjustRightInd w:val="0"/>
        <w:spacing w:line="240" w:lineRule="atLeast"/>
        <w:ind w:left="0" w:firstLine="0"/>
        <w:rPr>
          <w:rFonts w:eastAsia="SimSun" w:cs="Times New Roman"/>
          <w:bCs w:val="0"/>
          <w:sz w:val="24"/>
          <w:szCs w:val="24"/>
        </w:rPr>
      </w:pPr>
      <w:r>
        <w:rPr>
          <w:rFonts w:eastAsia="SimSun" w:hAnsi="SimSun" w:cs="Times New Roman" w:hint="eastAsia"/>
          <w:bCs w:val="0"/>
          <w:sz w:val="24"/>
          <w:szCs w:val="24"/>
          <w:lang w:val="zh-CN"/>
        </w:rPr>
        <w:t>生物多样性主流化问题非正式咨询小组由缔约方提名的在生物多样性主流化相关领域学有专长的专家组成</w:t>
      </w:r>
      <w:r>
        <w:rPr>
          <w:rFonts w:eastAsia="SimSun" w:hAnsi="SimSun" w:cs="Times New Roman" w:hint="eastAsia"/>
          <w:bCs w:val="0"/>
          <w:sz w:val="24"/>
          <w:szCs w:val="24"/>
        </w:rPr>
        <w:t>，</w:t>
      </w:r>
      <w:r>
        <w:rPr>
          <w:rFonts w:eastAsia="SimSun" w:hAnsi="SimSun" w:cs="Times New Roman" w:hint="eastAsia"/>
          <w:bCs w:val="0"/>
          <w:sz w:val="24"/>
          <w:szCs w:val="24"/>
          <w:lang w:val="zh-CN"/>
        </w:rPr>
        <w:t>同时适当顾及区域代表性、性别平衡和发展中国家特别是最不发达国家和小岛屿发展中国家以及经济转型国家的特殊情况。非正式咨询小组还包括来自公私部门包括城市和次国家政府、民间社会、学术界的专家和商界领袖，以及来自土著人民和地方社区及相关组织包括相关国际组织、非政府组织和行业协会的专家。</w:t>
      </w:r>
      <w:r>
        <w:rPr>
          <w:rFonts w:eastAsia="SimSun" w:hAnsi="SimSun" w:cs="Times New Roman" w:hint="eastAsia"/>
          <w:bCs w:val="0"/>
          <w:kern w:val="22"/>
          <w:sz w:val="24"/>
          <w:szCs w:val="24"/>
          <w:lang w:val="zh-CN"/>
        </w:rPr>
        <w:t>来自各组织的专家数目不应超过缔约方提名的专家数目。</w:t>
      </w:r>
    </w:p>
    <w:p w14:paraId="18FF2C9C" w14:textId="77777777" w:rsidR="00DD5157" w:rsidRDefault="00DD5157" w:rsidP="00CC37F8">
      <w:pPr>
        <w:pStyle w:val="Para10"/>
        <w:numPr>
          <w:ilvl w:val="0"/>
          <w:numId w:val="16"/>
        </w:numPr>
        <w:suppressLineNumbers/>
        <w:suppressAutoHyphens/>
        <w:adjustRightInd w:val="0"/>
        <w:spacing w:line="240" w:lineRule="atLeast"/>
        <w:ind w:left="0" w:firstLine="0"/>
        <w:rPr>
          <w:rFonts w:hAnsi="SimSun"/>
          <w:sz w:val="24"/>
          <w:szCs w:val="24"/>
          <w:lang w:val="zh-CN"/>
        </w:rPr>
      </w:pPr>
      <w:r>
        <w:rPr>
          <w:rFonts w:eastAsia="SimSun" w:hAnsi="SimSun" w:cs="Times New Roman" w:hint="eastAsia"/>
          <w:bCs w:val="0"/>
          <w:sz w:val="24"/>
          <w:szCs w:val="24"/>
        </w:rPr>
        <w:t>考虑到</w:t>
      </w:r>
      <w:r>
        <w:rPr>
          <w:rFonts w:eastAsia="SimSun" w:hAnsi="SimSun" w:cs="Times New Roman" w:hint="eastAsia"/>
          <w:bCs w:val="0"/>
          <w:sz w:val="24"/>
          <w:szCs w:val="24"/>
          <w:lang w:val="zh-CN"/>
        </w:rPr>
        <w:t>缔约方大会关于部门和跨部门生物多样性主流化的决定以及其他相关国际进程和国际组织包括《</w:t>
      </w:r>
      <w:r>
        <w:rPr>
          <w:rFonts w:eastAsia="SimSun" w:cs="Times New Roman"/>
          <w:bCs w:val="0"/>
          <w:sz w:val="24"/>
          <w:szCs w:val="24"/>
        </w:rPr>
        <w:t>2030</w:t>
      </w:r>
      <w:r>
        <w:rPr>
          <w:rFonts w:eastAsia="SimSun" w:hAnsi="SimSun" w:cs="Times New Roman" w:hint="eastAsia"/>
          <w:bCs w:val="0"/>
          <w:sz w:val="24"/>
          <w:szCs w:val="24"/>
          <w:lang w:val="zh-CN"/>
        </w:rPr>
        <w:t>年可持续发展议程》、联合国粮食及农业组织</w:t>
      </w:r>
      <w:r>
        <w:rPr>
          <w:rFonts w:eastAsia="SimSun" w:hAnsi="SimSun" w:cs="Times New Roman" w:hint="eastAsia"/>
          <w:bCs w:val="0"/>
          <w:sz w:val="24"/>
          <w:szCs w:val="24"/>
        </w:rPr>
        <w:t>（</w:t>
      </w:r>
      <w:r>
        <w:rPr>
          <w:rFonts w:eastAsia="SimSun" w:hAnsi="SimSun" w:cs="Times New Roman" w:hint="eastAsia"/>
          <w:bCs w:val="0"/>
          <w:sz w:val="24"/>
          <w:szCs w:val="24"/>
          <w:lang w:val="zh-CN"/>
        </w:rPr>
        <w:t>粮农组织</w:t>
      </w:r>
      <w:r>
        <w:rPr>
          <w:rFonts w:eastAsia="SimSun" w:hAnsi="SimSun" w:cs="Times New Roman" w:hint="eastAsia"/>
          <w:bCs w:val="0"/>
          <w:sz w:val="24"/>
          <w:szCs w:val="24"/>
        </w:rPr>
        <w:t>）</w:t>
      </w:r>
      <w:r>
        <w:rPr>
          <w:rFonts w:eastAsia="SimSun" w:hAnsi="SimSun" w:cs="Times New Roman" w:hint="eastAsia"/>
          <w:bCs w:val="0"/>
          <w:sz w:val="24"/>
          <w:szCs w:val="24"/>
          <w:lang w:val="zh-CN"/>
        </w:rPr>
        <w:t>、联合国开发计划署、联合国环境规划署、联合国工业发展组织、世界贸易组织、世界银行</w:t>
      </w:r>
      <w:r>
        <w:rPr>
          <w:rFonts w:eastAsia="SimSun" w:hAnsi="SimSun" w:cs="Times New Roman" w:hint="eastAsia"/>
          <w:bCs w:val="0"/>
          <w:sz w:val="24"/>
          <w:szCs w:val="24"/>
        </w:rPr>
        <w:t>、</w:t>
      </w:r>
      <w:r>
        <w:rPr>
          <w:rFonts w:eastAsia="SimSun" w:hAnsi="SimSun" w:cs="Times New Roman" w:hint="eastAsia"/>
          <w:bCs w:val="0"/>
          <w:sz w:val="24"/>
          <w:szCs w:val="24"/>
        </w:rPr>
        <w:lastRenderedPageBreak/>
        <w:t>世界卫生组织、联合国贸易和发展会议和国际劳工组织的工作，</w:t>
      </w:r>
      <w:r>
        <w:rPr>
          <w:rFonts w:eastAsia="SimSun" w:hAnsi="SimSun" w:cs="Times New Roman" w:hint="eastAsia"/>
          <w:bCs w:val="0"/>
          <w:sz w:val="24"/>
          <w:szCs w:val="24"/>
          <w:lang w:val="zh-CN"/>
        </w:rPr>
        <w:t>并利用现有信息包括公约信息交换所机制的信息</w:t>
      </w:r>
      <w:r>
        <w:rPr>
          <w:rFonts w:eastAsia="SimSun" w:hAnsi="SimSun" w:cs="Times New Roman" w:hint="eastAsia"/>
          <w:bCs w:val="0"/>
          <w:sz w:val="24"/>
          <w:szCs w:val="24"/>
        </w:rPr>
        <w:t>，</w:t>
      </w:r>
      <w:r>
        <w:rPr>
          <w:rFonts w:eastAsia="SimSun" w:hAnsi="SimSun" w:cs="Times New Roman" w:hint="eastAsia"/>
          <w:bCs w:val="0"/>
          <w:sz w:val="24"/>
          <w:szCs w:val="24"/>
          <w:lang w:val="zh-CN"/>
        </w:rPr>
        <w:t>非正式咨询小组应就制定生物多样性主流化的长期战略办法向执行秘书和主席团提供咨询意见。非正式咨询小组和主席团将就长期战略方法的所有方面提供咨询意见。</w:t>
      </w:r>
    </w:p>
    <w:p w14:paraId="105F0C1B" w14:textId="77777777" w:rsidR="00DD5157" w:rsidRDefault="00DD5157" w:rsidP="00CC37F8">
      <w:pPr>
        <w:pStyle w:val="Para10"/>
        <w:numPr>
          <w:ilvl w:val="0"/>
          <w:numId w:val="16"/>
        </w:numPr>
        <w:suppressLineNumbers/>
        <w:suppressAutoHyphens/>
        <w:adjustRightInd w:val="0"/>
        <w:spacing w:line="240" w:lineRule="atLeast"/>
        <w:ind w:left="0" w:firstLine="0"/>
        <w:rPr>
          <w:rFonts w:eastAsia="SimSun" w:cs="Times New Roman" w:hint="eastAsia"/>
          <w:bCs w:val="0"/>
          <w:kern w:val="22"/>
          <w:sz w:val="24"/>
          <w:szCs w:val="24"/>
        </w:rPr>
      </w:pPr>
      <w:r>
        <w:rPr>
          <w:rFonts w:eastAsia="SimSun" w:hAnsi="SimSun" w:cs="Times New Roman" w:hint="eastAsia"/>
          <w:bCs w:val="0"/>
          <w:sz w:val="24"/>
          <w:szCs w:val="24"/>
          <w:lang w:val="zh-CN"/>
        </w:rPr>
        <w:t>执行秘书将支持非正式咨询小组的工作。</w:t>
      </w:r>
    </w:p>
    <w:p w14:paraId="29601A76" w14:textId="77777777" w:rsidR="00DD5157" w:rsidRDefault="00DD5157" w:rsidP="00DD5157">
      <w:pPr>
        <w:pStyle w:val="Para10"/>
        <w:keepNext/>
        <w:suppressLineNumbers/>
        <w:suppressAutoHyphens/>
        <w:adjustRightInd w:val="0"/>
        <w:spacing w:line="240" w:lineRule="atLeast"/>
        <w:rPr>
          <w:rFonts w:eastAsia="SimSun" w:cs="Times New Roman"/>
          <w:b/>
          <w:bCs w:val="0"/>
          <w:kern w:val="22"/>
          <w:sz w:val="24"/>
          <w:szCs w:val="24"/>
        </w:rPr>
      </w:pPr>
      <w:r>
        <w:rPr>
          <w:rFonts w:eastAsia="SimSun" w:hAnsi="SimSun" w:cs="Times New Roman" w:hint="eastAsia"/>
          <w:b/>
          <w:bCs w:val="0"/>
          <w:kern w:val="22"/>
          <w:sz w:val="24"/>
          <w:szCs w:val="24"/>
          <w:lang w:val="zh-CN"/>
        </w:rPr>
        <w:t>工作模式</w:t>
      </w:r>
    </w:p>
    <w:p w14:paraId="66E3F29D" w14:textId="77777777" w:rsidR="00DD5157" w:rsidRDefault="00DD5157" w:rsidP="00CC37F8">
      <w:pPr>
        <w:pStyle w:val="Para10"/>
        <w:numPr>
          <w:ilvl w:val="0"/>
          <w:numId w:val="16"/>
        </w:numPr>
        <w:suppressLineNumbers/>
        <w:suppressAutoHyphens/>
        <w:adjustRightInd w:val="0"/>
        <w:spacing w:line="240" w:lineRule="atLeast"/>
        <w:ind w:left="0" w:firstLine="0"/>
        <w:rPr>
          <w:rFonts w:eastAsia="SimSun" w:cs="Times New Roman"/>
          <w:bCs w:val="0"/>
          <w:sz w:val="24"/>
          <w:szCs w:val="24"/>
        </w:rPr>
      </w:pPr>
      <w:r>
        <w:rPr>
          <w:rFonts w:eastAsia="SimSun" w:hAnsi="SimSun" w:cs="Times New Roman" w:hint="eastAsia"/>
          <w:bCs w:val="0"/>
          <w:sz w:val="24"/>
          <w:szCs w:val="24"/>
          <w:lang w:val="zh-CN"/>
        </w:rPr>
        <w:t>非正式咨询小组将在可行时通过虚拟手段包括视频会议举行会议。在资源允许的情况下，每年至少举行一次现场会议。</w:t>
      </w:r>
    </w:p>
    <w:p w14:paraId="51DF5164" w14:textId="77777777" w:rsidR="00DD5157" w:rsidRDefault="00DD5157" w:rsidP="00DD5157">
      <w:pPr>
        <w:pStyle w:val="Para1"/>
        <w:keepNext/>
        <w:numPr>
          <w:ilvl w:val="0"/>
          <w:numId w:val="0"/>
        </w:numPr>
        <w:suppressLineNumbers/>
        <w:tabs>
          <w:tab w:val="left" w:pos="720"/>
        </w:tabs>
        <w:suppressAutoHyphens/>
        <w:adjustRightInd w:val="0"/>
        <w:spacing w:line="240" w:lineRule="atLeast"/>
        <w:rPr>
          <w:rFonts w:eastAsiaTheme="minorEastAsia"/>
          <w:b/>
          <w:kern w:val="22"/>
          <w:sz w:val="24"/>
          <w:szCs w:val="24"/>
        </w:rPr>
      </w:pPr>
      <w:r>
        <w:rPr>
          <w:rFonts w:hAnsi="SimSun" w:hint="eastAsia"/>
          <w:b/>
          <w:kern w:val="22"/>
          <w:sz w:val="24"/>
          <w:szCs w:val="24"/>
          <w:lang w:val="zh-CN"/>
        </w:rPr>
        <w:t>工作的起始和审查</w:t>
      </w:r>
    </w:p>
    <w:p w14:paraId="7F4259CB" w14:textId="77777777" w:rsidR="00DD5157" w:rsidRDefault="00DD5157" w:rsidP="00CC37F8">
      <w:pPr>
        <w:pStyle w:val="Para10"/>
        <w:numPr>
          <w:ilvl w:val="0"/>
          <w:numId w:val="16"/>
        </w:numPr>
        <w:suppressLineNumbers/>
        <w:suppressAutoHyphens/>
        <w:adjustRightInd w:val="0"/>
        <w:spacing w:line="240" w:lineRule="atLeast"/>
        <w:ind w:left="0" w:firstLine="0"/>
        <w:rPr>
          <w:rFonts w:eastAsia="SimSun" w:cs="Times New Roman"/>
          <w:bCs w:val="0"/>
          <w:sz w:val="24"/>
          <w:szCs w:val="24"/>
        </w:rPr>
      </w:pPr>
      <w:r>
        <w:rPr>
          <w:rFonts w:eastAsia="SimSun" w:hAnsi="SimSun" w:cs="Times New Roman" w:hint="eastAsia"/>
          <w:bCs w:val="0"/>
          <w:sz w:val="24"/>
          <w:szCs w:val="24"/>
          <w:lang w:val="zh-CN"/>
        </w:rPr>
        <w:t>非正式咨询小组应在缔约方大会第十四届会议批准其职权范围之后立即开始工作。</w:t>
      </w:r>
    </w:p>
    <w:p w14:paraId="2F7BB33D" w14:textId="77777777" w:rsidR="00DD5157" w:rsidRDefault="00DD5157" w:rsidP="00CC37F8">
      <w:pPr>
        <w:pStyle w:val="Para10"/>
        <w:numPr>
          <w:ilvl w:val="0"/>
          <w:numId w:val="16"/>
        </w:numPr>
        <w:suppressLineNumbers/>
        <w:suppressAutoHyphens/>
        <w:adjustRightInd w:val="0"/>
        <w:spacing w:line="240" w:lineRule="atLeast"/>
        <w:ind w:left="0" w:firstLine="0"/>
      </w:pPr>
      <w:r>
        <w:rPr>
          <w:rFonts w:ascii="SimSun" w:eastAsia="SimSun" w:hAnsi="SimSun" w:cs="Microsoft JhengHei" w:hint="eastAsia"/>
          <w:bCs w:val="0"/>
          <w:sz w:val="24"/>
          <w:szCs w:val="24"/>
        </w:rPr>
        <w:t>执</w:t>
      </w:r>
      <w:r>
        <w:rPr>
          <w:rFonts w:ascii="SimSun" w:eastAsia="SimSun" w:hAnsi="SimSun" w:cs="MS Mincho" w:hint="eastAsia"/>
          <w:bCs w:val="0"/>
          <w:sz w:val="24"/>
          <w:szCs w:val="24"/>
        </w:rPr>
        <w:t>行</w:t>
      </w:r>
      <w:r>
        <w:rPr>
          <w:rFonts w:ascii="SimSun" w:eastAsia="SimSun" w:hAnsi="SimSun" w:cs="Microsoft JhengHei" w:hint="eastAsia"/>
          <w:bCs w:val="0"/>
          <w:sz w:val="24"/>
          <w:szCs w:val="24"/>
        </w:rPr>
        <w:t>问题</w:t>
      </w:r>
      <w:r>
        <w:rPr>
          <w:rFonts w:ascii="SimSun" w:eastAsia="SimSun" w:hAnsi="SimSun" w:cs="MS Mincho" w:hint="eastAsia"/>
          <w:bCs w:val="0"/>
          <w:sz w:val="24"/>
          <w:szCs w:val="24"/>
        </w:rPr>
        <w:t>附属机构第三次会</w:t>
      </w:r>
      <w:r>
        <w:rPr>
          <w:rFonts w:ascii="SimSun" w:eastAsia="SimSun" w:hAnsi="SimSun" w:cs="Microsoft JhengHei" w:hint="eastAsia"/>
          <w:bCs w:val="0"/>
          <w:sz w:val="24"/>
          <w:szCs w:val="24"/>
        </w:rPr>
        <w:t>议</w:t>
      </w:r>
      <w:r>
        <w:rPr>
          <w:rFonts w:ascii="SimSun" w:eastAsia="SimSun" w:hAnsi="SimSun" w:hint="eastAsia"/>
          <w:bCs w:val="0"/>
          <w:sz w:val="24"/>
          <w:szCs w:val="24"/>
        </w:rPr>
        <w:t>在</w:t>
      </w:r>
      <w:r>
        <w:rPr>
          <w:rFonts w:ascii="SimSun" w:eastAsia="SimSun" w:hAnsi="SimSun" w:cs="Microsoft JhengHei" w:hint="eastAsia"/>
          <w:bCs w:val="0"/>
          <w:sz w:val="24"/>
          <w:szCs w:val="24"/>
        </w:rPr>
        <w:t>审议执</w:t>
      </w:r>
      <w:r>
        <w:rPr>
          <w:rFonts w:ascii="SimSun" w:eastAsia="SimSun" w:hAnsi="SimSun" w:cs="MS Mincho" w:hint="eastAsia"/>
          <w:bCs w:val="0"/>
          <w:sz w:val="24"/>
          <w:szCs w:val="24"/>
        </w:rPr>
        <w:t>行秘</w:t>
      </w:r>
      <w:r>
        <w:rPr>
          <w:rFonts w:ascii="SimSun" w:eastAsia="SimSun" w:hAnsi="SimSun" w:cs="Microsoft JhengHei" w:hint="eastAsia"/>
          <w:bCs w:val="0"/>
          <w:sz w:val="24"/>
          <w:szCs w:val="24"/>
        </w:rPr>
        <w:t>书</w:t>
      </w:r>
      <w:r>
        <w:rPr>
          <w:rFonts w:ascii="SimSun" w:eastAsia="SimSun" w:hAnsi="SimSun" w:cs="MS Mincho" w:hint="eastAsia"/>
          <w:bCs w:val="0"/>
          <w:sz w:val="24"/>
          <w:szCs w:val="24"/>
        </w:rPr>
        <w:t>提交的</w:t>
      </w:r>
      <w:r>
        <w:rPr>
          <w:rFonts w:ascii="SimSun" w:eastAsia="SimSun" w:hAnsi="SimSun" w:cs="Microsoft JhengHei" w:hint="eastAsia"/>
          <w:bCs w:val="0"/>
          <w:sz w:val="24"/>
          <w:szCs w:val="24"/>
        </w:rPr>
        <w:t>进</w:t>
      </w:r>
      <w:r>
        <w:rPr>
          <w:rFonts w:ascii="SimSun" w:eastAsia="SimSun" w:hAnsi="SimSun" w:cs="MS Mincho" w:hint="eastAsia"/>
          <w:bCs w:val="0"/>
          <w:sz w:val="24"/>
          <w:szCs w:val="24"/>
        </w:rPr>
        <w:t>度</w:t>
      </w:r>
      <w:r>
        <w:rPr>
          <w:rFonts w:ascii="SimSun" w:eastAsia="SimSun" w:hAnsi="SimSun" w:cs="Microsoft JhengHei" w:hint="eastAsia"/>
          <w:bCs w:val="0"/>
          <w:sz w:val="24"/>
          <w:szCs w:val="24"/>
        </w:rPr>
        <w:t>报</w:t>
      </w:r>
      <w:r>
        <w:rPr>
          <w:rFonts w:ascii="SimSun" w:eastAsia="SimSun" w:hAnsi="SimSun" w:cs="MS Mincho" w:hint="eastAsia"/>
          <w:bCs w:val="0"/>
          <w:sz w:val="24"/>
          <w:szCs w:val="24"/>
        </w:rPr>
        <w:t>告后，</w:t>
      </w:r>
      <w:r>
        <w:rPr>
          <w:rFonts w:ascii="SimSun" w:eastAsia="SimSun" w:hAnsi="SimSun" w:hint="eastAsia"/>
          <w:bCs w:val="0"/>
          <w:sz w:val="24"/>
          <w:szCs w:val="24"/>
        </w:rPr>
        <w:t>将</w:t>
      </w:r>
      <w:r>
        <w:rPr>
          <w:rFonts w:ascii="SimSun" w:eastAsia="SimSun" w:hAnsi="SimSun" w:cs="Microsoft JhengHei" w:hint="eastAsia"/>
          <w:bCs w:val="0"/>
          <w:sz w:val="24"/>
          <w:szCs w:val="24"/>
        </w:rPr>
        <w:t>审查</w:t>
      </w:r>
      <w:r>
        <w:rPr>
          <w:rFonts w:ascii="SimSun" w:eastAsia="SimSun" w:hAnsi="SimSun" w:cs="MS Mincho" w:hint="eastAsia"/>
          <w:bCs w:val="0"/>
          <w:sz w:val="24"/>
          <w:szCs w:val="24"/>
        </w:rPr>
        <w:t>非正式咨</w:t>
      </w:r>
      <w:r>
        <w:rPr>
          <w:rFonts w:ascii="SimSun" w:eastAsia="SimSun" w:hAnsi="SimSun" w:cs="Microsoft JhengHei" w:hint="eastAsia"/>
          <w:bCs w:val="0"/>
          <w:sz w:val="24"/>
          <w:szCs w:val="24"/>
        </w:rPr>
        <w:t>询</w:t>
      </w:r>
      <w:r>
        <w:rPr>
          <w:rFonts w:ascii="SimSun" w:eastAsia="SimSun" w:hAnsi="SimSun" w:cs="MS Mincho" w:hint="eastAsia"/>
          <w:bCs w:val="0"/>
          <w:sz w:val="24"/>
          <w:szCs w:val="24"/>
        </w:rPr>
        <w:t>小</w:t>
      </w:r>
      <w:r>
        <w:rPr>
          <w:rFonts w:ascii="SimSun" w:eastAsia="SimSun" w:hAnsi="SimSun" w:cs="Microsoft JhengHei" w:hint="eastAsia"/>
          <w:bCs w:val="0"/>
          <w:sz w:val="24"/>
          <w:szCs w:val="24"/>
        </w:rPr>
        <w:t>组</w:t>
      </w:r>
      <w:r>
        <w:rPr>
          <w:rFonts w:ascii="SimSun" w:eastAsia="SimSun" w:hAnsi="SimSun" w:cs="MS Mincho" w:hint="eastAsia"/>
          <w:bCs w:val="0"/>
          <w:sz w:val="24"/>
          <w:szCs w:val="24"/>
        </w:rPr>
        <w:t>的任</w:t>
      </w:r>
      <w:r>
        <w:rPr>
          <w:rFonts w:ascii="SimSun" w:eastAsia="SimSun" w:hAnsi="SimSun" w:cs="Microsoft JhengHei" w:hint="eastAsia"/>
          <w:bCs w:val="0"/>
          <w:sz w:val="24"/>
          <w:szCs w:val="24"/>
        </w:rPr>
        <w:t>务</w:t>
      </w:r>
      <w:r>
        <w:rPr>
          <w:rFonts w:ascii="SimSun" w:eastAsia="SimSun" w:hAnsi="SimSun" w:cs="MS Mincho" w:hint="eastAsia"/>
          <w:bCs w:val="0"/>
          <w:sz w:val="24"/>
          <w:szCs w:val="24"/>
        </w:rPr>
        <w:t>和</w:t>
      </w:r>
      <w:r>
        <w:rPr>
          <w:rFonts w:ascii="SimSun" w:eastAsia="SimSun" w:hAnsi="SimSun" w:cs="Microsoft JhengHei" w:hint="eastAsia"/>
          <w:bCs w:val="0"/>
          <w:sz w:val="24"/>
          <w:szCs w:val="24"/>
        </w:rPr>
        <w:t>组</w:t>
      </w:r>
      <w:r>
        <w:rPr>
          <w:rFonts w:ascii="SimSun" w:eastAsia="SimSun" w:hAnsi="SimSun" w:cs="MS Mincho" w:hint="eastAsia"/>
          <w:bCs w:val="0"/>
          <w:sz w:val="24"/>
          <w:szCs w:val="24"/>
        </w:rPr>
        <w:t>成。</w:t>
      </w:r>
    </w:p>
    <w:p w14:paraId="307139CC" w14:textId="77777777"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r w:rsidR="008027F1" w:rsidRPr="00E40630">
        <w:rPr>
          <w:rFonts w:cs="Times New Roman" w:hint="eastAsia"/>
          <w:kern w:val="22"/>
          <w:sz w:val="24"/>
        </w:rPr>
        <w:t xml:space="preserve"> </w:t>
      </w:r>
    </w:p>
    <w:sectPr w:rsidR="00666863" w:rsidRPr="00E40630" w:rsidSect="00FF196E">
      <w:headerReference w:type="even" r:id="rId13"/>
      <w:headerReference w:type="default" r:id="rId14"/>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3DEC6" w14:textId="77777777" w:rsidR="00CC37F8" w:rsidRDefault="00CC37F8">
      <w:pPr>
        <w:rPr>
          <w:rFonts w:ascii="Univers" w:eastAsia="Univers" w:hAnsi="Univers" w:cs="Times New Roman"/>
        </w:rPr>
      </w:pPr>
      <w:r>
        <w:rPr>
          <w:rFonts w:ascii="Univers" w:eastAsia="Univers" w:hAnsi="Univers" w:cs="Times New Roman"/>
        </w:rPr>
        <w:separator/>
      </w:r>
    </w:p>
  </w:endnote>
  <w:endnote w:type="continuationSeparator" w:id="0">
    <w:p w14:paraId="16962C57" w14:textId="77777777" w:rsidR="00CC37F8" w:rsidRDefault="00CC37F8">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8FE2E" w14:textId="77777777" w:rsidR="00CC37F8" w:rsidRDefault="00CC37F8">
      <w:pPr>
        <w:rPr>
          <w:rFonts w:ascii="Univers" w:eastAsia="Univers" w:hAnsi="Univers" w:cs="Times New Roman"/>
        </w:rPr>
      </w:pPr>
      <w:r>
        <w:rPr>
          <w:rFonts w:ascii="Univers" w:eastAsia="Univers" w:hAnsi="Univers" w:cs="Times New Roman"/>
        </w:rPr>
        <w:separator/>
      </w:r>
    </w:p>
  </w:footnote>
  <w:footnote w:type="continuationSeparator" w:id="0">
    <w:p w14:paraId="5ED0787B" w14:textId="77777777" w:rsidR="00CC37F8" w:rsidRDefault="00CC37F8">
      <w:pPr>
        <w:rPr>
          <w:rFonts w:ascii="Univers" w:eastAsia="Univers" w:hAnsi="Univers" w:cs="Times New Roman"/>
        </w:rPr>
      </w:pPr>
      <w:r>
        <w:rPr>
          <w:rFonts w:ascii="Univers" w:eastAsia="Univers" w:hAnsi="Univers" w:cs="Times New Roman"/>
        </w:rPr>
        <w:continuationSeparator/>
      </w:r>
    </w:p>
  </w:footnote>
  <w:footnote w:id="1">
    <w:p w14:paraId="5E7F3434"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napToGrid w:val="0"/>
          <w:kern w:val="18"/>
          <w:sz w:val="20"/>
          <w:szCs w:val="20"/>
          <w:lang w:eastAsia="zh-CN"/>
        </w:rPr>
      </w:pPr>
      <w:r w:rsidRPr="006B4199">
        <w:rPr>
          <w:rStyle w:val="FootnoteReference"/>
          <w:rFonts w:eastAsiaTheme="minorEastAsia"/>
          <w:kern w:val="18"/>
          <w:sz w:val="20"/>
          <w:szCs w:val="20"/>
        </w:rPr>
        <w:footnoteRef/>
      </w:r>
      <w:r w:rsidRPr="006B4199">
        <w:rPr>
          <w:rFonts w:eastAsiaTheme="minorEastAsia"/>
          <w:snapToGrid w:val="0"/>
          <w:kern w:val="18"/>
          <w:sz w:val="20"/>
          <w:szCs w:val="20"/>
          <w:lang w:eastAsia="zh-CN"/>
        </w:rPr>
        <w:tab/>
      </w:r>
      <w:hyperlink r:id="rId1" w:history="1">
        <w:r w:rsidRPr="006B4199">
          <w:rPr>
            <w:rStyle w:val="Hyperlink"/>
            <w:rFonts w:eastAsiaTheme="minorEastAsia"/>
            <w:snapToGrid w:val="0"/>
            <w:kern w:val="18"/>
            <w:sz w:val="20"/>
            <w:szCs w:val="20"/>
            <w:lang w:eastAsia="zh-CN"/>
          </w:rPr>
          <w:t>UNEP/CBD/COP/13/24</w:t>
        </w:r>
      </w:hyperlink>
      <w:r w:rsidRPr="006B4199">
        <w:rPr>
          <w:rFonts w:eastAsiaTheme="minorEastAsia"/>
          <w:snapToGrid w:val="0"/>
          <w:kern w:val="18"/>
          <w:sz w:val="20"/>
          <w:szCs w:val="20"/>
          <w:lang w:eastAsia="zh-CN"/>
        </w:rPr>
        <w:t>。</w:t>
      </w:r>
    </w:p>
  </w:footnote>
  <w:footnote w:id="2">
    <w:p w14:paraId="51029145" w14:textId="182E6903" w:rsidR="00D1552E" w:rsidRPr="006B4199" w:rsidRDefault="00D1552E" w:rsidP="00D1552E">
      <w:pPr>
        <w:pStyle w:val="FootnoteText"/>
        <w:tabs>
          <w:tab w:val="left" w:pos="360"/>
        </w:tabs>
        <w:ind w:firstLine="0"/>
        <w:rPr>
          <w:rFonts w:eastAsiaTheme="minorEastAsia"/>
          <w:sz w:val="20"/>
          <w:szCs w:val="20"/>
          <w:lang w:val="en-US" w:eastAsia="zh-CN"/>
        </w:rPr>
      </w:pPr>
      <w:r w:rsidRPr="006B4199">
        <w:rPr>
          <w:rStyle w:val="FootnoteReference"/>
          <w:rFonts w:eastAsiaTheme="minorEastAsia"/>
          <w:kern w:val="18"/>
          <w:sz w:val="20"/>
          <w:szCs w:val="20"/>
        </w:rPr>
        <w:footnoteRef/>
      </w:r>
      <w:r w:rsidRPr="006B4199">
        <w:rPr>
          <w:rStyle w:val="FootnoteReference"/>
          <w:rFonts w:eastAsiaTheme="minorEastAsia"/>
          <w:kern w:val="18"/>
          <w:sz w:val="20"/>
          <w:szCs w:val="20"/>
          <w:lang w:eastAsia="zh-CN"/>
        </w:rPr>
        <w:t xml:space="preserve"> </w:t>
      </w:r>
      <w:r w:rsidRPr="006B4199">
        <w:rPr>
          <w:rFonts w:eastAsiaTheme="minorEastAsia"/>
          <w:sz w:val="20"/>
          <w:szCs w:val="20"/>
          <w:lang w:eastAsia="zh-CN"/>
        </w:rPr>
        <w:t xml:space="preserve">   </w:t>
      </w:r>
      <w:r w:rsidR="005B4E3C">
        <w:rPr>
          <w:rFonts w:eastAsiaTheme="minorEastAsia"/>
          <w:sz w:val="20"/>
          <w:szCs w:val="20"/>
          <w:lang w:eastAsia="zh-CN"/>
        </w:rPr>
        <w:t xml:space="preserve"> </w:t>
      </w:r>
      <w:bookmarkStart w:id="1" w:name="_GoBack"/>
      <w:bookmarkEnd w:id="1"/>
      <w:r w:rsidR="00CC37F8">
        <w:rPr>
          <w:rStyle w:val="Hyperlink"/>
          <w:rFonts w:eastAsiaTheme="minorEastAsia"/>
          <w:sz w:val="20"/>
          <w:szCs w:val="20"/>
          <w:lang w:eastAsia="zh-CN"/>
        </w:rPr>
        <w:fldChar w:fldCharType="begin"/>
      </w:r>
      <w:r w:rsidR="00CC37F8">
        <w:rPr>
          <w:rStyle w:val="Hyperlink"/>
          <w:rFonts w:eastAsiaTheme="minorEastAsia"/>
          <w:sz w:val="20"/>
          <w:szCs w:val="20"/>
          <w:lang w:eastAsia="zh-CN"/>
        </w:rPr>
        <w:instrText xml:space="preserve"> HYPERLINK "https://www.cbd.int/doc/c/2000/ec3f/0cbb700fcf8f8e170b5f4afb/cop-14-12-en.pdf" </w:instrText>
      </w:r>
      <w:r w:rsidR="00CC37F8">
        <w:rPr>
          <w:rStyle w:val="Hyperlink"/>
          <w:rFonts w:eastAsiaTheme="minorEastAsia"/>
          <w:sz w:val="20"/>
          <w:szCs w:val="20"/>
          <w:lang w:eastAsia="zh-CN"/>
        </w:rPr>
        <w:fldChar w:fldCharType="separate"/>
      </w:r>
      <w:r w:rsidR="00691571" w:rsidRPr="006B4199">
        <w:rPr>
          <w:rStyle w:val="Hyperlink"/>
          <w:rFonts w:eastAsiaTheme="minorEastAsia"/>
          <w:sz w:val="20"/>
          <w:szCs w:val="20"/>
          <w:lang w:eastAsia="zh-CN"/>
        </w:rPr>
        <w:t>CBD/COP/14/12</w:t>
      </w:r>
      <w:r w:rsidR="00CC37F8">
        <w:rPr>
          <w:rStyle w:val="Hyperlink"/>
          <w:rFonts w:eastAsiaTheme="minorEastAsia"/>
          <w:sz w:val="20"/>
          <w:szCs w:val="20"/>
          <w:lang w:eastAsia="zh-CN"/>
        </w:rPr>
        <w:fldChar w:fldCharType="end"/>
      </w:r>
      <w:r w:rsidRPr="006B4199">
        <w:rPr>
          <w:rFonts w:eastAsiaTheme="minorEastAsia"/>
          <w:sz w:val="20"/>
          <w:szCs w:val="20"/>
          <w:lang w:eastAsia="zh-CN"/>
        </w:rPr>
        <w:t>。</w:t>
      </w:r>
    </w:p>
  </w:footnote>
  <w:footnote w:id="3">
    <w:p w14:paraId="6A8BF0DC" w14:textId="77777777" w:rsidR="00D1552E" w:rsidRPr="006B4199" w:rsidRDefault="00D1552E" w:rsidP="00D1552E">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6B4199">
        <w:rPr>
          <w:rStyle w:val="FootnoteReference"/>
          <w:rFonts w:eastAsiaTheme="minorEastAsia"/>
          <w:kern w:val="18"/>
          <w:sz w:val="20"/>
          <w:szCs w:val="20"/>
        </w:rPr>
        <w:footnoteRef/>
      </w:r>
      <w:r w:rsidRPr="006B4199">
        <w:rPr>
          <w:rFonts w:eastAsiaTheme="minorEastAsia"/>
          <w:kern w:val="18"/>
          <w:sz w:val="20"/>
          <w:szCs w:val="20"/>
          <w:lang w:eastAsia="zh-CN"/>
        </w:rPr>
        <w:tab/>
      </w:r>
      <w:hyperlink r:id="rId2" w:history="1">
        <w:r w:rsidRPr="006B4199">
          <w:rPr>
            <w:rStyle w:val="Hyperlink"/>
            <w:rFonts w:eastAsiaTheme="minorEastAsia"/>
            <w:sz w:val="20"/>
            <w:szCs w:val="20"/>
            <w:lang w:val="zh-CN" w:eastAsia="zh-CN"/>
          </w:rPr>
          <w:t>第</w:t>
        </w:r>
        <w:r w:rsidRPr="006B4199">
          <w:rPr>
            <w:rStyle w:val="Hyperlink"/>
            <w:rFonts w:eastAsiaTheme="minorEastAsia"/>
            <w:sz w:val="20"/>
            <w:szCs w:val="20"/>
            <w:lang w:val="zh-CN" w:eastAsia="zh-CN"/>
          </w:rPr>
          <w:t>X/2</w:t>
        </w:r>
        <w:r w:rsidRPr="006B4199">
          <w:rPr>
            <w:rStyle w:val="Hyperlink"/>
            <w:rFonts w:eastAsiaTheme="minorEastAsia"/>
            <w:sz w:val="20"/>
            <w:szCs w:val="20"/>
            <w:lang w:val="zh-CN" w:eastAsia="zh-CN"/>
          </w:rPr>
          <w:t>号决定</w:t>
        </w:r>
      </w:hyperlink>
      <w:r w:rsidRPr="006B4199">
        <w:rPr>
          <w:rFonts w:eastAsiaTheme="minorEastAsia"/>
          <w:sz w:val="20"/>
          <w:szCs w:val="20"/>
          <w:lang w:val="zh-CN" w:eastAsia="zh-CN"/>
        </w:rPr>
        <w:t>，附件。</w:t>
      </w:r>
    </w:p>
  </w:footnote>
  <w:footnote w:id="4">
    <w:p w14:paraId="15A41E3D" w14:textId="77777777" w:rsidR="00D1552E" w:rsidRPr="006B4199" w:rsidRDefault="00D1552E" w:rsidP="00D1552E">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6B4199">
        <w:rPr>
          <w:rStyle w:val="FootnoteReference"/>
          <w:rFonts w:eastAsiaTheme="minorEastAsia"/>
          <w:kern w:val="18"/>
          <w:sz w:val="20"/>
          <w:szCs w:val="20"/>
        </w:rPr>
        <w:footnoteRef/>
      </w:r>
      <w:r w:rsidRPr="006B4199">
        <w:rPr>
          <w:rFonts w:eastAsiaTheme="minorEastAsia"/>
          <w:kern w:val="18"/>
          <w:sz w:val="20"/>
          <w:szCs w:val="20"/>
          <w:lang w:eastAsia="zh-CN"/>
        </w:rPr>
        <w:tab/>
      </w:r>
      <w:r w:rsidRPr="006B4199">
        <w:rPr>
          <w:rFonts w:eastAsiaTheme="minorEastAsia"/>
          <w:sz w:val="20"/>
          <w:szCs w:val="20"/>
          <w:lang w:val="zh-CN" w:eastAsia="zh-CN"/>
        </w:rPr>
        <w:t>见联大</w:t>
      </w:r>
      <w:r w:rsidRPr="006B4199">
        <w:rPr>
          <w:rFonts w:eastAsiaTheme="minorEastAsia"/>
          <w:sz w:val="20"/>
          <w:szCs w:val="20"/>
          <w:lang w:val="zh-CN" w:eastAsia="zh-CN"/>
        </w:rPr>
        <w:t>2015</w:t>
      </w:r>
      <w:r w:rsidRPr="006B4199">
        <w:rPr>
          <w:rFonts w:eastAsiaTheme="minorEastAsia"/>
          <w:sz w:val="20"/>
          <w:szCs w:val="20"/>
          <w:lang w:val="zh-CN" w:eastAsia="zh-CN"/>
        </w:rPr>
        <w:t>年</w:t>
      </w:r>
      <w:r w:rsidRPr="006B4199">
        <w:rPr>
          <w:rFonts w:eastAsiaTheme="minorEastAsia"/>
          <w:sz w:val="20"/>
          <w:szCs w:val="20"/>
          <w:lang w:val="zh-CN" w:eastAsia="zh-CN"/>
        </w:rPr>
        <w:t>9</w:t>
      </w:r>
      <w:r w:rsidRPr="006B4199">
        <w:rPr>
          <w:rFonts w:eastAsiaTheme="minorEastAsia"/>
          <w:sz w:val="20"/>
          <w:szCs w:val="20"/>
          <w:lang w:val="zh-CN" w:eastAsia="zh-CN"/>
        </w:rPr>
        <w:t>月</w:t>
      </w:r>
      <w:r w:rsidRPr="006B4199">
        <w:rPr>
          <w:rFonts w:eastAsiaTheme="minorEastAsia"/>
          <w:sz w:val="20"/>
          <w:szCs w:val="20"/>
          <w:lang w:val="zh-CN" w:eastAsia="zh-CN"/>
        </w:rPr>
        <w:t>25</w:t>
      </w:r>
      <w:r w:rsidRPr="006B4199">
        <w:rPr>
          <w:rFonts w:eastAsiaTheme="minorEastAsia"/>
          <w:sz w:val="20"/>
          <w:szCs w:val="20"/>
          <w:lang w:val="zh-CN" w:eastAsia="zh-CN"/>
        </w:rPr>
        <w:t>日</w:t>
      </w:r>
      <w:hyperlink r:id="rId3" w:history="1">
        <w:r w:rsidRPr="006B4199">
          <w:rPr>
            <w:rStyle w:val="Hyperlink"/>
            <w:rFonts w:eastAsiaTheme="minorEastAsia"/>
            <w:sz w:val="20"/>
            <w:szCs w:val="20"/>
            <w:lang w:val="zh-CN" w:eastAsia="zh-CN"/>
          </w:rPr>
          <w:t>第</w:t>
        </w:r>
        <w:r w:rsidRPr="006B4199">
          <w:rPr>
            <w:rStyle w:val="Hyperlink"/>
            <w:rFonts w:eastAsiaTheme="minorEastAsia"/>
            <w:sz w:val="20"/>
            <w:szCs w:val="20"/>
            <w:lang w:val="zh-CN" w:eastAsia="zh-CN"/>
          </w:rPr>
          <w:t>70/1</w:t>
        </w:r>
        <w:r w:rsidRPr="006B4199">
          <w:rPr>
            <w:rStyle w:val="Hyperlink"/>
            <w:rFonts w:eastAsiaTheme="minorEastAsia"/>
            <w:sz w:val="20"/>
            <w:szCs w:val="20"/>
            <w:lang w:val="zh-CN" w:eastAsia="zh-CN"/>
          </w:rPr>
          <w:t>号决议</w:t>
        </w:r>
      </w:hyperlink>
      <w:r w:rsidRPr="006B4199">
        <w:rPr>
          <w:rFonts w:eastAsiaTheme="minorEastAsia"/>
          <w:sz w:val="20"/>
          <w:szCs w:val="20"/>
          <w:lang w:val="zh-CN" w:eastAsia="zh-CN"/>
        </w:rPr>
        <w:t>，题为</w:t>
      </w:r>
      <w:r w:rsidRPr="006B4199">
        <w:rPr>
          <w:rFonts w:asciiTheme="minorEastAsia" w:eastAsiaTheme="minorEastAsia" w:hAnsiTheme="minorEastAsia"/>
          <w:sz w:val="20"/>
          <w:szCs w:val="20"/>
          <w:lang w:val="zh-CN" w:eastAsia="zh-CN"/>
        </w:rPr>
        <w:t>“改变我们的世界</w:t>
      </w:r>
      <w:r w:rsidRPr="006B4199">
        <w:rPr>
          <w:rFonts w:eastAsiaTheme="minorEastAsia"/>
          <w:sz w:val="20"/>
          <w:szCs w:val="20"/>
          <w:lang w:val="zh-CN" w:eastAsia="zh-CN"/>
        </w:rPr>
        <w:t>：</w:t>
      </w:r>
      <w:r w:rsidRPr="006B4199">
        <w:rPr>
          <w:rFonts w:eastAsiaTheme="minorEastAsia"/>
          <w:sz w:val="20"/>
          <w:szCs w:val="20"/>
          <w:lang w:val="zh-CN" w:eastAsia="zh-CN"/>
        </w:rPr>
        <w:t>2030</w:t>
      </w:r>
      <w:r w:rsidRPr="006B4199">
        <w:rPr>
          <w:rFonts w:eastAsiaTheme="minorEastAsia"/>
          <w:sz w:val="20"/>
          <w:szCs w:val="20"/>
          <w:lang w:val="zh-CN" w:eastAsia="zh-CN"/>
        </w:rPr>
        <w:t>年可持续发展</w:t>
      </w:r>
      <w:r w:rsidRPr="006B4199">
        <w:rPr>
          <w:rFonts w:asciiTheme="minorEastAsia" w:eastAsiaTheme="minorEastAsia" w:hAnsiTheme="minorEastAsia"/>
          <w:sz w:val="20"/>
          <w:szCs w:val="20"/>
          <w:lang w:val="zh-CN" w:eastAsia="zh-CN"/>
        </w:rPr>
        <w:t>议程”。</w:t>
      </w:r>
    </w:p>
  </w:footnote>
  <w:footnote w:id="5">
    <w:p w14:paraId="7C9DE87D" w14:textId="110AA31E" w:rsidR="00027830" w:rsidRPr="006B4199" w:rsidRDefault="00027830" w:rsidP="00A220FB">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val="zh-CN" w:eastAsia="zh-CN"/>
        </w:rPr>
      </w:pPr>
      <w:r w:rsidRPr="006B4199">
        <w:rPr>
          <w:rStyle w:val="FootnoteReference"/>
          <w:kern w:val="18"/>
          <w:sz w:val="20"/>
          <w:szCs w:val="20"/>
        </w:rPr>
        <w:footnoteRef/>
      </w:r>
      <w:r w:rsidRPr="006B4199">
        <w:rPr>
          <w:rStyle w:val="FootnoteReference"/>
          <w:kern w:val="18"/>
          <w:sz w:val="20"/>
          <w:szCs w:val="20"/>
        </w:rPr>
        <w:t xml:space="preserve"> </w:t>
      </w:r>
      <w:r w:rsidR="00B54861" w:rsidRPr="006B4199">
        <w:rPr>
          <w:rFonts w:eastAsiaTheme="minorEastAsia"/>
          <w:kern w:val="18"/>
          <w:sz w:val="20"/>
          <w:szCs w:val="20"/>
          <w:lang w:eastAsia="zh-CN"/>
        </w:rPr>
        <w:tab/>
      </w:r>
      <w:r w:rsidR="00B54861" w:rsidRPr="006B4199">
        <w:rPr>
          <w:rFonts w:eastAsiaTheme="minorEastAsia" w:hint="eastAsia"/>
          <w:sz w:val="20"/>
          <w:szCs w:val="20"/>
          <w:lang w:val="zh-CN" w:eastAsia="zh-CN"/>
        </w:rPr>
        <w:t>《联合国气候变化框架公约》，缔约方大会第二十一届会议，第</w:t>
      </w:r>
      <w:r w:rsidR="00B54861" w:rsidRPr="006B4199">
        <w:rPr>
          <w:rFonts w:eastAsiaTheme="minorEastAsia"/>
          <w:sz w:val="20"/>
          <w:szCs w:val="20"/>
          <w:lang w:val="zh-CN" w:eastAsia="zh-CN"/>
        </w:rPr>
        <w:t>1/CP.21</w:t>
      </w:r>
      <w:r w:rsidR="00B54861" w:rsidRPr="006B4199">
        <w:rPr>
          <w:rFonts w:eastAsiaTheme="minorEastAsia" w:hint="eastAsia"/>
          <w:sz w:val="20"/>
          <w:szCs w:val="20"/>
          <w:lang w:val="zh-CN" w:eastAsia="zh-CN"/>
        </w:rPr>
        <w:t>号决定（见</w:t>
      </w:r>
      <w:r w:rsidR="00B54861" w:rsidRPr="006B4199">
        <w:rPr>
          <w:rFonts w:eastAsiaTheme="minorEastAsia"/>
          <w:sz w:val="20"/>
          <w:szCs w:val="20"/>
          <w:lang w:val="zh-CN" w:eastAsia="zh-CN"/>
        </w:rPr>
        <w:t>FCCC/CP/2015/10/Add.1</w:t>
      </w:r>
      <w:r w:rsidR="00B54861" w:rsidRPr="006B4199">
        <w:rPr>
          <w:rFonts w:eastAsiaTheme="minorEastAsia" w:hint="eastAsia"/>
          <w:sz w:val="20"/>
          <w:szCs w:val="20"/>
          <w:lang w:val="zh-CN" w:eastAsia="zh-CN"/>
        </w:rPr>
        <w:t>）</w:t>
      </w:r>
      <w:r w:rsidR="00691571" w:rsidRPr="006B4199">
        <w:rPr>
          <w:rFonts w:eastAsiaTheme="minorEastAsia"/>
          <w:sz w:val="20"/>
          <w:szCs w:val="20"/>
          <w:lang w:val="zh-CN" w:eastAsia="zh-CN"/>
        </w:rPr>
        <w:t>。</w:t>
      </w:r>
    </w:p>
  </w:footnote>
  <w:footnote w:id="6">
    <w:p w14:paraId="5428B65E" w14:textId="42167F5A" w:rsidR="00D1552E" w:rsidRPr="006B4199" w:rsidRDefault="00D1552E" w:rsidP="00D1552E">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lang w:eastAsia="zh-CN"/>
        </w:rPr>
      </w:pPr>
      <w:r w:rsidRPr="006B4199">
        <w:rPr>
          <w:rStyle w:val="FootnoteReference"/>
          <w:rFonts w:eastAsiaTheme="minorEastAsia"/>
          <w:kern w:val="18"/>
          <w:sz w:val="20"/>
          <w:szCs w:val="20"/>
        </w:rPr>
        <w:footnoteRef/>
      </w:r>
      <w:r w:rsidRPr="006B4199">
        <w:rPr>
          <w:rFonts w:eastAsiaTheme="minorEastAsia"/>
          <w:sz w:val="20"/>
          <w:szCs w:val="20"/>
          <w:lang w:val="zh-CN" w:eastAsia="zh-CN"/>
        </w:rPr>
        <w:tab/>
      </w:r>
      <w:hyperlink r:id="rId4" w:history="1">
        <w:r w:rsidRPr="006B4199">
          <w:rPr>
            <w:rStyle w:val="Hyperlink"/>
            <w:rFonts w:eastAsiaTheme="minorEastAsia"/>
            <w:sz w:val="20"/>
            <w:szCs w:val="20"/>
            <w:lang w:val="zh-CN" w:eastAsia="zh-CN"/>
          </w:rPr>
          <w:t>生物多样性公约秘书处（</w:t>
        </w:r>
        <w:r w:rsidRPr="006B4199">
          <w:rPr>
            <w:rStyle w:val="Hyperlink"/>
            <w:rFonts w:eastAsiaTheme="minorEastAsia"/>
            <w:sz w:val="20"/>
            <w:szCs w:val="20"/>
            <w:lang w:eastAsia="zh-CN"/>
          </w:rPr>
          <w:t>2012</w:t>
        </w:r>
        <w:r w:rsidRPr="006B4199">
          <w:rPr>
            <w:rStyle w:val="Hyperlink"/>
            <w:rFonts w:eastAsiaTheme="minorEastAsia"/>
            <w:sz w:val="20"/>
            <w:szCs w:val="20"/>
            <w:lang w:val="zh-CN" w:eastAsia="zh-CN"/>
          </w:rPr>
          <w:t>年），《城市和生物多样性展望》，加拿大蒙特利尔</w:t>
        </w:r>
      </w:hyperlink>
      <w:r w:rsidRPr="006B4199">
        <w:rPr>
          <w:rFonts w:eastAsiaTheme="minorEastAsia"/>
          <w:sz w:val="20"/>
          <w:szCs w:val="20"/>
          <w:lang w:val="zh-CN" w:eastAsia="zh-CN"/>
        </w:rPr>
        <w:t>。</w:t>
      </w:r>
    </w:p>
  </w:footnote>
  <w:footnote w:id="7">
    <w:p w14:paraId="38E9146F"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lang w:eastAsia="zh-CN"/>
        </w:rPr>
      </w:pPr>
      <w:r w:rsidRPr="006B4199">
        <w:rPr>
          <w:rStyle w:val="FootnoteReference"/>
          <w:rFonts w:eastAsiaTheme="minorEastAsia"/>
          <w:kern w:val="18"/>
          <w:sz w:val="20"/>
          <w:szCs w:val="20"/>
        </w:rPr>
        <w:footnoteRef/>
      </w:r>
      <w:r w:rsidRPr="006B4199">
        <w:rPr>
          <w:rFonts w:eastAsiaTheme="minorEastAsia"/>
          <w:sz w:val="20"/>
          <w:szCs w:val="20"/>
          <w:lang w:eastAsia="zh-CN"/>
        </w:rPr>
        <w:tab/>
      </w:r>
      <w:r w:rsidRPr="006B4199">
        <w:rPr>
          <w:rFonts w:eastAsiaTheme="minorEastAsia"/>
          <w:sz w:val="20"/>
          <w:szCs w:val="20"/>
          <w:lang w:eastAsia="zh-CN"/>
        </w:rPr>
        <w:t>联大第</w:t>
      </w:r>
      <w:r w:rsidRPr="006B4199">
        <w:rPr>
          <w:rFonts w:eastAsiaTheme="minorEastAsia"/>
          <w:sz w:val="20"/>
          <w:szCs w:val="20"/>
          <w:lang w:eastAsia="zh-CN"/>
        </w:rPr>
        <w:t>71/256</w:t>
      </w:r>
      <w:r w:rsidRPr="006B4199">
        <w:rPr>
          <w:rFonts w:eastAsiaTheme="minorEastAsia"/>
          <w:sz w:val="20"/>
          <w:szCs w:val="20"/>
          <w:lang w:eastAsia="zh-CN"/>
        </w:rPr>
        <w:t>号决议，附件。</w:t>
      </w:r>
    </w:p>
  </w:footnote>
  <w:footnote w:id="8">
    <w:p w14:paraId="60C1A975" w14:textId="22E0A69C" w:rsidR="00D1552E" w:rsidRPr="006B4199" w:rsidRDefault="00D1552E" w:rsidP="00D1552E">
      <w:pPr>
        <w:pStyle w:val="FootnoteText"/>
        <w:tabs>
          <w:tab w:val="left" w:pos="360"/>
        </w:tabs>
        <w:ind w:firstLine="0"/>
        <w:rPr>
          <w:rFonts w:eastAsiaTheme="minorEastAsia"/>
          <w:sz w:val="20"/>
          <w:szCs w:val="20"/>
          <w:lang w:eastAsia="zh-CN"/>
        </w:rPr>
      </w:pPr>
      <w:r w:rsidRPr="006B4199">
        <w:rPr>
          <w:rStyle w:val="FootnoteReference"/>
          <w:rFonts w:eastAsiaTheme="minorEastAsia"/>
          <w:kern w:val="18"/>
          <w:sz w:val="20"/>
          <w:szCs w:val="20"/>
        </w:rPr>
        <w:footnoteRef/>
      </w:r>
      <w:r w:rsidRPr="006B4199">
        <w:rPr>
          <w:rStyle w:val="FootnoteReference"/>
          <w:rFonts w:eastAsiaTheme="minorEastAsia"/>
          <w:kern w:val="18"/>
          <w:sz w:val="20"/>
          <w:szCs w:val="20"/>
          <w:lang w:eastAsia="zh-CN"/>
        </w:rPr>
        <w:t xml:space="preserve"> </w:t>
      </w:r>
      <w:r w:rsidRPr="006B4199">
        <w:rPr>
          <w:rFonts w:eastAsiaTheme="minorEastAsia"/>
          <w:sz w:val="20"/>
          <w:szCs w:val="20"/>
          <w:lang w:eastAsia="zh-CN"/>
        </w:rPr>
        <w:t xml:space="preserve"> </w:t>
      </w:r>
      <w:r w:rsidRPr="006B4199">
        <w:rPr>
          <w:rFonts w:eastAsiaTheme="minorEastAsia"/>
          <w:sz w:val="20"/>
          <w:szCs w:val="20"/>
          <w:lang w:eastAsia="zh-CN"/>
        </w:rPr>
        <w:tab/>
      </w:r>
      <w:hyperlink r:id="rId5" w:history="1">
        <w:r w:rsidR="00273B1C" w:rsidRPr="006B4199">
          <w:rPr>
            <w:rStyle w:val="Hyperlink"/>
            <w:rFonts w:eastAsiaTheme="minorEastAsia" w:hint="eastAsia"/>
            <w:sz w:val="20"/>
            <w:szCs w:val="20"/>
            <w:lang w:eastAsia="zh-CN"/>
          </w:rPr>
          <w:t>国</w:t>
        </w:r>
        <w:r w:rsidR="00273B1C" w:rsidRPr="006B4199">
          <w:rPr>
            <w:rStyle w:val="Hyperlink"/>
            <w:rFonts w:ascii="MS Gothic" w:eastAsia="MS Gothic" w:hAnsi="MS Gothic" w:cs="MS Gothic" w:hint="eastAsia"/>
            <w:sz w:val="20"/>
            <w:szCs w:val="20"/>
            <w:lang w:eastAsia="zh-CN"/>
          </w:rPr>
          <w:t>​</w:t>
        </w:r>
        <w:r w:rsidR="00273B1C" w:rsidRPr="006B4199">
          <w:rPr>
            <w:rStyle w:val="Hyperlink"/>
            <w:rFonts w:ascii="DengXian" w:eastAsia="DengXian" w:hAnsi="DengXian" w:cs="DengXian" w:hint="eastAsia"/>
            <w:sz w:val="20"/>
            <w:szCs w:val="20"/>
            <w:lang w:eastAsia="zh-CN"/>
          </w:rPr>
          <w:t>际</w:t>
        </w:r>
        <w:r w:rsidR="00273B1C" w:rsidRPr="006B4199">
          <w:rPr>
            <w:rStyle w:val="Hyperlink"/>
            <w:rFonts w:ascii="MS Gothic" w:eastAsia="MS Gothic" w:hAnsi="MS Gothic" w:cs="MS Gothic" w:hint="eastAsia"/>
            <w:sz w:val="20"/>
            <w:szCs w:val="20"/>
            <w:lang w:eastAsia="zh-CN"/>
          </w:rPr>
          <w:t>​</w:t>
        </w:r>
        <w:r w:rsidR="00273B1C" w:rsidRPr="006B4199">
          <w:rPr>
            <w:rStyle w:val="Hyperlink"/>
            <w:rFonts w:ascii="DengXian" w:eastAsia="DengXian" w:hAnsi="DengXian" w:cs="DengXian" w:hint="eastAsia"/>
            <w:sz w:val="20"/>
            <w:szCs w:val="20"/>
            <w:lang w:eastAsia="zh-CN"/>
          </w:rPr>
          <w:t>资</w:t>
        </w:r>
        <w:r w:rsidR="00273B1C" w:rsidRPr="006B4199">
          <w:rPr>
            <w:rStyle w:val="Hyperlink"/>
            <w:rFonts w:ascii="MS Gothic" w:eastAsia="MS Gothic" w:hAnsi="MS Gothic" w:cs="MS Gothic" w:hint="eastAsia"/>
            <w:sz w:val="20"/>
            <w:szCs w:val="20"/>
            <w:lang w:eastAsia="zh-CN"/>
          </w:rPr>
          <w:t>​</w:t>
        </w:r>
        <w:r w:rsidR="00273B1C" w:rsidRPr="006B4199">
          <w:rPr>
            <w:rStyle w:val="Hyperlink"/>
            <w:rFonts w:ascii="DengXian" w:eastAsia="DengXian" w:hAnsi="DengXian" w:cs="DengXian" w:hint="eastAsia"/>
            <w:sz w:val="20"/>
            <w:szCs w:val="20"/>
            <w:lang w:eastAsia="zh-CN"/>
          </w:rPr>
          <w:t>源</w:t>
        </w:r>
        <w:r w:rsidR="00273B1C" w:rsidRPr="006B4199">
          <w:rPr>
            <w:rStyle w:val="Hyperlink"/>
            <w:rFonts w:ascii="MS Gothic" w:eastAsia="MS Gothic" w:hAnsi="MS Gothic" w:cs="MS Gothic" w:hint="eastAsia"/>
            <w:sz w:val="20"/>
            <w:szCs w:val="20"/>
            <w:lang w:eastAsia="zh-CN"/>
          </w:rPr>
          <w:t>​</w:t>
        </w:r>
        <w:r w:rsidR="00273B1C" w:rsidRPr="006B4199">
          <w:rPr>
            <w:rStyle w:val="Hyperlink"/>
            <w:rFonts w:ascii="DengXian" w:eastAsia="DengXian" w:hAnsi="DengXian" w:cs="DengXian" w:hint="eastAsia"/>
            <w:sz w:val="20"/>
            <w:szCs w:val="20"/>
            <w:lang w:eastAsia="zh-CN"/>
          </w:rPr>
          <w:t>小</w:t>
        </w:r>
        <w:r w:rsidR="00273B1C" w:rsidRPr="006B4199">
          <w:rPr>
            <w:rStyle w:val="Hyperlink"/>
            <w:rFonts w:ascii="MS Gothic" w:eastAsia="MS Gothic" w:hAnsi="MS Gothic" w:cs="MS Gothic" w:hint="eastAsia"/>
            <w:sz w:val="20"/>
            <w:szCs w:val="20"/>
            <w:lang w:eastAsia="zh-CN"/>
          </w:rPr>
          <w:t>​</w:t>
        </w:r>
        <w:r w:rsidR="00273B1C" w:rsidRPr="006B4199">
          <w:rPr>
            <w:rStyle w:val="Hyperlink"/>
            <w:rFonts w:ascii="DengXian" w:eastAsia="DengXian" w:hAnsi="DengXian" w:cs="DengXian" w:hint="eastAsia"/>
            <w:sz w:val="20"/>
            <w:szCs w:val="20"/>
            <w:lang w:eastAsia="zh-CN"/>
          </w:rPr>
          <w:t>组，</w:t>
        </w:r>
        <w:r w:rsidRPr="006B4199">
          <w:rPr>
            <w:rStyle w:val="Hyperlink"/>
            <w:rFonts w:asciiTheme="minorEastAsia" w:eastAsiaTheme="minorEastAsia" w:hAnsiTheme="minorEastAsia"/>
            <w:kern w:val="22"/>
            <w:sz w:val="20"/>
            <w:szCs w:val="20"/>
            <w:lang w:eastAsia="zh-CN"/>
          </w:rPr>
          <w:t>“城市的重量</w:t>
        </w:r>
        <w:r w:rsidR="00273B1C" w:rsidRPr="006B4199">
          <w:rPr>
            <w:rStyle w:val="Hyperlink"/>
            <w:rFonts w:asciiTheme="minorEastAsia" w:eastAsiaTheme="minorEastAsia" w:hAnsiTheme="minorEastAsia"/>
            <w:kern w:val="22"/>
            <w:sz w:val="20"/>
            <w:szCs w:val="20"/>
            <w:lang w:eastAsia="zh-CN"/>
          </w:rPr>
          <w:t>：未来城市化的资源需求</w:t>
        </w:r>
        <w:r w:rsidRPr="006B4199">
          <w:rPr>
            <w:rStyle w:val="Hyperlink"/>
            <w:rFonts w:asciiTheme="minorEastAsia" w:eastAsiaTheme="minorEastAsia" w:hAnsiTheme="minorEastAsia"/>
            <w:kern w:val="22"/>
            <w:sz w:val="20"/>
            <w:szCs w:val="20"/>
            <w:lang w:eastAsia="zh-CN"/>
          </w:rPr>
          <w:t>”</w:t>
        </w:r>
        <w:r w:rsidR="00273B1C" w:rsidRPr="006B4199">
          <w:rPr>
            <w:rStyle w:val="Hyperlink"/>
            <w:rFonts w:asciiTheme="minorEastAsia" w:eastAsiaTheme="minorEastAsia" w:hAnsiTheme="minorEastAsia"/>
            <w:kern w:val="22"/>
            <w:sz w:val="20"/>
            <w:szCs w:val="20"/>
            <w:lang w:eastAsia="zh-CN"/>
          </w:rPr>
          <w:t>，联合国环境规划署，2018年，肯尼亚内罗毕</w:t>
        </w:r>
      </w:hyperlink>
      <w:r w:rsidRPr="006B4199">
        <w:rPr>
          <w:rFonts w:asciiTheme="minorEastAsia" w:eastAsiaTheme="minorEastAsia" w:hAnsiTheme="minorEastAsia"/>
          <w:color w:val="000000" w:themeColor="text1"/>
          <w:kern w:val="22"/>
          <w:sz w:val="20"/>
          <w:szCs w:val="20"/>
          <w:lang w:eastAsia="zh-CN"/>
        </w:rPr>
        <w:t>。</w:t>
      </w:r>
    </w:p>
  </w:footnote>
  <w:footnote w:id="9">
    <w:p w14:paraId="008EE41F"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6B4199">
        <w:rPr>
          <w:rStyle w:val="FootnoteReference"/>
          <w:rFonts w:eastAsiaTheme="minorEastAsia"/>
          <w:kern w:val="18"/>
          <w:sz w:val="20"/>
          <w:szCs w:val="20"/>
        </w:rPr>
        <w:footnoteRef/>
      </w:r>
      <w:r w:rsidRPr="006B4199">
        <w:rPr>
          <w:rFonts w:eastAsiaTheme="minorEastAsia"/>
          <w:sz w:val="20"/>
          <w:szCs w:val="20"/>
        </w:rPr>
        <w:tab/>
        <w:t>CBD/SBI/2/INF/39</w:t>
      </w:r>
      <w:r w:rsidRPr="006B4199">
        <w:rPr>
          <w:rFonts w:eastAsiaTheme="minorEastAsia"/>
          <w:sz w:val="20"/>
          <w:szCs w:val="20"/>
        </w:rPr>
        <w:t>。</w:t>
      </w:r>
    </w:p>
  </w:footnote>
  <w:footnote w:id="10">
    <w:p w14:paraId="04D21AFC"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6B4199">
        <w:rPr>
          <w:rStyle w:val="FootnoteReference"/>
          <w:rFonts w:eastAsiaTheme="minorEastAsia"/>
          <w:kern w:val="18"/>
          <w:sz w:val="20"/>
          <w:szCs w:val="20"/>
        </w:rPr>
        <w:footnoteRef/>
      </w:r>
      <w:r w:rsidRPr="006B4199">
        <w:rPr>
          <w:rFonts w:eastAsiaTheme="minorEastAsia"/>
          <w:sz w:val="20"/>
          <w:szCs w:val="20"/>
        </w:rPr>
        <w:tab/>
        <w:t>CBD/SBI/2/INF/37</w:t>
      </w:r>
      <w:r w:rsidRPr="006B4199">
        <w:rPr>
          <w:rFonts w:eastAsiaTheme="minorEastAsia"/>
          <w:sz w:val="20"/>
          <w:szCs w:val="20"/>
        </w:rPr>
        <w:t>。</w:t>
      </w:r>
    </w:p>
  </w:footnote>
  <w:footnote w:id="11">
    <w:p w14:paraId="0B61DEFD"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6B4199">
        <w:rPr>
          <w:rStyle w:val="FootnoteReference"/>
          <w:rFonts w:eastAsiaTheme="minorEastAsia"/>
          <w:kern w:val="18"/>
          <w:sz w:val="20"/>
          <w:szCs w:val="20"/>
        </w:rPr>
        <w:footnoteRef/>
      </w:r>
      <w:r w:rsidRPr="006B4199">
        <w:rPr>
          <w:rFonts w:eastAsiaTheme="minorEastAsia"/>
          <w:sz w:val="20"/>
          <w:szCs w:val="20"/>
        </w:rPr>
        <w:tab/>
        <w:t>CBD/SBI/2/4/Add.2</w:t>
      </w:r>
      <w:r w:rsidRPr="006B4199">
        <w:rPr>
          <w:rFonts w:eastAsiaTheme="minorEastAsia"/>
          <w:sz w:val="20"/>
          <w:szCs w:val="20"/>
        </w:rPr>
        <w:t>。</w:t>
      </w:r>
    </w:p>
  </w:footnote>
  <w:footnote w:id="12">
    <w:p w14:paraId="44B439AF"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rPr>
      </w:pPr>
      <w:r w:rsidRPr="006B4199">
        <w:rPr>
          <w:rStyle w:val="FootnoteReference"/>
          <w:rFonts w:eastAsiaTheme="minorEastAsia"/>
          <w:sz w:val="20"/>
          <w:szCs w:val="20"/>
        </w:rPr>
        <w:footnoteRef/>
      </w:r>
      <w:r w:rsidRPr="006B4199">
        <w:rPr>
          <w:rFonts w:eastAsiaTheme="minorEastAsia"/>
          <w:sz w:val="20"/>
          <w:szCs w:val="20"/>
        </w:rPr>
        <w:tab/>
        <w:t>CBD/SBI/2/INF/29</w:t>
      </w:r>
      <w:r w:rsidRPr="006B4199">
        <w:rPr>
          <w:rFonts w:eastAsiaTheme="minorEastAsia"/>
          <w:sz w:val="20"/>
          <w:szCs w:val="20"/>
        </w:rPr>
        <w:t>。</w:t>
      </w:r>
    </w:p>
  </w:footnote>
  <w:footnote w:id="13">
    <w:p w14:paraId="5115BF62" w14:textId="7DF550F4"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asciiTheme="minorEastAsia" w:eastAsiaTheme="minorEastAsia" w:hAnsiTheme="minorEastAsia"/>
          <w:sz w:val="20"/>
          <w:szCs w:val="20"/>
        </w:rPr>
      </w:pPr>
      <w:r w:rsidRPr="006B4199">
        <w:rPr>
          <w:rStyle w:val="FootnoteReference"/>
          <w:rFonts w:eastAsiaTheme="minorEastAsia"/>
          <w:sz w:val="20"/>
          <w:szCs w:val="20"/>
        </w:rPr>
        <w:footnoteRef/>
      </w:r>
      <w:r w:rsidRPr="006B4199">
        <w:rPr>
          <w:rStyle w:val="FootnoteReference"/>
          <w:rFonts w:eastAsiaTheme="minorEastAsia"/>
          <w:sz w:val="20"/>
          <w:szCs w:val="20"/>
        </w:rPr>
        <w:t xml:space="preserve">  </w:t>
      </w:r>
      <w:r w:rsidRPr="006B4199">
        <w:rPr>
          <w:rFonts w:eastAsiaTheme="minorEastAsia"/>
          <w:sz w:val="20"/>
          <w:szCs w:val="20"/>
        </w:rPr>
        <w:t xml:space="preserve">  UNEP/CMS/Resolution 7.05 (</w:t>
      </w:r>
      <w:r w:rsidRPr="006B4199">
        <w:rPr>
          <w:rFonts w:eastAsiaTheme="minorEastAsia"/>
          <w:kern w:val="18"/>
          <w:sz w:val="20"/>
          <w:szCs w:val="20"/>
        </w:rPr>
        <w:t>Rev. COP 12</w:t>
      </w:r>
      <w:r w:rsidRPr="006B4199">
        <w:rPr>
          <w:rFonts w:eastAsiaTheme="minorEastAsia"/>
          <w:sz w:val="20"/>
          <w:szCs w:val="20"/>
        </w:rPr>
        <w:t xml:space="preserve">) </w:t>
      </w:r>
      <w:r w:rsidRPr="006B4199">
        <w:rPr>
          <w:rFonts w:asciiTheme="minorEastAsia" w:eastAsiaTheme="minorEastAsia" w:hAnsiTheme="minorEastAsia"/>
          <w:sz w:val="20"/>
          <w:szCs w:val="20"/>
        </w:rPr>
        <w:t>“</w:t>
      </w:r>
      <w:proofErr w:type="spellStart"/>
      <w:r w:rsidRPr="006B4199">
        <w:rPr>
          <w:rFonts w:asciiTheme="minorEastAsia" w:eastAsiaTheme="minorEastAsia" w:hAnsiTheme="minorEastAsia"/>
          <w:sz w:val="20"/>
          <w:szCs w:val="20"/>
        </w:rPr>
        <w:t>风力涡轮机和移栖物种</w:t>
      </w:r>
      <w:proofErr w:type="spellEnd"/>
      <w:r w:rsidRPr="006B4199">
        <w:rPr>
          <w:rFonts w:asciiTheme="minorEastAsia" w:eastAsiaTheme="minorEastAsia" w:hAnsiTheme="minorEastAsia"/>
          <w:sz w:val="20"/>
          <w:szCs w:val="20"/>
        </w:rPr>
        <w:t>”</w:t>
      </w:r>
      <w:r w:rsidRPr="006B4199">
        <w:rPr>
          <w:rFonts w:eastAsiaTheme="minorEastAsia"/>
          <w:sz w:val="20"/>
          <w:szCs w:val="20"/>
        </w:rPr>
        <w:t>、</w:t>
      </w:r>
      <w:r w:rsidRPr="006B4199">
        <w:rPr>
          <w:rFonts w:eastAsiaTheme="minorEastAsia"/>
          <w:sz w:val="20"/>
          <w:szCs w:val="20"/>
        </w:rPr>
        <w:t xml:space="preserve">UNEP/CMS/Resolution 7.04 </w:t>
      </w:r>
      <w:r w:rsidRPr="006B4199">
        <w:rPr>
          <w:rFonts w:asciiTheme="minorEastAsia" w:eastAsiaTheme="minorEastAsia" w:hAnsiTheme="minorEastAsia"/>
          <w:sz w:val="20"/>
          <w:szCs w:val="20"/>
        </w:rPr>
        <w:t>“</w:t>
      </w:r>
      <w:proofErr w:type="spellStart"/>
      <w:r w:rsidRPr="006B4199">
        <w:rPr>
          <w:rFonts w:asciiTheme="minorEastAsia" w:eastAsiaTheme="minorEastAsia" w:hAnsiTheme="minorEastAsia"/>
          <w:sz w:val="20"/>
          <w:szCs w:val="20"/>
        </w:rPr>
        <w:t>移栖物种的触电</w:t>
      </w:r>
      <w:proofErr w:type="spellEnd"/>
      <w:r w:rsidRPr="006B4199">
        <w:rPr>
          <w:rFonts w:asciiTheme="minorEastAsia" w:eastAsiaTheme="minorEastAsia" w:hAnsiTheme="minorEastAsia"/>
          <w:sz w:val="20"/>
          <w:szCs w:val="20"/>
        </w:rPr>
        <w:t>”</w:t>
      </w:r>
      <w:r w:rsidRPr="006B4199">
        <w:rPr>
          <w:rFonts w:eastAsiaTheme="minorEastAsia"/>
          <w:sz w:val="20"/>
          <w:szCs w:val="20"/>
        </w:rPr>
        <w:t>、</w:t>
      </w:r>
      <w:r w:rsidRPr="006B4199">
        <w:rPr>
          <w:rFonts w:eastAsiaTheme="minorEastAsia"/>
          <w:sz w:val="20"/>
          <w:szCs w:val="20"/>
        </w:rPr>
        <w:t xml:space="preserve">UNEP/CMS/Resolution 10.11 </w:t>
      </w:r>
      <w:r w:rsidRPr="006B4199">
        <w:rPr>
          <w:rFonts w:asciiTheme="minorEastAsia" w:eastAsiaTheme="minorEastAsia" w:hAnsiTheme="minorEastAsia"/>
          <w:sz w:val="20"/>
          <w:szCs w:val="20"/>
        </w:rPr>
        <w:t>“</w:t>
      </w:r>
      <w:proofErr w:type="spellStart"/>
      <w:r w:rsidRPr="006B4199">
        <w:rPr>
          <w:rFonts w:asciiTheme="minorEastAsia" w:eastAsiaTheme="minorEastAsia" w:hAnsiTheme="minorEastAsia"/>
          <w:sz w:val="20"/>
          <w:szCs w:val="20"/>
        </w:rPr>
        <w:t>输电线与移栖物种</w:t>
      </w:r>
      <w:proofErr w:type="spellEnd"/>
      <w:r w:rsidRPr="006B4199">
        <w:rPr>
          <w:rFonts w:asciiTheme="minorEastAsia" w:eastAsiaTheme="minorEastAsia" w:hAnsiTheme="minorEastAsia"/>
          <w:sz w:val="20"/>
          <w:szCs w:val="20"/>
        </w:rPr>
        <w:t>”</w:t>
      </w:r>
      <w:r w:rsidRPr="006B4199">
        <w:rPr>
          <w:rFonts w:eastAsiaTheme="minorEastAsia"/>
          <w:sz w:val="20"/>
          <w:szCs w:val="20"/>
        </w:rPr>
        <w:t>、</w:t>
      </w:r>
      <w:r w:rsidRPr="006B4199">
        <w:rPr>
          <w:rFonts w:eastAsiaTheme="minorEastAsia"/>
          <w:sz w:val="20"/>
          <w:szCs w:val="20"/>
        </w:rPr>
        <w:t>UNEP/CMS 11.</w:t>
      </w:r>
      <w:r w:rsidRPr="006B4199">
        <w:rPr>
          <w:rFonts w:asciiTheme="minorEastAsia" w:eastAsiaTheme="minorEastAsia" w:hAnsiTheme="minorEastAsia"/>
          <w:sz w:val="20"/>
          <w:szCs w:val="20"/>
        </w:rPr>
        <w:t>27 “</w:t>
      </w:r>
      <w:proofErr w:type="spellStart"/>
      <w:r w:rsidRPr="006B4199">
        <w:rPr>
          <w:rFonts w:asciiTheme="minorEastAsia" w:eastAsiaTheme="minorEastAsia" w:hAnsiTheme="minorEastAsia"/>
          <w:sz w:val="20"/>
          <w:szCs w:val="20"/>
        </w:rPr>
        <w:t>可再生能源与移栖物种</w:t>
      </w:r>
      <w:proofErr w:type="spellEnd"/>
      <w:r w:rsidRPr="006B4199">
        <w:rPr>
          <w:rFonts w:asciiTheme="minorEastAsia" w:eastAsiaTheme="minorEastAsia" w:hAnsiTheme="minorEastAsia"/>
          <w:sz w:val="20"/>
          <w:szCs w:val="20"/>
        </w:rPr>
        <w:t>”。</w:t>
      </w:r>
    </w:p>
  </w:footnote>
  <w:footnote w:id="14">
    <w:p w14:paraId="4A5BFBCD" w14:textId="77777777" w:rsidR="00D1552E" w:rsidRPr="006B4199" w:rsidRDefault="00D1552E" w:rsidP="00D1552E">
      <w:pPr>
        <w:pStyle w:val="FootnoteText"/>
        <w:suppressLineNumbers/>
        <w:tabs>
          <w:tab w:val="left" w:pos="360"/>
        </w:tabs>
        <w:suppressAutoHyphens/>
        <w:kinsoku w:val="0"/>
        <w:overflowPunct w:val="0"/>
        <w:autoSpaceDE w:val="0"/>
        <w:autoSpaceDN w:val="0"/>
        <w:ind w:firstLine="0"/>
        <w:jc w:val="left"/>
        <w:rPr>
          <w:rFonts w:eastAsiaTheme="minorEastAsia"/>
          <w:sz w:val="20"/>
          <w:szCs w:val="20"/>
          <w:lang w:eastAsia="zh-CN"/>
        </w:rPr>
      </w:pPr>
      <w:r w:rsidRPr="006B4199">
        <w:rPr>
          <w:rStyle w:val="FootnoteReference"/>
          <w:rFonts w:eastAsiaTheme="minorEastAsia"/>
          <w:sz w:val="20"/>
          <w:szCs w:val="20"/>
        </w:rPr>
        <w:footnoteRef/>
      </w:r>
      <w:r w:rsidRPr="006B4199">
        <w:rPr>
          <w:rFonts w:eastAsiaTheme="minorEastAsia"/>
          <w:sz w:val="20"/>
          <w:szCs w:val="20"/>
          <w:lang w:eastAsia="zh-CN"/>
        </w:rPr>
        <w:tab/>
      </w:r>
      <w:r w:rsidRPr="006B4199">
        <w:rPr>
          <w:rFonts w:eastAsiaTheme="minorEastAsia"/>
          <w:sz w:val="20"/>
          <w:szCs w:val="20"/>
          <w:lang w:eastAsia="zh-CN"/>
        </w:rPr>
        <w:t>包括缔约方大会第</w:t>
      </w:r>
      <w:r w:rsidRPr="006B4199">
        <w:rPr>
          <w:rFonts w:eastAsiaTheme="minorEastAsia"/>
          <w:sz w:val="20"/>
          <w:szCs w:val="20"/>
          <w:lang w:eastAsia="zh-CN"/>
        </w:rPr>
        <w:t>VIII/28</w:t>
      </w:r>
      <w:r w:rsidRPr="006B4199">
        <w:rPr>
          <w:rFonts w:eastAsiaTheme="minorEastAsia"/>
          <w:sz w:val="20"/>
          <w:szCs w:val="20"/>
          <w:lang w:eastAsia="zh-CN"/>
        </w:rPr>
        <w:t>号决定通过的涵盖生物多样性各个方面的影响评估自愿准则。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328D7" w14:textId="4AC044BC"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785D31">
      <w:rPr>
        <w:noProof/>
        <w:kern w:val="22"/>
        <w:sz w:val="24"/>
      </w:rPr>
      <w:t>L.20</w:t>
    </w:r>
  </w:p>
  <w:p w14:paraId="46B2B5F8"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B4E3C">
      <w:rPr>
        <w:noProof/>
        <w:sz w:val="24"/>
        <w:szCs w:val="22"/>
      </w:rPr>
      <w:t>2</w:t>
    </w:r>
    <w:r w:rsidRPr="00367DF4">
      <w:rPr>
        <w:sz w:val="24"/>
        <w:szCs w:val="22"/>
      </w:rPr>
      <w:fldChar w:fldCharType="end"/>
    </w:r>
  </w:p>
  <w:p w14:paraId="50FBBA4B" w14:textId="77777777" w:rsidR="0017652F" w:rsidRPr="00367DF4" w:rsidRDefault="0017652F" w:rsidP="00660A89">
    <w:pPr>
      <w:pStyle w:val="Header"/>
      <w:rPr>
        <w:sz w:val="24"/>
        <w:szCs w:val="22"/>
      </w:rPr>
    </w:pPr>
  </w:p>
  <w:p w14:paraId="6426A8DC"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B4F7A" w14:textId="5084ABCF"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785D31">
      <w:rPr>
        <w:noProof/>
        <w:kern w:val="22"/>
        <w:sz w:val="24"/>
      </w:rPr>
      <w:t>L.20</w:t>
    </w:r>
  </w:p>
  <w:p w14:paraId="5A44C86C"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B4E3C">
      <w:rPr>
        <w:noProof/>
        <w:sz w:val="24"/>
        <w:szCs w:val="22"/>
      </w:rPr>
      <w:t>7</w:t>
    </w:r>
    <w:r w:rsidRPr="00367DF4">
      <w:rPr>
        <w:sz w:val="24"/>
        <w:szCs w:val="22"/>
      </w:rPr>
      <w:fldChar w:fldCharType="end"/>
    </w:r>
  </w:p>
  <w:p w14:paraId="1BC9AD8E" w14:textId="77777777" w:rsidR="00660A89" w:rsidRDefault="00660A89">
    <w:pPr>
      <w:pStyle w:val="Header"/>
    </w:pPr>
  </w:p>
  <w:p w14:paraId="2313DDA8"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448A"/>
    <w:multiLevelType w:val="hybridMultilevel"/>
    <w:tmpl w:val="634CD162"/>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00CB0DFE"/>
    <w:multiLevelType w:val="hybridMultilevel"/>
    <w:tmpl w:val="EB0CB47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3FD7A69"/>
    <w:multiLevelType w:val="multilevel"/>
    <w:tmpl w:val="3078D9F2"/>
    <w:lvl w:ilvl="0">
      <w:start w:val="1"/>
      <w:numFmt w:val="lowerLetter"/>
      <w:lvlText w:val="(%1)"/>
      <w:lvlJc w:val="left"/>
      <w:pPr>
        <w:tabs>
          <w:tab w:val="num" w:pos="360"/>
        </w:tabs>
      </w:pPr>
      <w:rPr>
        <w:rFonts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34B71720"/>
    <w:multiLevelType w:val="hybridMultilevel"/>
    <w:tmpl w:val="DA50C8CC"/>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0165948"/>
    <w:multiLevelType w:val="hybridMultilevel"/>
    <w:tmpl w:val="BFC8EBC8"/>
    <w:lvl w:ilvl="0" w:tplc="01D0C1E8">
      <w:start w:val="1"/>
      <w:numFmt w:val="decimal"/>
      <w:lvlText w:val="%1."/>
      <w:lvlJc w:val="left"/>
      <w:pPr>
        <w:ind w:left="720" w:hanging="360"/>
      </w:pPr>
      <w:rPr>
        <w:rFonts w:ascii="Times New Roman" w:hAnsi="Times New Roman" w:cs="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E9787A"/>
    <w:multiLevelType w:val="hybridMultilevel"/>
    <w:tmpl w:val="642685BE"/>
    <w:lvl w:ilvl="0" w:tplc="CAB40D4C">
      <w:start w:val="1"/>
      <w:numFmt w:val="lowerLetter"/>
      <w:lvlText w:val="(%1)"/>
      <w:lvlJc w:val="left"/>
      <w:pPr>
        <w:ind w:left="2520" w:hanging="360"/>
      </w:pPr>
      <w:rPr>
        <w:rFonts w:cs="Times New Roman" w:hint="default"/>
        <w:b w:val="0"/>
      </w:rPr>
    </w:lvl>
    <w:lvl w:ilvl="1" w:tplc="04090019" w:tentative="1">
      <w:start w:val="1"/>
      <w:numFmt w:val="lowerLetter"/>
      <w:lvlText w:val="%2."/>
      <w:lvlJc w:val="left"/>
      <w:pPr>
        <w:ind w:left="3240" w:hanging="360"/>
      </w:pPr>
      <w:rPr>
        <w:rFonts w:cs="Times New Roman"/>
      </w:rPr>
    </w:lvl>
    <w:lvl w:ilvl="2" w:tplc="CAB40D4C">
      <w:start w:val="1"/>
      <w:numFmt w:val="lowerLetter"/>
      <w:lvlText w:val="(%3)"/>
      <w:lvlJc w:val="left"/>
      <w:pPr>
        <w:ind w:left="3960" w:hanging="180"/>
      </w:pPr>
      <w:rPr>
        <w:rFonts w:cs="Times New Roman" w:hint="default"/>
        <w:b w:val="0"/>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9"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651762C1"/>
    <w:multiLevelType w:val="hybridMultilevel"/>
    <w:tmpl w:val="B1A21E3E"/>
    <w:lvl w:ilvl="0" w:tplc="561613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4" w15:restartNumberingAfterBreak="0">
    <w:nsid w:val="6DD96BDE"/>
    <w:multiLevelType w:val="hybridMultilevel"/>
    <w:tmpl w:val="0A7ECCEA"/>
    <w:lvl w:ilvl="0" w:tplc="8BB4E9DA">
      <w:start w:val="7"/>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3"/>
  </w:num>
  <w:num w:numId="3">
    <w:abstractNumId w:val="11"/>
  </w:num>
  <w:num w:numId="4">
    <w:abstractNumId w:val="5"/>
  </w:num>
  <w:num w:numId="5">
    <w:abstractNumId w:val="10"/>
  </w:num>
  <w:num w:numId="6">
    <w:abstractNumId w:val="9"/>
  </w:num>
  <w:num w:numId="7">
    <w:abstractNumId w:val="6"/>
  </w:num>
  <w:num w:numId="8">
    <w:abstractNumId w:val="0"/>
  </w:num>
  <w:num w:numId="9">
    <w:abstractNumId w:val="12"/>
  </w:num>
  <w:num w:numId="10">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0143"/>
    <w:rsid w:val="00021356"/>
    <w:rsid w:val="00027830"/>
    <w:rsid w:val="00062E12"/>
    <w:rsid w:val="000A5388"/>
    <w:rsid w:val="000B099A"/>
    <w:rsid w:val="000B42E0"/>
    <w:rsid w:val="000C7700"/>
    <w:rsid w:val="001055C7"/>
    <w:rsid w:val="00130846"/>
    <w:rsid w:val="001373A0"/>
    <w:rsid w:val="0014440A"/>
    <w:rsid w:val="001542F4"/>
    <w:rsid w:val="0017652F"/>
    <w:rsid w:val="001A1218"/>
    <w:rsid w:val="001A18D7"/>
    <w:rsid w:val="001A3613"/>
    <w:rsid w:val="001A4969"/>
    <w:rsid w:val="001C00D5"/>
    <w:rsid w:val="001C6AF5"/>
    <w:rsid w:val="001D28F7"/>
    <w:rsid w:val="001E7F85"/>
    <w:rsid w:val="001F268A"/>
    <w:rsid w:val="001F65C2"/>
    <w:rsid w:val="00210AD6"/>
    <w:rsid w:val="00220173"/>
    <w:rsid w:val="00220462"/>
    <w:rsid w:val="00235106"/>
    <w:rsid w:val="002473F7"/>
    <w:rsid w:val="00273B1C"/>
    <w:rsid w:val="0029567E"/>
    <w:rsid w:val="002A3359"/>
    <w:rsid w:val="002B4AAD"/>
    <w:rsid w:val="00303882"/>
    <w:rsid w:val="003150CB"/>
    <w:rsid w:val="003514D0"/>
    <w:rsid w:val="00362B19"/>
    <w:rsid w:val="003A57C0"/>
    <w:rsid w:val="003D10D0"/>
    <w:rsid w:val="003E6ED3"/>
    <w:rsid w:val="00403279"/>
    <w:rsid w:val="004148C8"/>
    <w:rsid w:val="00474EF8"/>
    <w:rsid w:val="00497336"/>
    <w:rsid w:val="004C4203"/>
    <w:rsid w:val="004F09EF"/>
    <w:rsid w:val="00502FC2"/>
    <w:rsid w:val="005160B9"/>
    <w:rsid w:val="00526DA7"/>
    <w:rsid w:val="005465C3"/>
    <w:rsid w:val="00547388"/>
    <w:rsid w:val="00567493"/>
    <w:rsid w:val="00595CF6"/>
    <w:rsid w:val="005B4E3C"/>
    <w:rsid w:val="005D02E8"/>
    <w:rsid w:val="005E4552"/>
    <w:rsid w:val="005E6475"/>
    <w:rsid w:val="00601E02"/>
    <w:rsid w:val="006128A9"/>
    <w:rsid w:val="006154D2"/>
    <w:rsid w:val="00660A89"/>
    <w:rsid w:val="00666863"/>
    <w:rsid w:val="00673F72"/>
    <w:rsid w:val="00685EBE"/>
    <w:rsid w:val="00691571"/>
    <w:rsid w:val="006B4199"/>
    <w:rsid w:val="006D67C0"/>
    <w:rsid w:val="006E5C1C"/>
    <w:rsid w:val="006F0B8D"/>
    <w:rsid w:val="007102A8"/>
    <w:rsid w:val="00720748"/>
    <w:rsid w:val="00785D31"/>
    <w:rsid w:val="0079191A"/>
    <w:rsid w:val="008027F1"/>
    <w:rsid w:val="00811302"/>
    <w:rsid w:val="00811778"/>
    <w:rsid w:val="00823550"/>
    <w:rsid w:val="00832977"/>
    <w:rsid w:val="00846267"/>
    <w:rsid w:val="00853EB8"/>
    <w:rsid w:val="008645B4"/>
    <w:rsid w:val="0086503B"/>
    <w:rsid w:val="00887F31"/>
    <w:rsid w:val="0089450D"/>
    <w:rsid w:val="008B1503"/>
    <w:rsid w:val="008C15D2"/>
    <w:rsid w:val="00904F5E"/>
    <w:rsid w:val="00921675"/>
    <w:rsid w:val="00923219"/>
    <w:rsid w:val="00924E62"/>
    <w:rsid w:val="009442C8"/>
    <w:rsid w:val="00953C22"/>
    <w:rsid w:val="00955DEE"/>
    <w:rsid w:val="009658E0"/>
    <w:rsid w:val="009779CB"/>
    <w:rsid w:val="0098360A"/>
    <w:rsid w:val="009B7651"/>
    <w:rsid w:val="009D2834"/>
    <w:rsid w:val="00A01D0E"/>
    <w:rsid w:val="00A05940"/>
    <w:rsid w:val="00A06782"/>
    <w:rsid w:val="00A10BB5"/>
    <w:rsid w:val="00A17F8C"/>
    <w:rsid w:val="00A220FB"/>
    <w:rsid w:val="00A31CA6"/>
    <w:rsid w:val="00A43CB6"/>
    <w:rsid w:val="00A52B02"/>
    <w:rsid w:val="00A5550F"/>
    <w:rsid w:val="00A57DDC"/>
    <w:rsid w:val="00A73218"/>
    <w:rsid w:val="00A96445"/>
    <w:rsid w:val="00AA4091"/>
    <w:rsid w:val="00AA694D"/>
    <w:rsid w:val="00AC2D1E"/>
    <w:rsid w:val="00AC306E"/>
    <w:rsid w:val="00AC733A"/>
    <w:rsid w:val="00AD53FC"/>
    <w:rsid w:val="00AF2F1D"/>
    <w:rsid w:val="00B042A2"/>
    <w:rsid w:val="00B22565"/>
    <w:rsid w:val="00B36CBF"/>
    <w:rsid w:val="00B54861"/>
    <w:rsid w:val="00B92DD6"/>
    <w:rsid w:val="00BC5633"/>
    <w:rsid w:val="00BD73DF"/>
    <w:rsid w:val="00C12149"/>
    <w:rsid w:val="00C161EB"/>
    <w:rsid w:val="00C66174"/>
    <w:rsid w:val="00C7690F"/>
    <w:rsid w:val="00C9504B"/>
    <w:rsid w:val="00CA1A7A"/>
    <w:rsid w:val="00CA47C3"/>
    <w:rsid w:val="00CC37F8"/>
    <w:rsid w:val="00CC5CE1"/>
    <w:rsid w:val="00CC7B35"/>
    <w:rsid w:val="00CD3ED2"/>
    <w:rsid w:val="00D02081"/>
    <w:rsid w:val="00D132C7"/>
    <w:rsid w:val="00D1552E"/>
    <w:rsid w:val="00D16D42"/>
    <w:rsid w:val="00D341A9"/>
    <w:rsid w:val="00D44135"/>
    <w:rsid w:val="00D74D31"/>
    <w:rsid w:val="00D82E38"/>
    <w:rsid w:val="00D90F93"/>
    <w:rsid w:val="00DD5157"/>
    <w:rsid w:val="00DF2E9A"/>
    <w:rsid w:val="00DF7EF5"/>
    <w:rsid w:val="00E13B5C"/>
    <w:rsid w:val="00E252A4"/>
    <w:rsid w:val="00E33CA1"/>
    <w:rsid w:val="00E402B9"/>
    <w:rsid w:val="00E40630"/>
    <w:rsid w:val="00E43F23"/>
    <w:rsid w:val="00E64CC2"/>
    <w:rsid w:val="00E7190C"/>
    <w:rsid w:val="00EA78DB"/>
    <w:rsid w:val="00EB0721"/>
    <w:rsid w:val="00EC13B2"/>
    <w:rsid w:val="00ED6FF5"/>
    <w:rsid w:val="00EE363C"/>
    <w:rsid w:val="00EE4356"/>
    <w:rsid w:val="00EF36C9"/>
    <w:rsid w:val="00F15420"/>
    <w:rsid w:val="00F27144"/>
    <w:rsid w:val="00F43C0E"/>
    <w:rsid w:val="00F5045B"/>
    <w:rsid w:val="00F602E3"/>
    <w:rsid w:val="00F90E0F"/>
    <w:rsid w:val="00F92321"/>
    <w:rsid w:val="00FC6C40"/>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428EFF"/>
  <w15:docId w15:val="{63F75C73-9812-446F-B059-C5EFAD92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3A0"/>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1373A0"/>
    <w:rPr>
      <w:rFonts w:ascii="Times New Roman" w:hAnsi="Times New Roman" w:cs="Times New Roman"/>
      <w:caps w:val="0"/>
      <w:smallCaps w:val="0"/>
      <w:strike w:val="0"/>
      <w:dstrike w:val="0"/>
      <w:vanish w:val="0"/>
      <w:sz w:val="24"/>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pPr>
      <w:numPr>
        <w:numId w:val="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character" w:customStyle="1" w:styleId="Heading1Char">
    <w:name w:val="Heading 1 Char"/>
    <w:basedOn w:val="DefaultParagraphFont"/>
    <w:link w:val="Heading1"/>
    <w:rsid w:val="00D1552E"/>
    <w:rPr>
      <w:rFonts w:cs="Angsana New"/>
      <w:b/>
      <w:caps/>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1552E"/>
    <w:pPr>
      <w:spacing w:after="160" w:line="240" w:lineRule="exact"/>
    </w:pPr>
    <w:rPr>
      <w:rFonts w:cs="Times New Roman"/>
      <w:sz w:val="24"/>
      <w:szCs w:val="20"/>
      <w:vertAlign w:val="superscript"/>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D1552E"/>
    <w:rPr>
      <w:rFonts w:cs="Angsana New"/>
      <w:sz w:val="22"/>
      <w:szCs w:val="24"/>
      <w:lang w:val="en-GB"/>
    </w:rPr>
  </w:style>
  <w:style w:type="paragraph" w:customStyle="1" w:styleId="Item">
    <w:name w:val="Item"/>
    <w:basedOn w:val="Normal"/>
    <w:qFormat/>
    <w:rsid w:val="00D1552E"/>
    <w:pPr>
      <w:keepNext/>
      <w:spacing w:before="240" w:after="120"/>
      <w:ind w:left="720" w:hanging="720"/>
      <w:jc w:val="center"/>
    </w:pPr>
    <w:rPr>
      <w:rFonts w:eastAsia="Times New Roman" w:cs="Times New Roman"/>
      <w:b/>
      <w:kern w:val="22"/>
      <w:lang w:eastAsia="en-US"/>
    </w:rPr>
  </w:style>
  <w:style w:type="character" w:customStyle="1" w:styleId="StylePatternClearGray-15Kernat11pt">
    <w:name w:val="Style Pattern: Clear (Gray-15%) Kern at 11 pt"/>
    <w:rsid w:val="00D1552E"/>
    <w:rPr>
      <w:kern w:val="22"/>
      <w:bdr w:val="none" w:sz="0" w:space="0" w:color="auto"/>
      <w:shd w:val="clear" w:color="auto" w:fill="auto"/>
    </w:rPr>
  </w:style>
  <w:style w:type="paragraph" w:customStyle="1" w:styleId="StylePara1Kernat11pt">
    <w:name w:val="Style Para1 + Kern at 11 pt"/>
    <w:basedOn w:val="Para1"/>
    <w:uiPriority w:val="99"/>
    <w:rsid w:val="00D1552E"/>
    <w:pPr>
      <w:numPr>
        <w:numId w:val="0"/>
      </w:numPr>
      <w:tabs>
        <w:tab w:val="num" w:pos="1080"/>
      </w:tabs>
      <w:spacing w:before="120"/>
      <w:ind w:left="1080" w:hanging="360"/>
    </w:pPr>
    <w:rPr>
      <w:rFonts w:eastAsia="Times New Roman" w:cs="Times New Roman"/>
      <w:kern w:val="22"/>
      <w:lang w:eastAsia="en-US"/>
    </w:rPr>
  </w:style>
  <w:style w:type="paragraph" w:customStyle="1" w:styleId="sub-item">
    <w:name w:val="sub-item"/>
    <w:basedOn w:val="Heading2"/>
    <w:qFormat/>
    <w:rsid w:val="00D1552E"/>
    <w:pPr>
      <w:spacing w:before="240"/>
      <w:ind w:firstLine="709"/>
      <w:jc w:val="left"/>
      <w:outlineLvl w:val="0"/>
    </w:pPr>
    <w:rPr>
      <w:rFonts w:eastAsia="Times New Roman" w:cs="Times New Roman"/>
      <w:i w:val="0"/>
      <w:szCs w:val="22"/>
      <w:lang w:val="en-CA" w:eastAsia="en-CA"/>
    </w:rPr>
  </w:style>
  <w:style w:type="character" w:customStyle="1" w:styleId="style21">
    <w:name w:val="style21"/>
    <w:basedOn w:val="DefaultParagraphFont"/>
    <w:rsid w:val="00D1552E"/>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306783946">
      <w:bodyDiv w:val="1"/>
      <w:marLeft w:val="0"/>
      <w:marRight w:val="0"/>
      <w:marTop w:val="0"/>
      <w:marBottom w:val="0"/>
      <w:divBdr>
        <w:top w:val="none" w:sz="0" w:space="0" w:color="auto"/>
        <w:left w:val="none" w:sz="0" w:space="0" w:color="auto"/>
        <w:bottom w:val="none" w:sz="0" w:space="0" w:color="auto"/>
        <w:right w:val="none" w:sz="0" w:space="0" w:color="auto"/>
      </w:divBdr>
    </w:div>
    <w:div w:id="622344697">
      <w:bodyDiv w:val="1"/>
      <w:marLeft w:val="0"/>
      <w:marRight w:val="0"/>
      <w:marTop w:val="0"/>
      <w:marBottom w:val="0"/>
      <w:divBdr>
        <w:top w:val="none" w:sz="0" w:space="0" w:color="auto"/>
        <w:left w:val="none" w:sz="0" w:space="0" w:color="auto"/>
        <w:bottom w:val="none" w:sz="0" w:space="0" w:color="auto"/>
        <w:right w:val="none" w:sz="0" w:space="0" w:color="auto"/>
      </w:divBdr>
    </w:div>
    <w:div w:id="878083128">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975643907">
      <w:bodyDiv w:val="1"/>
      <w:marLeft w:val="0"/>
      <w:marRight w:val="0"/>
      <w:marTop w:val="0"/>
      <w:marBottom w:val="0"/>
      <w:divBdr>
        <w:top w:val="none" w:sz="0" w:space="0" w:color="auto"/>
        <w:left w:val="none" w:sz="0" w:space="0" w:color="auto"/>
        <w:bottom w:val="none" w:sz="0" w:space="0" w:color="auto"/>
        <w:right w:val="none" w:sz="0" w:space="0" w:color="auto"/>
      </w:divBdr>
    </w:div>
    <w:div w:id="998927305">
      <w:bodyDiv w:val="1"/>
      <w:marLeft w:val="0"/>
      <w:marRight w:val="0"/>
      <w:marTop w:val="0"/>
      <w:marBottom w:val="0"/>
      <w:divBdr>
        <w:top w:val="none" w:sz="0" w:space="0" w:color="auto"/>
        <w:left w:val="none" w:sz="0" w:space="0" w:color="auto"/>
        <w:bottom w:val="none" w:sz="0" w:space="0" w:color="auto"/>
        <w:right w:val="none" w:sz="0" w:space="0" w:color="auto"/>
      </w:divBdr>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125344998">
      <w:bodyDiv w:val="1"/>
      <w:marLeft w:val="0"/>
      <w:marRight w:val="0"/>
      <w:marTop w:val="0"/>
      <w:marBottom w:val="0"/>
      <w:divBdr>
        <w:top w:val="none" w:sz="0" w:space="0" w:color="auto"/>
        <w:left w:val="none" w:sz="0" w:space="0" w:color="auto"/>
        <w:bottom w:val="none" w:sz="0" w:space="0" w:color="auto"/>
        <w:right w:val="none" w:sz="0" w:space="0" w:color="auto"/>
      </w:divBdr>
    </w:div>
    <w:div w:id="1144927899">
      <w:bodyDiv w:val="1"/>
      <w:marLeft w:val="0"/>
      <w:marRight w:val="0"/>
      <w:marTop w:val="0"/>
      <w:marBottom w:val="0"/>
      <w:divBdr>
        <w:top w:val="none" w:sz="0" w:space="0" w:color="auto"/>
        <w:left w:val="none" w:sz="0" w:space="0" w:color="auto"/>
        <w:bottom w:val="none" w:sz="0" w:space="0" w:color="auto"/>
        <w:right w:val="none" w:sz="0" w:space="0" w:color="auto"/>
      </w:divBdr>
    </w:div>
    <w:div w:id="1252471055">
      <w:bodyDiv w:val="1"/>
      <w:marLeft w:val="0"/>
      <w:marRight w:val="0"/>
      <w:marTop w:val="0"/>
      <w:marBottom w:val="0"/>
      <w:divBdr>
        <w:top w:val="none" w:sz="0" w:space="0" w:color="auto"/>
        <w:left w:val="none" w:sz="0" w:space="0" w:color="auto"/>
        <w:bottom w:val="none" w:sz="0" w:space="0" w:color="auto"/>
        <w:right w:val="none" w:sz="0" w:space="0" w:color="auto"/>
      </w:divBdr>
    </w:div>
    <w:div w:id="1275166559">
      <w:bodyDiv w:val="1"/>
      <w:marLeft w:val="0"/>
      <w:marRight w:val="0"/>
      <w:marTop w:val="0"/>
      <w:marBottom w:val="0"/>
      <w:divBdr>
        <w:top w:val="none" w:sz="0" w:space="0" w:color="auto"/>
        <w:left w:val="none" w:sz="0" w:space="0" w:color="auto"/>
        <w:bottom w:val="none" w:sz="0" w:space="0" w:color="auto"/>
        <w:right w:val="none" w:sz="0" w:space="0" w:color="auto"/>
      </w:divBdr>
    </w:div>
    <w:div w:id="1396322791">
      <w:bodyDiv w:val="1"/>
      <w:marLeft w:val="0"/>
      <w:marRight w:val="0"/>
      <w:marTop w:val="0"/>
      <w:marBottom w:val="0"/>
      <w:divBdr>
        <w:top w:val="none" w:sz="0" w:space="0" w:color="auto"/>
        <w:left w:val="none" w:sz="0" w:space="0" w:color="auto"/>
        <w:bottom w:val="none" w:sz="0" w:space="0" w:color="auto"/>
        <w:right w:val="none" w:sz="0" w:space="0" w:color="auto"/>
      </w:divBdr>
    </w:div>
    <w:div w:id="1688558960">
      <w:bodyDiv w:val="1"/>
      <w:marLeft w:val="0"/>
      <w:marRight w:val="0"/>
      <w:marTop w:val="0"/>
      <w:marBottom w:val="0"/>
      <w:divBdr>
        <w:top w:val="none" w:sz="0" w:space="0" w:color="auto"/>
        <w:left w:val="none" w:sz="0" w:space="0" w:color="auto"/>
        <w:bottom w:val="none" w:sz="0" w:space="0" w:color="auto"/>
        <w:right w:val="none" w:sz="0" w:space="0" w:color="auto"/>
      </w:divBdr>
    </w:div>
    <w:div w:id="18895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docs.org/zh/UNEP/EA.3/Res.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un.org/ga/search/view_doc.asp?symbol=A/RES/70/1&amp;Lang=C" TargetMode="External"/><Relationship Id="rId2" Type="http://schemas.openxmlformats.org/officeDocument/2006/relationships/hyperlink" Target="https://www.cbd.int/doc/decisions/cop-10/cop-10-dec-02-zh.pdf" TargetMode="External"/><Relationship Id="rId1" Type="http://schemas.openxmlformats.org/officeDocument/2006/relationships/hyperlink" Target="https://www.cbd.int/doc/c/edd1/7e90/76ccae323fc6c2286ceba9a2/cop-13-24-zh.pdf" TargetMode="External"/><Relationship Id="rId5" Type="http://schemas.openxmlformats.org/officeDocument/2006/relationships/hyperlink" Target="http://www.resourcepanel.org/reports/weight-cities" TargetMode="External"/><Relationship Id="rId4" Type="http://schemas.openxmlformats.org/officeDocument/2006/relationships/hyperlink" Target="https://www.cbd.int/doc/health/cbo-action-policy-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818AC-D6E2-4637-BC3A-E2922B3E6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12</cp:revision>
  <cp:lastPrinted>2014-10-12T13:43:00Z</cp:lastPrinted>
  <dcterms:created xsi:type="dcterms:W3CDTF">2018-11-27T18:28:00Z</dcterms:created>
  <dcterms:modified xsi:type="dcterms:W3CDTF">2018-11-27T20:18:00Z</dcterms:modified>
</cp:coreProperties>
</file>