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30" w:space="0" w:color="000000"/>
        </w:tblBorders>
        <w:tblLayout w:type="fixed"/>
        <w:tblLook w:val="0000" w:firstRow="0" w:lastRow="0" w:firstColumn="0" w:lastColumn="0" w:noHBand="0" w:noVBand="0"/>
      </w:tblPr>
      <w:tblGrid>
        <w:gridCol w:w="19"/>
        <w:gridCol w:w="1307"/>
        <w:gridCol w:w="1221"/>
        <w:gridCol w:w="2930"/>
        <w:gridCol w:w="282"/>
        <w:gridCol w:w="3817"/>
      </w:tblGrid>
      <w:tr w:rsidR="00975AEA" w:rsidRPr="00FA6E69" w:rsidTr="004A1752">
        <w:trPr>
          <w:gridBefore w:val="1"/>
          <w:wBefore w:w="19" w:type="dxa"/>
        </w:trPr>
        <w:tc>
          <w:tcPr>
            <w:tcW w:w="1307" w:type="dxa"/>
            <w:tcBorders>
              <w:bottom w:val="single" w:sz="12" w:space="0" w:color="000000"/>
            </w:tcBorders>
          </w:tcPr>
          <w:p w:rsidR="00975AEA" w:rsidRPr="00FA6E69" w:rsidRDefault="00F825A7" w:rsidP="00975AEA">
            <w:pPr>
              <w:rPr>
                <w:kern w:val="22"/>
              </w:rPr>
            </w:pPr>
            <w:r>
              <w:rPr>
                <w:noProof/>
                <w:kern w:val="22"/>
                <w:lang w:eastAsia="fr-FR"/>
              </w:rPr>
              <w:drawing>
                <wp:anchor distT="0" distB="0" distL="114300" distR="114300" simplePos="0" relativeHeight="251658240" behindDoc="0" locked="1" layoutInCell="1" allowOverlap="0" wp14:editId="55098597">
                  <wp:simplePos x="0" y="0"/>
                  <wp:positionH relativeFrom="column">
                    <wp:posOffset>78105</wp:posOffset>
                  </wp:positionH>
                  <wp:positionV relativeFrom="page">
                    <wp:posOffset>69215</wp:posOffset>
                  </wp:positionV>
                  <wp:extent cx="495300" cy="581025"/>
                  <wp:effectExtent l="0" t="0" r="0" b="9525"/>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1" w:type="dxa"/>
            <w:tcBorders>
              <w:bottom w:val="single" w:sz="12" w:space="0" w:color="000000"/>
            </w:tcBorders>
          </w:tcPr>
          <w:p w:rsidR="00975AEA" w:rsidRPr="00FA6E69" w:rsidRDefault="00F825A7" w:rsidP="00975AEA">
            <w:pPr>
              <w:rPr>
                <w:kern w:val="22"/>
              </w:rPr>
            </w:pPr>
            <w:r>
              <w:rPr>
                <w:noProof/>
                <w:kern w:val="22"/>
                <w:sz w:val="20"/>
                <w:lang w:eastAsia="fr-FR"/>
              </w:rPr>
              <w:drawing>
                <wp:anchor distT="0" distB="0" distL="114300" distR="114300" simplePos="0" relativeHeight="251657216" behindDoc="0" locked="1" layoutInCell="1" allowOverlap="0" wp14:editId="52D4B7FF">
                  <wp:simplePos x="0" y="0"/>
                  <wp:positionH relativeFrom="column">
                    <wp:posOffset>-26035</wp:posOffset>
                  </wp:positionH>
                  <wp:positionV relativeFrom="page">
                    <wp:posOffset>635</wp:posOffset>
                  </wp:positionV>
                  <wp:extent cx="822960" cy="582930"/>
                  <wp:effectExtent l="0" t="0" r="0" b="762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9" w:type="dxa"/>
            <w:gridSpan w:val="3"/>
            <w:tcBorders>
              <w:bottom w:val="single" w:sz="12" w:space="0" w:color="000000"/>
            </w:tcBorders>
          </w:tcPr>
          <w:p w:rsidR="00975AEA" w:rsidRPr="00FA6E69" w:rsidRDefault="00975AEA" w:rsidP="00975AEA">
            <w:pPr>
              <w:jc w:val="right"/>
              <w:rPr>
                <w:rFonts w:ascii="Univers" w:hAnsi="Univers"/>
                <w:b/>
                <w:kern w:val="22"/>
                <w:sz w:val="32"/>
              </w:rPr>
            </w:pPr>
            <w:r w:rsidRPr="00FA6E69">
              <w:rPr>
                <w:rFonts w:ascii="Univers" w:hAnsi="Univers"/>
                <w:b/>
                <w:kern w:val="22"/>
                <w:sz w:val="32"/>
              </w:rPr>
              <w:t>CBD</w:t>
            </w:r>
          </w:p>
          <w:p w:rsidR="00975AEA" w:rsidRPr="00FA6E69" w:rsidRDefault="00975AEA" w:rsidP="006B6D9A">
            <w:pPr>
              <w:rPr>
                <w:rFonts w:ascii="Univers" w:hAnsi="Univers"/>
                <w:b/>
                <w:kern w:val="22"/>
                <w:sz w:val="32"/>
              </w:rPr>
            </w:pPr>
          </w:p>
        </w:tc>
      </w:tr>
      <w:tr w:rsidR="00975AEA" w:rsidRPr="00FA6E69" w:rsidTr="004A1752">
        <w:trPr>
          <w:trHeight w:val="1693"/>
        </w:trPr>
        <w:tc>
          <w:tcPr>
            <w:tcW w:w="5477" w:type="dxa"/>
            <w:gridSpan w:val="4"/>
          </w:tcPr>
          <w:p w:rsidR="00975AEA" w:rsidRPr="00FA6E69" w:rsidRDefault="00F825A7" w:rsidP="00975AEA">
            <w:pPr>
              <w:rPr>
                <w:kern w:val="22"/>
              </w:rPr>
            </w:pPr>
            <w:r>
              <w:rPr>
                <w:bCs/>
                <w:noProof/>
                <w:szCs w:val="22"/>
                <w:lang w:eastAsia="fr-FR"/>
              </w:rPr>
              <w:drawing>
                <wp:inline distT="0" distB="0" distL="0" distR="0" wp14:anchorId="0994BCB2" wp14:editId="6892F19D">
                  <wp:extent cx="2857500" cy="1076325"/>
                  <wp:effectExtent l="0" t="0" r="0" b="9525"/>
                  <wp:docPr id="1" name="Imagen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82" w:type="dxa"/>
          </w:tcPr>
          <w:p w:rsidR="00975AEA" w:rsidRPr="00FA6E69" w:rsidRDefault="00975AEA" w:rsidP="00975AEA">
            <w:pPr>
              <w:rPr>
                <w:kern w:val="22"/>
              </w:rPr>
            </w:pPr>
          </w:p>
        </w:tc>
        <w:tc>
          <w:tcPr>
            <w:tcW w:w="3817" w:type="dxa"/>
          </w:tcPr>
          <w:p w:rsidR="00975AEA" w:rsidRPr="00FA6E69" w:rsidRDefault="00975AEA" w:rsidP="00CD0A28">
            <w:pPr>
              <w:suppressAutoHyphens/>
              <w:ind w:left="901"/>
              <w:rPr>
                <w:kern w:val="22"/>
              </w:rPr>
            </w:pPr>
            <w:r w:rsidRPr="00FA6E69">
              <w:rPr>
                <w:kern w:val="22"/>
              </w:rPr>
              <w:t>Distr.</w:t>
            </w:r>
          </w:p>
          <w:p w:rsidR="00975AEA" w:rsidRPr="00FA6E69" w:rsidRDefault="00291461" w:rsidP="00CD0A28">
            <w:pPr>
              <w:suppressAutoHyphens/>
              <w:ind w:left="901"/>
              <w:rPr>
                <w:kern w:val="22"/>
              </w:rPr>
            </w:pPr>
            <w:r w:rsidRPr="00FA6E69">
              <w:rPr>
                <w:kern w:val="22"/>
              </w:rPr>
              <w:t>GÉNÉ</w:t>
            </w:r>
            <w:r w:rsidR="002A0E81" w:rsidRPr="00FA6E69">
              <w:rPr>
                <w:kern w:val="22"/>
              </w:rPr>
              <w:t>RAL</w:t>
            </w:r>
            <w:r w:rsidRPr="00FA6E69">
              <w:rPr>
                <w:kern w:val="22"/>
              </w:rPr>
              <w:t>E</w:t>
            </w:r>
          </w:p>
          <w:p w:rsidR="0046037E" w:rsidRPr="00FA6E69" w:rsidRDefault="0046037E" w:rsidP="00CD0A28">
            <w:pPr>
              <w:suppressAutoHyphens/>
              <w:ind w:left="901"/>
              <w:rPr>
                <w:kern w:val="22"/>
              </w:rPr>
            </w:pPr>
          </w:p>
          <w:p w:rsidR="00256E4A" w:rsidRPr="00FA6E69" w:rsidRDefault="00256E4A" w:rsidP="00CD0A28">
            <w:pPr>
              <w:suppressAutoHyphens/>
              <w:ind w:left="901"/>
              <w:rPr>
                <w:kern w:val="22"/>
              </w:rPr>
            </w:pPr>
            <w:r w:rsidRPr="00FA6E69">
              <w:rPr>
                <w:snapToGrid w:val="0"/>
                <w:kern w:val="22"/>
                <w:szCs w:val="22"/>
              </w:rPr>
              <w:t>CBD/SBI/2/2/Add.2</w:t>
            </w:r>
          </w:p>
          <w:p w:rsidR="00975AEA" w:rsidRPr="00FA6E69" w:rsidRDefault="00256E4A" w:rsidP="00CD0A28">
            <w:pPr>
              <w:suppressAutoHyphens/>
              <w:ind w:left="901"/>
              <w:rPr>
                <w:kern w:val="22"/>
              </w:rPr>
            </w:pPr>
            <w:r w:rsidRPr="00FA6E69">
              <w:rPr>
                <w:kern w:val="22"/>
              </w:rPr>
              <w:t xml:space="preserve">13 </w:t>
            </w:r>
            <w:r w:rsidR="000B3A63" w:rsidRPr="00FA6E69">
              <w:rPr>
                <w:kern w:val="22"/>
              </w:rPr>
              <w:t>mars</w:t>
            </w:r>
            <w:r w:rsidR="00291461" w:rsidRPr="00FA6E69">
              <w:rPr>
                <w:kern w:val="22"/>
              </w:rPr>
              <w:t> </w:t>
            </w:r>
            <w:r w:rsidR="00A80C29" w:rsidRPr="00FA6E69">
              <w:rPr>
                <w:kern w:val="22"/>
              </w:rPr>
              <w:t>201</w:t>
            </w:r>
            <w:r w:rsidR="000B3A63" w:rsidRPr="00FA6E69">
              <w:rPr>
                <w:kern w:val="22"/>
              </w:rPr>
              <w:t>8</w:t>
            </w:r>
          </w:p>
          <w:p w:rsidR="00975AEA" w:rsidRPr="00FA6E69" w:rsidRDefault="00975AEA" w:rsidP="00CD0A28">
            <w:pPr>
              <w:pStyle w:val="Piedepgina"/>
              <w:tabs>
                <w:tab w:val="clear" w:pos="4320"/>
                <w:tab w:val="clear" w:pos="8640"/>
              </w:tabs>
              <w:ind w:left="901"/>
              <w:rPr>
                <w:rFonts w:cs="Angsana New"/>
                <w:kern w:val="22"/>
                <w:lang w:val="fr-FR"/>
              </w:rPr>
            </w:pPr>
          </w:p>
          <w:p w:rsidR="00291461" w:rsidRPr="00FA6E69" w:rsidRDefault="00291461" w:rsidP="00CD0A28">
            <w:pPr>
              <w:ind w:left="901"/>
            </w:pPr>
            <w:r w:rsidRPr="00FA6E69">
              <w:t>FRANÇAIS</w:t>
            </w:r>
          </w:p>
          <w:p w:rsidR="00975AEA" w:rsidRPr="00FA6E69" w:rsidRDefault="00291461" w:rsidP="00CD0A28">
            <w:pPr>
              <w:ind w:left="901"/>
              <w:rPr>
                <w:rFonts w:ascii="Courier New" w:hAnsi="Courier New"/>
                <w:kern w:val="22"/>
              </w:rPr>
            </w:pPr>
            <w:r w:rsidRPr="00FA6E69">
              <w:t>ORIGINAL : ANGLAIS</w:t>
            </w:r>
          </w:p>
        </w:tc>
      </w:tr>
    </w:tbl>
    <w:p w:rsidR="001C63DA" w:rsidRPr="00FA6E69" w:rsidRDefault="00256E4A" w:rsidP="00297BEE">
      <w:pPr>
        <w:pStyle w:val="Cornernotation"/>
        <w:suppressLineNumbers/>
        <w:suppressAutoHyphens/>
        <w:rPr>
          <w:rFonts w:eastAsia="Malgun Gothic" w:cs="Times New Roman"/>
          <w:kern w:val="22"/>
          <w:szCs w:val="22"/>
        </w:rPr>
      </w:pPr>
      <w:r w:rsidRPr="00FA6E69">
        <w:rPr>
          <w:rFonts w:eastAsia="Malgun Gothic" w:cs="Times New Roman"/>
          <w:kern w:val="22"/>
          <w:szCs w:val="22"/>
        </w:rPr>
        <w:t xml:space="preserve">ORGANE SUBSIDIAIRE </w:t>
      </w:r>
    </w:p>
    <w:p w:rsidR="004A1752" w:rsidRPr="00FA6E69" w:rsidRDefault="00256E4A" w:rsidP="001C63DA">
      <w:pPr>
        <w:pStyle w:val="Cornernotation"/>
        <w:suppressLineNumbers/>
        <w:suppressAutoHyphens/>
        <w:rPr>
          <w:rFonts w:eastAsia="Malgun Gothic" w:cs="Times New Roman"/>
          <w:kern w:val="22"/>
          <w:szCs w:val="22"/>
        </w:rPr>
      </w:pPr>
      <w:r w:rsidRPr="00FA6E69">
        <w:rPr>
          <w:rFonts w:eastAsia="Malgun Gothic" w:cs="Times New Roman"/>
          <w:kern w:val="22"/>
          <w:szCs w:val="22"/>
        </w:rPr>
        <w:t>CHARGÉ DE L’APPLICATION</w:t>
      </w:r>
    </w:p>
    <w:p w:rsidR="004A1752" w:rsidRPr="00FA6E69" w:rsidRDefault="00A243E4" w:rsidP="00297BEE">
      <w:pPr>
        <w:pStyle w:val="Cornernotation"/>
        <w:suppressLineNumbers/>
        <w:suppressAutoHyphens/>
      </w:pPr>
      <w:r w:rsidRPr="00FA6E69">
        <w:t>Deuxième</w:t>
      </w:r>
      <w:r w:rsidR="00D54984">
        <w:t xml:space="preserve"> </w:t>
      </w:r>
      <w:r w:rsidR="00291461" w:rsidRPr="00FA6E69">
        <w:t>réunion</w:t>
      </w:r>
    </w:p>
    <w:p w:rsidR="001C63DA" w:rsidRPr="00FA6E69" w:rsidRDefault="000B3A63" w:rsidP="001C63DA">
      <w:pPr>
        <w:pStyle w:val="Cornernotation"/>
        <w:suppressLineNumbers/>
        <w:suppressAutoHyphens/>
        <w:rPr>
          <w:szCs w:val="22"/>
        </w:rPr>
      </w:pPr>
      <w:r w:rsidRPr="00FA6E69">
        <w:rPr>
          <w:szCs w:val="22"/>
        </w:rPr>
        <w:t>Montréal, Canada</w:t>
      </w:r>
      <w:r w:rsidR="001C63DA" w:rsidRPr="00FA6E69">
        <w:rPr>
          <w:szCs w:val="22"/>
        </w:rPr>
        <w:t>, 9-</w:t>
      </w:r>
      <w:r w:rsidRPr="00FA6E69">
        <w:rPr>
          <w:szCs w:val="22"/>
        </w:rPr>
        <w:t>13 juillet 2018</w:t>
      </w:r>
    </w:p>
    <w:p w:rsidR="008E2627" w:rsidRPr="00FA6E69" w:rsidRDefault="00291461" w:rsidP="001C63DA">
      <w:pPr>
        <w:pStyle w:val="Cornernotation"/>
        <w:suppressLineNumbers/>
        <w:suppressAutoHyphens/>
        <w:rPr>
          <w:szCs w:val="22"/>
        </w:rPr>
      </w:pPr>
      <w:r w:rsidRPr="00FA6E69">
        <w:rPr>
          <w:rFonts w:cs="Times New Roman"/>
          <w:snapToGrid w:val="0"/>
          <w:kern w:val="22"/>
          <w:szCs w:val="22"/>
        </w:rPr>
        <w:t>Point </w:t>
      </w:r>
      <w:r w:rsidR="000B3A63" w:rsidRPr="00FA6E69">
        <w:rPr>
          <w:rFonts w:cs="Times New Roman"/>
          <w:snapToGrid w:val="0"/>
          <w:kern w:val="22"/>
          <w:szCs w:val="22"/>
        </w:rPr>
        <w:t>3</w:t>
      </w:r>
      <w:r w:rsidR="004A1752" w:rsidRPr="00FA6E69">
        <w:rPr>
          <w:rFonts w:cs="Times New Roman"/>
          <w:snapToGrid w:val="0"/>
          <w:kern w:val="22"/>
          <w:szCs w:val="22"/>
        </w:rPr>
        <w:t xml:space="preserve"> </w:t>
      </w:r>
      <w:r w:rsidRPr="00FA6E69">
        <w:rPr>
          <w:rFonts w:cs="Times New Roman"/>
          <w:snapToGrid w:val="0"/>
          <w:kern w:val="22"/>
          <w:szCs w:val="22"/>
        </w:rPr>
        <w:t>de l</w:t>
      </w:r>
      <w:r w:rsidR="00E964B4" w:rsidRPr="00FA6E69">
        <w:rPr>
          <w:rFonts w:cs="Times New Roman"/>
          <w:snapToGrid w:val="0"/>
          <w:kern w:val="22"/>
          <w:szCs w:val="22"/>
        </w:rPr>
        <w:t>’</w:t>
      </w:r>
      <w:r w:rsidRPr="00FA6E69">
        <w:rPr>
          <w:rFonts w:cs="Times New Roman"/>
          <w:snapToGrid w:val="0"/>
          <w:kern w:val="22"/>
          <w:szCs w:val="22"/>
        </w:rPr>
        <w:t>ordre du jour provisoire</w:t>
      </w:r>
      <w:r w:rsidR="00907899" w:rsidRPr="00FA6E69">
        <w:rPr>
          <w:rStyle w:val="Refdenotaalpie"/>
          <w:rFonts w:cs="Times New Roman"/>
          <w:snapToGrid w:val="0"/>
          <w:kern w:val="22"/>
          <w:szCs w:val="22"/>
          <w:u w:val="none"/>
        </w:rPr>
        <w:footnoteReference w:customMarkFollows="1" w:id="2"/>
        <w:t>*</w:t>
      </w:r>
    </w:p>
    <w:p w:rsidR="00D706A4" w:rsidRPr="00FA6E69" w:rsidRDefault="00F26465" w:rsidP="00F26465">
      <w:pPr>
        <w:pStyle w:val="Ttulo2"/>
        <w:suppressLineNumbers/>
        <w:tabs>
          <w:tab w:val="clear" w:pos="720"/>
        </w:tabs>
        <w:suppressAutoHyphens/>
        <w:spacing w:before="240"/>
        <w:rPr>
          <w:rFonts w:ascii="Times New Roman Bold" w:hAnsi="Times New Roman Bold"/>
          <w:i w:val="0"/>
          <w:caps/>
          <w:kern w:val="22"/>
          <w:szCs w:val="22"/>
        </w:rPr>
      </w:pPr>
      <w:r w:rsidRPr="00FA6E69">
        <w:rPr>
          <w:rFonts w:cs="Times New Roman"/>
          <w:i w:val="0"/>
          <w:iCs w:val="0"/>
          <w:kern w:val="22"/>
          <w:szCs w:val="22"/>
        </w:rPr>
        <w:t>ANALYSE ACTUALISÉE DE LA CONTRIBUTION DES OBJECTIFS ÉTABLIS PAR LES PARTIES ET DES PROGRÈS ACCOMPLIS DANS LA RÉALISATION DES OBJECTIFS D</w:t>
      </w:r>
      <w:r w:rsidR="00E964B4" w:rsidRPr="00FA6E69">
        <w:rPr>
          <w:rFonts w:cs="Times New Roman"/>
          <w:i w:val="0"/>
          <w:iCs w:val="0"/>
          <w:kern w:val="22"/>
          <w:szCs w:val="22"/>
        </w:rPr>
        <w:t>’</w:t>
      </w:r>
      <w:r w:rsidRPr="00FA6E69">
        <w:rPr>
          <w:rFonts w:cs="Times New Roman"/>
          <w:i w:val="0"/>
          <w:iCs w:val="0"/>
          <w:kern w:val="22"/>
          <w:szCs w:val="22"/>
        </w:rPr>
        <w:t>AICHI POUR LA BIODIVERSITÉ</w:t>
      </w:r>
    </w:p>
    <w:p w:rsidR="00884046" w:rsidRPr="00FA6E69" w:rsidRDefault="008A263D" w:rsidP="00297BEE">
      <w:pPr>
        <w:pStyle w:val="Ttulo2"/>
        <w:suppressLineNumbers/>
        <w:tabs>
          <w:tab w:val="clear" w:pos="720"/>
        </w:tabs>
        <w:suppressAutoHyphens/>
        <w:rPr>
          <w:b w:val="0"/>
          <w:color w:val="000000"/>
          <w:kern w:val="22"/>
          <w:szCs w:val="22"/>
        </w:rPr>
      </w:pPr>
      <w:r w:rsidRPr="00FA6E69">
        <w:rPr>
          <w:rFonts w:cs="Times New Roman"/>
          <w:b w:val="0"/>
          <w:bCs w:val="0"/>
          <w:color w:val="000000"/>
          <w:kern w:val="22"/>
          <w:szCs w:val="22"/>
        </w:rPr>
        <w:t>Note du Secrétaire exécutif</w:t>
      </w:r>
    </w:p>
    <w:p w:rsidR="00D706A4" w:rsidRPr="00FA6E69" w:rsidRDefault="008A263D" w:rsidP="00297BEE">
      <w:pPr>
        <w:suppressLineNumbers/>
        <w:tabs>
          <w:tab w:val="left" w:pos="0"/>
        </w:tabs>
        <w:suppressAutoHyphens/>
        <w:spacing w:before="120" w:after="120"/>
        <w:jc w:val="center"/>
        <w:rPr>
          <w:rFonts w:cs="Times New Roman"/>
          <w:b/>
          <w:bCs/>
        </w:rPr>
      </w:pPr>
      <w:r w:rsidRPr="00FA6E69">
        <w:rPr>
          <w:rFonts w:cs="Times New Roman"/>
          <w:b/>
          <w:bCs/>
        </w:rPr>
        <w:t>CONTEXTE</w:t>
      </w:r>
    </w:p>
    <w:p w:rsidR="00D706A4" w:rsidRPr="00FA6E69" w:rsidRDefault="002D6829" w:rsidP="00C335EA">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Dans le cadre de l</w:t>
      </w:r>
      <w:r w:rsidR="00E964B4" w:rsidRPr="00FA6E69">
        <w:rPr>
          <w:rFonts w:eastAsia="Malgun Gothic" w:cs="Times New Roman"/>
          <w:kern w:val="22"/>
          <w:szCs w:val="22"/>
        </w:rPr>
        <w:t>’</w:t>
      </w:r>
      <w:r w:rsidRPr="00FA6E69">
        <w:rPr>
          <w:rFonts w:eastAsia="Malgun Gothic" w:cs="Times New Roman"/>
          <w:kern w:val="22"/>
          <w:szCs w:val="22"/>
        </w:rPr>
        <w:t>adoption du Plan stratégique 2011</w:t>
      </w:r>
      <w:r w:rsidR="009F23B8" w:rsidRPr="00FA6E69">
        <w:rPr>
          <w:rFonts w:eastAsia="Malgun Gothic" w:cs="Times New Roman"/>
          <w:kern w:val="22"/>
          <w:szCs w:val="22"/>
        </w:rPr>
        <w:noBreakHyphen/>
      </w:r>
      <w:r w:rsidRPr="00FA6E69">
        <w:rPr>
          <w:rFonts w:eastAsia="Malgun Gothic" w:cs="Times New Roman"/>
          <w:kern w:val="22"/>
          <w:szCs w:val="22"/>
        </w:rPr>
        <w:t>2020 pour la diversité biologique, la Conférence des Parties à la Convention sur la diversité biologique a invité les Parties à établir leurs propres objectifs nationaux, au moyen du Plan stratégique comme cadre souple, tout en prenant en compte les besoins et les priorités d</w:t>
      </w:r>
      <w:r w:rsidR="00E964B4" w:rsidRPr="00FA6E69">
        <w:rPr>
          <w:rFonts w:eastAsia="Malgun Gothic" w:cs="Times New Roman"/>
          <w:kern w:val="22"/>
          <w:szCs w:val="22"/>
        </w:rPr>
        <w:t>’</w:t>
      </w:r>
      <w:r w:rsidRPr="00FA6E69">
        <w:rPr>
          <w:rFonts w:eastAsia="Malgun Gothic" w:cs="Times New Roman"/>
          <w:kern w:val="22"/>
          <w:szCs w:val="22"/>
        </w:rPr>
        <w:t>ordre national, ainsi que les contributions nationales à la réalisation des Objectifs mondiaux d</w:t>
      </w:r>
      <w:r w:rsidR="00E964B4" w:rsidRPr="00FA6E69">
        <w:rPr>
          <w:rFonts w:eastAsia="Malgun Gothic" w:cs="Times New Roman"/>
          <w:kern w:val="22"/>
          <w:szCs w:val="22"/>
        </w:rPr>
        <w:t>’</w:t>
      </w:r>
      <w:r w:rsidRPr="00FA6E69">
        <w:rPr>
          <w:rFonts w:eastAsia="Malgun Gothic" w:cs="Times New Roman"/>
          <w:kern w:val="22"/>
          <w:szCs w:val="22"/>
        </w:rPr>
        <w:t xml:space="preserve">Aichi pour la biodiversité. </w:t>
      </w:r>
      <w:r w:rsidR="000B3A63" w:rsidRPr="00FA6E69">
        <w:rPr>
          <w:rFonts w:eastAsia="Malgun Gothic" w:cs="Times New Roman"/>
          <w:kern w:val="22"/>
          <w:szCs w:val="22"/>
        </w:rPr>
        <w:t>Les</w:t>
      </w:r>
      <w:r w:rsidRPr="00FA6E69">
        <w:rPr>
          <w:rFonts w:eastAsia="Malgun Gothic" w:cs="Times New Roman"/>
          <w:kern w:val="22"/>
          <w:szCs w:val="22"/>
        </w:rPr>
        <w:t xml:space="preserve"> Parties ont</w:t>
      </w:r>
      <w:r w:rsidR="000B3A63" w:rsidRPr="00FA6E69">
        <w:rPr>
          <w:rFonts w:eastAsia="Malgun Gothic" w:cs="Times New Roman"/>
          <w:kern w:val="22"/>
          <w:szCs w:val="22"/>
        </w:rPr>
        <w:t xml:space="preserve"> aussi</w:t>
      </w:r>
      <w:r w:rsidRPr="00FA6E69">
        <w:rPr>
          <w:rFonts w:eastAsia="Malgun Gothic" w:cs="Times New Roman"/>
          <w:kern w:val="22"/>
          <w:szCs w:val="22"/>
        </w:rPr>
        <w:t xml:space="preserve"> été exhortées à examiner, et selon qu</w:t>
      </w:r>
      <w:r w:rsidR="00E964B4" w:rsidRPr="00FA6E69">
        <w:rPr>
          <w:rFonts w:eastAsia="Malgun Gothic" w:cs="Times New Roman"/>
          <w:kern w:val="22"/>
          <w:szCs w:val="22"/>
        </w:rPr>
        <w:t>’</w:t>
      </w:r>
      <w:r w:rsidRPr="00FA6E69">
        <w:rPr>
          <w:rFonts w:eastAsia="Malgun Gothic" w:cs="Times New Roman"/>
          <w:kern w:val="22"/>
          <w:szCs w:val="22"/>
        </w:rPr>
        <w:t>il convient à actualiser et à réviser, les stratégies et plans d</w:t>
      </w:r>
      <w:r w:rsidR="00E964B4" w:rsidRPr="00FA6E69">
        <w:rPr>
          <w:rFonts w:eastAsia="Malgun Gothic" w:cs="Times New Roman"/>
          <w:kern w:val="22"/>
          <w:szCs w:val="22"/>
        </w:rPr>
        <w:t>’</w:t>
      </w:r>
      <w:r w:rsidRPr="00FA6E69">
        <w:rPr>
          <w:rFonts w:eastAsia="Malgun Gothic" w:cs="Times New Roman"/>
          <w:kern w:val="22"/>
          <w:szCs w:val="22"/>
        </w:rPr>
        <w:t xml:space="preserve">action nationaux pour la diversité biologique (SPANB), conformément au Plan stratégique et aux orientations adoptées dans la </w:t>
      </w:r>
      <w:hyperlink r:id="rId12" w:history="1">
        <w:r w:rsidR="00CD0A28" w:rsidRPr="00D87ACE">
          <w:rPr>
            <w:rStyle w:val="Hipervnculo"/>
            <w:rFonts w:eastAsia="Malgun Gothic"/>
          </w:rPr>
          <w:t>d</w:t>
        </w:r>
        <w:r w:rsidR="00CD0A28">
          <w:rPr>
            <w:rStyle w:val="Hipervnculo"/>
            <w:rFonts w:eastAsia="Malgun Gothic"/>
          </w:rPr>
          <w:t>é</w:t>
        </w:r>
        <w:r w:rsidR="00CD0A28" w:rsidRPr="00D87ACE">
          <w:rPr>
            <w:rStyle w:val="Hipervnculo"/>
            <w:rFonts w:eastAsia="Malgun Gothic"/>
          </w:rPr>
          <w:t>cision IX/9</w:t>
        </w:r>
      </w:hyperlink>
      <w:r w:rsidRPr="00FA6E69">
        <w:rPr>
          <w:rFonts w:eastAsia="Malgun Gothic" w:cs="Times New Roman"/>
          <w:kern w:val="22"/>
          <w:szCs w:val="22"/>
        </w:rPr>
        <w:t>, y compris en intégrant les objectifs nationaux aux SPANB, adoptés en tant qu</w:t>
      </w:r>
      <w:r w:rsidR="00E964B4" w:rsidRPr="00FA6E69">
        <w:rPr>
          <w:rFonts w:eastAsia="Malgun Gothic" w:cs="Times New Roman"/>
          <w:kern w:val="22"/>
          <w:szCs w:val="22"/>
        </w:rPr>
        <w:t>’</w:t>
      </w:r>
      <w:r w:rsidRPr="00FA6E69">
        <w:rPr>
          <w:rFonts w:eastAsia="Malgun Gothic" w:cs="Times New Roman"/>
          <w:kern w:val="22"/>
          <w:szCs w:val="22"/>
        </w:rPr>
        <w:t>i</w:t>
      </w:r>
      <w:r w:rsidR="00974CB7" w:rsidRPr="00FA6E69">
        <w:rPr>
          <w:rFonts w:eastAsia="Malgun Gothic" w:cs="Times New Roman"/>
          <w:kern w:val="22"/>
          <w:szCs w:val="22"/>
        </w:rPr>
        <w:t>nstrument de politique générale</w:t>
      </w:r>
      <w:r w:rsidR="00F04596" w:rsidRPr="00FA6E69">
        <w:rPr>
          <w:rFonts w:eastAsia="Malgun Gothic" w:cs="Times New Roman"/>
          <w:kern w:val="22"/>
          <w:szCs w:val="22"/>
        </w:rPr>
        <w:t>.</w:t>
      </w:r>
    </w:p>
    <w:p w:rsidR="003472F1" w:rsidRPr="00FA6E69" w:rsidRDefault="00C335EA" w:rsidP="00DE7E1F">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 xml:space="preserve">Dans sa </w:t>
      </w:r>
      <w:hyperlink r:id="rId13" w:history="1">
        <w:r w:rsidR="00CD0A28">
          <w:rPr>
            <w:rStyle w:val="Hipervnculo"/>
            <w:rFonts w:eastAsia="Malgun Gothic"/>
            <w:kern w:val="22"/>
            <w:szCs w:val="22"/>
          </w:rPr>
          <w:t>décision XIII/1</w:t>
        </w:r>
      </w:hyperlink>
      <w:r w:rsidR="002A7BB5" w:rsidRPr="00FA6E69">
        <w:rPr>
          <w:rFonts w:eastAsia="Malgun Gothic" w:cs="Times New Roman"/>
          <w:kern w:val="22"/>
          <w:szCs w:val="22"/>
        </w:rPr>
        <w:t>,</w:t>
      </w:r>
      <w:r w:rsidRPr="00FA6E69">
        <w:rPr>
          <w:rFonts w:eastAsia="Malgun Gothic" w:cs="Times New Roman"/>
          <w:kern w:val="22"/>
          <w:szCs w:val="22"/>
        </w:rPr>
        <w:t xml:space="preserve"> l</w:t>
      </w:r>
      <w:r w:rsidR="000B3A63" w:rsidRPr="00FA6E69">
        <w:rPr>
          <w:rFonts w:eastAsia="Malgun Gothic" w:cs="Times New Roman"/>
          <w:kern w:val="22"/>
          <w:szCs w:val="22"/>
        </w:rPr>
        <w:t>a Conférence des Parties</w:t>
      </w:r>
      <w:r w:rsidRPr="00FA6E69">
        <w:t xml:space="preserve"> </w:t>
      </w:r>
      <w:r w:rsidR="00DE7E1F" w:rsidRPr="00FA6E69">
        <w:t>a exhorté les Parties qui ne l</w:t>
      </w:r>
      <w:r w:rsidR="00E964B4" w:rsidRPr="00FA6E69">
        <w:t>’</w:t>
      </w:r>
      <w:r w:rsidR="00DE7E1F" w:rsidRPr="00FA6E69">
        <w:t xml:space="preserve">avaient pas encore fait, </w:t>
      </w:r>
      <w:r w:rsidR="00431743" w:rsidRPr="00FA6E69">
        <w:t>à</w:t>
      </w:r>
      <w:r w:rsidR="00DE7E1F" w:rsidRPr="00FA6E69">
        <w:t xml:space="preserve"> mettre à jour </w:t>
      </w:r>
      <w:r w:rsidR="00256E4A" w:rsidRPr="00FA6E69">
        <w:t xml:space="preserve">et mettre en œuvre </w:t>
      </w:r>
      <w:r w:rsidR="00DE7E1F" w:rsidRPr="00FA6E69">
        <w:t>leurs stratégies et plans d</w:t>
      </w:r>
      <w:r w:rsidR="00E964B4" w:rsidRPr="00FA6E69">
        <w:t>’</w:t>
      </w:r>
      <w:r w:rsidR="00DE7E1F" w:rsidRPr="00FA6E69">
        <w:t>action nationaux pour la biodiversité dans les meilleurs délais</w:t>
      </w:r>
      <w:r w:rsidR="00431743" w:rsidRPr="00FA6E69">
        <w:t xml:space="preserve">, conformément à la </w:t>
      </w:r>
      <w:hyperlink r:id="rId14" w:history="1">
        <w:r w:rsidR="00CD0A28">
          <w:rPr>
            <w:rStyle w:val="Hipervnculo"/>
            <w:kern w:val="22"/>
            <w:szCs w:val="22"/>
          </w:rPr>
          <w:t>décision XI/2</w:t>
        </w:r>
      </w:hyperlink>
      <w:r w:rsidR="00DE7E1F" w:rsidRPr="00FA6E69">
        <w:t>.</w:t>
      </w:r>
    </w:p>
    <w:p w:rsidR="00D706A4" w:rsidRPr="00FA6E69" w:rsidRDefault="00DE7E1F" w:rsidP="00182C37">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 xml:space="preserve">Entre la dixième réunion de la Conférence des Parties et </w:t>
      </w:r>
      <w:r w:rsidR="00256E4A" w:rsidRPr="00FA6E69">
        <w:rPr>
          <w:rFonts w:eastAsia="Malgun Gothic" w:cs="Times New Roman"/>
          <w:kern w:val="22"/>
          <w:szCs w:val="22"/>
        </w:rPr>
        <w:t xml:space="preserve">le 14 </w:t>
      </w:r>
      <w:r w:rsidR="00431743" w:rsidRPr="00FA6E69">
        <w:rPr>
          <w:rFonts w:eastAsia="Malgun Gothic" w:cs="Times New Roman"/>
          <w:kern w:val="22"/>
          <w:szCs w:val="22"/>
        </w:rPr>
        <w:t>mars 2018</w:t>
      </w:r>
      <w:r w:rsidRPr="00FA6E69">
        <w:rPr>
          <w:rFonts w:eastAsia="Malgun Gothic" w:cs="Times New Roman"/>
          <w:kern w:val="22"/>
          <w:szCs w:val="22"/>
        </w:rPr>
        <w:t>, le Secrétariat de la Convention sur l</w:t>
      </w:r>
      <w:r w:rsidR="00182C37" w:rsidRPr="00FA6E69">
        <w:rPr>
          <w:rFonts w:eastAsia="Malgun Gothic" w:cs="Times New Roman"/>
          <w:kern w:val="22"/>
          <w:szCs w:val="22"/>
        </w:rPr>
        <w:t>a diversité biologique a reçu 1</w:t>
      </w:r>
      <w:r w:rsidR="00431743" w:rsidRPr="00FA6E69">
        <w:rPr>
          <w:rFonts w:eastAsia="Malgun Gothic" w:cs="Times New Roman"/>
          <w:kern w:val="22"/>
          <w:szCs w:val="22"/>
        </w:rPr>
        <w:t>54</w:t>
      </w:r>
      <w:r w:rsidRPr="00FA6E69">
        <w:rPr>
          <w:rFonts w:eastAsia="Malgun Gothic" w:cs="Times New Roman"/>
          <w:kern w:val="22"/>
          <w:szCs w:val="22"/>
        </w:rPr>
        <w:t> nouveaux SPANB.</w:t>
      </w:r>
      <w:r w:rsidRPr="00FA6E69">
        <w:rPr>
          <w:vertAlign w:val="superscript"/>
        </w:rPr>
        <w:t xml:space="preserve"> </w:t>
      </w:r>
      <w:r w:rsidRPr="00FA6E69">
        <w:rPr>
          <w:vertAlign w:val="superscript"/>
        </w:rPr>
        <w:footnoteReference w:id="3"/>
      </w:r>
      <w:r w:rsidRPr="00FA6E69">
        <w:rPr>
          <w:rFonts w:eastAsia="Malgun Gothic" w:cs="Times New Roman"/>
          <w:kern w:val="22"/>
          <w:szCs w:val="22"/>
        </w:rPr>
        <w:t xml:space="preserve"> Parmi ceux</w:t>
      </w:r>
      <w:r w:rsidR="009F23B8" w:rsidRPr="00FA6E69">
        <w:rPr>
          <w:rFonts w:eastAsia="Malgun Gothic" w:cs="Times New Roman"/>
          <w:kern w:val="22"/>
          <w:szCs w:val="22"/>
        </w:rPr>
        <w:noBreakHyphen/>
      </w:r>
      <w:r w:rsidRPr="00FA6E69">
        <w:rPr>
          <w:rFonts w:eastAsia="Malgun Gothic" w:cs="Times New Roman"/>
          <w:kern w:val="22"/>
          <w:szCs w:val="22"/>
        </w:rPr>
        <w:t>ci, 1</w:t>
      </w:r>
      <w:r w:rsidR="00431743" w:rsidRPr="00FA6E69">
        <w:rPr>
          <w:rFonts w:eastAsia="Malgun Gothic" w:cs="Times New Roman"/>
          <w:kern w:val="22"/>
          <w:szCs w:val="22"/>
        </w:rPr>
        <w:t>5</w:t>
      </w:r>
      <w:r w:rsidRPr="00FA6E69">
        <w:rPr>
          <w:rFonts w:eastAsia="Malgun Gothic" w:cs="Times New Roman"/>
          <w:kern w:val="22"/>
          <w:szCs w:val="22"/>
        </w:rPr>
        <w:t> concernent les premiers SPANB d</w:t>
      </w:r>
      <w:r w:rsidR="00E964B4" w:rsidRPr="00FA6E69">
        <w:rPr>
          <w:rFonts w:eastAsia="Malgun Gothic" w:cs="Times New Roman"/>
          <w:kern w:val="22"/>
          <w:szCs w:val="22"/>
        </w:rPr>
        <w:t>’</w:t>
      </w:r>
      <w:r w:rsidR="00182C37" w:rsidRPr="00FA6E69">
        <w:rPr>
          <w:rFonts w:eastAsia="Malgun Gothic" w:cs="Times New Roman"/>
          <w:kern w:val="22"/>
          <w:szCs w:val="22"/>
        </w:rPr>
        <w:t>un pays</w:t>
      </w:r>
      <w:r w:rsidRPr="00FA6E69">
        <w:rPr>
          <w:rFonts w:eastAsia="Malgun Gothic" w:cs="Times New Roman"/>
          <w:kern w:val="22"/>
          <w:szCs w:val="22"/>
        </w:rPr>
        <w:t>. Des informations additionnelles sur la mise à jour et l</w:t>
      </w:r>
      <w:r w:rsidR="00E964B4" w:rsidRPr="00FA6E69">
        <w:rPr>
          <w:rFonts w:eastAsia="Malgun Gothic" w:cs="Times New Roman"/>
          <w:kern w:val="22"/>
          <w:szCs w:val="22"/>
        </w:rPr>
        <w:t>’</w:t>
      </w:r>
      <w:r w:rsidRPr="00FA6E69">
        <w:rPr>
          <w:rFonts w:eastAsia="Malgun Gothic" w:cs="Times New Roman"/>
          <w:kern w:val="22"/>
          <w:szCs w:val="22"/>
        </w:rPr>
        <w:t>analyse des stratégies et plans d</w:t>
      </w:r>
      <w:r w:rsidR="00E964B4" w:rsidRPr="00FA6E69">
        <w:rPr>
          <w:rFonts w:eastAsia="Malgun Gothic" w:cs="Times New Roman"/>
          <w:kern w:val="22"/>
          <w:szCs w:val="22"/>
        </w:rPr>
        <w:t>’</w:t>
      </w:r>
      <w:r w:rsidRPr="00FA6E69">
        <w:rPr>
          <w:rFonts w:eastAsia="Malgun Gothic" w:cs="Times New Roman"/>
          <w:kern w:val="22"/>
          <w:szCs w:val="22"/>
        </w:rPr>
        <w:t>action nationaux pour la biodiversité reçus après l</w:t>
      </w:r>
      <w:r w:rsidR="00E964B4" w:rsidRPr="00FA6E69">
        <w:rPr>
          <w:rFonts w:eastAsia="Malgun Gothic" w:cs="Times New Roman"/>
          <w:kern w:val="22"/>
          <w:szCs w:val="22"/>
        </w:rPr>
        <w:t>’</w:t>
      </w:r>
      <w:r w:rsidRPr="00FA6E69">
        <w:rPr>
          <w:rFonts w:eastAsia="Malgun Gothic" w:cs="Times New Roman"/>
          <w:kern w:val="22"/>
          <w:szCs w:val="22"/>
        </w:rPr>
        <w:t>adoption du Plan stratégique 2011</w:t>
      </w:r>
      <w:r w:rsidR="009F23B8" w:rsidRPr="00FA6E69">
        <w:rPr>
          <w:rFonts w:eastAsia="Malgun Gothic" w:cs="Times New Roman"/>
          <w:kern w:val="22"/>
          <w:szCs w:val="22"/>
        </w:rPr>
        <w:noBreakHyphen/>
      </w:r>
      <w:r w:rsidRPr="00FA6E69">
        <w:rPr>
          <w:rFonts w:eastAsia="Malgun Gothic" w:cs="Times New Roman"/>
          <w:kern w:val="22"/>
          <w:szCs w:val="22"/>
        </w:rPr>
        <w:t>2020 pour la diversité biologique figurent dans le document CBD/</w:t>
      </w:r>
      <w:r w:rsidR="00256E4A" w:rsidRPr="00FA6E69">
        <w:rPr>
          <w:rFonts w:eastAsia="Malgun Gothic" w:cs="Times New Roman"/>
          <w:kern w:val="22"/>
          <w:szCs w:val="22"/>
        </w:rPr>
        <w:t>SBI</w:t>
      </w:r>
      <w:r w:rsidRPr="00FA6E69">
        <w:rPr>
          <w:rFonts w:eastAsia="Malgun Gothic" w:cs="Times New Roman"/>
          <w:kern w:val="22"/>
          <w:szCs w:val="22"/>
        </w:rPr>
        <w:t>/</w:t>
      </w:r>
      <w:r w:rsidR="00431743" w:rsidRPr="00FA6E69">
        <w:rPr>
          <w:rFonts w:eastAsia="Malgun Gothic" w:cs="Times New Roman"/>
          <w:kern w:val="22"/>
          <w:szCs w:val="22"/>
        </w:rPr>
        <w:t>2</w:t>
      </w:r>
      <w:r w:rsidRPr="00FA6E69">
        <w:rPr>
          <w:rFonts w:eastAsia="Malgun Gothic" w:cs="Times New Roman"/>
          <w:kern w:val="22"/>
          <w:szCs w:val="22"/>
        </w:rPr>
        <w:t>/Add.1.</w:t>
      </w:r>
    </w:p>
    <w:p w:rsidR="00D706A4" w:rsidRPr="00FA6E69" w:rsidRDefault="00303E13" w:rsidP="00F307CB">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Dans le cadre de l</w:t>
      </w:r>
      <w:r w:rsidR="00E964B4" w:rsidRPr="00FA6E69">
        <w:rPr>
          <w:rFonts w:eastAsia="Malgun Gothic" w:cs="Times New Roman"/>
          <w:kern w:val="22"/>
          <w:szCs w:val="22"/>
        </w:rPr>
        <w:t>’</w:t>
      </w:r>
      <w:r w:rsidRPr="00FA6E69">
        <w:rPr>
          <w:rFonts w:eastAsia="Malgun Gothic" w:cs="Times New Roman"/>
          <w:kern w:val="22"/>
          <w:szCs w:val="22"/>
        </w:rPr>
        <w:t>adoption du Plan stratégique, la Conférence des Parties (décision X/2) a également noté la nécessité d</w:t>
      </w:r>
      <w:r w:rsidR="00E964B4" w:rsidRPr="00FA6E69">
        <w:rPr>
          <w:rFonts w:eastAsia="Malgun Gothic" w:cs="Times New Roman"/>
          <w:kern w:val="22"/>
          <w:szCs w:val="22"/>
        </w:rPr>
        <w:t>’</w:t>
      </w:r>
      <w:r w:rsidRPr="00FA6E69">
        <w:rPr>
          <w:rFonts w:eastAsia="Malgun Gothic" w:cs="Times New Roman"/>
          <w:kern w:val="22"/>
          <w:szCs w:val="22"/>
        </w:rPr>
        <w:t>assurer un examen périodique de son application. À cet égard, les rapports nationaux constituent une source principale d</w:t>
      </w:r>
      <w:r w:rsidR="00E964B4" w:rsidRPr="00FA6E69">
        <w:rPr>
          <w:rFonts w:eastAsia="Malgun Gothic" w:cs="Times New Roman"/>
          <w:kern w:val="22"/>
          <w:szCs w:val="22"/>
        </w:rPr>
        <w:t>’</w:t>
      </w:r>
      <w:r w:rsidRPr="00FA6E69">
        <w:rPr>
          <w:rFonts w:eastAsia="Malgun Gothic" w:cs="Times New Roman"/>
          <w:kern w:val="22"/>
          <w:szCs w:val="22"/>
        </w:rPr>
        <w:t>information. Dans la décision </w:t>
      </w:r>
      <w:hyperlink r:id="rId15" w:history="1">
        <w:r w:rsidR="00CD0A28" w:rsidRPr="00E771FA">
          <w:rPr>
            <w:rStyle w:val="Hipervnculo"/>
            <w:rFonts w:eastAsia="Malgun Gothic"/>
            <w:kern w:val="22"/>
            <w:szCs w:val="22"/>
          </w:rPr>
          <w:t>X/10</w:t>
        </w:r>
      </w:hyperlink>
      <w:r w:rsidRPr="00FA6E69">
        <w:rPr>
          <w:rFonts w:eastAsia="Malgun Gothic" w:cs="Times New Roman"/>
          <w:kern w:val="22"/>
          <w:szCs w:val="22"/>
        </w:rPr>
        <w:t>, la Conférence des Parties a prié les Parties de soumettre leur cinquième rapport national jusqu</w:t>
      </w:r>
      <w:r w:rsidR="00E964B4" w:rsidRPr="00FA6E69">
        <w:rPr>
          <w:rFonts w:eastAsia="Malgun Gothic" w:cs="Times New Roman"/>
          <w:kern w:val="22"/>
          <w:szCs w:val="22"/>
        </w:rPr>
        <w:t>’</w:t>
      </w:r>
      <w:r w:rsidRPr="00FA6E69">
        <w:rPr>
          <w:rFonts w:eastAsia="Malgun Gothic" w:cs="Times New Roman"/>
          <w:kern w:val="22"/>
          <w:szCs w:val="22"/>
        </w:rPr>
        <w:t xml:space="preserve">au 31 mars 2014. Par la suite, </w:t>
      </w:r>
      <w:r w:rsidRPr="00FA6E69">
        <w:rPr>
          <w:rFonts w:eastAsia="Malgun Gothic" w:cs="Times New Roman"/>
          <w:kern w:val="22"/>
          <w:szCs w:val="22"/>
        </w:rPr>
        <w:lastRenderedPageBreak/>
        <w:t>l</w:t>
      </w:r>
      <w:r w:rsidR="00E964B4" w:rsidRPr="00FA6E69">
        <w:rPr>
          <w:rFonts w:eastAsia="Malgun Gothic" w:cs="Times New Roman"/>
          <w:kern w:val="22"/>
          <w:szCs w:val="22"/>
        </w:rPr>
        <w:t>’</w:t>
      </w:r>
      <w:r w:rsidRPr="00FA6E69">
        <w:rPr>
          <w:rFonts w:eastAsia="Malgun Gothic" w:cs="Times New Roman"/>
          <w:kern w:val="22"/>
          <w:szCs w:val="22"/>
        </w:rPr>
        <w:t>Organe subsidiaire chargé de l</w:t>
      </w:r>
      <w:r w:rsidR="00E964B4" w:rsidRPr="00FA6E69">
        <w:rPr>
          <w:rFonts w:eastAsia="Malgun Gothic" w:cs="Times New Roman"/>
          <w:kern w:val="22"/>
          <w:szCs w:val="22"/>
        </w:rPr>
        <w:t>’</w:t>
      </w:r>
      <w:r w:rsidRPr="00FA6E69">
        <w:rPr>
          <w:rFonts w:eastAsia="Malgun Gothic" w:cs="Times New Roman"/>
          <w:kern w:val="22"/>
          <w:szCs w:val="22"/>
        </w:rPr>
        <w:t xml:space="preserve">application, dans sa </w:t>
      </w:r>
      <w:hyperlink r:id="rId16" w:history="1">
        <w:r w:rsidR="00CD0A28" w:rsidRPr="00D87ACE">
          <w:rPr>
            <w:rStyle w:val="Hipervnculo"/>
            <w:rFonts w:eastAsia="Malgun Gothic"/>
          </w:rPr>
          <w:t>recommandation 1/1</w:t>
        </w:r>
      </w:hyperlink>
      <w:r w:rsidRPr="00FA6E69">
        <w:rPr>
          <w:rFonts w:eastAsia="Malgun Gothic" w:cs="Times New Roman"/>
          <w:kern w:val="22"/>
          <w:szCs w:val="22"/>
        </w:rPr>
        <w:t>, a souligné que l</w:t>
      </w:r>
      <w:r w:rsidR="00E964B4" w:rsidRPr="00FA6E69">
        <w:rPr>
          <w:rFonts w:eastAsia="Malgun Gothic" w:cs="Times New Roman"/>
          <w:kern w:val="22"/>
          <w:szCs w:val="22"/>
        </w:rPr>
        <w:t>’</w:t>
      </w:r>
      <w:r w:rsidRPr="00FA6E69">
        <w:rPr>
          <w:rFonts w:eastAsia="Malgun Gothic" w:cs="Times New Roman"/>
          <w:kern w:val="22"/>
          <w:szCs w:val="22"/>
        </w:rPr>
        <w:t>examen effectif des progrès accomplis dans la mise en œuvre du Plan stratégique 2011</w:t>
      </w:r>
      <w:r w:rsidR="009F23B8" w:rsidRPr="00FA6E69">
        <w:rPr>
          <w:rFonts w:eastAsia="Malgun Gothic" w:cs="Times New Roman"/>
          <w:kern w:val="22"/>
          <w:szCs w:val="22"/>
        </w:rPr>
        <w:noBreakHyphen/>
      </w:r>
      <w:r w:rsidRPr="00FA6E69">
        <w:rPr>
          <w:rFonts w:eastAsia="Malgun Gothic" w:cs="Times New Roman"/>
          <w:kern w:val="22"/>
          <w:szCs w:val="22"/>
        </w:rPr>
        <w:t>2020 pour la diversité biologique dépendait de la soumission en temps utile par les Parties de leurs informations, et rappelant les décisions</w:t>
      </w:r>
      <w:r w:rsidRPr="00FA6E69">
        <w:t xml:space="preserve"> </w:t>
      </w:r>
      <w:hyperlink r:id="rId17" w:history="1">
        <w:r w:rsidR="00CD0A28" w:rsidRPr="00D87ACE">
          <w:rPr>
            <w:rStyle w:val="Hipervnculo"/>
            <w:kern w:val="22"/>
            <w:szCs w:val="22"/>
          </w:rPr>
          <w:t>XI/3</w:t>
        </w:r>
      </w:hyperlink>
      <w:r w:rsidRPr="00FA6E69">
        <w:t xml:space="preserve"> et </w:t>
      </w:r>
      <w:hyperlink r:id="rId18" w:history="1">
        <w:r w:rsidR="00CD0A28" w:rsidRPr="00D87ACE">
          <w:rPr>
            <w:rStyle w:val="Hipervnculo"/>
            <w:kern w:val="22"/>
            <w:szCs w:val="22"/>
          </w:rPr>
          <w:t>XII/2</w:t>
        </w:r>
      </w:hyperlink>
      <w:r w:rsidRPr="00FA6E69">
        <w:t> A, a exhorté les Parties qui n</w:t>
      </w:r>
      <w:r w:rsidR="00E964B4" w:rsidRPr="00FA6E69">
        <w:t>’</w:t>
      </w:r>
      <w:r w:rsidRPr="00FA6E69">
        <w:t>avaient pas encore soumis</w:t>
      </w:r>
      <w:r w:rsidRPr="00FA6E69">
        <w:rPr>
          <w:rFonts w:eastAsia="Malgun Gothic" w:cs="Times New Roman"/>
          <w:kern w:val="22"/>
          <w:szCs w:val="22"/>
        </w:rPr>
        <w:t xml:space="preserve"> leur cinquième rapport national</w:t>
      </w:r>
      <w:r w:rsidR="00F307CB" w:rsidRPr="00FA6E69">
        <w:rPr>
          <w:rFonts w:eastAsia="Malgun Gothic" w:cs="Times New Roman"/>
          <w:kern w:val="22"/>
          <w:szCs w:val="22"/>
        </w:rPr>
        <w:t xml:space="preserve"> à le faire de toute urgence, et au plus tard le 30 juin 2016.</w:t>
      </w:r>
      <w:r w:rsidRPr="00FA6E69">
        <w:rPr>
          <w:rFonts w:eastAsia="Malgun Gothic" w:cs="Times New Roman"/>
          <w:kern w:val="22"/>
          <w:szCs w:val="22"/>
        </w:rPr>
        <w:t xml:space="preserve"> </w:t>
      </w:r>
      <w:r w:rsidR="00182C37" w:rsidRPr="00FA6E69">
        <w:rPr>
          <w:rFonts w:eastAsia="Malgun Gothic" w:cs="Times New Roman"/>
          <w:kern w:val="22"/>
          <w:szCs w:val="22"/>
        </w:rPr>
        <w:t xml:space="preserve">Au </w:t>
      </w:r>
      <w:r w:rsidR="00433D34" w:rsidRPr="00FA6E69">
        <w:rPr>
          <w:rFonts w:eastAsia="Malgun Gothic" w:cs="Times New Roman"/>
          <w:kern w:val="22"/>
          <w:szCs w:val="22"/>
        </w:rPr>
        <w:t>14 mars</w:t>
      </w:r>
      <w:r w:rsidR="00182C37" w:rsidRPr="00FA6E69">
        <w:rPr>
          <w:rFonts w:eastAsia="Malgun Gothic" w:cs="Times New Roman"/>
          <w:kern w:val="22"/>
          <w:szCs w:val="22"/>
        </w:rPr>
        <w:t> 201</w:t>
      </w:r>
      <w:r w:rsidR="00433D34" w:rsidRPr="00FA6E69">
        <w:rPr>
          <w:rFonts w:eastAsia="Malgun Gothic" w:cs="Times New Roman"/>
          <w:kern w:val="22"/>
          <w:szCs w:val="22"/>
        </w:rPr>
        <w:t>8</w:t>
      </w:r>
      <w:r w:rsidR="00182C37" w:rsidRPr="00FA6E69">
        <w:rPr>
          <w:rFonts w:eastAsia="Malgun Gothic" w:cs="Times New Roman"/>
          <w:kern w:val="22"/>
          <w:szCs w:val="22"/>
        </w:rPr>
        <w:t>, 1</w:t>
      </w:r>
      <w:r w:rsidR="00433D34" w:rsidRPr="00FA6E69">
        <w:rPr>
          <w:rFonts w:eastAsia="Malgun Gothic" w:cs="Times New Roman"/>
          <w:kern w:val="22"/>
          <w:szCs w:val="22"/>
        </w:rPr>
        <w:t>91</w:t>
      </w:r>
      <w:r w:rsidR="00F307CB" w:rsidRPr="00FA6E69">
        <w:rPr>
          <w:rFonts w:eastAsia="Malgun Gothic" w:cs="Times New Roman"/>
          <w:kern w:val="22"/>
          <w:szCs w:val="22"/>
        </w:rPr>
        <w:t> rapports nationaux avaient été reçus.</w:t>
      </w:r>
    </w:p>
    <w:p w:rsidR="00407A1C" w:rsidRPr="00FA6E69" w:rsidRDefault="00155418" w:rsidP="000C499C">
      <w:pPr>
        <w:pStyle w:val="Para1"/>
        <w:numPr>
          <w:ilvl w:val="0"/>
          <w:numId w:val="13"/>
        </w:numPr>
        <w:suppressLineNumbers/>
        <w:tabs>
          <w:tab w:val="clear" w:pos="360"/>
        </w:tabs>
        <w:suppressAutoHyphens/>
        <w:rPr>
          <w:rFonts w:eastAsia="Malgun Gothic" w:cs="Times New Roman"/>
          <w:kern w:val="22"/>
          <w:szCs w:val="22"/>
        </w:rPr>
      </w:pPr>
      <w:r w:rsidRPr="00FA6E69">
        <w:rPr>
          <w:rFonts w:eastAsia="Malgun Gothic" w:cs="Times New Roman"/>
          <w:kern w:val="22"/>
          <w:szCs w:val="22"/>
        </w:rPr>
        <w:t>Dans la décision </w:t>
      </w:r>
      <w:hyperlink r:id="rId19" w:history="1">
        <w:r w:rsidR="00CD0A28" w:rsidRPr="00E771FA">
          <w:rPr>
            <w:rStyle w:val="Hipervnculo"/>
            <w:rFonts w:eastAsia="Malgun Gothic"/>
            <w:kern w:val="22"/>
            <w:szCs w:val="22"/>
          </w:rPr>
          <w:t>X/2</w:t>
        </w:r>
      </w:hyperlink>
      <w:r w:rsidRPr="00FA6E69">
        <w:rPr>
          <w:rFonts w:eastAsia="Malgun Gothic" w:cs="Times New Roman"/>
          <w:kern w:val="22"/>
          <w:szCs w:val="22"/>
        </w:rPr>
        <w:t xml:space="preserve">, la Conférence des Parties a </w:t>
      </w:r>
      <w:r w:rsidR="00BD64BA" w:rsidRPr="00FA6E69">
        <w:rPr>
          <w:rFonts w:eastAsia="Malgun Gothic" w:cs="Times New Roman"/>
          <w:kern w:val="22"/>
          <w:szCs w:val="22"/>
        </w:rPr>
        <w:t>d</w:t>
      </w:r>
      <w:r w:rsidRPr="00FA6E69">
        <w:rPr>
          <w:rFonts w:eastAsia="Malgun Gothic" w:cs="Times New Roman"/>
          <w:kern w:val="22"/>
          <w:szCs w:val="22"/>
        </w:rPr>
        <w:t>emandé au Secrétaire exécutif d</w:t>
      </w:r>
      <w:r w:rsidR="00E964B4" w:rsidRPr="00FA6E69">
        <w:rPr>
          <w:rFonts w:eastAsia="Malgun Gothic" w:cs="Times New Roman"/>
          <w:kern w:val="22"/>
          <w:szCs w:val="22"/>
        </w:rPr>
        <w:t>’</w:t>
      </w:r>
      <w:r w:rsidRPr="00FA6E69">
        <w:rPr>
          <w:rFonts w:eastAsia="Malgun Gothic" w:cs="Times New Roman"/>
          <w:kern w:val="22"/>
          <w:szCs w:val="22"/>
        </w:rPr>
        <w:t>établir une analyse/synthèse des mesures nationales, régionales et autres mesures, y compris selon qu</w:t>
      </w:r>
      <w:r w:rsidR="00E964B4" w:rsidRPr="00FA6E69">
        <w:rPr>
          <w:rFonts w:eastAsia="Malgun Gothic" w:cs="Times New Roman"/>
          <w:kern w:val="22"/>
          <w:szCs w:val="22"/>
        </w:rPr>
        <w:t>’</w:t>
      </w:r>
      <w:r w:rsidRPr="00FA6E69">
        <w:rPr>
          <w:rFonts w:eastAsia="Malgun Gothic" w:cs="Times New Roman"/>
          <w:kern w:val="22"/>
          <w:szCs w:val="22"/>
        </w:rPr>
        <w:t>il convient, des objectifs fixés conformément au Plan stratégique, afin que le Groupe de travail sur l</w:t>
      </w:r>
      <w:r w:rsidR="00E964B4" w:rsidRPr="00FA6E69">
        <w:rPr>
          <w:rFonts w:eastAsia="Malgun Gothic" w:cs="Times New Roman"/>
          <w:kern w:val="22"/>
          <w:szCs w:val="22"/>
        </w:rPr>
        <w:t>’</w:t>
      </w:r>
      <w:r w:rsidRPr="00FA6E69">
        <w:rPr>
          <w:rFonts w:eastAsia="Malgun Gothic" w:cs="Times New Roman"/>
          <w:kern w:val="22"/>
          <w:szCs w:val="22"/>
        </w:rPr>
        <w:t>examen de l</w:t>
      </w:r>
      <w:r w:rsidR="00E964B4" w:rsidRPr="00FA6E69">
        <w:rPr>
          <w:rFonts w:eastAsia="Malgun Gothic" w:cs="Times New Roman"/>
          <w:kern w:val="22"/>
          <w:szCs w:val="22"/>
        </w:rPr>
        <w:t>’</w:t>
      </w:r>
      <w:r w:rsidRPr="00FA6E69">
        <w:rPr>
          <w:rFonts w:eastAsia="Malgun Gothic" w:cs="Times New Roman"/>
          <w:kern w:val="22"/>
          <w:szCs w:val="22"/>
        </w:rPr>
        <w:t>application de la Convention, à sa quatrième réunion, et la Conférence des Parties, à sa onzième réunion et à ses réunions ultérieures, puissent évaluer la contribution de ces objectifs nationaux et régionaux aux objectifs mondiaux</w:t>
      </w:r>
      <w:r w:rsidR="00D706A4" w:rsidRPr="00FA6E69">
        <w:rPr>
          <w:rFonts w:eastAsia="Malgun Gothic" w:cs="Times New Roman"/>
          <w:kern w:val="22"/>
          <w:szCs w:val="22"/>
        </w:rPr>
        <w:t>.</w:t>
      </w:r>
    </w:p>
    <w:p w:rsidR="00B03DC5" w:rsidRPr="00FA6E69" w:rsidRDefault="00394A1A" w:rsidP="001C63DA">
      <w:pPr>
        <w:pStyle w:val="Para1"/>
        <w:numPr>
          <w:ilvl w:val="0"/>
          <w:numId w:val="13"/>
        </w:numPr>
        <w:suppressLineNumbers/>
        <w:tabs>
          <w:tab w:val="clear" w:pos="360"/>
        </w:tabs>
        <w:suppressAutoHyphens/>
        <w:rPr>
          <w:rFonts w:eastAsia="Malgun Gothic" w:cs="Times New Roman"/>
          <w:kern w:val="22"/>
          <w:szCs w:val="22"/>
        </w:rPr>
      </w:pPr>
      <w:r w:rsidRPr="00FA6E69">
        <w:rPr>
          <w:rFonts w:eastAsia="Malgun Gothic" w:cs="Times New Roman"/>
          <w:kern w:val="22"/>
          <w:szCs w:val="22"/>
        </w:rPr>
        <w:t xml:space="preserve">En réponse à cette </w:t>
      </w:r>
      <w:r w:rsidR="00CF354A" w:rsidRPr="00FA6E69">
        <w:rPr>
          <w:rFonts w:eastAsia="Malgun Gothic" w:cs="Times New Roman"/>
          <w:kern w:val="22"/>
          <w:szCs w:val="22"/>
        </w:rPr>
        <w:t>décision le</w:t>
      </w:r>
      <w:r w:rsidRPr="00FA6E69">
        <w:rPr>
          <w:rFonts w:eastAsia="Malgun Gothic" w:cs="Times New Roman"/>
          <w:kern w:val="22"/>
          <w:szCs w:val="22"/>
        </w:rPr>
        <w:t xml:space="preserve"> Secrétariat a, dans le présent document</w:t>
      </w:r>
      <w:r w:rsidR="006667A5" w:rsidRPr="00FA6E69">
        <w:rPr>
          <w:rFonts w:cs="Times New Roman"/>
          <w:kern w:val="22"/>
          <w:szCs w:val="22"/>
        </w:rPr>
        <w:t>,</w:t>
      </w:r>
      <w:r w:rsidR="006667A5" w:rsidRPr="00FA6E69">
        <w:rPr>
          <w:rStyle w:val="Refdenotaalpie"/>
          <w:rFonts w:eastAsia="Malgun Gothic" w:cs="Times New Roman"/>
          <w:kern w:val="22"/>
          <w:sz w:val="22"/>
          <w:szCs w:val="22"/>
          <w:vertAlign w:val="superscript"/>
        </w:rPr>
        <w:footnoteReference w:id="4"/>
      </w:r>
      <w:r w:rsidRPr="00FA6E69">
        <w:rPr>
          <w:rFonts w:eastAsia="Malgun Gothic" w:cs="Times New Roman"/>
          <w:kern w:val="22"/>
          <w:szCs w:val="22"/>
        </w:rPr>
        <w:t>, mis à jour l</w:t>
      </w:r>
      <w:r w:rsidR="00E964B4" w:rsidRPr="00FA6E69">
        <w:rPr>
          <w:rFonts w:eastAsia="Malgun Gothic" w:cs="Times New Roman"/>
          <w:kern w:val="22"/>
          <w:szCs w:val="22"/>
        </w:rPr>
        <w:t>’</w:t>
      </w:r>
      <w:r w:rsidRPr="00FA6E69">
        <w:rPr>
          <w:rFonts w:eastAsia="Malgun Gothic" w:cs="Times New Roman"/>
          <w:kern w:val="22"/>
          <w:szCs w:val="22"/>
        </w:rPr>
        <w:t>analyse de la contribution des objectifs établis par les Parties et des progrès accomplis dans la réalisation des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mis</w:t>
      </w:r>
      <w:r w:rsidR="005F425E" w:rsidRPr="00FA6E69">
        <w:rPr>
          <w:rFonts w:eastAsia="Malgun Gothic" w:cs="Times New Roman"/>
          <w:kern w:val="22"/>
          <w:szCs w:val="22"/>
        </w:rPr>
        <w:t>e</w:t>
      </w:r>
      <w:r w:rsidRPr="00FA6E69">
        <w:rPr>
          <w:rFonts w:eastAsia="Malgun Gothic" w:cs="Times New Roman"/>
          <w:kern w:val="22"/>
          <w:szCs w:val="22"/>
        </w:rPr>
        <w:t xml:space="preserve"> à la disposition </w:t>
      </w:r>
      <w:r w:rsidR="00433D34" w:rsidRPr="00FA6E69">
        <w:rPr>
          <w:rFonts w:eastAsia="Malgun Gothic" w:cs="Times New Roman"/>
          <w:kern w:val="22"/>
          <w:szCs w:val="22"/>
        </w:rPr>
        <w:t>de la Conférence des Parties à sa treizième réunion</w:t>
      </w:r>
      <w:r w:rsidR="006667A5" w:rsidRPr="00E440CD">
        <w:rPr>
          <w:rFonts w:eastAsia="Malgun Gothic"/>
        </w:rPr>
        <w:footnoteReference w:id="5"/>
      </w:r>
      <w:r w:rsidRPr="00FA6E69">
        <w:rPr>
          <w:rFonts w:eastAsia="Malgun Gothic" w:cs="Times New Roman"/>
          <w:kern w:val="22"/>
          <w:szCs w:val="22"/>
        </w:rPr>
        <w:t xml:space="preserve">. </w:t>
      </w:r>
      <w:r w:rsidR="00C73C04" w:rsidRPr="00FA6E69">
        <w:rPr>
          <w:rFonts w:eastAsia="Malgun Gothic" w:cs="Times New Roman"/>
          <w:kern w:val="22"/>
          <w:szCs w:val="22"/>
        </w:rPr>
        <w:t>Il complète un document émis pour</w:t>
      </w:r>
      <w:r w:rsidR="00C73C04" w:rsidRPr="00E440CD">
        <w:rPr>
          <w:rFonts w:eastAsia="Malgun Gothic" w:cs="Times New Roman"/>
          <w:kern w:val="22"/>
          <w:szCs w:val="22"/>
        </w:rPr>
        <w:t xml:space="preserve"> l'Organe subsidiaire chargé de fournir des avis scientifiques, techniques et technologiques sur une évaluation scientifique récente des progrès faits dans la réalisation des objectifs d’Aichi et des options pour les accélérer,</w:t>
      </w:r>
      <w:r w:rsidR="00C73C04" w:rsidRPr="00E440CD">
        <w:rPr>
          <w:rFonts w:eastAsia="Malgun Gothic"/>
        </w:rPr>
        <w:footnoteReference w:id="6"/>
      </w:r>
      <w:r w:rsidR="00C73C04" w:rsidRPr="00FA6E69">
        <w:rPr>
          <w:rFonts w:eastAsia="Malgun Gothic" w:cs="Times New Roman"/>
          <w:kern w:val="22"/>
          <w:szCs w:val="22"/>
        </w:rPr>
        <w:t xml:space="preserve"> </w:t>
      </w:r>
      <w:r w:rsidR="006667A5" w:rsidRPr="00FA6E69">
        <w:rPr>
          <w:rFonts w:eastAsia="Malgun Gothic" w:cs="Times New Roman"/>
          <w:kern w:val="22"/>
          <w:szCs w:val="22"/>
        </w:rPr>
        <w:t>qui met l’accent sur les preuves de progrès démontrées</w:t>
      </w:r>
      <w:r w:rsidR="00C73C04" w:rsidRPr="00E440CD">
        <w:rPr>
          <w:rFonts w:eastAsia="Malgun Gothic" w:cs="Times New Roman"/>
          <w:kern w:val="22"/>
          <w:szCs w:val="22"/>
        </w:rPr>
        <w:t xml:space="preserve"> </w:t>
      </w:r>
      <w:r w:rsidR="006667A5" w:rsidRPr="00E440CD">
        <w:rPr>
          <w:rFonts w:eastAsia="Malgun Gothic" w:cs="Times New Roman"/>
          <w:kern w:val="22"/>
          <w:szCs w:val="22"/>
        </w:rPr>
        <w:t>par les documents scientifiques et les indicateurs pertinents.</w:t>
      </w:r>
    </w:p>
    <w:p w:rsidR="00D706A4" w:rsidRPr="00FA6E69" w:rsidRDefault="00394A1A" w:rsidP="00297BEE">
      <w:pPr>
        <w:numPr>
          <w:ilvl w:val="0"/>
          <w:numId w:val="61"/>
        </w:numPr>
        <w:suppressLineNumbers/>
        <w:suppressAutoHyphens/>
        <w:spacing w:before="120" w:after="120"/>
        <w:ind w:left="1077"/>
        <w:jc w:val="center"/>
        <w:rPr>
          <w:rFonts w:cs="Times New Roman"/>
          <w:b/>
          <w:bCs/>
        </w:rPr>
      </w:pPr>
      <w:r w:rsidRPr="00FA6E69">
        <w:rPr>
          <w:rFonts w:cs="Times New Roman"/>
          <w:b/>
          <w:bCs/>
          <w:szCs w:val="22"/>
        </w:rPr>
        <w:t>MÉTHODOLOGIE</w:t>
      </w:r>
    </w:p>
    <w:p w:rsidR="00D706A4" w:rsidRPr="00FA6E69" w:rsidRDefault="00101DC5" w:rsidP="00F637F5">
      <w:pPr>
        <w:suppressLineNumbers/>
        <w:suppressAutoHyphens/>
        <w:spacing w:after="120"/>
        <w:jc w:val="center"/>
        <w:rPr>
          <w:rFonts w:cs="Times New Roman"/>
          <w:b/>
          <w:bCs/>
          <w:snapToGrid w:val="0"/>
          <w:kern w:val="22"/>
          <w:szCs w:val="22"/>
        </w:rPr>
      </w:pPr>
      <w:r w:rsidRPr="00FA6E69">
        <w:rPr>
          <w:rFonts w:cs="Times New Roman"/>
          <w:b/>
          <w:bCs/>
          <w:snapToGrid w:val="0"/>
          <w:kern w:val="22"/>
          <w:szCs w:val="22"/>
        </w:rPr>
        <w:t>A.</w:t>
      </w:r>
      <w:r w:rsidRPr="00FA6E69">
        <w:rPr>
          <w:rFonts w:cs="Times New Roman"/>
          <w:b/>
          <w:bCs/>
          <w:snapToGrid w:val="0"/>
          <w:kern w:val="22"/>
          <w:szCs w:val="22"/>
        </w:rPr>
        <w:tab/>
      </w:r>
      <w:r w:rsidR="00F637F5" w:rsidRPr="00FA6E69">
        <w:rPr>
          <w:rFonts w:cs="Times New Roman"/>
          <w:b/>
          <w:bCs/>
          <w:snapToGrid w:val="0"/>
          <w:kern w:val="22"/>
          <w:szCs w:val="22"/>
        </w:rPr>
        <w:t>Stratégies et plans d</w:t>
      </w:r>
      <w:r w:rsidR="00E964B4" w:rsidRPr="00FA6E69">
        <w:rPr>
          <w:rFonts w:cs="Times New Roman"/>
          <w:b/>
          <w:bCs/>
          <w:snapToGrid w:val="0"/>
          <w:kern w:val="22"/>
          <w:szCs w:val="22"/>
        </w:rPr>
        <w:t>’</w:t>
      </w:r>
      <w:r w:rsidR="00F637F5" w:rsidRPr="00FA6E69">
        <w:rPr>
          <w:rFonts w:cs="Times New Roman"/>
          <w:b/>
          <w:bCs/>
          <w:snapToGrid w:val="0"/>
          <w:kern w:val="22"/>
          <w:szCs w:val="22"/>
        </w:rPr>
        <w:t>action nationaux pour la biodiversité</w:t>
      </w:r>
    </w:p>
    <w:p w:rsidR="00D706A4" w:rsidRPr="00FA6E69" w:rsidRDefault="00C16BC3" w:rsidP="00C9500A">
      <w:pPr>
        <w:pStyle w:val="Para1"/>
        <w:numPr>
          <w:ilvl w:val="0"/>
          <w:numId w:val="13"/>
        </w:numPr>
        <w:suppressLineNumbers/>
        <w:tabs>
          <w:tab w:val="clear" w:pos="360"/>
        </w:tabs>
        <w:suppressAutoHyphens/>
        <w:rPr>
          <w:rFonts w:eastAsia="Malgun Gothic" w:cs="Times New Roman"/>
          <w:kern w:val="22"/>
          <w:szCs w:val="22"/>
        </w:rPr>
      </w:pPr>
      <w:r w:rsidRPr="00FA6E69">
        <w:rPr>
          <w:rFonts w:eastAsia="Malgun Gothic" w:cs="Times New Roman"/>
          <w:kern w:val="22"/>
          <w:szCs w:val="22"/>
        </w:rPr>
        <w:t>Au total, 1</w:t>
      </w:r>
      <w:r w:rsidR="00E73A9F" w:rsidRPr="00FA6E69">
        <w:rPr>
          <w:rFonts w:eastAsia="Malgun Gothic" w:cs="Times New Roman"/>
          <w:kern w:val="22"/>
          <w:szCs w:val="22"/>
        </w:rPr>
        <w:t>54</w:t>
      </w:r>
      <w:r w:rsidR="00C108D9" w:rsidRPr="00FA6E69">
        <w:rPr>
          <w:rFonts w:eastAsia="Malgun Gothic" w:cs="Times New Roman"/>
          <w:kern w:val="22"/>
          <w:szCs w:val="22"/>
        </w:rPr>
        <w:t> SPANB révisés ou actualisés ont été pris en considération dans le cadre de cette évaluation.</w:t>
      </w:r>
      <w:r w:rsidR="00C108D9" w:rsidRPr="00FA6E69">
        <w:rPr>
          <w:rFonts w:eastAsia="Malgun Gothic" w:cs="Times New Roman"/>
          <w:kern w:val="22"/>
          <w:szCs w:val="22"/>
          <w:vertAlign w:val="superscript"/>
        </w:rPr>
        <w:footnoteReference w:id="7"/>
      </w:r>
      <w:r w:rsidR="00C108D9" w:rsidRPr="00FA6E69">
        <w:rPr>
          <w:rFonts w:eastAsia="Malgun Gothic" w:cs="Times New Roman"/>
          <w:kern w:val="22"/>
          <w:szCs w:val="22"/>
        </w:rPr>
        <w:t xml:space="preserve"> Ont été pris en compte les SPANB des pays suivants : Afghanistan, </w:t>
      </w:r>
      <w:r w:rsidR="004A50C7" w:rsidRPr="00FA6E69">
        <w:rPr>
          <w:rFonts w:eastAsia="Malgun Gothic" w:cs="Times New Roman"/>
          <w:kern w:val="22"/>
          <w:szCs w:val="22"/>
        </w:rPr>
        <w:t xml:space="preserve">Afrique du Sud, </w:t>
      </w:r>
      <w:r w:rsidR="00C108D9" w:rsidRPr="00FA6E69">
        <w:rPr>
          <w:rFonts w:eastAsia="Malgun Gothic" w:cs="Times New Roman"/>
          <w:kern w:val="22"/>
          <w:szCs w:val="22"/>
        </w:rPr>
        <w:t>Albanie,</w:t>
      </w:r>
      <w:r w:rsidR="008710C0" w:rsidRPr="00FA6E69">
        <w:rPr>
          <w:rFonts w:eastAsia="Malgun Gothic" w:cs="Times New Roman"/>
          <w:kern w:val="22"/>
          <w:szCs w:val="22"/>
        </w:rPr>
        <w:t xml:space="preserve"> </w:t>
      </w:r>
      <w:r w:rsidR="00E73A9F" w:rsidRPr="00FA6E69">
        <w:rPr>
          <w:rFonts w:eastAsia="Malgun Gothic" w:cs="Times New Roman"/>
          <w:kern w:val="22"/>
          <w:szCs w:val="22"/>
        </w:rPr>
        <w:t xml:space="preserve">Algérie, Andorre, </w:t>
      </w:r>
      <w:r w:rsidR="008710C0" w:rsidRPr="00FA6E69">
        <w:rPr>
          <w:rFonts w:eastAsia="Malgun Gothic" w:cs="Times New Roman"/>
          <w:kern w:val="22"/>
          <w:szCs w:val="22"/>
        </w:rPr>
        <w:t>Allemagne, Antigua</w:t>
      </w:r>
      <w:r w:rsidR="009F23B8" w:rsidRPr="00FA6E69">
        <w:rPr>
          <w:rFonts w:eastAsia="Malgun Gothic" w:cs="Times New Roman"/>
          <w:kern w:val="22"/>
          <w:szCs w:val="22"/>
        </w:rPr>
        <w:noBreakHyphen/>
      </w:r>
      <w:r w:rsidR="008710C0" w:rsidRPr="00FA6E69">
        <w:rPr>
          <w:rFonts w:eastAsia="Malgun Gothic" w:cs="Times New Roman"/>
          <w:kern w:val="22"/>
          <w:szCs w:val="22"/>
        </w:rPr>
        <w:t>et</w:t>
      </w:r>
      <w:r w:rsidR="009F23B8" w:rsidRPr="00FA6E69">
        <w:rPr>
          <w:rFonts w:eastAsia="Malgun Gothic" w:cs="Times New Roman"/>
          <w:kern w:val="22"/>
          <w:szCs w:val="22"/>
        </w:rPr>
        <w:noBreakHyphen/>
      </w:r>
      <w:r w:rsidR="008710C0" w:rsidRPr="00FA6E69">
        <w:rPr>
          <w:rFonts w:eastAsia="Malgun Gothic" w:cs="Times New Roman"/>
          <w:kern w:val="22"/>
          <w:szCs w:val="22"/>
        </w:rPr>
        <w:t xml:space="preserve">Barbuda, </w:t>
      </w:r>
      <w:r w:rsidR="00E73A9F" w:rsidRPr="00FA6E69">
        <w:rPr>
          <w:rFonts w:eastAsia="Malgun Gothic" w:cs="Times New Roman"/>
          <w:kern w:val="22"/>
          <w:szCs w:val="22"/>
        </w:rPr>
        <w:t xml:space="preserve">Argentine, </w:t>
      </w:r>
      <w:r w:rsidR="00C108D9" w:rsidRPr="00FA6E69">
        <w:rPr>
          <w:rFonts w:eastAsia="Malgun Gothic" w:cs="Times New Roman"/>
          <w:kern w:val="22"/>
          <w:szCs w:val="22"/>
        </w:rPr>
        <w:t xml:space="preserve">Arménie, Australie, Autriche, </w:t>
      </w:r>
      <w:r w:rsidR="00ED1732" w:rsidRPr="00E440CD">
        <w:rPr>
          <w:rFonts w:eastAsia="Malgun Gothic" w:cs="Times New Roman"/>
          <w:kern w:val="22"/>
          <w:szCs w:val="22"/>
        </w:rPr>
        <w:t xml:space="preserve">Azerbaïdjan, </w:t>
      </w:r>
      <w:r w:rsidR="00C108D9" w:rsidRPr="00FA6E69">
        <w:rPr>
          <w:rFonts w:eastAsia="Malgun Gothic" w:cs="Times New Roman"/>
          <w:kern w:val="22"/>
          <w:szCs w:val="22"/>
        </w:rPr>
        <w:t xml:space="preserve">Bahreïn, </w:t>
      </w:r>
      <w:r w:rsidR="00ED1732" w:rsidRPr="00FA6E69">
        <w:rPr>
          <w:rFonts w:eastAsia="Malgun Gothic" w:cs="Times New Roman"/>
          <w:kern w:val="22"/>
          <w:szCs w:val="22"/>
        </w:rPr>
        <w:t xml:space="preserve">Bangladesh, </w:t>
      </w:r>
      <w:r w:rsidR="00FA6E69" w:rsidRPr="00FA6E69">
        <w:rPr>
          <w:rFonts w:eastAsia="Malgun Gothic" w:cs="Times New Roman"/>
          <w:kern w:val="22"/>
          <w:szCs w:val="22"/>
        </w:rPr>
        <w:t>Belarus</w:t>
      </w:r>
      <w:r w:rsidR="00C108D9" w:rsidRPr="00FA6E69">
        <w:rPr>
          <w:rFonts w:eastAsia="Malgun Gothic" w:cs="Times New Roman"/>
          <w:kern w:val="22"/>
          <w:szCs w:val="22"/>
        </w:rPr>
        <w:t xml:space="preserve">, Belgique, </w:t>
      </w:r>
      <w:r w:rsidR="00CF354A" w:rsidRPr="00FA6E69">
        <w:rPr>
          <w:rFonts w:eastAsia="Malgun Gothic" w:cs="Times New Roman"/>
          <w:kern w:val="22"/>
          <w:szCs w:val="22"/>
        </w:rPr>
        <w:t>Belize</w:t>
      </w:r>
      <w:r w:rsidR="00ED1732" w:rsidRPr="00FA6E69">
        <w:rPr>
          <w:rFonts w:eastAsia="Malgun Gothic" w:cs="Times New Roman"/>
          <w:kern w:val="22"/>
          <w:szCs w:val="22"/>
        </w:rPr>
        <w:t xml:space="preserve">, </w:t>
      </w:r>
      <w:r w:rsidR="00CF354A" w:rsidRPr="00FA6E69">
        <w:rPr>
          <w:rFonts w:eastAsia="Malgun Gothic" w:cs="Times New Roman"/>
          <w:kern w:val="22"/>
          <w:szCs w:val="22"/>
        </w:rPr>
        <w:t>Bénin, Bhoutan</w:t>
      </w:r>
      <w:r w:rsidR="00C108D9" w:rsidRPr="00FA6E69">
        <w:rPr>
          <w:rFonts w:eastAsia="Malgun Gothic" w:cs="Times New Roman"/>
          <w:kern w:val="22"/>
          <w:szCs w:val="22"/>
        </w:rPr>
        <w:t>, Bosnie</w:t>
      </w:r>
      <w:r w:rsidR="009F23B8" w:rsidRPr="00FA6E69">
        <w:rPr>
          <w:rFonts w:eastAsia="Malgun Gothic" w:cs="Times New Roman"/>
          <w:kern w:val="22"/>
          <w:szCs w:val="22"/>
        </w:rPr>
        <w:noBreakHyphen/>
      </w:r>
      <w:r w:rsidR="00C108D9" w:rsidRPr="00FA6E69">
        <w:rPr>
          <w:rFonts w:eastAsia="Malgun Gothic" w:cs="Times New Roman"/>
          <w:kern w:val="22"/>
          <w:szCs w:val="22"/>
        </w:rPr>
        <w:t xml:space="preserve">Herzégovine, Botswana, </w:t>
      </w:r>
      <w:r w:rsidR="00E07AA0" w:rsidRPr="00FA6E69">
        <w:rPr>
          <w:rFonts w:eastAsia="Malgun Gothic" w:cs="Times New Roman"/>
          <w:kern w:val="22"/>
          <w:szCs w:val="22"/>
        </w:rPr>
        <w:t xml:space="preserve">Brésil, </w:t>
      </w:r>
      <w:r w:rsidR="00C108D9" w:rsidRPr="00FA6E69">
        <w:rPr>
          <w:rFonts w:eastAsia="Malgun Gothic" w:cs="Times New Roman"/>
          <w:kern w:val="22"/>
          <w:szCs w:val="22"/>
        </w:rPr>
        <w:t>Burkina Faso, Burundi,</w:t>
      </w:r>
      <w:r w:rsidR="00E07AA0" w:rsidRPr="00FA6E69">
        <w:rPr>
          <w:rFonts w:eastAsia="Malgun Gothic" w:cs="Times New Roman"/>
          <w:kern w:val="22"/>
          <w:szCs w:val="22"/>
        </w:rPr>
        <w:t xml:space="preserve"> </w:t>
      </w:r>
      <w:r w:rsidR="00FA6E69" w:rsidRPr="00FA6E69">
        <w:rPr>
          <w:rFonts w:eastAsia="Malgun Gothic" w:cs="Times New Roman"/>
          <w:kern w:val="22"/>
          <w:szCs w:val="22"/>
        </w:rPr>
        <w:t>Brunei</w:t>
      </w:r>
      <w:r w:rsidR="00F35B98" w:rsidRPr="00FA6E69">
        <w:rPr>
          <w:rFonts w:eastAsia="Malgun Gothic" w:cs="Times New Roman"/>
          <w:kern w:val="22"/>
          <w:szCs w:val="22"/>
        </w:rPr>
        <w:t> </w:t>
      </w:r>
      <w:r w:rsidR="00E07AA0" w:rsidRPr="00FA6E69">
        <w:rPr>
          <w:rFonts w:eastAsia="Malgun Gothic" w:cs="Times New Roman"/>
          <w:kern w:val="22"/>
          <w:szCs w:val="22"/>
        </w:rPr>
        <w:t>Darussalam,</w:t>
      </w:r>
      <w:r w:rsidR="00C108D9" w:rsidRPr="00FA6E69">
        <w:rPr>
          <w:rFonts w:eastAsia="Malgun Gothic" w:cs="Times New Roman"/>
          <w:kern w:val="22"/>
          <w:szCs w:val="22"/>
        </w:rPr>
        <w:t xml:space="preserve"> </w:t>
      </w:r>
      <w:r w:rsidR="00F35B98" w:rsidRPr="00FA6E69">
        <w:rPr>
          <w:rFonts w:eastAsia="Malgun Gothic" w:cs="Times New Roman"/>
          <w:kern w:val="22"/>
          <w:szCs w:val="22"/>
        </w:rPr>
        <w:t xml:space="preserve">Cabo Verde, </w:t>
      </w:r>
      <w:r w:rsidR="00C108D9" w:rsidRPr="00FA6E69">
        <w:rPr>
          <w:rFonts w:eastAsia="Malgun Gothic" w:cs="Times New Roman"/>
          <w:kern w:val="22"/>
          <w:szCs w:val="22"/>
        </w:rPr>
        <w:t xml:space="preserve">Cambodge, Cameroun, </w:t>
      </w:r>
      <w:r w:rsidR="00F35B98" w:rsidRPr="00FA6E69">
        <w:rPr>
          <w:rFonts w:eastAsia="Malgun Gothic" w:cs="Times New Roman"/>
          <w:kern w:val="22"/>
          <w:szCs w:val="22"/>
        </w:rPr>
        <w:t xml:space="preserve">Canada, </w:t>
      </w:r>
      <w:r w:rsidR="00ED1732" w:rsidRPr="00FA6E69">
        <w:rPr>
          <w:rFonts w:eastAsia="Malgun Gothic" w:cs="Times New Roman"/>
          <w:kern w:val="22"/>
          <w:szCs w:val="22"/>
        </w:rPr>
        <w:t xml:space="preserve">Chili, </w:t>
      </w:r>
      <w:r w:rsidR="008710C0" w:rsidRPr="00FA6E69">
        <w:rPr>
          <w:rFonts w:eastAsia="Malgun Gothic" w:cs="Times New Roman"/>
          <w:kern w:val="22"/>
          <w:szCs w:val="22"/>
        </w:rPr>
        <w:t xml:space="preserve">Chine, Colombie, </w:t>
      </w:r>
      <w:r w:rsidR="00F35B98" w:rsidRPr="00FA6E69">
        <w:rPr>
          <w:rFonts w:eastAsia="Malgun Gothic" w:cs="Times New Roman"/>
          <w:kern w:val="22"/>
          <w:szCs w:val="22"/>
        </w:rPr>
        <w:t xml:space="preserve">Comores, </w:t>
      </w:r>
      <w:r w:rsidR="008710C0" w:rsidRPr="00FA6E69">
        <w:rPr>
          <w:rFonts w:eastAsia="Malgun Gothic" w:cs="Times New Roman"/>
          <w:kern w:val="22"/>
          <w:szCs w:val="22"/>
        </w:rPr>
        <w:t xml:space="preserve">Congo, </w:t>
      </w:r>
      <w:r w:rsidR="00ED1732" w:rsidRPr="00FA6E69">
        <w:rPr>
          <w:rFonts w:eastAsia="Malgun Gothic" w:cs="Times New Roman"/>
          <w:kern w:val="22"/>
          <w:szCs w:val="22"/>
        </w:rPr>
        <w:t xml:space="preserve">Costa Rica, </w:t>
      </w:r>
      <w:r w:rsidR="008710C0" w:rsidRPr="00FA6E69">
        <w:rPr>
          <w:rFonts w:eastAsia="Malgun Gothic" w:cs="Times New Roman"/>
          <w:kern w:val="22"/>
          <w:szCs w:val="22"/>
        </w:rPr>
        <w:t>Côte </w:t>
      </w:r>
      <w:r w:rsidR="00C108D9" w:rsidRPr="00FA6E69">
        <w:rPr>
          <w:rFonts w:eastAsia="Malgun Gothic" w:cs="Times New Roman"/>
          <w:kern w:val="22"/>
          <w:szCs w:val="22"/>
        </w:rPr>
        <w:t>d</w:t>
      </w:r>
      <w:r w:rsidR="00E964B4" w:rsidRPr="00FA6E69">
        <w:rPr>
          <w:rFonts w:eastAsia="Malgun Gothic" w:cs="Times New Roman"/>
          <w:kern w:val="22"/>
          <w:szCs w:val="22"/>
        </w:rPr>
        <w:t>’</w:t>
      </w:r>
      <w:r w:rsidR="00C108D9" w:rsidRPr="00FA6E69">
        <w:rPr>
          <w:rFonts w:eastAsia="Malgun Gothic" w:cs="Times New Roman"/>
          <w:kern w:val="22"/>
          <w:szCs w:val="22"/>
        </w:rPr>
        <w:t xml:space="preserve">Ivoire, </w:t>
      </w:r>
      <w:r w:rsidR="00F35B98" w:rsidRPr="00FA6E69">
        <w:rPr>
          <w:rFonts w:eastAsia="Malgun Gothic" w:cs="Times New Roman"/>
          <w:kern w:val="22"/>
          <w:szCs w:val="22"/>
        </w:rPr>
        <w:t xml:space="preserve">Cuba, </w:t>
      </w:r>
      <w:r w:rsidR="00C108D9" w:rsidRPr="00FA6E69">
        <w:rPr>
          <w:rFonts w:eastAsia="Malgun Gothic" w:cs="Times New Roman"/>
          <w:kern w:val="22"/>
          <w:szCs w:val="22"/>
        </w:rPr>
        <w:t xml:space="preserve">Danemark, </w:t>
      </w:r>
      <w:r w:rsidR="00ED1732" w:rsidRPr="00FA6E69">
        <w:rPr>
          <w:rFonts w:eastAsia="Malgun Gothic" w:cs="Times New Roman"/>
          <w:kern w:val="22"/>
          <w:szCs w:val="22"/>
        </w:rPr>
        <w:t xml:space="preserve">Djibouti, </w:t>
      </w:r>
      <w:r w:rsidR="00C108D9" w:rsidRPr="00FA6E69">
        <w:rPr>
          <w:rFonts w:eastAsia="Malgun Gothic" w:cs="Times New Roman"/>
          <w:kern w:val="22"/>
          <w:szCs w:val="22"/>
        </w:rPr>
        <w:t xml:space="preserve">Dominique, </w:t>
      </w:r>
      <w:r w:rsidR="00ED1732" w:rsidRPr="00FA6E69">
        <w:rPr>
          <w:rFonts w:eastAsia="Malgun Gothic" w:cs="Times New Roman"/>
          <w:kern w:val="22"/>
          <w:szCs w:val="22"/>
        </w:rPr>
        <w:t xml:space="preserve">Équateur, </w:t>
      </w:r>
      <w:r w:rsidR="008710C0" w:rsidRPr="00FA6E69">
        <w:rPr>
          <w:rFonts w:eastAsia="Malgun Gothic" w:cs="Times New Roman"/>
          <w:kern w:val="22"/>
          <w:szCs w:val="22"/>
        </w:rPr>
        <w:t xml:space="preserve">Égypte, </w:t>
      </w:r>
      <w:r w:rsidR="00C108D9" w:rsidRPr="00FA6E69">
        <w:rPr>
          <w:rFonts w:eastAsia="Malgun Gothic" w:cs="Times New Roman"/>
          <w:kern w:val="22"/>
          <w:szCs w:val="22"/>
        </w:rPr>
        <w:t>El Salvador, Émirats arabes unis, Érythrée, Espagne, Estonie,</w:t>
      </w:r>
      <w:r w:rsidR="008710C0" w:rsidRPr="00FA6E69">
        <w:rPr>
          <w:rFonts w:eastAsia="Malgun Gothic" w:cs="Times New Roman"/>
          <w:kern w:val="22"/>
          <w:szCs w:val="22"/>
        </w:rPr>
        <w:t xml:space="preserve"> Éthiopie,</w:t>
      </w:r>
      <w:r w:rsidR="00C108D9" w:rsidRPr="00FA6E69">
        <w:rPr>
          <w:rFonts w:eastAsia="Malgun Gothic" w:cs="Times New Roman"/>
          <w:kern w:val="22"/>
          <w:szCs w:val="22"/>
        </w:rPr>
        <w:t xml:space="preserve"> </w:t>
      </w:r>
      <w:r w:rsidR="00243A6F" w:rsidRPr="00FA6E69">
        <w:rPr>
          <w:rFonts w:eastAsia="Malgun Gothic" w:cs="Times New Roman"/>
          <w:kern w:val="22"/>
          <w:szCs w:val="22"/>
        </w:rPr>
        <w:t xml:space="preserve">Fédération de Russie, </w:t>
      </w:r>
      <w:r w:rsidR="00C108D9" w:rsidRPr="00FA6E69">
        <w:rPr>
          <w:rFonts w:eastAsia="Malgun Gothic" w:cs="Times New Roman"/>
          <w:kern w:val="22"/>
          <w:szCs w:val="22"/>
        </w:rPr>
        <w:t xml:space="preserve">Finlande, France, Gambie, Géorgie, </w:t>
      </w:r>
      <w:r w:rsidR="00ED1732" w:rsidRPr="00FA6E69">
        <w:rPr>
          <w:rFonts w:eastAsia="Malgun Gothic" w:cs="Times New Roman"/>
          <w:kern w:val="22"/>
          <w:szCs w:val="22"/>
        </w:rPr>
        <w:t xml:space="preserve">Ghana, </w:t>
      </w:r>
      <w:r w:rsidR="00C108D9" w:rsidRPr="00FA6E69">
        <w:rPr>
          <w:rFonts w:eastAsia="Malgun Gothic" w:cs="Times New Roman"/>
          <w:kern w:val="22"/>
          <w:szCs w:val="22"/>
        </w:rPr>
        <w:t xml:space="preserve">Grèce, </w:t>
      </w:r>
      <w:r w:rsidR="00F35B98" w:rsidRPr="00FA6E69">
        <w:rPr>
          <w:rFonts w:eastAsia="Malgun Gothic" w:cs="Times New Roman"/>
          <w:kern w:val="22"/>
          <w:szCs w:val="22"/>
        </w:rPr>
        <w:t xml:space="preserve">Grenade, </w:t>
      </w:r>
      <w:r w:rsidR="00C108D9" w:rsidRPr="00FA6E69">
        <w:rPr>
          <w:rFonts w:eastAsia="Malgun Gothic" w:cs="Times New Roman"/>
          <w:kern w:val="22"/>
          <w:szCs w:val="22"/>
        </w:rPr>
        <w:t>Guatemala,</w:t>
      </w:r>
      <w:r w:rsidR="00F35B98" w:rsidRPr="00FA6E69">
        <w:rPr>
          <w:rFonts w:eastAsia="Malgun Gothic" w:cs="Times New Roman"/>
          <w:kern w:val="22"/>
          <w:szCs w:val="22"/>
        </w:rPr>
        <w:t xml:space="preserve"> Guinée,</w:t>
      </w:r>
      <w:r w:rsidR="00C108D9" w:rsidRPr="00FA6E69">
        <w:rPr>
          <w:rFonts w:eastAsia="Malgun Gothic" w:cs="Times New Roman"/>
          <w:kern w:val="22"/>
          <w:szCs w:val="22"/>
        </w:rPr>
        <w:t xml:space="preserve"> </w:t>
      </w:r>
      <w:r w:rsidR="008710C0" w:rsidRPr="00FA6E69">
        <w:rPr>
          <w:rFonts w:eastAsia="Malgun Gothic" w:cs="Times New Roman"/>
          <w:kern w:val="22"/>
          <w:szCs w:val="22"/>
        </w:rPr>
        <w:t>Guinée</w:t>
      </w:r>
      <w:r w:rsidR="009F23B8" w:rsidRPr="00FA6E69">
        <w:rPr>
          <w:rFonts w:eastAsia="Malgun Gothic" w:cs="Times New Roman"/>
          <w:kern w:val="22"/>
          <w:szCs w:val="22"/>
        </w:rPr>
        <w:noBreakHyphen/>
      </w:r>
      <w:r w:rsidR="008710C0" w:rsidRPr="00FA6E69">
        <w:rPr>
          <w:rFonts w:eastAsia="Malgun Gothic" w:cs="Times New Roman"/>
          <w:kern w:val="22"/>
          <w:szCs w:val="22"/>
        </w:rPr>
        <w:t xml:space="preserve">Bissau, </w:t>
      </w:r>
      <w:r w:rsidR="00C108D9" w:rsidRPr="00FA6E69">
        <w:rPr>
          <w:rFonts w:eastAsia="Malgun Gothic" w:cs="Times New Roman"/>
          <w:kern w:val="22"/>
          <w:szCs w:val="22"/>
        </w:rPr>
        <w:t xml:space="preserve">Guinée équatoriale, Guyana, </w:t>
      </w:r>
      <w:r w:rsidR="00ED1732" w:rsidRPr="00FA6E69">
        <w:rPr>
          <w:rFonts w:eastAsia="Malgun Gothic" w:cs="Times New Roman"/>
          <w:kern w:val="22"/>
          <w:szCs w:val="22"/>
        </w:rPr>
        <w:t xml:space="preserve">Honduras, </w:t>
      </w:r>
      <w:r w:rsidR="00C108D9" w:rsidRPr="00FA6E69">
        <w:rPr>
          <w:rFonts w:eastAsia="Malgun Gothic" w:cs="Times New Roman"/>
          <w:kern w:val="22"/>
          <w:szCs w:val="22"/>
        </w:rPr>
        <w:t>Hongrie,</w:t>
      </w:r>
      <w:r w:rsidR="008F6831" w:rsidRPr="00FA6E69">
        <w:rPr>
          <w:rFonts w:eastAsia="Malgun Gothic" w:cs="Times New Roman"/>
          <w:kern w:val="22"/>
          <w:szCs w:val="22"/>
        </w:rPr>
        <w:t xml:space="preserve"> Îles Salomon,</w:t>
      </w:r>
      <w:r w:rsidR="00C108D9" w:rsidRPr="00FA6E69">
        <w:rPr>
          <w:rFonts w:eastAsia="Malgun Gothic" w:cs="Times New Roman"/>
          <w:kern w:val="22"/>
          <w:szCs w:val="22"/>
        </w:rPr>
        <w:t xml:space="preserve"> Inde, </w:t>
      </w:r>
      <w:r w:rsidR="00ED1732" w:rsidRPr="00FA6E69">
        <w:rPr>
          <w:rFonts w:eastAsia="Malgun Gothic" w:cs="Times New Roman"/>
          <w:kern w:val="22"/>
          <w:szCs w:val="22"/>
        </w:rPr>
        <w:t xml:space="preserve">Indonésie, Iran, </w:t>
      </w:r>
      <w:r w:rsidR="008710C0" w:rsidRPr="00FA6E69">
        <w:rPr>
          <w:rFonts w:eastAsia="Malgun Gothic" w:cs="Times New Roman"/>
          <w:kern w:val="22"/>
          <w:szCs w:val="22"/>
        </w:rPr>
        <w:t xml:space="preserve">Iraq, </w:t>
      </w:r>
      <w:r w:rsidR="00C108D9" w:rsidRPr="00FA6E69">
        <w:rPr>
          <w:rFonts w:eastAsia="Malgun Gothic" w:cs="Times New Roman"/>
          <w:kern w:val="22"/>
          <w:szCs w:val="22"/>
        </w:rPr>
        <w:t xml:space="preserve">Irlande, Italie, </w:t>
      </w:r>
      <w:r w:rsidR="00ED1732" w:rsidRPr="00FA6E69">
        <w:rPr>
          <w:rFonts w:eastAsia="Malgun Gothic" w:cs="Times New Roman"/>
          <w:kern w:val="22"/>
          <w:szCs w:val="22"/>
        </w:rPr>
        <w:t>Jama</w:t>
      </w:r>
      <w:r w:rsidR="005F425E" w:rsidRPr="00FA6E69">
        <w:rPr>
          <w:rFonts w:eastAsia="Malgun Gothic" w:cs="Times New Roman"/>
          <w:kern w:val="22"/>
          <w:szCs w:val="22"/>
        </w:rPr>
        <w:t>ï</w:t>
      </w:r>
      <w:r w:rsidR="00ED1732" w:rsidRPr="00FA6E69">
        <w:rPr>
          <w:rFonts w:eastAsia="Malgun Gothic" w:cs="Times New Roman"/>
          <w:kern w:val="22"/>
          <w:szCs w:val="22"/>
        </w:rPr>
        <w:t xml:space="preserve">que, </w:t>
      </w:r>
      <w:r w:rsidR="00C108D9" w:rsidRPr="00FA6E69">
        <w:rPr>
          <w:rFonts w:eastAsia="Malgun Gothic" w:cs="Times New Roman"/>
          <w:kern w:val="22"/>
          <w:szCs w:val="22"/>
        </w:rPr>
        <w:t xml:space="preserve">Japon, Jordanie, </w:t>
      </w:r>
      <w:r w:rsidR="00ED1732" w:rsidRPr="00FA6E69">
        <w:rPr>
          <w:rFonts w:eastAsia="Malgun Gothic" w:cs="Times New Roman"/>
          <w:kern w:val="22"/>
          <w:szCs w:val="22"/>
        </w:rPr>
        <w:t xml:space="preserve">Kiribati, </w:t>
      </w:r>
      <w:r w:rsidR="00C108D9" w:rsidRPr="00FA6E69">
        <w:rPr>
          <w:rFonts w:eastAsia="Malgun Gothic" w:cs="Times New Roman"/>
          <w:kern w:val="22"/>
          <w:szCs w:val="22"/>
        </w:rPr>
        <w:t>Kirghizistan,</w:t>
      </w:r>
      <w:r w:rsidR="00ED1732" w:rsidRPr="00FA6E69">
        <w:rPr>
          <w:rFonts w:eastAsia="Malgun Gothic" w:cs="Times New Roman"/>
          <w:kern w:val="22"/>
          <w:szCs w:val="22"/>
        </w:rPr>
        <w:t xml:space="preserve"> </w:t>
      </w:r>
      <w:r w:rsidR="008710C0" w:rsidRPr="00FA6E69">
        <w:rPr>
          <w:rFonts w:eastAsia="Malgun Gothic" w:cs="Times New Roman"/>
          <w:kern w:val="22"/>
          <w:szCs w:val="22"/>
        </w:rPr>
        <w:t>Liban,</w:t>
      </w:r>
      <w:r w:rsidR="00C108D9" w:rsidRPr="00FA6E69">
        <w:rPr>
          <w:rFonts w:eastAsia="Malgun Gothic" w:cs="Times New Roman"/>
          <w:kern w:val="22"/>
          <w:szCs w:val="22"/>
        </w:rPr>
        <w:t xml:space="preserve"> </w:t>
      </w:r>
      <w:r w:rsidR="00ED1732" w:rsidRPr="00FA6E69">
        <w:rPr>
          <w:rFonts w:eastAsia="Malgun Gothic" w:cs="Times New Roman"/>
          <w:kern w:val="22"/>
          <w:szCs w:val="22"/>
        </w:rPr>
        <w:t xml:space="preserve">Liberia, </w:t>
      </w:r>
      <w:r w:rsidR="00C108D9" w:rsidRPr="00FA6E69">
        <w:rPr>
          <w:rFonts w:eastAsia="Malgun Gothic" w:cs="Times New Roman"/>
          <w:kern w:val="22"/>
          <w:szCs w:val="22"/>
        </w:rPr>
        <w:t>Liechtenstein,</w:t>
      </w:r>
      <w:r w:rsidR="008710C0" w:rsidRPr="00FA6E69">
        <w:rPr>
          <w:rFonts w:eastAsia="Malgun Gothic" w:cs="Times New Roman"/>
          <w:kern w:val="22"/>
          <w:szCs w:val="22"/>
        </w:rPr>
        <w:t xml:space="preserve"> </w:t>
      </w:r>
      <w:r w:rsidR="00ED1732" w:rsidRPr="00FA6E69">
        <w:rPr>
          <w:rFonts w:eastAsia="Malgun Gothic" w:cs="Times New Roman"/>
          <w:kern w:val="22"/>
          <w:szCs w:val="22"/>
        </w:rPr>
        <w:t xml:space="preserve">Lituanie, Luxembourg, </w:t>
      </w:r>
      <w:r w:rsidR="008710C0" w:rsidRPr="00FA6E69">
        <w:rPr>
          <w:rFonts w:eastAsia="Malgun Gothic" w:cs="Times New Roman"/>
          <w:kern w:val="22"/>
          <w:szCs w:val="22"/>
        </w:rPr>
        <w:t>Madagascar,</w:t>
      </w:r>
      <w:r w:rsidR="00C108D9" w:rsidRPr="00FA6E69">
        <w:rPr>
          <w:rFonts w:eastAsia="Malgun Gothic" w:cs="Times New Roman"/>
          <w:kern w:val="22"/>
          <w:szCs w:val="22"/>
        </w:rPr>
        <w:t xml:space="preserve"> Malawi, </w:t>
      </w:r>
      <w:r w:rsidR="008710C0" w:rsidRPr="00FA6E69">
        <w:rPr>
          <w:rFonts w:eastAsia="Malgun Gothic" w:cs="Times New Roman"/>
          <w:kern w:val="22"/>
          <w:szCs w:val="22"/>
        </w:rPr>
        <w:t xml:space="preserve">Malaisie, </w:t>
      </w:r>
      <w:r w:rsidR="00C108D9" w:rsidRPr="00FA6E69">
        <w:rPr>
          <w:rFonts w:eastAsia="Malgun Gothic" w:cs="Times New Roman"/>
          <w:kern w:val="22"/>
          <w:szCs w:val="22"/>
        </w:rPr>
        <w:t>Maldives, Mali, Malte,</w:t>
      </w:r>
      <w:r w:rsidR="008710C0" w:rsidRPr="00FA6E69">
        <w:rPr>
          <w:rFonts w:eastAsia="Malgun Gothic" w:cs="Times New Roman"/>
          <w:kern w:val="22"/>
          <w:szCs w:val="22"/>
        </w:rPr>
        <w:t xml:space="preserve"> Maroc,</w:t>
      </w:r>
      <w:r w:rsidR="00C108D9" w:rsidRPr="00FA6E69">
        <w:rPr>
          <w:rFonts w:eastAsia="Malgun Gothic" w:cs="Times New Roman"/>
          <w:kern w:val="22"/>
          <w:szCs w:val="22"/>
        </w:rPr>
        <w:t xml:space="preserve"> Mauritanie,</w:t>
      </w:r>
      <w:r w:rsidR="00F35B98" w:rsidRPr="00FA6E69">
        <w:rPr>
          <w:rFonts w:eastAsia="Malgun Gothic" w:cs="Times New Roman"/>
          <w:kern w:val="22"/>
          <w:szCs w:val="22"/>
        </w:rPr>
        <w:t xml:space="preserve"> </w:t>
      </w:r>
      <w:r w:rsidR="009B5FF5" w:rsidRPr="00FA6E69">
        <w:rPr>
          <w:rFonts w:eastAsia="Malgun Gothic" w:cs="Times New Roman"/>
          <w:kern w:val="22"/>
          <w:szCs w:val="22"/>
        </w:rPr>
        <w:t xml:space="preserve">Maurice, </w:t>
      </w:r>
      <w:r w:rsidR="00F35B98" w:rsidRPr="00FA6E69">
        <w:rPr>
          <w:rFonts w:eastAsia="Malgun Gothic" w:cs="Times New Roman"/>
          <w:kern w:val="22"/>
          <w:szCs w:val="22"/>
        </w:rPr>
        <w:t>Mexique,</w:t>
      </w:r>
      <w:r w:rsidR="00C108D9" w:rsidRPr="00FA6E69">
        <w:rPr>
          <w:rFonts w:eastAsia="Malgun Gothic" w:cs="Times New Roman"/>
          <w:kern w:val="22"/>
          <w:szCs w:val="22"/>
        </w:rPr>
        <w:t xml:space="preserve"> Mongolie,</w:t>
      </w:r>
      <w:r w:rsidR="008710C0" w:rsidRPr="00FA6E69">
        <w:rPr>
          <w:rFonts w:eastAsia="Malgun Gothic" w:cs="Times New Roman"/>
          <w:kern w:val="22"/>
          <w:szCs w:val="22"/>
        </w:rPr>
        <w:t xml:space="preserve"> </w:t>
      </w:r>
      <w:r w:rsidR="009B5FF5" w:rsidRPr="00FA6E69">
        <w:rPr>
          <w:rFonts w:eastAsia="Malgun Gothic" w:cs="Times New Roman"/>
          <w:kern w:val="22"/>
          <w:szCs w:val="22"/>
        </w:rPr>
        <w:t>Mont</w:t>
      </w:r>
      <w:r w:rsidR="005F425E" w:rsidRPr="00FA6E69">
        <w:rPr>
          <w:rFonts w:eastAsia="Malgun Gothic" w:cs="Times New Roman"/>
          <w:kern w:val="22"/>
          <w:szCs w:val="22"/>
        </w:rPr>
        <w:t>éné</w:t>
      </w:r>
      <w:r w:rsidR="009B5FF5" w:rsidRPr="00FA6E69">
        <w:rPr>
          <w:rFonts w:eastAsia="Malgun Gothic" w:cs="Times New Roman"/>
          <w:kern w:val="22"/>
          <w:szCs w:val="22"/>
        </w:rPr>
        <w:t xml:space="preserve">gro, </w:t>
      </w:r>
      <w:r w:rsidR="008710C0" w:rsidRPr="00FA6E69">
        <w:rPr>
          <w:rFonts w:eastAsia="Malgun Gothic" w:cs="Times New Roman"/>
          <w:kern w:val="22"/>
          <w:szCs w:val="22"/>
        </w:rPr>
        <w:t>Mozambique,</w:t>
      </w:r>
      <w:r w:rsidR="00C108D9" w:rsidRPr="00FA6E69">
        <w:rPr>
          <w:rFonts w:eastAsia="Malgun Gothic" w:cs="Times New Roman"/>
          <w:kern w:val="22"/>
          <w:szCs w:val="22"/>
        </w:rPr>
        <w:t xml:space="preserve"> Myanmar, Namibie,</w:t>
      </w:r>
      <w:r w:rsidR="00F35B98" w:rsidRPr="00FA6E69">
        <w:rPr>
          <w:rFonts w:eastAsia="Malgun Gothic" w:cs="Times New Roman"/>
          <w:kern w:val="22"/>
          <w:szCs w:val="22"/>
        </w:rPr>
        <w:t xml:space="preserve"> Nauru,</w:t>
      </w:r>
      <w:r w:rsidR="00C108D9" w:rsidRPr="00FA6E69">
        <w:rPr>
          <w:rFonts w:eastAsia="Malgun Gothic" w:cs="Times New Roman"/>
          <w:kern w:val="22"/>
          <w:szCs w:val="22"/>
        </w:rPr>
        <w:t xml:space="preserve"> Népal, </w:t>
      </w:r>
      <w:r w:rsidR="008710C0" w:rsidRPr="00FA6E69">
        <w:rPr>
          <w:rFonts w:eastAsia="Malgun Gothic" w:cs="Times New Roman"/>
          <w:kern w:val="22"/>
          <w:szCs w:val="22"/>
        </w:rPr>
        <w:t xml:space="preserve">Nicaragua, </w:t>
      </w:r>
      <w:r w:rsidR="00C108D9" w:rsidRPr="00FA6E69">
        <w:rPr>
          <w:rFonts w:eastAsia="Malgun Gothic" w:cs="Times New Roman"/>
          <w:kern w:val="22"/>
          <w:szCs w:val="22"/>
        </w:rPr>
        <w:t xml:space="preserve">Niger, Nigeria, Niue, </w:t>
      </w:r>
      <w:r w:rsidR="00CF3914" w:rsidRPr="00FA6E69">
        <w:rPr>
          <w:rFonts w:eastAsia="Malgun Gothic" w:cs="Times New Roman"/>
          <w:kern w:val="22"/>
          <w:szCs w:val="22"/>
        </w:rPr>
        <w:t>Norvège, Nouvelle</w:t>
      </w:r>
      <w:r w:rsidR="009F23B8" w:rsidRPr="00FA6E69">
        <w:rPr>
          <w:rFonts w:eastAsia="Malgun Gothic" w:cs="Times New Roman"/>
          <w:kern w:val="22"/>
          <w:szCs w:val="22"/>
        </w:rPr>
        <w:noBreakHyphen/>
      </w:r>
      <w:r w:rsidR="00CF3914" w:rsidRPr="00FA6E69">
        <w:rPr>
          <w:rFonts w:eastAsia="Malgun Gothic" w:cs="Times New Roman"/>
          <w:kern w:val="22"/>
          <w:szCs w:val="22"/>
        </w:rPr>
        <w:t xml:space="preserve">Zélande, </w:t>
      </w:r>
      <w:r w:rsidR="004A50C7" w:rsidRPr="00FA6E69">
        <w:rPr>
          <w:rFonts w:eastAsia="Malgun Gothic" w:cs="Times New Roman"/>
          <w:kern w:val="22"/>
          <w:szCs w:val="22"/>
        </w:rPr>
        <w:t xml:space="preserve">Ouganda, </w:t>
      </w:r>
      <w:r w:rsidR="009B5FF5" w:rsidRPr="00FA6E69">
        <w:rPr>
          <w:rFonts w:eastAsia="Malgun Gothic" w:cs="Times New Roman"/>
          <w:kern w:val="22"/>
          <w:szCs w:val="22"/>
        </w:rPr>
        <w:t xml:space="preserve">Paraguay, </w:t>
      </w:r>
      <w:r w:rsidR="00C108D9" w:rsidRPr="00FA6E69">
        <w:rPr>
          <w:rFonts w:eastAsia="Malgun Gothic" w:cs="Times New Roman"/>
          <w:kern w:val="22"/>
          <w:szCs w:val="22"/>
        </w:rPr>
        <w:t>Pays</w:t>
      </w:r>
      <w:r w:rsidR="009F23B8" w:rsidRPr="00FA6E69">
        <w:rPr>
          <w:rFonts w:eastAsia="Malgun Gothic" w:cs="Times New Roman"/>
          <w:kern w:val="22"/>
          <w:szCs w:val="22"/>
        </w:rPr>
        <w:noBreakHyphen/>
      </w:r>
      <w:r w:rsidR="00C108D9" w:rsidRPr="00FA6E69">
        <w:rPr>
          <w:rFonts w:eastAsia="Malgun Gothic" w:cs="Times New Roman"/>
          <w:kern w:val="22"/>
          <w:szCs w:val="22"/>
        </w:rPr>
        <w:t>Bas, Pérou,</w:t>
      </w:r>
      <w:r w:rsidR="008710C0" w:rsidRPr="00FA6E69">
        <w:rPr>
          <w:rFonts w:eastAsia="Malgun Gothic" w:cs="Times New Roman"/>
          <w:kern w:val="22"/>
          <w:szCs w:val="22"/>
        </w:rPr>
        <w:t xml:space="preserve"> </w:t>
      </w:r>
      <w:r w:rsidR="00243A6F" w:rsidRPr="00FA6E69">
        <w:rPr>
          <w:rFonts w:eastAsia="Malgun Gothic" w:cs="Times New Roman"/>
          <w:kern w:val="22"/>
          <w:szCs w:val="22"/>
        </w:rPr>
        <w:t xml:space="preserve">Philippines, </w:t>
      </w:r>
      <w:r w:rsidR="008710C0" w:rsidRPr="00FA6E69">
        <w:rPr>
          <w:rFonts w:eastAsia="Malgun Gothic" w:cs="Times New Roman"/>
          <w:kern w:val="22"/>
          <w:szCs w:val="22"/>
        </w:rPr>
        <w:t>Pologne, Qatar,</w:t>
      </w:r>
      <w:r w:rsidR="00C108D9" w:rsidRPr="00FA6E69">
        <w:rPr>
          <w:rFonts w:eastAsia="Malgun Gothic" w:cs="Times New Roman"/>
          <w:kern w:val="22"/>
          <w:szCs w:val="22"/>
        </w:rPr>
        <w:t xml:space="preserve"> République de Corée, République de Moldavie, </w:t>
      </w:r>
      <w:r w:rsidR="00F35B98" w:rsidRPr="00FA6E69">
        <w:rPr>
          <w:rFonts w:eastAsia="Malgun Gothic" w:cs="Times New Roman"/>
          <w:kern w:val="22"/>
          <w:szCs w:val="22"/>
        </w:rPr>
        <w:t xml:space="preserve">République démocratique du Congo, </w:t>
      </w:r>
      <w:r w:rsidR="008710C0" w:rsidRPr="00FA6E69">
        <w:rPr>
          <w:rStyle w:val="preferred"/>
          <w:rFonts w:cs="Times New Roman"/>
          <w:szCs w:val="22"/>
        </w:rPr>
        <w:t>République démocratique populaire lao</w:t>
      </w:r>
      <w:r w:rsidR="00F35B98" w:rsidRPr="00FA6E69">
        <w:rPr>
          <w:rStyle w:val="preferred"/>
          <w:rFonts w:cs="Times New Roman"/>
          <w:szCs w:val="22"/>
        </w:rPr>
        <w:t>,</w:t>
      </w:r>
      <w:r w:rsidR="008710C0" w:rsidRPr="00FA6E69">
        <w:rPr>
          <w:rFonts w:eastAsia="Malgun Gothic" w:cs="Times New Roman"/>
          <w:kern w:val="22"/>
          <w:szCs w:val="22"/>
        </w:rPr>
        <w:t xml:space="preserve"> </w:t>
      </w:r>
      <w:r w:rsidR="00C108D9" w:rsidRPr="00FA6E69">
        <w:rPr>
          <w:rFonts w:eastAsia="Malgun Gothic" w:cs="Times New Roman"/>
          <w:kern w:val="22"/>
          <w:szCs w:val="22"/>
        </w:rPr>
        <w:t xml:space="preserve">République dominicaine, République populaire démocratique de Corée, </w:t>
      </w:r>
      <w:r w:rsidR="00F35B98" w:rsidRPr="00FA6E69">
        <w:rPr>
          <w:rFonts w:eastAsia="Malgun Gothic" w:cs="Times New Roman"/>
          <w:kern w:val="22"/>
          <w:szCs w:val="22"/>
        </w:rPr>
        <w:t xml:space="preserve">République tchèque, </w:t>
      </w:r>
      <w:r w:rsidR="004A50C7" w:rsidRPr="00FA6E69">
        <w:rPr>
          <w:rFonts w:eastAsia="Malgun Gothic" w:cs="Times New Roman"/>
          <w:kern w:val="22"/>
          <w:szCs w:val="22"/>
        </w:rPr>
        <w:t xml:space="preserve">République unie de Tanzanie, </w:t>
      </w:r>
      <w:r w:rsidR="009B5FF5" w:rsidRPr="00FA6E69">
        <w:rPr>
          <w:rFonts w:eastAsia="Malgun Gothic" w:cs="Times New Roman"/>
          <w:kern w:val="22"/>
          <w:szCs w:val="22"/>
        </w:rPr>
        <w:t xml:space="preserve">Roumanie, Rwanda, </w:t>
      </w:r>
      <w:r w:rsidR="008710C0" w:rsidRPr="00FA6E69">
        <w:rPr>
          <w:rFonts w:cs="Times New Roman"/>
          <w:szCs w:val="22"/>
        </w:rPr>
        <w:t>Saint</w:t>
      </w:r>
      <w:r w:rsidR="009F23B8" w:rsidRPr="00FA6E69">
        <w:rPr>
          <w:rFonts w:cs="Times New Roman"/>
          <w:szCs w:val="22"/>
        </w:rPr>
        <w:noBreakHyphen/>
      </w:r>
      <w:r w:rsidR="008710C0" w:rsidRPr="00FA6E69">
        <w:rPr>
          <w:rFonts w:cs="Times New Roman"/>
          <w:szCs w:val="22"/>
        </w:rPr>
        <w:t>Kitts</w:t>
      </w:r>
      <w:r w:rsidR="009F23B8" w:rsidRPr="00FA6E69">
        <w:rPr>
          <w:rFonts w:cs="Times New Roman"/>
          <w:szCs w:val="22"/>
        </w:rPr>
        <w:noBreakHyphen/>
      </w:r>
      <w:r w:rsidR="008710C0" w:rsidRPr="00FA6E69">
        <w:rPr>
          <w:rFonts w:cs="Times New Roman"/>
          <w:szCs w:val="22"/>
        </w:rPr>
        <w:t>et</w:t>
      </w:r>
      <w:r w:rsidR="009F23B8" w:rsidRPr="00FA6E69">
        <w:rPr>
          <w:rFonts w:cs="Times New Roman"/>
          <w:szCs w:val="22"/>
        </w:rPr>
        <w:noBreakHyphen/>
      </w:r>
      <w:r w:rsidR="008710C0" w:rsidRPr="00FA6E69">
        <w:rPr>
          <w:rFonts w:cs="Times New Roman"/>
          <w:szCs w:val="22"/>
        </w:rPr>
        <w:t>Nevis</w:t>
      </w:r>
      <w:r w:rsidR="00C108D9" w:rsidRPr="00FA6E69">
        <w:rPr>
          <w:rFonts w:eastAsia="Malgun Gothic" w:cs="Times New Roman"/>
          <w:kern w:val="22"/>
          <w:szCs w:val="22"/>
        </w:rPr>
        <w:t xml:space="preserve">, </w:t>
      </w:r>
      <w:r w:rsidR="009B5FF5" w:rsidRPr="00FA6E69">
        <w:rPr>
          <w:rFonts w:eastAsia="Malgun Gothic" w:cs="Times New Roman"/>
          <w:kern w:val="22"/>
          <w:szCs w:val="22"/>
        </w:rPr>
        <w:t xml:space="preserve">Saint-Marin, </w:t>
      </w:r>
      <w:r w:rsidR="00380551" w:rsidRPr="00FA6E69">
        <w:rPr>
          <w:rFonts w:eastAsia="Malgun Gothic" w:cs="Times New Roman"/>
          <w:kern w:val="22"/>
          <w:szCs w:val="22"/>
        </w:rPr>
        <w:t xml:space="preserve">Samoa, </w:t>
      </w:r>
      <w:r w:rsidR="009B5FF5" w:rsidRPr="00FA6E69">
        <w:rPr>
          <w:rFonts w:eastAsia="Malgun Gothic" w:cs="Times New Roman"/>
          <w:kern w:val="22"/>
          <w:szCs w:val="22"/>
        </w:rPr>
        <w:t>Sao Tom</w:t>
      </w:r>
      <w:r w:rsidR="005F425E" w:rsidRPr="00FA6E69">
        <w:rPr>
          <w:rFonts w:eastAsia="Malgun Gothic" w:cs="Times New Roman"/>
          <w:kern w:val="22"/>
          <w:szCs w:val="22"/>
        </w:rPr>
        <w:t>é</w:t>
      </w:r>
      <w:r w:rsidR="009B5FF5" w:rsidRPr="00FA6E69">
        <w:rPr>
          <w:rFonts w:eastAsia="Malgun Gothic" w:cs="Times New Roman"/>
          <w:kern w:val="22"/>
          <w:szCs w:val="22"/>
        </w:rPr>
        <w:t xml:space="preserve"> et Principe, </w:t>
      </w:r>
      <w:r w:rsidR="00C108D9" w:rsidRPr="00FA6E69">
        <w:rPr>
          <w:rFonts w:eastAsia="Malgun Gothic" w:cs="Times New Roman"/>
          <w:kern w:val="22"/>
          <w:szCs w:val="22"/>
        </w:rPr>
        <w:t xml:space="preserve">Sénégal, Serbie, Seychelles, </w:t>
      </w:r>
      <w:r w:rsidR="009B5FF5" w:rsidRPr="00FA6E69">
        <w:rPr>
          <w:rFonts w:eastAsia="Malgun Gothic" w:cs="Times New Roman"/>
          <w:kern w:val="22"/>
          <w:szCs w:val="22"/>
        </w:rPr>
        <w:t xml:space="preserve">Sierra Leone, </w:t>
      </w:r>
      <w:r w:rsidR="00C108D9" w:rsidRPr="00FA6E69">
        <w:rPr>
          <w:rFonts w:eastAsia="Malgun Gothic" w:cs="Times New Roman"/>
          <w:kern w:val="22"/>
          <w:szCs w:val="22"/>
        </w:rPr>
        <w:t xml:space="preserve">Slovaquie, </w:t>
      </w:r>
      <w:r w:rsidR="008F6831" w:rsidRPr="00FA6E69">
        <w:rPr>
          <w:rFonts w:eastAsia="Malgun Gothic" w:cs="Times New Roman"/>
          <w:kern w:val="22"/>
          <w:szCs w:val="22"/>
        </w:rPr>
        <w:t xml:space="preserve">Somalie, </w:t>
      </w:r>
      <w:r w:rsidR="00C108D9" w:rsidRPr="00FA6E69">
        <w:rPr>
          <w:rFonts w:eastAsia="Malgun Gothic" w:cs="Times New Roman"/>
          <w:kern w:val="22"/>
          <w:szCs w:val="22"/>
        </w:rPr>
        <w:t>Soudan,</w:t>
      </w:r>
      <w:r w:rsidR="008F6831" w:rsidRPr="00FA6E69">
        <w:rPr>
          <w:rFonts w:eastAsia="Malgun Gothic" w:cs="Times New Roman"/>
          <w:kern w:val="22"/>
          <w:szCs w:val="22"/>
        </w:rPr>
        <w:t xml:space="preserve"> Sri Lanka,</w:t>
      </w:r>
      <w:r w:rsidR="00C108D9" w:rsidRPr="00FA6E69">
        <w:rPr>
          <w:rFonts w:eastAsia="Malgun Gothic" w:cs="Times New Roman"/>
          <w:kern w:val="22"/>
          <w:szCs w:val="22"/>
        </w:rPr>
        <w:t xml:space="preserve"> </w:t>
      </w:r>
      <w:r w:rsidR="004A50C7" w:rsidRPr="00FA6E69">
        <w:rPr>
          <w:rFonts w:eastAsia="Malgun Gothic" w:cs="Times New Roman"/>
          <w:kern w:val="22"/>
          <w:szCs w:val="22"/>
        </w:rPr>
        <w:t xml:space="preserve">Suède, </w:t>
      </w:r>
      <w:r w:rsidR="00C108D9" w:rsidRPr="00FA6E69">
        <w:rPr>
          <w:rFonts w:eastAsia="Malgun Gothic" w:cs="Times New Roman"/>
          <w:kern w:val="22"/>
          <w:szCs w:val="22"/>
        </w:rPr>
        <w:t xml:space="preserve">Suisse, Suriname, </w:t>
      </w:r>
      <w:r w:rsidR="009B5FF5" w:rsidRPr="00FA6E69">
        <w:rPr>
          <w:rFonts w:eastAsia="Malgun Gothic" w:cs="Times New Roman"/>
          <w:kern w:val="22"/>
          <w:szCs w:val="22"/>
        </w:rPr>
        <w:t xml:space="preserve">Swaziland, </w:t>
      </w:r>
      <w:r w:rsidR="002E3FEE" w:rsidRPr="00FA6E69">
        <w:rPr>
          <w:rStyle w:val="preferred"/>
          <w:rFonts w:cs="Times New Roman"/>
          <w:szCs w:val="22"/>
        </w:rPr>
        <w:t>Tadjikistan,</w:t>
      </w:r>
      <w:r w:rsidR="002E3FEE" w:rsidRPr="00FA6E69">
        <w:rPr>
          <w:rFonts w:eastAsia="Malgun Gothic" w:cs="Times New Roman"/>
          <w:kern w:val="22"/>
          <w:szCs w:val="22"/>
        </w:rPr>
        <w:t xml:space="preserve"> </w:t>
      </w:r>
      <w:r w:rsidR="00C108D9" w:rsidRPr="00FA6E69">
        <w:rPr>
          <w:rFonts w:eastAsia="Malgun Gothic" w:cs="Times New Roman"/>
          <w:kern w:val="22"/>
          <w:szCs w:val="22"/>
        </w:rPr>
        <w:t xml:space="preserve">Tchad, </w:t>
      </w:r>
      <w:r w:rsidR="009B5FF5" w:rsidRPr="00FA6E69">
        <w:rPr>
          <w:rFonts w:eastAsia="Malgun Gothic" w:cs="Times New Roman"/>
          <w:kern w:val="22"/>
          <w:szCs w:val="22"/>
        </w:rPr>
        <w:t>Tha</w:t>
      </w:r>
      <w:r w:rsidR="005F425E" w:rsidRPr="00FA6E69">
        <w:rPr>
          <w:rFonts w:eastAsia="Malgun Gothic" w:cs="Times New Roman"/>
          <w:kern w:val="22"/>
          <w:szCs w:val="22"/>
        </w:rPr>
        <w:t>ï</w:t>
      </w:r>
      <w:r w:rsidR="009B5FF5" w:rsidRPr="00FA6E69">
        <w:rPr>
          <w:rFonts w:eastAsia="Malgun Gothic" w:cs="Times New Roman"/>
          <w:kern w:val="22"/>
          <w:szCs w:val="22"/>
        </w:rPr>
        <w:t xml:space="preserve">lande, </w:t>
      </w:r>
      <w:r w:rsidR="004A50C7" w:rsidRPr="00FA6E69">
        <w:rPr>
          <w:rFonts w:eastAsia="Malgun Gothic" w:cs="Times New Roman"/>
          <w:kern w:val="22"/>
          <w:szCs w:val="22"/>
        </w:rPr>
        <w:t>Timor</w:t>
      </w:r>
      <w:r w:rsidR="009F23B8" w:rsidRPr="00FA6E69">
        <w:rPr>
          <w:rFonts w:eastAsia="Malgun Gothic" w:cs="Times New Roman"/>
          <w:kern w:val="22"/>
          <w:szCs w:val="22"/>
        </w:rPr>
        <w:noBreakHyphen/>
      </w:r>
      <w:r w:rsidR="004A50C7" w:rsidRPr="00FA6E69">
        <w:rPr>
          <w:rFonts w:eastAsia="Malgun Gothic" w:cs="Times New Roman"/>
          <w:kern w:val="22"/>
          <w:szCs w:val="22"/>
        </w:rPr>
        <w:t>Leste</w:t>
      </w:r>
      <w:r w:rsidR="00C108D9" w:rsidRPr="00FA6E69">
        <w:rPr>
          <w:rFonts w:eastAsia="Malgun Gothic" w:cs="Times New Roman"/>
          <w:kern w:val="22"/>
          <w:szCs w:val="22"/>
        </w:rPr>
        <w:t xml:space="preserve">, Togo, </w:t>
      </w:r>
      <w:r w:rsidR="009B5FF5" w:rsidRPr="00FA6E69">
        <w:rPr>
          <w:rFonts w:eastAsia="Malgun Gothic" w:cs="Times New Roman"/>
          <w:kern w:val="22"/>
          <w:szCs w:val="22"/>
        </w:rPr>
        <w:t xml:space="preserve">Tunisie, </w:t>
      </w:r>
      <w:r w:rsidR="00C108D9" w:rsidRPr="00FA6E69">
        <w:rPr>
          <w:rFonts w:eastAsia="Malgun Gothic" w:cs="Times New Roman"/>
          <w:kern w:val="22"/>
          <w:szCs w:val="22"/>
        </w:rPr>
        <w:t>Tuvalu, Roya</w:t>
      </w:r>
      <w:r w:rsidR="004A50C7" w:rsidRPr="00FA6E69">
        <w:rPr>
          <w:rFonts w:eastAsia="Malgun Gothic" w:cs="Times New Roman"/>
          <w:kern w:val="22"/>
          <w:szCs w:val="22"/>
        </w:rPr>
        <w:t>ume</w:t>
      </w:r>
      <w:r w:rsidR="009F23B8" w:rsidRPr="00FA6E69">
        <w:rPr>
          <w:rFonts w:eastAsia="Malgun Gothic" w:cs="Times New Roman"/>
          <w:kern w:val="22"/>
          <w:szCs w:val="22"/>
        </w:rPr>
        <w:noBreakHyphen/>
      </w:r>
      <w:r w:rsidR="004A50C7" w:rsidRPr="00FA6E69">
        <w:rPr>
          <w:rFonts w:eastAsia="Malgun Gothic" w:cs="Times New Roman"/>
          <w:kern w:val="22"/>
          <w:szCs w:val="22"/>
        </w:rPr>
        <w:t>Uni de Grande</w:t>
      </w:r>
      <w:r w:rsidR="009F23B8" w:rsidRPr="00FA6E69">
        <w:rPr>
          <w:rFonts w:eastAsia="Malgun Gothic" w:cs="Times New Roman"/>
          <w:kern w:val="22"/>
          <w:szCs w:val="22"/>
        </w:rPr>
        <w:noBreakHyphen/>
      </w:r>
      <w:r w:rsidR="004A50C7" w:rsidRPr="00FA6E69">
        <w:rPr>
          <w:rFonts w:eastAsia="Malgun Gothic" w:cs="Times New Roman"/>
          <w:kern w:val="22"/>
          <w:szCs w:val="22"/>
        </w:rPr>
        <w:t>Bretagne et d</w:t>
      </w:r>
      <w:r w:rsidR="00E964B4" w:rsidRPr="00FA6E69">
        <w:rPr>
          <w:rFonts w:eastAsia="Malgun Gothic" w:cs="Times New Roman"/>
          <w:kern w:val="22"/>
          <w:szCs w:val="22"/>
        </w:rPr>
        <w:t>’</w:t>
      </w:r>
      <w:r w:rsidR="00C108D9" w:rsidRPr="00FA6E69">
        <w:rPr>
          <w:rFonts w:eastAsia="Malgun Gothic" w:cs="Times New Roman"/>
          <w:kern w:val="22"/>
          <w:szCs w:val="22"/>
        </w:rPr>
        <w:t xml:space="preserve">Irlande du Nord, </w:t>
      </w:r>
      <w:r w:rsidR="002E3FEE" w:rsidRPr="00FA6E69">
        <w:rPr>
          <w:rFonts w:eastAsia="Malgun Gothic" w:cs="Times New Roman"/>
          <w:kern w:val="22"/>
          <w:szCs w:val="22"/>
        </w:rPr>
        <w:t xml:space="preserve">Ukraine, </w:t>
      </w:r>
      <w:r w:rsidR="00C108D9" w:rsidRPr="00FA6E69">
        <w:rPr>
          <w:rFonts w:eastAsia="Malgun Gothic" w:cs="Times New Roman"/>
          <w:kern w:val="22"/>
          <w:szCs w:val="22"/>
        </w:rPr>
        <w:t xml:space="preserve">Union européenne, Uruguay, Venezuela, Vietnam, </w:t>
      </w:r>
      <w:r w:rsidR="009B5FF5" w:rsidRPr="00FA6E69">
        <w:rPr>
          <w:rFonts w:eastAsia="Malgun Gothic" w:cs="Times New Roman"/>
          <w:kern w:val="22"/>
          <w:szCs w:val="22"/>
        </w:rPr>
        <w:t>Y</w:t>
      </w:r>
      <w:r w:rsidR="005F425E" w:rsidRPr="00FA6E69">
        <w:rPr>
          <w:rFonts w:eastAsia="Malgun Gothic" w:cs="Times New Roman"/>
          <w:kern w:val="22"/>
          <w:szCs w:val="22"/>
        </w:rPr>
        <w:t>é</w:t>
      </w:r>
      <w:r w:rsidR="009B5FF5" w:rsidRPr="00FA6E69">
        <w:rPr>
          <w:rFonts w:eastAsia="Malgun Gothic" w:cs="Times New Roman"/>
          <w:kern w:val="22"/>
          <w:szCs w:val="22"/>
        </w:rPr>
        <w:t xml:space="preserve">men, </w:t>
      </w:r>
      <w:r w:rsidR="00C108D9" w:rsidRPr="00FA6E69">
        <w:rPr>
          <w:rFonts w:eastAsia="Malgun Gothic" w:cs="Times New Roman"/>
          <w:kern w:val="22"/>
          <w:szCs w:val="22"/>
        </w:rPr>
        <w:t>Zambie et Zimbabwe.</w:t>
      </w:r>
    </w:p>
    <w:p w:rsidR="00D706A4" w:rsidRPr="00FA6E69" w:rsidRDefault="00F637F5" w:rsidP="003D6262">
      <w:pPr>
        <w:pStyle w:val="Para1"/>
        <w:numPr>
          <w:ilvl w:val="0"/>
          <w:numId w:val="13"/>
        </w:numPr>
        <w:suppressLineNumbers/>
        <w:tabs>
          <w:tab w:val="clear" w:pos="360"/>
          <w:tab w:val="num" w:pos="720"/>
        </w:tabs>
        <w:suppressAutoHyphens/>
        <w:spacing w:after="80"/>
        <w:rPr>
          <w:rFonts w:eastAsia="Malgun Gothic" w:cs="Times New Roman"/>
          <w:kern w:val="22"/>
          <w:szCs w:val="22"/>
        </w:rPr>
      </w:pPr>
      <w:r w:rsidRPr="00FA6E69">
        <w:rPr>
          <w:rFonts w:eastAsia="Malgun Gothic" w:cs="Times New Roman"/>
          <w:kern w:val="22"/>
          <w:szCs w:val="22"/>
        </w:rPr>
        <w:lastRenderedPageBreak/>
        <w:t>Les SPANB ont tous été examinés et les objectifs nationaux ou les engagements similaires ont été alignés sur les Objectifs d</w:t>
      </w:r>
      <w:r w:rsidR="00E964B4" w:rsidRPr="00FA6E69">
        <w:rPr>
          <w:rFonts w:eastAsia="Malgun Gothic" w:cs="Times New Roman"/>
          <w:kern w:val="22"/>
          <w:szCs w:val="22"/>
        </w:rPr>
        <w:t>’</w:t>
      </w:r>
      <w:r w:rsidRPr="00FA6E69">
        <w:rPr>
          <w:rFonts w:eastAsia="Malgun Gothic" w:cs="Times New Roman"/>
          <w:kern w:val="22"/>
          <w:szCs w:val="22"/>
        </w:rPr>
        <w:t xml:space="preserve">Aichi </w:t>
      </w:r>
      <w:r w:rsidR="00FC6C89" w:rsidRPr="00FA6E69">
        <w:rPr>
          <w:rFonts w:eastAsia="Malgun Gothic" w:cs="Times New Roman"/>
          <w:kern w:val="22"/>
          <w:szCs w:val="22"/>
        </w:rPr>
        <w:t>pour la biodiversité</w:t>
      </w:r>
      <w:r w:rsidR="00DB1547" w:rsidRPr="00FA6E69">
        <w:rPr>
          <w:kern w:val="22"/>
        </w:rPr>
        <w:t>.</w:t>
      </w:r>
      <w:r w:rsidR="00DB1547" w:rsidRPr="00FA6E69">
        <w:rPr>
          <w:rStyle w:val="Refdenotaalpie"/>
          <w:rFonts w:eastAsia="Malgun Gothic"/>
          <w:kern w:val="22"/>
          <w:szCs w:val="22"/>
          <w:vertAlign w:val="superscript"/>
        </w:rPr>
        <w:footnoteReference w:id="8"/>
      </w:r>
      <w:r w:rsidR="00FC6C89" w:rsidRPr="00FA6E69">
        <w:rPr>
          <w:rFonts w:eastAsia="Malgun Gothic" w:cs="Times New Roman"/>
          <w:kern w:val="22"/>
          <w:szCs w:val="22"/>
        </w:rPr>
        <w:t xml:space="preserve"> </w:t>
      </w:r>
      <w:r w:rsidR="0064736E" w:rsidRPr="00FA6E69">
        <w:rPr>
          <w:rFonts w:eastAsia="Malgun Gothic" w:cs="Times New Roman"/>
          <w:kern w:val="22"/>
          <w:szCs w:val="22"/>
        </w:rPr>
        <w:t>Un total de 48</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ayant fourni des SPANB actualisés ont aligné leurs objectifs nationaux (ou engagements similaires) sur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soit directement dans leurs SPANB, soit dans leurs rapports nationaux. Les alignements réalisés ont été utilisés dans cette évaluation. En l</w:t>
      </w:r>
      <w:r w:rsidR="00E964B4" w:rsidRPr="00FA6E69">
        <w:rPr>
          <w:rFonts w:eastAsia="Malgun Gothic" w:cs="Times New Roman"/>
          <w:kern w:val="22"/>
          <w:szCs w:val="22"/>
        </w:rPr>
        <w:t>’</w:t>
      </w:r>
      <w:r w:rsidRPr="00FA6E69">
        <w:rPr>
          <w:rFonts w:eastAsia="Malgun Gothic" w:cs="Times New Roman"/>
          <w:kern w:val="22"/>
          <w:szCs w:val="22"/>
        </w:rPr>
        <w:t>absence d</w:t>
      </w:r>
      <w:r w:rsidR="00E964B4" w:rsidRPr="00FA6E69">
        <w:rPr>
          <w:rFonts w:eastAsia="Malgun Gothic" w:cs="Times New Roman"/>
          <w:kern w:val="22"/>
          <w:szCs w:val="22"/>
        </w:rPr>
        <w:t>’</w:t>
      </w:r>
      <w:r w:rsidRPr="00FA6E69">
        <w:rPr>
          <w:rFonts w:eastAsia="Malgun Gothic" w:cs="Times New Roman"/>
          <w:kern w:val="22"/>
          <w:szCs w:val="22"/>
        </w:rPr>
        <w:t>alignement, le Secrétariat a classé chaque objectif national en fonction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pour la biodiversité auquel il correspond le plus. Dans les situations où un objectif national était lié à plusieurs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cela a également été pris en considération dans l</w:t>
      </w:r>
      <w:r w:rsidR="00E964B4" w:rsidRPr="00FA6E69">
        <w:rPr>
          <w:rFonts w:eastAsia="Malgun Gothic" w:cs="Times New Roman"/>
          <w:kern w:val="22"/>
          <w:szCs w:val="22"/>
        </w:rPr>
        <w:t>’</w:t>
      </w:r>
      <w:r w:rsidRPr="00FA6E69">
        <w:rPr>
          <w:rFonts w:eastAsia="Malgun Gothic" w:cs="Times New Roman"/>
          <w:kern w:val="22"/>
          <w:szCs w:val="22"/>
        </w:rPr>
        <w:t>évaluation, par la classification de l</w:t>
      </w:r>
      <w:r w:rsidR="00E964B4" w:rsidRPr="00FA6E69">
        <w:rPr>
          <w:rFonts w:eastAsia="Malgun Gothic" w:cs="Times New Roman"/>
          <w:kern w:val="22"/>
          <w:szCs w:val="22"/>
        </w:rPr>
        <w:t>’</w:t>
      </w:r>
      <w:r w:rsidRPr="00FA6E69">
        <w:rPr>
          <w:rFonts w:eastAsia="Malgun Gothic" w:cs="Times New Roman"/>
          <w:kern w:val="22"/>
          <w:szCs w:val="22"/>
        </w:rPr>
        <w:t>objectif national par rapport aux différents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Les objectifs nationaux ou engagements similaires (tels que les priorités, stratégies</w:t>
      </w:r>
      <w:r w:rsidR="0064736E" w:rsidRPr="00FA6E69">
        <w:rPr>
          <w:rFonts w:eastAsia="Malgun Gothic" w:cs="Times New Roman"/>
          <w:kern w:val="22"/>
          <w:szCs w:val="22"/>
        </w:rPr>
        <w:t>, objectifs</w:t>
      </w:r>
      <w:r w:rsidRPr="00FA6E69">
        <w:rPr>
          <w:rFonts w:eastAsia="Malgun Gothic" w:cs="Times New Roman"/>
          <w:kern w:val="22"/>
          <w:szCs w:val="22"/>
        </w:rPr>
        <w:t xml:space="preserve"> ou projets d</w:t>
      </w:r>
      <w:r w:rsidR="00E964B4" w:rsidRPr="00FA6E69">
        <w:rPr>
          <w:rFonts w:eastAsia="Malgun Gothic" w:cs="Times New Roman"/>
          <w:kern w:val="22"/>
          <w:szCs w:val="22"/>
        </w:rPr>
        <w:t>’</w:t>
      </w:r>
      <w:r w:rsidRPr="00FA6E69">
        <w:rPr>
          <w:rFonts w:eastAsia="Malgun Gothic" w:cs="Times New Roman"/>
          <w:kern w:val="22"/>
          <w:szCs w:val="22"/>
        </w:rPr>
        <w:t>ordre national) ont été évalués par rapport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définis dans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Les mesures associées, objectifs secondaires, biomes ou objectifs spécifiques à l</w:t>
      </w:r>
      <w:r w:rsidR="00E964B4" w:rsidRPr="00FA6E69">
        <w:rPr>
          <w:rFonts w:eastAsia="Malgun Gothic" w:cs="Times New Roman"/>
          <w:kern w:val="22"/>
          <w:szCs w:val="22"/>
        </w:rPr>
        <w:t>’</w:t>
      </w:r>
      <w:r w:rsidRPr="00FA6E69">
        <w:rPr>
          <w:rFonts w:eastAsia="Malgun Gothic" w:cs="Times New Roman"/>
          <w:kern w:val="22"/>
          <w:szCs w:val="22"/>
        </w:rPr>
        <w:t>écosystème relatifs à l</w:t>
      </w:r>
      <w:r w:rsidR="00E964B4" w:rsidRPr="00FA6E69">
        <w:rPr>
          <w:rFonts w:eastAsia="Malgun Gothic" w:cs="Times New Roman"/>
          <w:kern w:val="22"/>
          <w:szCs w:val="22"/>
        </w:rPr>
        <w:t>’</w:t>
      </w:r>
      <w:r w:rsidRPr="00FA6E69">
        <w:rPr>
          <w:rFonts w:eastAsia="Malgun Gothic" w:cs="Times New Roman"/>
          <w:kern w:val="22"/>
          <w:szCs w:val="22"/>
        </w:rPr>
        <w:t>objectif national ont également été pris en compte. Les objectifs et engagements similaires de chaque SPANB ont été classés dans l</w:t>
      </w:r>
      <w:r w:rsidR="00E964B4" w:rsidRPr="00FA6E69">
        <w:rPr>
          <w:rFonts w:eastAsia="Malgun Gothic" w:cs="Times New Roman"/>
          <w:kern w:val="22"/>
          <w:szCs w:val="22"/>
        </w:rPr>
        <w:t>’</w:t>
      </w:r>
      <w:r w:rsidRPr="00FA6E69">
        <w:rPr>
          <w:rFonts w:eastAsia="Malgun Gothic" w:cs="Times New Roman"/>
          <w:kern w:val="22"/>
          <w:szCs w:val="22"/>
        </w:rPr>
        <w:t xml:space="preserve">une des </w:t>
      </w:r>
      <w:r w:rsidR="0064736E" w:rsidRPr="00FA6E69">
        <w:rPr>
          <w:rFonts w:eastAsia="Malgun Gothic" w:cs="Times New Roman"/>
          <w:kern w:val="22"/>
          <w:szCs w:val="22"/>
        </w:rPr>
        <w:t>quatre</w:t>
      </w:r>
      <w:r w:rsidRPr="00FA6E69">
        <w:rPr>
          <w:rFonts w:eastAsia="Malgun Gothic" w:cs="Times New Roman"/>
          <w:kern w:val="22"/>
          <w:szCs w:val="22"/>
        </w:rPr>
        <w:t xml:space="preserve"> catégories suivantes :</w:t>
      </w:r>
    </w:p>
    <w:p w:rsidR="00D706A4" w:rsidRPr="00FA6E69" w:rsidRDefault="00F637F5" w:rsidP="00130623">
      <w:pPr>
        <w:pStyle w:val="Para1"/>
        <w:numPr>
          <w:ilvl w:val="1"/>
          <w:numId w:val="13"/>
        </w:numPr>
        <w:suppressLineNumbers/>
        <w:suppressAutoHyphens/>
        <w:spacing w:after="80"/>
        <w:rPr>
          <w:rFonts w:eastAsia="Malgun Gothic" w:cs="Times New Roman"/>
          <w:color w:val="000000"/>
          <w:kern w:val="22"/>
          <w:szCs w:val="22"/>
        </w:rPr>
      </w:pPr>
      <w:r w:rsidRPr="00FA6E69">
        <w:rPr>
          <w:rFonts w:cs="Times New Roman"/>
          <w:i/>
          <w:iCs/>
          <w:color w:val="000000"/>
          <w:szCs w:val="22"/>
          <w:shd w:val="clear" w:color="auto" w:fill="FFFFFF"/>
        </w:rPr>
        <w:t>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national dépasse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étendue ou le niveau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ambition de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Aichi</w:t>
      </w:r>
      <w:r w:rsidRPr="00FA6E69">
        <w:rPr>
          <w:rFonts w:cs="Times New Roman"/>
          <w:color w:val="000000"/>
          <w:kern w:val="22"/>
          <w:szCs w:val="22"/>
          <w:shd w:val="clear" w:color="auto" w:fill="FFFFFF"/>
        </w:rPr>
        <w:t xml:space="preserve"> – cette catégorie indique que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national ou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engagement similaire est plus ambitieux que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 pour la biodiversité. Cela peut résulter du fait que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a des seuils quantitatifs plus élevés ou contient des engagements qui dépassent ceux qui ont été définis dans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w:t>
      </w:r>
      <w:r w:rsidR="00F66A0D" w:rsidRPr="00FA6E69">
        <w:rPr>
          <w:rFonts w:cs="Times New Roman"/>
          <w:color w:val="000000"/>
          <w:kern w:val="22"/>
          <w:szCs w:val="22"/>
          <w:shd w:val="clear" w:color="auto" w:fill="FFFFFF"/>
        </w:rPr>
        <w:t>;</w:t>
      </w:r>
    </w:p>
    <w:p w:rsidR="00D706A4" w:rsidRPr="00FA6E69" w:rsidRDefault="00F637F5" w:rsidP="00130623">
      <w:pPr>
        <w:pStyle w:val="Para1"/>
        <w:numPr>
          <w:ilvl w:val="1"/>
          <w:numId w:val="13"/>
        </w:numPr>
        <w:suppressLineNumbers/>
        <w:suppressAutoHyphens/>
        <w:spacing w:after="80"/>
        <w:rPr>
          <w:rFonts w:eastAsia="Malgun Gothic" w:cs="Times New Roman"/>
          <w:color w:val="000000"/>
          <w:kern w:val="22"/>
          <w:szCs w:val="22"/>
        </w:rPr>
      </w:pPr>
      <w:r w:rsidRPr="00FA6E69">
        <w:rPr>
          <w:rFonts w:cs="Times New Roman"/>
          <w:i/>
          <w:iCs/>
          <w:color w:val="000000"/>
          <w:szCs w:val="22"/>
          <w:shd w:val="clear" w:color="auto" w:fill="FFFFFF"/>
        </w:rPr>
        <w:t>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national est proportionné à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étendue et au niveau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ambition de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Aichi</w:t>
      </w:r>
      <w:r w:rsidRPr="00FA6E69">
        <w:rPr>
          <w:rFonts w:cs="Times New Roman"/>
          <w:color w:val="000000"/>
          <w:kern w:val="22"/>
          <w:szCs w:val="22"/>
          <w:shd w:val="clear" w:color="auto" w:fill="FFFFFF"/>
        </w:rPr>
        <w:t xml:space="preserve"> – cette catégorie indique que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national ou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engagement similaire est largement équivalent à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étendue et au niveau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ambition de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w:t>
      </w:r>
      <w:r w:rsidR="00495190" w:rsidRPr="00FA6E69">
        <w:rPr>
          <w:rFonts w:cs="Times New Roman"/>
          <w:color w:val="000000"/>
          <w:kern w:val="22"/>
          <w:szCs w:val="22"/>
          <w:shd w:val="clear" w:color="auto" w:fill="FFFFFF"/>
        </w:rPr>
        <w:t>;</w:t>
      </w:r>
    </w:p>
    <w:p w:rsidR="00D706A4" w:rsidRPr="00FA6E69" w:rsidRDefault="00F637F5" w:rsidP="00130623">
      <w:pPr>
        <w:pStyle w:val="Para1"/>
        <w:numPr>
          <w:ilvl w:val="1"/>
          <w:numId w:val="13"/>
        </w:numPr>
        <w:suppressLineNumbers/>
        <w:suppressAutoHyphens/>
        <w:spacing w:after="80"/>
        <w:rPr>
          <w:rFonts w:eastAsia="Malgun Gothic" w:cs="Times New Roman"/>
          <w:color w:val="000000"/>
          <w:kern w:val="22"/>
          <w:szCs w:val="22"/>
        </w:rPr>
      </w:pPr>
      <w:r w:rsidRPr="00FA6E69">
        <w:rPr>
          <w:rFonts w:cs="Times New Roman"/>
          <w:i/>
          <w:iCs/>
          <w:color w:val="000000"/>
          <w:szCs w:val="22"/>
          <w:shd w:val="clear" w:color="auto" w:fill="FFFFFF"/>
        </w:rPr>
        <w:t>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national est moins ambitieux que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Objectif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Aichi ou ne concerne pas tous ses éléments</w:t>
      </w:r>
      <w:r w:rsidRPr="00FA6E69">
        <w:rPr>
          <w:rFonts w:cs="Times New Roman"/>
          <w:color w:val="000000"/>
          <w:kern w:val="22"/>
          <w:szCs w:val="22"/>
          <w:shd w:val="clear" w:color="auto" w:fill="FFFFFF"/>
        </w:rPr>
        <w:t xml:space="preserve"> – cette catégorie indique que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national a un seuil inférieur pour certaines questions ou ne traite pas clairement tous les éléments de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 pour la biodiversité. Cela implique les objectifs qui sont sensiblement inférieurs aux Objectifs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 pour la biodiversité, ainsi que les objectifs qui ont été alignés par une Partie à un 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 et pour lequel il n</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y a pas de relation claire entre les deux</w:t>
      </w:r>
      <w:r w:rsidR="00F66A0D" w:rsidRPr="00FA6E69">
        <w:rPr>
          <w:rFonts w:cs="Times New Roman"/>
          <w:color w:val="000000"/>
          <w:kern w:val="22"/>
          <w:szCs w:val="22"/>
          <w:shd w:val="clear" w:color="auto" w:fill="FFFFFF"/>
        </w:rPr>
        <w:t>;</w:t>
      </w:r>
    </w:p>
    <w:p w:rsidR="00D706A4" w:rsidRPr="00FA6E69" w:rsidRDefault="00F637F5" w:rsidP="00737C74">
      <w:pPr>
        <w:pStyle w:val="Para1"/>
        <w:numPr>
          <w:ilvl w:val="1"/>
          <w:numId w:val="13"/>
        </w:numPr>
        <w:suppressLineNumbers/>
        <w:suppressAutoHyphens/>
        <w:rPr>
          <w:rFonts w:eastAsia="Malgun Gothic" w:cs="Times New Roman"/>
          <w:color w:val="000000"/>
          <w:kern w:val="22"/>
          <w:szCs w:val="22"/>
        </w:rPr>
      </w:pPr>
      <w:r w:rsidRPr="00FA6E69">
        <w:rPr>
          <w:rFonts w:cs="Times New Roman"/>
          <w:i/>
          <w:iCs/>
          <w:color w:val="000000"/>
          <w:szCs w:val="22"/>
          <w:shd w:val="clear" w:color="auto" w:fill="FFFFFF"/>
        </w:rPr>
        <w:t xml:space="preserve">Aucun objectif national– </w:t>
      </w:r>
      <w:r w:rsidRPr="00FA6E69">
        <w:rPr>
          <w:rFonts w:cs="Times New Roman"/>
          <w:color w:val="000000"/>
          <w:kern w:val="22"/>
          <w:szCs w:val="22"/>
          <w:shd w:val="clear" w:color="auto" w:fill="FFFFFF"/>
        </w:rPr>
        <w:t>Les SPANB ne comportaient aucun objectif ou engagement similaire associé à l</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Objectif d</w:t>
      </w:r>
      <w:r w:rsidR="00E964B4" w:rsidRPr="00FA6E69">
        <w:rPr>
          <w:rFonts w:cs="Times New Roman"/>
          <w:color w:val="000000"/>
          <w:kern w:val="22"/>
          <w:szCs w:val="22"/>
          <w:shd w:val="clear" w:color="auto" w:fill="FFFFFF"/>
        </w:rPr>
        <w:t>’</w:t>
      </w:r>
      <w:r w:rsidRPr="00FA6E69">
        <w:rPr>
          <w:rFonts w:cs="Times New Roman"/>
          <w:color w:val="000000"/>
          <w:kern w:val="22"/>
          <w:szCs w:val="22"/>
          <w:shd w:val="clear" w:color="auto" w:fill="FFFFFF"/>
        </w:rPr>
        <w:t>Aichi pour la biodiversité</w:t>
      </w:r>
      <w:r w:rsidR="00D706A4" w:rsidRPr="00FA6E69">
        <w:rPr>
          <w:rFonts w:cs="Times New Roman"/>
          <w:color w:val="000000"/>
          <w:kern w:val="22"/>
          <w:szCs w:val="22"/>
          <w:shd w:val="clear" w:color="auto" w:fill="FFFFFF"/>
        </w:rPr>
        <w:t>.</w:t>
      </w:r>
    </w:p>
    <w:p w:rsidR="00D706A4" w:rsidRPr="00FA6E69" w:rsidRDefault="00B940AA" w:rsidP="00B940AA">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Il est important de noter que la réalisation de cette évaluation était basée sur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étendue et le niveau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ambition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national par rapport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Les particularités nationales des pays n</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ont pas été prises en compte. Par conséquent, certains objectifs qui, lorsqu</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ils sont comparés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sont inférieurs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peuvent néanmoins être ambitieux à la lumière du point de départ du pays. C</w:t>
      </w:r>
      <w:r w:rsidR="00E964B4" w:rsidRPr="00FA6E69">
        <w:rPr>
          <w:rFonts w:eastAsia="Malgun Gothic" w:cs="Times New Roman"/>
          <w:color w:val="000000"/>
          <w:kern w:val="22"/>
          <w:szCs w:val="22"/>
        </w:rPr>
        <w:t>’</w:t>
      </w:r>
      <w:r w:rsidRPr="00FA6E69">
        <w:rPr>
          <w:rFonts w:eastAsia="Malgun Gothic" w:cs="Times New Roman"/>
          <w:color w:val="000000"/>
          <w:kern w:val="22"/>
          <w:szCs w:val="22"/>
        </w:rPr>
        <w:t>est pourquoi cette évaluation ne peut pas être utilisée pour établir des comparaisons entre les pays, mais a plutôt pour but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alimenter la réflexion sur les progrès mondiaux accomplis dans la réalisation des Objectifs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pour la biodiversité</w:t>
      </w:r>
      <w:r w:rsidR="00D706A4" w:rsidRPr="00FA6E69">
        <w:rPr>
          <w:rFonts w:eastAsia="Malgun Gothic" w:cs="Times New Roman"/>
          <w:color w:val="000000"/>
          <w:kern w:val="22"/>
          <w:szCs w:val="22"/>
        </w:rPr>
        <w:t>.</w:t>
      </w:r>
    </w:p>
    <w:p w:rsidR="0065439D" w:rsidRDefault="0065439D" w:rsidP="0065439D">
      <w:pPr>
        <w:pStyle w:val="Para1"/>
        <w:suppressLineNumbers/>
        <w:suppressAutoHyphens/>
        <w:ind w:left="1530"/>
        <w:rPr>
          <w:rFonts w:cs="Times New Roman"/>
          <w:b/>
          <w:bCs/>
        </w:rPr>
      </w:pPr>
    </w:p>
    <w:p w:rsidR="00D706A4" w:rsidRPr="00FA6E69" w:rsidRDefault="00101DC5" w:rsidP="0065439D">
      <w:pPr>
        <w:pStyle w:val="Para1"/>
        <w:suppressLineNumbers/>
        <w:suppressAutoHyphens/>
        <w:ind w:left="1530"/>
        <w:rPr>
          <w:rFonts w:cs="Times New Roman"/>
          <w:b/>
          <w:bCs/>
          <w:kern w:val="22"/>
          <w:szCs w:val="22"/>
        </w:rPr>
      </w:pPr>
      <w:r w:rsidRPr="00FA6E69">
        <w:rPr>
          <w:rFonts w:cs="Times New Roman"/>
          <w:b/>
          <w:bCs/>
        </w:rPr>
        <w:t>B.</w:t>
      </w:r>
      <w:r w:rsidRPr="00FA6E69">
        <w:rPr>
          <w:rFonts w:cs="Times New Roman"/>
          <w:b/>
          <w:bCs/>
        </w:rPr>
        <w:tab/>
      </w:r>
      <w:r w:rsidR="009E172E" w:rsidRPr="00FA6E69">
        <w:rPr>
          <w:rFonts w:cs="Times New Roman"/>
          <w:b/>
          <w:bCs/>
          <w:kern w:val="22"/>
          <w:szCs w:val="22"/>
        </w:rPr>
        <w:t>Cinquièmes rapports nationaux</w:t>
      </w:r>
    </w:p>
    <w:p w:rsidR="00D706A4" w:rsidRPr="00FA6E69" w:rsidRDefault="0064736E" w:rsidP="009C4DD3">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Un</w:t>
      </w:r>
      <w:r w:rsidR="009C4DD3" w:rsidRPr="00FA6E69">
        <w:rPr>
          <w:rFonts w:eastAsia="Malgun Gothic" w:cs="Times New Roman"/>
          <w:kern w:val="22"/>
          <w:szCs w:val="22"/>
        </w:rPr>
        <w:t xml:space="preserve"> total</w:t>
      </w:r>
      <w:r w:rsidR="00FC6C89" w:rsidRPr="00FA6E69">
        <w:rPr>
          <w:rFonts w:eastAsia="Malgun Gothic" w:cs="Times New Roman"/>
          <w:kern w:val="22"/>
          <w:szCs w:val="22"/>
        </w:rPr>
        <w:t xml:space="preserve"> de 1</w:t>
      </w:r>
      <w:r w:rsidRPr="00FA6E69">
        <w:rPr>
          <w:rFonts w:eastAsia="Malgun Gothic" w:cs="Times New Roman"/>
          <w:kern w:val="22"/>
          <w:szCs w:val="22"/>
        </w:rPr>
        <w:t>91</w:t>
      </w:r>
      <w:r w:rsidR="009C4DD3" w:rsidRPr="00FA6E69">
        <w:rPr>
          <w:rFonts w:eastAsia="Malgun Gothic" w:cs="Times New Roman"/>
          <w:kern w:val="22"/>
          <w:szCs w:val="22"/>
        </w:rPr>
        <w:t> cinquièmes rapports nationaux ont été pris en considération dans cette</w:t>
      </w:r>
      <w:r w:rsidRPr="00FA6E69">
        <w:rPr>
          <w:rFonts w:eastAsia="Malgun Gothic" w:cs="Times New Roman"/>
          <w:kern w:val="22"/>
          <w:szCs w:val="22"/>
        </w:rPr>
        <w:t xml:space="preserve"> analyse</w:t>
      </w:r>
      <w:r w:rsidRPr="00FA6E69">
        <w:rPr>
          <w:rStyle w:val="Refdenotaalpie"/>
          <w:kern w:val="22"/>
          <w:vertAlign w:val="superscript"/>
        </w:rPr>
        <w:footnoteReference w:id="9"/>
      </w:r>
      <w:r w:rsidR="005F425E" w:rsidRPr="00FA6E69">
        <w:rPr>
          <w:kern w:val="22"/>
        </w:rPr>
        <w:t xml:space="preserve"> </w:t>
      </w:r>
      <w:r w:rsidR="009C4DD3" w:rsidRPr="00FA6E69">
        <w:rPr>
          <w:rFonts w:eastAsia="Malgun Gothic" w:cs="Times New Roman"/>
          <w:kern w:val="22"/>
          <w:szCs w:val="22"/>
        </w:rPr>
        <w:t>Des informations sur le statut, les tendances et les pressions exercées sur la biodiversité, ainsi que des informations relatives aux différentes mesures que les pays ont indiqué appliquer ou avoir l</w:t>
      </w:r>
      <w:r w:rsidR="00E964B4" w:rsidRPr="00FA6E69">
        <w:rPr>
          <w:rFonts w:eastAsia="Malgun Gothic" w:cs="Times New Roman"/>
          <w:kern w:val="22"/>
          <w:szCs w:val="22"/>
        </w:rPr>
        <w:t>’</w:t>
      </w:r>
      <w:r w:rsidR="009C4DD3" w:rsidRPr="00FA6E69">
        <w:rPr>
          <w:rFonts w:eastAsia="Malgun Gothic" w:cs="Times New Roman"/>
          <w:kern w:val="22"/>
          <w:szCs w:val="22"/>
        </w:rPr>
        <w:t>intention d</w:t>
      </w:r>
      <w:r w:rsidR="00E964B4" w:rsidRPr="00FA6E69">
        <w:rPr>
          <w:rFonts w:eastAsia="Malgun Gothic" w:cs="Times New Roman"/>
          <w:kern w:val="22"/>
          <w:szCs w:val="22"/>
        </w:rPr>
        <w:t>’</w:t>
      </w:r>
      <w:r w:rsidR="009C4DD3" w:rsidRPr="00FA6E69">
        <w:rPr>
          <w:rFonts w:eastAsia="Malgun Gothic" w:cs="Times New Roman"/>
          <w:kern w:val="22"/>
          <w:szCs w:val="22"/>
        </w:rPr>
        <w:t>appliquer dans un avenir proche, ont été utilisées pour classer les progrès nationaux accomplis dans la réalisation des Objectifs d</w:t>
      </w:r>
      <w:r w:rsidR="00E964B4" w:rsidRPr="00FA6E69">
        <w:rPr>
          <w:rFonts w:eastAsia="Malgun Gothic" w:cs="Times New Roman"/>
          <w:kern w:val="22"/>
          <w:szCs w:val="22"/>
        </w:rPr>
        <w:t>’</w:t>
      </w:r>
      <w:r w:rsidR="009C4DD3" w:rsidRPr="00FA6E69">
        <w:rPr>
          <w:rFonts w:eastAsia="Malgun Gothic" w:cs="Times New Roman"/>
          <w:kern w:val="22"/>
          <w:szCs w:val="22"/>
        </w:rPr>
        <w:t>Aichi dans l</w:t>
      </w:r>
      <w:r w:rsidR="00E964B4" w:rsidRPr="00FA6E69">
        <w:rPr>
          <w:rFonts w:eastAsia="Malgun Gothic" w:cs="Times New Roman"/>
          <w:kern w:val="22"/>
          <w:szCs w:val="22"/>
        </w:rPr>
        <w:t>’</w:t>
      </w:r>
      <w:r w:rsidR="009C4DD3" w:rsidRPr="00FA6E69">
        <w:rPr>
          <w:rFonts w:eastAsia="Malgun Gothic" w:cs="Times New Roman"/>
          <w:kern w:val="22"/>
          <w:szCs w:val="22"/>
        </w:rPr>
        <w:t>une des six catégories.</w:t>
      </w:r>
    </w:p>
    <w:p w:rsidR="00D706A4" w:rsidRPr="00FA6E69" w:rsidRDefault="00FC6C89" w:rsidP="00F2010C">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lastRenderedPageBreak/>
        <w:t>Environ 4</w:t>
      </w:r>
      <w:r w:rsidR="00DB1547" w:rsidRPr="00FA6E69">
        <w:rPr>
          <w:rFonts w:eastAsia="Malgun Gothic" w:cs="Times New Roman"/>
          <w:kern w:val="22"/>
          <w:szCs w:val="22"/>
        </w:rPr>
        <w:t>6</w:t>
      </w:r>
      <w:r w:rsidR="009C4DD3" w:rsidRPr="00FA6E69">
        <w:rPr>
          <w:rFonts w:eastAsia="Malgun Gothic" w:cs="Times New Roman"/>
          <w:kern w:val="22"/>
          <w:szCs w:val="22"/>
        </w:rPr>
        <w:t> </w:t>
      </w:r>
      <w:r w:rsidR="00360989" w:rsidRPr="00FA6E69">
        <w:rPr>
          <w:rFonts w:eastAsia="Malgun Gothic" w:cs="Times New Roman"/>
          <w:kern w:val="22"/>
          <w:szCs w:val="22"/>
        </w:rPr>
        <w:t>pour cent</w:t>
      </w:r>
      <w:r w:rsidR="009C4DD3" w:rsidRPr="00FA6E69">
        <w:rPr>
          <w:rFonts w:eastAsia="Malgun Gothic" w:cs="Times New Roman"/>
          <w:kern w:val="22"/>
          <w:szCs w:val="22"/>
        </w:rPr>
        <w:t xml:space="preserve"> des rapports nationaux </w:t>
      </w:r>
      <w:r w:rsidR="00BD64BA" w:rsidRPr="00FA6E69">
        <w:rPr>
          <w:rFonts w:eastAsia="Malgun Gothic" w:cs="Times New Roman"/>
          <w:kern w:val="22"/>
          <w:szCs w:val="22"/>
        </w:rPr>
        <w:t>c</w:t>
      </w:r>
      <w:r w:rsidR="009C4DD3" w:rsidRPr="00FA6E69">
        <w:rPr>
          <w:rFonts w:eastAsia="Malgun Gothic" w:cs="Times New Roman"/>
          <w:kern w:val="22"/>
          <w:szCs w:val="22"/>
        </w:rPr>
        <w:t>omprenaient une évaluation explicite des progrès accomplis dans la réalisation des Objectifs d</w:t>
      </w:r>
      <w:r w:rsidR="00E964B4" w:rsidRPr="00FA6E69">
        <w:rPr>
          <w:rFonts w:eastAsia="Malgun Gothic" w:cs="Times New Roman"/>
          <w:kern w:val="22"/>
          <w:szCs w:val="22"/>
        </w:rPr>
        <w:t>’</w:t>
      </w:r>
      <w:r w:rsidR="009C4DD3" w:rsidRPr="00FA6E69">
        <w:rPr>
          <w:rFonts w:eastAsia="Malgun Gothic" w:cs="Times New Roman"/>
          <w:kern w:val="22"/>
          <w:szCs w:val="22"/>
        </w:rPr>
        <w:t>Aichi. Dans certains cas, l</w:t>
      </w:r>
      <w:r w:rsidR="00E964B4" w:rsidRPr="00FA6E69">
        <w:rPr>
          <w:rFonts w:eastAsia="Malgun Gothic" w:cs="Times New Roman"/>
          <w:kern w:val="22"/>
          <w:szCs w:val="22"/>
        </w:rPr>
        <w:t>’</w:t>
      </w:r>
      <w:r w:rsidR="009C4DD3" w:rsidRPr="00FA6E69">
        <w:rPr>
          <w:rFonts w:eastAsia="Malgun Gothic" w:cs="Times New Roman"/>
          <w:kern w:val="22"/>
          <w:szCs w:val="22"/>
        </w:rPr>
        <w:t>évaluation du pays a été utilisée, mais aussi transférée dans l</w:t>
      </w:r>
      <w:r w:rsidR="00E964B4" w:rsidRPr="00FA6E69">
        <w:rPr>
          <w:rFonts w:eastAsia="Malgun Gothic" w:cs="Times New Roman"/>
          <w:kern w:val="22"/>
          <w:szCs w:val="22"/>
        </w:rPr>
        <w:t>’</w:t>
      </w:r>
      <w:r w:rsidR="009C4DD3" w:rsidRPr="00FA6E69">
        <w:rPr>
          <w:rFonts w:eastAsia="Malgun Gothic" w:cs="Times New Roman"/>
          <w:kern w:val="22"/>
          <w:szCs w:val="22"/>
        </w:rPr>
        <w:t>une des six catégories afin de regrouper les informations issues de tous les rapports nationaux dans un schéma global illustrant les progrès accomplis dans la réalisation des Objectifs d</w:t>
      </w:r>
      <w:r w:rsidR="00E964B4" w:rsidRPr="00FA6E69">
        <w:rPr>
          <w:rFonts w:eastAsia="Malgun Gothic" w:cs="Times New Roman"/>
          <w:kern w:val="22"/>
          <w:szCs w:val="22"/>
        </w:rPr>
        <w:t>’</w:t>
      </w:r>
      <w:r w:rsidR="009C4DD3" w:rsidRPr="00FA6E69">
        <w:rPr>
          <w:rFonts w:eastAsia="Malgun Gothic" w:cs="Times New Roman"/>
          <w:kern w:val="22"/>
          <w:szCs w:val="22"/>
        </w:rPr>
        <w:t>Aichi pour la biodiversité. Dans les cas où aucune évaluation des progrès accomplis n</w:t>
      </w:r>
      <w:r w:rsidR="00E964B4" w:rsidRPr="00FA6E69">
        <w:rPr>
          <w:rFonts w:eastAsia="Malgun Gothic" w:cs="Times New Roman"/>
          <w:kern w:val="22"/>
          <w:szCs w:val="22"/>
        </w:rPr>
        <w:t>’</w:t>
      </w:r>
      <w:r w:rsidR="009C4DD3" w:rsidRPr="00FA6E69">
        <w:rPr>
          <w:rFonts w:eastAsia="Malgun Gothic" w:cs="Times New Roman"/>
          <w:kern w:val="22"/>
          <w:szCs w:val="22"/>
        </w:rPr>
        <w:t>a été effectuée, l</w:t>
      </w:r>
      <w:r w:rsidR="00E964B4" w:rsidRPr="00FA6E69">
        <w:rPr>
          <w:rFonts w:eastAsia="Malgun Gothic" w:cs="Times New Roman"/>
          <w:kern w:val="22"/>
          <w:szCs w:val="22"/>
        </w:rPr>
        <w:t>’</w:t>
      </w:r>
      <w:r w:rsidR="009C4DD3" w:rsidRPr="00FA6E69">
        <w:rPr>
          <w:rFonts w:eastAsia="Malgun Gothic" w:cs="Times New Roman"/>
          <w:kern w:val="22"/>
          <w:szCs w:val="22"/>
        </w:rPr>
        <w:t>évaluation a été réalisée par le Secrétariat comme indiqué ci</w:t>
      </w:r>
      <w:r w:rsidR="009F23B8" w:rsidRPr="00FA6E69">
        <w:rPr>
          <w:rFonts w:eastAsia="Malgun Gothic" w:cs="Times New Roman"/>
          <w:kern w:val="22"/>
          <w:szCs w:val="22"/>
        </w:rPr>
        <w:noBreakHyphen/>
      </w:r>
      <w:r w:rsidR="009C4DD3" w:rsidRPr="00FA6E69">
        <w:rPr>
          <w:rFonts w:eastAsia="Malgun Gothic" w:cs="Times New Roman"/>
          <w:kern w:val="22"/>
          <w:szCs w:val="22"/>
        </w:rPr>
        <w:t>dessus</w:t>
      </w:r>
      <w:r w:rsidR="00D706A4" w:rsidRPr="00FA6E69">
        <w:rPr>
          <w:rFonts w:eastAsia="Malgun Gothic" w:cs="Times New Roman"/>
          <w:kern w:val="22"/>
          <w:szCs w:val="22"/>
        </w:rPr>
        <w:t>.</w:t>
      </w:r>
    </w:p>
    <w:p w:rsidR="009118FB" w:rsidRPr="00FA6E69" w:rsidRDefault="003C2778" w:rsidP="00130623">
      <w:pPr>
        <w:pStyle w:val="Para1"/>
        <w:numPr>
          <w:ilvl w:val="0"/>
          <w:numId w:val="13"/>
        </w:numPr>
        <w:suppressLineNumbers/>
        <w:tabs>
          <w:tab w:val="clear" w:pos="360"/>
          <w:tab w:val="num" w:pos="720"/>
        </w:tabs>
        <w:suppressAutoHyphens/>
        <w:spacing w:after="80"/>
        <w:rPr>
          <w:rFonts w:eastAsia="Malgun Gothic" w:cs="Times New Roman"/>
          <w:kern w:val="22"/>
          <w:szCs w:val="22"/>
        </w:rPr>
      </w:pPr>
      <w:r w:rsidRPr="00FA6E69">
        <w:rPr>
          <w:rFonts w:eastAsia="Malgun Gothic" w:cs="Times New Roman"/>
          <w:kern w:val="22"/>
          <w:szCs w:val="22"/>
        </w:rPr>
        <w:t xml:space="preserve">Les six catégories utilisées dans cette évaluation, en conformité avec celles utilisées dans la quatrième édition des </w:t>
      </w:r>
      <w:r w:rsidRPr="00FA6E69">
        <w:rPr>
          <w:rFonts w:eastAsia="Malgun Gothic" w:cs="Times New Roman"/>
          <w:i/>
          <w:iCs/>
          <w:kern w:val="22"/>
          <w:szCs w:val="22"/>
        </w:rPr>
        <w:t>Perspectives mondiales de la diversité biologique</w:t>
      </w:r>
      <w:r w:rsidRPr="00FA6E69">
        <w:rPr>
          <w:rFonts w:eastAsia="Malgun Gothic" w:cs="Times New Roman"/>
          <w:kern w:val="22"/>
          <w:szCs w:val="22"/>
        </w:rPr>
        <w:t>, sont :</w:t>
      </w:r>
    </w:p>
    <w:p w:rsidR="009118FB" w:rsidRPr="00FA6E69" w:rsidRDefault="003C2778" w:rsidP="00130623">
      <w:pPr>
        <w:pStyle w:val="Para1"/>
        <w:numPr>
          <w:ilvl w:val="1"/>
          <w:numId w:val="13"/>
        </w:numPr>
        <w:suppressLineNumbers/>
        <w:suppressAutoHyphens/>
        <w:spacing w:after="80"/>
        <w:rPr>
          <w:rFonts w:eastAsia="Malgun Gothic" w:cs="Times New Roman"/>
          <w:kern w:val="22"/>
          <w:szCs w:val="22"/>
        </w:rPr>
      </w:pPr>
      <w:r w:rsidRPr="00FA6E69">
        <w:rPr>
          <w:rFonts w:cs="Times New Roman"/>
          <w:i/>
          <w:iCs/>
          <w:szCs w:val="22"/>
        </w:rPr>
        <w:t>En voie de dépasser l</w:t>
      </w:r>
      <w:r w:rsidR="00E964B4" w:rsidRPr="00FA6E69">
        <w:rPr>
          <w:rFonts w:cs="Times New Roman"/>
          <w:i/>
          <w:iCs/>
          <w:szCs w:val="22"/>
        </w:rPr>
        <w:t>’</w:t>
      </w:r>
      <w:r w:rsidRPr="00FA6E69">
        <w:rPr>
          <w:rFonts w:cs="Times New Roman"/>
          <w:i/>
          <w:iCs/>
          <w:szCs w:val="22"/>
        </w:rPr>
        <w:t>objectif</w:t>
      </w:r>
      <w:r w:rsidRPr="00FA6E69">
        <w:rPr>
          <w:rFonts w:cs="Times New Roman"/>
          <w:kern w:val="22"/>
          <w:szCs w:val="22"/>
        </w:rPr>
        <w:t xml:space="preserve"> – un objectif caractérisé par cette évaluation indique que les mesures nationales prises permettront de dépasser l</w:t>
      </w:r>
      <w:r w:rsidR="00E964B4" w:rsidRPr="00FA6E69">
        <w:rPr>
          <w:rFonts w:cs="Times New Roman"/>
          <w:kern w:val="22"/>
          <w:szCs w:val="22"/>
        </w:rPr>
        <w:t>’</w:t>
      </w:r>
      <w:r w:rsidRPr="00FA6E69">
        <w:rPr>
          <w:rFonts w:cs="Times New Roman"/>
          <w:kern w:val="22"/>
          <w:szCs w:val="22"/>
        </w:rPr>
        <w:t>objectif d</w:t>
      </w:r>
      <w:r w:rsidR="00E964B4" w:rsidRPr="00FA6E69">
        <w:rPr>
          <w:rFonts w:cs="Times New Roman"/>
          <w:kern w:val="22"/>
          <w:szCs w:val="22"/>
        </w:rPr>
        <w:t>’</w:t>
      </w:r>
      <w:r w:rsidRPr="00FA6E69">
        <w:rPr>
          <w:rFonts w:cs="Times New Roman"/>
          <w:kern w:val="22"/>
          <w:szCs w:val="22"/>
        </w:rPr>
        <w:t>Aichi pour les critères/seuils établis. Dans le cas des objectifs comportant des éléments quantitatifs, cela signifie que le seuil identifié sera dépassé. Dans le cas des objectifs qualitatifs, cela signifie que les différentes mesures prises ou conditions à satisfaire ont été ou devraient être dépassées</w:t>
      </w:r>
      <w:r w:rsidR="00F66A0D" w:rsidRPr="00FA6E69">
        <w:rPr>
          <w:rFonts w:cs="Times New Roman"/>
          <w:kern w:val="22"/>
          <w:szCs w:val="22"/>
        </w:rPr>
        <w:t>;</w:t>
      </w:r>
    </w:p>
    <w:p w:rsidR="009118FB" w:rsidRPr="00FA6E69" w:rsidRDefault="00063A15" w:rsidP="00737C74">
      <w:pPr>
        <w:pStyle w:val="Para1"/>
        <w:numPr>
          <w:ilvl w:val="1"/>
          <w:numId w:val="13"/>
        </w:numPr>
        <w:suppressLineNumbers/>
        <w:suppressAutoHyphens/>
        <w:spacing w:after="80"/>
        <w:rPr>
          <w:rFonts w:eastAsia="Malgun Gothic" w:cs="Times New Roman"/>
          <w:kern w:val="22"/>
          <w:szCs w:val="22"/>
        </w:rPr>
      </w:pPr>
      <w:r w:rsidRPr="00FA6E69">
        <w:rPr>
          <w:rFonts w:cs="Times New Roman"/>
          <w:i/>
          <w:iCs/>
          <w:szCs w:val="22"/>
        </w:rPr>
        <w:t>En voie de réaliser l</w:t>
      </w:r>
      <w:r w:rsidR="00E964B4" w:rsidRPr="00FA6E69">
        <w:rPr>
          <w:rFonts w:cs="Times New Roman"/>
          <w:i/>
          <w:iCs/>
          <w:szCs w:val="22"/>
        </w:rPr>
        <w:t>’</w:t>
      </w:r>
      <w:r w:rsidRPr="00FA6E69">
        <w:rPr>
          <w:rFonts w:cs="Times New Roman"/>
          <w:i/>
          <w:iCs/>
          <w:szCs w:val="22"/>
        </w:rPr>
        <w:t>objectif</w:t>
      </w:r>
      <w:r w:rsidRPr="00FA6E69">
        <w:rPr>
          <w:rFonts w:cs="Times New Roman"/>
          <w:kern w:val="22"/>
          <w:szCs w:val="22"/>
        </w:rPr>
        <w:t xml:space="preserve"> – cette catégorie indique que les mesures prises et l</w:t>
      </w:r>
      <w:r w:rsidR="00E964B4" w:rsidRPr="00FA6E69">
        <w:rPr>
          <w:rFonts w:cs="Times New Roman"/>
          <w:kern w:val="22"/>
          <w:szCs w:val="22"/>
        </w:rPr>
        <w:t>’</w:t>
      </w:r>
      <w:r w:rsidRPr="00FA6E69">
        <w:rPr>
          <w:rFonts w:cs="Times New Roman"/>
          <w:kern w:val="22"/>
          <w:szCs w:val="22"/>
        </w:rPr>
        <w:t>état actuel des questions traitées par l</w:t>
      </w:r>
      <w:r w:rsidR="00E964B4" w:rsidRPr="00FA6E69">
        <w:rPr>
          <w:rFonts w:cs="Times New Roman"/>
          <w:kern w:val="22"/>
          <w:szCs w:val="22"/>
        </w:rPr>
        <w:t>’</w:t>
      </w:r>
      <w:r w:rsidRPr="00FA6E69">
        <w:rPr>
          <w:rFonts w:cs="Times New Roman"/>
          <w:kern w:val="22"/>
          <w:szCs w:val="22"/>
        </w:rPr>
        <w:t>Objectif d</w:t>
      </w:r>
      <w:r w:rsidR="00E964B4" w:rsidRPr="00FA6E69">
        <w:rPr>
          <w:rFonts w:cs="Times New Roman"/>
          <w:kern w:val="22"/>
          <w:szCs w:val="22"/>
        </w:rPr>
        <w:t>’</w:t>
      </w:r>
      <w:r w:rsidRPr="00FA6E69">
        <w:rPr>
          <w:rFonts w:cs="Times New Roman"/>
          <w:kern w:val="22"/>
          <w:szCs w:val="22"/>
        </w:rPr>
        <w:t>Aichi suggèrent que l</w:t>
      </w:r>
      <w:r w:rsidR="00E964B4" w:rsidRPr="00FA6E69">
        <w:rPr>
          <w:rFonts w:cs="Times New Roman"/>
          <w:kern w:val="22"/>
          <w:szCs w:val="22"/>
        </w:rPr>
        <w:t>’</w:t>
      </w:r>
      <w:r w:rsidRPr="00FA6E69">
        <w:rPr>
          <w:rFonts w:cs="Times New Roman"/>
          <w:kern w:val="22"/>
          <w:szCs w:val="22"/>
        </w:rPr>
        <w:t>objectif sera atteint à l</w:t>
      </w:r>
      <w:r w:rsidR="00E964B4" w:rsidRPr="00FA6E69">
        <w:rPr>
          <w:rFonts w:cs="Times New Roman"/>
          <w:kern w:val="22"/>
          <w:szCs w:val="22"/>
        </w:rPr>
        <w:t>’</w:t>
      </w:r>
      <w:r w:rsidRPr="00FA6E69">
        <w:rPr>
          <w:rFonts w:cs="Times New Roman"/>
          <w:kern w:val="22"/>
          <w:szCs w:val="22"/>
        </w:rPr>
        <w:t>échéance définie pour l</w:t>
      </w:r>
      <w:r w:rsidR="00E964B4" w:rsidRPr="00FA6E69">
        <w:rPr>
          <w:rFonts w:cs="Times New Roman"/>
          <w:kern w:val="22"/>
          <w:szCs w:val="22"/>
        </w:rPr>
        <w:t>’</w:t>
      </w:r>
      <w:r w:rsidRPr="00FA6E69">
        <w:rPr>
          <w:rFonts w:cs="Times New Roman"/>
          <w:kern w:val="22"/>
          <w:szCs w:val="22"/>
        </w:rPr>
        <w:t>objectif</w:t>
      </w:r>
      <w:r w:rsidR="00F66A0D" w:rsidRPr="00FA6E69">
        <w:rPr>
          <w:rFonts w:cs="Times New Roman"/>
          <w:kern w:val="22"/>
          <w:szCs w:val="22"/>
        </w:rPr>
        <w:t>;</w:t>
      </w:r>
    </w:p>
    <w:p w:rsidR="009118FB" w:rsidRPr="00FA6E69" w:rsidRDefault="00063A15" w:rsidP="00737C74">
      <w:pPr>
        <w:pStyle w:val="Para1"/>
        <w:numPr>
          <w:ilvl w:val="1"/>
          <w:numId w:val="13"/>
        </w:numPr>
        <w:suppressLineNumbers/>
        <w:suppressAutoHyphens/>
        <w:spacing w:after="80"/>
        <w:rPr>
          <w:rFonts w:eastAsia="Malgun Gothic" w:cs="Times New Roman"/>
          <w:kern w:val="22"/>
          <w:szCs w:val="22"/>
        </w:rPr>
      </w:pPr>
      <w:r w:rsidRPr="00FA6E69">
        <w:rPr>
          <w:rFonts w:cs="Times New Roman"/>
          <w:i/>
          <w:iCs/>
          <w:szCs w:val="22"/>
        </w:rPr>
        <w:t>Progression vers l</w:t>
      </w:r>
      <w:r w:rsidR="00E964B4" w:rsidRPr="00FA6E69">
        <w:rPr>
          <w:rFonts w:cs="Times New Roman"/>
          <w:i/>
          <w:iCs/>
          <w:szCs w:val="22"/>
        </w:rPr>
        <w:t>’</w:t>
      </w:r>
      <w:r w:rsidRPr="00FA6E69">
        <w:rPr>
          <w:rFonts w:cs="Times New Roman"/>
          <w:i/>
          <w:iCs/>
          <w:szCs w:val="22"/>
        </w:rPr>
        <w:t>objectif, mais à un rythme insuffisant</w:t>
      </w:r>
      <w:r w:rsidRPr="00FA6E69">
        <w:rPr>
          <w:rFonts w:cs="Times New Roman"/>
          <w:kern w:val="22"/>
          <w:szCs w:val="22"/>
        </w:rPr>
        <w:t xml:space="preserve"> – cette catégorie indique que des progrès </w:t>
      </w:r>
      <w:r w:rsidR="00BD64BA" w:rsidRPr="00FA6E69">
        <w:rPr>
          <w:rFonts w:cs="Times New Roman"/>
          <w:kern w:val="22"/>
          <w:szCs w:val="22"/>
        </w:rPr>
        <w:t>o</w:t>
      </w:r>
      <w:r w:rsidRPr="00FA6E69">
        <w:rPr>
          <w:rFonts w:cs="Times New Roman"/>
          <w:kern w:val="22"/>
          <w:szCs w:val="22"/>
        </w:rPr>
        <w:t>nt été accomplis dans la réalisation de l</w:t>
      </w:r>
      <w:r w:rsidR="00E964B4" w:rsidRPr="00FA6E69">
        <w:rPr>
          <w:rFonts w:cs="Times New Roman"/>
          <w:kern w:val="22"/>
          <w:szCs w:val="22"/>
        </w:rPr>
        <w:t>’</w:t>
      </w:r>
      <w:r w:rsidRPr="00FA6E69">
        <w:rPr>
          <w:rFonts w:cs="Times New Roman"/>
          <w:kern w:val="22"/>
          <w:szCs w:val="22"/>
        </w:rPr>
        <w:t>Objectif d</w:t>
      </w:r>
      <w:r w:rsidR="00E964B4" w:rsidRPr="00FA6E69">
        <w:rPr>
          <w:rFonts w:cs="Times New Roman"/>
          <w:kern w:val="22"/>
          <w:szCs w:val="22"/>
        </w:rPr>
        <w:t>’</w:t>
      </w:r>
      <w:r w:rsidRPr="00FA6E69">
        <w:rPr>
          <w:rFonts w:cs="Times New Roman"/>
          <w:kern w:val="22"/>
          <w:szCs w:val="22"/>
        </w:rPr>
        <w:t>Aichi depuis qu</w:t>
      </w:r>
      <w:r w:rsidR="00E964B4" w:rsidRPr="00FA6E69">
        <w:rPr>
          <w:rFonts w:cs="Times New Roman"/>
          <w:kern w:val="22"/>
          <w:szCs w:val="22"/>
        </w:rPr>
        <w:t>’</w:t>
      </w:r>
      <w:r w:rsidRPr="00FA6E69">
        <w:rPr>
          <w:rFonts w:cs="Times New Roman"/>
          <w:kern w:val="22"/>
          <w:szCs w:val="22"/>
        </w:rPr>
        <w:t>il a été défini. Les progrès accomplis peuvent prendre la forme de mesures prises ou d</w:t>
      </w:r>
      <w:r w:rsidR="00E964B4" w:rsidRPr="00FA6E69">
        <w:rPr>
          <w:rFonts w:cs="Times New Roman"/>
          <w:kern w:val="22"/>
          <w:szCs w:val="22"/>
        </w:rPr>
        <w:t>’</w:t>
      </w:r>
      <w:r w:rsidRPr="00FA6E69">
        <w:rPr>
          <w:rFonts w:cs="Times New Roman"/>
          <w:kern w:val="22"/>
          <w:szCs w:val="22"/>
        </w:rPr>
        <w:t>améliorations réelles dans le statut des questions à traiter. Cependant, bien que cette catégorie fasse état d</w:t>
      </w:r>
      <w:r w:rsidR="00E964B4" w:rsidRPr="00FA6E69">
        <w:rPr>
          <w:rFonts w:cs="Times New Roman"/>
          <w:kern w:val="22"/>
          <w:szCs w:val="22"/>
        </w:rPr>
        <w:t>’</w:t>
      </w:r>
      <w:r w:rsidRPr="00FA6E69">
        <w:rPr>
          <w:rFonts w:cs="Times New Roman"/>
          <w:kern w:val="22"/>
          <w:szCs w:val="22"/>
        </w:rPr>
        <w:t>une amélioration de la situation, les progrès accomplis ne permettront pas de réaliser l</w:t>
      </w:r>
      <w:r w:rsidR="00E964B4" w:rsidRPr="00FA6E69">
        <w:rPr>
          <w:rFonts w:cs="Times New Roman"/>
          <w:kern w:val="22"/>
          <w:szCs w:val="22"/>
        </w:rPr>
        <w:t>’</w:t>
      </w:r>
      <w:r w:rsidRPr="00FA6E69">
        <w:rPr>
          <w:rFonts w:cs="Times New Roman"/>
          <w:kern w:val="22"/>
          <w:szCs w:val="22"/>
        </w:rPr>
        <w:t>objectif à l</w:t>
      </w:r>
      <w:r w:rsidR="00E964B4" w:rsidRPr="00FA6E69">
        <w:rPr>
          <w:rFonts w:cs="Times New Roman"/>
          <w:kern w:val="22"/>
          <w:szCs w:val="22"/>
        </w:rPr>
        <w:t>’</w:t>
      </w:r>
      <w:r w:rsidRPr="00FA6E69">
        <w:rPr>
          <w:rFonts w:cs="Times New Roman"/>
          <w:kern w:val="22"/>
          <w:szCs w:val="22"/>
        </w:rPr>
        <w:t>échéance</w:t>
      </w:r>
      <w:r w:rsidR="00F66A0D" w:rsidRPr="00FA6E69">
        <w:rPr>
          <w:rFonts w:cs="Times New Roman"/>
          <w:kern w:val="22"/>
          <w:szCs w:val="22"/>
        </w:rPr>
        <w:t>;</w:t>
      </w:r>
    </w:p>
    <w:p w:rsidR="009118FB" w:rsidRPr="00FA6E69" w:rsidRDefault="00063A15" w:rsidP="00415CB9">
      <w:pPr>
        <w:pStyle w:val="Para1"/>
        <w:numPr>
          <w:ilvl w:val="1"/>
          <w:numId w:val="13"/>
        </w:numPr>
        <w:suppressLineNumbers/>
        <w:suppressAutoHyphens/>
        <w:spacing w:after="80"/>
        <w:rPr>
          <w:rFonts w:eastAsia="Malgun Gothic" w:cs="Times New Roman"/>
          <w:kern w:val="22"/>
          <w:szCs w:val="22"/>
        </w:rPr>
      </w:pPr>
      <w:r w:rsidRPr="00FA6E69">
        <w:rPr>
          <w:rFonts w:cs="Times New Roman"/>
          <w:i/>
          <w:iCs/>
          <w:szCs w:val="22"/>
        </w:rPr>
        <w:t>Aucun changement significatif</w:t>
      </w:r>
      <w:r w:rsidRPr="00FA6E69">
        <w:rPr>
          <w:rFonts w:cs="Times New Roman"/>
          <w:kern w:val="22"/>
          <w:szCs w:val="22"/>
        </w:rPr>
        <w:t xml:space="preserve"> – cette catégorie indique que, depuis la définition de l</w:t>
      </w:r>
      <w:r w:rsidR="00E964B4" w:rsidRPr="00FA6E69">
        <w:rPr>
          <w:rFonts w:cs="Times New Roman"/>
          <w:kern w:val="22"/>
          <w:szCs w:val="22"/>
        </w:rPr>
        <w:t>’</w:t>
      </w:r>
      <w:r w:rsidRPr="00FA6E69">
        <w:rPr>
          <w:rFonts w:cs="Times New Roman"/>
          <w:kern w:val="22"/>
          <w:szCs w:val="22"/>
        </w:rPr>
        <w:t>Objectif d</w:t>
      </w:r>
      <w:r w:rsidR="00E964B4" w:rsidRPr="00FA6E69">
        <w:rPr>
          <w:rFonts w:cs="Times New Roman"/>
          <w:kern w:val="22"/>
          <w:szCs w:val="22"/>
        </w:rPr>
        <w:t>’</w:t>
      </w:r>
      <w:r w:rsidRPr="00FA6E69">
        <w:rPr>
          <w:rFonts w:cs="Times New Roman"/>
          <w:kern w:val="22"/>
          <w:szCs w:val="22"/>
        </w:rPr>
        <w:t>Aichi, aucun progrès significatif n</w:t>
      </w:r>
      <w:r w:rsidR="00E964B4" w:rsidRPr="00FA6E69">
        <w:rPr>
          <w:rFonts w:cs="Times New Roman"/>
          <w:kern w:val="22"/>
          <w:szCs w:val="22"/>
        </w:rPr>
        <w:t>’</w:t>
      </w:r>
      <w:r w:rsidRPr="00FA6E69">
        <w:rPr>
          <w:rFonts w:cs="Times New Roman"/>
          <w:kern w:val="22"/>
          <w:szCs w:val="22"/>
        </w:rPr>
        <w:t>a été accompli dans la réalisation ou aucune dégradation significative n</w:t>
      </w:r>
      <w:r w:rsidR="00E964B4" w:rsidRPr="00FA6E69">
        <w:rPr>
          <w:rFonts w:cs="Times New Roman"/>
          <w:kern w:val="22"/>
          <w:szCs w:val="22"/>
        </w:rPr>
        <w:t>’</w:t>
      </w:r>
      <w:r w:rsidRPr="00FA6E69">
        <w:rPr>
          <w:rFonts w:cs="Times New Roman"/>
          <w:kern w:val="22"/>
          <w:szCs w:val="22"/>
        </w:rPr>
        <w:t>a été constatée. Les évaluations de cette catégorie impliquent qu</w:t>
      </w:r>
      <w:r w:rsidR="00E964B4" w:rsidRPr="00FA6E69">
        <w:rPr>
          <w:rFonts w:cs="Times New Roman"/>
          <w:kern w:val="22"/>
          <w:szCs w:val="22"/>
        </w:rPr>
        <w:t>’</w:t>
      </w:r>
      <w:r w:rsidRPr="00FA6E69">
        <w:rPr>
          <w:rFonts w:cs="Times New Roman"/>
          <w:kern w:val="22"/>
          <w:szCs w:val="22"/>
        </w:rPr>
        <w:t>aucune mesure significative n</w:t>
      </w:r>
      <w:r w:rsidR="00E964B4" w:rsidRPr="00FA6E69">
        <w:rPr>
          <w:rFonts w:cs="Times New Roman"/>
          <w:kern w:val="22"/>
          <w:szCs w:val="22"/>
        </w:rPr>
        <w:t>’</w:t>
      </w:r>
      <w:r w:rsidRPr="00FA6E69">
        <w:rPr>
          <w:rFonts w:cs="Times New Roman"/>
          <w:kern w:val="22"/>
          <w:szCs w:val="22"/>
        </w:rPr>
        <w:t>a été prise ou prévue dans un avenir proche pour atteindre l</w:t>
      </w:r>
      <w:r w:rsidR="00E964B4" w:rsidRPr="00FA6E69">
        <w:rPr>
          <w:rFonts w:cs="Times New Roman"/>
          <w:kern w:val="22"/>
          <w:szCs w:val="22"/>
        </w:rPr>
        <w:t>’</w:t>
      </w:r>
      <w:r w:rsidRPr="00FA6E69">
        <w:rPr>
          <w:rFonts w:cs="Times New Roman"/>
          <w:kern w:val="22"/>
          <w:szCs w:val="22"/>
        </w:rPr>
        <w:t>objectif et qu</w:t>
      </w:r>
      <w:r w:rsidR="00E964B4" w:rsidRPr="00FA6E69">
        <w:rPr>
          <w:rFonts w:cs="Times New Roman"/>
          <w:kern w:val="22"/>
          <w:szCs w:val="22"/>
        </w:rPr>
        <w:t>’</w:t>
      </w:r>
      <w:r w:rsidRPr="00FA6E69">
        <w:rPr>
          <w:rFonts w:cs="Times New Roman"/>
          <w:kern w:val="22"/>
          <w:szCs w:val="22"/>
        </w:rPr>
        <w:t>aucune amélioration ni dégradation n</w:t>
      </w:r>
      <w:r w:rsidR="00E964B4" w:rsidRPr="00FA6E69">
        <w:rPr>
          <w:rFonts w:cs="Times New Roman"/>
          <w:kern w:val="22"/>
          <w:szCs w:val="22"/>
        </w:rPr>
        <w:t>’</w:t>
      </w:r>
      <w:r w:rsidRPr="00FA6E69">
        <w:rPr>
          <w:rFonts w:cs="Times New Roman"/>
          <w:kern w:val="22"/>
          <w:szCs w:val="22"/>
        </w:rPr>
        <w:t>a été constatée dans l</w:t>
      </w:r>
      <w:r w:rsidR="00E964B4" w:rsidRPr="00FA6E69">
        <w:rPr>
          <w:rFonts w:cs="Times New Roman"/>
          <w:kern w:val="22"/>
          <w:szCs w:val="22"/>
        </w:rPr>
        <w:t>’</w:t>
      </w:r>
      <w:r w:rsidRPr="00FA6E69">
        <w:rPr>
          <w:rFonts w:cs="Times New Roman"/>
          <w:kern w:val="22"/>
          <w:szCs w:val="22"/>
        </w:rPr>
        <w:t>état des questions à traiter</w:t>
      </w:r>
      <w:r w:rsidR="00F66A0D" w:rsidRPr="00FA6E69">
        <w:rPr>
          <w:rFonts w:cs="Times New Roman"/>
          <w:kern w:val="22"/>
          <w:szCs w:val="22"/>
        </w:rPr>
        <w:t>;</w:t>
      </w:r>
    </w:p>
    <w:p w:rsidR="009118FB" w:rsidRPr="00FA6E69" w:rsidRDefault="00063A15" w:rsidP="00415CB9">
      <w:pPr>
        <w:pStyle w:val="Para1"/>
        <w:numPr>
          <w:ilvl w:val="1"/>
          <w:numId w:val="13"/>
        </w:numPr>
        <w:suppressLineNumbers/>
        <w:suppressAutoHyphens/>
        <w:spacing w:after="80"/>
        <w:rPr>
          <w:rFonts w:eastAsia="Malgun Gothic" w:cs="Times New Roman"/>
          <w:kern w:val="22"/>
          <w:szCs w:val="22"/>
        </w:rPr>
      </w:pPr>
      <w:r w:rsidRPr="00FA6E69">
        <w:rPr>
          <w:rFonts w:cs="Times New Roman"/>
          <w:i/>
          <w:iCs/>
          <w:szCs w:val="22"/>
        </w:rPr>
        <w:t>Éloignement de l</w:t>
      </w:r>
      <w:r w:rsidR="00E964B4" w:rsidRPr="00FA6E69">
        <w:rPr>
          <w:rFonts w:cs="Times New Roman"/>
          <w:i/>
          <w:iCs/>
          <w:szCs w:val="22"/>
        </w:rPr>
        <w:t>’</w:t>
      </w:r>
      <w:r w:rsidRPr="00FA6E69">
        <w:rPr>
          <w:rFonts w:cs="Times New Roman"/>
          <w:i/>
          <w:iCs/>
          <w:szCs w:val="22"/>
        </w:rPr>
        <w:t xml:space="preserve">objectif </w:t>
      </w:r>
      <w:r w:rsidRPr="00FA6E69">
        <w:rPr>
          <w:rFonts w:cs="Times New Roman"/>
          <w:kern w:val="22"/>
          <w:szCs w:val="22"/>
        </w:rPr>
        <w:t>– cette catégorie indique que les questions que l</w:t>
      </w:r>
      <w:r w:rsidR="00E964B4" w:rsidRPr="00FA6E69">
        <w:rPr>
          <w:rFonts w:cs="Times New Roman"/>
          <w:kern w:val="22"/>
          <w:szCs w:val="22"/>
        </w:rPr>
        <w:t>’</w:t>
      </w:r>
      <w:r w:rsidRPr="00FA6E69">
        <w:rPr>
          <w:rFonts w:cs="Times New Roman"/>
          <w:kern w:val="22"/>
          <w:szCs w:val="22"/>
        </w:rPr>
        <w:t>Objectif d</w:t>
      </w:r>
      <w:r w:rsidR="00E964B4" w:rsidRPr="00FA6E69">
        <w:rPr>
          <w:rFonts w:cs="Times New Roman"/>
          <w:kern w:val="22"/>
          <w:szCs w:val="22"/>
        </w:rPr>
        <w:t>’</w:t>
      </w:r>
      <w:r w:rsidRPr="00FA6E69">
        <w:rPr>
          <w:rFonts w:cs="Times New Roman"/>
          <w:kern w:val="22"/>
          <w:szCs w:val="22"/>
        </w:rPr>
        <w:t>Aichi cherche à traiter se dégradent. Cela peut résulter de l</w:t>
      </w:r>
      <w:r w:rsidR="00E964B4" w:rsidRPr="00FA6E69">
        <w:rPr>
          <w:rFonts w:cs="Times New Roman"/>
          <w:kern w:val="22"/>
          <w:szCs w:val="22"/>
        </w:rPr>
        <w:t>’</w:t>
      </w:r>
      <w:r w:rsidRPr="00FA6E69">
        <w:rPr>
          <w:rFonts w:cs="Times New Roman"/>
          <w:kern w:val="22"/>
          <w:szCs w:val="22"/>
        </w:rPr>
        <w:t>absence de mesures ou de l</w:t>
      </w:r>
      <w:r w:rsidR="00E964B4" w:rsidRPr="00FA6E69">
        <w:rPr>
          <w:rFonts w:cs="Times New Roman"/>
          <w:kern w:val="22"/>
          <w:szCs w:val="22"/>
        </w:rPr>
        <w:t>’</w:t>
      </w:r>
      <w:r w:rsidRPr="00FA6E69">
        <w:rPr>
          <w:rFonts w:cs="Times New Roman"/>
          <w:kern w:val="22"/>
          <w:szCs w:val="22"/>
        </w:rPr>
        <w:t>inefficacité des mesures prises. Cela peut également provenir de pressions accrues ou d</w:t>
      </w:r>
      <w:r w:rsidR="00E964B4" w:rsidRPr="00FA6E69">
        <w:rPr>
          <w:rFonts w:cs="Times New Roman"/>
          <w:kern w:val="22"/>
          <w:szCs w:val="22"/>
        </w:rPr>
        <w:t>’</w:t>
      </w:r>
      <w:r w:rsidRPr="00FA6E69">
        <w:rPr>
          <w:rFonts w:cs="Times New Roman"/>
          <w:kern w:val="22"/>
          <w:szCs w:val="22"/>
        </w:rPr>
        <w:t>autres changements de la situation nationale</w:t>
      </w:r>
      <w:r w:rsidR="00F66A0D" w:rsidRPr="00FA6E69">
        <w:rPr>
          <w:rFonts w:cs="Times New Roman"/>
          <w:kern w:val="22"/>
          <w:szCs w:val="22"/>
        </w:rPr>
        <w:t>;</w:t>
      </w:r>
    </w:p>
    <w:p w:rsidR="00D706A4" w:rsidRPr="00FA6E69" w:rsidRDefault="00063A15" w:rsidP="00415CB9">
      <w:pPr>
        <w:pStyle w:val="Para1"/>
        <w:numPr>
          <w:ilvl w:val="1"/>
          <w:numId w:val="13"/>
        </w:numPr>
        <w:suppressLineNumbers/>
        <w:suppressAutoHyphens/>
        <w:rPr>
          <w:rFonts w:eastAsia="Malgun Gothic" w:cs="Times New Roman"/>
          <w:kern w:val="22"/>
          <w:szCs w:val="22"/>
        </w:rPr>
      </w:pPr>
      <w:r w:rsidRPr="00FA6E69">
        <w:rPr>
          <w:rFonts w:cs="Times New Roman"/>
          <w:i/>
          <w:iCs/>
          <w:szCs w:val="22"/>
        </w:rPr>
        <w:t>Aucune information</w:t>
      </w:r>
      <w:r w:rsidRPr="00FA6E69">
        <w:rPr>
          <w:rFonts w:cs="Times New Roman"/>
          <w:kern w:val="22"/>
          <w:szCs w:val="22"/>
        </w:rPr>
        <w:t xml:space="preserve"> – le rapport ne contenait pas d</w:t>
      </w:r>
      <w:r w:rsidR="00E964B4" w:rsidRPr="00FA6E69">
        <w:rPr>
          <w:rFonts w:cs="Times New Roman"/>
          <w:kern w:val="22"/>
          <w:szCs w:val="22"/>
        </w:rPr>
        <w:t>’</w:t>
      </w:r>
      <w:r w:rsidRPr="00FA6E69">
        <w:rPr>
          <w:rFonts w:cs="Times New Roman"/>
          <w:kern w:val="22"/>
          <w:szCs w:val="22"/>
        </w:rPr>
        <w:t>informations suffisantes pour permettre l</w:t>
      </w:r>
      <w:r w:rsidR="00E964B4" w:rsidRPr="00FA6E69">
        <w:rPr>
          <w:rFonts w:cs="Times New Roman"/>
          <w:kern w:val="22"/>
          <w:szCs w:val="22"/>
        </w:rPr>
        <w:t>’</w:t>
      </w:r>
      <w:r w:rsidRPr="00FA6E69">
        <w:rPr>
          <w:rFonts w:cs="Times New Roman"/>
          <w:kern w:val="22"/>
          <w:szCs w:val="22"/>
        </w:rPr>
        <w:t>évaluation avec un tant soit peu de certitude des progrès accomplis dans la réalisation des Objectifs d</w:t>
      </w:r>
      <w:r w:rsidR="00E964B4" w:rsidRPr="00FA6E69">
        <w:rPr>
          <w:rFonts w:cs="Times New Roman"/>
          <w:kern w:val="22"/>
          <w:szCs w:val="22"/>
        </w:rPr>
        <w:t>’</w:t>
      </w:r>
      <w:r w:rsidRPr="00FA6E69">
        <w:rPr>
          <w:rFonts w:cs="Times New Roman"/>
          <w:kern w:val="22"/>
          <w:szCs w:val="22"/>
        </w:rPr>
        <w:t>Aichi</w:t>
      </w:r>
      <w:r w:rsidR="00D706A4" w:rsidRPr="00FA6E69">
        <w:rPr>
          <w:rFonts w:cs="Times New Roman"/>
          <w:kern w:val="22"/>
          <w:szCs w:val="22"/>
        </w:rPr>
        <w:t>.</w:t>
      </w:r>
    </w:p>
    <w:p w:rsidR="00D706A4" w:rsidRPr="00FA6E69" w:rsidRDefault="00951327" w:rsidP="006C20AB">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Il convient de noter que l</w:t>
      </w:r>
      <w:r w:rsidR="00E964B4" w:rsidRPr="00FA6E69">
        <w:rPr>
          <w:rFonts w:eastAsia="Malgun Gothic" w:cs="Times New Roman"/>
          <w:kern w:val="22"/>
          <w:szCs w:val="22"/>
        </w:rPr>
        <w:t>’</w:t>
      </w:r>
      <w:r w:rsidRPr="00FA6E69">
        <w:rPr>
          <w:rFonts w:eastAsia="Malgun Gothic" w:cs="Times New Roman"/>
          <w:kern w:val="22"/>
          <w:szCs w:val="22"/>
        </w:rPr>
        <w:t>évaluation présentée dans cette note reflète le niveau anticipé de progrès accomplis à la fin de l</w:t>
      </w:r>
      <w:r w:rsidR="00E964B4" w:rsidRPr="00FA6E69">
        <w:rPr>
          <w:rFonts w:eastAsia="Malgun Gothic" w:cs="Times New Roman"/>
          <w:kern w:val="22"/>
          <w:szCs w:val="22"/>
        </w:rPr>
        <w:t>’</w:t>
      </w:r>
      <w:r w:rsidRPr="00FA6E69">
        <w:rPr>
          <w:rFonts w:eastAsia="Malgun Gothic" w:cs="Times New Roman"/>
          <w:kern w:val="22"/>
          <w:szCs w:val="22"/>
        </w:rPr>
        <w:t>échéance définie pour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en fonction de l</w:t>
      </w:r>
      <w:r w:rsidR="00E964B4" w:rsidRPr="00FA6E69">
        <w:rPr>
          <w:rFonts w:eastAsia="Malgun Gothic" w:cs="Times New Roman"/>
          <w:kern w:val="22"/>
          <w:szCs w:val="22"/>
        </w:rPr>
        <w:t>’</w:t>
      </w:r>
      <w:r w:rsidRPr="00FA6E69">
        <w:rPr>
          <w:rFonts w:eastAsia="Malgun Gothic" w:cs="Times New Roman"/>
          <w:kern w:val="22"/>
          <w:szCs w:val="22"/>
        </w:rPr>
        <w:t xml:space="preserve">état et des mesures </w:t>
      </w:r>
      <w:r w:rsidR="00BD64BA" w:rsidRPr="00FA6E69">
        <w:rPr>
          <w:rFonts w:eastAsia="Malgun Gothic" w:cs="Times New Roman"/>
          <w:kern w:val="22"/>
          <w:szCs w:val="22"/>
        </w:rPr>
        <w:t>c</w:t>
      </w:r>
      <w:r w:rsidRPr="00FA6E69">
        <w:rPr>
          <w:rFonts w:eastAsia="Malgun Gothic" w:cs="Times New Roman"/>
          <w:kern w:val="22"/>
          <w:szCs w:val="22"/>
        </w:rPr>
        <w:t>omme il ressort des cinquièmes rapports nationaux. En tant que telles, les catégories indiquent la trajectoire actuelle des progrès accomplis et suppose</w:t>
      </w:r>
      <w:r w:rsidR="005F425E" w:rsidRPr="00FA6E69">
        <w:rPr>
          <w:rFonts w:eastAsia="Malgun Gothic" w:cs="Times New Roman"/>
          <w:kern w:val="22"/>
          <w:szCs w:val="22"/>
        </w:rPr>
        <w:t>nt</w:t>
      </w:r>
      <w:r w:rsidRPr="00FA6E69">
        <w:rPr>
          <w:rFonts w:eastAsia="Malgun Gothic" w:cs="Times New Roman"/>
          <w:kern w:val="22"/>
          <w:szCs w:val="22"/>
        </w:rPr>
        <w:t xml:space="preserve"> que celle</w:t>
      </w:r>
      <w:r w:rsidR="009F23B8" w:rsidRPr="00FA6E69">
        <w:rPr>
          <w:rFonts w:eastAsia="Malgun Gothic" w:cs="Times New Roman"/>
          <w:kern w:val="22"/>
          <w:szCs w:val="22"/>
        </w:rPr>
        <w:noBreakHyphen/>
      </w:r>
      <w:r w:rsidRPr="00FA6E69">
        <w:rPr>
          <w:rFonts w:eastAsia="Malgun Gothic" w:cs="Times New Roman"/>
          <w:kern w:val="22"/>
          <w:szCs w:val="22"/>
        </w:rPr>
        <w:t>ci restera inchangée entre le moment où l</w:t>
      </w:r>
      <w:r w:rsidR="00DB1547" w:rsidRPr="00FA6E69">
        <w:rPr>
          <w:rFonts w:eastAsia="Malgun Gothic" w:cs="Times New Roman"/>
          <w:kern w:val="22"/>
          <w:szCs w:val="22"/>
        </w:rPr>
        <w:t>e rapport national</w:t>
      </w:r>
      <w:r w:rsidRPr="00FA6E69">
        <w:rPr>
          <w:rFonts w:eastAsia="Malgun Gothic" w:cs="Times New Roman"/>
          <w:kern w:val="22"/>
          <w:szCs w:val="22"/>
        </w:rPr>
        <w:t xml:space="preserve"> a été réalisé et l</w:t>
      </w:r>
      <w:r w:rsidR="00E964B4" w:rsidRPr="00FA6E69">
        <w:rPr>
          <w:rFonts w:eastAsia="Malgun Gothic" w:cs="Times New Roman"/>
          <w:kern w:val="22"/>
          <w:szCs w:val="22"/>
        </w:rPr>
        <w:t>’</w:t>
      </w:r>
      <w:r w:rsidRPr="00FA6E69">
        <w:rPr>
          <w:rFonts w:eastAsia="Malgun Gothic" w:cs="Times New Roman"/>
          <w:kern w:val="22"/>
          <w:szCs w:val="22"/>
        </w:rPr>
        <w:t>échéance de l</w:t>
      </w:r>
      <w:r w:rsidR="00E964B4" w:rsidRPr="00FA6E69">
        <w:rPr>
          <w:rFonts w:eastAsia="Malgun Gothic" w:cs="Times New Roman"/>
          <w:kern w:val="22"/>
          <w:szCs w:val="22"/>
        </w:rPr>
        <w:t>’</w:t>
      </w:r>
      <w:r w:rsidRPr="00FA6E69">
        <w:rPr>
          <w:rFonts w:eastAsia="Malgun Gothic" w:cs="Times New Roman"/>
          <w:kern w:val="22"/>
          <w:szCs w:val="22"/>
        </w:rPr>
        <w:t>objectif. De plus, cette évaluation ne prend pas en considération les particularités ni les références nationales. Par conséquent, ces informations ne sauraient être utilisées à des fins de comparaison des progrès accomplis entre les pays</w:t>
      </w:r>
      <w:r w:rsidR="00DB1547" w:rsidRPr="00FA6E69">
        <w:rPr>
          <w:rFonts w:eastAsia="Malgun Gothic" w:cs="Times New Roman"/>
          <w:kern w:val="22"/>
          <w:szCs w:val="22"/>
        </w:rPr>
        <w:t> ; e</w:t>
      </w:r>
      <w:r w:rsidRPr="00FA6E69">
        <w:rPr>
          <w:rFonts w:eastAsia="Malgun Gothic" w:cs="Times New Roman"/>
          <w:kern w:val="22"/>
          <w:szCs w:val="22"/>
        </w:rPr>
        <w:t>lles doivent uniquement servir à générer un schéma global des progrès accomplis dans la réalisation des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w:t>
      </w:r>
      <w:r w:rsidR="00D706A4" w:rsidRPr="00FA6E69">
        <w:rPr>
          <w:rFonts w:eastAsia="Malgun Gothic" w:cs="Times New Roman"/>
          <w:kern w:val="22"/>
          <w:szCs w:val="22"/>
        </w:rPr>
        <w:t>.</w:t>
      </w:r>
    </w:p>
    <w:p w:rsidR="00D706A4" w:rsidRPr="00FA6E69" w:rsidRDefault="00A02DD7" w:rsidP="000800F8">
      <w:pPr>
        <w:keepNext/>
        <w:numPr>
          <w:ilvl w:val="0"/>
          <w:numId w:val="61"/>
        </w:numPr>
        <w:suppressLineNumbers/>
        <w:tabs>
          <w:tab w:val="left" w:pos="1418"/>
        </w:tabs>
        <w:suppressAutoHyphens/>
        <w:spacing w:before="120" w:after="120"/>
        <w:ind w:left="1418"/>
        <w:jc w:val="left"/>
        <w:rPr>
          <w:rFonts w:cs="Times New Roman"/>
          <w:b/>
          <w:bCs/>
        </w:rPr>
      </w:pPr>
      <w:r w:rsidRPr="00FA6E69">
        <w:rPr>
          <w:rFonts w:cs="Times New Roman"/>
          <w:b/>
          <w:bCs/>
          <w:szCs w:val="22"/>
        </w:rPr>
        <w:lastRenderedPageBreak/>
        <w:t>OBJECTIFS NATIONAUX DES STRATÉGIES ET PLANS D</w:t>
      </w:r>
      <w:r w:rsidR="00E964B4" w:rsidRPr="00FA6E69">
        <w:rPr>
          <w:rFonts w:cs="Times New Roman"/>
          <w:b/>
          <w:bCs/>
          <w:szCs w:val="22"/>
        </w:rPr>
        <w:t>’</w:t>
      </w:r>
      <w:r w:rsidRPr="00FA6E69">
        <w:rPr>
          <w:rFonts w:cs="Times New Roman"/>
          <w:b/>
          <w:bCs/>
          <w:szCs w:val="22"/>
        </w:rPr>
        <w:t>ACTION NATIONAUX POUR LA DIVERSITÉ BIOLOGIQUE ÉTABLIS CONFORMÉMENT AUX OBJECTIFS D</w:t>
      </w:r>
      <w:r w:rsidR="00E964B4" w:rsidRPr="00FA6E69">
        <w:rPr>
          <w:rFonts w:cs="Times New Roman"/>
          <w:b/>
          <w:bCs/>
          <w:szCs w:val="22"/>
        </w:rPr>
        <w:t>’</w:t>
      </w:r>
      <w:r w:rsidRPr="00FA6E69">
        <w:rPr>
          <w:rFonts w:cs="Times New Roman"/>
          <w:b/>
          <w:bCs/>
          <w:szCs w:val="22"/>
        </w:rPr>
        <w:t>AICHI POUR LA BIODIVERSITÉ ET PROGRÈS ACCOMPLIS DANS LA RÉALISATION DES OBJECTIFS D</w:t>
      </w:r>
      <w:r w:rsidR="00E964B4" w:rsidRPr="00FA6E69">
        <w:rPr>
          <w:rFonts w:cs="Times New Roman"/>
          <w:b/>
          <w:bCs/>
          <w:szCs w:val="22"/>
        </w:rPr>
        <w:t>’</w:t>
      </w:r>
      <w:r w:rsidRPr="00FA6E69">
        <w:rPr>
          <w:rFonts w:cs="Times New Roman"/>
          <w:b/>
          <w:bCs/>
          <w:szCs w:val="22"/>
        </w:rPr>
        <w:t>AICHI POUR LA BIODIVERSITÉ</w:t>
      </w:r>
    </w:p>
    <w:p w:rsidR="00D706A4" w:rsidRPr="00FA6E69" w:rsidRDefault="00A02DD7" w:rsidP="000800F8">
      <w:pPr>
        <w:keepNext/>
        <w:suppressLineNumbers/>
        <w:suppressAutoHyphens/>
        <w:spacing w:after="120"/>
        <w:rPr>
          <w:rFonts w:cs="Times New Roman"/>
          <w:i/>
          <w:iCs/>
          <w:color w:val="000000"/>
          <w:shd w:val="clear" w:color="auto" w:fill="FFFFFF"/>
        </w:rPr>
      </w:pPr>
      <w:r w:rsidRPr="00FA6E69">
        <w:rPr>
          <w:rFonts w:cs="Times New Roman"/>
          <w:i/>
          <w:iCs/>
          <w:color w:val="000000"/>
          <w:szCs w:val="22"/>
          <w:shd w:val="clear" w:color="auto" w:fill="FFFFFF"/>
        </w:rPr>
        <w:t xml:space="preserve">Objectif 1 </w:t>
      </w:r>
      <w:r w:rsidRPr="00FA6E69">
        <w:rPr>
          <w:rFonts w:cs="Times New Roman"/>
          <w:color w:val="000000"/>
          <w:kern w:val="22"/>
          <w:szCs w:val="22"/>
        </w:rPr>
        <w:t>–</w:t>
      </w:r>
      <w:r w:rsidRPr="00FA6E69">
        <w:rPr>
          <w:rFonts w:cs="Times New Roman"/>
          <w:i/>
          <w:iCs/>
          <w:color w:val="000000"/>
          <w:szCs w:val="22"/>
          <w:shd w:val="clear" w:color="auto" w:fill="FFFFFF"/>
        </w:rPr>
        <w:t xml:space="preserve">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au plus tard, les individus sont conscients de la valeur de la diversité biologique et des mesures qu</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ils peuvent prendre pour la conserver et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utiliser de manière durable</w:t>
      </w:r>
    </w:p>
    <w:p w:rsidR="00AB340A" w:rsidRPr="006D563D" w:rsidRDefault="000E29B5" w:rsidP="006D563D">
      <w:pPr>
        <w:pStyle w:val="Para1"/>
        <w:keepNext/>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Environ le </w:t>
      </w:r>
      <w:r w:rsidR="00DB1547" w:rsidRPr="00FA6E69">
        <w:rPr>
          <w:rFonts w:eastAsia="Malgun Gothic" w:cs="Times New Roman"/>
          <w:color w:val="000000"/>
          <w:kern w:val="22"/>
          <w:szCs w:val="22"/>
        </w:rPr>
        <w:t>quart</w:t>
      </w:r>
      <w:r w:rsidRPr="00FA6E69">
        <w:rPr>
          <w:rFonts w:eastAsia="Malgun Gothic" w:cs="Times New Roman"/>
          <w:color w:val="000000"/>
          <w:kern w:val="22"/>
          <w:szCs w:val="22"/>
        </w:rPr>
        <w:t xml:space="preserve"> (</w:t>
      </w:r>
      <w:r w:rsidR="00DB1547" w:rsidRPr="00FA6E69">
        <w:rPr>
          <w:rFonts w:eastAsia="Malgun Gothic" w:cs="Times New Roman"/>
          <w:color w:val="000000"/>
          <w:kern w:val="22"/>
          <w:szCs w:val="22"/>
        </w:rPr>
        <w:t>27</w:t>
      </w:r>
      <w:r w:rsidR="00A02DD7"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A02DD7" w:rsidRPr="00FA6E69">
        <w:rPr>
          <w:rFonts w:eastAsia="Malgun Gothic" w:cs="Times New Roman"/>
          <w:color w:val="000000"/>
          <w:kern w:val="22"/>
          <w:szCs w:val="22"/>
        </w:rPr>
        <w:t>) des SPANB examinés dans le cadre de cette analyse contenaient des objectifs ou engagements nationaux qui étaient proportionnés à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ambition définis dans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Aichi</w:t>
      </w:r>
      <w:r w:rsidR="00A02DD7" w:rsidRPr="00FA6E69">
        <w:rPr>
          <w:rFonts w:eastAsia="Malgun Gothic" w:cs="Times New Roman"/>
          <w:color w:val="000000"/>
          <w:kern w:val="22"/>
          <w:szCs w:val="22"/>
          <w:vertAlign w:val="superscript"/>
        </w:rPr>
        <w:footnoteReference w:id="10"/>
      </w:r>
      <w:r w:rsidR="00A02DD7" w:rsidRPr="00FA6E69">
        <w:rPr>
          <w:rFonts w:eastAsia="Malgun Gothic" w:cs="Times New Roman"/>
          <w:color w:val="000000"/>
          <w:kern w:val="22"/>
          <w:szCs w:val="22"/>
        </w:rPr>
        <w:t>.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 1 fait partie des objectifs qui présentent la plus grande concordance avec les objectifs nationaux des SPANB. Cependant, plus de la moitié (</w:t>
      </w:r>
      <w:r w:rsidR="00502EE3" w:rsidRPr="00FA6E69">
        <w:rPr>
          <w:rFonts w:eastAsia="Malgun Gothic" w:cs="Times New Roman"/>
          <w:color w:val="000000"/>
          <w:kern w:val="22"/>
          <w:szCs w:val="22"/>
        </w:rPr>
        <w:t>61</w:t>
      </w:r>
      <w:r w:rsidR="00A02DD7"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A02DD7" w:rsidRPr="00FA6E69">
        <w:rPr>
          <w:rFonts w:eastAsia="Malgun Gothic" w:cs="Times New Roman"/>
          <w:color w:val="000000"/>
          <w:kern w:val="22"/>
          <w:szCs w:val="22"/>
        </w:rPr>
        <w:t>) des SPANB ont des objectifs ou engagements nationaux inférieurs à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Aichi ou ne traitent pas tous les éléments de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Environ 12</w:t>
      </w:r>
      <w:r w:rsidR="00A02DD7"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A02DD7" w:rsidRPr="00FA6E69">
        <w:rPr>
          <w:rFonts w:eastAsia="Malgun Gothic" w:cs="Times New Roman"/>
          <w:color w:val="000000"/>
          <w:kern w:val="22"/>
          <w:szCs w:val="22"/>
        </w:rPr>
        <w:t xml:space="preserve"> des SPANB ne contiennent aucun objectif ou engagement relatif à l</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Aichi pour la biodiversité. La majorité des objectifs semble se concentrer sur une prise de conscience croissante de la biodiversité. Par comparaison, il y a moins d</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objectifs nationaux qui traitent de la sensibilisation des individus aux mesures qu</w:t>
      </w:r>
      <w:r w:rsidR="00E964B4" w:rsidRPr="00FA6E69">
        <w:rPr>
          <w:rFonts w:eastAsia="Malgun Gothic" w:cs="Times New Roman"/>
          <w:color w:val="000000"/>
          <w:kern w:val="22"/>
          <w:szCs w:val="22"/>
        </w:rPr>
        <w:t>’</w:t>
      </w:r>
      <w:r w:rsidR="00A02DD7" w:rsidRPr="00FA6E69">
        <w:rPr>
          <w:rFonts w:eastAsia="Malgun Gothic" w:cs="Times New Roman"/>
          <w:color w:val="000000"/>
          <w:kern w:val="22"/>
          <w:szCs w:val="22"/>
        </w:rPr>
        <w:t>ils peuvent prendre pour conserver la biodiversité.</w:t>
      </w:r>
    </w:p>
    <w:p w:rsidR="00AB340A" w:rsidRPr="00FA6E69" w:rsidRDefault="00B65D02" w:rsidP="00C067EE">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S</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agi</w:t>
      </w:r>
      <w:r w:rsidR="000E29B5" w:rsidRPr="00FA6E69">
        <w:rPr>
          <w:rFonts w:eastAsia="Malgun Gothic" w:cs="Times New Roman"/>
          <w:color w:val="000000"/>
          <w:kern w:val="22"/>
          <w:szCs w:val="22"/>
        </w:rPr>
        <w:t>ssant des rapports nationaux, 16</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entre eux suggèrent 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sera atteint, ta</w:t>
      </w:r>
      <w:r w:rsidR="000E29B5" w:rsidRPr="00FA6E69">
        <w:rPr>
          <w:rFonts w:eastAsia="Malgun Gothic" w:cs="Times New Roman"/>
          <w:color w:val="000000"/>
          <w:kern w:val="22"/>
          <w:szCs w:val="22"/>
        </w:rPr>
        <w:t>ndis que plus des deux tiers (</w:t>
      </w:r>
      <w:r w:rsidR="00502EE3" w:rsidRPr="00FA6E69">
        <w:rPr>
          <w:rFonts w:eastAsia="Malgun Gothic" w:cs="Times New Roman"/>
          <w:color w:val="000000"/>
          <w:kern w:val="22"/>
          <w:szCs w:val="22"/>
        </w:rPr>
        <w:t>69</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contiennent des informations suggérant que des progrès sont accomplis dans la réalisation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mais à un rythme qui ne permettra pas de le réaliser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ici à</w:t>
      </w:r>
      <w:r w:rsidR="00360989" w:rsidRPr="00FA6E69">
        <w:rPr>
          <w:rFonts w:eastAsia="Malgun Gothic" w:cs="Times New Roman"/>
          <w:color w:val="000000"/>
          <w:kern w:val="22"/>
          <w:szCs w:val="22"/>
        </w:rPr>
        <w:t> 2020</w:t>
      </w:r>
      <w:r w:rsidRPr="00FA6E69">
        <w:rPr>
          <w:rFonts w:eastAsia="Malgun Gothic" w:cs="Times New Roman"/>
          <w:color w:val="000000"/>
          <w:kern w:val="22"/>
          <w:szCs w:val="22"/>
        </w:rPr>
        <w:t xml:space="preserve">. Environ </w:t>
      </w:r>
      <w:r w:rsidR="00502EE3" w:rsidRPr="00FA6E69">
        <w:rPr>
          <w:rFonts w:eastAsia="Malgun Gothic" w:cs="Times New Roman"/>
          <w:color w:val="000000"/>
          <w:kern w:val="22"/>
          <w:szCs w:val="22"/>
        </w:rPr>
        <w:t>9</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indiquent qu</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il n</w:t>
      </w:r>
      <w:r w:rsidR="00E964B4" w:rsidRPr="00FA6E69">
        <w:rPr>
          <w:rFonts w:eastAsia="Malgun Gothic" w:cs="Times New Roman"/>
          <w:color w:val="000000"/>
          <w:kern w:val="22"/>
          <w:szCs w:val="22"/>
        </w:rPr>
        <w:t>’</w:t>
      </w:r>
      <w:r w:rsidRPr="00FA6E69">
        <w:rPr>
          <w:rFonts w:eastAsia="Malgun Gothic" w:cs="Times New Roman"/>
          <w:color w:val="000000"/>
          <w:kern w:val="22"/>
          <w:szCs w:val="22"/>
        </w:rPr>
        <w:t>y a pas eu de changement significatif et aucun rapport ne suggère la dégradation de la sensibilisation à la biodiversité. Les informations contenues dans les rapports nationaux suggèrent également que les deux éléments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(sensibilisation accrue des personnes face à la biodiversité et sensibilisation des personnes face aux mesures à prendre) sont traités par les Parties ; cependant, un nombre moins important de Parties prennent des mesures directement en lien avec la sensibilisation des mesures qu</w:t>
      </w:r>
      <w:r w:rsidR="00E964B4" w:rsidRPr="00FA6E69">
        <w:rPr>
          <w:rFonts w:eastAsia="Malgun Gothic" w:cs="Times New Roman"/>
          <w:color w:val="000000"/>
          <w:kern w:val="22"/>
          <w:szCs w:val="22"/>
        </w:rPr>
        <w:t>’</w:t>
      </w:r>
      <w:r w:rsidRPr="00FA6E69">
        <w:rPr>
          <w:rFonts w:eastAsia="Malgun Gothic" w:cs="Times New Roman"/>
          <w:color w:val="000000"/>
          <w:kern w:val="22"/>
          <w:szCs w:val="22"/>
        </w:rPr>
        <w:t>elles pourraient prendre pour la conservation et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utilisation durable de la biodiversité</w:t>
      </w:r>
      <w:r w:rsidR="00AB340A" w:rsidRPr="00FA6E69">
        <w:rPr>
          <w:rFonts w:eastAsia="Malgun Gothic" w:cs="Times New Roman"/>
          <w:color w:val="000000"/>
          <w:kern w:val="22"/>
          <w:szCs w:val="22"/>
        </w:rPr>
        <w:t>.</w:t>
      </w:r>
    </w:p>
    <w:p w:rsidR="00AB340A" w:rsidRPr="00FA6E69" w:rsidRDefault="00B65D02" w:rsidP="00297BEE">
      <w:pPr>
        <w:suppressLineNumbers/>
        <w:suppressAutoHyphens/>
        <w:spacing w:after="120"/>
        <w:rPr>
          <w:rFonts w:cs="Times New Roman"/>
          <w:i/>
          <w:iCs/>
          <w:color w:val="000000"/>
          <w:shd w:val="clear" w:color="auto" w:fill="FFFFFF"/>
        </w:rPr>
      </w:pPr>
      <w:r w:rsidRPr="00FA6E69">
        <w:rPr>
          <w:rFonts w:cs="Times New Roman"/>
          <w:i/>
          <w:iCs/>
          <w:color w:val="000000"/>
          <w:szCs w:val="22"/>
          <w:shd w:val="clear" w:color="auto" w:fill="FFFFFF"/>
        </w:rPr>
        <w:t xml:space="preserve">Objectif 2 </w:t>
      </w:r>
      <w:r w:rsidRPr="00FA6E69">
        <w:rPr>
          <w:rFonts w:cs="Times New Roman"/>
          <w:color w:val="000000"/>
          <w:kern w:val="22"/>
          <w:szCs w:val="22"/>
        </w:rPr>
        <w:t>–</w:t>
      </w:r>
      <w:r w:rsidRPr="00FA6E69">
        <w:rPr>
          <w:rFonts w:cs="Times New Roman"/>
          <w:i/>
          <w:iCs/>
          <w:color w:val="000000"/>
          <w:szCs w:val="22"/>
        </w:rPr>
        <w:t xml:space="preserve"> </w:t>
      </w:r>
      <w:r w:rsidRPr="00FA6E69">
        <w:rPr>
          <w:rFonts w:cs="Times New Roman"/>
          <w:i/>
          <w:iCs/>
          <w:color w:val="000000"/>
          <w:szCs w:val="22"/>
          <w:shd w:val="clear" w:color="auto" w:fill="FFFFFF"/>
        </w:rPr>
        <w:t>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au plus tard, les valeurs de la biodiversité ont été intégrées dans les stratégies et les processus de planification nationaux et locaux de développement et de réduction de la pauvreté, et incorporées dans les comptes nationaux, selon que de besoin, et dans les systèmes de notification</w:t>
      </w:r>
    </w:p>
    <w:p w:rsidR="00AB340A" w:rsidRPr="006D563D" w:rsidRDefault="007B3CF0"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cs="Times New Roman"/>
          <w:color w:val="000000"/>
          <w:kern w:val="22"/>
          <w:szCs w:val="22"/>
          <w:shd w:val="clear" w:color="auto" w:fill="FFFFFF"/>
        </w:rPr>
        <w:t xml:space="preserve">Seulement </w:t>
      </w:r>
      <w:r w:rsidR="00502EE3" w:rsidRPr="00FA6E69">
        <w:rPr>
          <w:rFonts w:cs="Times New Roman"/>
          <w:color w:val="000000"/>
          <w:kern w:val="22"/>
          <w:szCs w:val="22"/>
          <w:shd w:val="clear" w:color="auto" w:fill="FFFFFF"/>
        </w:rPr>
        <w:t>6</w:t>
      </w:r>
      <w:r w:rsidR="00E15FB3" w:rsidRPr="00FA6E69">
        <w:rPr>
          <w:rFonts w:cs="Times New Roman"/>
          <w:color w:val="000000"/>
          <w:kern w:val="22"/>
          <w:szCs w:val="22"/>
          <w:shd w:val="clear" w:color="auto" w:fill="FFFFFF"/>
        </w:rPr>
        <w:t> </w:t>
      </w:r>
      <w:r w:rsidR="00360989" w:rsidRPr="00FA6E69">
        <w:rPr>
          <w:rFonts w:cs="Times New Roman"/>
          <w:color w:val="000000"/>
          <w:kern w:val="22"/>
          <w:szCs w:val="22"/>
        </w:rPr>
        <w:t>pour cent</w:t>
      </w:r>
      <w:r w:rsidR="00E15FB3" w:rsidRPr="00FA6E69">
        <w:rPr>
          <w:rFonts w:cs="Times New Roman"/>
          <w:color w:val="000000"/>
          <w:kern w:val="22"/>
          <w:szCs w:val="22"/>
        </w:rPr>
        <w:t xml:space="preserve"> des SPANB contiennent des objectifs nationaux ou engagements similaires qui correspondent à l</w:t>
      </w:r>
      <w:r w:rsidR="00E964B4" w:rsidRPr="00FA6E69">
        <w:rPr>
          <w:rFonts w:cs="Times New Roman"/>
          <w:color w:val="000000"/>
          <w:kern w:val="22"/>
          <w:szCs w:val="22"/>
        </w:rPr>
        <w:t>’</w:t>
      </w:r>
      <w:r w:rsidR="00E15FB3" w:rsidRPr="00FA6E69">
        <w:rPr>
          <w:rFonts w:cs="Times New Roman"/>
          <w:color w:val="000000"/>
          <w:kern w:val="22"/>
          <w:szCs w:val="22"/>
        </w:rPr>
        <w:t>étendue et au niveau d</w:t>
      </w:r>
      <w:r w:rsidR="00E964B4" w:rsidRPr="00FA6E69">
        <w:rPr>
          <w:rFonts w:cs="Times New Roman"/>
          <w:color w:val="000000"/>
          <w:kern w:val="22"/>
          <w:szCs w:val="22"/>
        </w:rPr>
        <w:t>’</w:t>
      </w:r>
      <w:r w:rsidR="00E15FB3" w:rsidRPr="00FA6E69">
        <w:rPr>
          <w:rFonts w:cs="Times New Roman"/>
          <w:color w:val="000000"/>
          <w:kern w:val="22"/>
          <w:szCs w:val="22"/>
        </w:rPr>
        <w:t>ambition définis dans l</w:t>
      </w:r>
      <w:r w:rsidR="00E964B4" w:rsidRPr="00FA6E69">
        <w:rPr>
          <w:rFonts w:cs="Times New Roman"/>
          <w:color w:val="000000"/>
          <w:kern w:val="22"/>
          <w:szCs w:val="22"/>
        </w:rPr>
        <w:t>’</w:t>
      </w:r>
      <w:r w:rsidR="00E15FB3" w:rsidRPr="00FA6E69">
        <w:rPr>
          <w:rFonts w:cs="Times New Roman"/>
          <w:color w:val="000000"/>
          <w:kern w:val="22"/>
          <w:szCs w:val="22"/>
        </w:rPr>
        <w:t>Objectif 2 d</w:t>
      </w:r>
      <w:r w:rsidR="00E964B4" w:rsidRPr="00FA6E69">
        <w:rPr>
          <w:rFonts w:cs="Times New Roman"/>
          <w:color w:val="000000"/>
          <w:kern w:val="22"/>
          <w:szCs w:val="22"/>
        </w:rPr>
        <w:t>’</w:t>
      </w:r>
      <w:r w:rsidR="00E15FB3" w:rsidRPr="00FA6E69">
        <w:rPr>
          <w:rFonts w:cs="Times New Roman"/>
          <w:color w:val="000000"/>
          <w:kern w:val="22"/>
          <w:szCs w:val="22"/>
        </w:rPr>
        <w:t>Aichi</w:t>
      </w:r>
      <w:r w:rsidR="00E15FB3" w:rsidRPr="00FA6E69">
        <w:rPr>
          <w:rStyle w:val="Refdenotaalpie"/>
          <w:rFonts w:cs="Times New Roman"/>
          <w:color w:val="000000"/>
          <w:kern w:val="22"/>
          <w:sz w:val="22"/>
          <w:szCs w:val="22"/>
          <w:u w:val="none"/>
          <w:vertAlign w:val="superscript"/>
        </w:rPr>
        <w:footnoteReference w:id="11"/>
      </w:r>
      <w:r w:rsidR="00E15FB3" w:rsidRPr="00FA6E69">
        <w:rPr>
          <w:rFonts w:cs="Times New Roman"/>
          <w:color w:val="000000"/>
          <w:kern w:val="22"/>
          <w:szCs w:val="22"/>
        </w:rPr>
        <w:t xml:space="preserve"> et </w:t>
      </w:r>
      <w:r w:rsidRPr="00FA6E69">
        <w:rPr>
          <w:rFonts w:cs="Times New Roman"/>
          <w:color w:val="000000"/>
          <w:kern w:val="22"/>
          <w:szCs w:val="22"/>
        </w:rPr>
        <w:t>une Partie</w:t>
      </w:r>
      <w:r w:rsidR="00E15FB3" w:rsidRPr="00FA6E69">
        <w:rPr>
          <w:rFonts w:cs="Times New Roman"/>
          <w:color w:val="000000"/>
          <w:kern w:val="22"/>
          <w:szCs w:val="22"/>
        </w:rPr>
        <w:t xml:space="preserve"> </w:t>
      </w:r>
      <w:r w:rsidRPr="00FA6E69">
        <w:rPr>
          <w:rFonts w:cs="Times New Roman"/>
          <w:color w:val="000000"/>
          <w:kern w:val="22"/>
          <w:szCs w:val="22"/>
        </w:rPr>
        <w:t>a</w:t>
      </w:r>
      <w:r w:rsidR="00E15FB3" w:rsidRPr="00FA6E69">
        <w:rPr>
          <w:rFonts w:cs="Times New Roman"/>
          <w:color w:val="000000"/>
          <w:kern w:val="22"/>
          <w:szCs w:val="22"/>
        </w:rPr>
        <w:t xml:space="preserve"> établi des objectifs qui dépassent l</w:t>
      </w:r>
      <w:r w:rsidR="00E964B4" w:rsidRPr="00FA6E69">
        <w:rPr>
          <w:rFonts w:cs="Times New Roman"/>
          <w:color w:val="000000"/>
          <w:kern w:val="22"/>
          <w:szCs w:val="22"/>
        </w:rPr>
        <w:t>’</w:t>
      </w:r>
      <w:r w:rsidR="00E15FB3" w:rsidRPr="00FA6E69">
        <w:rPr>
          <w:rFonts w:cs="Times New Roman"/>
          <w:color w:val="000000"/>
          <w:kern w:val="22"/>
          <w:szCs w:val="22"/>
        </w:rPr>
        <w:t>Objectif d</w:t>
      </w:r>
      <w:r w:rsidR="00E964B4" w:rsidRPr="00FA6E69">
        <w:rPr>
          <w:rFonts w:cs="Times New Roman"/>
          <w:color w:val="000000"/>
          <w:kern w:val="22"/>
          <w:szCs w:val="22"/>
        </w:rPr>
        <w:t>’</w:t>
      </w:r>
      <w:r w:rsidR="00E15FB3" w:rsidRPr="00FA6E69">
        <w:rPr>
          <w:rFonts w:cs="Times New Roman"/>
          <w:color w:val="000000"/>
          <w:kern w:val="22"/>
          <w:szCs w:val="22"/>
        </w:rPr>
        <w:t>Aichi car</w:t>
      </w:r>
      <w:r w:rsidR="008C0A8F" w:rsidRPr="00FA6E69">
        <w:rPr>
          <w:rFonts w:cs="Times New Roman"/>
          <w:color w:val="000000"/>
          <w:kern w:val="22"/>
          <w:szCs w:val="22"/>
        </w:rPr>
        <w:t xml:space="preserve"> il est assorti d’un délai plus rapproché</w:t>
      </w:r>
      <w:r w:rsidR="00D616F5" w:rsidRPr="00FA6E69">
        <w:rPr>
          <w:rFonts w:cs="Times New Roman"/>
          <w:color w:val="000000"/>
          <w:kern w:val="22"/>
          <w:szCs w:val="22"/>
        </w:rPr>
        <w:t>.</w:t>
      </w:r>
      <w:r w:rsidR="00E15FB3" w:rsidRPr="00FA6E69">
        <w:rPr>
          <w:rStyle w:val="Refdenotaalpie"/>
          <w:rFonts w:eastAsia="Malgun Gothic" w:cs="Times New Roman"/>
          <w:color w:val="000000"/>
          <w:kern w:val="22"/>
          <w:sz w:val="22"/>
          <w:szCs w:val="22"/>
          <w:u w:val="none"/>
          <w:vertAlign w:val="superscript"/>
        </w:rPr>
        <w:footnoteReference w:id="12"/>
      </w:r>
      <w:r w:rsidR="00E15FB3" w:rsidRPr="00FA6E69">
        <w:rPr>
          <w:rFonts w:eastAsia="Malgun Gothic" w:cs="Times New Roman"/>
          <w:color w:val="000000"/>
          <w:kern w:val="22"/>
          <w:szCs w:val="22"/>
        </w:rPr>
        <w:t xml:space="preserve"> </w:t>
      </w:r>
      <w:r w:rsidR="00D418BB" w:rsidRPr="00FA6E69">
        <w:rPr>
          <w:rFonts w:cs="Times New Roman"/>
          <w:color w:val="000000"/>
          <w:kern w:val="22"/>
          <w:szCs w:val="22"/>
        </w:rPr>
        <w:t>Plus des trois quarts (</w:t>
      </w:r>
      <w:r w:rsidR="00502EE3" w:rsidRPr="00FA6E69">
        <w:rPr>
          <w:rFonts w:cs="Times New Roman"/>
          <w:color w:val="000000"/>
          <w:kern w:val="22"/>
          <w:szCs w:val="22"/>
        </w:rPr>
        <w:t>78</w:t>
      </w:r>
      <w:r w:rsidR="00E15FB3" w:rsidRPr="00FA6E69">
        <w:rPr>
          <w:rFonts w:cs="Times New Roman"/>
          <w:color w:val="000000"/>
          <w:kern w:val="22"/>
          <w:szCs w:val="22"/>
        </w:rPr>
        <w:t> </w:t>
      </w:r>
      <w:r w:rsidR="00360989" w:rsidRPr="00FA6E69">
        <w:rPr>
          <w:rFonts w:cs="Times New Roman"/>
          <w:color w:val="000000"/>
          <w:kern w:val="22"/>
          <w:szCs w:val="22"/>
        </w:rPr>
        <w:t>pour cent</w:t>
      </w:r>
      <w:r w:rsidR="00E15FB3" w:rsidRPr="00FA6E69">
        <w:rPr>
          <w:rFonts w:cs="Times New Roman"/>
          <w:color w:val="000000"/>
          <w:kern w:val="22"/>
          <w:szCs w:val="22"/>
        </w:rPr>
        <w:t>) des SPANB contiennent des objectifs ou engagements nationaux inférieurs à l</w:t>
      </w:r>
      <w:r w:rsidR="00E964B4" w:rsidRPr="00FA6E69">
        <w:rPr>
          <w:rFonts w:cs="Times New Roman"/>
          <w:color w:val="000000"/>
          <w:kern w:val="22"/>
          <w:szCs w:val="22"/>
        </w:rPr>
        <w:t>’</w:t>
      </w:r>
      <w:r w:rsidR="00E15FB3" w:rsidRPr="00FA6E69">
        <w:rPr>
          <w:rFonts w:cs="Times New Roman"/>
          <w:color w:val="000000"/>
          <w:kern w:val="22"/>
          <w:szCs w:val="22"/>
        </w:rPr>
        <w:t>Objectif d</w:t>
      </w:r>
      <w:r w:rsidR="00E964B4" w:rsidRPr="00FA6E69">
        <w:rPr>
          <w:rFonts w:cs="Times New Roman"/>
          <w:color w:val="000000"/>
          <w:kern w:val="22"/>
          <w:szCs w:val="22"/>
        </w:rPr>
        <w:t>’</w:t>
      </w:r>
      <w:r w:rsidR="00E15FB3" w:rsidRPr="00FA6E69">
        <w:rPr>
          <w:rFonts w:cs="Times New Roman"/>
          <w:color w:val="000000"/>
          <w:kern w:val="22"/>
          <w:szCs w:val="22"/>
        </w:rPr>
        <w:t>Aichi ou</w:t>
      </w:r>
      <w:r w:rsidR="007F3493" w:rsidRPr="00FA6E69">
        <w:rPr>
          <w:rFonts w:cs="Times New Roman"/>
          <w:color w:val="000000"/>
          <w:kern w:val="22"/>
          <w:szCs w:val="22"/>
        </w:rPr>
        <w:t xml:space="preserve"> qui</w:t>
      </w:r>
      <w:r w:rsidR="00E15FB3" w:rsidRPr="00FA6E69">
        <w:rPr>
          <w:rFonts w:cs="Times New Roman"/>
          <w:color w:val="000000"/>
          <w:kern w:val="22"/>
          <w:szCs w:val="22"/>
        </w:rPr>
        <w:t xml:space="preserve"> </w:t>
      </w:r>
      <w:r w:rsidR="00074D29" w:rsidRPr="00FA6E69">
        <w:rPr>
          <w:rFonts w:cs="Times New Roman"/>
          <w:color w:val="000000"/>
          <w:kern w:val="22"/>
          <w:szCs w:val="22"/>
        </w:rPr>
        <w:t>n’abordent</w:t>
      </w:r>
      <w:r w:rsidR="00E15FB3" w:rsidRPr="00FA6E69">
        <w:rPr>
          <w:rFonts w:cs="Times New Roman"/>
          <w:color w:val="000000"/>
          <w:kern w:val="22"/>
          <w:szCs w:val="22"/>
        </w:rPr>
        <w:t xml:space="preserve"> pas tous les éléments de l</w:t>
      </w:r>
      <w:r w:rsidR="00E964B4" w:rsidRPr="00FA6E69">
        <w:rPr>
          <w:rFonts w:cs="Times New Roman"/>
          <w:color w:val="000000"/>
          <w:kern w:val="22"/>
          <w:szCs w:val="22"/>
        </w:rPr>
        <w:t>’</w:t>
      </w:r>
      <w:r w:rsidR="00E15FB3" w:rsidRPr="00FA6E69">
        <w:rPr>
          <w:rFonts w:cs="Times New Roman"/>
          <w:color w:val="000000"/>
          <w:kern w:val="22"/>
          <w:szCs w:val="22"/>
        </w:rPr>
        <w:t>Objectif d</w:t>
      </w:r>
      <w:r w:rsidR="00E964B4" w:rsidRPr="00FA6E69">
        <w:rPr>
          <w:rFonts w:cs="Times New Roman"/>
          <w:color w:val="000000"/>
          <w:kern w:val="22"/>
          <w:szCs w:val="22"/>
        </w:rPr>
        <w:t>’</w:t>
      </w:r>
      <w:r w:rsidR="00E15FB3" w:rsidRPr="00FA6E69">
        <w:rPr>
          <w:rFonts w:cs="Times New Roman"/>
          <w:color w:val="000000"/>
          <w:kern w:val="22"/>
          <w:szCs w:val="22"/>
        </w:rPr>
        <w:t>Aichi. Environ 16 </w:t>
      </w:r>
      <w:r w:rsidR="00360989" w:rsidRPr="00FA6E69">
        <w:rPr>
          <w:rFonts w:cs="Times New Roman"/>
          <w:color w:val="000000"/>
          <w:kern w:val="22"/>
          <w:szCs w:val="22"/>
        </w:rPr>
        <w:t>pour cent</w:t>
      </w:r>
      <w:r w:rsidR="00E15FB3" w:rsidRPr="00FA6E69">
        <w:rPr>
          <w:rFonts w:cs="Times New Roman"/>
          <w:color w:val="000000"/>
          <w:kern w:val="22"/>
          <w:szCs w:val="22"/>
        </w:rPr>
        <w:t xml:space="preserve"> des SPANB ne contiennent aucun objectif national ni engagement similaire associé à l</w:t>
      </w:r>
      <w:r w:rsidR="00E964B4" w:rsidRPr="00FA6E69">
        <w:rPr>
          <w:rFonts w:cs="Times New Roman"/>
          <w:color w:val="000000"/>
          <w:kern w:val="22"/>
          <w:szCs w:val="22"/>
        </w:rPr>
        <w:t>’</w:t>
      </w:r>
      <w:r w:rsidR="00E15FB3" w:rsidRPr="00FA6E69">
        <w:rPr>
          <w:rFonts w:cs="Times New Roman"/>
          <w:color w:val="000000"/>
          <w:kern w:val="22"/>
          <w:szCs w:val="22"/>
        </w:rPr>
        <w:t>Objectif d</w:t>
      </w:r>
      <w:r w:rsidR="00E964B4" w:rsidRPr="00FA6E69">
        <w:rPr>
          <w:rFonts w:cs="Times New Roman"/>
          <w:color w:val="000000"/>
          <w:kern w:val="22"/>
          <w:szCs w:val="22"/>
        </w:rPr>
        <w:t>’</w:t>
      </w:r>
      <w:r w:rsidR="00E15FB3" w:rsidRPr="00FA6E69">
        <w:rPr>
          <w:rFonts w:cs="Times New Roman"/>
          <w:color w:val="000000"/>
          <w:kern w:val="22"/>
          <w:szCs w:val="22"/>
        </w:rPr>
        <w:t>Aichi. Parmi les objectifs définis, un nombre relativement peu important concerne l</w:t>
      </w:r>
      <w:r w:rsidR="00E964B4" w:rsidRPr="00FA6E69">
        <w:rPr>
          <w:rFonts w:cs="Times New Roman"/>
          <w:color w:val="000000"/>
          <w:kern w:val="22"/>
          <w:szCs w:val="22"/>
        </w:rPr>
        <w:t>’</w:t>
      </w:r>
      <w:r w:rsidR="00E15FB3" w:rsidRPr="00FA6E69">
        <w:rPr>
          <w:rFonts w:cs="Times New Roman"/>
          <w:color w:val="000000"/>
          <w:kern w:val="22"/>
          <w:szCs w:val="22"/>
        </w:rPr>
        <w:t>intégration des valeurs de la biodiversité dans les processus de planification nationaux et locaux, les comptes nationaux ou les systèmes de notification. Les objectifs nationaux qui ont été établis portent essentiellement sur l</w:t>
      </w:r>
      <w:r w:rsidR="00E964B4" w:rsidRPr="00FA6E69">
        <w:rPr>
          <w:rFonts w:cs="Times New Roman"/>
          <w:color w:val="000000"/>
          <w:kern w:val="22"/>
          <w:szCs w:val="22"/>
        </w:rPr>
        <w:t>’</w:t>
      </w:r>
      <w:r w:rsidR="00E15FB3" w:rsidRPr="00FA6E69">
        <w:rPr>
          <w:rFonts w:cs="Times New Roman"/>
          <w:color w:val="000000"/>
          <w:kern w:val="22"/>
          <w:szCs w:val="22"/>
        </w:rPr>
        <w:t>intégration des valeurs de la biodiversité dans les stratégies nationales de développement et de réduction de la pauvreté. De nombreux autres objectifs définis concernent la question de la cohérence politique et/ou de l</w:t>
      </w:r>
      <w:r w:rsidR="00E964B4" w:rsidRPr="00FA6E69">
        <w:rPr>
          <w:rFonts w:cs="Times New Roman"/>
          <w:color w:val="000000"/>
          <w:kern w:val="22"/>
          <w:szCs w:val="22"/>
        </w:rPr>
        <w:t>’</w:t>
      </w:r>
      <w:r w:rsidR="00E15FB3" w:rsidRPr="00FA6E69">
        <w:rPr>
          <w:rFonts w:cs="Times New Roman"/>
          <w:color w:val="000000"/>
          <w:kern w:val="22"/>
          <w:szCs w:val="22"/>
        </w:rPr>
        <w:t>intégration de la biodiversité dans la prise de décision de manière générale</w:t>
      </w:r>
      <w:r w:rsidR="00824C2B" w:rsidRPr="00FA6E69">
        <w:rPr>
          <w:rFonts w:cs="Times New Roman"/>
          <w:color w:val="000000"/>
          <w:kern w:val="22"/>
          <w:szCs w:val="22"/>
          <w:shd w:val="clear" w:color="auto" w:fill="FFFFFF"/>
        </w:rPr>
        <w:t>.</w:t>
      </w:r>
    </w:p>
    <w:p w:rsidR="00AB340A" w:rsidRPr="00FA6E69" w:rsidRDefault="00824C2B" w:rsidP="005349CF">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lastRenderedPageBreak/>
        <w:t>S</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agissant des rapports nationaux, moins de 10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contiennent des informations qui suggèrent que cet objectif est en voie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être atteint. Plus de 60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indiquent que des progrès sont accomplis dans la réalisation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2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mais à un rythme qui ne permettra pas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atteindre cet 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ici à</w:t>
      </w:r>
      <w:r w:rsidR="00360989" w:rsidRPr="00FA6E69">
        <w:rPr>
          <w:rFonts w:eastAsia="Malgun Gothic" w:cs="Times New Roman"/>
          <w:color w:val="000000"/>
          <w:kern w:val="22"/>
          <w:szCs w:val="22"/>
        </w:rPr>
        <w:t> 2020</w:t>
      </w:r>
      <w:r w:rsidRPr="00FA6E69">
        <w:rPr>
          <w:rFonts w:eastAsia="Malgun Gothic" w:cs="Times New Roman"/>
          <w:color w:val="000000"/>
          <w:kern w:val="22"/>
          <w:szCs w:val="22"/>
        </w:rPr>
        <w:t xml:space="preserve">. </w:t>
      </w:r>
      <w:r w:rsidR="00502EE3" w:rsidRPr="00FA6E69">
        <w:rPr>
          <w:rFonts w:eastAsia="Malgun Gothic" w:cs="Times New Roman"/>
          <w:color w:val="000000"/>
          <w:kern w:val="22"/>
          <w:szCs w:val="22"/>
        </w:rPr>
        <w:t xml:space="preserve">En outre, plus d’un cinquième (22 pour cent) des rapports nationaux indiquent qu’aucun changement significatif ne s’est produit depuis l’adoption du Plan stratégique pour la Biodiversité 2011-2020. </w:t>
      </w:r>
      <w:r w:rsidRPr="00FA6E69">
        <w:rPr>
          <w:rFonts w:eastAsia="Malgun Gothic" w:cs="Times New Roman"/>
          <w:color w:val="000000"/>
          <w:kern w:val="22"/>
          <w:szCs w:val="22"/>
        </w:rPr>
        <w:t>La plupart des progrès accomplis semblent être liés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intégration de la biodiversité dans les stratégies nationales de développement et de réduction de la pauvreté et dans les processus de planification nationaux et locaux. Par comparaison, moins de progrès ont été accomplis dans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intégration de la biodiversité dans les comptes nationaux et les systèmes de notification</w:t>
      </w:r>
      <w:r w:rsidR="00AB340A" w:rsidRPr="00FA6E69">
        <w:rPr>
          <w:rFonts w:eastAsia="Malgun Gothic" w:cs="Times New Roman"/>
          <w:color w:val="000000"/>
          <w:kern w:val="22"/>
          <w:szCs w:val="22"/>
        </w:rPr>
        <w:t>.</w:t>
      </w:r>
    </w:p>
    <w:p w:rsidR="00AB340A" w:rsidRPr="00FA6E69" w:rsidRDefault="00824C2B" w:rsidP="00297BEE">
      <w:pPr>
        <w:suppressLineNumbers/>
        <w:suppressAutoHyphens/>
        <w:spacing w:after="120"/>
        <w:rPr>
          <w:rFonts w:cs="Times New Roman"/>
          <w:snapToGrid w:val="0"/>
          <w:color w:val="000000"/>
          <w:kern w:val="22"/>
          <w:szCs w:val="22"/>
          <w:shd w:val="clear" w:color="auto" w:fill="FFFFFF"/>
        </w:rPr>
      </w:pPr>
      <w:r w:rsidRPr="00FA6E69">
        <w:rPr>
          <w:rFonts w:cs="Times New Roman"/>
          <w:i/>
          <w:iCs/>
          <w:color w:val="000000"/>
          <w:szCs w:val="22"/>
        </w:rPr>
        <w:t xml:space="preserve">Objectif 3 </w:t>
      </w:r>
      <w:r w:rsidRPr="00FA6E69">
        <w:rPr>
          <w:rFonts w:cs="Times New Roman"/>
          <w:color w:val="000000"/>
          <w:kern w:val="22"/>
          <w:szCs w:val="22"/>
        </w:rPr>
        <w:t>–</w:t>
      </w:r>
      <w:r w:rsidRPr="00FA6E69">
        <w:rPr>
          <w:rFonts w:cs="Times New Roman"/>
          <w:i/>
          <w:iCs/>
          <w:color w:val="000000"/>
          <w:szCs w:val="22"/>
          <w:shd w:val="clear" w:color="auto" w:fill="FFFFFF"/>
        </w:rPr>
        <w:t xml:space="preserve"> </w:t>
      </w:r>
      <w:r w:rsidRPr="00FA6E69">
        <w:rPr>
          <w:rFonts w:cs="Times New Roman"/>
          <w:i/>
          <w:iCs/>
          <w:color w:val="000000"/>
          <w:szCs w:val="22"/>
        </w:rPr>
        <w:t>D</w:t>
      </w:r>
      <w:r w:rsidR="00E964B4" w:rsidRPr="00FA6E69">
        <w:rPr>
          <w:rFonts w:cs="Times New Roman"/>
          <w:i/>
          <w:iCs/>
          <w:color w:val="000000"/>
          <w:szCs w:val="22"/>
        </w:rPr>
        <w:t>’</w:t>
      </w:r>
      <w:r w:rsidRPr="00FA6E69">
        <w:rPr>
          <w:rFonts w:cs="Times New Roman"/>
          <w:i/>
          <w:iCs/>
          <w:color w:val="000000"/>
          <w:szCs w:val="22"/>
        </w:rPr>
        <w:t>ici à</w:t>
      </w:r>
      <w:r w:rsidR="00360989" w:rsidRPr="00FA6E69">
        <w:rPr>
          <w:rFonts w:cs="Times New Roman"/>
          <w:i/>
          <w:iCs/>
          <w:color w:val="000000"/>
          <w:szCs w:val="22"/>
        </w:rPr>
        <w:t> 2020</w:t>
      </w:r>
      <w:r w:rsidRPr="00FA6E69">
        <w:rPr>
          <w:rFonts w:cs="Times New Roman"/>
          <w:i/>
          <w:iCs/>
          <w:color w:val="000000"/>
          <w:szCs w:val="22"/>
        </w:rPr>
        <w:t>, au plus tard, les incitations, y compris les subventions néfastes pour la diversité biologique, sont éliminées, réduites progressivement ou réformées, afin de réduire au minimum ou d</w:t>
      </w:r>
      <w:r w:rsidR="00E964B4" w:rsidRPr="00FA6E69">
        <w:rPr>
          <w:rFonts w:cs="Times New Roman"/>
          <w:i/>
          <w:iCs/>
          <w:color w:val="000000"/>
          <w:szCs w:val="22"/>
        </w:rPr>
        <w:t>’</w:t>
      </w:r>
      <w:r w:rsidRPr="00FA6E69">
        <w:rPr>
          <w:rFonts w:cs="Times New Roman"/>
          <w:i/>
          <w:iCs/>
          <w:color w:val="000000"/>
          <w:szCs w:val="22"/>
        </w:rPr>
        <w:t>éviter les impacts défavorables, et des incitations positives en faveur de la conservation et de l</w:t>
      </w:r>
      <w:r w:rsidR="00E964B4" w:rsidRPr="00FA6E69">
        <w:rPr>
          <w:rFonts w:cs="Times New Roman"/>
          <w:i/>
          <w:iCs/>
          <w:color w:val="000000"/>
          <w:szCs w:val="22"/>
        </w:rPr>
        <w:t>’</w:t>
      </w:r>
      <w:r w:rsidRPr="00FA6E69">
        <w:rPr>
          <w:rFonts w:cs="Times New Roman"/>
          <w:i/>
          <w:iCs/>
          <w:color w:val="000000"/>
          <w:szCs w:val="22"/>
        </w:rPr>
        <w:t>utilisation durable de la diversité biologique sont élaborées et appliquées, d</w:t>
      </w:r>
      <w:r w:rsidR="00E964B4" w:rsidRPr="00FA6E69">
        <w:rPr>
          <w:rFonts w:cs="Times New Roman"/>
          <w:i/>
          <w:iCs/>
          <w:color w:val="000000"/>
          <w:szCs w:val="22"/>
        </w:rPr>
        <w:t>’</w:t>
      </w:r>
      <w:r w:rsidRPr="00FA6E69">
        <w:rPr>
          <w:rFonts w:cs="Times New Roman"/>
          <w:i/>
          <w:iCs/>
          <w:color w:val="000000"/>
          <w:szCs w:val="22"/>
        </w:rPr>
        <w:t>une manière compatible et en harmonie avec les dispositions de la Convention et les obligations internationales en vigueur, en tenant compte des conditions socio</w:t>
      </w:r>
      <w:r w:rsidR="009F23B8" w:rsidRPr="00FA6E69">
        <w:rPr>
          <w:rFonts w:cs="Times New Roman"/>
          <w:i/>
          <w:iCs/>
          <w:color w:val="000000"/>
          <w:szCs w:val="22"/>
        </w:rPr>
        <w:noBreakHyphen/>
      </w:r>
      <w:r w:rsidRPr="00FA6E69">
        <w:rPr>
          <w:rFonts w:cs="Times New Roman"/>
          <w:i/>
          <w:iCs/>
          <w:color w:val="000000"/>
          <w:szCs w:val="22"/>
        </w:rPr>
        <w:t>économiques nationales</w:t>
      </w:r>
    </w:p>
    <w:p w:rsidR="00AB340A" w:rsidRPr="006D563D" w:rsidRDefault="00CA07A8"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Environ 11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SPANB évalués contiennent des objectifs correspondant</w:t>
      </w:r>
      <w:r w:rsidR="005F425E" w:rsidRPr="00FA6E69">
        <w:rPr>
          <w:rFonts w:eastAsia="Malgun Gothic" w:cs="Times New Roman"/>
          <w:color w:val="000000"/>
          <w:kern w:val="22"/>
          <w:szCs w:val="22"/>
        </w:rPr>
        <w:t xml:space="preserve">s </w:t>
      </w:r>
      <w:r w:rsidRPr="00FA6E69">
        <w:rPr>
          <w:rFonts w:eastAsia="Malgun Gothic" w:cs="Times New Roman"/>
          <w:color w:val="000000"/>
          <w:kern w:val="22"/>
          <w:szCs w:val="22"/>
        </w:rPr>
        <w:t>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ambition définis dans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3</w:t>
      </w:r>
      <w:r w:rsidRPr="00FA6E69">
        <w:rPr>
          <w:rFonts w:eastAsia="Malgun Gothic" w:cs="Times New Roman"/>
          <w:color w:val="000000"/>
          <w:kern w:val="22"/>
          <w:szCs w:val="22"/>
          <w:vertAlign w:val="superscript"/>
        </w:rPr>
        <w:footnoteReference w:id="13"/>
      </w:r>
      <w:r w:rsidRPr="00FA6E69">
        <w:rPr>
          <w:rFonts w:eastAsia="Malgun Gothic" w:cs="Times New Roman"/>
          <w:color w:val="000000"/>
          <w:kern w:val="22"/>
          <w:szCs w:val="22"/>
        </w:rPr>
        <w:t xml:space="preserv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et un SPANB contient un objectif national qui dépasse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puisque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échéance a été fixée à</w:t>
      </w:r>
      <w:r w:rsidR="00360989" w:rsidRPr="00FA6E69">
        <w:rPr>
          <w:rFonts w:eastAsia="Malgun Gothic" w:cs="Times New Roman"/>
          <w:color w:val="000000"/>
          <w:kern w:val="22"/>
          <w:szCs w:val="22"/>
        </w:rPr>
        <w:t> 2017</w:t>
      </w:r>
      <w:r w:rsidRPr="00FA6E69">
        <w:rPr>
          <w:rFonts w:eastAsia="Malgun Gothic" w:cs="Times New Roman"/>
          <w:color w:val="000000"/>
          <w:kern w:val="22"/>
          <w:szCs w:val="22"/>
        </w:rPr>
        <w:t>.</w:t>
      </w:r>
      <w:r w:rsidRPr="00FA6E69">
        <w:rPr>
          <w:rFonts w:eastAsia="Malgun Gothic" w:cs="Times New Roman"/>
          <w:color w:val="000000"/>
          <w:kern w:val="22"/>
          <w:szCs w:val="22"/>
          <w:vertAlign w:val="superscript"/>
        </w:rPr>
        <w:footnoteReference w:id="14"/>
      </w:r>
      <w:r w:rsidR="005C51A3" w:rsidRPr="00FA6E69">
        <w:rPr>
          <w:rFonts w:eastAsia="Malgun Gothic" w:cs="Times New Roman"/>
          <w:color w:val="000000"/>
          <w:kern w:val="22"/>
          <w:szCs w:val="22"/>
        </w:rPr>
        <w:t xml:space="preserve"> </w:t>
      </w:r>
      <w:r w:rsidR="007446AF" w:rsidRPr="00FA6E69">
        <w:rPr>
          <w:rFonts w:eastAsia="Malgun Gothic" w:cs="Times New Roman"/>
          <w:color w:val="000000"/>
          <w:kern w:val="22"/>
          <w:szCs w:val="22"/>
        </w:rPr>
        <w:t>Un</w:t>
      </w:r>
      <w:r w:rsidR="005C51A3" w:rsidRPr="00FA6E69">
        <w:rPr>
          <w:rFonts w:eastAsia="Malgun Gothic" w:cs="Times New Roman"/>
          <w:color w:val="000000"/>
          <w:kern w:val="22"/>
          <w:szCs w:val="22"/>
        </w:rPr>
        <w:t xml:space="preserve"> total</w:t>
      </w:r>
      <w:r w:rsidR="007446AF" w:rsidRPr="00FA6E69">
        <w:rPr>
          <w:rFonts w:eastAsia="Malgun Gothic" w:cs="Times New Roman"/>
          <w:color w:val="000000"/>
          <w:kern w:val="22"/>
          <w:szCs w:val="22"/>
        </w:rPr>
        <w:t xml:space="preserve"> de</w:t>
      </w:r>
      <w:r w:rsidR="005C51A3" w:rsidRPr="00FA6E69">
        <w:rPr>
          <w:rFonts w:eastAsia="Malgun Gothic" w:cs="Times New Roman"/>
          <w:color w:val="000000"/>
          <w:kern w:val="22"/>
          <w:szCs w:val="22"/>
        </w:rPr>
        <w:t xml:space="preserve"> </w:t>
      </w:r>
      <w:r w:rsidR="007446AF" w:rsidRPr="00FA6E69">
        <w:rPr>
          <w:rFonts w:eastAsia="Malgun Gothic" w:cs="Times New Roman"/>
          <w:color w:val="000000"/>
          <w:kern w:val="22"/>
          <w:szCs w:val="22"/>
        </w:rPr>
        <w:t>48</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SPANB contiennent des objectifs dont le niveau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ambition est inférieur ou qui ne traitent pas tous les éléments contenus dans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Un grand nombre de ces objectifs présentent un caractère général et concernent des incitations et des subventions pour lesquelles aucun retrait, ni aucune incitation néfaste ou élaboration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incitations positives n</w:t>
      </w:r>
      <w:r w:rsidR="005F425E" w:rsidRPr="00FA6E69">
        <w:rPr>
          <w:rFonts w:eastAsia="Malgun Gothic" w:cs="Times New Roman"/>
          <w:color w:val="000000"/>
          <w:kern w:val="22"/>
          <w:szCs w:val="22"/>
        </w:rPr>
        <w:t>e son</w:t>
      </w:r>
      <w:r w:rsidRPr="00FA6E69">
        <w:rPr>
          <w:rFonts w:eastAsia="Malgun Gothic" w:cs="Times New Roman"/>
          <w:color w:val="000000"/>
          <w:kern w:val="22"/>
          <w:szCs w:val="22"/>
        </w:rPr>
        <w:t>t spécifié</w:t>
      </w:r>
      <w:r w:rsidR="005F425E" w:rsidRPr="00FA6E69">
        <w:rPr>
          <w:rFonts w:eastAsia="Malgun Gothic" w:cs="Times New Roman"/>
          <w:color w:val="000000"/>
          <w:kern w:val="22"/>
          <w:szCs w:val="22"/>
        </w:rPr>
        <w:t xml:space="preserve">es </w:t>
      </w:r>
      <w:r w:rsidRPr="00FA6E69">
        <w:rPr>
          <w:rFonts w:eastAsia="Malgun Gothic" w:cs="Times New Roman"/>
          <w:color w:val="000000"/>
          <w:kern w:val="22"/>
          <w:szCs w:val="22"/>
        </w:rPr>
        <w:t xml:space="preserve">la plupart du temps. </w:t>
      </w:r>
      <w:r w:rsidR="005C51A3" w:rsidRPr="00FA6E69">
        <w:rPr>
          <w:rFonts w:eastAsia="Malgun Gothic" w:cs="Times New Roman"/>
          <w:color w:val="000000"/>
          <w:kern w:val="22"/>
          <w:szCs w:val="22"/>
        </w:rPr>
        <w:t>Quarante </w:t>
      </w:r>
      <w:r w:rsidR="00360989" w:rsidRPr="00FA6E69">
        <w:rPr>
          <w:rFonts w:eastAsia="Malgun Gothic" w:cs="Times New Roman"/>
          <w:color w:val="000000"/>
          <w:kern w:val="22"/>
          <w:szCs w:val="22"/>
        </w:rPr>
        <w:t>pour cent</w:t>
      </w:r>
      <w:r w:rsidR="001675E0" w:rsidRPr="00FA6E69">
        <w:rPr>
          <w:rFonts w:eastAsia="Malgun Gothic" w:cs="Times New Roman"/>
          <w:color w:val="000000"/>
          <w:kern w:val="22"/>
          <w:szCs w:val="22"/>
        </w:rPr>
        <w:t xml:space="preserve"> des SPANB évalués ne contiennent aucun objectif ou engagement national relatif à cet objectif. </w:t>
      </w:r>
      <w:r w:rsidRPr="00FA6E69">
        <w:rPr>
          <w:rFonts w:eastAsia="Malgun Gothic" w:cs="Times New Roman"/>
          <w:color w:val="000000"/>
          <w:kern w:val="22"/>
          <w:szCs w:val="22"/>
        </w:rPr>
        <w:t>Cet 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fait partie de ceux qui présentent le niveau de concordance le plus bas par rapport aux objectifs nationaux contenus dans les SPANB.</w:t>
      </w:r>
    </w:p>
    <w:p w:rsidR="00AB340A" w:rsidRPr="00FA6E69" w:rsidRDefault="000F1354" w:rsidP="000F1354">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Seulement </w:t>
      </w:r>
      <w:r w:rsidR="007446AF" w:rsidRPr="00FA6E69">
        <w:rPr>
          <w:rFonts w:eastAsia="Malgun Gothic" w:cs="Times New Roman"/>
          <w:color w:val="000000"/>
          <w:kern w:val="22"/>
          <w:szCs w:val="22"/>
        </w:rPr>
        <w:t>3</w:t>
      </w:r>
      <w:r w:rsidR="00D22EA0"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D22EA0" w:rsidRPr="00FA6E69">
        <w:rPr>
          <w:rFonts w:eastAsia="Malgun Gothic" w:cs="Times New Roman"/>
          <w:color w:val="000000"/>
          <w:kern w:val="22"/>
          <w:szCs w:val="22"/>
        </w:rPr>
        <w:t xml:space="preserve"> des rapports nationaux contiennent des informations suggérant que l</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objectif est en voie d</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 xml:space="preserve">être atteint. </w:t>
      </w:r>
      <w:r w:rsidRPr="00FA6E69">
        <w:rPr>
          <w:rFonts w:eastAsia="Malgun Gothic" w:cs="Times New Roman"/>
          <w:color w:val="000000"/>
          <w:kern w:val="22"/>
          <w:szCs w:val="22"/>
        </w:rPr>
        <w:t>Plus de</w:t>
      </w:r>
      <w:r w:rsidR="00D22EA0" w:rsidRPr="00FA6E69">
        <w:rPr>
          <w:rFonts w:eastAsia="Malgun Gothic" w:cs="Times New Roman"/>
          <w:color w:val="000000"/>
          <w:kern w:val="22"/>
          <w:szCs w:val="22"/>
        </w:rPr>
        <w:t xml:space="preserve"> 40 </w:t>
      </w:r>
      <w:r w:rsidR="00360989" w:rsidRPr="00FA6E69">
        <w:rPr>
          <w:rFonts w:eastAsia="Malgun Gothic" w:cs="Times New Roman"/>
          <w:color w:val="000000"/>
          <w:kern w:val="22"/>
          <w:szCs w:val="22"/>
        </w:rPr>
        <w:t>pour cent</w:t>
      </w:r>
      <w:r w:rsidR="00D22EA0" w:rsidRPr="00FA6E69">
        <w:rPr>
          <w:rFonts w:eastAsia="Malgun Gothic" w:cs="Times New Roman"/>
          <w:color w:val="000000"/>
          <w:kern w:val="22"/>
          <w:szCs w:val="22"/>
        </w:rPr>
        <w:t xml:space="preserve"> des cinquièmes rapports nationaux suggèrent que des progrès sont accomplis dans la réalisation de cet objectif, mais à un rythme qui ne permettra pas de l</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atteindre d</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ici à</w:t>
      </w:r>
      <w:r w:rsidR="00360989" w:rsidRPr="00FA6E69">
        <w:rPr>
          <w:rFonts w:eastAsia="Malgun Gothic" w:cs="Times New Roman"/>
          <w:color w:val="000000"/>
          <w:kern w:val="22"/>
          <w:szCs w:val="22"/>
        </w:rPr>
        <w:t> 2020</w:t>
      </w:r>
      <w:r w:rsidR="00D22EA0" w:rsidRPr="00FA6E69">
        <w:rPr>
          <w:rFonts w:eastAsia="Malgun Gothic" w:cs="Times New Roman"/>
          <w:color w:val="000000"/>
          <w:kern w:val="22"/>
          <w:szCs w:val="22"/>
        </w:rPr>
        <w:t>. Près de 30 </w:t>
      </w:r>
      <w:r w:rsidR="00360989" w:rsidRPr="00FA6E69">
        <w:rPr>
          <w:rFonts w:eastAsia="Malgun Gothic" w:cs="Times New Roman"/>
          <w:color w:val="000000"/>
          <w:kern w:val="22"/>
          <w:szCs w:val="22"/>
        </w:rPr>
        <w:t>pour cent</w:t>
      </w:r>
      <w:r w:rsidR="00D22EA0" w:rsidRPr="00FA6E69">
        <w:rPr>
          <w:rFonts w:eastAsia="Malgun Gothic" w:cs="Times New Roman"/>
          <w:color w:val="000000"/>
          <w:kern w:val="22"/>
          <w:szCs w:val="22"/>
        </w:rPr>
        <w:t xml:space="preserve"> des rapports suggèrent qu</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aucun changement significatif</w:t>
      </w:r>
      <w:r w:rsidR="00D22EA0" w:rsidRPr="00FA6E69">
        <w:rPr>
          <w:rFonts w:eastAsia="Malgun Gothic" w:cs="Times New Roman"/>
          <w:kern w:val="22"/>
          <w:szCs w:val="22"/>
        </w:rPr>
        <w:t xml:space="preserve"> n</w:t>
      </w:r>
      <w:r w:rsidR="00E964B4" w:rsidRPr="00FA6E69">
        <w:rPr>
          <w:rFonts w:eastAsia="Malgun Gothic" w:cs="Times New Roman"/>
          <w:kern w:val="22"/>
          <w:szCs w:val="22"/>
        </w:rPr>
        <w:t>’</w:t>
      </w:r>
      <w:r w:rsidR="00D22EA0" w:rsidRPr="00FA6E69">
        <w:rPr>
          <w:rFonts w:eastAsia="Malgun Gothic" w:cs="Times New Roman"/>
          <w:kern w:val="22"/>
          <w:szCs w:val="22"/>
        </w:rPr>
        <w:t>a eu lieu en termes de progrès accomplis, tandis qu</w:t>
      </w:r>
      <w:r w:rsidRPr="00FA6E69">
        <w:rPr>
          <w:rFonts w:eastAsia="Malgun Gothic" w:cs="Times New Roman"/>
          <w:kern w:val="22"/>
          <w:szCs w:val="22"/>
        </w:rPr>
        <w:t>e presque le</w:t>
      </w:r>
      <w:r w:rsidR="00D22EA0" w:rsidRPr="00FA6E69">
        <w:rPr>
          <w:rFonts w:eastAsia="Malgun Gothic" w:cs="Times New Roman"/>
          <w:kern w:val="22"/>
          <w:szCs w:val="22"/>
        </w:rPr>
        <w:t xml:space="preserve"> quart</w:t>
      </w:r>
      <w:r w:rsidRPr="00FA6E69">
        <w:rPr>
          <w:rFonts w:eastAsia="Malgun Gothic" w:cs="Times New Roman"/>
          <w:kern w:val="22"/>
          <w:szCs w:val="22"/>
        </w:rPr>
        <w:t xml:space="preserve"> (</w:t>
      </w:r>
      <w:r w:rsidR="007446AF" w:rsidRPr="00FA6E69">
        <w:rPr>
          <w:rFonts w:eastAsia="Malgun Gothic" w:cs="Times New Roman"/>
          <w:kern w:val="22"/>
          <w:szCs w:val="22"/>
        </w:rPr>
        <w:t>25</w:t>
      </w:r>
      <w:r w:rsidRPr="00FA6E69">
        <w:rPr>
          <w:rFonts w:eastAsia="Malgun Gothic" w:cs="Times New Roman"/>
          <w:kern w:val="22"/>
          <w:szCs w:val="22"/>
        </w:rPr>
        <w:t> pour cent)</w:t>
      </w:r>
      <w:r w:rsidR="00D22EA0" w:rsidRPr="00FA6E69">
        <w:rPr>
          <w:rFonts w:eastAsia="Malgun Gothic" w:cs="Times New Roman"/>
          <w:kern w:val="22"/>
          <w:szCs w:val="22"/>
        </w:rPr>
        <w:t xml:space="preserve"> d</w:t>
      </w:r>
      <w:r w:rsidRPr="00FA6E69">
        <w:rPr>
          <w:rFonts w:eastAsia="Malgun Gothic" w:cs="Times New Roman"/>
          <w:kern w:val="22"/>
          <w:szCs w:val="22"/>
        </w:rPr>
        <w:t>es rapports nationaux contien</w:t>
      </w:r>
      <w:r w:rsidR="00D22EA0" w:rsidRPr="00FA6E69">
        <w:rPr>
          <w:rFonts w:eastAsia="Malgun Gothic" w:cs="Times New Roman"/>
          <w:kern w:val="22"/>
          <w:szCs w:val="22"/>
        </w:rPr>
        <w:t>t des informations insuffisantes pour permettre l</w:t>
      </w:r>
      <w:r w:rsidR="00E964B4" w:rsidRPr="00FA6E69">
        <w:rPr>
          <w:rFonts w:eastAsia="Malgun Gothic" w:cs="Times New Roman"/>
          <w:kern w:val="22"/>
          <w:szCs w:val="22"/>
        </w:rPr>
        <w:t>’</w:t>
      </w:r>
      <w:r w:rsidR="00D22EA0" w:rsidRPr="00FA6E69">
        <w:rPr>
          <w:rFonts w:eastAsia="Malgun Gothic" w:cs="Times New Roman"/>
          <w:kern w:val="22"/>
          <w:szCs w:val="22"/>
        </w:rPr>
        <w:t>évaluation des progrès accomplis dans la réalisation de cet objectif. Les informations contenues dans les rapports nationaux suggèrent qu</w:t>
      </w:r>
      <w:r w:rsidR="00E964B4" w:rsidRPr="00FA6E69">
        <w:rPr>
          <w:rFonts w:eastAsia="Malgun Gothic" w:cs="Times New Roman"/>
          <w:kern w:val="22"/>
          <w:szCs w:val="22"/>
        </w:rPr>
        <w:t>’</w:t>
      </w:r>
      <w:r w:rsidR="00D22EA0" w:rsidRPr="00FA6E69">
        <w:rPr>
          <w:rFonts w:eastAsia="Malgun Gothic" w:cs="Times New Roman"/>
          <w:kern w:val="22"/>
          <w:szCs w:val="22"/>
        </w:rPr>
        <w:t xml:space="preserve">une plus grande attention </w:t>
      </w:r>
      <w:r w:rsidR="00D22EA0" w:rsidRPr="00FA6E69">
        <w:rPr>
          <w:rFonts w:eastAsia="Malgun Gothic" w:cs="Times New Roman"/>
          <w:color w:val="000000"/>
          <w:kern w:val="22"/>
          <w:szCs w:val="22"/>
        </w:rPr>
        <w:t>est accordée à l</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élaboration d</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incitations positives qu</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au retrait ou à la réforme d</w:t>
      </w:r>
      <w:r w:rsidR="00E964B4" w:rsidRPr="00FA6E69">
        <w:rPr>
          <w:rFonts w:eastAsia="Malgun Gothic" w:cs="Times New Roman"/>
          <w:color w:val="000000"/>
          <w:kern w:val="22"/>
          <w:szCs w:val="22"/>
        </w:rPr>
        <w:t>’</w:t>
      </w:r>
      <w:r w:rsidR="00D22EA0" w:rsidRPr="00FA6E69">
        <w:rPr>
          <w:rFonts w:eastAsia="Malgun Gothic" w:cs="Times New Roman"/>
          <w:color w:val="000000"/>
          <w:kern w:val="22"/>
          <w:szCs w:val="22"/>
        </w:rPr>
        <w:t>incitations néfastes</w:t>
      </w:r>
      <w:r w:rsidR="00AB340A" w:rsidRPr="00FA6E69">
        <w:rPr>
          <w:rFonts w:eastAsia="Malgun Gothic" w:cs="Times New Roman"/>
          <w:color w:val="000000"/>
          <w:kern w:val="22"/>
          <w:szCs w:val="22"/>
        </w:rPr>
        <w:t>.</w:t>
      </w:r>
    </w:p>
    <w:p w:rsidR="00AB340A" w:rsidRPr="00FA6E69" w:rsidRDefault="00D22EA0" w:rsidP="00297BEE">
      <w:pPr>
        <w:suppressLineNumbers/>
        <w:suppressAutoHyphens/>
        <w:spacing w:after="120"/>
        <w:rPr>
          <w:rFonts w:cs="Times New Roman"/>
          <w:i/>
          <w:iCs/>
          <w:color w:val="000000"/>
          <w:shd w:val="clear" w:color="auto" w:fill="FFFFFF"/>
        </w:rPr>
      </w:pPr>
      <w:r w:rsidRPr="00FA6E69">
        <w:rPr>
          <w:rFonts w:cs="Times New Roman"/>
          <w:i/>
          <w:iCs/>
          <w:color w:val="000000"/>
          <w:szCs w:val="22"/>
          <w:shd w:val="clear" w:color="auto" w:fill="FFFFFF"/>
        </w:rPr>
        <w:t xml:space="preserve">Objectif 4 </w:t>
      </w:r>
      <w:r w:rsidRPr="00FA6E69">
        <w:rPr>
          <w:rFonts w:cs="Times New Roman"/>
          <w:color w:val="000000"/>
          <w:kern w:val="22"/>
          <w:szCs w:val="22"/>
        </w:rPr>
        <w:t>–</w:t>
      </w:r>
      <w:r w:rsidRPr="00FA6E69">
        <w:rPr>
          <w:rFonts w:cs="Times New Roman"/>
          <w:i/>
          <w:iCs/>
          <w:color w:val="000000"/>
          <w:szCs w:val="22"/>
        </w:rPr>
        <w:t xml:space="preserve"> </w:t>
      </w:r>
      <w:r w:rsidRPr="00FA6E69">
        <w:rPr>
          <w:rFonts w:cs="Times New Roman"/>
          <w:i/>
          <w:iCs/>
          <w:color w:val="000000"/>
          <w:szCs w:val="22"/>
          <w:shd w:val="clear" w:color="auto" w:fill="FFFFFF"/>
        </w:rPr>
        <w:t>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au plus tard, les gouvernements, les entreprises et les parties prenantes, à tous les niveaux, ont pris des mesures ou ont appliqué des plans pour assurer une production et une consommation durables, et ont maintenu les incidences de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utilisation des ressources naturelles dans des limites écologiques sûres</w:t>
      </w:r>
    </w:p>
    <w:p w:rsidR="002E02F5" w:rsidRPr="006D563D" w:rsidRDefault="009E48EC"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Seulement </w:t>
      </w:r>
      <w:r w:rsidR="007446AF" w:rsidRPr="00FA6E69">
        <w:rPr>
          <w:rFonts w:eastAsia="Malgun Gothic" w:cs="Times New Roman"/>
          <w:color w:val="000000"/>
          <w:kern w:val="22"/>
          <w:szCs w:val="22"/>
        </w:rPr>
        <w:t>11</w:t>
      </w:r>
      <w:r w:rsidR="00405AA3"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5AA3" w:rsidRPr="00FA6E69">
        <w:rPr>
          <w:rFonts w:eastAsia="Malgun Gothic" w:cs="Times New Roman"/>
          <w:color w:val="000000"/>
          <w:kern w:val="22"/>
          <w:szCs w:val="22"/>
        </w:rPr>
        <w:t xml:space="preserve"> des SPANB contiennent des objectifs similaires à l</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ambition de l</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Aichi</w:t>
      </w:r>
      <w:r w:rsidR="00405AA3" w:rsidRPr="00FA6E69">
        <w:rPr>
          <w:rFonts w:eastAsia="Malgun Gothic" w:cs="Times New Roman"/>
          <w:color w:val="000000"/>
          <w:kern w:val="22"/>
          <w:szCs w:val="22"/>
          <w:vertAlign w:val="superscript"/>
        </w:rPr>
        <w:footnoteReference w:id="15"/>
      </w:r>
      <w:r w:rsidR="00405AA3" w:rsidRPr="00FA6E69">
        <w:rPr>
          <w:rFonts w:eastAsia="Malgun Gothic" w:cs="Times New Roman"/>
          <w:color w:val="000000"/>
          <w:kern w:val="22"/>
          <w:szCs w:val="22"/>
        </w:rPr>
        <w:t xml:space="preserve">, tandis que </w:t>
      </w:r>
      <w:r w:rsidR="007446AF" w:rsidRPr="00FA6E69">
        <w:rPr>
          <w:rFonts w:eastAsia="Malgun Gothic" w:cs="Times New Roman"/>
          <w:color w:val="000000"/>
          <w:kern w:val="22"/>
          <w:szCs w:val="22"/>
        </w:rPr>
        <w:t>65</w:t>
      </w:r>
      <w:r w:rsidR="00405AA3"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5AA3" w:rsidRPr="00FA6E69">
        <w:rPr>
          <w:rFonts w:eastAsia="Malgun Gothic" w:cs="Times New Roman"/>
          <w:color w:val="000000"/>
          <w:kern w:val="22"/>
          <w:szCs w:val="22"/>
        </w:rPr>
        <w:t xml:space="preserve"> contiennent des objectifs ayant un niveau d</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ambition inférieur ou ne couvrant pas tous les éléments de l</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 xml:space="preserve">Aichi. </w:t>
      </w:r>
      <w:r w:rsidR="007446AF" w:rsidRPr="00FA6E69">
        <w:rPr>
          <w:rFonts w:eastAsia="Malgun Gothic" w:cs="Times New Roman"/>
          <w:color w:val="000000"/>
          <w:kern w:val="22"/>
          <w:szCs w:val="22"/>
        </w:rPr>
        <w:t>Près</w:t>
      </w:r>
      <w:r w:rsidR="00405AA3" w:rsidRPr="00FA6E69">
        <w:rPr>
          <w:rFonts w:eastAsia="Malgun Gothic" w:cs="Times New Roman"/>
          <w:color w:val="000000"/>
          <w:kern w:val="22"/>
          <w:szCs w:val="22"/>
        </w:rPr>
        <w:t xml:space="preserve"> d</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un quart</w:t>
      </w:r>
      <w:r w:rsidR="00FB6450" w:rsidRPr="00FA6E69">
        <w:rPr>
          <w:rFonts w:eastAsia="Malgun Gothic" w:cs="Times New Roman"/>
          <w:color w:val="000000"/>
          <w:kern w:val="22"/>
          <w:szCs w:val="22"/>
        </w:rPr>
        <w:t xml:space="preserve"> (</w:t>
      </w:r>
      <w:r w:rsidR="007446AF" w:rsidRPr="00FA6E69">
        <w:rPr>
          <w:rFonts w:eastAsia="Malgun Gothic" w:cs="Times New Roman"/>
          <w:color w:val="000000"/>
          <w:kern w:val="22"/>
          <w:szCs w:val="22"/>
        </w:rPr>
        <w:t>24</w:t>
      </w:r>
      <w:r w:rsidR="00405AA3"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5AA3" w:rsidRPr="00FA6E69">
        <w:rPr>
          <w:rFonts w:eastAsia="Malgun Gothic" w:cs="Times New Roman"/>
          <w:color w:val="000000"/>
          <w:kern w:val="22"/>
          <w:szCs w:val="22"/>
        </w:rPr>
        <w:t>) des SPANB ne contiennent aucun objectif associé à cet objectif. Parmi les objectifs qui ont été définis, il y en a peu qui concernent le maintien des incidences de l</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 xml:space="preserve">utilisation des ressources </w:t>
      </w:r>
      <w:r w:rsidR="00405AA3" w:rsidRPr="00FA6E69">
        <w:rPr>
          <w:rFonts w:eastAsia="Malgun Gothic" w:cs="Times New Roman"/>
          <w:color w:val="000000"/>
          <w:kern w:val="22"/>
          <w:szCs w:val="22"/>
        </w:rPr>
        <w:lastRenderedPageBreak/>
        <w:t>naturelles dans des limites écologiques sûres. La plupart des objectifs définis se réfèrent à l</w:t>
      </w:r>
      <w:r w:rsidR="00E964B4" w:rsidRPr="00FA6E69">
        <w:rPr>
          <w:rFonts w:eastAsia="Malgun Gothic" w:cs="Times New Roman"/>
          <w:color w:val="000000"/>
          <w:kern w:val="22"/>
          <w:szCs w:val="22"/>
        </w:rPr>
        <w:t>’</w:t>
      </w:r>
      <w:r w:rsidR="00405AA3" w:rsidRPr="00FA6E69">
        <w:rPr>
          <w:rFonts w:eastAsia="Malgun Gothic" w:cs="Times New Roman"/>
          <w:color w:val="000000"/>
          <w:kern w:val="22"/>
          <w:szCs w:val="22"/>
        </w:rPr>
        <w:t>utilisation durable en général, mais ne traitent pas la production et la consommation durables de manière spécifique.</w:t>
      </w:r>
    </w:p>
    <w:p w:rsidR="00AB340A" w:rsidRPr="00FA6E69" w:rsidRDefault="007B6141" w:rsidP="007B6141">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Seulement </w:t>
      </w:r>
      <w:r w:rsidR="00C46502" w:rsidRPr="00FA6E69">
        <w:rPr>
          <w:rFonts w:eastAsia="Malgun Gothic" w:cs="Times New Roman"/>
          <w:color w:val="000000"/>
          <w:kern w:val="22"/>
          <w:szCs w:val="22"/>
        </w:rPr>
        <w:t>3</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nationaux contiennent des informations suggérant 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est en voie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être atteint à l</w:t>
      </w:r>
      <w:r w:rsidR="00E964B4" w:rsidRPr="00FA6E69">
        <w:rPr>
          <w:rFonts w:eastAsia="Malgun Gothic" w:cs="Times New Roman"/>
          <w:color w:val="000000"/>
          <w:kern w:val="22"/>
          <w:szCs w:val="22"/>
        </w:rPr>
        <w:t>’</w:t>
      </w:r>
      <w:r w:rsidR="0086641E" w:rsidRPr="00FA6E69">
        <w:rPr>
          <w:rFonts w:eastAsia="Malgun Gothic" w:cs="Times New Roman"/>
          <w:color w:val="000000"/>
          <w:kern w:val="22"/>
          <w:szCs w:val="22"/>
        </w:rPr>
        <w:t>échéance.  Plus de la moitié (</w:t>
      </w:r>
      <w:r w:rsidR="00C46502" w:rsidRPr="00FA6E69">
        <w:rPr>
          <w:rFonts w:eastAsia="Malgun Gothic" w:cs="Times New Roman"/>
          <w:color w:val="000000"/>
          <w:kern w:val="22"/>
          <w:szCs w:val="22"/>
        </w:rPr>
        <w:t>54</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des rapports nationaux contiennent des informations suggérant que des progrès sont accomplis dans la réalisation de cet objectif, mais à un rythme qui ne permettra pas de le réaliser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ici à</w:t>
      </w:r>
      <w:r w:rsidR="00360989" w:rsidRPr="00FA6E69">
        <w:rPr>
          <w:rFonts w:eastAsia="Malgun Gothic" w:cs="Times New Roman"/>
          <w:color w:val="000000"/>
          <w:kern w:val="22"/>
          <w:szCs w:val="22"/>
        </w:rPr>
        <w:t> 2020</w:t>
      </w:r>
      <w:r w:rsidRPr="00FA6E69">
        <w:rPr>
          <w:rFonts w:eastAsia="Malgun Gothic" w:cs="Times New Roman"/>
          <w:color w:val="000000"/>
          <w:kern w:val="22"/>
          <w:szCs w:val="22"/>
        </w:rPr>
        <w:t xml:space="preserve">. </w:t>
      </w:r>
      <w:r w:rsidR="00C46502" w:rsidRPr="00FA6E69">
        <w:rPr>
          <w:rFonts w:eastAsia="Malgun Gothic" w:cs="Times New Roman"/>
          <w:color w:val="000000"/>
          <w:kern w:val="22"/>
          <w:szCs w:val="22"/>
        </w:rPr>
        <w:t xml:space="preserve">Presque un tiers des rapports (31 pour cent) indiquent qu’aucun changement significatif ne s’est produit. </w:t>
      </w:r>
      <w:r w:rsidRPr="00FA6E69">
        <w:rPr>
          <w:rFonts w:eastAsia="Malgun Gothic" w:cs="Times New Roman"/>
          <w:color w:val="000000"/>
          <w:kern w:val="22"/>
          <w:szCs w:val="22"/>
        </w:rPr>
        <w:t>Les progrès accomplis semblent plus largement concentrés sur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application de mesures visant à favoriser la production durable en général. Par comparaison, il y a eu relativement moins de progrès accomplis sur les questions relatives à la consommation durable et peu de rapports contiennent des informations liées au maintien des incidences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utilisation des ressources naturelles dans des limites écologiques sûres.</w:t>
      </w:r>
    </w:p>
    <w:p w:rsidR="00AB340A" w:rsidRPr="00FA6E69" w:rsidRDefault="00474DD5" w:rsidP="00297BEE">
      <w:pPr>
        <w:keepNext/>
        <w:suppressLineNumbers/>
        <w:suppressAutoHyphens/>
        <w:spacing w:after="120"/>
        <w:rPr>
          <w:rFonts w:cs="Times New Roman"/>
          <w:i/>
          <w:iCs/>
          <w:color w:val="000000"/>
          <w:shd w:val="clear" w:color="auto" w:fill="FFFFFF"/>
        </w:rPr>
      </w:pPr>
      <w:r w:rsidRPr="00FA6E69">
        <w:rPr>
          <w:rFonts w:cs="Times New Roman"/>
          <w:i/>
          <w:iCs/>
          <w:color w:val="000000"/>
          <w:szCs w:val="22"/>
          <w:shd w:val="clear" w:color="auto" w:fill="FFFFFF"/>
        </w:rPr>
        <w:t xml:space="preserve">Objectif 5 </w:t>
      </w:r>
      <w:r w:rsidRPr="00FA6E69">
        <w:rPr>
          <w:rFonts w:cs="Times New Roman"/>
          <w:color w:val="000000"/>
          <w:kern w:val="22"/>
          <w:szCs w:val="22"/>
        </w:rPr>
        <w:t>–</w:t>
      </w:r>
      <w:r w:rsidRPr="00FA6E69">
        <w:rPr>
          <w:rFonts w:cs="Times New Roman"/>
          <w:i/>
          <w:iCs/>
          <w:color w:val="000000"/>
          <w:szCs w:val="22"/>
        </w:rPr>
        <w:t xml:space="preserve"> </w:t>
      </w:r>
      <w:r w:rsidRPr="00FA6E69">
        <w:rPr>
          <w:rFonts w:cs="Times New Roman"/>
          <w:i/>
          <w:iCs/>
          <w:color w:val="000000"/>
          <w:szCs w:val="22"/>
          <w:shd w:val="clear" w:color="auto" w:fill="FFFFFF"/>
        </w:rPr>
        <w:t>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le rythme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appauvrissement de tous les habitats naturels, y compris les forêts, est réduit de moitié au moins et si possible ramené à près de zéro, et la dégradation et la fragmentation des habitats sont sensiblement réduites</w:t>
      </w:r>
    </w:p>
    <w:p w:rsidR="00AB340A" w:rsidRPr="006D563D" w:rsidRDefault="00AC013F"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Parmi les SPANB évalués, </w:t>
      </w:r>
      <w:r w:rsidR="003C312F" w:rsidRPr="00FA6E69">
        <w:rPr>
          <w:rFonts w:eastAsia="Malgun Gothic" w:cs="Times New Roman"/>
          <w:color w:val="000000"/>
          <w:kern w:val="22"/>
          <w:szCs w:val="22"/>
        </w:rPr>
        <w:t>6</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contiennent des objectifs ou engagements qui sont similaires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ambition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5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w:t>
      </w:r>
      <w:r w:rsidRPr="00FA6E69">
        <w:rPr>
          <w:rFonts w:eastAsia="Malgun Gothic" w:cs="Times New Roman"/>
          <w:color w:val="000000"/>
          <w:kern w:val="22"/>
          <w:szCs w:val="22"/>
          <w:vertAlign w:val="superscript"/>
        </w:rPr>
        <w:footnoteReference w:id="16"/>
      </w:r>
      <w:r w:rsidRPr="00FA6E69">
        <w:rPr>
          <w:rFonts w:eastAsia="Malgun Gothic" w:cs="Times New Roman"/>
          <w:color w:val="000000"/>
          <w:kern w:val="22"/>
          <w:szCs w:val="22"/>
        </w:rPr>
        <w:t xml:space="preserve"> tandis qu</w:t>
      </w:r>
      <w:r w:rsidR="00E964B4" w:rsidRPr="00FA6E69">
        <w:rPr>
          <w:rFonts w:eastAsia="Malgun Gothic" w:cs="Times New Roman"/>
          <w:color w:val="000000"/>
          <w:kern w:val="22"/>
          <w:szCs w:val="22"/>
        </w:rPr>
        <w:t>’</w:t>
      </w:r>
      <w:r w:rsidR="005327F4" w:rsidRPr="00FA6E69">
        <w:rPr>
          <w:rFonts w:eastAsia="Malgun Gothic" w:cs="Times New Roman"/>
          <w:color w:val="000000"/>
          <w:kern w:val="22"/>
          <w:szCs w:val="22"/>
        </w:rPr>
        <w:t>un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 ceux</w:t>
      </w:r>
      <w:r w:rsidR="009F23B8" w:rsidRPr="00FA6E69">
        <w:rPr>
          <w:rFonts w:eastAsia="Malgun Gothic" w:cs="Times New Roman"/>
          <w:color w:val="000000"/>
          <w:kern w:val="22"/>
          <w:szCs w:val="22"/>
        </w:rPr>
        <w:noBreakHyphen/>
      </w:r>
      <w:r w:rsidRPr="00FA6E69">
        <w:rPr>
          <w:rFonts w:eastAsia="Malgun Gothic" w:cs="Times New Roman"/>
          <w:color w:val="000000"/>
          <w:kern w:val="22"/>
          <w:szCs w:val="22"/>
        </w:rPr>
        <w:t>ci contiennent des objectifs qui sont plus ambitieux 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w:t>
      </w:r>
      <w:r w:rsidRPr="00FA6E69">
        <w:rPr>
          <w:rFonts w:eastAsia="Malgun Gothic" w:cs="Times New Roman"/>
          <w:color w:val="000000"/>
          <w:kern w:val="22"/>
          <w:szCs w:val="22"/>
          <w:vertAlign w:val="superscript"/>
        </w:rPr>
        <w:footnoteReference w:id="17"/>
      </w:r>
      <w:r w:rsidRPr="00FA6E69">
        <w:rPr>
          <w:rFonts w:eastAsia="Malgun Gothic" w:cs="Times New Roman"/>
          <w:color w:val="000000"/>
          <w:kern w:val="22"/>
          <w:szCs w:val="22"/>
        </w:rPr>
        <w:t xml:space="preserve"> Près des trois quarts (</w:t>
      </w:r>
      <w:r w:rsidR="003C312F" w:rsidRPr="00FA6E69">
        <w:rPr>
          <w:rFonts w:eastAsia="Malgun Gothic" w:cs="Times New Roman"/>
          <w:color w:val="000000"/>
          <w:kern w:val="22"/>
          <w:szCs w:val="22"/>
        </w:rPr>
        <w:t>74</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des SPANB contiennent des objectifs qui ont un niveau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 xml:space="preserve">ambition inférieur ou </w:t>
      </w:r>
      <w:r w:rsidR="005327F4" w:rsidRPr="00FA6E69">
        <w:rPr>
          <w:rFonts w:eastAsia="Malgun Gothic" w:cs="Times New Roman"/>
          <w:color w:val="000000"/>
          <w:kern w:val="22"/>
          <w:szCs w:val="22"/>
        </w:rPr>
        <w:t>qui n’abordent</w:t>
      </w:r>
      <w:r w:rsidRPr="00FA6E69">
        <w:rPr>
          <w:rFonts w:eastAsia="Malgun Gothic" w:cs="Times New Roman"/>
          <w:color w:val="000000"/>
          <w:kern w:val="22"/>
          <w:szCs w:val="22"/>
        </w:rPr>
        <w:t xml:space="preserve"> pas explicitement tous les éléments de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Aichi, tandis qu</w:t>
      </w:r>
      <w:r w:rsidR="00E964B4" w:rsidRPr="00FA6E69">
        <w:rPr>
          <w:rFonts w:eastAsia="Malgun Gothic" w:cs="Times New Roman"/>
          <w:color w:val="000000"/>
          <w:kern w:val="22"/>
          <w:szCs w:val="22"/>
        </w:rPr>
        <w:t>’</w:t>
      </w:r>
      <w:r w:rsidRPr="00FA6E69">
        <w:rPr>
          <w:rFonts w:eastAsia="Malgun Gothic" w:cs="Times New Roman"/>
          <w:color w:val="000000"/>
          <w:kern w:val="22"/>
          <w:szCs w:val="22"/>
        </w:rPr>
        <w:t>un cinquième (</w:t>
      </w:r>
      <w:r w:rsidR="003C312F" w:rsidRPr="00FA6E69">
        <w:rPr>
          <w:rFonts w:eastAsia="Malgun Gothic" w:cs="Times New Roman"/>
          <w:color w:val="000000"/>
          <w:kern w:val="22"/>
          <w:szCs w:val="22"/>
        </w:rPr>
        <w:t>20</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des SPANB ne contiennent aucun objectif associé. La plupart des objectifs définis se réfèrent à la réduction de la perte des habitats dans les environnements naturels en général. La plupart des objectifs nationaux qui font référence à des habitats spécifiques con</w:t>
      </w:r>
      <w:r w:rsidR="005327F4" w:rsidRPr="00FA6E69">
        <w:rPr>
          <w:rFonts w:eastAsia="Malgun Gothic" w:cs="Times New Roman"/>
          <w:color w:val="000000"/>
          <w:kern w:val="22"/>
          <w:szCs w:val="22"/>
        </w:rPr>
        <w:t>cernent les forêts. L</w:t>
      </w:r>
      <w:r w:rsidRPr="00FA6E69">
        <w:rPr>
          <w:rFonts w:eastAsia="Malgun Gothic" w:cs="Times New Roman"/>
          <w:color w:val="000000"/>
          <w:kern w:val="22"/>
          <w:szCs w:val="22"/>
        </w:rPr>
        <w:t>es mangroves, récifs coralliens, rivières, parcours et milieux marins sont également mentionnés, mais dans une bien moindre mesure. Peu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 xml:space="preserve">objectifs nationaux précisent </w:t>
      </w:r>
      <w:r w:rsidR="005327F4" w:rsidRPr="00FA6E69">
        <w:rPr>
          <w:rFonts w:eastAsia="Malgun Gothic" w:cs="Times New Roman"/>
          <w:color w:val="000000"/>
          <w:kern w:val="22"/>
          <w:szCs w:val="22"/>
        </w:rPr>
        <w:t>le taux auquel</w:t>
      </w:r>
      <w:r w:rsidRPr="00FA6E69">
        <w:rPr>
          <w:rFonts w:eastAsia="Malgun Gothic" w:cs="Times New Roman"/>
          <w:color w:val="000000"/>
          <w:kern w:val="22"/>
          <w:szCs w:val="22"/>
        </w:rPr>
        <w:t xml:space="preserve"> la perte d</w:t>
      </w:r>
      <w:r w:rsidR="00E964B4" w:rsidRPr="00FA6E69">
        <w:rPr>
          <w:rFonts w:eastAsia="Malgun Gothic" w:cs="Times New Roman"/>
          <w:color w:val="000000"/>
          <w:kern w:val="22"/>
          <w:szCs w:val="22"/>
        </w:rPr>
        <w:t>’</w:t>
      </w:r>
      <w:r w:rsidR="005327F4" w:rsidRPr="00FA6E69">
        <w:rPr>
          <w:rFonts w:eastAsia="Malgun Gothic" w:cs="Times New Roman"/>
          <w:color w:val="000000"/>
          <w:kern w:val="22"/>
          <w:szCs w:val="22"/>
        </w:rPr>
        <w:t xml:space="preserve">habitats doit être réduite de même que peu d’entre eux </w:t>
      </w:r>
      <w:r w:rsidRPr="00FA6E69">
        <w:rPr>
          <w:rFonts w:eastAsia="Malgun Gothic" w:cs="Times New Roman"/>
          <w:color w:val="000000"/>
          <w:kern w:val="22"/>
          <w:szCs w:val="22"/>
        </w:rPr>
        <w:t>font</w:t>
      </w:r>
      <w:r w:rsidR="005327F4" w:rsidRPr="00FA6E69">
        <w:rPr>
          <w:rFonts w:eastAsia="Malgun Gothic" w:cs="Times New Roman"/>
          <w:color w:val="000000"/>
          <w:kern w:val="22"/>
          <w:szCs w:val="22"/>
        </w:rPr>
        <w:t xml:space="preserve"> explicitement</w:t>
      </w:r>
      <w:r w:rsidRPr="00FA6E69">
        <w:rPr>
          <w:rFonts w:eastAsia="Malgun Gothic" w:cs="Times New Roman"/>
          <w:color w:val="000000"/>
          <w:kern w:val="22"/>
          <w:szCs w:val="22"/>
        </w:rPr>
        <w:t xml:space="preserve"> référence à la dégradation ou à la fragmentation des habitats.</w:t>
      </w:r>
    </w:p>
    <w:p w:rsidR="00AB340A" w:rsidRPr="00FA6E69" w:rsidRDefault="000D7BD0" w:rsidP="006B6365">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Seulement </w:t>
      </w:r>
      <w:r w:rsidR="003C312F" w:rsidRPr="00FA6E69">
        <w:rPr>
          <w:rFonts w:eastAsia="Malgun Gothic" w:cs="Times New Roman"/>
          <w:color w:val="000000"/>
          <w:kern w:val="22"/>
          <w:szCs w:val="22"/>
        </w:rPr>
        <w:t>5</w:t>
      </w:r>
      <w:r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nationaux contiennent des informations suggérant 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 est en voie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être atteint. Plus de 40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contiennent des informations suggérant que </w:t>
      </w:r>
      <w:r w:rsidR="003C312F" w:rsidRPr="00FA6E69">
        <w:rPr>
          <w:rFonts w:eastAsia="Malgun Gothic" w:cs="Times New Roman"/>
          <w:color w:val="000000"/>
          <w:kern w:val="22"/>
          <w:szCs w:val="22"/>
        </w:rPr>
        <w:t>le taux de</w:t>
      </w:r>
      <w:r w:rsidRPr="00FA6E69">
        <w:rPr>
          <w:rFonts w:eastAsia="Malgun Gothic" w:cs="Times New Roman"/>
          <w:color w:val="000000"/>
          <w:kern w:val="22"/>
          <w:szCs w:val="22"/>
        </w:rPr>
        <w:t xml:space="preserve"> perte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habitats est inchangé ou se détériore</w:t>
      </w:r>
      <w:r w:rsidR="003C312F" w:rsidRPr="00FA6E69">
        <w:rPr>
          <w:rFonts w:eastAsia="Malgun Gothic" w:cs="Times New Roman"/>
          <w:color w:val="000000"/>
          <w:kern w:val="22"/>
          <w:szCs w:val="22"/>
        </w:rPr>
        <w:t>, et une proportion identique indique que des progrès ont été faits, mais à un rythme ne permettant pas d’atteindre l’objectif en 2020</w:t>
      </w:r>
      <w:r w:rsidRPr="00FA6E69">
        <w:rPr>
          <w:rFonts w:eastAsia="Malgun Gothic" w:cs="Times New Roman"/>
          <w:color w:val="000000"/>
          <w:kern w:val="22"/>
          <w:szCs w:val="22"/>
        </w:rPr>
        <w:t>. Les informations figurant dans les rapports nationaux suggèrent qu</w:t>
      </w:r>
      <w:r w:rsidR="00E964B4" w:rsidRPr="00FA6E69">
        <w:rPr>
          <w:rFonts w:eastAsia="Malgun Gothic" w:cs="Times New Roman"/>
          <w:color w:val="000000"/>
          <w:kern w:val="22"/>
          <w:szCs w:val="22"/>
        </w:rPr>
        <w:t>’</w:t>
      </w:r>
      <w:r w:rsidRPr="00FA6E69">
        <w:rPr>
          <w:rFonts w:eastAsia="Malgun Gothic" w:cs="Times New Roman"/>
          <w:color w:val="000000"/>
          <w:kern w:val="22"/>
          <w:szCs w:val="22"/>
        </w:rPr>
        <w:t>une attention égale est accordée à la réduction de la perte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habitats, à la dégradation et à la fragmentation des habitats</w:t>
      </w:r>
      <w:r w:rsidR="00AB340A" w:rsidRPr="00FA6E69">
        <w:rPr>
          <w:rFonts w:eastAsia="Malgun Gothic" w:cs="Times New Roman"/>
          <w:color w:val="000000"/>
          <w:kern w:val="22"/>
          <w:szCs w:val="22"/>
        </w:rPr>
        <w:t>.</w:t>
      </w:r>
    </w:p>
    <w:p w:rsidR="00AB340A" w:rsidRPr="00FA6E69" w:rsidRDefault="000D7BD0" w:rsidP="00297BEE">
      <w:pPr>
        <w:suppressLineNumbers/>
        <w:suppressAutoHyphens/>
        <w:spacing w:after="120"/>
        <w:rPr>
          <w:rFonts w:cs="Times New Roman"/>
          <w:i/>
          <w:iCs/>
          <w:color w:val="000000"/>
          <w:shd w:val="clear" w:color="auto" w:fill="FFFFFF"/>
        </w:rPr>
      </w:pPr>
      <w:r w:rsidRPr="00FA6E69">
        <w:rPr>
          <w:rFonts w:cs="Times New Roman"/>
          <w:i/>
          <w:iCs/>
          <w:color w:val="000000"/>
          <w:szCs w:val="22"/>
          <w:shd w:val="clear" w:color="auto" w:fill="FFFFFF"/>
        </w:rPr>
        <w:t>Objectif 6</w:t>
      </w:r>
      <w:r w:rsidRPr="00FA6E69">
        <w:rPr>
          <w:rFonts w:cs="Times New Roman"/>
          <w:i/>
          <w:iCs/>
          <w:color w:val="000000"/>
          <w:szCs w:val="22"/>
        </w:rPr>
        <w:t xml:space="preserve"> </w:t>
      </w:r>
      <w:r w:rsidRPr="00FA6E69">
        <w:rPr>
          <w:rFonts w:cs="Times New Roman"/>
          <w:color w:val="000000"/>
          <w:kern w:val="22"/>
          <w:szCs w:val="22"/>
        </w:rPr>
        <w:t>–</w:t>
      </w:r>
      <w:r w:rsidRPr="00FA6E69">
        <w:rPr>
          <w:rFonts w:cs="Times New Roman"/>
          <w:i/>
          <w:iCs/>
          <w:color w:val="000000"/>
          <w:szCs w:val="22"/>
        </w:rPr>
        <w:t xml:space="preserve"> </w:t>
      </w:r>
      <w:r w:rsidRPr="00FA6E69">
        <w:rPr>
          <w:rFonts w:cs="Times New Roman"/>
          <w:i/>
          <w:iCs/>
          <w:color w:val="000000"/>
          <w:szCs w:val="22"/>
          <w:shd w:val="clear" w:color="auto" w:fill="FFFFFF"/>
        </w:rPr>
        <w:t>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tous les stocks de poissons et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invertébrés et plantes aquatiques sont gérés et récoltés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une manière durable, légale et en appliquant des approches fondées sur les écosystèmes, de telle sorte que la surpêche soit évitée, que des plans et des mesures de récupération soient en place pour toutes les espèces épuisées, que les pêcheries n</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aient pas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impacts négatifs marqués sur les espèces menacées et les écosystèmes vulnérables, et que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impact de la pêche sur les stocks, les espèces et les écosystèmes reste dans des limites écologiques sûres</w:t>
      </w:r>
    </w:p>
    <w:p w:rsidR="00AB340A" w:rsidRPr="006D563D" w:rsidRDefault="00880AE7"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 xml:space="preserve">Seulement </w:t>
      </w:r>
      <w:r w:rsidR="003C312F" w:rsidRPr="00FA6E69">
        <w:rPr>
          <w:rFonts w:eastAsia="Malgun Gothic" w:cs="Times New Roman"/>
          <w:color w:val="000000"/>
          <w:kern w:val="22"/>
          <w:szCs w:val="22"/>
        </w:rPr>
        <w:t>8</w:t>
      </w:r>
      <w:r w:rsidR="00401EB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1EBE" w:rsidRPr="00FA6E69">
        <w:rPr>
          <w:rFonts w:eastAsia="Malgun Gothic" w:cs="Times New Roman"/>
          <w:color w:val="000000"/>
          <w:kern w:val="22"/>
          <w:szCs w:val="22"/>
        </w:rPr>
        <w:t xml:space="preserve"> des SPANB évalués comportent des objectifs ou engagements nationaux qui sont similaires à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ambition définis dans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Aichi.</w:t>
      </w:r>
      <w:r w:rsidR="00401EBE" w:rsidRPr="00FA6E69">
        <w:rPr>
          <w:rFonts w:eastAsia="Malgun Gothic" w:cs="Times New Roman"/>
          <w:color w:val="000000"/>
          <w:kern w:val="22"/>
          <w:szCs w:val="22"/>
          <w:vertAlign w:val="superscript"/>
        </w:rPr>
        <w:footnoteReference w:id="18"/>
      </w:r>
      <w:r w:rsidRPr="00FA6E69">
        <w:rPr>
          <w:rFonts w:eastAsia="Malgun Gothic" w:cs="Times New Roman"/>
          <w:color w:val="000000"/>
          <w:kern w:val="22"/>
          <w:szCs w:val="22"/>
        </w:rPr>
        <w:t xml:space="preserve"> Plus de la moitié (</w:t>
      </w:r>
      <w:r w:rsidR="003C312F" w:rsidRPr="00FA6E69">
        <w:rPr>
          <w:rFonts w:eastAsia="Malgun Gothic" w:cs="Times New Roman"/>
          <w:color w:val="000000"/>
          <w:kern w:val="22"/>
          <w:szCs w:val="22"/>
        </w:rPr>
        <w:t>59</w:t>
      </w:r>
      <w:r w:rsidR="00401EB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1EBE" w:rsidRPr="00FA6E69">
        <w:rPr>
          <w:rFonts w:eastAsia="Malgun Gothic" w:cs="Times New Roman"/>
          <w:color w:val="000000"/>
          <w:kern w:val="22"/>
          <w:szCs w:val="22"/>
        </w:rPr>
        <w:t>) des objectifs figurant dans les SPANB sont inférieurs à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Aichi ou ne traitent pas tous les éléments de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Aichi. Cet Objectif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Aichi est celui pour lequel on dénombre le moins de SPANB contena</w:t>
      </w:r>
      <w:r w:rsidRPr="00FA6E69">
        <w:rPr>
          <w:rFonts w:eastAsia="Malgun Gothic" w:cs="Times New Roman"/>
          <w:color w:val="000000"/>
          <w:kern w:val="22"/>
          <w:szCs w:val="22"/>
        </w:rPr>
        <w:t>nt des objectifs comparables. Trente</w:t>
      </w:r>
      <w:r w:rsidR="009F23B8" w:rsidRPr="00FA6E69">
        <w:rPr>
          <w:rFonts w:eastAsia="Malgun Gothic" w:cs="Times New Roman"/>
          <w:color w:val="000000"/>
          <w:kern w:val="22"/>
          <w:szCs w:val="22"/>
        </w:rPr>
        <w:noBreakHyphen/>
      </w:r>
      <w:r w:rsidRPr="00FA6E69">
        <w:rPr>
          <w:rFonts w:eastAsia="Malgun Gothic" w:cs="Times New Roman"/>
          <w:color w:val="000000"/>
          <w:kern w:val="22"/>
          <w:szCs w:val="22"/>
        </w:rPr>
        <w:t>trois</w:t>
      </w:r>
      <w:r w:rsidR="00401EB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401EBE" w:rsidRPr="00FA6E69">
        <w:rPr>
          <w:rFonts w:eastAsia="Malgun Gothic" w:cs="Times New Roman"/>
          <w:color w:val="000000"/>
          <w:kern w:val="22"/>
          <w:szCs w:val="22"/>
        </w:rPr>
        <w:t xml:space="preserve"> des SPANB évalués ne contiennent aucun objectif ou engagement national relatif à cet objectif. Dans la plupart des cas,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objectif s</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 xml:space="preserve">applique </w:t>
      </w:r>
      <w:r w:rsidR="00401EBE" w:rsidRPr="00FA6E69">
        <w:rPr>
          <w:rFonts w:eastAsia="Malgun Gothic" w:cs="Times New Roman"/>
          <w:color w:val="000000"/>
          <w:kern w:val="22"/>
          <w:szCs w:val="22"/>
        </w:rPr>
        <w:lastRenderedPageBreak/>
        <w:t>aux pêcheries marines. Cependant, certains pays enclavés ont également défini des objectifs relatifs à l</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Objectif 6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Aichi suggérant que ces objectifs nationaux s</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appliqueront aux stocks de poissons et d</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invertébrés, ainsi qu</w:t>
      </w:r>
      <w:r w:rsidR="00E964B4" w:rsidRPr="00FA6E69">
        <w:rPr>
          <w:rFonts w:eastAsia="Malgun Gothic" w:cs="Times New Roman"/>
          <w:color w:val="000000"/>
          <w:kern w:val="22"/>
          <w:szCs w:val="22"/>
        </w:rPr>
        <w:t>’</w:t>
      </w:r>
      <w:r w:rsidR="00401EBE" w:rsidRPr="00FA6E69">
        <w:rPr>
          <w:rFonts w:eastAsia="Malgun Gothic" w:cs="Times New Roman"/>
          <w:color w:val="000000"/>
          <w:kern w:val="22"/>
          <w:szCs w:val="22"/>
        </w:rPr>
        <w:t>aux plantes aquatiques des eaux intérieures.</w:t>
      </w:r>
    </w:p>
    <w:p w:rsidR="00AB340A" w:rsidRPr="00FA6E69" w:rsidRDefault="0063680E" w:rsidP="00130623">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La majorité des objectifs définis se concentrent sur les questions relatives à la gestion et à la pêche durables des stocks de poissons. Par comparaison, un nombre relativement faible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objectifs ont traité les questions relatives à la prévention de la surpêche, à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élaboration de plans de récupération pour les espèces épuisées, tout en s</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assurant que les pêcheries n</w:t>
      </w:r>
      <w:r w:rsidR="00E964B4" w:rsidRPr="00FA6E69">
        <w:rPr>
          <w:rFonts w:eastAsia="Malgun Gothic" w:cs="Times New Roman"/>
          <w:color w:val="000000"/>
          <w:kern w:val="22"/>
          <w:szCs w:val="22"/>
        </w:rPr>
        <w:t>’</w:t>
      </w:r>
      <w:r w:rsidRPr="00FA6E69">
        <w:rPr>
          <w:rFonts w:eastAsia="Malgun Gothic" w:cs="Times New Roman"/>
          <w:color w:val="000000"/>
          <w:kern w:val="22"/>
          <w:szCs w:val="22"/>
        </w:rPr>
        <w:t>ont pas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impacts négatifs marqués sur les écosystèmes menacés ou vulnérables, et en maintenant les impacts des pêcheries dans des limites écologiques sûres</w:t>
      </w:r>
      <w:r w:rsidR="00AB340A" w:rsidRPr="00FA6E69">
        <w:rPr>
          <w:rFonts w:eastAsia="Malgun Gothic" w:cs="Times New Roman"/>
          <w:color w:val="000000"/>
          <w:kern w:val="22"/>
          <w:szCs w:val="22"/>
        </w:rPr>
        <w:t>.</w:t>
      </w:r>
    </w:p>
    <w:p w:rsidR="00AB340A" w:rsidRPr="00FA6E69" w:rsidRDefault="00E61081" w:rsidP="006E2EDC">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Seulement 4</w:t>
      </w:r>
      <w:r w:rsidR="0063680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63680E" w:rsidRPr="00FA6E69">
        <w:rPr>
          <w:rFonts w:eastAsia="Malgun Gothic" w:cs="Times New Roman"/>
          <w:color w:val="000000"/>
          <w:kern w:val="22"/>
          <w:szCs w:val="22"/>
        </w:rPr>
        <w:t xml:space="preserve"> des rapports nationaux contiennent des informations suggérant que l</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objectif est en voie d</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être atteint à l</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échéance. Près de la moitié (</w:t>
      </w:r>
      <w:r w:rsidRPr="00FA6E69">
        <w:rPr>
          <w:rFonts w:eastAsia="Malgun Gothic" w:cs="Times New Roman"/>
          <w:color w:val="000000"/>
          <w:kern w:val="22"/>
          <w:szCs w:val="22"/>
        </w:rPr>
        <w:t>48</w:t>
      </w:r>
      <w:r w:rsidR="0063680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63680E" w:rsidRPr="00FA6E69">
        <w:rPr>
          <w:rFonts w:eastAsia="Malgun Gothic" w:cs="Times New Roman"/>
          <w:color w:val="000000"/>
          <w:kern w:val="22"/>
          <w:szCs w:val="22"/>
        </w:rPr>
        <w:t>) des rapports nationaux contiennent des informations suggérant que des progrès sont accomplis dans la réalisation de cet objectif, mais à un rythme qui ne permettra pas de le réaliser à l</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 xml:space="preserve">échéance. </w:t>
      </w:r>
      <w:r w:rsidRPr="00FA6E69">
        <w:rPr>
          <w:rFonts w:eastAsia="Malgun Gothic" w:cs="Times New Roman"/>
          <w:color w:val="000000"/>
          <w:kern w:val="22"/>
          <w:szCs w:val="22"/>
        </w:rPr>
        <w:t>Plus d’un quart (29</w:t>
      </w:r>
      <w:r w:rsidR="0063680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w:t>
      </w:r>
      <w:r w:rsidR="0063680E" w:rsidRPr="00FA6E69">
        <w:rPr>
          <w:rFonts w:eastAsia="Malgun Gothic" w:cs="Times New Roman"/>
          <w:color w:val="000000"/>
          <w:kern w:val="22"/>
          <w:szCs w:val="22"/>
        </w:rPr>
        <w:t xml:space="preserve"> des rapports suggèrent qu</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il n</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y a pas eu de changement significatif dans la réalisation de l</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objectif. Environ 15 </w:t>
      </w:r>
      <w:r w:rsidR="00360989" w:rsidRPr="00FA6E69">
        <w:rPr>
          <w:rFonts w:eastAsia="Malgun Gothic" w:cs="Times New Roman"/>
          <w:color w:val="000000"/>
          <w:kern w:val="22"/>
          <w:szCs w:val="22"/>
        </w:rPr>
        <w:t>pour cent</w:t>
      </w:r>
      <w:r w:rsidR="0063680E" w:rsidRPr="00FA6E69">
        <w:rPr>
          <w:rFonts w:eastAsia="Malgun Gothic" w:cs="Times New Roman"/>
          <w:color w:val="000000"/>
          <w:kern w:val="22"/>
          <w:szCs w:val="22"/>
        </w:rPr>
        <w:t xml:space="preserve"> des rapports nationaux ne contiennent pas d</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informations suffisantes pour l</w:t>
      </w:r>
      <w:r w:rsidR="00E964B4" w:rsidRPr="00FA6E69">
        <w:rPr>
          <w:rFonts w:eastAsia="Malgun Gothic" w:cs="Times New Roman"/>
          <w:color w:val="000000"/>
          <w:kern w:val="22"/>
          <w:szCs w:val="22"/>
        </w:rPr>
        <w:t>’</w:t>
      </w:r>
      <w:r w:rsidR="0063680E" w:rsidRPr="00FA6E69">
        <w:rPr>
          <w:rFonts w:eastAsia="Malgun Gothic" w:cs="Times New Roman"/>
          <w:color w:val="000000"/>
          <w:kern w:val="22"/>
          <w:szCs w:val="22"/>
        </w:rPr>
        <w:t>évaluation des progrès accomplis dans la réalisation de cet objectif</w:t>
      </w:r>
      <w:r w:rsidR="00AB340A" w:rsidRPr="00FA6E69">
        <w:rPr>
          <w:rFonts w:eastAsia="Malgun Gothic" w:cs="Times New Roman"/>
          <w:color w:val="000000"/>
          <w:kern w:val="22"/>
          <w:szCs w:val="22"/>
        </w:rPr>
        <w:t>.</w:t>
      </w:r>
    </w:p>
    <w:p w:rsidR="00AB340A" w:rsidRPr="00FA6E69" w:rsidRDefault="007627BC" w:rsidP="007E2731">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En général, les informations des cinquièmes rapports nationaux suggèrent que l</w:t>
      </w:r>
      <w:r w:rsidR="00E964B4" w:rsidRPr="00FA6E69">
        <w:rPr>
          <w:rFonts w:eastAsia="Malgun Gothic" w:cs="Times New Roman"/>
          <w:color w:val="000000"/>
          <w:kern w:val="22"/>
          <w:szCs w:val="22"/>
        </w:rPr>
        <w:t>’</w:t>
      </w:r>
      <w:r w:rsidRPr="00FA6E69">
        <w:rPr>
          <w:rFonts w:eastAsia="Malgun Gothic" w:cs="Times New Roman"/>
          <w:color w:val="000000"/>
          <w:kern w:val="22"/>
          <w:szCs w:val="22"/>
        </w:rPr>
        <w:t>attention a été essentiellement portée sur la gestion durable des stocks de poissons et la</w:t>
      </w:r>
      <w:r w:rsidR="007E2731" w:rsidRPr="00FA6E69">
        <w:rPr>
          <w:rFonts w:eastAsia="Malgun Gothic" w:cs="Times New Roman"/>
          <w:color w:val="000000"/>
          <w:kern w:val="22"/>
          <w:szCs w:val="22"/>
        </w:rPr>
        <w:t xml:space="preserve"> prévention de la surpêche. Plus</w:t>
      </w:r>
      <w:r w:rsidRPr="00FA6E69">
        <w:rPr>
          <w:rFonts w:eastAsia="Malgun Gothic" w:cs="Times New Roman"/>
          <w:color w:val="000000"/>
          <w:kern w:val="22"/>
          <w:szCs w:val="22"/>
        </w:rPr>
        <w:t xml:space="preserve"> de 50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 xml:space="preserve"> des rapports ne contiennent pas d</w:t>
      </w:r>
      <w:r w:rsidR="00E964B4" w:rsidRPr="00FA6E69">
        <w:rPr>
          <w:rFonts w:eastAsia="Malgun Gothic" w:cs="Times New Roman"/>
          <w:color w:val="000000"/>
          <w:kern w:val="22"/>
          <w:szCs w:val="22"/>
        </w:rPr>
        <w:t>’</w:t>
      </w:r>
      <w:r w:rsidRPr="00FA6E69">
        <w:rPr>
          <w:rFonts w:eastAsia="Malgun Gothic" w:cs="Times New Roman"/>
          <w:color w:val="000000"/>
          <w:kern w:val="22"/>
          <w:szCs w:val="22"/>
        </w:rPr>
        <w:t>informations sur la mise en œuvre de plans de récupération pour les espèces épuisées et sur le maintien des impacts des pêcheries dans des limites écologiques sûres</w:t>
      </w:r>
      <w:r w:rsidR="007E2731" w:rsidRPr="00FA6E69">
        <w:rPr>
          <w:rFonts w:eastAsia="Malgun Gothic" w:cs="Times New Roman"/>
          <w:color w:val="000000"/>
          <w:kern w:val="22"/>
          <w:szCs w:val="22"/>
        </w:rPr>
        <w:t xml:space="preserve"> permettant d</w:t>
      </w:r>
      <w:r w:rsidR="00E964B4" w:rsidRPr="00FA6E69">
        <w:rPr>
          <w:rFonts w:eastAsia="Malgun Gothic" w:cs="Times New Roman"/>
          <w:color w:val="000000"/>
          <w:kern w:val="22"/>
          <w:szCs w:val="22"/>
        </w:rPr>
        <w:t>’</w:t>
      </w:r>
      <w:r w:rsidR="007E2731" w:rsidRPr="00FA6E69">
        <w:rPr>
          <w:rFonts w:eastAsia="Malgun Gothic" w:cs="Times New Roman"/>
          <w:color w:val="000000"/>
          <w:kern w:val="22"/>
          <w:szCs w:val="22"/>
        </w:rPr>
        <w:t>assurer que les activités de pêche n</w:t>
      </w:r>
      <w:r w:rsidR="00E964B4" w:rsidRPr="00FA6E69">
        <w:rPr>
          <w:rFonts w:eastAsia="Malgun Gothic" w:cs="Times New Roman"/>
          <w:color w:val="000000"/>
          <w:kern w:val="22"/>
          <w:szCs w:val="22"/>
        </w:rPr>
        <w:t>’</w:t>
      </w:r>
      <w:r w:rsidR="007E2731" w:rsidRPr="00FA6E69">
        <w:rPr>
          <w:rFonts w:eastAsia="Malgun Gothic" w:cs="Times New Roman"/>
          <w:color w:val="000000"/>
          <w:kern w:val="22"/>
          <w:szCs w:val="22"/>
        </w:rPr>
        <w:t>ont pas d</w:t>
      </w:r>
      <w:r w:rsidR="00E964B4" w:rsidRPr="00FA6E69">
        <w:rPr>
          <w:rFonts w:eastAsia="Malgun Gothic" w:cs="Times New Roman"/>
          <w:color w:val="000000"/>
          <w:kern w:val="22"/>
          <w:szCs w:val="22"/>
        </w:rPr>
        <w:t>’</w:t>
      </w:r>
      <w:r w:rsidR="007E2731" w:rsidRPr="00FA6E69">
        <w:rPr>
          <w:rFonts w:eastAsia="Malgun Gothic" w:cs="Times New Roman"/>
          <w:color w:val="000000"/>
          <w:kern w:val="22"/>
          <w:szCs w:val="22"/>
        </w:rPr>
        <w:t>impacts négatifs marqués sur les espèces menacées et les écosystèmes vulnérables.</w:t>
      </w:r>
    </w:p>
    <w:p w:rsidR="00AB340A" w:rsidRPr="00FA6E69" w:rsidRDefault="00154822" w:rsidP="00297BEE">
      <w:pPr>
        <w:suppressLineNumbers/>
        <w:tabs>
          <w:tab w:val="left" w:pos="180"/>
        </w:tabs>
        <w:suppressAutoHyphens/>
        <w:spacing w:after="120"/>
        <w:rPr>
          <w:rFonts w:cs="Times New Roman"/>
          <w:snapToGrid w:val="0"/>
          <w:color w:val="000000"/>
          <w:kern w:val="22"/>
          <w:szCs w:val="22"/>
          <w:shd w:val="clear" w:color="auto" w:fill="FFFFFF"/>
        </w:rPr>
      </w:pPr>
      <w:r w:rsidRPr="00FA6E69">
        <w:rPr>
          <w:rFonts w:cs="Times New Roman"/>
          <w:i/>
          <w:iCs/>
          <w:color w:val="000000"/>
          <w:szCs w:val="22"/>
          <w:shd w:val="clear" w:color="auto" w:fill="FFFFFF"/>
        </w:rPr>
        <w:t xml:space="preserve">Objectif 7 </w:t>
      </w:r>
      <w:r w:rsidRPr="00FA6E69">
        <w:rPr>
          <w:rFonts w:cs="Times New Roman"/>
          <w:color w:val="000000"/>
          <w:kern w:val="22"/>
          <w:szCs w:val="22"/>
        </w:rPr>
        <w:t>–</w:t>
      </w:r>
      <w:r w:rsidRPr="00FA6E69">
        <w:rPr>
          <w:rFonts w:cs="Times New Roman"/>
          <w:i/>
          <w:iCs/>
          <w:color w:val="000000"/>
          <w:szCs w:val="22"/>
        </w:rPr>
        <w:t xml:space="preserve"> </w:t>
      </w:r>
      <w:r w:rsidRPr="00FA6E69">
        <w:rPr>
          <w:rFonts w:cs="Times New Roman"/>
          <w:i/>
          <w:iCs/>
          <w:color w:val="000000"/>
          <w:szCs w:val="22"/>
          <w:shd w:val="clear" w:color="auto" w:fill="FFFFFF"/>
        </w:rPr>
        <w:t>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les zones consacrées à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agriculture,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aquaculture et la sylviculture sont gérées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une manière durable, afin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assurer la conservation de la diversité biologique</w:t>
      </w:r>
    </w:p>
    <w:p w:rsidR="00AB340A" w:rsidRPr="006D563D" w:rsidRDefault="00E9057E"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Neuf</w:t>
      </w:r>
      <w:r w:rsidR="00344E81" w:rsidRPr="00FA6E69">
        <w:rPr>
          <w:rFonts w:eastAsia="Malgun Gothic" w:cs="Times New Roman"/>
          <w:color w:val="000000"/>
          <w:kern w:val="22"/>
          <w:szCs w:val="22"/>
        </w:rPr>
        <w:t xml:space="preserve"> </w:t>
      </w:r>
      <w:r w:rsidR="00360989" w:rsidRPr="00FA6E69">
        <w:rPr>
          <w:rFonts w:eastAsia="Malgun Gothic" w:cs="Times New Roman"/>
          <w:color w:val="000000"/>
          <w:kern w:val="22"/>
          <w:szCs w:val="22"/>
        </w:rPr>
        <w:t>pour cent</w:t>
      </w:r>
      <w:r w:rsidR="00344E81" w:rsidRPr="00FA6E69">
        <w:rPr>
          <w:rFonts w:eastAsia="Malgun Gothic" w:cs="Times New Roman"/>
          <w:color w:val="000000"/>
          <w:kern w:val="22"/>
          <w:szCs w:val="22"/>
        </w:rPr>
        <w:t xml:space="preserve"> des SPANB évalués contiennent des objectifs ou engagements nationaux qui sont équivalents à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ambition définis dans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Aichi.</w:t>
      </w:r>
      <w:r w:rsidR="00344E81" w:rsidRPr="00FA6E69">
        <w:rPr>
          <w:rFonts w:eastAsia="Malgun Gothic" w:cs="Times New Roman"/>
          <w:color w:val="000000"/>
          <w:kern w:val="22"/>
          <w:szCs w:val="22"/>
          <w:vertAlign w:val="superscript"/>
        </w:rPr>
        <w:footnoteReference w:id="19"/>
      </w:r>
      <w:r w:rsidR="00344E81" w:rsidRPr="00FA6E69">
        <w:rPr>
          <w:rFonts w:eastAsia="Malgun Gothic" w:cs="Times New Roman"/>
          <w:color w:val="000000"/>
          <w:kern w:val="22"/>
          <w:szCs w:val="22"/>
        </w:rPr>
        <w:t xml:space="preserve"> </w:t>
      </w:r>
      <w:r w:rsidR="00CF354A" w:rsidRPr="00FA6E69">
        <w:rPr>
          <w:rFonts w:eastAsia="Malgun Gothic" w:cs="Times New Roman"/>
          <w:color w:val="000000"/>
          <w:kern w:val="22"/>
          <w:szCs w:val="22"/>
        </w:rPr>
        <w:t>Les trois</w:t>
      </w:r>
      <w:r w:rsidR="00880AE7" w:rsidRPr="00FA6E69">
        <w:rPr>
          <w:rFonts w:eastAsia="Malgun Gothic" w:cs="Times New Roman"/>
          <w:color w:val="000000"/>
          <w:kern w:val="22"/>
          <w:szCs w:val="22"/>
        </w:rPr>
        <w:t xml:space="preserve"> quarts des SPANB (</w:t>
      </w:r>
      <w:r w:rsidRPr="00FA6E69">
        <w:rPr>
          <w:rFonts w:eastAsia="Malgun Gothic" w:cs="Times New Roman"/>
          <w:color w:val="000000"/>
          <w:kern w:val="22"/>
          <w:szCs w:val="22"/>
        </w:rPr>
        <w:t>75</w:t>
      </w:r>
      <w:r w:rsidR="00344E81"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344E81" w:rsidRPr="00FA6E69">
        <w:rPr>
          <w:rFonts w:eastAsia="Malgun Gothic" w:cs="Times New Roman"/>
          <w:color w:val="000000"/>
          <w:kern w:val="22"/>
          <w:szCs w:val="22"/>
        </w:rPr>
        <w:t>) contiennent des objectifs qui sont inférieurs à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Aichi ou qui ne traitent que certains éléments couverts par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 xml:space="preserve">Aichi. </w:t>
      </w:r>
      <w:r w:rsidRPr="00FA6E69">
        <w:rPr>
          <w:rFonts w:eastAsia="Malgun Gothic" w:cs="Times New Roman"/>
          <w:color w:val="000000"/>
          <w:kern w:val="22"/>
          <w:szCs w:val="22"/>
        </w:rPr>
        <w:t xml:space="preserve">Un total de 16 pour </w:t>
      </w:r>
      <w:r w:rsidR="00CF354A" w:rsidRPr="00FA6E69">
        <w:rPr>
          <w:rFonts w:eastAsia="Malgun Gothic" w:cs="Times New Roman"/>
          <w:color w:val="000000"/>
          <w:kern w:val="22"/>
          <w:szCs w:val="22"/>
        </w:rPr>
        <w:t>cent des</w:t>
      </w:r>
      <w:r w:rsidR="00880AE7" w:rsidRPr="00FA6E69">
        <w:rPr>
          <w:rFonts w:eastAsia="Malgun Gothic" w:cs="Times New Roman"/>
          <w:color w:val="000000"/>
          <w:kern w:val="22"/>
          <w:szCs w:val="22"/>
        </w:rPr>
        <w:t xml:space="preserve"> SPANB</w:t>
      </w:r>
      <w:r w:rsidR="00344E81" w:rsidRPr="00FA6E69">
        <w:rPr>
          <w:rFonts w:eastAsia="Malgun Gothic" w:cs="Times New Roman"/>
          <w:color w:val="000000"/>
          <w:kern w:val="22"/>
          <w:szCs w:val="22"/>
        </w:rPr>
        <w:t xml:space="preserve"> ne contiennent aucun objectif national ou engagement similaire à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Objectif 7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Aichi pour la biodiversité. Par comparaison, il y a peu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objectifs ou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engagements nationaux contenus dans les SPANB et relatifs à cet Objectif d</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Aichi qui traitent des questions associées à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aquaculture. De nombreux objectifs nationaux concernent la gestion durable en général, mais ne traitent pas l</w:t>
      </w:r>
      <w:r w:rsidR="00E964B4" w:rsidRPr="00FA6E69">
        <w:rPr>
          <w:rFonts w:eastAsia="Malgun Gothic" w:cs="Times New Roman"/>
          <w:color w:val="000000"/>
          <w:kern w:val="22"/>
          <w:szCs w:val="22"/>
        </w:rPr>
        <w:t>’</w:t>
      </w:r>
      <w:r w:rsidR="00344E81" w:rsidRPr="00FA6E69">
        <w:rPr>
          <w:rFonts w:eastAsia="Malgun Gothic" w:cs="Times New Roman"/>
          <w:color w:val="000000"/>
          <w:kern w:val="22"/>
          <w:szCs w:val="22"/>
        </w:rPr>
        <w:t>agriculture ou la sylviculture de manière spécifique.</w:t>
      </w:r>
    </w:p>
    <w:p w:rsidR="00AB340A" w:rsidRPr="00FA6E69" w:rsidRDefault="00CF354A" w:rsidP="006955BC">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kern w:val="22"/>
          <w:szCs w:val="22"/>
        </w:rPr>
        <w:t>Seulement</w:t>
      </w:r>
      <w:r w:rsidR="00E9057E" w:rsidRPr="00FA6E69">
        <w:rPr>
          <w:rFonts w:eastAsia="Malgun Gothic" w:cs="Times New Roman"/>
          <w:kern w:val="22"/>
          <w:szCs w:val="22"/>
        </w:rPr>
        <w:t xml:space="preserve"> 7 </w:t>
      </w:r>
      <w:r w:rsidR="00360989" w:rsidRPr="00FA6E69">
        <w:rPr>
          <w:rFonts w:eastAsia="Malgun Gothic" w:cs="Times New Roman"/>
          <w:kern w:val="22"/>
          <w:szCs w:val="22"/>
        </w:rPr>
        <w:t>pour cent</w:t>
      </w:r>
      <w:r w:rsidR="006955BC" w:rsidRPr="00FA6E69">
        <w:rPr>
          <w:rFonts w:eastAsia="Malgun Gothic" w:cs="Times New Roman"/>
          <w:kern w:val="22"/>
          <w:szCs w:val="22"/>
        </w:rPr>
        <w:t xml:space="preserve"> des rapports nationaux contiennent des informations suggérant que cet objectif est atteint ou en voie d</w:t>
      </w:r>
      <w:r w:rsidR="00E964B4" w:rsidRPr="00FA6E69">
        <w:rPr>
          <w:rFonts w:eastAsia="Malgun Gothic" w:cs="Times New Roman"/>
          <w:kern w:val="22"/>
          <w:szCs w:val="22"/>
        </w:rPr>
        <w:t>’</w:t>
      </w:r>
      <w:r w:rsidR="006955BC" w:rsidRPr="00FA6E69">
        <w:rPr>
          <w:rFonts w:eastAsia="Malgun Gothic" w:cs="Times New Roman"/>
          <w:kern w:val="22"/>
          <w:szCs w:val="22"/>
        </w:rPr>
        <w:t>être atteint d</w:t>
      </w:r>
      <w:r w:rsidR="00E964B4" w:rsidRPr="00FA6E69">
        <w:rPr>
          <w:rFonts w:eastAsia="Malgun Gothic" w:cs="Times New Roman"/>
          <w:kern w:val="22"/>
          <w:szCs w:val="22"/>
        </w:rPr>
        <w:t>’</w:t>
      </w:r>
      <w:r w:rsidR="006955BC" w:rsidRPr="00FA6E69">
        <w:rPr>
          <w:rFonts w:eastAsia="Malgun Gothic" w:cs="Times New Roman"/>
          <w:kern w:val="22"/>
          <w:szCs w:val="22"/>
        </w:rPr>
        <w:t>ici à</w:t>
      </w:r>
      <w:r w:rsidR="00360989" w:rsidRPr="00FA6E69">
        <w:rPr>
          <w:rFonts w:eastAsia="Malgun Gothic" w:cs="Times New Roman"/>
          <w:kern w:val="22"/>
          <w:szCs w:val="22"/>
        </w:rPr>
        <w:t> 2020</w:t>
      </w:r>
      <w:r w:rsidR="006955BC" w:rsidRPr="00FA6E69">
        <w:rPr>
          <w:rFonts w:eastAsia="Malgun Gothic" w:cs="Times New Roman"/>
          <w:kern w:val="22"/>
          <w:szCs w:val="22"/>
        </w:rPr>
        <w:t>. La plupart des rappor</w:t>
      </w:r>
      <w:r w:rsidR="00634821" w:rsidRPr="00FA6E69">
        <w:rPr>
          <w:rFonts w:eastAsia="Malgun Gothic" w:cs="Times New Roman"/>
          <w:kern w:val="22"/>
          <w:szCs w:val="22"/>
        </w:rPr>
        <w:t>ts nationaux (</w:t>
      </w:r>
      <w:r w:rsidR="00201C20" w:rsidRPr="00FA6E69">
        <w:rPr>
          <w:rFonts w:eastAsia="Malgun Gothic" w:cs="Times New Roman"/>
          <w:kern w:val="22"/>
          <w:szCs w:val="22"/>
        </w:rPr>
        <w:t>57</w:t>
      </w:r>
      <w:r w:rsidR="006955BC" w:rsidRPr="00FA6E69">
        <w:rPr>
          <w:rFonts w:eastAsia="Malgun Gothic" w:cs="Times New Roman"/>
          <w:kern w:val="22"/>
          <w:szCs w:val="22"/>
        </w:rPr>
        <w:t> </w:t>
      </w:r>
      <w:r w:rsidR="00360989" w:rsidRPr="00FA6E69">
        <w:rPr>
          <w:rFonts w:eastAsia="Malgun Gothic" w:cs="Times New Roman"/>
          <w:kern w:val="22"/>
          <w:szCs w:val="22"/>
        </w:rPr>
        <w:t>pour cent</w:t>
      </w:r>
      <w:r w:rsidR="006955BC" w:rsidRPr="00FA6E69">
        <w:rPr>
          <w:rFonts w:eastAsia="Malgun Gothic" w:cs="Times New Roman"/>
          <w:kern w:val="22"/>
          <w:szCs w:val="22"/>
        </w:rPr>
        <w:t>) indiquent que des progrès sont accomplis dans la réalisation de l</w:t>
      </w:r>
      <w:r w:rsidR="00E964B4" w:rsidRPr="00FA6E69">
        <w:rPr>
          <w:rFonts w:eastAsia="Malgun Gothic" w:cs="Times New Roman"/>
          <w:kern w:val="22"/>
          <w:szCs w:val="22"/>
        </w:rPr>
        <w:t>’</w:t>
      </w:r>
      <w:r w:rsidR="006955BC" w:rsidRPr="00FA6E69">
        <w:rPr>
          <w:rFonts w:eastAsia="Malgun Gothic" w:cs="Times New Roman"/>
          <w:kern w:val="22"/>
          <w:szCs w:val="22"/>
        </w:rPr>
        <w:t>Objectif d</w:t>
      </w:r>
      <w:r w:rsidR="00E964B4" w:rsidRPr="00FA6E69">
        <w:rPr>
          <w:rFonts w:eastAsia="Malgun Gothic" w:cs="Times New Roman"/>
          <w:kern w:val="22"/>
          <w:szCs w:val="22"/>
        </w:rPr>
        <w:t>’</w:t>
      </w:r>
      <w:r w:rsidR="006955BC" w:rsidRPr="00FA6E69">
        <w:rPr>
          <w:rFonts w:eastAsia="Malgun Gothic" w:cs="Times New Roman"/>
          <w:kern w:val="22"/>
          <w:szCs w:val="22"/>
        </w:rPr>
        <w:t>Aichi, mais à un rythme qui ne permettra pas de l</w:t>
      </w:r>
      <w:r w:rsidR="00E964B4" w:rsidRPr="00FA6E69">
        <w:rPr>
          <w:rFonts w:eastAsia="Malgun Gothic" w:cs="Times New Roman"/>
          <w:kern w:val="22"/>
          <w:szCs w:val="22"/>
        </w:rPr>
        <w:t>’</w:t>
      </w:r>
      <w:r w:rsidR="006955BC" w:rsidRPr="00FA6E69">
        <w:rPr>
          <w:rFonts w:eastAsia="Malgun Gothic" w:cs="Times New Roman"/>
          <w:kern w:val="22"/>
          <w:szCs w:val="22"/>
        </w:rPr>
        <w:t>atteindre d</w:t>
      </w:r>
      <w:r w:rsidR="00E964B4" w:rsidRPr="00FA6E69">
        <w:rPr>
          <w:rFonts w:eastAsia="Malgun Gothic" w:cs="Times New Roman"/>
          <w:kern w:val="22"/>
          <w:szCs w:val="22"/>
        </w:rPr>
        <w:t>’</w:t>
      </w:r>
      <w:r w:rsidR="006955BC" w:rsidRPr="00FA6E69">
        <w:rPr>
          <w:rFonts w:eastAsia="Malgun Gothic" w:cs="Times New Roman"/>
          <w:kern w:val="22"/>
          <w:szCs w:val="22"/>
        </w:rPr>
        <w:t>ici à</w:t>
      </w:r>
      <w:r w:rsidR="00360989" w:rsidRPr="00FA6E69">
        <w:rPr>
          <w:rFonts w:eastAsia="Malgun Gothic" w:cs="Times New Roman"/>
          <w:kern w:val="22"/>
          <w:szCs w:val="22"/>
        </w:rPr>
        <w:t> 2020</w:t>
      </w:r>
      <w:r w:rsidR="006955BC" w:rsidRPr="00FA6E69">
        <w:rPr>
          <w:rFonts w:eastAsia="Malgun Gothic" w:cs="Times New Roman"/>
          <w:kern w:val="22"/>
          <w:szCs w:val="22"/>
        </w:rPr>
        <w:t xml:space="preserve">. </w:t>
      </w:r>
      <w:r w:rsidR="00201C20" w:rsidRPr="00FA6E69">
        <w:rPr>
          <w:rFonts w:eastAsia="Malgun Gothic" w:cs="Times New Roman"/>
          <w:kern w:val="22"/>
          <w:szCs w:val="22"/>
        </w:rPr>
        <w:t xml:space="preserve">Près d’un quart (23 pour cent) des rapports indiquent qu’aucun changement ne s’est produit. </w:t>
      </w:r>
      <w:r w:rsidR="006955BC" w:rsidRPr="00FA6E69">
        <w:rPr>
          <w:rFonts w:eastAsia="Malgun Gothic" w:cs="Times New Roman"/>
          <w:kern w:val="22"/>
          <w:szCs w:val="22"/>
        </w:rPr>
        <w:t>Les rapports nationaux contiennent relativement peu d</w:t>
      </w:r>
      <w:r w:rsidR="00E964B4" w:rsidRPr="00FA6E69">
        <w:rPr>
          <w:rFonts w:eastAsia="Malgun Gothic" w:cs="Times New Roman"/>
          <w:kern w:val="22"/>
          <w:szCs w:val="22"/>
        </w:rPr>
        <w:t>’</w:t>
      </w:r>
      <w:r w:rsidR="006955BC" w:rsidRPr="00FA6E69">
        <w:rPr>
          <w:rFonts w:eastAsia="Malgun Gothic" w:cs="Times New Roman"/>
          <w:kern w:val="22"/>
          <w:szCs w:val="22"/>
        </w:rPr>
        <w:t>informations sur la durabilité de l</w:t>
      </w:r>
      <w:r w:rsidR="00E964B4" w:rsidRPr="00FA6E69">
        <w:rPr>
          <w:rFonts w:eastAsia="Malgun Gothic" w:cs="Times New Roman"/>
          <w:kern w:val="22"/>
          <w:szCs w:val="22"/>
        </w:rPr>
        <w:t>’</w:t>
      </w:r>
      <w:r w:rsidR="006955BC" w:rsidRPr="00FA6E69">
        <w:rPr>
          <w:rFonts w:eastAsia="Malgun Gothic" w:cs="Times New Roman"/>
          <w:kern w:val="22"/>
          <w:szCs w:val="22"/>
        </w:rPr>
        <w:t>aquaculture. La sylviculture et l</w:t>
      </w:r>
      <w:r w:rsidR="00E964B4" w:rsidRPr="00FA6E69">
        <w:rPr>
          <w:rFonts w:eastAsia="Malgun Gothic" w:cs="Times New Roman"/>
          <w:kern w:val="22"/>
          <w:szCs w:val="22"/>
        </w:rPr>
        <w:t>’</w:t>
      </w:r>
      <w:r w:rsidR="006955BC" w:rsidRPr="00FA6E69">
        <w:rPr>
          <w:rFonts w:eastAsia="Malgun Gothic" w:cs="Times New Roman"/>
          <w:kern w:val="22"/>
          <w:szCs w:val="22"/>
        </w:rPr>
        <w:t xml:space="preserve">agriculture sont relativement bien traitées dans les rapports nationaux et suggèrent que des mesures sont prises pour </w:t>
      </w:r>
      <w:r w:rsidR="006955BC" w:rsidRPr="00FA6E69">
        <w:rPr>
          <w:rFonts w:eastAsia="Malgun Gothic" w:cs="Times New Roman"/>
          <w:color w:val="000000"/>
          <w:kern w:val="22"/>
          <w:szCs w:val="22"/>
        </w:rPr>
        <w:t>traiter ces deux questions.</w:t>
      </w:r>
    </w:p>
    <w:p w:rsidR="005F425E" w:rsidRPr="00FA6E69" w:rsidRDefault="00F52EF1" w:rsidP="001C63DA">
      <w:pPr>
        <w:pStyle w:val="Para1"/>
        <w:numPr>
          <w:ilvl w:val="0"/>
          <w:numId w:val="13"/>
        </w:numPr>
        <w:suppressLineNumbers/>
        <w:tabs>
          <w:tab w:val="clear" w:pos="360"/>
          <w:tab w:val="num" w:pos="720"/>
        </w:tabs>
        <w:suppressAutoHyphens/>
        <w:rPr>
          <w:rFonts w:cs="Times New Roman"/>
          <w:color w:val="000000"/>
          <w:kern w:val="22"/>
          <w:szCs w:val="22"/>
          <w:shd w:val="clear" w:color="auto" w:fill="FFFFFF"/>
        </w:rPr>
      </w:pPr>
      <w:r w:rsidRPr="00FA6E69">
        <w:rPr>
          <w:rFonts w:cs="Times New Roman"/>
          <w:i/>
          <w:iCs/>
          <w:color w:val="000000"/>
          <w:szCs w:val="22"/>
          <w:shd w:val="clear" w:color="auto" w:fill="FFFFFF"/>
        </w:rPr>
        <w:t xml:space="preserve">Objectif 8 </w:t>
      </w:r>
      <w:r w:rsidRPr="00FA6E69">
        <w:rPr>
          <w:rFonts w:cs="Times New Roman"/>
          <w:color w:val="000000"/>
          <w:kern w:val="22"/>
          <w:szCs w:val="22"/>
        </w:rPr>
        <w:t>–</w:t>
      </w:r>
      <w:r w:rsidR="00634821" w:rsidRPr="00FA6E69">
        <w:rPr>
          <w:rFonts w:cs="Times New Roman"/>
          <w:i/>
          <w:iCs/>
          <w:color w:val="000000"/>
          <w:szCs w:val="22"/>
          <w:shd w:val="clear" w:color="auto" w:fill="FFFFFF"/>
        </w:rPr>
        <w:t xml:space="preserve">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ici à</w:t>
      </w:r>
      <w:r w:rsidR="00360989" w:rsidRPr="00FA6E69">
        <w:rPr>
          <w:rFonts w:cs="Times New Roman"/>
          <w:i/>
          <w:iCs/>
          <w:color w:val="000000"/>
          <w:szCs w:val="22"/>
          <w:shd w:val="clear" w:color="auto" w:fill="FFFFFF"/>
        </w:rPr>
        <w:t> 2020</w:t>
      </w:r>
      <w:r w:rsidRPr="00FA6E69">
        <w:rPr>
          <w:rFonts w:cs="Times New Roman"/>
          <w:i/>
          <w:iCs/>
          <w:color w:val="000000"/>
          <w:szCs w:val="22"/>
          <w:shd w:val="clear" w:color="auto" w:fill="FFFFFF"/>
        </w:rPr>
        <w:t>, la pollution, notamment celle causée par l</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excès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éléments nutritifs, est ramenée à un niveau qui n</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a pas d</w:t>
      </w:r>
      <w:r w:rsidR="00E964B4" w:rsidRPr="00FA6E69">
        <w:rPr>
          <w:rFonts w:cs="Times New Roman"/>
          <w:i/>
          <w:iCs/>
          <w:color w:val="000000"/>
          <w:szCs w:val="22"/>
          <w:shd w:val="clear" w:color="auto" w:fill="FFFFFF"/>
        </w:rPr>
        <w:t>’</w:t>
      </w:r>
      <w:r w:rsidRPr="00FA6E69">
        <w:rPr>
          <w:rFonts w:cs="Times New Roman"/>
          <w:i/>
          <w:iCs/>
          <w:color w:val="000000"/>
          <w:szCs w:val="22"/>
          <w:shd w:val="clear" w:color="auto" w:fill="FFFFFF"/>
        </w:rPr>
        <w:t>effet néfaste sur les fonctions des écosystèmes et la diversité biologique</w:t>
      </w:r>
      <w:r w:rsidR="005F425E" w:rsidRPr="00FA6E69">
        <w:rPr>
          <w:rFonts w:cs="Times New Roman"/>
          <w:color w:val="000000"/>
          <w:kern w:val="22"/>
          <w:szCs w:val="22"/>
          <w:shd w:val="clear" w:color="auto" w:fill="FFFFFF"/>
        </w:rPr>
        <w:t>.</w:t>
      </w:r>
    </w:p>
    <w:p w:rsidR="00AB340A" w:rsidRPr="006D563D" w:rsidRDefault="00201C20" w:rsidP="006D563D">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lastRenderedPageBreak/>
        <w:t>Un total de 14</w:t>
      </w:r>
      <w:r w:rsidR="00E625E6"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E625E6" w:rsidRPr="00FA6E69">
        <w:rPr>
          <w:rFonts w:eastAsia="Malgun Gothic" w:cs="Times New Roman"/>
          <w:color w:val="000000"/>
          <w:kern w:val="22"/>
          <w:szCs w:val="22"/>
        </w:rPr>
        <w:t xml:space="preserve"> des SPANB évalués contiennent des objectifs ou autres engagements similaires à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étendue et au niveau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ambition de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Objectif 8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Aichi.</w:t>
      </w:r>
      <w:r w:rsidR="00E625E6" w:rsidRPr="00FA6E69">
        <w:rPr>
          <w:rFonts w:eastAsia="Malgun Gothic" w:cs="Times New Roman"/>
          <w:color w:val="000000"/>
          <w:kern w:val="22"/>
          <w:szCs w:val="22"/>
          <w:vertAlign w:val="superscript"/>
        </w:rPr>
        <w:footnoteReference w:id="20"/>
      </w:r>
      <w:r w:rsidR="00E625E6" w:rsidRPr="00FA6E69">
        <w:rPr>
          <w:rFonts w:eastAsia="Malgun Gothic" w:cs="Times New Roman"/>
          <w:color w:val="000000"/>
          <w:kern w:val="22"/>
          <w:szCs w:val="22"/>
        </w:rPr>
        <w:t xml:space="preserve"> </w:t>
      </w:r>
      <w:r w:rsidR="000D7083" w:rsidRPr="00FA6E69">
        <w:rPr>
          <w:rFonts w:eastAsia="Malgun Gothic" w:cs="Times New Roman"/>
          <w:color w:val="000000"/>
          <w:kern w:val="22"/>
          <w:szCs w:val="22"/>
        </w:rPr>
        <w:t>Cependant, plus de la moitié (</w:t>
      </w:r>
      <w:r w:rsidRPr="00FA6E69">
        <w:rPr>
          <w:rFonts w:eastAsia="Malgun Gothic" w:cs="Times New Roman"/>
          <w:color w:val="000000"/>
          <w:kern w:val="22"/>
          <w:szCs w:val="22"/>
        </w:rPr>
        <w:t>58</w:t>
      </w:r>
      <w:r w:rsidR="00F463CE"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F463CE" w:rsidRPr="00FA6E69">
        <w:rPr>
          <w:rFonts w:eastAsia="Malgun Gothic" w:cs="Times New Roman"/>
          <w:color w:val="000000"/>
          <w:kern w:val="22"/>
          <w:szCs w:val="22"/>
        </w:rPr>
        <w:t>) des SPANB contien</w:t>
      </w:r>
      <w:r w:rsidR="00E625E6" w:rsidRPr="00FA6E69">
        <w:rPr>
          <w:rFonts w:eastAsia="Malgun Gothic" w:cs="Times New Roman"/>
          <w:color w:val="000000"/>
          <w:kern w:val="22"/>
          <w:szCs w:val="22"/>
        </w:rPr>
        <w:t>t des objectifs qui sont inférieurs à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Aichi et/ou qui ne couvrent pas tous les éléments de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Objectif d</w:t>
      </w:r>
      <w:r w:rsidR="00E964B4" w:rsidRPr="00FA6E69">
        <w:rPr>
          <w:rFonts w:eastAsia="Malgun Gothic" w:cs="Times New Roman"/>
          <w:color w:val="000000"/>
          <w:kern w:val="22"/>
          <w:szCs w:val="22"/>
        </w:rPr>
        <w:t>’</w:t>
      </w:r>
      <w:r w:rsidR="000D7083" w:rsidRPr="00FA6E69">
        <w:rPr>
          <w:rFonts w:eastAsia="Malgun Gothic" w:cs="Times New Roman"/>
          <w:color w:val="000000"/>
          <w:kern w:val="22"/>
          <w:szCs w:val="22"/>
        </w:rPr>
        <w:t xml:space="preserve">Aichi. </w:t>
      </w:r>
      <w:r w:rsidRPr="00FA6E69">
        <w:rPr>
          <w:rFonts w:eastAsia="Malgun Gothic" w:cs="Times New Roman"/>
          <w:color w:val="000000"/>
          <w:kern w:val="22"/>
          <w:szCs w:val="22"/>
        </w:rPr>
        <w:t xml:space="preserve">Plus d’un quart </w:t>
      </w:r>
      <w:r w:rsidR="00BD64BA" w:rsidRPr="00FA6E69">
        <w:rPr>
          <w:rFonts w:eastAsia="Malgun Gothic" w:cs="Times New Roman"/>
          <w:color w:val="000000"/>
          <w:kern w:val="22"/>
          <w:szCs w:val="22"/>
        </w:rPr>
        <w:t>(</w:t>
      </w:r>
      <w:r w:rsidR="000D7083" w:rsidRPr="00FA6E69">
        <w:rPr>
          <w:rFonts w:eastAsia="Malgun Gothic" w:cs="Times New Roman"/>
          <w:color w:val="000000"/>
          <w:kern w:val="22"/>
          <w:szCs w:val="22"/>
        </w:rPr>
        <w:t>28</w:t>
      </w:r>
      <w:r w:rsidR="00E625E6"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Pr="00FA6E69">
        <w:rPr>
          <w:rFonts w:eastAsia="Malgun Gothic" w:cs="Times New Roman"/>
          <w:color w:val="000000"/>
          <w:kern w:val="22"/>
          <w:szCs w:val="22"/>
        </w:rPr>
        <w:t>)</w:t>
      </w:r>
      <w:r w:rsidR="00E625E6" w:rsidRPr="00FA6E69">
        <w:rPr>
          <w:rFonts w:eastAsia="Malgun Gothic" w:cs="Times New Roman"/>
          <w:color w:val="000000"/>
          <w:kern w:val="22"/>
          <w:szCs w:val="22"/>
        </w:rPr>
        <w:t xml:space="preserve"> des SPANB ne contiennent pas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objectifs associés à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Objectif 8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Aichi. Dans les objectifs définis ici, une attention légèrement plus importante est accordée à la réduction de la pollution qu</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à la réduction de l</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excès d</w:t>
      </w:r>
      <w:r w:rsidR="00E964B4" w:rsidRPr="00FA6E69">
        <w:rPr>
          <w:rFonts w:eastAsia="Malgun Gothic" w:cs="Times New Roman"/>
          <w:color w:val="000000"/>
          <w:kern w:val="22"/>
          <w:szCs w:val="22"/>
        </w:rPr>
        <w:t>’</w:t>
      </w:r>
      <w:r w:rsidR="00E625E6" w:rsidRPr="00FA6E69">
        <w:rPr>
          <w:rFonts w:eastAsia="Malgun Gothic" w:cs="Times New Roman"/>
          <w:color w:val="000000"/>
          <w:kern w:val="22"/>
          <w:szCs w:val="22"/>
        </w:rPr>
        <w:t>éléments nutritifs.</w:t>
      </w:r>
    </w:p>
    <w:p w:rsidR="00AB340A" w:rsidRPr="00FA6E69" w:rsidRDefault="000D7083" w:rsidP="000D7083">
      <w:pPr>
        <w:pStyle w:val="Para1"/>
        <w:numPr>
          <w:ilvl w:val="0"/>
          <w:numId w:val="13"/>
        </w:numPr>
        <w:suppressLineNumbers/>
        <w:tabs>
          <w:tab w:val="clear" w:pos="360"/>
          <w:tab w:val="num" w:pos="720"/>
        </w:tabs>
        <w:suppressAutoHyphens/>
        <w:rPr>
          <w:rFonts w:eastAsia="Malgun Gothic" w:cs="Times New Roman"/>
          <w:color w:val="000000"/>
          <w:kern w:val="22"/>
          <w:szCs w:val="22"/>
        </w:rPr>
      </w:pPr>
      <w:r w:rsidRPr="00FA6E69">
        <w:rPr>
          <w:rFonts w:eastAsia="Malgun Gothic" w:cs="Times New Roman"/>
          <w:color w:val="000000"/>
          <w:kern w:val="22"/>
          <w:szCs w:val="22"/>
        </w:rPr>
        <w:t>Seulement 4</w:t>
      </w:r>
      <w:r w:rsidR="007C46F3" w:rsidRPr="00FA6E69">
        <w:rPr>
          <w:rFonts w:eastAsia="Malgun Gothic" w:cs="Times New Roman"/>
          <w:color w:val="000000"/>
          <w:kern w:val="22"/>
          <w:szCs w:val="22"/>
        </w:rPr>
        <w:t> </w:t>
      </w:r>
      <w:r w:rsidR="00360989" w:rsidRPr="00FA6E69">
        <w:rPr>
          <w:rFonts w:eastAsia="Malgun Gothic" w:cs="Times New Roman"/>
          <w:color w:val="000000"/>
          <w:kern w:val="22"/>
          <w:szCs w:val="22"/>
        </w:rPr>
        <w:t>pour cent</w:t>
      </w:r>
      <w:r w:rsidR="007C46F3" w:rsidRPr="00FA6E69">
        <w:rPr>
          <w:rFonts w:eastAsia="Malgun Gothic" w:cs="Times New Roman"/>
          <w:color w:val="000000"/>
          <w:kern w:val="22"/>
          <w:szCs w:val="22"/>
        </w:rPr>
        <w:t xml:space="preserve"> des rapports nationaux contiennent des informations suggérant que l</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objectif est en voie d</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être atteint. P</w:t>
      </w:r>
      <w:r w:rsidRPr="00FA6E69">
        <w:rPr>
          <w:rFonts w:eastAsia="Malgun Gothic" w:cs="Times New Roman"/>
          <w:color w:val="000000"/>
          <w:kern w:val="22"/>
          <w:szCs w:val="22"/>
        </w:rPr>
        <w:t>lus</w:t>
      </w:r>
      <w:r w:rsidR="007C46F3" w:rsidRPr="00FA6E69">
        <w:rPr>
          <w:rFonts w:eastAsia="Malgun Gothic" w:cs="Times New Roman"/>
          <w:color w:val="000000"/>
          <w:kern w:val="22"/>
          <w:szCs w:val="22"/>
        </w:rPr>
        <w:t xml:space="preserve"> de 40 </w:t>
      </w:r>
      <w:r w:rsidR="00360989" w:rsidRPr="00FA6E69">
        <w:rPr>
          <w:rFonts w:eastAsia="Malgun Gothic" w:cs="Times New Roman"/>
          <w:color w:val="000000"/>
          <w:kern w:val="22"/>
          <w:szCs w:val="22"/>
        </w:rPr>
        <w:t>pour cent</w:t>
      </w:r>
      <w:r w:rsidR="007C46F3" w:rsidRPr="00FA6E69">
        <w:rPr>
          <w:rFonts w:eastAsia="Malgun Gothic" w:cs="Times New Roman"/>
          <w:color w:val="000000"/>
          <w:kern w:val="22"/>
          <w:szCs w:val="22"/>
        </w:rPr>
        <w:t xml:space="preserve"> des rapports nationaux contiennent des informations qui suggèrent que des progrès sont accomplis dans la réalisation de l</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objectif, mais pas à un rythme qui permettra de le réaliser d</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ici à</w:t>
      </w:r>
      <w:r w:rsidR="00360989" w:rsidRPr="00FA6E69">
        <w:rPr>
          <w:rFonts w:eastAsia="Malgun Gothic" w:cs="Times New Roman"/>
          <w:color w:val="000000"/>
          <w:kern w:val="22"/>
          <w:szCs w:val="22"/>
        </w:rPr>
        <w:t> 2020</w:t>
      </w:r>
      <w:r w:rsidR="007C46F3" w:rsidRPr="00FA6E69">
        <w:rPr>
          <w:rFonts w:eastAsia="Malgun Gothic" w:cs="Times New Roman"/>
          <w:color w:val="000000"/>
          <w:kern w:val="22"/>
          <w:szCs w:val="22"/>
        </w:rPr>
        <w:t>. Une proportion</w:t>
      </w:r>
      <w:r w:rsidRPr="00FA6E69">
        <w:rPr>
          <w:rFonts w:eastAsia="Malgun Gothic" w:cs="Times New Roman"/>
          <w:color w:val="000000"/>
          <w:kern w:val="22"/>
          <w:szCs w:val="22"/>
        </w:rPr>
        <w:t xml:space="preserve"> similaire de rapports indique</w:t>
      </w:r>
      <w:r w:rsidR="007C46F3" w:rsidRPr="00FA6E69">
        <w:rPr>
          <w:rFonts w:eastAsia="Malgun Gothic" w:cs="Times New Roman"/>
          <w:color w:val="000000"/>
          <w:kern w:val="22"/>
          <w:szCs w:val="22"/>
        </w:rPr>
        <w:t xml:space="preserve"> qu</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aucun progrès n</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a été accompli dans la réalisation de l</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objectif</w:t>
      </w:r>
      <w:r w:rsidRPr="00FA6E69">
        <w:rPr>
          <w:rFonts w:eastAsia="Malgun Gothic" w:cs="Times New Roman"/>
          <w:color w:val="000000"/>
          <w:kern w:val="22"/>
          <w:szCs w:val="22"/>
        </w:rPr>
        <w:t xml:space="preserve"> (</w:t>
      </w:r>
      <w:r w:rsidR="00201C20" w:rsidRPr="00FA6E69">
        <w:rPr>
          <w:rFonts w:eastAsia="Malgun Gothic" w:cs="Times New Roman"/>
          <w:color w:val="000000"/>
          <w:kern w:val="22"/>
          <w:szCs w:val="22"/>
        </w:rPr>
        <w:t>27</w:t>
      </w:r>
      <w:r w:rsidRPr="00FA6E69">
        <w:rPr>
          <w:rFonts w:eastAsia="Malgun Gothic" w:cs="Times New Roman"/>
          <w:color w:val="000000"/>
          <w:kern w:val="22"/>
          <w:szCs w:val="22"/>
        </w:rPr>
        <w:t> pour cent)</w:t>
      </w:r>
      <w:r w:rsidR="007C46F3" w:rsidRPr="00FA6E69">
        <w:rPr>
          <w:rFonts w:eastAsia="Malgun Gothic" w:cs="Times New Roman"/>
          <w:color w:val="000000"/>
          <w:kern w:val="22"/>
          <w:szCs w:val="22"/>
        </w:rPr>
        <w:t xml:space="preserve"> ou que la situation se dégrade</w:t>
      </w:r>
      <w:r w:rsidRPr="00FA6E69">
        <w:rPr>
          <w:rFonts w:eastAsia="Malgun Gothic" w:cs="Times New Roman"/>
          <w:color w:val="000000"/>
          <w:kern w:val="22"/>
          <w:szCs w:val="22"/>
        </w:rPr>
        <w:t xml:space="preserve"> (9</w:t>
      </w:r>
      <w:r w:rsidRPr="00FA6E69">
        <w:t> pour cent)</w:t>
      </w:r>
      <w:r w:rsidR="007C46F3" w:rsidRPr="00FA6E69">
        <w:rPr>
          <w:rFonts w:eastAsia="Malgun Gothic" w:cs="Times New Roman"/>
          <w:color w:val="000000"/>
          <w:kern w:val="22"/>
          <w:szCs w:val="22"/>
        </w:rPr>
        <w:t>. Il y a un nombre relativement plus important de rapports contenant des informations sur la pollution en général que sur les questions liées à l</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excès d</w:t>
      </w:r>
      <w:r w:rsidR="00E964B4" w:rsidRPr="00FA6E69">
        <w:rPr>
          <w:rFonts w:eastAsia="Malgun Gothic" w:cs="Times New Roman"/>
          <w:color w:val="000000"/>
          <w:kern w:val="22"/>
          <w:szCs w:val="22"/>
        </w:rPr>
        <w:t>’</w:t>
      </w:r>
      <w:r w:rsidR="007C46F3" w:rsidRPr="00FA6E69">
        <w:rPr>
          <w:rFonts w:eastAsia="Malgun Gothic" w:cs="Times New Roman"/>
          <w:color w:val="000000"/>
          <w:kern w:val="22"/>
          <w:szCs w:val="22"/>
        </w:rPr>
        <w:t>éléments nutritifs.</w:t>
      </w:r>
    </w:p>
    <w:p w:rsidR="00AB340A" w:rsidRPr="00FA6E69" w:rsidRDefault="007D6795" w:rsidP="000800F8">
      <w:pPr>
        <w:keepNext/>
        <w:suppressLineNumbers/>
        <w:tabs>
          <w:tab w:val="left" w:pos="180"/>
        </w:tabs>
        <w:suppressAutoHyphens/>
        <w:spacing w:after="120"/>
        <w:rPr>
          <w:rFonts w:cs="Times New Roman"/>
          <w:i/>
          <w:iCs/>
          <w:snapToGrid w:val="0"/>
          <w:color w:val="000000"/>
          <w:kern w:val="22"/>
          <w:szCs w:val="22"/>
          <w:shd w:val="clear" w:color="auto" w:fill="FFFFFF"/>
        </w:rPr>
      </w:pPr>
      <w:r w:rsidRPr="00FA6E69">
        <w:rPr>
          <w:rFonts w:cs="Times New Roman"/>
          <w:i/>
          <w:iCs/>
          <w:snapToGrid w:val="0"/>
          <w:color w:val="000000"/>
          <w:kern w:val="22"/>
          <w:szCs w:val="22"/>
          <w:shd w:val="clear" w:color="auto" w:fill="FFFFFF"/>
        </w:rPr>
        <w:t xml:space="preserve">Objectif 9 </w:t>
      </w:r>
      <w:r w:rsidRPr="00FA6E69">
        <w:rPr>
          <w:rFonts w:cs="Times New Roman"/>
          <w:color w:val="000000"/>
          <w:kern w:val="22"/>
          <w:szCs w:val="22"/>
        </w:rPr>
        <w:t>–</w:t>
      </w:r>
      <w:r w:rsidRPr="00FA6E69">
        <w:rPr>
          <w:rFonts w:cs="Times New Roman"/>
          <w:i/>
          <w:iCs/>
          <w:snapToGrid w:val="0"/>
          <w:color w:val="000000"/>
          <w:kern w:val="22"/>
          <w:szCs w:val="22"/>
        </w:rPr>
        <w:t xml:space="preserve"> </w:t>
      </w:r>
      <w:r w:rsidRPr="00FA6E69">
        <w:rPr>
          <w:rFonts w:cs="Times New Roman"/>
          <w:i/>
          <w:iCs/>
          <w:snapToGrid w:val="0"/>
          <w:color w:val="000000"/>
          <w:kern w:val="22"/>
          <w:szCs w:val="22"/>
          <w:shd w:val="clear" w:color="auto" w:fill="FFFFFF"/>
        </w:rPr>
        <w:t>D</w:t>
      </w:r>
      <w:r w:rsidR="00E964B4" w:rsidRPr="00FA6E69">
        <w:rPr>
          <w:rFonts w:cs="Times New Roman"/>
          <w:i/>
          <w:iCs/>
          <w:snapToGrid w:val="0"/>
          <w:color w:val="000000"/>
          <w:kern w:val="22"/>
          <w:szCs w:val="22"/>
          <w:shd w:val="clear" w:color="auto" w:fill="FFFFFF"/>
        </w:rPr>
        <w:t>’</w:t>
      </w:r>
      <w:r w:rsidRPr="00FA6E69">
        <w:rPr>
          <w:rFonts w:cs="Times New Roman"/>
          <w:i/>
          <w:iCs/>
          <w:snapToGrid w:val="0"/>
          <w:color w:val="000000"/>
          <w:kern w:val="22"/>
          <w:szCs w:val="22"/>
          <w:shd w:val="clear" w:color="auto" w:fill="FFFFFF"/>
        </w:rPr>
        <w:t>ici à</w:t>
      </w:r>
      <w:r w:rsidR="00360989" w:rsidRPr="00FA6E69">
        <w:rPr>
          <w:rFonts w:cs="Times New Roman"/>
          <w:i/>
          <w:iCs/>
          <w:snapToGrid w:val="0"/>
          <w:color w:val="000000"/>
          <w:kern w:val="22"/>
          <w:szCs w:val="22"/>
          <w:shd w:val="clear" w:color="auto" w:fill="FFFFFF"/>
        </w:rPr>
        <w:t> 2020</w:t>
      </w:r>
      <w:r w:rsidRPr="00FA6E69">
        <w:rPr>
          <w:rFonts w:cs="Times New Roman"/>
          <w:i/>
          <w:iCs/>
          <w:snapToGrid w:val="0"/>
          <w:color w:val="000000"/>
          <w:kern w:val="22"/>
          <w:szCs w:val="22"/>
          <w:shd w:val="clear" w:color="auto" w:fill="FFFFFF"/>
        </w:rPr>
        <w:t>, les espèces exotiques envahissantes et les voies d</w:t>
      </w:r>
      <w:r w:rsidR="00E964B4" w:rsidRPr="00FA6E69">
        <w:rPr>
          <w:rFonts w:cs="Times New Roman"/>
          <w:i/>
          <w:iCs/>
          <w:snapToGrid w:val="0"/>
          <w:color w:val="000000"/>
          <w:kern w:val="22"/>
          <w:szCs w:val="22"/>
          <w:shd w:val="clear" w:color="auto" w:fill="FFFFFF"/>
        </w:rPr>
        <w:t>’</w:t>
      </w:r>
      <w:r w:rsidRPr="00FA6E69">
        <w:rPr>
          <w:rFonts w:cs="Times New Roman"/>
          <w:i/>
          <w:iCs/>
          <w:snapToGrid w:val="0"/>
          <w:color w:val="000000"/>
          <w:kern w:val="22"/>
          <w:szCs w:val="22"/>
          <w:shd w:val="clear" w:color="auto" w:fill="FFFFFF"/>
        </w:rPr>
        <w:t>introduction sont identifiées et classées en ordre de priorité, les espèces prioritaires sont contrôlées ou éradiquées et des mesures sont en place pour gérer les voies de pénétration, afin d</w:t>
      </w:r>
      <w:r w:rsidR="00E964B4" w:rsidRPr="00FA6E69">
        <w:rPr>
          <w:rFonts w:cs="Times New Roman"/>
          <w:i/>
          <w:iCs/>
          <w:snapToGrid w:val="0"/>
          <w:color w:val="000000"/>
          <w:kern w:val="22"/>
          <w:szCs w:val="22"/>
          <w:shd w:val="clear" w:color="auto" w:fill="FFFFFF"/>
        </w:rPr>
        <w:t>’</w:t>
      </w:r>
      <w:r w:rsidRPr="00FA6E69">
        <w:rPr>
          <w:rFonts w:cs="Times New Roman"/>
          <w:i/>
          <w:iCs/>
          <w:snapToGrid w:val="0"/>
          <w:color w:val="000000"/>
          <w:kern w:val="22"/>
          <w:szCs w:val="22"/>
          <w:shd w:val="clear" w:color="auto" w:fill="FFFFFF"/>
        </w:rPr>
        <w:t>empêcher l</w:t>
      </w:r>
      <w:r w:rsidR="00E964B4" w:rsidRPr="00FA6E69">
        <w:rPr>
          <w:rFonts w:cs="Times New Roman"/>
          <w:i/>
          <w:iCs/>
          <w:snapToGrid w:val="0"/>
          <w:color w:val="000000"/>
          <w:kern w:val="22"/>
          <w:szCs w:val="22"/>
          <w:shd w:val="clear" w:color="auto" w:fill="FFFFFF"/>
        </w:rPr>
        <w:t>’</w:t>
      </w:r>
      <w:r w:rsidRPr="00FA6E69">
        <w:rPr>
          <w:rFonts w:cs="Times New Roman"/>
          <w:i/>
          <w:iCs/>
          <w:snapToGrid w:val="0"/>
          <w:color w:val="000000"/>
          <w:kern w:val="22"/>
          <w:szCs w:val="22"/>
          <w:shd w:val="clear" w:color="auto" w:fill="FFFFFF"/>
        </w:rPr>
        <w:t>introduction et l</w:t>
      </w:r>
      <w:r w:rsidR="00E964B4" w:rsidRPr="00FA6E69">
        <w:rPr>
          <w:rFonts w:cs="Times New Roman"/>
          <w:i/>
          <w:iCs/>
          <w:snapToGrid w:val="0"/>
          <w:color w:val="000000"/>
          <w:kern w:val="22"/>
          <w:szCs w:val="22"/>
          <w:shd w:val="clear" w:color="auto" w:fill="FFFFFF"/>
        </w:rPr>
        <w:t>’</w:t>
      </w:r>
      <w:r w:rsidRPr="00FA6E69">
        <w:rPr>
          <w:rFonts w:cs="Times New Roman"/>
          <w:i/>
          <w:iCs/>
          <w:snapToGrid w:val="0"/>
          <w:color w:val="000000"/>
          <w:kern w:val="22"/>
          <w:szCs w:val="22"/>
          <w:shd w:val="clear" w:color="auto" w:fill="FFFFFF"/>
        </w:rPr>
        <w:t>établissement de ces espèces</w:t>
      </w:r>
    </w:p>
    <w:p w:rsidR="00AB340A" w:rsidRPr="006D563D" w:rsidRDefault="007D6795" w:rsidP="006D563D">
      <w:pPr>
        <w:pStyle w:val="Para1"/>
        <w:keepNext/>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Cet Objectif d</w:t>
      </w:r>
      <w:r w:rsidR="00E964B4" w:rsidRPr="00FA6E69">
        <w:rPr>
          <w:rFonts w:eastAsia="Malgun Gothic" w:cs="Times New Roman"/>
          <w:kern w:val="22"/>
          <w:szCs w:val="22"/>
        </w:rPr>
        <w:t>’</w:t>
      </w:r>
      <w:r w:rsidRPr="00FA6E69">
        <w:rPr>
          <w:rFonts w:eastAsia="Malgun Gothic" w:cs="Times New Roman"/>
          <w:kern w:val="22"/>
          <w:szCs w:val="22"/>
        </w:rPr>
        <w:t>Aichi fait partie de ceux qui présentent le niveau de concordance le plus élevé par rapport aux objectifs nationaux contenus dans les SPANB. P</w:t>
      </w:r>
      <w:r w:rsidR="000D7083" w:rsidRPr="00FA6E69">
        <w:rPr>
          <w:rFonts w:eastAsia="Malgun Gothic" w:cs="Times New Roman"/>
          <w:kern w:val="22"/>
          <w:szCs w:val="22"/>
        </w:rPr>
        <w:t>rès du quart (</w:t>
      </w:r>
      <w:r w:rsidR="00201C20" w:rsidRPr="00FA6E69">
        <w:rPr>
          <w:rFonts w:eastAsia="Malgun Gothic" w:cs="Times New Roman"/>
          <w:kern w:val="22"/>
          <w:szCs w:val="22"/>
        </w:rPr>
        <w:t>22</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SPANB examinés dans le cadre de cette évaluation contiennent des objectifs nationaux ou autres engagements similaires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définis dans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w:t>
      </w:r>
      <w:r w:rsidRPr="00FA6E69">
        <w:rPr>
          <w:rFonts w:eastAsia="Malgun Gothic" w:cs="Times New Roman"/>
          <w:kern w:val="22"/>
          <w:szCs w:val="22"/>
          <w:vertAlign w:val="superscript"/>
        </w:rPr>
        <w:footnoteReference w:id="21"/>
      </w:r>
      <w:r w:rsidRPr="00FA6E69">
        <w:rPr>
          <w:rFonts w:eastAsia="Malgun Gothic" w:cs="Times New Roman"/>
          <w:kern w:val="22"/>
          <w:szCs w:val="22"/>
        </w:rPr>
        <w:t xml:space="preserve"> </w:t>
      </w:r>
      <w:r w:rsidR="00234EBA" w:rsidRPr="00FA6E69">
        <w:rPr>
          <w:rFonts w:eastAsia="Malgun Gothic" w:cs="Times New Roman"/>
          <w:kern w:val="22"/>
          <w:szCs w:val="22"/>
        </w:rPr>
        <w:t>En outre, un SPANB contient un objectif national qui dépasse l</w:t>
      </w:r>
      <w:r w:rsidR="00E964B4" w:rsidRPr="00FA6E69">
        <w:rPr>
          <w:rFonts w:eastAsia="Malgun Gothic" w:cs="Times New Roman"/>
          <w:kern w:val="22"/>
          <w:szCs w:val="22"/>
        </w:rPr>
        <w:t>’</w:t>
      </w:r>
      <w:r w:rsidR="00234EBA" w:rsidRPr="00FA6E69">
        <w:rPr>
          <w:rFonts w:eastAsia="Malgun Gothic" w:cs="Times New Roman"/>
          <w:kern w:val="22"/>
          <w:szCs w:val="22"/>
        </w:rPr>
        <w:t>Objectif d</w:t>
      </w:r>
      <w:r w:rsidR="00E964B4" w:rsidRPr="00FA6E69">
        <w:rPr>
          <w:rFonts w:eastAsia="Malgun Gothic" w:cs="Times New Roman"/>
          <w:kern w:val="22"/>
          <w:szCs w:val="22"/>
        </w:rPr>
        <w:t>’</w:t>
      </w:r>
      <w:r w:rsidR="00234EBA" w:rsidRPr="00FA6E69">
        <w:rPr>
          <w:rFonts w:eastAsia="Malgun Gothic" w:cs="Times New Roman"/>
          <w:kern w:val="22"/>
          <w:szCs w:val="22"/>
        </w:rPr>
        <w:t>Aichi puisque son échéance est 2015.</w:t>
      </w:r>
      <w:r w:rsidR="00234EBA" w:rsidRPr="00FA6E69">
        <w:rPr>
          <w:rStyle w:val="Refdenotaalpie"/>
          <w:rFonts w:eastAsia="Malgun Gothic" w:cs="Times New Roman"/>
          <w:kern w:val="22"/>
          <w:sz w:val="22"/>
          <w:szCs w:val="22"/>
          <w:u w:val="none"/>
          <w:vertAlign w:val="superscript"/>
        </w:rPr>
        <w:footnoteReference w:id="22"/>
      </w:r>
      <w:r w:rsidR="00234EBA" w:rsidRPr="00FA6E69">
        <w:rPr>
          <w:rFonts w:eastAsia="Malgun Gothic" w:cs="Times New Roman"/>
          <w:kern w:val="22"/>
          <w:szCs w:val="22"/>
        </w:rPr>
        <w:t xml:space="preserve"> </w:t>
      </w:r>
      <w:r w:rsidRPr="00FA6E69">
        <w:rPr>
          <w:rFonts w:eastAsia="Malgun Gothic" w:cs="Times New Roman"/>
          <w:kern w:val="22"/>
          <w:szCs w:val="22"/>
        </w:rPr>
        <w:t>Par ailleurs,</w:t>
      </w:r>
      <w:r w:rsidR="00234EBA" w:rsidRPr="00FA6E69">
        <w:rPr>
          <w:rFonts w:eastAsia="Malgun Gothic" w:cs="Times New Roman"/>
          <w:kern w:val="22"/>
          <w:szCs w:val="22"/>
        </w:rPr>
        <w:t xml:space="preserve"> plus de la moitié des SPANB (</w:t>
      </w:r>
      <w:r w:rsidR="00201C20" w:rsidRPr="00FA6E69">
        <w:rPr>
          <w:rFonts w:eastAsia="Malgun Gothic" w:cs="Times New Roman"/>
          <w:kern w:val="22"/>
          <w:szCs w:val="22"/>
        </w:rPr>
        <w:t>32</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ont des objectifs inférieurs et/ou ne traitent pas tous les éléments d</w:t>
      </w:r>
      <w:r w:rsidR="00234EBA" w:rsidRPr="00FA6E69">
        <w:rPr>
          <w:rFonts w:eastAsia="Malgun Gothic" w:cs="Times New Roman"/>
          <w:kern w:val="22"/>
          <w:szCs w:val="22"/>
        </w:rPr>
        <w:t>e l</w:t>
      </w:r>
      <w:r w:rsidR="00E964B4" w:rsidRPr="00FA6E69">
        <w:rPr>
          <w:rFonts w:eastAsia="Malgun Gothic" w:cs="Times New Roman"/>
          <w:kern w:val="22"/>
          <w:szCs w:val="22"/>
        </w:rPr>
        <w:t>’</w:t>
      </w:r>
      <w:r w:rsidR="00234EBA" w:rsidRPr="00FA6E69">
        <w:rPr>
          <w:rFonts w:eastAsia="Malgun Gothic" w:cs="Times New Roman"/>
          <w:kern w:val="22"/>
          <w:szCs w:val="22"/>
        </w:rPr>
        <w:t>Objectif d</w:t>
      </w:r>
      <w:r w:rsidR="00E964B4" w:rsidRPr="00FA6E69">
        <w:rPr>
          <w:rFonts w:eastAsia="Malgun Gothic" w:cs="Times New Roman"/>
          <w:kern w:val="22"/>
          <w:szCs w:val="22"/>
        </w:rPr>
        <w:t>’</w:t>
      </w:r>
      <w:r w:rsidR="000D7083" w:rsidRPr="00FA6E69">
        <w:rPr>
          <w:rFonts w:eastAsia="Malgun Gothic" w:cs="Times New Roman"/>
          <w:kern w:val="22"/>
          <w:szCs w:val="22"/>
        </w:rPr>
        <w:t xml:space="preserve">Aichi. Environ </w:t>
      </w:r>
      <w:r w:rsidR="00201C20" w:rsidRPr="00FA6E69">
        <w:rPr>
          <w:rFonts w:eastAsia="Malgun Gothic" w:cs="Times New Roman"/>
          <w:kern w:val="22"/>
          <w:szCs w:val="22"/>
        </w:rPr>
        <w:t>16</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SPANB ne contiennent aucun objectif relatif à cet Objectif d</w:t>
      </w:r>
      <w:r w:rsidR="00E964B4" w:rsidRPr="00FA6E69">
        <w:rPr>
          <w:rFonts w:eastAsia="Malgun Gothic" w:cs="Times New Roman"/>
          <w:kern w:val="22"/>
          <w:szCs w:val="22"/>
        </w:rPr>
        <w:t>’</w:t>
      </w:r>
      <w:r w:rsidRPr="00FA6E69">
        <w:rPr>
          <w:rFonts w:eastAsia="Malgun Gothic" w:cs="Times New Roman"/>
          <w:kern w:val="22"/>
          <w:szCs w:val="22"/>
        </w:rPr>
        <w:t>Aichi. Les Parties ont défini de nombreux objectifs larges qui concernent la lutte contre les espèces exotiques envahissantes de manière générale. De plus, un grand nombre d</w:t>
      </w:r>
      <w:r w:rsidR="00E964B4" w:rsidRPr="00FA6E69">
        <w:rPr>
          <w:rFonts w:eastAsia="Malgun Gothic" w:cs="Times New Roman"/>
          <w:kern w:val="22"/>
          <w:szCs w:val="22"/>
        </w:rPr>
        <w:t>’</w:t>
      </w:r>
      <w:r w:rsidRPr="00FA6E69">
        <w:rPr>
          <w:rFonts w:eastAsia="Malgun Gothic" w:cs="Times New Roman"/>
          <w:kern w:val="22"/>
          <w:szCs w:val="22"/>
        </w:rPr>
        <w:t>objectifs nationaux définis ne tiennent pas compte des questions associées à l</w:t>
      </w:r>
      <w:r w:rsidR="00E964B4" w:rsidRPr="00FA6E69">
        <w:rPr>
          <w:rFonts w:eastAsia="Malgun Gothic" w:cs="Times New Roman"/>
          <w:kern w:val="22"/>
          <w:szCs w:val="22"/>
        </w:rPr>
        <w:t>’</w:t>
      </w:r>
      <w:r w:rsidRPr="00FA6E69">
        <w:rPr>
          <w:rFonts w:eastAsia="Malgun Gothic" w:cs="Times New Roman"/>
          <w:kern w:val="22"/>
          <w:szCs w:val="22"/>
        </w:rPr>
        <w:t>identification et au classement en ordre de priorité des voies de d</w:t>
      </w:r>
      <w:r w:rsidR="00E964B4" w:rsidRPr="00FA6E69">
        <w:rPr>
          <w:rFonts w:eastAsia="Malgun Gothic" w:cs="Times New Roman"/>
          <w:kern w:val="22"/>
          <w:szCs w:val="22"/>
        </w:rPr>
        <w:t>’</w:t>
      </w:r>
      <w:r w:rsidRPr="00FA6E69">
        <w:rPr>
          <w:rFonts w:eastAsia="Malgun Gothic" w:cs="Times New Roman"/>
          <w:kern w:val="22"/>
          <w:szCs w:val="22"/>
        </w:rPr>
        <w:t>introduction des espèces exotiques envahissantes</w:t>
      </w:r>
      <w:r w:rsidR="00234EBA" w:rsidRPr="00FA6E69">
        <w:rPr>
          <w:rFonts w:eastAsia="Malgun Gothic" w:cs="Times New Roman"/>
          <w:kern w:val="22"/>
          <w:szCs w:val="22"/>
        </w:rPr>
        <w:t>.</w:t>
      </w:r>
    </w:p>
    <w:p w:rsidR="00AB340A" w:rsidRPr="00FA6E69" w:rsidRDefault="007D7182" w:rsidP="001E5E0C">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Trois</w:t>
      </w:r>
      <w:r w:rsidR="00D83FE6" w:rsidRPr="00FA6E69">
        <w:rPr>
          <w:rFonts w:eastAsia="Malgun Gothic" w:cs="Times New Roman"/>
          <w:kern w:val="22"/>
          <w:szCs w:val="22"/>
        </w:rPr>
        <w:t> </w:t>
      </w:r>
      <w:r w:rsidR="00360989" w:rsidRPr="00FA6E69">
        <w:rPr>
          <w:rFonts w:eastAsia="Malgun Gothic" w:cs="Times New Roman"/>
          <w:kern w:val="22"/>
          <w:szCs w:val="22"/>
        </w:rPr>
        <w:t>pour cent</w:t>
      </w:r>
      <w:r w:rsidR="001E5E0C" w:rsidRPr="00FA6E69">
        <w:rPr>
          <w:rFonts w:eastAsia="Malgun Gothic" w:cs="Times New Roman"/>
          <w:kern w:val="22"/>
          <w:szCs w:val="22"/>
        </w:rPr>
        <w:t xml:space="preserve"> des rapports nationaux contiennent des informations suggérant que l</w:t>
      </w:r>
      <w:r w:rsidR="00E964B4" w:rsidRPr="00FA6E69">
        <w:rPr>
          <w:rFonts w:eastAsia="Malgun Gothic" w:cs="Times New Roman"/>
          <w:kern w:val="22"/>
          <w:szCs w:val="22"/>
        </w:rPr>
        <w:t>’</w:t>
      </w:r>
      <w:r w:rsidR="001E5E0C" w:rsidRPr="00FA6E69">
        <w:rPr>
          <w:rFonts w:eastAsia="Malgun Gothic" w:cs="Times New Roman"/>
          <w:kern w:val="22"/>
          <w:szCs w:val="22"/>
        </w:rPr>
        <w:t>objectif est en voie d</w:t>
      </w:r>
      <w:r w:rsidR="00E964B4" w:rsidRPr="00FA6E69">
        <w:rPr>
          <w:rFonts w:eastAsia="Malgun Gothic" w:cs="Times New Roman"/>
          <w:kern w:val="22"/>
          <w:szCs w:val="22"/>
        </w:rPr>
        <w:t>’</w:t>
      </w:r>
      <w:r w:rsidR="001E5E0C" w:rsidRPr="00FA6E69">
        <w:rPr>
          <w:rFonts w:eastAsia="Malgun Gothic" w:cs="Times New Roman"/>
          <w:kern w:val="22"/>
          <w:szCs w:val="22"/>
        </w:rPr>
        <w:t>êtr</w:t>
      </w:r>
      <w:r w:rsidR="00D83FE6" w:rsidRPr="00FA6E69">
        <w:rPr>
          <w:rFonts w:eastAsia="Malgun Gothic" w:cs="Times New Roman"/>
          <w:kern w:val="22"/>
          <w:szCs w:val="22"/>
        </w:rPr>
        <w:t>e atteint. Près de la moitié (49</w:t>
      </w:r>
      <w:r w:rsidR="001E5E0C" w:rsidRPr="00FA6E69">
        <w:rPr>
          <w:rFonts w:eastAsia="Malgun Gothic" w:cs="Times New Roman"/>
          <w:kern w:val="22"/>
          <w:szCs w:val="22"/>
        </w:rPr>
        <w:t> </w:t>
      </w:r>
      <w:r w:rsidR="00360989" w:rsidRPr="00FA6E69">
        <w:rPr>
          <w:rFonts w:eastAsia="Malgun Gothic" w:cs="Times New Roman"/>
          <w:kern w:val="22"/>
          <w:szCs w:val="22"/>
        </w:rPr>
        <w:t>pour cent</w:t>
      </w:r>
      <w:r w:rsidR="001E5E0C" w:rsidRPr="00FA6E69">
        <w:rPr>
          <w:rFonts w:eastAsia="Malgun Gothic" w:cs="Times New Roman"/>
          <w:kern w:val="22"/>
          <w:szCs w:val="22"/>
        </w:rPr>
        <w:t>) des rapports nationaux contiennent des informations suggérant que des progrès sont accomplis dans la réalisation de cet objectif, mais à un rythme qui ne permettra pas de le réaliser d</w:t>
      </w:r>
      <w:r w:rsidR="00E964B4" w:rsidRPr="00FA6E69">
        <w:rPr>
          <w:rFonts w:eastAsia="Malgun Gothic" w:cs="Times New Roman"/>
          <w:kern w:val="22"/>
          <w:szCs w:val="22"/>
        </w:rPr>
        <w:t>’</w:t>
      </w:r>
      <w:r w:rsidR="001E5E0C" w:rsidRPr="00FA6E69">
        <w:rPr>
          <w:rFonts w:eastAsia="Malgun Gothic" w:cs="Times New Roman"/>
          <w:kern w:val="22"/>
          <w:szCs w:val="22"/>
        </w:rPr>
        <w:t>ici</w:t>
      </w:r>
      <w:r w:rsidR="00360989" w:rsidRPr="00FA6E69">
        <w:rPr>
          <w:rFonts w:eastAsia="Malgun Gothic" w:cs="Times New Roman"/>
          <w:kern w:val="22"/>
          <w:szCs w:val="22"/>
        </w:rPr>
        <w:t> 2020</w:t>
      </w:r>
      <w:r w:rsidR="001E5E0C" w:rsidRPr="00FA6E69">
        <w:rPr>
          <w:rFonts w:eastAsia="Malgun Gothic" w:cs="Times New Roman"/>
          <w:kern w:val="22"/>
          <w:szCs w:val="22"/>
        </w:rPr>
        <w:t>, tandis qu</w:t>
      </w:r>
      <w:r w:rsidRPr="00FA6E69">
        <w:rPr>
          <w:rFonts w:eastAsia="Malgun Gothic" w:cs="Times New Roman"/>
          <w:kern w:val="22"/>
          <w:szCs w:val="22"/>
        </w:rPr>
        <w:t xml:space="preserve">’un </w:t>
      </w:r>
      <w:r w:rsidR="001E5E0C" w:rsidRPr="00FA6E69">
        <w:rPr>
          <w:rFonts w:eastAsia="Malgun Gothic" w:cs="Times New Roman"/>
          <w:kern w:val="22"/>
          <w:szCs w:val="22"/>
        </w:rPr>
        <w:t>tiers</w:t>
      </w:r>
      <w:r w:rsidR="00D83FE6" w:rsidRPr="00FA6E69">
        <w:rPr>
          <w:rFonts w:eastAsia="Malgun Gothic" w:cs="Times New Roman"/>
          <w:kern w:val="22"/>
          <w:szCs w:val="22"/>
        </w:rPr>
        <w:t xml:space="preserve"> (</w:t>
      </w:r>
      <w:r w:rsidRPr="00FA6E69">
        <w:rPr>
          <w:rFonts w:eastAsia="Malgun Gothic" w:cs="Times New Roman"/>
          <w:kern w:val="22"/>
          <w:szCs w:val="22"/>
        </w:rPr>
        <w:t>33</w:t>
      </w:r>
      <w:r w:rsidR="00D83FE6" w:rsidRPr="00FA6E69">
        <w:rPr>
          <w:rFonts w:eastAsia="Malgun Gothic" w:cs="Times New Roman"/>
          <w:kern w:val="22"/>
          <w:szCs w:val="22"/>
        </w:rPr>
        <w:t> pour cent)</w:t>
      </w:r>
      <w:r w:rsidR="001E5E0C" w:rsidRPr="00FA6E69">
        <w:rPr>
          <w:rFonts w:eastAsia="Malgun Gothic" w:cs="Times New Roman"/>
          <w:kern w:val="22"/>
          <w:szCs w:val="22"/>
        </w:rPr>
        <w:t xml:space="preserve"> des rapports nationaux suggèrent qu</w:t>
      </w:r>
      <w:r w:rsidR="00E964B4" w:rsidRPr="00FA6E69">
        <w:rPr>
          <w:rFonts w:eastAsia="Malgun Gothic" w:cs="Times New Roman"/>
          <w:kern w:val="22"/>
          <w:szCs w:val="22"/>
        </w:rPr>
        <w:t>’</w:t>
      </w:r>
      <w:r w:rsidR="001E5E0C" w:rsidRPr="00FA6E69">
        <w:rPr>
          <w:rFonts w:eastAsia="Malgun Gothic" w:cs="Times New Roman"/>
          <w:kern w:val="22"/>
          <w:szCs w:val="22"/>
        </w:rPr>
        <w:t>il n</w:t>
      </w:r>
      <w:r w:rsidR="00E964B4" w:rsidRPr="00FA6E69">
        <w:rPr>
          <w:rFonts w:eastAsia="Malgun Gothic" w:cs="Times New Roman"/>
          <w:kern w:val="22"/>
          <w:szCs w:val="22"/>
        </w:rPr>
        <w:t>’</w:t>
      </w:r>
      <w:r w:rsidR="001E5E0C" w:rsidRPr="00FA6E69">
        <w:rPr>
          <w:rFonts w:eastAsia="Malgun Gothic" w:cs="Times New Roman"/>
          <w:kern w:val="22"/>
          <w:szCs w:val="22"/>
        </w:rPr>
        <w:t>y a pas eu de progrès global dans la réalisation de cet objectif. Les informations figurant dans les rapports nationaux suggèrent que la plupart des efforts entrepris dans le cadre de la réalisation de cet objectif se sont concentrés sur la lutte et/ou l</w:t>
      </w:r>
      <w:r w:rsidR="00E964B4" w:rsidRPr="00FA6E69">
        <w:rPr>
          <w:rFonts w:eastAsia="Malgun Gothic" w:cs="Times New Roman"/>
          <w:kern w:val="22"/>
          <w:szCs w:val="22"/>
        </w:rPr>
        <w:t>’</w:t>
      </w:r>
      <w:r w:rsidR="001E5E0C" w:rsidRPr="00FA6E69">
        <w:rPr>
          <w:rFonts w:eastAsia="Malgun Gothic" w:cs="Times New Roman"/>
          <w:kern w:val="22"/>
          <w:szCs w:val="22"/>
        </w:rPr>
        <w:t>éradication d</w:t>
      </w:r>
      <w:r w:rsidR="00E964B4" w:rsidRPr="00FA6E69">
        <w:rPr>
          <w:rFonts w:eastAsia="Malgun Gothic" w:cs="Times New Roman"/>
          <w:kern w:val="22"/>
          <w:szCs w:val="22"/>
        </w:rPr>
        <w:t>’</w:t>
      </w:r>
      <w:r w:rsidR="001E5E0C" w:rsidRPr="00FA6E69">
        <w:rPr>
          <w:rFonts w:eastAsia="Malgun Gothic" w:cs="Times New Roman"/>
          <w:kern w:val="22"/>
          <w:szCs w:val="22"/>
        </w:rPr>
        <w:t>espèces exotiques envahissantes déjà établies, tandis que des efforts relativement moins importants ont été déployés pour la mise en place de mesures de gestion des voies d</w:t>
      </w:r>
      <w:r w:rsidR="00E964B4" w:rsidRPr="00FA6E69">
        <w:rPr>
          <w:rFonts w:eastAsia="Malgun Gothic" w:cs="Times New Roman"/>
          <w:kern w:val="22"/>
          <w:szCs w:val="22"/>
        </w:rPr>
        <w:t>’</w:t>
      </w:r>
      <w:r w:rsidR="001E5E0C" w:rsidRPr="00FA6E69">
        <w:rPr>
          <w:rFonts w:eastAsia="Malgun Gothic" w:cs="Times New Roman"/>
          <w:kern w:val="22"/>
          <w:szCs w:val="22"/>
        </w:rPr>
        <w:t>introduction.</w:t>
      </w:r>
    </w:p>
    <w:p w:rsidR="00AB340A" w:rsidRPr="00FA6E69" w:rsidRDefault="00257AF6" w:rsidP="00297BEE">
      <w:pPr>
        <w:suppressLineNumbers/>
        <w:suppressAutoHyphens/>
        <w:spacing w:after="120"/>
        <w:rPr>
          <w:rFonts w:cs="Times New Roman"/>
          <w:i/>
          <w:iCs/>
        </w:rPr>
      </w:pPr>
      <w:r w:rsidRPr="00FA6E69">
        <w:rPr>
          <w:rFonts w:cs="Times New Roman"/>
          <w:i/>
          <w:iCs/>
          <w:szCs w:val="22"/>
        </w:rPr>
        <w:t xml:space="preserve">Objectif 10 </w:t>
      </w:r>
      <w:r w:rsidRPr="00FA6E69">
        <w:rPr>
          <w:rFonts w:cs="Times New Roman"/>
          <w:color w:val="333333"/>
          <w:kern w:val="22"/>
          <w:szCs w:val="22"/>
          <w:shd w:val="clear" w:color="auto" w:fill="FFFFFF"/>
        </w:rPr>
        <w:t>–</w:t>
      </w:r>
      <w:r w:rsidRPr="00FA6E69">
        <w:rPr>
          <w:rFonts w:cs="Times New Roman"/>
          <w:i/>
          <w:iCs/>
          <w:szCs w:val="22"/>
        </w:rPr>
        <w:t xml:space="preserve"> D</w:t>
      </w:r>
      <w:r w:rsidR="00E964B4" w:rsidRPr="00FA6E69">
        <w:rPr>
          <w:rFonts w:cs="Times New Roman"/>
          <w:i/>
          <w:iCs/>
          <w:szCs w:val="22"/>
        </w:rPr>
        <w:t>’</w:t>
      </w:r>
      <w:r w:rsidRPr="00FA6E69">
        <w:rPr>
          <w:rFonts w:cs="Times New Roman"/>
          <w:i/>
          <w:iCs/>
          <w:szCs w:val="22"/>
        </w:rPr>
        <w:t>ici à 2015, les nombreuses pressions anthropiques exercées sur les récifs coralliens et les autres écosystèmes vulnérables marins et côtiers affectés par les changements climatiques ou l</w:t>
      </w:r>
      <w:r w:rsidR="00E964B4" w:rsidRPr="00FA6E69">
        <w:rPr>
          <w:rFonts w:cs="Times New Roman"/>
          <w:i/>
          <w:iCs/>
          <w:szCs w:val="22"/>
        </w:rPr>
        <w:t>’</w:t>
      </w:r>
      <w:r w:rsidRPr="00FA6E69">
        <w:rPr>
          <w:rFonts w:cs="Times New Roman"/>
          <w:i/>
          <w:iCs/>
          <w:szCs w:val="22"/>
        </w:rPr>
        <w:t>acidification des océans sont réduites au minimum, afin de préserver leur intégrité et leur fonctionnement</w:t>
      </w:r>
    </w:p>
    <w:p w:rsidR="00AB340A" w:rsidRPr="006D563D" w:rsidRDefault="007D7182"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lastRenderedPageBreak/>
        <w:t>Seulement</w:t>
      </w:r>
      <w:r w:rsidR="00147F8B" w:rsidRPr="00FA6E69">
        <w:rPr>
          <w:rFonts w:eastAsia="Malgun Gothic" w:cs="Times New Roman"/>
          <w:kern w:val="22"/>
          <w:szCs w:val="22"/>
        </w:rPr>
        <w:t xml:space="preserve"> 8</w:t>
      </w:r>
      <w:r w:rsidR="00493635" w:rsidRPr="00FA6E69">
        <w:rPr>
          <w:rFonts w:eastAsia="Malgun Gothic" w:cs="Times New Roman"/>
          <w:kern w:val="22"/>
          <w:szCs w:val="22"/>
        </w:rPr>
        <w:t> </w:t>
      </w:r>
      <w:r w:rsidR="00360989" w:rsidRPr="00FA6E69">
        <w:rPr>
          <w:rFonts w:eastAsia="Malgun Gothic" w:cs="Times New Roman"/>
          <w:kern w:val="22"/>
          <w:szCs w:val="22"/>
        </w:rPr>
        <w:t>pour cent</w:t>
      </w:r>
      <w:r w:rsidR="00147F8B" w:rsidRPr="00FA6E69">
        <w:rPr>
          <w:rFonts w:eastAsia="Malgun Gothic" w:cs="Times New Roman"/>
          <w:kern w:val="22"/>
          <w:szCs w:val="22"/>
        </w:rPr>
        <w:t xml:space="preserve"> des SPANB</w:t>
      </w:r>
      <w:r w:rsidR="00493635" w:rsidRPr="00FA6E69">
        <w:rPr>
          <w:rFonts w:eastAsia="Malgun Gothic" w:cs="Times New Roman"/>
          <w:kern w:val="22"/>
          <w:szCs w:val="22"/>
        </w:rPr>
        <w:t xml:space="preserve"> contiennent des objectifs nationaux ou autres engagements qui sont similaires à l</w:t>
      </w:r>
      <w:r w:rsidR="00E964B4" w:rsidRPr="00FA6E69">
        <w:rPr>
          <w:rFonts w:eastAsia="Malgun Gothic" w:cs="Times New Roman"/>
          <w:kern w:val="22"/>
          <w:szCs w:val="22"/>
        </w:rPr>
        <w:t>’</w:t>
      </w:r>
      <w:r w:rsidR="00493635" w:rsidRPr="00FA6E69">
        <w:rPr>
          <w:rFonts w:eastAsia="Malgun Gothic" w:cs="Times New Roman"/>
          <w:kern w:val="22"/>
          <w:szCs w:val="22"/>
        </w:rPr>
        <w:t>étendue et au niveau d</w:t>
      </w:r>
      <w:r w:rsidR="00E964B4" w:rsidRPr="00FA6E69">
        <w:rPr>
          <w:rFonts w:eastAsia="Malgun Gothic" w:cs="Times New Roman"/>
          <w:kern w:val="22"/>
          <w:szCs w:val="22"/>
        </w:rPr>
        <w:t>’</w:t>
      </w:r>
      <w:r w:rsidR="00493635" w:rsidRPr="00FA6E69">
        <w:rPr>
          <w:rFonts w:eastAsia="Malgun Gothic" w:cs="Times New Roman"/>
          <w:kern w:val="22"/>
          <w:szCs w:val="22"/>
        </w:rPr>
        <w:t>ambition définis dans l</w:t>
      </w:r>
      <w:r w:rsidR="00E964B4" w:rsidRPr="00FA6E69">
        <w:rPr>
          <w:rFonts w:eastAsia="Malgun Gothic" w:cs="Times New Roman"/>
          <w:kern w:val="22"/>
          <w:szCs w:val="22"/>
        </w:rPr>
        <w:t>’</w:t>
      </w:r>
      <w:r w:rsidR="00493635" w:rsidRPr="00FA6E69">
        <w:rPr>
          <w:rFonts w:eastAsia="Malgun Gothic" w:cs="Times New Roman"/>
          <w:kern w:val="22"/>
          <w:szCs w:val="22"/>
        </w:rPr>
        <w:t>Objectif 10 d</w:t>
      </w:r>
      <w:r w:rsidR="00E964B4" w:rsidRPr="00FA6E69">
        <w:rPr>
          <w:rFonts w:eastAsia="Malgun Gothic" w:cs="Times New Roman"/>
          <w:kern w:val="22"/>
          <w:szCs w:val="22"/>
        </w:rPr>
        <w:t>’</w:t>
      </w:r>
      <w:r w:rsidR="00493635" w:rsidRPr="00FA6E69">
        <w:rPr>
          <w:rFonts w:eastAsia="Malgun Gothic" w:cs="Times New Roman"/>
          <w:kern w:val="22"/>
          <w:szCs w:val="22"/>
        </w:rPr>
        <w:t>Aichi</w:t>
      </w:r>
      <w:r w:rsidR="00147F8B" w:rsidRPr="00FA6E69">
        <w:rPr>
          <w:rFonts w:eastAsia="Malgun Gothic" w:cs="Times New Roman"/>
          <w:kern w:val="22"/>
          <w:szCs w:val="22"/>
        </w:rPr>
        <w:t>,</w:t>
      </w:r>
      <w:r w:rsidR="00493635" w:rsidRPr="00FA6E69">
        <w:rPr>
          <w:rFonts w:eastAsia="Malgun Gothic" w:cs="Times New Roman"/>
          <w:kern w:val="22"/>
          <w:szCs w:val="22"/>
          <w:vertAlign w:val="superscript"/>
        </w:rPr>
        <w:footnoteReference w:id="23"/>
      </w:r>
      <w:r w:rsidR="004E3A22" w:rsidRPr="00FA6E69">
        <w:rPr>
          <w:rFonts w:eastAsia="Malgun Gothic" w:cs="Times New Roman"/>
          <w:kern w:val="22"/>
          <w:szCs w:val="22"/>
        </w:rPr>
        <w:t xml:space="preserve"> </w:t>
      </w:r>
      <w:r w:rsidR="00147F8B" w:rsidRPr="00FA6E69">
        <w:rPr>
          <w:rFonts w:eastAsia="Malgun Gothic" w:cs="Times New Roman"/>
          <w:kern w:val="22"/>
          <w:szCs w:val="22"/>
        </w:rPr>
        <w:t>et cinquante</w:t>
      </w:r>
      <w:r w:rsidR="004E3A22" w:rsidRPr="00FA6E69">
        <w:rPr>
          <w:rFonts w:eastAsia="Malgun Gothic" w:cs="Times New Roman"/>
          <w:kern w:val="22"/>
          <w:szCs w:val="22"/>
        </w:rPr>
        <w:t xml:space="preserve"> </w:t>
      </w:r>
      <w:r w:rsidR="00360989" w:rsidRPr="00FA6E69">
        <w:rPr>
          <w:rFonts w:eastAsia="Malgun Gothic" w:cs="Times New Roman"/>
          <w:kern w:val="22"/>
          <w:szCs w:val="22"/>
        </w:rPr>
        <w:t>pour cent</w:t>
      </w:r>
      <w:r w:rsidR="00493635" w:rsidRPr="00FA6E69">
        <w:rPr>
          <w:rFonts w:eastAsia="Malgun Gothic" w:cs="Times New Roman"/>
          <w:kern w:val="22"/>
          <w:szCs w:val="22"/>
        </w:rPr>
        <w:t xml:space="preserve"> des SPANB contiennent des objectifs nationaux ou engagements similaires qui sont inférieurs à ce qui a été défini dans l</w:t>
      </w:r>
      <w:r w:rsidR="00E964B4" w:rsidRPr="00FA6E69">
        <w:rPr>
          <w:rFonts w:eastAsia="Malgun Gothic" w:cs="Times New Roman"/>
          <w:kern w:val="22"/>
          <w:szCs w:val="22"/>
        </w:rPr>
        <w:t>’</w:t>
      </w:r>
      <w:r w:rsidR="00493635" w:rsidRPr="00FA6E69">
        <w:rPr>
          <w:rFonts w:eastAsia="Malgun Gothic" w:cs="Times New Roman"/>
          <w:kern w:val="22"/>
          <w:szCs w:val="22"/>
        </w:rPr>
        <w:t>Objectif d</w:t>
      </w:r>
      <w:r w:rsidR="00E964B4" w:rsidRPr="00FA6E69">
        <w:rPr>
          <w:rFonts w:eastAsia="Malgun Gothic" w:cs="Times New Roman"/>
          <w:kern w:val="22"/>
          <w:szCs w:val="22"/>
        </w:rPr>
        <w:t>’</w:t>
      </w:r>
      <w:r w:rsidR="00493635" w:rsidRPr="00FA6E69">
        <w:rPr>
          <w:rFonts w:eastAsia="Malgun Gothic" w:cs="Times New Roman"/>
          <w:kern w:val="22"/>
          <w:szCs w:val="22"/>
        </w:rPr>
        <w:t>Aichi ou qui ne traitent pas tous les éléments de l</w:t>
      </w:r>
      <w:r w:rsidR="00E964B4" w:rsidRPr="00FA6E69">
        <w:rPr>
          <w:rFonts w:eastAsia="Malgun Gothic" w:cs="Times New Roman"/>
          <w:kern w:val="22"/>
          <w:szCs w:val="22"/>
        </w:rPr>
        <w:t>’</w:t>
      </w:r>
      <w:r w:rsidR="00493635" w:rsidRPr="00FA6E69">
        <w:rPr>
          <w:rFonts w:eastAsia="Malgun Gothic" w:cs="Times New Roman"/>
          <w:kern w:val="22"/>
          <w:szCs w:val="22"/>
        </w:rPr>
        <w:t>Objectif d</w:t>
      </w:r>
      <w:r w:rsidR="00E964B4" w:rsidRPr="00FA6E69">
        <w:rPr>
          <w:rFonts w:eastAsia="Malgun Gothic" w:cs="Times New Roman"/>
          <w:kern w:val="22"/>
          <w:szCs w:val="22"/>
        </w:rPr>
        <w:t>’</w:t>
      </w:r>
      <w:r w:rsidR="00493635" w:rsidRPr="00FA6E69">
        <w:rPr>
          <w:rFonts w:eastAsia="Malgun Gothic" w:cs="Times New Roman"/>
          <w:kern w:val="22"/>
          <w:szCs w:val="22"/>
        </w:rPr>
        <w:t>Aic</w:t>
      </w:r>
      <w:r w:rsidR="00753015" w:rsidRPr="00FA6E69">
        <w:rPr>
          <w:rFonts w:eastAsia="Malgun Gothic" w:cs="Times New Roman"/>
          <w:kern w:val="22"/>
          <w:szCs w:val="22"/>
        </w:rPr>
        <w:t>hi. Un</w:t>
      </w:r>
      <w:r w:rsidR="00147F8B" w:rsidRPr="00FA6E69">
        <w:rPr>
          <w:rFonts w:eastAsia="Malgun Gothic" w:cs="Times New Roman"/>
          <w:kern w:val="22"/>
          <w:szCs w:val="22"/>
        </w:rPr>
        <w:t xml:space="preserve"> total de42</w:t>
      </w:r>
      <w:r w:rsidR="00493635" w:rsidRPr="00FA6E69">
        <w:rPr>
          <w:rFonts w:eastAsia="Malgun Gothic" w:cs="Times New Roman"/>
          <w:kern w:val="22"/>
          <w:szCs w:val="22"/>
        </w:rPr>
        <w:t> </w:t>
      </w:r>
      <w:r w:rsidR="00360989" w:rsidRPr="00FA6E69">
        <w:rPr>
          <w:rFonts w:eastAsia="Malgun Gothic" w:cs="Times New Roman"/>
          <w:kern w:val="22"/>
          <w:szCs w:val="22"/>
        </w:rPr>
        <w:t>pour cent</w:t>
      </w:r>
      <w:r w:rsidR="00493635" w:rsidRPr="00FA6E69">
        <w:rPr>
          <w:rFonts w:eastAsia="Malgun Gothic" w:cs="Times New Roman"/>
          <w:kern w:val="22"/>
          <w:szCs w:val="22"/>
        </w:rPr>
        <w:t xml:space="preserve"> des SPANB ne contiennent pas d</w:t>
      </w:r>
      <w:r w:rsidR="00E964B4" w:rsidRPr="00FA6E69">
        <w:rPr>
          <w:rFonts w:eastAsia="Malgun Gothic" w:cs="Times New Roman"/>
          <w:kern w:val="22"/>
          <w:szCs w:val="22"/>
        </w:rPr>
        <w:t>’</w:t>
      </w:r>
      <w:r w:rsidR="00493635" w:rsidRPr="00FA6E69">
        <w:rPr>
          <w:rFonts w:eastAsia="Malgun Gothic" w:cs="Times New Roman"/>
          <w:kern w:val="22"/>
          <w:szCs w:val="22"/>
        </w:rPr>
        <w:t>objectifs nationaux liés à cet Objectif d</w:t>
      </w:r>
      <w:r w:rsidR="00E964B4" w:rsidRPr="00FA6E69">
        <w:rPr>
          <w:rFonts w:eastAsia="Malgun Gothic" w:cs="Times New Roman"/>
          <w:kern w:val="22"/>
          <w:szCs w:val="22"/>
        </w:rPr>
        <w:t>’</w:t>
      </w:r>
      <w:r w:rsidR="00493635" w:rsidRPr="00FA6E69">
        <w:rPr>
          <w:rFonts w:eastAsia="Malgun Gothic" w:cs="Times New Roman"/>
          <w:kern w:val="22"/>
          <w:szCs w:val="22"/>
        </w:rPr>
        <w:t>Aichi. Cet Objectif d</w:t>
      </w:r>
      <w:r w:rsidR="00E964B4" w:rsidRPr="00FA6E69">
        <w:rPr>
          <w:rFonts w:eastAsia="Malgun Gothic" w:cs="Times New Roman"/>
          <w:kern w:val="22"/>
          <w:szCs w:val="22"/>
        </w:rPr>
        <w:t>’</w:t>
      </w:r>
      <w:r w:rsidR="00493635" w:rsidRPr="00FA6E69">
        <w:rPr>
          <w:rFonts w:eastAsia="Malgun Gothic" w:cs="Times New Roman"/>
          <w:kern w:val="22"/>
          <w:szCs w:val="22"/>
        </w:rPr>
        <w:t>Aichi compte parmi ceux qui présentent le plus petit nombre de SPANB intégrant des objectifs comparables. La plupart des objectifs nationaux définis ont un caractère général</w:t>
      </w:r>
      <w:r w:rsidR="00147F8B" w:rsidRPr="00FA6E69">
        <w:rPr>
          <w:rFonts w:eastAsia="Malgun Gothic" w:cs="Times New Roman"/>
          <w:kern w:val="22"/>
          <w:szCs w:val="22"/>
        </w:rPr>
        <w:t xml:space="preserve"> et p</w:t>
      </w:r>
      <w:r w:rsidR="00493635" w:rsidRPr="00FA6E69">
        <w:rPr>
          <w:rFonts w:eastAsia="Malgun Gothic" w:cs="Times New Roman"/>
          <w:kern w:val="22"/>
          <w:szCs w:val="22"/>
        </w:rPr>
        <w:t>eu d</w:t>
      </w:r>
      <w:r w:rsidR="00E964B4" w:rsidRPr="00FA6E69">
        <w:rPr>
          <w:rFonts w:eastAsia="Malgun Gothic" w:cs="Times New Roman"/>
          <w:kern w:val="22"/>
          <w:szCs w:val="22"/>
        </w:rPr>
        <w:t>’</w:t>
      </w:r>
      <w:r w:rsidR="00493635" w:rsidRPr="00FA6E69">
        <w:rPr>
          <w:rFonts w:eastAsia="Malgun Gothic" w:cs="Times New Roman"/>
          <w:kern w:val="22"/>
          <w:szCs w:val="22"/>
        </w:rPr>
        <w:t>entre eux se réfèrent explicitement aux récifs coralliens ou autres écosystèmes spécifiques vulnérables aux changements climatiques.</w:t>
      </w:r>
    </w:p>
    <w:p w:rsidR="00AB340A" w:rsidRPr="00FA6E69" w:rsidRDefault="001D7872" w:rsidP="00753015">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Seulement 3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contiennent des informations qui suggèrent que cet objectif est en voie d</w:t>
      </w:r>
      <w:r w:rsidR="00E964B4" w:rsidRPr="00FA6E69">
        <w:rPr>
          <w:rFonts w:eastAsia="Malgun Gothic" w:cs="Times New Roman"/>
          <w:kern w:val="22"/>
          <w:szCs w:val="22"/>
        </w:rPr>
        <w:t>’</w:t>
      </w:r>
      <w:r w:rsidR="00753015" w:rsidRPr="00FA6E69">
        <w:rPr>
          <w:rFonts w:eastAsia="Malgun Gothic" w:cs="Times New Roman"/>
          <w:kern w:val="22"/>
          <w:szCs w:val="22"/>
        </w:rPr>
        <w:t>être atteint, tandis que le</w:t>
      </w:r>
      <w:r w:rsidRPr="00FA6E69">
        <w:rPr>
          <w:rFonts w:eastAsia="Malgun Gothic" w:cs="Times New Roman"/>
          <w:kern w:val="22"/>
          <w:szCs w:val="22"/>
        </w:rPr>
        <w:t xml:space="preserve"> tiers des rapports </w:t>
      </w:r>
      <w:r w:rsidR="00753015" w:rsidRPr="00FA6E69">
        <w:rPr>
          <w:rFonts w:eastAsia="Malgun Gothic" w:cs="Times New Roman"/>
          <w:kern w:val="22"/>
          <w:szCs w:val="22"/>
        </w:rPr>
        <w:t>suggère</w:t>
      </w:r>
      <w:r w:rsidRPr="00FA6E69">
        <w:rPr>
          <w:rFonts w:eastAsia="Malgun Gothic" w:cs="Times New Roman"/>
          <w:kern w:val="22"/>
          <w:szCs w:val="22"/>
        </w:rPr>
        <w:t xml:space="preserve"> que des progrès sont accomplis dans la réalisation de l</w:t>
      </w:r>
      <w:r w:rsidR="00E964B4" w:rsidRPr="00FA6E69">
        <w:rPr>
          <w:rFonts w:eastAsia="Malgun Gothic" w:cs="Times New Roman"/>
          <w:kern w:val="22"/>
          <w:szCs w:val="22"/>
        </w:rPr>
        <w:t>’</w:t>
      </w:r>
      <w:r w:rsidRPr="00FA6E69">
        <w:rPr>
          <w:rFonts w:eastAsia="Malgun Gothic" w:cs="Times New Roman"/>
          <w:kern w:val="22"/>
          <w:szCs w:val="22"/>
        </w:rPr>
        <w:t>objectif, mais à un rythme qui ne permettra pas d</w:t>
      </w:r>
      <w:r w:rsidR="00E964B4" w:rsidRPr="00FA6E69">
        <w:rPr>
          <w:rFonts w:eastAsia="Malgun Gothic" w:cs="Times New Roman"/>
          <w:kern w:val="22"/>
          <w:szCs w:val="22"/>
        </w:rPr>
        <w:t>’</w:t>
      </w:r>
      <w:r w:rsidRPr="00FA6E69">
        <w:rPr>
          <w:rFonts w:eastAsia="Malgun Gothic" w:cs="Times New Roman"/>
          <w:kern w:val="22"/>
          <w:szCs w:val="22"/>
        </w:rPr>
        <w:t>atteindre cet objectif à l</w:t>
      </w:r>
      <w:r w:rsidR="00E964B4" w:rsidRPr="00FA6E69">
        <w:rPr>
          <w:rFonts w:eastAsia="Malgun Gothic" w:cs="Times New Roman"/>
          <w:kern w:val="22"/>
          <w:szCs w:val="22"/>
        </w:rPr>
        <w:t>’</w:t>
      </w:r>
      <w:r w:rsidRPr="00FA6E69">
        <w:rPr>
          <w:rFonts w:eastAsia="Malgun Gothic" w:cs="Times New Roman"/>
          <w:kern w:val="22"/>
          <w:szCs w:val="22"/>
        </w:rPr>
        <w:t>échéance. Près du quart (23 </w:t>
      </w:r>
      <w:r w:rsidR="00360989" w:rsidRPr="00FA6E69">
        <w:rPr>
          <w:rFonts w:eastAsia="Malgun Gothic" w:cs="Times New Roman"/>
          <w:kern w:val="22"/>
          <w:szCs w:val="22"/>
        </w:rPr>
        <w:t>pour cent</w:t>
      </w:r>
      <w:r w:rsidRPr="00FA6E69">
        <w:rPr>
          <w:rFonts w:eastAsia="Malgun Gothic" w:cs="Times New Roman"/>
          <w:kern w:val="22"/>
          <w:szCs w:val="22"/>
        </w:rPr>
        <w:t>) des rapports suggèrent qu</w:t>
      </w:r>
      <w:r w:rsidR="00E964B4" w:rsidRPr="00FA6E69">
        <w:rPr>
          <w:rFonts w:eastAsia="Malgun Gothic" w:cs="Times New Roman"/>
          <w:kern w:val="22"/>
          <w:szCs w:val="22"/>
        </w:rPr>
        <w:t>’</w:t>
      </w:r>
      <w:r w:rsidRPr="00FA6E69">
        <w:rPr>
          <w:rFonts w:eastAsia="Malgun Gothic" w:cs="Times New Roman"/>
          <w:kern w:val="22"/>
          <w:szCs w:val="22"/>
        </w:rPr>
        <w:t>aucun changement significatif n</w:t>
      </w:r>
      <w:r w:rsidR="00E964B4" w:rsidRPr="00FA6E69">
        <w:rPr>
          <w:rFonts w:eastAsia="Malgun Gothic" w:cs="Times New Roman"/>
          <w:kern w:val="22"/>
          <w:szCs w:val="22"/>
        </w:rPr>
        <w:t>’</w:t>
      </w:r>
      <w:r w:rsidRPr="00FA6E69">
        <w:rPr>
          <w:rFonts w:eastAsia="Malgun Gothic" w:cs="Times New Roman"/>
          <w:kern w:val="22"/>
          <w:szCs w:val="22"/>
        </w:rPr>
        <w:t>a eu lieu, tandis que 7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contiennent des informations suggérant que la situation se dégrade. Par comparaison aux autres objectifs, un nombre relativement faible de pays </w:t>
      </w:r>
      <w:r w:rsidR="005F425E" w:rsidRPr="00FA6E69">
        <w:rPr>
          <w:rFonts w:eastAsia="Malgun Gothic" w:cs="Times New Roman"/>
          <w:kern w:val="22"/>
          <w:szCs w:val="22"/>
        </w:rPr>
        <w:t>a</w:t>
      </w:r>
      <w:r w:rsidRPr="00FA6E69">
        <w:rPr>
          <w:rFonts w:eastAsia="Malgun Gothic" w:cs="Times New Roman"/>
          <w:kern w:val="22"/>
          <w:szCs w:val="22"/>
        </w:rPr>
        <w:t xml:space="preserve"> fourni des informations sur les progrès accomplis dans l</w:t>
      </w:r>
      <w:r w:rsidR="00753015" w:rsidRPr="00FA6E69">
        <w:rPr>
          <w:rFonts w:eastAsia="Malgun Gothic" w:cs="Times New Roman"/>
          <w:kern w:val="22"/>
          <w:szCs w:val="22"/>
        </w:rPr>
        <w:t xml:space="preserve">a réalisation de cet objectif. </w:t>
      </w:r>
      <w:r w:rsidR="00147F8B" w:rsidRPr="00FA6E69">
        <w:rPr>
          <w:rFonts w:eastAsia="Malgun Gothic" w:cs="Times New Roman"/>
          <w:kern w:val="22"/>
          <w:szCs w:val="22"/>
        </w:rPr>
        <w:t>Près</w:t>
      </w:r>
      <w:r w:rsidR="00753015" w:rsidRPr="00FA6E69">
        <w:rPr>
          <w:rFonts w:eastAsia="Malgun Gothic" w:cs="Times New Roman"/>
          <w:kern w:val="22"/>
          <w:szCs w:val="22"/>
        </w:rPr>
        <w:t xml:space="preserve"> d’u</w:t>
      </w:r>
      <w:r w:rsidRPr="00FA6E69">
        <w:rPr>
          <w:rFonts w:eastAsia="Malgun Gothic" w:cs="Times New Roman"/>
          <w:kern w:val="22"/>
          <w:szCs w:val="22"/>
        </w:rPr>
        <w:t>n tiers des rapports</w:t>
      </w:r>
      <w:r w:rsidR="00753015" w:rsidRPr="00FA6E69">
        <w:rPr>
          <w:rFonts w:eastAsia="Malgun Gothic" w:cs="Times New Roman"/>
          <w:kern w:val="22"/>
          <w:szCs w:val="22"/>
        </w:rPr>
        <w:t xml:space="preserve"> (</w:t>
      </w:r>
      <w:r w:rsidR="00147F8B" w:rsidRPr="00FA6E69">
        <w:rPr>
          <w:rFonts w:eastAsia="Malgun Gothic" w:cs="Times New Roman"/>
          <w:kern w:val="22"/>
          <w:szCs w:val="22"/>
        </w:rPr>
        <w:t>32</w:t>
      </w:r>
      <w:r w:rsidR="00753015" w:rsidRPr="00FA6E69">
        <w:rPr>
          <w:rFonts w:eastAsia="Malgun Gothic" w:cs="Times New Roman"/>
          <w:kern w:val="22"/>
          <w:szCs w:val="22"/>
        </w:rPr>
        <w:t> pour cent)</w:t>
      </w:r>
      <w:r w:rsidRPr="00FA6E69">
        <w:rPr>
          <w:rFonts w:eastAsia="Malgun Gothic" w:cs="Times New Roman"/>
          <w:kern w:val="22"/>
          <w:szCs w:val="22"/>
        </w:rPr>
        <w:t xml:space="preserve"> ne contiennent pas d</w:t>
      </w:r>
      <w:r w:rsidR="00E964B4" w:rsidRPr="00FA6E69">
        <w:rPr>
          <w:rFonts w:eastAsia="Malgun Gothic" w:cs="Times New Roman"/>
          <w:kern w:val="22"/>
          <w:szCs w:val="22"/>
        </w:rPr>
        <w:t>’</w:t>
      </w:r>
      <w:r w:rsidRPr="00FA6E69">
        <w:rPr>
          <w:rFonts w:eastAsia="Malgun Gothic" w:cs="Times New Roman"/>
          <w:kern w:val="22"/>
          <w:szCs w:val="22"/>
        </w:rPr>
        <w:t>informations permettant d</w:t>
      </w:r>
      <w:r w:rsidR="00E964B4" w:rsidRPr="00FA6E69">
        <w:rPr>
          <w:rFonts w:eastAsia="Malgun Gothic" w:cs="Times New Roman"/>
          <w:kern w:val="22"/>
          <w:szCs w:val="22"/>
        </w:rPr>
        <w:t>’</w:t>
      </w:r>
      <w:r w:rsidRPr="00FA6E69">
        <w:rPr>
          <w:rFonts w:eastAsia="Malgun Gothic" w:cs="Times New Roman"/>
          <w:kern w:val="22"/>
          <w:szCs w:val="22"/>
        </w:rPr>
        <w:t>évaluer les progrès accomplis dans la réalisation de cet objectif.</w:t>
      </w:r>
    </w:p>
    <w:p w:rsidR="00AB340A" w:rsidRPr="00FA6E69" w:rsidRDefault="00E3460D" w:rsidP="00297BEE">
      <w:pPr>
        <w:suppressLineNumbers/>
        <w:suppressAutoHyphens/>
        <w:spacing w:after="120"/>
        <w:rPr>
          <w:rFonts w:cs="Times New Roman"/>
          <w:i/>
          <w:iCs/>
        </w:rPr>
      </w:pPr>
      <w:r w:rsidRPr="00FA6E69">
        <w:rPr>
          <w:rFonts w:cs="Times New Roman"/>
          <w:i/>
          <w:iCs/>
          <w:szCs w:val="22"/>
        </w:rPr>
        <w:t xml:space="preserve">Objectif 11 </w:t>
      </w:r>
      <w:r w:rsidRPr="00FA6E69">
        <w:rPr>
          <w:rFonts w:cs="Times New Roman"/>
          <w:color w:val="333333"/>
          <w:kern w:val="22"/>
          <w:szCs w:val="22"/>
          <w:shd w:val="clear" w:color="auto" w:fill="FFFFFF"/>
        </w:rPr>
        <w:t>–</w:t>
      </w:r>
      <w:r w:rsidRPr="00FA6E69">
        <w:rPr>
          <w:rFonts w:cs="Times New Roman"/>
          <w:i/>
          <w:iCs/>
          <w:szCs w:val="22"/>
        </w:rPr>
        <w:t xml:space="preserve"> D</w:t>
      </w:r>
      <w:r w:rsidR="00E964B4" w:rsidRPr="00FA6E69">
        <w:rPr>
          <w:rFonts w:cs="Times New Roman"/>
          <w:i/>
          <w:iCs/>
          <w:szCs w:val="22"/>
        </w:rPr>
        <w:t>’</w:t>
      </w:r>
      <w:r w:rsidRPr="00FA6E69">
        <w:rPr>
          <w:rFonts w:cs="Times New Roman"/>
          <w:i/>
          <w:iCs/>
          <w:szCs w:val="22"/>
        </w:rPr>
        <w:t>ici à</w:t>
      </w:r>
      <w:r w:rsidR="00360989" w:rsidRPr="00FA6E69">
        <w:rPr>
          <w:rFonts w:cs="Times New Roman"/>
          <w:i/>
          <w:iCs/>
          <w:szCs w:val="22"/>
        </w:rPr>
        <w:t> 2020</w:t>
      </w:r>
      <w:r w:rsidRPr="00FA6E69">
        <w:rPr>
          <w:rFonts w:cs="Times New Roman"/>
          <w:i/>
          <w:iCs/>
          <w:szCs w:val="22"/>
        </w:rPr>
        <w:t>, au moins 17 % des eaux terrestres et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E964B4" w:rsidRPr="00FA6E69">
        <w:rPr>
          <w:rFonts w:cs="Times New Roman"/>
          <w:i/>
          <w:iCs/>
          <w:szCs w:val="22"/>
        </w:rPr>
        <w:t>’</w:t>
      </w:r>
      <w:r w:rsidRPr="00FA6E69">
        <w:rPr>
          <w:rFonts w:cs="Times New Roman"/>
          <w:i/>
          <w:iCs/>
          <w:szCs w:val="22"/>
        </w:rPr>
        <w:t>aires protégées gérées efficacement et équitablement et d</w:t>
      </w:r>
      <w:r w:rsidR="00E964B4" w:rsidRPr="00FA6E69">
        <w:rPr>
          <w:rFonts w:cs="Times New Roman"/>
          <w:i/>
          <w:iCs/>
          <w:szCs w:val="22"/>
        </w:rPr>
        <w:t>’</w:t>
      </w:r>
      <w:r w:rsidRPr="00FA6E69">
        <w:rPr>
          <w:rFonts w:cs="Times New Roman"/>
          <w:i/>
          <w:iCs/>
          <w:szCs w:val="22"/>
        </w:rPr>
        <w:t>autres mesures de conservation efficaces par zone, et intégrées dans l</w:t>
      </w:r>
      <w:r w:rsidR="00E964B4" w:rsidRPr="00FA6E69">
        <w:rPr>
          <w:rFonts w:cs="Times New Roman"/>
          <w:i/>
          <w:iCs/>
          <w:szCs w:val="22"/>
        </w:rPr>
        <w:t>’</w:t>
      </w:r>
      <w:r w:rsidRPr="00FA6E69">
        <w:rPr>
          <w:rFonts w:cs="Times New Roman"/>
          <w:i/>
          <w:iCs/>
          <w:szCs w:val="22"/>
        </w:rPr>
        <w:t>ensemble du paysage terrestre et marin</w:t>
      </w:r>
    </w:p>
    <w:p w:rsidR="00AB340A" w:rsidRPr="006D563D" w:rsidRDefault="00753015"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D</w:t>
      </w:r>
      <w:r w:rsidR="00147F8B" w:rsidRPr="00FA6E69">
        <w:rPr>
          <w:rFonts w:eastAsia="Malgun Gothic" w:cs="Times New Roman"/>
          <w:kern w:val="22"/>
          <w:szCs w:val="22"/>
        </w:rPr>
        <w:t>ix</w:t>
      </w:r>
      <w:r w:rsidRPr="00FA6E69">
        <w:rPr>
          <w:rFonts w:eastAsia="Malgun Gothic" w:cs="Times New Roman"/>
          <w:kern w:val="22"/>
          <w:szCs w:val="22"/>
        </w:rPr>
        <w:t> </w:t>
      </w:r>
      <w:r w:rsidR="00360989" w:rsidRPr="00FA6E69">
        <w:rPr>
          <w:rFonts w:eastAsia="Malgun Gothic" w:cs="Times New Roman"/>
          <w:kern w:val="22"/>
          <w:szCs w:val="22"/>
        </w:rPr>
        <w:t>pour cent</w:t>
      </w:r>
      <w:r w:rsidR="00375FC0" w:rsidRPr="00FA6E69">
        <w:rPr>
          <w:rFonts w:eastAsia="Malgun Gothic" w:cs="Times New Roman"/>
          <w:kern w:val="22"/>
          <w:szCs w:val="22"/>
        </w:rPr>
        <w:t xml:space="preserve"> des SPANB pris en compte dans cette évaluation comportaient des objectifs ou engagements similaires à l</w:t>
      </w:r>
      <w:r w:rsidR="00E964B4" w:rsidRPr="00FA6E69">
        <w:rPr>
          <w:rFonts w:eastAsia="Malgun Gothic" w:cs="Times New Roman"/>
          <w:kern w:val="22"/>
          <w:szCs w:val="22"/>
        </w:rPr>
        <w:t>’</w:t>
      </w:r>
      <w:r w:rsidR="00375FC0" w:rsidRPr="00FA6E69">
        <w:rPr>
          <w:rFonts w:eastAsia="Malgun Gothic" w:cs="Times New Roman"/>
          <w:kern w:val="22"/>
          <w:szCs w:val="22"/>
        </w:rPr>
        <w:t>étendue et au niveau d</w:t>
      </w:r>
      <w:r w:rsidR="00E964B4" w:rsidRPr="00FA6E69">
        <w:rPr>
          <w:rFonts w:eastAsia="Malgun Gothic" w:cs="Times New Roman"/>
          <w:kern w:val="22"/>
          <w:szCs w:val="22"/>
        </w:rPr>
        <w:t>’</w:t>
      </w:r>
      <w:r w:rsidR="00375FC0" w:rsidRPr="00FA6E69">
        <w:rPr>
          <w:rFonts w:eastAsia="Malgun Gothic" w:cs="Times New Roman"/>
          <w:kern w:val="22"/>
          <w:szCs w:val="22"/>
        </w:rPr>
        <w:t>ambition défini</w:t>
      </w:r>
      <w:r w:rsidR="005F425E" w:rsidRPr="00FA6E69">
        <w:rPr>
          <w:rFonts w:eastAsia="Malgun Gothic" w:cs="Times New Roman"/>
          <w:kern w:val="22"/>
          <w:szCs w:val="22"/>
        </w:rPr>
        <w:t>s</w:t>
      </w:r>
      <w:r w:rsidR="00375FC0" w:rsidRPr="00FA6E69">
        <w:rPr>
          <w:rFonts w:eastAsia="Malgun Gothic" w:cs="Times New Roman"/>
          <w:kern w:val="22"/>
          <w:szCs w:val="22"/>
        </w:rPr>
        <w:t xml:space="preserve"> dans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 pour la biodiversité.</w:t>
      </w:r>
      <w:r w:rsidR="00375FC0" w:rsidRPr="00FA6E69">
        <w:rPr>
          <w:rFonts w:eastAsia="Malgun Gothic" w:cs="Times New Roman"/>
          <w:kern w:val="22"/>
          <w:szCs w:val="22"/>
          <w:vertAlign w:val="superscript"/>
        </w:rPr>
        <w:footnoteReference w:id="24"/>
      </w:r>
      <w:r w:rsidR="00375FC0" w:rsidRPr="00FA6E69">
        <w:rPr>
          <w:rFonts w:eastAsia="Malgun Gothic" w:cs="Times New Roman"/>
          <w:kern w:val="22"/>
          <w:szCs w:val="22"/>
        </w:rPr>
        <w:t xml:space="preserve"> Deux </w:t>
      </w:r>
      <w:r w:rsidR="00360989" w:rsidRPr="00FA6E69">
        <w:rPr>
          <w:rFonts w:eastAsia="Malgun Gothic" w:cs="Times New Roman"/>
          <w:kern w:val="22"/>
          <w:szCs w:val="22"/>
        </w:rPr>
        <w:t>pour cent</w:t>
      </w:r>
      <w:r w:rsidR="00375FC0" w:rsidRPr="00FA6E69">
        <w:rPr>
          <w:rFonts w:eastAsia="Malgun Gothic" w:cs="Times New Roman"/>
          <w:kern w:val="22"/>
          <w:szCs w:val="22"/>
        </w:rPr>
        <w:t xml:space="preserve"> des SPANB intègrent des objectifs nationaux qui sont plus ambitieux que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w:t>
      </w:r>
      <w:r w:rsidR="00375FC0" w:rsidRPr="00FA6E69">
        <w:rPr>
          <w:rFonts w:eastAsia="Malgun Gothic" w:cs="Times New Roman"/>
          <w:kern w:val="22"/>
          <w:szCs w:val="22"/>
          <w:vertAlign w:val="superscript"/>
        </w:rPr>
        <w:footnoteReference w:id="25"/>
      </w:r>
      <w:r w:rsidR="00375FC0" w:rsidRPr="00FA6E69">
        <w:rPr>
          <w:rFonts w:eastAsia="Malgun Gothic" w:cs="Times New Roman"/>
          <w:kern w:val="22"/>
          <w:szCs w:val="22"/>
        </w:rPr>
        <w:t xml:space="preserve"> </w:t>
      </w:r>
      <w:r w:rsidRPr="00FA6E69">
        <w:rPr>
          <w:rFonts w:eastAsia="Malgun Gothic" w:cs="Times New Roman"/>
          <w:kern w:val="22"/>
          <w:szCs w:val="22"/>
        </w:rPr>
        <w:t>P</w:t>
      </w:r>
      <w:r w:rsidR="00147F8B" w:rsidRPr="00FA6E69">
        <w:rPr>
          <w:rFonts w:eastAsia="Malgun Gothic" w:cs="Times New Roman"/>
          <w:kern w:val="22"/>
          <w:szCs w:val="22"/>
        </w:rPr>
        <w:t>lus</w:t>
      </w:r>
      <w:r w:rsidRPr="00FA6E69">
        <w:rPr>
          <w:rFonts w:eastAsia="Malgun Gothic" w:cs="Times New Roman"/>
          <w:kern w:val="22"/>
          <w:szCs w:val="22"/>
        </w:rPr>
        <w:t xml:space="preserve"> des trois quarts (</w:t>
      </w:r>
      <w:r w:rsidR="00147F8B" w:rsidRPr="00FA6E69">
        <w:rPr>
          <w:rFonts w:eastAsia="Malgun Gothic" w:cs="Times New Roman"/>
          <w:kern w:val="22"/>
          <w:szCs w:val="22"/>
        </w:rPr>
        <w:t>77</w:t>
      </w:r>
      <w:r w:rsidR="00375FC0" w:rsidRPr="00FA6E69">
        <w:rPr>
          <w:rFonts w:eastAsia="Malgun Gothic" w:cs="Times New Roman"/>
          <w:kern w:val="22"/>
          <w:szCs w:val="22"/>
        </w:rPr>
        <w:t> </w:t>
      </w:r>
      <w:r w:rsidR="00360989" w:rsidRPr="00FA6E69">
        <w:rPr>
          <w:rFonts w:eastAsia="Malgun Gothic" w:cs="Times New Roman"/>
          <w:kern w:val="22"/>
          <w:szCs w:val="22"/>
        </w:rPr>
        <w:t>pour cent</w:t>
      </w:r>
      <w:r w:rsidR="00375FC0" w:rsidRPr="00FA6E69">
        <w:rPr>
          <w:rFonts w:eastAsia="Malgun Gothic" w:cs="Times New Roman"/>
          <w:kern w:val="22"/>
          <w:szCs w:val="22"/>
        </w:rPr>
        <w:t>) des SPANB contiennent des objectifs nationaux qui sont inférieurs à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 ou qui ne traitent pas tous les éléments de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w:t>
      </w:r>
      <w:r w:rsidRPr="00FA6E69">
        <w:rPr>
          <w:rFonts w:eastAsia="Malgun Gothic" w:cs="Times New Roman"/>
          <w:kern w:val="22"/>
          <w:szCs w:val="22"/>
        </w:rPr>
        <w:t xml:space="preserve"> Environ 1</w:t>
      </w:r>
      <w:r w:rsidR="00147F8B" w:rsidRPr="00FA6E69">
        <w:rPr>
          <w:rFonts w:eastAsia="Malgun Gothic" w:cs="Times New Roman"/>
          <w:kern w:val="22"/>
          <w:szCs w:val="22"/>
        </w:rPr>
        <w:t>0</w:t>
      </w:r>
      <w:r w:rsidR="00375FC0" w:rsidRPr="00FA6E69">
        <w:rPr>
          <w:rFonts w:eastAsia="Malgun Gothic" w:cs="Times New Roman"/>
          <w:kern w:val="22"/>
          <w:szCs w:val="22"/>
        </w:rPr>
        <w:t> </w:t>
      </w:r>
      <w:r w:rsidR="00360989" w:rsidRPr="00FA6E69">
        <w:rPr>
          <w:rFonts w:eastAsia="Malgun Gothic" w:cs="Times New Roman"/>
          <w:kern w:val="22"/>
          <w:szCs w:val="22"/>
        </w:rPr>
        <w:t>pour cent</w:t>
      </w:r>
      <w:r w:rsidR="00375FC0" w:rsidRPr="00FA6E69">
        <w:rPr>
          <w:rFonts w:eastAsia="Malgun Gothic" w:cs="Times New Roman"/>
          <w:kern w:val="22"/>
          <w:szCs w:val="22"/>
        </w:rPr>
        <w:t xml:space="preserve"> des SPANB ne comportent aucun objectif national ou engagement similaire relatif à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 De nombreux objectifs concernent l</w:t>
      </w:r>
      <w:r w:rsidR="00E964B4" w:rsidRPr="00FA6E69">
        <w:rPr>
          <w:rFonts w:eastAsia="Malgun Gothic" w:cs="Times New Roman"/>
          <w:kern w:val="22"/>
          <w:szCs w:val="22"/>
        </w:rPr>
        <w:t>’</w:t>
      </w:r>
      <w:r w:rsidR="00375FC0" w:rsidRPr="00FA6E69">
        <w:rPr>
          <w:rFonts w:eastAsia="Malgun Gothic" w:cs="Times New Roman"/>
          <w:kern w:val="22"/>
          <w:szCs w:val="22"/>
        </w:rPr>
        <w:t>amélioration des aires nationales protégées du pays de manière générale. Les objectifs nationaux se concentrent pour l</w:t>
      </w:r>
      <w:r w:rsidR="00E964B4" w:rsidRPr="00FA6E69">
        <w:rPr>
          <w:rFonts w:eastAsia="Malgun Gothic" w:cs="Times New Roman"/>
          <w:kern w:val="22"/>
          <w:szCs w:val="22"/>
        </w:rPr>
        <w:t>’</w:t>
      </w:r>
      <w:r w:rsidR="00375FC0" w:rsidRPr="00FA6E69">
        <w:rPr>
          <w:rFonts w:eastAsia="Malgun Gothic" w:cs="Times New Roman"/>
          <w:kern w:val="22"/>
          <w:szCs w:val="22"/>
        </w:rPr>
        <w:t>essentiel sur l</w:t>
      </w:r>
      <w:r w:rsidR="00E964B4" w:rsidRPr="00FA6E69">
        <w:rPr>
          <w:rFonts w:eastAsia="Malgun Gothic" w:cs="Times New Roman"/>
          <w:kern w:val="22"/>
          <w:szCs w:val="22"/>
        </w:rPr>
        <w:t>’</w:t>
      </w:r>
      <w:r w:rsidR="00375FC0" w:rsidRPr="00FA6E69">
        <w:rPr>
          <w:rFonts w:eastAsia="Malgun Gothic" w:cs="Times New Roman"/>
          <w:kern w:val="22"/>
          <w:szCs w:val="22"/>
        </w:rPr>
        <w:t>extension de la taille de l</w:t>
      </w:r>
      <w:r w:rsidR="00E964B4" w:rsidRPr="00FA6E69">
        <w:rPr>
          <w:rFonts w:eastAsia="Malgun Gothic" w:cs="Times New Roman"/>
          <w:kern w:val="22"/>
          <w:szCs w:val="22"/>
        </w:rPr>
        <w:t>’</w:t>
      </w:r>
      <w:r w:rsidR="00375FC0" w:rsidRPr="00FA6E69">
        <w:rPr>
          <w:rFonts w:eastAsia="Malgun Gothic" w:cs="Times New Roman"/>
          <w:kern w:val="22"/>
          <w:szCs w:val="22"/>
        </w:rPr>
        <w:t>ensemble des aires terrestres protégées. Une attention légèrement inférieure est accordée à la création de zones marines protégées. Les éléments les plus qualitatifs de l</w:t>
      </w:r>
      <w:r w:rsidR="00E964B4" w:rsidRPr="00FA6E69">
        <w:rPr>
          <w:rFonts w:eastAsia="Malgun Gothic" w:cs="Times New Roman"/>
          <w:kern w:val="22"/>
          <w:szCs w:val="22"/>
        </w:rPr>
        <w:t>’</w:t>
      </w:r>
      <w:r w:rsidR="00375FC0" w:rsidRPr="00FA6E69">
        <w:rPr>
          <w:rFonts w:eastAsia="Malgun Gothic" w:cs="Times New Roman"/>
          <w:kern w:val="22"/>
          <w:szCs w:val="22"/>
        </w:rPr>
        <w:t>Objectif d</w:t>
      </w:r>
      <w:r w:rsidR="00E964B4" w:rsidRPr="00FA6E69">
        <w:rPr>
          <w:rFonts w:eastAsia="Malgun Gothic" w:cs="Times New Roman"/>
          <w:kern w:val="22"/>
          <w:szCs w:val="22"/>
        </w:rPr>
        <w:t>’</w:t>
      </w:r>
      <w:r w:rsidR="00375FC0" w:rsidRPr="00FA6E69">
        <w:rPr>
          <w:rFonts w:eastAsia="Malgun Gothic" w:cs="Times New Roman"/>
          <w:kern w:val="22"/>
          <w:szCs w:val="22"/>
        </w:rPr>
        <w:t>Aichi (représentativité écologique, efficacité de gestion, protection des zones particulièrement importantes et interconnexions) ne sont pas aussi bien couverts par les objectifs nationaux figurant dans les SPANB.</w:t>
      </w:r>
    </w:p>
    <w:p w:rsidR="00AB340A" w:rsidRPr="00FA6E69" w:rsidRDefault="008C39BE" w:rsidP="008C39BE">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U</w:t>
      </w:r>
      <w:r w:rsidR="008B6196" w:rsidRPr="00FA6E69">
        <w:rPr>
          <w:rFonts w:eastAsia="Malgun Gothic" w:cs="Times New Roman"/>
          <w:kern w:val="22"/>
          <w:szCs w:val="22"/>
        </w:rPr>
        <w:t>n cinquième des rapports natio</w:t>
      </w:r>
      <w:r w:rsidRPr="00FA6E69">
        <w:rPr>
          <w:rFonts w:eastAsia="Malgun Gothic" w:cs="Times New Roman"/>
          <w:kern w:val="22"/>
          <w:szCs w:val="22"/>
        </w:rPr>
        <w:t>naux suggère</w:t>
      </w:r>
      <w:r w:rsidR="008B6196" w:rsidRPr="00FA6E69">
        <w:rPr>
          <w:rFonts w:eastAsia="Malgun Gothic" w:cs="Times New Roman"/>
          <w:kern w:val="22"/>
          <w:szCs w:val="22"/>
        </w:rPr>
        <w:t xml:space="preserve"> que cet objectif est en voie d</w:t>
      </w:r>
      <w:r w:rsidR="00E964B4" w:rsidRPr="00FA6E69">
        <w:rPr>
          <w:rFonts w:eastAsia="Malgun Gothic" w:cs="Times New Roman"/>
          <w:kern w:val="22"/>
          <w:szCs w:val="22"/>
        </w:rPr>
        <w:t>’</w:t>
      </w:r>
      <w:r w:rsidR="008B6196" w:rsidRPr="00FA6E69">
        <w:rPr>
          <w:rFonts w:eastAsia="Malgun Gothic" w:cs="Times New Roman"/>
          <w:kern w:val="22"/>
          <w:szCs w:val="22"/>
        </w:rPr>
        <w:t>être atteint d</w:t>
      </w:r>
      <w:r w:rsidR="00E964B4" w:rsidRPr="00FA6E69">
        <w:rPr>
          <w:rFonts w:eastAsia="Malgun Gothic" w:cs="Times New Roman"/>
          <w:kern w:val="22"/>
          <w:szCs w:val="22"/>
        </w:rPr>
        <w:t>’</w:t>
      </w:r>
      <w:r w:rsidR="008B6196" w:rsidRPr="00FA6E69">
        <w:rPr>
          <w:rFonts w:eastAsia="Malgun Gothic" w:cs="Times New Roman"/>
          <w:kern w:val="22"/>
          <w:szCs w:val="22"/>
        </w:rPr>
        <w:t>ici à</w:t>
      </w:r>
      <w:r w:rsidR="00360989" w:rsidRPr="00FA6E69">
        <w:rPr>
          <w:rFonts w:eastAsia="Malgun Gothic" w:cs="Times New Roman"/>
          <w:kern w:val="22"/>
          <w:szCs w:val="22"/>
        </w:rPr>
        <w:t> 2020</w:t>
      </w:r>
      <w:r w:rsidRPr="00FA6E69">
        <w:rPr>
          <w:rFonts w:eastAsia="Malgun Gothic" w:cs="Times New Roman"/>
          <w:kern w:val="22"/>
          <w:szCs w:val="22"/>
        </w:rPr>
        <w:t>. Soixante</w:t>
      </w:r>
      <w:r w:rsidR="009F23B8" w:rsidRPr="00FA6E69">
        <w:rPr>
          <w:rFonts w:eastAsia="Malgun Gothic" w:cs="Times New Roman"/>
          <w:kern w:val="22"/>
          <w:szCs w:val="22"/>
        </w:rPr>
        <w:noBreakHyphen/>
      </w:r>
      <w:r w:rsidR="00147F8B" w:rsidRPr="00FA6E69">
        <w:rPr>
          <w:rFonts w:eastAsia="Malgun Gothic" w:cs="Times New Roman"/>
          <w:kern w:val="22"/>
          <w:szCs w:val="22"/>
        </w:rPr>
        <w:t>sept</w:t>
      </w:r>
      <w:r w:rsidR="008B6196" w:rsidRPr="00FA6E69">
        <w:rPr>
          <w:rFonts w:eastAsia="Malgun Gothic" w:cs="Times New Roman"/>
          <w:kern w:val="22"/>
          <w:szCs w:val="22"/>
        </w:rPr>
        <w:t> </w:t>
      </w:r>
      <w:r w:rsidR="00360989" w:rsidRPr="00FA6E69">
        <w:rPr>
          <w:rFonts w:eastAsia="Malgun Gothic" w:cs="Times New Roman"/>
          <w:kern w:val="22"/>
          <w:szCs w:val="22"/>
        </w:rPr>
        <w:t>pour cent</w:t>
      </w:r>
      <w:r w:rsidR="008B6196" w:rsidRPr="00FA6E69">
        <w:rPr>
          <w:rFonts w:eastAsia="Malgun Gothic" w:cs="Times New Roman"/>
          <w:kern w:val="22"/>
          <w:szCs w:val="22"/>
        </w:rPr>
        <w:t xml:space="preserve"> des rapports indiquent que des progrès sont accomplis dans la réalisation de cet objectif, mais à un rythme ne permettant pas de l</w:t>
      </w:r>
      <w:r w:rsidR="00E964B4" w:rsidRPr="00FA6E69">
        <w:rPr>
          <w:rFonts w:eastAsia="Malgun Gothic" w:cs="Times New Roman"/>
          <w:kern w:val="22"/>
          <w:szCs w:val="22"/>
        </w:rPr>
        <w:t>’</w:t>
      </w:r>
      <w:r w:rsidR="008B6196" w:rsidRPr="00FA6E69">
        <w:rPr>
          <w:rFonts w:eastAsia="Malgun Gothic" w:cs="Times New Roman"/>
          <w:kern w:val="22"/>
          <w:szCs w:val="22"/>
        </w:rPr>
        <w:t>atteindre à l</w:t>
      </w:r>
      <w:r w:rsidR="00E964B4" w:rsidRPr="00FA6E69">
        <w:rPr>
          <w:rFonts w:eastAsia="Malgun Gothic" w:cs="Times New Roman"/>
          <w:kern w:val="22"/>
          <w:szCs w:val="22"/>
        </w:rPr>
        <w:t>’</w:t>
      </w:r>
      <w:r w:rsidRPr="00FA6E69">
        <w:rPr>
          <w:rFonts w:eastAsia="Malgun Gothic" w:cs="Times New Roman"/>
          <w:kern w:val="22"/>
          <w:szCs w:val="22"/>
        </w:rPr>
        <w:t xml:space="preserve">échéance. Seulement </w:t>
      </w:r>
      <w:r w:rsidR="00147F8B" w:rsidRPr="00FA6E69">
        <w:rPr>
          <w:rFonts w:eastAsia="Malgun Gothic" w:cs="Times New Roman"/>
          <w:kern w:val="22"/>
          <w:szCs w:val="22"/>
        </w:rPr>
        <w:t>7</w:t>
      </w:r>
      <w:r w:rsidR="008B6196" w:rsidRPr="00FA6E69">
        <w:rPr>
          <w:rFonts w:eastAsia="Malgun Gothic" w:cs="Times New Roman"/>
          <w:kern w:val="22"/>
          <w:szCs w:val="22"/>
        </w:rPr>
        <w:t> </w:t>
      </w:r>
      <w:r w:rsidR="00360989" w:rsidRPr="00FA6E69">
        <w:rPr>
          <w:rFonts w:eastAsia="Malgun Gothic" w:cs="Times New Roman"/>
          <w:kern w:val="22"/>
          <w:szCs w:val="22"/>
        </w:rPr>
        <w:t>pour cent</w:t>
      </w:r>
      <w:r w:rsidR="008B6196" w:rsidRPr="00FA6E69">
        <w:rPr>
          <w:rFonts w:eastAsia="Malgun Gothic" w:cs="Times New Roman"/>
          <w:kern w:val="22"/>
          <w:szCs w:val="22"/>
        </w:rPr>
        <w:t xml:space="preserve"> des rapports indiquent qu</w:t>
      </w:r>
      <w:r w:rsidR="00E964B4" w:rsidRPr="00FA6E69">
        <w:rPr>
          <w:rFonts w:eastAsia="Malgun Gothic" w:cs="Times New Roman"/>
          <w:kern w:val="22"/>
          <w:szCs w:val="22"/>
        </w:rPr>
        <w:t>’</w:t>
      </w:r>
      <w:r w:rsidR="008B6196" w:rsidRPr="00FA6E69">
        <w:rPr>
          <w:rFonts w:eastAsia="Malgun Gothic" w:cs="Times New Roman"/>
          <w:kern w:val="22"/>
          <w:szCs w:val="22"/>
        </w:rPr>
        <w:t>aucun changement significatif n</w:t>
      </w:r>
      <w:r w:rsidR="00E964B4" w:rsidRPr="00FA6E69">
        <w:rPr>
          <w:rFonts w:eastAsia="Malgun Gothic" w:cs="Times New Roman"/>
          <w:kern w:val="22"/>
          <w:szCs w:val="22"/>
        </w:rPr>
        <w:t>’</w:t>
      </w:r>
      <w:r w:rsidR="008B6196" w:rsidRPr="00FA6E69">
        <w:rPr>
          <w:rFonts w:eastAsia="Malgun Gothic" w:cs="Times New Roman"/>
          <w:kern w:val="22"/>
          <w:szCs w:val="22"/>
        </w:rPr>
        <w:t>a eu lieu et aucun rapport n</w:t>
      </w:r>
      <w:r w:rsidR="00E964B4" w:rsidRPr="00FA6E69">
        <w:rPr>
          <w:rFonts w:eastAsia="Malgun Gothic" w:cs="Times New Roman"/>
          <w:kern w:val="22"/>
          <w:szCs w:val="22"/>
        </w:rPr>
        <w:t>’</w:t>
      </w:r>
      <w:r w:rsidR="008B6196" w:rsidRPr="00FA6E69">
        <w:rPr>
          <w:rFonts w:eastAsia="Malgun Gothic" w:cs="Times New Roman"/>
          <w:kern w:val="22"/>
          <w:szCs w:val="22"/>
        </w:rPr>
        <w:t>indique que la situation se dégrade. Les progrès accomplis dans la réalisation de cet objectif comptent parmi les plus positifs des 20 Objectifs d</w:t>
      </w:r>
      <w:r w:rsidR="00E964B4" w:rsidRPr="00FA6E69">
        <w:rPr>
          <w:rFonts w:eastAsia="Malgun Gothic" w:cs="Times New Roman"/>
          <w:kern w:val="22"/>
          <w:szCs w:val="22"/>
        </w:rPr>
        <w:t>’</w:t>
      </w:r>
      <w:r w:rsidR="008B6196" w:rsidRPr="00FA6E69">
        <w:rPr>
          <w:rFonts w:eastAsia="Malgun Gothic" w:cs="Times New Roman"/>
          <w:kern w:val="22"/>
          <w:szCs w:val="22"/>
        </w:rPr>
        <w:t>Aichi, mais les Parties semblent largement se concentrer sur l</w:t>
      </w:r>
      <w:r w:rsidR="00E964B4" w:rsidRPr="00FA6E69">
        <w:rPr>
          <w:rFonts w:eastAsia="Malgun Gothic" w:cs="Times New Roman"/>
          <w:kern w:val="22"/>
          <w:szCs w:val="22"/>
        </w:rPr>
        <w:t>’</w:t>
      </w:r>
      <w:r w:rsidR="008B6196" w:rsidRPr="00FA6E69">
        <w:rPr>
          <w:rFonts w:eastAsia="Malgun Gothic" w:cs="Times New Roman"/>
          <w:kern w:val="22"/>
          <w:szCs w:val="22"/>
        </w:rPr>
        <w:t>expansion des aires terrestres protégées ; par comparaison, peu de rapports contiennent des informations relatives aux aires marines protégées. En outre, plus de la moitié des rapports ne contiennent pas d</w:t>
      </w:r>
      <w:r w:rsidR="00E964B4" w:rsidRPr="00FA6E69">
        <w:rPr>
          <w:rFonts w:eastAsia="Malgun Gothic" w:cs="Times New Roman"/>
          <w:kern w:val="22"/>
          <w:szCs w:val="22"/>
        </w:rPr>
        <w:t>’</w:t>
      </w:r>
      <w:r w:rsidR="008B6196" w:rsidRPr="00FA6E69">
        <w:rPr>
          <w:rFonts w:eastAsia="Malgun Gothic" w:cs="Times New Roman"/>
          <w:kern w:val="22"/>
          <w:szCs w:val="22"/>
        </w:rPr>
        <w:t>informations sur la représentativité écologique des aires protégées ou sur l</w:t>
      </w:r>
      <w:r w:rsidR="00E964B4" w:rsidRPr="00FA6E69">
        <w:rPr>
          <w:rFonts w:eastAsia="Malgun Gothic" w:cs="Times New Roman"/>
          <w:kern w:val="22"/>
          <w:szCs w:val="22"/>
        </w:rPr>
        <w:t>’</w:t>
      </w:r>
      <w:r w:rsidR="008B6196" w:rsidRPr="00FA6E69">
        <w:rPr>
          <w:rFonts w:eastAsia="Malgun Gothic" w:cs="Times New Roman"/>
          <w:kern w:val="22"/>
          <w:szCs w:val="22"/>
        </w:rPr>
        <w:t>intégration des aires protégées dans l</w:t>
      </w:r>
      <w:r w:rsidR="00E964B4" w:rsidRPr="00FA6E69">
        <w:rPr>
          <w:rFonts w:eastAsia="Malgun Gothic" w:cs="Times New Roman"/>
          <w:kern w:val="22"/>
          <w:szCs w:val="22"/>
        </w:rPr>
        <w:t>’</w:t>
      </w:r>
      <w:r w:rsidR="008B6196" w:rsidRPr="00FA6E69">
        <w:rPr>
          <w:rFonts w:eastAsia="Malgun Gothic" w:cs="Times New Roman"/>
          <w:kern w:val="22"/>
          <w:szCs w:val="22"/>
        </w:rPr>
        <w:t xml:space="preserve">ensemble </w:t>
      </w:r>
      <w:r w:rsidR="008B6196" w:rsidRPr="00FA6E69">
        <w:rPr>
          <w:rFonts w:eastAsia="Malgun Gothic" w:cs="Times New Roman"/>
          <w:kern w:val="22"/>
          <w:szCs w:val="22"/>
        </w:rPr>
        <w:lastRenderedPageBreak/>
        <w:t>des paysages terrestres et marins. Plus d</w:t>
      </w:r>
      <w:r w:rsidR="00E964B4" w:rsidRPr="00FA6E69">
        <w:rPr>
          <w:rFonts w:eastAsia="Malgun Gothic" w:cs="Times New Roman"/>
          <w:kern w:val="22"/>
          <w:szCs w:val="22"/>
        </w:rPr>
        <w:t>’</w:t>
      </w:r>
      <w:r w:rsidR="008B6196" w:rsidRPr="00FA6E69">
        <w:rPr>
          <w:rFonts w:eastAsia="Malgun Gothic" w:cs="Times New Roman"/>
          <w:kern w:val="22"/>
          <w:szCs w:val="22"/>
        </w:rPr>
        <w:t>un tiers des rapports ne contiennent pas d</w:t>
      </w:r>
      <w:r w:rsidR="00E964B4" w:rsidRPr="00FA6E69">
        <w:rPr>
          <w:rFonts w:eastAsia="Malgun Gothic" w:cs="Times New Roman"/>
          <w:kern w:val="22"/>
          <w:szCs w:val="22"/>
        </w:rPr>
        <w:t>’</w:t>
      </w:r>
      <w:r w:rsidR="008B6196" w:rsidRPr="00FA6E69">
        <w:rPr>
          <w:rFonts w:eastAsia="Malgun Gothic" w:cs="Times New Roman"/>
          <w:kern w:val="22"/>
          <w:szCs w:val="22"/>
        </w:rPr>
        <w:t>informations sur la protection des zones particulièrement importantes pour la diversité biologique ou sur la gestion équitable et efficace des aires protégées.</w:t>
      </w:r>
    </w:p>
    <w:p w:rsidR="00AB340A" w:rsidRPr="00FA6E69" w:rsidRDefault="008B6196" w:rsidP="00297BEE">
      <w:pPr>
        <w:keepNext/>
        <w:suppressLineNumbers/>
        <w:suppressAutoHyphens/>
        <w:spacing w:after="120"/>
        <w:rPr>
          <w:rFonts w:cs="Times New Roman"/>
          <w:i/>
          <w:iCs/>
        </w:rPr>
      </w:pPr>
      <w:r w:rsidRPr="00FA6E69">
        <w:rPr>
          <w:rFonts w:cs="Times New Roman"/>
          <w:i/>
          <w:iCs/>
          <w:szCs w:val="22"/>
        </w:rPr>
        <w:t>Objectif 12 – D</w:t>
      </w:r>
      <w:r w:rsidR="00E964B4" w:rsidRPr="00FA6E69">
        <w:rPr>
          <w:rFonts w:cs="Times New Roman"/>
          <w:i/>
          <w:iCs/>
          <w:szCs w:val="22"/>
        </w:rPr>
        <w:t>’</w:t>
      </w:r>
      <w:r w:rsidRPr="00FA6E69">
        <w:rPr>
          <w:rFonts w:cs="Times New Roman"/>
          <w:i/>
          <w:iCs/>
          <w:szCs w:val="22"/>
        </w:rPr>
        <w:t>ici à</w:t>
      </w:r>
      <w:r w:rsidR="00360989" w:rsidRPr="00FA6E69">
        <w:rPr>
          <w:rFonts w:cs="Times New Roman"/>
          <w:i/>
          <w:iCs/>
          <w:szCs w:val="22"/>
        </w:rPr>
        <w:t> 2020</w:t>
      </w:r>
      <w:r w:rsidRPr="00FA6E69">
        <w:rPr>
          <w:rFonts w:cs="Times New Roman"/>
          <w:i/>
          <w:iCs/>
          <w:szCs w:val="22"/>
        </w:rPr>
        <w:t>, l</w:t>
      </w:r>
      <w:r w:rsidR="00E964B4" w:rsidRPr="00FA6E69">
        <w:rPr>
          <w:rFonts w:cs="Times New Roman"/>
          <w:i/>
          <w:iCs/>
          <w:szCs w:val="22"/>
        </w:rPr>
        <w:t>’</w:t>
      </w:r>
      <w:r w:rsidRPr="00FA6E69">
        <w:rPr>
          <w:rFonts w:cs="Times New Roman"/>
          <w:i/>
          <w:iCs/>
          <w:szCs w:val="22"/>
        </w:rPr>
        <w:t>extinction d</w:t>
      </w:r>
      <w:r w:rsidR="00E964B4" w:rsidRPr="00FA6E69">
        <w:rPr>
          <w:rFonts w:cs="Times New Roman"/>
          <w:i/>
          <w:iCs/>
          <w:szCs w:val="22"/>
        </w:rPr>
        <w:t>’</w:t>
      </w:r>
      <w:r w:rsidRPr="00FA6E69">
        <w:rPr>
          <w:rFonts w:cs="Times New Roman"/>
          <w:i/>
          <w:iCs/>
          <w:szCs w:val="22"/>
        </w:rPr>
        <w:t>espèces menacées connues est évitée et leur état de conservation, en particulier de celles qui tombent le plus en déclin, est amélioré et maintenu</w:t>
      </w:r>
    </w:p>
    <w:p w:rsidR="0072335A" w:rsidRPr="006D563D" w:rsidRDefault="00C96F7A"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Moins d’un cinquième</w:t>
      </w:r>
      <w:r w:rsidR="008E16D7" w:rsidRPr="00FA6E69">
        <w:rPr>
          <w:rFonts w:eastAsia="Malgun Gothic" w:cs="Times New Roman"/>
          <w:kern w:val="22"/>
          <w:szCs w:val="22"/>
        </w:rPr>
        <w:t xml:space="preserve"> (</w:t>
      </w:r>
      <w:r w:rsidRPr="00FA6E69">
        <w:rPr>
          <w:rFonts w:eastAsia="Malgun Gothic" w:cs="Times New Roman"/>
          <w:kern w:val="22"/>
          <w:szCs w:val="22"/>
        </w:rPr>
        <w:t>19</w:t>
      </w:r>
      <w:r w:rsidR="00F463CE" w:rsidRPr="00FA6E69">
        <w:rPr>
          <w:rFonts w:eastAsia="Malgun Gothic" w:cs="Times New Roman"/>
          <w:kern w:val="22"/>
          <w:szCs w:val="22"/>
        </w:rPr>
        <w:t> </w:t>
      </w:r>
      <w:r w:rsidR="00360989" w:rsidRPr="00FA6E69">
        <w:rPr>
          <w:rFonts w:eastAsia="Malgun Gothic" w:cs="Times New Roman"/>
          <w:kern w:val="22"/>
          <w:szCs w:val="22"/>
        </w:rPr>
        <w:t>pour cent</w:t>
      </w:r>
      <w:r w:rsidR="00F463CE" w:rsidRPr="00FA6E69">
        <w:rPr>
          <w:rFonts w:eastAsia="Malgun Gothic" w:cs="Times New Roman"/>
          <w:kern w:val="22"/>
          <w:szCs w:val="22"/>
        </w:rPr>
        <w:t>) des SPANB contiennent des objectifs similaires à l</w:t>
      </w:r>
      <w:r w:rsidR="00E964B4" w:rsidRPr="00FA6E69">
        <w:rPr>
          <w:rFonts w:eastAsia="Malgun Gothic" w:cs="Times New Roman"/>
          <w:kern w:val="22"/>
          <w:szCs w:val="22"/>
        </w:rPr>
        <w:t>’</w:t>
      </w:r>
      <w:r w:rsidR="00F463CE" w:rsidRPr="00FA6E69">
        <w:rPr>
          <w:rFonts w:eastAsia="Malgun Gothic" w:cs="Times New Roman"/>
          <w:kern w:val="22"/>
          <w:szCs w:val="22"/>
        </w:rPr>
        <w:t>étendue et au niveau d</w:t>
      </w:r>
      <w:r w:rsidR="00E964B4" w:rsidRPr="00FA6E69">
        <w:rPr>
          <w:rFonts w:eastAsia="Malgun Gothic" w:cs="Times New Roman"/>
          <w:kern w:val="22"/>
          <w:szCs w:val="22"/>
        </w:rPr>
        <w:t>’</w:t>
      </w:r>
      <w:r w:rsidR="00F463CE" w:rsidRPr="00FA6E69">
        <w:rPr>
          <w:rFonts w:eastAsia="Malgun Gothic" w:cs="Times New Roman"/>
          <w:kern w:val="22"/>
          <w:szCs w:val="22"/>
        </w:rPr>
        <w:t>ambition définis dans l</w:t>
      </w:r>
      <w:r w:rsidR="00E964B4" w:rsidRPr="00FA6E69">
        <w:rPr>
          <w:rFonts w:eastAsia="Malgun Gothic" w:cs="Times New Roman"/>
          <w:kern w:val="22"/>
          <w:szCs w:val="22"/>
        </w:rPr>
        <w:t>’</w:t>
      </w:r>
      <w:r w:rsidR="00F463CE" w:rsidRPr="00FA6E69">
        <w:rPr>
          <w:rFonts w:eastAsia="Malgun Gothic" w:cs="Times New Roman"/>
          <w:kern w:val="22"/>
          <w:szCs w:val="22"/>
        </w:rPr>
        <w:t>Objectif 12 d</w:t>
      </w:r>
      <w:r w:rsidR="00E964B4" w:rsidRPr="00FA6E69">
        <w:rPr>
          <w:rFonts w:eastAsia="Malgun Gothic" w:cs="Times New Roman"/>
          <w:kern w:val="22"/>
          <w:szCs w:val="22"/>
        </w:rPr>
        <w:t>’</w:t>
      </w:r>
      <w:r w:rsidR="00F463CE" w:rsidRPr="00FA6E69">
        <w:rPr>
          <w:rFonts w:eastAsia="Malgun Gothic" w:cs="Times New Roman"/>
          <w:kern w:val="22"/>
          <w:szCs w:val="22"/>
        </w:rPr>
        <w:t>Aichi pour la biodiversité.</w:t>
      </w:r>
      <w:r w:rsidR="00F463CE" w:rsidRPr="00FA6E69">
        <w:rPr>
          <w:rFonts w:eastAsia="Malgun Gothic" w:cs="Times New Roman"/>
          <w:kern w:val="22"/>
          <w:szCs w:val="22"/>
          <w:vertAlign w:val="superscript"/>
        </w:rPr>
        <w:footnoteReference w:id="26"/>
      </w:r>
      <w:r w:rsidR="00F463CE" w:rsidRPr="00FA6E69">
        <w:rPr>
          <w:rFonts w:eastAsia="Malgun Gothic" w:cs="Times New Roman"/>
          <w:kern w:val="22"/>
          <w:szCs w:val="22"/>
        </w:rPr>
        <w:t xml:space="preserve"> </w:t>
      </w:r>
      <w:r w:rsidRPr="00FA6E69">
        <w:rPr>
          <w:rFonts w:eastAsia="Malgun Gothic" w:cs="Times New Roman"/>
          <w:kern w:val="22"/>
          <w:szCs w:val="22"/>
        </w:rPr>
        <w:t>Un total de67</w:t>
      </w:r>
      <w:r w:rsidR="00F463CE" w:rsidRPr="00FA6E69">
        <w:rPr>
          <w:rFonts w:eastAsia="Malgun Gothic" w:cs="Times New Roman"/>
          <w:kern w:val="22"/>
          <w:szCs w:val="22"/>
        </w:rPr>
        <w:t> </w:t>
      </w:r>
      <w:r w:rsidR="00360989" w:rsidRPr="00FA6E69">
        <w:rPr>
          <w:rFonts w:eastAsia="Malgun Gothic" w:cs="Times New Roman"/>
          <w:kern w:val="22"/>
          <w:szCs w:val="22"/>
        </w:rPr>
        <w:t>pour cent</w:t>
      </w:r>
      <w:r w:rsidR="00F463CE" w:rsidRPr="00FA6E69">
        <w:rPr>
          <w:rFonts w:eastAsia="Malgun Gothic" w:cs="Times New Roman"/>
          <w:kern w:val="22"/>
          <w:szCs w:val="22"/>
        </w:rPr>
        <w:t xml:space="preserve"> des SPANB contiennent des objectifs qui sont inférieurs ou qui ne couvrent pas tous les éléments de l</w:t>
      </w:r>
      <w:r w:rsidR="00E964B4" w:rsidRPr="00FA6E69">
        <w:rPr>
          <w:rFonts w:eastAsia="Malgun Gothic" w:cs="Times New Roman"/>
          <w:kern w:val="22"/>
          <w:szCs w:val="22"/>
        </w:rPr>
        <w:t>’</w:t>
      </w:r>
      <w:r w:rsidR="00F463CE" w:rsidRPr="00FA6E69">
        <w:rPr>
          <w:rFonts w:eastAsia="Malgun Gothic" w:cs="Times New Roman"/>
          <w:kern w:val="22"/>
          <w:szCs w:val="22"/>
        </w:rPr>
        <w:t>Objectif d</w:t>
      </w:r>
      <w:r w:rsidR="00E964B4" w:rsidRPr="00FA6E69">
        <w:rPr>
          <w:rFonts w:eastAsia="Malgun Gothic" w:cs="Times New Roman"/>
          <w:kern w:val="22"/>
          <w:szCs w:val="22"/>
        </w:rPr>
        <w:t>’</w:t>
      </w:r>
      <w:r w:rsidR="008E16D7" w:rsidRPr="00FA6E69">
        <w:rPr>
          <w:rFonts w:eastAsia="Malgun Gothic" w:cs="Times New Roman"/>
          <w:kern w:val="22"/>
          <w:szCs w:val="22"/>
        </w:rPr>
        <w:t xml:space="preserve">Aichi, et </w:t>
      </w:r>
      <w:r w:rsidRPr="00FA6E69">
        <w:rPr>
          <w:rFonts w:eastAsia="Malgun Gothic" w:cs="Times New Roman"/>
          <w:kern w:val="22"/>
          <w:szCs w:val="22"/>
        </w:rPr>
        <w:t>14</w:t>
      </w:r>
      <w:r w:rsidR="00F463CE" w:rsidRPr="00FA6E69">
        <w:rPr>
          <w:rFonts w:eastAsia="Malgun Gothic" w:cs="Times New Roman"/>
          <w:kern w:val="22"/>
          <w:szCs w:val="22"/>
        </w:rPr>
        <w:t> </w:t>
      </w:r>
      <w:r w:rsidR="00360989" w:rsidRPr="00FA6E69">
        <w:rPr>
          <w:rFonts w:eastAsia="Malgun Gothic" w:cs="Times New Roman"/>
          <w:kern w:val="22"/>
          <w:szCs w:val="22"/>
        </w:rPr>
        <w:t>pour cent</w:t>
      </w:r>
      <w:r w:rsidR="00F463CE" w:rsidRPr="00FA6E69">
        <w:rPr>
          <w:rFonts w:eastAsia="Malgun Gothic" w:cs="Times New Roman"/>
          <w:kern w:val="22"/>
          <w:szCs w:val="22"/>
        </w:rPr>
        <w:t xml:space="preserve"> des SPANB ne contiennent aucun objectif ou engagement national relatif à cet Objectif d</w:t>
      </w:r>
      <w:r w:rsidR="00E964B4" w:rsidRPr="00FA6E69">
        <w:rPr>
          <w:rFonts w:eastAsia="Malgun Gothic" w:cs="Times New Roman"/>
          <w:kern w:val="22"/>
          <w:szCs w:val="22"/>
        </w:rPr>
        <w:t>’</w:t>
      </w:r>
      <w:r w:rsidR="00F463CE" w:rsidRPr="00FA6E69">
        <w:rPr>
          <w:rFonts w:eastAsia="Malgun Gothic" w:cs="Times New Roman"/>
          <w:kern w:val="22"/>
          <w:szCs w:val="22"/>
        </w:rPr>
        <w:t>Aichi. Les objectifs nationaux définis se concentrent de manière égale sur la prévention des extinctions et l</w:t>
      </w:r>
      <w:r w:rsidR="00E964B4" w:rsidRPr="00FA6E69">
        <w:rPr>
          <w:rFonts w:eastAsia="Malgun Gothic" w:cs="Times New Roman"/>
          <w:kern w:val="22"/>
          <w:szCs w:val="22"/>
        </w:rPr>
        <w:t>’</w:t>
      </w:r>
      <w:r w:rsidR="00F463CE" w:rsidRPr="00FA6E69">
        <w:rPr>
          <w:rFonts w:eastAsia="Malgun Gothic" w:cs="Times New Roman"/>
          <w:kern w:val="22"/>
          <w:szCs w:val="22"/>
        </w:rPr>
        <w:t>amélioration de l</w:t>
      </w:r>
      <w:r w:rsidR="00E964B4" w:rsidRPr="00FA6E69">
        <w:rPr>
          <w:rFonts w:eastAsia="Malgun Gothic" w:cs="Times New Roman"/>
          <w:kern w:val="22"/>
          <w:szCs w:val="22"/>
        </w:rPr>
        <w:t>’</w:t>
      </w:r>
      <w:r w:rsidR="00F463CE" w:rsidRPr="00FA6E69">
        <w:rPr>
          <w:rFonts w:eastAsia="Malgun Gothic" w:cs="Times New Roman"/>
          <w:kern w:val="22"/>
          <w:szCs w:val="22"/>
        </w:rPr>
        <w:t>état de conservation des espèces menacées.</w:t>
      </w:r>
    </w:p>
    <w:p w:rsidR="00AB340A" w:rsidRPr="00FA6E69" w:rsidRDefault="00B54B0D" w:rsidP="001B7C37">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Seulement 4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contiennent des informations suggérant que l</w:t>
      </w:r>
      <w:r w:rsidR="00E964B4" w:rsidRPr="00FA6E69">
        <w:rPr>
          <w:rFonts w:eastAsia="Malgun Gothic" w:cs="Times New Roman"/>
          <w:kern w:val="22"/>
          <w:szCs w:val="22"/>
        </w:rPr>
        <w:t>’</w:t>
      </w:r>
      <w:r w:rsidRPr="00FA6E69">
        <w:rPr>
          <w:rFonts w:eastAsia="Malgun Gothic" w:cs="Times New Roman"/>
          <w:kern w:val="22"/>
          <w:szCs w:val="22"/>
        </w:rPr>
        <w:t>objectif est en voie d</w:t>
      </w:r>
      <w:r w:rsidR="00E964B4" w:rsidRPr="00FA6E69">
        <w:rPr>
          <w:rFonts w:eastAsia="Malgun Gothic" w:cs="Times New Roman"/>
          <w:kern w:val="22"/>
          <w:szCs w:val="22"/>
        </w:rPr>
        <w:t>’</w:t>
      </w:r>
      <w:r w:rsidRPr="00FA6E69">
        <w:rPr>
          <w:rFonts w:eastAsia="Malgun Gothic" w:cs="Times New Roman"/>
          <w:kern w:val="22"/>
          <w:szCs w:val="22"/>
        </w:rPr>
        <w:t>être atteint à l</w:t>
      </w:r>
      <w:r w:rsidR="00E964B4" w:rsidRPr="00FA6E69">
        <w:rPr>
          <w:rFonts w:eastAsia="Malgun Gothic" w:cs="Times New Roman"/>
          <w:kern w:val="22"/>
          <w:szCs w:val="22"/>
        </w:rPr>
        <w:t>’</w:t>
      </w:r>
      <w:r w:rsidR="00222005" w:rsidRPr="00FA6E69">
        <w:rPr>
          <w:rFonts w:eastAsia="Malgun Gothic" w:cs="Times New Roman"/>
          <w:kern w:val="22"/>
          <w:szCs w:val="22"/>
        </w:rPr>
        <w:t>échéance. Plus de la moitié (51</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rapports nationaux contiennent des informations indiquant que des progrès sont accomplis dans la réalisation de l</w:t>
      </w:r>
      <w:r w:rsidR="00E964B4" w:rsidRPr="00FA6E69">
        <w:rPr>
          <w:rFonts w:eastAsia="Malgun Gothic" w:cs="Times New Roman"/>
          <w:kern w:val="22"/>
          <w:szCs w:val="22"/>
        </w:rPr>
        <w:t>’</w:t>
      </w:r>
      <w:r w:rsidRPr="00FA6E69">
        <w:rPr>
          <w:rFonts w:eastAsia="Malgun Gothic" w:cs="Times New Roman"/>
          <w:kern w:val="22"/>
          <w:szCs w:val="22"/>
        </w:rPr>
        <w:t>objectif, mais à un rythme qui ne permettra pas de le réaliser d</w:t>
      </w:r>
      <w:r w:rsidR="00E964B4" w:rsidRPr="00FA6E69">
        <w:rPr>
          <w:rFonts w:eastAsia="Malgun Gothic" w:cs="Times New Roman"/>
          <w:kern w:val="22"/>
          <w:szCs w:val="22"/>
        </w:rPr>
        <w:t>’</w:t>
      </w:r>
      <w:r w:rsidRPr="00FA6E69">
        <w:rPr>
          <w:rFonts w:eastAsia="Malgun Gothic" w:cs="Times New Roman"/>
          <w:kern w:val="22"/>
          <w:szCs w:val="22"/>
        </w:rPr>
        <w:t>ici à</w:t>
      </w:r>
      <w:r w:rsidR="00360989" w:rsidRPr="00FA6E69">
        <w:rPr>
          <w:rFonts w:eastAsia="Malgun Gothic" w:cs="Times New Roman"/>
          <w:kern w:val="22"/>
          <w:szCs w:val="22"/>
        </w:rPr>
        <w:t> 2020</w:t>
      </w:r>
      <w:r w:rsidRPr="00FA6E69">
        <w:rPr>
          <w:rFonts w:eastAsia="Malgun Gothic" w:cs="Times New Roman"/>
          <w:kern w:val="22"/>
          <w:szCs w:val="22"/>
        </w:rPr>
        <w:t>. De manière générale, il semble que des progrès plus importants aient été accomplis dans l</w:t>
      </w:r>
      <w:r w:rsidR="00E964B4" w:rsidRPr="00FA6E69">
        <w:rPr>
          <w:rFonts w:eastAsia="Malgun Gothic" w:cs="Times New Roman"/>
          <w:kern w:val="22"/>
          <w:szCs w:val="22"/>
        </w:rPr>
        <w:t>’</w:t>
      </w:r>
      <w:r w:rsidRPr="00FA6E69">
        <w:rPr>
          <w:rFonts w:eastAsia="Malgun Gothic" w:cs="Times New Roman"/>
          <w:kern w:val="22"/>
          <w:szCs w:val="22"/>
        </w:rPr>
        <w:t>amélioration de l</w:t>
      </w:r>
      <w:r w:rsidR="00E964B4" w:rsidRPr="00FA6E69">
        <w:rPr>
          <w:rFonts w:eastAsia="Malgun Gothic" w:cs="Times New Roman"/>
          <w:kern w:val="22"/>
          <w:szCs w:val="22"/>
        </w:rPr>
        <w:t>’</w:t>
      </w:r>
      <w:r w:rsidRPr="00FA6E69">
        <w:rPr>
          <w:rFonts w:eastAsia="Malgun Gothic" w:cs="Times New Roman"/>
          <w:kern w:val="22"/>
          <w:szCs w:val="22"/>
        </w:rPr>
        <w:t>état de conservation des espèces que sur la prévention de l</w:t>
      </w:r>
      <w:r w:rsidR="00E964B4" w:rsidRPr="00FA6E69">
        <w:rPr>
          <w:rFonts w:eastAsia="Malgun Gothic" w:cs="Times New Roman"/>
          <w:kern w:val="22"/>
          <w:szCs w:val="22"/>
        </w:rPr>
        <w:t>’</w:t>
      </w:r>
      <w:r w:rsidRPr="00FA6E69">
        <w:rPr>
          <w:rFonts w:eastAsia="Malgun Gothic" w:cs="Times New Roman"/>
          <w:kern w:val="22"/>
          <w:szCs w:val="22"/>
        </w:rPr>
        <w:t>extinction. Cependant, la distinction entre la prévention de l</w:t>
      </w:r>
      <w:r w:rsidR="00E964B4" w:rsidRPr="00FA6E69">
        <w:rPr>
          <w:rFonts w:eastAsia="Malgun Gothic" w:cs="Times New Roman"/>
          <w:kern w:val="22"/>
          <w:szCs w:val="22"/>
        </w:rPr>
        <w:t>’</w:t>
      </w:r>
      <w:r w:rsidRPr="00FA6E69">
        <w:rPr>
          <w:rFonts w:eastAsia="Malgun Gothic" w:cs="Times New Roman"/>
          <w:kern w:val="22"/>
          <w:szCs w:val="22"/>
        </w:rPr>
        <w:t>extinction des espèces et l</w:t>
      </w:r>
      <w:r w:rsidR="00E964B4" w:rsidRPr="00FA6E69">
        <w:rPr>
          <w:rFonts w:eastAsia="Malgun Gothic" w:cs="Times New Roman"/>
          <w:kern w:val="22"/>
          <w:szCs w:val="22"/>
        </w:rPr>
        <w:t>’</w:t>
      </w:r>
      <w:r w:rsidRPr="00FA6E69">
        <w:rPr>
          <w:rFonts w:eastAsia="Malgun Gothic" w:cs="Times New Roman"/>
          <w:kern w:val="22"/>
          <w:szCs w:val="22"/>
        </w:rPr>
        <w:t>amélioration de l</w:t>
      </w:r>
      <w:r w:rsidR="00E964B4" w:rsidRPr="00FA6E69">
        <w:rPr>
          <w:rFonts w:eastAsia="Malgun Gothic" w:cs="Times New Roman"/>
          <w:kern w:val="22"/>
          <w:szCs w:val="22"/>
        </w:rPr>
        <w:t>’</w:t>
      </w:r>
      <w:r w:rsidRPr="00FA6E69">
        <w:rPr>
          <w:rFonts w:eastAsia="Malgun Gothic" w:cs="Times New Roman"/>
          <w:kern w:val="22"/>
          <w:szCs w:val="22"/>
        </w:rPr>
        <w:t>état de conservation des espèces n</w:t>
      </w:r>
      <w:r w:rsidR="00E964B4" w:rsidRPr="00FA6E69">
        <w:rPr>
          <w:rFonts w:eastAsia="Malgun Gothic" w:cs="Times New Roman"/>
          <w:kern w:val="22"/>
          <w:szCs w:val="22"/>
        </w:rPr>
        <w:t>’</w:t>
      </w:r>
      <w:r w:rsidRPr="00FA6E69">
        <w:rPr>
          <w:rFonts w:eastAsia="Malgun Gothic" w:cs="Times New Roman"/>
          <w:kern w:val="22"/>
          <w:szCs w:val="22"/>
        </w:rPr>
        <w:t>est pas toujours claire</w:t>
      </w:r>
      <w:r w:rsidR="00AB340A" w:rsidRPr="00FA6E69">
        <w:rPr>
          <w:rFonts w:eastAsia="Malgun Gothic" w:cs="Times New Roman"/>
          <w:kern w:val="22"/>
          <w:szCs w:val="22"/>
        </w:rPr>
        <w:t>.</w:t>
      </w:r>
    </w:p>
    <w:p w:rsidR="00AB340A" w:rsidRPr="00FA6E69" w:rsidRDefault="00B54B0D" w:rsidP="00297BEE">
      <w:pPr>
        <w:suppressLineNumbers/>
        <w:suppressAutoHyphens/>
        <w:spacing w:after="120"/>
        <w:rPr>
          <w:rFonts w:cs="Times New Roman"/>
          <w:i/>
          <w:iCs/>
        </w:rPr>
      </w:pPr>
      <w:r w:rsidRPr="00FA6E69">
        <w:rPr>
          <w:rFonts w:cs="Times New Roman"/>
          <w:i/>
          <w:iCs/>
          <w:szCs w:val="22"/>
        </w:rPr>
        <w:t xml:space="preserve">Objectif 13 </w:t>
      </w:r>
      <w:r w:rsidRPr="00FA6E69">
        <w:rPr>
          <w:rFonts w:cs="Times New Roman"/>
          <w:color w:val="333333"/>
          <w:kern w:val="22"/>
          <w:szCs w:val="22"/>
          <w:shd w:val="clear" w:color="auto" w:fill="FFFFFF"/>
        </w:rPr>
        <w:t>–</w:t>
      </w:r>
      <w:r w:rsidRPr="00FA6E69">
        <w:rPr>
          <w:rFonts w:cs="Times New Roman"/>
          <w:i/>
          <w:iCs/>
          <w:szCs w:val="22"/>
        </w:rPr>
        <w:t xml:space="preserve"> D</w:t>
      </w:r>
      <w:r w:rsidR="00E964B4" w:rsidRPr="00FA6E69">
        <w:rPr>
          <w:rFonts w:cs="Times New Roman"/>
          <w:i/>
          <w:iCs/>
          <w:szCs w:val="22"/>
        </w:rPr>
        <w:t>’</w:t>
      </w:r>
      <w:r w:rsidRPr="00FA6E69">
        <w:rPr>
          <w:rFonts w:cs="Times New Roman"/>
          <w:i/>
          <w:iCs/>
          <w:szCs w:val="22"/>
        </w:rPr>
        <w:t>ici à</w:t>
      </w:r>
      <w:r w:rsidR="00360989" w:rsidRPr="00FA6E69">
        <w:rPr>
          <w:rFonts w:cs="Times New Roman"/>
          <w:i/>
          <w:iCs/>
          <w:szCs w:val="22"/>
        </w:rPr>
        <w:t> 2020</w:t>
      </w:r>
      <w:r w:rsidRPr="00FA6E69">
        <w:rPr>
          <w:rFonts w:cs="Times New Roman"/>
          <w:i/>
          <w:iCs/>
          <w:szCs w:val="22"/>
        </w:rPr>
        <w:t>, la diversité génétique des plantes cultivées, des animaux d</w:t>
      </w:r>
      <w:r w:rsidR="00E964B4" w:rsidRPr="00FA6E69">
        <w:rPr>
          <w:rFonts w:cs="Times New Roman"/>
          <w:i/>
          <w:iCs/>
          <w:szCs w:val="22"/>
        </w:rPr>
        <w:t>’</w:t>
      </w:r>
      <w:r w:rsidRPr="00FA6E69">
        <w:rPr>
          <w:rFonts w:cs="Times New Roman"/>
          <w:i/>
          <w:iCs/>
          <w:szCs w:val="22"/>
        </w:rPr>
        <w:t>élevage et domestiques et des parents pauvres, y compris celle d</w:t>
      </w:r>
      <w:r w:rsidR="00E964B4" w:rsidRPr="00FA6E69">
        <w:rPr>
          <w:rFonts w:cs="Times New Roman"/>
          <w:i/>
          <w:iCs/>
          <w:szCs w:val="22"/>
        </w:rPr>
        <w:t>’</w:t>
      </w:r>
      <w:r w:rsidRPr="00FA6E69">
        <w:rPr>
          <w:rFonts w:cs="Times New Roman"/>
          <w:i/>
          <w:iCs/>
          <w:szCs w:val="22"/>
        </w:rPr>
        <w:t>autres espèces qui ont une valeur socio</w:t>
      </w:r>
      <w:r w:rsidR="009F23B8" w:rsidRPr="00FA6E69">
        <w:rPr>
          <w:rFonts w:cs="Times New Roman"/>
          <w:i/>
          <w:iCs/>
          <w:szCs w:val="22"/>
        </w:rPr>
        <w:noBreakHyphen/>
      </w:r>
      <w:r w:rsidRPr="00FA6E69">
        <w:rPr>
          <w:rFonts w:cs="Times New Roman"/>
          <w:i/>
          <w:iCs/>
          <w:szCs w:val="22"/>
        </w:rPr>
        <w:t>économique ou culturelle, est préservée, et des stratégies sont élaborées et mises en œuvre pour réduire au minimum l</w:t>
      </w:r>
      <w:r w:rsidR="00E964B4" w:rsidRPr="00FA6E69">
        <w:rPr>
          <w:rFonts w:cs="Times New Roman"/>
          <w:i/>
          <w:iCs/>
          <w:szCs w:val="22"/>
        </w:rPr>
        <w:t>’</w:t>
      </w:r>
      <w:r w:rsidRPr="00FA6E69">
        <w:rPr>
          <w:rFonts w:cs="Times New Roman"/>
          <w:i/>
          <w:iCs/>
          <w:szCs w:val="22"/>
        </w:rPr>
        <w:t>érosion génétique et sauvegarder leur diversité génétique</w:t>
      </w:r>
    </w:p>
    <w:p w:rsidR="00AB340A" w:rsidRPr="006D563D" w:rsidRDefault="00C96F7A"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Tr</w:t>
      </w:r>
      <w:r w:rsidR="00D01047" w:rsidRPr="00FA6E69">
        <w:rPr>
          <w:rFonts w:eastAsia="Malgun Gothic" w:cs="Times New Roman"/>
          <w:kern w:val="22"/>
          <w:szCs w:val="22"/>
        </w:rPr>
        <w:t>eize </w:t>
      </w:r>
      <w:r w:rsidR="00360989" w:rsidRPr="00FA6E69">
        <w:rPr>
          <w:rFonts w:eastAsia="Malgun Gothic" w:cs="Times New Roman"/>
          <w:kern w:val="22"/>
          <w:szCs w:val="22"/>
        </w:rPr>
        <w:t>pour cent</w:t>
      </w:r>
      <w:r w:rsidR="00A074D9" w:rsidRPr="00FA6E69">
        <w:rPr>
          <w:rFonts w:eastAsia="Malgun Gothic" w:cs="Times New Roman"/>
          <w:kern w:val="22"/>
          <w:szCs w:val="22"/>
        </w:rPr>
        <w:t xml:space="preserve"> des objectifs contenus dans les SPANB correspondent à l</w:t>
      </w:r>
      <w:r w:rsidR="00E964B4" w:rsidRPr="00FA6E69">
        <w:rPr>
          <w:rFonts w:eastAsia="Malgun Gothic" w:cs="Times New Roman"/>
          <w:kern w:val="22"/>
          <w:szCs w:val="22"/>
        </w:rPr>
        <w:t>’</w:t>
      </w:r>
      <w:r w:rsidR="00A074D9" w:rsidRPr="00FA6E69">
        <w:rPr>
          <w:rFonts w:eastAsia="Malgun Gothic" w:cs="Times New Roman"/>
          <w:kern w:val="22"/>
          <w:szCs w:val="22"/>
        </w:rPr>
        <w:t>étendue et au niveau d</w:t>
      </w:r>
      <w:r w:rsidR="00E964B4" w:rsidRPr="00FA6E69">
        <w:rPr>
          <w:rFonts w:eastAsia="Malgun Gothic" w:cs="Times New Roman"/>
          <w:kern w:val="22"/>
          <w:szCs w:val="22"/>
        </w:rPr>
        <w:t>’</w:t>
      </w:r>
      <w:r w:rsidR="00A074D9" w:rsidRPr="00FA6E69">
        <w:rPr>
          <w:rFonts w:eastAsia="Malgun Gothic" w:cs="Times New Roman"/>
          <w:kern w:val="22"/>
          <w:szCs w:val="22"/>
        </w:rPr>
        <w:t>ambition de l</w:t>
      </w:r>
      <w:r w:rsidR="00E964B4" w:rsidRPr="00FA6E69">
        <w:rPr>
          <w:rFonts w:eastAsia="Malgun Gothic" w:cs="Times New Roman"/>
          <w:kern w:val="22"/>
          <w:szCs w:val="22"/>
        </w:rPr>
        <w:t>’</w:t>
      </w:r>
      <w:r w:rsidR="00A074D9" w:rsidRPr="00FA6E69">
        <w:rPr>
          <w:rFonts w:eastAsia="Malgun Gothic" w:cs="Times New Roman"/>
          <w:kern w:val="22"/>
          <w:szCs w:val="22"/>
        </w:rPr>
        <w:t>objectif d</w:t>
      </w:r>
      <w:r w:rsidR="00E964B4" w:rsidRPr="00FA6E69">
        <w:rPr>
          <w:rFonts w:eastAsia="Malgun Gothic" w:cs="Times New Roman"/>
          <w:kern w:val="22"/>
          <w:szCs w:val="22"/>
        </w:rPr>
        <w:t>’</w:t>
      </w:r>
      <w:r w:rsidR="00A074D9" w:rsidRPr="00FA6E69">
        <w:rPr>
          <w:rFonts w:eastAsia="Malgun Gothic" w:cs="Times New Roman"/>
          <w:kern w:val="22"/>
          <w:szCs w:val="22"/>
        </w:rPr>
        <w:t>Aichi</w:t>
      </w:r>
      <w:r w:rsidR="00A074D9" w:rsidRPr="00FA6E69">
        <w:rPr>
          <w:rFonts w:eastAsia="Malgun Gothic" w:cs="Times New Roman"/>
          <w:kern w:val="22"/>
          <w:szCs w:val="22"/>
          <w:vertAlign w:val="superscript"/>
        </w:rPr>
        <w:footnoteReference w:id="27"/>
      </w:r>
      <w:r w:rsidR="00A074D9" w:rsidRPr="00FA6E69">
        <w:rPr>
          <w:rFonts w:eastAsia="Malgun Gothic" w:cs="Times New Roman"/>
          <w:kern w:val="22"/>
          <w:szCs w:val="22"/>
        </w:rPr>
        <w:t xml:space="preserve"> et un SPANB</w:t>
      </w:r>
      <w:r w:rsidR="00A074D9" w:rsidRPr="00FA6E69">
        <w:rPr>
          <w:rFonts w:eastAsia="Malgun Gothic" w:cs="Times New Roman"/>
          <w:kern w:val="22"/>
          <w:szCs w:val="22"/>
          <w:vertAlign w:val="superscript"/>
        </w:rPr>
        <w:footnoteReference w:id="28"/>
      </w:r>
      <w:r w:rsidR="00A074D9" w:rsidRPr="00FA6E69">
        <w:rPr>
          <w:rFonts w:eastAsia="Malgun Gothic" w:cs="Times New Roman"/>
          <w:kern w:val="22"/>
          <w:szCs w:val="22"/>
        </w:rPr>
        <w:t xml:space="preserve"> contient un objectif plus ambitieux que l</w:t>
      </w:r>
      <w:r w:rsidR="00E964B4" w:rsidRPr="00FA6E69">
        <w:rPr>
          <w:rFonts w:eastAsia="Malgun Gothic" w:cs="Times New Roman"/>
          <w:kern w:val="22"/>
          <w:szCs w:val="22"/>
        </w:rPr>
        <w:t>’</w:t>
      </w:r>
      <w:r w:rsidR="00A074D9" w:rsidRPr="00FA6E69">
        <w:rPr>
          <w:rFonts w:eastAsia="Malgun Gothic" w:cs="Times New Roman"/>
          <w:kern w:val="22"/>
          <w:szCs w:val="22"/>
        </w:rPr>
        <w:t>Objectif d</w:t>
      </w:r>
      <w:r w:rsidR="00E964B4" w:rsidRPr="00FA6E69">
        <w:rPr>
          <w:rFonts w:eastAsia="Malgun Gothic" w:cs="Times New Roman"/>
          <w:kern w:val="22"/>
          <w:szCs w:val="22"/>
        </w:rPr>
        <w:t>’</w:t>
      </w:r>
      <w:r w:rsidR="00A074D9" w:rsidRPr="00FA6E69">
        <w:rPr>
          <w:rFonts w:eastAsia="Malgun Gothic" w:cs="Times New Roman"/>
          <w:kern w:val="22"/>
          <w:szCs w:val="22"/>
        </w:rPr>
        <w:t>Aichi. Plus de la moitié (</w:t>
      </w:r>
      <w:r w:rsidRPr="00FA6E69">
        <w:rPr>
          <w:rFonts w:eastAsia="Malgun Gothic" w:cs="Times New Roman"/>
          <w:kern w:val="22"/>
          <w:szCs w:val="22"/>
        </w:rPr>
        <w:t>63</w:t>
      </w:r>
      <w:r w:rsidR="00A074D9" w:rsidRPr="00FA6E69">
        <w:rPr>
          <w:rFonts w:eastAsia="Malgun Gothic" w:cs="Times New Roman"/>
          <w:kern w:val="22"/>
          <w:szCs w:val="22"/>
        </w:rPr>
        <w:t> </w:t>
      </w:r>
      <w:r w:rsidR="00360989" w:rsidRPr="00FA6E69">
        <w:rPr>
          <w:rFonts w:eastAsia="Malgun Gothic" w:cs="Times New Roman"/>
          <w:kern w:val="22"/>
          <w:szCs w:val="22"/>
        </w:rPr>
        <w:t>pour cent</w:t>
      </w:r>
      <w:r w:rsidR="00A074D9" w:rsidRPr="00FA6E69">
        <w:rPr>
          <w:rFonts w:eastAsia="Malgun Gothic" w:cs="Times New Roman"/>
          <w:kern w:val="22"/>
          <w:szCs w:val="22"/>
        </w:rPr>
        <w:t>) de ces objectifs sont inférieurs à l</w:t>
      </w:r>
      <w:r w:rsidR="00E964B4" w:rsidRPr="00FA6E69">
        <w:rPr>
          <w:rFonts w:eastAsia="Malgun Gothic" w:cs="Times New Roman"/>
          <w:kern w:val="22"/>
          <w:szCs w:val="22"/>
        </w:rPr>
        <w:t>’</w:t>
      </w:r>
      <w:r w:rsidR="00A074D9" w:rsidRPr="00FA6E69">
        <w:rPr>
          <w:rFonts w:eastAsia="Malgun Gothic" w:cs="Times New Roman"/>
          <w:kern w:val="22"/>
          <w:szCs w:val="22"/>
        </w:rPr>
        <w:t>Objectif d</w:t>
      </w:r>
      <w:r w:rsidR="00E964B4" w:rsidRPr="00FA6E69">
        <w:rPr>
          <w:rFonts w:eastAsia="Malgun Gothic" w:cs="Times New Roman"/>
          <w:kern w:val="22"/>
          <w:szCs w:val="22"/>
        </w:rPr>
        <w:t>’</w:t>
      </w:r>
      <w:r w:rsidR="00A074D9" w:rsidRPr="00FA6E69">
        <w:rPr>
          <w:rFonts w:eastAsia="Malgun Gothic" w:cs="Times New Roman"/>
          <w:kern w:val="22"/>
          <w:szCs w:val="22"/>
        </w:rPr>
        <w:t>Aichi ou ne couvrent pas tous les éléments de l</w:t>
      </w:r>
      <w:r w:rsidR="00E964B4" w:rsidRPr="00FA6E69">
        <w:rPr>
          <w:rFonts w:eastAsia="Malgun Gothic" w:cs="Times New Roman"/>
          <w:kern w:val="22"/>
          <w:szCs w:val="22"/>
        </w:rPr>
        <w:t>’</w:t>
      </w:r>
      <w:r w:rsidR="00A074D9" w:rsidRPr="00FA6E69">
        <w:rPr>
          <w:rFonts w:eastAsia="Malgun Gothic" w:cs="Times New Roman"/>
          <w:kern w:val="22"/>
          <w:szCs w:val="22"/>
        </w:rPr>
        <w:t>Objectif d</w:t>
      </w:r>
      <w:r w:rsidR="00E964B4" w:rsidRPr="00FA6E69">
        <w:rPr>
          <w:rFonts w:eastAsia="Malgun Gothic" w:cs="Times New Roman"/>
          <w:kern w:val="22"/>
          <w:szCs w:val="22"/>
        </w:rPr>
        <w:t>’</w:t>
      </w:r>
      <w:r w:rsidR="00A074D9" w:rsidRPr="00FA6E69">
        <w:rPr>
          <w:rFonts w:eastAsia="Malgun Gothic" w:cs="Times New Roman"/>
          <w:kern w:val="22"/>
          <w:szCs w:val="22"/>
        </w:rPr>
        <w:t xml:space="preserve">Aichi pour la biodiversité. </w:t>
      </w:r>
      <w:r w:rsidRPr="00FA6E69">
        <w:rPr>
          <w:rFonts w:eastAsia="Malgun Gothic" w:cs="Times New Roman"/>
          <w:kern w:val="22"/>
          <w:szCs w:val="22"/>
        </w:rPr>
        <w:t xml:space="preserve">Presque </w:t>
      </w:r>
      <w:r w:rsidR="00CF354A" w:rsidRPr="00FA6E69">
        <w:rPr>
          <w:rFonts w:eastAsia="Malgun Gothic" w:cs="Times New Roman"/>
          <w:kern w:val="22"/>
          <w:szCs w:val="22"/>
        </w:rPr>
        <w:t>un quart</w:t>
      </w:r>
      <w:r w:rsidR="00A074D9" w:rsidRPr="00FA6E69">
        <w:rPr>
          <w:rFonts w:eastAsia="Malgun Gothic" w:cs="Times New Roman"/>
          <w:kern w:val="22"/>
          <w:szCs w:val="22"/>
        </w:rPr>
        <w:t xml:space="preserve"> </w:t>
      </w:r>
      <w:r w:rsidRPr="00FA6E69">
        <w:rPr>
          <w:rFonts w:eastAsia="Malgun Gothic" w:cs="Times New Roman"/>
          <w:kern w:val="22"/>
          <w:szCs w:val="22"/>
        </w:rPr>
        <w:t xml:space="preserve">(24 pour cent) </w:t>
      </w:r>
      <w:r w:rsidR="00A074D9" w:rsidRPr="00FA6E69">
        <w:rPr>
          <w:rFonts w:eastAsia="Malgun Gothic" w:cs="Times New Roman"/>
          <w:kern w:val="22"/>
          <w:szCs w:val="22"/>
        </w:rPr>
        <w:t>des SPANB évalués ne contiennent pas d</w:t>
      </w:r>
      <w:r w:rsidR="00E964B4" w:rsidRPr="00FA6E69">
        <w:rPr>
          <w:rFonts w:eastAsia="Malgun Gothic" w:cs="Times New Roman"/>
          <w:kern w:val="22"/>
          <w:szCs w:val="22"/>
        </w:rPr>
        <w:t>’</w:t>
      </w:r>
      <w:r w:rsidR="00A074D9" w:rsidRPr="00FA6E69">
        <w:rPr>
          <w:rFonts w:eastAsia="Malgun Gothic" w:cs="Times New Roman"/>
          <w:kern w:val="22"/>
          <w:szCs w:val="22"/>
        </w:rPr>
        <w:t>objectifs directement liés à l</w:t>
      </w:r>
      <w:r w:rsidR="00E964B4" w:rsidRPr="00FA6E69">
        <w:rPr>
          <w:rFonts w:eastAsia="Malgun Gothic" w:cs="Times New Roman"/>
          <w:kern w:val="22"/>
          <w:szCs w:val="22"/>
        </w:rPr>
        <w:t>’</w:t>
      </w:r>
      <w:r w:rsidR="00A074D9" w:rsidRPr="00FA6E69">
        <w:rPr>
          <w:rFonts w:eastAsia="Malgun Gothic" w:cs="Times New Roman"/>
          <w:kern w:val="22"/>
          <w:szCs w:val="22"/>
        </w:rPr>
        <w:t>Objectif 13 d</w:t>
      </w:r>
      <w:r w:rsidR="00E964B4" w:rsidRPr="00FA6E69">
        <w:rPr>
          <w:rFonts w:eastAsia="Malgun Gothic" w:cs="Times New Roman"/>
          <w:kern w:val="22"/>
          <w:szCs w:val="22"/>
        </w:rPr>
        <w:t>’</w:t>
      </w:r>
      <w:r w:rsidR="00A074D9" w:rsidRPr="00FA6E69">
        <w:rPr>
          <w:rFonts w:eastAsia="Malgun Gothic" w:cs="Times New Roman"/>
          <w:kern w:val="22"/>
          <w:szCs w:val="22"/>
        </w:rPr>
        <w:t>Aichi pour la biodiversité. La plupart des objectifs définis se réfèrent à la conservation de la diversité génétique en général. Un faible nombre d</w:t>
      </w:r>
      <w:r w:rsidR="00E964B4" w:rsidRPr="00FA6E69">
        <w:rPr>
          <w:rFonts w:eastAsia="Malgun Gothic" w:cs="Times New Roman"/>
          <w:kern w:val="22"/>
          <w:szCs w:val="22"/>
        </w:rPr>
        <w:t>’</w:t>
      </w:r>
      <w:r w:rsidR="00A074D9" w:rsidRPr="00FA6E69">
        <w:rPr>
          <w:rFonts w:eastAsia="Malgun Gothic" w:cs="Times New Roman"/>
          <w:kern w:val="22"/>
          <w:szCs w:val="22"/>
        </w:rPr>
        <w:t>objectifs se réfèrent explicitement à des éléments de l</w:t>
      </w:r>
      <w:r w:rsidR="00E964B4" w:rsidRPr="00FA6E69">
        <w:rPr>
          <w:rFonts w:eastAsia="Malgun Gothic" w:cs="Times New Roman"/>
          <w:kern w:val="22"/>
          <w:szCs w:val="22"/>
        </w:rPr>
        <w:t>’</w:t>
      </w:r>
      <w:r w:rsidR="00A074D9" w:rsidRPr="00FA6E69">
        <w:rPr>
          <w:rFonts w:eastAsia="Malgun Gothic" w:cs="Times New Roman"/>
          <w:kern w:val="22"/>
          <w:szCs w:val="22"/>
        </w:rPr>
        <w:t>objectif. En particulier la question de la conservation de la diversité génétique des parents pauvres, des espèces qui ont une valeur socio</w:t>
      </w:r>
      <w:r w:rsidR="009F23B8" w:rsidRPr="00FA6E69">
        <w:rPr>
          <w:rFonts w:eastAsia="Malgun Gothic" w:cs="Times New Roman"/>
          <w:kern w:val="22"/>
          <w:szCs w:val="22"/>
        </w:rPr>
        <w:noBreakHyphen/>
      </w:r>
      <w:r w:rsidR="00A074D9" w:rsidRPr="00FA6E69">
        <w:rPr>
          <w:rFonts w:eastAsia="Malgun Gothic" w:cs="Times New Roman"/>
          <w:kern w:val="22"/>
          <w:szCs w:val="22"/>
        </w:rPr>
        <w:t>économique et culturelle, et l</w:t>
      </w:r>
      <w:r w:rsidR="00E964B4" w:rsidRPr="00FA6E69">
        <w:rPr>
          <w:rFonts w:eastAsia="Malgun Gothic" w:cs="Times New Roman"/>
          <w:kern w:val="22"/>
          <w:szCs w:val="22"/>
        </w:rPr>
        <w:t>’</w:t>
      </w:r>
      <w:r w:rsidR="00A074D9" w:rsidRPr="00FA6E69">
        <w:rPr>
          <w:rFonts w:eastAsia="Malgun Gothic" w:cs="Times New Roman"/>
          <w:kern w:val="22"/>
          <w:szCs w:val="22"/>
        </w:rPr>
        <w:t>élaboration de stratégies visant à réduire au minimum l</w:t>
      </w:r>
      <w:r w:rsidR="00E964B4" w:rsidRPr="00FA6E69">
        <w:rPr>
          <w:rFonts w:eastAsia="Malgun Gothic" w:cs="Times New Roman"/>
          <w:kern w:val="22"/>
          <w:szCs w:val="22"/>
        </w:rPr>
        <w:t>’</w:t>
      </w:r>
      <w:r w:rsidR="00A074D9" w:rsidRPr="00FA6E69">
        <w:rPr>
          <w:rFonts w:eastAsia="Malgun Gothic" w:cs="Times New Roman"/>
          <w:kern w:val="22"/>
          <w:szCs w:val="22"/>
        </w:rPr>
        <w:t xml:space="preserve">érosion génétique </w:t>
      </w:r>
      <w:r w:rsidRPr="00FA6E69">
        <w:rPr>
          <w:rFonts w:eastAsia="Malgun Gothic" w:cs="Times New Roman"/>
          <w:kern w:val="22"/>
          <w:szCs w:val="22"/>
        </w:rPr>
        <w:t>ne sont</w:t>
      </w:r>
      <w:r w:rsidR="00A074D9" w:rsidRPr="00FA6E69">
        <w:rPr>
          <w:rFonts w:eastAsia="Malgun Gothic" w:cs="Times New Roman"/>
          <w:kern w:val="22"/>
          <w:szCs w:val="22"/>
        </w:rPr>
        <w:t xml:space="preserve"> généralement pas mentionnées dans les objectifs définis par les Parties.</w:t>
      </w:r>
    </w:p>
    <w:p w:rsidR="00AB340A" w:rsidRPr="00FA6E69" w:rsidRDefault="00AB7A69" w:rsidP="00C51326">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Moins d</w:t>
      </w:r>
      <w:r w:rsidR="00C96F7A" w:rsidRPr="00FA6E69">
        <w:rPr>
          <w:rFonts w:eastAsia="Malgun Gothic" w:cs="Times New Roman"/>
          <w:kern w:val="22"/>
          <w:szCs w:val="22"/>
        </w:rPr>
        <w:t xml:space="preserve">’un </w:t>
      </w:r>
      <w:r w:rsidR="00CF354A" w:rsidRPr="00FA6E69">
        <w:rPr>
          <w:rFonts w:eastAsia="Malgun Gothic" w:cs="Times New Roman"/>
          <w:kern w:val="22"/>
          <w:szCs w:val="22"/>
        </w:rPr>
        <w:t>dixième</w:t>
      </w:r>
      <w:r w:rsidRPr="00FA6E69">
        <w:rPr>
          <w:rFonts w:eastAsia="Malgun Gothic" w:cs="Times New Roman"/>
          <w:kern w:val="22"/>
          <w:szCs w:val="22"/>
        </w:rPr>
        <w:t xml:space="preserve"> </w:t>
      </w:r>
      <w:r w:rsidR="00C96F7A" w:rsidRPr="00FA6E69">
        <w:rPr>
          <w:rFonts w:eastAsia="Malgun Gothic" w:cs="Times New Roman"/>
          <w:kern w:val="22"/>
          <w:szCs w:val="22"/>
        </w:rPr>
        <w:t>(7</w:t>
      </w:r>
      <w:r w:rsidRPr="00FA6E69">
        <w:rPr>
          <w:rFonts w:eastAsia="Malgun Gothic" w:cs="Times New Roman"/>
          <w:kern w:val="22"/>
          <w:szCs w:val="22"/>
        </w:rPr>
        <w:t> </w:t>
      </w:r>
      <w:r w:rsidR="00360989" w:rsidRPr="00FA6E69">
        <w:rPr>
          <w:rFonts w:eastAsia="Malgun Gothic" w:cs="Times New Roman"/>
          <w:kern w:val="22"/>
          <w:szCs w:val="22"/>
        </w:rPr>
        <w:t>pour cent</w:t>
      </w:r>
      <w:r w:rsidR="00C96F7A" w:rsidRPr="00FA6E69">
        <w:rPr>
          <w:rFonts w:eastAsia="Malgun Gothic" w:cs="Times New Roman"/>
          <w:kern w:val="22"/>
          <w:szCs w:val="22"/>
        </w:rPr>
        <w:t>)</w:t>
      </w:r>
      <w:r w:rsidRPr="00FA6E69">
        <w:rPr>
          <w:rFonts w:eastAsia="Malgun Gothic" w:cs="Times New Roman"/>
          <w:kern w:val="22"/>
          <w:szCs w:val="22"/>
        </w:rPr>
        <w:t xml:space="preserve"> des rapports nationaux contiennent des informations suggérant que l</w:t>
      </w:r>
      <w:r w:rsidR="00E964B4" w:rsidRPr="00FA6E69">
        <w:rPr>
          <w:rFonts w:eastAsia="Malgun Gothic" w:cs="Times New Roman"/>
          <w:kern w:val="22"/>
          <w:szCs w:val="22"/>
        </w:rPr>
        <w:t>’</w:t>
      </w:r>
      <w:r w:rsidRPr="00FA6E69">
        <w:rPr>
          <w:rFonts w:eastAsia="Malgun Gothic" w:cs="Times New Roman"/>
          <w:kern w:val="22"/>
          <w:szCs w:val="22"/>
        </w:rPr>
        <w:t>objectif est en voie d</w:t>
      </w:r>
      <w:r w:rsidR="00E964B4" w:rsidRPr="00FA6E69">
        <w:rPr>
          <w:rFonts w:eastAsia="Malgun Gothic" w:cs="Times New Roman"/>
          <w:kern w:val="22"/>
          <w:szCs w:val="22"/>
        </w:rPr>
        <w:t>’</w:t>
      </w:r>
      <w:r w:rsidRPr="00FA6E69">
        <w:rPr>
          <w:rFonts w:eastAsia="Malgun Gothic" w:cs="Times New Roman"/>
          <w:kern w:val="22"/>
          <w:szCs w:val="22"/>
        </w:rPr>
        <w:t>être atteint à l</w:t>
      </w:r>
      <w:r w:rsidR="00E964B4" w:rsidRPr="00FA6E69">
        <w:rPr>
          <w:rFonts w:eastAsia="Malgun Gothic" w:cs="Times New Roman"/>
          <w:kern w:val="22"/>
          <w:szCs w:val="22"/>
        </w:rPr>
        <w:t>’</w:t>
      </w:r>
      <w:r w:rsidRPr="00FA6E69">
        <w:rPr>
          <w:rFonts w:eastAsia="Malgun Gothic" w:cs="Times New Roman"/>
          <w:kern w:val="22"/>
          <w:szCs w:val="22"/>
        </w:rPr>
        <w:t xml:space="preserve">échéance. Plus de </w:t>
      </w:r>
      <w:r w:rsidR="00C96F7A" w:rsidRPr="00FA6E69">
        <w:rPr>
          <w:rFonts w:eastAsia="Malgun Gothic" w:cs="Times New Roman"/>
          <w:kern w:val="22"/>
          <w:szCs w:val="22"/>
        </w:rPr>
        <w:t>la moitié (</w:t>
      </w:r>
      <w:r w:rsidRPr="00FA6E69">
        <w:rPr>
          <w:rFonts w:eastAsia="Malgun Gothic" w:cs="Times New Roman"/>
          <w:kern w:val="22"/>
          <w:szCs w:val="22"/>
        </w:rPr>
        <w:t>5</w:t>
      </w:r>
      <w:r w:rsidR="00C96F7A"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00C96F7A" w:rsidRPr="00FA6E69">
        <w:rPr>
          <w:rFonts w:eastAsia="Malgun Gothic" w:cs="Times New Roman"/>
          <w:kern w:val="22"/>
          <w:szCs w:val="22"/>
        </w:rPr>
        <w:t>)</w:t>
      </w:r>
      <w:r w:rsidRPr="00FA6E69">
        <w:rPr>
          <w:rFonts w:eastAsia="Malgun Gothic" w:cs="Times New Roman"/>
          <w:kern w:val="22"/>
          <w:szCs w:val="22"/>
        </w:rPr>
        <w:t xml:space="preserve"> des rapports nationaux suggèrent que des progrès sont accomplis dans la réalisation de cet objectif, mais à un rythme qui ne permettra pas de l</w:t>
      </w:r>
      <w:r w:rsidR="00E964B4" w:rsidRPr="00FA6E69">
        <w:rPr>
          <w:rFonts w:eastAsia="Malgun Gothic" w:cs="Times New Roman"/>
          <w:kern w:val="22"/>
          <w:szCs w:val="22"/>
        </w:rPr>
        <w:t>’</w:t>
      </w:r>
      <w:r w:rsidRPr="00FA6E69">
        <w:rPr>
          <w:rFonts w:eastAsia="Malgun Gothic" w:cs="Times New Roman"/>
          <w:kern w:val="22"/>
          <w:szCs w:val="22"/>
        </w:rPr>
        <w:t>atteindre à l</w:t>
      </w:r>
      <w:r w:rsidR="00E964B4" w:rsidRPr="00FA6E69">
        <w:rPr>
          <w:rFonts w:eastAsia="Malgun Gothic" w:cs="Times New Roman"/>
          <w:kern w:val="22"/>
          <w:szCs w:val="22"/>
        </w:rPr>
        <w:t>’</w:t>
      </w:r>
      <w:r w:rsidRPr="00FA6E69">
        <w:rPr>
          <w:rFonts w:eastAsia="Malgun Gothic" w:cs="Times New Roman"/>
          <w:kern w:val="22"/>
          <w:szCs w:val="22"/>
        </w:rPr>
        <w:t>échéance. Par ailleurs, p</w:t>
      </w:r>
      <w:r w:rsidR="00C51326" w:rsidRPr="00FA6E69">
        <w:rPr>
          <w:rFonts w:eastAsia="Malgun Gothic" w:cs="Times New Roman"/>
          <w:kern w:val="22"/>
          <w:szCs w:val="22"/>
        </w:rPr>
        <w:t>lus</w:t>
      </w:r>
      <w:r w:rsidRPr="00FA6E69">
        <w:rPr>
          <w:rFonts w:eastAsia="Malgun Gothic" w:cs="Times New Roman"/>
          <w:kern w:val="22"/>
          <w:szCs w:val="22"/>
        </w:rPr>
        <w:t xml:space="preserve"> de 20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suggèrent qu</w:t>
      </w:r>
      <w:r w:rsidR="00E964B4" w:rsidRPr="00FA6E69">
        <w:rPr>
          <w:rFonts w:eastAsia="Malgun Gothic" w:cs="Times New Roman"/>
          <w:kern w:val="22"/>
          <w:szCs w:val="22"/>
        </w:rPr>
        <w:t>’</w:t>
      </w:r>
      <w:r w:rsidRPr="00FA6E69">
        <w:rPr>
          <w:rFonts w:eastAsia="Malgun Gothic" w:cs="Times New Roman"/>
          <w:kern w:val="22"/>
          <w:szCs w:val="22"/>
        </w:rPr>
        <w:t>il n</w:t>
      </w:r>
      <w:r w:rsidR="00E964B4" w:rsidRPr="00FA6E69">
        <w:rPr>
          <w:rFonts w:eastAsia="Malgun Gothic" w:cs="Times New Roman"/>
          <w:kern w:val="22"/>
          <w:szCs w:val="22"/>
        </w:rPr>
        <w:t>’</w:t>
      </w:r>
      <w:r w:rsidRPr="00FA6E69">
        <w:rPr>
          <w:rFonts w:eastAsia="Malgun Gothic" w:cs="Times New Roman"/>
          <w:kern w:val="22"/>
          <w:szCs w:val="22"/>
        </w:rPr>
        <w:t>y a pas eu de changements significatifs concernant la réalisation de cet objectif. 1</w:t>
      </w:r>
      <w:r w:rsidR="00473164" w:rsidRPr="00FA6E69">
        <w:rPr>
          <w:rFonts w:eastAsia="Malgun Gothic" w:cs="Times New Roman"/>
          <w:kern w:val="22"/>
          <w:szCs w:val="22"/>
        </w:rPr>
        <w:t>6</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ne contiennent pas d</w:t>
      </w:r>
      <w:r w:rsidR="00E964B4" w:rsidRPr="00FA6E69">
        <w:rPr>
          <w:rFonts w:eastAsia="Malgun Gothic" w:cs="Times New Roman"/>
          <w:kern w:val="22"/>
          <w:szCs w:val="22"/>
        </w:rPr>
        <w:t>’</w:t>
      </w:r>
      <w:r w:rsidRPr="00FA6E69">
        <w:rPr>
          <w:rFonts w:eastAsia="Malgun Gothic" w:cs="Times New Roman"/>
          <w:kern w:val="22"/>
          <w:szCs w:val="22"/>
        </w:rPr>
        <w:t>informations suffisantes permettant d</w:t>
      </w:r>
      <w:r w:rsidR="00E964B4" w:rsidRPr="00FA6E69">
        <w:rPr>
          <w:rFonts w:eastAsia="Malgun Gothic" w:cs="Times New Roman"/>
          <w:kern w:val="22"/>
          <w:szCs w:val="22"/>
        </w:rPr>
        <w:t>’</w:t>
      </w:r>
      <w:r w:rsidRPr="00FA6E69">
        <w:rPr>
          <w:rFonts w:eastAsia="Malgun Gothic" w:cs="Times New Roman"/>
          <w:kern w:val="22"/>
          <w:szCs w:val="22"/>
        </w:rPr>
        <w:t>évaluer les progrès accomplis dans la réalisation de cet objectif. S</w:t>
      </w:r>
      <w:r w:rsidR="00E964B4" w:rsidRPr="00FA6E69">
        <w:rPr>
          <w:rFonts w:eastAsia="Malgun Gothic" w:cs="Times New Roman"/>
          <w:kern w:val="22"/>
          <w:szCs w:val="22"/>
        </w:rPr>
        <w:t>’</w:t>
      </w:r>
      <w:r w:rsidRPr="00FA6E69">
        <w:rPr>
          <w:rFonts w:eastAsia="Malgun Gothic" w:cs="Times New Roman"/>
          <w:kern w:val="22"/>
          <w:szCs w:val="22"/>
        </w:rPr>
        <w:t>agissant de cet objectif, l</w:t>
      </w:r>
      <w:r w:rsidR="00E964B4" w:rsidRPr="00FA6E69">
        <w:rPr>
          <w:rFonts w:eastAsia="Malgun Gothic" w:cs="Times New Roman"/>
          <w:kern w:val="22"/>
          <w:szCs w:val="22"/>
        </w:rPr>
        <w:t>’</w:t>
      </w:r>
      <w:r w:rsidRPr="00FA6E69">
        <w:rPr>
          <w:rFonts w:eastAsia="Malgun Gothic" w:cs="Times New Roman"/>
          <w:kern w:val="22"/>
          <w:szCs w:val="22"/>
        </w:rPr>
        <w:t xml:space="preserve">attention semble essentiellement concerner la préservation de la diversité génétique des plantes cultivées. Plus de </w:t>
      </w:r>
      <w:r w:rsidR="00473164" w:rsidRPr="00FA6E69">
        <w:rPr>
          <w:rFonts w:eastAsia="Malgun Gothic" w:cs="Times New Roman"/>
          <w:kern w:val="22"/>
          <w:szCs w:val="22"/>
        </w:rPr>
        <w:t>la moitié</w:t>
      </w:r>
      <w:r w:rsidRPr="00FA6E69">
        <w:rPr>
          <w:rFonts w:eastAsia="Malgun Gothic" w:cs="Times New Roman"/>
          <w:kern w:val="22"/>
          <w:szCs w:val="22"/>
        </w:rPr>
        <w:t xml:space="preserve"> des rapports ne contiennent pas d</w:t>
      </w:r>
      <w:r w:rsidR="00E964B4" w:rsidRPr="00FA6E69">
        <w:rPr>
          <w:rFonts w:eastAsia="Malgun Gothic" w:cs="Times New Roman"/>
          <w:kern w:val="22"/>
          <w:szCs w:val="22"/>
        </w:rPr>
        <w:t>’</w:t>
      </w:r>
      <w:r w:rsidRPr="00FA6E69">
        <w:rPr>
          <w:rFonts w:eastAsia="Malgun Gothic" w:cs="Times New Roman"/>
          <w:kern w:val="22"/>
          <w:szCs w:val="22"/>
        </w:rPr>
        <w:t>informations sur la préservation de la diversité génétique des animaux d</w:t>
      </w:r>
      <w:r w:rsidR="00E964B4" w:rsidRPr="00FA6E69">
        <w:rPr>
          <w:rFonts w:eastAsia="Malgun Gothic" w:cs="Times New Roman"/>
          <w:kern w:val="22"/>
          <w:szCs w:val="22"/>
        </w:rPr>
        <w:t>’</w:t>
      </w:r>
      <w:r w:rsidRPr="00FA6E69">
        <w:rPr>
          <w:rFonts w:eastAsia="Malgun Gothic" w:cs="Times New Roman"/>
          <w:kern w:val="22"/>
          <w:szCs w:val="22"/>
        </w:rPr>
        <w:t>élevage et domestiques, et des espèces sauvages app</w:t>
      </w:r>
      <w:r w:rsidR="00C51326" w:rsidRPr="00FA6E69">
        <w:rPr>
          <w:rFonts w:eastAsia="Malgun Gothic" w:cs="Times New Roman"/>
          <w:kern w:val="22"/>
          <w:szCs w:val="22"/>
        </w:rPr>
        <w:t>arentées. Près de deux tiers (6</w:t>
      </w:r>
      <w:r w:rsidR="00473164"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ne contiennent pas </w:t>
      </w:r>
      <w:r w:rsidRPr="00FA6E69">
        <w:rPr>
          <w:rFonts w:eastAsia="Malgun Gothic" w:cs="Times New Roman"/>
          <w:kern w:val="22"/>
          <w:szCs w:val="22"/>
        </w:rPr>
        <w:lastRenderedPageBreak/>
        <w:t>d</w:t>
      </w:r>
      <w:r w:rsidR="00E964B4" w:rsidRPr="00FA6E69">
        <w:rPr>
          <w:rFonts w:eastAsia="Malgun Gothic" w:cs="Times New Roman"/>
          <w:kern w:val="22"/>
          <w:szCs w:val="22"/>
        </w:rPr>
        <w:t>’</w:t>
      </w:r>
      <w:r w:rsidRPr="00FA6E69">
        <w:rPr>
          <w:rFonts w:eastAsia="Malgun Gothic" w:cs="Times New Roman"/>
          <w:kern w:val="22"/>
          <w:szCs w:val="22"/>
        </w:rPr>
        <w:t>informations sur la préservation de la diversité génétique d</w:t>
      </w:r>
      <w:r w:rsidR="00E964B4" w:rsidRPr="00FA6E69">
        <w:rPr>
          <w:rFonts w:eastAsia="Malgun Gothic" w:cs="Times New Roman"/>
          <w:kern w:val="22"/>
          <w:szCs w:val="22"/>
        </w:rPr>
        <w:t>’</w:t>
      </w:r>
      <w:r w:rsidRPr="00FA6E69">
        <w:rPr>
          <w:rFonts w:eastAsia="Malgun Gothic" w:cs="Times New Roman"/>
          <w:kern w:val="22"/>
          <w:szCs w:val="22"/>
        </w:rPr>
        <w:t>espèces d</w:t>
      </w:r>
      <w:r w:rsidR="00E964B4" w:rsidRPr="00FA6E69">
        <w:rPr>
          <w:rFonts w:eastAsia="Malgun Gothic" w:cs="Times New Roman"/>
          <w:kern w:val="22"/>
          <w:szCs w:val="22"/>
        </w:rPr>
        <w:t>’</w:t>
      </w:r>
      <w:r w:rsidRPr="00FA6E69">
        <w:rPr>
          <w:rFonts w:eastAsia="Malgun Gothic" w:cs="Times New Roman"/>
          <w:kern w:val="22"/>
          <w:szCs w:val="22"/>
        </w:rPr>
        <w:t>importance socioéconomique et culturelle. De même, plus de 40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ne contiennent aucune information sur l</w:t>
      </w:r>
      <w:r w:rsidR="00E964B4" w:rsidRPr="00FA6E69">
        <w:rPr>
          <w:rFonts w:eastAsia="Malgun Gothic" w:cs="Times New Roman"/>
          <w:kern w:val="22"/>
          <w:szCs w:val="22"/>
        </w:rPr>
        <w:t>’</w:t>
      </w:r>
      <w:r w:rsidRPr="00FA6E69">
        <w:rPr>
          <w:rFonts w:eastAsia="Malgun Gothic" w:cs="Times New Roman"/>
          <w:kern w:val="22"/>
          <w:szCs w:val="22"/>
        </w:rPr>
        <w:t>élaboration de plans ou de stratégies visant à traiter l</w:t>
      </w:r>
      <w:r w:rsidR="00E964B4" w:rsidRPr="00FA6E69">
        <w:rPr>
          <w:rFonts w:eastAsia="Malgun Gothic" w:cs="Times New Roman"/>
          <w:kern w:val="22"/>
          <w:szCs w:val="22"/>
        </w:rPr>
        <w:t>’</w:t>
      </w:r>
      <w:r w:rsidRPr="00FA6E69">
        <w:rPr>
          <w:rFonts w:eastAsia="Malgun Gothic" w:cs="Times New Roman"/>
          <w:kern w:val="22"/>
          <w:szCs w:val="22"/>
        </w:rPr>
        <w:t>érosion génétique et à sauvegarder la diversité génétique.</w:t>
      </w:r>
    </w:p>
    <w:p w:rsidR="00AB340A" w:rsidRPr="00FA6E69" w:rsidRDefault="00EC5E1E" w:rsidP="00297BEE">
      <w:pPr>
        <w:suppressLineNumbers/>
        <w:suppressAutoHyphens/>
        <w:spacing w:after="120"/>
        <w:rPr>
          <w:rFonts w:cs="Times New Roman"/>
          <w:i/>
          <w:iCs/>
        </w:rPr>
      </w:pPr>
      <w:r w:rsidRPr="00FA6E69">
        <w:rPr>
          <w:rFonts w:cs="Times New Roman"/>
          <w:i/>
          <w:iCs/>
          <w:szCs w:val="22"/>
        </w:rPr>
        <w:t xml:space="preserve">Objectif 14 </w:t>
      </w:r>
      <w:r w:rsidRPr="00FA6E69">
        <w:rPr>
          <w:rFonts w:cs="Times New Roman"/>
          <w:kern w:val="22"/>
          <w:szCs w:val="22"/>
        </w:rPr>
        <w:t xml:space="preserve">– </w:t>
      </w:r>
      <w:r w:rsidRPr="00FA6E69">
        <w:rPr>
          <w:rFonts w:cs="Times New Roman"/>
          <w:i/>
          <w:iCs/>
          <w:szCs w:val="22"/>
        </w:rPr>
        <w:t>D</w:t>
      </w:r>
      <w:r w:rsidR="00E964B4" w:rsidRPr="00FA6E69">
        <w:rPr>
          <w:rFonts w:cs="Times New Roman"/>
          <w:i/>
          <w:iCs/>
          <w:szCs w:val="22"/>
        </w:rPr>
        <w:t>’</w:t>
      </w:r>
      <w:r w:rsidRPr="00FA6E69">
        <w:rPr>
          <w:rFonts w:cs="Times New Roman"/>
          <w:i/>
          <w:iCs/>
          <w:szCs w:val="22"/>
        </w:rPr>
        <w:t>ici à</w:t>
      </w:r>
      <w:r w:rsidR="00360989" w:rsidRPr="00FA6E69">
        <w:rPr>
          <w:rFonts w:cs="Times New Roman"/>
          <w:i/>
          <w:iCs/>
          <w:szCs w:val="22"/>
        </w:rPr>
        <w:t> 2020</w:t>
      </w:r>
      <w:r w:rsidRPr="00FA6E69">
        <w:rPr>
          <w:rFonts w:cs="Times New Roman"/>
          <w:i/>
          <w:iCs/>
          <w:szCs w:val="22"/>
        </w:rPr>
        <w:t>, les écosystèmes qui fournissent des services essentiels, en particulier l</w:t>
      </w:r>
      <w:r w:rsidR="00E964B4" w:rsidRPr="00FA6E69">
        <w:rPr>
          <w:rFonts w:cs="Times New Roman"/>
          <w:i/>
          <w:iCs/>
          <w:szCs w:val="22"/>
        </w:rPr>
        <w:t>’</w:t>
      </w:r>
      <w:r w:rsidRPr="00FA6E69">
        <w:rPr>
          <w:rFonts w:cs="Times New Roman"/>
          <w:i/>
          <w:iCs/>
          <w:szCs w:val="22"/>
        </w:rPr>
        <w:t>eau, et contribuent à la santé, aux moyens de subsistance et au bien</w:t>
      </w:r>
      <w:r w:rsidR="009F23B8" w:rsidRPr="00FA6E69">
        <w:rPr>
          <w:rFonts w:cs="Times New Roman"/>
          <w:i/>
          <w:iCs/>
          <w:szCs w:val="22"/>
        </w:rPr>
        <w:noBreakHyphen/>
      </w:r>
      <w:r w:rsidRPr="00FA6E69">
        <w:rPr>
          <w:rFonts w:cs="Times New Roman"/>
          <w:i/>
          <w:iCs/>
          <w:szCs w:val="22"/>
        </w:rPr>
        <w:t>être, sont restaurés et sauvegardés, compte tenu des besoins des femmes, des communautés autochtones et locales, et des populations pauvres et vulnérables</w:t>
      </w:r>
    </w:p>
    <w:p w:rsidR="00AB340A" w:rsidRPr="0065439D" w:rsidRDefault="00B049AE" w:rsidP="0065439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Seulement 1</w:t>
      </w:r>
      <w:r w:rsidR="00473164" w:rsidRPr="00FA6E69">
        <w:rPr>
          <w:rFonts w:eastAsia="Malgun Gothic" w:cs="Times New Roman"/>
          <w:kern w:val="22"/>
          <w:szCs w:val="22"/>
        </w:rPr>
        <w:t>5</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SPANB contiennent des objectifs similaires en termes d</w:t>
      </w:r>
      <w:r w:rsidR="00E964B4" w:rsidRPr="00FA6E69">
        <w:rPr>
          <w:rFonts w:eastAsia="Malgun Gothic" w:cs="Times New Roman"/>
          <w:kern w:val="22"/>
          <w:szCs w:val="22"/>
        </w:rPr>
        <w:t>’</w:t>
      </w:r>
      <w:r w:rsidRPr="00FA6E69">
        <w:rPr>
          <w:rFonts w:eastAsia="Malgun Gothic" w:cs="Times New Roman"/>
          <w:kern w:val="22"/>
          <w:szCs w:val="22"/>
        </w:rPr>
        <w:t>étendue et de niveau d</w:t>
      </w:r>
      <w:r w:rsidR="00E964B4" w:rsidRPr="00FA6E69">
        <w:rPr>
          <w:rFonts w:eastAsia="Malgun Gothic" w:cs="Times New Roman"/>
          <w:kern w:val="22"/>
          <w:szCs w:val="22"/>
        </w:rPr>
        <w:t>’</w:t>
      </w:r>
      <w:r w:rsidRPr="00FA6E69">
        <w:rPr>
          <w:rFonts w:eastAsia="Malgun Gothic" w:cs="Times New Roman"/>
          <w:kern w:val="22"/>
          <w:szCs w:val="22"/>
        </w:rPr>
        <w:t>ambition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w:t>
      </w:r>
      <w:r w:rsidRPr="00FA6E69">
        <w:rPr>
          <w:rFonts w:eastAsia="Malgun Gothic" w:cs="Times New Roman"/>
          <w:kern w:val="22"/>
          <w:szCs w:val="22"/>
          <w:vertAlign w:val="superscript"/>
        </w:rPr>
        <w:footnoteReference w:id="29"/>
      </w:r>
      <w:r w:rsidRPr="00FA6E69">
        <w:rPr>
          <w:rFonts w:eastAsia="Malgun Gothic" w:cs="Times New Roman"/>
          <w:kern w:val="22"/>
          <w:szCs w:val="22"/>
        </w:rPr>
        <w:t xml:space="preserve"> </w:t>
      </w:r>
      <w:r w:rsidR="00473164" w:rsidRPr="00FA6E69">
        <w:rPr>
          <w:rFonts w:eastAsia="Malgun Gothic" w:cs="Times New Roman"/>
          <w:kern w:val="22"/>
          <w:szCs w:val="22"/>
        </w:rPr>
        <w:t xml:space="preserve">Plus de la </w:t>
      </w:r>
      <w:r w:rsidR="00CF354A" w:rsidRPr="00FA6E69">
        <w:rPr>
          <w:rFonts w:eastAsia="Malgun Gothic" w:cs="Times New Roman"/>
          <w:kern w:val="22"/>
          <w:szCs w:val="22"/>
        </w:rPr>
        <w:t>moitié (</w:t>
      </w:r>
      <w:r w:rsidR="00473164" w:rsidRPr="00FA6E69">
        <w:rPr>
          <w:rFonts w:eastAsia="Malgun Gothic" w:cs="Times New Roman"/>
          <w:kern w:val="22"/>
          <w:szCs w:val="22"/>
        </w:rPr>
        <w:t>52</w:t>
      </w:r>
      <w:r w:rsidRPr="00FA6E69">
        <w:rPr>
          <w:rFonts w:eastAsia="Malgun Gothic" w:cs="Times New Roman"/>
          <w:kern w:val="22"/>
          <w:szCs w:val="22"/>
        </w:rPr>
        <w:t> </w:t>
      </w:r>
      <w:r w:rsidR="00360989" w:rsidRPr="00FA6E69">
        <w:rPr>
          <w:rFonts w:eastAsia="Malgun Gothic" w:cs="Times New Roman"/>
          <w:kern w:val="22"/>
          <w:szCs w:val="22"/>
        </w:rPr>
        <w:t>pour cent</w:t>
      </w:r>
      <w:r w:rsidR="00473164" w:rsidRPr="00FA6E69">
        <w:rPr>
          <w:rFonts w:eastAsia="Malgun Gothic" w:cs="Times New Roman"/>
          <w:kern w:val="22"/>
          <w:szCs w:val="22"/>
        </w:rPr>
        <w:t>)</w:t>
      </w:r>
      <w:r w:rsidRPr="00FA6E69">
        <w:rPr>
          <w:rFonts w:eastAsia="Malgun Gothic" w:cs="Times New Roman"/>
          <w:kern w:val="22"/>
          <w:szCs w:val="22"/>
        </w:rPr>
        <w:t xml:space="preserve"> des SPANB contiennent des objectifs inférieurs ou qui ne traitent pas tous les éléments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 xml:space="preserve">Aichi. En outre, </w:t>
      </w:r>
      <w:r w:rsidR="00516814" w:rsidRPr="00FA6E69">
        <w:rPr>
          <w:rFonts w:eastAsia="Malgun Gothic" w:cs="Times New Roman"/>
          <w:kern w:val="22"/>
          <w:szCs w:val="22"/>
        </w:rPr>
        <w:t>un tiers (3</w:t>
      </w:r>
      <w:r w:rsidR="00473164"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SPANB évalués ne contiennent pas d</w:t>
      </w:r>
      <w:r w:rsidR="00E964B4" w:rsidRPr="00FA6E69">
        <w:rPr>
          <w:rFonts w:eastAsia="Malgun Gothic" w:cs="Times New Roman"/>
          <w:kern w:val="22"/>
          <w:szCs w:val="22"/>
        </w:rPr>
        <w:t>’</w:t>
      </w:r>
      <w:r w:rsidRPr="00FA6E69">
        <w:rPr>
          <w:rFonts w:eastAsia="Malgun Gothic" w:cs="Times New Roman"/>
          <w:kern w:val="22"/>
          <w:szCs w:val="22"/>
        </w:rPr>
        <w:t>objectifs directement liés à l</w:t>
      </w:r>
      <w:r w:rsidR="00E964B4" w:rsidRPr="00FA6E69">
        <w:rPr>
          <w:rFonts w:eastAsia="Malgun Gothic" w:cs="Times New Roman"/>
          <w:kern w:val="22"/>
          <w:szCs w:val="22"/>
        </w:rPr>
        <w:t>’</w:t>
      </w:r>
      <w:r w:rsidRPr="00FA6E69">
        <w:rPr>
          <w:rFonts w:eastAsia="Malgun Gothic" w:cs="Times New Roman"/>
          <w:kern w:val="22"/>
          <w:szCs w:val="22"/>
        </w:rPr>
        <w:t>Objectif 14 d</w:t>
      </w:r>
      <w:r w:rsidR="00E964B4" w:rsidRPr="00FA6E69">
        <w:rPr>
          <w:rFonts w:eastAsia="Malgun Gothic" w:cs="Times New Roman"/>
          <w:kern w:val="22"/>
          <w:szCs w:val="22"/>
        </w:rPr>
        <w:t>’</w:t>
      </w:r>
      <w:r w:rsidRPr="00FA6E69">
        <w:rPr>
          <w:rFonts w:eastAsia="Malgun Gothic" w:cs="Times New Roman"/>
          <w:kern w:val="22"/>
          <w:szCs w:val="22"/>
        </w:rPr>
        <w:t>Aichi pour la biodiversité. Un nombre relativement faible d</w:t>
      </w:r>
      <w:r w:rsidR="00E964B4" w:rsidRPr="00FA6E69">
        <w:rPr>
          <w:rFonts w:eastAsia="Malgun Gothic" w:cs="Times New Roman"/>
          <w:kern w:val="22"/>
          <w:szCs w:val="22"/>
        </w:rPr>
        <w:t>’</w:t>
      </w:r>
      <w:r w:rsidRPr="00FA6E69">
        <w:rPr>
          <w:rFonts w:eastAsia="Malgun Gothic" w:cs="Times New Roman"/>
          <w:kern w:val="22"/>
          <w:szCs w:val="22"/>
        </w:rPr>
        <w:t xml:space="preserve">objectifs nationaux figurant dans les SPANB concerne explicitement la prise en compte des besoins des femmes, </w:t>
      </w:r>
      <w:r w:rsidR="00473164" w:rsidRPr="00FA6E69">
        <w:rPr>
          <w:rFonts w:eastAsia="Malgun Gothic" w:cs="Times New Roman"/>
          <w:kern w:val="22"/>
          <w:szCs w:val="22"/>
        </w:rPr>
        <w:t xml:space="preserve">des populations autochtones et </w:t>
      </w:r>
      <w:r w:rsidRPr="00FA6E69">
        <w:rPr>
          <w:rFonts w:eastAsia="Malgun Gothic" w:cs="Times New Roman"/>
          <w:kern w:val="22"/>
          <w:szCs w:val="22"/>
        </w:rPr>
        <w:t xml:space="preserve">des communautés </w:t>
      </w:r>
      <w:r w:rsidR="00BD64BA" w:rsidRPr="00FA6E69">
        <w:rPr>
          <w:rFonts w:eastAsia="Malgun Gothic" w:cs="Times New Roman"/>
          <w:kern w:val="22"/>
          <w:szCs w:val="22"/>
        </w:rPr>
        <w:t>l</w:t>
      </w:r>
      <w:r w:rsidRPr="00FA6E69">
        <w:rPr>
          <w:rFonts w:eastAsia="Malgun Gothic" w:cs="Times New Roman"/>
          <w:kern w:val="22"/>
          <w:szCs w:val="22"/>
        </w:rPr>
        <w:t>ocales, et des populations pauvres et vulnérables. L</w:t>
      </w:r>
      <w:r w:rsidR="00E964B4" w:rsidRPr="00FA6E69">
        <w:rPr>
          <w:rFonts w:eastAsia="Malgun Gothic" w:cs="Times New Roman"/>
          <w:kern w:val="22"/>
          <w:szCs w:val="22"/>
        </w:rPr>
        <w:t>’</w:t>
      </w:r>
      <w:r w:rsidRPr="00FA6E69">
        <w:rPr>
          <w:rFonts w:eastAsia="Malgun Gothic" w:cs="Times New Roman"/>
          <w:kern w:val="22"/>
          <w:szCs w:val="22"/>
        </w:rPr>
        <w:t>objectif 14 compte parmi les objectifs ayant le plus faible nombre de SPANB dont les objectifs nationaux sont similaires en termes d</w:t>
      </w:r>
      <w:r w:rsidR="00E964B4" w:rsidRPr="00FA6E69">
        <w:rPr>
          <w:rFonts w:eastAsia="Malgun Gothic" w:cs="Times New Roman"/>
          <w:kern w:val="22"/>
          <w:szCs w:val="22"/>
        </w:rPr>
        <w:t>’</w:t>
      </w:r>
      <w:r w:rsidRPr="00FA6E69">
        <w:rPr>
          <w:rFonts w:eastAsia="Malgun Gothic" w:cs="Times New Roman"/>
          <w:kern w:val="22"/>
          <w:szCs w:val="22"/>
        </w:rPr>
        <w:t>étendue et de niveau d</w:t>
      </w:r>
      <w:r w:rsidR="00E964B4" w:rsidRPr="00FA6E69">
        <w:rPr>
          <w:rFonts w:eastAsia="Malgun Gothic" w:cs="Times New Roman"/>
          <w:kern w:val="22"/>
          <w:szCs w:val="22"/>
        </w:rPr>
        <w:t>’</w:t>
      </w:r>
      <w:r w:rsidRPr="00FA6E69">
        <w:rPr>
          <w:rFonts w:eastAsia="Malgun Gothic" w:cs="Times New Roman"/>
          <w:kern w:val="22"/>
          <w:szCs w:val="22"/>
        </w:rPr>
        <w:t>ambition.</w:t>
      </w:r>
    </w:p>
    <w:p w:rsidR="00AB340A" w:rsidRPr="00FA6E69" w:rsidRDefault="009028A2" w:rsidP="00AC4A0B">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Seulement 3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suggèrent que cet objectif est en voie d</w:t>
      </w:r>
      <w:r w:rsidR="00E964B4" w:rsidRPr="00FA6E69">
        <w:rPr>
          <w:rFonts w:eastAsia="Malgun Gothic" w:cs="Times New Roman"/>
          <w:kern w:val="22"/>
          <w:szCs w:val="22"/>
        </w:rPr>
        <w:t>’</w:t>
      </w:r>
      <w:r w:rsidRPr="00FA6E69">
        <w:rPr>
          <w:rFonts w:eastAsia="Malgun Gothic" w:cs="Times New Roman"/>
          <w:kern w:val="22"/>
          <w:szCs w:val="22"/>
        </w:rPr>
        <w:t>être atteint d</w:t>
      </w:r>
      <w:r w:rsidR="00E964B4" w:rsidRPr="00FA6E69">
        <w:rPr>
          <w:rFonts w:eastAsia="Malgun Gothic" w:cs="Times New Roman"/>
          <w:kern w:val="22"/>
          <w:szCs w:val="22"/>
        </w:rPr>
        <w:t>’</w:t>
      </w:r>
      <w:r w:rsidRPr="00FA6E69">
        <w:rPr>
          <w:rFonts w:eastAsia="Malgun Gothic" w:cs="Times New Roman"/>
          <w:kern w:val="22"/>
          <w:szCs w:val="22"/>
        </w:rPr>
        <w:t>ici à</w:t>
      </w:r>
      <w:r w:rsidR="00360989" w:rsidRPr="00FA6E69">
        <w:rPr>
          <w:rFonts w:eastAsia="Malgun Gothic" w:cs="Times New Roman"/>
          <w:kern w:val="22"/>
          <w:szCs w:val="22"/>
        </w:rPr>
        <w:t> 2020</w:t>
      </w:r>
      <w:r w:rsidRPr="00FA6E69">
        <w:rPr>
          <w:rFonts w:eastAsia="Malgun Gothic" w:cs="Times New Roman"/>
          <w:kern w:val="22"/>
          <w:szCs w:val="22"/>
        </w:rPr>
        <w:t xml:space="preserve">, tandis que </w:t>
      </w:r>
      <w:r w:rsidR="00473164" w:rsidRPr="00FA6E69">
        <w:rPr>
          <w:rFonts w:eastAsia="Malgun Gothic" w:cs="Times New Roman"/>
          <w:kern w:val="22"/>
          <w:szCs w:val="22"/>
        </w:rPr>
        <w:t>plus de la moitié (</w:t>
      </w:r>
      <w:r w:rsidRPr="00FA6E69">
        <w:rPr>
          <w:rFonts w:eastAsia="Malgun Gothic" w:cs="Times New Roman"/>
          <w:kern w:val="22"/>
          <w:szCs w:val="22"/>
        </w:rPr>
        <w:t>5</w:t>
      </w:r>
      <w:r w:rsidR="00473164" w:rsidRPr="00FA6E69">
        <w:rPr>
          <w:rFonts w:eastAsia="Malgun Gothic" w:cs="Times New Roman"/>
          <w:kern w:val="22"/>
          <w:szCs w:val="22"/>
        </w:rPr>
        <w:t>1</w:t>
      </w:r>
      <w:r w:rsidRPr="00FA6E69">
        <w:rPr>
          <w:rFonts w:eastAsia="Malgun Gothic" w:cs="Times New Roman"/>
          <w:kern w:val="22"/>
          <w:szCs w:val="22"/>
        </w:rPr>
        <w:t> </w:t>
      </w:r>
      <w:r w:rsidR="00360989" w:rsidRPr="00FA6E69">
        <w:rPr>
          <w:rFonts w:eastAsia="Malgun Gothic" w:cs="Times New Roman"/>
          <w:kern w:val="22"/>
          <w:szCs w:val="22"/>
        </w:rPr>
        <w:t>pour cent</w:t>
      </w:r>
      <w:r w:rsidR="00473164" w:rsidRPr="00FA6E69">
        <w:rPr>
          <w:rFonts w:eastAsia="Malgun Gothic" w:cs="Times New Roman"/>
          <w:kern w:val="22"/>
          <w:szCs w:val="22"/>
        </w:rPr>
        <w:t>)</w:t>
      </w:r>
      <w:r w:rsidRPr="00FA6E69">
        <w:rPr>
          <w:rFonts w:eastAsia="Malgun Gothic" w:cs="Times New Roman"/>
          <w:kern w:val="22"/>
          <w:szCs w:val="22"/>
        </w:rPr>
        <w:t xml:space="preserve"> des rapports nationaux évalués indiquent que, malgré les progrès accomplis dans la réalisation de cet objectif, le rythme de progression ne permettra pas d</w:t>
      </w:r>
      <w:r w:rsidR="00E964B4" w:rsidRPr="00FA6E69">
        <w:rPr>
          <w:rFonts w:eastAsia="Malgun Gothic" w:cs="Times New Roman"/>
          <w:kern w:val="22"/>
          <w:szCs w:val="22"/>
        </w:rPr>
        <w:t>’</w:t>
      </w:r>
      <w:r w:rsidRPr="00FA6E69">
        <w:rPr>
          <w:rFonts w:eastAsia="Malgun Gothic" w:cs="Times New Roman"/>
          <w:kern w:val="22"/>
          <w:szCs w:val="22"/>
        </w:rPr>
        <w:t>atteindre l</w:t>
      </w:r>
      <w:r w:rsidR="00E964B4" w:rsidRPr="00FA6E69">
        <w:rPr>
          <w:rFonts w:eastAsia="Malgun Gothic" w:cs="Times New Roman"/>
          <w:kern w:val="22"/>
          <w:szCs w:val="22"/>
        </w:rPr>
        <w:t>’</w:t>
      </w:r>
      <w:r w:rsidRPr="00FA6E69">
        <w:rPr>
          <w:rFonts w:eastAsia="Malgun Gothic" w:cs="Times New Roman"/>
          <w:kern w:val="22"/>
          <w:szCs w:val="22"/>
        </w:rPr>
        <w:t>objectif à l</w:t>
      </w:r>
      <w:r w:rsidR="00E964B4" w:rsidRPr="00FA6E69">
        <w:rPr>
          <w:rFonts w:eastAsia="Malgun Gothic" w:cs="Times New Roman"/>
          <w:kern w:val="22"/>
          <w:szCs w:val="22"/>
        </w:rPr>
        <w:t>’</w:t>
      </w:r>
      <w:r w:rsidRPr="00FA6E69">
        <w:rPr>
          <w:rFonts w:eastAsia="Malgun Gothic" w:cs="Times New Roman"/>
          <w:kern w:val="22"/>
          <w:szCs w:val="22"/>
        </w:rPr>
        <w:t xml:space="preserve">échéance. </w:t>
      </w:r>
      <w:r w:rsidR="00826316" w:rsidRPr="00FA6E69">
        <w:rPr>
          <w:rFonts w:eastAsia="Malgun Gothic" w:cs="Times New Roman"/>
          <w:kern w:val="22"/>
          <w:szCs w:val="22"/>
        </w:rPr>
        <w:t>Plus du</w:t>
      </w:r>
      <w:r w:rsidRPr="00FA6E69">
        <w:rPr>
          <w:rFonts w:eastAsia="Malgun Gothic" w:cs="Times New Roman"/>
          <w:kern w:val="22"/>
          <w:szCs w:val="22"/>
        </w:rPr>
        <w:t xml:space="preserve"> quart des rapports nationaux ne témoignent d</w:t>
      </w:r>
      <w:r w:rsidR="00E964B4" w:rsidRPr="00FA6E69">
        <w:rPr>
          <w:rFonts w:eastAsia="Malgun Gothic" w:cs="Times New Roman"/>
          <w:kern w:val="22"/>
          <w:szCs w:val="22"/>
        </w:rPr>
        <w:t>’</w:t>
      </w:r>
      <w:r w:rsidRPr="00FA6E69">
        <w:rPr>
          <w:rFonts w:eastAsia="Malgun Gothic" w:cs="Times New Roman"/>
          <w:kern w:val="22"/>
          <w:szCs w:val="22"/>
        </w:rPr>
        <w:t>aucun changement marquant</w:t>
      </w:r>
      <w:r w:rsidR="00826316" w:rsidRPr="00FA6E69">
        <w:rPr>
          <w:rFonts w:eastAsia="Malgun Gothic" w:cs="Times New Roman"/>
          <w:kern w:val="22"/>
          <w:szCs w:val="22"/>
        </w:rPr>
        <w:t xml:space="preserve"> (23 pour cent)</w:t>
      </w:r>
      <w:r w:rsidRPr="00FA6E69">
        <w:rPr>
          <w:rFonts w:eastAsia="Malgun Gothic" w:cs="Times New Roman"/>
          <w:kern w:val="22"/>
          <w:szCs w:val="22"/>
        </w:rPr>
        <w:t xml:space="preserve"> ni d</w:t>
      </w:r>
      <w:r w:rsidR="00E964B4" w:rsidRPr="00FA6E69">
        <w:rPr>
          <w:rFonts w:eastAsia="Malgun Gothic" w:cs="Times New Roman"/>
          <w:kern w:val="22"/>
          <w:szCs w:val="22"/>
        </w:rPr>
        <w:t>’</w:t>
      </w:r>
      <w:r w:rsidRPr="00FA6E69">
        <w:rPr>
          <w:rFonts w:eastAsia="Malgun Gothic" w:cs="Times New Roman"/>
          <w:kern w:val="22"/>
          <w:szCs w:val="22"/>
        </w:rPr>
        <w:t>éloignement par rapport à cet objectif</w:t>
      </w:r>
      <w:r w:rsidR="00826316" w:rsidRPr="00FA6E69">
        <w:rPr>
          <w:rFonts w:eastAsia="Malgun Gothic" w:cs="Times New Roman"/>
          <w:kern w:val="22"/>
          <w:szCs w:val="22"/>
        </w:rPr>
        <w:t xml:space="preserve"> (3 pour cent)</w:t>
      </w:r>
      <w:r w:rsidRPr="00FA6E69">
        <w:rPr>
          <w:rFonts w:eastAsia="Malgun Gothic" w:cs="Times New Roman"/>
          <w:kern w:val="22"/>
          <w:szCs w:val="22"/>
        </w:rPr>
        <w:t xml:space="preserve">. </w:t>
      </w:r>
      <w:r w:rsidR="00AC4A0B" w:rsidRPr="00FA6E69">
        <w:rPr>
          <w:rFonts w:eastAsia="Malgun Gothic" w:cs="Times New Roman"/>
          <w:kern w:val="22"/>
          <w:szCs w:val="22"/>
        </w:rPr>
        <w:t>Près de 6</w:t>
      </w:r>
      <w:r w:rsidRPr="00FA6E69">
        <w:rPr>
          <w:rFonts w:eastAsia="Malgun Gothic" w:cs="Times New Roman"/>
          <w:kern w:val="22"/>
          <w:szCs w:val="22"/>
        </w:rPr>
        <w:t>0 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ne contiennent pas d</w:t>
      </w:r>
      <w:r w:rsidR="00E964B4" w:rsidRPr="00FA6E69">
        <w:rPr>
          <w:rFonts w:eastAsia="Malgun Gothic" w:cs="Times New Roman"/>
          <w:kern w:val="22"/>
          <w:szCs w:val="22"/>
        </w:rPr>
        <w:t>’</w:t>
      </w:r>
      <w:r w:rsidRPr="00FA6E69">
        <w:rPr>
          <w:rFonts w:eastAsia="Malgun Gothic" w:cs="Times New Roman"/>
          <w:kern w:val="22"/>
          <w:szCs w:val="22"/>
        </w:rPr>
        <w:t>informations sur le mode de prise en compte des besoins des femmes, des communautés autochtones et locales, et des populations pauvres et vulnérables, dans le cadre des mesures prises pour atteindre cet objectif.</w:t>
      </w:r>
    </w:p>
    <w:p w:rsidR="00AB340A" w:rsidRPr="00FA6E69" w:rsidRDefault="00212D69" w:rsidP="00297BEE">
      <w:pPr>
        <w:suppressLineNumbers/>
        <w:suppressAutoHyphens/>
        <w:spacing w:after="120"/>
        <w:rPr>
          <w:rFonts w:cs="Times New Roman"/>
          <w:i/>
          <w:iCs/>
        </w:rPr>
      </w:pPr>
      <w:r w:rsidRPr="00FA6E69">
        <w:rPr>
          <w:rFonts w:cs="Times New Roman"/>
          <w:i/>
          <w:iCs/>
          <w:szCs w:val="22"/>
        </w:rPr>
        <w:t xml:space="preserve">Objectif 15 </w:t>
      </w:r>
      <w:r w:rsidRPr="00FA6E69">
        <w:rPr>
          <w:rFonts w:cs="Times New Roman"/>
          <w:color w:val="333333"/>
          <w:kern w:val="22"/>
          <w:szCs w:val="22"/>
          <w:shd w:val="clear" w:color="auto" w:fill="FFFFFF"/>
        </w:rPr>
        <w:t>–</w:t>
      </w:r>
      <w:r w:rsidRPr="00FA6E69">
        <w:rPr>
          <w:rFonts w:cs="Times New Roman"/>
          <w:i/>
          <w:iCs/>
          <w:szCs w:val="22"/>
        </w:rPr>
        <w:t xml:space="preserve"> D</w:t>
      </w:r>
      <w:r w:rsidR="00E964B4" w:rsidRPr="00FA6E69">
        <w:rPr>
          <w:rFonts w:cs="Times New Roman"/>
          <w:i/>
          <w:iCs/>
          <w:szCs w:val="22"/>
        </w:rPr>
        <w:t>’</w:t>
      </w:r>
      <w:r w:rsidRPr="00FA6E69">
        <w:rPr>
          <w:rFonts w:cs="Times New Roman"/>
          <w:i/>
          <w:iCs/>
          <w:szCs w:val="22"/>
        </w:rPr>
        <w:t>ici à</w:t>
      </w:r>
      <w:r w:rsidR="00360989" w:rsidRPr="00FA6E69">
        <w:rPr>
          <w:rFonts w:cs="Times New Roman"/>
          <w:i/>
          <w:iCs/>
          <w:szCs w:val="22"/>
        </w:rPr>
        <w:t> 2020</w:t>
      </w:r>
      <w:r w:rsidRPr="00FA6E69">
        <w:rPr>
          <w:rFonts w:cs="Times New Roman"/>
          <w:i/>
          <w:iCs/>
          <w:szCs w:val="22"/>
        </w:rPr>
        <w:t>, la résilience des écosystèmes et la contribution de la diversité biologique aux stocks de carbone sont améliorées, grâce aux mesures de conservation et restauration, y compris la restauration d</w:t>
      </w:r>
      <w:r w:rsidR="00E964B4" w:rsidRPr="00FA6E69">
        <w:rPr>
          <w:rFonts w:cs="Times New Roman"/>
          <w:i/>
          <w:iCs/>
          <w:szCs w:val="22"/>
        </w:rPr>
        <w:t>’</w:t>
      </w:r>
      <w:r w:rsidRPr="00FA6E69">
        <w:rPr>
          <w:rFonts w:cs="Times New Roman"/>
          <w:i/>
          <w:iCs/>
          <w:szCs w:val="22"/>
        </w:rPr>
        <w:t>au moins 15 % des écosystèmes dégradés, contribuant ainsi à l</w:t>
      </w:r>
      <w:r w:rsidR="00E964B4" w:rsidRPr="00FA6E69">
        <w:rPr>
          <w:rFonts w:cs="Times New Roman"/>
          <w:i/>
          <w:iCs/>
          <w:szCs w:val="22"/>
        </w:rPr>
        <w:t>’</w:t>
      </w:r>
      <w:r w:rsidRPr="00FA6E69">
        <w:rPr>
          <w:rFonts w:cs="Times New Roman"/>
          <w:i/>
          <w:iCs/>
          <w:szCs w:val="22"/>
        </w:rPr>
        <w:t>atténuation des changements climatiques et l</w:t>
      </w:r>
      <w:r w:rsidR="00E964B4" w:rsidRPr="00FA6E69">
        <w:rPr>
          <w:rFonts w:cs="Times New Roman"/>
          <w:i/>
          <w:iCs/>
          <w:szCs w:val="22"/>
        </w:rPr>
        <w:t>’</w:t>
      </w:r>
      <w:r w:rsidRPr="00FA6E69">
        <w:rPr>
          <w:rFonts w:cs="Times New Roman"/>
          <w:i/>
          <w:iCs/>
          <w:szCs w:val="22"/>
        </w:rPr>
        <w:t>adaptation à ceux</w:t>
      </w:r>
      <w:r w:rsidR="009F23B8" w:rsidRPr="00FA6E69">
        <w:rPr>
          <w:rFonts w:cs="Times New Roman"/>
          <w:i/>
          <w:iCs/>
          <w:szCs w:val="22"/>
        </w:rPr>
        <w:noBreakHyphen/>
      </w:r>
      <w:r w:rsidRPr="00FA6E69">
        <w:rPr>
          <w:rFonts w:cs="Times New Roman"/>
          <w:i/>
          <w:iCs/>
          <w:szCs w:val="22"/>
        </w:rPr>
        <w:t>ci, ainsi qu</w:t>
      </w:r>
      <w:r w:rsidR="00E964B4" w:rsidRPr="00FA6E69">
        <w:rPr>
          <w:rFonts w:cs="Times New Roman"/>
          <w:i/>
          <w:iCs/>
          <w:szCs w:val="22"/>
        </w:rPr>
        <w:t>’</w:t>
      </w:r>
      <w:r w:rsidRPr="00FA6E69">
        <w:rPr>
          <w:rFonts w:cs="Times New Roman"/>
          <w:i/>
          <w:iCs/>
          <w:szCs w:val="22"/>
        </w:rPr>
        <w:t>à la lutte contre la désertification</w:t>
      </w:r>
    </w:p>
    <w:p w:rsidR="00AB340A" w:rsidRPr="006D563D" w:rsidRDefault="00473164"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Trois</w:t>
      </w:r>
      <w:r w:rsidR="004A3F2C" w:rsidRPr="00FA6E69">
        <w:rPr>
          <w:rFonts w:eastAsia="Malgun Gothic" w:cs="Times New Roman"/>
          <w:kern w:val="22"/>
          <w:szCs w:val="22"/>
        </w:rPr>
        <w:t> </w:t>
      </w:r>
      <w:r w:rsidR="00360989" w:rsidRPr="00FA6E69">
        <w:rPr>
          <w:rFonts w:eastAsia="Malgun Gothic" w:cs="Times New Roman"/>
          <w:kern w:val="22"/>
          <w:szCs w:val="22"/>
        </w:rPr>
        <w:t>pour cent</w:t>
      </w:r>
      <w:r w:rsidR="004A3F2C" w:rsidRPr="00FA6E69">
        <w:rPr>
          <w:rFonts w:eastAsia="Malgun Gothic" w:cs="Times New Roman"/>
          <w:kern w:val="22"/>
          <w:szCs w:val="22"/>
        </w:rPr>
        <w:t xml:space="preserve"> des SPANB évalués contiennent des objectifs nationaux qui dépassent l</w:t>
      </w:r>
      <w:r w:rsidR="00E964B4" w:rsidRPr="00FA6E69">
        <w:rPr>
          <w:rFonts w:eastAsia="Malgun Gothic" w:cs="Times New Roman"/>
          <w:kern w:val="22"/>
          <w:szCs w:val="22"/>
        </w:rPr>
        <w:t>’</w:t>
      </w:r>
      <w:r w:rsidR="004A3F2C" w:rsidRPr="00FA6E69">
        <w:rPr>
          <w:rFonts w:eastAsia="Malgun Gothic" w:cs="Times New Roman"/>
          <w:kern w:val="22"/>
          <w:szCs w:val="22"/>
        </w:rPr>
        <w:t>étendue et/ou les seuils définis dans l</w:t>
      </w:r>
      <w:r w:rsidR="00E964B4" w:rsidRPr="00FA6E69">
        <w:rPr>
          <w:rFonts w:eastAsia="Malgun Gothic" w:cs="Times New Roman"/>
          <w:kern w:val="22"/>
          <w:szCs w:val="22"/>
        </w:rPr>
        <w:t>’</w:t>
      </w:r>
      <w:r w:rsidR="004A3F2C" w:rsidRPr="00FA6E69">
        <w:rPr>
          <w:rFonts w:eastAsia="Malgun Gothic" w:cs="Times New Roman"/>
          <w:kern w:val="22"/>
          <w:szCs w:val="22"/>
        </w:rPr>
        <w:t>Objectif 15 d</w:t>
      </w:r>
      <w:r w:rsidR="00E964B4" w:rsidRPr="00FA6E69">
        <w:rPr>
          <w:rFonts w:eastAsia="Malgun Gothic" w:cs="Times New Roman"/>
          <w:kern w:val="22"/>
          <w:szCs w:val="22"/>
        </w:rPr>
        <w:t>’</w:t>
      </w:r>
      <w:r w:rsidR="004A3F2C" w:rsidRPr="00FA6E69">
        <w:rPr>
          <w:rFonts w:eastAsia="Malgun Gothic" w:cs="Times New Roman"/>
          <w:kern w:val="22"/>
          <w:szCs w:val="22"/>
        </w:rPr>
        <w:t>Aichi,</w:t>
      </w:r>
      <w:r w:rsidR="004A3F2C" w:rsidRPr="00FA6E69">
        <w:rPr>
          <w:rFonts w:eastAsia="Malgun Gothic" w:cs="Times New Roman"/>
          <w:kern w:val="22"/>
          <w:szCs w:val="22"/>
          <w:vertAlign w:val="superscript"/>
        </w:rPr>
        <w:footnoteReference w:id="30"/>
      </w:r>
      <w:r w:rsidR="004A3F2C" w:rsidRPr="00FA6E69">
        <w:rPr>
          <w:rFonts w:eastAsia="Malgun Gothic" w:cs="Times New Roman"/>
          <w:kern w:val="22"/>
          <w:szCs w:val="22"/>
        </w:rPr>
        <w:t xml:space="preserve"> e</w:t>
      </w:r>
      <w:r w:rsidR="00EC4DB4" w:rsidRPr="00FA6E69">
        <w:rPr>
          <w:rFonts w:eastAsia="Malgun Gothic" w:cs="Times New Roman"/>
          <w:kern w:val="22"/>
          <w:szCs w:val="22"/>
        </w:rPr>
        <w:t>t 1</w:t>
      </w:r>
      <w:r w:rsidR="007F5EF3" w:rsidRPr="00FA6E69">
        <w:rPr>
          <w:rFonts w:eastAsia="Malgun Gothic" w:cs="Times New Roman"/>
          <w:kern w:val="22"/>
          <w:szCs w:val="22"/>
        </w:rPr>
        <w:t>1</w:t>
      </w:r>
      <w:r w:rsidR="004A3F2C" w:rsidRPr="00FA6E69">
        <w:rPr>
          <w:rFonts w:eastAsia="Malgun Gothic" w:cs="Times New Roman"/>
          <w:kern w:val="22"/>
          <w:szCs w:val="22"/>
        </w:rPr>
        <w:t> </w:t>
      </w:r>
      <w:r w:rsidR="00360989" w:rsidRPr="00FA6E69">
        <w:rPr>
          <w:rFonts w:eastAsia="Malgun Gothic" w:cs="Times New Roman"/>
          <w:kern w:val="22"/>
          <w:szCs w:val="22"/>
        </w:rPr>
        <w:t>pour cent</w:t>
      </w:r>
      <w:r w:rsidR="004A3F2C" w:rsidRPr="00FA6E69">
        <w:rPr>
          <w:rFonts w:eastAsia="Malgun Gothic" w:cs="Times New Roman"/>
          <w:kern w:val="22"/>
          <w:szCs w:val="22"/>
        </w:rPr>
        <w:t xml:space="preserve"> des SPANB contiennent des objectifs similaires en termes d</w:t>
      </w:r>
      <w:r w:rsidR="00E964B4" w:rsidRPr="00FA6E69">
        <w:rPr>
          <w:rFonts w:eastAsia="Malgun Gothic" w:cs="Times New Roman"/>
          <w:kern w:val="22"/>
          <w:szCs w:val="22"/>
        </w:rPr>
        <w:t>’</w:t>
      </w:r>
      <w:r w:rsidR="004A3F2C" w:rsidRPr="00FA6E69">
        <w:rPr>
          <w:rFonts w:eastAsia="Malgun Gothic" w:cs="Times New Roman"/>
          <w:kern w:val="22"/>
          <w:szCs w:val="22"/>
        </w:rPr>
        <w:t>étendue et de niveau d</w:t>
      </w:r>
      <w:r w:rsidR="00E964B4" w:rsidRPr="00FA6E69">
        <w:rPr>
          <w:rFonts w:eastAsia="Malgun Gothic" w:cs="Times New Roman"/>
          <w:kern w:val="22"/>
          <w:szCs w:val="22"/>
        </w:rPr>
        <w:t>’</w:t>
      </w:r>
      <w:r w:rsidR="004A3F2C" w:rsidRPr="00FA6E69">
        <w:rPr>
          <w:rFonts w:eastAsia="Malgun Gothic" w:cs="Times New Roman"/>
          <w:kern w:val="22"/>
          <w:szCs w:val="22"/>
        </w:rPr>
        <w:t>ambition de l</w:t>
      </w:r>
      <w:r w:rsidR="00E964B4" w:rsidRPr="00FA6E69">
        <w:rPr>
          <w:rFonts w:eastAsia="Malgun Gothic" w:cs="Times New Roman"/>
          <w:kern w:val="22"/>
          <w:szCs w:val="22"/>
        </w:rPr>
        <w:t>’</w:t>
      </w:r>
      <w:r w:rsidR="004A3F2C" w:rsidRPr="00FA6E69">
        <w:rPr>
          <w:rFonts w:eastAsia="Malgun Gothic" w:cs="Times New Roman"/>
          <w:kern w:val="22"/>
          <w:szCs w:val="22"/>
        </w:rPr>
        <w:t>Objectif d</w:t>
      </w:r>
      <w:r w:rsidR="00E964B4" w:rsidRPr="00FA6E69">
        <w:rPr>
          <w:rFonts w:eastAsia="Malgun Gothic" w:cs="Times New Roman"/>
          <w:kern w:val="22"/>
          <w:szCs w:val="22"/>
        </w:rPr>
        <w:t>’</w:t>
      </w:r>
      <w:r w:rsidR="004A3F2C" w:rsidRPr="00FA6E69">
        <w:rPr>
          <w:rFonts w:eastAsia="Malgun Gothic" w:cs="Times New Roman"/>
          <w:kern w:val="22"/>
          <w:szCs w:val="22"/>
        </w:rPr>
        <w:t>Aichi.</w:t>
      </w:r>
      <w:r w:rsidR="004A3F2C" w:rsidRPr="00FA6E69">
        <w:rPr>
          <w:rFonts w:eastAsia="Malgun Gothic" w:cs="Times New Roman"/>
          <w:kern w:val="22"/>
          <w:szCs w:val="22"/>
          <w:vertAlign w:val="superscript"/>
        </w:rPr>
        <w:footnoteReference w:id="31"/>
      </w:r>
      <w:r w:rsidR="004A3F2C" w:rsidRPr="00FA6E69">
        <w:rPr>
          <w:rFonts w:eastAsia="Malgun Gothic" w:cs="Times New Roman"/>
          <w:kern w:val="22"/>
          <w:szCs w:val="22"/>
        </w:rPr>
        <w:t xml:space="preserve"> </w:t>
      </w:r>
      <w:r w:rsidR="00EC4DB4" w:rsidRPr="00FA6E69">
        <w:rPr>
          <w:rFonts w:eastAsia="Malgun Gothic" w:cs="Times New Roman"/>
          <w:kern w:val="22"/>
          <w:szCs w:val="22"/>
        </w:rPr>
        <w:t>Plus de la moitié (5</w:t>
      </w:r>
      <w:r w:rsidR="007F5EF3" w:rsidRPr="00FA6E69">
        <w:rPr>
          <w:rFonts w:eastAsia="Malgun Gothic" w:cs="Times New Roman"/>
          <w:kern w:val="22"/>
          <w:szCs w:val="22"/>
        </w:rPr>
        <w:t>8</w:t>
      </w:r>
      <w:r w:rsidR="004A3F2C" w:rsidRPr="00FA6E69">
        <w:rPr>
          <w:rFonts w:eastAsia="Malgun Gothic" w:cs="Times New Roman"/>
          <w:kern w:val="22"/>
          <w:szCs w:val="22"/>
        </w:rPr>
        <w:t> </w:t>
      </w:r>
      <w:r w:rsidR="00360989" w:rsidRPr="00FA6E69">
        <w:rPr>
          <w:rFonts w:eastAsia="Malgun Gothic" w:cs="Times New Roman"/>
          <w:kern w:val="22"/>
          <w:szCs w:val="22"/>
        </w:rPr>
        <w:t>pour cent</w:t>
      </w:r>
      <w:r w:rsidR="004A3F2C" w:rsidRPr="00FA6E69">
        <w:rPr>
          <w:rFonts w:eastAsia="Malgun Gothic" w:cs="Times New Roman"/>
          <w:kern w:val="22"/>
          <w:szCs w:val="22"/>
        </w:rPr>
        <w:t>) des SPANB contiennent des objectifs inférieurs ou qui ne traitent pas tous les éléments de l</w:t>
      </w:r>
      <w:r w:rsidR="00E964B4" w:rsidRPr="00FA6E69">
        <w:rPr>
          <w:rFonts w:eastAsia="Malgun Gothic" w:cs="Times New Roman"/>
          <w:kern w:val="22"/>
          <w:szCs w:val="22"/>
        </w:rPr>
        <w:t>’</w:t>
      </w:r>
      <w:r w:rsidR="004A3F2C" w:rsidRPr="00FA6E69">
        <w:rPr>
          <w:rFonts w:eastAsia="Malgun Gothic" w:cs="Times New Roman"/>
          <w:kern w:val="22"/>
          <w:szCs w:val="22"/>
        </w:rPr>
        <w:t>Objectif d</w:t>
      </w:r>
      <w:r w:rsidR="00E964B4" w:rsidRPr="00FA6E69">
        <w:rPr>
          <w:rFonts w:eastAsia="Malgun Gothic" w:cs="Times New Roman"/>
          <w:kern w:val="22"/>
          <w:szCs w:val="22"/>
        </w:rPr>
        <w:t>’</w:t>
      </w:r>
      <w:r w:rsidR="004A3F2C" w:rsidRPr="00FA6E69">
        <w:rPr>
          <w:rFonts w:eastAsia="Malgun Gothic" w:cs="Times New Roman"/>
          <w:kern w:val="22"/>
          <w:szCs w:val="22"/>
        </w:rPr>
        <w:t xml:space="preserve">Aichi. </w:t>
      </w:r>
      <w:r w:rsidR="00EC4DB4" w:rsidRPr="00FA6E69">
        <w:rPr>
          <w:rFonts w:eastAsia="Malgun Gothic" w:cs="Times New Roman"/>
          <w:kern w:val="22"/>
          <w:szCs w:val="22"/>
        </w:rPr>
        <w:t>Plus du quart (2</w:t>
      </w:r>
      <w:r w:rsidR="007F5EF3" w:rsidRPr="00FA6E69">
        <w:rPr>
          <w:rFonts w:eastAsia="Malgun Gothic" w:cs="Times New Roman"/>
          <w:kern w:val="22"/>
          <w:szCs w:val="22"/>
        </w:rPr>
        <w:t>8</w:t>
      </w:r>
      <w:r w:rsidR="004A3F2C" w:rsidRPr="00FA6E69">
        <w:rPr>
          <w:rFonts w:eastAsia="Malgun Gothic" w:cs="Times New Roman"/>
          <w:kern w:val="22"/>
          <w:szCs w:val="22"/>
        </w:rPr>
        <w:t> </w:t>
      </w:r>
      <w:r w:rsidR="00360989" w:rsidRPr="00FA6E69">
        <w:rPr>
          <w:rFonts w:eastAsia="Malgun Gothic" w:cs="Times New Roman"/>
          <w:kern w:val="22"/>
          <w:szCs w:val="22"/>
        </w:rPr>
        <w:t>pour cent</w:t>
      </w:r>
      <w:r w:rsidR="004A3F2C" w:rsidRPr="00FA6E69">
        <w:rPr>
          <w:rFonts w:eastAsia="Malgun Gothic" w:cs="Times New Roman"/>
          <w:kern w:val="22"/>
          <w:szCs w:val="22"/>
        </w:rPr>
        <w:t>) des SPANB évalués ne contiennent aucun objectif national ou engagement similaire relatif à l</w:t>
      </w:r>
      <w:r w:rsidR="00E964B4" w:rsidRPr="00FA6E69">
        <w:rPr>
          <w:rFonts w:eastAsia="Malgun Gothic" w:cs="Times New Roman"/>
          <w:kern w:val="22"/>
          <w:szCs w:val="22"/>
        </w:rPr>
        <w:t>’</w:t>
      </w:r>
      <w:r w:rsidR="004A3F2C" w:rsidRPr="00FA6E69">
        <w:rPr>
          <w:rFonts w:eastAsia="Malgun Gothic" w:cs="Times New Roman"/>
          <w:kern w:val="22"/>
          <w:szCs w:val="22"/>
        </w:rPr>
        <w:t>Objectif d</w:t>
      </w:r>
      <w:r w:rsidR="00E964B4" w:rsidRPr="00FA6E69">
        <w:rPr>
          <w:rFonts w:eastAsia="Malgun Gothic" w:cs="Times New Roman"/>
          <w:kern w:val="22"/>
          <w:szCs w:val="22"/>
        </w:rPr>
        <w:t>’</w:t>
      </w:r>
      <w:r w:rsidR="004A3F2C" w:rsidRPr="00FA6E69">
        <w:rPr>
          <w:rFonts w:eastAsia="Malgun Gothic" w:cs="Times New Roman"/>
          <w:kern w:val="22"/>
          <w:szCs w:val="22"/>
        </w:rPr>
        <w:t>Aichi. Les objectifs nationaux définis semblent se concentrer davantage sur l</w:t>
      </w:r>
      <w:r w:rsidR="00E964B4" w:rsidRPr="00FA6E69">
        <w:rPr>
          <w:rFonts w:eastAsia="Malgun Gothic" w:cs="Times New Roman"/>
          <w:kern w:val="22"/>
          <w:szCs w:val="22"/>
        </w:rPr>
        <w:t>’</w:t>
      </w:r>
      <w:r w:rsidR="004A3F2C" w:rsidRPr="00FA6E69">
        <w:rPr>
          <w:rFonts w:eastAsia="Malgun Gothic" w:cs="Times New Roman"/>
          <w:kern w:val="22"/>
          <w:szCs w:val="22"/>
        </w:rPr>
        <w:t>élément de restauration contenu dans l</w:t>
      </w:r>
      <w:r w:rsidR="00E964B4" w:rsidRPr="00FA6E69">
        <w:rPr>
          <w:rFonts w:eastAsia="Malgun Gothic" w:cs="Times New Roman"/>
          <w:kern w:val="22"/>
          <w:szCs w:val="22"/>
        </w:rPr>
        <w:t>’</w:t>
      </w:r>
      <w:r w:rsidR="004A3F2C" w:rsidRPr="00FA6E69">
        <w:rPr>
          <w:rFonts w:eastAsia="Malgun Gothic" w:cs="Times New Roman"/>
          <w:kern w:val="22"/>
          <w:szCs w:val="22"/>
        </w:rPr>
        <w:t>objectif que sur les éléments de résilience des écosystèmes et de stocks de carbone.</w:t>
      </w:r>
    </w:p>
    <w:p w:rsidR="00AB340A" w:rsidRPr="00FA6E69" w:rsidRDefault="007F5EF3" w:rsidP="0097608E">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Seuls 4</w:t>
      </w:r>
      <w:r w:rsidR="0097608E" w:rsidRPr="00FA6E69">
        <w:rPr>
          <w:rFonts w:eastAsia="Malgun Gothic" w:cs="Times New Roman"/>
          <w:kern w:val="22"/>
          <w:szCs w:val="22"/>
        </w:rPr>
        <w:t> </w:t>
      </w:r>
      <w:r w:rsidR="00360989" w:rsidRPr="00FA6E69">
        <w:rPr>
          <w:rFonts w:eastAsia="Malgun Gothic" w:cs="Times New Roman"/>
          <w:kern w:val="22"/>
          <w:szCs w:val="22"/>
        </w:rPr>
        <w:t>pour cent</w:t>
      </w:r>
      <w:r w:rsidR="0097608E" w:rsidRPr="00FA6E69">
        <w:rPr>
          <w:rFonts w:eastAsia="Malgun Gothic" w:cs="Times New Roman"/>
          <w:kern w:val="22"/>
          <w:szCs w:val="22"/>
        </w:rPr>
        <w:t xml:space="preserve"> des rapports nationaux contiennent des informations suggérant que l</w:t>
      </w:r>
      <w:r w:rsidR="00E964B4" w:rsidRPr="00FA6E69">
        <w:rPr>
          <w:rFonts w:eastAsia="Malgun Gothic" w:cs="Times New Roman"/>
          <w:kern w:val="22"/>
          <w:szCs w:val="22"/>
        </w:rPr>
        <w:t>’</w:t>
      </w:r>
      <w:r w:rsidR="0097608E" w:rsidRPr="00FA6E69">
        <w:rPr>
          <w:rFonts w:eastAsia="Malgun Gothic" w:cs="Times New Roman"/>
          <w:kern w:val="22"/>
          <w:szCs w:val="22"/>
        </w:rPr>
        <w:t>objectif est en voie d</w:t>
      </w:r>
      <w:r w:rsidR="00E964B4" w:rsidRPr="00FA6E69">
        <w:rPr>
          <w:rFonts w:eastAsia="Malgun Gothic" w:cs="Times New Roman"/>
          <w:kern w:val="22"/>
          <w:szCs w:val="22"/>
        </w:rPr>
        <w:t>’</w:t>
      </w:r>
      <w:r w:rsidR="0097608E" w:rsidRPr="00FA6E69">
        <w:rPr>
          <w:rFonts w:eastAsia="Malgun Gothic" w:cs="Times New Roman"/>
          <w:kern w:val="22"/>
          <w:szCs w:val="22"/>
        </w:rPr>
        <w:t>être atteint</w:t>
      </w:r>
      <w:r w:rsidRPr="00FA6E69">
        <w:rPr>
          <w:rFonts w:eastAsia="Malgun Gothic" w:cs="Times New Roman"/>
          <w:kern w:val="22"/>
          <w:szCs w:val="22"/>
        </w:rPr>
        <w:t xml:space="preserve"> et e</w:t>
      </w:r>
      <w:r w:rsidR="0097608E" w:rsidRPr="00FA6E69">
        <w:rPr>
          <w:rFonts w:eastAsia="Malgun Gothic" w:cs="Times New Roman"/>
          <w:kern w:val="22"/>
          <w:szCs w:val="22"/>
        </w:rPr>
        <w:t xml:space="preserve">nviron </w:t>
      </w:r>
      <w:r w:rsidRPr="00FA6E69">
        <w:rPr>
          <w:rFonts w:eastAsia="Malgun Gothic" w:cs="Times New Roman"/>
          <w:kern w:val="22"/>
          <w:szCs w:val="22"/>
        </w:rPr>
        <w:t>58</w:t>
      </w:r>
      <w:r w:rsidR="0097608E" w:rsidRPr="00FA6E69">
        <w:rPr>
          <w:rFonts w:eastAsia="Malgun Gothic" w:cs="Times New Roman"/>
          <w:kern w:val="22"/>
          <w:szCs w:val="22"/>
        </w:rPr>
        <w:t> </w:t>
      </w:r>
      <w:r w:rsidR="00360989" w:rsidRPr="00FA6E69">
        <w:rPr>
          <w:rFonts w:eastAsia="Malgun Gothic" w:cs="Times New Roman"/>
          <w:kern w:val="22"/>
          <w:szCs w:val="22"/>
        </w:rPr>
        <w:t>pour cent</w:t>
      </w:r>
      <w:r w:rsidR="0097608E" w:rsidRPr="00FA6E69">
        <w:rPr>
          <w:rFonts w:eastAsia="Malgun Gothic" w:cs="Times New Roman"/>
          <w:kern w:val="22"/>
          <w:szCs w:val="22"/>
        </w:rPr>
        <w:t xml:space="preserve"> des rapports nationaux reçus suggèrent que des progrès sont accomplis dans la réalisation de cet objectif, mais à un rythme qui ne permettra pas de l</w:t>
      </w:r>
      <w:r w:rsidR="00E964B4" w:rsidRPr="00FA6E69">
        <w:rPr>
          <w:rFonts w:eastAsia="Malgun Gothic" w:cs="Times New Roman"/>
          <w:kern w:val="22"/>
          <w:szCs w:val="22"/>
        </w:rPr>
        <w:t>’</w:t>
      </w:r>
      <w:r w:rsidR="0097608E" w:rsidRPr="00FA6E69">
        <w:rPr>
          <w:rFonts w:eastAsia="Malgun Gothic" w:cs="Times New Roman"/>
          <w:kern w:val="22"/>
          <w:szCs w:val="22"/>
        </w:rPr>
        <w:t>atteindre à l</w:t>
      </w:r>
      <w:r w:rsidR="00E964B4" w:rsidRPr="00FA6E69">
        <w:rPr>
          <w:rFonts w:eastAsia="Malgun Gothic" w:cs="Times New Roman"/>
          <w:kern w:val="22"/>
          <w:szCs w:val="22"/>
        </w:rPr>
        <w:t>’</w:t>
      </w:r>
      <w:r w:rsidR="007929E7" w:rsidRPr="00FA6E69">
        <w:rPr>
          <w:rFonts w:eastAsia="Malgun Gothic" w:cs="Times New Roman"/>
          <w:kern w:val="22"/>
          <w:szCs w:val="22"/>
        </w:rPr>
        <w:t>échéance. Dix</w:t>
      </w:r>
      <w:r w:rsidR="009F23B8" w:rsidRPr="00FA6E69">
        <w:rPr>
          <w:rFonts w:eastAsia="Malgun Gothic" w:cs="Times New Roman"/>
          <w:kern w:val="22"/>
          <w:szCs w:val="22"/>
        </w:rPr>
        <w:noBreakHyphen/>
      </w:r>
      <w:r w:rsidR="007929E7" w:rsidRPr="00FA6E69">
        <w:rPr>
          <w:rFonts w:eastAsia="Malgun Gothic" w:cs="Times New Roman"/>
          <w:kern w:val="22"/>
          <w:szCs w:val="22"/>
        </w:rPr>
        <w:t>sept</w:t>
      </w:r>
      <w:r w:rsidR="0097608E" w:rsidRPr="00FA6E69">
        <w:rPr>
          <w:rFonts w:eastAsia="Malgun Gothic" w:cs="Times New Roman"/>
          <w:kern w:val="22"/>
          <w:szCs w:val="22"/>
        </w:rPr>
        <w:t> </w:t>
      </w:r>
      <w:r w:rsidR="00360989" w:rsidRPr="00FA6E69">
        <w:rPr>
          <w:rFonts w:eastAsia="Malgun Gothic" w:cs="Times New Roman"/>
          <w:kern w:val="22"/>
          <w:szCs w:val="22"/>
        </w:rPr>
        <w:t>pour cent</w:t>
      </w:r>
      <w:r w:rsidR="0097608E" w:rsidRPr="00FA6E69">
        <w:rPr>
          <w:rFonts w:eastAsia="Malgun Gothic" w:cs="Times New Roman"/>
          <w:kern w:val="22"/>
          <w:szCs w:val="22"/>
        </w:rPr>
        <w:t xml:space="preserve"> des rapports suggèrent qu</w:t>
      </w:r>
      <w:r w:rsidR="00E964B4" w:rsidRPr="00FA6E69">
        <w:rPr>
          <w:rFonts w:eastAsia="Malgun Gothic" w:cs="Times New Roman"/>
          <w:kern w:val="22"/>
          <w:szCs w:val="22"/>
        </w:rPr>
        <w:t>’</w:t>
      </w:r>
      <w:r w:rsidR="0097608E" w:rsidRPr="00FA6E69">
        <w:rPr>
          <w:rFonts w:eastAsia="Malgun Gothic" w:cs="Times New Roman"/>
          <w:kern w:val="22"/>
          <w:szCs w:val="22"/>
        </w:rPr>
        <w:t>aucun changement marquant n</w:t>
      </w:r>
      <w:r w:rsidR="00E964B4" w:rsidRPr="00FA6E69">
        <w:rPr>
          <w:rFonts w:eastAsia="Malgun Gothic" w:cs="Times New Roman"/>
          <w:kern w:val="22"/>
          <w:szCs w:val="22"/>
        </w:rPr>
        <w:t>’</w:t>
      </w:r>
      <w:r w:rsidR="0097608E" w:rsidRPr="00FA6E69">
        <w:rPr>
          <w:rFonts w:eastAsia="Malgun Gothic" w:cs="Times New Roman"/>
          <w:kern w:val="22"/>
          <w:szCs w:val="22"/>
        </w:rPr>
        <w:t xml:space="preserve">a eu lieu, </w:t>
      </w:r>
      <w:r w:rsidR="007929E7" w:rsidRPr="00FA6E69">
        <w:rPr>
          <w:rFonts w:eastAsia="Malgun Gothic" w:cs="Times New Roman"/>
          <w:kern w:val="22"/>
          <w:szCs w:val="22"/>
        </w:rPr>
        <w:t>tandis qu</w:t>
      </w:r>
      <w:r w:rsidRPr="00FA6E69">
        <w:rPr>
          <w:rFonts w:eastAsia="Malgun Gothic" w:cs="Times New Roman"/>
          <w:kern w:val="22"/>
          <w:szCs w:val="22"/>
        </w:rPr>
        <w:t xml:space="preserve">e plus </w:t>
      </w:r>
      <w:r w:rsidR="00CF354A" w:rsidRPr="00FA6E69">
        <w:rPr>
          <w:rFonts w:eastAsia="Malgun Gothic" w:cs="Times New Roman"/>
          <w:kern w:val="22"/>
          <w:szCs w:val="22"/>
        </w:rPr>
        <w:t>d’un</w:t>
      </w:r>
      <w:r w:rsidR="0097608E" w:rsidRPr="00FA6E69">
        <w:rPr>
          <w:rFonts w:eastAsia="Malgun Gothic" w:cs="Times New Roman"/>
          <w:kern w:val="22"/>
          <w:szCs w:val="22"/>
        </w:rPr>
        <w:t xml:space="preserve"> cinquième</w:t>
      </w:r>
      <w:r w:rsidRPr="00FA6E69">
        <w:rPr>
          <w:rFonts w:eastAsia="Malgun Gothic" w:cs="Times New Roman"/>
          <w:kern w:val="22"/>
          <w:szCs w:val="22"/>
        </w:rPr>
        <w:t xml:space="preserve"> (21 pour cent)</w:t>
      </w:r>
      <w:r w:rsidR="0097608E" w:rsidRPr="00FA6E69">
        <w:rPr>
          <w:rFonts w:eastAsia="Malgun Gothic" w:cs="Times New Roman"/>
          <w:kern w:val="22"/>
          <w:szCs w:val="22"/>
        </w:rPr>
        <w:t xml:space="preserve"> des rapports ne contient pas d</w:t>
      </w:r>
      <w:r w:rsidR="00E964B4" w:rsidRPr="00FA6E69">
        <w:rPr>
          <w:rFonts w:eastAsia="Malgun Gothic" w:cs="Times New Roman"/>
          <w:kern w:val="22"/>
          <w:szCs w:val="22"/>
        </w:rPr>
        <w:t>’</w:t>
      </w:r>
      <w:r w:rsidR="0097608E" w:rsidRPr="00FA6E69">
        <w:rPr>
          <w:rFonts w:eastAsia="Malgun Gothic" w:cs="Times New Roman"/>
          <w:kern w:val="22"/>
          <w:szCs w:val="22"/>
        </w:rPr>
        <w:t xml:space="preserve">informations permettant une évaluation des progrès accomplis dans la réalisation de cet objectif. Les informations contenues dans les </w:t>
      </w:r>
      <w:r w:rsidR="0097608E" w:rsidRPr="00FA6E69">
        <w:rPr>
          <w:rFonts w:eastAsia="Malgun Gothic" w:cs="Times New Roman"/>
          <w:kern w:val="22"/>
          <w:szCs w:val="22"/>
        </w:rPr>
        <w:lastRenderedPageBreak/>
        <w:t>rapports nationaux suggèrent qu</w:t>
      </w:r>
      <w:r w:rsidR="00E964B4" w:rsidRPr="00FA6E69">
        <w:rPr>
          <w:rFonts w:eastAsia="Malgun Gothic" w:cs="Times New Roman"/>
          <w:kern w:val="22"/>
          <w:szCs w:val="22"/>
        </w:rPr>
        <w:t>’</w:t>
      </w:r>
      <w:r w:rsidR="0097608E" w:rsidRPr="00FA6E69">
        <w:rPr>
          <w:rFonts w:eastAsia="Malgun Gothic" w:cs="Times New Roman"/>
          <w:kern w:val="22"/>
          <w:szCs w:val="22"/>
        </w:rPr>
        <w:t>un peu plus de progrès ont été accomplis dans le renforcement de la résilience des écosystèmes et des stocks de carbone que dans la restauration des écosystèmes dégradés. Un petit nombre de pays rendent compte de la restauration d</w:t>
      </w:r>
      <w:r w:rsidR="00E964B4" w:rsidRPr="00FA6E69">
        <w:rPr>
          <w:rFonts w:eastAsia="Malgun Gothic" w:cs="Times New Roman"/>
          <w:kern w:val="22"/>
          <w:szCs w:val="22"/>
        </w:rPr>
        <w:t>’</w:t>
      </w:r>
      <w:r w:rsidR="0097608E" w:rsidRPr="00FA6E69">
        <w:rPr>
          <w:rFonts w:eastAsia="Malgun Gothic" w:cs="Times New Roman"/>
          <w:kern w:val="22"/>
          <w:szCs w:val="22"/>
        </w:rPr>
        <w:t>habitats dégradés, bien que plusieurs concernent des projets ou programmes de restauration en cours ou prévus.</w:t>
      </w:r>
    </w:p>
    <w:p w:rsidR="00AB340A" w:rsidRPr="00FA6E69" w:rsidRDefault="007A42DA" w:rsidP="00297BEE">
      <w:pPr>
        <w:suppressLineNumbers/>
        <w:tabs>
          <w:tab w:val="left" w:pos="180"/>
        </w:tabs>
        <w:suppressAutoHyphens/>
        <w:spacing w:after="120"/>
        <w:rPr>
          <w:rFonts w:cs="Times New Roman"/>
          <w:i/>
          <w:iCs/>
        </w:rPr>
      </w:pPr>
      <w:r w:rsidRPr="00FA6E69">
        <w:rPr>
          <w:rFonts w:cs="Times New Roman"/>
          <w:i/>
          <w:iCs/>
          <w:szCs w:val="22"/>
        </w:rPr>
        <w:t>Objectif 16 – D</w:t>
      </w:r>
      <w:r w:rsidR="00E964B4" w:rsidRPr="00FA6E69">
        <w:rPr>
          <w:rFonts w:cs="Times New Roman"/>
          <w:i/>
          <w:iCs/>
          <w:szCs w:val="22"/>
        </w:rPr>
        <w:t>’</w:t>
      </w:r>
      <w:r w:rsidRPr="00FA6E69">
        <w:rPr>
          <w:rFonts w:cs="Times New Roman"/>
          <w:i/>
          <w:iCs/>
          <w:szCs w:val="22"/>
        </w:rPr>
        <w:t>ici à 2015, le Protocole de Nagoya sur l</w:t>
      </w:r>
      <w:r w:rsidR="00E964B4" w:rsidRPr="00FA6E69">
        <w:rPr>
          <w:rFonts w:cs="Times New Roman"/>
          <w:i/>
          <w:iCs/>
          <w:szCs w:val="22"/>
        </w:rPr>
        <w:t>’</w:t>
      </w:r>
      <w:r w:rsidRPr="00FA6E69">
        <w:rPr>
          <w:rFonts w:cs="Times New Roman"/>
          <w:i/>
          <w:iCs/>
          <w:szCs w:val="22"/>
        </w:rPr>
        <w:t>accès aux ressources génétiques et le partage juste et équitable des avantages découlant de leur utilisation est en vigueur et opérationnel, conformément à la législation nationale</w:t>
      </w:r>
    </w:p>
    <w:p w:rsidR="00AB340A" w:rsidRPr="006D563D" w:rsidRDefault="005F5AFD" w:rsidP="006D563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Près d</w:t>
      </w:r>
      <w:r w:rsidR="007F5EF3" w:rsidRPr="00FA6E69">
        <w:rPr>
          <w:rFonts w:eastAsia="Malgun Gothic" w:cs="Times New Roman"/>
          <w:kern w:val="22"/>
          <w:szCs w:val="22"/>
        </w:rPr>
        <w:t>’un cinquième</w:t>
      </w:r>
      <w:r w:rsidRPr="00FA6E69">
        <w:rPr>
          <w:rFonts w:eastAsia="Malgun Gothic" w:cs="Times New Roman"/>
          <w:kern w:val="22"/>
          <w:szCs w:val="22"/>
        </w:rPr>
        <w:t xml:space="preserve"> (</w:t>
      </w:r>
      <w:r w:rsidR="007F5EF3" w:rsidRPr="00FA6E69">
        <w:rPr>
          <w:rFonts w:eastAsia="Malgun Gothic" w:cs="Times New Roman"/>
          <w:kern w:val="22"/>
          <w:szCs w:val="22"/>
        </w:rPr>
        <w:t>18</w:t>
      </w:r>
      <w:r w:rsidR="006238E9" w:rsidRPr="00FA6E69">
        <w:rPr>
          <w:rFonts w:eastAsia="Malgun Gothic" w:cs="Times New Roman"/>
          <w:kern w:val="22"/>
          <w:szCs w:val="22"/>
        </w:rPr>
        <w:t> </w:t>
      </w:r>
      <w:r w:rsidR="00360989" w:rsidRPr="00FA6E69">
        <w:rPr>
          <w:rFonts w:eastAsia="Malgun Gothic" w:cs="Times New Roman"/>
          <w:kern w:val="22"/>
          <w:szCs w:val="22"/>
        </w:rPr>
        <w:t>pour cent</w:t>
      </w:r>
      <w:r w:rsidR="006238E9" w:rsidRPr="00FA6E69">
        <w:rPr>
          <w:rFonts w:eastAsia="Malgun Gothic" w:cs="Times New Roman"/>
          <w:kern w:val="22"/>
          <w:szCs w:val="22"/>
        </w:rPr>
        <w:t>) des SPANB évalués contiennent des objectifs nationaux ou autres engagements similaires à l</w:t>
      </w:r>
      <w:r w:rsidR="00E964B4" w:rsidRPr="00FA6E69">
        <w:rPr>
          <w:rFonts w:eastAsia="Malgun Gothic" w:cs="Times New Roman"/>
          <w:kern w:val="22"/>
          <w:szCs w:val="22"/>
        </w:rPr>
        <w:t>’</w:t>
      </w:r>
      <w:r w:rsidR="006238E9" w:rsidRPr="00FA6E69">
        <w:rPr>
          <w:rFonts w:eastAsia="Malgun Gothic" w:cs="Times New Roman"/>
          <w:kern w:val="22"/>
          <w:szCs w:val="22"/>
        </w:rPr>
        <w:t>étendue et au niveau d</w:t>
      </w:r>
      <w:r w:rsidR="00E964B4" w:rsidRPr="00FA6E69">
        <w:rPr>
          <w:rFonts w:eastAsia="Malgun Gothic" w:cs="Times New Roman"/>
          <w:kern w:val="22"/>
          <w:szCs w:val="22"/>
        </w:rPr>
        <w:t>’</w:t>
      </w:r>
      <w:r w:rsidR="006238E9" w:rsidRPr="00FA6E69">
        <w:rPr>
          <w:rFonts w:eastAsia="Malgun Gothic" w:cs="Times New Roman"/>
          <w:kern w:val="22"/>
          <w:szCs w:val="22"/>
        </w:rPr>
        <w:t>ambition globalement définis dans l</w:t>
      </w:r>
      <w:r w:rsidR="00E964B4" w:rsidRPr="00FA6E69">
        <w:rPr>
          <w:rFonts w:eastAsia="Malgun Gothic" w:cs="Times New Roman"/>
          <w:kern w:val="22"/>
          <w:szCs w:val="22"/>
        </w:rPr>
        <w:t>’</w:t>
      </w:r>
      <w:r w:rsidR="006238E9" w:rsidRPr="00FA6E69">
        <w:rPr>
          <w:rFonts w:eastAsia="Malgun Gothic" w:cs="Times New Roman"/>
          <w:kern w:val="22"/>
          <w:szCs w:val="22"/>
        </w:rPr>
        <w:t>Objectif 16 d</w:t>
      </w:r>
      <w:r w:rsidR="00E964B4" w:rsidRPr="00FA6E69">
        <w:rPr>
          <w:rFonts w:eastAsia="Malgun Gothic" w:cs="Times New Roman"/>
          <w:kern w:val="22"/>
          <w:szCs w:val="22"/>
        </w:rPr>
        <w:t>’</w:t>
      </w:r>
      <w:r w:rsidR="006238E9" w:rsidRPr="00FA6E69">
        <w:rPr>
          <w:rFonts w:eastAsia="Malgun Gothic" w:cs="Times New Roman"/>
          <w:kern w:val="22"/>
          <w:szCs w:val="22"/>
        </w:rPr>
        <w:t>Aichi pour la biodiversité.</w:t>
      </w:r>
      <w:r w:rsidR="006238E9" w:rsidRPr="00FA6E69">
        <w:rPr>
          <w:rFonts w:eastAsia="Malgun Gothic" w:cs="Times New Roman"/>
          <w:kern w:val="22"/>
          <w:szCs w:val="22"/>
          <w:vertAlign w:val="superscript"/>
        </w:rPr>
        <w:footnoteReference w:id="32"/>
      </w:r>
      <w:r w:rsidR="006238E9" w:rsidRPr="00FA6E69">
        <w:rPr>
          <w:rFonts w:eastAsia="Malgun Gothic" w:cs="Times New Roman"/>
          <w:kern w:val="22"/>
          <w:szCs w:val="22"/>
        </w:rPr>
        <w:t xml:space="preserve"> </w:t>
      </w:r>
      <w:r w:rsidR="007F5EF3" w:rsidRPr="00FA6E69">
        <w:rPr>
          <w:rFonts w:eastAsia="Malgun Gothic" w:cs="Times New Roman"/>
          <w:kern w:val="22"/>
          <w:szCs w:val="22"/>
        </w:rPr>
        <w:t xml:space="preserve">Un total de cinquante </w:t>
      </w:r>
      <w:r w:rsidR="00360989" w:rsidRPr="00FA6E69">
        <w:rPr>
          <w:rFonts w:eastAsia="Malgun Gothic" w:cs="Times New Roman"/>
          <w:kern w:val="22"/>
          <w:szCs w:val="22"/>
        </w:rPr>
        <w:t>pour cent</w:t>
      </w:r>
      <w:r w:rsidR="006238E9" w:rsidRPr="00FA6E69">
        <w:rPr>
          <w:rFonts w:eastAsia="Malgun Gothic" w:cs="Times New Roman"/>
          <w:kern w:val="22"/>
          <w:szCs w:val="22"/>
        </w:rPr>
        <w:t xml:space="preserve"> des SPANB contiennent des objectifs inférieurs à l</w:t>
      </w:r>
      <w:r w:rsidR="00E964B4" w:rsidRPr="00FA6E69">
        <w:rPr>
          <w:rFonts w:eastAsia="Malgun Gothic" w:cs="Times New Roman"/>
          <w:kern w:val="22"/>
          <w:szCs w:val="22"/>
        </w:rPr>
        <w:t>’</w:t>
      </w:r>
      <w:r w:rsidR="006238E9" w:rsidRPr="00FA6E69">
        <w:rPr>
          <w:rFonts w:eastAsia="Malgun Gothic" w:cs="Times New Roman"/>
          <w:kern w:val="22"/>
          <w:szCs w:val="22"/>
        </w:rPr>
        <w:t>Objectif d</w:t>
      </w:r>
      <w:r w:rsidR="00E964B4" w:rsidRPr="00FA6E69">
        <w:rPr>
          <w:rFonts w:eastAsia="Malgun Gothic" w:cs="Times New Roman"/>
          <w:kern w:val="22"/>
          <w:szCs w:val="22"/>
        </w:rPr>
        <w:t>’</w:t>
      </w:r>
      <w:r w:rsidR="006238E9" w:rsidRPr="00FA6E69">
        <w:rPr>
          <w:rFonts w:eastAsia="Malgun Gothic" w:cs="Times New Roman"/>
          <w:kern w:val="22"/>
          <w:szCs w:val="22"/>
        </w:rPr>
        <w:t>Aichi et/ou ne traitant pas tous les éléments couverts par l</w:t>
      </w:r>
      <w:r w:rsidR="00E964B4" w:rsidRPr="00FA6E69">
        <w:rPr>
          <w:rFonts w:eastAsia="Malgun Gothic" w:cs="Times New Roman"/>
          <w:kern w:val="22"/>
          <w:szCs w:val="22"/>
        </w:rPr>
        <w:t>’</w:t>
      </w:r>
      <w:r w:rsidR="006238E9" w:rsidRPr="00FA6E69">
        <w:rPr>
          <w:rFonts w:eastAsia="Malgun Gothic" w:cs="Times New Roman"/>
          <w:kern w:val="22"/>
          <w:szCs w:val="22"/>
        </w:rPr>
        <w:t>Objectif d</w:t>
      </w:r>
      <w:r w:rsidR="00E964B4" w:rsidRPr="00FA6E69">
        <w:rPr>
          <w:rFonts w:eastAsia="Malgun Gothic" w:cs="Times New Roman"/>
          <w:kern w:val="22"/>
          <w:szCs w:val="22"/>
        </w:rPr>
        <w:t>’</w:t>
      </w:r>
      <w:r w:rsidR="006238E9" w:rsidRPr="00FA6E69">
        <w:rPr>
          <w:rFonts w:eastAsia="Malgun Gothic" w:cs="Times New Roman"/>
          <w:kern w:val="22"/>
          <w:szCs w:val="22"/>
        </w:rPr>
        <w:t>Aichi. Près d</w:t>
      </w:r>
      <w:r w:rsidR="00E964B4" w:rsidRPr="00FA6E69">
        <w:rPr>
          <w:rFonts w:eastAsia="Malgun Gothic" w:cs="Times New Roman"/>
          <w:kern w:val="22"/>
          <w:szCs w:val="22"/>
        </w:rPr>
        <w:t>’</w:t>
      </w:r>
      <w:r w:rsidR="006238E9" w:rsidRPr="00FA6E69">
        <w:rPr>
          <w:rFonts w:eastAsia="Malgun Gothic" w:cs="Times New Roman"/>
          <w:kern w:val="22"/>
          <w:szCs w:val="22"/>
        </w:rPr>
        <w:t>un tiers (</w:t>
      </w:r>
      <w:r w:rsidR="007F5EF3" w:rsidRPr="00FA6E69">
        <w:rPr>
          <w:rFonts w:eastAsia="Malgun Gothic" w:cs="Times New Roman"/>
          <w:kern w:val="22"/>
          <w:szCs w:val="22"/>
        </w:rPr>
        <w:t>30</w:t>
      </w:r>
      <w:r w:rsidR="006238E9" w:rsidRPr="00FA6E69">
        <w:rPr>
          <w:rFonts w:eastAsia="Malgun Gothic" w:cs="Times New Roman"/>
          <w:kern w:val="22"/>
          <w:szCs w:val="22"/>
        </w:rPr>
        <w:t> </w:t>
      </w:r>
      <w:r w:rsidR="00360989" w:rsidRPr="00FA6E69">
        <w:rPr>
          <w:rFonts w:eastAsia="Malgun Gothic" w:cs="Times New Roman"/>
          <w:kern w:val="22"/>
          <w:szCs w:val="22"/>
        </w:rPr>
        <w:t>pour cent</w:t>
      </w:r>
      <w:r w:rsidR="006238E9" w:rsidRPr="00FA6E69">
        <w:rPr>
          <w:rFonts w:eastAsia="Malgun Gothic" w:cs="Times New Roman"/>
          <w:kern w:val="22"/>
          <w:szCs w:val="22"/>
        </w:rPr>
        <w:t>) des SPANB ne contiennent aucun objectif national relatif à cet Objectif d</w:t>
      </w:r>
      <w:r w:rsidR="00E964B4" w:rsidRPr="00FA6E69">
        <w:rPr>
          <w:rFonts w:eastAsia="Malgun Gothic" w:cs="Times New Roman"/>
          <w:kern w:val="22"/>
          <w:szCs w:val="22"/>
        </w:rPr>
        <w:t>’</w:t>
      </w:r>
      <w:r w:rsidR="006238E9" w:rsidRPr="00FA6E69">
        <w:rPr>
          <w:rFonts w:eastAsia="Malgun Gothic" w:cs="Times New Roman"/>
          <w:kern w:val="22"/>
          <w:szCs w:val="22"/>
        </w:rPr>
        <w:t>Aichi. Un grand nombre d</w:t>
      </w:r>
      <w:r w:rsidR="00E964B4" w:rsidRPr="00FA6E69">
        <w:rPr>
          <w:rFonts w:eastAsia="Malgun Gothic" w:cs="Times New Roman"/>
          <w:kern w:val="22"/>
          <w:szCs w:val="22"/>
        </w:rPr>
        <w:t>’</w:t>
      </w:r>
      <w:r w:rsidR="006238E9" w:rsidRPr="00FA6E69">
        <w:rPr>
          <w:rFonts w:eastAsia="Malgun Gothic" w:cs="Times New Roman"/>
          <w:kern w:val="22"/>
          <w:szCs w:val="22"/>
        </w:rPr>
        <w:t>objectifs ont un caractère général et concernent l</w:t>
      </w:r>
      <w:r w:rsidR="00E964B4" w:rsidRPr="00FA6E69">
        <w:rPr>
          <w:rFonts w:eastAsia="Malgun Gothic" w:cs="Times New Roman"/>
          <w:kern w:val="22"/>
          <w:szCs w:val="22"/>
        </w:rPr>
        <w:t>’</w:t>
      </w:r>
      <w:r w:rsidR="006238E9" w:rsidRPr="00FA6E69">
        <w:rPr>
          <w:rFonts w:eastAsia="Malgun Gothic" w:cs="Times New Roman"/>
          <w:kern w:val="22"/>
          <w:szCs w:val="22"/>
        </w:rPr>
        <w:t>accès et le partage des avantages au sens large, et plusieurs objectifs ne font pas référence de manière explicite au Protocole de Nagoya. Cet Objectif d</w:t>
      </w:r>
      <w:r w:rsidR="00E964B4" w:rsidRPr="00FA6E69">
        <w:rPr>
          <w:rFonts w:eastAsia="Malgun Gothic" w:cs="Times New Roman"/>
          <w:kern w:val="22"/>
          <w:szCs w:val="22"/>
        </w:rPr>
        <w:t>’</w:t>
      </w:r>
      <w:r w:rsidR="006238E9" w:rsidRPr="00FA6E69">
        <w:rPr>
          <w:rFonts w:eastAsia="Malgun Gothic" w:cs="Times New Roman"/>
          <w:kern w:val="22"/>
          <w:szCs w:val="22"/>
        </w:rPr>
        <w:t>Aichi compte parmi ceux qui ont le plus grand nombre de SPANB intégrant des objectifs nationaux associés.</w:t>
      </w:r>
    </w:p>
    <w:p w:rsidR="00AB340A" w:rsidRPr="00FA6E69" w:rsidRDefault="006238E9" w:rsidP="00EB1D6E">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Près d</w:t>
      </w:r>
      <w:r w:rsidR="00E964B4" w:rsidRPr="00FA6E69">
        <w:rPr>
          <w:rFonts w:eastAsia="Malgun Gothic" w:cs="Times New Roman"/>
          <w:kern w:val="22"/>
          <w:szCs w:val="22"/>
        </w:rPr>
        <w:t>’</w:t>
      </w:r>
      <w:r w:rsidRPr="00FA6E69">
        <w:rPr>
          <w:rFonts w:eastAsia="Malgun Gothic" w:cs="Times New Roman"/>
          <w:kern w:val="22"/>
          <w:szCs w:val="22"/>
        </w:rPr>
        <w:t>un cinquième</w:t>
      </w:r>
      <w:r w:rsidR="005F5AFD" w:rsidRPr="00FA6E69">
        <w:rPr>
          <w:rFonts w:eastAsia="Malgun Gothic" w:cs="Times New Roman"/>
          <w:kern w:val="22"/>
          <w:szCs w:val="22"/>
        </w:rPr>
        <w:t xml:space="preserve"> (18</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rapports nationaux contiennent des informations suggérant que l</w:t>
      </w:r>
      <w:r w:rsidR="00E964B4" w:rsidRPr="00FA6E69">
        <w:rPr>
          <w:rFonts w:eastAsia="Malgun Gothic" w:cs="Times New Roman"/>
          <w:kern w:val="22"/>
          <w:szCs w:val="22"/>
        </w:rPr>
        <w:t>’</w:t>
      </w:r>
      <w:r w:rsidRPr="00FA6E69">
        <w:rPr>
          <w:rFonts w:eastAsia="Malgun Gothic" w:cs="Times New Roman"/>
          <w:kern w:val="22"/>
          <w:szCs w:val="22"/>
        </w:rPr>
        <w:t>Objectif 16 d</w:t>
      </w:r>
      <w:r w:rsidR="00E964B4" w:rsidRPr="00FA6E69">
        <w:rPr>
          <w:rFonts w:eastAsia="Malgun Gothic" w:cs="Times New Roman"/>
          <w:kern w:val="22"/>
          <w:szCs w:val="22"/>
        </w:rPr>
        <w:t>’</w:t>
      </w:r>
      <w:r w:rsidRPr="00FA6E69">
        <w:rPr>
          <w:rFonts w:eastAsia="Malgun Gothic" w:cs="Times New Roman"/>
          <w:kern w:val="22"/>
          <w:szCs w:val="22"/>
        </w:rPr>
        <w:t>Aichi est en voie d</w:t>
      </w:r>
      <w:r w:rsidR="00E964B4" w:rsidRPr="00FA6E69">
        <w:rPr>
          <w:rFonts w:eastAsia="Malgun Gothic" w:cs="Times New Roman"/>
          <w:kern w:val="22"/>
          <w:szCs w:val="22"/>
        </w:rPr>
        <w:t>’</w:t>
      </w:r>
      <w:r w:rsidRPr="00FA6E69">
        <w:rPr>
          <w:rFonts w:eastAsia="Malgun Gothic" w:cs="Times New Roman"/>
          <w:kern w:val="22"/>
          <w:szCs w:val="22"/>
        </w:rPr>
        <w:t xml:space="preserve">être atteint. Cependant, </w:t>
      </w:r>
      <w:r w:rsidR="00EB1D6E" w:rsidRPr="00FA6E69">
        <w:rPr>
          <w:rFonts w:eastAsia="Malgun Gothic" w:cs="Times New Roman"/>
          <w:kern w:val="22"/>
          <w:szCs w:val="22"/>
        </w:rPr>
        <w:t>près du quart des</w:t>
      </w:r>
      <w:r w:rsidRPr="00FA6E69">
        <w:rPr>
          <w:rFonts w:eastAsia="Malgun Gothic" w:cs="Times New Roman"/>
          <w:kern w:val="22"/>
          <w:szCs w:val="22"/>
        </w:rPr>
        <w:t xml:space="preserve"> rapports nationaux (23 </w:t>
      </w:r>
      <w:r w:rsidR="00360989" w:rsidRPr="00FA6E69">
        <w:rPr>
          <w:rFonts w:eastAsia="Malgun Gothic" w:cs="Times New Roman"/>
          <w:kern w:val="22"/>
          <w:szCs w:val="22"/>
        </w:rPr>
        <w:t>pour cent</w:t>
      </w:r>
      <w:r w:rsidRPr="00FA6E69">
        <w:rPr>
          <w:rFonts w:eastAsia="Malgun Gothic" w:cs="Times New Roman"/>
          <w:kern w:val="22"/>
          <w:szCs w:val="22"/>
        </w:rPr>
        <w:t>) contiennent des informations suggérant qu</w:t>
      </w:r>
      <w:r w:rsidR="00E964B4" w:rsidRPr="00FA6E69">
        <w:rPr>
          <w:rFonts w:eastAsia="Malgun Gothic" w:cs="Times New Roman"/>
          <w:kern w:val="22"/>
          <w:szCs w:val="22"/>
        </w:rPr>
        <w:t>’</w:t>
      </w:r>
      <w:r w:rsidRPr="00FA6E69">
        <w:rPr>
          <w:rFonts w:eastAsia="Malgun Gothic" w:cs="Times New Roman"/>
          <w:kern w:val="22"/>
          <w:szCs w:val="22"/>
        </w:rPr>
        <w:t>aucun progrès n</w:t>
      </w:r>
      <w:r w:rsidR="00E964B4" w:rsidRPr="00FA6E69">
        <w:rPr>
          <w:rFonts w:eastAsia="Malgun Gothic" w:cs="Times New Roman"/>
          <w:kern w:val="22"/>
          <w:szCs w:val="22"/>
        </w:rPr>
        <w:t>’</w:t>
      </w:r>
      <w:r w:rsidRPr="00FA6E69">
        <w:rPr>
          <w:rFonts w:eastAsia="Malgun Gothic" w:cs="Times New Roman"/>
          <w:kern w:val="22"/>
          <w:szCs w:val="22"/>
        </w:rPr>
        <w:t>a été accompli dans la réalisation de cet objectif, tandis que 1</w:t>
      </w:r>
      <w:r w:rsidR="004D6737" w:rsidRPr="00FA6E69">
        <w:rPr>
          <w:rFonts w:eastAsia="Malgun Gothic" w:cs="Times New Roman"/>
          <w:kern w:val="22"/>
          <w:szCs w:val="22"/>
        </w:rPr>
        <w:t>7</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ne contiennent pas d</w:t>
      </w:r>
      <w:r w:rsidR="00E964B4" w:rsidRPr="00FA6E69">
        <w:rPr>
          <w:rFonts w:eastAsia="Malgun Gothic" w:cs="Times New Roman"/>
          <w:kern w:val="22"/>
          <w:szCs w:val="22"/>
        </w:rPr>
        <w:t>’</w:t>
      </w:r>
      <w:r w:rsidRPr="00FA6E69">
        <w:rPr>
          <w:rFonts w:eastAsia="Malgun Gothic" w:cs="Times New Roman"/>
          <w:kern w:val="22"/>
          <w:szCs w:val="22"/>
        </w:rPr>
        <w:t>informations relatives à cet objectif. Environ 40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contiennent des informations indiquant que des progrès sont accomplis dans la réalisation de l</w:t>
      </w:r>
      <w:r w:rsidR="00E964B4" w:rsidRPr="00FA6E69">
        <w:rPr>
          <w:rFonts w:eastAsia="Malgun Gothic" w:cs="Times New Roman"/>
          <w:kern w:val="22"/>
          <w:szCs w:val="22"/>
        </w:rPr>
        <w:t>’</w:t>
      </w:r>
      <w:r w:rsidRPr="00FA6E69">
        <w:rPr>
          <w:rFonts w:eastAsia="Malgun Gothic" w:cs="Times New Roman"/>
          <w:kern w:val="22"/>
          <w:szCs w:val="22"/>
        </w:rPr>
        <w:t>objectif, mais à un rythme qui ne permettra pas de le réaliser. Les informations figurant dans les rapports nationaux suggèrent que la plupart des progrès accomplis dans la réalisation de cet objectif concernent la ratification du Protocole de Nagoya. Par comparaison, des progrès moins importants ont été réalisés dans la mise en place de mesures visant à assurer que le Protocole est opérationnel à l</w:t>
      </w:r>
      <w:r w:rsidR="00E964B4" w:rsidRPr="00FA6E69">
        <w:rPr>
          <w:rFonts w:eastAsia="Malgun Gothic" w:cs="Times New Roman"/>
          <w:kern w:val="22"/>
          <w:szCs w:val="22"/>
        </w:rPr>
        <w:t>’</w:t>
      </w:r>
      <w:r w:rsidRPr="00FA6E69">
        <w:rPr>
          <w:rFonts w:eastAsia="Malgun Gothic" w:cs="Times New Roman"/>
          <w:kern w:val="22"/>
          <w:szCs w:val="22"/>
        </w:rPr>
        <w:t>échelle nationale.</w:t>
      </w:r>
      <w:r w:rsidR="004D6737" w:rsidRPr="00FA6E69">
        <w:rPr>
          <w:rFonts w:eastAsia="Malgun Gothic" w:cs="Times New Roman"/>
          <w:kern w:val="22"/>
          <w:szCs w:val="22"/>
        </w:rPr>
        <w:t xml:space="preserve"> D</w:t>
      </w:r>
      <w:r w:rsidR="007070B9" w:rsidRPr="00FA6E69">
        <w:rPr>
          <w:rFonts w:eastAsia="Malgun Gothic" w:cs="Times New Roman"/>
          <w:kern w:val="22"/>
          <w:szCs w:val="22"/>
        </w:rPr>
        <w:t xml:space="preserve">es informations complémentaires, </w:t>
      </w:r>
      <w:r w:rsidR="004D6737" w:rsidRPr="00FA6E69">
        <w:rPr>
          <w:rFonts w:eastAsia="Malgun Gothic" w:cs="Times New Roman"/>
          <w:kern w:val="22"/>
          <w:szCs w:val="22"/>
        </w:rPr>
        <w:t>concernant l’Objectif 16 d’</w:t>
      </w:r>
      <w:r w:rsidR="007070B9" w:rsidRPr="00FA6E69">
        <w:rPr>
          <w:rFonts w:eastAsia="Malgun Gothic" w:cs="Times New Roman"/>
          <w:kern w:val="22"/>
          <w:szCs w:val="22"/>
        </w:rPr>
        <w:t xml:space="preserve">Aichi, </w:t>
      </w:r>
      <w:r w:rsidR="004D6737" w:rsidRPr="00FA6E69">
        <w:rPr>
          <w:rFonts w:eastAsia="Malgun Gothic" w:cs="Times New Roman"/>
          <w:kern w:val="22"/>
          <w:szCs w:val="22"/>
        </w:rPr>
        <w:t>sur l’évaluation et l’analyse de l’efficacité du Protocole de Nagoya</w:t>
      </w:r>
      <w:r w:rsidR="007070B9" w:rsidRPr="00FA6E69">
        <w:rPr>
          <w:rFonts w:eastAsia="Malgun Gothic" w:cs="Times New Roman"/>
          <w:kern w:val="22"/>
          <w:szCs w:val="22"/>
        </w:rPr>
        <w:t xml:space="preserve"> sont disponibles dans le document CBD/</w:t>
      </w:r>
      <w:r w:rsidR="001C63DA" w:rsidRPr="00FA6E69">
        <w:rPr>
          <w:rFonts w:eastAsia="Malgun Gothic" w:cs="Times New Roman"/>
          <w:kern w:val="22"/>
          <w:szCs w:val="22"/>
        </w:rPr>
        <w:t>SBI</w:t>
      </w:r>
      <w:r w:rsidR="007070B9" w:rsidRPr="00FA6E69">
        <w:rPr>
          <w:rFonts w:eastAsia="Malgun Gothic" w:cs="Times New Roman"/>
          <w:kern w:val="22"/>
          <w:szCs w:val="22"/>
        </w:rPr>
        <w:t>/2/3.</w:t>
      </w:r>
    </w:p>
    <w:p w:rsidR="00AB340A" w:rsidRPr="00FA6E69" w:rsidRDefault="0054452A" w:rsidP="00297BEE">
      <w:pPr>
        <w:keepNext/>
        <w:suppressLineNumbers/>
        <w:tabs>
          <w:tab w:val="left" w:pos="180"/>
        </w:tabs>
        <w:suppressAutoHyphens/>
        <w:spacing w:after="120"/>
        <w:rPr>
          <w:rFonts w:cs="Times New Roman"/>
          <w:i/>
          <w:iCs/>
        </w:rPr>
      </w:pPr>
      <w:r w:rsidRPr="00FA6E69">
        <w:rPr>
          <w:rFonts w:cs="Times New Roman"/>
          <w:i/>
          <w:iCs/>
          <w:szCs w:val="22"/>
        </w:rPr>
        <w:t xml:space="preserve">Objectif 17 </w:t>
      </w:r>
      <w:r w:rsidRPr="00FA6E69">
        <w:rPr>
          <w:rFonts w:cs="Times New Roman"/>
          <w:color w:val="333333"/>
          <w:kern w:val="22"/>
          <w:szCs w:val="22"/>
          <w:shd w:val="clear" w:color="auto" w:fill="FFFFFF"/>
        </w:rPr>
        <w:t>–</w:t>
      </w:r>
      <w:r w:rsidRPr="00FA6E69">
        <w:rPr>
          <w:rFonts w:cs="Times New Roman"/>
          <w:i/>
          <w:iCs/>
          <w:szCs w:val="22"/>
        </w:rPr>
        <w:t xml:space="preserve"> D</w:t>
      </w:r>
      <w:r w:rsidR="00E964B4" w:rsidRPr="00FA6E69">
        <w:rPr>
          <w:rFonts w:cs="Times New Roman"/>
          <w:i/>
          <w:iCs/>
          <w:szCs w:val="22"/>
        </w:rPr>
        <w:t>’</w:t>
      </w:r>
      <w:r w:rsidRPr="00FA6E69">
        <w:rPr>
          <w:rFonts w:cs="Times New Roman"/>
          <w:i/>
          <w:iCs/>
          <w:szCs w:val="22"/>
        </w:rPr>
        <w:t>ici à 2015, toutes les Parties ont élaboré et adopté en tant qu</w:t>
      </w:r>
      <w:r w:rsidR="00E964B4" w:rsidRPr="00FA6E69">
        <w:rPr>
          <w:rFonts w:cs="Times New Roman"/>
          <w:i/>
          <w:iCs/>
          <w:szCs w:val="22"/>
        </w:rPr>
        <w:t>’</w:t>
      </w:r>
      <w:r w:rsidRPr="00FA6E69">
        <w:rPr>
          <w:rFonts w:cs="Times New Roman"/>
          <w:i/>
          <w:iCs/>
          <w:szCs w:val="22"/>
        </w:rPr>
        <w:t>instrument de politique générale, et commencé à mettre en œuvre une stratégie et un plan d</w:t>
      </w:r>
      <w:r w:rsidR="00E964B4" w:rsidRPr="00FA6E69">
        <w:rPr>
          <w:rFonts w:cs="Times New Roman"/>
          <w:i/>
          <w:iCs/>
          <w:szCs w:val="22"/>
        </w:rPr>
        <w:t>’</w:t>
      </w:r>
      <w:r w:rsidRPr="00FA6E69">
        <w:rPr>
          <w:rFonts w:cs="Times New Roman"/>
          <w:i/>
          <w:iCs/>
          <w:szCs w:val="22"/>
        </w:rPr>
        <w:t>action nationaux efficaces, participatifs et actualisés pour la diversité biologique</w:t>
      </w:r>
    </w:p>
    <w:p w:rsidR="00AB340A" w:rsidRPr="0065439D" w:rsidRDefault="00C613AA" w:rsidP="0065439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Près d</w:t>
      </w:r>
      <w:r w:rsidR="007070B9" w:rsidRPr="00FA6E69">
        <w:rPr>
          <w:rFonts w:eastAsia="Malgun Gothic" w:cs="Times New Roman"/>
          <w:kern w:val="22"/>
          <w:szCs w:val="22"/>
        </w:rPr>
        <w:t>’un cinquième</w:t>
      </w:r>
      <w:r w:rsidRPr="00FA6E69">
        <w:rPr>
          <w:rFonts w:eastAsia="Malgun Gothic" w:cs="Times New Roman"/>
          <w:kern w:val="22"/>
          <w:szCs w:val="22"/>
        </w:rPr>
        <w:t xml:space="preserve"> (</w:t>
      </w:r>
      <w:r w:rsidR="007070B9" w:rsidRPr="00FA6E69">
        <w:rPr>
          <w:rFonts w:eastAsia="Malgun Gothic" w:cs="Times New Roman"/>
          <w:kern w:val="22"/>
          <w:szCs w:val="22"/>
        </w:rPr>
        <w:t>19</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SPANB contiennent des objectifs ou autres engagements qui sont similaires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définis dans l</w:t>
      </w:r>
      <w:r w:rsidR="00E964B4" w:rsidRPr="00FA6E69">
        <w:rPr>
          <w:rFonts w:eastAsia="Malgun Gothic" w:cs="Times New Roman"/>
          <w:kern w:val="22"/>
          <w:szCs w:val="22"/>
        </w:rPr>
        <w:t>’</w:t>
      </w:r>
      <w:r w:rsidRPr="00FA6E69">
        <w:rPr>
          <w:rFonts w:eastAsia="Malgun Gothic" w:cs="Times New Roman"/>
          <w:kern w:val="22"/>
          <w:szCs w:val="22"/>
        </w:rPr>
        <w:t>Objectif 17 d</w:t>
      </w:r>
      <w:r w:rsidR="00E964B4" w:rsidRPr="00FA6E69">
        <w:rPr>
          <w:rFonts w:eastAsia="Malgun Gothic" w:cs="Times New Roman"/>
          <w:kern w:val="22"/>
          <w:szCs w:val="22"/>
        </w:rPr>
        <w:t>’</w:t>
      </w:r>
      <w:r w:rsidRPr="00FA6E69">
        <w:rPr>
          <w:rFonts w:eastAsia="Malgun Gothic" w:cs="Times New Roman"/>
          <w:kern w:val="22"/>
          <w:szCs w:val="22"/>
        </w:rPr>
        <w:t>Aichi.</w:t>
      </w:r>
      <w:r w:rsidRPr="00FA6E69">
        <w:rPr>
          <w:rFonts w:eastAsia="Malgun Gothic" w:cs="Times New Roman"/>
          <w:kern w:val="22"/>
          <w:szCs w:val="22"/>
          <w:vertAlign w:val="superscript"/>
        </w:rPr>
        <w:footnoteReference w:id="33"/>
      </w:r>
      <w:r w:rsidRPr="00FA6E69">
        <w:rPr>
          <w:rFonts w:eastAsia="Malgun Gothic" w:cs="Times New Roman"/>
          <w:kern w:val="22"/>
          <w:szCs w:val="22"/>
        </w:rPr>
        <w:t xml:space="preserve"> </w:t>
      </w:r>
      <w:r w:rsidR="007070B9" w:rsidRPr="00FA6E69">
        <w:rPr>
          <w:rFonts w:eastAsia="Malgun Gothic" w:cs="Times New Roman"/>
          <w:kern w:val="22"/>
          <w:szCs w:val="22"/>
        </w:rPr>
        <w:t xml:space="preserve">Plus d’un tiers </w:t>
      </w:r>
      <w:r w:rsidR="00CF354A" w:rsidRPr="00FA6E69">
        <w:rPr>
          <w:rFonts w:eastAsia="Malgun Gothic" w:cs="Times New Roman"/>
          <w:kern w:val="22"/>
          <w:szCs w:val="22"/>
        </w:rPr>
        <w:t>(35</w:t>
      </w:r>
      <w:r w:rsidR="007070B9" w:rsidRPr="00FA6E69">
        <w:rPr>
          <w:rFonts w:eastAsia="Malgun Gothic" w:cs="Times New Roman"/>
          <w:kern w:val="22"/>
          <w:szCs w:val="22"/>
        </w:rPr>
        <w:t xml:space="preserve"> </w:t>
      </w:r>
      <w:r w:rsidR="00360989" w:rsidRPr="00FA6E69">
        <w:rPr>
          <w:rFonts w:eastAsia="Malgun Gothic" w:cs="Times New Roman"/>
          <w:kern w:val="22"/>
          <w:szCs w:val="22"/>
        </w:rPr>
        <w:t>pour cent</w:t>
      </w:r>
      <w:r w:rsidRPr="00FA6E69">
        <w:rPr>
          <w:rFonts w:eastAsia="Malgun Gothic" w:cs="Times New Roman"/>
          <w:kern w:val="22"/>
          <w:szCs w:val="22"/>
        </w:rPr>
        <w:t>) de</w:t>
      </w:r>
      <w:r w:rsidR="007070B9" w:rsidRPr="00FA6E69">
        <w:rPr>
          <w:rFonts w:eastAsia="Malgun Gothic" w:cs="Times New Roman"/>
          <w:kern w:val="22"/>
          <w:szCs w:val="22"/>
        </w:rPr>
        <w:t>s</w:t>
      </w:r>
      <w:r w:rsidRPr="00FA6E69">
        <w:rPr>
          <w:rFonts w:eastAsia="Malgun Gothic" w:cs="Times New Roman"/>
          <w:kern w:val="22"/>
          <w:szCs w:val="22"/>
        </w:rPr>
        <w:t xml:space="preserve"> SPANB contiennent des objectifs nationaux qui sont inférieurs ou qui ne couvrent pas tous les éléments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w:t>
      </w:r>
      <w:r w:rsidR="00BE2E0D" w:rsidRPr="00FA6E69">
        <w:rPr>
          <w:rFonts w:eastAsia="Malgun Gothic" w:cs="Times New Roman"/>
          <w:kern w:val="22"/>
          <w:szCs w:val="22"/>
        </w:rPr>
        <w:t xml:space="preserve"> Environ la moitié des SPANB (4</w:t>
      </w:r>
      <w:r w:rsidR="007070B9" w:rsidRPr="00FA6E69">
        <w:rPr>
          <w:rFonts w:eastAsia="Malgun Gothic" w:cs="Times New Roman"/>
          <w:kern w:val="22"/>
          <w:szCs w:val="22"/>
        </w:rPr>
        <w:t>6</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ne contiennent aucun objectif ou engagement national associé à cet Objectif d</w:t>
      </w:r>
      <w:r w:rsidR="00E964B4" w:rsidRPr="00FA6E69">
        <w:rPr>
          <w:rFonts w:eastAsia="Malgun Gothic" w:cs="Times New Roman"/>
          <w:kern w:val="22"/>
          <w:szCs w:val="22"/>
        </w:rPr>
        <w:t>’</w:t>
      </w:r>
      <w:r w:rsidRPr="00FA6E69">
        <w:rPr>
          <w:rFonts w:eastAsia="Malgun Gothic" w:cs="Times New Roman"/>
          <w:kern w:val="22"/>
          <w:szCs w:val="22"/>
        </w:rPr>
        <w:t>Aichi. Cela peut s</w:t>
      </w:r>
      <w:r w:rsidR="00E964B4" w:rsidRPr="00FA6E69">
        <w:rPr>
          <w:rFonts w:eastAsia="Malgun Gothic" w:cs="Times New Roman"/>
          <w:kern w:val="22"/>
          <w:szCs w:val="22"/>
        </w:rPr>
        <w:t>’</w:t>
      </w:r>
      <w:r w:rsidRPr="00FA6E69">
        <w:rPr>
          <w:rFonts w:eastAsia="Malgun Gothic" w:cs="Times New Roman"/>
          <w:kern w:val="22"/>
          <w:szCs w:val="22"/>
        </w:rPr>
        <w:t>expliquer par le fait que les pays ne ressentaient pas le besoin de mentionner cet Objectif d</w:t>
      </w:r>
      <w:r w:rsidR="00E964B4" w:rsidRPr="00FA6E69">
        <w:rPr>
          <w:rFonts w:eastAsia="Malgun Gothic" w:cs="Times New Roman"/>
          <w:kern w:val="22"/>
          <w:szCs w:val="22"/>
        </w:rPr>
        <w:t>’</w:t>
      </w:r>
      <w:r w:rsidRPr="00FA6E69">
        <w:rPr>
          <w:rFonts w:eastAsia="Malgun Gothic" w:cs="Times New Roman"/>
          <w:kern w:val="22"/>
          <w:szCs w:val="22"/>
        </w:rPr>
        <w:t>Aichi dans leurs SPANB puisqu</w:t>
      </w:r>
      <w:r w:rsidR="00E964B4" w:rsidRPr="00FA6E69">
        <w:rPr>
          <w:rFonts w:eastAsia="Malgun Gothic" w:cs="Times New Roman"/>
          <w:kern w:val="22"/>
          <w:szCs w:val="22"/>
        </w:rPr>
        <w:t>’</w:t>
      </w:r>
      <w:r w:rsidRPr="00FA6E69">
        <w:rPr>
          <w:rFonts w:eastAsia="Malgun Gothic" w:cs="Times New Roman"/>
          <w:kern w:val="22"/>
          <w:szCs w:val="22"/>
        </w:rPr>
        <w:t>ils avaient élaboré ou mis à jour leurs SPANB. Cet Objectif d</w:t>
      </w:r>
      <w:r w:rsidR="00E964B4" w:rsidRPr="00FA6E69">
        <w:rPr>
          <w:rFonts w:eastAsia="Malgun Gothic" w:cs="Times New Roman"/>
          <w:kern w:val="22"/>
          <w:szCs w:val="22"/>
        </w:rPr>
        <w:t>’</w:t>
      </w:r>
      <w:r w:rsidRPr="00FA6E69">
        <w:rPr>
          <w:rFonts w:eastAsia="Malgun Gothic" w:cs="Times New Roman"/>
          <w:kern w:val="22"/>
          <w:szCs w:val="22"/>
        </w:rPr>
        <w:t>Aichi compte parmi ceux qui ont le moins de SPANB intégrant des objectifs nationaux ou autres engagements associés.</w:t>
      </w:r>
    </w:p>
    <w:p w:rsidR="00AB340A" w:rsidRPr="00FA6E69" w:rsidRDefault="00DC229A" w:rsidP="00DC229A">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P</w:t>
      </w:r>
      <w:r w:rsidR="007070B9" w:rsidRPr="00FA6E69">
        <w:rPr>
          <w:rFonts w:eastAsia="Malgun Gothic" w:cs="Times New Roman"/>
          <w:kern w:val="22"/>
          <w:szCs w:val="22"/>
        </w:rPr>
        <w:t>lus d’un quart</w:t>
      </w:r>
      <w:r w:rsidRPr="00FA6E69">
        <w:rPr>
          <w:rFonts w:eastAsia="Malgun Gothic" w:cs="Times New Roman"/>
          <w:kern w:val="22"/>
          <w:szCs w:val="22"/>
        </w:rPr>
        <w:t xml:space="preserve"> des rapports nationaux (</w:t>
      </w:r>
      <w:r w:rsidR="007070B9" w:rsidRPr="00FA6E69">
        <w:rPr>
          <w:rFonts w:eastAsia="Malgun Gothic" w:cs="Times New Roman"/>
          <w:kern w:val="22"/>
          <w:szCs w:val="22"/>
        </w:rPr>
        <w:t>29</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contiennent des informations suggérant que cet objectif est en voie d</w:t>
      </w:r>
      <w:r w:rsidR="00E964B4" w:rsidRPr="00FA6E69">
        <w:rPr>
          <w:rFonts w:eastAsia="Malgun Gothic" w:cs="Times New Roman"/>
          <w:kern w:val="22"/>
          <w:szCs w:val="22"/>
        </w:rPr>
        <w:t>’</w:t>
      </w:r>
      <w:r w:rsidRPr="00FA6E69">
        <w:rPr>
          <w:rFonts w:eastAsia="Malgun Gothic" w:cs="Times New Roman"/>
          <w:kern w:val="22"/>
          <w:szCs w:val="22"/>
        </w:rPr>
        <w:t xml:space="preserve">être atteint, </w:t>
      </w:r>
      <w:r w:rsidR="00BE2E0D" w:rsidRPr="00FA6E69">
        <w:rPr>
          <w:rFonts w:eastAsia="Malgun Gothic" w:cs="Times New Roman"/>
          <w:kern w:val="22"/>
          <w:szCs w:val="22"/>
        </w:rPr>
        <w:t xml:space="preserve">tandis que </w:t>
      </w:r>
      <w:r w:rsidR="00BD64BA" w:rsidRPr="00FA6E69">
        <w:rPr>
          <w:rFonts w:eastAsia="Malgun Gothic" w:cs="Times New Roman"/>
          <w:kern w:val="22"/>
          <w:szCs w:val="22"/>
        </w:rPr>
        <w:t>l</w:t>
      </w:r>
      <w:r w:rsidR="00BE2E0D" w:rsidRPr="00FA6E69">
        <w:rPr>
          <w:rFonts w:eastAsia="Malgun Gothic" w:cs="Times New Roman"/>
          <w:kern w:val="22"/>
          <w:szCs w:val="22"/>
        </w:rPr>
        <w:t xml:space="preserve">a moitié </w:t>
      </w:r>
      <w:r w:rsidR="00BD64BA" w:rsidRPr="00FA6E69">
        <w:rPr>
          <w:rFonts w:eastAsia="Malgun Gothic" w:cs="Times New Roman"/>
          <w:kern w:val="22"/>
          <w:szCs w:val="22"/>
        </w:rPr>
        <w:t>d</w:t>
      </w:r>
      <w:r w:rsidRPr="00FA6E69">
        <w:rPr>
          <w:rFonts w:eastAsia="Malgun Gothic" w:cs="Times New Roman"/>
          <w:kern w:val="22"/>
          <w:szCs w:val="22"/>
        </w:rPr>
        <w:t>es rapports indiquent que des progrès ont été accomplis dans la réalisation de cet objectif, mais à un rythme qui ne permettra pas de l</w:t>
      </w:r>
      <w:r w:rsidR="00E964B4" w:rsidRPr="00FA6E69">
        <w:rPr>
          <w:rFonts w:eastAsia="Malgun Gothic" w:cs="Times New Roman"/>
          <w:kern w:val="22"/>
          <w:szCs w:val="22"/>
        </w:rPr>
        <w:t>’</w:t>
      </w:r>
      <w:r w:rsidRPr="00FA6E69">
        <w:rPr>
          <w:rFonts w:eastAsia="Malgun Gothic" w:cs="Times New Roman"/>
          <w:kern w:val="22"/>
          <w:szCs w:val="22"/>
        </w:rPr>
        <w:t>atteindre à l</w:t>
      </w:r>
      <w:r w:rsidR="00E964B4" w:rsidRPr="00FA6E69">
        <w:rPr>
          <w:rFonts w:eastAsia="Malgun Gothic" w:cs="Times New Roman"/>
          <w:kern w:val="22"/>
          <w:szCs w:val="22"/>
        </w:rPr>
        <w:t>’</w:t>
      </w:r>
      <w:r w:rsidR="00BE2E0D" w:rsidRPr="00FA6E69">
        <w:rPr>
          <w:rFonts w:eastAsia="Malgun Gothic" w:cs="Times New Roman"/>
          <w:kern w:val="22"/>
          <w:szCs w:val="22"/>
        </w:rPr>
        <w:t>échéance. Environ 1</w:t>
      </w:r>
      <w:r w:rsidR="007070B9"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suggèrent qu</w:t>
      </w:r>
      <w:r w:rsidR="00E964B4" w:rsidRPr="00FA6E69">
        <w:rPr>
          <w:rFonts w:eastAsia="Malgun Gothic" w:cs="Times New Roman"/>
          <w:kern w:val="22"/>
          <w:szCs w:val="22"/>
        </w:rPr>
        <w:t>’</w:t>
      </w:r>
      <w:r w:rsidRPr="00FA6E69">
        <w:rPr>
          <w:rFonts w:eastAsia="Malgun Gothic" w:cs="Times New Roman"/>
          <w:kern w:val="22"/>
          <w:szCs w:val="22"/>
        </w:rPr>
        <w:t>aucun progrès n</w:t>
      </w:r>
      <w:r w:rsidR="00E964B4" w:rsidRPr="00FA6E69">
        <w:rPr>
          <w:rFonts w:eastAsia="Malgun Gothic" w:cs="Times New Roman"/>
          <w:kern w:val="22"/>
          <w:szCs w:val="22"/>
        </w:rPr>
        <w:t>’</w:t>
      </w:r>
      <w:r w:rsidRPr="00FA6E69">
        <w:rPr>
          <w:rFonts w:eastAsia="Malgun Gothic" w:cs="Times New Roman"/>
          <w:kern w:val="22"/>
          <w:szCs w:val="22"/>
        </w:rPr>
        <w:t xml:space="preserve">a été accompli </w:t>
      </w:r>
      <w:r w:rsidRPr="00FA6E69">
        <w:rPr>
          <w:rFonts w:eastAsia="Malgun Gothic" w:cs="Times New Roman"/>
          <w:kern w:val="22"/>
          <w:szCs w:val="22"/>
        </w:rPr>
        <w:lastRenderedPageBreak/>
        <w:t xml:space="preserve">dans la réalisation de cet objectif. Seulement </w:t>
      </w:r>
      <w:r w:rsidR="007070B9" w:rsidRPr="00FA6E69">
        <w:rPr>
          <w:rFonts w:eastAsia="Malgun Gothic" w:cs="Times New Roman"/>
          <w:kern w:val="22"/>
          <w:szCs w:val="22"/>
        </w:rPr>
        <w:t>7</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ne contiennent pas d</w:t>
      </w:r>
      <w:r w:rsidR="00E964B4" w:rsidRPr="00FA6E69">
        <w:rPr>
          <w:rFonts w:eastAsia="Malgun Gothic" w:cs="Times New Roman"/>
          <w:kern w:val="22"/>
          <w:szCs w:val="22"/>
        </w:rPr>
        <w:t>’</w:t>
      </w:r>
      <w:r w:rsidRPr="00FA6E69">
        <w:rPr>
          <w:rFonts w:eastAsia="Malgun Gothic" w:cs="Times New Roman"/>
          <w:kern w:val="22"/>
          <w:szCs w:val="22"/>
        </w:rPr>
        <w:t>informations sur les progrès accomplis dans la réalisation de cet objectif. Ceci contraste avec l</w:t>
      </w:r>
      <w:r w:rsidR="00E964B4" w:rsidRPr="00FA6E69">
        <w:rPr>
          <w:rFonts w:eastAsia="Malgun Gothic" w:cs="Times New Roman"/>
          <w:kern w:val="22"/>
          <w:szCs w:val="22"/>
        </w:rPr>
        <w:t>’</w:t>
      </w:r>
      <w:r w:rsidRPr="00FA6E69">
        <w:rPr>
          <w:rFonts w:eastAsia="Malgun Gothic" w:cs="Times New Roman"/>
          <w:kern w:val="22"/>
          <w:szCs w:val="22"/>
        </w:rPr>
        <w:t>évaluation des SPANB ci</w:t>
      </w:r>
      <w:r w:rsidR="009F23B8" w:rsidRPr="00FA6E69">
        <w:rPr>
          <w:rFonts w:eastAsia="Malgun Gothic" w:cs="Times New Roman"/>
          <w:kern w:val="22"/>
          <w:szCs w:val="22"/>
        </w:rPr>
        <w:noBreakHyphen/>
      </w:r>
      <w:r w:rsidRPr="00FA6E69">
        <w:rPr>
          <w:rFonts w:eastAsia="Malgun Gothic" w:cs="Times New Roman"/>
          <w:kern w:val="22"/>
          <w:szCs w:val="22"/>
        </w:rPr>
        <w:t>dessus dans laquelle une majorité de SPANB ne contenait aucun objectif associé à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Les informations figurant dans les rapports nationaux suggèrent que la plupart des progrès accomplis dans la réalisation de cet objectif concernent l</w:t>
      </w:r>
      <w:r w:rsidR="00E964B4" w:rsidRPr="00FA6E69">
        <w:rPr>
          <w:rFonts w:eastAsia="Malgun Gothic" w:cs="Times New Roman"/>
          <w:kern w:val="22"/>
          <w:szCs w:val="22"/>
        </w:rPr>
        <w:t>’</w:t>
      </w:r>
      <w:r w:rsidRPr="00FA6E69">
        <w:rPr>
          <w:rFonts w:eastAsia="Malgun Gothic" w:cs="Times New Roman"/>
          <w:kern w:val="22"/>
          <w:szCs w:val="22"/>
        </w:rPr>
        <w:t>élaboration ou la révision des SPANB. En revanche, il y a eu moins de progrès concernant l</w:t>
      </w:r>
      <w:r w:rsidR="00E964B4" w:rsidRPr="00FA6E69">
        <w:rPr>
          <w:rFonts w:eastAsia="Malgun Gothic" w:cs="Times New Roman"/>
          <w:kern w:val="22"/>
          <w:szCs w:val="22"/>
        </w:rPr>
        <w:t>’</w:t>
      </w:r>
      <w:r w:rsidRPr="00FA6E69">
        <w:rPr>
          <w:rFonts w:eastAsia="Malgun Gothic" w:cs="Times New Roman"/>
          <w:kern w:val="22"/>
          <w:szCs w:val="22"/>
        </w:rPr>
        <w:t>adoption des SPANB en tant qu</w:t>
      </w:r>
      <w:r w:rsidR="00E964B4" w:rsidRPr="00FA6E69">
        <w:rPr>
          <w:rFonts w:eastAsia="Malgun Gothic" w:cs="Times New Roman"/>
          <w:kern w:val="22"/>
          <w:szCs w:val="22"/>
        </w:rPr>
        <w:t>’</w:t>
      </w:r>
      <w:r w:rsidRPr="00FA6E69">
        <w:rPr>
          <w:rFonts w:eastAsia="Malgun Gothic" w:cs="Times New Roman"/>
          <w:kern w:val="22"/>
          <w:szCs w:val="22"/>
        </w:rPr>
        <w:t>instrument de politique générale. Des informations complémentaires sur l</w:t>
      </w:r>
      <w:r w:rsidR="00E964B4" w:rsidRPr="00FA6E69">
        <w:rPr>
          <w:rFonts w:eastAsia="Malgun Gothic" w:cs="Times New Roman"/>
          <w:kern w:val="22"/>
          <w:szCs w:val="22"/>
        </w:rPr>
        <w:t>’</w:t>
      </w:r>
      <w:r w:rsidRPr="00FA6E69">
        <w:rPr>
          <w:rFonts w:eastAsia="Malgun Gothic" w:cs="Times New Roman"/>
          <w:kern w:val="22"/>
          <w:szCs w:val="22"/>
        </w:rPr>
        <w:t>Objectif 17 d</w:t>
      </w:r>
      <w:r w:rsidR="00E964B4" w:rsidRPr="00FA6E69">
        <w:rPr>
          <w:rFonts w:eastAsia="Malgun Gothic" w:cs="Times New Roman"/>
          <w:kern w:val="22"/>
          <w:szCs w:val="22"/>
        </w:rPr>
        <w:t>’</w:t>
      </w:r>
      <w:r w:rsidRPr="00FA6E69">
        <w:rPr>
          <w:rFonts w:eastAsia="Malgun Gothic" w:cs="Times New Roman"/>
          <w:kern w:val="22"/>
          <w:szCs w:val="22"/>
        </w:rPr>
        <w:t xml:space="preserve">Aichi figurent dans le document </w:t>
      </w:r>
      <w:r w:rsidR="00BE2E0D" w:rsidRPr="00FA6E69">
        <w:rPr>
          <w:rFonts w:eastAsia="Malgun Gothic" w:cs="Times New Roman"/>
          <w:kern w:val="22"/>
          <w:szCs w:val="22"/>
        </w:rPr>
        <w:t>CBD/</w:t>
      </w:r>
      <w:r w:rsidR="006939B5" w:rsidRPr="00FA6E69">
        <w:rPr>
          <w:rFonts w:eastAsia="Malgun Gothic" w:cs="Times New Roman"/>
          <w:kern w:val="22"/>
          <w:szCs w:val="22"/>
        </w:rPr>
        <w:t>SBI</w:t>
      </w:r>
      <w:r w:rsidR="00BE2E0D" w:rsidRPr="00FA6E69">
        <w:rPr>
          <w:rFonts w:eastAsia="Malgun Gothic" w:cs="Times New Roman"/>
          <w:kern w:val="22"/>
          <w:szCs w:val="22"/>
        </w:rPr>
        <w:t>/</w:t>
      </w:r>
      <w:r w:rsidR="007070B9" w:rsidRPr="00FA6E69">
        <w:rPr>
          <w:rFonts w:eastAsia="Malgun Gothic" w:cs="Times New Roman"/>
          <w:kern w:val="22"/>
          <w:szCs w:val="22"/>
        </w:rPr>
        <w:t>2</w:t>
      </w:r>
      <w:r w:rsidR="00BE2E0D" w:rsidRPr="00FA6E69">
        <w:rPr>
          <w:rFonts w:eastAsia="Malgun Gothic" w:cs="Times New Roman"/>
          <w:kern w:val="22"/>
          <w:szCs w:val="22"/>
        </w:rPr>
        <w:t>/</w:t>
      </w:r>
      <w:r w:rsidR="007070B9" w:rsidRPr="00FA6E69">
        <w:rPr>
          <w:rFonts w:eastAsia="Malgun Gothic" w:cs="Times New Roman"/>
          <w:kern w:val="22"/>
          <w:szCs w:val="22"/>
        </w:rPr>
        <w:t>2</w:t>
      </w:r>
      <w:r w:rsidRPr="00FA6E69">
        <w:rPr>
          <w:rFonts w:eastAsia="Malgun Gothic" w:cs="Times New Roman"/>
          <w:kern w:val="22"/>
          <w:szCs w:val="22"/>
        </w:rPr>
        <w:t>/Add.</w:t>
      </w:r>
      <w:r w:rsidR="007070B9" w:rsidRPr="00FA6E69">
        <w:rPr>
          <w:rFonts w:eastAsia="Malgun Gothic" w:cs="Times New Roman"/>
          <w:kern w:val="22"/>
          <w:szCs w:val="22"/>
        </w:rPr>
        <w:t>1</w:t>
      </w:r>
      <w:r w:rsidRPr="00FA6E69">
        <w:rPr>
          <w:rFonts w:eastAsia="Malgun Gothic" w:cs="Times New Roman"/>
          <w:kern w:val="22"/>
          <w:szCs w:val="22"/>
        </w:rPr>
        <w:t>.</w:t>
      </w:r>
    </w:p>
    <w:p w:rsidR="00AB340A" w:rsidRPr="00FA6E69" w:rsidRDefault="00DC229A" w:rsidP="00297BEE">
      <w:pPr>
        <w:suppressLineNumbers/>
        <w:suppressAutoHyphens/>
        <w:spacing w:after="120"/>
        <w:rPr>
          <w:rFonts w:cs="Times New Roman"/>
          <w:i/>
          <w:iCs/>
          <w:snapToGrid w:val="0"/>
          <w:kern w:val="22"/>
          <w:szCs w:val="22"/>
        </w:rPr>
      </w:pPr>
      <w:r w:rsidRPr="00FA6E69">
        <w:rPr>
          <w:rFonts w:cs="Times New Roman"/>
          <w:i/>
          <w:iCs/>
          <w:snapToGrid w:val="0"/>
          <w:kern w:val="22"/>
          <w:szCs w:val="22"/>
        </w:rPr>
        <w:t xml:space="preserve">Objectif 18 </w:t>
      </w:r>
      <w:r w:rsidRPr="00FA6E69">
        <w:rPr>
          <w:rFonts w:cs="Times New Roman"/>
          <w:color w:val="333333"/>
          <w:kern w:val="22"/>
          <w:szCs w:val="22"/>
          <w:shd w:val="clear" w:color="auto" w:fill="FFFFFF"/>
        </w:rPr>
        <w:t xml:space="preserve">– </w:t>
      </w:r>
      <w:r w:rsidRPr="00FA6E69">
        <w:rPr>
          <w:rFonts w:cs="Times New Roman"/>
          <w:i/>
          <w:iCs/>
          <w:snapToGrid w:val="0"/>
          <w:kern w:val="22"/>
          <w:szCs w:val="22"/>
        </w:rPr>
        <w:t>D</w:t>
      </w:r>
      <w:r w:rsidR="00E964B4" w:rsidRPr="00FA6E69">
        <w:rPr>
          <w:rFonts w:cs="Times New Roman"/>
          <w:i/>
          <w:iCs/>
          <w:snapToGrid w:val="0"/>
          <w:kern w:val="22"/>
          <w:szCs w:val="22"/>
        </w:rPr>
        <w:t>’</w:t>
      </w:r>
      <w:r w:rsidRPr="00FA6E69">
        <w:rPr>
          <w:rFonts w:cs="Times New Roman"/>
          <w:i/>
          <w:iCs/>
          <w:snapToGrid w:val="0"/>
          <w:kern w:val="22"/>
          <w:szCs w:val="22"/>
        </w:rPr>
        <w:t>ici à</w:t>
      </w:r>
      <w:r w:rsidR="00360989" w:rsidRPr="00FA6E69">
        <w:rPr>
          <w:rFonts w:cs="Times New Roman"/>
          <w:i/>
          <w:iCs/>
          <w:snapToGrid w:val="0"/>
          <w:kern w:val="22"/>
          <w:szCs w:val="22"/>
        </w:rPr>
        <w:t> 2020</w:t>
      </w:r>
      <w:r w:rsidRPr="00FA6E69">
        <w:rPr>
          <w:rFonts w:cs="Times New Roman"/>
          <w:i/>
          <w:iCs/>
          <w:snapToGrid w:val="0"/>
          <w:kern w:val="22"/>
          <w:szCs w:val="22"/>
        </w:rPr>
        <w:t>, les connaissances, innovations et pratiques traditionnelles des communautés autochtones et locales qui présentent un intérêt pour la conservation et l</w:t>
      </w:r>
      <w:r w:rsidR="00E964B4" w:rsidRPr="00FA6E69">
        <w:rPr>
          <w:rFonts w:cs="Times New Roman"/>
          <w:i/>
          <w:iCs/>
          <w:snapToGrid w:val="0"/>
          <w:kern w:val="22"/>
          <w:szCs w:val="22"/>
        </w:rPr>
        <w:t>’</w:t>
      </w:r>
      <w:r w:rsidRPr="00FA6E69">
        <w:rPr>
          <w:rFonts w:cs="Times New Roman"/>
          <w:i/>
          <w:iCs/>
          <w:snapToGrid w:val="0"/>
          <w:kern w:val="22"/>
          <w:szCs w:val="22"/>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E964B4" w:rsidRPr="00FA6E69">
        <w:rPr>
          <w:rFonts w:cs="Times New Roman"/>
          <w:i/>
          <w:iCs/>
          <w:snapToGrid w:val="0"/>
          <w:kern w:val="22"/>
          <w:szCs w:val="22"/>
        </w:rPr>
        <w:t>’</w:t>
      </w:r>
      <w:r w:rsidRPr="00FA6E69">
        <w:rPr>
          <w:rFonts w:cs="Times New Roman"/>
          <w:i/>
          <w:iCs/>
          <w:snapToGrid w:val="0"/>
          <w:kern w:val="22"/>
          <w:szCs w:val="22"/>
        </w:rPr>
        <w:t>application de la Convention, avec la participation entière et effective des communautés autochtones et locales, à tous les niveaux pertinents</w:t>
      </w:r>
    </w:p>
    <w:p w:rsidR="00AB340A" w:rsidRPr="00FA6E69" w:rsidRDefault="00C45E48" w:rsidP="00FA6E69">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Seulement 1</w:t>
      </w:r>
      <w:r w:rsidR="007070B9" w:rsidRPr="00FA6E69">
        <w:rPr>
          <w:rFonts w:eastAsia="Malgun Gothic" w:cs="Times New Roman"/>
          <w:kern w:val="22"/>
          <w:szCs w:val="22"/>
        </w:rPr>
        <w:t>4</w:t>
      </w:r>
      <w:r w:rsidR="006D1D2B" w:rsidRPr="00FA6E69">
        <w:rPr>
          <w:rFonts w:eastAsia="Malgun Gothic" w:cs="Times New Roman"/>
          <w:kern w:val="22"/>
          <w:szCs w:val="22"/>
        </w:rPr>
        <w:t> </w:t>
      </w:r>
      <w:r w:rsidR="00360989" w:rsidRPr="00FA6E69">
        <w:rPr>
          <w:rFonts w:eastAsia="Malgun Gothic" w:cs="Times New Roman"/>
          <w:kern w:val="22"/>
          <w:szCs w:val="22"/>
        </w:rPr>
        <w:t>pour cent</w:t>
      </w:r>
      <w:r w:rsidR="006D1D2B" w:rsidRPr="00FA6E69">
        <w:rPr>
          <w:rFonts w:eastAsia="Malgun Gothic" w:cs="Times New Roman"/>
          <w:kern w:val="22"/>
          <w:szCs w:val="22"/>
        </w:rPr>
        <w:t xml:space="preserve"> des SPANB contiennent des objectifs similaires à l</w:t>
      </w:r>
      <w:r w:rsidR="00E964B4" w:rsidRPr="00FA6E69">
        <w:rPr>
          <w:rFonts w:eastAsia="Malgun Gothic" w:cs="Times New Roman"/>
          <w:kern w:val="22"/>
          <w:szCs w:val="22"/>
        </w:rPr>
        <w:t>’</w:t>
      </w:r>
      <w:r w:rsidR="006D1D2B" w:rsidRPr="00FA6E69">
        <w:rPr>
          <w:rFonts w:eastAsia="Malgun Gothic" w:cs="Times New Roman"/>
          <w:kern w:val="22"/>
          <w:szCs w:val="22"/>
        </w:rPr>
        <w:t>étendue et au niveau d</w:t>
      </w:r>
      <w:r w:rsidR="00E964B4" w:rsidRPr="00FA6E69">
        <w:rPr>
          <w:rFonts w:eastAsia="Malgun Gothic" w:cs="Times New Roman"/>
          <w:kern w:val="22"/>
          <w:szCs w:val="22"/>
        </w:rPr>
        <w:t>’</w:t>
      </w:r>
      <w:r w:rsidR="006D1D2B" w:rsidRPr="00FA6E69">
        <w:rPr>
          <w:rFonts w:eastAsia="Malgun Gothic" w:cs="Times New Roman"/>
          <w:kern w:val="22"/>
          <w:szCs w:val="22"/>
        </w:rPr>
        <w:t>ambition définis dans l</w:t>
      </w:r>
      <w:r w:rsidR="00E964B4" w:rsidRPr="00FA6E69">
        <w:rPr>
          <w:rFonts w:eastAsia="Malgun Gothic" w:cs="Times New Roman"/>
          <w:kern w:val="22"/>
          <w:szCs w:val="22"/>
        </w:rPr>
        <w:t>’</w:t>
      </w:r>
      <w:r w:rsidR="006D1D2B" w:rsidRPr="00FA6E69">
        <w:rPr>
          <w:rFonts w:eastAsia="Malgun Gothic" w:cs="Times New Roman"/>
          <w:kern w:val="22"/>
          <w:szCs w:val="22"/>
        </w:rPr>
        <w:t>Objectif d</w:t>
      </w:r>
      <w:r w:rsidR="00E964B4" w:rsidRPr="00FA6E69">
        <w:rPr>
          <w:rFonts w:eastAsia="Malgun Gothic" w:cs="Times New Roman"/>
          <w:kern w:val="22"/>
          <w:szCs w:val="22"/>
        </w:rPr>
        <w:t>’</w:t>
      </w:r>
      <w:r w:rsidR="006D1D2B" w:rsidRPr="00FA6E69">
        <w:rPr>
          <w:rFonts w:eastAsia="Malgun Gothic" w:cs="Times New Roman"/>
          <w:kern w:val="22"/>
          <w:szCs w:val="22"/>
        </w:rPr>
        <w:t>Aichi</w:t>
      </w:r>
      <w:r w:rsidR="007070B9" w:rsidRPr="00FA6E69">
        <w:rPr>
          <w:rFonts w:eastAsia="Malgun Gothic" w:cs="Times New Roman"/>
          <w:kern w:val="22"/>
          <w:szCs w:val="22"/>
        </w:rPr>
        <w:t xml:space="preserve"> 18</w:t>
      </w:r>
      <w:r w:rsidR="006D1D2B" w:rsidRPr="00FA6E69">
        <w:rPr>
          <w:rFonts w:eastAsia="Malgun Gothic" w:cs="Times New Roman"/>
          <w:kern w:val="22"/>
          <w:szCs w:val="22"/>
          <w:vertAlign w:val="superscript"/>
        </w:rPr>
        <w:footnoteReference w:id="34"/>
      </w:r>
      <w:r w:rsidRPr="00FA6E69">
        <w:rPr>
          <w:rFonts w:eastAsia="Malgun Gothic" w:cs="Times New Roman"/>
          <w:kern w:val="22"/>
          <w:szCs w:val="22"/>
        </w:rPr>
        <w:t xml:space="preserve"> et plus de la moitié (5</w:t>
      </w:r>
      <w:r w:rsidR="007070B9" w:rsidRPr="00FA6E69">
        <w:rPr>
          <w:rFonts w:eastAsia="Malgun Gothic" w:cs="Times New Roman"/>
          <w:kern w:val="22"/>
          <w:szCs w:val="22"/>
        </w:rPr>
        <w:t>5</w:t>
      </w:r>
      <w:r w:rsidR="006D1D2B" w:rsidRPr="00FA6E69">
        <w:rPr>
          <w:rFonts w:eastAsia="Malgun Gothic" w:cs="Times New Roman"/>
          <w:kern w:val="22"/>
          <w:szCs w:val="22"/>
        </w:rPr>
        <w:t> </w:t>
      </w:r>
      <w:r w:rsidR="00360989" w:rsidRPr="00FA6E69">
        <w:rPr>
          <w:rFonts w:eastAsia="Malgun Gothic" w:cs="Times New Roman"/>
          <w:kern w:val="22"/>
          <w:szCs w:val="22"/>
        </w:rPr>
        <w:t>pour cent</w:t>
      </w:r>
      <w:r w:rsidR="006D1D2B" w:rsidRPr="00FA6E69">
        <w:rPr>
          <w:rFonts w:eastAsia="Malgun Gothic" w:cs="Times New Roman"/>
          <w:kern w:val="22"/>
          <w:szCs w:val="22"/>
        </w:rPr>
        <w:t>) contiennent des objectifs inférieurs à l</w:t>
      </w:r>
      <w:r w:rsidR="00E964B4" w:rsidRPr="00FA6E69">
        <w:rPr>
          <w:rFonts w:eastAsia="Malgun Gothic" w:cs="Times New Roman"/>
          <w:kern w:val="22"/>
          <w:szCs w:val="22"/>
        </w:rPr>
        <w:t>’</w:t>
      </w:r>
      <w:r w:rsidR="006D1D2B" w:rsidRPr="00FA6E69">
        <w:rPr>
          <w:rFonts w:eastAsia="Malgun Gothic" w:cs="Times New Roman"/>
          <w:kern w:val="22"/>
          <w:szCs w:val="22"/>
        </w:rPr>
        <w:t>Objectif d</w:t>
      </w:r>
      <w:r w:rsidR="00E964B4" w:rsidRPr="00FA6E69">
        <w:rPr>
          <w:rFonts w:eastAsia="Malgun Gothic" w:cs="Times New Roman"/>
          <w:kern w:val="22"/>
          <w:szCs w:val="22"/>
        </w:rPr>
        <w:t>’</w:t>
      </w:r>
      <w:r w:rsidR="006D1D2B" w:rsidRPr="00FA6E69">
        <w:rPr>
          <w:rFonts w:eastAsia="Malgun Gothic" w:cs="Times New Roman"/>
          <w:kern w:val="22"/>
          <w:szCs w:val="22"/>
        </w:rPr>
        <w:t>Aichi et/ou qui ne traitent pas tous les éléments de l</w:t>
      </w:r>
      <w:r w:rsidR="00E964B4" w:rsidRPr="00FA6E69">
        <w:rPr>
          <w:rFonts w:eastAsia="Malgun Gothic" w:cs="Times New Roman"/>
          <w:kern w:val="22"/>
          <w:szCs w:val="22"/>
        </w:rPr>
        <w:t>’</w:t>
      </w:r>
      <w:r w:rsidR="006D1D2B" w:rsidRPr="00FA6E69">
        <w:rPr>
          <w:rFonts w:eastAsia="Malgun Gothic" w:cs="Times New Roman"/>
          <w:kern w:val="22"/>
          <w:szCs w:val="22"/>
        </w:rPr>
        <w:t>objectif. P</w:t>
      </w:r>
      <w:r w:rsidR="007070B9" w:rsidRPr="00FA6E69">
        <w:rPr>
          <w:rFonts w:eastAsia="Malgun Gothic" w:cs="Times New Roman"/>
          <w:kern w:val="22"/>
          <w:szCs w:val="22"/>
        </w:rPr>
        <w:t>rè</w:t>
      </w:r>
      <w:r w:rsidR="006D1D2B" w:rsidRPr="00FA6E69">
        <w:rPr>
          <w:rFonts w:eastAsia="Malgun Gothic" w:cs="Times New Roman"/>
          <w:kern w:val="22"/>
          <w:szCs w:val="22"/>
        </w:rPr>
        <w:t>s d</w:t>
      </w:r>
      <w:r w:rsidR="00E964B4" w:rsidRPr="00FA6E69">
        <w:rPr>
          <w:rFonts w:eastAsia="Malgun Gothic" w:cs="Times New Roman"/>
          <w:kern w:val="22"/>
          <w:szCs w:val="22"/>
        </w:rPr>
        <w:t>’</w:t>
      </w:r>
      <w:r w:rsidRPr="00FA6E69">
        <w:rPr>
          <w:rFonts w:eastAsia="Malgun Gothic" w:cs="Times New Roman"/>
          <w:kern w:val="22"/>
          <w:szCs w:val="22"/>
        </w:rPr>
        <w:t>un tiers (3</w:t>
      </w:r>
      <w:r w:rsidR="007070B9" w:rsidRPr="00FA6E69">
        <w:rPr>
          <w:rFonts w:eastAsia="Malgun Gothic" w:cs="Times New Roman"/>
          <w:kern w:val="22"/>
          <w:szCs w:val="22"/>
        </w:rPr>
        <w:t>1</w:t>
      </w:r>
      <w:r w:rsidR="006D1D2B" w:rsidRPr="00FA6E69">
        <w:rPr>
          <w:rFonts w:eastAsia="Malgun Gothic" w:cs="Times New Roman"/>
          <w:kern w:val="22"/>
          <w:szCs w:val="22"/>
        </w:rPr>
        <w:t> </w:t>
      </w:r>
      <w:r w:rsidR="00360989" w:rsidRPr="00FA6E69">
        <w:rPr>
          <w:rFonts w:eastAsia="Malgun Gothic" w:cs="Times New Roman"/>
          <w:kern w:val="22"/>
          <w:szCs w:val="22"/>
        </w:rPr>
        <w:t>pour cent</w:t>
      </w:r>
      <w:r w:rsidR="006D1D2B" w:rsidRPr="00FA6E69">
        <w:rPr>
          <w:rFonts w:eastAsia="Malgun Gothic" w:cs="Times New Roman"/>
          <w:kern w:val="22"/>
          <w:szCs w:val="22"/>
        </w:rPr>
        <w:t>) des SPANB ne contiennent aucun objectif associé à cet Objectif d</w:t>
      </w:r>
      <w:r w:rsidR="00E964B4" w:rsidRPr="00FA6E69">
        <w:rPr>
          <w:rFonts w:eastAsia="Malgun Gothic" w:cs="Times New Roman"/>
          <w:kern w:val="22"/>
          <w:szCs w:val="22"/>
        </w:rPr>
        <w:t>’</w:t>
      </w:r>
      <w:r w:rsidR="006D1D2B" w:rsidRPr="00FA6E69">
        <w:rPr>
          <w:rFonts w:eastAsia="Malgun Gothic" w:cs="Times New Roman"/>
          <w:kern w:val="22"/>
          <w:szCs w:val="22"/>
        </w:rPr>
        <w:t>Aichi. De nombreux objectifs définis ont un caractère général. S</w:t>
      </w:r>
      <w:r w:rsidR="00E964B4" w:rsidRPr="00FA6E69">
        <w:rPr>
          <w:rFonts w:eastAsia="Malgun Gothic" w:cs="Times New Roman"/>
          <w:kern w:val="22"/>
          <w:szCs w:val="22"/>
        </w:rPr>
        <w:t>’</w:t>
      </w:r>
      <w:r w:rsidR="006D1D2B" w:rsidRPr="00FA6E69">
        <w:rPr>
          <w:rFonts w:eastAsia="Malgun Gothic" w:cs="Times New Roman"/>
          <w:kern w:val="22"/>
          <w:szCs w:val="22"/>
        </w:rPr>
        <w:t>agissant des objectifs définis, ils se concentrent pour l</w:t>
      </w:r>
      <w:r w:rsidR="00E964B4" w:rsidRPr="00FA6E69">
        <w:rPr>
          <w:rFonts w:eastAsia="Malgun Gothic" w:cs="Times New Roman"/>
          <w:kern w:val="22"/>
          <w:szCs w:val="22"/>
        </w:rPr>
        <w:t>’</w:t>
      </w:r>
      <w:r w:rsidR="006D1D2B" w:rsidRPr="00FA6E69">
        <w:rPr>
          <w:rFonts w:eastAsia="Malgun Gothic" w:cs="Times New Roman"/>
          <w:kern w:val="22"/>
          <w:szCs w:val="22"/>
        </w:rPr>
        <w:t>essentiel sur le respect des connaissances, innovations et pratiques traditionnelles et sur l</w:t>
      </w:r>
      <w:r w:rsidR="00E964B4" w:rsidRPr="00FA6E69">
        <w:rPr>
          <w:rFonts w:eastAsia="Malgun Gothic" w:cs="Times New Roman"/>
          <w:kern w:val="22"/>
          <w:szCs w:val="22"/>
        </w:rPr>
        <w:t>’</w:t>
      </w:r>
      <w:r w:rsidR="006D1D2B" w:rsidRPr="00FA6E69">
        <w:rPr>
          <w:rFonts w:eastAsia="Malgun Gothic" w:cs="Times New Roman"/>
          <w:kern w:val="22"/>
          <w:szCs w:val="22"/>
        </w:rPr>
        <w:t>intégration de celles</w:t>
      </w:r>
      <w:r w:rsidR="009F23B8" w:rsidRPr="00FA6E69">
        <w:rPr>
          <w:rFonts w:eastAsia="Malgun Gothic" w:cs="Times New Roman"/>
          <w:kern w:val="22"/>
          <w:szCs w:val="22"/>
        </w:rPr>
        <w:noBreakHyphen/>
      </w:r>
      <w:r w:rsidR="006D1D2B" w:rsidRPr="00FA6E69">
        <w:rPr>
          <w:rFonts w:eastAsia="Malgun Gothic" w:cs="Times New Roman"/>
          <w:kern w:val="22"/>
          <w:szCs w:val="22"/>
        </w:rPr>
        <w:t>ci dans le cadre de la mise en œuvre de la Convention. Par comparaison, un nombre moins important d</w:t>
      </w:r>
      <w:r w:rsidR="00E964B4" w:rsidRPr="00FA6E69">
        <w:rPr>
          <w:rFonts w:eastAsia="Malgun Gothic" w:cs="Times New Roman"/>
          <w:kern w:val="22"/>
          <w:szCs w:val="22"/>
        </w:rPr>
        <w:t>’</w:t>
      </w:r>
      <w:r w:rsidR="006D1D2B" w:rsidRPr="00FA6E69">
        <w:rPr>
          <w:rFonts w:eastAsia="Malgun Gothic" w:cs="Times New Roman"/>
          <w:kern w:val="22"/>
          <w:szCs w:val="22"/>
        </w:rPr>
        <w:t xml:space="preserve">objectifs se concentrent sur la participation entière et effective des </w:t>
      </w:r>
      <w:r w:rsidR="00FF2BEB" w:rsidRPr="00FA6E69">
        <w:rPr>
          <w:rFonts w:eastAsia="Malgun Gothic" w:cs="Times New Roman"/>
          <w:kern w:val="22"/>
          <w:szCs w:val="22"/>
        </w:rPr>
        <w:t>populations</w:t>
      </w:r>
      <w:r w:rsidR="006D1D2B" w:rsidRPr="00FA6E69">
        <w:rPr>
          <w:rFonts w:eastAsia="Malgun Gothic" w:cs="Times New Roman"/>
          <w:kern w:val="22"/>
          <w:szCs w:val="22"/>
        </w:rPr>
        <w:t xml:space="preserve"> autochtones et</w:t>
      </w:r>
      <w:r w:rsidR="00FF2BEB" w:rsidRPr="00FA6E69">
        <w:rPr>
          <w:rFonts w:eastAsia="Malgun Gothic" w:cs="Times New Roman"/>
          <w:kern w:val="22"/>
          <w:szCs w:val="22"/>
        </w:rPr>
        <w:t xml:space="preserve"> des communautés</w:t>
      </w:r>
      <w:r w:rsidR="006D1D2B" w:rsidRPr="00FA6E69">
        <w:rPr>
          <w:rFonts w:eastAsia="Malgun Gothic" w:cs="Times New Roman"/>
          <w:kern w:val="22"/>
          <w:szCs w:val="22"/>
        </w:rPr>
        <w:t xml:space="preserve"> locales.</w:t>
      </w:r>
    </w:p>
    <w:p w:rsidR="00AB340A" w:rsidRPr="00FA6E69" w:rsidRDefault="00D505AF" w:rsidP="000B3FE5">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Environ 15</w:t>
      </w:r>
      <w:r w:rsidR="0060084C" w:rsidRPr="00FA6E69">
        <w:rPr>
          <w:rFonts w:eastAsia="Malgun Gothic" w:cs="Times New Roman"/>
          <w:kern w:val="22"/>
          <w:szCs w:val="22"/>
        </w:rPr>
        <w:t> </w:t>
      </w:r>
      <w:r w:rsidR="00360989" w:rsidRPr="00FA6E69">
        <w:rPr>
          <w:rFonts w:eastAsia="Malgun Gothic" w:cs="Times New Roman"/>
          <w:kern w:val="22"/>
          <w:szCs w:val="22"/>
        </w:rPr>
        <w:t>pour cent</w:t>
      </w:r>
      <w:r w:rsidR="0060084C" w:rsidRPr="00FA6E69">
        <w:rPr>
          <w:rFonts w:eastAsia="Malgun Gothic" w:cs="Times New Roman"/>
          <w:kern w:val="22"/>
          <w:szCs w:val="22"/>
        </w:rPr>
        <w:t xml:space="preserve"> des Parties indiquent, dans leurs rapports nationaux, que cet objectif est en voie d</w:t>
      </w:r>
      <w:r w:rsidR="00E964B4" w:rsidRPr="00FA6E69">
        <w:rPr>
          <w:rFonts w:eastAsia="Malgun Gothic" w:cs="Times New Roman"/>
          <w:kern w:val="22"/>
          <w:szCs w:val="22"/>
        </w:rPr>
        <w:t>’</w:t>
      </w:r>
      <w:r w:rsidR="0060084C" w:rsidRPr="00FA6E69">
        <w:rPr>
          <w:rFonts w:eastAsia="Malgun Gothic" w:cs="Times New Roman"/>
          <w:kern w:val="22"/>
          <w:szCs w:val="22"/>
        </w:rPr>
        <w:t>être atteint. 4</w:t>
      </w:r>
      <w:r w:rsidR="00FF2BEB" w:rsidRPr="00FA6E69">
        <w:rPr>
          <w:rFonts w:eastAsia="Malgun Gothic" w:cs="Times New Roman"/>
          <w:kern w:val="22"/>
          <w:szCs w:val="22"/>
        </w:rPr>
        <w:t>2</w:t>
      </w:r>
      <w:r w:rsidR="0060084C" w:rsidRPr="00FA6E69">
        <w:rPr>
          <w:rFonts w:eastAsia="Malgun Gothic" w:cs="Times New Roman"/>
          <w:kern w:val="22"/>
          <w:szCs w:val="22"/>
        </w:rPr>
        <w:t> </w:t>
      </w:r>
      <w:r w:rsidR="00360989" w:rsidRPr="00FA6E69">
        <w:rPr>
          <w:rFonts w:eastAsia="Malgun Gothic" w:cs="Times New Roman"/>
          <w:kern w:val="22"/>
          <w:szCs w:val="22"/>
        </w:rPr>
        <w:t>pour cent</w:t>
      </w:r>
      <w:r w:rsidR="0060084C" w:rsidRPr="00FA6E69">
        <w:rPr>
          <w:rFonts w:eastAsia="Malgun Gothic" w:cs="Times New Roman"/>
          <w:kern w:val="22"/>
          <w:szCs w:val="22"/>
        </w:rPr>
        <w:t xml:space="preserve"> des Parties indiquent que des progrès sont accomplis, mais à un rythme ne permettant pas d</w:t>
      </w:r>
      <w:r w:rsidR="00E964B4" w:rsidRPr="00FA6E69">
        <w:rPr>
          <w:rFonts w:eastAsia="Malgun Gothic" w:cs="Times New Roman"/>
          <w:kern w:val="22"/>
          <w:szCs w:val="22"/>
        </w:rPr>
        <w:t>’</w:t>
      </w:r>
      <w:r w:rsidR="0060084C" w:rsidRPr="00FA6E69">
        <w:rPr>
          <w:rFonts w:eastAsia="Malgun Gothic" w:cs="Times New Roman"/>
          <w:kern w:val="22"/>
          <w:szCs w:val="22"/>
        </w:rPr>
        <w:t>atteindre l</w:t>
      </w:r>
      <w:r w:rsidR="00E964B4" w:rsidRPr="00FA6E69">
        <w:rPr>
          <w:rFonts w:eastAsia="Malgun Gothic" w:cs="Times New Roman"/>
          <w:kern w:val="22"/>
          <w:szCs w:val="22"/>
        </w:rPr>
        <w:t>’</w:t>
      </w:r>
      <w:r w:rsidR="0060084C" w:rsidRPr="00FA6E69">
        <w:rPr>
          <w:rFonts w:eastAsia="Malgun Gothic" w:cs="Times New Roman"/>
          <w:kern w:val="22"/>
          <w:szCs w:val="22"/>
        </w:rPr>
        <w:t>objectif à l</w:t>
      </w:r>
      <w:r w:rsidR="00E964B4" w:rsidRPr="00FA6E69">
        <w:rPr>
          <w:rFonts w:eastAsia="Malgun Gothic" w:cs="Times New Roman"/>
          <w:kern w:val="22"/>
          <w:szCs w:val="22"/>
        </w:rPr>
        <w:t>’</w:t>
      </w:r>
      <w:r w:rsidR="0060084C" w:rsidRPr="00FA6E69">
        <w:rPr>
          <w:rFonts w:eastAsia="Malgun Gothic" w:cs="Times New Roman"/>
          <w:kern w:val="22"/>
          <w:szCs w:val="22"/>
        </w:rPr>
        <w:t>échéance. Environ 2</w:t>
      </w:r>
      <w:r w:rsidR="00FF2BEB" w:rsidRPr="00FA6E69">
        <w:rPr>
          <w:rFonts w:eastAsia="Malgun Gothic" w:cs="Times New Roman"/>
          <w:kern w:val="22"/>
          <w:szCs w:val="22"/>
        </w:rPr>
        <w:t>1</w:t>
      </w:r>
      <w:r w:rsidR="0060084C" w:rsidRPr="00FA6E69">
        <w:rPr>
          <w:rFonts w:eastAsia="Malgun Gothic" w:cs="Times New Roman"/>
          <w:kern w:val="22"/>
          <w:szCs w:val="22"/>
        </w:rPr>
        <w:t> </w:t>
      </w:r>
      <w:r w:rsidR="00360989" w:rsidRPr="00FA6E69">
        <w:rPr>
          <w:rFonts w:eastAsia="Malgun Gothic" w:cs="Times New Roman"/>
          <w:kern w:val="22"/>
          <w:szCs w:val="22"/>
        </w:rPr>
        <w:t>pour cent</w:t>
      </w:r>
      <w:r w:rsidR="0060084C" w:rsidRPr="00FA6E69">
        <w:rPr>
          <w:rFonts w:eastAsia="Malgun Gothic" w:cs="Times New Roman"/>
          <w:kern w:val="22"/>
          <w:szCs w:val="22"/>
        </w:rPr>
        <w:t xml:space="preserve"> des rapports n</w:t>
      </w:r>
      <w:r w:rsidR="00E964B4" w:rsidRPr="00FA6E69">
        <w:rPr>
          <w:rFonts w:eastAsia="Malgun Gothic" w:cs="Times New Roman"/>
          <w:kern w:val="22"/>
          <w:szCs w:val="22"/>
        </w:rPr>
        <w:t>’</w:t>
      </w:r>
      <w:r w:rsidR="0060084C" w:rsidRPr="00FA6E69">
        <w:rPr>
          <w:rFonts w:eastAsia="Malgun Gothic" w:cs="Times New Roman"/>
          <w:kern w:val="22"/>
          <w:szCs w:val="22"/>
        </w:rPr>
        <w:t>indiquent aucun changement significatif. Plus d</w:t>
      </w:r>
      <w:r w:rsidR="00E964B4" w:rsidRPr="00FA6E69">
        <w:rPr>
          <w:rFonts w:eastAsia="Malgun Gothic" w:cs="Times New Roman"/>
          <w:kern w:val="22"/>
          <w:szCs w:val="22"/>
        </w:rPr>
        <w:t>’</w:t>
      </w:r>
      <w:r w:rsidR="0060084C" w:rsidRPr="00FA6E69">
        <w:rPr>
          <w:rFonts w:eastAsia="Malgun Gothic" w:cs="Times New Roman"/>
          <w:kern w:val="22"/>
          <w:szCs w:val="22"/>
        </w:rPr>
        <w:t>un cinquième (22 </w:t>
      </w:r>
      <w:r w:rsidR="00360989" w:rsidRPr="00FA6E69">
        <w:rPr>
          <w:rFonts w:eastAsia="Malgun Gothic" w:cs="Times New Roman"/>
          <w:kern w:val="22"/>
          <w:szCs w:val="22"/>
        </w:rPr>
        <w:t>pour cent</w:t>
      </w:r>
      <w:r w:rsidR="0060084C" w:rsidRPr="00FA6E69">
        <w:rPr>
          <w:rFonts w:eastAsia="Malgun Gothic" w:cs="Times New Roman"/>
          <w:kern w:val="22"/>
          <w:szCs w:val="22"/>
        </w:rPr>
        <w:t>) des rapports examinés ne contiennent pas suffisamment d</w:t>
      </w:r>
      <w:r w:rsidR="00E964B4" w:rsidRPr="00FA6E69">
        <w:rPr>
          <w:rFonts w:eastAsia="Malgun Gothic" w:cs="Times New Roman"/>
          <w:kern w:val="22"/>
          <w:szCs w:val="22"/>
        </w:rPr>
        <w:t>’</w:t>
      </w:r>
      <w:r w:rsidR="0060084C" w:rsidRPr="00FA6E69">
        <w:rPr>
          <w:rFonts w:eastAsia="Malgun Gothic" w:cs="Times New Roman"/>
          <w:kern w:val="22"/>
          <w:szCs w:val="22"/>
        </w:rPr>
        <w:t xml:space="preserve">informations pour évaluer les progrès accomplis dans la réalisation de cet objectif. Les progrès accomplis dans la réalisation des différents éléments </w:t>
      </w:r>
      <w:r w:rsidR="00BD64BA" w:rsidRPr="00FA6E69">
        <w:rPr>
          <w:rFonts w:eastAsia="Malgun Gothic" w:cs="Times New Roman"/>
          <w:kern w:val="22"/>
          <w:szCs w:val="22"/>
        </w:rPr>
        <w:t>d</w:t>
      </w:r>
      <w:r w:rsidR="0060084C" w:rsidRPr="00FA6E69">
        <w:rPr>
          <w:rFonts w:eastAsia="Malgun Gothic" w:cs="Times New Roman"/>
          <w:kern w:val="22"/>
          <w:szCs w:val="22"/>
        </w:rPr>
        <w:t>e l</w:t>
      </w:r>
      <w:r w:rsidR="00E964B4" w:rsidRPr="00FA6E69">
        <w:rPr>
          <w:rFonts w:eastAsia="Malgun Gothic" w:cs="Times New Roman"/>
          <w:kern w:val="22"/>
          <w:szCs w:val="22"/>
        </w:rPr>
        <w:t>’</w:t>
      </w:r>
      <w:r w:rsidR="0060084C" w:rsidRPr="00FA6E69">
        <w:rPr>
          <w:rFonts w:eastAsia="Malgun Gothic" w:cs="Times New Roman"/>
          <w:kern w:val="22"/>
          <w:szCs w:val="22"/>
        </w:rPr>
        <w:t>objectif sont difficiles à évaluer car plus de 40 </w:t>
      </w:r>
      <w:r w:rsidR="00360989" w:rsidRPr="00FA6E69">
        <w:rPr>
          <w:rFonts w:eastAsia="Malgun Gothic" w:cs="Times New Roman"/>
          <w:kern w:val="22"/>
          <w:szCs w:val="22"/>
        </w:rPr>
        <w:t>pour cent</w:t>
      </w:r>
      <w:r w:rsidR="0060084C" w:rsidRPr="00FA6E69">
        <w:rPr>
          <w:rFonts w:eastAsia="Malgun Gothic" w:cs="Times New Roman"/>
          <w:kern w:val="22"/>
          <w:szCs w:val="22"/>
        </w:rPr>
        <w:t xml:space="preserve"> des rapports ne contiennent pas d</w:t>
      </w:r>
      <w:r w:rsidR="00E964B4" w:rsidRPr="00FA6E69">
        <w:rPr>
          <w:rFonts w:eastAsia="Malgun Gothic" w:cs="Times New Roman"/>
          <w:kern w:val="22"/>
          <w:szCs w:val="22"/>
        </w:rPr>
        <w:t>’</w:t>
      </w:r>
      <w:r w:rsidR="0060084C" w:rsidRPr="00FA6E69">
        <w:rPr>
          <w:rFonts w:eastAsia="Malgun Gothic" w:cs="Times New Roman"/>
          <w:kern w:val="22"/>
          <w:szCs w:val="22"/>
        </w:rPr>
        <w:t xml:space="preserve">informations </w:t>
      </w:r>
      <w:r w:rsidR="00FF2BEB" w:rsidRPr="00FA6E69">
        <w:rPr>
          <w:rFonts w:eastAsia="Malgun Gothic" w:cs="Times New Roman"/>
          <w:kern w:val="22"/>
          <w:szCs w:val="22"/>
        </w:rPr>
        <w:t xml:space="preserve">les </w:t>
      </w:r>
      <w:r w:rsidR="0060084C" w:rsidRPr="00FA6E69">
        <w:rPr>
          <w:rFonts w:eastAsia="Malgun Gothic" w:cs="Times New Roman"/>
          <w:kern w:val="22"/>
          <w:szCs w:val="22"/>
        </w:rPr>
        <w:t>concernant</w:t>
      </w:r>
      <w:r w:rsidR="00AB340A" w:rsidRPr="00FA6E69">
        <w:rPr>
          <w:rFonts w:eastAsia="Malgun Gothic" w:cs="Times New Roman"/>
          <w:kern w:val="22"/>
          <w:szCs w:val="22"/>
        </w:rPr>
        <w:t>.</w:t>
      </w:r>
    </w:p>
    <w:p w:rsidR="00AB340A" w:rsidRPr="00FA6E69" w:rsidRDefault="00C22CCA" w:rsidP="00297BEE">
      <w:pPr>
        <w:suppressLineNumbers/>
        <w:suppressAutoHyphens/>
        <w:spacing w:after="120"/>
        <w:jc w:val="left"/>
        <w:rPr>
          <w:rFonts w:cs="Times New Roman"/>
          <w:i/>
          <w:iCs/>
          <w:snapToGrid w:val="0"/>
          <w:color w:val="333333"/>
          <w:kern w:val="22"/>
          <w:szCs w:val="22"/>
          <w:shd w:val="clear" w:color="auto" w:fill="FFFFFF"/>
        </w:rPr>
      </w:pPr>
      <w:r w:rsidRPr="00FA6E69">
        <w:rPr>
          <w:rFonts w:cs="Times New Roman"/>
          <w:i/>
          <w:iCs/>
          <w:snapToGrid w:val="0"/>
          <w:kern w:val="22"/>
          <w:szCs w:val="22"/>
        </w:rPr>
        <w:t xml:space="preserve">Objectif 19 </w:t>
      </w:r>
      <w:r w:rsidRPr="00FA6E69">
        <w:rPr>
          <w:rFonts w:cs="Times New Roman"/>
          <w:color w:val="333333"/>
          <w:kern w:val="22"/>
          <w:szCs w:val="22"/>
          <w:shd w:val="clear" w:color="auto" w:fill="FFFFFF"/>
        </w:rPr>
        <w:t>–</w:t>
      </w:r>
      <w:r w:rsidRPr="00FA6E69">
        <w:rPr>
          <w:rFonts w:cs="Times New Roman"/>
          <w:i/>
          <w:iCs/>
          <w:snapToGrid w:val="0"/>
          <w:kern w:val="22"/>
          <w:szCs w:val="22"/>
        </w:rPr>
        <w:t xml:space="preserve"> D</w:t>
      </w:r>
      <w:r w:rsidR="00E964B4" w:rsidRPr="00FA6E69">
        <w:rPr>
          <w:rFonts w:cs="Times New Roman"/>
          <w:i/>
          <w:iCs/>
          <w:snapToGrid w:val="0"/>
          <w:kern w:val="22"/>
          <w:szCs w:val="22"/>
        </w:rPr>
        <w:t>’</w:t>
      </w:r>
      <w:r w:rsidRPr="00FA6E69">
        <w:rPr>
          <w:rFonts w:cs="Times New Roman"/>
          <w:i/>
          <w:iCs/>
          <w:snapToGrid w:val="0"/>
          <w:kern w:val="22"/>
          <w:szCs w:val="22"/>
        </w:rPr>
        <w:t>ici à</w:t>
      </w:r>
      <w:r w:rsidR="00360989" w:rsidRPr="00FA6E69">
        <w:rPr>
          <w:rFonts w:cs="Times New Roman"/>
          <w:i/>
          <w:iCs/>
          <w:snapToGrid w:val="0"/>
          <w:kern w:val="22"/>
          <w:szCs w:val="22"/>
        </w:rPr>
        <w:t> 2020</w:t>
      </w:r>
      <w:r w:rsidRPr="00FA6E69">
        <w:rPr>
          <w:rFonts w:cs="Times New Roman"/>
          <w:i/>
          <w:iCs/>
          <w:snapToGrid w:val="0"/>
          <w:kern w:val="22"/>
          <w:szCs w:val="22"/>
        </w:rPr>
        <w:t>,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p w:rsidR="001A0275" w:rsidRPr="0065439D" w:rsidRDefault="00E5554F" w:rsidP="0065439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P</w:t>
      </w:r>
      <w:r w:rsidR="00FF2BEB" w:rsidRPr="00FA6E69">
        <w:rPr>
          <w:rFonts w:eastAsia="Malgun Gothic" w:cs="Times New Roman"/>
          <w:kern w:val="22"/>
          <w:szCs w:val="22"/>
        </w:rPr>
        <w:t>rè</w:t>
      </w:r>
      <w:r w:rsidRPr="00FA6E69">
        <w:rPr>
          <w:rFonts w:eastAsia="Malgun Gothic" w:cs="Times New Roman"/>
          <w:kern w:val="22"/>
          <w:szCs w:val="22"/>
        </w:rPr>
        <w:t>s d</w:t>
      </w:r>
      <w:r w:rsidR="00E964B4" w:rsidRPr="00FA6E69">
        <w:rPr>
          <w:rFonts w:eastAsia="Malgun Gothic" w:cs="Times New Roman"/>
          <w:kern w:val="22"/>
          <w:szCs w:val="22"/>
        </w:rPr>
        <w:t>’</w:t>
      </w:r>
      <w:r w:rsidR="00D505AF" w:rsidRPr="00FA6E69">
        <w:rPr>
          <w:rFonts w:eastAsia="Malgun Gothic" w:cs="Times New Roman"/>
          <w:kern w:val="22"/>
          <w:szCs w:val="22"/>
        </w:rPr>
        <w:t>un quart (2</w:t>
      </w:r>
      <w:r w:rsidR="00FF2BEB" w:rsidRPr="00FA6E69">
        <w:rPr>
          <w:rFonts w:eastAsia="Malgun Gothic" w:cs="Times New Roman"/>
          <w:kern w:val="22"/>
          <w:szCs w:val="22"/>
        </w:rPr>
        <w:t>4</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SPANB contiennent des objectifs similaires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définis dans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w:t>
      </w:r>
      <w:r w:rsidRPr="00FA6E69">
        <w:rPr>
          <w:rFonts w:eastAsia="Malgun Gothic" w:cs="Times New Roman"/>
          <w:kern w:val="22"/>
          <w:szCs w:val="22"/>
          <w:vertAlign w:val="superscript"/>
        </w:rPr>
        <w:footnoteReference w:id="35"/>
      </w:r>
      <w:r w:rsidRPr="00FA6E69">
        <w:rPr>
          <w:rFonts w:eastAsia="Malgun Gothic" w:cs="Times New Roman"/>
          <w:kern w:val="22"/>
          <w:szCs w:val="22"/>
        </w:rPr>
        <w:t xml:space="preserve"> et un SPANB contient un objectif qui le dépasse.</w:t>
      </w:r>
      <w:r w:rsidRPr="00FA6E69">
        <w:rPr>
          <w:rFonts w:eastAsia="Malgun Gothic" w:cs="Times New Roman"/>
          <w:kern w:val="22"/>
          <w:szCs w:val="22"/>
          <w:vertAlign w:val="superscript"/>
        </w:rPr>
        <w:footnoteReference w:id="36"/>
      </w:r>
      <w:r w:rsidRPr="00FA6E69">
        <w:rPr>
          <w:rFonts w:eastAsia="Malgun Gothic" w:cs="Times New Roman"/>
          <w:kern w:val="22"/>
          <w:szCs w:val="22"/>
        </w:rPr>
        <w:t xml:space="preserve"> Plus de la moitié (</w:t>
      </w:r>
      <w:r w:rsidR="00FF2BEB" w:rsidRPr="00FA6E69">
        <w:rPr>
          <w:rFonts w:eastAsia="Malgun Gothic" w:cs="Times New Roman"/>
          <w:kern w:val="22"/>
          <w:szCs w:val="22"/>
        </w:rPr>
        <w:t>61</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SPANB ont des objectifs ou engagements inférieurs à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et/ou ne traitent pas tous les éléments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Environ 1</w:t>
      </w:r>
      <w:r w:rsidR="00FF2BEB" w:rsidRPr="00FA6E69">
        <w:rPr>
          <w:rFonts w:eastAsia="Malgun Gothic" w:cs="Times New Roman"/>
          <w:kern w:val="22"/>
          <w:szCs w:val="22"/>
        </w:rPr>
        <w:t>4</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SPANB ne contiennent aucun objectif relatif à cet Objectif d</w:t>
      </w:r>
      <w:r w:rsidR="00E964B4" w:rsidRPr="00FA6E69">
        <w:rPr>
          <w:rFonts w:eastAsia="Malgun Gothic" w:cs="Times New Roman"/>
          <w:kern w:val="22"/>
          <w:szCs w:val="22"/>
        </w:rPr>
        <w:t>’</w:t>
      </w:r>
      <w:r w:rsidRPr="00FA6E69">
        <w:rPr>
          <w:rFonts w:eastAsia="Malgun Gothic" w:cs="Times New Roman"/>
          <w:kern w:val="22"/>
          <w:szCs w:val="22"/>
        </w:rPr>
        <w:t>Aichi. Les objectifs définis se concentrent essentiellement sur l</w:t>
      </w:r>
      <w:r w:rsidR="00E964B4" w:rsidRPr="00FA6E69">
        <w:rPr>
          <w:rFonts w:eastAsia="Malgun Gothic" w:cs="Times New Roman"/>
          <w:kern w:val="22"/>
          <w:szCs w:val="22"/>
        </w:rPr>
        <w:t>’</w:t>
      </w:r>
      <w:r w:rsidRPr="00FA6E69">
        <w:rPr>
          <w:rFonts w:eastAsia="Malgun Gothic" w:cs="Times New Roman"/>
          <w:kern w:val="22"/>
          <w:szCs w:val="22"/>
        </w:rPr>
        <w:t>augmentation du volume et de la qualité des informations disponibles relatives à la biodiversité. Il y a moins d</w:t>
      </w:r>
      <w:r w:rsidR="00E964B4" w:rsidRPr="00FA6E69">
        <w:rPr>
          <w:rFonts w:eastAsia="Malgun Gothic" w:cs="Times New Roman"/>
          <w:kern w:val="22"/>
          <w:szCs w:val="22"/>
        </w:rPr>
        <w:t>’</w:t>
      </w:r>
      <w:r w:rsidRPr="00FA6E69">
        <w:rPr>
          <w:rFonts w:eastAsia="Malgun Gothic" w:cs="Times New Roman"/>
          <w:kern w:val="22"/>
          <w:szCs w:val="22"/>
        </w:rPr>
        <w:t>objectifs qui traitent du partage d</w:t>
      </w:r>
      <w:r w:rsidR="00E964B4" w:rsidRPr="00FA6E69">
        <w:rPr>
          <w:rFonts w:eastAsia="Malgun Gothic" w:cs="Times New Roman"/>
          <w:kern w:val="22"/>
          <w:szCs w:val="22"/>
        </w:rPr>
        <w:t>’</w:t>
      </w:r>
      <w:r w:rsidRPr="00FA6E69">
        <w:rPr>
          <w:rFonts w:eastAsia="Malgun Gothic" w:cs="Times New Roman"/>
          <w:kern w:val="22"/>
          <w:szCs w:val="22"/>
        </w:rPr>
        <w:t>informations et de technologies associées à la biodiversité, et encore moins d</w:t>
      </w:r>
      <w:r w:rsidR="00E964B4" w:rsidRPr="00FA6E69">
        <w:rPr>
          <w:rFonts w:eastAsia="Malgun Gothic" w:cs="Times New Roman"/>
          <w:kern w:val="22"/>
          <w:szCs w:val="22"/>
        </w:rPr>
        <w:t>’</w:t>
      </w:r>
      <w:r w:rsidRPr="00FA6E69">
        <w:rPr>
          <w:rFonts w:eastAsia="Malgun Gothic" w:cs="Times New Roman"/>
          <w:kern w:val="22"/>
          <w:szCs w:val="22"/>
        </w:rPr>
        <w:t>objectifs qui couvrent les questions liées à l</w:t>
      </w:r>
      <w:r w:rsidR="00E964B4" w:rsidRPr="00FA6E69">
        <w:rPr>
          <w:rFonts w:eastAsia="Malgun Gothic" w:cs="Times New Roman"/>
          <w:kern w:val="22"/>
          <w:szCs w:val="22"/>
        </w:rPr>
        <w:t>’</w:t>
      </w:r>
      <w:r w:rsidRPr="00FA6E69">
        <w:rPr>
          <w:rFonts w:eastAsia="Malgun Gothic" w:cs="Times New Roman"/>
          <w:kern w:val="22"/>
          <w:szCs w:val="22"/>
        </w:rPr>
        <w:t>application des informations relatives à la biodiversité.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19 fait partie des objectifs qui ont le plus grand nombre de SPANB intégrant des objectifs associés.</w:t>
      </w:r>
    </w:p>
    <w:p w:rsidR="00AB340A" w:rsidRPr="00FA6E69" w:rsidRDefault="00584777" w:rsidP="00D505AF">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lastRenderedPageBreak/>
        <w:t>Dans leurs cinquièmes rapports nationaux, environ 1</w:t>
      </w:r>
      <w:r w:rsidR="00D505AF" w:rsidRPr="00FA6E69">
        <w:rPr>
          <w:rFonts w:eastAsia="Malgun Gothic" w:cs="Times New Roman"/>
          <w:kern w:val="22"/>
          <w:szCs w:val="22"/>
        </w:rPr>
        <w:t>2</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fournissent des informations qui suggèrent que leur objectif est en voie d</w:t>
      </w:r>
      <w:r w:rsidR="00E964B4" w:rsidRPr="00FA6E69">
        <w:rPr>
          <w:rFonts w:eastAsia="Malgun Gothic" w:cs="Times New Roman"/>
          <w:kern w:val="22"/>
          <w:szCs w:val="22"/>
        </w:rPr>
        <w:t>’</w:t>
      </w:r>
      <w:r w:rsidRPr="00FA6E69">
        <w:rPr>
          <w:rFonts w:eastAsia="Malgun Gothic" w:cs="Times New Roman"/>
          <w:kern w:val="22"/>
          <w:szCs w:val="22"/>
        </w:rPr>
        <w:t>être atteint. 60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fournissent des informations qui suggèrent que des progrès ont été accomplis dans la réalisation de l</w:t>
      </w:r>
      <w:r w:rsidR="00E964B4" w:rsidRPr="00FA6E69">
        <w:rPr>
          <w:rFonts w:eastAsia="Malgun Gothic" w:cs="Times New Roman"/>
          <w:kern w:val="22"/>
          <w:szCs w:val="22"/>
        </w:rPr>
        <w:t>’</w:t>
      </w:r>
      <w:r w:rsidRPr="00FA6E69">
        <w:rPr>
          <w:rFonts w:eastAsia="Malgun Gothic" w:cs="Times New Roman"/>
          <w:kern w:val="22"/>
          <w:szCs w:val="22"/>
        </w:rPr>
        <w:t>objectif, mais pas à un rythme permettant d</w:t>
      </w:r>
      <w:r w:rsidR="00E964B4" w:rsidRPr="00FA6E69">
        <w:rPr>
          <w:rFonts w:eastAsia="Malgun Gothic" w:cs="Times New Roman"/>
          <w:kern w:val="22"/>
          <w:szCs w:val="22"/>
        </w:rPr>
        <w:t>’</w:t>
      </w:r>
      <w:r w:rsidRPr="00FA6E69">
        <w:rPr>
          <w:rFonts w:eastAsia="Malgun Gothic" w:cs="Times New Roman"/>
          <w:kern w:val="22"/>
          <w:szCs w:val="22"/>
        </w:rPr>
        <w:t>atteindre l</w:t>
      </w:r>
      <w:r w:rsidR="00E964B4" w:rsidRPr="00FA6E69">
        <w:rPr>
          <w:rFonts w:eastAsia="Malgun Gothic" w:cs="Times New Roman"/>
          <w:kern w:val="22"/>
          <w:szCs w:val="22"/>
        </w:rPr>
        <w:t>’</w:t>
      </w:r>
      <w:r w:rsidRPr="00FA6E69">
        <w:rPr>
          <w:rFonts w:eastAsia="Malgun Gothic" w:cs="Times New Roman"/>
          <w:kern w:val="22"/>
          <w:szCs w:val="22"/>
        </w:rPr>
        <w:t>objectif à l</w:t>
      </w:r>
      <w:r w:rsidR="00E964B4" w:rsidRPr="00FA6E69">
        <w:rPr>
          <w:rFonts w:eastAsia="Malgun Gothic" w:cs="Times New Roman"/>
          <w:kern w:val="22"/>
          <w:szCs w:val="22"/>
        </w:rPr>
        <w:t>’</w:t>
      </w:r>
      <w:r w:rsidRPr="00FA6E69">
        <w:rPr>
          <w:rFonts w:eastAsia="Malgun Gothic" w:cs="Times New Roman"/>
          <w:kern w:val="22"/>
          <w:szCs w:val="22"/>
        </w:rPr>
        <w:t>échéance. Par comparaison, les rapports fournissent peu d</w:t>
      </w:r>
      <w:r w:rsidR="00E964B4" w:rsidRPr="00FA6E69">
        <w:rPr>
          <w:rFonts w:eastAsia="Malgun Gothic" w:cs="Times New Roman"/>
          <w:kern w:val="22"/>
          <w:szCs w:val="22"/>
        </w:rPr>
        <w:t>’</w:t>
      </w:r>
      <w:r w:rsidRPr="00FA6E69">
        <w:rPr>
          <w:rFonts w:eastAsia="Malgun Gothic" w:cs="Times New Roman"/>
          <w:kern w:val="22"/>
          <w:szCs w:val="22"/>
        </w:rPr>
        <w:t>informations sur le mode d</w:t>
      </w:r>
      <w:r w:rsidR="00E964B4" w:rsidRPr="00FA6E69">
        <w:rPr>
          <w:rFonts w:eastAsia="Malgun Gothic" w:cs="Times New Roman"/>
          <w:kern w:val="22"/>
          <w:szCs w:val="22"/>
        </w:rPr>
        <w:t>’</w:t>
      </w:r>
      <w:r w:rsidRPr="00FA6E69">
        <w:rPr>
          <w:rFonts w:eastAsia="Malgun Gothic" w:cs="Times New Roman"/>
          <w:kern w:val="22"/>
          <w:szCs w:val="22"/>
        </w:rPr>
        <w:t>application des informations dans la prise de décision (49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ne fournissent aucune information à ce sujet) ou sur le mode de partage des informations et technologies associées à la biodiversité (3</w:t>
      </w:r>
      <w:r w:rsidR="00FF2BEB" w:rsidRPr="00FA6E69">
        <w:rPr>
          <w:rFonts w:eastAsia="Malgun Gothic" w:cs="Times New Roman"/>
          <w:kern w:val="22"/>
          <w:szCs w:val="22"/>
        </w:rPr>
        <w:t>6</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ne fournissent aucune information à ce sujet). Dans l</w:t>
      </w:r>
      <w:r w:rsidR="00E964B4" w:rsidRPr="00FA6E69">
        <w:rPr>
          <w:rFonts w:eastAsia="Malgun Gothic" w:cs="Times New Roman"/>
          <w:kern w:val="22"/>
          <w:szCs w:val="22"/>
        </w:rPr>
        <w:t>’</w:t>
      </w:r>
      <w:r w:rsidRPr="00FA6E69">
        <w:rPr>
          <w:rFonts w:eastAsia="Malgun Gothic" w:cs="Times New Roman"/>
          <w:kern w:val="22"/>
          <w:szCs w:val="22"/>
        </w:rPr>
        <w:t>ensemble, cela suggère que la plupart des mesures liées à cet objectif se concentrent sur l</w:t>
      </w:r>
      <w:r w:rsidR="00E964B4" w:rsidRPr="00FA6E69">
        <w:rPr>
          <w:rFonts w:eastAsia="Malgun Gothic" w:cs="Times New Roman"/>
          <w:kern w:val="22"/>
          <w:szCs w:val="22"/>
        </w:rPr>
        <w:t>’</w:t>
      </w:r>
      <w:r w:rsidRPr="00FA6E69">
        <w:rPr>
          <w:rFonts w:eastAsia="Malgun Gothic" w:cs="Times New Roman"/>
          <w:kern w:val="22"/>
          <w:szCs w:val="22"/>
        </w:rPr>
        <w:t>amélioration du volume et de la qualité des informations disponibles relatives à la biodiversité.</w:t>
      </w:r>
    </w:p>
    <w:p w:rsidR="00AB340A" w:rsidRPr="00FA6E69" w:rsidRDefault="00584777" w:rsidP="00297BEE">
      <w:pPr>
        <w:suppressLineNumbers/>
        <w:suppressAutoHyphens/>
        <w:spacing w:after="120"/>
        <w:rPr>
          <w:rFonts w:eastAsia="Malgun Gothic" w:cs="Times New Roman"/>
          <w:snapToGrid w:val="0"/>
          <w:kern w:val="22"/>
          <w:szCs w:val="22"/>
        </w:rPr>
      </w:pPr>
      <w:r w:rsidRPr="00FA6E69">
        <w:rPr>
          <w:rFonts w:cs="Times New Roman"/>
          <w:i/>
          <w:iCs/>
          <w:snapToGrid w:val="0"/>
          <w:kern w:val="22"/>
          <w:szCs w:val="22"/>
        </w:rPr>
        <w:t>Objectif 20 – D</w:t>
      </w:r>
      <w:r w:rsidR="00E964B4" w:rsidRPr="00FA6E69">
        <w:rPr>
          <w:rFonts w:cs="Times New Roman"/>
          <w:i/>
          <w:iCs/>
          <w:snapToGrid w:val="0"/>
          <w:kern w:val="22"/>
          <w:szCs w:val="22"/>
        </w:rPr>
        <w:t>’</w:t>
      </w:r>
      <w:r w:rsidRPr="00FA6E69">
        <w:rPr>
          <w:rFonts w:cs="Times New Roman"/>
          <w:i/>
          <w:iCs/>
          <w:snapToGrid w:val="0"/>
          <w:kern w:val="22"/>
          <w:szCs w:val="22"/>
        </w:rPr>
        <w:t>ici à</w:t>
      </w:r>
      <w:r w:rsidR="00360989" w:rsidRPr="00FA6E69">
        <w:rPr>
          <w:rFonts w:cs="Times New Roman"/>
          <w:i/>
          <w:iCs/>
          <w:snapToGrid w:val="0"/>
          <w:kern w:val="22"/>
          <w:szCs w:val="22"/>
        </w:rPr>
        <w:t> 2020</w:t>
      </w:r>
      <w:r w:rsidRPr="00FA6E69">
        <w:rPr>
          <w:rFonts w:cs="Times New Roman"/>
          <w:i/>
          <w:iCs/>
          <w:snapToGrid w:val="0"/>
          <w:kern w:val="22"/>
          <w:szCs w:val="22"/>
        </w:rPr>
        <w:t xml:space="preserve"> au plus tard, la mobilisation des ressources financières nécessaires à la mise en œuvre effective du Plan stratégique 2011</w:t>
      </w:r>
      <w:r w:rsidR="009F23B8" w:rsidRPr="00FA6E69">
        <w:rPr>
          <w:rFonts w:cs="Times New Roman"/>
          <w:i/>
          <w:iCs/>
          <w:snapToGrid w:val="0"/>
          <w:kern w:val="22"/>
          <w:szCs w:val="22"/>
        </w:rPr>
        <w:noBreakHyphen/>
      </w:r>
      <w:r w:rsidRPr="00FA6E69">
        <w:rPr>
          <w:rFonts w:cs="Times New Roman"/>
          <w:i/>
          <w:iCs/>
          <w:snapToGrid w:val="0"/>
          <w:kern w:val="22"/>
          <w:szCs w:val="22"/>
        </w:rPr>
        <w:t>2020 pour la diversité biologique de toutes les sources et conformément au mécanisme consolidé et convenu de la Stratégie de mobilisation des ressources, aura augmenté considérablement par rapport aux niveaux actuels Cet objectif fera l</w:t>
      </w:r>
      <w:r w:rsidR="00E964B4" w:rsidRPr="00FA6E69">
        <w:rPr>
          <w:rFonts w:cs="Times New Roman"/>
          <w:i/>
          <w:iCs/>
          <w:snapToGrid w:val="0"/>
          <w:kern w:val="22"/>
          <w:szCs w:val="22"/>
        </w:rPr>
        <w:t>’</w:t>
      </w:r>
      <w:r w:rsidRPr="00FA6E69">
        <w:rPr>
          <w:rFonts w:cs="Times New Roman"/>
          <w:i/>
          <w:iCs/>
          <w:snapToGrid w:val="0"/>
          <w:kern w:val="22"/>
          <w:szCs w:val="22"/>
        </w:rPr>
        <w:t>objet de modifications en fonction des évaluations des besoins de ressources que les Parties doivent effectuer et notifier</w:t>
      </w:r>
    </w:p>
    <w:p w:rsidR="00D706A4" w:rsidRPr="0065439D" w:rsidRDefault="00D52148" w:rsidP="0065439D">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Un</w:t>
      </w:r>
      <w:r w:rsidR="00997BA8" w:rsidRPr="00FA6E69">
        <w:rPr>
          <w:rFonts w:eastAsia="Malgun Gothic" w:cs="Times New Roman"/>
          <w:kern w:val="22"/>
          <w:szCs w:val="22"/>
        </w:rPr>
        <w:t xml:space="preserve"> </w:t>
      </w:r>
      <w:r w:rsidRPr="00FA6E69">
        <w:rPr>
          <w:rFonts w:eastAsia="Malgun Gothic" w:cs="Times New Roman"/>
          <w:kern w:val="22"/>
          <w:szCs w:val="22"/>
        </w:rPr>
        <w:t>cinquième</w:t>
      </w:r>
      <w:r w:rsidR="00997BA8" w:rsidRPr="00FA6E69">
        <w:rPr>
          <w:rFonts w:eastAsia="Malgun Gothic" w:cs="Times New Roman"/>
          <w:kern w:val="22"/>
          <w:szCs w:val="22"/>
        </w:rPr>
        <w:t xml:space="preserve"> (2</w:t>
      </w:r>
      <w:r w:rsidRPr="00FA6E69">
        <w:rPr>
          <w:rFonts w:eastAsia="Malgun Gothic" w:cs="Times New Roman"/>
          <w:kern w:val="22"/>
          <w:szCs w:val="22"/>
        </w:rPr>
        <w:t>0</w:t>
      </w:r>
      <w:r w:rsidR="00997BA8" w:rsidRPr="00FA6E69">
        <w:rPr>
          <w:rFonts w:eastAsia="Malgun Gothic" w:cs="Times New Roman"/>
          <w:kern w:val="22"/>
          <w:szCs w:val="22"/>
        </w:rPr>
        <w:t> </w:t>
      </w:r>
      <w:r w:rsidR="00360989" w:rsidRPr="00FA6E69">
        <w:rPr>
          <w:rFonts w:eastAsia="Malgun Gothic" w:cs="Times New Roman"/>
          <w:kern w:val="22"/>
          <w:szCs w:val="22"/>
        </w:rPr>
        <w:t>pour cent</w:t>
      </w:r>
      <w:r w:rsidR="00997BA8" w:rsidRPr="00FA6E69">
        <w:rPr>
          <w:rFonts w:eastAsia="Malgun Gothic" w:cs="Times New Roman"/>
          <w:kern w:val="22"/>
          <w:szCs w:val="22"/>
        </w:rPr>
        <w:t>) des SPANB contiennent des objectifs similaires à l</w:t>
      </w:r>
      <w:r w:rsidR="00E964B4" w:rsidRPr="00FA6E69">
        <w:rPr>
          <w:rFonts w:eastAsia="Malgun Gothic" w:cs="Times New Roman"/>
          <w:kern w:val="22"/>
          <w:szCs w:val="22"/>
        </w:rPr>
        <w:t>’</w:t>
      </w:r>
      <w:r w:rsidR="00997BA8" w:rsidRPr="00FA6E69">
        <w:rPr>
          <w:rFonts w:eastAsia="Malgun Gothic" w:cs="Times New Roman"/>
          <w:kern w:val="22"/>
          <w:szCs w:val="22"/>
        </w:rPr>
        <w:t>étendue et au niveau d</w:t>
      </w:r>
      <w:r w:rsidR="00E964B4" w:rsidRPr="00FA6E69">
        <w:rPr>
          <w:rFonts w:eastAsia="Malgun Gothic" w:cs="Times New Roman"/>
          <w:kern w:val="22"/>
          <w:szCs w:val="22"/>
        </w:rPr>
        <w:t>’</w:t>
      </w:r>
      <w:r w:rsidR="00997BA8" w:rsidRPr="00FA6E69">
        <w:rPr>
          <w:rFonts w:eastAsia="Malgun Gothic" w:cs="Times New Roman"/>
          <w:kern w:val="22"/>
          <w:szCs w:val="22"/>
        </w:rPr>
        <w:t>ambition définis dans l</w:t>
      </w:r>
      <w:r w:rsidR="00E964B4" w:rsidRPr="00FA6E69">
        <w:rPr>
          <w:rFonts w:eastAsia="Malgun Gothic" w:cs="Times New Roman"/>
          <w:kern w:val="22"/>
          <w:szCs w:val="22"/>
        </w:rPr>
        <w:t>’</w:t>
      </w:r>
      <w:r w:rsidR="00997BA8" w:rsidRPr="00FA6E69">
        <w:rPr>
          <w:rFonts w:eastAsia="Malgun Gothic" w:cs="Times New Roman"/>
          <w:kern w:val="22"/>
          <w:szCs w:val="22"/>
        </w:rPr>
        <w:t>Objectif d</w:t>
      </w:r>
      <w:r w:rsidR="00E964B4" w:rsidRPr="00FA6E69">
        <w:rPr>
          <w:rFonts w:eastAsia="Malgun Gothic" w:cs="Times New Roman"/>
          <w:kern w:val="22"/>
          <w:szCs w:val="22"/>
        </w:rPr>
        <w:t>’</w:t>
      </w:r>
      <w:r w:rsidR="00997BA8" w:rsidRPr="00FA6E69">
        <w:rPr>
          <w:rFonts w:eastAsia="Malgun Gothic" w:cs="Times New Roman"/>
          <w:kern w:val="22"/>
          <w:szCs w:val="22"/>
        </w:rPr>
        <w:t>Aichi</w:t>
      </w:r>
      <w:r w:rsidRPr="00FA6E69">
        <w:rPr>
          <w:rFonts w:eastAsia="Malgun Gothic" w:cs="Times New Roman"/>
          <w:kern w:val="22"/>
          <w:szCs w:val="22"/>
        </w:rPr>
        <w:t>,</w:t>
      </w:r>
      <w:r w:rsidR="00997BA8" w:rsidRPr="00FA6E69">
        <w:rPr>
          <w:rFonts w:eastAsia="Malgun Gothic" w:cs="Times New Roman"/>
          <w:kern w:val="22"/>
          <w:szCs w:val="22"/>
          <w:vertAlign w:val="superscript"/>
        </w:rPr>
        <w:footnoteReference w:id="37"/>
      </w:r>
      <w:r w:rsidR="00DB07C2" w:rsidRPr="00FA6E69">
        <w:rPr>
          <w:rFonts w:eastAsia="Malgun Gothic" w:cs="Times New Roman"/>
          <w:kern w:val="22"/>
          <w:szCs w:val="22"/>
        </w:rPr>
        <w:t xml:space="preserve"> </w:t>
      </w:r>
      <w:r w:rsidRPr="00FA6E69">
        <w:rPr>
          <w:rFonts w:eastAsia="Malgun Gothic" w:cs="Times New Roman"/>
          <w:kern w:val="22"/>
          <w:szCs w:val="22"/>
        </w:rPr>
        <w:t xml:space="preserve">et </w:t>
      </w:r>
      <w:r w:rsidR="00743B25" w:rsidRPr="00FA6E69">
        <w:rPr>
          <w:rFonts w:eastAsia="Malgun Gothic" w:cs="Times New Roman"/>
          <w:kern w:val="22"/>
          <w:szCs w:val="22"/>
        </w:rPr>
        <w:t>une Partie a fixé un objectif le dépassant puisqu’elle a fixé un terme plus court</w:t>
      </w:r>
      <w:r w:rsidR="00743B25" w:rsidRPr="00FA6E69">
        <w:rPr>
          <w:rStyle w:val="Refdenotaalpie"/>
          <w:rFonts w:eastAsia="Malgun Gothic"/>
          <w:kern w:val="22"/>
          <w:szCs w:val="22"/>
          <w:vertAlign w:val="superscript"/>
        </w:rPr>
        <w:footnoteReference w:id="38"/>
      </w:r>
      <w:r w:rsidR="00743B25" w:rsidRPr="00FA6E69">
        <w:rPr>
          <w:rFonts w:eastAsia="Malgun Gothic" w:cs="Times New Roman"/>
          <w:kern w:val="22"/>
          <w:szCs w:val="22"/>
        </w:rPr>
        <w:t>.P</w:t>
      </w:r>
      <w:r w:rsidR="00DB07C2" w:rsidRPr="00FA6E69">
        <w:rPr>
          <w:rFonts w:eastAsia="Malgun Gothic" w:cs="Times New Roman"/>
          <w:kern w:val="22"/>
          <w:szCs w:val="22"/>
        </w:rPr>
        <w:t>lus de la moitié (5</w:t>
      </w:r>
      <w:r w:rsidR="00743B25" w:rsidRPr="00FA6E69">
        <w:rPr>
          <w:rFonts w:eastAsia="Malgun Gothic" w:cs="Times New Roman"/>
          <w:kern w:val="22"/>
          <w:szCs w:val="22"/>
        </w:rPr>
        <w:t>6</w:t>
      </w:r>
      <w:r w:rsidR="00997BA8" w:rsidRPr="00FA6E69">
        <w:rPr>
          <w:rFonts w:eastAsia="Malgun Gothic" w:cs="Times New Roman"/>
          <w:kern w:val="22"/>
          <w:szCs w:val="22"/>
        </w:rPr>
        <w:t> </w:t>
      </w:r>
      <w:r w:rsidR="00360989" w:rsidRPr="00FA6E69">
        <w:rPr>
          <w:rFonts w:eastAsia="Malgun Gothic" w:cs="Times New Roman"/>
          <w:kern w:val="22"/>
          <w:szCs w:val="22"/>
        </w:rPr>
        <w:t>pour cent</w:t>
      </w:r>
      <w:r w:rsidR="00997BA8" w:rsidRPr="00FA6E69">
        <w:rPr>
          <w:rFonts w:eastAsia="Malgun Gothic" w:cs="Times New Roman"/>
          <w:kern w:val="22"/>
          <w:szCs w:val="22"/>
        </w:rPr>
        <w:t>) des SPANB contiennent des objectifs qui sont inférieurs à l</w:t>
      </w:r>
      <w:r w:rsidR="00E964B4" w:rsidRPr="00FA6E69">
        <w:rPr>
          <w:rFonts w:eastAsia="Malgun Gothic" w:cs="Times New Roman"/>
          <w:kern w:val="22"/>
          <w:szCs w:val="22"/>
        </w:rPr>
        <w:t>’</w:t>
      </w:r>
      <w:r w:rsidR="00997BA8" w:rsidRPr="00FA6E69">
        <w:rPr>
          <w:rFonts w:eastAsia="Malgun Gothic" w:cs="Times New Roman"/>
          <w:kern w:val="22"/>
          <w:szCs w:val="22"/>
        </w:rPr>
        <w:t>Objectif d</w:t>
      </w:r>
      <w:r w:rsidR="00E964B4" w:rsidRPr="00FA6E69">
        <w:rPr>
          <w:rFonts w:eastAsia="Malgun Gothic" w:cs="Times New Roman"/>
          <w:kern w:val="22"/>
          <w:szCs w:val="22"/>
        </w:rPr>
        <w:t>’</w:t>
      </w:r>
      <w:r w:rsidR="00997BA8" w:rsidRPr="00FA6E69">
        <w:rPr>
          <w:rFonts w:eastAsia="Malgun Gothic" w:cs="Times New Roman"/>
          <w:kern w:val="22"/>
          <w:szCs w:val="22"/>
        </w:rPr>
        <w:t>Aichi ou qui ne traitent pas tous les éléments de l</w:t>
      </w:r>
      <w:r w:rsidR="00E964B4" w:rsidRPr="00FA6E69">
        <w:rPr>
          <w:rFonts w:eastAsia="Malgun Gothic" w:cs="Times New Roman"/>
          <w:kern w:val="22"/>
          <w:szCs w:val="22"/>
        </w:rPr>
        <w:t>’</w:t>
      </w:r>
      <w:r w:rsidR="00997BA8" w:rsidRPr="00FA6E69">
        <w:rPr>
          <w:rFonts w:eastAsia="Malgun Gothic" w:cs="Times New Roman"/>
          <w:kern w:val="22"/>
          <w:szCs w:val="22"/>
        </w:rPr>
        <w:t>Objectif 20 d</w:t>
      </w:r>
      <w:r w:rsidR="00E964B4" w:rsidRPr="00FA6E69">
        <w:rPr>
          <w:rFonts w:eastAsia="Malgun Gothic" w:cs="Times New Roman"/>
          <w:kern w:val="22"/>
          <w:szCs w:val="22"/>
        </w:rPr>
        <w:t>’</w:t>
      </w:r>
      <w:r w:rsidR="00997BA8" w:rsidRPr="00FA6E69">
        <w:rPr>
          <w:rFonts w:eastAsia="Malgun Gothic" w:cs="Times New Roman"/>
          <w:kern w:val="22"/>
          <w:szCs w:val="22"/>
        </w:rPr>
        <w:t>Aichi. Les objectifs définis tendent à présenter un caractère général et la plupart d</w:t>
      </w:r>
      <w:r w:rsidR="00E964B4" w:rsidRPr="00FA6E69">
        <w:rPr>
          <w:rFonts w:eastAsia="Malgun Gothic" w:cs="Times New Roman"/>
          <w:kern w:val="22"/>
          <w:szCs w:val="22"/>
        </w:rPr>
        <w:t>’</w:t>
      </w:r>
      <w:r w:rsidR="00997BA8" w:rsidRPr="00FA6E69">
        <w:rPr>
          <w:rFonts w:eastAsia="Malgun Gothic" w:cs="Times New Roman"/>
          <w:kern w:val="22"/>
          <w:szCs w:val="22"/>
        </w:rPr>
        <w:t>entre eux ne se réfèrent pas à l</w:t>
      </w:r>
      <w:r w:rsidR="00E964B4" w:rsidRPr="00FA6E69">
        <w:rPr>
          <w:rFonts w:eastAsia="Malgun Gothic" w:cs="Times New Roman"/>
          <w:kern w:val="22"/>
          <w:szCs w:val="22"/>
        </w:rPr>
        <w:t>’</w:t>
      </w:r>
      <w:r w:rsidR="00997BA8" w:rsidRPr="00FA6E69">
        <w:rPr>
          <w:rFonts w:eastAsia="Malgun Gothic" w:cs="Times New Roman"/>
          <w:kern w:val="22"/>
          <w:szCs w:val="22"/>
        </w:rPr>
        <w:t>augmentation des ressources de toutes les sources ou ne précisent pas que les ressources devraient augmenter de façon substantielle. Par ailleurs, de nombreux objectifs définis concernent également des ressources non financières, telles que les ressources humaines. Près d</w:t>
      </w:r>
      <w:r w:rsidR="00E964B4" w:rsidRPr="00FA6E69">
        <w:rPr>
          <w:rFonts w:eastAsia="Malgun Gothic" w:cs="Times New Roman"/>
          <w:kern w:val="22"/>
          <w:szCs w:val="22"/>
        </w:rPr>
        <w:t>’</w:t>
      </w:r>
      <w:r w:rsidR="00997BA8" w:rsidRPr="00FA6E69">
        <w:rPr>
          <w:rFonts w:eastAsia="Malgun Gothic" w:cs="Times New Roman"/>
          <w:kern w:val="22"/>
          <w:szCs w:val="22"/>
        </w:rPr>
        <w:t>un quart (24 </w:t>
      </w:r>
      <w:r w:rsidR="00360989" w:rsidRPr="00FA6E69">
        <w:rPr>
          <w:rFonts w:eastAsia="Malgun Gothic" w:cs="Times New Roman"/>
          <w:kern w:val="22"/>
          <w:szCs w:val="22"/>
        </w:rPr>
        <w:t>pour cent</w:t>
      </w:r>
      <w:r w:rsidR="00997BA8" w:rsidRPr="00FA6E69">
        <w:rPr>
          <w:rFonts w:eastAsia="Malgun Gothic" w:cs="Times New Roman"/>
          <w:kern w:val="22"/>
          <w:szCs w:val="22"/>
        </w:rPr>
        <w:t>) des SPANB ne contiennent aucun objectif lié à cet Objectif d</w:t>
      </w:r>
      <w:r w:rsidR="00E964B4" w:rsidRPr="00FA6E69">
        <w:rPr>
          <w:rFonts w:eastAsia="Malgun Gothic" w:cs="Times New Roman"/>
          <w:kern w:val="22"/>
          <w:szCs w:val="22"/>
        </w:rPr>
        <w:t>’</w:t>
      </w:r>
      <w:r w:rsidR="00997BA8" w:rsidRPr="00FA6E69">
        <w:rPr>
          <w:rFonts w:eastAsia="Malgun Gothic" w:cs="Times New Roman"/>
          <w:kern w:val="22"/>
          <w:szCs w:val="22"/>
        </w:rPr>
        <w:t>Aichi.</w:t>
      </w:r>
    </w:p>
    <w:p w:rsidR="00D706A4" w:rsidRPr="00FA6E69" w:rsidRDefault="002B712B" w:rsidP="00DB07C2">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Moins d</w:t>
      </w:r>
      <w:r w:rsidR="00E964B4" w:rsidRPr="00FA6E69">
        <w:rPr>
          <w:rFonts w:eastAsia="Malgun Gothic" w:cs="Times New Roman"/>
          <w:kern w:val="22"/>
          <w:szCs w:val="22"/>
        </w:rPr>
        <w:t>’</w:t>
      </w:r>
      <w:r w:rsidRPr="00FA6E69">
        <w:rPr>
          <w:rFonts w:eastAsia="Malgun Gothic" w:cs="Times New Roman"/>
          <w:kern w:val="22"/>
          <w:szCs w:val="22"/>
        </w:rPr>
        <w:t>un dixième</w:t>
      </w:r>
      <w:r w:rsidR="00DB07C2" w:rsidRPr="00FA6E69">
        <w:rPr>
          <w:rFonts w:eastAsia="Malgun Gothic" w:cs="Times New Roman"/>
          <w:kern w:val="22"/>
          <w:szCs w:val="22"/>
        </w:rPr>
        <w:t xml:space="preserve"> (8</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rapports nationaux pris en compte dans cette évaluation contiennent des informations suggérant que cet objectif est en voie d</w:t>
      </w:r>
      <w:r w:rsidR="00E964B4" w:rsidRPr="00FA6E69">
        <w:rPr>
          <w:rFonts w:eastAsia="Malgun Gothic" w:cs="Times New Roman"/>
          <w:kern w:val="22"/>
          <w:szCs w:val="22"/>
        </w:rPr>
        <w:t>’</w:t>
      </w:r>
      <w:r w:rsidRPr="00FA6E69">
        <w:rPr>
          <w:rFonts w:eastAsia="Malgun Gothic" w:cs="Times New Roman"/>
          <w:kern w:val="22"/>
          <w:szCs w:val="22"/>
        </w:rPr>
        <w:t>êtr</w:t>
      </w:r>
      <w:r w:rsidR="00DB07C2" w:rsidRPr="00FA6E69">
        <w:rPr>
          <w:rFonts w:eastAsia="Malgun Gothic" w:cs="Times New Roman"/>
          <w:kern w:val="22"/>
          <w:szCs w:val="22"/>
        </w:rPr>
        <w:t>e atteint. Près de la moitié (4</w:t>
      </w:r>
      <w:r w:rsidR="00743B25" w:rsidRPr="00FA6E69">
        <w:rPr>
          <w:rFonts w:eastAsia="Malgun Gothic" w:cs="Times New Roman"/>
          <w:kern w:val="22"/>
          <w:szCs w:val="22"/>
        </w:rPr>
        <w:t>7</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des rapports contiennent des informations suggérant que, malgré les progrès accomplis dans la réalisation de l</w:t>
      </w:r>
      <w:r w:rsidR="00E964B4" w:rsidRPr="00FA6E69">
        <w:rPr>
          <w:rFonts w:eastAsia="Malgun Gothic" w:cs="Times New Roman"/>
          <w:kern w:val="22"/>
          <w:szCs w:val="22"/>
        </w:rPr>
        <w:t>’</w:t>
      </w:r>
      <w:r w:rsidRPr="00FA6E69">
        <w:rPr>
          <w:rFonts w:eastAsia="Malgun Gothic" w:cs="Times New Roman"/>
          <w:kern w:val="22"/>
          <w:szCs w:val="22"/>
        </w:rPr>
        <w:t>objectif, celui</w:t>
      </w:r>
      <w:r w:rsidR="009F23B8" w:rsidRPr="00FA6E69">
        <w:rPr>
          <w:rFonts w:eastAsia="Malgun Gothic" w:cs="Times New Roman"/>
          <w:kern w:val="22"/>
          <w:szCs w:val="22"/>
        </w:rPr>
        <w:noBreakHyphen/>
      </w:r>
      <w:r w:rsidRPr="00FA6E69">
        <w:rPr>
          <w:rFonts w:eastAsia="Malgun Gothic" w:cs="Times New Roman"/>
          <w:kern w:val="22"/>
          <w:szCs w:val="22"/>
        </w:rPr>
        <w:t>ci n</w:t>
      </w:r>
      <w:r w:rsidR="00E964B4" w:rsidRPr="00FA6E69">
        <w:rPr>
          <w:rFonts w:eastAsia="Malgun Gothic" w:cs="Times New Roman"/>
          <w:kern w:val="22"/>
          <w:szCs w:val="22"/>
        </w:rPr>
        <w:t>’</w:t>
      </w:r>
      <w:r w:rsidRPr="00FA6E69">
        <w:rPr>
          <w:rFonts w:eastAsia="Malgun Gothic" w:cs="Times New Roman"/>
          <w:kern w:val="22"/>
          <w:szCs w:val="22"/>
        </w:rPr>
        <w:t>est pas en voie d</w:t>
      </w:r>
      <w:r w:rsidR="00E964B4" w:rsidRPr="00FA6E69">
        <w:rPr>
          <w:rFonts w:eastAsia="Malgun Gothic" w:cs="Times New Roman"/>
          <w:kern w:val="22"/>
          <w:szCs w:val="22"/>
        </w:rPr>
        <w:t>’</w:t>
      </w:r>
      <w:r w:rsidRPr="00FA6E69">
        <w:rPr>
          <w:rFonts w:eastAsia="Malgun Gothic" w:cs="Times New Roman"/>
          <w:kern w:val="22"/>
          <w:szCs w:val="22"/>
        </w:rPr>
        <w:t>être atteint actuellement. Plus d</w:t>
      </w:r>
      <w:r w:rsidR="00E964B4" w:rsidRPr="00FA6E69">
        <w:rPr>
          <w:rFonts w:eastAsia="Malgun Gothic" w:cs="Times New Roman"/>
          <w:kern w:val="22"/>
          <w:szCs w:val="22"/>
        </w:rPr>
        <w:t>’</w:t>
      </w:r>
      <w:r w:rsidRPr="00FA6E69">
        <w:rPr>
          <w:rFonts w:eastAsia="Malgun Gothic" w:cs="Times New Roman"/>
          <w:kern w:val="22"/>
          <w:szCs w:val="22"/>
        </w:rPr>
        <w:t>un quart des rapports nationaux contiennent des informations suggérant qu</w:t>
      </w:r>
      <w:r w:rsidR="00E964B4" w:rsidRPr="00FA6E69">
        <w:rPr>
          <w:rFonts w:eastAsia="Malgun Gothic" w:cs="Times New Roman"/>
          <w:kern w:val="22"/>
          <w:szCs w:val="22"/>
        </w:rPr>
        <w:t>’</w:t>
      </w:r>
      <w:r w:rsidRPr="00FA6E69">
        <w:rPr>
          <w:rFonts w:eastAsia="Malgun Gothic" w:cs="Times New Roman"/>
          <w:kern w:val="22"/>
          <w:szCs w:val="22"/>
        </w:rPr>
        <w:t>aucun progrès n</w:t>
      </w:r>
      <w:r w:rsidR="00E964B4" w:rsidRPr="00FA6E69">
        <w:rPr>
          <w:rFonts w:eastAsia="Malgun Gothic" w:cs="Times New Roman"/>
          <w:kern w:val="22"/>
          <w:szCs w:val="22"/>
        </w:rPr>
        <w:t>’</w:t>
      </w:r>
      <w:r w:rsidRPr="00FA6E69">
        <w:rPr>
          <w:rFonts w:eastAsia="Malgun Gothic" w:cs="Times New Roman"/>
          <w:kern w:val="22"/>
          <w:szCs w:val="22"/>
        </w:rPr>
        <w:t>a été accompli dans la réalisation de l</w:t>
      </w:r>
      <w:r w:rsidR="00E964B4" w:rsidRPr="00FA6E69">
        <w:rPr>
          <w:rFonts w:eastAsia="Malgun Gothic" w:cs="Times New Roman"/>
          <w:kern w:val="22"/>
          <w:szCs w:val="22"/>
        </w:rPr>
        <w:t>’</w:t>
      </w:r>
      <w:r w:rsidRPr="00FA6E69">
        <w:rPr>
          <w:rFonts w:eastAsia="Malgun Gothic" w:cs="Times New Roman"/>
          <w:kern w:val="22"/>
          <w:szCs w:val="22"/>
        </w:rPr>
        <w:t>objectif (26 </w:t>
      </w:r>
      <w:r w:rsidR="00360989" w:rsidRPr="00FA6E69">
        <w:rPr>
          <w:rFonts w:eastAsia="Malgun Gothic" w:cs="Times New Roman"/>
          <w:kern w:val="22"/>
          <w:szCs w:val="22"/>
        </w:rPr>
        <w:t>pour cent</w:t>
      </w:r>
      <w:r w:rsidRPr="00FA6E69">
        <w:rPr>
          <w:rFonts w:eastAsia="Malgun Gothic" w:cs="Times New Roman"/>
          <w:kern w:val="22"/>
          <w:szCs w:val="22"/>
        </w:rPr>
        <w:t>) ou que la situation concernant les ressources de la diversité biologique se dégrade (</w:t>
      </w:r>
      <w:r w:rsidR="00743B25"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Dix</w:t>
      </w:r>
      <w:r w:rsidR="009F23B8" w:rsidRPr="00FA6E69">
        <w:rPr>
          <w:rFonts w:eastAsia="Malgun Gothic" w:cs="Times New Roman"/>
          <w:kern w:val="22"/>
          <w:szCs w:val="22"/>
        </w:rPr>
        <w:noBreakHyphen/>
      </w:r>
      <w:r w:rsidR="00DB07C2" w:rsidRPr="00FA6E69">
        <w:rPr>
          <w:rFonts w:eastAsia="Malgun Gothic" w:cs="Times New Roman"/>
          <w:kern w:val="22"/>
          <w:szCs w:val="22"/>
        </w:rPr>
        <w:t>sept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ne contiennent pas d</w:t>
      </w:r>
      <w:r w:rsidR="00E964B4" w:rsidRPr="00FA6E69">
        <w:rPr>
          <w:rFonts w:eastAsia="Malgun Gothic" w:cs="Times New Roman"/>
          <w:kern w:val="22"/>
          <w:szCs w:val="22"/>
        </w:rPr>
        <w:t>’</w:t>
      </w:r>
      <w:r w:rsidRPr="00FA6E69">
        <w:rPr>
          <w:rFonts w:eastAsia="Malgun Gothic" w:cs="Times New Roman"/>
          <w:kern w:val="22"/>
          <w:szCs w:val="22"/>
        </w:rPr>
        <w:t>informations suffisantes permettant d</w:t>
      </w:r>
      <w:r w:rsidR="00E964B4" w:rsidRPr="00FA6E69">
        <w:rPr>
          <w:rFonts w:eastAsia="Malgun Gothic" w:cs="Times New Roman"/>
          <w:kern w:val="22"/>
          <w:szCs w:val="22"/>
        </w:rPr>
        <w:t>’</w:t>
      </w:r>
      <w:r w:rsidRPr="00FA6E69">
        <w:rPr>
          <w:rFonts w:eastAsia="Malgun Gothic" w:cs="Times New Roman"/>
          <w:kern w:val="22"/>
          <w:szCs w:val="22"/>
        </w:rPr>
        <w:t>évaluer les progrès accomplis dans la réalisation de cet Objectif d</w:t>
      </w:r>
      <w:r w:rsidR="00E964B4" w:rsidRPr="00FA6E69">
        <w:rPr>
          <w:rFonts w:eastAsia="Malgun Gothic" w:cs="Times New Roman"/>
          <w:kern w:val="22"/>
          <w:szCs w:val="22"/>
        </w:rPr>
        <w:t>’</w:t>
      </w:r>
      <w:r w:rsidRPr="00FA6E69">
        <w:rPr>
          <w:rFonts w:eastAsia="Malgun Gothic" w:cs="Times New Roman"/>
          <w:kern w:val="22"/>
          <w:szCs w:val="22"/>
        </w:rPr>
        <w:t>Aichi. Les rapports nationaux contiennent relativement peu d</w:t>
      </w:r>
      <w:r w:rsidR="00E964B4" w:rsidRPr="00FA6E69">
        <w:rPr>
          <w:rFonts w:eastAsia="Malgun Gothic" w:cs="Times New Roman"/>
          <w:kern w:val="22"/>
          <w:szCs w:val="22"/>
        </w:rPr>
        <w:t>’</w:t>
      </w:r>
      <w:r w:rsidRPr="00FA6E69">
        <w:rPr>
          <w:rFonts w:eastAsia="Malgun Gothic" w:cs="Times New Roman"/>
          <w:kern w:val="22"/>
          <w:szCs w:val="22"/>
        </w:rPr>
        <w:t>informations concernant les progrès accomplis dans la création des ressources de toutes les sources. La plupart des informations semblent se concentrer sur l</w:t>
      </w:r>
      <w:r w:rsidR="00E964B4" w:rsidRPr="00FA6E69">
        <w:rPr>
          <w:rFonts w:eastAsia="Malgun Gothic" w:cs="Times New Roman"/>
          <w:kern w:val="22"/>
          <w:szCs w:val="22"/>
        </w:rPr>
        <w:t>’</w:t>
      </w:r>
      <w:r w:rsidRPr="00FA6E69">
        <w:rPr>
          <w:rFonts w:eastAsia="Malgun Gothic" w:cs="Times New Roman"/>
          <w:kern w:val="22"/>
          <w:szCs w:val="22"/>
        </w:rPr>
        <w:t>augmentation des ressources provenant de sources gouvernementales</w:t>
      </w:r>
      <w:r w:rsidR="006061E5" w:rsidRPr="00FA6E69">
        <w:rPr>
          <w:rFonts w:eastAsia="Malgun Gothic" w:cs="Times New Roman"/>
          <w:kern w:val="22"/>
          <w:szCs w:val="22"/>
        </w:rPr>
        <w:t>.</w:t>
      </w:r>
    </w:p>
    <w:p w:rsidR="00D706A4" w:rsidRPr="00FA6E69" w:rsidRDefault="00F371CB" w:rsidP="000C499C">
      <w:pPr>
        <w:keepNext/>
        <w:numPr>
          <w:ilvl w:val="0"/>
          <w:numId w:val="61"/>
        </w:numPr>
        <w:suppressLineNumbers/>
        <w:suppressAutoHyphens/>
        <w:spacing w:before="120" w:after="120"/>
        <w:ind w:left="0" w:firstLine="0"/>
        <w:jc w:val="center"/>
        <w:rPr>
          <w:rFonts w:cs="Times New Roman"/>
          <w:b/>
          <w:bCs/>
        </w:rPr>
      </w:pPr>
      <w:r w:rsidRPr="00FA6E69">
        <w:rPr>
          <w:rFonts w:cs="Times New Roman"/>
          <w:b/>
          <w:bCs/>
        </w:rPr>
        <w:t>CONCLUSIONS</w:t>
      </w:r>
    </w:p>
    <w:p w:rsidR="00D706A4" w:rsidRPr="00FA6E69" w:rsidRDefault="0011081D" w:rsidP="000675DC">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La majorité des SPANB pris en considération dans l</w:t>
      </w:r>
      <w:r w:rsidR="00E964B4" w:rsidRPr="00FA6E69">
        <w:rPr>
          <w:rFonts w:eastAsia="Malgun Gothic" w:cs="Times New Roman"/>
          <w:kern w:val="22"/>
          <w:szCs w:val="22"/>
        </w:rPr>
        <w:t>’</w:t>
      </w:r>
      <w:r w:rsidRPr="00FA6E69">
        <w:rPr>
          <w:rFonts w:eastAsia="Malgun Gothic" w:cs="Times New Roman"/>
          <w:kern w:val="22"/>
          <w:szCs w:val="22"/>
        </w:rPr>
        <w:t>évaluation contiennent des objectifs liés aux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bien que pour certains Objectifs d</w:t>
      </w:r>
      <w:r w:rsidR="00E964B4" w:rsidRPr="00FA6E69">
        <w:rPr>
          <w:rFonts w:eastAsia="Malgun Gothic" w:cs="Times New Roman"/>
          <w:kern w:val="22"/>
          <w:szCs w:val="22"/>
        </w:rPr>
        <w:t>’</w:t>
      </w:r>
      <w:r w:rsidRPr="00FA6E69">
        <w:rPr>
          <w:rFonts w:eastAsia="Malgun Gothic" w:cs="Times New Roman"/>
          <w:kern w:val="22"/>
          <w:szCs w:val="22"/>
        </w:rPr>
        <w:t xml:space="preserve">Aichi, tels que les </w:t>
      </w:r>
      <w:r w:rsidRPr="00FA6E69">
        <w:rPr>
          <w:rFonts w:eastAsia="Malgun Gothic" w:cs="Times New Roman"/>
          <w:kern w:val="22"/>
          <w:szCs w:val="22"/>
        </w:rPr>
        <w:br/>
        <w:t>Objectifs 3, 6, 10, 14 et 17, de nombreux SPANB n</w:t>
      </w:r>
      <w:r w:rsidR="00E964B4" w:rsidRPr="00FA6E69">
        <w:rPr>
          <w:rFonts w:eastAsia="Malgun Gothic" w:cs="Times New Roman"/>
          <w:kern w:val="22"/>
          <w:szCs w:val="22"/>
        </w:rPr>
        <w:t>’</w:t>
      </w:r>
      <w:r w:rsidRPr="00FA6E69">
        <w:rPr>
          <w:rFonts w:eastAsia="Malgun Gothic" w:cs="Times New Roman"/>
          <w:kern w:val="22"/>
          <w:szCs w:val="22"/>
        </w:rPr>
        <w:t xml:space="preserve">intègrent aucun objectif national ni engagement. Les Objectifs 1, </w:t>
      </w:r>
      <w:r w:rsidR="000675DC" w:rsidRPr="00FA6E69">
        <w:rPr>
          <w:rFonts w:eastAsia="Malgun Gothic" w:cs="Times New Roman"/>
          <w:kern w:val="22"/>
          <w:szCs w:val="22"/>
        </w:rPr>
        <w:t>8, 9, 11, 12, 16, 17 et 19</w:t>
      </w:r>
      <w:r w:rsidRPr="00FA6E69">
        <w:rPr>
          <w:rFonts w:eastAsia="Malgun Gothic" w:cs="Times New Roman"/>
          <w:kern w:val="22"/>
          <w:szCs w:val="22"/>
        </w:rPr>
        <w:t xml:space="preserve"> sont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pour lesquels il y a le plus d</w:t>
      </w:r>
      <w:r w:rsidR="00E964B4" w:rsidRPr="00FA6E69">
        <w:rPr>
          <w:rFonts w:eastAsia="Malgun Gothic" w:cs="Times New Roman"/>
          <w:kern w:val="22"/>
          <w:szCs w:val="22"/>
        </w:rPr>
        <w:t>’</w:t>
      </w:r>
      <w:r w:rsidRPr="00FA6E69">
        <w:rPr>
          <w:rFonts w:eastAsia="Malgun Gothic" w:cs="Times New Roman"/>
          <w:kern w:val="22"/>
          <w:szCs w:val="22"/>
        </w:rPr>
        <w:t>objectifs ou d</w:t>
      </w:r>
      <w:r w:rsidR="00E964B4" w:rsidRPr="00FA6E69">
        <w:rPr>
          <w:rFonts w:eastAsia="Malgun Gothic" w:cs="Times New Roman"/>
          <w:kern w:val="22"/>
          <w:szCs w:val="22"/>
        </w:rPr>
        <w:t>’</w:t>
      </w:r>
      <w:r w:rsidRPr="00FA6E69">
        <w:rPr>
          <w:rFonts w:eastAsia="Malgun Gothic" w:cs="Times New Roman"/>
          <w:kern w:val="22"/>
          <w:szCs w:val="22"/>
        </w:rPr>
        <w:t>engagements nationaux similaires. Cependant, même dans ces cas, le nombre de SPANB dont les objectifs sont similaires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des Objec</w:t>
      </w:r>
      <w:r w:rsidR="000675DC" w:rsidRPr="00FA6E69">
        <w:rPr>
          <w:rFonts w:eastAsia="Malgun Gothic" w:cs="Times New Roman"/>
          <w:kern w:val="22"/>
          <w:szCs w:val="22"/>
        </w:rPr>
        <w:t>tifs d</w:t>
      </w:r>
      <w:r w:rsidR="00E964B4" w:rsidRPr="00FA6E69">
        <w:rPr>
          <w:rFonts w:eastAsia="Malgun Gothic" w:cs="Times New Roman"/>
          <w:kern w:val="22"/>
          <w:szCs w:val="22"/>
        </w:rPr>
        <w:t>’</w:t>
      </w:r>
      <w:r w:rsidR="000675DC" w:rsidRPr="00FA6E69">
        <w:rPr>
          <w:rFonts w:eastAsia="Malgun Gothic" w:cs="Times New Roman"/>
          <w:kern w:val="22"/>
          <w:szCs w:val="22"/>
        </w:rPr>
        <w:t>Aichi dépasse rarement 20</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(voir figure 1). Dans l</w:t>
      </w:r>
      <w:r w:rsidR="00E964B4" w:rsidRPr="00FA6E69">
        <w:rPr>
          <w:rFonts w:eastAsia="Malgun Gothic" w:cs="Times New Roman"/>
          <w:kern w:val="22"/>
          <w:szCs w:val="22"/>
        </w:rPr>
        <w:t>’</w:t>
      </w:r>
      <w:r w:rsidRPr="00FA6E69">
        <w:rPr>
          <w:rFonts w:eastAsia="Malgun Gothic" w:cs="Times New Roman"/>
          <w:kern w:val="22"/>
          <w:szCs w:val="22"/>
        </w:rPr>
        <w:t>ensemble, la majorité des objectifs nationaux et/ou engagements contenus dans les SPANB sont inférieurs aux Objectifs d</w:t>
      </w:r>
      <w:r w:rsidR="00E964B4" w:rsidRPr="00FA6E69">
        <w:rPr>
          <w:rFonts w:eastAsia="Malgun Gothic" w:cs="Times New Roman"/>
          <w:kern w:val="22"/>
          <w:szCs w:val="22"/>
        </w:rPr>
        <w:t>’</w:t>
      </w:r>
      <w:r w:rsidRPr="00FA6E69">
        <w:rPr>
          <w:rFonts w:eastAsia="Malgun Gothic" w:cs="Times New Roman"/>
          <w:kern w:val="22"/>
          <w:szCs w:val="22"/>
        </w:rPr>
        <w:t>Aichi ou ne traitent pas tous les éléments de l</w:t>
      </w:r>
      <w:r w:rsidR="00E964B4" w:rsidRPr="00FA6E69">
        <w:rPr>
          <w:rFonts w:eastAsia="Malgun Gothic" w:cs="Times New Roman"/>
          <w:kern w:val="22"/>
          <w:szCs w:val="22"/>
        </w:rPr>
        <w:t>’</w:t>
      </w:r>
      <w:r w:rsidRPr="00FA6E69">
        <w:rPr>
          <w:rFonts w:eastAsia="Malgun Gothic" w:cs="Times New Roman"/>
          <w:kern w:val="22"/>
          <w:szCs w:val="22"/>
        </w:rPr>
        <w:t>Objectif d</w:t>
      </w:r>
      <w:r w:rsidR="00E964B4" w:rsidRPr="00FA6E69">
        <w:rPr>
          <w:rFonts w:eastAsia="Malgun Gothic" w:cs="Times New Roman"/>
          <w:kern w:val="22"/>
          <w:szCs w:val="22"/>
        </w:rPr>
        <w:t>’</w:t>
      </w:r>
      <w:r w:rsidRPr="00FA6E69">
        <w:rPr>
          <w:rFonts w:eastAsia="Malgun Gothic" w:cs="Times New Roman"/>
          <w:kern w:val="22"/>
          <w:szCs w:val="22"/>
        </w:rPr>
        <w:t>Aichi. Les objectifs nationaux définis à ce jour ont un caractère plus général que les Objectifs d</w:t>
      </w:r>
      <w:r w:rsidR="00E964B4" w:rsidRPr="00FA6E69">
        <w:rPr>
          <w:rFonts w:eastAsia="Malgun Gothic" w:cs="Times New Roman"/>
          <w:kern w:val="22"/>
          <w:szCs w:val="22"/>
        </w:rPr>
        <w:t>’</w:t>
      </w:r>
      <w:r w:rsidRPr="00FA6E69">
        <w:rPr>
          <w:rFonts w:eastAsia="Malgun Gothic" w:cs="Times New Roman"/>
          <w:kern w:val="22"/>
          <w:szCs w:val="22"/>
        </w:rPr>
        <w:t xml:space="preserve">Aichi. De nombreuses Parties ont défini des objectifs qui se réfèrent à plusieurs Objectifs </w:t>
      </w:r>
      <w:r w:rsidRPr="00FA6E69">
        <w:rPr>
          <w:rFonts w:eastAsia="Malgun Gothic" w:cs="Times New Roman"/>
          <w:kern w:val="22"/>
          <w:szCs w:val="22"/>
        </w:rPr>
        <w:lastRenderedPageBreak/>
        <w:t>d</w:t>
      </w:r>
      <w:r w:rsidR="00E964B4" w:rsidRPr="00FA6E69">
        <w:rPr>
          <w:rFonts w:eastAsia="Malgun Gothic" w:cs="Times New Roman"/>
          <w:kern w:val="22"/>
          <w:szCs w:val="22"/>
        </w:rPr>
        <w:t>’</w:t>
      </w:r>
      <w:r w:rsidRPr="00FA6E69">
        <w:rPr>
          <w:rFonts w:eastAsia="Malgun Gothic" w:cs="Times New Roman"/>
          <w:kern w:val="22"/>
          <w:szCs w:val="22"/>
        </w:rPr>
        <w:t xml:space="preserve">Aichi. </w:t>
      </w:r>
      <w:r w:rsidR="000675DC" w:rsidRPr="00FA6E69">
        <w:rPr>
          <w:rFonts w:eastAsia="Malgun Gothic" w:cs="Times New Roman"/>
          <w:kern w:val="22"/>
          <w:szCs w:val="22"/>
        </w:rPr>
        <w:t>Ces conclusions sont semblables à celles de l</w:t>
      </w:r>
      <w:r w:rsidR="00E964B4" w:rsidRPr="00FA6E69">
        <w:rPr>
          <w:rFonts w:eastAsia="Malgun Gothic" w:cs="Times New Roman"/>
          <w:kern w:val="22"/>
          <w:szCs w:val="22"/>
        </w:rPr>
        <w:t>’</w:t>
      </w:r>
      <w:r w:rsidR="000675DC" w:rsidRPr="00FA6E69">
        <w:rPr>
          <w:rFonts w:eastAsia="Malgun Gothic" w:cs="Times New Roman"/>
          <w:kern w:val="22"/>
          <w:szCs w:val="22"/>
        </w:rPr>
        <w:t>analyse mise à disposition au cours de la première réunion de l</w:t>
      </w:r>
      <w:r w:rsidR="00E964B4" w:rsidRPr="00FA6E69">
        <w:rPr>
          <w:rFonts w:eastAsia="Malgun Gothic" w:cs="Times New Roman"/>
          <w:kern w:val="22"/>
          <w:szCs w:val="22"/>
        </w:rPr>
        <w:t>’</w:t>
      </w:r>
      <w:r w:rsidR="000675DC" w:rsidRPr="00FA6E69">
        <w:rPr>
          <w:rFonts w:eastAsia="Malgun Gothic" w:cs="Times New Roman"/>
          <w:kern w:val="22"/>
          <w:szCs w:val="22"/>
        </w:rPr>
        <w:t>Organe subsidiaire chargé de l</w:t>
      </w:r>
      <w:r w:rsidR="00E964B4" w:rsidRPr="00FA6E69">
        <w:rPr>
          <w:rFonts w:eastAsia="Malgun Gothic" w:cs="Times New Roman"/>
          <w:kern w:val="22"/>
          <w:szCs w:val="22"/>
        </w:rPr>
        <w:t>’</w:t>
      </w:r>
      <w:r w:rsidR="000675DC" w:rsidRPr="00FA6E69">
        <w:rPr>
          <w:rFonts w:eastAsia="Malgun Gothic" w:cs="Times New Roman"/>
          <w:kern w:val="22"/>
          <w:szCs w:val="22"/>
        </w:rPr>
        <w:t>application</w:t>
      </w:r>
      <w:r w:rsidR="00743B25" w:rsidRPr="00FA6E69">
        <w:rPr>
          <w:rStyle w:val="Refdenotaalpie"/>
          <w:rFonts w:eastAsia="Malgun Gothic"/>
          <w:kern w:val="22"/>
          <w:szCs w:val="22"/>
          <w:vertAlign w:val="superscript"/>
        </w:rPr>
        <w:footnoteReference w:id="39"/>
      </w:r>
      <w:r w:rsidR="00544B89" w:rsidRPr="00FA6E69">
        <w:rPr>
          <w:rFonts w:eastAsia="Malgun Gothic" w:cs="Times New Roman"/>
          <w:kern w:val="22"/>
          <w:szCs w:val="22"/>
        </w:rPr>
        <w:t xml:space="preserve"> et à la</w:t>
      </w:r>
      <w:r w:rsidR="00743B25" w:rsidRPr="00FA6E69">
        <w:rPr>
          <w:rFonts w:eastAsia="Malgun Gothic" w:cs="Times New Roman"/>
          <w:kern w:val="22"/>
          <w:szCs w:val="22"/>
        </w:rPr>
        <w:t xml:space="preserve"> treizième</w:t>
      </w:r>
      <w:r w:rsidR="00544B89" w:rsidRPr="00FA6E69">
        <w:rPr>
          <w:rFonts w:eastAsia="Malgun Gothic" w:cs="Times New Roman"/>
          <w:kern w:val="22"/>
          <w:szCs w:val="22"/>
        </w:rPr>
        <w:t xml:space="preserve"> réunion de la Conférence des Parties sur la diversité Biologique</w:t>
      </w:r>
      <w:r w:rsidR="00544B89" w:rsidRPr="00FA6E69">
        <w:rPr>
          <w:rStyle w:val="Refdenotaalpie"/>
          <w:rFonts w:eastAsia="Malgun Gothic"/>
          <w:kern w:val="22"/>
          <w:szCs w:val="22"/>
          <w:vertAlign w:val="superscript"/>
        </w:rPr>
        <w:footnoteReference w:id="40"/>
      </w:r>
      <w:r w:rsidR="000675DC" w:rsidRPr="00FA6E69">
        <w:rPr>
          <w:rFonts w:eastAsia="Malgun Gothic" w:cs="Times New Roman"/>
          <w:kern w:val="22"/>
          <w:szCs w:val="22"/>
        </w:rPr>
        <w:t>.</w:t>
      </w:r>
    </w:p>
    <w:p w:rsidR="00D706A4" w:rsidRPr="00FA6E69" w:rsidRDefault="00BA2347" w:rsidP="00715937">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L</w:t>
      </w:r>
      <w:r w:rsidR="00E964B4" w:rsidRPr="00FA6E69">
        <w:rPr>
          <w:rFonts w:eastAsia="Malgun Gothic" w:cs="Times New Roman"/>
          <w:kern w:val="22"/>
          <w:szCs w:val="22"/>
        </w:rPr>
        <w:t>’</w:t>
      </w:r>
      <w:r w:rsidRPr="00FA6E69">
        <w:rPr>
          <w:rFonts w:eastAsia="Malgun Gothic" w:cs="Times New Roman"/>
          <w:kern w:val="22"/>
          <w:szCs w:val="22"/>
        </w:rPr>
        <w:t>évaluation des informations figurant dans les rapports nationaux indique que la majorité des Parties ont accompli des progrès dans la réalisation des Objectifs d</w:t>
      </w:r>
      <w:r w:rsidR="00E964B4" w:rsidRPr="00FA6E69">
        <w:rPr>
          <w:rFonts w:eastAsia="Malgun Gothic" w:cs="Times New Roman"/>
          <w:kern w:val="22"/>
          <w:szCs w:val="22"/>
        </w:rPr>
        <w:t>’</w:t>
      </w:r>
      <w:r w:rsidRPr="00FA6E69">
        <w:rPr>
          <w:rFonts w:eastAsia="Malgun Gothic" w:cs="Times New Roman"/>
          <w:kern w:val="22"/>
          <w:szCs w:val="22"/>
        </w:rPr>
        <w:t>Aichi, mais à un rythme ne permettant pas d</w:t>
      </w:r>
      <w:r w:rsidR="00E964B4" w:rsidRPr="00FA6E69">
        <w:rPr>
          <w:rFonts w:eastAsia="Malgun Gothic" w:cs="Times New Roman"/>
          <w:kern w:val="22"/>
          <w:szCs w:val="22"/>
        </w:rPr>
        <w:t>’</w:t>
      </w:r>
      <w:r w:rsidRPr="00FA6E69">
        <w:rPr>
          <w:rFonts w:eastAsia="Malgun Gothic" w:cs="Times New Roman"/>
          <w:kern w:val="22"/>
          <w:szCs w:val="22"/>
        </w:rPr>
        <w:t>atteindre les objectifs à l</w:t>
      </w:r>
      <w:r w:rsidR="00E964B4" w:rsidRPr="00FA6E69">
        <w:rPr>
          <w:rFonts w:eastAsia="Malgun Gothic" w:cs="Times New Roman"/>
          <w:kern w:val="22"/>
          <w:szCs w:val="22"/>
        </w:rPr>
        <w:t>’</w:t>
      </w:r>
      <w:r w:rsidRPr="00FA6E69">
        <w:rPr>
          <w:rFonts w:eastAsia="Malgun Gothic" w:cs="Times New Roman"/>
          <w:kern w:val="22"/>
          <w:szCs w:val="22"/>
        </w:rPr>
        <w:t xml:space="preserve">échéance, à moins que des mesures supplémentaires soient prises. </w:t>
      </w:r>
      <w:r w:rsidR="00A55FFE" w:rsidRPr="00FA6E69">
        <w:rPr>
          <w:rFonts w:eastAsia="Malgun Gothic" w:cs="Times New Roman"/>
          <w:kern w:val="22"/>
          <w:szCs w:val="22"/>
        </w:rPr>
        <w:t>Dépendamment de l</w:t>
      </w:r>
      <w:r w:rsidR="00E964B4" w:rsidRPr="00FA6E69">
        <w:rPr>
          <w:rFonts w:eastAsia="Malgun Gothic" w:cs="Times New Roman"/>
          <w:kern w:val="22"/>
          <w:szCs w:val="22"/>
        </w:rPr>
        <w:t>’</w:t>
      </w:r>
      <w:r w:rsidR="00A55FFE" w:rsidRPr="00FA6E69">
        <w:rPr>
          <w:rFonts w:eastAsia="Malgun Gothic" w:cs="Times New Roman"/>
          <w:kern w:val="22"/>
          <w:szCs w:val="22"/>
        </w:rPr>
        <w:t>Objectif d</w:t>
      </w:r>
      <w:r w:rsidR="00E964B4" w:rsidRPr="00FA6E69">
        <w:rPr>
          <w:rFonts w:eastAsia="Malgun Gothic" w:cs="Times New Roman"/>
          <w:kern w:val="22"/>
          <w:szCs w:val="22"/>
        </w:rPr>
        <w:t>’</w:t>
      </w:r>
      <w:r w:rsidR="00A55FFE" w:rsidRPr="00FA6E69">
        <w:rPr>
          <w:rFonts w:eastAsia="Malgun Gothic" w:cs="Times New Roman"/>
          <w:kern w:val="22"/>
          <w:szCs w:val="22"/>
        </w:rPr>
        <w:t>Aichi,</w:t>
      </w:r>
      <w:r w:rsidRPr="00FA6E69">
        <w:rPr>
          <w:rFonts w:eastAsia="Malgun Gothic" w:cs="Times New Roman"/>
          <w:kern w:val="22"/>
          <w:szCs w:val="22"/>
        </w:rPr>
        <w:t xml:space="preserve"> entre un</w:t>
      </w:r>
      <w:r w:rsidR="00A55FFE" w:rsidRPr="00FA6E69">
        <w:rPr>
          <w:rFonts w:eastAsia="Malgun Gothic" w:cs="Times New Roman"/>
          <w:kern w:val="22"/>
          <w:szCs w:val="22"/>
        </w:rPr>
        <w:t xml:space="preserve"> et deux tiers </w:t>
      </w:r>
      <w:r w:rsidRPr="00FA6E69">
        <w:rPr>
          <w:rFonts w:eastAsia="Malgun Gothic" w:cs="Times New Roman"/>
          <w:kern w:val="22"/>
          <w:szCs w:val="22"/>
        </w:rPr>
        <w:t>des rapports nationaux contiennent des informations suggérant que des pro</w:t>
      </w:r>
      <w:r w:rsidR="00A55FFE" w:rsidRPr="00FA6E69">
        <w:rPr>
          <w:rFonts w:eastAsia="Malgun Gothic" w:cs="Times New Roman"/>
          <w:kern w:val="22"/>
          <w:szCs w:val="22"/>
        </w:rPr>
        <w:t>grès sont accomplis, mais</w:t>
      </w:r>
      <w:r w:rsidRPr="00FA6E69">
        <w:rPr>
          <w:rFonts w:eastAsia="Malgun Gothic" w:cs="Times New Roman"/>
          <w:kern w:val="22"/>
          <w:szCs w:val="22"/>
        </w:rPr>
        <w:t xml:space="preserve"> à un rythme insu</w:t>
      </w:r>
      <w:r w:rsidR="00427EFA" w:rsidRPr="00FA6E69">
        <w:rPr>
          <w:rFonts w:eastAsia="Malgun Gothic" w:cs="Times New Roman"/>
          <w:kern w:val="22"/>
          <w:szCs w:val="22"/>
        </w:rPr>
        <w:t>ffisant. Par ailleurs, entre </w:t>
      </w:r>
      <w:r w:rsidR="00544B89" w:rsidRPr="00FA6E69">
        <w:rPr>
          <w:rFonts w:eastAsia="Malgun Gothic" w:cs="Times New Roman"/>
          <w:kern w:val="22"/>
          <w:szCs w:val="22"/>
        </w:rPr>
        <w:t>7</w:t>
      </w:r>
      <w:r w:rsidR="00427EFA" w:rsidRPr="00FA6E69">
        <w:rPr>
          <w:rFonts w:eastAsia="Malgun Gothic" w:cs="Times New Roman"/>
          <w:kern w:val="22"/>
          <w:szCs w:val="22"/>
        </w:rPr>
        <w:t xml:space="preserve"> et 4</w:t>
      </w:r>
      <w:r w:rsidR="00544B89" w:rsidRPr="00FA6E69">
        <w:rPr>
          <w:rFonts w:eastAsia="Malgun Gothic" w:cs="Times New Roman"/>
          <w:kern w:val="22"/>
          <w:szCs w:val="22"/>
        </w:rPr>
        <w:t>3</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rapports nationaux en moyenne contiennent des informations suggérant qu</w:t>
      </w:r>
      <w:r w:rsidR="00E964B4" w:rsidRPr="00FA6E69">
        <w:rPr>
          <w:rFonts w:eastAsia="Malgun Gothic" w:cs="Times New Roman"/>
          <w:kern w:val="22"/>
          <w:szCs w:val="22"/>
        </w:rPr>
        <w:t>’</w:t>
      </w:r>
      <w:r w:rsidRPr="00FA6E69">
        <w:rPr>
          <w:rFonts w:eastAsia="Malgun Gothic" w:cs="Times New Roman"/>
          <w:kern w:val="22"/>
          <w:szCs w:val="22"/>
        </w:rPr>
        <w:t>il n</w:t>
      </w:r>
      <w:r w:rsidR="00E964B4" w:rsidRPr="00FA6E69">
        <w:rPr>
          <w:rFonts w:eastAsia="Malgun Gothic" w:cs="Times New Roman"/>
          <w:kern w:val="22"/>
          <w:szCs w:val="22"/>
        </w:rPr>
        <w:t>’</w:t>
      </w:r>
      <w:r w:rsidRPr="00FA6E69">
        <w:rPr>
          <w:rFonts w:eastAsia="Malgun Gothic" w:cs="Times New Roman"/>
          <w:kern w:val="22"/>
          <w:szCs w:val="22"/>
        </w:rPr>
        <w:t>y a pas eu de changement marquant ou que le pays s</w:t>
      </w:r>
      <w:r w:rsidR="00E964B4" w:rsidRPr="00FA6E69">
        <w:rPr>
          <w:rFonts w:eastAsia="Malgun Gothic" w:cs="Times New Roman"/>
          <w:kern w:val="22"/>
          <w:szCs w:val="22"/>
        </w:rPr>
        <w:t>’</w:t>
      </w:r>
      <w:r w:rsidRPr="00FA6E69">
        <w:rPr>
          <w:rFonts w:eastAsia="Malgun Gothic" w:cs="Times New Roman"/>
          <w:kern w:val="22"/>
          <w:szCs w:val="22"/>
        </w:rPr>
        <w:t>éloigne de l</w:t>
      </w:r>
      <w:r w:rsidR="00E964B4" w:rsidRPr="00FA6E69">
        <w:rPr>
          <w:rFonts w:eastAsia="Malgun Gothic" w:cs="Times New Roman"/>
          <w:kern w:val="22"/>
          <w:szCs w:val="22"/>
        </w:rPr>
        <w:t>’</w:t>
      </w:r>
      <w:r w:rsidRPr="00FA6E69">
        <w:rPr>
          <w:rFonts w:eastAsia="Malgun Gothic" w:cs="Times New Roman"/>
          <w:kern w:val="22"/>
          <w:szCs w:val="22"/>
        </w:rPr>
        <w:t>objectif. Le nombre d</w:t>
      </w:r>
      <w:r w:rsidR="00E964B4" w:rsidRPr="00FA6E69">
        <w:rPr>
          <w:rFonts w:eastAsia="Malgun Gothic" w:cs="Times New Roman"/>
          <w:kern w:val="22"/>
          <w:szCs w:val="22"/>
        </w:rPr>
        <w:t>’</w:t>
      </w:r>
      <w:r w:rsidRPr="00FA6E69">
        <w:rPr>
          <w:rFonts w:eastAsia="Malgun Gothic" w:cs="Times New Roman"/>
          <w:kern w:val="22"/>
          <w:szCs w:val="22"/>
        </w:rPr>
        <w:t>évaluations classées comme étant en voie d</w:t>
      </w:r>
      <w:r w:rsidR="00E964B4" w:rsidRPr="00FA6E69">
        <w:rPr>
          <w:rFonts w:eastAsia="Malgun Gothic" w:cs="Times New Roman"/>
          <w:kern w:val="22"/>
          <w:szCs w:val="22"/>
        </w:rPr>
        <w:t>’</w:t>
      </w:r>
      <w:r w:rsidRPr="00FA6E69">
        <w:rPr>
          <w:rFonts w:eastAsia="Malgun Gothic" w:cs="Times New Roman"/>
          <w:kern w:val="22"/>
          <w:szCs w:val="22"/>
        </w:rPr>
        <w:t xml:space="preserve">atteindre un objectif ou de le </w:t>
      </w:r>
      <w:r w:rsidR="00A55FFE" w:rsidRPr="00FA6E69">
        <w:rPr>
          <w:rFonts w:eastAsia="Malgun Gothic" w:cs="Times New Roman"/>
          <w:kern w:val="22"/>
          <w:szCs w:val="22"/>
        </w:rPr>
        <w:t>dépasser s</w:t>
      </w:r>
      <w:r w:rsidR="00E964B4" w:rsidRPr="00FA6E69">
        <w:rPr>
          <w:rFonts w:eastAsia="Malgun Gothic" w:cs="Times New Roman"/>
          <w:kern w:val="22"/>
          <w:szCs w:val="22"/>
        </w:rPr>
        <w:t>’</w:t>
      </w:r>
      <w:r w:rsidR="00715937" w:rsidRPr="00FA6E69">
        <w:rPr>
          <w:rFonts w:eastAsia="Malgun Gothic" w:cs="Times New Roman"/>
          <w:kern w:val="22"/>
          <w:szCs w:val="22"/>
        </w:rPr>
        <w:t>établit entre </w:t>
      </w:r>
      <w:r w:rsidR="00544B89" w:rsidRPr="00FA6E69">
        <w:rPr>
          <w:rFonts w:eastAsia="Malgun Gothic" w:cs="Times New Roman"/>
          <w:kern w:val="22"/>
          <w:szCs w:val="22"/>
        </w:rPr>
        <w:t>3</w:t>
      </w:r>
      <w:r w:rsidR="00A55FFE" w:rsidRPr="00FA6E69">
        <w:rPr>
          <w:rFonts w:eastAsia="Malgun Gothic" w:cs="Times New Roman"/>
          <w:kern w:val="22"/>
          <w:szCs w:val="22"/>
        </w:rPr>
        <w:t xml:space="preserve"> et </w:t>
      </w:r>
      <w:r w:rsidR="00544B89" w:rsidRPr="00FA6E69">
        <w:rPr>
          <w:rFonts w:eastAsia="Malgun Gothic" w:cs="Times New Roman"/>
          <w:kern w:val="22"/>
          <w:szCs w:val="22"/>
        </w:rPr>
        <w:t>29</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selon l</w:t>
      </w:r>
      <w:r w:rsidR="00E964B4" w:rsidRPr="00FA6E69">
        <w:rPr>
          <w:rFonts w:eastAsia="Malgun Gothic" w:cs="Times New Roman"/>
          <w:kern w:val="22"/>
          <w:szCs w:val="22"/>
        </w:rPr>
        <w:t>’</w:t>
      </w:r>
      <w:r w:rsidRPr="00FA6E69">
        <w:rPr>
          <w:rFonts w:eastAsia="Malgun Gothic" w:cs="Times New Roman"/>
          <w:kern w:val="22"/>
          <w:szCs w:val="22"/>
        </w:rPr>
        <w:t>objectif (voir figure 2). Dans l</w:t>
      </w:r>
      <w:r w:rsidR="00E964B4" w:rsidRPr="00FA6E69">
        <w:rPr>
          <w:rFonts w:eastAsia="Malgun Gothic" w:cs="Times New Roman"/>
          <w:kern w:val="22"/>
          <w:szCs w:val="22"/>
        </w:rPr>
        <w:t>’</w:t>
      </w:r>
      <w:r w:rsidRPr="00FA6E69">
        <w:rPr>
          <w:rFonts w:eastAsia="Malgun Gothic" w:cs="Times New Roman"/>
          <w:kern w:val="22"/>
          <w:szCs w:val="22"/>
        </w:rPr>
        <w:t>ensemble, l</w:t>
      </w:r>
      <w:r w:rsidR="00E964B4" w:rsidRPr="00FA6E69">
        <w:rPr>
          <w:rFonts w:eastAsia="Malgun Gothic" w:cs="Times New Roman"/>
          <w:kern w:val="22"/>
          <w:szCs w:val="22"/>
        </w:rPr>
        <w:t>’</w:t>
      </w:r>
      <w:r w:rsidRPr="00FA6E69">
        <w:rPr>
          <w:rFonts w:eastAsia="Malgun Gothic" w:cs="Times New Roman"/>
          <w:kern w:val="22"/>
          <w:szCs w:val="22"/>
        </w:rPr>
        <w:t>évaluation des informations figurant dans les rappor</w:t>
      </w:r>
      <w:r w:rsidR="00A55FFE" w:rsidRPr="00FA6E69">
        <w:rPr>
          <w:rFonts w:eastAsia="Malgun Gothic" w:cs="Times New Roman"/>
          <w:kern w:val="22"/>
          <w:szCs w:val="22"/>
        </w:rPr>
        <w:t>ts nationaux indique qu</w:t>
      </w:r>
      <w:r w:rsidR="00E964B4" w:rsidRPr="00FA6E69">
        <w:rPr>
          <w:rFonts w:eastAsia="Malgun Gothic" w:cs="Times New Roman"/>
          <w:kern w:val="22"/>
          <w:szCs w:val="22"/>
        </w:rPr>
        <w:t>’</w:t>
      </w:r>
      <w:r w:rsidR="00A55FFE" w:rsidRPr="00FA6E69">
        <w:rPr>
          <w:rFonts w:eastAsia="Malgun Gothic" w:cs="Times New Roman"/>
          <w:kern w:val="22"/>
          <w:szCs w:val="22"/>
        </w:rPr>
        <w:t>entre 63</w:t>
      </w:r>
      <w:r w:rsidRPr="00FA6E69">
        <w:rPr>
          <w:rFonts w:eastAsia="Malgun Gothic" w:cs="Times New Roman"/>
          <w:kern w:val="22"/>
          <w:szCs w:val="22"/>
        </w:rPr>
        <w:t xml:space="preserve"> et 8</w:t>
      </w:r>
      <w:r w:rsidR="00544B89" w:rsidRPr="00FA6E69">
        <w:rPr>
          <w:rFonts w:eastAsia="Malgun Gothic" w:cs="Times New Roman"/>
          <w:kern w:val="22"/>
          <w:szCs w:val="22"/>
        </w:rPr>
        <w:t>6</w:t>
      </w:r>
      <w:r w:rsidRPr="00FA6E69">
        <w:rPr>
          <w:rFonts w:eastAsia="Malgun Gothic" w:cs="Times New Roman"/>
          <w:kern w:val="22"/>
          <w:szCs w:val="22"/>
        </w:rPr>
        <w:t>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ne sont pas en voie d</w:t>
      </w:r>
      <w:r w:rsidR="00E964B4" w:rsidRPr="00FA6E69">
        <w:rPr>
          <w:rFonts w:eastAsia="Malgun Gothic" w:cs="Times New Roman"/>
          <w:kern w:val="22"/>
          <w:szCs w:val="22"/>
        </w:rPr>
        <w:t>’</w:t>
      </w:r>
      <w:r w:rsidRPr="00FA6E69">
        <w:rPr>
          <w:rFonts w:eastAsia="Malgun Gothic" w:cs="Times New Roman"/>
          <w:kern w:val="22"/>
          <w:szCs w:val="22"/>
        </w:rPr>
        <w:t>atteindre un Objectif d</w:t>
      </w:r>
      <w:r w:rsidR="00E964B4" w:rsidRPr="00FA6E69">
        <w:rPr>
          <w:rFonts w:eastAsia="Malgun Gothic" w:cs="Times New Roman"/>
          <w:kern w:val="22"/>
          <w:szCs w:val="22"/>
        </w:rPr>
        <w:t>’</w:t>
      </w:r>
      <w:r w:rsidRPr="00FA6E69">
        <w:rPr>
          <w:rFonts w:eastAsia="Malgun Gothic" w:cs="Times New Roman"/>
          <w:kern w:val="22"/>
          <w:szCs w:val="22"/>
        </w:rPr>
        <w:t xml:space="preserve">Aichi spécifique. </w:t>
      </w:r>
      <w:r w:rsidR="00A55FFE" w:rsidRPr="00FA6E69">
        <w:rPr>
          <w:rFonts w:eastAsia="Malgun Gothic" w:cs="Times New Roman"/>
          <w:kern w:val="22"/>
          <w:szCs w:val="22"/>
        </w:rPr>
        <w:t>La conclusion générale de cette analyse est semblable à celle de l</w:t>
      </w:r>
      <w:r w:rsidR="00E964B4" w:rsidRPr="00FA6E69">
        <w:rPr>
          <w:rFonts w:eastAsia="Malgun Gothic" w:cs="Times New Roman"/>
          <w:kern w:val="22"/>
          <w:szCs w:val="22"/>
        </w:rPr>
        <w:t>’</w:t>
      </w:r>
      <w:r w:rsidR="00A55FFE" w:rsidRPr="00FA6E69">
        <w:rPr>
          <w:rFonts w:eastAsia="Malgun Gothic" w:cs="Times New Roman"/>
          <w:kern w:val="22"/>
          <w:szCs w:val="22"/>
        </w:rPr>
        <w:t>analyse mise à disposition au cours de la première réunion de l</w:t>
      </w:r>
      <w:r w:rsidR="00E964B4" w:rsidRPr="00FA6E69">
        <w:rPr>
          <w:rFonts w:eastAsia="Malgun Gothic" w:cs="Times New Roman"/>
          <w:kern w:val="22"/>
          <w:szCs w:val="22"/>
        </w:rPr>
        <w:t>’</w:t>
      </w:r>
      <w:r w:rsidR="00A55FFE" w:rsidRPr="00FA6E69">
        <w:rPr>
          <w:rFonts w:eastAsia="Malgun Gothic" w:cs="Times New Roman"/>
          <w:kern w:val="22"/>
          <w:szCs w:val="22"/>
        </w:rPr>
        <w:t>Organe subsidiaire chargé de l</w:t>
      </w:r>
      <w:r w:rsidR="00E964B4" w:rsidRPr="00FA6E69">
        <w:rPr>
          <w:rFonts w:eastAsia="Malgun Gothic" w:cs="Times New Roman"/>
          <w:kern w:val="22"/>
          <w:szCs w:val="22"/>
        </w:rPr>
        <w:t>’</w:t>
      </w:r>
      <w:r w:rsidR="00A55FFE" w:rsidRPr="00FA6E69">
        <w:rPr>
          <w:rFonts w:eastAsia="Malgun Gothic" w:cs="Times New Roman"/>
          <w:kern w:val="22"/>
          <w:szCs w:val="22"/>
        </w:rPr>
        <w:t>application Par ailleurs, c</w:t>
      </w:r>
      <w:r w:rsidRPr="00FA6E69">
        <w:rPr>
          <w:rFonts w:eastAsia="Malgun Gothic" w:cs="Times New Roman"/>
          <w:kern w:val="22"/>
          <w:szCs w:val="22"/>
        </w:rPr>
        <w:t xml:space="preserve">ette </w:t>
      </w:r>
      <w:r w:rsidR="00A55FFE" w:rsidRPr="00FA6E69">
        <w:rPr>
          <w:rFonts w:eastAsia="Malgun Gothic" w:cs="Times New Roman"/>
          <w:kern w:val="22"/>
          <w:szCs w:val="22"/>
        </w:rPr>
        <w:t>analyse</w:t>
      </w:r>
      <w:r w:rsidRPr="00FA6E69">
        <w:rPr>
          <w:rFonts w:eastAsia="Malgun Gothic" w:cs="Times New Roman"/>
          <w:kern w:val="22"/>
          <w:szCs w:val="22"/>
        </w:rPr>
        <w:t xml:space="preserve"> correspond à celle qui a été présentée dans la quatrième édition des </w:t>
      </w:r>
      <w:r w:rsidRPr="00FA6E69">
        <w:rPr>
          <w:rFonts w:eastAsia="Malgun Gothic" w:cs="Times New Roman"/>
          <w:i/>
          <w:iCs/>
          <w:kern w:val="22"/>
          <w:szCs w:val="22"/>
        </w:rPr>
        <w:t>Perspectives mondiales de la diversité biologique</w:t>
      </w:r>
      <w:r w:rsidRPr="00FA6E69">
        <w:rPr>
          <w:rFonts w:eastAsia="Malgun Gothic" w:cs="Times New Roman"/>
          <w:kern w:val="22"/>
          <w:szCs w:val="22"/>
        </w:rPr>
        <w:t xml:space="preserve"> qui, s</w:t>
      </w:r>
      <w:r w:rsidR="00E964B4" w:rsidRPr="00FA6E69">
        <w:rPr>
          <w:rFonts w:eastAsia="Malgun Gothic" w:cs="Times New Roman"/>
          <w:kern w:val="22"/>
          <w:szCs w:val="22"/>
        </w:rPr>
        <w:t>’</w:t>
      </w:r>
      <w:r w:rsidRPr="00FA6E69">
        <w:rPr>
          <w:rFonts w:eastAsia="Malgun Gothic" w:cs="Times New Roman"/>
          <w:kern w:val="22"/>
          <w:szCs w:val="22"/>
        </w:rPr>
        <w:t>appuyant sur une évaluation de 64 cinquièmes rapports nationaux, concluait qu</w:t>
      </w:r>
      <w:r w:rsidR="00E964B4" w:rsidRPr="00FA6E69">
        <w:rPr>
          <w:rFonts w:eastAsia="Malgun Gothic" w:cs="Times New Roman"/>
          <w:kern w:val="22"/>
          <w:szCs w:val="22"/>
        </w:rPr>
        <w:t>’</w:t>
      </w:r>
      <w:r w:rsidRPr="00FA6E69">
        <w:rPr>
          <w:rFonts w:eastAsia="Malgun Gothic" w:cs="Times New Roman"/>
          <w:kern w:val="22"/>
          <w:szCs w:val="22"/>
        </w:rPr>
        <w:t>entre 53 et 92 </w:t>
      </w:r>
      <w:r w:rsidR="00360989" w:rsidRPr="00FA6E69">
        <w:rPr>
          <w:rFonts w:eastAsia="Malgun Gothic" w:cs="Times New Roman"/>
          <w:kern w:val="22"/>
          <w:szCs w:val="22"/>
        </w:rPr>
        <w:t>pour cent</w:t>
      </w:r>
      <w:r w:rsidRPr="00FA6E69">
        <w:rPr>
          <w:rFonts w:eastAsia="Malgun Gothic" w:cs="Times New Roman"/>
          <w:kern w:val="22"/>
          <w:szCs w:val="22"/>
        </w:rPr>
        <w:t xml:space="preserve"> des Parties n</w:t>
      </w:r>
      <w:r w:rsidR="00E964B4" w:rsidRPr="00FA6E69">
        <w:rPr>
          <w:rFonts w:eastAsia="Malgun Gothic" w:cs="Times New Roman"/>
          <w:kern w:val="22"/>
          <w:szCs w:val="22"/>
        </w:rPr>
        <w:t>’</w:t>
      </w:r>
      <w:r w:rsidRPr="00FA6E69">
        <w:rPr>
          <w:rFonts w:eastAsia="Malgun Gothic" w:cs="Times New Roman"/>
          <w:kern w:val="22"/>
          <w:szCs w:val="22"/>
        </w:rPr>
        <w:t>étaient pas en voie d</w:t>
      </w:r>
      <w:r w:rsidR="00E964B4" w:rsidRPr="00FA6E69">
        <w:rPr>
          <w:rFonts w:eastAsia="Malgun Gothic" w:cs="Times New Roman"/>
          <w:kern w:val="22"/>
          <w:szCs w:val="22"/>
        </w:rPr>
        <w:t>’</w:t>
      </w:r>
      <w:r w:rsidRPr="00FA6E69">
        <w:rPr>
          <w:rFonts w:eastAsia="Malgun Gothic" w:cs="Times New Roman"/>
          <w:kern w:val="22"/>
          <w:szCs w:val="22"/>
        </w:rPr>
        <w:t>atteindre un Objectif d</w:t>
      </w:r>
      <w:r w:rsidR="00E964B4" w:rsidRPr="00FA6E69">
        <w:rPr>
          <w:rFonts w:eastAsia="Malgun Gothic" w:cs="Times New Roman"/>
          <w:kern w:val="22"/>
          <w:szCs w:val="22"/>
        </w:rPr>
        <w:t>’</w:t>
      </w:r>
      <w:r w:rsidRPr="00FA6E69">
        <w:rPr>
          <w:rFonts w:eastAsia="Malgun Gothic" w:cs="Times New Roman"/>
          <w:kern w:val="22"/>
          <w:szCs w:val="22"/>
        </w:rPr>
        <w:t>Aichi spécifique</w:t>
      </w:r>
      <w:r w:rsidR="00A55FFE" w:rsidRPr="00FA6E69">
        <w:rPr>
          <w:rFonts w:eastAsia="Malgun Gothic" w:cs="Times New Roman"/>
          <w:kern w:val="22"/>
          <w:szCs w:val="22"/>
        </w:rPr>
        <w:t>.</w:t>
      </w:r>
    </w:p>
    <w:p w:rsidR="00D706A4" w:rsidRPr="00FA6E69" w:rsidRDefault="00364BA5" w:rsidP="00D25B80">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Il convient de noter que le volume d</w:t>
      </w:r>
      <w:r w:rsidR="00E964B4" w:rsidRPr="00FA6E69">
        <w:rPr>
          <w:rFonts w:eastAsia="Malgun Gothic" w:cs="Times New Roman"/>
          <w:kern w:val="22"/>
          <w:szCs w:val="22"/>
        </w:rPr>
        <w:t>’</w:t>
      </w:r>
      <w:r w:rsidRPr="00FA6E69">
        <w:rPr>
          <w:rFonts w:eastAsia="Malgun Gothic" w:cs="Times New Roman"/>
          <w:kern w:val="22"/>
          <w:szCs w:val="22"/>
        </w:rPr>
        <w:t>informations disponibles pour l</w:t>
      </w:r>
      <w:r w:rsidR="00E964B4" w:rsidRPr="00FA6E69">
        <w:rPr>
          <w:rFonts w:eastAsia="Malgun Gothic" w:cs="Times New Roman"/>
          <w:kern w:val="22"/>
          <w:szCs w:val="22"/>
        </w:rPr>
        <w:t>’</w:t>
      </w:r>
      <w:r w:rsidRPr="00FA6E69">
        <w:rPr>
          <w:rFonts w:eastAsia="Malgun Gothic" w:cs="Times New Roman"/>
          <w:kern w:val="22"/>
          <w:szCs w:val="22"/>
        </w:rPr>
        <w:t xml:space="preserve">évaluation des SPANB et des rapports nationaux est variable. Pour les rapports nationaux, des informations étaient disponibles pour </w:t>
      </w:r>
      <w:r w:rsidR="00544B89" w:rsidRPr="00FA6E69">
        <w:rPr>
          <w:rFonts w:eastAsia="Malgun Gothic" w:cs="Times New Roman"/>
          <w:kern w:val="22"/>
          <w:szCs w:val="22"/>
        </w:rPr>
        <w:t>presque toutes l</w:t>
      </w:r>
      <w:r w:rsidRPr="00FA6E69">
        <w:rPr>
          <w:rFonts w:eastAsia="Malgun Gothic" w:cs="Times New Roman"/>
          <w:kern w:val="22"/>
          <w:szCs w:val="22"/>
        </w:rPr>
        <w:t>es Parties. Cependant, en ce qui concerne l</w:t>
      </w:r>
      <w:r w:rsidR="00E964B4" w:rsidRPr="00FA6E69">
        <w:rPr>
          <w:rFonts w:eastAsia="Malgun Gothic" w:cs="Times New Roman"/>
          <w:kern w:val="22"/>
          <w:szCs w:val="22"/>
        </w:rPr>
        <w:t>’</w:t>
      </w:r>
      <w:r w:rsidRPr="00FA6E69">
        <w:rPr>
          <w:rFonts w:eastAsia="Malgun Gothic" w:cs="Times New Roman"/>
          <w:kern w:val="22"/>
          <w:szCs w:val="22"/>
        </w:rPr>
        <w:t xml:space="preserve">évaluation des SPANB, les informations </w:t>
      </w:r>
      <w:r w:rsidR="00D25B80" w:rsidRPr="00FA6E69">
        <w:rPr>
          <w:rFonts w:eastAsia="Malgun Gothic" w:cs="Times New Roman"/>
          <w:kern w:val="22"/>
          <w:szCs w:val="22"/>
        </w:rPr>
        <w:t xml:space="preserve">de </w:t>
      </w:r>
      <w:r w:rsidR="00544B89" w:rsidRPr="00FA6E69">
        <w:rPr>
          <w:rFonts w:eastAsia="Malgun Gothic" w:cs="Times New Roman"/>
          <w:kern w:val="22"/>
          <w:szCs w:val="22"/>
        </w:rPr>
        <w:t>seulement les trois quarts</w:t>
      </w:r>
      <w:r w:rsidRPr="00FA6E69">
        <w:rPr>
          <w:rFonts w:eastAsia="Malgun Gothic" w:cs="Times New Roman"/>
          <w:kern w:val="22"/>
          <w:szCs w:val="22"/>
        </w:rPr>
        <w:t xml:space="preserve"> </w:t>
      </w:r>
      <w:r w:rsidR="00D25B80" w:rsidRPr="00FA6E69">
        <w:rPr>
          <w:rFonts w:eastAsia="Malgun Gothic" w:cs="Times New Roman"/>
          <w:kern w:val="22"/>
          <w:szCs w:val="22"/>
        </w:rPr>
        <w:t>(</w:t>
      </w:r>
      <w:r w:rsidR="00544B89" w:rsidRPr="00FA6E69">
        <w:rPr>
          <w:rFonts w:eastAsia="Malgun Gothic" w:cs="Times New Roman"/>
          <w:kern w:val="22"/>
          <w:szCs w:val="22"/>
        </w:rPr>
        <w:t>76</w:t>
      </w:r>
      <w:r w:rsidR="001B2825" w:rsidRPr="00FA6E69">
        <w:rPr>
          <w:rFonts w:eastAsia="Malgun Gothic" w:cs="Times New Roman"/>
          <w:kern w:val="22"/>
          <w:szCs w:val="22"/>
        </w:rPr>
        <w:t> </w:t>
      </w:r>
      <w:r w:rsidR="00360989" w:rsidRPr="00FA6E69">
        <w:rPr>
          <w:rFonts w:eastAsia="Malgun Gothic" w:cs="Times New Roman"/>
          <w:kern w:val="22"/>
          <w:szCs w:val="22"/>
        </w:rPr>
        <w:t>pour cent</w:t>
      </w:r>
      <w:r w:rsidR="001B2825" w:rsidRPr="00FA6E69">
        <w:rPr>
          <w:rFonts w:eastAsia="Malgun Gothic" w:cs="Times New Roman"/>
          <w:kern w:val="22"/>
          <w:szCs w:val="22"/>
        </w:rPr>
        <w:t>)</w:t>
      </w:r>
      <w:r w:rsidRPr="00FA6E69">
        <w:rPr>
          <w:rFonts w:eastAsia="Malgun Gothic" w:cs="Times New Roman"/>
          <w:kern w:val="22"/>
          <w:szCs w:val="22"/>
        </w:rPr>
        <w:t xml:space="preserve"> des Parti</w:t>
      </w:r>
      <w:r w:rsidR="001B2825" w:rsidRPr="00FA6E69">
        <w:rPr>
          <w:rFonts w:eastAsia="Malgun Gothic" w:cs="Times New Roman"/>
          <w:kern w:val="22"/>
          <w:szCs w:val="22"/>
        </w:rPr>
        <w:t>es ont pu être prises en compte</w:t>
      </w:r>
      <w:r w:rsidR="00111E38" w:rsidRPr="00FA6E69">
        <w:rPr>
          <w:rFonts w:eastAsia="Malgun Gothic" w:cs="Times New Roman"/>
          <w:kern w:val="22"/>
          <w:szCs w:val="22"/>
        </w:rPr>
        <w:t xml:space="preserve">, et </w:t>
      </w:r>
      <w:r w:rsidRPr="00FA6E69">
        <w:rPr>
          <w:rFonts w:eastAsia="Malgun Gothic" w:cs="Times New Roman"/>
          <w:kern w:val="22"/>
          <w:szCs w:val="22"/>
        </w:rPr>
        <w:t xml:space="preserve">comme un nombre plus important de SPANB </w:t>
      </w:r>
      <w:r w:rsidR="00544B89" w:rsidRPr="00FA6E69">
        <w:rPr>
          <w:rFonts w:eastAsia="Malgun Gothic" w:cs="Times New Roman"/>
          <w:kern w:val="22"/>
          <w:szCs w:val="22"/>
        </w:rPr>
        <w:t xml:space="preserve">doit </w:t>
      </w:r>
      <w:r w:rsidR="00CF354A" w:rsidRPr="00FA6E69">
        <w:rPr>
          <w:rFonts w:eastAsia="Malgun Gothic" w:cs="Times New Roman"/>
          <w:kern w:val="22"/>
          <w:szCs w:val="22"/>
        </w:rPr>
        <w:t>être reçu</w:t>
      </w:r>
      <w:r w:rsidRPr="00FA6E69">
        <w:rPr>
          <w:rFonts w:eastAsia="Malgun Gothic" w:cs="Times New Roman"/>
          <w:kern w:val="22"/>
          <w:szCs w:val="22"/>
        </w:rPr>
        <w:t>, l</w:t>
      </w:r>
      <w:r w:rsidR="00E964B4" w:rsidRPr="00FA6E69">
        <w:rPr>
          <w:rFonts w:eastAsia="Malgun Gothic" w:cs="Times New Roman"/>
          <w:kern w:val="22"/>
          <w:szCs w:val="22"/>
        </w:rPr>
        <w:t>’</w:t>
      </w:r>
      <w:r w:rsidRPr="00FA6E69">
        <w:rPr>
          <w:rFonts w:eastAsia="Malgun Gothic" w:cs="Times New Roman"/>
          <w:kern w:val="22"/>
          <w:szCs w:val="22"/>
        </w:rPr>
        <w:t>image globale présentée dans cette évaluation est susceptible d</w:t>
      </w:r>
      <w:r w:rsidR="00E964B4" w:rsidRPr="00FA6E69">
        <w:rPr>
          <w:rFonts w:eastAsia="Malgun Gothic" w:cs="Times New Roman"/>
          <w:kern w:val="22"/>
          <w:szCs w:val="22"/>
        </w:rPr>
        <w:t>’</w:t>
      </w:r>
      <w:r w:rsidRPr="00FA6E69">
        <w:rPr>
          <w:rFonts w:eastAsia="Malgun Gothic" w:cs="Times New Roman"/>
          <w:kern w:val="22"/>
          <w:szCs w:val="22"/>
        </w:rPr>
        <w:t xml:space="preserve">évoluer. </w:t>
      </w:r>
      <w:r w:rsidR="00111E38" w:rsidRPr="00FA6E69">
        <w:rPr>
          <w:rFonts w:eastAsia="Malgun Gothic" w:cs="Times New Roman"/>
          <w:kern w:val="22"/>
          <w:szCs w:val="22"/>
        </w:rPr>
        <w:t>Toutefois</w:t>
      </w:r>
      <w:r w:rsidRPr="00FA6E69">
        <w:rPr>
          <w:rFonts w:eastAsia="Malgun Gothic" w:cs="Times New Roman"/>
          <w:kern w:val="22"/>
          <w:szCs w:val="22"/>
        </w:rPr>
        <w:t xml:space="preserve">, si les SPANB qui doivent </w:t>
      </w:r>
      <w:r w:rsidR="00111E38" w:rsidRPr="00FA6E69">
        <w:rPr>
          <w:rFonts w:eastAsia="Malgun Gothic" w:cs="Times New Roman"/>
          <w:kern w:val="22"/>
          <w:szCs w:val="22"/>
        </w:rPr>
        <w:t>encore être reçus par le secrétariat</w:t>
      </w:r>
      <w:r w:rsidRPr="00FA6E69">
        <w:rPr>
          <w:rFonts w:eastAsia="Malgun Gothic" w:cs="Times New Roman"/>
          <w:kern w:val="22"/>
          <w:szCs w:val="22"/>
        </w:rPr>
        <w:t xml:space="preserve"> suivent une évolution similaire à ceux qui ont déjà été</w:t>
      </w:r>
      <w:r w:rsidR="00111E38" w:rsidRPr="00FA6E69">
        <w:rPr>
          <w:rFonts w:eastAsia="Malgun Gothic" w:cs="Times New Roman"/>
          <w:kern w:val="22"/>
          <w:szCs w:val="22"/>
        </w:rPr>
        <w:t xml:space="preserve"> reçus</w:t>
      </w:r>
      <w:r w:rsidRPr="00FA6E69">
        <w:rPr>
          <w:rFonts w:eastAsia="Malgun Gothic" w:cs="Times New Roman"/>
          <w:kern w:val="22"/>
          <w:szCs w:val="22"/>
        </w:rPr>
        <w:t>, il est peu probable que l</w:t>
      </w:r>
      <w:r w:rsidR="00E964B4" w:rsidRPr="00FA6E69">
        <w:rPr>
          <w:rFonts w:eastAsia="Malgun Gothic" w:cs="Times New Roman"/>
          <w:kern w:val="22"/>
          <w:szCs w:val="22"/>
        </w:rPr>
        <w:t>’</w:t>
      </w:r>
      <w:r w:rsidRPr="00FA6E69">
        <w:rPr>
          <w:rFonts w:eastAsia="Malgun Gothic" w:cs="Times New Roman"/>
          <w:kern w:val="22"/>
          <w:szCs w:val="22"/>
        </w:rPr>
        <w:t>ensemble des engagements nationaux complémentaires corresponde à l</w:t>
      </w:r>
      <w:r w:rsidR="00E964B4" w:rsidRPr="00FA6E69">
        <w:rPr>
          <w:rFonts w:eastAsia="Malgun Gothic" w:cs="Times New Roman"/>
          <w:kern w:val="22"/>
          <w:szCs w:val="22"/>
        </w:rPr>
        <w:t>’</w:t>
      </w:r>
      <w:r w:rsidRPr="00FA6E69">
        <w:rPr>
          <w:rFonts w:eastAsia="Malgun Gothic" w:cs="Times New Roman"/>
          <w:kern w:val="22"/>
          <w:szCs w:val="22"/>
        </w:rPr>
        <w:t>étendue et au niveau d</w:t>
      </w:r>
      <w:r w:rsidR="00E964B4" w:rsidRPr="00FA6E69">
        <w:rPr>
          <w:rFonts w:eastAsia="Malgun Gothic" w:cs="Times New Roman"/>
          <w:kern w:val="22"/>
          <w:szCs w:val="22"/>
        </w:rPr>
        <w:t>’</w:t>
      </w:r>
      <w:r w:rsidRPr="00FA6E69">
        <w:rPr>
          <w:rFonts w:eastAsia="Malgun Gothic" w:cs="Times New Roman"/>
          <w:kern w:val="22"/>
          <w:szCs w:val="22"/>
        </w:rPr>
        <w:t>ambition définis dans les Objectifs d</w:t>
      </w:r>
      <w:r w:rsidR="00E964B4" w:rsidRPr="00FA6E69">
        <w:rPr>
          <w:rFonts w:eastAsia="Malgun Gothic" w:cs="Times New Roman"/>
          <w:kern w:val="22"/>
          <w:szCs w:val="22"/>
        </w:rPr>
        <w:t>’</w:t>
      </w:r>
      <w:r w:rsidRPr="00FA6E69">
        <w:rPr>
          <w:rFonts w:eastAsia="Malgun Gothic" w:cs="Times New Roman"/>
          <w:kern w:val="22"/>
          <w:szCs w:val="22"/>
        </w:rPr>
        <w:t>Aichi globaux</w:t>
      </w:r>
      <w:r w:rsidR="001B2825" w:rsidRPr="00FA6E69">
        <w:rPr>
          <w:rFonts w:eastAsia="Malgun Gothic" w:cs="Times New Roman"/>
          <w:kern w:val="22"/>
          <w:szCs w:val="22"/>
        </w:rPr>
        <w:t xml:space="preserve">. Les SPANB additionnels reçus entre la </w:t>
      </w:r>
      <w:r w:rsidR="00111E38" w:rsidRPr="00FA6E69">
        <w:rPr>
          <w:rFonts w:eastAsia="Malgun Gothic" w:cs="Times New Roman"/>
          <w:kern w:val="22"/>
          <w:szCs w:val="22"/>
        </w:rPr>
        <w:t>treizième réunion de la Conférence des Partie et le 14 mars 2018</w:t>
      </w:r>
      <w:r w:rsidR="001B2825" w:rsidRPr="00FA6E69">
        <w:rPr>
          <w:rFonts w:eastAsia="Malgun Gothic" w:cs="Times New Roman"/>
          <w:kern w:val="22"/>
          <w:szCs w:val="22"/>
        </w:rPr>
        <w:t xml:space="preserve"> suggèrent que cela pourrait en effet être le cas.</w:t>
      </w:r>
    </w:p>
    <w:p w:rsidR="00D706A4" w:rsidRPr="00FA6E69" w:rsidRDefault="0000434E" w:rsidP="0000434E">
      <w:pPr>
        <w:pStyle w:val="Para1"/>
        <w:numPr>
          <w:ilvl w:val="0"/>
          <w:numId w:val="13"/>
        </w:numPr>
        <w:suppressLineNumbers/>
        <w:tabs>
          <w:tab w:val="clear" w:pos="360"/>
          <w:tab w:val="num" w:pos="720"/>
        </w:tabs>
        <w:suppressAutoHyphens/>
        <w:rPr>
          <w:rFonts w:eastAsia="Malgun Gothic" w:cs="Times New Roman"/>
          <w:kern w:val="22"/>
          <w:szCs w:val="22"/>
        </w:rPr>
      </w:pPr>
      <w:r w:rsidRPr="00FA6E69">
        <w:rPr>
          <w:rFonts w:eastAsia="Malgun Gothic" w:cs="Times New Roman"/>
          <w:kern w:val="22"/>
          <w:szCs w:val="22"/>
        </w:rPr>
        <w:t>Tandis que les informations qui découlent de l</w:t>
      </w:r>
      <w:r w:rsidR="00E964B4" w:rsidRPr="00FA6E69">
        <w:rPr>
          <w:rFonts w:eastAsia="Malgun Gothic" w:cs="Times New Roman"/>
          <w:kern w:val="22"/>
          <w:szCs w:val="22"/>
        </w:rPr>
        <w:t>’</w:t>
      </w:r>
      <w:r w:rsidRPr="00FA6E69">
        <w:rPr>
          <w:rFonts w:eastAsia="Malgun Gothic" w:cs="Times New Roman"/>
          <w:kern w:val="22"/>
          <w:szCs w:val="22"/>
        </w:rPr>
        <w:t>évaluation des SPANB concernent les engagements et les informations issues des rapports nationaux font référence aux mesures et résultats, les deux sources d</w:t>
      </w:r>
      <w:r w:rsidR="00E964B4" w:rsidRPr="00FA6E69">
        <w:rPr>
          <w:rFonts w:eastAsia="Malgun Gothic" w:cs="Times New Roman"/>
          <w:kern w:val="22"/>
          <w:szCs w:val="22"/>
        </w:rPr>
        <w:t>’</w:t>
      </w:r>
      <w:r w:rsidRPr="00FA6E69">
        <w:rPr>
          <w:rFonts w:eastAsia="Malgun Gothic" w:cs="Times New Roman"/>
          <w:kern w:val="22"/>
          <w:szCs w:val="22"/>
        </w:rPr>
        <w:t>informations fournissent une image cohérente. Des efforts ont été déployés pour traduire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dans des engagements nationaux, et des mesures nationales ont été prises pour atteindre les Objectifs d</w:t>
      </w:r>
      <w:r w:rsidR="00E964B4" w:rsidRPr="00FA6E69">
        <w:rPr>
          <w:rFonts w:eastAsia="Malgun Gothic" w:cs="Times New Roman"/>
          <w:kern w:val="22"/>
          <w:szCs w:val="22"/>
        </w:rPr>
        <w:t>’</w:t>
      </w:r>
      <w:r w:rsidRPr="00FA6E69">
        <w:rPr>
          <w:rFonts w:eastAsia="Malgun Gothic" w:cs="Times New Roman"/>
          <w:kern w:val="22"/>
          <w:szCs w:val="22"/>
        </w:rPr>
        <w:t>Aichi. Cependant, ces engagements et efforts devront être nettement revus à la hausse si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et le Plan stratégique 2011</w:t>
      </w:r>
      <w:r w:rsidR="009F23B8" w:rsidRPr="00FA6E69">
        <w:rPr>
          <w:rFonts w:eastAsia="Malgun Gothic" w:cs="Times New Roman"/>
          <w:kern w:val="22"/>
          <w:szCs w:val="22"/>
        </w:rPr>
        <w:noBreakHyphen/>
      </w:r>
      <w:r w:rsidRPr="00FA6E69">
        <w:rPr>
          <w:rFonts w:eastAsia="Malgun Gothic" w:cs="Times New Roman"/>
          <w:kern w:val="22"/>
          <w:szCs w:val="22"/>
        </w:rPr>
        <w:t xml:space="preserve">2020 pour la diversité biologique, plus généralement, doivent être atteints. Les informations découlant de cette analyse concordent dans une large mesure avec les informations présentées dans la quatrième édition des </w:t>
      </w:r>
      <w:r w:rsidRPr="00FA6E69">
        <w:rPr>
          <w:rFonts w:eastAsia="Malgun Gothic" w:cs="Times New Roman"/>
          <w:i/>
          <w:iCs/>
          <w:kern w:val="22"/>
          <w:szCs w:val="22"/>
        </w:rPr>
        <w:t>Perspectives mondiales de la diversité biologique</w:t>
      </w:r>
      <w:r w:rsidRPr="00FA6E69">
        <w:rPr>
          <w:rFonts w:eastAsia="Malgun Gothic" w:cs="Times New Roman"/>
          <w:kern w:val="22"/>
          <w:szCs w:val="22"/>
        </w:rPr>
        <w:t xml:space="preserve"> qui concluaient que, tandis que des progrès étaient accomplis dans la réalisation de tous les objectifs, ces progrès ne suffiraient pas à réaliser les Objectifs d</w:t>
      </w:r>
      <w:r w:rsidR="00E964B4" w:rsidRPr="00FA6E69">
        <w:rPr>
          <w:rFonts w:eastAsia="Malgun Gothic" w:cs="Times New Roman"/>
          <w:kern w:val="22"/>
          <w:szCs w:val="22"/>
        </w:rPr>
        <w:t>’</w:t>
      </w:r>
      <w:r w:rsidRPr="00FA6E69">
        <w:rPr>
          <w:rFonts w:eastAsia="Malgun Gothic" w:cs="Times New Roman"/>
          <w:kern w:val="22"/>
          <w:szCs w:val="22"/>
        </w:rPr>
        <w:t>Aichi pour la biodiversité et que des mesures supplémentaires étaient requises pour que le Plan stratégique 2011</w:t>
      </w:r>
      <w:r w:rsidR="009F23B8" w:rsidRPr="00FA6E69">
        <w:rPr>
          <w:rFonts w:eastAsia="Malgun Gothic" w:cs="Times New Roman"/>
          <w:kern w:val="22"/>
          <w:szCs w:val="22"/>
        </w:rPr>
        <w:noBreakHyphen/>
      </w:r>
      <w:r w:rsidRPr="00FA6E69">
        <w:rPr>
          <w:rFonts w:eastAsia="Malgun Gothic" w:cs="Times New Roman"/>
          <w:kern w:val="22"/>
          <w:szCs w:val="22"/>
        </w:rPr>
        <w:t>2020 pour la diversité biologique maintienne le cap</w:t>
      </w:r>
      <w:r w:rsidR="00E75E49" w:rsidRPr="00FA6E69">
        <w:rPr>
          <w:rFonts w:eastAsia="Malgun Gothic" w:cs="Times New Roman"/>
          <w:kern w:val="22"/>
          <w:szCs w:val="22"/>
        </w:rPr>
        <w:t>.</w:t>
      </w:r>
    </w:p>
    <w:p w:rsidR="00D706A4" w:rsidRPr="00FA6E69" w:rsidRDefault="00CD0A28" w:rsidP="00297BEE">
      <w:pPr>
        <w:pageBreakBefore/>
        <w:suppressLineNumbers/>
        <w:suppressAutoHyphens/>
        <w:rPr>
          <w:rFonts w:cs="Times New Roman"/>
          <w:snapToGrid w:val="0"/>
          <w:kern w:val="22"/>
          <w:szCs w:val="22"/>
          <w:shd w:val="clear" w:color="auto" w:fill="FFFFFF"/>
        </w:rPr>
      </w:pPr>
      <w:r w:rsidRPr="00FA6E69">
        <w:rPr>
          <w:rFonts w:cs="Times New Roman"/>
          <w:snapToGrid w:val="0"/>
          <w:kern w:val="22"/>
          <w:szCs w:val="22"/>
          <w:shd w:val="clear" w:color="auto" w:fill="FFFFFF"/>
        </w:rPr>
        <w:lastRenderedPageBreak/>
        <w:t>Figure 1.</w:t>
      </w:r>
      <w:r w:rsidRPr="00FA6E69">
        <w:rPr>
          <w:rFonts w:cs="Times New Roman"/>
          <w:b/>
          <w:bCs/>
          <w:snapToGrid w:val="0"/>
          <w:kern w:val="22"/>
          <w:szCs w:val="22"/>
          <w:shd w:val="clear" w:color="auto" w:fill="FFFFFF"/>
        </w:rPr>
        <w:t xml:space="preserve"> Évaluation de </w:t>
      </w:r>
      <w:bookmarkStart w:id="0" w:name="_GoBack"/>
      <w:bookmarkEnd w:id="0"/>
      <w:r w:rsidRPr="00FA6E69">
        <w:rPr>
          <w:rFonts w:cs="Times New Roman"/>
          <w:b/>
          <w:bCs/>
          <w:snapToGrid w:val="0"/>
          <w:kern w:val="22"/>
          <w:szCs w:val="22"/>
          <w:shd w:val="clear" w:color="auto" w:fill="FFFFFF"/>
        </w:rPr>
        <w:t>la concordance des objectifs nationaux et autres engagements contenus dans les SPANB révisés et actualisés avec les Objectifs d’Aichi</w:t>
      </w:r>
    </w:p>
    <w:p w:rsidR="00D706A4" w:rsidRPr="00FA6E69" w:rsidRDefault="00D706A4" w:rsidP="00297BEE">
      <w:pPr>
        <w:keepLines/>
        <w:suppressLineNumbers/>
        <w:suppressAutoHyphens/>
        <w:rPr>
          <w:rFonts w:cs="Times New Roman"/>
          <w:snapToGrid w:val="0"/>
          <w:kern w:val="22"/>
          <w:szCs w:val="22"/>
        </w:rPr>
      </w:pPr>
    </w:p>
    <w:p w:rsidR="007608D2" w:rsidRPr="00FA6E69" w:rsidRDefault="00896489" w:rsidP="00297BEE">
      <w:pPr>
        <w:keepLines/>
        <w:suppressLineNumbers/>
        <w:suppressAutoHyphens/>
        <w:spacing w:before="120" w:after="120"/>
        <w:jc w:val="left"/>
        <w:rPr>
          <w:rFonts w:cs="Times New Roman"/>
          <w:snapToGrid w:val="0"/>
          <w:kern w:val="22"/>
          <w:szCs w:val="22"/>
          <w:shd w:val="clear" w:color="auto" w:fill="FFFFFF"/>
        </w:rPr>
      </w:pPr>
      <w:r>
        <w:rPr>
          <w:noProof/>
          <w:lang w:eastAsia="fr-FR"/>
        </w:rPr>
        <w:drawing>
          <wp:inline distT="0" distB="0" distL="0" distR="0" wp14:anchorId="70D56085" wp14:editId="2C3CA20E">
            <wp:extent cx="5816600" cy="2882900"/>
            <wp:effectExtent l="0" t="0" r="1270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5CE1" w:rsidRPr="00FA6E69" w:rsidRDefault="0000434E" w:rsidP="00297BEE">
      <w:pPr>
        <w:keepLines/>
        <w:suppressLineNumbers/>
        <w:suppressAutoHyphens/>
        <w:spacing w:before="120" w:after="120"/>
        <w:jc w:val="left"/>
        <w:rPr>
          <w:rFonts w:cs="Times New Roman"/>
          <w:snapToGrid w:val="0"/>
          <w:kern w:val="22"/>
          <w:szCs w:val="22"/>
          <w:shd w:val="clear" w:color="auto" w:fill="FFFFFF"/>
        </w:rPr>
      </w:pPr>
      <w:r w:rsidRPr="00FA6E69">
        <w:rPr>
          <w:rFonts w:cs="Times New Roman"/>
          <w:i/>
          <w:iCs/>
          <w:snapToGrid w:val="0"/>
          <w:kern w:val="22"/>
          <w:szCs w:val="22"/>
          <w:shd w:val="clear" w:color="auto" w:fill="FFFFFF"/>
        </w:rPr>
        <w:t>Nota :</w:t>
      </w:r>
      <w:r w:rsidRPr="00FA6E69">
        <w:rPr>
          <w:rFonts w:cs="Times New Roman"/>
          <w:snapToGrid w:val="0"/>
          <w:kern w:val="22"/>
          <w:szCs w:val="22"/>
          <w:shd w:val="clear" w:color="auto" w:fill="FFFFFF"/>
        </w:rPr>
        <w:t xml:space="preserve"> les barres colorées indiquent la proportion des SPANB dans chaque catégorie. Pour une meilleure lisibilité, les catégories «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national a peu de rapport avec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d</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Aichi », «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national est nettement inférieur à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d</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Aichi » et «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national est similaire à l</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objectif d</w:t>
      </w:r>
      <w:r w:rsidR="00E964B4" w:rsidRPr="00FA6E69">
        <w:rPr>
          <w:rFonts w:cs="Times New Roman"/>
          <w:snapToGrid w:val="0"/>
          <w:kern w:val="22"/>
          <w:szCs w:val="22"/>
          <w:shd w:val="clear" w:color="auto" w:fill="FFFFFF"/>
        </w:rPr>
        <w:t>’</w:t>
      </w:r>
      <w:r w:rsidRPr="00FA6E69">
        <w:rPr>
          <w:rFonts w:cs="Times New Roman"/>
          <w:snapToGrid w:val="0"/>
          <w:kern w:val="22"/>
          <w:szCs w:val="22"/>
          <w:shd w:val="clear" w:color="auto" w:fill="FFFFFF"/>
        </w:rPr>
        <w:t>Aichi, mais à un niveau inférieur/ne couvre pas tous les éléments » ont été combinées dans cette évaluation.</w:t>
      </w:r>
    </w:p>
    <w:p w:rsidR="00D706A4" w:rsidRPr="00FA6E69" w:rsidRDefault="00CD0A28" w:rsidP="00297BEE">
      <w:pPr>
        <w:suppressLineNumbers/>
        <w:suppressAutoHyphens/>
        <w:rPr>
          <w:rFonts w:cs="Times New Roman"/>
          <w:snapToGrid w:val="0"/>
          <w:kern w:val="22"/>
          <w:szCs w:val="22"/>
          <w:shd w:val="clear" w:color="auto" w:fill="FFFFFF"/>
        </w:rPr>
      </w:pPr>
      <w:r>
        <w:rPr>
          <w:rFonts w:cs="Times New Roman"/>
          <w:snapToGrid w:val="0"/>
          <w:kern w:val="22"/>
          <w:szCs w:val="22"/>
          <w:shd w:val="clear" w:color="auto" w:fill="FFFFFF"/>
        </w:rPr>
        <w:br w:type="page"/>
      </w:r>
      <w:r w:rsidRPr="00FA6E69">
        <w:rPr>
          <w:rFonts w:cs="Times New Roman"/>
          <w:snapToGrid w:val="0"/>
          <w:kern w:val="22"/>
          <w:szCs w:val="22"/>
          <w:shd w:val="clear" w:color="auto" w:fill="FFFFFF"/>
        </w:rPr>
        <w:lastRenderedPageBreak/>
        <w:t>Figure 2.</w:t>
      </w:r>
      <w:r w:rsidRPr="00FA6E69">
        <w:rPr>
          <w:rFonts w:cs="Times New Roman"/>
          <w:b/>
          <w:bCs/>
          <w:snapToGrid w:val="0"/>
          <w:kern w:val="22"/>
          <w:szCs w:val="22"/>
          <w:shd w:val="clear" w:color="auto" w:fill="FFFFFF"/>
        </w:rPr>
        <w:t xml:space="preserve"> Évaluation des progrès accomplis dans la réalisation de chacun des Objectifs d’Aichi pour la biodiversité, basée sur les informations contenues dans les cinquièmes rapports nationaux</w:t>
      </w:r>
    </w:p>
    <w:p w:rsidR="00D706A4" w:rsidRPr="00FA6E69" w:rsidRDefault="00D706A4" w:rsidP="00297BEE">
      <w:pPr>
        <w:suppressLineNumbers/>
        <w:suppressAutoHyphens/>
        <w:rPr>
          <w:rFonts w:cs="Times New Roman"/>
          <w:snapToGrid w:val="0"/>
          <w:kern w:val="22"/>
          <w:szCs w:val="22"/>
          <w:shd w:val="clear" w:color="auto" w:fill="FFFFFF"/>
        </w:rPr>
      </w:pPr>
    </w:p>
    <w:p w:rsidR="00130623" w:rsidRPr="00FA6E69" w:rsidRDefault="0000434E" w:rsidP="0000434E">
      <w:pPr>
        <w:suppressLineNumbers/>
        <w:suppressAutoHyphens/>
        <w:spacing w:before="120"/>
        <w:jc w:val="left"/>
        <w:rPr>
          <w:rFonts w:cs="Times New Roman"/>
          <w:snapToGrid w:val="0"/>
          <w:kern w:val="22"/>
          <w:szCs w:val="22"/>
          <w:shd w:val="clear" w:color="auto" w:fill="FFFFFF"/>
        </w:rPr>
      </w:pPr>
      <w:r w:rsidRPr="00FA6E69">
        <w:rPr>
          <w:rFonts w:cs="Times New Roman"/>
          <w:snapToGrid w:val="0"/>
          <w:kern w:val="22"/>
          <w:szCs w:val="22"/>
          <w:shd w:val="clear" w:color="auto" w:fill="FFFFFF"/>
        </w:rPr>
        <w:t xml:space="preserve"> </w:t>
      </w:r>
      <w:r w:rsidR="003A6A5F">
        <w:rPr>
          <w:noProof/>
          <w:lang w:eastAsia="fr-FR"/>
        </w:rPr>
        <w:drawing>
          <wp:inline distT="0" distB="0" distL="0" distR="0" wp14:anchorId="2B0CCE62" wp14:editId="25565DDE">
            <wp:extent cx="5499100" cy="2959100"/>
            <wp:effectExtent l="0" t="0" r="25400" b="127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06A4" w:rsidRPr="00FA6E69" w:rsidRDefault="0000434E" w:rsidP="00297BEE">
      <w:pPr>
        <w:suppressLineNumbers/>
        <w:suppressAutoHyphens/>
        <w:spacing w:before="120"/>
        <w:rPr>
          <w:rFonts w:cs="Times New Roman"/>
          <w:snapToGrid w:val="0"/>
          <w:kern w:val="22"/>
          <w:szCs w:val="22"/>
          <w:shd w:val="clear" w:color="auto" w:fill="FFFFFF"/>
        </w:rPr>
      </w:pPr>
      <w:r w:rsidRPr="00FA6E69">
        <w:rPr>
          <w:rFonts w:cs="Times New Roman"/>
          <w:i/>
          <w:iCs/>
          <w:snapToGrid w:val="0"/>
          <w:kern w:val="22"/>
          <w:szCs w:val="22"/>
          <w:shd w:val="clear" w:color="auto" w:fill="FFFFFF"/>
        </w:rPr>
        <w:t>Nota :</w:t>
      </w:r>
      <w:r w:rsidRPr="00FA6E69">
        <w:rPr>
          <w:rFonts w:cs="Times New Roman"/>
          <w:snapToGrid w:val="0"/>
          <w:kern w:val="22"/>
          <w:szCs w:val="22"/>
          <w:shd w:val="clear" w:color="auto" w:fill="FFFFFF"/>
        </w:rPr>
        <w:t xml:space="preserve"> les barres colorées indiquent la proportion des rapports nationaux dans chaque catégorie.</w:t>
      </w:r>
    </w:p>
    <w:p w:rsidR="00130623" w:rsidRDefault="00130623" w:rsidP="00297BEE">
      <w:pPr>
        <w:suppressLineNumbers/>
        <w:suppressAutoHyphens/>
        <w:spacing w:before="120"/>
        <w:rPr>
          <w:rFonts w:cs="Times New Roman"/>
          <w:snapToGrid w:val="0"/>
          <w:kern w:val="22"/>
          <w:szCs w:val="22"/>
          <w:shd w:val="clear" w:color="auto" w:fill="FFFFFF"/>
        </w:rPr>
      </w:pPr>
    </w:p>
    <w:p w:rsidR="008C4511" w:rsidRPr="00FA6E69" w:rsidRDefault="008C4511" w:rsidP="00297BEE">
      <w:pPr>
        <w:suppressLineNumbers/>
        <w:suppressAutoHyphens/>
        <w:spacing w:before="120"/>
        <w:rPr>
          <w:rFonts w:cs="Times New Roman"/>
          <w:snapToGrid w:val="0"/>
          <w:kern w:val="22"/>
          <w:szCs w:val="22"/>
          <w:shd w:val="clear" w:color="auto" w:fill="FFFFFF"/>
        </w:rPr>
      </w:pPr>
    </w:p>
    <w:p w:rsidR="00DC0160" w:rsidRPr="00FA6E69" w:rsidRDefault="00DC0160" w:rsidP="00297BEE">
      <w:pPr>
        <w:suppressLineNumbers/>
        <w:suppressAutoHyphens/>
        <w:jc w:val="center"/>
        <w:rPr>
          <w:rFonts w:cs="Times New Roman"/>
          <w:snapToGrid w:val="0"/>
          <w:kern w:val="22"/>
          <w:szCs w:val="22"/>
          <w:shd w:val="clear" w:color="auto" w:fill="FFFFFF"/>
        </w:rPr>
      </w:pPr>
      <w:r w:rsidRPr="00FA6E69">
        <w:rPr>
          <w:rFonts w:cs="Times New Roman"/>
          <w:snapToGrid w:val="0"/>
          <w:kern w:val="22"/>
          <w:szCs w:val="22"/>
          <w:shd w:val="clear" w:color="auto" w:fill="FFFFFF"/>
        </w:rPr>
        <w:t>__________</w:t>
      </w:r>
    </w:p>
    <w:sectPr w:rsidR="00DC0160" w:rsidRPr="00FA6E69" w:rsidSect="008E46EF">
      <w:headerReference w:type="even" r:id="rId22"/>
      <w:headerReference w:type="default" r:id="rId23"/>
      <w:footerReference w:type="default" r:id="rId24"/>
      <w:pgSz w:w="12240" w:h="15840" w:code="1"/>
      <w:pgMar w:top="1021" w:right="1440" w:bottom="114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E5" w:rsidRDefault="002101E5">
      <w:r>
        <w:separator/>
      </w:r>
    </w:p>
  </w:endnote>
  <w:endnote w:type="continuationSeparator" w:id="0">
    <w:p w:rsidR="002101E5" w:rsidRDefault="002101E5">
      <w:r>
        <w:continuationSeparator/>
      </w:r>
    </w:p>
  </w:endnote>
  <w:endnote w:type="continuationNotice" w:id="1">
    <w:p w:rsidR="002101E5" w:rsidRDefault="0021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89" w:rsidRDefault="00544B89" w:rsidP="00297BEE">
    <w:pPr>
      <w:pStyle w:val="Piedepgina"/>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E5" w:rsidRDefault="002101E5">
      <w:r>
        <w:separator/>
      </w:r>
    </w:p>
  </w:footnote>
  <w:footnote w:type="continuationSeparator" w:id="0">
    <w:p w:rsidR="002101E5" w:rsidRDefault="002101E5">
      <w:r>
        <w:continuationSeparator/>
      </w:r>
    </w:p>
  </w:footnote>
  <w:footnote w:type="continuationNotice" w:id="1">
    <w:p w:rsidR="002101E5" w:rsidRDefault="002101E5"/>
  </w:footnote>
  <w:footnote w:id="2">
    <w:p w:rsidR="00544B89" w:rsidRPr="00880AE7" w:rsidRDefault="00544B89" w:rsidP="00C45E48">
      <w:pPr>
        <w:rPr>
          <w:color w:val="000000"/>
          <w:lang w:val="fr-CA"/>
        </w:rPr>
      </w:pPr>
      <w:r w:rsidRPr="00880AE7">
        <w:rPr>
          <w:rStyle w:val="Refdenotaalpie"/>
          <w:color w:val="000000"/>
          <w:u w:val="none"/>
          <w:lang w:val="fr-CA"/>
        </w:rPr>
        <w:t>*</w:t>
      </w:r>
      <w:r w:rsidRPr="00880AE7">
        <w:rPr>
          <w:color w:val="000000"/>
          <w:lang w:val="fr-CA"/>
        </w:rPr>
        <w:t xml:space="preserve"> </w:t>
      </w:r>
      <w:hyperlink r:id="rId1" w:history="1">
        <w:r w:rsidR="00CD0A28" w:rsidRPr="00CD0A28">
          <w:rPr>
            <w:rStyle w:val="Hipervnculo"/>
            <w:snapToGrid w:val="0"/>
            <w:kern w:val="18"/>
            <w:sz w:val="18"/>
            <w:szCs w:val="18"/>
          </w:rPr>
          <w:t>CBD/SBI/2/1</w:t>
        </w:r>
      </w:hyperlink>
      <w:r w:rsidRPr="00880AE7">
        <w:rPr>
          <w:rFonts w:cs="Times New Roman"/>
          <w:color w:val="000000"/>
          <w:kern w:val="18"/>
          <w:sz w:val="18"/>
          <w:szCs w:val="18"/>
          <w:shd w:val="clear" w:color="auto" w:fill="FFFFFF"/>
          <w:lang w:val="fr-CA"/>
        </w:rPr>
        <w:t>.</w:t>
      </w:r>
    </w:p>
  </w:footnote>
  <w:footnote w:id="3">
    <w:p w:rsidR="00544B89" w:rsidRPr="00880AE7" w:rsidRDefault="00544B89" w:rsidP="00C45E48">
      <w:pPr>
        <w:pStyle w:val="Textonotapie"/>
        <w:keepLines w:val="0"/>
        <w:ind w:firstLine="0"/>
        <w:rPr>
          <w:color w:val="000000"/>
          <w:kern w:val="18"/>
          <w:szCs w:val="18"/>
          <w:lang w:val="fr-CA"/>
        </w:rPr>
      </w:pPr>
      <w:r w:rsidRPr="00880AE7">
        <w:rPr>
          <w:rStyle w:val="Refdenotaalpie"/>
          <w:color w:val="000000"/>
          <w:kern w:val="18"/>
          <w:szCs w:val="18"/>
          <w:u w:val="none"/>
          <w:vertAlign w:val="superscript"/>
          <w:lang w:val="fr-CA" w:eastAsia="en-US"/>
        </w:rPr>
        <w:footnoteRef/>
      </w:r>
      <w:r w:rsidRPr="00880AE7">
        <w:rPr>
          <w:rStyle w:val="Refdenotaalpie"/>
          <w:color w:val="000000"/>
          <w:kern w:val="18"/>
          <w:szCs w:val="18"/>
          <w:u w:val="none"/>
          <w:vertAlign w:val="superscript"/>
          <w:lang w:val="fr-CA" w:eastAsia="en-US"/>
        </w:rPr>
        <w:t xml:space="preserve"> </w:t>
      </w:r>
      <w:r w:rsidRPr="00880AE7">
        <w:rPr>
          <w:color w:val="000000"/>
          <w:kern w:val="18"/>
          <w:szCs w:val="18"/>
          <w:shd w:val="clear" w:color="auto" w:fill="FFFFFF"/>
          <w:lang w:val="fr-CA" w:eastAsia="en-US"/>
        </w:rPr>
        <w:t>Le SPANB révisé de la Chine a été soumis en septembre 2010 et a été élaboré en tenant compte du projet de Plan stratégique 2011</w:t>
      </w:r>
      <w:r>
        <w:rPr>
          <w:color w:val="000000"/>
          <w:kern w:val="18"/>
          <w:szCs w:val="18"/>
          <w:shd w:val="clear" w:color="auto" w:fill="FFFFFF"/>
          <w:lang w:val="fr-CA" w:eastAsia="en-US"/>
        </w:rPr>
        <w:noBreakHyphen/>
      </w:r>
      <w:r w:rsidRPr="00880AE7">
        <w:rPr>
          <w:color w:val="000000"/>
          <w:kern w:val="18"/>
          <w:szCs w:val="18"/>
          <w:shd w:val="clear" w:color="auto" w:fill="FFFFFF"/>
          <w:lang w:val="fr-CA" w:eastAsia="en-US"/>
        </w:rPr>
        <w:t>2020 pour la diversité biologique. L’Allemagne a soumis un plan d’action jusqu’en 2020 pour un SPANB qui a été élaboré avant l’adoption du Plan stratégique 2011</w:t>
      </w:r>
      <w:r>
        <w:rPr>
          <w:color w:val="000000"/>
          <w:kern w:val="18"/>
          <w:szCs w:val="18"/>
          <w:shd w:val="clear" w:color="auto" w:fill="FFFFFF"/>
          <w:lang w:val="fr-CA" w:eastAsia="en-US"/>
        </w:rPr>
        <w:noBreakHyphen/>
      </w:r>
      <w:r w:rsidRPr="00880AE7">
        <w:rPr>
          <w:color w:val="000000"/>
          <w:kern w:val="18"/>
          <w:szCs w:val="18"/>
          <w:shd w:val="clear" w:color="auto" w:fill="FFFFFF"/>
          <w:lang w:val="fr-CA" w:eastAsia="en-US"/>
        </w:rPr>
        <w:t>2020 pour la diversité biologique.</w:t>
      </w:r>
    </w:p>
  </w:footnote>
  <w:footnote w:id="4">
    <w:p w:rsidR="00544B89" w:rsidRPr="00A26144"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A26144">
        <w:rPr>
          <w:snapToGrid w:val="0"/>
          <w:kern w:val="18"/>
          <w:szCs w:val="18"/>
        </w:rPr>
        <w:t xml:space="preserve"> </w:t>
      </w:r>
      <w:r w:rsidR="00256E4A" w:rsidRPr="00256E4A">
        <w:rPr>
          <w:snapToGrid w:val="0"/>
          <w:kern w:val="18"/>
          <w:szCs w:val="18"/>
        </w:rPr>
        <w:t xml:space="preserve">Une version de ce document a été mise à la disposition des pairs du 16 février 2018 au 12 mars 2018. </w:t>
      </w:r>
      <w:r w:rsidR="00043BBA">
        <w:rPr>
          <w:snapToGrid w:val="0"/>
          <w:kern w:val="18"/>
          <w:szCs w:val="18"/>
        </w:rPr>
        <w:t>Elle</w:t>
      </w:r>
      <w:r w:rsidR="00256E4A" w:rsidRPr="00256E4A">
        <w:rPr>
          <w:snapToGrid w:val="0"/>
          <w:kern w:val="18"/>
          <w:szCs w:val="18"/>
        </w:rPr>
        <w:t xml:space="preserve"> a été mis</w:t>
      </w:r>
      <w:r w:rsidR="00043BBA">
        <w:rPr>
          <w:snapToGrid w:val="0"/>
          <w:kern w:val="18"/>
          <w:szCs w:val="18"/>
        </w:rPr>
        <w:t>e</w:t>
      </w:r>
      <w:r w:rsidR="00256E4A" w:rsidRPr="00256E4A">
        <w:rPr>
          <w:snapToGrid w:val="0"/>
          <w:kern w:val="18"/>
          <w:szCs w:val="18"/>
        </w:rPr>
        <w:t xml:space="preserve"> à jour pour tenir compte des commentaires des pairs et des cinquièmes rapports nationaux supplémentaires et des stratégies et plans d'action nationaux en matière de biodiversité reçus au cours de cette période</w:t>
      </w:r>
      <w:r w:rsidR="00FA6E69" w:rsidRPr="00256E4A">
        <w:rPr>
          <w:snapToGrid w:val="0"/>
          <w:kern w:val="18"/>
          <w:szCs w:val="18"/>
        </w:rPr>
        <w:t>.</w:t>
      </w:r>
      <w:r w:rsidRPr="00A26144">
        <w:rPr>
          <w:snapToGrid w:val="0"/>
          <w:kern w:val="18"/>
          <w:szCs w:val="18"/>
        </w:rPr>
        <w:t xml:space="preserve"> </w:t>
      </w:r>
    </w:p>
  </w:footnote>
  <w:footnote w:id="5">
    <w:p w:rsidR="00544B89" w:rsidRPr="00A26144"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A26144">
        <w:rPr>
          <w:snapToGrid w:val="0"/>
          <w:kern w:val="18"/>
          <w:szCs w:val="18"/>
        </w:rPr>
        <w:t xml:space="preserve"> </w:t>
      </w:r>
      <w:hyperlink r:id="rId2" w:history="1">
        <w:r w:rsidRPr="00A26144">
          <w:rPr>
            <w:rStyle w:val="Hipervnculo"/>
            <w:snapToGrid w:val="0"/>
            <w:kern w:val="18"/>
          </w:rPr>
          <w:t>UNEP/CBD/COP/13/8/Add.2/Rev.1</w:t>
        </w:r>
      </w:hyperlink>
      <w:r>
        <w:rPr>
          <w:snapToGrid w:val="0"/>
          <w:kern w:val="18"/>
          <w:szCs w:val="18"/>
        </w:rPr>
        <w:t>.</w:t>
      </w:r>
    </w:p>
  </w:footnote>
  <w:footnote w:id="6">
    <w:p w:rsidR="00544B89" w:rsidRPr="003169D2"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3169D2">
        <w:rPr>
          <w:snapToGrid w:val="0"/>
          <w:kern w:val="18"/>
          <w:szCs w:val="18"/>
        </w:rPr>
        <w:t xml:space="preserve"> CBD/SBSTTA/22/5.</w:t>
      </w:r>
    </w:p>
  </w:footnote>
  <w:footnote w:id="7">
    <w:p w:rsidR="00544B89" w:rsidRPr="00880AE7" w:rsidRDefault="00544B89" w:rsidP="00C45E48">
      <w:pPr>
        <w:spacing w:after="60"/>
        <w:rPr>
          <w:rFonts w:cs="Times New Roman"/>
          <w:kern w:val="18"/>
          <w:szCs w:val="18"/>
          <w:lang w:val="fr-CA"/>
        </w:rPr>
      </w:pPr>
      <w:r w:rsidRPr="00880AE7">
        <w:rPr>
          <w:rStyle w:val="Refdenotaalpie"/>
          <w:rFonts w:cs="Times New Roman"/>
          <w:kern w:val="18"/>
          <w:szCs w:val="18"/>
          <w:u w:val="none"/>
          <w:vertAlign w:val="superscript"/>
          <w:lang w:val="fr-CA"/>
        </w:rPr>
        <w:footnoteRef/>
      </w:r>
      <w:r w:rsidRPr="00880AE7">
        <w:rPr>
          <w:rFonts w:cs="Times New Roman"/>
          <w:color w:val="333333"/>
          <w:kern w:val="18"/>
          <w:szCs w:val="18"/>
          <w:shd w:val="clear" w:color="auto" w:fill="FFFFFF"/>
          <w:lang w:val="fr-CA"/>
        </w:rPr>
        <w:t xml:space="preserve"> </w:t>
      </w:r>
      <w:r w:rsidRPr="00880AE7">
        <w:rPr>
          <w:rFonts w:cs="Times New Roman"/>
          <w:color w:val="333333"/>
          <w:kern w:val="18"/>
          <w:sz w:val="18"/>
          <w:szCs w:val="18"/>
          <w:shd w:val="clear" w:color="auto" w:fill="FFFFFF"/>
          <w:lang w:val="fr-CA"/>
        </w:rPr>
        <w:t>Un SPANB (Lettonie) n’a pas été pris en considération car il n’était disponible dans aucune langue officielle des Nations Unies.</w:t>
      </w:r>
    </w:p>
  </w:footnote>
  <w:footnote w:id="8">
    <w:p w:rsidR="00544B89" w:rsidRPr="00A26144" w:rsidRDefault="00544B89" w:rsidP="00DB1547">
      <w:pPr>
        <w:pStyle w:val="Para1"/>
        <w:suppressLineNumbers/>
        <w:suppressAutoHyphens/>
        <w:kinsoku w:val="0"/>
        <w:overflowPunct w:val="0"/>
        <w:autoSpaceDE w:val="0"/>
        <w:autoSpaceDN w:val="0"/>
        <w:spacing w:after="60"/>
        <w:jc w:val="left"/>
        <w:rPr>
          <w:kern w:val="18"/>
        </w:rPr>
      </w:pPr>
      <w:r w:rsidRPr="00FA6E69">
        <w:rPr>
          <w:rStyle w:val="Refdenotaalpie"/>
          <w:kern w:val="18"/>
          <w:u w:val="none"/>
          <w:vertAlign w:val="superscript"/>
        </w:rPr>
        <w:footnoteRef/>
      </w:r>
      <w:r w:rsidRPr="00A26144">
        <w:rPr>
          <w:kern w:val="18"/>
          <w:sz w:val="18"/>
          <w:shd w:val="clear" w:color="auto" w:fill="FFFFFF"/>
        </w:rPr>
        <w:t xml:space="preserve"> </w:t>
      </w:r>
      <w:r w:rsidR="00FA6E69" w:rsidRPr="00FA6E69">
        <w:rPr>
          <w:kern w:val="18"/>
          <w:sz w:val="18"/>
          <w:shd w:val="clear" w:color="auto" w:fill="FFFFFF"/>
        </w:rPr>
        <w:t>Une liste complète des objectifs nationaux, y compris les objectifs contenus dans les plans d'action nationaux antérieurs ainsi que dans les cinquième rapports nationaux, est disponible à l'adresse suivante : https://www.cbd.int/nbsap/targets/default.shtml</w:t>
      </w:r>
      <w:r w:rsidRPr="00E771FA">
        <w:rPr>
          <w:color w:val="333333"/>
          <w:kern w:val="18"/>
          <w:sz w:val="18"/>
          <w:shd w:val="clear" w:color="auto" w:fill="FFFFFF"/>
        </w:rPr>
        <w:t>.</w:t>
      </w:r>
    </w:p>
  </w:footnote>
  <w:footnote w:id="9">
    <w:p w:rsidR="00544B89" w:rsidRPr="001C63DA" w:rsidRDefault="00544B89" w:rsidP="00FA6E69">
      <w:pPr>
        <w:pStyle w:val="Textonotapie"/>
        <w:suppressLineNumbers/>
        <w:suppressAutoHyphens/>
        <w:kinsoku w:val="0"/>
        <w:overflowPunct w:val="0"/>
        <w:autoSpaceDE w:val="0"/>
        <w:autoSpaceDN w:val="0"/>
        <w:ind w:firstLine="0"/>
        <w:jc w:val="left"/>
        <w:rPr>
          <w:kern w:val="18"/>
        </w:rPr>
      </w:pPr>
      <w:r w:rsidRPr="00FA6E69">
        <w:rPr>
          <w:rStyle w:val="Refdenotaalpie"/>
          <w:kern w:val="18"/>
          <w:u w:val="none"/>
          <w:vertAlign w:val="superscript"/>
        </w:rPr>
        <w:footnoteRef/>
      </w:r>
      <w:r w:rsidRPr="00FA6E69">
        <w:rPr>
          <w:snapToGrid w:val="0"/>
          <w:kern w:val="18"/>
          <w:szCs w:val="18"/>
        </w:rPr>
        <w:t xml:space="preserve"> </w:t>
      </w:r>
      <w:r w:rsidR="00043BBA" w:rsidRPr="00043BBA">
        <w:rPr>
          <w:snapToGrid w:val="0"/>
          <w:kern w:val="18"/>
          <w:szCs w:val="18"/>
        </w:rPr>
        <w:t>Tous les rapports nationaux reçus par le Secrétariat de la Convention sur la diversité biologique ont été examinés. Aucun rapport national n'a été reçu des Bahamas, du Gabon, de l'Islande, du Lesotho ou de la Libye</w:t>
      </w:r>
      <w:r w:rsidR="00FA6E69" w:rsidRPr="00043BBA">
        <w:rPr>
          <w:snapToGrid w:val="0"/>
          <w:kern w:val="18"/>
          <w:szCs w:val="18"/>
        </w:rPr>
        <w:t>.</w:t>
      </w:r>
    </w:p>
  </w:footnote>
  <w:footnote w:id="10">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eastAsia="en-US"/>
        </w:rPr>
        <w:footnoteRef/>
      </w:r>
      <w:r w:rsidRPr="00880AE7">
        <w:rPr>
          <w:kern w:val="18"/>
          <w:szCs w:val="18"/>
          <w:lang w:val="fr-CA"/>
        </w:rPr>
        <w:t xml:space="preserve"> Afrique du Sud, </w:t>
      </w:r>
      <w:r w:rsidRPr="00880AE7">
        <w:rPr>
          <w:noProof/>
          <w:kern w:val="18"/>
          <w:szCs w:val="18"/>
          <w:lang w:val="fr-CA"/>
        </w:rPr>
        <w:t>Antigua</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 xml:space="preserve">Barbuda, Autriche, Bélarus, Belgique, Bénin, Brésil, Burundi, Congo, Cuba, Dominique, Espagne, Estonie, Éthiopie, Fédération de Russie, Finlande, Guinée, Guinée équatoriale, Îles Salomon, Inde, Irlande, Japon, Liban, </w:t>
      </w:r>
      <w:r>
        <w:rPr>
          <w:noProof/>
          <w:kern w:val="18"/>
          <w:szCs w:val="18"/>
          <w:lang w:val="fr-CA"/>
        </w:rPr>
        <w:t xml:space="preserve">Luxembourg, </w:t>
      </w:r>
      <w:r w:rsidRPr="00880AE7">
        <w:rPr>
          <w:noProof/>
          <w:kern w:val="18"/>
          <w:szCs w:val="18"/>
          <w:lang w:val="fr-CA"/>
        </w:rPr>
        <w:t>Mali, Nicaragua, Nouvelle</w:t>
      </w:r>
      <w:r>
        <w:rPr>
          <w:noProof/>
          <w:kern w:val="18"/>
          <w:szCs w:val="18"/>
          <w:lang w:val="fr-CA"/>
        </w:rPr>
        <w:noBreakHyphen/>
      </w:r>
      <w:r w:rsidRPr="00880AE7">
        <w:rPr>
          <w:noProof/>
          <w:kern w:val="18"/>
          <w:szCs w:val="18"/>
          <w:lang w:val="fr-CA"/>
        </w:rPr>
        <w:t xml:space="preserve">Zélande, Ouganda, République de Corée, </w:t>
      </w:r>
      <w:r w:rsidRPr="00880AE7">
        <w:rPr>
          <w:rFonts w:eastAsia="Malgun Gothic"/>
          <w:noProof/>
          <w:kern w:val="22"/>
          <w:szCs w:val="22"/>
          <w:lang w:val="fr-CA"/>
        </w:rPr>
        <w:t>Royaume</w:t>
      </w:r>
      <w:r>
        <w:rPr>
          <w:rFonts w:eastAsia="Malgun Gothic"/>
          <w:noProof/>
          <w:kern w:val="22"/>
          <w:szCs w:val="22"/>
          <w:lang w:val="fr-CA"/>
        </w:rPr>
        <w:noBreakHyphen/>
      </w:r>
      <w:r w:rsidRPr="00880AE7">
        <w:rPr>
          <w:rFonts w:eastAsia="Malgun Gothic"/>
          <w:noProof/>
          <w:kern w:val="22"/>
          <w:szCs w:val="22"/>
          <w:lang w:val="fr-CA"/>
        </w:rPr>
        <w:t>Uni de Grande</w:t>
      </w:r>
      <w:r>
        <w:rPr>
          <w:rFonts w:eastAsia="Malgun Gothic"/>
          <w:noProof/>
          <w:kern w:val="22"/>
          <w:szCs w:val="22"/>
          <w:lang w:val="fr-CA"/>
        </w:rPr>
        <w:noBreakHyphen/>
      </w:r>
      <w:r w:rsidRPr="00880AE7">
        <w:rPr>
          <w:rFonts w:eastAsia="Malgun Gothic"/>
          <w:noProof/>
          <w:kern w:val="22"/>
          <w:szCs w:val="22"/>
          <w:lang w:val="fr-CA"/>
        </w:rPr>
        <w:t>Bretagne et d’Irlande du Nord</w:t>
      </w:r>
      <w:r w:rsidRPr="00880AE7">
        <w:rPr>
          <w:noProof/>
          <w:kern w:val="18"/>
          <w:szCs w:val="18"/>
          <w:lang w:val="fr-CA"/>
        </w:rPr>
        <w:t xml:space="preserve">, </w:t>
      </w:r>
      <w:r>
        <w:rPr>
          <w:noProof/>
          <w:kern w:val="18"/>
          <w:szCs w:val="18"/>
          <w:lang w:val="fr-CA"/>
        </w:rPr>
        <w:t xml:space="preserve">Rwanda, </w:t>
      </w:r>
      <w:r w:rsidRPr="00880AE7">
        <w:rPr>
          <w:noProof/>
          <w:lang w:val="fr-CA"/>
        </w:rPr>
        <w:t>Saint</w:t>
      </w:r>
      <w:r>
        <w:rPr>
          <w:noProof/>
          <w:lang w:val="fr-CA"/>
        </w:rPr>
        <w:noBreakHyphen/>
      </w:r>
      <w:r w:rsidRPr="00880AE7">
        <w:rPr>
          <w:noProof/>
          <w:lang w:val="fr-CA"/>
        </w:rPr>
        <w:t>Kitts</w:t>
      </w:r>
      <w:r>
        <w:rPr>
          <w:noProof/>
          <w:lang w:val="fr-CA"/>
        </w:rPr>
        <w:noBreakHyphen/>
      </w:r>
      <w:r w:rsidRPr="00880AE7">
        <w:rPr>
          <w:noProof/>
          <w:lang w:val="fr-CA"/>
        </w:rPr>
        <w:t>et</w:t>
      </w:r>
      <w:r>
        <w:rPr>
          <w:noProof/>
          <w:lang w:val="fr-CA"/>
        </w:rPr>
        <w:noBreakHyphen/>
      </w:r>
      <w:r w:rsidRPr="00880AE7">
        <w:rPr>
          <w:noProof/>
          <w:lang w:val="fr-CA"/>
        </w:rPr>
        <w:t>Nevis</w:t>
      </w:r>
      <w:r w:rsidRPr="00880AE7">
        <w:rPr>
          <w:noProof/>
          <w:kern w:val="18"/>
          <w:szCs w:val="18"/>
          <w:lang w:val="fr-CA"/>
        </w:rPr>
        <w:t xml:space="preserve">, Samoa, Sénégal, Serbie, Slovaquie, </w:t>
      </w:r>
      <w:r>
        <w:rPr>
          <w:noProof/>
          <w:kern w:val="18"/>
          <w:szCs w:val="18"/>
          <w:lang w:val="fr-CA"/>
        </w:rPr>
        <w:t>Tha</w:t>
      </w:r>
      <w:r w:rsidR="005F425E">
        <w:rPr>
          <w:noProof/>
          <w:kern w:val="18"/>
          <w:szCs w:val="18"/>
          <w:lang w:val="fr-CA"/>
        </w:rPr>
        <w:t>ï</w:t>
      </w:r>
      <w:r>
        <w:rPr>
          <w:noProof/>
          <w:kern w:val="18"/>
          <w:szCs w:val="18"/>
          <w:lang w:val="fr-CA"/>
        </w:rPr>
        <w:t xml:space="preserve">lande, </w:t>
      </w:r>
      <w:r w:rsidRPr="00880AE7">
        <w:rPr>
          <w:noProof/>
          <w:kern w:val="18"/>
          <w:szCs w:val="18"/>
          <w:lang w:val="fr-CA"/>
        </w:rPr>
        <w:t>Timor</w:t>
      </w:r>
      <w:r>
        <w:rPr>
          <w:noProof/>
          <w:kern w:val="18"/>
          <w:szCs w:val="18"/>
          <w:lang w:val="fr-CA"/>
        </w:rPr>
        <w:noBreakHyphen/>
      </w:r>
      <w:r w:rsidRPr="00880AE7">
        <w:rPr>
          <w:noProof/>
          <w:kern w:val="18"/>
          <w:szCs w:val="18"/>
          <w:lang w:val="fr-CA"/>
        </w:rPr>
        <w:t>Leste</w:t>
      </w:r>
      <w:r w:rsidRPr="00880AE7">
        <w:rPr>
          <w:kern w:val="18"/>
          <w:szCs w:val="18"/>
          <w:lang w:val="fr-CA"/>
        </w:rPr>
        <w:t>, Tuvalu et Zambie.</w:t>
      </w:r>
    </w:p>
  </w:footnote>
  <w:footnote w:id="11">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Brésil, Congo, Finlande, Géorgie, Guinée, Samoa, Tadjikistan, Togo et Zambie.</w:t>
      </w:r>
    </w:p>
  </w:footnote>
  <w:footnote w:id="12">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rStyle w:val="Refdenotaalpie"/>
          <w:kern w:val="18"/>
          <w:szCs w:val="18"/>
          <w:u w:val="none"/>
          <w:vertAlign w:val="superscript"/>
          <w:lang w:val="fr-CA"/>
        </w:rPr>
        <w:t xml:space="preserve"> </w:t>
      </w:r>
      <w:r w:rsidRPr="00880AE7">
        <w:rPr>
          <w:noProof/>
          <w:kern w:val="18"/>
          <w:szCs w:val="18"/>
          <w:lang w:val="fr-CA"/>
        </w:rPr>
        <w:t>Guinée</w:t>
      </w:r>
      <w:r>
        <w:rPr>
          <w:noProof/>
          <w:kern w:val="18"/>
          <w:szCs w:val="18"/>
          <w:lang w:val="fr-CA"/>
        </w:rPr>
        <w:noBreakHyphen/>
      </w:r>
      <w:r w:rsidRPr="00880AE7">
        <w:rPr>
          <w:noProof/>
          <w:kern w:val="18"/>
          <w:szCs w:val="18"/>
          <w:lang w:val="fr-CA"/>
        </w:rPr>
        <w:t>Bissau</w:t>
      </w:r>
      <w:r w:rsidRPr="00880AE7">
        <w:rPr>
          <w:kern w:val="18"/>
          <w:szCs w:val="18"/>
          <w:lang w:val="fr-CA"/>
        </w:rPr>
        <w:t>.</w:t>
      </w:r>
    </w:p>
  </w:footnote>
  <w:footnote w:id="13">
    <w:p w:rsidR="00544B89" w:rsidRPr="00880AE7" w:rsidRDefault="00544B89" w:rsidP="00C45E48">
      <w:pPr>
        <w:pStyle w:val="Textonotapie"/>
        <w:keepLines w:val="0"/>
        <w:ind w:firstLine="0"/>
        <w:rPr>
          <w:noProof/>
          <w:kern w:val="18"/>
          <w:szCs w:val="18"/>
          <w:lang w:val="fr-CA"/>
        </w:rPr>
      </w:pPr>
      <w:r w:rsidRPr="00880AE7">
        <w:rPr>
          <w:rStyle w:val="Refdenotaalpie"/>
          <w:kern w:val="18"/>
          <w:szCs w:val="18"/>
          <w:u w:val="none"/>
          <w:vertAlign w:val="superscript"/>
          <w:lang w:val="fr-CA"/>
        </w:rPr>
        <w:footnoteRef/>
      </w:r>
      <w:r w:rsidRPr="00880AE7">
        <w:rPr>
          <w:rStyle w:val="Refdenotaalpie"/>
          <w:kern w:val="18"/>
          <w:szCs w:val="18"/>
          <w:u w:val="none"/>
          <w:vertAlign w:val="superscript"/>
          <w:lang w:val="fr-CA"/>
        </w:rPr>
        <w:t xml:space="preserve"> </w:t>
      </w:r>
      <w:r w:rsidRPr="00880AE7">
        <w:rPr>
          <w:noProof/>
          <w:kern w:val="18"/>
          <w:szCs w:val="18"/>
          <w:lang w:val="fr-CA"/>
        </w:rPr>
        <w:t>Antigua</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 xml:space="preserve">Barbuda, Belgique, Bhoutan, Brésil, Congo, Émirats arabes unis, Érythrée, Géorgie, Guinée, </w:t>
      </w:r>
      <w:r>
        <w:rPr>
          <w:noProof/>
          <w:kern w:val="18"/>
          <w:szCs w:val="18"/>
          <w:lang w:val="fr-CA"/>
        </w:rPr>
        <w:t xml:space="preserve">Luxembourg, </w:t>
      </w:r>
      <w:r w:rsidRPr="00880AE7">
        <w:rPr>
          <w:noProof/>
          <w:kern w:val="18"/>
          <w:szCs w:val="18"/>
          <w:lang w:val="fr-CA"/>
        </w:rPr>
        <w:t>Mongolie, Namibie, République</w:t>
      </w:r>
      <w:r>
        <w:rPr>
          <w:noProof/>
          <w:kern w:val="18"/>
          <w:szCs w:val="18"/>
          <w:lang w:val="fr-CA"/>
        </w:rPr>
        <w:noBreakHyphen/>
      </w:r>
      <w:r w:rsidRPr="00880AE7">
        <w:rPr>
          <w:noProof/>
          <w:kern w:val="18"/>
          <w:szCs w:val="18"/>
          <w:lang w:val="fr-CA"/>
        </w:rPr>
        <w:t xml:space="preserve">Unie de Tanzanie, </w:t>
      </w:r>
      <w:r>
        <w:rPr>
          <w:noProof/>
          <w:kern w:val="18"/>
          <w:szCs w:val="18"/>
          <w:lang w:val="fr-CA"/>
        </w:rPr>
        <w:t xml:space="preserve">Rwanda, </w:t>
      </w:r>
      <w:r w:rsidRPr="00880AE7">
        <w:rPr>
          <w:noProof/>
          <w:kern w:val="18"/>
          <w:szCs w:val="18"/>
          <w:lang w:val="fr-CA"/>
        </w:rPr>
        <w:t xml:space="preserve">Samoa, </w:t>
      </w:r>
      <w:r>
        <w:rPr>
          <w:noProof/>
          <w:kern w:val="18"/>
          <w:szCs w:val="18"/>
          <w:lang w:val="fr-CA"/>
        </w:rPr>
        <w:t xml:space="preserve">Swaziland </w:t>
      </w:r>
      <w:r w:rsidRPr="00880AE7">
        <w:rPr>
          <w:noProof/>
          <w:kern w:val="18"/>
          <w:szCs w:val="18"/>
          <w:lang w:val="fr-CA"/>
        </w:rPr>
        <w:t>et Tadjikistan</w:t>
      </w:r>
      <w:r w:rsidRPr="00880AE7">
        <w:rPr>
          <w:noProof/>
          <w:kern w:val="18"/>
          <w:sz w:val="20"/>
          <w:szCs w:val="18"/>
          <w:lang w:val="fr-CA"/>
        </w:rPr>
        <w:t>.</w:t>
      </w:r>
    </w:p>
  </w:footnote>
  <w:footnote w:id="14">
    <w:p w:rsidR="00544B89" w:rsidRPr="00880AE7" w:rsidRDefault="00544B89" w:rsidP="00C45E48">
      <w:pPr>
        <w:pStyle w:val="Textonotapie"/>
        <w:keepLines w:val="0"/>
        <w:ind w:firstLine="0"/>
        <w:rPr>
          <w:kern w:val="18"/>
          <w:szCs w:val="18"/>
          <w:lang w:val="fr-CA"/>
        </w:rPr>
      </w:pPr>
      <w:r w:rsidRPr="00880AE7">
        <w:rPr>
          <w:rStyle w:val="Refdenotaalpie"/>
          <w:noProof/>
          <w:kern w:val="18"/>
          <w:szCs w:val="18"/>
          <w:u w:val="none"/>
          <w:vertAlign w:val="superscript"/>
          <w:lang w:val="fr-CA"/>
        </w:rPr>
        <w:footnoteRef/>
      </w:r>
      <w:r w:rsidRPr="00880AE7">
        <w:rPr>
          <w:noProof/>
          <w:kern w:val="18"/>
          <w:szCs w:val="18"/>
          <w:lang w:val="fr-CA"/>
        </w:rPr>
        <w:t xml:space="preserve"> Maldives</w:t>
      </w:r>
      <w:r w:rsidRPr="00880AE7">
        <w:rPr>
          <w:kern w:val="18"/>
          <w:szCs w:val="18"/>
          <w:lang w:val="fr-CA"/>
        </w:rPr>
        <w:t>.</w:t>
      </w:r>
    </w:p>
  </w:footnote>
  <w:footnote w:id="15">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Bénin, Bhoutan, Brésil, Burundi, Cameroun, Congo, Érythrée, Finlande, Fédération de Russie, </w:t>
      </w:r>
      <w:r w:rsidRPr="00880AE7">
        <w:rPr>
          <w:noProof/>
          <w:kern w:val="18"/>
          <w:szCs w:val="18"/>
          <w:lang w:val="fr-CA"/>
        </w:rPr>
        <w:t>Guinée, Guinée</w:t>
      </w:r>
      <w:r>
        <w:rPr>
          <w:noProof/>
          <w:kern w:val="18"/>
          <w:szCs w:val="18"/>
          <w:lang w:val="fr-CA"/>
        </w:rPr>
        <w:noBreakHyphen/>
      </w:r>
      <w:r w:rsidRPr="00880AE7">
        <w:rPr>
          <w:noProof/>
          <w:kern w:val="18"/>
          <w:szCs w:val="18"/>
          <w:lang w:val="fr-CA"/>
        </w:rPr>
        <w:t>Bissau</w:t>
      </w:r>
      <w:r w:rsidRPr="00880AE7">
        <w:rPr>
          <w:kern w:val="18"/>
          <w:szCs w:val="18"/>
          <w:lang w:val="fr-CA"/>
        </w:rPr>
        <w:t xml:space="preserve">, </w:t>
      </w:r>
      <w:r>
        <w:rPr>
          <w:kern w:val="18"/>
          <w:szCs w:val="18"/>
          <w:lang w:val="fr-CA"/>
        </w:rPr>
        <w:t xml:space="preserve">Indonésie, </w:t>
      </w:r>
      <w:r w:rsidRPr="00880AE7">
        <w:rPr>
          <w:kern w:val="18"/>
          <w:szCs w:val="18"/>
          <w:lang w:val="fr-CA"/>
        </w:rPr>
        <w:t>Mali, Samoa, Somalie, Soudan</w:t>
      </w:r>
      <w:r>
        <w:rPr>
          <w:kern w:val="18"/>
          <w:szCs w:val="18"/>
          <w:lang w:val="fr-CA"/>
        </w:rPr>
        <w:t xml:space="preserve"> et </w:t>
      </w:r>
      <w:r w:rsidR="00CF354A">
        <w:rPr>
          <w:kern w:val="18"/>
          <w:szCs w:val="18"/>
          <w:lang w:val="fr-CA"/>
        </w:rPr>
        <w:t>Thaïlande</w:t>
      </w:r>
      <w:r w:rsidRPr="00880AE7">
        <w:rPr>
          <w:kern w:val="18"/>
          <w:szCs w:val="18"/>
          <w:lang w:val="fr-CA"/>
        </w:rPr>
        <w:t>.</w:t>
      </w:r>
    </w:p>
  </w:footnote>
  <w:footnote w:id="16">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vertAlign w:val="superscript"/>
          <w:lang w:val="fr-CA"/>
        </w:rPr>
        <w:t xml:space="preserve"> </w:t>
      </w:r>
      <w:r w:rsidRPr="00880AE7">
        <w:rPr>
          <w:kern w:val="18"/>
          <w:szCs w:val="18"/>
          <w:lang w:val="fr-CA"/>
        </w:rPr>
        <w:t>Brésil, Cameroun, Congo, Fédération de Russie, Japon, Malte, Ouganda, Samoa, et Union européenne.</w:t>
      </w:r>
    </w:p>
  </w:footnote>
  <w:footnote w:id="17">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Finlande.</w:t>
      </w:r>
    </w:p>
  </w:footnote>
  <w:footnote w:id="18">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Brésil, Congo, Érythrée, Fédération de Russie, Finlande, Guinée</w:t>
      </w:r>
      <w:r w:rsidRPr="00880AE7">
        <w:rPr>
          <w:noProof/>
          <w:kern w:val="18"/>
          <w:szCs w:val="18"/>
          <w:lang w:val="fr-CA"/>
        </w:rPr>
        <w:t>, Guinée</w:t>
      </w:r>
      <w:r>
        <w:rPr>
          <w:noProof/>
          <w:kern w:val="18"/>
          <w:szCs w:val="18"/>
          <w:lang w:val="fr-CA"/>
        </w:rPr>
        <w:noBreakHyphen/>
      </w:r>
      <w:r w:rsidRPr="00880AE7">
        <w:rPr>
          <w:noProof/>
          <w:kern w:val="18"/>
          <w:szCs w:val="18"/>
          <w:lang w:val="fr-CA"/>
        </w:rPr>
        <w:t>Bissau, Îles Salomon</w:t>
      </w:r>
      <w:r w:rsidRPr="00880AE7">
        <w:rPr>
          <w:kern w:val="18"/>
          <w:szCs w:val="18"/>
          <w:lang w:val="fr-CA"/>
        </w:rPr>
        <w:t>, Ouganda, Samoa, Soudan et Union européenne.</w:t>
      </w:r>
    </w:p>
  </w:footnote>
  <w:footnote w:id="19">
    <w:p w:rsidR="00544B89" w:rsidRPr="00880AE7" w:rsidRDefault="00544B89" w:rsidP="00C45E48">
      <w:pPr>
        <w:pStyle w:val="Textonotapie"/>
        <w:keepLines w:val="0"/>
        <w:ind w:firstLine="0"/>
        <w:rPr>
          <w:noProof/>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Afghanistan, </w:t>
      </w:r>
      <w:r w:rsidRPr="00880AE7">
        <w:rPr>
          <w:noProof/>
          <w:kern w:val="18"/>
          <w:szCs w:val="18"/>
          <w:lang w:val="fr-CA"/>
        </w:rPr>
        <w:t>Bénin, Bélarus, Belgique</w:t>
      </w:r>
      <w:r w:rsidRPr="00880AE7">
        <w:rPr>
          <w:kern w:val="18"/>
          <w:szCs w:val="18"/>
          <w:lang w:val="fr-CA"/>
        </w:rPr>
        <w:t xml:space="preserve">, Bhoutan, Cambodge, Congo, </w:t>
      </w:r>
      <w:r w:rsidRPr="00880AE7">
        <w:rPr>
          <w:noProof/>
          <w:kern w:val="18"/>
          <w:szCs w:val="18"/>
          <w:lang w:val="fr-CA"/>
        </w:rPr>
        <w:t>Finlande, Guinée</w:t>
      </w:r>
      <w:r>
        <w:rPr>
          <w:noProof/>
          <w:kern w:val="18"/>
          <w:szCs w:val="18"/>
          <w:lang w:val="fr-CA"/>
        </w:rPr>
        <w:noBreakHyphen/>
      </w:r>
      <w:r w:rsidRPr="00880AE7">
        <w:rPr>
          <w:noProof/>
          <w:kern w:val="18"/>
          <w:szCs w:val="18"/>
          <w:lang w:val="fr-CA"/>
        </w:rPr>
        <w:t xml:space="preserve">Bissau, Ouganda, </w:t>
      </w:r>
      <w:r>
        <w:rPr>
          <w:noProof/>
          <w:kern w:val="18"/>
          <w:szCs w:val="18"/>
          <w:lang w:val="fr-CA"/>
        </w:rPr>
        <w:t xml:space="preserve">Rwanda, </w:t>
      </w:r>
      <w:r w:rsidRPr="00880AE7">
        <w:rPr>
          <w:noProof/>
          <w:lang w:val="fr-CA"/>
        </w:rPr>
        <w:t>Saint</w:t>
      </w:r>
      <w:r>
        <w:rPr>
          <w:noProof/>
          <w:lang w:val="fr-CA"/>
        </w:rPr>
        <w:noBreakHyphen/>
      </w:r>
      <w:r w:rsidRPr="00880AE7">
        <w:rPr>
          <w:noProof/>
          <w:lang w:val="fr-CA"/>
        </w:rPr>
        <w:t>Kitts</w:t>
      </w:r>
      <w:r>
        <w:rPr>
          <w:noProof/>
          <w:lang w:val="fr-CA"/>
        </w:rPr>
        <w:noBreakHyphen/>
      </w:r>
      <w:r w:rsidRPr="00880AE7">
        <w:rPr>
          <w:noProof/>
          <w:lang w:val="fr-CA"/>
        </w:rPr>
        <w:t>et</w:t>
      </w:r>
      <w:r>
        <w:rPr>
          <w:noProof/>
          <w:lang w:val="fr-CA"/>
        </w:rPr>
        <w:noBreakHyphen/>
      </w:r>
      <w:r w:rsidRPr="00880AE7">
        <w:rPr>
          <w:noProof/>
          <w:lang w:val="fr-CA"/>
        </w:rPr>
        <w:t>Nevis</w:t>
      </w:r>
      <w:r>
        <w:rPr>
          <w:noProof/>
          <w:lang w:val="fr-CA"/>
        </w:rPr>
        <w:t>, Samoa,</w:t>
      </w:r>
      <w:r w:rsidRPr="00880AE7">
        <w:rPr>
          <w:noProof/>
          <w:lang w:val="fr-CA"/>
        </w:rPr>
        <w:t xml:space="preserve"> </w:t>
      </w:r>
      <w:r w:rsidRPr="00880AE7">
        <w:rPr>
          <w:noProof/>
          <w:kern w:val="18"/>
          <w:szCs w:val="18"/>
          <w:lang w:val="fr-CA"/>
        </w:rPr>
        <w:t>et Zambie.</w:t>
      </w:r>
    </w:p>
  </w:footnote>
  <w:footnote w:id="20">
    <w:p w:rsidR="00544B89" w:rsidRPr="00880AE7" w:rsidRDefault="00544B89" w:rsidP="00C45E48">
      <w:pPr>
        <w:pStyle w:val="Textonotapie"/>
        <w:keepLines w:val="0"/>
        <w:ind w:firstLine="0"/>
        <w:rPr>
          <w:noProof/>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Autriche, Bénin, Bhoutan, Brésil, Cameroun, Congo, Dominique, Érythrée, Finlande, Géorgie, </w:t>
      </w:r>
      <w:r>
        <w:rPr>
          <w:kern w:val="18"/>
          <w:szCs w:val="18"/>
          <w:lang w:val="fr-CA"/>
        </w:rPr>
        <w:t xml:space="preserve">Îles Salomon, </w:t>
      </w:r>
      <w:r w:rsidRPr="00880AE7">
        <w:rPr>
          <w:kern w:val="18"/>
          <w:szCs w:val="18"/>
          <w:lang w:val="fr-CA"/>
        </w:rPr>
        <w:t>Maldives, Mali, Namibie, Ouganda, Qatar</w:t>
      </w:r>
      <w:r w:rsidRPr="00880AE7">
        <w:rPr>
          <w:noProof/>
          <w:kern w:val="18"/>
          <w:szCs w:val="18"/>
          <w:lang w:val="fr-CA"/>
        </w:rPr>
        <w:t>, République</w:t>
      </w:r>
      <w:r>
        <w:rPr>
          <w:noProof/>
          <w:kern w:val="18"/>
          <w:szCs w:val="18"/>
          <w:lang w:val="fr-CA"/>
        </w:rPr>
        <w:noBreakHyphen/>
      </w:r>
      <w:r w:rsidRPr="00880AE7">
        <w:rPr>
          <w:noProof/>
          <w:kern w:val="18"/>
          <w:szCs w:val="18"/>
          <w:lang w:val="fr-CA"/>
        </w:rPr>
        <w:t xml:space="preserve">Unie de Tanzanie, </w:t>
      </w:r>
      <w:r>
        <w:rPr>
          <w:noProof/>
          <w:kern w:val="18"/>
          <w:szCs w:val="18"/>
          <w:lang w:val="fr-CA"/>
        </w:rPr>
        <w:t xml:space="preserve">Rwanda, </w:t>
      </w:r>
      <w:r w:rsidRPr="00880AE7">
        <w:rPr>
          <w:noProof/>
          <w:kern w:val="18"/>
          <w:szCs w:val="18"/>
          <w:lang w:val="fr-CA"/>
        </w:rPr>
        <w:t>Saint</w:t>
      </w:r>
      <w:r>
        <w:rPr>
          <w:noProof/>
          <w:kern w:val="18"/>
          <w:szCs w:val="18"/>
          <w:lang w:val="fr-CA"/>
        </w:rPr>
        <w:noBreakHyphen/>
      </w:r>
      <w:r w:rsidRPr="00880AE7">
        <w:rPr>
          <w:noProof/>
          <w:kern w:val="18"/>
          <w:szCs w:val="18"/>
          <w:lang w:val="fr-CA"/>
        </w:rPr>
        <w:t>Kitts</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Nevis</w:t>
      </w:r>
      <w:r>
        <w:rPr>
          <w:noProof/>
          <w:kern w:val="18"/>
          <w:szCs w:val="18"/>
          <w:lang w:val="fr-CA"/>
        </w:rPr>
        <w:t>, Samoa,</w:t>
      </w:r>
      <w:r w:rsidRPr="00880AE7">
        <w:rPr>
          <w:noProof/>
          <w:kern w:val="18"/>
          <w:szCs w:val="18"/>
          <w:lang w:val="fr-CA"/>
        </w:rPr>
        <w:t xml:space="preserve"> et Zambie.</w:t>
      </w:r>
    </w:p>
  </w:footnote>
  <w:footnote w:id="21">
    <w:p w:rsidR="00544B89" w:rsidRPr="00880AE7" w:rsidRDefault="00544B89" w:rsidP="00C45E48">
      <w:pPr>
        <w:pStyle w:val="Textonotapie"/>
        <w:keepLines w:val="0"/>
        <w:ind w:firstLine="0"/>
        <w:rPr>
          <w:kern w:val="18"/>
          <w:szCs w:val="18"/>
          <w:lang w:val="fr-CA"/>
        </w:rPr>
      </w:pPr>
      <w:r w:rsidRPr="00880AE7">
        <w:rPr>
          <w:rStyle w:val="Refdenotaalpie"/>
          <w:noProof/>
          <w:kern w:val="18"/>
          <w:szCs w:val="18"/>
          <w:u w:val="none"/>
          <w:vertAlign w:val="superscript"/>
          <w:lang w:val="fr-CA"/>
        </w:rPr>
        <w:footnoteRef/>
      </w:r>
      <w:r w:rsidRPr="00880AE7">
        <w:rPr>
          <w:noProof/>
          <w:kern w:val="18"/>
          <w:szCs w:val="18"/>
          <w:lang w:val="fr-CA"/>
        </w:rPr>
        <w:t xml:space="preserve"> Afghanistan, Belgique, Bhoutan, Brésil, Cambodge, Congo,</w:t>
      </w:r>
      <w:r>
        <w:rPr>
          <w:noProof/>
          <w:kern w:val="18"/>
          <w:szCs w:val="18"/>
          <w:lang w:val="fr-CA"/>
        </w:rPr>
        <w:t xml:space="preserve"> Cuba,</w:t>
      </w:r>
      <w:r w:rsidRPr="00880AE7">
        <w:rPr>
          <w:noProof/>
          <w:kern w:val="18"/>
          <w:szCs w:val="18"/>
          <w:lang w:val="fr-CA"/>
        </w:rPr>
        <w:t xml:space="preserve"> Émirats arabes unis, Finlande, Géorgie,</w:t>
      </w:r>
      <w:r>
        <w:rPr>
          <w:noProof/>
          <w:kern w:val="18"/>
          <w:szCs w:val="18"/>
          <w:lang w:val="fr-CA"/>
        </w:rPr>
        <w:t xml:space="preserve"> Guinée, Îles Salomon,</w:t>
      </w:r>
      <w:r w:rsidRPr="00880AE7">
        <w:rPr>
          <w:noProof/>
          <w:kern w:val="18"/>
          <w:szCs w:val="18"/>
          <w:lang w:val="fr-CA"/>
        </w:rPr>
        <w:t xml:space="preserve"> Inde, Irlande, Japon, Kirghizistan, </w:t>
      </w:r>
      <w:r>
        <w:rPr>
          <w:noProof/>
          <w:kern w:val="18"/>
          <w:szCs w:val="18"/>
          <w:lang w:val="fr-CA"/>
        </w:rPr>
        <w:t xml:space="preserve">Liberia, Luxembourg, </w:t>
      </w:r>
      <w:r w:rsidRPr="00880AE7">
        <w:rPr>
          <w:noProof/>
          <w:kern w:val="18"/>
          <w:szCs w:val="18"/>
          <w:lang w:val="fr-CA"/>
        </w:rPr>
        <w:t xml:space="preserve">Mali, Namibie, Nigeria, </w:t>
      </w:r>
      <w:r>
        <w:rPr>
          <w:noProof/>
          <w:kern w:val="18"/>
          <w:szCs w:val="18"/>
          <w:lang w:val="fr-CA"/>
        </w:rPr>
        <w:t>Nouvelle</w:t>
      </w:r>
      <w:r>
        <w:rPr>
          <w:noProof/>
          <w:kern w:val="18"/>
          <w:szCs w:val="18"/>
          <w:lang w:val="fr-CA"/>
        </w:rPr>
        <w:noBreakHyphen/>
        <w:t xml:space="preserve">Zélande, </w:t>
      </w:r>
      <w:r w:rsidRPr="00880AE7">
        <w:rPr>
          <w:noProof/>
          <w:kern w:val="18"/>
          <w:szCs w:val="18"/>
          <w:lang w:val="fr-CA"/>
        </w:rPr>
        <w:t>Ouganda,</w:t>
      </w:r>
      <w:r>
        <w:rPr>
          <w:noProof/>
          <w:kern w:val="18"/>
          <w:szCs w:val="18"/>
          <w:lang w:val="fr-CA"/>
        </w:rPr>
        <w:t xml:space="preserve"> Rwanda, Samoa, </w:t>
      </w:r>
      <w:r w:rsidRPr="00880AE7">
        <w:rPr>
          <w:noProof/>
          <w:kern w:val="18"/>
          <w:szCs w:val="18"/>
          <w:lang w:val="fr-CA"/>
        </w:rPr>
        <w:t>Soudan, République</w:t>
      </w:r>
      <w:r>
        <w:rPr>
          <w:noProof/>
          <w:kern w:val="18"/>
          <w:szCs w:val="18"/>
          <w:lang w:val="fr-CA"/>
        </w:rPr>
        <w:noBreakHyphen/>
      </w:r>
      <w:r w:rsidRPr="00880AE7">
        <w:rPr>
          <w:noProof/>
          <w:kern w:val="18"/>
          <w:szCs w:val="18"/>
          <w:lang w:val="fr-CA"/>
        </w:rPr>
        <w:t xml:space="preserve">Unie de Tanzanie, </w:t>
      </w:r>
      <w:r>
        <w:rPr>
          <w:noProof/>
          <w:kern w:val="18"/>
          <w:szCs w:val="18"/>
          <w:lang w:val="fr-CA"/>
        </w:rPr>
        <w:t>Tadjikistan, Tha</w:t>
      </w:r>
      <w:r w:rsidR="005F425E">
        <w:rPr>
          <w:noProof/>
          <w:kern w:val="18"/>
          <w:szCs w:val="18"/>
          <w:lang w:val="fr-CA"/>
        </w:rPr>
        <w:t>ï</w:t>
      </w:r>
      <w:r>
        <w:rPr>
          <w:noProof/>
          <w:kern w:val="18"/>
          <w:szCs w:val="18"/>
          <w:lang w:val="fr-CA"/>
        </w:rPr>
        <w:t xml:space="preserve">lande, </w:t>
      </w:r>
      <w:r w:rsidRPr="00880AE7">
        <w:rPr>
          <w:noProof/>
          <w:kern w:val="18"/>
          <w:szCs w:val="18"/>
          <w:lang w:val="fr-CA"/>
        </w:rPr>
        <w:t>Uni</w:t>
      </w:r>
      <w:r w:rsidRPr="00880AE7">
        <w:rPr>
          <w:kern w:val="18"/>
          <w:szCs w:val="18"/>
          <w:lang w:val="fr-CA"/>
        </w:rPr>
        <w:t>on européenne, Uruguay</w:t>
      </w:r>
      <w:r>
        <w:rPr>
          <w:kern w:val="18"/>
          <w:szCs w:val="18"/>
          <w:lang w:val="fr-CA"/>
        </w:rPr>
        <w:t xml:space="preserve">, </w:t>
      </w:r>
      <w:r w:rsidR="00CF354A">
        <w:rPr>
          <w:kern w:val="18"/>
          <w:szCs w:val="18"/>
          <w:lang w:val="fr-CA"/>
        </w:rPr>
        <w:t>Yémen</w:t>
      </w:r>
      <w:r>
        <w:rPr>
          <w:kern w:val="18"/>
          <w:szCs w:val="18"/>
          <w:lang w:val="fr-CA"/>
        </w:rPr>
        <w:t xml:space="preserve"> </w:t>
      </w:r>
      <w:r w:rsidRPr="00880AE7">
        <w:rPr>
          <w:kern w:val="18"/>
          <w:szCs w:val="18"/>
          <w:lang w:val="fr-CA"/>
        </w:rPr>
        <w:t>et Zambie.</w:t>
      </w:r>
    </w:p>
  </w:footnote>
  <w:footnote w:id="22">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rStyle w:val="Refdenotaalpie"/>
          <w:kern w:val="18"/>
          <w:szCs w:val="18"/>
          <w:u w:val="none"/>
          <w:vertAlign w:val="superscript"/>
          <w:lang w:val="fr-CA"/>
        </w:rPr>
        <w:t xml:space="preserve"> </w:t>
      </w:r>
      <w:r w:rsidRPr="00880AE7">
        <w:rPr>
          <w:kern w:val="18"/>
          <w:szCs w:val="18"/>
          <w:lang w:val="fr-CA"/>
        </w:rPr>
        <w:t>Suède.</w:t>
      </w:r>
    </w:p>
  </w:footnote>
  <w:footnote w:id="23">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w:t>
      </w:r>
      <w:r w:rsidRPr="00880AE7">
        <w:rPr>
          <w:noProof/>
          <w:kern w:val="18"/>
          <w:szCs w:val="18"/>
          <w:lang w:val="fr-CA"/>
        </w:rPr>
        <w:t>Antigua</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Barbuda, Bénin, Brésil,</w:t>
      </w:r>
      <w:r>
        <w:rPr>
          <w:noProof/>
          <w:kern w:val="18"/>
          <w:szCs w:val="18"/>
          <w:lang w:val="fr-CA"/>
        </w:rPr>
        <w:t xml:space="preserve"> Cuba,</w:t>
      </w:r>
      <w:r w:rsidRPr="00880AE7">
        <w:rPr>
          <w:noProof/>
          <w:kern w:val="18"/>
          <w:szCs w:val="18"/>
          <w:lang w:val="fr-CA"/>
        </w:rPr>
        <w:t xml:space="preserve"> Érythrée, Finlande, Japon, Namibie, République</w:t>
      </w:r>
      <w:r>
        <w:rPr>
          <w:noProof/>
          <w:kern w:val="18"/>
          <w:szCs w:val="18"/>
          <w:lang w:val="fr-CA"/>
        </w:rPr>
        <w:noBreakHyphen/>
      </w:r>
      <w:r w:rsidRPr="00880AE7">
        <w:rPr>
          <w:noProof/>
          <w:kern w:val="18"/>
          <w:szCs w:val="18"/>
          <w:lang w:val="fr-CA"/>
        </w:rPr>
        <w:t>Unie de Tanzanie, Saint</w:t>
      </w:r>
      <w:r>
        <w:rPr>
          <w:noProof/>
          <w:kern w:val="18"/>
          <w:szCs w:val="18"/>
          <w:lang w:val="fr-CA"/>
        </w:rPr>
        <w:noBreakHyphen/>
      </w:r>
      <w:r w:rsidRPr="00880AE7">
        <w:rPr>
          <w:noProof/>
          <w:kern w:val="18"/>
          <w:szCs w:val="18"/>
          <w:lang w:val="fr-CA"/>
        </w:rPr>
        <w:t>Kitts</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Nevis, Soudan</w:t>
      </w:r>
      <w:r w:rsidRPr="00880AE7">
        <w:rPr>
          <w:kern w:val="18"/>
          <w:szCs w:val="18"/>
          <w:lang w:val="fr-CA"/>
        </w:rPr>
        <w:t xml:space="preserve"> et Uruguay.</w:t>
      </w:r>
    </w:p>
  </w:footnote>
  <w:footnote w:id="24">
    <w:p w:rsidR="00544B89" w:rsidRPr="00880AE7" w:rsidRDefault="00544B89" w:rsidP="00C45E48">
      <w:pPr>
        <w:pStyle w:val="Textonotapie"/>
        <w:keepLines w:val="0"/>
        <w:ind w:firstLine="0"/>
        <w:rPr>
          <w:noProof/>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w:t>
      </w:r>
      <w:r w:rsidRPr="00880AE7">
        <w:rPr>
          <w:noProof/>
          <w:kern w:val="18"/>
          <w:szCs w:val="18"/>
          <w:lang w:val="fr-CA"/>
        </w:rPr>
        <w:t xml:space="preserve">Belgique, Cameroun, Congo, Émirats arabes unis, Finlande, </w:t>
      </w:r>
      <w:r>
        <w:rPr>
          <w:noProof/>
          <w:kern w:val="18"/>
          <w:szCs w:val="18"/>
          <w:lang w:val="fr-CA"/>
        </w:rPr>
        <w:t xml:space="preserve">Guinée, </w:t>
      </w:r>
      <w:r w:rsidRPr="00880AE7">
        <w:rPr>
          <w:noProof/>
          <w:kern w:val="18"/>
          <w:szCs w:val="18"/>
          <w:lang w:val="fr-CA"/>
        </w:rPr>
        <w:t>Guinée</w:t>
      </w:r>
      <w:r>
        <w:rPr>
          <w:noProof/>
          <w:kern w:val="18"/>
          <w:szCs w:val="18"/>
          <w:lang w:val="fr-CA"/>
        </w:rPr>
        <w:noBreakHyphen/>
      </w:r>
      <w:r w:rsidRPr="00880AE7">
        <w:rPr>
          <w:noProof/>
          <w:kern w:val="18"/>
          <w:szCs w:val="18"/>
          <w:lang w:val="fr-CA"/>
        </w:rPr>
        <w:t xml:space="preserve">Bissau, </w:t>
      </w:r>
      <w:r>
        <w:rPr>
          <w:noProof/>
          <w:kern w:val="18"/>
          <w:szCs w:val="18"/>
          <w:lang w:val="fr-CA"/>
        </w:rPr>
        <w:t xml:space="preserve">Îles Salomon, </w:t>
      </w:r>
      <w:r w:rsidRPr="00880AE7">
        <w:rPr>
          <w:noProof/>
          <w:kern w:val="18"/>
          <w:szCs w:val="18"/>
          <w:lang w:val="fr-CA"/>
        </w:rPr>
        <w:t xml:space="preserve">Inde, </w:t>
      </w:r>
      <w:r>
        <w:rPr>
          <w:noProof/>
          <w:kern w:val="18"/>
          <w:szCs w:val="18"/>
          <w:lang w:val="fr-CA"/>
        </w:rPr>
        <w:t>Jama</w:t>
      </w:r>
      <w:r w:rsidR="005F425E">
        <w:rPr>
          <w:noProof/>
          <w:kern w:val="18"/>
          <w:szCs w:val="18"/>
          <w:lang w:val="fr-CA"/>
        </w:rPr>
        <w:t>ï</w:t>
      </w:r>
      <w:r>
        <w:rPr>
          <w:noProof/>
          <w:kern w:val="18"/>
          <w:szCs w:val="18"/>
          <w:lang w:val="fr-CA"/>
        </w:rPr>
        <w:t xml:space="preserve">que, Mexique, </w:t>
      </w:r>
      <w:r w:rsidRPr="00880AE7">
        <w:rPr>
          <w:noProof/>
          <w:kern w:val="18"/>
          <w:szCs w:val="18"/>
          <w:lang w:val="fr-CA"/>
        </w:rPr>
        <w:t xml:space="preserve">Ouganda, </w:t>
      </w:r>
      <w:r>
        <w:rPr>
          <w:noProof/>
          <w:kern w:val="18"/>
          <w:szCs w:val="18"/>
          <w:lang w:val="fr-CA"/>
        </w:rPr>
        <w:t>Royaume</w:t>
      </w:r>
      <w:r>
        <w:rPr>
          <w:noProof/>
          <w:kern w:val="18"/>
          <w:szCs w:val="18"/>
          <w:lang w:val="fr-CA"/>
        </w:rPr>
        <w:noBreakHyphen/>
        <w:t>Uni, Samoa, et</w:t>
      </w:r>
      <w:r w:rsidRPr="00880AE7">
        <w:rPr>
          <w:noProof/>
          <w:kern w:val="18"/>
          <w:szCs w:val="18"/>
          <w:lang w:val="fr-CA"/>
        </w:rPr>
        <w:t xml:space="preserve"> Soudan.</w:t>
      </w:r>
    </w:p>
  </w:footnote>
  <w:footnote w:id="25">
    <w:p w:rsidR="00544B89" w:rsidRPr="00880AE7" w:rsidRDefault="00544B89" w:rsidP="00C45E48">
      <w:pPr>
        <w:pStyle w:val="Textonotapie"/>
        <w:keepLines w:val="0"/>
        <w:ind w:firstLine="0"/>
        <w:rPr>
          <w:noProof/>
          <w:kern w:val="18"/>
          <w:szCs w:val="18"/>
          <w:lang w:val="fr-CA"/>
        </w:rPr>
      </w:pPr>
      <w:r w:rsidRPr="00880AE7">
        <w:rPr>
          <w:rStyle w:val="Refdenotaalpie"/>
          <w:noProof/>
          <w:kern w:val="18"/>
          <w:szCs w:val="18"/>
          <w:u w:val="none"/>
          <w:vertAlign w:val="superscript"/>
          <w:lang w:val="fr-CA"/>
        </w:rPr>
        <w:footnoteRef/>
      </w:r>
      <w:r w:rsidRPr="00880AE7">
        <w:rPr>
          <w:rStyle w:val="Refdenotaalpie"/>
          <w:noProof/>
          <w:kern w:val="18"/>
          <w:szCs w:val="18"/>
          <w:u w:val="none"/>
          <w:vertAlign w:val="superscript"/>
          <w:lang w:val="fr-CA"/>
        </w:rPr>
        <w:t xml:space="preserve"> </w:t>
      </w:r>
      <w:r w:rsidRPr="00880AE7">
        <w:rPr>
          <w:noProof/>
          <w:kern w:val="18"/>
          <w:szCs w:val="18"/>
          <w:lang w:val="fr-CA"/>
        </w:rPr>
        <w:t>Brésil et Dominique</w:t>
      </w:r>
      <w:r w:rsidRPr="00880AE7">
        <w:rPr>
          <w:noProof/>
          <w:kern w:val="18"/>
          <w:sz w:val="20"/>
          <w:szCs w:val="18"/>
          <w:lang w:val="fr-CA"/>
        </w:rPr>
        <w:t>.</w:t>
      </w:r>
    </w:p>
  </w:footnote>
  <w:footnote w:id="26">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Afghanistan, Autriche, </w:t>
      </w:r>
      <w:r w:rsidRPr="00880AE7">
        <w:rPr>
          <w:noProof/>
          <w:kern w:val="18"/>
          <w:szCs w:val="18"/>
          <w:lang w:val="fr-CA"/>
        </w:rPr>
        <w:t>Bélarus</w:t>
      </w:r>
      <w:r>
        <w:rPr>
          <w:noProof/>
          <w:kern w:val="18"/>
          <w:szCs w:val="18"/>
          <w:lang w:val="fr-CA"/>
        </w:rPr>
        <w:t>, Bengladesh,</w:t>
      </w:r>
      <w:r w:rsidRPr="00880AE7">
        <w:rPr>
          <w:noProof/>
          <w:kern w:val="18"/>
          <w:szCs w:val="18"/>
          <w:lang w:val="fr-CA"/>
        </w:rPr>
        <w:t xml:space="preserve"> Bénin</w:t>
      </w:r>
      <w:r>
        <w:rPr>
          <w:noProof/>
          <w:kern w:val="18"/>
          <w:szCs w:val="18"/>
          <w:lang w:val="fr-CA"/>
        </w:rPr>
        <w:t>,</w:t>
      </w:r>
      <w:r w:rsidRPr="00880AE7">
        <w:rPr>
          <w:noProof/>
          <w:kern w:val="18"/>
          <w:szCs w:val="18"/>
          <w:lang w:val="fr-CA"/>
        </w:rPr>
        <w:t xml:space="preserve"> Bhoutan, Brésil, Cambodge, Cameroun, Canada, Congo, Érythrée, Finlande, Géorgie, </w:t>
      </w:r>
      <w:r>
        <w:rPr>
          <w:noProof/>
          <w:kern w:val="18"/>
          <w:szCs w:val="18"/>
          <w:lang w:val="fr-CA"/>
        </w:rPr>
        <w:t xml:space="preserve">Guinée, </w:t>
      </w:r>
      <w:r w:rsidRPr="00880AE7">
        <w:rPr>
          <w:noProof/>
          <w:kern w:val="18"/>
          <w:szCs w:val="18"/>
          <w:lang w:val="fr-CA"/>
        </w:rPr>
        <w:t xml:space="preserve">Hongrie, </w:t>
      </w:r>
      <w:r>
        <w:rPr>
          <w:noProof/>
          <w:kern w:val="18"/>
          <w:szCs w:val="18"/>
          <w:lang w:val="fr-CA"/>
        </w:rPr>
        <w:t xml:space="preserve">Îles Salomon, </w:t>
      </w:r>
      <w:r w:rsidRPr="00880AE7">
        <w:rPr>
          <w:noProof/>
          <w:kern w:val="18"/>
          <w:szCs w:val="18"/>
          <w:lang w:val="fr-CA"/>
        </w:rPr>
        <w:t>Japon, Norvège, Ouganda, République dominicaine, Royaume</w:t>
      </w:r>
      <w:r>
        <w:rPr>
          <w:noProof/>
          <w:kern w:val="18"/>
          <w:szCs w:val="18"/>
          <w:lang w:val="fr-CA"/>
        </w:rPr>
        <w:noBreakHyphen/>
      </w:r>
      <w:r w:rsidRPr="00880AE7">
        <w:rPr>
          <w:noProof/>
          <w:kern w:val="18"/>
          <w:szCs w:val="18"/>
          <w:lang w:val="fr-CA"/>
        </w:rPr>
        <w:t>Uni de Grande</w:t>
      </w:r>
      <w:r>
        <w:rPr>
          <w:noProof/>
          <w:kern w:val="18"/>
          <w:szCs w:val="18"/>
          <w:lang w:val="fr-CA"/>
        </w:rPr>
        <w:noBreakHyphen/>
      </w:r>
      <w:r w:rsidRPr="00880AE7">
        <w:rPr>
          <w:noProof/>
          <w:kern w:val="18"/>
          <w:szCs w:val="18"/>
          <w:lang w:val="fr-CA"/>
        </w:rPr>
        <w:t xml:space="preserve">Bretagne et d’Irlande du Nord (Angleterre, Irlande du Nord, Écosse), </w:t>
      </w:r>
      <w:r>
        <w:rPr>
          <w:noProof/>
          <w:kern w:val="18"/>
          <w:szCs w:val="18"/>
          <w:lang w:val="fr-CA"/>
        </w:rPr>
        <w:t>Samoa</w:t>
      </w:r>
      <w:r>
        <w:rPr>
          <w:kern w:val="18"/>
          <w:szCs w:val="18"/>
          <w:lang w:val="fr-CA"/>
        </w:rPr>
        <w:t xml:space="preserve">, </w:t>
      </w:r>
      <w:r w:rsidRPr="00880AE7">
        <w:rPr>
          <w:kern w:val="18"/>
          <w:szCs w:val="18"/>
          <w:lang w:val="fr-CA"/>
        </w:rPr>
        <w:t>Soudan, Venezuela, Vietnam et Zimbabwe.</w:t>
      </w:r>
    </w:p>
  </w:footnote>
  <w:footnote w:id="27">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Afghanistan, Bhoutan, Cameroun, Congo, Finlande, </w:t>
      </w:r>
      <w:r w:rsidRPr="00880AE7">
        <w:rPr>
          <w:noProof/>
          <w:kern w:val="18"/>
          <w:szCs w:val="18"/>
          <w:lang w:val="fr-CA"/>
        </w:rPr>
        <w:t xml:space="preserve">Géorgie, </w:t>
      </w:r>
      <w:r>
        <w:rPr>
          <w:noProof/>
          <w:kern w:val="18"/>
          <w:szCs w:val="18"/>
          <w:lang w:val="fr-CA"/>
        </w:rPr>
        <w:t xml:space="preserve">Guinée, </w:t>
      </w:r>
      <w:r w:rsidRPr="00880AE7">
        <w:rPr>
          <w:noProof/>
          <w:kern w:val="18"/>
          <w:szCs w:val="18"/>
          <w:lang w:val="fr-CA"/>
        </w:rPr>
        <w:t>Guinée</w:t>
      </w:r>
      <w:r>
        <w:rPr>
          <w:noProof/>
          <w:kern w:val="18"/>
          <w:szCs w:val="18"/>
          <w:lang w:val="fr-CA"/>
        </w:rPr>
        <w:noBreakHyphen/>
      </w:r>
      <w:r w:rsidRPr="00880AE7">
        <w:rPr>
          <w:noProof/>
          <w:kern w:val="18"/>
          <w:szCs w:val="18"/>
          <w:lang w:val="fr-CA"/>
        </w:rPr>
        <w:t xml:space="preserve">Bissau, </w:t>
      </w:r>
      <w:r>
        <w:rPr>
          <w:noProof/>
          <w:kern w:val="18"/>
          <w:szCs w:val="18"/>
          <w:lang w:val="fr-CA"/>
        </w:rPr>
        <w:t xml:space="preserve">Îles Salomon, </w:t>
      </w:r>
      <w:r w:rsidRPr="00880AE7">
        <w:rPr>
          <w:noProof/>
          <w:kern w:val="18"/>
          <w:szCs w:val="18"/>
          <w:lang w:val="fr-CA"/>
        </w:rPr>
        <w:t xml:space="preserve">Inde, Mali, </w:t>
      </w:r>
      <w:r>
        <w:rPr>
          <w:noProof/>
          <w:kern w:val="18"/>
          <w:szCs w:val="18"/>
          <w:lang w:val="fr-CA"/>
        </w:rPr>
        <w:t xml:space="preserve">Maurice, Mexique, </w:t>
      </w:r>
      <w:r w:rsidRPr="00880AE7">
        <w:rPr>
          <w:noProof/>
          <w:kern w:val="18"/>
          <w:szCs w:val="18"/>
          <w:lang w:val="fr-CA"/>
        </w:rPr>
        <w:t>Nigeria,</w:t>
      </w:r>
      <w:r w:rsidRPr="00880AE7">
        <w:rPr>
          <w:kern w:val="18"/>
          <w:szCs w:val="18"/>
          <w:lang w:val="fr-CA"/>
        </w:rPr>
        <w:t xml:space="preserve"> Ouganda, </w:t>
      </w:r>
      <w:r>
        <w:rPr>
          <w:kern w:val="18"/>
          <w:szCs w:val="18"/>
          <w:lang w:val="fr-CA"/>
        </w:rPr>
        <w:t xml:space="preserve">Samoa, </w:t>
      </w:r>
      <w:r w:rsidRPr="00880AE7">
        <w:rPr>
          <w:kern w:val="18"/>
          <w:szCs w:val="18"/>
          <w:lang w:val="fr-CA"/>
        </w:rPr>
        <w:t>Soudan, Togo, Zambie et Zimbabwe.</w:t>
      </w:r>
    </w:p>
  </w:footnote>
  <w:footnote w:id="28">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Brésil.</w:t>
      </w:r>
    </w:p>
  </w:footnote>
  <w:footnote w:id="29">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Afrique du Sud, Afghanistan, </w:t>
      </w:r>
      <w:r>
        <w:rPr>
          <w:kern w:val="18"/>
          <w:szCs w:val="18"/>
          <w:lang w:val="fr-CA"/>
        </w:rPr>
        <w:t>Belgique, Bengladesh,</w:t>
      </w:r>
      <w:r w:rsidRPr="00880AE7">
        <w:rPr>
          <w:kern w:val="18"/>
          <w:szCs w:val="18"/>
          <w:lang w:val="fr-CA"/>
        </w:rPr>
        <w:t xml:space="preserve"> Bénin, Bhoutan, Brésil, Cambodge,</w:t>
      </w:r>
      <w:r w:rsidRPr="00880AE7">
        <w:rPr>
          <w:noProof/>
          <w:kern w:val="18"/>
          <w:szCs w:val="18"/>
          <w:lang w:val="fr-CA"/>
        </w:rPr>
        <w:t xml:space="preserve"> Congo, Érythrée, Finlande, </w:t>
      </w:r>
      <w:r>
        <w:rPr>
          <w:noProof/>
          <w:kern w:val="18"/>
          <w:szCs w:val="18"/>
          <w:lang w:val="fr-CA"/>
        </w:rPr>
        <w:t xml:space="preserve">Guinée, </w:t>
      </w:r>
      <w:r w:rsidRPr="00880AE7">
        <w:rPr>
          <w:noProof/>
          <w:kern w:val="18"/>
          <w:szCs w:val="18"/>
          <w:lang w:val="fr-CA"/>
        </w:rPr>
        <w:t>Guinée</w:t>
      </w:r>
      <w:r>
        <w:rPr>
          <w:noProof/>
          <w:kern w:val="18"/>
          <w:szCs w:val="18"/>
          <w:lang w:val="fr-CA"/>
        </w:rPr>
        <w:noBreakHyphen/>
      </w:r>
      <w:r w:rsidRPr="00880AE7">
        <w:rPr>
          <w:noProof/>
          <w:kern w:val="18"/>
          <w:szCs w:val="18"/>
          <w:lang w:val="fr-CA"/>
        </w:rPr>
        <w:t xml:space="preserve">Bissau, </w:t>
      </w:r>
      <w:r>
        <w:rPr>
          <w:noProof/>
          <w:kern w:val="18"/>
          <w:szCs w:val="18"/>
          <w:lang w:val="fr-CA"/>
        </w:rPr>
        <w:t>Îles Salomon, Jama</w:t>
      </w:r>
      <w:r w:rsidR="005F425E">
        <w:rPr>
          <w:noProof/>
          <w:kern w:val="18"/>
          <w:szCs w:val="18"/>
          <w:lang w:val="fr-CA"/>
        </w:rPr>
        <w:t>ï</w:t>
      </w:r>
      <w:r>
        <w:rPr>
          <w:noProof/>
          <w:kern w:val="18"/>
          <w:szCs w:val="18"/>
          <w:lang w:val="fr-CA"/>
        </w:rPr>
        <w:t xml:space="preserve">que, </w:t>
      </w:r>
      <w:r w:rsidRPr="00880AE7">
        <w:rPr>
          <w:noProof/>
          <w:kern w:val="18"/>
          <w:szCs w:val="18"/>
          <w:lang w:val="fr-CA"/>
        </w:rPr>
        <w:t>Mali, République</w:t>
      </w:r>
      <w:r>
        <w:rPr>
          <w:noProof/>
          <w:kern w:val="18"/>
          <w:szCs w:val="18"/>
          <w:lang w:val="fr-CA"/>
        </w:rPr>
        <w:noBreakHyphen/>
      </w:r>
      <w:r w:rsidRPr="00880AE7">
        <w:rPr>
          <w:noProof/>
          <w:kern w:val="18"/>
          <w:szCs w:val="18"/>
          <w:lang w:val="fr-CA"/>
        </w:rPr>
        <w:t xml:space="preserve"> Unie de Tanzanie, </w:t>
      </w:r>
      <w:r>
        <w:rPr>
          <w:noProof/>
          <w:kern w:val="18"/>
          <w:szCs w:val="18"/>
          <w:lang w:val="fr-CA"/>
        </w:rPr>
        <w:t xml:space="preserve">Rwanda, Samoa, </w:t>
      </w:r>
      <w:r w:rsidRPr="00880AE7">
        <w:rPr>
          <w:noProof/>
          <w:kern w:val="18"/>
          <w:szCs w:val="18"/>
          <w:lang w:val="fr-CA"/>
        </w:rPr>
        <w:t>Soudan, Uruguay</w:t>
      </w:r>
      <w:r w:rsidRPr="00880AE7">
        <w:rPr>
          <w:kern w:val="18"/>
          <w:szCs w:val="18"/>
          <w:lang w:val="fr-CA"/>
        </w:rPr>
        <w:t xml:space="preserve"> et Zimbabwe.</w:t>
      </w:r>
    </w:p>
  </w:footnote>
  <w:footnote w:id="30">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Pr>
          <w:kern w:val="18"/>
          <w:szCs w:val="18"/>
          <w:lang w:val="fr-CA"/>
        </w:rPr>
        <w:t xml:space="preserve"> Gambie</w:t>
      </w:r>
      <w:r w:rsidRPr="00880AE7">
        <w:rPr>
          <w:kern w:val="18"/>
          <w:szCs w:val="18"/>
          <w:lang w:val="fr-CA"/>
        </w:rPr>
        <w:t>, Japon et Émirats arabes unis.</w:t>
      </w:r>
    </w:p>
  </w:footnote>
  <w:footnote w:id="31">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Autriche, </w:t>
      </w:r>
      <w:r w:rsidRPr="00880AE7">
        <w:rPr>
          <w:noProof/>
          <w:kern w:val="18"/>
          <w:szCs w:val="18"/>
          <w:lang w:val="fr-CA"/>
        </w:rPr>
        <w:t>Bélarus, Belgique</w:t>
      </w:r>
      <w:r w:rsidRPr="00880AE7">
        <w:rPr>
          <w:kern w:val="18"/>
          <w:szCs w:val="18"/>
          <w:lang w:val="fr-CA"/>
        </w:rPr>
        <w:t>,</w:t>
      </w:r>
      <w:r>
        <w:rPr>
          <w:kern w:val="18"/>
          <w:szCs w:val="18"/>
          <w:lang w:val="fr-CA"/>
        </w:rPr>
        <w:t xml:space="preserve"> Belize, </w:t>
      </w:r>
      <w:r w:rsidR="00BD64BA">
        <w:rPr>
          <w:kern w:val="18"/>
          <w:szCs w:val="18"/>
          <w:lang w:val="fr-CA"/>
        </w:rPr>
        <w:t>B</w:t>
      </w:r>
      <w:r w:rsidRPr="00880AE7">
        <w:rPr>
          <w:kern w:val="18"/>
          <w:szCs w:val="18"/>
          <w:lang w:val="fr-CA"/>
        </w:rPr>
        <w:t>résil, Congo, Dominique,</w:t>
      </w:r>
      <w:r>
        <w:rPr>
          <w:kern w:val="18"/>
          <w:szCs w:val="18"/>
          <w:lang w:val="fr-CA"/>
        </w:rPr>
        <w:t xml:space="preserve"> Fédération de Russie,</w:t>
      </w:r>
      <w:r w:rsidRPr="00880AE7">
        <w:rPr>
          <w:kern w:val="18"/>
          <w:szCs w:val="18"/>
          <w:lang w:val="fr-CA"/>
        </w:rPr>
        <w:t xml:space="preserve"> Guatemala,</w:t>
      </w:r>
      <w:r>
        <w:rPr>
          <w:kern w:val="18"/>
          <w:szCs w:val="18"/>
          <w:lang w:val="fr-CA"/>
        </w:rPr>
        <w:t xml:space="preserve"> Guinée,</w:t>
      </w:r>
      <w:r w:rsidRPr="00880AE7">
        <w:rPr>
          <w:kern w:val="18"/>
          <w:szCs w:val="18"/>
          <w:lang w:val="fr-CA"/>
        </w:rPr>
        <w:t xml:space="preserve"> Hongrie,</w:t>
      </w:r>
      <w:r>
        <w:rPr>
          <w:kern w:val="18"/>
          <w:szCs w:val="18"/>
          <w:lang w:val="fr-CA"/>
        </w:rPr>
        <w:t xml:space="preserve"> Jamaïque, Luxembourg, </w:t>
      </w:r>
      <w:r w:rsidR="00BD64BA">
        <w:rPr>
          <w:kern w:val="18"/>
          <w:szCs w:val="18"/>
          <w:lang w:val="fr-CA"/>
        </w:rPr>
        <w:t>O</w:t>
      </w:r>
      <w:r w:rsidRPr="00880AE7">
        <w:rPr>
          <w:kern w:val="18"/>
          <w:szCs w:val="18"/>
          <w:lang w:val="fr-CA"/>
        </w:rPr>
        <w:t xml:space="preserve">uganda, </w:t>
      </w:r>
      <w:r>
        <w:rPr>
          <w:kern w:val="18"/>
          <w:szCs w:val="18"/>
          <w:lang w:val="fr-CA"/>
        </w:rPr>
        <w:t xml:space="preserve">Samoa, </w:t>
      </w:r>
      <w:r w:rsidRPr="00880AE7">
        <w:rPr>
          <w:kern w:val="18"/>
          <w:szCs w:val="18"/>
          <w:lang w:val="fr-CA"/>
        </w:rPr>
        <w:t>Soudan</w:t>
      </w:r>
      <w:r>
        <w:rPr>
          <w:kern w:val="18"/>
          <w:szCs w:val="18"/>
          <w:lang w:val="fr-CA"/>
        </w:rPr>
        <w:t>, Tadjikistan,</w:t>
      </w:r>
      <w:r w:rsidRPr="00880AE7">
        <w:rPr>
          <w:kern w:val="18"/>
          <w:szCs w:val="18"/>
          <w:lang w:val="fr-CA"/>
        </w:rPr>
        <w:t xml:space="preserve"> et Union européenne.</w:t>
      </w:r>
    </w:p>
  </w:footnote>
  <w:footnote w:id="32">
    <w:p w:rsidR="00544B89" w:rsidRPr="00880AE7" w:rsidRDefault="00544B89" w:rsidP="00C45E48">
      <w:pPr>
        <w:pStyle w:val="Textonotapie"/>
        <w:keepLines w:val="0"/>
        <w:ind w:firstLine="0"/>
        <w:rPr>
          <w:noProof/>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Afghanistan, Albanie, </w:t>
      </w:r>
      <w:r w:rsidRPr="00880AE7">
        <w:rPr>
          <w:noProof/>
          <w:kern w:val="18"/>
          <w:szCs w:val="18"/>
          <w:lang w:val="fr-CA"/>
        </w:rPr>
        <w:t>Antigua</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 xml:space="preserve">Barbuda, Belgique, Bénin, Bhoutan, Brésil, </w:t>
      </w:r>
      <w:r>
        <w:rPr>
          <w:noProof/>
          <w:kern w:val="18"/>
          <w:szCs w:val="18"/>
          <w:lang w:val="fr-CA"/>
        </w:rPr>
        <w:t xml:space="preserve">Cabo Verde, </w:t>
      </w:r>
      <w:r w:rsidRPr="00880AE7">
        <w:rPr>
          <w:noProof/>
          <w:kern w:val="18"/>
          <w:szCs w:val="18"/>
          <w:lang w:val="fr-CA"/>
        </w:rPr>
        <w:t xml:space="preserve">Cambodge, Congo, Érythrée, Éthiopie, Finlande, Gambie, Hongrie, Inde, Japon, Jordanie, Mali, Namibie, Pérou, République dominicaine, </w:t>
      </w:r>
      <w:r>
        <w:rPr>
          <w:noProof/>
          <w:kern w:val="18"/>
          <w:szCs w:val="18"/>
          <w:lang w:val="fr-CA"/>
        </w:rPr>
        <w:t xml:space="preserve">Roumanie, Samoa, </w:t>
      </w:r>
      <w:r w:rsidRPr="00880AE7">
        <w:rPr>
          <w:noProof/>
          <w:kern w:val="18"/>
          <w:szCs w:val="18"/>
          <w:lang w:val="fr-CA"/>
        </w:rPr>
        <w:t>Togo, Zambie</w:t>
      </w:r>
      <w:r>
        <w:rPr>
          <w:noProof/>
          <w:kern w:val="18"/>
          <w:szCs w:val="18"/>
          <w:lang w:val="fr-CA"/>
        </w:rPr>
        <w:t>,</w:t>
      </w:r>
      <w:r w:rsidRPr="00880AE7">
        <w:rPr>
          <w:noProof/>
          <w:kern w:val="18"/>
          <w:szCs w:val="18"/>
          <w:lang w:val="fr-CA"/>
        </w:rPr>
        <w:t xml:space="preserve"> et Zimbabwe.</w:t>
      </w:r>
    </w:p>
  </w:footnote>
  <w:footnote w:id="33">
    <w:p w:rsidR="00544B89" w:rsidRPr="00880AE7" w:rsidRDefault="00544B89" w:rsidP="00C45E48">
      <w:pPr>
        <w:pStyle w:val="Textonotapie"/>
        <w:keepLines w:val="0"/>
        <w:ind w:firstLine="0"/>
        <w:rPr>
          <w:kern w:val="18"/>
          <w:szCs w:val="18"/>
          <w:lang w:val="fr-CA"/>
        </w:rPr>
      </w:pPr>
      <w:r w:rsidRPr="00880AE7">
        <w:rPr>
          <w:rStyle w:val="Refdenotaalpie"/>
          <w:noProof/>
          <w:kern w:val="18"/>
          <w:szCs w:val="18"/>
          <w:u w:val="none"/>
          <w:vertAlign w:val="superscript"/>
          <w:lang w:val="fr-CA"/>
        </w:rPr>
        <w:footnoteRef/>
      </w:r>
      <w:r w:rsidRPr="00880AE7">
        <w:rPr>
          <w:rStyle w:val="Refdenotaalpie"/>
          <w:noProof/>
          <w:kern w:val="18"/>
          <w:szCs w:val="18"/>
          <w:u w:val="none"/>
          <w:vertAlign w:val="superscript"/>
          <w:lang w:val="fr-CA"/>
        </w:rPr>
        <w:t xml:space="preserve"> </w:t>
      </w:r>
      <w:r w:rsidRPr="00880AE7">
        <w:rPr>
          <w:noProof/>
          <w:kern w:val="18"/>
          <w:szCs w:val="18"/>
          <w:lang w:val="fr-CA"/>
        </w:rPr>
        <w:t>Albanie, Antigua</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 xml:space="preserve">Barbuda, </w:t>
      </w:r>
      <w:r>
        <w:rPr>
          <w:noProof/>
          <w:kern w:val="18"/>
          <w:szCs w:val="18"/>
          <w:lang w:val="fr-CA"/>
        </w:rPr>
        <w:t>Bengladesh</w:t>
      </w:r>
      <w:r w:rsidRPr="00880AE7">
        <w:rPr>
          <w:noProof/>
          <w:kern w:val="18"/>
          <w:szCs w:val="18"/>
          <w:lang w:val="fr-CA"/>
        </w:rPr>
        <w:t xml:space="preserve">, Brésil, </w:t>
      </w:r>
      <w:r>
        <w:rPr>
          <w:noProof/>
          <w:kern w:val="18"/>
          <w:szCs w:val="18"/>
          <w:lang w:val="fr-CA"/>
        </w:rPr>
        <w:t xml:space="preserve">Cabo Verde, </w:t>
      </w:r>
      <w:r w:rsidRPr="00880AE7">
        <w:rPr>
          <w:noProof/>
          <w:kern w:val="18"/>
          <w:szCs w:val="18"/>
          <w:lang w:val="fr-CA"/>
        </w:rPr>
        <w:t>Cambodge, Cameroun,</w:t>
      </w:r>
      <w:r>
        <w:rPr>
          <w:noProof/>
          <w:kern w:val="18"/>
          <w:szCs w:val="18"/>
          <w:lang w:val="fr-CA"/>
        </w:rPr>
        <w:t xml:space="preserve"> Comores,</w:t>
      </w:r>
      <w:r w:rsidRPr="00880AE7">
        <w:rPr>
          <w:noProof/>
          <w:kern w:val="18"/>
          <w:szCs w:val="18"/>
          <w:lang w:val="fr-CA"/>
        </w:rPr>
        <w:t xml:space="preserve"> Émirats arabes unis, Érythrée, Gambie, Guinée</w:t>
      </w:r>
      <w:r>
        <w:rPr>
          <w:noProof/>
          <w:kern w:val="18"/>
          <w:szCs w:val="18"/>
          <w:lang w:val="fr-CA"/>
        </w:rPr>
        <w:noBreakHyphen/>
      </w:r>
      <w:r w:rsidRPr="00880AE7">
        <w:rPr>
          <w:noProof/>
          <w:kern w:val="18"/>
          <w:szCs w:val="18"/>
          <w:lang w:val="fr-CA"/>
        </w:rPr>
        <w:t xml:space="preserve">Bissau, </w:t>
      </w:r>
      <w:r>
        <w:rPr>
          <w:noProof/>
          <w:kern w:val="18"/>
          <w:szCs w:val="18"/>
          <w:lang w:val="fr-CA"/>
        </w:rPr>
        <w:t xml:space="preserve">Îles Salomon, </w:t>
      </w:r>
      <w:r w:rsidRPr="00880AE7">
        <w:rPr>
          <w:noProof/>
          <w:kern w:val="18"/>
          <w:szCs w:val="18"/>
          <w:lang w:val="fr-CA"/>
        </w:rPr>
        <w:t xml:space="preserve">Inde, Irlande, Japon, Mali, Malte, </w:t>
      </w:r>
      <w:r>
        <w:rPr>
          <w:noProof/>
          <w:kern w:val="18"/>
          <w:szCs w:val="18"/>
          <w:lang w:val="fr-CA"/>
        </w:rPr>
        <w:t xml:space="preserve">Mexique, </w:t>
      </w:r>
      <w:r w:rsidRPr="00880AE7">
        <w:rPr>
          <w:noProof/>
          <w:kern w:val="18"/>
          <w:szCs w:val="18"/>
          <w:lang w:val="fr-CA"/>
        </w:rPr>
        <w:t>Nigeria, Ouganda, République dominicaine, République</w:t>
      </w:r>
      <w:r>
        <w:rPr>
          <w:noProof/>
          <w:kern w:val="18"/>
          <w:szCs w:val="18"/>
          <w:lang w:val="fr-CA"/>
        </w:rPr>
        <w:noBreakHyphen/>
      </w:r>
      <w:r w:rsidRPr="00880AE7">
        <w:rPr>
          <w:noProof/>
          <w:kern w:val="18"/>
          <w:szCs w:val="18"/>
          <w:lang w:val="fr-CA"/>
        </w:rPr>
        <w:t>Unie de Tanzanie, Saint</w:t>
      </w:r>
      <w:r>
        <w:rPr>
          <w:noProof/>
          <w:kern w:val="18"/>
          <w:szCs w:val="18"/>
          <w:lang w:val="fr-CA"/>
        </w:rPr>
        <w:noBreakHyphen/>
      </w:r>
      <w:r w:rsidRPr="00880AE7">
        <w:rPr>
          <w:noProof/>
          <w:kern w:val="18"/>
          <w:szCs w:val="18"/>
          <w:lang w:val="fr-CA"/>
        </w:rPr>
        <w:t>Christophe</w:t>
      </w:r>
      <w:r>
        <w:rPr>
          <w:noProof/>
          <w:kern w:val="18"/>
          <w:szCs w:val="18"/>
          <w:lang w:val="fr-CA"/>
        </w:rPr>
        <w:noBreakHyphen/>
      </w:r>
      <w:r w:rsidRPr="00880AE7">
        <w:rPr>
          <w:noProof/>
          <w:kern w:val="18"/>
          <w:szCs w:val="18"/>
          <w:lang w:val="fr-CA"/>
        </w:rPr>
        <w:t>et</w:t>
      </w:r>
      <w:r>
        <w:rPr>
          <w:noProof/>
          <w:kern w:val="18"/>
          <w:szCs w:val="18"/>
          <w:lang w:val="fr-CA"/>
        </w:rPr>
        <w:noBreakHyphen/>
      </w:r>
      <w:r w:rsidRPr="00880AE7">
        <w:rPr>
          <w:noProof/>
          <w:kern w:val="18"/>
          <w:szCs w:val="18"/>
          <w:lang w:val="fr-CA"/>
        </w:rPr>
        <w:t xml:space="preserve">Niévès, </w:t>
      </w:r>
      <w:r>
        <w:rPr>
          <w:noProof/>
          <w:kern w:val="18"/>
          <w:szCs w:val="18"/>
          <w:lang w:val="fr-CA"/>
        </w:rPr>
        <w:t xml:space="preserve">Somalie, Tadjikistan, </w:t>
      </w:r>
      <w:r w:rsidRPr="00880AE7">
        <w:rPr>
          <w:noProof/>
          <w:kern w:val="18"/>
          <w:szCs w:val="18"/>
          <w:lang w:val="fr-CA"/>
        </w:rPr>
        <w:t>Uruguay</w:t>
      </w:r>
      <w:r w:rsidRPr="00880AE7">
        <w:rPr>
          <w:kern w:val="18"/>
          <w:szCs w:val="18"/>
          <w:lang w:val="fr-CA"/>
        </w:rPr>
        <w:t xml:space="preserve"> et Zimbabwe.</w:t>
      </w:r>
    </w:p>
  </w:footnote>
  <w:footnote w:id="34">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Afghanistan, Brésil, Cambodge, Canada, Congo, </w:t>
      </w:r>
      <w:r w:rsidRPr="00880AE7">
        <w:rPr>
          <w:noProof/>
          <w:kern w:val="18"/>
          <w:szCs w:val="18"/>
          <w:lang w:val="fr-CA"/>
        </w:rPr>
        <w:t xml:space="preserve">Éthiopie, Finlande, </w:t>
      </w:r>
      <w:r>
        <w:rPr>
          <w:noProof/>
          <w:kern w:val="18"/>
          <w:szCs w:val="18"/>
          <w:lang w:val="fr-CA"/>
        </w:rPr>
        <w:t xml:space="preserve">Guinée, </w:t>
      </w:r>
      <w:r w:rsidRPr="00880AE7">
        <w:rPr>
          <w:noProof/>
          <w:kern w:val="18"/>
          <w:szCs w:val="18"/>
          <w:lang w:val="fr-CA"/>
        </w:rPr>
        <w:t>Guinée</w:t>
      </w:r>
      <w:r>
        <w:rPr>
          <w:noProof/>
          <w:kern w:val="18"/>
          <w:szCs w:val="18"/>
          <w:lang w:val="fr-CA"/>
        </w:rPr>
        <w:noBreakHyphen/>
      </w:r>
      <w:r w:rsidRPr="00880AE7">
        <w:rPr>
          <w:noProof/>
          <w:kern w:val="18"/>
          <w:szCs w:val="18"/>
          <w:lang w:val="fr-CA"/>
        </w:rPr>
        <w:t xml:space="preserve">Bissau, </w:t>
      </w:r>
      <w:r>
        <w:rPr>
          <w:noProof/>
          <w:kern w:val="18"/>
          <w:szCs w:val="18"/>
          <w:lang w:val="fr-CA"/>
        </w:rPr>
        <w:t xml:space="preserve">Mexique, </w:t>
      </w:r>
      <w:r w:rsidRPr="00880AE7">
        <w:rPr>
          <w:noProof/>
          <w:kern w:val="18"/>
          <w:szCs w:val="18"/>
          <w:lang w:val="fr-CA"/>
        </w:rPr>
        <w:t>Nicaragua,</w:t>
      </w:r>
      <w:r>
        <w:rPr>
          <w:noProof/>
          <w:kern w:val="18"/>
          <w:szCs w:val="18"/>
          <w:lang w:val="fr-CA"/>
        </w:rPr>
        <w:t xml:space="preserve"> Nouvelle</w:t>
      </w:r>
      <w:r>
        <w:rPr>
          <w:noProof/>
          <w:kern w:val="18"/>
          <w:szCs w:val="18"/>
          <w:lang w:val="fr-CA"/>
        </w:rPr>
        <w:noBreakHyphen/>
        <w:t>Zélande,</w:t>
      </w:r>
      <w:r w:rsidRPr="00880AE7">
        <w:rPr>
          <w:noProof/>
          <w:kern w:val="18"/>
          <w:szCs w:val="18"/>
          <w:lang w:val="fr-CA"/>
        </w:rPr>
        <w:t xml:space="preserve"> Pérou, </w:t>
      </w:r>
      <w:r>
        <w:rPr>
          <w:noProof/>
          <w:kern w:val="18"/>
          <w:szCs w:val="18"/>
          <w:lang w:val="fr-CA"/>
        </w:rPr>
        <w:t xml:space="preserve">Rwanda, Samoa, Somalie, </w:t>
      </w:r>
      <w:r w:rsidRPr="00880AE7">
        <w:rPr>
          <w:noProof/>
          <w:kern w:val="18"/>
          <w:szCs w:val="18"/>
          <w:lang w:val="fr-CA"/>
        </w:rPr>
        <w:t>Soudan,</w:t>
      </w:r>
      <w:r>
        <w:rPr>
          <w:noProof/>
          <w:kern w:val="18"/>
          <w:szCs w:val="18"/>
          <w:lang w:val="fr-CA"/>
        </w:rPr>
        <w:t xml:space="preserve"> Tadjikistan</w:t>
      </w:r>
      <w:r>
        <w:rPr>
          <w:kern w:val="18"/>
          <w:szCs w:val="18"/>
          <w:lang w:val="fr-CA"/>
        </w:rPr>
        <w:t>,</w:t>
      </w:r>
      <w:r w:rsidRPr="00880AE7">
        <w:rPr>
          <w:kern w:val="18"/>
          <w:szCs w:val="18"/>
          <w:lang w:val="fr-CA"/>
        </w:rPr>
        <w:t xml:space="preserve"> Tuvalu, Zambie</w:t>
      </w:r>
      <w:r>
        <w:rPr>
          <w:kern w:val="18"/>
          <w:szCs w:val="18"/>
          <w:lang w:val="fr-CA"/>
        </w:rPr>
        <w:t>,</w:t>
      </w:r>
      <w:r w:rsidRPr="00880AE7">
        <w:rPr>
          <w:kern w:val="18"/>
          <w:szCs w:val="18"/>
          <w:lang w:val="fr-CA"/>
        </w:rPr>
        <w:t xml:space="preserve"> et Zimbabwe.</w:t>
      </w:r>
    </w:p>
  </w:footnote>
  <w:footnote w:id="35">
    <w:p w:rsidR="00544B89" w:rsidRPr="00880AE7" w:rsidRDefault="00544B89" w:rsidP="00D505AF">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w:t>
      </w:r>
      <w:r>
        <w:rPr>
          <w:kern w:val="18"/>
          <w:szCs w:val="18"/>
          <w:lang w:val="fr-CA"/>
        </w:rPr>
        <w:t xml:space="preserve">Argentine, </w:t>
      </w:r>
      <w:r w:rsidRPr="00880AE7">
        <w:rPr>
          <w:kern w:val="18"/>
          <w:szCs w:val="18"/>
          <w:lang w:val="fr-CA"/>
        </w:rPr>
        <w:t xml:space="preserve">Autriche, Bénin, </w:t>
      </w:r>
      <w:r w:rsidRPr="00880AE7">
        <w:rPr>
          <w:noProof/>
          <w:kern w:val="18"/>
          <w:szCs w:val="18"/>
          <w:lang w:val="fr-CA"/>
        </w:rPr>
        <w:t xml:space="preserve">Bélarus, Bhoutan, Burundi, Congo, </w:t>
      </w:r>
      <w:r>
        <w:rPr>
          <w:noProof/>
          <w:kern w:val="18"/>
          <w:szCs w:val="18"/>
          <w:lang w:val="fr-CA"/>
        </w:rPr>
        <w:t xml:space="preserve">Cuba, </w:t>
      </w:r>
      <w:r w:rsidRPr="00880AE7">
        <w:rPr>
          <w:noProof/>
          <w:kern w:val="18"/>
          <w:szCs w:val="18"/>
          <w:lang w:val="fr-CA"/>
        </w:rPr>
        <w:t xml:space="preserve">Égypte, Éthiopie, Érythrée, Finlande, Gambie, </w:t>
      </w:r>
      <w:r>
        <w:rPr>
          <w:noProof/>
          <w:kern w:val="18"/>
          <w:szCs w:val="18"/>
          <w:lang w:val="fr-CA"/>
        </w:rPr>
        <w:t xml:space="preserve">Guinée, </w:t>
      </w:r>
      <w:r w:rsidRPr="00880AE7">
        <w:rPr>
          <w:noProof/>
          <w:kern w:val="18"/>
          <w:szCs w:val="18"/>
          <w:lang w:val="fr-CA"/>
        </w:rPr>
        <w:t>Guinée</w:t>
      </w:r>
      <w:r>
        <w:rPr>
          <w:noProof/>
          <w:kern w:val="18"/>
          <w:szCs w:val="18"/>
          <w:lang w:val="fr-CA"/>
        </w:rPr>
        <w:noBreakHyphen/>
      </w:r>
      <w:r w:rsidRPr="00880AE7">
        <w:rPr>
          <w:noProof/>
          <w:kern w:val="18"/>
          <w:szCs w:val="18"/>
          <w:lang w:val="fr-CA"/>
        </w:rPr>
        <w:t xml:space="preserve">Bissau, Guinée équatoriale, Irlande, </w:t>
      </w:r>
      <w:r>
        <w:rPr>
          <w:noProof/>
          <w:kern w:val="18"/>
          <w:szCs w:val="18"/>
          <w:lang w:val="fr-CA"/>
        </w:rPr>
        <w:t>Jama</w:t>
      </w:r>
      <w:r w:rsidR="005F425E">
        <w:rPr>
          <w:noProof/>
          <w:kern w:val="18"/>
          <w:szCs w:val="18"/>
          <w:lang w:val="fr-CA"/>
        </w:rPr>
        <w:t>ï</w:t>
      </w:r>
      <w:r>
        <w:rPr>
          <w:noProof/>
          <w:kern w:val="18"/>
          <w:szCs w:val="18"/>
          <w:lang w:val="fr-CA"/>
        </w:rPr>
        <w:t xml:space="preserve">que, </w:t>
      </w:r>
      <w:r w:rsidRPr="00880AE7">
        <w:rPr>
          <w:noProof/>
          <w:kern w:val="18"/>
          <w:szCs w:val="18"/>
          <w:lang w:val="fr-CA"/>
        </w:rPr>
        <w:t xml:space="preserve">Japon, Mali, </w:t>
      </w:r>
      <w:r>
        <w:rPr>
          <w:noProof/>
          <w:kern w:val="18"/>
          <w:szCs w:val="18"/>
          <w:lang w:val="fr-CA"/>
        </w:rPr>
        <w:t xml:space="preserve">Maurice, Mexique, </w:t>
      </w:r>
      <w:r w:rsidRPr="00880AE7">
        <w:rPr>
          <w:noProof/>
          <w:kern w:val="18"/>
          <w:szCs w:val="18"/>
          <w:lang w:val="fr-CA"/>
        </w:rPr>
        <w:t xml:space="preserve">Mongolie, </w:t>
      </w:r>
      <w:r>
        <w:rPr>
          <w:noProof/>
          <w:kern w:val="18"/>
          <w:szCs w:val="18"/>
          <w:lang w:val="fr-CA"/>
        </w:rPr>
        <w:t>Nouvelle</w:t>
      </w:r>
      <w:r>
        <w:rPr>
          <w:noProof/>
          <w:kern w:val="18"/>
          <w:szCs w:val="18"/>
          <w:lang w:val="fr-CA"/>
        </w:rPr>
        <w:noBreakHyphen/>
        <w:t>Zélande</w:t>
      </w:r>
      <w:r w:rsidRPr="00880AE7">
        <w:rPr>
          <w:noProof/>
          <w:kern w:val="18"/>
          <w:szCs w:val="18"/>
          <w:lang w:val="fr-CA"/>
        </w:rPr>
        <w:t xml:space="preserve">, </w:t>
      </w:r>
      <w:r>
        <w:rPr>
          <w:noProof/>
          <w:kern w:val="18"/>
          <w:szCs w:val="18"/>
          <w:lang w:val="fr-CA"/>
        </w:rPr>
        <w:t xml:space="preserve">Rwanda, Samoa, </w:t>
      </w:r>
      <w:r w:rsidRPr="00880AE7">
        <w:rPr>
          <w:noProof/>
          <w:kern w:val="18"/>
          <w:szCs w:val="18"/>
          <w:lang w:val="fr-CA"/>
        </w:rPr>
        <w:t>Sénégal, Seychelles, Soudan, Suisse,</w:t>
      </w:r>
      <w:r>
        <w:rPr>
          <w:noProof/>
          <w:kern w:val="18"/>
          <w:szCs w:val="18"/>
          <w:lang w:val="fr-CA"/>
        </w:rPr>
        <w:t xml:space="preserve"> Tadjikistan</w:t>
      </w:r>
      <w:r>
        <w:rPr>
          <w:kern w:val="18"/>
          <w:szCs w:val="18"/>
          <w:lang w:val="fr-CA"/>
        </w:rPr>
        <w:t>,</w:t>
      </w:r>
      <w:r w:rsidRPr="00880AE7">
        <w:rPr>
          <w:kern w:val="18"/>
          <w:szCs w:val="18"/>
          <w:lang w:val="fr-CA"/>
        </w:rPr>
        <w:t xml:space="preserve"> </w:t>
      </w:r>
      <w:r w:rsidR="00CF354A">
        <w:rPr>
          <w:kern w:val="18"/>
          <w:szCs w:val="18"/>
          <w:lang w:val="fr-CA"/>
        </w:rPr>
        <w:t>Thaïlande</w:t>
      </w:r>
      <w:r>
        <w:rPr>
          <w:kern w:val="18"/>
          <w:szCs w:val="18"/>
          <w:lang w:val="fr-CA"/>
        </w:rPr>
        <w:t xml:space="preserve">, </w:t>
      </w:r>
      <w:r w:rsidRPr="00880AE7">
        <w:rPr>
          <w:kern w:val="18"/>
          <w:szCs w:val="18"/>
          <w:lang w:val="fr-CA"/>
        </w:rPr>
        <w:t>Uruguay, Zambie et Zimbabwe.</w:t>
      </w:r>
    </w:p>
  </w:footnote>
  <w:footnote w:id="36">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Brésil.</w:t>
      </w:r>
    </w:p>
  </w:footnote>
  <w:footnote w:id="37">
    <w:p w:rsidR="00544B89" w:rsidRPr="00880AE7" w:rsidRDefault="00544B89" w:rsidP="00C45E48">
      <w:pPr>
        <w:pStyle w:val="Textonotapie"/>
        <w:keepLines w:val="0"/>
        <w:ind w:firstLine="0"/>
        <w:rPr>
          <w:kern w:val="18"/>
          <w:szCs w:val="18"/>
          <w:lang w:val="fr-CA"/>
        </w:rPr>
      </w:pPr>
      <w:r w:rsidRPr="00880AE7">
        <w:rPr>
          <w:rStyle w:val="Refdenotaalpie"/>
          <w:kern w:val="18"/>
          <w:szCs w:val="18"/>
          <w:u w:val="none"/>
          <w:vertAlign w:val="superscript"/>
          <w:lang w:val="fr-CA"/>
        </w:rPr>
        <w:footnoteRef/>
      </w:r>
      <w:r w:rsidRPr="00880AE7">
        <w:rPr>
          <w:kern w:val="18"/>
          <w:szCs w:val="18"/>
          <w:lang w:val="fr-CA"/>
        </w:rPr>
        <w:t xml:space="preserve"> Albanie</w:t>
      </w:r>
      <w:r w:rsidRPr="00880AE7">
        <w:rPr>
          <w:noProof/>
          <w:kern w:val="18"/>
          <w:szCs w:val="18"/>
          <w:lang w:val="fr-CA"/>
        </w:rPr>
        <w:t xml:space="preserve">, Bélarus, Belgique, Bhoutan, Botswana, Brésil, Congo, </w:t>
      </w:r>
      <w:r>
        <w:rPr>
          <w:noProof/>
          <w:kern w:val="18"/>
          <w:szCs w:val="18"/>
          <w:lang w:val="fr-CA"/>
        </w:rPr>
        <w:t xml:space="preserve">Cuba, </w:t>
      </w:r>
      <w:r w:rsidRPr="00880AE7">
        <w:rPr>
          <w:noProof/>
          <w:kern w:val="18"/>
          <w:szCs w:val="18"/>
          <w:lang w:val="fr-CA"/>
        </w:rPr>
        <w:t xml:space="preserve">Égypte, Émirats arabes unis, Érythrée, Éthiopie, Finlande, Gambie, Guatemala, </w:t>
      </w:r>
      <w:r>
        <w:rPr>
          <w:noProof/>
          <w:kern w:val="18"/>
          <w:szCs w:val="18"/>
          <w:lang w:val="fr-CA"/>
        </w:rPr>
        <w:t>Grenade, Guinée, Jama</w:t>
      </w:r>
      <w:r w:rsidR="005F425E">
        <w:rPr>
          <w:noProof/>
          <w:kern w:val="18"/>
          <w:szCs w:val="18"/>
          <w:lang w:val="fr-CA"/>
        </w:rPr>
        <w:t>ï</w:t>
      </w:r>
      <w:r>
        <w:rPr>
          <w:noProof/>
          <w:kern w:val="18"/>
          <w:szCs w:val="18"/>
          <w:lang w:val="fr-CA"/>
        </w:rPr>
        <w:t xml:space="preserve">que, Luxembourg, </w:t>
      </w:r>
      <w:r w:rsidRPr="00880AE7">
        <w:rPr>
          <w:noProof/>
          <w:kern w:val="18"/>
          <w:szCs w:val="18"/>
          <w:lang w:val="fr-CA"/>
        </w:rPr>
        <w:t>Mali, Nigeria, Ouganda, République</w:t>
      </w:r>
      <w:r>
        <w:rPr>
          <w:noProof/>
          <w:kern w:val="18"/>
          <w:szCs w:val="18"/>
          <w:lang w:val="fr-CA"/>
        </w:rPr>
        <w:noBreakHyphen/>
      </w:r>
      <w:r w:rsidRPr="00880AE7">
        <w:rPr>
          <w:noProof/>
          <w:kern w:val="18"/>
          <w:szCs w:val="18"/>
          <w:lang w:val="fr-CA"/>
        </w:rPr>
        <w:t xml:space="preserve">Unie de Tanzanie, </w:t>
      </w:r>
      <w:r>
        <w:rPr>
          <w:noProof/>
          <w:kern w:val="18"/>
          <w:szCs w:val="18"/>
          <w:lang w:val="fr-CA"/>
        </w:rPr>
        <w:t>Samoa</w:t>
      </w:r>
      <w:r>
        <w:rPr>
          <w:kern w:val="18"/>
          <w:szCs w:val="18"/>
          <w:lang w:val="fr-CA"/>
        </w:rPr>
        <w:t xml:space="preserve">, </w:t>
      </w:r>
      <w:r w:rsidRPr="00880AE7">
        <w:rPr>
          <w:kern w:val="18"/>
          <w:szCs w:val="18"/>
          <w:lang w:val="fr-CA"/>
        </w:rPr>
        <w:t>Serbie, Soudan,</w:t>
      </w:r>
      <w:r>
        <w:rPr>
          <w:kern w:val="18"/>
          <w:szCs w:val="18"/>
          <w:lang w:val="fr-CA"/>
        </w:rPr>
        <w:t xml:space="preserve"> Tadjikistan,</w:t>
      </w:r>
      <w:r w:rsidRPr="00880AE7">
        <w:rPr>
          <w:kern w:val="18"/>
          <w:szCs w:val="18"/>
          <w:lang w:val="fr-CA"/>
        </w:rPr>
        <w:t xml:space="preserve"> Zambie</w:t>
      </w:r>
      <w:r>
        <w:rPr>
          <w:kern w:val="18"/>
          <w:szCs w:val="18"/>
          <w:lang w:val="fr-CA"/>
        </w:rPr>
        <w:t>,</w:t>
      </w:r>
      <w:r w:rsidRPr="00880AE7">
        <w:rPr>
          <w:kern w:val="18"/>
          <w:szCs w:val="18"/>
          <w:lang w:val="fr-CA"/>
        </w:rPr>
        <w:t xml:space="preserve"> et Zimbabwe.</w:t>
      </w:r>
    </w:p>
  </w:footnote>
  <w:footnote w:id="38">
    <w:p w:rsidR="00544B89" w:rsidRPr="00A26144"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FA6E69">
        <w:rPr>
          <w:rStyle w:val="Refdenotaalpie"/>
          <w:snapToGrid w:val="0"/>
          <w:kern w:val="18"/>
          <w:szCs w:val="18"/>
          <w:u w:val="none"/>
          <w:vertAlign w:val="superscript"/>
        </w:rPr>
        <w:t xml:space="preserve"> </w:t>
      </w:r>
      <w:r w:rsidR="00FA6E69" w:rsidRPr="00A26144">
        <w:rPr>
          <w:snapToGrid w:val="0"/>
          <w:kern w:val="18"/>
          <w:szCs w:val="18"/>
        </w:rPr>
        <w:t>Jamaïque</w:t>
      </w:r>
      <w:r>
        <w:rPr>
          <w:snapToGrid w:val="0"/>
          <w:kern w:val="18"/>
          <w:szCs w:val="18"/>
        </w:rPr>
        <w:t>.</w:t>
      </w:r>
    </w:p>
  </w:footnote>
  <w:footnote w:id="39">
    <w:p w:rsidR="00544B89" w:rsidRPr="00A26144"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A26144">
        <w:rPr>
          <w:snapToGrid w:val="0"/>
          <w:kern w:val="18"/>
          <w:szCs w:val="18"/>
        </w:rPr>
        <w:t xml:space="preserve"> </w:t>
      </w:r>
      <w:hyperlink r:id="rId3" w:history="1">
        <w:r w:rsidRPr="00A26144">
          <w:rPr>
            <w:rStyle w:val="Hipervnculo"/>
            <w:snapToGrid w:val="0"/>
            <w:kern w:val="18"/>
            <w:szCs w:val="18"/>
          </w:rPr>
          <w:t>UNEP/CBD/SBI/1/2/Add.2</w:t>
        </w:r>
      </w:hyperlink>
      <w:r w:rsidRPr="00A26144">
        <w:rPr>
          <w:snapToGrid w:val="0"/>
          <w:kern w:val="18"/>
          <w:szCs w:val="18"/>
        </w:rPr>
        <w:t>.</w:t>
      </w:r>
    </w:p>
  </w:footnote>
  <w:footnote w:id="40">
    <w:p w:rsidR="00544B89" w:rsidRPr="00A26144" w:rsidRDefault="00544B89" w:rsidP="00FA6E69">
      <w:pPr>
        <w:pStyle w:val="Textonotapie"/>
        <w:suppressLineNumbers/>
        <w:suppressAutoHyphens/>
        <w:kinsoku w:val="0"/>
        <w:overflowPunct w:val="0"/>
        <w:autoSpaceDE w:val="0"/>
        <w:autoSpaceDN w:val="0"/>
        <w:ind w:firstLine="0"/>
        <w:jc w:val="left"/>
        <w:rPr>
          <w:snapToGrid w:val="0"/>
          <w:kern w:val="18"/>
          <w:szCs w:val="18"/>
        </w:rPr>
      </w:pPr>
      <w:r w:rsidRPr="00FA6E69">
        <w:rPr>
          <w:rStyle w:val="Refdenotaalpie"/>
          <w:snapToGrid w:val="0"/>
          <w:kern w:val="18"/>
          <w:szCs w:val="18"/>
          <w:u w:val="none"/>
          <w:vertAlign w:val="superscript"/>
        </w:rPr>
        <w:footnoteRef/>
      </w:r>
      <w:r w:rsidRPr="00A26144">
        <w:rPr>
          <w:snapToGrid w:val="0"/>
          <w:kern w:val="18"/>
          <w:szCs w:val="18"/>
        </w:rPr>
        <w:t xml:space="preserve"> </w:t>
      </w:r>
      <w:hyperlink r:id="rId4" w:history="1">
        <w:r w:rsidRPr="00A26144">
          <w:rPr>
            <w:rStyle w:val="Hipervnculo"/>
            <w:snapToGrid w:val="0"/>
            <w:kern w:val="18"/>
          </w:rPr>
          <w:t>UNEP/CBD/COP/13/8/Add.2/Rev.1</w:t>
        </w:r>
      </w:hyperlink>
      <w:r w:rsidRPr="00A26144">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D2" w:rsidRDefault="00256E4A" w:rsidP="00D010A0">
    <w:pPr>
      <w:pStyle w:val="Encabezado"/>
      <w:tabs>
        <w:tab w:val="clear" w:pos="4320"/>
        <w:tab w:val="clear" w:pos="8640"/>
      </w:tabs>
      <w:jc w:val="left"/>
      <w:rPr>
        <w:noProof/>
        <w:kern w:val="22"/>
      </w:rPr>
    </w:pPr>
    <w:r w:rsidRPr="00954712">
      <w:rPr>
        <w:noProof/>
        <w:kern w:val="22"/>
      </w:rPr>
      <w:t>C</w:t>
    </w:r>
    <w:r w:rsidR="006D563D">
      <w:rPr>
        <w:noProof/>
        <w:kern w:val="22"/>
      </w:rPr>
      <w:t>BD/SBI/2/</w:t>
    </w:r>
    <w:r w:rsidRPr="00954712">
      <w:rPr>
        <w:noProof/>
        <w:kern w:val="22"/>
      </w:rPr>
      <w:t>2</w:t>
    </w:r>
    <w:r w:rsidR="006D563D" w:rsidRPr="00954712">
      <w:rPr>
        <w:noProof/>
        <w:kern w:val="22"/>
      </w:rPr>
      <w:t>/Add.2</w:t>
    </w:r>
    <w:r w:rsidRPr="00D010A0" w:rsidDel="00256E4A">
      <w:rPr>
        <w:noProof/>
        <w:kern w:val="22"/>
      </w:rPr>
      <w:t xml:space="preserve"> </w:t>
    </w:r>
  </w:p>
  <w:p w:rsidR="00544B89" w:rsidRPr="00D010A0" w:rsidRDefault="00544B89" w:rsidP="00D010A0">
    <w:pPr>
      <w:pStyle w:val="Encabezado"/>
      <w:tabs>
        <w:tab w:val="clear" w:pos="4320"/>
        <w:tab w:val="clear" w:pos="8640"/>
      </w:tabs>
      <w:jc w:val="left"/>
      <w:rPr>
        <w:noProof/>
        <w:kern w:val="22"/>
      </w:rPr>
    </w:pPr>
    <w:r w:rsidRPr="00D010A0">
      <w:rPr>
        <w:noProof/>
        <w:kern w:val="22"/>
      </w:rPr>
      <w:t xml:space="preserve">Page </w:t>
    </w:r>
    <w:r w:rsidRPr="00D010A0">
      <w:rPr>
        <w:noProof/>
        <w:kern w:val="22"/>
      </w:rPr>
      <w:fldChar w:fldCharType="begin"/>
    </w:r>
    <w:r w:rsidRPr="000C499C">
      <w:rPr>
        <w:noProof/>
        <w:kern w:val="22"/>
      </w:rPr>
      <w:instrText xml:space="preserve"> PAGE   \* MERGEFORMAT </w:instrText>
    </w:r>
    <w:r w:rsidRPr="00D010A0">
      <w:rPr>
        <w:noProof/>
        <w:kern w:val="22"/>
      </w:rPr>
      <w:fldChar w:fldCharType="separate"/>
    </w:r>
    <w:r w:rsidR="003A6A5F">
      <w:rPr>
        <w:noProof/>
        <w:kern w:val="22"/>
      </w:rPr>
      <w:t>18</w:t>
    </w:r>
    <w:r w:rsidRPr="00D010A0">
      <w:rPr>
        <w:noProof/>
        <w:kern w:val="22"/>
      </w:rPr>
      <w:fldChar w:fldCharType="end"/>
    </w:r>
  </w:p>
  <w:p w:rsidR="00544B89" w:rsidRPr="00D010A0" w:rsidRDefault="00544B89" w:rsidP="00D010A0">
    <w:pPr>
      <w:pStyle w:val="Encabezado"/>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89" w:rsidRPr="00D010A0" w:rsidRDefault="001C63DA" w:rsidP="000C499C">
    <w:pPr>
      <w:jc w:val="right"/>
      <w:rPr>
        <w:noProof/>
        <w:kern w:val="22"/>
      </w:rPr>
    </w:pPr>
    <w:r w:rsidRPr="00954712">
      <w:rPr>
        <w:noProof/>
        <w:kern w:val="22"/>
      </w:rPr>
      <w:t>CBD/SBI/2/2/Add.2</w:t>
    </w:r>
  </w:p>
  <w:p w:rsidR="00544B89" w:rsidRPr="00D010A0" w:rsidRDefault="00544B89" w:rsidP="00D010A0">
    <w:pPr>
      <w:pStyle w:val="Encabezado"/>
      <w:tabs>
        <w:tab w:val="clear" w:pos="4320"/>
        <w:tab w:val="clear" w:pos="8640"/>
      </w:tabs>
      <w:jc w:val="right"/>
      <w:rPr>
        <w:noProof/>
        <w:kern w:val="22"/>
      </w:rPr>
    </w:pPr>
    <w:r w:rsidRPr="00D010A0">
      <w:rPr>
        <w:noProof/>
        <w:kern w:val="22"/>
      </w:rPr>
      <w:t xml:space="preserve">Page </w:t>
    </w:r>
    <w:r w:rsidRPr="00D010A0">
      <w:rPr>
        <w:noProof/>
        <w:kern w:val="22"/>
      </w:rPr>
      <w:fldChar w:fldCharType="begin"/>
    </w:r>
    <w:r w:rsidRPr="000C499C">
      <w:rPr>
        <w:noProof/>
        <w:kern w:val="22"/>
      </w:rPr>
      <w:instrText xml:space="preserve"> PAGE   \* MERGEFORMAT </w:instrText>
    </w:r>
    <w:r w:rsidRPr="00D010A0">
      <w:rPr>
        <w:noProof/>
        <w:kern w:val="22"/>
      </w:rPr>
      <w:fldChar w:fldCharType="separate"/>
    </w:r>
    <w:r w:rsidR="00896489">
      <w:rPr>
        <w:noProof/>
        <w:kern w:val="22"/>
      </w:rPr>
      <w:t>17</w:t>
    </w:r>
    <w:r w:rsidRPr="00D010A0">
      <w:rPr>
        <w:noProof/>
        <w:kern w:val="22"/>
      </w:rPr>
      <w:fldChar w:fldCharType="end"/>
    </w:r>
  </w:p>
  <w:p w:rsidR="00544B89" w:rsidRPr="00D010A0" w:rsidRDefault="00544B89" w:rsidP="00733914">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2A1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D382E"/>
    <w:multiLevelType w:val="hybridMultilevel"/>
    <w:tmpl w:val="0D1C34DA"/>
    <w:lvl w:ilvl="0" w:tplc="214CCC86">
      <w:start w:val="1"/>
      <w:numFmt w:val="decimal"/>
      <w:lvlText w:val="8.%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1FB3431"/>
    <w:multiLevelType w:val="hybridMultilevel"/>
    <w:tmpl w:val="1F381FF6"/>
    <w:lvl w:ilvl="0" w:tplc="D3D89D5A">
      <w:start w:val="1"/>
      <w:numFmt w:val="decimal"/>
      <w:lvlText w:val="8.%1."/>
      <w:lvlJc w:val="left"/>
      <w:pPr>
        <w:ind w:left="1080" w:hanging="360"/>
      </w:pPr>
      <w:rPr>
        <w:rFonts w:eastAsia="MS Mincho"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A3496"/>
    <w:multiLevelType w:val="multilevel"/>
    <w:tmpl w:val="1A3856FC"/>
    <w:lvl w:ilvl="0">
      <w:start w:val="5"/>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0DB33FC5"/>
    <w:multiLevelType w:val="multilevel"/>
    <w:tmpl w:val="6BC4AF3C"/>
    <w:lvl w:ilvl="0">
      <w:start w:val="12"/>
      <w:numFmt w:val="decimal"/>
      <w:lvlText w:val="%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nsid w:val="110A55D6"/>
    <w:multiLevelType w:val="hybridMultilevel"/>
    <w:tmpl w:val="0D083972"/>
    <w:lvl w:ilvl="0" w:tplc="263C486E">
      <w:start w:val="1"/>
      <w:numFmt w:val="decimal"/>
      <w:lvlText w:val="5.3.%1."/>
      <w:lvlJc w:val="left"/>
      <w:pPr>
        <w:ind w:left="216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3AD6"/>
    <w:multiLevelType w:val="hybridMultilevel"/>
    <w:tmpl w:val="20C2241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64925"/>
    <w:multiLevelType w:val="hybridMultilevel"/>
    <w:tmpl w:val="F7B2F33E"/>
    <w:lvl w:ilvl="0" w:tplc="0C4AB220">
      <w:start w:val="1"/>
      <w:numFmt w:val="decimal"/>
      <w:lvlText w:val="7.%1."/>
      <w:lvlJc w:val="left"/>
      <w:pPr>
        <w:ind w:left="144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243D8"/>
    <w:multiLevelType w:val="hybridMultilevel"/>
    <w:tmpl w:val="00CAA0EC"/>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07F15"/>
    <w:multiLevelType w:val="multilevel"/>
    <w:tmpl w:val="544EA59A"/>
    <w:lvl w:ilvl="0">
      <w:start w:val="1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C40A97"/>
    <w:multiLevelType w:val="hybridMultilevel"/>
    <w:tmpl w:val="539C2078"/>
    <w:lvl w:ilvl="0" w:tplc="D562CB36">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63584E"/>
    <w:multiLevelType w:val="hybridMultilevel"/>
    <w:tmpl w:val="DA10539A"/>
    <w:lvl w:ilvl="0" w:tplc="AE30DAF8">
      <w:start w:val="1"/>
      <w:numFmt w:val="decimal"/>
      <w:lvlText w:val="10.%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7219CA"/>
    <w:multiLevelType w:val="hybridMultilevel"/>
    <w:tmpl w:val="0F245256"/>
    <w:lvl w:ilvl="0" w:tplc="1F429E6C">
      <w:start w:val="1"/>
      <w:numFmt w:val="decimal"/>
      <w:lvlText w:val="%1."/>
      <w:lvlJc w:val="left"/>
      <w:pPr>
        <w:ind w:left="30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851BD"/>
    <w:multiLevelType w:val="hybridMultilevel"/>
    <w:tmpl w:val="41F821D0"/>
    <w:lvl w:ilvl="0" w:tplc="E560467A">
      <w:start w:val="1"/>
      <w:numFmt w:val="decimal"/>
      <w:lvlText w:val="5.%1."/>
      <w:lvlJc w:val="left"/>
      <w:pPr>
        <w:ind w:left="360" w:hanging="360"/>
      </w:pPr>
      <w:rPr>
        <w:rFonts w:eastAsia="MS Mincho"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011E81"/>
    <w:multiLevelType w:val="multilevel"/>
    <w:tmpl w:val="E56E59C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170178"/>
    <w:multiLevelType w:val="multilevel"/>
    <w:tmpl w:val="732AB31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A566F77"/>
    <w:multiLevelType w:val="hybridMultilevel"/>
    <w:tmpl w:val="045C9CD6"/>
    <w:lvl w:ilvl="0" w:tplc="D3D89D5A">
      <w:start w:val="1"/>
      <w:numFmt w:val="decimal"/>
      <w:lvlText w:val="8.%1."/>
      <w:lvlJc w:val="left"/>
      <w:pPr>
        <w:ind w:left="2160" w:hanging="360"/>
      </w:pPr>
      <w:rPr>
        <w:rFonts w:eastAsia="MS Mincho"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A16B6B"/>
    <w:multiLevelType w:val="hybridMultilevel"/>
    <w:tmpl w:val="4CB4FAE6"/>
    <w:lvl w:ilvl="0" w:tplc="D3D89D5A">
      <w:start w:val="1"/>
      <w:numFmt w:val="decimal"/>
      <w:lvlText w:val="8.%1."/>
      <w:lvlJc w:val="left"/>
      <w:pPr>
        <w:ind w:left="144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0A12A3"/>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415771"/>
    <w:multiLevelType w:val="hybridMultilevel"/>
    <w:tmpl w:val="4F5A89DE"/>
    <w:lvl w:ilvl="0" w:tplc="9A5A1ACE">
      <w:start w:val="1"/>
      <w:numFmt w:val="decimal"/>
      <w:lvlText w:val="12.%1."/>
      <w:lvlJc w:val="left"/>
      <w:pPr>
        <w:ind w:left="108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317642D9"/>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3C705002"/>
    <w:multiLevelType w:val="multilevel"/>
    <w:tmpl w:val="3B988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9A1798"/>
    <w:multiLevelType w:val="hybridMultilevel"/>
    <w:tmpl w:val="0F245256"/>
    <w:lvl w:ilvl="0" w:tplc="1F429E6C">
      <w:start w:val="1"/>
      <w:numFmt w:val="decimal"/>
      <w:lvlText w:val="%1."/>
      <w:lvlJc w:val="left"/>
      <w:pPr>
        <w:ind w:left="108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0">
    <w:nsid w:val="3D1B784A"/>
    <w:multiLevelType w:val="hybridMultilevel"/>
    <w:tmpl w:val="EA7E7952"/>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58B2A5F"/>
    <w:multiLevelType w:val="hybridMultilevel"/>
    <w:tmpl w:val="0F245256"/>
    <w:lvl w:ilvl="0" w:tplc="1F429E6C">
      <w:start w:val="1"/>
      <w:numFmt w:val="decimal"/>
      <w:lvlText w:val="%1."/>
      <w:lvlJc w:val="left"/>
      <w:pPr>
        <w:ind w:left="4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4A473A5C"/>
    <w:multiLevelType w:val="multilevel"/>
    <w:tmpl w:val="3120F548"/>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0442B4"/>
    <w:multiLevelType w:val="multilevel"/>
    <w:tmpl w:val="5EFE9524"/>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E0D0FD7"/>
    <w:multiLevelType w:val="multilevel"/>
    <w:tmpl w:val="BDB688D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nsid w:val="50F9217F"/>
    <w:multiLevelType w:val="hybridMultilevel"/>
    <w:tmpl w:val="948A14CA"/>
    <w:lvl w:ilvl="0" w:tplc="7E12E7E2">
      <w:start w:val="1"/>
      <w:numFmt w:val="lowerLetter"/>
      <w:lvlText w:val="(%1)"/>
      <w:lvlJc w:val="left"/>
      <w:pPr>
        <w:tabs>
          <w:tab w:val="num" w:pos="720"/>
        </w:tabs>
        <w:ind w:left="72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9">
    <w:nsid w:val="52887001"/>
    <w:multiLevelType w:val="multilevel"/>
    <w:tmpl w:val="40349D22"/>
    <w:lvl w:ilvl="0">
      <w:start w:val="12"/>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612300C"/>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A7102D"/>
    <w:multiLevelType w:val="hybridMultilevel"/>
    <w:tmpl w:val="B9AC85D2"/>
    <w:lvl w:ilvl="0" w:tplc="6F28C9C8">
      <w:start w:val="1"/>
      <w:numFmt w:val="decimal"/>
      <w:lvlText w:val="8.1.%1."/>
      <w:lvlJc w:val="left"/>
      <w:pPr>
        <w:ind w:left="1530" w:hanging="360"/>
      </w:pPr>
      <w:rPr>
        <w:rFonts w:eastAsia="MS Mincho"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59E57DD8"/>
    <w:multiLevelType w:val="multilevel"/>
    <w:tmpl w:val="B65EE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AE42D92"/>
    <w:multiLevelType w:val="hybridMultilevel"/>
    <w:tmpl w:val="E40AEA0E"/>
    <w:lvl w:ilvl="0" w:tplc="9A5A1ACE">
      <w:start w:val="1"/>
      <w:numFmt w:val="decimal"/>
      <w:lvlText w:val="12.%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B91A5C"/>
    <w:multiLevelType w:val="hybridMultilevel"/>
    <w:tmpl w:val="01F43F4C"/>
    <w:lvl w:ilvl="0" w:tplc="983C9F9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5122ED"/>
    <w:multiLevelType w:val="hybridMultilevel"/>
    <w:tmpl w:val="50F89FD6"/>
    <w:lvl w:ilvl="0" w:tplc="7FAA3AF4">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7F6714"/>
    <w:multiLevelType w:val="multilevel"/>
    <w:tmpl w:val="679E8494"/>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5EC33090"/>
    <w:multiLevelType w:val="multilevel"/>
    <w:tmpl w:val="A50406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0">
    <w:nsid w:val="608B0D67"/>
    <w:multiLevelType w:val="multilevel"/>
    <w:tmpl w:val="A0601B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3045E1E"/>
    <w:multiLevelType w:val="multilevel"/>
    <w:tmpl w:val="FD60FA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4933052"/>
    <w:multiLevelType w:val="hybridMultilevel"/>
    <w:tmpl w:val="8836F49A"/>
    <w:lvl w:ilvl="0" w:tplc="8C5E693E">
      <w:start w:val="1"/>
      <w:numFmt w:val="decimal"/>
      <w:lvlText w:val="11.3.%1."/>
      <w:lvlJc w:val="left"/>
      <w:pPr>
        <w:ind w:left="180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nsid w:val="66033C9C"/>
    <w:multiLevelType w:val="multilevel"/>
    <w:tmpl w:val="C478CB1A"/>
    <w:lvl w:ilvl="0">
      <w:start w:val="11"/>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55">
    <w:nsid w:val="664E1103"/>
    <w:multiLevelType w:val="hybridMultilevel"/>
    <w:tmpl w:val="166EF7D8"/>
    <w:lvl w:ilvl="0" w:tplc="B5AE727A">
      <w:start w:val="1"/>
      <w:numFmt w:val="decimal"/>
      <w:lvlText w:val="%1."/>
      <w:lvlJc w:val="left"/>
      <w:pPr>
        <w:ind w:left="1080" w:hanging="720"/>
      </w:pPr>
      <w:rPr>
        <w:rFonts w:hint="default"/>
        <w:b w:val="0"/>
      </w:rPr>
    </w:lvl>
    <w:lvl w:ilvl="1" w:tplc="F6F6E078">
      <w:start w:val="1"/>
      <w:numFmt w:val="decimal"/>
      <w:lvlText w:val="12.%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7006BD"/>
    <w:multiLevelType w:val="hybridMultilevel"/>
    <w:tmpl w:val="E7B21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014AF5"/>
    <w:multiLevelType w:val="multilevel"/>
    <w:tmpl w:val="C48A99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D786413"/>
    <w:multiLevelType w:val="hybridMultilevel"/>
    <w:tmpl w:val="6AA6CB38"/>
    <w:lvl w:ilvl="0" w:tplc="75DCE9E4">
      <w:start w:val="1"/>
      <w:numFmt w:val="lowerLetter"/>
      <w:lvlText w:val="(%1)"/>
      <w:lvlJc w:val="left"/>
      <w:pPr>
        <w:ind w:left="1080" w:hanging="360"/>
      </w:pPr>
      <w:rPr>
        <w:rFonts w:hint="default"/>
        <w:i w:val="0"/>
      </w:rPr>
    </w:lvl>
    <w:lvl w:ilvl="1" w:tplc="A4B09DFE">
      <w:start w:val="1"/>
      <w:numFmt w:val="lowerRoman"/>
      <w:lvlText w:val="(%2)"/>
      <w:lvlJc w:val="righ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DF22951"/>
    <w:multiLevelType w:val="hybridMultilevel"/>
    <w:tmpl w:val="545E2592"/>
    <w:lvl w:ilvl="0" w:tplc="5404817E">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3FD092E"/>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5F466BF"/>
    <w:multiLevelType w:val="hybridMultilevel"/>
    <w:tmpl w:val="D22E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602101"/>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2A7CB6"/>
    <w:multiLevelType w:val="hybridMultilevel"/>
    <w:tmpl w:val="5FFE1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4"/>
  </w:num>
  <w:num w:numId="3">
    <w:abstractNumId w:val="31"/>
    <w:lvlOverride w:ilvl="0">
      <w:startOverride w:val="1"/>
    </w:lvlOverride>
  </w:num>
  <w:num w:numId="4">
    <w:abstractNumId w:val="5"/>
  </w:num>
  <w:num w:numId="5">
    <w:abstractNumId w:val="24"/>
  </w:num>
  <w:num w:numId="6">
    <w:abstractNumId w:val="53"/>
  </w:num>
  <w:num w:numId="7">
    <w:abstractNumId w:val="40"/>
  </w:num>
  <w:num w:numId="8">
    <w:abstractNumId w:val="26"/>
  </w:num>
  <w:num w:numId="9">
    <w:abstractNumId w:val="33"/>
  </w:num>
  <w:num w:numId="10">
    <w:abstractNumId w:val="29"/>
  </w:num>
  <w:num w:numId="11">
    <w:abstractNumId w:val="43"/>
  </w:num>
  <w:num w:numId="12">
    <w:abstractNumId w:val="17"/>
  </w:num>
  <w:num w:numId="13">
    <w:abstractNumId w:val="36"/>
  </w:num>
  <w:num w:numId="14">
    <w:abstractNumId w:val="10"/>
  </w:num>
  <w:num w:numId="15">
    <w:abstractNumId w:val="59"/>
  </w:num>
  <w:num w:numId="16">
    <w:abstractNumId w:val="46"/>
  </w:num>
  <w:num w:numId="17">
    <w:abstractNumId w:val="13"/>
  </w:num>
  <w:num w:numId="18">
    <w:abstractNumId w:val="49"/>
  </w:num>
  <w:num w:numId="19">
    <w:abstractNumId w:val="54"/>
  </w:num>
  <w:num w:numId="20">
    <w:abstractNumId w:val="30"/>
  </w:num>
  <w:num w:numId="21">
    <w:abstractNumId w:val="0"/>
  </w:num>
  <w:num w:numId="22">
    <w:abstractNumId w:val="57"/>
  </w:num>
  <w:num w:numId="23">
    <w:abstractNumId w:val="8"/>
  </w:num>
  <w:num w:numId="24">
    <w:abstractNumId w:val="4"/>
  </w:num>
  <w:num w:numId="25">
    <w:abstractNumId w:val="25"/>
  </w:num>
  <w:num w:numId="26">
    <w:abstractNumId w:val="62"/>
  </w:num>
  <w:num w:numId="27">
    <w:abstractNumId w:val="41"/>
  </w:num>
  <w:num w:numId="28">
    <w:abstractNumId w:val="15"/>
  </w:num>
  <w:num w:numId="29">
    <w:abstractNumId w:val="7"/>
  </w:num>
  <w:num w:numId="30">
    <w:abstractNumId w:val="9"/>
  </w:num>
  <w:num w:numId="31">
    <w:abstractNumId w:val="47"/>
  </w:num>
  <w:num w:numId="32">
    <w:abstractNumId w:val="23"/>
  </w:num>
  <w:num w:numId="33">
    <w:abstractNumId w:val="45"/>
  </w:num>
  <w:num w:numId="34">
    <w:abstractNumId w:val="44"/>
  </w:num>
  <w:num w:numId="35">
    <w:abstractNumId w:val="16"/>
  </w:num>
  <w:num w:numId="36">
    <w:abstractNumId w:val="37"/>
  </w:num>
  <w:num w:numId="37">
    <w:abstractNumId w:val="51"/>
  </w:num>
  <w:num w:numId="38">
    <w:abstractNumId w:val="2"/>
  </w:num>
  <w:num w:numId="39">
    <w:abstractNumId w:val="42"/>
  </w:num>
  <w:num w:numId="40">
    <w:abstractNumId w:val="52"/>
  </w:num>
  <w:num w:numId="41">
    <w:abstractNumId w:val="61"/>
  </w:num>
  <w:num w:numId="42">
    <w:abstractNumId w:val="19"/>
  </w:num>
  <w:num w:numId="43">
    <w:abstractNumId w:val="20"/>
  </w:num>
  <w:num w:numId="44">
    <w:abstractNumId w:val="35"/>
  </w:num>
  <w:num w:numId="45">
    <w:abstractNumId w:val="11"/>
  </w:num>
  <w:num w:numId="46">
    <w:abstractNumId w:val="39"/>
  </w:num>
  <w:num w:numId="47">
    <w:abstractNumId w:val="50"/>
  </w:num>
  <w:num w:numId="48">
    <w:abstractNumId w:val="21"/>
  </w:num>
  <w:num w:numId="49">
    <w:abstractNumId w:val="60"/>
  </w:num>
  <w:num w:numId="50">
    <w:abstractNumId w:val="6"/>
  </w:num>
  <w:num w:numId="51">
    <w:abstractNumId w:val="55"/>
  </w:num>
  <w:num w:numId="52">
    <w:abstractNumId w:val="12"/>
  </w:num>
  <w:num w:numId="53">
    <w:abstractNumId w:val="27"/>
  </w:num>
  <w:num w:numId="54">
    <w:abstractNumId w:val="1"/>
  </w:num>
  <w:num w:numId="55">
    <w:abstractNumId w:val="18"/>
  </w:num>
  <w:num w:numId="56">
    <w:abstractNumId w:val="48"/>
  </w:num>
  <w:num w:numId="57">
    <w:abstractNumId w:val="56"/>
  </w:num>
  <w:num w:numId="58">
    <w:abstractNumId w:val="58"/>
  </w:num>
  <w:num w:numId="59">
    <w:abstractNumId w:val="63"/>
  </w:num>
  <w:num w:numId="60">
    <w:abstractNumId w:val="38"/>
  </w:num>
  <w:num w:numId="61">
    <w:abstractNumId w:val="3"/>
  </w:num>
  <w:num w:numId="62">
    <w:abstractNumId w:val="28"/>
  </w:num>
  <w:num w:numId="63">
    <w:abstractNumId w:val="32"/>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E04"/>
    <w:rsid w:val="0000395C"/>
    <w:rsid w:val="0000434E"/>
    <w:rsid w:val="00005724"/>
    <w:rsid w:val="000058E3"/>
    <w:rsid w:val="00006E03"/>
    <w:rsid w:val="0000752C"/>
    <w:rsid w:val="00010915"/>
    <w:rsid w:val="000118B3"/>
    <w:rsid w:val="00011D38"/>
    <w:rsid w:val="00011DF5"/>
    <w:rsid w:val="00011F68"/>
    <w:rsid w:val="00012F49"/>
    <w:rsid w:val="000130EE"/>
    <w:rsid w:val="000137DC"/>
    <w:rsid w:val="00013D92"/>
    <w:rsid w:val="00014F89"/>
    <w:rsid w:val="00015F50"/>
    <w:rsid w:val="00016E9B"/>
    <w:rsid w:val="0001785A"/>
    <w:rsid w:val="00020143"/>
    <w:rsid w:val="00022A4C"/>
    <w:rsid w:val="00023D05"/>
    <w:rsid w:val="00024A50"/>
    <w:rsid w:val="00025298"/>
    <w:rsid w:val="000261A5"/>
    <w:rsid w:val="00026894"/>
    <w:rsid w:val="00026D45"/>
    <w:rsid w:val="000270CE"/>
    <w:rsid w:val="00027897"/>
    <w:rsid w:val="00031778"/>
    <w:rsid w:val="0003184D"/>
    <w:rsid w:val="0003281B"/>
    <w:rsid w:val="000332D4"/>
    <w:rsid w:val="0003374F"/>
    <w:rsid w:val="0003434D"/>
    <w:rsid w:val="000351C0"/>
    <w:rsid w:val="00036EC8"/>
    <w:rsid w:val="0003703A"/>
    <w:rsid w:val="0003749D"/>
    <w:rsid w:val="000379C5"/>
    <w:rsid w:val="00037B77"/>
    <w:rsid w:val="0004131C"/>
    <w:rsid w:val="00042C13"/>
    <w:rsid w:val="00043BBA"/>
    <w:rsid w:val="00044448"/>
    <w:rsid w:val="000521F3"/>
    <w:rsid w:val="0005374D"/>
    <w:rsid w:val="00057114"/>
    <w:rsid w:val="000577B0"/>
    <w:rsid w:val="00057950"/>
    <w:rsid w:val="000609D1"/>
    <w:rsid w:val="00062B3D"/>
    <w:rsid w:val="00062D4F"/>
    <w:rsid w:val="00063090"/>
    <w:rsid w:val="00063619"/>
    <w:rsid w:val="00063A15"/>
    <w:rsid w:val="000644E6"/>
    <w:rsid w:val="00064DD1"/>
    <w:rsid w:val="0006714C"/>
    <w:rsid w:val="000675DC"/>
    <w:rsid w:val="00070845"/>
    <w:rsid w:val="00070E02"/>
    <w:rsid w:val="000719F5"/>
    <w:rsid w:val="00073903"/>
    <w:rsid w:val="00074D29"/>
    <w:rsid w:val="000800F8"/>
    <w:rsid w:val="00080773"/>
    <w:rsid w:val="00081A12"/>
    <w:rsid w:val="0008235C"/>
    <w:rsid w:val="00083126"/>
    <w:rsid w:val="00083F57"/>
    <w:rsid w:val="0008435E"/>
    <w:rsid w:val="00084427"/>
    <w:rsid w:val="0008586B"/>
    <w:rsid w:val="00087051"/>
    <w:rsid w:val="00090E40"/>
    <w:rsid w:val="000911D5"/>
    <w:rsid w:val="0009153A"/>
    <w:rsid w:val="00092F3B"/>
    <w:rsid w:val="00093501"/>
    <w:rsid w:val="000937AA"/>
    <w:rsid w:val="000948E5"/>
    <w:rsid w:val="00095BBA"/>
    <w:rsid w:val="00095FB3"/>
    <w:rsid w:val="0009645C"/>
    <w:rsid w:val="00097342"/>
    <w:rsid w:val="000973CE"/>
    <w:rsid w:val="000A3E0B"/>
    <w:rsid w:val="000A6299"/>
    <w:rsid w:val="000A6ED7"/>
    <w:rsid w:val="000B0E47"/>
    <w:rsid w:val="000B11A5"/>
    <w:rsid w:val="000B2AAA"/>
    <w:rsid w:val="000B3673"/>
    <w:rsid w:val="000B371E"/>
    <w:rsid w:val="000B3A63"/>
    <w:rsid w:val="000B3FE5"/>
    <w:rsid w:val="000B44CE"/>
    <w:rsid w:val="000B6890"/>
    <w:rsid w:val="000B7F0B"/>
    <w:rsid w:val="000C03F2"/>
    <w:rsid w:val="000C06F8"/>
    <w:rsid w:val="000C24A8"/>
    <w:rsid w:val="000C2587"/>
    <w:rsid w:val="000C4432"/>
    <w:rsid w:val="000C4462"/>
    <w:rsid w:val="000C499C"/>
    <w:rsid w:val="000C6B94"/>
    <w:rsid w:val="000C6CC1"/>
    <w:rsid w:val="000C7AED"/>
    <w:rsid w:val="000D0625"/>
    <w:rsid w:val="000D118D"/>
    <w:rsid w:val="000D3A06"/>
    <w:rsid w:val="000D49F3"/>
    <w:rsid w:val="000D61CD"/>
    <w:rsid w:val="000D6963"/>
    <w:rsid w:val="000D7083"/>
    <w:rsid w:val="000D742A"/>
    <w:rsid w:val="000D7BD0"/>
    <w:rsid w:val="000D7F7B"/>
    <w:rsid w:val="000E045D"/>
    <w:rsid w:val="000E049D"/>
    <w:rsid w:val="000E1262"/>
    <w:rsid w:val="000E1A75"/>
    <w:rsid w:val="000E22CF"/>
    <w:rsid w:val="000E29B5"/>
    <w:rsid w:val="000E44EB"/>
    <w:rsid w:val="000E4576"/>
    <w:rsid w:val="000E590C"/>
    <w:rsid w:val="000E5BBA"/>
    <w:rsid w:val="000E60A6"/>
    <w:rsid w:val="000E7851"/>
    <w:rsid w:val="000F1354"/>
    <w:rsid w:val="000F20E2"/>
    <w:rsid w:val="000F2123"/>
    <w:rsid w:val="000F599B"/>
    <w:rsid w:val="000F78FD"/>
    <w:rsid w:val="001007E0"/>
    <w:rsid w:val="00101BF1"/>
    <w:rsid w:val="00101DC5"/>
    <w:rsid w:val="00101E91"/>
    <w:rsid w:val="0010274D"/>
    <w:rsid w:val="00102DB3"/>
    <w:rsid w:val="0010379D"/>
    <w:rsid w:val="00104121"/>
    <w:rsid w:val="00104978"/>
    <w:rsid w:val="00105750"/>
    <w:rsid w:val="00105819"/>
    <w:rsid w:val="00105A40"/>
    <w:rsid w:val="00105D8E"/>
    <w:rsid w:val="00106A1E"/>
    <w:rsid w:val="00106B75"/>
    <w:rsid w:val="001101D4"/>
    <w:rsid w:val="0011081D"/>
    <w:rsid w:val="0011100B"/>
    <w:rsid w:val="00111D0B"/>
    <w:rsid w:val="00111E38"/>
    <w:rsid w:val="0011508D"/>
    <w:rsid w:val="00115A7A"/>
    <w:rsid w:val="0011689E"/>
    <w:rsid w:val="001171E8"/>
    <w:rsid w:val="001178CC"/>
    <w:rsid w:val="001178F3"/>
    <w:rsid w:val="00117E96"/>
    <w:rsid w:val="00120DAA"/>
    <w:rsid w:val="001221C3"/>
    <w:rsid w:val="00122AA3"/>
    <w:rsid w:val="00122DD5"/>
    <w:rsid w:val="00122F53"/>
    <w:rsid w:val="001236A4"/>
    <w:rsid w:val="00123CB5"/>
    <w:rsid w:val="00124821"/>
    <w:rsid w:val="00124F73"/>
    <w:rsid w:val="00125806"/>
    <w:rsid w:val="0012695E"/>
    <w:rsid w:val="001275BC"/>
    <w:rsid w:val="0012765C"/>
    <w:rsid w:val="00130623"/>
    <w:rsid w:val="0013148F"/>
    <w:rsid w:val="00132610"/>
    <w:rsid w:val="001343FE"/>
    <w:rsid w:val="0013512B"/>
    <w:rsid w:val="00135171"/>
    <w:rsid w:val="0013524D"/>
    <w:rsid w:val="001352FA"/>
    <w:rsid w:val="00135C65"/>
    <w:rsid w:val="00136C38"/>
    <w:rsid w:val="00137579"/>
    <w:rsid w:val="0013779D"/>
    <w:rsid w:val="00140630"/>
    <w:rsid w:val="00141225"/>
    <w:rsid w:val="001423AD"/>
    <w:rsid w:val="00143C89"/>
    <w:rsid w:val="00144D88"/>
    <w:rsid w:val="00147A01"/>
    <w:rsid w:val="00147F8B"/>
    <w:rsid w:val="00151E7F"/>
    <w:rsid w:val="001520DB"/>
    <w:rsid w:val="00152264"/>
    <w:rsid w:val="00153252"/>
    <w:rsid w:val="00154822"/>
    <w:rsid w:val="00155418"/>
    <w:rsid w:val="0015550D"/>
    <w:rsid w:val="00155E23"/>
    <w:rsid w:val="00156840"/>
    <w:rsid w:val="00156E42"/>
    <w:rsid w:val="0016273C"/>
    <w:rsid w:val="00162FB8"/>
    <w:rsid w:val="00163AF9"/>
    <w:rsid w:val="00164124"/>
    <w:rsid w:val="001645D2"/>
    <w:rsid w:val="001647F0"/>
    <w:rsid w:val="00164832"/>
    <w:rsid w:val="0016666F"/>
    <w:rsid w:val="00166BB4"/>
    <w:rsid w:val="001671C7"/>
    <w:rsid w:val="001675E0"/>
    <w:rsid w:val="0017060C"/>
    <w:rsid w:val="00171109"/>
    <w:rsid w:val="001718C2"/>
    <w:rsid w:val="001724D0"/>
    <w:rsid w:val="00173CC6"/>
    <w:rsid w:val="00176B8C"/>
    <w:rsid w:val="00177331"/>
    <w:rsid w:val="001813C8"/>
    <w:rsid w:val="00181849"/>
    <w:rsid w:val="00181D69"/>
    <w:rsid w:val="00181E2D"/>
    <w:rsid w:val="001825E4"/>
    <w:rsid w:val="00182C37"/>
    <w:rsid w:val="00185E5F"/>
    <w:rsid w:val="00187126"/>
    <w:rsid w:val="00191514"/>
    <w:rsid w:val="00191686"/>
    <w:rsid w:val="0019185E"/>
    <w:rsid w:val="00191D3B"/>
    <w:rsid w:val="00192092"/>
    <w:rsid w:val="001928EB"/>
    <w:rsid w:val="00193218"/>
    <w:rsid w:val="001938F6"/>
    <w:rsid w:val="00194FF2"/>
    <w:rsid w:val="00196FB7"/>
    <w:rsid w:val="001A0197"/>
    <w:rsid w:val="001A0275"/>
    <w:rsid w:val="001A08ED"/>
    <w:rsid w:val="001A13F6"/>
    <w:rsid w:val="001A1A8C"/>
    <w:rsid w:val="001A1B02"/>
    <w:rsid w:val="001A2504"/>
    <w:rsid w:val="001A43E9"/>
    <w:rsid w:val="001A6D5C"/>
    <w:rsid w:val="001B08C1"/>
    <w:rsid w:val="001B2477"/>
    <w:rsid w:val="001B2825"/>
    <w:rsid w:val="001B2F43"/>
    <w:rsid w:val="001B32A6"/>
    <w:rsid w:val="001B412D"/>
    <w:rsid w:val="001B73B3"/>
    <w:rsid w:val="001B7C37"/>
    <w:rsid w:val="001C11F2"/>
    <w:rsid w:val="001C19F0"/>
    <w:rsid w:val="001C2FAC"/>
    <w:rsid w:val="001C338A"/>
    <w:rsid w:val="001C4823"/>
    <w:rsid w:val="001C63DA"/>
    <w:rsid w:val="001C73C9"/>
    <w:rsid w:val="001C7D79"/>
    <w:rsid w:val="001C7EF2"/>
    <w:rsid w:val="001D1842"/>
    <w:rsid w:val="001D188A"/>
    <w:rsid w:val="001D1B7B"/>
    <w:rsid w:val="001D2CD9"/>
    <w:rsid w:val="001D34E6"/>
    <w:rsid w:val="001D37AA"/>
    <w:rsid w:val="001D41CA"/>
    <w:rsid w:val="001D428D"/>
    <w:rsid w:val="001D471B"/>
    <w:rsid w:val="001D4BA9"/>
    <w:rsid w:val="001D4C04"/>
    <w:rsid w:val="001D57D5"/>
    <w:rsid w:val="001D61F2"/>
    <w:rsid w:val="001D6419"/>
    <w:rsid w:val="001D7872"/>
    <w:rsid w:val="001E0928"/>
    <w:rsid w:val="001E12D6"/>
    <w:rsid w:val="001E199C"/>
    <w:rsid w:val="001E1F80"/>
    <w:rsid w:val="001E3C6A"/>
    <w:rsid w:val="001E41D6"/>
    <w:rsid w:val="001E46C5"/>
    <w:rsid w:val="001E5E0C"/>
    <w:rsid w:val="001E6337"/>
    <w:rsid w:val="001F0221"/>
    <w:rsid w:val="001F03A1"/>
    <w:rsid w:val="001F47BD"/>
    <w:rsid w:val="001F4EAD"/>
    <w:rsid w:val="001F5448"/>
    <w:rsid w:val="001F5988"/>
    <w:rsid w:val="001F5C80"/>
    <w:rsid w:val="002014CD"/>
    <w:rsid w:val="002014E6"/>
    <w:rsid w:val="00201752"/>
    <w:rsid w:val="00201C20"/>
    <w:rsid w:val="002023FB"/>
    <w:rsid w:val="00202E66"/>
    <w:rsid w:val="00202E7F"/>
    <w:rsid w:val="002035EF"/>
    <w:rsid w:val="002046FD"/>
    <w:rsid w:val="002055F1"/>
    <w:rsid w:val="00206DB0"/>
    <w:rsid w:val="00207CEB"/>
    <w:rsid w:val="00207D32"/>
    <w:rsid w:val="002101E5"/>
    <w:rsid w:val="002120F6"/>
    <w:rsid w:val="00212CC5"/>
    <w:rsid w:val="00212D69"/>
    <w:rsid w:val="00214212"/>
    <w:rsid w:val="002145C7"/>
    <w:rsid w:val="002149CA"/>
    <w:rsid w:val="002169EB"/>
    <w:rsid w:val="00216F07"/>
    <w:rsid w:val="00217A7B"/>
    <w:rsid w:val="00217F79"/>
    <w:rsid w:val="00220391"/>
    <w:rsid w:val="00220593"/>
    <w:rsid w:val="00222005"/>
    <w:rsid w:val="00222A93"/>
    <w:rsid w:val="0022394D"/>
    <w:rsid w:val="00223A6E"/>
    <w:rsid w:val="002252DA"/>
    <w:rsid w:val="002268B2"/>
    <w:rsid w:val="00227E6F"/>
    <w:rsid w:val="00230C9A"/>
    <w:rsid w:val="00231453"/>
    <w:rsid w:val="0023272E"/>
    <w:rsid w:val="00233897"/>
    <w:rsid w:val="0023397D"/>
    <w:rsid w:val="002348D2"/>
    <w:rsid w:val="00234EBA"/>
    <w:rsid w:val="00236D4F"/>
    <w:rsid w:val="00237CAC"/>
    <w:rsid w:val="00240C99"/>
    <w:rsid w:val="002432F6"/>
    <w:rsid w:val="00243A6F"/>
    <w:rsid w:val="00244E46"/>
    <w:rsid w:val="00252E47"/>
    <w:rsid w:val="00254375"/>
    <w:rsid w:val="00254469"/>
    <w:rsid w:val="00254641"/>
    <w:rsid w:val="0025563A"/>
    <w:rsid w:val="00256397"/>
    <w:rsid w:val="00256E4A"/>
    <w:rsid w:val="00256F5C"/>
    <w:rsid w:val="00257AF6"/>
    <w:rsid w:val="0026001D"/>
    <w:rsid w:val="00261C0D"/>
    <w:rsid w:val="00261DED"/>
    <w:rsid w:val="00262948"/>
    <w:rsid w:val="002643CD"/>
    <w:rsid w:val="002648B8"/>
    <w:rsid w:val="00264E4F"/>
    <w:rsid w:val="002651B8"/>
    <w:rsid w:val="0026522F"/>
    <w:rsid w:val="00267AA3"/>
    <w:rsid w:val="002715AD"/>
    <w:rsid w:val="00271A0E"/>
    <w:rsid w:val="00271BEA"/>
    <w:rsid w:val="0027264C"/>
    <w:rsid w:val="00273401"/>
    <w:rsid w:val="0027698F"/>
    <w:rsid w:val="00276F6A"/>
    <w:rsid w:val="002771D7"/>
    <w:rsid w:val="00277CE2"/>
    <w:rsid w:val="0028068B"/>
    <w:rsid w:val="00281E6D"/>
    <w:rsid w:val="002834FF"/>
    <w:rsid w:val="002843E9"/>
    <w:rsid w:val="0028631E"/>
    <w:rsid w:val="00286654"/>
    <w:rsid w:val="0028680E"/>
    <w:rsid w:val="00286DF5"/>
    <w:rsid w:val="00290545"/>
    <w:rsid w:val="002907D1"/>
    <w:rsid w:val="002908C6"/>
    <w:rsid w:val="002909E7"/>
    <w:rsid w:val="00290A0E"/>
    <w:rsid w:val="00291461"/>
    <w:rsid w:val="00293265"/>
    <w:rsid w:val="00294521"/>
    <w:rsid w:val="00296574"/>
    <w:rsid w:val="00296993"/>
    <w:rsid w:val="002975AD"/>
    <w:rsid w:val="00297742"/>
    <w:rsid w:val="00297BEE"/>
    <w:rsid w:val="002A0E81"/>
    <w:rsid w:val="002A350E"/>
    <w:rsid w:val="002A3BD1"/>
    <w:rsid w:val="002A4871"/>
    <w:rsid w:val="002A4C61"/>
    <w:rsid w:val="002A5095"/>
    <w:rsid w:val="002A6CA4"/>
    <w:rsid w:val="002A7BB5"/>
    <w:rsid w:val="002B1D44"/>
    <w:rsid w:val="002B4B31"/>
    <w:rsid w:val="002B5D3C"/>
    <w:rsid w:val="002B6732"/>
    <w:rsid w:val="002B674D"/>
    <w:rsid w:val="002B693D"/>
    <w:rsid w:val="002B712B"/>
    <w:rsid w:val="002C0A85"/>
    <w:rsid w:val="002C1489"/>
    <w:rsid w:val="002C14E9"/>
    <w:rsid w:val="002C248D"/>
    <w:rsid w:val="002C2C4B"/>
    <w:rsid w:val="002C2FE8"/>
    <w:rsid w:val="002C3A01"/>
    <w:rsid w:val="002C6848"/>
    <w:rsid w:val="002C7620"/>
    <w:rsid w:val="002D2820"/>
    <w:rsid w:val="002D3061"/>
    <w:rsid w:val="002D3260"/>
    <w:rsid w:val="002D506B"/>
    <w:rsid w:val="002D6829"/>
    <w:rsid w:val="002D6DE9"/>
    <w:rsid w:val="002E00FD"/>
    <w:rsid w:val="002E02F5"/>
    <w:rsid w:val="002E28DE"/>
    <w:rsid w:val="002E3B3A"/>
    <w:rsid w:val="002E3FEE"/>
    <w:rsid w:val="002E4B17"/>
    <w:rsid w:val="002E552E"/>
    <w:rsid w:val="002E6C49"/>
    <w:rsid w:val="002F0273"/>
    <w:rsid w:val="002F1AF7"/>
    <w:rsid w:val="002F2015"/>
    <w:rsid w:val="002F586D"/>
    <w:rsid w:val="002F7006"/>
    <w:rsid w:val="002F7F48"/>
    <w:rsid w:val="003032CB"/>
    <w:rsid w:val="00303E13"/>
    <w:rsid w:val="00304B50"/>
    <w:rsid w:val="0030546E"/>
    <w:rsid w:val="00306095"/>
    <w:rsid w:val="003061EF"/>
    <w:rsid w:val="00306331"/>
    <w:rsid w:val="00307118"/>
    <w:rsid w:val="003077F6"/>
    <w:rsid w:val="00307BB5"/>
    <w:rsid w:val="00307F48"/>
    <w:rsid w:val="00310805"/>
    <w:rsid w:val="00312979"/>
    <w:rsid w:val="003132F3"/>
    <w:rsid w:val="00316034"/>
    <w:rsid w:val="00316532"/>
    <w:rsid w:val="003169D2"/>
    <w:rsid w:val="00316C51"/>
    <w:rsid w:val="00316C7D"/>
    <w:rsid w:val="0032129C"/>
    <w:rsid w:val="00321EAB"/>
    <w:rsid w:val="00323ABF"/>
    <w:rsid w:val="00323CBF"/>
    <w:rsid w:val="00323D1B"/>
    <w:rsid w:val="00323DA1"/>
    <w:rsid w:val="00324750"/>
    <w:rsid w:val="00324B66"/>
    <w:rsid w:val="00324CCD"/>
    <w:rsid w:val="00326CFF"/>
    <w:rsid w:val="003302C8"/>
    <w:rsid w:val="00330BE9"/>
    <w:rsid w:val="00332083"/>
    <w:rsid w:val="003320D7"/>
    <w:rsid w:val="00333D9F"/>
    <w:rsid w:val="003340AE"/>
    <w:rsid w:val="00334B56"/>
    <w:rsid w:val="003352F7"/>
    <w:rsid w:val="00335D62"/>
    <w:rsid w:val="003360C5"/>
    <w:rsid w:val="00336313"/>
    <w:rsid w:val="003367B6"/>
    <w:rsid w:val="00337858"/>
    <w:rsid w:val="0034006B"/>
    <w:rsid w:val="003400E4"/>
    <w:rsid w:val="003415C7"/>
    <w:rsid w:val="0034195F"/>
    <w:rsid w:val="0034426C"/>
    <w:rsid w:val="00344E81"/>
    <w:rsid w:val="00345940"/>
    <w:rsid w:val="0034599A"/>
    <w:rsid w:val="00346504"/>
    <w:rsid w:val="003472F1"/>
    <w:rsid w:val="00347592"/>
    <w:rsid w:val="003476D0"/>
    <w:rsid w:val="00347AD4"/>
    <w:rsid w:val="00347E35"/>
    <w:rsid w:val="00350B80"/>
    <w:rsid w:val="0035223B"/>
    <w:rsid w:val="00352E7F"/>
    <w:rsid w:val="0035302E"/>
    <w:rsid w:val="00354A93"/>
    <w:rsid w:val="0035754F"/>
    <w:rsid w:val="00360989"/>
    <w:rsid w:val="00361060"/>
    <w:rsid w:val="003613C1"/>
    <w:rsid w:val="00362558"/>
    <w:rsid w:val="00362758"/>
    <w:rsid w:val="003645D9"/>
    <w:rsid w:val="00364BA5"/>
    <w:rsid w:val="00365ABB"/>
    <w:rsid w:val="00366651"/>
    <w:rsid w:val="00367421"/>
    <w:rsid w:val="00367447"/>
    <w:rsid w:val="00367A94"/>
    <w:rsid w:val="003703CE"/>
    <w:rsid w:val="00370A0B"/>
    <w:rsid w:val="00374C17"/>
    <w:rsid w:val="00375350"/>
    <w:rsid w:val="00375E98"/>
    <w:rsid w:val="00375F94"/>
    <w:rsid w:val="00375FC0"/>
    <w:rsid w:val="00376817"/>
    <w:rsid w:val="003768B1"/>
    <w:rsid w:val="0037716D"/>
    <w:rsid w:val="00380551"/>
    <w:rsid w:val="00381F45"/>
    <w:rsid w:val="0038264F"/>
    <w:rsid w:val="003841D6"/>
    <w:rsid w:val="00384F1B"/>
    <w:rsid w:val="00385E6E"/>
    <w:rsid w:val="00385F34"/>
    <w:rsid w:val="00386174"/>
    <w:rsid w:val="00387C1C"/>
    <w:rsid w:val="003909CB"/>
    <w:rsid w:val="003931A6"/>
    <w:rsid w:val="00393A5E"/>
    <w:rsid w:val="00394A1A"/>
    <w:rsid w:val="0039556E"/>
    <w:rsid w:val="003962DF"/>
    <w:rsid w:val="00396487"/>
    <w:rsid w:val="003970FB"/>
    <w:rsid w:val="00397AD0"/>
    <w:rsid w:val="00397C73"/>
    <w:rsid w:val="003A1D82"/>
    <w:rsid w:val="003A23C7"/>
    <w:rsid w:val="003A4F32"/>
    <w:rsid w:val="003A55A3"/>
    <w:rsid w:val="003A6A5F"/>
    <w:rsid w:val="003A6B68"/>
    <w:rsid w:val="003A733A"/>
    <w:rsid w:val="003A77B3"/>
    <w:rsid w:val="003B009E"/>
    <w:rsid w:val="003B01B7"/>
    <w:rsid w:val="003B05E4"/>
    <w:rsid w:val="003B0FB0"/>
    <w:rsid w:val="003B1329"/>
    <w:rsid w:val="003B1632"/>
    <w:rsid w:val="003B168F"/>
    <w:rsid w:val="003B3F42"/>
    <w:rsid w:val="003B3F9A"/>
    <w:rsid w:val="003B5BC8"/>
    <w:rsid w:val="003B61EB"/>
    <w:rsid w:val="003B6F85"/>
    <w:rsid w:val="003B6FF5"/>
    <w:rsid w:val="003C0466"/>
    <w:rsid w:val="003C06A1"/>
    <w:rsid w:val="003C2778"/>
    <w:rsid w:val="003C312F"/>
    <w:rsid w:val="003C3938"/>
    <w:rsid w:val="003C4714"/>
    <w:rsid w:val="003C52CB"/>
    <w:rsid w:val="003C52EC"/>
    <w:rsid w:val="003C5BAD"/>
    <w:rsid w:val="003C6757"/>
    <w:rsid w:val="003C6BDA"/>
    <w:rsid w:val="003C7BCB"/>
    <w:rsid w:val="003D0321"/>
    <w:rsid w:val="003D1F6D"/>
    <w:rsid w:val="003D228C"/>
    <w:rsid w:val="003D2342"/>
    <w:rsid w:val="003D3181"/>
    <w:rsid w:val="003D3908"/>
    <w:rsid w:val="003D3A8D"/>
    <w:rsid w:val="003D4D4E"/>
    <w:rsid w:val="003D5A21"/>
    <w:rsid w:val="003D6262"/>
    <w:rsid w:val="003D72E5"/>
    <w:rsid w:val="003E1EE0"/>
    <w:rsid w:val="003E22EE"/>
    <w:rsid w:val="003E23CA"/>
    <w:rsid w:val="003E3D42"/>
    <w:rsid w:val="003E478E"/>
    <w:rsid w:val="003E567A"/>
    <w:rsid w:val="003E6F57"/>
    <w:rsid w:val="003E70E1"/>
    <w:rsid w:val="003F03A9"/>
    <w:rsid w:val="003F04AB"/>
    <w:rsid w:val="003F0F0E"/>
    <w:rsid w:val="003F1F09"/>
    <w:rsid w:val="003F2E72"/>
    <w:rsid w:val="003F3768"/>
    <w:rsid w:val="003F406C"/>
    <w:rsid w:val="003F4150"/>
    <w:rsid w:val="003F5A2D"/>
    <w:rsid w:val="003F6938"/>
    <w:rsid w:val="003F6CEC"/>
    <w:rsid w:val="00400205"/>
    <w:rsid w:val="0040026F"/>
    <w:rsid w:val="00401C33"/>
    <w:rsid w:val="00401EBE"/>
    <w:rsid w:val="00401FA0"/>
    <w:rsid w:val="004024BF"/>
    <w:rsid w:val="00403156"/>
    <w:rsid w:val="00403428"/>
    <w:rsid w:val="00405AA3"/>
    <w:rsid w:val="00406438"/>
    <w:rsid w:val="00407A1C"/>
    <w:rsid w:val="00412D1B"/>
    <w:rsid w:val="00414977"/>
    <w:rsid w:val="00415B2F"/>
    <w:rsid w:val="00415CB9"/>
    <w:rsid w:val="004168FE"/>
    <w:rsid w:val="004171AA"/>
    <w:rsid w:val="00420661"/>
    <w:rsid w:val="0042177C"/>
    <w:rsid w:val="004238BD"/>
    <w:rsid w:val="00423A16"/>
    <w:rsid w:val="0042468F"/>
    <w:rsid w:val="00424E0F"/>
    <w:rsid w:val="004266AC"/>
    <w:rsid w:val="00427EFA"/>
    <w:rsid w:val="00431743"/>
    <w:rsid w:val="004317F7"/>
    <w:rsid w:val="00431C94"/>
    <w:rsid w:val="00433D34"/>
    <w:rsid w:val="0043466F"/>
    <w:rsid w:val="00434BA2"/>
    <w:rsid w:val="00436194"/>
    <w:rsid w:val="00436B41"/>
    <w:rsid w:val="00436C05"/>
    <w:rsid w:val="00437A9A"/>
    <w:rsid w:val="00441D0E"/>
    <w:rsid w:val="00442E08"/>
    <w:rsid w:val="0044340B"/>
    <w:rsid w:val="00443BEC"/>
    <w:rsid w:val="00443C2E"/>
    <w:rsid w:val="00443CD0"/>
    <w:rsid w:val="0044424B"/>
    <w:rsid w:val="00444B04"/>
    <w:rsid w:val="00445558"/>
    <w:rsid w:val="004466BF"/>
    <w:rsid w:val="0045087F"/>
    <w:rsid w:val="00450C97"/>
    <w:rsid w:val="004521B2"/>
    <w:rsid w:val="004565A5"/>
    <w:rsid w:val="004575D3"/>
    <w:rsid w:val="004577B0"/>
    <w:rsid w:val="0046037E"/>
    <w:rsid w:val="00460673"/>
    <w:rsid w:val="004616E3"/>
    <w:rsid w:val="004619F4"/>
    <w:rsid w:val="00463F0E"/>
    <w:rsid w:val="004651BB"/>
    <w:rsid w:val="00465767"/>
    <w:rsid w:val="004659AD"/>
    <w:rsid w:val="00465C9A"/>
    <w:rsid w:val="004670B8"/>
    <w:rsid w:val="00471E86"/>
    <w:rsid w:val="00473164"/>
    <w:rsid w:val="00473D34"/>
    <w:rsid w:val="004741F0"/>
    <w:rsid w:val="00474DD5"/>
    <w:rsid w:val="0047735A"/>
    <w:rsid w:val="004804FA"/>
    <w:rsid w:val="0048166C"/>
    <w:rsid w:val="0048191E"/>
    <w:rsid w:val="004823D6"/>
    <w:rsid w:val="004826A4"/>
    <w:rsid w:val="00483F9D"/>
    <w:rsid w:val="00484FE8"/>
    <w:rsid w:val="00485352"/>
    <w:rsid w:val="00485DD9"/>
    <w:rsid w:val="00487093"/>
    <w:rsid w:val="00490F66"/>
    <w:rsid w:val="00493635"/>
    <w:rsid w:val="00495190"/>
    <w:rsid w:val="00495470"/>
    <w:rsid w:val="004A1752"/>
    <w:rsid w:val="004A1C76"/>
    <w:rsid w:val="004A1D41"/>
    <w:rsid w:val="004A33D6"/>
    <w:rsid w:val="004A36C3"/>
    <w:rsid w:val="004A3A47"/>
    <w:rsid w:val="004A3F2C"/>
    <w:rsid w:val="004A50C7"/>
    <w:rsid w:val="004A5BFF"/>
    <w:rsid w:val="004A60C0"/>
    <w:rsid w:val="004B107A"/>
    <w:rsid w:val="004B17C2"/>
    <w:rsid w:val="004B287B"/>
    <w:rsid w:val="004B42C4"/>
    <w:rsid w:val="004B4799"/>
    <w:rsid w:val="004B65B0"/>
    <w:rsid w:val="004B6735"/>
    <w:rsid w:val="004B67FF"/>
    <w:rsid w:val="004B77B6"/>
    <w:rsid w:val="004C16A3"/>
    <w:rsid w:val="004C18D4"/>
    <w:rsid w:val="004C1D73"/>
    <w:rsid w:val="004C1FDD"/>
    <w:rsid w:val="004C41C9"/>
    <w:rsid w:val="004C4D5B"/>
    <w:rsid w:val="004D13E7"/>
    <w:rsid w:val="004D2280"/>
    <w:rsid w:val="004D3FDF"/>
    <w:rsid w:val="004D426E"/>
    <w:rsid w:val="004D4C00"/>
    <w:rsid w:val="004D581D"/>
    <w:rsid w:val="004D6737"/>
    <w:rsid w:val="004D6A9E"/>
    <w:rsid w:val="004D6D9C"/>
    <w:rsid w:val="004D7864"/>
    <w:rsid w:val="004E0DFB"/>
    <w:rsid w:val="004E0E43"/>
    <w:rsid w:val="004E0F07"/>
    <w:rsid w:val="004E1FE3"/>
    <w:rsid w:val="004E3970"/>
    <w:rsid w:val="004E3A22"/>
    <w:rsid w:val="004E41C8"/>
    <w:rsid w:val="004E6F42"/>
    <w:rsid w:val="004E7AD0"/>
    <w:rsid w:val="004F0476"/>
    <w:rsid w:val="004F1005"/>
    <w:rsid w:val="004F11EB"/>
    <w:rsid w:val="004F254E"/>
    <w:rsid w:val="004F2F6E"/>
    <w:rsid w:val="004F50F9"/>
    <w:rsid w:val="004F5C82"/>
    <w:rsid w:val="004F63FF"/>
    <w:rsid w:val="004F65EC"/>
    <w:rsid w:val="004F6BA1"/>
    <w:rsid w:val="004F74AC"/>
    <w:rsid w:val="00500FCB"/>
    <w:rsid w:val="00501751"/>
    <w:rsid w:val="00502EE3"/>
    <w:rsid w:val="00503148"/>
    <w:rsid w:val="00503820"/>
    <w:rsid w:val="0050460E"/>
    <w:rsid w:val="00504C48"/>
    <w:rsid w:val="00506479"/>
    <w:rsid w:val="00506615"/>
    <w:rsid w:val="00510463"/>
    <w:rsid w:val="00510B3B"/>
    <w:rsid w:val="00511A92"/>
    <w:rsid w:val="00512F67"/>
    <w:rsid w:val="00513BE8"/>
    <w:rsid w:val="00513C23"/>
    <w:rsid w:val="00514EC9"/>
    <w:rsid w:val="00514F43"/>
    <w:rsid w:val="00516814"/>
    <w:rsid w:val="0051736E"/>
    <w:rsid w:val="00517FAB"/>
    <w:rsid w:val="00520FD9"/>
    <w:rsid w:val="00521A12"/>
    <w:rsid w:val="00522524"/>
    <w:rsid w:val="0052265A"/>
    <w:rsid w:val="0052302F"/>
    <w:rsid w:val="00523198"/>
    <w:rsid w:val="005236ED"/>
    <w:rsid w:val="00523FFF"/>
    <w:rsid w:val="00524D8A"/>
    <w:rsid w:val="005264AA"/>
    <w:rsid w:val="00527E13"/>
    <w:rsid w:val="00531063"/>
    <w:rsid w:val="00531142"/>
    <w:rsid w:val="00532185"/>
    <w:rsid w:val="005327F4"/>
    <w:rsid w:val="005349CF"/>
    <w:rsid w:val="00535943"/>
    <w:rsid w:val="00535C39"/>
    <w:rsid w:val="00536A59"/>
    <w:rsid w:val="00540027"/>
    <w:rsid w:val="005409E3"/>
    <w:rsid w:val="00540D30"/>
    <w:rsid w:val="00540D69"/>
    <w:rsid w:val="00541A95"/>
    <w:rsid w:val="0054452A"/>
    <w:rsid w:val="005445D7"/>
    <w:rsid w:val="005447D2"/>
    <w:rsid w:val="00544B89"/>
    <w:rsid w:val="00545CDC"/>
    <w:rsid w:val="00545FC1"/>
    <w:rsid w:val="00546911"/>
    <w:rsid w:val="00547344"/>
    <w:rsid w:val="0055151A"/>
    <w:rsid w:val="0055195E"/>
    <w:rsid w:val="00551A1E"/>
    <w:rsid w:val="0055276A"/>
    <w:rsid w:val="00552B07"/>
    <w:rsid w:val="00552C19"/>
    <w:rsid w:val="00553CC6"/>
    <w:rsid w:val="00554324"/>
    <w:rsid w:val="005572E6"/>
    <w:rsid w:val="00557A51"/>
    <w:rsid w:val="00557B1F"/>
    <w:rsid w:val="00561738"/>
    <w:rsid w:val="00562255"/>
    <w:rsid w:val="00562B5A"/>
    <w:rsid w:val="00562CE2"/>
    <w:rsid w:val="00563080"/>
    <w:rsid w:val="00563469"/>
    <w:rsid w:val="00563B5C"/>
    <w:rsid w:val="00563E5E"/>
    <w:rsid w:val="00564EEA"/>
    <w:rsid w:val="00565D64"/>
    <w:rsid w:val="005661A0"/>
    <w:rsid w:val="005707E6"/>
    <w:rsid w:val="005707F3"/>
    <w:rsid w:val="00571158"/>
    <w:rsid w:val="0057128D"/>
    <w:rsid w:val="00573E33"/>
    <w:rsid w:val="00575792"/>
    <w:rsid w:val="00576779"/>
    <w:rsid w:val="0058034C"/>
    <w:rsid w:val="005804DD"/>
    <w:rsid w:val="00580A7A"/>
    <w:rsid w:val="00581057"/>
    <w:rsid w:val="005817A6"/>
    <w:rsid w:val="0058250A"/>
    <w:rsid w:val="00582865"/>
    <w:rsid w:val="0058374F"/>
    <w:rsid w:val="00584777"/>
    <w:rsid w:val="005853AD"/>
    <w:rsid w:val="005860D7"/>
    <w:rsid w:val="00586452"/>
    <w:rsid w:val="005864AE"/>
    <w:rsid w:val="00587BD9"/>
    <w:rsid w:val="00591FEE"/>
    <w:rsid w:val="00592101"/>
    <w:rsid w:val="00592322"/>
    <w:rsid w:val="00592C48"/>
    <w:rsid w:val="00594176"/>
    <w:rsid w:val="00594994"/>
    <w:rsid w:val="00595431"/>
    <w:rsid w:val="00596ABD"/>
    <w:rsid w:val="00596E7F"/>
    <w:rsid w:val="00597E2E"/>
    <w:rsid w:val="005A1FBE"/>
    <w:rsid w:val="005A2AFB"/>
    <w:rsid w:val="005A2C73"/>
    <w:rsid w:val="005A2F3C"/>
    <w:rsid w:val="005A310E"/>
    <w:rsid w:val="005A41A8"/>
    <w:rsid w:val="005A466F"/>
    <w:rsid w:val="005B03EA"/>
    <w:rsid w:val="005B0B25"/>
    <w:rsid w:val="005B16E3"/>
    <w:rsid w:val="005B43E0"/>
    <w:rsid w:val="005B4456"/>
    <w:rsid w:val="005B4A4A"/>
    <w:rsid w:val="005B53E1"/>
    <w:rsid w:val="005B5FE5"/>
    <w:rsid w:val="005B74FA"/>
    <w:rsid w:val="005C1F1F"/>
    <w:rsid w:val="005C4AA2"/>
    <w:rsid w:val="005C51A3"/>
    <w:rsid w:val="005C5251"/>
    <w:rsid w:val="005C57E0"/>
    <w:rsid w:val="005C5A4B"/>
    <w:rsid w:val="005C5AD5"/>
    <w:rsid w:val="005C5B4A"/>
    <w:rsid w:val="005C63FB"/>
    <w:rsid w:val="005C69B0"/>
    <w:rsid w:val="005C6A5B"/>
    <w:rsid w:val="005C6C31"/>
    <w:rsid w:val="005C7844"/>
    <w:rsid w:val="005C7875"/>
    <w:rsid w:val="005C78F7"/>
    <w:rsid w:val="005C7D0A"/>
    <w:rsid w:val="005D0CD4"/>
    <w:rsid w:val="005D2AB0"/>
    <w:rsid w:val="005D3370"/>
    <w:rsid w:val="005D3CC2"/>
    <w:rsid w:val="005D3FD5"/>
    <w:rsid w:val="005D453E"/>
    <w:rsid w:val="005D46C0"/>
    <w:rsid w:val="005D6AC0"/>
    <w:rsid w:val="005D79E5"/>
    <w:rsid w:val="005E0760"/>
    <w:rsid w:val="005E0CF1"/>
    <w:rsid w:val="005E12E4"/>
    <w:rsid w:val="005E13A7"/>
    <w:rsid w:val="005E2220"/>
    <w:rsid w:val="005E298A"/>
    <w:rsid w:val="005E2CCF"/>
    <w:rsid w:val="005E2E4D"/>
    <w:rsid w:val="005E561F"/>
    <w:rsid w:val="005E76EB"/>
    <w:rsid w:val="005F09C1"/>
    <w:rsid w:val="005F0BB2"/>
    <w:rsid w:val="005F112D"/>
    <w:rsid w:val="005F14F4"/>
    <w:rsid w:val="005F3185"/>
    <w:rsid w:val="005F32B8"/>
    <w:rsid w:val="005F32ED"/>
    <w:rsid w:val="005F425E"/>
    <w:rsid w:val="005F44DD"/>
    <w:rsid w:val="005F4B5E"/>
    <w:rsid w:val="005F4C5F"/>
    <w:rsid w:val="005F5730"/>
    <w:rsid w:val="005F5AFD"/>
    <w:rsid w:val="005F667B"/>
    <w:rsid w:val="005F6E06"/>
    <w:rsid w:val="005F7B6F"/>
    <w:rsid w:val="0060084C"/>
    <w:rsid w:val="0060176C"/>
    <w:rsid w:val="00601F60"/>
    <w:rsid w:val="006029E2"/>
    <w:rsid w:val="00605D0B"/>
    <w:rsid w:val="006061E5"/>
    <w:rsid w:val="006102B1"/>
    <w:rsid w:val="006125C1"/>
    <w:rsid w:val="00612959"/>
    <w:rsid w:val="00612C82"/>
    <w:rsid w:val="00612E4B"/>
    <w:rsid w:val="006140FF"/>
    <w:rsid w:val="00614212"/>
    <w:rsid w:val="00615954"/>
    <w:rsid w:val="0061604E"/>
    <w:rsid w:val="006162E5"/>
    <w:rsid w:val="006167BE"/>
    <w:rsid w:val="00617AEC"/>
    <w:rsid w:val="00622220"/>
    <w:rsid w:val="00622C91"/>
    <w:rsid w:val="00623268"/>
    <w:rsid w:val="00623425"/>
    <w:rsid w:val="0062384C"/>
    <w:rsid w:val="006238E9"/>
    <w:rsid w:val="00626804"/>
    <w:rsid w:val="00626E38"/>
    <w:rsid w:val="006271FC"/>
    <w:rsid w:val="00630662"/>
    <w:rsid w:val="0063380D"/>
    <w:rsid w:val="00633E57"/>
    <w:rsid w:val="00634527"/>
    <w:rsid w:val="00634821"/>
    <w:rsid w:val="0063517C"/>
    <w:rsid w:val="006358D6"/>
    <w:rsid w:val="00635C4C"/>
    <w:rsid w:val="0063680E"/>
    <w:rsid w:val="00637080"/>
    <w:rsid w:val="006406D1"/>
    <w:rsid w:val="00642A41"/>
    <w:rsid w:val="006433C5"/>
    <w:rsid w:val="006434C7"/>
    <w:rsid w:val="0064413D"/>
    <w:rsid w:val="00644438"/>
    <w:rsid w:val="00646AD5"/>
    <w:rsid w:val="00646F61"/>
    <w:rsid w:val="0064736E"/>
    <w:rsid w:val="00647852"/>
    <w:rsid w:val="0065077B"/>
    <w:rsid w:val="00651524"/>
    <w:rsid w:val="0065257A"/>
    <w:rsid w:val="00652FFB"/>
    <w:rsid w:val="006530D0"/>
    <w:rsid w:val="0065439D"/>
    <w:rsid w:val="006562FD"/>
    <w:rsid w:val="006565E2"/>
    <w:rsid w:val="00656B1A"/>
    <w:rsid w:val="00657358"/>
    <w:rsid w:val="00657C43"/>
    <w:rsid w:val="00660521"/>
    <w:rsid w:val="006606AF"/>
    <w:rsid w:val="006611FA"/>
    <w:rsid w:val="00664479"/>
    <w:rsid w:val="0066465F"/>
    <w:rsid w:val="00664A03"/>
    <w:rsid w:val="00664EF2"/>
    <w:rsid w:val="006667A5"/>
    <w:rsid w:val="00667749"/>
    <w:rsid w:val="00670323"/>
    <w:rsid w:val="0067037D"/>
    <w:rsid w:val="006708A8"/>
    <w:rsid w:val="00670F1D"/>
    <w:rsid w:val="00673CA1"/>
    <w:rsid w:val="006745AF"/>
    <w:rsid w:val="00680218"/>
    <w:rsid w:val="0068032F"/>
    <w:rsid w:val="00680BF7"/>
    <w:rsid w:val="00680D94"/>
    <w:rsid w:val="00681B8D"/>
    <w:rsid w:val="0068238F"/>
    <w:rsid w:val="00682F30"/>
    <w:rsid w:val="006851AD"/>
    <w:rsid w:val="00685C14"/>
    <w:rsid w:val="00685E98"/>
    <w:rsid w:val="00686137"/>
    <w:rsid w:val="00690475"/>
    <w:rsid w:val="00690516"/>
    <w:rsid w:val="00690E28"/>
    <w:rsid w:val="00691969"/>
    <w:rsid w:val="00692F2B"/>
    <w:rsid w:val="006939B5"/>
    <w:rsid w:val="00693A84"/>
    <w:rsid w:val="006949DE"/>
    <w:rsid w:val="00694F3E"/>
    <w:rsid w:val="00695566"/>
    <w:rsid w:val="006955BC"/>
    <w:rsid w:val="00695DC4"/>
    <w:rsid w:val="006968AD"/>
    <w:rsid w:val="00697007"/>
    <w:rsid w:val="006A01B1"/>
    <w:rsid w:val="006A09F2"/>
    <w:rsid w:val="006A1363"/>
    <w:rsid w:val="006A1A94"/>
    <w:rsid w:val="006A3299"/>
    <w:rsid w:val="006A35DD"/>
    <w:rsid w:val="006A439C"/>
    <w:rsid w:val="006A6A60"/>
    <w:rsid w:val="006A74D4"/>
    <w:rsid w:val="006A7FB8"/>
    <w:rsid w:val="006B235E"/>
    <w:rsid w:val="006B3B4B"/>
    <w:rsid w:val="006B3E15"/>
    <w:rsid w:val="006B5F7D"/>
    <w:rsid w:val="006B6365"/>
    <w:rsid w:val="006B645F"/>
    <w:rsid w:val="006B6C81"/>
    <w:rsid w:val="006B6D9A"/>
    <w:rsid w:val="006B76E4"/>
    <w:rsid w:val="006C0393"/>
    <w:rsid w:val="006C060C"/>
    <w:rsid w:val="006C07F7"/>
    <w:rsid w:val="006C15D9"/>
    <w:rsid w:val="006C20AB"/>
    <w:rsid w:val="006C22DF"/>
    <w:rsid w:val="006C29F4"/>
    <w:rsid w:val="006C2AEF"/>
    <w:rsid w:val="006C34C0"/>
    <w:rsid w:val="006C4C23"/>
    <w:rsid w:val="006C59D6"/>
    <w:rsid w:val="006C5E99"/>
    <w:rsid w:val="006C5F25"/>
    <w:rsid w:val="006D0293"/>
    <w:rsid w:val="006D1531"/>
    <w:rsid w:val="006D1D2B"/>
    <w:rsid w:val="006D2F6E"/>
    <w:rsid w:val="006D51A6"/>
    <w:rsid w:val="006D563D"/>
    <w:rsid w:val="006D6F50"/>
    <w:rsid w:val="006E04A6"/>
    <w:rsid w:val="006E0BE7"/>
    <w:rsid w:val="006E0EA2"/>
    <w:rsid w:val="006E1516"/>
    <w:rsid w:val="006E26CB"/>
    <w:rsid w:val="006E2D28"/>
    <w:rsid w:val="006E2EDC"/>
    <w:rsid w:val="006E3587"/>
    <w:rsid w:val="006E3A2F"/>
    <w:rsid w:val="006E51A7"/>
    <w:rsid w:val="006E7D5A"/>
    <w:rsid w:val="006F0524"/>
    <w:rsid w:val="006F2809"/>
    <w:rsid w:val="006F2CCB"/>
    <w:rsid w:val="006F2F8E"/>
    <w:rsid w:val="006F3433"/>
    <w:rsid w:val="006F3435"/>
    <w:rsid w:val="006F3C61"/>
    <w:rsid w:val="006F49B1"/>
    <w:rsid w:val="006F72DE"/>
    <w:rsid w:val="006F7A5C"/>
    <w:rsid w:val="006F7BD2"/>
    <w:rsid w:val="00701B01"/>
    <w:rsid w:val="00704CDA"/>
    <w:rsid w:val="007054F3"/>
    <w:rsid w:val="007062E1"/>
    <w:rsid w:val="007065B0"/>
    <w:rsid w:val="0070686F"/>
    <w:rsid w:val="007070B9"/>
    <w:rsid w:val="0071093B"/>
    <w:rsid w:val="00711277"/>
    <w:rsid w:val="00711624"/>
    <w:rsid w:val="0071255E"/>
    <w:rsid w:val="00712646"/>
    <w:rsid w:val="0071318C"/>
    <w:rsid w:val="00714080"/>
    <w:rsid w:val="007153D8"/>
    <w:rsid w:val="00715937"/>
    <w:rsid w:val="00715C16"/>
    <w:rsid w:val="00715E7A"/>
    <w:rsid w:val="007164F9"/>
    <w:rsid w:val="00717723"/>
    <w:rsid w:val="00720851"/>
    <w:rsid w:val="0072169F"/>
    <w:rsid w:val="0072335A"/>
    <w:rsid w:val="0072400F"/>
    <w:rsid w:val="00724A5B"/>
    <w:rsid w:val="00725C33"/>
    <w:rsid w:val="00726A32"/>
    <w:rsid w:val="007272BC"/>
    <w:rsid w:val="0073018C"/>
    <w:rsid w:val="00730ED4"/>
    <w:rsid w:val="00732169"/>
    <w:rsid w:val="007323DB"/>
    <w:rsid w:val="00732E1C"/>
    <w:rsid w:val="00733847"/>
    <w:rsid w:val="00733914"/>
    <w:rsid w:val="00734794"/>
    <w:rsid w:val="007358A4"/>
    <w:rsid w:val="00735D50"/>
    <w:rsid w:val="00735F22"/>
    <w:rsid w:val="0073631A"/>
    <w:rsid w:val="007369BB"/>
    <w:rsid w:val="00737C74"/>
    <w:rsid w:val="00737EC0"/>
    <w:rsid w:val="007429FE"/>
    <w:rsid w:val="0074397C"/>
    <w:rsid w:val="00743B25"/>
    <w:rsid w:val="00743BB9"/>
    <w:rsid w:val="007446AF"/>
    <w:rsid w:val="00744966"/>
    <w:rsid w:val="00744D7B"/>
    <w:rsid w:val="00745CC8"/>
    <w:rsid w:val="00745E50"/>
    <w:rsid w:val="00746E77"/>
    <w:rsid w:val="00746EB7"/>
    <w:rsid w:val="007470FA"/>
    <w:rsid w:val="0074727A"/>
    <w:rsid w:val="0074753B"/>
    <w:rsid w:val="007475A3"/>
    <w:rsid w:val="00747759"/>
    <w:rsid w:val="0075093A"/>
    <w:rsid w:val="00750CD0"/>
    <w:rsid w:val="00752623"/>
    <w:rsid w:val="00753015"/>
    <w:rsid w:val="00753928"/>
    <w:rsid w:val="00753D40"/>
    <w:rsid w:val="00754BBF"/>
    <w:rsid w:val="0075542A"/>
    <w:rsid w:val="0076065A"/>
    <w:rsid w:val="007608D2"/>
    <w:rsid w:val="0076139D"/>
    <w:rsid w:val="00762098"/>
    <w:rsid w:val="007627BC"/>
    <w:rsid w:val="00763504"/>
    <w:rsid w:val="0076444A"/>
    <w:rsid w:val="00764C56"/>
    <w:rsid w:val="007664A6"/>
    <w:rsid w:val="00766F69"/>
    <w:rsid w:val="00767248"/>
    <w:rsid w:val="00767C8A"/>
    <w:rsid w:val="00770736"/>
    <w:rsid w:val="00770903"/>
    <w:rsid w:val="00771EAB"/>
    <w:rsid w:val="007720F1"/>
    <w:rsid w:val="00773DB0"/>
    <w:rsid w:val="00774BF8"/>
    <w:rsid w:val="0077622A"/>
    <w:rsid w:val="007765AA"/>
    <w:rsid w:val="0077697B"/>
    <w:rsid w:val="00776BC9"/>
    <w:rsid w:val="00777ECA"/>
    <w:rsid w:val="007803B5"/>
    <w:rsid w:val="00781AC6"/>
    <w:rsid w:val="00781CC3"/>
    <w:rsid w:val="0078513B"/>
    <w:rsid w:val="007854EB"/>
    <w:rsid w:val="00785646"/>
    <w:rsid w:val="00786C77"/>
    <w:rsid w:val="00787DDF"/>
    <w:rsid w:val="007904EE"/>
    <w:rsid w:val="00790F82"/>
    <w:rsid w:val="007921D8"/>
    <w:rsid w:val="007929E7"/>
    <w:rsid w:val="007931FB"/>
    <w:rsid w:val="00793EF9"/>
    <w:rsid w:val="0079470A"/>
    <w:rsid w:val="00794BFB"/>
    <w:rsid w:val="007950D5"/>
    <w:rsid w:val="00797C73"/>
    <w:rsid w:val="00797DE5"/>
    <w:rsid w:val="007A0207"/>
    <w:rsid w:val="007A06C3"/>
    <w:rsid w:val="007A1CD8"/>
    <w:rsid w:val="007A273C"/>
    <w:rsid w:val="007A29EF"/>
    <w:rsid w:val="007A3E93"/>
    <w:rsid w:val="007A42DA"/>
    <w:rsid w:val="007A4B5A"/>
    <w:rsid w:val="007A6791"/>
    <w:rsid w:val="007A681E"/>
    <w:rsid w:val="007A7DCE"/>
    <w:rsid w:val="007B0175"/>
    <w:rsid w:val="007B0A9B"/>
    <w:rsid w:val="007B251D"/>
    <w:rsid w:val="007B344F"/>
    <w:rsid w:val="007B3CF0"/>
    <w:rsid w:val="007B3D06"/>
    <w:rsid w:val="007B40B3"/>
    <w:rsid w:val="007B45ED"/>
    <w:rsid w:val="007B5030"/>
    <w:rsid w:val="007B5627"/>
    <w:rsid w:val="007B6141"/>
    <w:rsid w:val="007B683A"/>
    <w:rsid w:val="007B6CFF"/>
    <w:rsid w:val="007B6DBD"/>
    <w:rsid w:val="007B7972"/>
    <w:rsid w:val="007C07E1"/>
    <w:rsid w:val="007C0A40"/>
    <w:rsid w:val="007C0AD3"/>
    <w:rsid w:val="007C2BC5"/>
    <w:rsid w:val="007C46F3"/>
    <w:rsid w:val="007C4766"/>
    <w:rsid w:val="007C570B"/>
    <w:rsid w:val="007C5AA2"/>
    <w:rsid w:val="007C6812"/>
    <w:rsid w:val="007C719A"/>
    <w:rsid w:val="007C71D0"/>
    <w:rsid w:val="007D3209"/>
    <w:rsid w:val="007D331B"/>
    <w:rsid w:val="007D4B28"/>
    <w:rsid w:val="007D5453"/>
    <w:rsid w:val="007D546F"/>
    <w:rsid w:val="007D5DB0"/>
    <w:rsid w:val="007D6795"/>
    <w:rsid w:val="007D702D"/>
    <w:rsid w:val="007D7182"/>
    <w:rsid w:val="007E0582"/>
    <w:rsid w:val="007E0EFA"/>
    <w:rsid w:val="007E16CA"/>
    <w:rsid w:val="007E20FA"/>
    <w:rsid w:val="007E2731"/>
    <w:rsid w:val="007E3B27"/>
    <w:rsid w:val="007E4A58"/>
    <w:rsid w:val="007E4BAF"/>
    <w:rsid w:val="007E4FFD"/>
    <w:rsid w:val="007E57EB"/>
    <w:rsid w:val="007F09E9"/>
    <w:rsid w:val="007F0CD6"/>
    <w:rsid w:val="007F0E6B"/>
    <w:rsid w:val="007F1FA3"/>
    <w:rsid w:val="007F2D96"/>
    <w:rsid w:val="007F3493"/>
    <w:rsid w:val="007F3E74"/>
    <w:rsid w:val="007F56A8"/>
    <w:rsid w:val="007F5EF3"/>
    <w:rsid w:val="007F6223"/>
    <w:rsid w:val="007F637A"/>
    <w:rsid w:val="007F6716"/>
    <w:rsid w:val="007F7178"/>
    <w:rsid w:val="007F7FD6"/>
    <w:rsid w:val="00800D60"/>
    <w:rsid w:val="00804B13"/>
    <w:rsid w:val="00806725"/>
    <w:rsid w:val="00810644"/>
    <w:rsid w:val="008108AA"/>
    <w:rsid w:val="008118DC"/>
    <w:rsid w:val="0081221F"/>
    <w:rsid w:val="00814B64"/>
    <w:rsid w:val="008152A5"/>
    <w:rsid w:val="00815FBB"/>
    <w:rsid w:val="00815FD7"/>
    <w:rsid w:val="00823CDA"/>
    <w:rsid w:val="008241FC"/>
    <w:rsid w:val="008244FA"/>
    <w:rsid w:val="00824C2B"/>
    <w:rsid w:val="008259CF"/>
    <w:rsid w:val="00826316"/>
    <w:rsid w:val="00826454"/>
    <w:rsid w:val="00826CA7"/>
    <w:rsid w:val="00827ED5"/>
    <w:rsid w:val="00831E80"/>
    <w:rsid w:val="00832400"/>
    <w:rsid w:val="00832C0E"/>
    <w:rsid w:val="00833124"/>
    <w:rsid w:val="00844613"/>
    <w:rsid w:val="008447AD"/>
    <w:rsid w:val="00844C69"/>
    <w:rsid w:val="008476D9"/>
    <w:rsid w:val="00850803"/>
    <w:rsid w:val="00850960"/>
    <w:rsid w:val="008513BC"/>
    <w:rsid w:val="00851C40"/>
    <w:rsid w:val="00851DF9"/>
    <w:rsid w:val="00852DCD"/>
    <w:rsid w:val="008534B2"/>
    <w:rsid w:val="0085431F"/>
    <w:rsid w:val="00854439"/>
    <w:rsid w:val="008544FB"/>
    <w:rsid w:val="00854A48"/>
    <w:rsid w:val="00855A23"/>
    <w:rsid w:val="0085701F"/>
    <w:rsid w:val="0086259E"/>
    <w:rsid w:val="00862C7B"/>
    <w:rsid w:val="00863E4F"/>
    <w:rsid w:val="008646FA"/>
    <w:rsid w:val="00864C63"/>
    <w:rsid w:val="00866029"/>
    <w:rsid w:val="00866113"/>
    <w:rsid w:val="0086641E"/>
    <w:rsid w:val="008710C0"/>
    <w:rsid w:val="00871B3C"/>
    <w:rsid w:val="00874404"/>
    <w:rsid w:val="00874E64"/>
    <w:rsid w:val="00875B77"/>
    <w:rsid w:val="00875D41"/>
    <w:rsid w:val="00880AE7"/>
    <w:rsid w:val="008816BF"/>
    <w:rsid w:val="00881CF3"/>
    <w:rsid w:val="00883715"/>
    <w:rsid w:val="00883BE7"/>
    <w:rsid w:val="00883C8C"/>
    <w:rsid w:val="00883F1C"/>
    <w:rsid w:val="00884046"/>
    <w:rsid w:val="00884941"/>
    <w:rsid w:val="00886B71"/>
    <w:rsid w:val="00890431"/>
    <w:rsid w:val="008925C3"/>
    <w:rsid w:val="00892AB6"/>
    <w:rsid w:val="00894A0E"/>
    <w:rsid w:val="00894EF2"/>
    <w:rsid w:val="00895092"/>
    <w:rsid w:val="00895DC5"/>
    <w:rsid w:val="00895E01"/>
    <w:rsid w:val="00896489"/>
    <w:rsid w:val="00896550"/>
    <w:rsid w:val="00896E27"/>
    <w:rsid w:val="00897085"/>
    <w:rsid w:val="008A0E57"/>
    <w:rsid w:val="008A1744"/>
    <w:rsid w:val="008A263D"/>
    <w:rsid w:val="008A3CAC"/>
    <w:rsid w:val="008A7128"/>
    <w:rsid w:val="008A77F8"/>
    <w:rsid w:val="008B0610"/>
    <w:rsid w:val="008B112D"/>
    <w:rsid w:val="008B15FE"/>
    <w:rsid w:val="008B19E9"/>
    <w:rsid w:val="008B1FED"/>
    <w:rsid w:val="008B2A2B"/>
    <w:rsid w:val="008B3673"/>
    <w:rsid w:val="008B4033"/>
    <w:rsid w:val="008B6073"/>
    <w:rsid w:val="008B6196"/>
    <w:rsid w:val="008B64E0"/>
    <w:rsid w:val="008B7796"/>
    <w:rsid w:val="008B7BBA"/>
    <w:rsid w:val="008C0A8F"/>
    <w:rsid w:val="008C0AF9"/>
    <w:rsid w:val="008C39BE"/>
    <w:rsid w:val="008C3BBC"/>
    <w:rsid w:val="008C4511"/>
    <w:rsid w:val="008C5B99"/>
    <w:rsid w:val="008C6D03"/>
    <w:rsid w:val="008C6D13"/>
    <w:rsid w:val="008D0054"/>
    <w:rsid w:val="008D0CDA"/>
    <w:rsid w:val="008D0FDB"/>
    <w:rsid w:val="008D14C3"/>
    <w:rsid w:val="008D3318"/>
    <w:rsid w:val="008D3340"/>
    <w:rsid w:val="008D3396"/>
    <w:rsid w:val="008D3E5A"/>
    <w:rsid w:val="008D46D4"/>
    <w:rsid w:val="008D6493"/>
    <w:rsid w:val="008D6D0F"/>
    <w:rsid w:val="008D6E75"/>
    <w:rsid w:val="008D7998"/>
    <w:rsid w:val="008D7F38"/>
    <w:rsid w:val="008E0185"/>
    <w:rsid w:val="008E16D6"/>
    <w:rsid w:val="008E16D7"/>
    <w:rsid w:val="008E2627"/>
    <w:rsid w:val="008E46EF"/>
    <w:rsid w:val="008E66B7"/>
    <w:rsid w:val="008F068B"/>
    <w:rsid w:val="008F1464"/>
    <w:rsid w:val="008F19F2"/>
    <w:rsid w:val="008F21CC"/>
    <w:rsid w:val="008F2E3F"/>
    <w:rsid w:val="008F32AE"/>
    <w:rsid w:val="008F4FE2"/>
    <w:rsid w:val="008F65D7"/>
    <w:rsid w:val="008F6831"/>
    <w:rsid w:val="008F6B9C"/>
    <w:rsid w:val="008F6BFC"/>
    <w:rsid w:val="008F6FF4"/>
    <w:rsid w:val="00900CBE"/>
    <w:rsid w:val="00901110"/>
    <w:rsid w:val="009022EC"/>
    <w:rsid w:val="0090285F"/>
    <w:rsid w:val="009028A2"/>
    <w:rsid w:val="00902E1C"/>
    <w:rsid w:val="00903163"/>
    <w:rsid w:val="00903518"/>
    <w:rsid w:val="00903660"/>
    <w:rsid w:val="0090660F"/>
    <w:rsid w:val="00907899"/>
    <w:rsid w:val="00907949"/>
    <w:rsid w:val="0091075B"/>
    <w:rsid w:val="0091091B"/>
    <w:rsid w:val="00910C2E"/>
    <w:rsid w:val="00911265"/>
    <w:rsid w:val="009118FB"/>
    <w:rsid w:val="00914CF7"/>
    <w:rsid w:val="0092031A"/>
    <w:rsid w:val="009223B8"/>
    <w:rsid w:val="00923B2F"/>
    <w:rsid w:val="00923C02"/>
    <w:rsid w:val="009243D3"/>
    <w:rsid w:val="009247CA"/>
    <w:rsid w:val="009252DF"/>
    <w:rsid w:val="0092636F"/>
    <w:rsid w:val="009277CD"/>
    <w:rsid w:val="00927EFB"/>
    <w:rsid w:val="009310C2"/>
    <w:rsid w:val="00931230"/>
    <w:rsid w:val="0093171C"/>
    <w:rsid w:val="0093225B"/>
    <w:rsid w:val="00933095"/>
    <w:rsid w:val="0093311C"/>
    <w:rsid w:val="00933213"/>
    <w:rsid w:val="00933C8B"/>
    <w:rsid w:val="00934D9E"/>
    <w:rsid w:val="009359AF"/>
    <w:rsid w:val="00936F30"/>
    <w:rsid w:val="009373E0"/>
    <w:rsid w:val="00937BF2"/>
    <w:rsid w:val="00937D2B"/>
    <w:rsid w:val="009416BA"/>
    <w:rsid w:val="00941840"/>
    <w:rsid w:val="0094199B"/>
    <w:rsid w:val="0094212C"/>
    <w:rsid w:val="00942882"/>
    <w:rsid w:val="00942E0F"/>
    <w:rsid w:val="00943219"/>
    <w:rsid w:val="009443D0"/>
    <w:rsid w:val="00946D84"/>
    <w:rsid w:val="00951327"/>
    <w:rsid w:val="009526DA"/>
    <w:rsid w:val="00952D0D"/>
    <w:rsid w:val="00953367"/>
    <w:rsid w:val="009540B1"/>
    <w:rsid w:val="00956A1F"/>
    <w:rsid w:val="00957375"/>
    <w:rsid w:val="00957836"/>
    <w:rsid w:val="009602C5"/>
    <w:rsid w:val="00960511"/>
    <w:rsid w:val="00960A52"/>
    <w:rsid w:val="00961438"/>
    <w:rsid w:val="009617AC"/>
    <w:rsid w:val="009622AD"/>
    <w:rsid w:val="00962A4C"/>
    <w:rsid w:val="00962A63"/>
    <w:rsid w:val="00962BFD"/>
    <w:rsid w:val="00962D44"/>
    <w:rsid w:val="0096303C"/>
    <w:rsid w:val="009632B4"/>
    <w:rsid w:val="00963AD2"/>
    <w:rsid w:val="00963BEB"/>
    <w:rsid w:val="00965BFE"/>
    <w:rsid w:val="0096600B"/>
    <w:rsid w:val="00966A7B"/>
    <w:rsid w:val="0096758A"/>
    <w:rsid w:val="0097036C"/>
    <w:rsid w:val="009709B9"/>
    <w:rsid w:val="00970CDA"/>
    <w:rsid w:val="009725BF"/>
    <w:rsid w:val="00973118"/>
    <w:rsid w:val="00973D73"/>
    <w:rsid w:val="009741A7"/>
    <w:rsid w:val="00974CB7"/>
    <w:rsid w:val="00975AEA"/>
    <w:rsid w:val="0097608E"/>
    <w:rsid w:val="009762BD"/>
    <w:rsid w:val="00976675"/>
    <w:rsid w:val="009772D1"/>
    <w:rsid w:val="009775E1"/>
    <w:rsid w:val="009803BE"/>
    <w:rsid w:val="009808C2"/>
    <w:rsid w:val="009822C4"/>
    <w:rsid w:val="009828BF"/>
    <w:rsid w:val="00983088"/>
    <w:rsid w:val="009830D3"/>
    <w:rsid w:val="00983785"/>
    <w:rsid w:val="00984E90"/>
    <w:rsid w:val="009857D9"/>
    <w:rsid w:val="00985D7E"/>
    <w:rsid w:val="00985DCB"/>
    <w:rsid w:val="00986F7D"/>
    <w:rsid w:val="00987548"/>
    <w:rsid w:val="00987EFC"/>
    <w:rsid w:val="00990002"/>
    <w:rsid w:val="0099030D"/>
    <w:rsid w:val="009905C4"/>
    <w:rsid w:val="0099136C"/>
    <w:rsid w:val="00992EAE"/>
    <w:rsid w:val="009958A7"/>
    <w:rsid w:val="009972CB"/>
    <w:rsid w:val="00997BA8"/>
    <w:rsid w:val="009A1AED"/>
    <w:rsid w:val="009A2148"/>
    <w:rsid w:val="009A2ABE"/>
    <w:rsid w:val="009A389D"/>
    <w:rsid w:val="009A3A90"/>
    <w:rsid w:val="009A471F"/>
    <w:rsid w:val="009A4DEE"/>
    <w:rsid w:val="009A6D02"/>
    <w:rsid w:val="009B0A05"/>
    <w:rsid w:val="009B1637"/>
    <w:rsid w:val="009B2066"/>
    <w:rsid w:val="009B33AB"/>
    <w:rsid w:val="009B3E2F"/>
    <w:rsid w:val="009B5CFE"/>
    <w:rsid w:val="009B5FF5"/>
    <w:rsid w:val="009B72E7"/>
    <w:rsid w:val="009C0E1B"/>
    <w:rsid w:val="009C11F0"/>
    <w:rsid w:val="009C21A9"/>
    <w:rsid w:val="009C3ED4"/>
    <w:rsid w:val="009C4A05"/>
    <w:rsid w:val="009C4DD3"/>
    <w:rsid w:val="009C592F"/>
    <w:rsid w:val="009C6661"/>
    <w:rsid w:val="009D116C"/>
    <w:rsid w:val="009D1418"/>
    <w:rsid w:val="009D17D7"/>
    <w:rsid w:val="009D18D4"/>
    <w:rsid w:val="009D3A6E"/>
    <w:rsid w:val="009E0B6F"/>
    <w:rsid w:val="009E172E"/>
    <w:rsid w:val="009E1C4B"/>
    <w:rsid w:val="009E23F7"/>
    <w:rsid w:val="009E250C"/>
    <w:rsid w:val="009E25DB"/>
    <w:rsid w:val="009E3050"/>
    <w:rsid w:val="009E31BB"/>
    <w:rsid w:val="009E4386"/>
    <w:rsid w:val="009E48EC"/>
    <w:rsid w:val="009E5CDF"/>
    <w:rsid w:val="009E6803"/>
    <w:rsid w:val="009E694D"/>
    <w:rsid w:val="009F0853"/>
    <w:rsid w:val="009F23B8"/>
    <w:rsid w:val="009F33F1"/>
    <w:rsid w:val="009F4407"/>
    <w:rsid w:val="009F690B"/>
    <w:rsid w:val="009F697E"/>
    <w:rsid w:val="009F6B78"/>
    <w:rsid w:val="00A02DD7"/>
    <w:rsid w:val="00A04917"/>
    <w:rsid w:val="00A05084"/>
    <w:rsid w:val="00A06701"/>
    <w:rsid w:val="00A06C66"/>
    <w:rsid w:val="00A074D9"/>
    <w:rsid w:val="00A07965"/>
    <w:rsid w:val="00A07DF3"/>
    <w:rsid w:val="00A1286B"/>
    <w:rsid w:val="00A12C4D"/>
    <w:rsid w:val="00A218C9"/>
    <w:rsid w:val="00A21EDC"/>
    <w:rsid w:val="00A23428"/>
    <w:rsid w:val="00A236B7"/>
    <w:rsid w:val="00A243E4"/>
    <w:rsid w:val="00A24928"/>
    <w:rsid w:val="00A2507C"/>
    <w:rsid w:val="00A25187"/>
    <w:rsid w:val="00A26D07"/>
    <w:rsid w:val="00A26E7B"/>
    <w:rsid w:val="00A277D3"/>
    <w:rsid w:val="00A31CC9"/>
    <w:rsid w:val="00A343FE"/>
    <w:rsid w:val="00A34B90"/>
    <w:rsid w:val="00A36A2E"/>
    <w:rsid w:val="00A430A8"/>
    <w:rsid w:val="00A43E9A"/>
    <w:rsid w:val="00A459E0"/>
    <w:rsid w:val="00A463B7"/>
    <w:rsid w:val="00A46EDA"/>
    <w:rsid w:val="00A47D8E"/>
    <w:rsid w:val="00A505AC"/>
    <w:rsid w:val="00A521B1"/>
    <w:rsid w:val="00A522A2"/>
    <w:rsid w:val="00A52C2A"/>
    <w:rsid w:val="00A53784"/>
    <w:rsid w:val="00A55654"/>
    <w:rsid w:val="00A55FFE"/>
    <w:rsid w:val="00A572AC"/>
    <w:rsid w:val="00A57787"/>
    <w:rsid w:val="00A60583"/>
    <w:rsid w:val="00A61B46"/>
    <w:rsid w:val="00A629A9"/>
    <w:rsid w:val="00A62B2E"/>
    <w:rsid w:val="00A66E62"/>
    <w:rsid w:val="00A701C8"/>
    <w:rsid w:val="00A71321"/>
    <w:rsid w:val="00A730F0"/>
    <w:rsid w:val="00A7355C"/>
    <w:rsid w:val="00A737FF"/>
    <w:rsid w:val="00A74410"/>
    <w:rsid w:val="00A7624F"/>
    <w:rsid w:val="00A76F90"/>
    <w:rsid w:val="00A8023F"/>
    <w:rsid w:val="00A808C4"/>
    <w:rsid w:val="00A80A94"/>
    <w:rsid w:val="00A80C29"/>
    <w:rsid w:val="00A80C3E"/>
    <w:rsid w:val="00A8282F"/>
    <w:rsid w:val="00A82AFD"/>
    <w:rsid w:val="00A83755"/>
    <w:rsid w:val="00A83E6D"/>
    <w:rsid w:val="00A83E6F"/>
    <w:rsid w:val="00A840E5"/>
    <w:rsid w:val="00A85E2A"/>
    <w:rsid w:val="00A8779D"/>
    <w:rsid w:val="00A902E7"/>
    <w:rsid w:val="00A90F20"/>
    <w:rsid w:val="00A91332"/>
    <w:rsid w:val="00A92E93"/>
    <w:rsid w:val="00A9328C"/>
    <w:rsid w:val="00A9388F"/>
    <w:rsid w:val="00A941D2"/>
    <w:rsid w:val="00A950CD"/>
    <w:rsid w:val="00A963D8"/>
    <w:rsid w:val="00A96548"/>
    <w:rsid w:val="00A9757A"/>
    <w:rsid w:val="00AA28E8"/>
    <w:rsid w:val="00AA2D50"/>
    <w:rsid w:val="00AA3791"/>
    <w:rsid w:val="00AA436F"/>
    <w:rsid w:val="00AA4682"/>
    <w:rsid w:val="00AA50D2"/>
    <w:rsid w:val="00AA5BAF"/>
    <w:rsid w:val="00AA61A3"/>
    <w:rsid w:val="00AA626C"/>
    <w:rsid w:val="00AA6757"/>
    <w:rsid w:val="00AA68AE"/>
    <w:rsid w:val="00AA6BCE"/>
    <w:rsid w:val="00AA6BEB"/>
    <w:rsid w:val="00AA6DAF"/>
    <w:rsid w:val="00AA7171"/>
    <w:rsid w:val="00AA7818"/>
    <w:rsid w:val="00AB0AE3"/>
    <w:rsid w:val="00AB1259"/>
    <w:rsid w:val="00AB1AD3"/>
    <w:rsid w:val="00AB1C60"/>
    <w:rsid w:val="00AB2497"/>
    <w:rsid w:val="00AB2D52"/>
    <w:rsid w:val="00AB340A"/>
    <w:rsid w:val="00AB52FB"/>
    <w:rsid w:val="00AB6B37"/>
    <w:rsid w:val="00AB6E5A"/>
    <w:rsid w:val="00AB7A69"/>
    <w:rsid w:val="00AC013F"/>
    <w:rsid w:val="00AC0700"/>
    <w:rsid w:val="00AC1700"/>
    <w:rsid w:val="00AC2CC0"/>
    <w:rsid w:val="00AC2F32"/>
    <w:rsid w:val="00AC34AB"/>
    <w:rsid w:val="00AC4562"/>
    <w:rsid w:val="00AC4A0B"/>
    <w:rsid w:val="00AD06C5"/>
    <w:rsid w:val="00AD09FA"/>
    <w:rsid w:val="00AD0A06"/>
    <w:rsid w:val="00AD145F"/>
    <w:rsid w:val="00AD19FF"/>
    <w:rsid w:val="00AD20DE"/>
    <w:rsid w:val="00AD2317"/>
    <w:rsid w:val="00AD5BCD"/>
    <w:rsid w:val="00AD7C9A"/>
    <w:rsid w:val="00AD7F36"/>
    <w:rsid w:val="00AE0C3B"/>
    <w:rsid w:val="00AE3526"/>
    <w:rsid w:val="00AE3DF0"/>
    <w:rsid w:val="00AE4065"/>
    <w:rsid w:val="00AE475D"/>
    <w:rsid w:val="00AE622F"/>
    <w:rsid w:val="00AE6B26"/>
    <w:rsid w:val="00AE6DE0"/>
    <w:rsid w:val="00AE7E64"/>
    <w:rsid w:val="00AF0ADF"/>
    <w:rsid w:val="00AF24F8"/>
    <w:rsid w:val="00AF2626"/>
    <w:rsid w:val="00AF2A8C"/>
    <w:rsid w:val="00AF3B10"/>
    <w:rsid w:val="00AF4686"/>
    <w:rsid w:val="00AF5323"/>
    <w:rsid w:val="00AF53CC"/>
    <w:rsid w:val="00AF6338"/>
    <w:rsid w:val="00AF6C66"/>
    <w:rsid w:val="00AF7296"/>
    <w:rsid w:val="00B013B7"/>
    <w:rsid w:val="00B032B8"/>
    <w:rsid w:val="00B03DC5"/>
    <w:rsid w:val="00B045E5"/>
    <w:rsid w:val="00B047B9"/>
    <w:rsid w:val="00B049AE"/>
    <w:rsid w:val="00B05434"/>
    <w:rsid w:val="00B07A0D"/>
    <w:rsid w:val="00B07A6B"/>
    <w:rsid w:val="00B10C1C"/>
    <w:rsid w:val="00B116E2"/>
    <w:rsid w:val="00B14200"/>
    <w:rsid w:val="00B144E7"/>
    <w:rsid w:val="00B14DDB"/>
    <w:rsid w:val="00B153EE"/>
    <w:rsid w:val="00B16A35"/>
    <w:rsid w:val="00B1732A"/>
    <w:rsid w:val="00B2208A"/>
    <w:rsid w:val="00B22379"/>
    <w:rsid w:val="00B22506"/>
    <w:rsid w:val="00B22797"/>
    <w:rsid w:val="00B25945"/>
    <w:rsid w:val="00B25C5B"/>
    <w:rsid w:val="00B2697E"/>
    <w:rsid w:val="00B27AD2"/>
    <w:rsid w:val="00B3027F"/>
    <w:rsid w:val="00B30E7C"/>
    <w:rsid w:val="00B3154F"/>
    <w:rsid w:val="00B326C2"/>
    <w:rsid w:val="00B332E3"/>
    <w:rsid w:val="00B334C6"/>
    <w:rsid w:val="00B33900"/>
    <w:rsid w:val="00B33DA1"/>
    <w:rsid w:val="00B355B3"/>
    <w:rsid w:val="00B35BED"/>
    <w:rsid w:val="00B361A1"/>
    <w:rsid w:val="00B3671D"/>
    <w:rsid w:val="00B378D7"/>
    <w:rsid w:val="00B3791F"/>
    <w:rsid w:val="00B37957"/>
    <w:rsid w:val="00B40F4D"/>
    <w:rsid w:val="00B416E5"/>
    <w:rsid w:val="00B41C3D"/>
    <w:rsid w:val="00B433D3"/>
    <w:rsid w:val="00B53654"/>
    <w:rsid w:val="00B53992"/>
    <w:rsid w:val="00B54072"/>
    <w:rsid w:val="00B54725"/>
    <w:rsid w:val="00B54B0D"/>
    <w:rsid w:val="00B5522A"/>
    <w:rsid w:val="00B55E25"/>
    <w:rsid w:val="00B55E4B"/>
    <w:rsid w:val="00B5607F"/>
    <w:rsid w:val="00B56E46"/>
    <w:rsid w:val="00B57702"/>
    <w:rsid w:val="00B57EB9"/>
    <w:rsid w:val="00B60BD8"/>
    <w:rsid w:val="00B610B6"/>
    <w:rsid w:val="00B61C50"/>
    <w:rsid w:val="00B635BD"/>
    <w:rsid w:val="00B64A51"/>
    <w:rsid w:val="00B65D02"/>
    <w:rsid w:val="00B664E2"/>
    <w:rsid w:val="00B66F31"/>
    <w:rsid w:val="00B67116"/>
    <w:rsid w:val="00B67B5C"/>
    <w:rsid w:val="00B73996"/>
    <w:rsid w:val="00B75E78"/>
    <w:rsid w:val="00B7646E"/>
    <w:rsid w:val="00B767AD"/>
    <w:rsid w:val="00B76917"/>
    <w:rsid w:val="00B77C00"/>
    <w:rsid w:val="00B77E06"/>
    <w:rsid w:val="00B8009D"/>
    <w:rsid w:val="00B80E46"/>
    <w:rsid w:val="00B82916"/>
    <w:rsid w:val="00B87034"/>
    <w:rsid w:val="00B912B1"/>
    <w:rsid w:val="00B91BD3"/>
    <w:rsid w:val="00B9207A"/>
    <w:rsid w:val="00B926EE"/>
    <w:rsid w:val="00B93BAE"/>
    <w:rsid w:val="00B940AA"/>
    <w:rsid w:val="00B94803"/>
    <w:rsid w:val="00B94994"/>
    <w:rsid w:val="00B96F27"/>
    <w:rsid w:val="00BA1347"/>
    <w:rsid w:val="00BA170D"/>
    <w:rsid w:val="00BA2347"/>
    <w:rsid w:val="00BA2A4F"/>
    <w:rsid w:val="00BA3847"/>
    <w:rsid w:val="00BA3BC6"/>
    <w:rsid w:val="00BA48F1"/>
    <w:rsid w:val="00BA4D51"/>
    <w:rsid w:val="00BA4E69"/>
    <w:rsid w:val="00BA691B"/>
    <w:rsid w:val="00BB0180"/>
    <w:rsid w:val="00BB1418"/>
    <w:rsid w:val="00BB2E00"/>
    <w:rsid w:val="00BB325E"/>
    <w:rsid w:val="00BB39DF"/>
    <w:rsid w:val="00BB3FB3"/>
    <w:rsid w:val="00BB5D46"/>
    <w:rsid w:val="00BB5FB3"/>
    <w:rsid w:val="00BB68A0"/>
    <w:rsid w:val="00BB698C"/>
    <w:rsid w:val="00BC0483"/>
    <w:rsid w:val="00BC0CB4"/>
    <w:rsid w:val="00BC1B04"/>
    <w:rsid w:val="00BC56A2"/>
    <w:rsid w:val="00BC62B0"/>
    <w:rsid w:val="00BC7DE5"/>
    <w:rsid w:val="00BD1437"/>
    <w:rsid w:val="00BD18CD"/>
    <w:rsid w:val="00BD28E2"/>
    <w:rsid w:val="00BD2A90"/>
    <w:rsid w:val="00BD40D2"/>
    <w:rsid w:val="00BD5EAE"/>
    <w:rsid w:val="00BD64BA"/>
    <w:rsid w:val="00BE0329"/>
    <w:rsid w:val="00BE0B66"/>
    <w:rsid w:val="00BE11B6"/>
    <w:rsid w:val="00BE1AF3"/>
    <w:rsid w:val="00BE2E0D"/>
    <w:rsid w:val="00BE30D1"/>
    <w:rsid w:val="00BE4BCA"/>
    <w:rsid w:val="00BE4DEE"/>
    <w:rsid w:val="00BE7ED0"/>
    <w:rsid w:val="00BF0113"/>
    <w:rsid w:val="00BF041F"/>
    <w:rsid w:val="00BF1056"/>
    <w:rsid w:val="00BF15E5"/>
    <w:rsid w:val="00BF21C4"/>
    <w:rsid w:val="00BF3EDF"/>
    <w:rsid w:val="00BF4283"/>
    <w:rsid w:val="00BF484E"/>
    <w:rsid w:val="00BF48EA"/>
    <w:rsid w:val="00BF6717"/>
    <w:rsid w:val="00BF6C3B"/>
    <w:rsid w:val="00BF74BA"/>
    <w:rsid w:val="00C01AB2"/>
    <w:rsid w:val="00C01D4E"/>
    <w:rsid w:val="00C049ED"/>
    <w:rsid w:val="00C0576D"/>
    <w:rsid w:val="00C05B13"/>
    <w:rsid w:val="00C05ECF"/>
    <w:rsid w:val="00C067EE"/>
    <w:rsid w:val="00C108D9"/>
    <w:rsid w:val="00C12B06"/>
    <w:rsid w:val="00C12F28"/>
    <w:rsid w:val="00C12F6F"/>
    <w:rsid w:val="00C13D5B"/>
    <w:rsid w:val="00C14968"/>
    <w:rsid w:val="00C14CEF"/>
    <w:rsid w:val="00C166C3"/>
    <w:rsid w:val="00C16BC3"/>
    <w:rsid w:val="00C176FB"/>
    <w:rsid w:val="00C20213"/>
    <w:rsid w:val="00C209AC"/>
    <w:rsid w:val="00C2132E"/>
    <w:rsid w:val="00C22056"/>
    <w:rsid w:val="00C22B55"/>
    <w:rsid w:val="00C22CCA"/>
    <w:rsid w:val="00C24902"/>
    <w:rsid w:val="00C251EE"/>
    <w:rsid w:val="00C257B0"/>
    <w:rsid w:val="00C25B3B"/>
    <w:rsid w:val="00C2620F"/>
    <w:rsid w:val="00C2764F"/>
    <w:rsid w:val="00C27C83"/>
    <w:rsid w:val="00C32284"/>
    <w:rsid w:val="00C335C4"/>
    <w:rsid w:val="00C335EA"/>
    <w:rsid w:val="00C349C1"/>
    <w:rsid w:val="00C34C77"/>
    <w:rsid w:val="00C34F8A"/>
    <w:rsid w:val="00C37AFD"/>
    <w:rsid w:val="00C42BA7"/>
    <w:rsid w:val="00C45E48"/>
    <w:rsid w:val="00C46502"/>
    <w:rsid w:val="00C472EE"/>
    <w:rsid w:val="00C4738A"/>
    <w:rsid w:val="00C50C30"/>
    <w:rsid w:val="00C51326"/>
    <w:rsid w:val="00C51F19"/>
    <w:rsid w:val="00C51F56"/>
    <w:rsid w:val="00C54624"/>
    <w:rsid w:val="00C57040"/>
    <w:rsid w:val="00C57A87"/>
    <w:rsid w:val="00C60AB3"/>
    <w:rsid w:val="00C60C5B"/>
    <w:rsid w:val="00C61168"/>
    <w:rsid w:val="00C6139B"/>
    <w:rsid w:val="00C613AA"/>
    <w:rsid w:val="00C61845"/>
    <w:rsid w:val="00C62778"/>
    <w:rsid w:val="00C62EFD"/>
    <w:rsid w:val="00C62FD3"/>
    <w:rsid w:val="00C62FFC"/>
    <w:rsid w:val="00C63202"/>
    <w:rsid w:val="00C64C4C"/>
    <w:rsid w:val="00C652AA"/>
    <w:rsid w:val="00C65E8A"/>
    <w:rsid w:val="00C6679C"/>
    <w:rsid w:val="00C67549"/>
    <w:rsid w:val="00C70C34"/>
    <w:rsid w:val="00C7118C"/>
    <w:rsid w:val="00C722FE"/>
    <w:rsid w:val="00C72433"/>
    <w:rsid w:val="00C72804"/>
    <w:rsid w:val="00C73C04"/>
    <w:rsid w:val="00C74BEB"/>
    <w:rsid w:val="00C7609D"/>
    <w:rsid w:val="00C76732"/>
    <w:rsid w:val="00C77FD2"/>
    <w:rsid w:val="00C800AE"/>
    <w:rsid w:val="00C80C33"/>
    <w:rsid w:val="00C81A74"/>
    <w:rsid w:val="00C82ED6"/>
    <w:rsid w:val="00C84188"/>
    <w:rsid w:val="00C91C1A"/>
    <w:rsid w:val="00C92250"/>
    <w:rsid w:val="00C928F0"/>
    <w:rsid w:val="00C9318F"/>
    <w:rsid w:val="00C9500A"/>
    <w:rsid w:val="00C95BF2"/>
    <w:rsid w:val="00C95DBE"/>
    <w:rsid w:val="00C96F7A"/>
    <w:rsid w:val="00C97958"/>
    <w:rsid w:val="00CA07A8"/>
    <w:rsid w:val="00CA1D1C"/>
    <w:rsid w:val="00CA2601"/>
    <w:rsid w:val="00CA383A"/>
    <w:rsid w:val="00CA3FAE"/>
    <w:rsid w:val="00CA45F8"/>
    <w:rsid w:val="00CA5307"/>
    <w:rsid w:val="00CA6A1A"/>
    <w:rsid w:val="00CA705E"/>
    <w:rsid w:val="00CA745A"/>
    <w:rsid w:val="00CB0F93"/>
    <w:rsid w:val="00CB31EA"/>
    <w:rsid w:val="00CB4B4A"/>
    <w:rsid w:val="00CB4FFF"/>
    <w:rsid w:val="00CB5ACF"/>
    <w:rsid w:val="00CB6AE3"/>
    <w:rsid w:val="00CB7ADB"/>
    <w:rsid w:val="00CC1109"/>
    <w:rsid w:val="00CC3430"/>
    <w:rsid w:val="00CC58B7"/>
    <w:rsid w:val="00CC5907"/>
    <w:rsid w:val="00CC6056"/>
    <w:rsid w:val="00CC64E3"/>
    <w:rsid w:val="00CC6AF4"/>
    <w:rsid w:val="00CC7811"/>
    <w:rsid w:val="00CD0A28"/>
    <w:rsid w:val="00CD2D05"/>
    <w:rsid w:val="00CD5E1D"/>
    <w:rsid w:val="00CE0DE9"/>
    <w:rsid w:val="00CE295B"/>
    <w:rsid w:val="00CE44E0"/>
    <w:rsid w:val="00CE6204"/>
    <w:rsid w:val="00CE633E"/>
    <w:rsid w:val="00CE7ADF"/>
    <w:rsid w:val="00CF1ABB"/>
    <w:rsid w:val="00CF274D"/>
    <w:rsid w:val="00CF3243"/>
    <w:rsid w:val="00CF354A"/>
    <w:rsid w:val="00CF356D"/>
    <w:rsid w:val="00CF3914"/>
    <w:rsid w:val="00CF415F"/>
    <w:rsid w:val="00CF4426"/>
    <w:rsid w:val="00CF5F12"/>
    <w:rsid w:val="00CF667D"/>
    <w:rsid w:val="00CF6B55"/>
    <w:rsid w:val="00CF72B6"/>
    <w:rsid w:val="00CF7F55"/>
    <w:rsid w:val="00D00793"/>
    <w:rsid w:val="00D009D7"/>
    <w:rsid w:val="00D00E34"/>
    <w:rsid w:val="00D01047"/>
    <w:rsid w:val="00D010A0"/>
    <w:rsid w:val="00D01A8F"/>
    <w:rsid w:val="00D01C68"/>
    <w:rsid w:val="00D01F2C"/>
    <w:rsid w:val="00D020F0"/>
    <w:rsid w:val="00D031D0"/>
    <w:rsid w:val="00D05168"/>
    <w:rsid w:val="00D06331"/>
    <w:rsid w:val="00D072F0"/>
    <w:rsid w:val="00D07753"/>
    <w:rsid w:val="00D077FF"/>
    <w:rsid w:val="00D1099E"/>
    <w:rsid w:val="00D11024"/>
    <w:rsid w:val="00D125D1"/>
    <w:rsid w:val="00D1265C"/>
    <w:rsid w:val="00D12A0C"/>
    <w:rsid w:val="00D1381A"/>
    <w:rsid w:val="00D1447F"/>
    <w:rsid w:val="00D15014"/>
    <w:rsid w:val="00D153CD"/>
    <w:rsid w:val="00D1545D"/>
    <w:rsid w:val="00D15471"/>
    <w:rsid w:val="00D15BE6"/>
    <w:rsid w:val="00D16003"/>
    <w:rsid w:val="00D16054"/>
    <w:rsid w:val="00D16F0A"/>
    <w:rsid w:val="00D201C3"/>
    <w:rsid w:val="00D2031B"/>
    <w:rsid w:val="00D2059D"/>
    <w:rsid w:val="00D22734"/>
    <w:rsid w:val="00D22EA0"/>
    <w:rsid w:val="00D24DB2"/>
    <w:rsid w:val="00D2529D"/>
    <w:rsid w:val="00D25B80"/>
    <w:rsid w:val="00D260A1"/>
    <w:rsid w:val="00D268FD"/>
    <w:rsid w:val="00D272B0"/>
    <w:rsid w:val="00D2789C"/>
    <w:rsid w:val="00D35028"/>
    <w:rsid w:val="00D356C9"/>
    <w:rsid w:val="00D37E13"/>
    <w:rsid w:val="00D407EC"/>
    <w:rsid w:val="00D407EF"/>
    <w:rsid w:val="00D418BB"/>
    <w:rsid w:val="00D424CE"/>
    <w:rsid w:val="00D44112"/>
    <w:rsid w:val="00D44ED3"/>
    <w:rsid w:val="00D45B88"/>
    <w:rsid w:val="00D474B2"/>
    <w:rsid w:val="00D505AF"/>
    <w:rsid w:val="00D5200D"/>
    <w:rsid w:val="00D52148"/>
    <w:rsid w:val="00D52505"/>
    <w:rsid w:val="00D54549"/>
    <w:rsid w:val="00D54984"/>
    <w:rsid w:val="00D549FB"/>
    <w:rsid w:val="00D54A05"/>
    <w:rsid w:val="00D54C96"/>
    <w:rsid w:val="00D5627E"/>
    <w:rsid w:val="00D57B7E"/>
    <w:rsid w:val="00D611D0"/>
    <w:rsid w:val="00D616F5"/>
    <w:rsid w:val="00D61890"/>
    <w:rsid w:val="00D61D0D"/>
    <w:rsid w:val="00D62039"/>
    <w:rsid w:val="00D63182"/>
    <w:rsid w:val="00D63874"/>
    <w:rsid w:val="00D644F1"/>
    <w:rsid w:val="00D6538C"/>
    <w:rsid w:val="00D66600"/>
    <w:rsid w:val="00D6702A"/>
    <w:rsid w:val="00D67A9A"/>
    <w:rsid w:val="00D706A4"/>
    <w:rsid w:val="00D71930"/>
    <w:rsid w:val="00D71940"/>
    <w:rsid w:val="00D733A1"/>
    <w:rsid w:val="00D74FE4"/>
    <w:rsid w:val="00D75002"/>
    <w:rsid w:val="00D75533"/>
    <w:rsid w:val="00D75FB0"/>
    <w:rsid w:val="00D76540"/>
    <w:rsid w:val="00D774B8"/>
    <w:rsid w:val="00D77756"/>
    <w:rsid w:val="00D8064C"/>
    <w:rsid w:val="00D80C02"/>
    <w:rsid w:val="00D83FE6"/>
    <w:rsid w:val="00D84484"/>
    <w:rsid w:val="00D84D2B"/>
    <w:rsid w:val="00D85875"/>
    <w:rsid w:val="00D85911"/>
    <w:rsid w:val="00D860A3"/>
    <w:rsid w:val="00D87361"/>
    <w:rsid w:val="00D8761A"/>
    <w:rsid w:val="00D87B76"/>
    <w:rsid w:val="00D87FDD"/>
    <w:rsid w:val="00D908B1"/>
    <w:rsid w:val="00D90B18"/>
    <w:rsid w:val="00D92F4F"/>
    <w:rsid w:val="00D95502"/>
    <w:rsid w:val="00D959FD"/>
    <w:rsid w:val="00D95C14"/>
    <w:rsid w:val="00D961D9"/>
    <w:rsid w:val="00D9795A"/>
    <w:rsid w:val="00DA0C9C"/>
    <w:rsid w:val="00DA2415"/>
    <w:rsid w:val="00DA26F1"/>
    <w:rsid w:val="00DA2D65"/>
    <w:rsid w:val="00DA2FC0"/>
    <w:rsid w:val="00DA4AD0"/>
    <w:rsid w:val="00DA59F8"/>
    <w:rsid w:val="00DA6230"/>
    <w:rsid w:val="00DB0338"/>
    <w:rsid w:val="00DB07C2"/>
    <w:rsid w:val="00DB1547"/>
    <w:rsid w:val="00DB1B3E"/>
    <w:rsid w:val="00DB1FCA"/>
    <w:rsid w:val="00DB2CB7"/>
    <w:rsid w:val="00DB6564"/>
    <w:rsid w:val="00DC0160"/>
    <w:rsid w:val="00DC10BC"/>
    <w:rsid w:val="00DC1D71"/>
    <w:rsid w:val="00DC229A"/>
    <w:rsid w:val="00DC2CF2"/>
    <w:rsid w:val="00DC3413"/>
    <w:rsid w:val="00DC3A2B"/>
    <w:rsid w:val="00DC41EA"/>
    <w:rsid w:val="00DC5424"/>
    <w:rsid w:val="00DC5436"/>
    <w:rsid w:val="00DC54DA"/>
    <w:rsid w:val="00DC594A"/>
    <w:rsid w:val="00DC5CE1"/>
    <w:rsid w:val="00DC6A97"/>
    <w:rsid w:val="00DC71AA"/>
    <w:rsid w:val="00DD0B04"/>
    <w:rsid w:val="00DD255F"/>
    <w:rsid w:val="00DD4671"/>
    <w:rsid w:val="00DD5DB8"/>
    <w:rsid w:val="00DD6465"/>
    <w:rsid w:val="00DD7752"/>
    <w:rsid w:val="00DE003D"/>
    <w:rsid w:val="00DE2AB8"/>
    <w:rsid w:val="00DE51AF"/>
    <w:rsid w:val="00DE7B5F"/>
    <w:rsid w:val="00DE7E1F"/>
    <w:rsid w:val="00DF0EB7"/>
    <w:rsid w:val="00DF185C"/>
    <w:rsid w:val="00DF187B"/>
    <w:rsid w:val="00DF2B09"/>
    <w:rsid w:val="00DF4935"/>
    <w:rsid w:val="00DF6500"/>
    <w:rsid w:val="00DF719F"/>
    <w:rsid w:val="00E0055B"/>
    <w:rsid w:val="00E0133B"/>
    <w:rsid w:val="00E01363"/>
    <w:rsid w:val="00E02E76"/>
    <w:rsid w:val="00E04BC0"/>
    <w:rsid w:val="00E057BF"/>
    <w:rsid w:val="00E0594C"/>
    <w:rsid w:val="00E061F9"/>
    <w:rsid w:val="00E079F4"/>
    <w:rsid w:val="00E07AA0"/>
    <w:rsid w:val="00E10932"/>
    <w:rsid w:val="00E117FA"/>
    <w:rsid w:val="00E11868"/>
    <w:rsid w:val="00E1187D"/>
    <w:rsid w:val="00E124BC"/>
    <w:rsid w:val="00E12615"/>
    <w:rsid w:val="00E14BD5"/>
    <w:rsid w:val="00E154C2"/>
    <w:rsid w:val="00E15BF1"/>
    <w:rsid w:val="00E15FB3"/>
    <w:rsid w:val="00E1698A"/>
    <w:rsid w:val="00E17966"/>
    <w:rsid w:val="00E17EFC"/>
    <w:rsid w:val="00E20B6B"/>
    <w:rsid w:val="00E20DA1"/>
    <w:rsid w:val="00E27D43"/>
    <w:rsid w:val="00E3001D"/>
    <w:rsid w:val="00E3027F"/>
    <w:rsid w:val="00E30975"/>
    <w:rsid w:val="00E316E8"/>
    <w:rsid w:val="00E31DB0"/>
    <w:rsid w:val="00E32B1F"/>
    <w:rsid w:val="00E3306E"/>
    <w:rsid w:val="00E33090"/>
    <w:rsid w:val="00E3315C"/>
    <w:rsid w:val="00E3326E"/>
    <w:rsid w:val="00E33A59"/>
    <w:rsid w:val="00E345AC"/>
    <w:rsid w:val="00E3460D"/>
    <w:rsid w:val="00E35727"/>
    <w:rsid w:val="00E3605D"/>
    <w:rsid w:val="00E36A8A"/>
    <w:rsid w:val="00E37477"/>
    <w:rsid w:val="00E3753E"/>
    <w:rsid w:val="00E375D5"/>
    <w:rsid w:val="00E37712"/>
    <w:rsid w:val="00E403BD"/>
    <w:rsid w:val="00E4053C"/>
    <w:rsid w:val="00E40F82"/>
    <w:rsid w:val="00E43900"/>
    <w:rsid w:val="00E44052"/>
    <w:rsid w:val="00E440CD"/>
    <w:rsid w:val="00E46534"/>
    <w:rsid w:val="00E471AA"/>
    <w:rsid w:val="00E475B0"/>
    <w:rsid w:val="00E50C8A"/>
    <w:rsid w:val="00E50DC8"/>
    <w:rsid w:val="00E51564"/>
    <w:rsid w:val="00E528F2"/>
    <w:rsid w:val="00E53ED2"/>
    <w:rsid w:val="00E54186"/>
    <w:rsid w:val="00E5554F"/>
    <w:rsid w:val="00E57FB2"/>
    <w:rsid w:val="00E60308"/>
    <w:rsid w:val="00E60762"/>
    <w:rsid w:val="00E60EAA"/>
    <w:rsid w:val="00E61081"/>
    <w:rsid w:val="00E625E6"/>
    <w:rsid w:val="00E63347"/>
    <w:rsid w:val="00E63C6A"/>
    <w:rsid w:val="00E657EF"/>
    <w:rsid w:val="00E66111"/>
    <w:rsid w:val="00E6777A"/>
    <w:rsid w:val="00E708B8"/>
    <w:rsid w:val="00E70B33"/>
    <w:rsid w:val="00E73179"/>
    <w:rsid w:val="00E7325B"/>
    <w:rsid w:val="00E73A9F"/>
    <w:rsid w:val="00E74E82"/>
    <w:rsid w:val="00E75E49"/>
    <w:rsid w:val="00E77BB6"/>
    <w:rsid w:val="00E8104F"/>
    <w:rsid w:val="00E81678"/>
    <w:rsid w:val="00E844CE"/>
    <w:rsid w:val="00E873D5"/>
    <w:rsid w:val="00E90411"/>
    <w:rsid w:val="00E9057E"/>
    <w:rsid w:val="00E90ACA"/>
    <w:rsid w:val="00E93F13"/>
    <w:rsid w:val="00E95123"/>
    <w:rsid w:val="00E962F1"/>
    <w:rsid w:val="00E9637E"/>
    <w:rsid w:val="00E9643D"/>
    <w:rsid w:val="00E964B4"/>
    <w:rsid w:val="00E969EB"/>
    <w:rsid w:val="00EA2A20"/>
    <w:rsid w:val="00EA2E55"/>
    <w:rsid w:val="00EA6D5E"/>
    <w:rsid w:val="00EA7C86"/>
    <w:rsid w:val="00EB1D6E"/>
    <w:rsid w:val="00EB2F74"/>
    <w:rsid w:val="00EB388D"/>
    <w:rsid w:val="00EB3A1D"/>
    <w:rsid w:val="00EB3F93"/>
    <w:rsid w:val="00EB4716"/>
    <w:rsid w:val="00EB5245"/>
    <w:rsid w:val="00EB6481"/>
    <w:rsid w:val="00EB77FA"/>
    <w:rsid w:val="00EB7F55"/>
    <w:rsid w:val="00EC02C2"/>
    <w:rsid w:val="00EC032B"/>
    <w:rsid w:val="00EC0AFC"/>
    <w:rsid w:val="00EC1965"/>
    <w:rsid w:val="00EC1CB6"/>
    <w:rsid w:val="00EC1DA8"/>
    <w:rsid w:val="00EC2698"/>
    <w:rsid w:val="00EC4C0B"/>
    <w:rsid w:val="00EC4DB4"/>
    <w:rsid w:val="00EC5B43"/>
    <w:rsid w:val="00EC5E1E"/>
    <w:rsid w:val="00EC6FBB"/>
    <w:rsid w:val="00EC732F"/>
    <w:rsid w:val="00ED0A4A"/>
    <w:rsid w:val="00ED1732"/>
    <w:rsid w:val="00ED17DA"/>
    <w:rsid w:val="00ED1D50"/>
    <w:rsid w:val="00ED2272"/>
    <w:rsid w:val="00ED372A"/>
    <w:rsid w:val="00ED4AE3"/>
    <w:rsid w:val="00ED5008"/>
    <w:rsid w:val="00ED5B0A"/>
    <w:rsid w:val="00ED5E19"/>
    <w:rsid w:val="00ED6082"/>
    <w:rsid w:val="00ED6E99"/>
    <w:rsid w:val="00ED6F8C"/>
    <w:rsid w:val="00EE09E6"/>
    <w:rsid w:val="00EE0D9B"/>
    <w:rsid w:val="00EE1EFC"/>
    <w:rsid w:val="00EE2974"/>
    <w:rsid w:val="00EE3054"/>
    <w:rsid w:val="00EE41DB"/>
    <w:rsid w:val="00EE4FC5"/>
    <w:rsid w:val="00EE60BE"/>
    <w:rsid w:val="00EE78CA"/>
    <w:rsid w:val="00EF332A"/>
    <w:rsid w:val="00EF48E9"/>
    <w:rsid w:val="00EF79A4"/>
    <w:rsid w:val="00F00466"/>
    <w:rsid w:val="00F00838"/>
    <w:rsid w:val="00F0098A"/>
    <w:rsid w:val="00F01019"/>
    <w:rsid w:val="00F01BD6"/>
    <w:rsid w:val="00F024A1"/>
    <w:rsid w:val="00F04596"/>
    <w:rsid w:val="00F06A0E"/>
    <w:rsid w:val="00F06B27"/>
    <w:rsid w:val="00F07DCD"/>
    <w:rsid w:val="00F131D7"/>
    <w:rsid w:val="00F14B9B"/>
    <w:rsid w:val="00F14DA9"/>
    <w:rsid w:val="00F155AF"/>
    <w:rsid w:val="00F163CC"/>
    <w:rsid w:val="00F2010C"/>
    <w:rsid w:val="00F20D63"/>
    <w:rsid w:val="00F21111"/>
    <w:rsid w:val="00F221BA"/>
    <w:rsid w:val="00F22369"/>
    <w:rsid w:val="00F23972"/>
    <w:rsid w:val="00F23A75"/>
    <w:rsid w:val="00F23A9F"/>
    <w:rsid w:val="00F23B2E"/>
    <w:rsid w:val="00F23F73"/>
    <w:rsid w:val="00F24E57"/>
    <w:rsid w:val="00F2642D"/>
    <w:rsid w:val="00F26465"/>
    <w:rsid w:val="00F26CFD"/>
    <w:rsid w:val="00F27634"/>
    <w:rsid w:val="00F30535"/>
    <w:rsid w:val="00F307CB"/>
    <w:rsid w:val="00F309A7"/>
    <w:rsid w:val="00F32D4E"/>
    <w:rsid w:val="00F338E8"/>
    <w:rsid w:val="00F33DB3"/>
    <w:rsid w:val="00F35B98"/>
    <w:rsid w:val="00F35D83"/>
    <w:rsid w:val="00F36622"/>
    <w:rsid w:val="00F36D53"/>
    <w:rsid w:val="00F36DF6"/>
    <w:rsid w:val="00F371CB"/>
    <w:rsid w:val="00F40291"/>
    <w:rsid w:val="00F41949"/>
    <w:rsid w:val="00F43DBE"/>
    <w:rsid w:val="00F4401E"/>
    <w:rsid w:val="00F444FA"/>
    <w:rsid w:val="00F44893"/>
    <w:rsid w:val="00F454D7"/>
    <w:rsid w:val="00F45EC8"/>
    <w:rsid w:val="00F463CE"/>
    <w:rsid w:val="00F51831"/>
    <w:rsid w:val="00F521CC"/>
    <w:rsid w:val="00F52EF1"/>
    <w:rsid w:val="00F55F27"/>
    <w:rsid w:val="00F5682A"/>
    <w:rsid w:val="00F569E7"/>
    <w:rsid w:val="00F572F0"/>
    <w:rsid w:val="00F575BF"/>
    <w:rsid w:val="00F616BF"/>
    <w:rsid w:val="00F62235"/>
    <w:rsid w:val="00F63440"/>
    <w:rsid w:val="00F637F5"/>
    <w:rsid w:val="00F64692"/>
    <w:rsid w:val="00F64878"/>
    <w:rsid w:val="00F64EB5"/>
    <w:rsid w:val="00F66A0D"/>
    <w:rsid w:val="00F7071F"/>
    <w:rsid w:val="00F71C70"/>
    <w:rsid w:val="00F7247C"/>
    <w:rsid w:val="00F73EF3"/>
    <w:rsid w:val="00F7437B"/>
    <w:rsid w:val="00F74A64"/>
    <w:rsid w:val="00F74AA7"/>
    <w:rsid w:val="00F75356"/>
    <w:rsid w:val="00F75DE6"/>
    <w:rsid w:val="00F75DF2"/>
    <w:rsid w:val="00F76D88"/>
    <w:rsid w:val="00F80A23"/>
    <w:rsid w:val="00F81BF3"/>
    <w:rsid w:val="00F81D14"/>
    <w:rsid w:val="00F825A7"/>
    <w:rsid w:val="00F83463"/>
    <w:rsid w:val="00F837C2"/>
    <w:rsid w:val="00F85A0A"/>
    <w:rsid w:val="00F85D5A"/>
    <w:rsid w:val="00F85D8C"/>
    <w:rsid w:val="00F85F98"/>
    <w:rsid w:val="00F86645"/>
    <w:rsid w:val="00F911F8"/>
    <w:rsid w:val="00F913E3"/>
    <w:rsid w:val="00F91816"/>
    <w:rsid w:val="00F920B3"/>
    <w:rsid w:val="00F92D7D"/>
    <w:rsid w:val="00F9384A"/>
    <w:rsid w:val="00F93A6A"/>
    <w:rsid w:val="00F93B0A"/>
    <w:rsid w:val="00F94728"/>
    <w:rsid w:val="00F94EAF"/>
    <w:rsid w:val="00F953AD"/>
    <w:rsid w:val="00F96AD5"/>
    <w:rsid w:val="00F96BBC"/>
    <w:rsid w:val="00F97D6A"/>
    <w:rsid w:val="00FA096D"/>
    <w:rsid w:val="00FA15FD"/>
    <w:rsid w:val="00FA34DA"/>
    <w:rsid w:val="00FA5924"/>
    <w:rsid w:val="00FA6E69"/>
    <w:rsid w:val="00FA7F67"/>
    <w:rsid w:val="00FB0381"/>
    <w:rsid w:val="00FB130C"/>
    <w:rsid w:val="00FB4FD0"/>
    <w:rsid w:val="00FB6450"/>
    <w:rsid w:val="00FB6595"/>
    <w:rsid w:val="00FB69D6"/>
    <w:rsid w:val="00FB7580"/>
    <w:rsid w:val="00FC096A"/>
    <w:rsid w:val="00FC0E29"/>
    <w:rsid w:val="00FC10B3"/>
    <w:rsid w:val="00FC15C0"/>
    <w:rsid w:val="00FC1715"/>
    <w:rsid w:val="00FC17AA"/>
    <w:rsid w:val="00FC1E49"/>
    <w:rsid w:val="00FC28BE"/>
    <w:rsid w:val="00FC2F6F"/>
    <w:rsid w:val="00FC3453"/>
    <w:rsid w:val="00FC3CC7"/>
    <w:rsid w:val="00FC3D0C"/>
    <w:rsid w:val="00FC3F5E"/>
    <w:rsid w:val="00FC4E85"/>
    <w:rsid w:val="00FC614C"/>
    <w:rsid w:val="00FC614E"/>
    <w:rsid w:val="00FC6593"/>
    <w:rsid w:val="00FC6C89"/>
    <w:rsid w:val="00FD06C4"/>
    <w:rsid w:val="00FD2C25"/>
    <w:rsid w:val="00FD3AEE"/>
    <w:rsid w:val="00FD43BE"/>
    <w:rsid w:val="00FD5D8A"/>
    <w:rsid w:val="00FD76C1"/>
    <w:rsid w:val="00FE12D2"/>
    <w:rsid w:val="00FE1B18"/>
    <w:rsid w:val="00FE1ECE"/>
    <w:rsid w:val="00FE3CC1"/>
    <w:rsid w:val="00FE4E27"/>
    <w:rsid w:val="00FE78E0"/>
    <w:rsid w:val="00FF05F2"/>
    <w:rsid w:val="00FF10BE"/>
    <w:rsid w:val="00FF12E9"/>
    <w:rsid w:val="00FF14C9"/>
    <w:rsid w:val="00FF2BEB"/>
    <w:rsid w:val="00FF3797"/>
    <w:rsid w:val="00FF3837"/>
    <w:rsid w:val="00FF38FC"/>
    <w:rsid w:val="00FF444A"/>
    <w:rsid w:val="00FF5492"/>
    <w:rsid w:val="00FF6DCE"/>
    <w:rsid w:val="00FF75BD"/>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E4A"/>
    <w:pPr>
      <w:jc w:val="both"/>
    </w:pPr>
    <w:rPr>
      <w:rFonts w:cs="Angsana New"/>
      <w:sz w:val="22"/>
      <w:szCs w:val="24"/>
      <w:lang w:eastAsia="en-US"/>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qFormat/>
    <w:rsid w:val="00424E0F"/>
    <w:pPr>
      <w:keepNext/>
      <w:tabs>
        <w:tab w:val="left" w:pos="720"/>
      </w:tabs>
      <w:spacing w:before="120" w:after="120"/>
      <w:jc w:val="center"/>
      <w:outlineLvl w:val="1"/>
    </w:pPr>
    <w:rPr>
      <w:b/>
      <w:bCs/>
      <w:i/>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Ttulo6">
    <w:name w:val="heading 6"/>
    <w:basedOn w:val="Normal"/>
    <w:next w:val="Normal"/>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424E0F"/>
    <w:rPr>
      <w:sz w:val="18"/>
      <w:u w:val="single"/>
      <w:vertAlign w:val="baseline"/>
    </w:rPr>
  </w:style>
  <w:style w:type="character" w:styleId="Nmerodepgina">
    <w:name w:val="page number"/>
    <w:rsid w:val="00424E0F"/>
    <w:rPr>
      <w:rFonts w:ascii="Times New Roman" w:hAnsi="Times New Roman"/>
      <w:sz w:val="22"/>
    </w:rPr>
  </w:style>
  <w:style w:type="paragraph" w:styleId="Textoindependiente">
    <w:name w:val="Body Text"/>
    <w:basedOn w:val="Normal"/>
    <w:rsid w:val="00424E0F"/>
    <w:pPr>
      <w:spacing w:before="120" w:after="120"/>
      <w:ind w:firstLine="720"/>
    </w:pPr>
    <w:rPr>
      <w:iCs/>
    </w:rPr>
  </w:style>
  <w:style w:type="paragraph" w:styleId="Epgrafe">
    <w:name w:val="caption"/>
    <w:basedOn w:val="Normal"/>
    <w:next w:val="Normal"/>
    <w:qFormat/>
    <w:pPr>
      <w:widowControl w:val="0"/>
    </w:pPr>
    <w:rPr>
      <w:rFonts w:ascii="Courier New" w:hAnsi="Courier New"/>
    </w:rPr>
  </w:style>
  <w:style w:type="paragraph" w:styleId="Encabezado">
    <w:name w:val="header"/>
    <w:basedOn w:val="Normal"/>
    <w:link w:val="EncabezadoCar"/>
    <w:rsid w:val="00424E0F"/>
    <w:pPr>
      <w:tabs>
        <w:tab w:val="center" w:pos="4320"/>
        <w:tab w:val="right" w:pos="8640"/>
      </w:tabs>
    </w:pPr>
    <w:rPr>
      <w:rFonts w:cs="Times New Roman"/>
    </w:rPr>
  </w:style>
  <w:style w:type="paragraph" w:styleId="Piedepgina">
    <w:name w:val="footer"/>
    <w:basedOn w:val="Normal"/>
    <w:link w:val="PiedepginaCar"/>
    <w:rsid w:val="00424E0F"/>
    <w:pPr>
      <w:tabs>
        <w:tab w:val="center" w:pos="4320"/>
        <w:tab w:val="right" w:pos="8640"/>
      </w:tabs>
      <w:ind w:firstLine="720"/>
      <w:jc w:val="right"/>
    </w:pPr>
    <w:rPr>
      <w:rFonts w:cs="Times New Roman"/>
      <w:lang w:val="x-no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424E0F"/>
    <w:pPr>
      <w:keepLines/>
      <w:spacing w:after="60"/>
      <w:ind w:firstLine="720"/>
    </w:pPr>
    <w:rPr>
      <w:rFonts w:cs="Times New Roman"/>
      <w:sz w:val="18"/>
      <w:lang w:eastAsia="x-none"/>
    </w:rPr>
  </w:style>
  <w:style w:type="paragraph" w:styleId="Textoindependiente2">
    <w:name w:val="Body Text 2"/>
    <w:basedOn w:val="Normal"/>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Sangradetextonormal">
    <w:name w:val="Body Text Indent"/>
    <w:basedOn w:val="Normal"/>
    <w:rsid w:val="00424E0F"/>
    <w:pPr>
      <w:spacing w:before="120" w:after="120"/>
      <w:ind w:left="1440" w:hanging="720"/>
      <w:jc w:val="left"/>
    </w:pPr>
  </w:style>
  <w:style w:type="character" w:styleId="Refdenotaalfinal">
    <w:name w:val="endnote reference"/>
    <w:uiPriority w:val="99"/>
    <w:semiHidden/>
    <w:rsid w:val="00424E0F"/>
    <w:rPr>
      <w:vertAlign w:val="superscript"/>
    </w:rPr>
  </w:style>
  <w:style w:type="paragraph" w:styleId="Ttulo">
    <w:name w:val="Title"/>
    <w:basedOn w:val="Normal"/>
    <w:qFormat/>
    <w:rsid w:val="00424E0F"/>
    <w:pPr>
      <w:jc w:val="center"/>
    </w:pPr>
    <w:rPr>
      <w:i/>
      <w:iCs/>
    </w:rPr>
  </w:style>
  <w:style w:type="character" w:styleId="Hipervnculo">
    <w:name w:val="Hyperlink"/>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lang w:val="en-GB"/>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Textodeglobo">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rFonts w:cs="Times New Roman"/>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lang w:val="en-GB"/>
    </w:rPr>
  </w:style>
  <w:style w:type="character" w:styleId="nf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Asuntodelcomentario">
    <w:name w:val="annotation subject"/>
    <w:basedOn w:val="Textocomentario"/>
    <w:next w:val="Textocomentario"/>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link w:val="TextonotaalfinalCar"/>
    <w:uiPriority w:val="99"/>
    <w:rsid w:val="00424E0F"/>
    <w:pPr>
      <w:widowControl w:val="0"/>
      <w:tabs>
        <w:tab w:val="left" w:pos="-720"/>
      </w:tabs>
      <w:suppressAutoHyphens/>
    </w:pPr>
    <w:rPr>
      <w:rFonts w:ascii="Courier New" w:hAnsi="Courier New" w:cs="Times New Roman"/>
      <w:lang w:eastAsia="x-none"/>
    </w:rPr>
  </w:style>
  <w:style w:type="paragraph" w:customStyle="1" w:styleId="Heading-plain">
    <w:name w:val="Heading - plain"/>
    <w:basedOn w:val="Ttulo2"/>
    <w:next w:val="Textoindependien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Textoindependien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n-GB"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tulo1C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EncabezadoCar">
    <w:name w:val="Encabezado Car"/>
    <w:link w:val="Encabezado"/>
    <w:rsid w:val="00203EDB"/>
    <w:rPr>
      <w:rFonts w:cs="Angsana New"/>
      <w:sz w:val="22"/>
      <w:szCs w:val="24"/>
      <w:lang w:val="en-GB"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Bibliografa1">
    <w:name w:val="Bibliografía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eastAsia="en-US"/>
    </w:rPr>
  </w:style>
  <w:style w:type="paragraph" w:customStyle="1" w:styleId="PlainTable2">
    <w:name w:val="Plain Table 2"/>
    <w:hidden/>
    <w:uiPriority w:val="99"/>
    <w:semiHidden/>
    <w:rsid w:val="00023D05"/>
    <w:rPr>
      <w:rFonts w:cs="Angsana New"/>
      <w:sz w:val="22"/>
      <w:szCs w:val="24"/>
      <w:lang w:val="en-GB" w:eastAsia="en-US"/>
    </w:rPr>
  </w:style>
  <w:style w:type="paragraph" w:customStyle="1" w:styleId="PlainTable3">
    <w:name w:val="Plain Table 3"/>
    <w:basedOn w:val="Normal"/>
    <w:uiPriority w:val="34"/>
    <w:qFormat/>
    <w:rsid w:val="00914CF7"/>
    <w:pPr>
      <w:ind w:left="720"/>
    </w:pPr>
  </w:style>
  <w:style w:type="paragraph" w:customStyle="1" w:styleId="Listamedia1-nfasis61">
    <w:name w:val="Lista media 1 - Énfasis 61"/>
    <w:basedOn w:val="Normal"/>
    <w:uiPriority w:val="34"/>
    <w:qFormat/>
    <w:rsid w:val="009252DF"/>
    <w:pPr>
      <w:ind w:left="720"/>
    </w:pPr>
  </w:style>
  <w:style w:type="paragraph" w:customStyle="1" w:styleId="Listaoscura-nfasis31">
    <w:name w:val="Lista oscura - Énfasis 31"/>
    <w:hidden/>
    <w:uiPriority w:val="99"/>
    <w:semiHidden/>
    <w:rsid w:val="0011508D"/>
    <w:rPr>
      <w:rFonts w:cs="Angsana New"/>
      <w:sz w:val="22"/>
      <w:szCs w:val="24"/>
      <w:lang w:val="en-GB" w:eastAsia="en-US"/>
    </w:rPr>
  </w:style>
  <w:style w:type="character" w:customStyle="1" w:styleId="TextocomentarioCar">
    <w:name w:val="Texto comentario Car"/>
    <w:link w:val="Textocomentario"/>
    <w:uiPriority w:val="99"/>
    <w:semiHidden/>
    <w:rsid w:val="00D706A4"/>
    <w:rPr>
      <w:rFonts w:cs="Angsana New"/>
      <w:szCs w:val="24"/>
      <w:lang w:val="en-GB"/>
    </w:rPr>
  </w:style>
  <w:style w:type="character" w:customStyle="1" w:styleId="TextonotaalfinalCar">
    <w:name w:val="Texto nota al final Car"/>
    <w:link w:val="Textonotaalfinal"/>
    <w:uiPriority w:val="99"/>
    <w:rsid w:val="00D706A4"/>
    <w:rPr>
      <w:rFonts w:ascii="Courier New" w:hAnsi="Courier New" w:cs="Angsana New"/>
      <w:sz w:val="22"/>
      <w:szCs w:val="24"/>
      <w:lang w:val="en-GB"/>
    </w:rPr>
  </w:style>
  <w:style w:type="paragraph" w:customStyle="1" w:styleId="Sombreadovistoso-nfasis11">
    <w:name w:val="Sombreado vistoso - Énfasis 11"/>
    <w:hidden/>
    <w:uiPriority w:val="99"/>
    <w:semiHidden/>
    <w:rsid w:val="00F2010C"/>
    <w:rPr>
      <w:rFonts w:cs="Angsana New"/>
      <w:sz w:val="22"/>
      <w:szCs w:val="24"/>
      <w:lang w:val="en-GB" w:eastAsia="en-US"/>
    </w:rPr>
  </w:style>
  <w:style w:type="paragraph" w:styleId="Revisin">
    <w:name w:val="Revision"/>
    <w:hidden/>
    <w:uiPriority w:val="99"/>
    <w:semiHidden/>
    <w:rsid w:val="00C12F6F"/>
    <w:rPr>
      <w:rFonts w:cs="Angsana New"/>
      <w:sz w:val="22"/>
      <w:szCs w:val="24"/>
      <w:lang w:val="en-GB" w:eastAsia="en-US"/>
    </w:rPr>
  </w:style>
  <w:style w:type="character" w:customStyle="1" w:styleId="preferred">
    <w:name w:val="preferred"/>
    <w:basedOn w:val="Fuentedeprrafopredeter"/>
    <w:rsid w:val="0087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E4A"/>
    <w:pPr>
      <w:jc w:val="both"/>
    </w:pPr>
    <w:rPr>
      <w:rFonts w:cs="Angsana New"/>
      <w:sz w:val="22"/>
      <w:szCs w:val="24"/>
      <w:lang w:eastAsia="en-US"/>
    </w:rPr>
  </w:style>
  <w:style w:type="paragraph" w:styleId="Ttulo1">
    <w:name w:val="heading 1"/>
    <w:basedOn w:val="Normal"/>
    <w:next w:val="Ttulo2"/>
    <w:link w:val="Ttulo1Car"/>
    <w:qFormat/>
    <w:rsid w:val="00424E0F"/>
    <w:pPr>
      <w:keepNext/>
      <w:tabs>
        <w:tab w:val="left" w:pos="720"/>
      </w:tabs>
      <w:spacing w:before="240" w:after="120"/>
      <w:jc w:val="center"/>
      <w:outlineLvl w:val="0"/>
    </w:pPr>
    <w:rPr>
      <w:b/>
      <w:caps/>
    </w:rPr>
  </w:style>
  <w:style w:type="paragraph" w:styleId="Ttulo2">
    <w:name w:val="heading 2"/>
    <w:basedOn w:val="Normal"/>
    <w:qFormat/>
    <w:rsid w:val="00424E0F"/>
    <w:pPr>
      <w:keepNext/>
      <w:tabs>
        <w:tab w:val="left" w:pos="720"/>
      </w:tabs>
      <w:spacing w:before="120" w:after="120"/>
      <w:jc w:val="center"/>
      <w:outlineLvl w:val="1"/>
    </w:pPr>
    <w:rPr>
      <w:b/>
      <w:bCs/>
      <w:i/>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Ttulo6">
    <w:name w:val="heading 6"/>
    <w:basedOn w:val="Normal"/>
    <w:next w:val="Normal"/>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424E0F"/>
    <w:rPr>
      <w:sz w:val="18"/>
      <w:u w:val="single"/>
      <w:vertAlign w:val="baseline"/>
    </w:rPr>
  </w:style>
  <w:style w:type="character" w:styleId="Nmerodepgina">
    <w:name w:val="page number"/>
    <w:rsid w:val="00424E0F"/>
    <w:rPr>
      <w:rFonts w:ascii="Times New Roman" w:hAnsi="Times New Roman"/>
      <w:sz w:val="22"/>
    </w:rPr>
  </w:style>
  <w:style w:type="paragraph" w:styleId="Textoindependiente">
    <w:name w:val="Body Text"/>
    <w:basedOn w:val="Normal"/>
    <w:rsid w:val="00424E0F"/>
    <w:pPr>
      <w:spacing w:before="120" w:after="120"/>
      <w:ind w:firstLine="720"/>
    </w:pPr>
    <w:rPr>
      <w:iCs/>
    </w:rPr>
  </w:style>
  <w:style w:type="paragraph" w:styleId="Epgrafe">
    <w:name w:val="caption"/>
    <w:basedOn w:val="Normal"/>
    <w:next w:val="Normal"/>
    <w:qFormat/>
    <w:pPr>
      <w:widowControl w:val="0"/>
    </w:pPr>
    <w:rPr>
      <w:rFonts w:ascii="Courier New" w:hAnsi="Courier New"/>
    </w:rPr>
  </w:style>
  <w:style w:type="paragraph" w:styleId="Encabezado">
    <w:name w:val="header"/>
    <w:basedOn w:val="Normal"/>
    <w:link w:val="EncabezadoCar"/>
    <w:rsid w:val="00424E0F"/>
    <w:pPr>
      <w:tabs>
        <w:tab w:val="center" w:pos="4320"/>
        <w:tab w:val="right" w:pos="8640"/>
      </w:tabs>
    </w:pPr>
    <w:rPr>
      <w:rFonts w:cs="Times New Roman"/>
    </w:rPr>
  </w:style>
  <w:style w:type="paragraph" w:styleId="Piedepgina">
    <w:name w:val="footer"/>
    <w:basedOn w:val="Normal"/>
    <w:link w:val="PiedepginaCar"/>
    <w:rsid w:val="00424E0F"/>
    <w:pPr>
      <w:tabs>
        <w:tab w:val="center" w:pos="4320"/>
        <w:tab w:val="right" w:pos="8640"/>
      </w:tabs>
      <w:ind w:firstLine="720"/>
      <w:jc w:val="right"/>
    </w:pPr>
    <w:rPr>
      <w:rFonts w:cs="Times New Roman"/>
      <w:lang w:val="x-no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424E0F"/>
    <w:pPr>
      <w:keepLines/>
      <w:spacing w:after="60"/>
      <w:ind w:firstLine="720"/>
    </w:pPr>
    <w:rPr>
      <w:rFonts w:cs="Times New Roman"/>
      <w:sz w:val="18"/>
      <w:lang w:eastAsia="x-none"/>
    </w:rPr>
  </w:style>
  <w:style w:type="paragraph" w:styleId="Textoindependiente2">
    <w:name w:val="Body Text 2"/>
    <w:basedOn w:val="Normal"/>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Sangradetextonormal">
    <w:name w:val="Body Text Indent"/>
    <w:basedOn w:val="Normal"/>
    <w:rsid w:val="00424E0F"/>
    <w:pPr>
      <w:spacing w:before="120" w:after="120"/>
      <w:ind w:left="1440" w:hanging="720"/>
      <w:jc w:val="left"/>
    </w:pPr>
  </w:style>
  <w:style w:type="character" w:styleId="Refdenotaalfinal">
    <w:name w:val="endnote reference"/>
    <w:uiPriority w:val="99"/>
    <w:semiHidden/>
    <w:rsid w:val="00424E0F"/>
    <w:rPr>
      <w:vertAlign w:val="superscript"/>
    </w:rPr>
  </w:style>
  <w:style w:type="paragraph" w:styleId="Ttulo">
    <w:name w:val="Title"/>
    <w:basedOn w:val="Normal"/>
    <w:qFormat/>
    <w:rsid w:val="00424E0F"/>
    <w:pPr>
      <w:jc w:val="center"/>
    </w:pPr>
    <w:rPr>
      <w:i/>
      <w:iCs/>
    </w:rPr>
  </w:style>
  <w:style w:type="character" w:styleId="Hipervnculo">
    <w:name w:val="Hyperlink"/>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Hipervnculovisitado">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lang w:val="en-GB"/>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Textodeglobo">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rFonts w:cs="Times New Roman"/>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lang w:val="en-GB"/>
    </w:rPr>
  </w:style>
  <w:style w:type="character" w:styleId="nf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Asuntodelcomentario">
    <w:name w:val="annotation subject"/>
    <w:basedOn w:val="Textocomentario"/>
    <w:next w:val="Textocomentario"/>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link w:val="TextonotaalfinalCar"/>
    <w:uiPriority w:val="99"/>
    <w:rsid w:val="00424E0F"/>
    <w:pPr>
      <w:widowControl w:val="0"/>
      <w:tabs>
        <w:tab w:val="left" w:pos="-720"/>
      </w:tabs>
      <w:suppressAutoHyphens/>
    </w:pPr>
    <w:rPr>
      <w:rFonts w:ascii="Courier New" w:hAnsi="Courier New" w:cs="Times New Roman"/>
      <w:lang w:eastAsia="x-none"/>
    </w:rPr>
  </w:style>
  <w:style w:type="paragraph" w:customStyle="1" w:styleId="Heading-plain">
    <w:name w:val="Heading - plain"/>
    <w:basedOn w:val="Ttulo2"/>
    <w:next w:val="Textoindependien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Textoindependien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rsid w:val="00CA25AD"/>
    <w:rPr>
      <w:rFonts w:cs="Angsana New"/>
      <w:b/>
      <w:caps/>
      <w:sz w:val="22"/>
      <w:szCs w:val="24"/>
      <w:lang w:val="en-GB"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tulo1C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EncabezadoCar">
    <w:name w:val="Encabezado Car"/>
    <w:link w:val="Encabezado"/>
    <w:rsid w:val="00203EDB"/>
    <w:rPr>
      <w:rFonts w:cs="Angsana New"/>
      <w:sz w:val="22"/>
      <w:szCs w:val="24"/>
      <w:lang w:val="en-GB"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Bibliografa1">
    <w:name w:val="Bibliografía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eastAsia="en-US"/>
    </w:rPr>
  </w:style>
  <w:style w:type="paragraph" w:customStyle="1" w:styleId="PlainTable2">
    <w:name w:val="Plain Table 2"/>
    <w:hidden/>
    <w:uiPriority w:val="99"/>
    <w:semiHidden/>
    <w:rsid w:val="00023D05"/>
    <w:rPr>
      <w:rFonts w:cs="Angsana New"/>
      <w:sz w:val="22"/>
      <w:szCs w:val="24"/>
      <w:lang w:val="en-GB" w:eastAsia="en-US"/>
    </w:rPr>
  </w:style>
  <w:style w:type="paragraph" w:customStyle="1" w:styleId="PlainTable3">
    <w:name w:val="Plain Table 3"/>
    <w:basedOn w:val="Normal"/>
    <w:uiPriority w:val="34"/>
    <w:qFormat/>
    <w:rsid w:val="00914CF7"/>
    <w:pPr>
      <w:ind w:left="720"/>
    </w:pPr>
  </w:style>
  <w:style w:type="paragraph" w:customStyle="1" w:styleId="Listamedia1-nfasis61">
    <w:name w:val="Lista media 1 - Énfasis 61"/>
    <w:basedOn w:val="Normal"/>
    <w:uiPriority w:val="34"/>
    <w:qFormat/>
    <w:rsid w:val="009252DF"/>
    <w:pPr>
      <w:ind w:left="720"/>
    </w:pPr>
  </w:style>
  <w:style w:type="paragraph" w:customStyle="1" w:styleId="Listaoscura-nfasis31">
    <w:name w:val="Lista oscura - Énfasis 31"/>
    <w:hidden/>
    <w:uiPriority w:val="99"/>
    <w:semiHidden/>
    <w:rsid w:val="0011508D"/>
    <w:rPr>
      <w:rFonts w:cs="Angsana New"/>
      <w:sz w:val="22"/>
      <w:szCs w:val="24"/>
      <w:lang w:val="en-GB" w:eastAsia="en-US"/>
    </w:rPr>
  </w:style>
  <w:style w:type="character" w:customStyle="1" w:styleId="TextocomentarioCar">
    <w:name w:val="Texto comentario Car"/>
    <w:link w:val="Textocomentario"/>
    <w:uiPriority w:val="99"/>
    <w:semiHidden/>
    <w:rsid w:val="00D706A4"/>
    <w:rPr>
      <w:rFonts w:cs="Angsana New"/>
      <w:szCs w:val="24"/>
      <w:lang w:val="en-GB"/>
    </w:rPr>
  </w:style>
  <w:style w:type="character" w:customStyle="1" w:styleId="TextonotaalfinalCar">
    <w:name w:val="Texto nota al final Car"/>
    <w:link w:val="Textonotaalfinal"/>
    <w:uiPriority w:val="99"/>
    <w:rsid w:val="00D706A4"/>
    <w:rPr>
      <w:rFonts w:ascii="Courier New" w:hAnsi="Courier New" w:cs="Angsana New"/>
      <w:sz w:val="22"/>
      <w:szCs w:val="24"/>
      <w:lang w:val="en-GB"/>
    </w:rPr>
  </w:style>
  <w:style w:type="paragraph" w:customStyle="1" w:styleId="Sombreadovistoso-nfasis11">
    <w:name w:val="Sombreado vistoso - Énfasis 11"/>
    <w:hidden/>
    <w:uiPriority w:val="99"/>
    <w:semiHidden/>
    <w:rsid w:val="00F2010C"/>
    <w:rPr>
      <w:rFonts w:cs="Angsana New"/>
      <w:sz w:val="22"/>
      <w:szCs w:val="24"/>
      <w:lang w:val="en-GB" w:eastAsia="en-US"/>
    </w:rPr>
  </w:style>
  <w:style w:type="paragraph" w:styleId="Revisin">
    <w:name w:val="Revision"/>
    <w:hidden/>
    <w:uiPriority w:val="99"/>
    <w:semiHidden/>
    <w:rsid w:val="00C12F6F"/>
    <w:rPr>
      <w:rFonts w:cs="Angsana New"/>
      <w:sz w:val="22"/>
      <w:szCs w:val="24"/>
      <w:lang w:val="en-GB" w:eastAsia="en-US"/>
    </w:rPr>
  </w:style>
  <w:style w:type="character" w:customStyle="1" w:styleId="preferred">
    <w:name w:val="preferred"/>
    <w:basedOn w:val="Fuentedeprrafopredeter"/>
    <w:rsid w:val="0087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649595142">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fr.pdf" TargetMode="External"/><Relationship Id="rId18" Type="http://schemas.openxmlformats.org/officeDocument/2006/relationships/hyperlink" Target="https://www.cbd.int/doc/decisions/cop-12/cop-12-dec-02-f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s://www.cbd.int/doc/decisions/cop-09/cop-09-dec-09-fr.pdf" TargetMode="External"/><Relationship Id="rId17" Type="http://schemas.openxmlformats.org/officeDocument/2006/relationships/hyperlink" Target="https://www.cbd.int/doc/decisions/cop-11/cop-11-dec-03-f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recommendations/sbi-01/sbi-01-rec-01-fr.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0/cop-10-dec-10-fr.pdf"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bd.int/doc/decisions/cop-10/cop-10-dec-02-f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1/cop-11-dec-02-f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i/sbi-01/official/sbi-01-02-add2-fr.pdf" TargetMode="External"/><Relationship Id="rId2" Type="http://schemas.openxmlformats.org/officeDocument/2006/relationships/hyperlink" Target="https://www.cbd.int/doc/meetings/cop/cop-13/official/cop-13-08-add2-rev1-fr.pdf" TargetMode="External"/><Relationship Id="rId1" Type="http://schemas.openxmlformats.org/officeDocument/2006/relationships/hyperlink" Target="https://www.cbd.int/doc/c/6ce5/878e/5ffa49887c20c19961fe040a/sbi-02-01-fr.pdf" TargetMode="External"/><Relationship Id="rId4" Type="http://schemas.openxmlformats.org/officeDocument/2006/relationships/hyperlink" Target="https://www.cbd.int/doc/meetings/cop/cop-13/official/cop-13-08-add2-rev1-fr.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My%20Drive\Projects\003%20CULTURES%20CONNECTION%20MONOTRIBUTO\CBD%20(C000343)\2018\003%20March\049\009%20Final%20after%20DTP\sbi-02-02-add2-fr-Figur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My%20Drive\Projects\003%20CULTURES%20CONNECTION%20MONOTRIBUTO\CBD%20(C000343)\2018\003%20March\049\009%20Final%20after%20DTP\sbi-02-02-add2-fr-Figur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503971162763811E-2"/>
          <c:y val="4.5971433803332726E-2"/>
          <c:w val="0.63329588943026327"/>
          <c:h val="0.91166024927278377"/>
        </c:manualLayout>
      </c:layout>
      <c:barChart>
        <c:barDir val="bar"/>
        <c:grouping val="percentStacked"/>
        <c:varyColors val="0"/>
        <c:ser>
          <c:idx val="5"/>
          <c:order val="0"/>
          <c:tx>
            <c:strRef>
              <c:f>'Figure 1'!$G$2</c:f>
              <c:strCache>
                <c:ptCount val="1"/>
                <c:pt idx="0">
                  <c:v>Aucun objectif national</c:v>
                </c:pt>
              </c:strCache>
            </c:strRef>
          </c:tx>
          <c:spPr>
            <a:solidFill>
              <a:srgbClr val="D9D9D9"/>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1'!$G$3:$G$22</c:f>
              <c:numCache>
                <c:formatCode>General</c:formatCode>
                <c:ptCount val="20"/>
                <c:pt idx="0">
                  <c:v>19</c:v>
                </c:pt>
                <c:pt idx="1">
                  <c:v>24</c:v>
                </c:pt>
                <c:pt idx="2">
                  <c:v>61</c:v>
                </c:pt>
                <c:pt idx="3">
                  <c:v>37</c:v>
                </c:pt>
                <c:pt idx="4">
                  <c:v>30</c:v>
                </c:pt>
                <c:pt idx="5">
                  <c:v>51</c:v>
                </c:pt>
                <c:pt idx="6">
                  <c:v>24</c:v>
                </c:pt>
                <c:pt idx="7">
                  <c:v>43</c:v>
                </c:pt>
                <c:pt idx="8">
                  <c:v>24</c:v>
                </c:pt>
                <c:pt idx="9">
                  <c:v>65</c:v>
                </c:pt>
                <c:pt idx="10">
                  <c:v>16</c:v>
                </c:pt>
                <c:pt idx="11">
                  <c:v>22</c:v>
                </c:pt>
                <c:pt idx="12">
                  <c:v>36</c:v>
                </c:pt>
                <c:pt idx="13">
                  <c:v>50</c:v>
                </c:pt>
                <c:pt idx="14">
                  <c:v>43</c:v>
                </c:pt>
                <c:pt idx="15">
                  <c:v>46</c:v>
                </c:pt>
                <c:pt idx="16">
                  <c:v>71</c:v>
                </c:pt>
                <c:pt idx="17">
                  <c:v>48</c:v>
                </c:pt>
                <c:pt idx="18">
                  <c:v>22</c:v>
                </c:pt>
                <c:pt idx="19">
                  <c:v>36</c:v>
                </c:pt>
              </c:numCache>
            </c:numRef>
          </c:val>
        </c:ser>
        <c:ser>
          <c:idx val="0"/>
          <c:order val="1"/>
          <c:tx>
            <c:strRef>
              <c:f>'Figure 1'!$B$2</c:f>
              <c:strCache>
                <c:ptCount val="1"/>
                <c:pt idx="0">
                  <c:v>L'objectif national a peu de rapport avec l'Objectif d'Aichi</c:v>
                </c:pt>
              </c:strCache>
            </c:strRef>
          </c:tx>
          <c:spPr>
            <a:solidFill>
              <a:schemeClr val="accent2">
                <a:lumMod val="50000"/>
              </a:schemeClr>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1'!$B$3:$B$22</c:f>
              <c:numCache>
                <c:formatCode>General</c:formatCode>
                <c:ptCount val="20"/>
                <c:pt idx="0">
                  <c:v>8</c:v>
                </c:pt>
                <c:pt idx="1">
                  <c:v>15</c:v>
                </c:pt>
                <c:pt idx="2">
                  <c:v>25</c:v>
                </c:pt>
                <c:pt idx="3">
                  <c:v>25</c:v>
                </c:pt>
                <c:pt idx="4">
                  <c:v>17</c:v>
                </c:pt>
                <c:pt idx="5">
                  <c:v>21</c:v>
                </c:pt>
                <c:pt idx="6">
                  <c:v>27</c:v>
                </c:pt>
                <c:pt idx="7">
                  <c:v>19</c:v>
                </c:pt>
                <c:pt idx="8">
                  <c:v>12</c:v>
                </c:pt>
                <c:pt idx="9">
                  <c:v>27</c:v>
                </c:pt>
                <c:pt idx="10">
                  <c:v>13</c:v>
                </c:pt>
                <c:pt idx="11">
                  <c:v>9</c:v>
                </c:pt>
                <c:pt idx="12">
                  <c:v>16</c:v>
                </c:pt>
                <c:pt idx="13">
                  <c:v>27</c:v>
                </c:pt>
                <c:pt idx="14">
                  <c:v>21</c:v>
                </c:pt>
                <c:pt idx="15">
                  <c:v>11</c:v>
                </c:pt>
                <c:pt idx="16">
                  <c:v>15</c:v>
                </c:pt>
                <c:pt idx="17">
                  <c:v>22</c:v>
                </c:pt>
                <c:pt idx="18">
                  <c:v>8</c:v>
                </c:pt>
                <c:pt idx="19">
                  <c:v>10</c:v>
                </c:pt>
              </c:numCache>
            </c:numRef>
          </c:val>
        </c:ser>
        <c:ser>
          <c:idx val="1"/>
          <c:order val="2"/>
          <c:tx>
            <c:strRef>
              <c:f>'Figure 1'!$C$2</c:f>
              <c:strCache>
                <c:ptCount val="1"/>
                <c:pt idx="0">
                  <c:v>L'objectif national est bien en deça de l'Objectif d'Aichi</c:v>
                </c:pt>
              </c:strCache>
            </c:strRef>
          </c:tx>
          <c:spPr>
            <a:solidFill>
              <a:schemeClr val="accent2">
                <a:lumMod val="60000"/>
                <a:lumOff val="40000"/>
              </a:schemeClr>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1'!$C$3:$C$22</c:f>
              <c:numCache>
                <c:formatCode>General</c:formatCode>
                <c:ptCount val="20"/>
                <c:pt idx="0">
                  <c:v>17</c:v>
                </c:pt>
                <c:pt idx="1">
                  <c:v>50</c:v>
                </c:pt>
                <c:pt idx="2">
                  <c:v>18</c:v>
                </c:pt>
                <c:pt idx="3">
                  <c:v>38</c:v>
                </c:pt>
                <c:pt idx="4">
                  <c:v>56</c:v>
                </c:pt>
                <c:pt idx="5">
                  <c:v>48</c:v>
                </c:pt>
                <c:pt idx="6">
                  <c:v>53</c:v>
                </c:pt>
                <c:pt idx="7">
                  <c:v>33</c:v>
                </c:pt>
                <c:pt idx="8">
                  <c:v>45</c:v>
                </c:pt>
                <c:pt idx="9">
                  <c:v>22</c:v>
                </c:pt>
                <c:pt idx="10">
                  <c:v>59</c:v>
                </c:pt>
                <c:pt idx="11">
                  <c:v>53</c:v>
                </c:pt>
                <c:pt idx="12">
                  <c:v>49</c:v>
                </c:pt>
                <c:pt idx="13">
                  <c:v>28</c:v>
                </c:pt>
                <c:pt idx="14">
                  <c:v>28</c:v>
                </c:pt>
                <c:pt idx="15">
                  <c:v>22</c:v>
                </c:pt>
                <c:pt idx="16">
                  <c:v>16</c:v>
                </c:pt>
                <c:pt idx="17">
                  <c:v>27</c:v>
                </c:pt>
                <c:pt idx="18">
                  <c:v>24</c:v>
                </c:pt>
                <c:pt idx="19">
                  <c:v>24</c:v>
                </c:pt>
              </c:numCache>
            </c:numRef>
          </c:val>
        </c:ser>
        <c:ser>
          <c:idx val="2"/>
          <c:order val="3"/>
          <c:tx>
            <c:strRef>
              <c:f>'Figure 1'!$D$2</c:f>
              <c:strCache>
                <c:ptCount val="1"/>
                <c:pt idx="0">
                  <c:v> L'objectif national est moins ambitieux que l'Objectif d'Aichi et ne traite pas tous ses éléments</c:v>
                </c:pt>
              </c:strCache>
            </c:strRef>
          </c:tx>
          <c:spPr>
            <a:solidFill>
              <a:schemeClr val="accent6">
                <a:lumMod val="75000"/>
              </a:schemeClr>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1'!$D$3:$D$22</c:f>
              <c:numCache>
                <c:formatCode>General</c:formatCode>
                <c:ptCount val="20"/>
                <c:pt idx="0">
                  <c:v>68</c:v>
                </c:pt>
                <c:pt idx="1">
                  <c:v>54</c:v>
                </c:pt>
                <c:pt idx="2">
                  <c:v>31</c:v>
                </c:pt>
                <c:pt idx="3">
                  <c:v>36</c:v>
                </c:pt>
                <c:pt idx="4">
                  <c:v>40</c:v>
                </c:pt>
                <c:pt idx="5">
                  <c:v>21</c:v>
                </c:pt>
                <c:pt idx="6">
                  <c:v>35</c:v>
                </c:pt>
                <c:pt idx="7">
                  <c:v>37</c:v>
                </c:pt>
                <c:pt idx="8">
                  <c:v>38</c:v>
                </c:pt>
                <c:pt idx="9">
                  <c:v>27</c:v>
                </c:pt>
                <c:pt idx="10">
                  <c:v>46</c:v>
                </c:pt>
                <c:pt idx="11">
                  <c:v>40</c:v>
                </c:pt>
                <c:pt idx="12">
                  <c:v>31</c:v>
                </c:pt>
                <c:pt idx="13">
                  <c:v>25</c:v>
                </c:pt>
                <c:pt idx="14">
                  <c:v>40</c:v>
                </c:pt>
                <c:pt idx="15">
                  <c:v>44</c:v>
                </c:pt>
                <c:pt idx="16">
                  <c:v>22</c:v>
                </c:pt>
                <c:pt idx="17">
                  <c:v>35</c:v>
                </c:pt>
                <c:pt idx="18">
                  <c:v>61</c:v>
                </c:pt>
                <c:pt idx="19">
                  <c:v>52</c:v>
                </c:pt>
              </c:numCache>
            </c:numRef>
          </c:val>
        </c:ser>
        <c:ser>
          <c:idx val="3"/>
          <c:order val="4"/>
          <c:tx>
            <c:strRef>
              <c:f>'Figure 1'!$E$2</c:f>
              <c:strCache>
                <c:ptCount val="1"/>
                <c:pt idx="0">
                  <c:v>L'objectif national correspond à l'Objectif d'Aichi</c:v>
                </c:pt>
              </c:strCache>
            </c:strRef>
          </c:tx>
          <c:spPr>
            <a:solidFill>
              <a:schemeClr val="accent3">
                <a:lumMod val="50000"/>
              </a:schemeClr>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1'!$E$3:$E$22</c:f>
              <c:numCache>
                <c:formatCode>General</c:formatCode>
                <c:ptCount val="20"/>
                <c:pt idx="0">
                  <c:v>41</c:v>
                </c:pt>
                <c:pt idx="1">
                  <c:v>9</c:v>
                </c:pt>
                <c:pt idx="2">
                  <c:v>17</c:v>
                </c:pt>
                <c:pt idx="3">
                  <c:v>17</c:v>
                </c:pt>
                <c:pt idx="4">
                  <c:v>9</c:v>
                </c:pt>
                <c:pt idx="5">
                  <c:v>12</c:v>
                </c:pt>
                <c:pt idx="6">
                  <c:v>14</c:v>
                </c:pt>
                <c:pt idx="7">
                  <c:v>21</c:v>
                </c:pt>
                <c:pt idx="8">
                  <c:v>33</c:v>
                </c:pt>
                <c:pt idx="9">
                  <c:v>12</c:v>
                </c:pt>
                <c:pt idx="10">
                  <c:v>16</c:v>
                </c:pt>
                <c:pt idx="11">
                  <c:v>29</c:v>
                </c:pt>
                <c:pt idx="12">
                  <c:v>20</c:v>
                </c:pt>
                <c:pt idx="13">
                  <c:v>23</c:v>
                </c:pt>
                <c:pt idx="14">
                  <c:v>17</c:v>
                </c:pt>
                <c:pt idx="15">
                  <c:v>30</c:v>
                </c:pt>
                <c:pt idx="16">
                  <c:v>29</c:v>
                </c:pt>
                <c:pt idx="17">
                  <c:v>21</c:v>
                </c:pt>
                <c:pt idx="18">
                  <c:v>37</c:v>
                </c:pt>
                <c:pt idx="19">
                  <c:v>30</c:v>
                </c:pt>
              </c:numCache>
            </c:numRef>
          </c:val>
        </c:ser>
        <c:ser>
          <c:idx val="4"/>
          <c:order val="5"/>
          <c:tx>
            <c:strRef>
              <c:f>'Figure 1'!$F$2</c:f>
              <c:strCache>
                <c:ptCount val="1"/>
                <c:pt idx="0">
                  <c:v>L'objectif national dépasse l'étendue ou le niveau d'ambition de l'Objectif d'Aichi</c:v>
                </c:pt>
              </c:strCache>
            </c:strRef>
          </c:tx>
          <c:spPr>
            <a:solidFill>
              <a:srgbClr val="18341B"/>
            </a:solidFill>
            <a:ln w="9525">
              <a:solidFill>
                <a:schemeClr val="tx1"/>
              </a:solidFill>
            </a:ln>
          </c:spPr>
          <c:invertIfNegative val="0"/>
          <c:cat>
            <c:strRef>
              <c:f>'Figure 1'!$A$3:$A$22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1'!$F$3:$F$22</c:f>
              <c:numCache>
                <c:formatCode>General</c:formatCode>
                <c:ptCount val="20"/>
                <c:pt idx="0">
                  <c:v>0</c:v>
                </c:pt>
                <c:pt idx="1">
                  <c:v>1</c:v>
                </c:pt>
                <c:pt idx="2">
                  <c:v>1</c:v>
                </c:pt>
                <c:pt idx="3">
                  <c:v>0</c:v>
                </c:pt>
                <c:pt idx="4">
                  <c:v>1</c:v>
                </c:pt>
                <c:pt idx="5">
                  <c:v>0</c:v>
                </c:pt>
                <c:pt idx="6">
                  <c:v>0</c:v>
                </c:pt>
                <c:pt idx="7">
                  <c:v>0</c:v>
                </c:pt>
                <c:pt idx="8">
                  <c:v>1</c:v>
                </c:pt>
                <c:pt idx="9">
                  <c:v>0</c:v>
                </c:pt>
                <c:pt idx="10">
                  <c:v>3</c:v>
                </c:pt>
                <c:pt idx="11">
                  <c:v>0</c:v>
                </c:pt>
                <c:pt idx="12">
                  <c:v>1</c:v>
                </c:pt>
                <c:pt idx="13">
                  <c:v>0</c:v>
                </c:pt>
                <c:pt idx="14">
                  <c:v>4</c:v>
                </c:pt>
                <c:pt idx="15">
                  <c:v>0</c:v>
                </c:pt>
                <c:pt idx="16">
                  <c:v>0</c:v>
                </c:pt>
                <c:pt idx="17">
                  <c:v>0</c:v>
                </c:pt>
                <c:pt idx="18">
                  <c:v>1</c:v>
                </c:pt>
                <c:pt idx="19">
                  <c:v>1</c:v>
                </c:pt>
              </c:numCache>
            </c:numRef>
          </c:val>
        </c:ser>
        <c:dLbls>
          <c:showLegendKey val="0"/>
          <c:showVal val="0"/>
          <c:showCatName val="0"/>
          <c:showSerName val="0"/>
          <c:showPercent val="0"/>
          <c:showBubbleSize val="0"/>
        </c:dLbls>
        <c:gapWidth val="55"/>
        <c:overlap val="100"/>
        <c:axId val="296929152"/>
        <c:axId val="296930688"/>
      </c:barChart>
      <c:catAx>
        <c:axId val="296929152"/>
        <c:scaling>
          <c:orientation val="maxMin"/>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a:pPr>
            <a:endParaRPr lang="fr-FR"/>
          </a:p>
        </c:txPr>
        <c:crossAx val="296930688"/>
        <c:crosses val="autoZero"/>
        <c:auto val="1"/>
        <c:lblAlgn val="ctr"/>
        <c:lblOffset val="100"/>
        <c:noMultiLvlLbl val="0"/>
      </c:catAx>
      <c:valAx>
        <c:axId val="296930688"/>
        <c:scaling>
          <c:orientation val="minMax"/>
        </c:scaling>
        <c:delete val="0"/>
        <c:axPos val="t"/>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fr-FR"/>
          </a:p>
        </c:txPr>
        <c:crossAx val="296929152"/>
        <c:crosses val="autoZero"/>
        <c:crossBetween val="between"/>
      </c:valAx>
      <c:spPr>
        <a:solidFill>
          <a:srgbClr val="FFFFFF"/>
        </a:solidFill>
        <a:ln w="25400">
          <a:noFill/>
        </a:ln>
      </c:spPr>
    </c:plotArea>
    <c:legend>
      <c:legendPos val="r"/>
      <c:layout>
        <c:manualLayout>
          <c:xMode val="edge"/>
          <c:yMode val="edge"/>
          <c:x val="0.71026995499436441"/>
          <c:y val="7.0148171885491065E-2"/>
          <c:w val="0.28651601732966558"/>
          <c:h val="0.92167154977720811"/>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8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67334440135221E-2"/>
          <c:y val="2.5815255914564444E-2"/>
          <c:w val="0.72334152840614085"/>
          <c:h val="0.92145577547487412"/>
        </c:manualLayout>
      </c:layout>
      <c:barChart>
        <c:barDir val="bar"/>
        <c:grouping val="percentStacked"/>
        <c:varyColors val="0"/>
        <c:ser>
          <c:idx val="5"/>
          <c:order val="0"/>
          <c:tx>
            <c:strRef>
              <c:f>'Figure 2'!$G$2</c:f>
              <c:strCache>
                <c:ptCount val="1"/>
                <c:pt idx="0">
                  <c:v>Aucune information</c:v>
                </c:pt>
              </c:strCache>
            </c:strRef>
          </c:tx>
          <c:spPr>
            <a:solidFill>
              <a:schemeClr val="bg1">
                <a:lumMod val="85000"/>
              </a:schemeClr>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2'!$G$3:$G$22</c:f>
              <c:numCache>
                <c:formatCode>General</c:formatCode>
                <c:ptCount val="20"/>
                <c:pt idx="0">
                  <c:v>10</c:v>
                </c:pt>
                <c:pt idx="1">
                  <c:v>14</c:v>
                </c:pt>
                <c:pt idx="2">
                  <c:v>47</c:v>
                </c:pt>
                <c:pt idx="3">
                  <c:v>21</c:v>
                </c:pt>
                <c:pt idx="4">
                  <c:v>21</c:v>
                </c:pt>
                <c:pt idx="5">
                  <c:v>28</c:v>
                </c:pt>
                <c:pt idx="6">
                  <c:v>21</c:v>
                </c:pt>
                <c:pt idx="7">
                  <c:v>36</c:v>
                </c:pt>
                <c:pt idx="8">
                  <c:v>26</c:v>
                </c:pt>
                <c:pt idx="9">
                  <c:v>64</c:v>
                </c:pt>
                <c:pt idx="10">
                  <c:v>11</c:v>
                </c:pt>
                <c:pt idx="11">
                  <c:v>20</c:v>
                </c:pt>
                <c:pt idx="12">
                  <c:v>31</c:v>
                </c:pt>
                <c:pt idx="13">
                  <c:v>39</c:v>
                </c:pt>
                <c:pt idx="14">
                  <c:v>39</c:v>
                </c:pt>
                <c:pt idx="15">
                  <c:v>32</c:v>
                </c:pt>
                <c:pt idx="16">
                  <c:v>14</c:v>
                </c:pt>
                <c:pt idx="17">
                  <c:v>42</c:v>
                </c:pt>
                <c:pt idx="18">
                  <c:v>16</c:v>
                </c:pt>
                <c:pt idx="19">
                  <c:v>32</c:v>
                </c:pt>
              </c:numCache>
            </c:numRef>
          </c:val>
        </c:ser>
        <c:ser>
          <c:idx val="0"/>
          <c:order val="1"/>
          <c:tx>
            <c:strRef>
              <c:f>'Figure 2'!$B$2</c:f>
              <c:strCache>
                <c:ptCount val="1"/>
                <c:pt idx="0">
                  <c:v>S'éloigne de l'objectif</c:v>
                </c:pt>
              </c:strCache>
            </c:strRef>
          </c:tx>
          <c:spPr>
            <a:solidFill>
              <a:schemeClr val="accent2">
                <a:lumMod val="50000"/>
              </a:schemeClr>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2'!$B$3:$B$22</c:f>
              <c:numCache>
                <c:formatCode>General</c:formatCode>
                <c:ptCount val="20"/>
                <c:pt idx="0">
                  <c:v>0</c:v>
                </c:pt>
                <c:pt idx="1">
                  <c:v>1</c:v>
                </c:pt>
                <c:pt idx="2">
                  <c:v>4</c:v>
                </c:pt>
                <c:pt idx="3">
                  <c:v>4</c:v>
                </c:pt>
                <c:pt idx="4">
                  <c:v>30</c:v>
                </c:pt>
                <c:pt idx="5">
                  <c:v>7</c:v>
                </c:pt>
                <c:pt idx="6">
                  <c:v>4</c:v>
                </c:pt>
                <c:pt idx="7">
                  <c:v>17</c:v>
                </c:pt>
                <c:pt idx="8">
                  <c:v>3</c:v>
                </c:pt>
                <c:pt idx="9">
                  <c:v>14</c:v>
                </c:pt>
                <c:pt idx="10">
                  <c:v>0</c:v>
                </c:pt>
                <c:pt idx="11">
                  <c:v>13</c:v>
                </c:pt>
                <c:pt idx="12">
                  <c:v>5</c:v>
                </c:pt>
                <c:pt idx="13">
                  <c:v>6</c:v>
                </c:pt>
                <c:pt idx="14">
                  <c:v>2</c:v>
                </c:pt>
                <c:pt idx="15">
                  <c:v>0</c:v>
                </c:pt>
                <c:pt idx="16">
                  <c:v>0</c:v>
                </c:pt>
                <c:pt idx="17">
                  <c:v>0</c:v>
                </c:pt>
                <c:pt idx="18">
                  <c:v>1</c:v>
                </c:pt>
                <c:pt idx="19">
                  <c:v>5</c:v>
                </c:pt>
              </c:numCache>
            </c:numRef>
          </c:val>
        </c:ser>
        <c:ser>
          <c:idx val="1"/>
          <c:order val="2"/>
          <c:tx>
            <c:strRef>
              <c:f>'Figure 2'!$C$2</c:f>
              <c:strCache>
                <c:ptCount val="1"/>
                <c:pt idx="0">
                  <c:v>Aucune avancée</c:v>
                </c:pt>
              </c:strCache>
            </c:strRef>
          </c:tx>
          <c:spPr>
            <a:solidFill>
              <a:schemeClr val="accent2">
                <a:lumMod val="60000"/>
                <a:lumOff val="40000"/>
              </a:schemeClr>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2'!$C$3:$C$22</c:f>
              <c:numCache>
                <c:formatCode>General</c:formatCode>
                <c:ptCount val="20"/>
                <c:pt idx="0">
                  <c:v>18</c:v>
                </c:pt>
                <c:pt idx="1">
                  <c:v>41</c:v>
                </c:pt>
                <c:pt idx="2">
                  <c:v>56</c:v>
                </c:pt>
                <c:pt idx="3">
                  <c:v>58</c:v>
                </c:pt>
                <c:pt idx="4">
                  <c:v>52</c:v>
                </c:pt>
                <c:pt idx="5">
                  <c:v>55</c:v>
                </c:pt>
                <c:pt idx="6">
                  <c:v>44</c:v>
                </c:pt>
                <c:pt idx="7">
                  <c:v>52</c:v>
                </c:pt>
                <c:pt idx="8">
                  <c:v>63</c:v>
                </c:pt>
                <c:pt idx="9">
                  <c:v>44</c:v>
                </c:pt>
                <c:pt idx="10">
                  <c:v>13</c:v>
                </c:pt>
                <c:pt idx="11">
                  <c:v>53</c:v>
                </c:pt>
                <c:pt idx="12">
                  <c:v>39</c:v>
                </c:pt>
                <c:pt idx="13">
                  <c:v>44</c:v>
                </c:pt>
                <c:pt idx="14">
                  <c:v>32</c:v>
                </c:pt>
                <c:pt idx="15">
                  <c:v>44</c:v>
                </c:pt>
                <c:pt idx="16">
                  <c:v>25</c:v>
                </c:pt>
                <c:pt idx="17">
                  <c:v>39</c:v>
                </c:pt>
                <c:pt idx="18">
                  <c:v>37</c:v>
                </c:pt>
                <c:pt idx="19">
                  <c:v>49</c:v>
                </c:pt>
              </c:numCache>
            </c:numRef>
          </c:val>
        </c:ser>
        <c:ser>
          <c:idx val="2"/>
          <c:order val="3"/>
          <c:tx>
            <c:strRef>
              <c:f>'Figure 2'!$D$2</c:f>
              <c:strCache>
                <c:ptCount val="1"/>
                <c:pt idx="0">
                  <c:v>Des progrès, mais à un rythme insuffisant  </c:v>
                </c:pt>
              </c:strCache>
            </c:strRef>
          </c:tx>
          <c:spPr>
            <a:solidFill>
              <a:schemeClr val="accent6">
                <a:lumMod val="75000"/>
              </a:schemeClr>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2'!$D$3:$D$22</c:f>
              <c:numCache>
                <c:formatCode>General</c:formatCode>
                <c:ptCount val="20"/>
                <c:pt idx="0">
                  <c:v>131</c:v>
                </c:pt>
                <c:pt idx="1">
                  <c:v>119</c:v>
                </c:pt>
                <c:pt idx="2">
                  <c:v>78</c:v>
                </c:pt>
                <c:pt idx="3">
                  <c:v>102</c:v>
                </c:pt>
                <c:pt idx="4">
                  <c:v>77</c:v>
                </c:pt>
                <c:pt idx="5">
                  <c:v>92</c:v>
                </c:pt>
                <c:pt idx="6">
                  <c:v>108</c:v>
                </c:pt>
                <c:pt idx="7">
                  <c:v>78</c:v>
                </c:pt>
                <c:pt idx="8">
                  <c:v>93</c:v>
                </c:pt>
                <c:pt idx="9">
                  <c:v>62</c:v>
                </c:pt>
                <c:pt idx="10">
                  <c:v>127</c:v>
                </c:pt>
                <c:pt idx="11">
                  <c:v>97</c:v>
                </c:pt>
                <c:pt idx="12">
                  <c:v>101</c:v>
                </c:pt>
                <c:pt idx="13">
                  <c:v>96</c:v>
                </c:pt>
                <c:pt idx="14">
                  <c:v>110</c:v>
                </c:pt>
                <c:pt idx="15">
                  <c:v>78</c:v>
                </c:pt>
                <c:pt idx="16">
                  <c:v>95</c:v>
                </c:pt>
                <c:pt idx="17">
                  <c:v>80</c:v>
                </c:pt>
                <c:pt idx="18">
                  <c:v>114</c:v>
                </c:pt>
                <c:pt idx="19">
                  <c:v>89</c:v>
                </c:pt>
              </c:numCache>
            </c:numRef>
          </c:val>
        </c:ser>
        <c:ser>
          <c:idx val="3"/>
          <c:order val="4"/>
          <c:tx>
            <c:strRef>
              <c:f>'Figure 2'!$E$2</c:f>
              <c:strCache>
                <c:ptCount val="1"/>
                <c:pt idx="0">
                  <c:v>En voie d'atteindre l'objectif</c:v>
                </c:pt>
              </c:strCache>
            </c:strRef>
          </c:tx>
          <c:spPr>
            <a:solidFill>
              <a:schemeClr val="accent3">
                <a:lumMod val="50000"/>
              </a:schemeClr>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2'!$E$3:$E$22</c:f>
              <c:numCache>
                <c:formatCode>General</c:formatCode>
                <c:ptCount val="20"/>
                <c:pt idx="0">
                  <c:v>31</c:v>
                </c:pt>
                <c:pt idx="1">
                  <c:v>15</c:v>
                </c:pt>
                <c:pt idx="2">
                  <c:v>5</c:v>
                </c:pt>
                <c:pt idx="3">
                  <c:v>5</c:v>
                </c:pt>
                <c:pt idx="4">
                  <c:v>10</c:v>
                </c:pt>
                <c:pt idx="5">
                  <c:v>8</c:v>
                </c:pt>
                <c:pt idx="6">
                  <c:v>13</c:v>
                </c:pt>
                <c:pt idx="7">
                  <c:v>7</c:v>
                </c:pt>
                <c:pt idx="8">
                  <c:v>5</c:v>
                </c:pt>
                <c:pt idx="9">
                  <c:v>6</c:v>
                </c:pt>
                <c:pt idx="10">
                  <c:v>38</c:v>
                </c:pt>
                <c:pt idx="11">
                  <c:v>7</c:v>
                </c:pt>
                <c:pt idx="12">
                  <c:v>14</c:v>
                </c:pt>
                <c:pt idx="13">
                  <c:v>5</c:v>
                </c:pt>
                <c:pt idx="14">
                  <c:v>7</c:v>
                </c:pt>
                <c:pt idx="15">
                  <c:v>34</c:v>
                </c:pt>
                <c:pt idx="16">
                  <c:v>56</c:v>
                </c:pt>
                <c:pt idx="17">
                  <c:v>28</c:v>
                </c:pt>
                <c:pt idx="18">
                  <c:v>22</c:v>
                </c:pt>
                <c:pt idx="19">
                  <c:v>15</c:v>
                </c:pt>
              </c:numCache>
            </c:numRef>
          </c:val>
        </c:ser>
        <c:ser>
          <c:idx val="4"/>
          <c:order val="5"/>
          <c:tx>
            <c:strRef>
              <c:f>'Figure 2'!$F$2</c:f>
              <c:strCache>
                <c:ptCount val="1"/>
                <c:pt idx="0">
                  <c:v>En voie de dépasser l'objectif</c:v>
                </c:pt>
              </c:strCache>
            </c:strRef>
          </c:tx>
          <c:spPr>
            <a:solidFill>
              <a:srgbClr val="18341B"/>
            </a:solidFill>
            <a:ln>
              <a:solidFill>
                <a:schemeClr val="tx1"/>
              </a:solidFill>
            </a:ln>
          </c:spPr>
          <c:invertIfNegative val="0"/>
          <c:cat>
            <c:strRef>
              <c:f>'Figure 2'!$A$3:$A$22</c:f>
              <c:strCache>
                <c:ptCount val="20"/>
                <c:pt idx="0">
                  <c:v>Objectif 1</c:v>
                </c:pt>
                <c:pt idx="1">
                  <c:v>Objectif 2</c:v>
                </c:pt>
                <c:pt idx="2">
                  <c:v>Objectif 3</c:v>
                </c:pt>
                <c:pt idx="3">
                  <c:v>Objectif 4</c:v>
                </c:pt>
                <c:pt idx="4">
                  <c:v>Objectif 5</c:v>
                </c:pt>
                <c:pt idx="5">
                  <c:v>Objectif 6</c:v>
                </c:pt>
                <c:pt idx="6">
                  <c:v>Objectif 7</c:v>
                </c:pt>
                <c:pt idx="7">
                  <c:v>Objectif 8</c:v>
                </c:pt>
                <c:pt idx="8">
                  <c:v>Objectif 9</c:v>
                </c:pt>
                <c:pt idx="9">
                  <c:v>Objectif 10</c:v>
                </c:pt>
                <c:pt idx="10">
                  <c:v>Objectif 11</c:v>
                </c:pt>
                <c:pt idx="11">
                  <c:v>Objectif 12</c:v>
                </c:pt>
                <c:pt idx="12">
                  <c:v>Objectif 13</c:v>
                </c:pt>
                <c:pt idx="13">
                  <c:v>Objectif 14</c:v>
                </c:pt>
                <c:pt idx="14">
                  <c:v>Objectif 15</c:v>
                </c:pt>
                <c:pt idx="15">
                  <c:v>Objectif 16</c:v>
                </c:pt>
                <c:pt idx="16">
                  <c:v>Objectif 17</c:v>
                </c:pt>
                <c:pt idx="17">
                  <c:v>Objectif 18</c:v>
                </c:pt>
                <c:pt idx="18">
                  <c:v>Objectif 19</c:v>
                </c:pt>
                <c:pt idx="19">
                  <c:v>Objectif 20</c:v>
                </c:pt>
              </c:strCache>
            </c:strRef>
          </c:cat>
          <c:val>
            <c:numRef>
              <c:f>'Figure 2'!$F$3:$F$22</c:f>
              <c:numCache>
                <c:formatCode>General</c:formatCode>
                <c:ptCount val="20"/>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2</c:v>
                </c:pt>
                <c:pt idx="16">
                  <c:v>0</c:v>
                </c:pt>
                <c:pt idx="17">
                  <c:v>1</c:v>
                </c:pt>
                <c:pt idx="18">
                  <c:v>0</c:v>
                </c:pt>
                <c:pt idx="19">
                  <c:v>0</c:v>
                </c:pt>
              </c:numCache>
            </c:numRef>
          </c:val>
        </c:ser>
        <c:dLbls>
          <c:showLegendKey val="0"/>
          <c:showVal val="0"/>
          <c:showCatName val="0"/>
          <c:showSerName val="0"/>
          <c:showPercent val="0"/>
          <c:showBubbleSize val="0"/>
        </c:dLbls>
        <c:gapWidth val="55"/>
        <c:overlap val="100"/>
        <c:axId val="297810944"/>
        <c:axId val="297837312"/>
      </c:barChart>
      <c:catAx>
        <c:axId val="297810944"/>
        <c:scaling>
          <c:orientation val="maxMin"/>
        </c:scaling>
        <c:delete val="0"/>
        <c:axPos val="l"/>
        <c:numFmt formatCode="General" sourceLinked="1"/>
        <c:majorTickMark val="none"/>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297837312"/>
        <c:crosses val="autoZero"/>
        <c:auto val="1"/>
        <c:lblAlgn val="ctr"/>
        <c:lblOffset val="100"/>
        <c:noMultiLvlLbl val="0"/>
      </c:catAx>
      <c:valAx>
        <c:axId val="297837312"/>
        <c:scaling>
          <c:orientation val="minMax"/>
        </c:scaling>
        <c:delete val="0"/>
        <c:axPos val="t"/>
        <c:majorGridlines/>
        <c:numFmt formatCode="0%" sourceLinked="0"/>
        <c:majorTickMark val="none"/>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fr-FR"/>
          </a:p>
        </c:txPr>
        <c:crossAx val="297810944"/>
        <c:crosses val="autoZero"/>
        <c:crossBetween val="between"/>
      </c:valAx>
    </c:plotArea>
    <c:legend>
      <c:legendPos val="r"/>
      <c:legendEntry>
        <c:idx val="0"/>
        <c:txPr>
          <a:bodyPr/>
          <a:lstStyle/>
          <a:p>
            <a:pPr>
              <a:defRPr sz="800" b="0" i="0" u="none" strike="noStrike" baseline="0">
                <a:solidFill>
                  <a:srgbClr val="000000"/>
                </a:solidFill>
                <a:latin typeface="Times New Roman"/>
                <a:ea typeface="Times New Roman"/>
                <a:cs typeface="Times New Roman"/>
              </a:defRPr>
            </a:pPr>
            <a:endParaRPr lang="fr-FR"/>
          </a:p>
        </c:txPr>
      </c:legendEntry>
      <c:legendEntry>
        <c:idx val="1"/>
        <c:txPr>
          <a:bodyPr/>
          <a:lstStyle/>
          <a:p>
            <a:pPr>
              <a:defRPr sz="800" b="0" i="0" u="none" strike="noStrike" baseline="0">
                <a:solidFill>
                  <a:srgbClr val="000000"/>
                </a:solidFill>
                <a:latin typeface="Times New Roman"/>
                <a:ea typeface="Times New Roman"/>
                <a:cs typeface="Times New Roman"/>
              </a:defRPr>
            </a:pPr>
            <a:endParaRPr lang="fr-FR"/>
          </a:p>
        </c:txPr>
      </c:legendEntry>
      <c:layout>
        <c:manualLayout>
          <c:xMode val="edge"/>
          <c:yMode val="edge"/>
          <c:x val="0.7947155941370706"/>
          <c:y val="5.9894222559529461E-2"/>
          <c:w val="0.19240976756463313"/>
          <c:h val="0.8518423299497202"/>
        </c:manualLayout>
      </c:layout>
      <c:overlay val="0"/>
      <c:txPr>
        <a:bodyPr/>
        <a:lstStyle/>
        <a:p>
          <a:pPr>
            <a:defRPr sz="800" b="0" i="0" u="none" strike="noStrike" baseline="0">
              <a:solidFill>
                <a:srgbClr val="000000"/>
              </a:solidFill>
              <a:latin typeface="Times New Roman"/>
              <a:ea typeface="Times New Roman"/>
              <a:cs typeface="Times New Roman"/>
            </a:defRPr>
          </a:pPr>
          <a:endParaRPr lang="fr-F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1F42-699F-4024-9C23-AFD8C499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9970</Words>
  <Characters>54835</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BIODIVERSITY</Company>
  <LinksUpToDate>false</LinksUpToDate>
  <CharactersWithSpaces>64676</CharactersWithSpaces>
  <SharedDoc>false</SharedDoc>
  <HLinks>
    <vt:vector size="72" baseType="variant">
      <vt:variant>
        <vt:i4>655442</vt:i4>
      </vt:variant>
      <vt:variant>
        <vt:i4>21</vt:i4>
      </vt:variant>
      <vt:variant>
        <vt:i4>0</vt:i4>
      </vt:variant>
      <vt:variant>
        <vt:i4>5</vt:i4>
      </vt:variant>
      <vt:variant>
        <vt:lpwstr>https://www.cbd.int/doc/decisions/cop-10/cop-10-dec-02-fr.pdf</vt:lpwstr>
      </vt:variant>
      <vt:variant>
        <vt:lpwstr/>
      </vt:variant>
      <vt:variant>
        <vt:i4>524368</vt:i4>
      </vt:variant>
      <vt:variant>
        <vt:i4>18</vt:i4>
      </vt:variant>
      <vt:variant>
        <vt:i4>0</vt:i4>
      </vt:variant>
      <vt:variant>
        <vt:i4>5</vt:i4>
      </vt:variant>
      <vt:variant>
        <vt:lpwstr>https://www.cbd.int/doc/decisions/cop-12/cop-12-dec-02-fr.pdf</vt:lpwstr>
      </vt:variant>
      <vt:variant>
        <vt:lpwstr/>
      </vt:variant>
      <vt:variant>
        <vt:i4>655443</vt:i4>
      </vt:variant>
      <vt:variant>
        <vt:i4>15</vt:i4>
      </vt:variant>
      <vt:variant>
        <vt:i4>0</vt:i4>
      </vt:variant>
      <vt:variant>
        <vt:i4>5</vt:i4>
      </vt:variant>
      <vt:variant>
        <vt:lpwstr>https://www.cbd.int/doc/decisions/cop-11/cop-11-dec-03-fr.pdf</vt:lpwstr>
      </vt:variant>
      <vt:variant>
        <vt:lpwstr/>
      </vt:variant>
      <vt:variant>
        <vt:i4>6881341</vt:i4>
      </vt:variant>
      <vt:variant>
        <vt:i4>12</vt:i4>
      </vt:variant>
      <vt:variant>
        <vt:i4>0</vt:i4>
      </vt:variant>
      <vt:variant>
        <vt:i4>5</vt:i4>
      </vt:variant>
      <vt:variant>
        <vt:lpwstr>https://www.cbd.int/doc/recommendations/sbi-01/sbi-01-rec-01-fr.pdf</vt:lpwstr>
      </vt:variant>
      <vt:variant>
        <vt:lpwstr/>
      </vt:variant>
      <vt:variant>
        <vt:i4>524371</vt:i4>
      </vt:variant>
      <vt:variant>
        <vt:i4>9</vt:i4>
      </vt:variant>
      <vt:variant>
        <vt:i4>0</vt:i4>
      </vt:variant>
      <vt:variant>
        <vt:i4>5</vt:i4>
      </vt:variant>
      <vt:variant>
        <vt:lpwstr>https://www.cbd.int/doc/decisions/cop-10/cop-10-dec-10-fr.pdf</vt:lpwstr>
      </vt:variant>
      <vt:variant>
        <vt:lpwstr/>
      </vt:variant>
      <vt:variant>
        <vt:i4>720979</vt:i4>
      </vt:variant>
      <vt:variant>
        <vt:i4>6</vt:i4>
      </vt:variant>
      <vt:variant>
        <vt:i4>0</vt:i4>
      </vt:variant>
      <vt:variant>
        <vt:i4>5</vt:i4>
      </vt:variant>
      <vt:variant>
        <vt:lpwstr>https://www.cbd.int/doc/decisions/cop-11/cop-11-dec-02-fr.pdf</vt:lpwstr>
      </vt:variant>
      <vt:variant>
        <vt:lpwstr/>
      </vt:variant>
      <vt:variant>
        <vt:i4>655441</vt:i4>
      </vt:variant>
      <vt:variant>
        <vt:i4>3</vt:i4>
      </vt:variant>
      <vt:variant>
        <vt:i4>0</vt:i4>
      </vt:variant>
      <vt:variant>
        <vt:i4>5</vt:i4>
      </vt:variant>
      <vt:variant>
        <vt:lpwstr>https://www.cbd.int/doc/decisions/cop-13/cop-13-dec-01-fr.pdf</vt:lpwstr>
      </vt:variant>
      <vt:variant>
        <vt:lpwstr/>
      </vt:variant>
      <vt:variant>
        <vt:i4>589914</vt:i4>
      </vt:variant>
      <vt:variant>
        <vt:i4>0</vt:i4>
      </vt:variant>
      <vt:variant>
        <vt:i4>0</vt:i4>
      </vt:variant>
      <vt:variant>
        <vt:i4>5</vt:i4>
      </vt:variant>
      <vt:variant>
        <vt:lpwstr>https://www.cbd.int/doc/decisions/cop-09/cop-09-dec-09-fr.pdf</vt:lpwstr>
      </vt:variant>
      <vt:variant>
        <vt:lpwstr/>
      </vt:variant>
      <vt:variant>
        <vt:i4>7995504</vt:i4>
      </vt:variant>
      <vt:variant>
        <vt:i4>9</vt:i4>
      </vt:variant>
      <vt:variant>
        <vt:i4>0</vt:i4>
      </vt:variant>
      <vt:variant>
        <vt:i4>5</vt:i4>
      </vt:variant>
      <vt:variant>
        <vt:lpwstr>https://www.cbd.int/doc/meetings/cop/cop-13/official/cop-13-08-add2-rev1-fr.pdf</vt:lpwstr>
      </vt:variant>
      <vt:variant>
        <vt:lpwstr/>
      </vt:variant>
      <vt:variant>
        <vt:i4>6619258</vt:i4>
      </vt:variant>
      <vt:variant>
        <vt:i4>6</vt:i4>
      </vt:variant>
      <vt:variant>
        <vt:i4>0</vt:i4>
      </vt:variant>
      <vt:variant>
        <vt:i4>5</vt:i4>
      </vt:variant>
      <vt:variant>
        <vt:lpwstr>https://www.cbd.int/doc/meetings/sbi/sbi-01/official/sbi-01-02-add2-fr.pdf</vt:lpwstr>
      </vt:variant>
      <vt:variant>
        <vt:lpwstr/>
      </vt:variant>
      <vt:variant>
        <vt:i4>7995504</vt:i4>
      </vt:variant>
      <vt:variant>
        <vt:i4>3</vt:i4>
      </vt:variant>
      <vt:variant>
        <vt:i4>0</vt:i4>
      </vt:variant>
      <vt:variant>
        <vt:i4>5</vt:i4>
      </vt:variant>
      <vt:variant>
        <vt:lpwstr>https://www.cbd.int/doc/meetings/cop/cop-13/official/cop-13-08-add2-rev1-fr.pdf</vt:lpwstr>
      </vt:variant>
      <vt:variant>
        <vt:lpwstr/>
      </vt:variant>
      <vt:variant>
        <vt:i4>1376269</vt:i4>
      </vt:variant>
      <vt:variant>
        <vt:i4>0</vt:i4>
      </vt:variant>
      <vt:variant>
        <vt:i4>0</vt:i4>
      </vt:variant>
      <vt:variant>
        <vt:i4>5</vt:i4>
      </vt:variant>
      <vt:variant>
        <vt:lpwstr>https://www.cbd.int/doc/c/6ce5/878e/5ffa49887c20c19961fe040a/sbi-02-01-fr.pdf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Luffi</cp:lastModifiedBy>
  <cp:revision>9</cp:revision>
  <cp:lastPrinted>2016-01-18T10:49:00Z</cp:lastPrinted>
  <dcterms:created xsi:type="dcterms:W3CDTF">2018-03-26T14:15:00Z</dcterms:created>
  <dcterms:modified xsi:type="dcterms:W3CDTF">2018-03-27T12:25:00Z</dcterms:modified>
</cp:coreProperties>
</file>