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482021" w:rsidTr="0084008D">
        <w:trPr>
          <w:cantSplit/>
          <w:trHeight w:val="1080"/>
        </w:trPr>
        <w:tc>
          <w:tcPr>
            <w:tcW w:w="6588" w:type="dxa"/>
            <w:gridSpan w:val="2"/>
            <w:tcBorders>
              <w:top w:val="nil"/>
              <w:left w:val="nil"/>
              <w:bottom w:val="single" w:sz="12" w:space="0" w:color="auto"/>
              <w:right w:val="nil"/>
            </w:tcBorders>
          </w:tcPr>
          <w:p w:rsidR="0084008D" w:rsidRPr="00482021" w:rsidRDefault="0084008D" w:rsidP="00084BB4">
            <w:pPr>
              <w:pStyle w:val="Heading2"/>
              <w:tabs>
                <w:tab w:val="right" w:pos="6372"/>
              </w:tabs>
              <w:bidi w:val="0"/>
              <w:spacing w:before="120" w:after="0"/>
              <w:jc w:val="left"/>
              <w:rPr>
                <w:rFonts w:ascii="Univers" w:hAnsi="Univers"/>
                <w:bCs w:val="0"/>
                <w:sz w:val="32"/>
                <w:szCs w:val="32"/>
                <w:lang w:val="en-CA"/>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84008D" w:rsidRPr="00482021" w:rsidRDefault="0033059D" w:rsidP="0084008D">
            <w:pPr>
              <w:tabs>
                <w:tab w:val="left" w:pos="-720"/>
              </w:tabs>
              <w:suppressAutoHyphens/>
              <w:jc w:val="center"/>
              <w:rPr>
                <w:b/>
                <w:bCs/>
                <w:lang w:bidi="ar-EG"/>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54.4pt;height:44pt;visibility:visible">
                  <v:imagedata r:id="rId8" o:title="" cropleft="2880f" cropright="2880f"/>
                  <o:lock v:ext="edit" aspectratio="f"/>
                </v:shape>
              </w:pict>
            </w:r>
          </w:p>
        </w:tc>
        <w:tc>
          <w:tcPr>
            <w:tcW w:w="1620" w:type="dxa"/>
            <w:tcBorders>
              <w:top w:val="nil"/>
              <w:left w:val="nil"/>
              <w:bottom w:val="single" w:sz="12" w:space="0" w:color="auto"/>
              <w:right w:val="nil"/>
            </w:tcBorders>
          </w:tcPr>
          <w:p w:rsidR="0084008D" w:rsidRPr="00482021" w:rsidRDefault="00844E8D" w:rsidP="0084008D">
            <w:pPr>
              <w:tabs>
                <w:tab w:val="left" w:pos="-720"/>
              </w:tabs>
              <w:suppressAutoHyphens/>
              <w:spacing w:before="120"/>
              <w:jc w:val="center"/>
            </w:pPr>
            <w:r>
              <w:rPr>
                <w:noProof/>
              </w:rPr>
              <w:pict>
                <v:shape id="Image 2" o:spid="_x0000_i1026" type="#_x0000_t75" style="width:40pt;height:45.6pt;visibility:visible">
                  <v:imagedata r:id="rId9" o:title=""/>
                </v:shape>
              </w:pict>
            </w:r>
          </w:p>
          <w:p w:rsidR="0084008D" w:rsidRPr="00482021" w:rsidRDefault="0084008D" w:rsidP="0084008D">
            <w:pPr>
              <w:tabs>
                <w:tab w:val="left" w:pos="-720"/>
              </w:tabs>
              <w:suppressAutoHyphens/>
              <w:spacing w:line="120" w:lineRule="auto"/>
            </w:pPr>
          </w:p>
        </w:tc>
      </w:tr>
      <w:tr w:rsidR="0084008D" w:rsidRPr="00482021" w:rsidTr="0084008D">
        <w:trPr>
          <w:cantSplit/>
          <w:trHeight w:val="1770"/>
        </w:trPr>
        <w:tc>
          <w:tcPr>
            <w:tcW w:w="4428" w:type="dxa"/>
            <w:tcBorders>
              <w:top w:val="nil"/>
              <w:left w:val="nil"/>
              <w:bottom w:val="single" w:sz="24" w:space="0" w:color="auto"/>
              <w:right w:val="nil"/>
            </w:tcBorders>
          </w:tcPr>
          <w:p w:rsidR="0084008D" w:rsidRPr="00FC32BA" w:rsidRDefault="0084008D" w:rsidP="0084008D">
            <w:pPr>
              <w:bidi w:val="0"/>
              <w:spacing w:before="60"/>
              <w:rPr>
                <w:sz w:val="22"/>
                <w:szCs w:val="22"/>
              </w:rPr>
            </w:pPr>
            <w:r w:rsidRPr="00FC32BA">
              <w:rPr>
                <w:sz w:val="22"/>
                <w:szCs w:val="22"/>
              </w:rPr>
              <w:t>Distr.</w:t>
            </w:r>
          </w:p>
          <w:p w:rsidR="0084008D" w:rsidRPr="00FC32BA" w:rsidRDefault="0084008D" w:rsidP="0084008D">
            <w:pPr>
              <w:bidi w:val="0"/>
              <w:rPr>
                <w:sz w:val="22"/>
                <w:szCs w:val="22"/>
              </w:rPr>
            </w:pPr>
            <w:r w:rsidRPr="00FC32BA">
              <w:rPr>
                <w:sz w:val="22"/>
                <w:szCs w:val="22"/>
              </w:rPr>
              <w:t>GENERAL</w:t>
            </w:r>
          </w:p>
          <w:p w:rsidR="0084008D" w:rsidRPr="00FC32BA" w:rsidRDefault="0084008D" w:rsidP="0084008D">
            <w:pPr>
              <w:pStyle w:val="Heading3"/>
              <w:bidi w:val="0"/>
              <w:spacing w:before="0" w:after="0" w:line="240" w:lineRule="auto"/>
              <w:jc w:val="left"/>
              <w:rPr>
                <w:sz w:val="22"/>
                <w:szCs w:val="22"/>
                <w:lang w:val="en-US"/>
              </w:rPr>
            </w:pPr>
          </w:p>
          <w:p w:rsidR="0084008D" w:rsidRPr="00FC32BA" w:rsidRDefault="0084008D" w:rsidP="00BA133E">
            <w:pPr>
              <w:bidi w:val="0"/>
              <w:rPr>
                <w:sz w:val="22"/>
                <w:szCs w:val="22"/>
                <w:lang w:val="en-CA" w:bidi="ar-EG"/>
              </w:rPr>
            </w:pPr>
            <w:r w:rsidRPr="00FC32BA">
              <w:rPr>
                <w:sz w:val="22"/>
                <w:szCs w:val="22"/>
              </w:rPr>
              <w:t>CBD/SBSTTA/</w:t>
            </w:r>
            <w:r w:rsidR="00FC32BA" w:rsidRPr="00FC32BA">
              <w:rPr>
                <w:sz w:val="22"/>
                <w:szCs w:val="22"/>
                <w:lang w:bidi="ar-EG"/>
              </w:rPr>
              <w:t>2</w:t>
            </w:r>
            <w:r w:rsidR="00F6000A">
              <w:rPr>
                <w:sz w:val="22"/>
                <w:szCs w:val="22"/>
                <w:lang w:bidi="ar-EG"/>
              </w:rPr>
              <w:t>2</w:t>
            </w:r>
            <w:r w:rsidRPr="00FC32BA">
              <w:rPr>
                <w:rFonts w:cs="Times New Roman"/>
                <w:sz w:val="22"/>
                <w:szCs w:val="22"/>
                <w:lang w:bidi="ar-EG"/>
              </w:rPr>
              <w:t>/</w:t>
            </w:r>
            <w:r w:rsidR="00BA133E">
              <w:rPr>
                <w:rFonts w:cs="Times New Roman"/>
                <w:sz w:val="22"/>
                <w:szCs w:val="22"/>
                <w:lang w:bidi="ar-EG"/>
              </w:rPr>
              <w:t>9</w:t>
            </w:r>
          </w:p>
          <w:p w:rsidR="00D67361" w:rsidRPr="00F6000A" w:rsidRDefault="00BA133E" w:rsidP="00BA133E">
            <w:pPr>
              <w:bidi w:val="0"/>
              <w:jc w:val="left"/>
              <w:rPr>
                <w:sz w:val="22"/>
                <w:szCs w:val="22"/>
                <w:lang w:val="en-GB"/>
              </w:rPr>
            </w:pPr>
            <w:r>
              <w:rPr>
                <w:sz w:val="22"/>
                <w:szCs w:val="22"/>
                <w:lang w:val="en-GB"/>
              </w:rPr>
              <w:t>28</w:t>
            </w:r>
            <w:r w:rsidR="00F6000A" w:rsidRPr="00F6000A">
              <w:rPr>
                <w:sz w:val="22"/>
                <w:szCs w:val="22"/>
                <w:lang w:val="en-GB"/>
              </w:rPr>
              <w:t xml:space="preserve"> </w:t>
            </w:r>
            <w:r>
              <w:rPr>
                <w:sz w:val="22"/>
                <w:szCs w:val="22"/>
                <w:lang w:val="en-GB"/>
              </w:rPr>
              <w:t>April</w:t>
            </w:r>
            <w:r w:rsidR="00F6000A" w:rsidRPr="00F6000A">
              <w:rPr>
                <w:sz w:val="22"/>
                <w:szCs w:val="22"/>
                <w:lang w:val="en-GB"/>
              </w:rPr>
              <w:t xml:space="preserve"> </w:t>
            </w:r>
            <w:r w:rsidR="007765CA">
              <w:rPr>
                <w:sz w:val="22"/>
                <w:szCs w:val="22"/>
                <w:lang w:val="en-GB"/>
              </w:rPr>
              <w:t>2018</w:t>
            </w:r>
          </w:p>
          <w:p w:rsidR="0084008D" w:rsidRPr="00FC32BA"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p>
          <w:p w:rsidR="0084008D" w:rsidRPr="00FC32BA"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84008D" w:rsidRPr="00FC32BA" w:rsidRDefault="0084008D" w:rsidP="0084008D">
            <w:pPr>
              <w:tabs>
                <w:tab w:val="left" w:pos="-720"/>
              </w:tabs>
              <w:suppressAutoHyphens/>
              <w:bidi w:val="0"/>
              <w:spacing w:after="40"/>
              <w:rPr>
                <w:sz w:val="22"/>
                <w:szCs w:val="22"/>
              </w:rPr>
            </w:pPr>
            <w:r w:rsidRPr="00FC32BA">
              <w:rPr>
                <w:sz w:val="22"/>
                <w:szCs w:val="22"/>
              </w:rPr>
              <w:t xml:space="preserve">ORIGINAL: ENGLISH </w:t>
            </w:r>
          </w:p>
        </w:tc>
        <w:tc>
          <w:tcPr>
            <w:tcW w:w="5220" w:type="dxa"/>
            <w:gridSpan w:val="3"/>
            <w:tcBorders>
              <w:top w:val="nil"/>
              <w:left w:val="nil"/>
              <w:bottom w:val="single" w:sz="24" w:space="0" w:color="auto"/>
              <w:right w:val="nil"/>
            </w:tcBorders>
          </w:tcPr>
          <w:p w:rsidR="0084008D" w:rsidRPr="00482021" w:rsidRDefault="00844E8D" w:rsidP="0084008D">
            <w:pPr>
              <w:tabs>
                <w:tab w:val="left" w:pos="-720"/>
              </w:tabs>
              <w:suppressAutoHyphens/>
              <w:spacing w:before="120"/>
              <w:jc w:val="both"/>
              <w:rPr>
                <w:rtl/>
                <w:lang w:bidi="ar-EG"/>
              </w:rPr>
            </w:pPr>
            <w:r>
              <w:rPr>
                <w:b/>
                <w:noProof/>
                <w:sz w:val="36"/>
                <w:szCs w:val="36"/>
              </w:rPr>
              <w:pict>
                <v:shape id="Image 3" o:spid="_x0000_i1027" type="#_x0000_t75" alt="CBD_logo_ar-CMYK-black  Converted " style="width:201.6pt;height:80.8pt;visibility:visible">
                  <v:imagedata r:id="rId10" o:title="CBD_logo_ar-CMYK-black  Converted "/>
                </v:shape>
              </w:pict>
            </w:r>
          </w:p>
        </w:tc>
      </w:tr>
    </w:tbl>
    <w:p w:rsidR="0008758D" w:rsidRPr="00482021" w:rsidRDefault="0008758D" w:rsidP="0008758D">
      <w:pPr>
        <w:spacing w:before="60"/>
        <w:rPr>
          <w:b/>
          <w:bCs/>
          <w:sz w:val="26"/>
          <w:szCs w:val="26"/>
          <w:rtl/>
          <w:lang w:bidi="ar-EG"/>
        </w:rPr>
      </w:pPr>
      <w:r w:rsidRPr="00482021">
        <w:rPr>
          <w:rFonts w:hint="cs"/>
          <w:b/>
          <w:bCs/>
          <w:sz w:val="26"/>
          <w:szCs w:val="26"/>
          <w:rtl/>
        </w:rPr>
        <w:t>الهيئة الفرعية للمشورة العلمية والتقنية والتكنولوجية</w:t>
      </w:r>
    </w:p>
    <w:p w:rsidR="0008758D" w:rsidRPr="00482021" w:rsidRDefault="0008758D" w:rsidP="00CF1B2E">
      <w:pPr>
        <w:rPr>
          <w:sz w:val="26"/>
          <w:szCs w:val="26"/>
          <w:rtl/>
        </w:rPr>
      </w:pPr>
      <w:r w:rsidRPr="00482021">
        <w:rPr>
          <w:rFonts w:hint="cs"/>
          <w:sz w:val="26"/>
          <w:szCs w:val="26"/>
          <w:rtl/>
        </w:rPr>
        <w:t xml:space="preserve">الاجتماع </w:t>
      </w:r>
      <w:r w:rsidR="00FC32BA">
        <w:rPr>
          <w:rFonts w:hint="cs"/>
          <w:sz w:val="26"/>
          <w:szCs w:val="26"/>
          <w:rtl/>
          <w:lang w:bidi="ar-EG"/>
        </w:rPr>
        <w:t>ال</w:t>
      </w:r>
      <w:r w:rsidR="00CF1B2E">
        <w:rPr>
          <w:rFonts w:hint="cs"/>
          <w:sz w:val="26"/>
          <w:szCs w:val="26"/>
          <w:rtl/>
          <w:lang w:bidi="ar-EG"/>
        </w:rPr>
        <w:t>ثاني</w:t>
      </w:r>
      <w:r w:rsidR="00FC32BA">
        <w:rPr>
          <w:rFonts w:hint="cs"/>
          <w:sz w:val="26"/>
          <w:szCs w:val="26"/>
          <w:rtl/>
          <w:lang w:bidi="ar-EG"/>
        </w:rPr>
        <w:t xml:space="preserve"> و</w:t>
      </w:r>
      <w:r w:rsidR="00AA285E" w:rsidRPr="00482021">
        <w:rPr>
          <w:rFonts w:hint="cs"/>
          <w:sz w:val="26"/>
          <w:szCs w:val="26"/>
          <w:rtl/>
        </w:rPr>
        <w:t>العشرون</w:t>
      </w:r>
    </w:p>
    <w:p w:rsidR="0008758D" w:rsidRPr="00482021" w:rsidRDefault="000E409E" w:rsidP="007765CA">
      <w:pPr>
        <w:rPr>
          <w:sz w:val="26"/>
          <w:szCs w:val="26"/>
          <w:rtl/>
          <w:lang w:bidi="ar-EG"/>
        </w:rPr>
      </w:pPr>
      <w:r w:rsidRPr="00482021">
        <w:rPr>
          <w:rFonts w:ascii="Arial" w:hAnsi="Arial" w:cs="Arial"/>
          <w:sz w:val="26"/>
          <w:szCs w:val="26"/>
          <w:rtl/>
          <w:lang w:bidi="ar-EG"/>
        </w:rPr>
        <w:t>مونتريال</w:t>
      </w:r>
      <w:r w:rsidRPr="00482021">
        <w:rPr>
          <w:rFonts w:hint="cs"/>
          <w:sz w:val="26"/>
          <w:szCs w:val="26"/>
          <w:rtl/>
          <w:lang w:bidi="ar-EG"/>
        </w:rPr>
        <w:t>،</w:t>
      </w:r>
      <w:r w:rsidR="005A7089" w:rsidRPr="00482021">
        <w:rPr>
          <w:rFonts w:hint="cs"/>
          <w:sz w:val="26"/>
          <w:szCs w:val="26"/>
          <w:rtl/>
          <w:lang w:bidi="ar-EG"/>
        </w:rPr>
        <w:t xml:space="preserve"> كندا،</w:t>
      </w:r>
      <w:r w:rsidRPr="00482021">
        <w:rPr>
          <w:rFonts w:hint="cs"/>
          <w:sz w:val="26"/>
          <w:szCs w:val="26"/>
          <w:rtl/>
          <w:lang w:bidi="ar-EG"/>
        </w:rPr>
        <w:t xml:space="preserve"> </w:t>
      </w:r>
      <w:r w:rsidR="00F6000A">
        <w:rPr>
          <w:sz w:val="26"/>
          <w:szCs w:val="26"/>
          <w:lang w:bidi="ar-EG"/>
        </w:rPr>
        <w:t>2</w:t>
      </w:r>
      <w:r w:rsidR="00FC32BA">
        <w:rPr>
          <w:rFonts w:hint="cs"/>
          <w:sz w:val="26"/>
          <w:szCs w:val="26"/>
          <w:rtl/>
          <w:lang w:bidi="ar-EG"/>
        </w:rPr>
        <w:t>-</w:t>
      </w:r>
      <w:r w:rsidR="00F6000A">
        <w:rPr>
          <w:sz w:val="26"/>
          <w:szCs w:val="26"/>
          <w:lang w:bidi="ar-EG"/>
        </w:rPr>
        <w:t>7</w:t>
      </w:r>
      <w:r w:rsidR="00FC32BA">
        <w:rPr>
          <w:rFonts w:hint="cs"/>
          <w:sz w:val="26"/>
          <w:szCs w:val="26"/>
          <w:rtl/>
          <w:lang w:bidi="ar-EG"/>
        </w:rPr>
        <w:t xml:space="preserve"> </w:t>
      </w:r>
      <w:r w:rsidR="007765CA">
        <w:rPr>
          <w:rFonts w:hint="cs"/>
          <w:sz w:val="26"/>
          <w:szCs w:val="26"/>
          <w:rtl/>
          <w:lang w:bidi="ar-EG"/>
        </w:rPr>
        <w:t>يوليو</w:t>
      </w:r>
      <w:r w:rsidR="00B96CA4">
        <w:rPr>
          <w:rFonts w:hint="cs"/>
          <w:sz w:val="26"/>
          <w:szCs w:val="26"/>
          <w:rtl/>
          <w:lang w:bidi="ar-EG"/>
        </w:rPr>
        <w:t>/تموز</w:t>
      </w:r>
      <w:r w:rsidR="00FC32BA">
        <w:rPr>
          <w:rFonts w:hint="cs"/>
          <w:sz w:val="26"/>
          <w:szCs w:val="26"/>
          <w:rtl/>
          <w:lang w:bidi="ar-EG"/>
        </w:rPr>
        <w:t xml:space="preserve"> </w:t>
      </w:r>
      <w:r w:rsidR="007765CA">
        <w:rPr>
          <w:rFonts w:hint="cs"/>
          <w:sz w:val="26"/>
          <w:szCs w:val="26"/>
          <w:rtl/>
          <w:lang w:bidi="ar-EG"/>
        </w:rPr>
        <w:t>2018</w:t>
      </w:r>
    </w:p>
    <w:p w:rsidR="0097564A" w:rsidRPr="00482021" w:rsidRDefault="0097564A" w:rsidP="00836797">
      <w:pPr>
        <w:rPr>
          <w:sz w:val="26"/>
          <w:szCs w:val="26"/>
          <w:rtl/>
          <w:lang w:bidi="ar-EG"/>
        </w:rPr>
      </w:pPr>
      <w:r w:rsidRPr="00482021">
        <w:rPr>
          <w:rFonts w:hint="cs"/>
          <w:sz w:val="26"/>
          <w:szCs w:val="26"/>
          <w:rtl/>
          <w:lang w:bidi="ar-EG"/>
        </w:rPr>
        <w:t xml:space="preserve">البند </w:t>
      </w:r>
      <w:r w:rsidR="00BA133E">
        <w:rPr>
          <w:sz w:val="26"/>
          <w:szCs w:val="26"/>
          <w:lang w:bidi="ar-EG"/>
        </w:rPr>
        <w:t>10</w:t>
      </w:r>
      <w:r w:rsidRPr="00482021">
        <w:rPr>
          <w:rFonts w:hint="cs"/>
          <w:sz w:val="26"/>
          <w:szCs w:val="26"/>
          <w:rtl/>
          <w:lang w:bidi="ar-EG"/>
        </w:rPr>
        <w:t xml:space="preserve"> من جدول الأعمال المؤ</w:t>
      </w:r>
      <w:r w:rsidR="009F1C99" w:rsidRPr="00482021">
        <w:rPr>
          <w:rFonts w:hint="cs"/>
          <w:sz w:val="26"/>
          <w:szCs w:val="26"/>
          <w:rtl/>
          <w:lang w:bidi="ar-EG"/>
        </w:rPr>
        <w:t>ق</w:t>
      </w:r>
      <w:r w:rsidRPr="00482021">
        <w:rPr>
          <w:rFonts w:hint="cs"/>
          <w:sz w:val="26"/>
          <w:szCs w:val="26"/>
          <w:rtl/>
          <w:lang w:bidi="ar-EG"/>
        </w:rPr>
        <w:t>ت</w:t>
      </w:r>
      <w:r w:rsidR="00752DF2">
        <w:rPr>
          <w:rStyle w:val="FootnoteReference"/>
          <w:sz w:val="26"/>
          <w:rtl/>
        </w:rPr>
        <w:footnoteReference w:customMarkFollows="1" w:id="1"/>
        <w:t>*</w:t>
      </w:r>
    </w:p>
    <w:p w:rsidR="0008758D" w:rsidRDefault="0008758D" w:rsidP="000E409E">
      <w:pPr>
        <w:spacing w:line="120" w:lineRule="auto"/>
        <w:rPr>
          <w:rtl/>
          <w:lang w:bidi="ar-EG"/>
        </w:rPr>
      </w:pPr>
    </w:p>
    <w:p w:rsidR="00227066" w:rsidRDefault="00227066" w:rsidP="000E409E">
      <w:pPr>
        <w:spacing w:line="120" w:lineRule="auto"/>
        <w:rPr>
          <w:lang w:bidi="ar-EG"/>
        </w:rPr>
      </w:pPr>
    </w:p>
    <w:p w:rsidR="0000220F" w:rsidRPr="00482021" w:rsidRDefault="0000220F" w:rsidP="000E409E">
      <w:pPr>
        <w:spacing w:line="120" w:lineRule="auto"/>
        <w:rPr>
          <w:lang w:bidi="ar-EG"/>
        </w:rPr>
      </w:pPr>
    </w:p>
    <w:p w:rsidR="000D4B21" w:rsidRPr="00FC32BA" w:rsidRDefault="00BA133E" w:rsidP="00BC14C1">
      <w:pPr>
        <w:keepNext/>
        <w:spacing w:after="120" w:line="192" w:lineRule="auto"/>
        <w:jc w:val="center"/>
        <w:outlineLvl w:val="0"/>
        <w:rPr>
          <w:b/>
          <w:bCs/>
          <w:sz w:val="28"/>
          <w:szCs w:val="28"/>
          <w:rtl/>
          <w:lang w:bidi="ar-EG"/>
        </w:rPr>
      </w:pPr>
      <w:r>
        <w:rPr>
          <w:rFonts w:hint="cs"/>
          <w:b/>
          <w:bCs/>
          <w:sz w:val="28"/>
          <w:szCs w:val="28"/>
          <w:rtl/>
          <w:lang w:bidi="ar-EG"/>
        </w:rPr>
        <w:t>الأنواع الغريبة الغازية</w:t>
      </w:r>
    </w:p>
    <w:p w:rsidR="0097564A" w:rsidRDefault="009F3117" w:rsidP="00BC14C1">
      <w:pPr>
        <w:keepNext/>
        <w:spacing w:after="120" w:line="192" w:lineRule="auto"/>
        <w:jc w:val="center"/>
        <w:outlineLvl w:val="1"/>
        <w:rPr>
          <w:i/>
          <w:iCs/>
          <w:sz w:val="24"/>
          <w:rtl/>
          <w:lang w:bidi="ar-EG"/>
        </w:rPr>
      </w:pPr>
      <w:r>
        <w:rPr>
          <w:rFonts w:hint="cs"/>
          <w:i/>
          <w:iCs/>
          <w:sz w:val="24"/>
          <w:rtl/>
          <w:lang w:bidi="ar-EG"/>
        </w:rPr>
        <w:t>مذكرة من الأمينة التنفيذية</w:t>
      </w:r>
    </w:p>
    <w:p w:rsidR="00EC7CB9" w:rsidRPr="00EC7CB9" w:rsidRDefault="00BA133E" w:rsidP="003E18B4">
      <w:pPr>
        <w:keepNext/>
        <w:spacing w:after="120" w:line="192" w:lineRule="auto"/>
        <w:jc w:val="center"/>
        <w:rPr>
          <w:b/>
          <w:bCs/>
          <w:sz w:val="28"/>
          <w:szCs w:val="28"/>
          <w:rtl/>
          <w:lang w:bidi="ar-EG"/>
        </w:rPr>
      </w:pPr>
      <w:r>
        <w:rPr>
          <w:rFonts w:hint="cs"/>
          <w:b/>
          <w:bCs/>
          <w:sz w:val="28"/>
          <w:szCs w:val="28"/>
          <w:rtl/>
          <w:lang w:bidi="ar-EG"/>
        </w:rPr>
        <w:t>معلومات أساسية</w:t>
      </w:r>
    </w:p>
    <w:p w:rsidR="00FA5C19" w:rsidRDefault="00836797" w:rsidP="00787820">
      <w:pPr>
        <w:numPr>
          <w:ilvl w:val="0"/>
          <w:numId w:val="1"/>
        </w:numPr>
        <w:spacing w:after="120"/>
        <w:jc w:val="both"/>
        <w:rPr>
          <w:sz w:val="22"/>
          <w:lang w:bidi="ar-EG"/>
        </w:rPr>
      </w:pPr>
      <w:r>
        <w:rPr>
          <w:rFonts w:hint="cs"/>
          <w:sz w:val="22"/>
          <w:rtl/>
          <w:lang w:bidi="ar-EG"/>
        </w:rPr>
        <w:t>اعتمد مؤتمر الأطراف، في اجتماعه الثاني عشر، الإرشادات الطوعية بشأن صياغة وتنفيذ تدابير للتصدي للمخاطر المرتبطة بإدخال الأنواع الغريبة كحيوانات أليفة، وكأنواع لأحواض الكائنات الحية المائية ولأحواض الكائنات الأرضية، وكطعم حي وأغذية حية.</w:t>
      </w:r>
      <w:r>
        <w:rPr>
          <w:rStyle w:val="FootnoteReference"/>
          <w:sz w:val="22"/>
          <w:rtl/>
        </w:rPr>
        <w:footnoteReference w:id="2"/>
      </w:r>
      <w:r>
        <w:rPr>
          <w:rFonts w:hint="cs"/>
          <w:sz w:val="22"/>
          <w:rtl/>
          <w:lang w:bidi="ar-EG"/>
        </w:rPr>
        <w:t xml:space="preserve"> وفي اجتماعه الثالث عشر، طلب إلى الأمين التنفيذي إعداد مشروع إرشادات تكميلية لإدماج الإدخال غير المقصود للأنواع الغريبة الغازية، من خلال "التنقل" أو الملوثات، والمواد المرتبطة بالتجارة </w:t>
      </w:r>
      <w:r w:rsidR="00787820">
        <w:rPr>
          <w:rFonts w:hint="cs"/>
          <w:sz w:val="22"/>
          <w:rtl/>
          <w:lang w:bidi="ar-EG"/>
        </w:rPr>
        <w:t>ب</w:t>
      </w:r>
      <w:r>
        <w:rPr>
          <w:rFonts w:hint="cs"/>
          <w:sz w:val="22"/>
          <w:rtl/>
          <w:lang w:bidi="ar-EG"/>
        </w:rPr>
        <w:t>الأنواع الغريبة الحية، مثل مواد التعبئة أو المواد التحتية أو الأغذية لكي تنظر فيها الهيئة الفرعية للمشورة العلمية والتقنية والتكنولوجية.</w:t>
      </w:r>
      <w:r>
        <w:rPr>
          <w:rStyle w:val="FootnoteReference"/>
          <w:sz w:val="22"/>
          <w:rtl/>
        </w:rPr>
        <w:footnoteReference w:id="3"/>
      </w:r>
    </w:p>
    <w:p w:rsidR="00691060" w:rsidRDefault="00691060" w:rsidP="00787820">
      <w:pPr>
        <w:numPr>
          <w:ilvl w:val="0"/>
          <w:numId w:val="1"/>
        </w:numPr>
        <w:spacing w:after="120"/>
        <w:jc w:val="both"/>
        <w:rPr>
          <w:sz w:val="22"/>
          <w:lang w:bidi="ar-EG"/>
        </w:rPr>
      </w:pPr>
      <w:r>
        <w:rPr>
          <w:rFonts w:hint="cs"/>
          <w:sz w:val="22"/>
          <w:rtl/>
          <w:lang w:bidi="ar-EG"/>
        </w:rPr>
        <w:t>وفي المقرر نفسه، طلب مؤتمر الأطراف أيضا إلى الأمين التنفيذي ما يلي:</w:t>
      </w:r>
    </w:p>
    <w:p w:rsidR="00691060" w:rsidRDefault="00691060" w:rsidP="00787820">
      <w:pPr>
        <w:spacing w:after="120"/>
        <w:ind w:firstLine="720"/>
        <w:jc w:val="both"/>
        <w:rPr>
          <w:sz w:val="22"/>
          <w:rtl/>
          <w:lang w:val="en-GB" w:bidi="ar-EG"/>
        </w:rPr>
      </w:pPr>
      <w:r>
        <w:rPr>
          <w:rFonts w:hint="cs"/>
          <w:sz w:val="22"/>
          <w:rtl/>
          <w:lang w:bidi="ar-EG"/>
        </w:rPr>
        <w:t>(أ)</w:t>
      </w:r>
      <w:r>
        <w:rPr>
          <w:rFonts w:hint="cs"/>
          <w:sz w:val="22"/>
          <w:rtl/>
          <w:lang w:bidi="ar-EG"/>
        </w:rPr>
        <w:tab/>
      </w:r>
      <w:r>
        <w:rPr>
          <w:rFonts w:hint="cs"/>
          <w:sz w:val="22"/>
          <w:rtl/>
          <w:lang w:val="en-GB" w:bidi="ar-EG"/>
        </w:rPr>
        <w:t>القيام، بالتعاون مع مختلف المنظمات الدولية، باستكشاف الحاجة إلى أدوات أو إرشادات للأطراف التي يمكن أن تساعد سلطات الجمارك الوطنية في تيسير الضوابط الضرورية بشأن الأنواع الغريبة الحية التي تُباع عبر التجارة الإلكترونية (الفقرة 9</w:t>
      </w:r>
      <w:r w:rsidR="0078055E">
        <w:rPr>
          <w:rFonts w:hint="cs"/>
          <w:sz w:val="22"/>
          <w:rtl/>
          <w:lang w:val="en-GB" w:bidi="ar-EG"/>
        </w:rPr>
        <w:t xml:space="preserve"> </w:t>
      </w:r>
      <w:r>
        <w:rPr>
          <w:rFonts w:hint="cs"/>
          <w:sz w:val="22"/>
          <w:rtl/>
          <w:lang w:val="en-GB" w:bidi="ar-EG"/>
        </w:rPr>
        <w:t>(أ))؛</w:t>
      </w:r>
    </w:p>
    <w:p w:rsidR="00691060" w:rsidRDefault="00691060" w:rsidP="00787820">
      <w:pPr>
        <w:spacing w:after="120"/>
        <w:ind w:firstLine="720"/>
        <w:jc w:val="both"/>
        <w:rPr>
          <w:sz w:val="22"/>
          <w:rtl/>
          <w:lang w:bidi="ar-EG"/>
        </w:rPr>
      </w:pPr>
      <w:r>
        <w:rPr>
          <w:rFonts w:hint="cs"/>
          <w:sz w:val="22"/>
          <w:rtl/>
          <w:lang w:val="en-GB" w:bidi="ar-EG"/>
        </w:rPr>
        <w:t>(ب)</w:t>
      </w:r>
      <w:r>
        <w:rPr>
          <w:rFonts w:hint="cs"/>
          <w:sz w:val="22"/>
          <w:rtl/>
          <w:lang w:val="en-GB" w:bidi="ar-EG"/>
        </w:rPr>
        <w:tab/>
      </w:r>
      <w:r>
        <w:rPr>
          <w:sz w:val="22"/>
          <w:rtl/>
          <w:lang w:bidi="ar-EG"/>
        </w:rPr>
        <w:t xml:space="preserve">تحديد خيارات لاستكمال </w:t>
      </w:r>
      <w:r>
        <w:rPr>
          <w:rFonts w:hint="cs"/>
          <w:sz w:val="22"/>
          <w:rtl/>
          <w:lang w:bidi="ar-EG"/>
        </w:rPr>
        <w:t xml:space="preserve">معايير </w:t>
      </w:r>
      <w:r>
        <w:rPr>
          <w:sz w:val="22"/>
          <w:rtl/>
          <w:lang w:bidi="ar-EG"/>
        </w:rPr>
        <w:t>تقييم المخاطر وإدارة المخاطر لاستخدام عوامل المكافحة البيولوجية ضد الأنواع الغريبة الغازية، بما في ذلك في البيئات المائية</w:t>
      </w:r>
      <w:r>
        <w:rPr>
          <w:rFonts w:hint="cs"/>
          <w:sz w:val="22"/>
          <w:rtl/>
          <w:lang w:bidi="ar-EG"/>
        </w:rPr>
        <w:t xml:space="preserve"> (الفقرة 16)؛</w:t>
      </w:r>
    </w:p>
    <w:p w:rsidR="00691060" w:rsidRDefault="00691060" w:rsidP="0033059D">
      <w:pPr>
        <w:spacing w:after="120"/>
        <w:ind w:firstLine="720"/>
        <w:jc w:val="both"/>
        <w:rPr>
          <w:rtl/>
          <w:lang w:bidi="ar"/>
        </w:rPr>
      </w:pPr>
      <w:r>
        <w:rPr>
          <w:rFonts w:hint="cs"/>
          <w:sz w:val="22"/>
          <w:rtl/>
          <w:lang w:bidi="ar-EG"/>
        </w:rPr>
        <w:t>(ج)</w:t>
      </w:r>
      <w:r>
        <w:rPr>
          <w:rFonts w:hint="cs"/>
          <w:sz w:val="22"/>
          <w:rtl/>
          <w:lang w:bidi="ar-EG"/>
        </w:rPr>
        <w:tab/>
      </w:r>
      <w:r>
        <w:rPr>
          <w:sz w:val="22"/>
          <w:rtl/>
          <w:lang w:bidi="ar-EG"/>
        </w:rPr>
        <w:t xml:space="preserve">مواصلة تجميع أو إعداد وصيانة أدوات دعم القرار، بطريقة منسقة مع المنبر الحكومي الدولي للعلوم والسياسات في مجال التنوع البيولوجي وخدمات النظم الإيكولوجية، وإتاحة هذه الأدوات من خلال آلية غرفة تبادل المعلومات </w:t>
      </w:r>
      <w:r w:rsidR="0033059D">
        <w:rPr>
          <w:rFonts w:hint="cs"/>
          <w:sz w:val="22"/>
          <w:rtl/>
          <w:lang w:bidi="ar-EG"/>
        </w:rPr>
        <w:t>في ا</w:t>
      </w:r>
      <w:r>
        <w:rPr>
          <w:sz w:val="22"/>
          <w:rtl/>
          <w:lang w:bidi="ar-EG"/>
        </w:rPr>
        <w:t>لاتفاقية</w:t>
      </w:r>
      <w:r>
        <w:rPr>
          <w:rFonts w:hint="cs"/>
          <w:sz w:val="22"/>
          <w:rtl/>
          <w:lang w:bidi="ar-EG"/>
        </w:rPr>
        <w:t xml:space="preserve"> (الفقرة 17</w:t>
      </w:r>
      <w:r w:rsidR="0078055E">
        <w:rPr>
          <w:rFonts w:hint="cs"/>
          <w:sz w:val="22"/>
          <w:rtl/>
          <w:lang w:bidi="ar-EG"/>
        </w:rPr>
        <w:t xml:space="preserve"> </w:t>
      </w:r>
      <w:r>
        <w:rPr>
          <w:rFonts w:hint="cs"/>
          <w:sz w:val="22"/>
          <w:rtl/>
          <w:lang w:bidi="ar-EG"/>
        </w:rPr>
        <w:t>(أ))</w:t>
      </w:r>
      <w:r>
        <w:rPr>
          <w:rFonts w:hint="cs"/>
          <w:rtl/>
          <w:lang w:bidi="ar"/>
        </w:rPr>
        <w:t>؛</w:t>
      </w:r>
    </w:p>
    <w:p w:rsidR="00691060" w:rsidRDefault="00691060" w:rsidP="00787820">
      <w:pPr>
        <w:spacing w:after="120"/>
        <w:ind w:firstLine="720"/>
        <w:jc w:val="both"/>
        <w:rPr>
          <w:sz w:val="22"/>
          <w:rtl/>
          <w:lang w:bidi="ar-EG"/>
        </w:rPr>
      </w:pPr>
      <w:r>
        <w:rPr>
          <w:rFonts w:hint="cs"/>
          <w:rtl/>
          <w:lang w:bidi="ar"/>
        </w:rPr>
        <w:t>(د)</w:t>
      </w:r>
      <w:r>
        <w:rPr>
          <w:rFonts w:hint="cs"/>
          <w:rtl/>
          <w:lang w:bidi="ar"/>
        </w:rPr>
        <w:tab/>
      </w:r>
      <w:r>
        <w:rPr>
          <w:sz w:val="22"/>
          <w:rtl/>
          <w:lang w:bidi="ar-EG"/>
        </w:rPr>
        <w:t xml:space="preserve">إعداد إرشادات تقنية لإجراء تحليل التكاليف والمنافع وتحليل </w:t>
      </w:r>
      <w:r>
        <w:rPr>
          <w:rFonts w:hint="cs"/>
          <w:sz w:val="22"/>
          <w:rtl/>
          <w:lang w:bidi="ar-EG"/>
        </w:rPr>
        <w:t>الفعالية من حيث</w:t>
      </w:r>
      <w:r>
        <w:rPr>
          <w:sz w:val="22"/>
          <w:rtl/>
          <w:lang w:bidi="ar-EG"/>
        </w:rPr>
        <w:t xml:space="preserve"> التكلفة لإدارة الأنواع الغريبة الغازية </w:t>
      </w:r>
      <w:r>
        <w:rPr>
          <w:rFonts w:hint="cs"/>
          <w:sz w:val="22"/>
          <w:rtl/>
          <w:lang w:bidi="ar-EG"/>
        </w:rPr>
        <w:t>(الفقرة 17</w:t>
      </w:r>
      <w:r w:rsidR="0078055E">
        <w:rPr>
          <w:rFonts w:hint="cs"/>
          <w:sz w:val="22"/>
          <w:rtl/>
          <w:lang w:bidi="ar-EG"/>
        </w:rPr>
        <w:t xml:space="preserve"> </w:t>
      </w:r>
      <w:r>
        <w:rPr>
          <w:rFonts w:hint="cs"/>
          <w:sz w:val="22"/>
          <w:rtl/>
          <w:lang w:bidi="ar-EG"/>
        </w:rPr>
        <w:t>(ب))؛</w:t>
      </w:r>
    </w:p>
    <w:p w:rsidR="00691060" w:rsidRDefault="00691060" w:rsidP="0033059D">
      <w:pPr>
        <w:spacing w:after="120"/>
        <w:ind w:firstLine="720"/>
        <w:jc w:val="both"/>
        <w:rPr>
          <w:sz w:val="22"/>
          <w:rtl/>
          <w:lang w:bidi="ar-EG"/>
        </w:rPr>
      </w:pPr>
      <w:r>
        <w:rPr>
          <w:rFonts w:hint="cs"/>
          <w:sz w:val="22"/>
          <w:rtl/>
          <w:lang w:bidi="ar-EG"/>
        </w:rPr>
        <w:lastRenderedPageBreak/>
        <w:t>(ه)</w:t>
      </w:r>
      <w:r>
        <w:rPr>
          <w:rFonts w:hint="cs"/>
          <w:sz w:val="22"/>
          <w:rtl/>
          <w:lang w:bidi="ar-EG"/>
        </w:rPr>
        <w:tab/>
      </w:r>
      <w:r w:rsidR="0033059D">
        <w:rPr>
          <w:rFonts w:hint="cs"/>
          <w:sz w:val="22"/>
          <w:rtl/>
          <w:lang w:bidi="ar-EG"/>
        </w:rPr>
        <w:t>إعداد</w:t>
      </w:r>
      <w:r>
        <w:rPr>
          <w:sz w:val="22"/>
          <w:rtl/>
          <w:lang w:bidi="ar-EG"/>
        </w:rPr>
        <w:t xml:space="preserve"> إرشادات بشأن إدارة الأنواع الغريبة الغازية تأخذ في الاعتبار آثار تغير المناخ، والكوارث الطبيعية والتغير في استخدام الأراضي على إدارة الغزوات البيولوجية</w:t>
      </w:r>
      <w:r>
        <w:rPr>
          <w:rFonts w:hint="cs"/>
          <w:sz w:val="22"/>
          <w:rtl/>
          <w:lang w:bidi="ar-EG"/>
        </w:rPr>
        <w:t xml:space="preserve"> (الفقرة 17</w:t>
      </w:r>
      <w:r w:rsidR="0078055E">
        <w:rPr>
          <w:rFonts w:hint="cs"/>
          <w:sz w:val="22"/>
          <w:rtl/>
          <w:lang w:bidi="ar-EG"/>
        </w:rPr>
        <w:t xml:space="preserve"> </w:t>
      </w:r>
      <w:r>
        <w:rPr>
          <w:rFonts w:hint="cs"/>
          <w:sz w:val="22"/>
          <w:rtl/>
          <w:lang w:bidi="ar-EG"/>
        </w:rPr>
        <w:t>(ج))؛</w:t>
      </w:r>
    </w:p>
    <w:p w:rsidR="00691060" w:rsidRDefault="00691060" w:rsidP="00787820">
      <w:pPr>
        <w:spacing w:after="120"/>
        <w:ind w:firstLine="720"/>
        <w:jc w:val="both"/>
        <w:rPr>
          <w:rtl/>
          <w:lang w:bidi="ar"/>
        </w:rPr>
      </w:pPr>
      <w:r>
        <w:rPr>
          <w:rFonts w:hint="cs"/>
          <w:sz w:val="22"/>
          <w:rtl/>
          <w:lang w:bidi="ar-EG"/>
        </w:rPr>
        <w:t>(و)</w:t>
      </w:r>
      <w:r>
        <w:rPr>
          <w:rFonts w:hint="cs"/>
          <w:sz w:val="22"/>
          <w:rtl/>
          <w:lang w:bidi="ar-EG"/>
        </w:rPr>
        <w:tab/>
      </w:r>
      <w:r>
        <w:rPr>
          <w:rFonts w:hint="cs"/>
          <w:rtl/>
          <w:lang w:bidi="ar"/>
        </w:rPr>
        <w:t>تجميع معلومات عن العواقب المحتملة من الأنواع الغريبة الغازية على القيم ال</w:t>
      </w:r>
      <w:r w:rsidR="0078055E">
        <w:rPr>
          <w:rFonts w:hint="cs"/>
          <w:rtl/>
          <w:lang w:bidi="ar"/>
        </w:rPr>
        <w:t>اجتماعية والاقتصادية والثقافية (الفقرة 17 (د))؛</w:t>
      </w:r>
    </w:p>
    <w:p w:rsidR="0078055E" w:rsidRDefault="0078055E" w:rsidP="00787820">
      <w:pPr>
        <w:spacing w:after="120"/>
        <w:ind w:firstLine="720"/>
        <w:jc w:val="both"/>
        <w:rPr>
          <w:sz w:val="22"/>
          <w:rtl/>
          <w:lang w:bidi="ar"/>
        </w:rPr>
      </w:pPr>
      <w:r>
        <w:rPr>
          <w:rFonts w:hint="cs"/>
          <w:rtl/>
          <w:lang w:bidi="ar"/>
        </w:rPr>
        <w:t>(ز)</w:t>
      </w:r>
      <w:r>
        <w:rPr>
          <w:rFonts w:hint="cs"/>
          <w:rtl/>
          <w:lang w:bidi="ar"/>
        </w:rPr>
        <w:tab/>
      </w:r>
      <w:r>
        <w:rPr>
          <w:rFonts w:hint="cs"/>
          <w:sz w:val="22"/>
          <w:rtl/>
          <w:lang w:bidi="ar"/>
        </w:rPr>
        <w:t>إتاحة</w:t>
      </w:r>
      <w:r>
        <w:rPr>
          <w:sz w:val="22"/>
          <w:rtl/>
          <w:lang w:bidi="ar"/>
        </w:rPr>
        <w:t xml:space="preserve"> المعلومات المطلوبة في الفقرة </w:t>
      </w:r>
      <w:r>
        <w:rPr>
          <w:rFonts w:hint="cs"/>
          <w:sz w:val="22"/>
          <w:rtl/>
          <w:lang w:bidi="ar"/>
        </w:rPr>
        <w:t>22</w:t>
      </w:r>
      <w:r>
        <w:rPr>
          <w:sz w:val="22"/>
          <w:rtl/>
          <w:lang w:bidi="ar"/>
        </w:rPr>
        <w:t xml:space="preserve"> أعلاه من</w:t>
      </w:r>
      <w:r>
        <w:rPr>
          <w:rFonts w:hint="cs"/>
          <w:sz w:val="22"/>
          <w:rtl/>
          <w:lang w:bidi="ar"/>
        </w:rPr>
        <w:t xml:space="preserve"> المقرر </w:t>
      </w:r>
      <w:hyperlink r:id="rId11" w:history="1">
        <w:r w:rsidRPr="0078055E">
          <w:rPr>
            <w:rStyle w:val="Hyperlink"/>
            <w:rFonts w:hint="cs"/>
            <w:sz w:val="22"/>
            <w:rtl/>
            <w:lang w:bidi="ar"/>
          </w:rPr>
          <w:t>13/13</w:t>
        </w:r>
      </w:hyperlink>
      <w:r>
        <w:rPr>
          <w:sz w:val="22"/>
          <w:rtl/>
          <w:lang w:bidi="ar"/>
        </w:rPr>
        <w:t xml:space="preserve"> خلال آلية غرفة تبادل المعلومات وغيرها من الوسائل</w:t>
      </w:r>
      <w:r>
        <w:rPr>
          <w:rFonts w:hint="cs"/>
          <w:sz w:val="22"/>
          <w:rtl/>
          <w:lang w:bidi="ar"/>
        </w:rPr>
        <w:t xml:space="preserve"> (الفقرة 23 (أ))؛</w:t>
      </w:r>
    </w:p>
    <w:p w:rsidR="0078055E" w:rsidRDefault="0078055E" w:rsidP="00787820">
      <w:pPr>
        <w:spacing w:after="120"/>
        <w:ind w:firstLine="720"/>
        <w:jc w:val="both"/>
        <w:rPr>
          <w:rtl/>
          <w:lang w:bidi="ar"/>
        </w:rPr>
      </w:pPr>
      <w:r>
        <w:rPr>
          <w:rFonts w:hint="cs"/>
          <w:sz w:val="22"/>
          <w:rtl/>
          <w:lang w:bidi="ar"/>
        </w:rPr>
        <w:t>(ح)</w:t>
      </w:r>
      <w:r>
        <w:rPr>
          <w:rFonts w:hint="cs"/>
          <w:sz w:val="22"/>
          <w:rtl/>
          <w:lang w:bidi="ar"/>
        </w:rPr>
        <w:tab/>
        <w:t xml:space="preserve">مواصلة </w:t>
      </w:r>
      <w:r>
        <w:rPr>
          <w:rFonts w:hint="cs"/>
          <w:rtl/>
          <w:lang w:bidi="ar"/>
        </w:rPr>
        <w:t>تقديم الدعم لجمع البيانات، وتوحيدها وتبادلها والوصول المفتوح إليها على المستوى العالمي من خلال الشراكة العالمية لمعلومات الأنواع الغريبة الغازية (الفقرة 23 (ب))؛</w:t>
      </w:r>
    </w:p>
    <w:p w:rsidR="00165D77" w:rsidRDefault="00165D77" w:rsidP="00787820">
      <w:pPr>
        <w:spacing w:after="120"/>
        <w:ind w:firstLine="720"/>
        <w:jc w:val="both"/>
        <w:rPr>
          <w:sz w:val="22"/>
          <w:lang w:bidi="ar-EG"/>
        </w:rPr>
      </w:pPr>
      <w:r>
        <w:rPr>
          <w:rFonts w:hint="cs"/>
          <w:rtl/>
          <w:lang w:bidi="ar"/>
        </w:rPr>
        <w:t>(ط)</w:t>
      </w:r>
      <w:r>
        <w:rPr>
          <w:rFonts w:hint="cs"/>
          <w:rtl/>
          <w:lang w:bidi="ar"/>
        </w:rPr>
        <w:tab/>
        <w:t>تقديم تقرير عن التقدم المحرز إلى الهيئة الفرعية للمشورة العلمية والتقنية والتكنولوجية في اجتماع يُعقد قبل الاجتماع الرابع عشر لمؤتمر الأطراف.</w:t>
      </w:r>
    </w:p>
    <w:p w:rsidR="007C2E8B" w:rsidRDefault="007D2122" w:rsidP="00787820">
      <w:pPr>
        <w:numPr>
          <w:ilvl w:val="0"/>
          <w:numId w:val="1"/>
        </w:numPr>
        <w:spacing w:after="120"/>
        <w:jc w:val="both"/>
        <w:rPr>
          <w:sz w:val="22"/>
          <w:lang w:bidi="ar-EG"/>
        </w:rPr>
      </w:pPr>
      <w:r>
        <w:rPr>
          <w:rFonts w:hint="cs"/>
          <w:sz w:val="22"/>
          <w:rtl/>
          <w:lang w:bidi="ar"/>
        </w:rPr>
        <w:t>وفي المقرر 13/13، دعا مؤتمر الأطراف المنظمات ذات الصلة، بما في ذلك الفريق المتخصص المعني بالأنواع الغازية</w:t>
      </w:r>
      <w:r w:rsidR="00D82799">
        <w:rPr>
          <w:rFonts w:hint="cs"/>
          <w:sz w:val="22"/>
          <w:rtl/>
          <w:lang w:bidi="ar"/>
        </w:rPr>
        <w:t xml:space="preserve"> والتابع</w:t>
      </w:r>
      <w:r>
        <w:rPr>
          <w:rFonts w:hint="cs"/>
          <w:sz w:val="22"/>
          <w:rtl/>
          <w:lang w:bidi="ar"/>
        </w:rPr>
        <w:t xml:space="preserve"> للاتحاد الدولي لحفظ الطبيعة وأعضاء الشراكة العالمية لمعلومات الأنواع الغريبة الغازية والمنظمات الأخرى التي تدير قواعد البيانات المتعلقة بالتجارة في الحيوانات والنباتات البرية، إلى مواصلة عملها </w:t>
      </w:r>
      <w:r w:rsidR="00AA70A0">
        <w:rPr>
          <w:rFonts w:hint="cs"/>
          <w:sz w:val="22"/>
          <w:rtl/>
          <w:lang w:bidi="ar"/>
        </w:rPr>
        <w:t xml:space="preserve">من أجل </w:t>
      </w:r>
      <w:r>
        <w:rPr>
          <w:rFonts w:hint="cs"/>
          <w:sz w:val="22"/>
          <w:rtl/>
          <w:lang w:bidi="ar"/>
        </w:rPr>
        <w:t xml:space="preserve">مواصلة وضع منهجيات لتحديد أولويات مسارات إدخال الأنواع الغريبة الغازية </w:t>
      </w:r>
      <w:r w:rsidR="00AA70A0">
        <w:rPr>
          <w:rFonts w:hint="cs"/>
          <w:sz w:val="22"/>
          <w:rtl/>
          <w:lang w:bidi="ar"/>
        </w:rPr>
        <w:t>ولتوصيف المخاطر، ومن أجل تيسير تبادل المعلومات ذات الصلة بالأنواع الغريبة الغازية (الفقرتان 6 و20).</w:t>
      </w:r>
    </w:p>
    <w:p w:rsidR="00AA70A0" w:rsidRPr="00FC32BA" w:rsidRDefault="00AA70A0" w:rsidP="0033059D">
      <w:pPr>
        <w:numPr>
          <w:ilvl w:val="0"/>
          <w:numId w:val="1"/>
        </w:numPr>
        <w:spacing w:after="120"/>
        <w:jc w:val="both"/>
        <w:rPr>
          <w:sz w:val="22"/>
          <w:rtl/>
          <w:lang w:bidi="ar-EG"/>
        </w:rPr>
      </w:pPr>
      <w:r>
        <w:rPr>
          <w:rFonts w:hint="cs"/>
          <w:sz w:val="22"/>
          <w:rtl/>
          <w:lang w:bidi="ar"/>
        </w:rPr>
        <w:t>واستجابة لهذه الطلبات، طلبت الأمانة معلومات وآراء من الأطراف والمراقبين بشأن القضايا المشار إليها أعلاه.</w:t>
      </w:r>
      <w:r>
        <w:rPr>
          <w:rStyle w:val="FootnoteReference"/>
          <w:sz w:val="22"/>
          <w:rtl/>
        </w:rPr>
        <w:footnoteReference w:id="4"/>
      </w:r>
      <w:r>
        <w:rPr>
          <w:rFonts w:hint="cs"/>
          <w:sz w:val="22"/>
          <w:rtl/>
          <w:lang w:bidi="ar"/>
        </w:rPr>
        <w:t xml:space="preserve"> وتم تلقي ما مجموعه </w:t>
      </w:r>
      <w:r w:rsidR="0033059D">
        <w:rPr>
          <w:rFonts w:hint="cs"/>
          <w:sz w:val="22"/>
          <w:rtl/>
          <w:lang w:bidi="ar"/>
        </w:rPr>
        <w:t>153</w:t>
      </w:r>
      <w:r>
        <w:rPr>
          <w:rFonts w:hint="cs"/>
          <w:sz w:val="22"/>
          <w:rtl/>
          <w:lang w:bidi="ar"/>
        </w:rPr>
        <w:t xml:space="preserve"> تقديما من الأطراف والمراقبين.</w:t>
      </w:r>
      <w:r>
        <w:rPr>
          <w:rStyle w:val="FootnoteReference"/>
          <w:sz w:val="22"/>
          <w:rtl/>
        </w:rPr>
        <w:footnoteReference w:id="5"/>
      </w:r>
      <w:r w:rsidR="0033059D">
        <w:rPr>
          <w:rFonts w:hint="cs"/>
          <w:sz w:val="22"/>
          <w:rtl/>
          <w:lang w:bidi="ar"/>
        </w:rPr>
        <w:t xml:space="preserve"> كما </w:t>
      </w:r>
      <w:r w:rsidR="00D82799">
        <w:rPr>
          <w:rFonts w:hint="cs"/>
          <w:sz w:val="22"/>
          <w:rtl/>
          <w:lang w:bidi="ar"/>
        </w:rPr>
        <w:t>عقدت الأمانة الاجتماع الثامن لفريق الاتصال المشترك بين الوكالات والمعني بالأنواع الغريبة الغازية، بالتعاون مع المنظمة العالمية للجمارك،</w:t>
      </w:r>
      <w:r w:rsidR="00D82799">
        <w:rPr>
          <w:rStyle w:val="FootnoteReference"/>
          <w:sz w:val="22"/>
          <w:rtl/>
        </w:rPr>
        <w:footnoteReference w:id="6"/>
      </w:r>
      <w:r w:rsidR="00D82799">
        <w:rPr>
          <w:rFonts w:hint="cs"/>
          <w:sz w:val="22"/>
          <w:rtl/>
          <w:lang w:bidi="ar"/>
        </w:rPr>
        <w:t xml:space="preserve"> ونظمت حلقة عمل غير رسمية للخبراء.</w:t>
      </w:r>
      <w:r w:rsidR="00D82799">
        <w:rPr>
          <w:rStyle w:val="FootnoteReference"/>
          <w:sz w:val="22"/>
          <w:rtl/>
        </w:rPr>
        <w:footnoteReference w:id="7"/>
      </w:r>
    </w:p>
    <w:p w:rsidR="00FA5C19" w:rsidRDefault="00C600F2" w:rsidP="0033059D">
      <w:pPr>
        <w:numPr>
          <w:ilvl w:val="0"/>
          <w:numId w:val="1"/>
        </w:numPr>
        <w:spacing w:after="120"/>
        <w:jc w:val="both"/>
        <w:rPr>
          <w:sz w:val="22"/>
          <w:lang w:bidi="ar-EG"/>
        </w:rPr>
      </w:pPr>
      <w:r>
        <w:rPr>
          <w:rFonts w:hint="cs"/>
          <w:sz w:val="22"/>
          <w:rtl/>
          <w:lang w:bidi="ar-EG"/>
        </w:rPr>
        <w:lastRenderedPageBreak/>
        <w:t xml:space="preserve">ويناقش القسم أولا من هذه الوثيقة الإرشادات التكميلية بشأن الإدخال غير المقصود للأنواع الغريبة الغازية، من خلال "التنقل" أو الملوثات، والمواد المرتبطة بالتجارة </w:t>
      </w:r>
      <w:r w:rsidR="00787820">
        <w:rPr>
          <w:rFonts w:hint="cs"/>
          <w:sz w:val="22"/>
          <w:rtl/>
          <w:lang w:bidi="ar-EG"/>
        </w:rPr>
        <w:t>ب</w:t>
      </w:r>
      <w:r>
        <w:rPr>
          <w:rFonts w:hint="cs"/>
          <w:sz w:val="22"/>
          <w:rtl/>
          <w:lang w:bidi="ar-EG"/>
        </w:rPr>
        <w:t>الأنواع الغريبة الحية، مثل مواد التعبئة أو المواد التحتية أو الأغذية</w:t>
      </w:r>
      <w:r w:rsidR="0033059D">
        <w:rPr>
          <w:rFonts w:hint="cs"/>
          <w:sz w:val="22"/>
          <w:rtl/>
          <w:lang w:bidi="ar-EG"/>
        </w:rPr>
        <w:t>.</w:t>
      </w:r>
      <w:r>
        <w:rPr>
          <w:rFonts w:hint="cs"/>
          <w:sz w:val="22"/>
          <w:rtl/>
          <w:lang w:bidi="ar-EG"/>
        </w:rPr>
        <w:t xml:space="preserve"> </w:t>
      </w:r>
      <w:r w:rsidR="0033059D">
        <w:rPr>
          <w:rFonts w:hint="cs"/>
          <w:sz w:val="22"/>
          <w:rtl/>
          <w:lang w:bidi="ar-EG"/>
        </w:rPr>
        <w:t>ويغطي القسم ثانيا قضية التجارة الإلكترونية ويبحث</w:t>
      </w:r>
      <w:r>
        <w:rPr>
          <w:rFonts w:hint="cs"/>
          <w:sz w:val="22"/>
          <w:rtl/>
          <w:lang w:bidi="ar-EG"/>
        </w:rPr>
        <w:t xml:space="preserve"> القسم </w:t>
      </w:r>
      <w:r w:rsidR="0033059D">
        <w:rPr>
          <w:rFonts w:hint="cs"/>
          <w:sz w:val="22"/>
          <w:rtl/>
          <w:lang w:bidi="ar-EG"/>
        </w:rPr>
        <w:t>ثالثا</w:t>
      </w:r>
      <w:r>
        <w:rPr>
          <w:rFonts w:hint="cs"/>
          <w:sz w:val="22"/>
          <w:rtl/>
          <w:lang w:bidi="ar-EG"/>
        </w:rPr>
        <w:t xml:space="preserve"> في إعداد أدوات، وغيرها من الإرشادات ونظم المعلومات. ويغطي القسم رابعا مسائل أخرى</w:t>
      </w:r>
      <w:r w:rsidR="0033059D">
        <w:rPr>
          <w:rFonts w:hint="cs"/>
          <w:sz w:val="22"/>
          <w:rtl/>
          <w:lang w:bidi="ar-EG"/>
        </w:rPr>
        <w:t xml:space="preserve">، ويحتوي القسم خامسا على مشروع </w:t>
      </w:r>
      <w:r>
        <w:rPr>
          <w:rFonts w:hint="cs"/>
          <w:sz w:val="22"/>
          <w:rtl/>
          <w:lang w:bidi="ar-EG"/>
        </w:rPr>
        <w:t xml:space="preserve">توصية لكي تنظر فيه الهيئة الفرعية، بالإضافة إلى </w:t>
      </w:r>
      <w:r w:rsidR="0033059D">
        <w:rPr>
          <w:rFonts w:hint="cs"/>
          <w:sz w:val="22"/>
          <w:rtl/>
          <w:lang w:bidi="ar-EG"/>
        </w:rPr>
        <w:t>ال</w:t>
      </w:r>
      <w:r>
        <w:rPr>
          <w:rFonts w:hint="cs"/>
          <w:sz w:val="22"/>
          <w:rtl/>
          <w:lang w:bidi="ar-EG"/>
        </w:rPr>
        <w:t xml:space="preserve">إرشادات </w:t>
      </w:r>
      <w:r w:rsidR="0033059D">
        <w:rPr>
          <w:rFonts w:hint="cs"/>
          <w:sz w:val="22"/>
          <w:rtl/>
          <w:lang w:bidi="ar-EG"/>
        </w:rPr>
        <w:t>ال</w:t>
      </w:r>
      <w:r>
        <w:rPr>
          <w:rFonts w:hint="cs"/>
          <w:sz w:val="22"/>
          <w:rtl/>
          <w:lang w:bidi="ar-EG"/>
        </w:rPr>
        <w:t xml:space="preserve">تكميلية </w:t>
      </w:r>
      <w:r w:rsidR="0033059D">
        <w:rPr>
          <w:rFonts w:hint="cs"/>
          <w:sz w:val="22"/>
          <w:rtl/>
          <w:lang w:bidi="ar-EG"/>
        </w:rPr>
        <w:t>ال</w:t>
      </w:r>
      <w:r>
        <w:rPr>
          <w:rFonts w:hint="cs"/>
          <w:sz w:val="22"/>
          <w:rtl/>
          <w:lang w:bidi="ar-EG"/>
        </w:rPr>
        <w:t>مرفقة. و</w:t>
      </w:r>
      <w:r w:rsidR="0033059D">
        <w:rPr>
          <w:rFonts w:hint="cs"/>
          <w:sz w:val="22"/>
          <w:rtl/>
          <w:lang w:bidi="ar-EG"/>
        </w:rPr>
        <w:t xml:space="preserve">يدعم </w:t>
      </w:r>
      <w:r>
        <w:rPr>
          <w:rFonts w:hint="cs"/>
          <w:sz w:val="22"/>
          <w:rtl/>
          <w:lang w:bidi="ar-EG"/>
        </w:rPr>
        <w:t>هذه الوثيقة العديد من الوثائق الإعلامية.</w:t>
      </w:r>
    </w:p>
    <w:p w:rsidR="00FA5C19" w:rsidRPr="007D70CA" w:rsidRDefault="007D70CA" w:rsidP="0033059D">
      <w:pPr>
        <w:keepNext/>
        <w:spacing w:after="120" w:line="192" w:lineRule="auto"/>
        <w:ind w:left="2132" w:hanging="1418"/>
        <w:jc w:val="left"/>
        <w:rPr>
          <w:b/>
          <w:bCs/>
          <w:sz w:val="28"/>
          <w:szCs w:val="28"/>
          <w:lang w:val="en-GB" w:bidi="ar-EG"/>
        </w:rPr>
      </w:pPr>
      <w:r w:rsidRPr="001D02C3">
        <w:rPr>
          <w:rFonts w:hint="cs"/>
          <w:b/>
          <w:bCs/>
          <w:sz w:val="28"/>
          <w:szCs w:val="28"/>
          <w:rtl/>
          <w:lang w:bidi="ar-EG"/>
        </w:rPr>
        <w:t>أولا</w:t>
      </w:r>
      <w:r w:rsidR="00FA5C19" w:rsidRPr="001D02C3">
        <w:rPr>
          <w:rFonts w:hint="cs"/>
          <w:b/>
          <w:bCs/>
          <w:sz w:val="28"/>
          <w:szCs w:val="28"/>
          <w:rtl/>
          <w:lang w:bidi="ar-EG"/>
        </w:rPr>
        <w:t>-</w:t>
      </w:r>
      <w:r w:rsidR="00FA5C19" w:rsidRPr="001D02C3">
        <w:rPr>
          <w:rFonts w:hint="cs"/>
          <w:b/>
          <w:bCs/>
          <w:sz w:val="28"/>
          <w:szCs w:val="28"/>
          <w:rtl/>
          <w:lang w:bidi="ar-EG"/>
        </w:rPr>
        <w:tab/>
      </w:r>
      <w:r w:rsidR="001D02C3">
        <w:rPr>
          <w:rFonts w:hint="cs"/>
          <w:b/>
          <w:bCs/>
          <w:sz w:val="28"/>
          <w:szCs w:val="28"/>
          <w:rtl/>
          <w:lang w:bidi="ar-EG"/>
        </w:rPr>
        <w:t xml:space="preserve">إعداد إرشادات تكميلية لتجنب عمليات الإدخال غير المقصود للأنواع </w:t>
      </w:r>
      <w:r w:rsidR="0033059D">
        <w:rPr>
          <w:rFonts w:hint="cs"/>
          <w:b/>
          <w:bCs/>
          <w:sz w:val="28"/>
          <w:szCs w:val="28"/>
          <w:rtl/>
          <w:lang w:bidi="ar-EG"/>
        </w:rPr>
        <w:t>الغريبة</w:t>
      </w:r>
      <w:r w:rsidR="001D02C3">
        <w:rPr>
          <w:rFonts w:hint="cs"/>
          <w:b/>
          <w:bCs/>
          <w:sz w:val="28"/>
          <w:szCs w:val="28"/>
          <w:rtl/>
          <w:lang w:bidi="ar-EG"/>
        </w:rPr>
        <w:t xml:space="preserve"> الغازية المرتبطة بالتجارة بالأنواع الغريبة الحية</w:t>
      </w:r>
    </w:p>
    <w:p w:rsidR="00FA5C19" w:rsidRDefault="001D02C3" w:rsidP="00787820">
      <w:pPr>
        <w:numPr>
          <w:ilvl w:val="0"/>
          <w:numId w:val="1"/>
        </w:numPr>
        <w:spacing w:after="120"/>
        <w:jc w:val="both"/>
        <w:rPr>
          <w:sz w:val="22"/>
        </w:rPr>
      </w:pPr>
      <w:r>
        <w:rPr>
          <w:rFonts w:hint="cs"/>
          <w:sz w:val="22"/>
          <w:rtl/>
        </w:rPr>
        <w:t>نشأت النقاط التالية من العمل المذكور في الفقرة 4 أعلاه وتم أخذها في الاعتبار عند إعداد مشروع الإرشادات التكميلية، المرفق بمشروع المقرر في القسم خامسا.</w:t>
      </w:r>
    </w:p>
    <w:p w:rsidR="00962A7E" w:rsidRDefault="00962A7E" w:rsidP="00A37CB0">
      <w:pPr>
        <w:numPr>
          <w:ilvl w:val="0"/>
          <w:numId w:val="1"/>
        </w:numPr>
        <w:spacing w:after="120"/>
        <w:jc w:val="both"/>
        <w:rPr>
          <w:sz w:val="22"/>
        </w:rPr>
      </w:pPr>
      <w:r>
        <w:rPr>
          <w:rFonts w:hint="cs"/>
          <w:sz w:val="22"/>
          <w:rtl/>
        </w:rPr>
        <w:t xml:space="preserve">وبالرغم من إحراز تقدم في معالجة عمليات الإدخال غير المقصود للأنواع الغريبة الغازية من خلال إعداد لوائح وطنية وإقليمية وفقا للقواعد والمبادئ التي وضعتها منظمات وضع المعايير المعترف بها من منظمة التجارة العالمية، لم يتم معالجة قضايا </w:t>
      </w:r>
      <w:r w:rsidR="00A37CB0">
        <w:rPr>
          <w:rFonts w:hint="cs"/>
          <w:sz w:val="22"/>
          <w:rtl/>
        </w:rPr>
        <w:t>ذات صلة</w:t>
      </w:r>
      <w:r>
        <w:rPr>
          <w:rFonts w:hint="cs"/>
          <w:sz w:val="22"/>
          <w:rtl/>
        </w:rPr>
        <w:t xml:space="preserve"> بعمليات الإدخال غير المقصود من خلال مسارات تتعلق بالتجارة </w:t>
      </w:r>
      <w:r w:rsidR="00A37CB0">
        <w:rPr>
          <w:rFonts w:hint="cs"/>
          <w:sz w:val="22"/>
          <w:rtl/>
        </w:rPr>
        <w:t>ب</w:t>
      </w:r>
      <w:r>
        <w:rPr>
          <w:rFonts w:hint="cs"/>
          <w:sz w:val="22"/>
          <w:rtl/>
        </w:rPr>
        <w:t>الأنواع الحية ونقلها بالشكل الكامل. ونظرا لأن هذه العوامل تشكل تهديدات على التنوع البيولوجي، فإن إعداد الإرشادات التكميلية يمثل أولوية لحفظ التنوع البيولوجي ومن شأنه أن يسهم في الحد من مخاطر الكائنات الحية التي لها شواغل صحية وشواغل الصحة النباتية.</w:t>
      </w:r>
    </w:p>
    <w:p w:rsidR="00962A7E" w:rsidRDefault="00962A7E" w:rsidP="00176483">
      <w:pPr>
        <w:numPr>
          <w:ilvl w:val="0"/>
          <w:numId w:val="1"/>
        </w:numPr>
        <w:spacing w:after="120"/>
        <w:jc w:val="both"/>
        <w:rPr>
          <w:sz w:val="22"/>
        </w:rPr>
      </w:pPr>
      <w:r>
        <w:rPr>
          <w:rFonts w:hint="cs"/>
          <w:sz w:val="22"/>
          <w:rtl/>
        </w:rPr>
        <w:t xml:space="preserve">وينبغي أن تركز الإرشادات التكميلية على عمليات الإدخال غير المقصود للأنواع الغريبة الغازية، من </w:t>
      </w:r>
      <w:r>
        <w:rPr>
          <w:rFonts w:hint="cs"/>
          <w:sz w:val="22"/>
          <w:rtl/>
          <w:lang w:bidi="ar-EG"/>
        </w:rPr>
        <w:t xml:space="preserve">خلال "التنقل" أو الملوثات، والمواد المرتبطة بالتجارة </w:t>
      </w:r>
      <w:r w:rsidR="00787820">
        <w:rPr>
          <w:rFonts w:hint="cs"/>
          <w:sz w:val="22"/>
          <w:rtl/>
          <w:lang w:bidi="ar-EG"/>
        </w:rPr>
        <w:t>ب</w:t>
      </w:r>
      <w:r>
        <w:rPr>
          <w:rFonts w:hint="cs"/>
          <w:sz w:val="22"/>
          <w:rtl/>
          <w:lang w:bidi="ar-EG"/>
        </w:rPr>
        <w:t>الأنواع الغريبة الحية، مثل مواد التعبئة أو المواد التحتية أو الأغذية</w:t>
      </w:r>
      <w:r w:rsidR="006D6FFE">
        <w:rPr>
          <w:rFonts w:hint="cs"/>
          <w:sz w:val="22"/>
          <w:rtl/>
          <w:lang w:bidi="ar-EG"/>
        </w:rPr>
        <w:t>. ويتوافق ذلك مع مسارات النقل والملوثات ومسارات النقل المتخفي.</w:t>
      </w:r>
      <w:r w:rsidR="006D6FFE">
        <w:rPr>
          <w:rStyle w:val="FootnoteReference"/>
          <w:sz w:val="22"/>
          <w:rtl/>
        </w:rPr>
        <w:footnoteReference w:id="8"/>
      </w:r>
      <w:r w:rsidR="006D6FFE" w:rsidRPr="006D6FFE">
        <w:rPr>
          <w:rFonts w:hint="cs"/>
          <w:sz w:val="22"/>
          <w:vertAlign w:val="superscript"/>
          <w:rtl/>
          <w:lang w:bidi="ar-EG"/>
        </w:rPr>
        <w:t>،</w:t>
      </w:r>
      <w:r w:rsidR="006D6FFE">
        <w:rPr>
          <w:rStyle w:val="FootnoteReference"/>
          <w:sz w:val="22"/>
          <w:rtl/>
        </w:rPr>
        <w:footnoteReference w:id="9"/>
      </w:r>
      <w:r w:rsidR="006D6FFE">
        <w:rPr>
          <w:rFonts w:hint="cs"/>
          <w:sz w:val="22"/>
          <w:rtl/>
          <w:lang w:bidi="ar-EG"/>
        </w:rPr>
        <w:t xml:space="preserve"> ومع ذلك، تستثني الإرشادات </w:t>
      </w:r>
      <w:r w:rsidR="00176483">
        <w:rPr>
          <w:rFonts w:hint="cs"/>
          <w:sz w:val="22"/>
          <w:rtl/>
          <w:lang w:bidi="ar-EG"/>
        </w:rPr>
        <w:t>مسارات مثل</w:t>
      </w:r>
      <w:r w:rsidR="006D6FFE">
        <w:rPr>
          <w:rFonts w:hint="cs"/>
          <w:sz w:val="22"/>
          <w:rtl/>
          <w:lang w:bidi="ar-EG"/>
        </w:rPr>
        <w:t xml:space="preserve"> مياه الصابورة والحشف الأحيائي التي لا تتفاعل بشكل مباشر مع الأنواع الحية وتعلق نفسها بشكل انتهازي بشحنات الأنواع الحية.</w:t>
      </w:r>
    </w:p>
    <w:p w:rsidR="00534D44" w:rsidRDefault="00534D44" w:rsidP="00176483">
      <w:pPr>
        <w:numPr>
          <w:ilvl w:val="0"/>
          <w:numId w:val="1"/>
        </w:numPr>
        <w:spacing w:after="120"/>
        <w:jc w:val="both"/>
        <w:rPr>
          <w:sz w:val="22"/>
        </w:rPr>
      </w:pPr>
      <w:r>
        <w:rPr>
          <w:rFonts w:hint="cs"/>
          <w:sz w:val="22"/>
          <w:rtl/>
        </w:rPr>
        <w:t>وينبغي أن توفر الإرشادات التكميلية تدابير عملية لتعزيز فعالية المعايير القائمة، إن أمكن تطبيق ذلك، من خلال تنفيذها</w:t>
      </w:r>
      <w:r w:rsidR="00881272">
        <w:rPr>
          <w:rFonts w:hint="cs"/>
          <w:sz w:val="22"/>
          <w:rtl/>
        </w:rPr>
        <w:t xml:space="preserve"> من جانب جميع وزارات ووكالات الحكومة ذات الصلة، وأصحاب المصلحة المشاركين في سلسلة القيمة للتجارة </w:t>
      </w:r>
      <w:r w:rsidR="00176483">
        <w:rPr>
          <w:rFonts w:hint="cs"/>
          <w:sz w:val="22"/>
          <w:rtl/>
        </w:rPr>
        <w:t>ب</w:t>
      </w:r>
      <w:r w:rsidR="00881272">
        <w:rPr>
          <w:rFonts w:hint="cs"/>
          <w:sz w:val="22"/>
          <w:rtl/>
        </w:rPr>
        <w:t>الأنواع الحية.</w:t>
      </w:r>
      <w:r w:rsidR="009326D5">
        <w:rPr>
          <w:rFonts w:hint="cs"/>
          <w:sz w:val="22"/>
          <w:rtl/>
        </w:rPr>
        <w:t xml:space="preserve"> ويمكن للقطاعات الحكومية المعنية وأصحاب المصلحة أن تشمل السلطات الوطنية من أجل: مراقبة الحدود؛ وتدابير الصحة والصحة النباتية؛ والتجارة والنقل؛ والصناعات ذات الصلة والأشخاص الذين يرسلون أو يتلقون الأنواع الحية.</w:t>
      </w:r>
    </w:p>
    <w:p w:rsidR="00B85002" w:rsidRDefault="00176483" w:rsidP="00FB59D8">
      <w:pPr>
        <w:numPr>
          <w:ilvl w:val="0"/>
          <w:numId w:val="1"/>
        </w:numPr>
        <w:spacing w:after="120"/>
        <w:jc w:val="both"/>
        <w:rPr>
          <w:sz w:val="22"/>
        </w:rPr>
      </w:pPr>
      <w:r>
        <w:rPr>
          <w:rFonts w:hint="cs"/>
          <w:sz w:val="22"/>
          <w:rtl/>
        </w:rPr>
        <w:t>و</w:t>
      </w:r>
      <w:r w:rsidR="00B85002">
        <w:rPr>
          <w:rFonts w:hint="cs"/>
          <w:sz w:val="22"/>
          <w:rtl/>
        </w:rPr>
        <w:t xml:space="preserve">إعداد لوائح محددة (تدابير منسقة) بشأن الأنواع الغريبة الغازية عملية كثيفة الاستخدام للموارد تتطلب، بالنسبة للعديد من البلدان، بناء القدرات ونقل التكنولوجيا. </w:t>
      </w:r>
      <w:r w:rsidR="004837B0">
        <w:rPr>
          <w:rFonts w:hint="cs"/>
          <w:sz w:val="22"/>
          <w:rtl/>
        </w:rPr>
        <w:t xml:space="preserve">ومع </w:t>
      </w:r>
      <w:r>
        <w:rPr>
          <w:rFonts w:hint="cs"/>
          <w:sz w:val="22"/>
          <w:rtl/>
        </w:rPr>
        <w:t>الأخذ في الاعتبار</w:t>
      </w:r>
      <w:r w:rsidR="004837B0">
        <w:rPr>
          <w:rFonts w:hint="cs"/>
          <w:sz w:val="22"/>
          <w:rtl/>
        </w:rPr>
        <w:t xml:space="preserve"> أن اللوائح الوطنية غالبا ما تستند إلى اللوائح القائمة بشأن صحة الحيوان وحماية النبات</w:t>
      </w:r>
      <w:r>
        <w:rPr>
          <w:rFonts w:hint="cs"/>
          <w:sz w:val="22"/>
          <w:rtl/>
        </w:rPr>
        <w:t>ات</w:t>
      </w:r>
      <w:r w:rsidR="004837B0">
        <w:rPr>
          <w:rFonts w:hint="cs"/>
          <w:sz w:val="22"/>
          <w:rtl/>
        </w:rPr>
        <w:t xml:space="preserve"> وفقا لاتفاق منظمة التجارة العالمية بشأن تطبيق التدابير الصحية وتدابير الصحة النباتية.</w:t>
      </w:r>
      <w:r w:rsidR="004837B0">
        <w:rPr>
          <w:rStyle w:val="FootnoteReference"/>
          <w:sz w:val="22"/>
          <w:rtl/>
        </w:rPr>
        <w:footnoteReference w:id="10"/>
      </w:r>
      <w:r w:rsidR="004837B0">
        <w:rPr>
          <w:rFonts w:hint="cs"/>
          <w:sz w:val="22"/>
          <w:rtl/>
        </w:rPr>
        <w:t xml:space="preserve"> وتعتبر التدابير الطوعية الأخرى، من قبيل الإرشادات ومدونات السلوك والبروتوكولات/الإجراءات، ذات قيمة لاستكمال وتعزيز فعالية المعايير </w:t>
      </w:r>
      <w:r w:rsidR="00FB59D8">
        <w:rPr>
          <w:rFonts w:hint="cs"/>
          <w:sz w:val="22"/>
          <w:rtl/>
        </w:rPr>
        <w:t>المعترف</w:t>
      </w:r>
      <w:r w:rsidR="004837B0">
        <w:rPr>
          <w:rFonts w:hint="cs"/>
          <w:sz w:val="22"/>
          <w:rtl/>
        </w:rPr>
        <w:t xml:space="preserve"> بها من منظمة التجارة العالمية.</w:t>
      </w:r>
    </w:p>
    <w:p w:rsidR="003E1C8A" w:rsidRDefault="003E1C8A" w:rsidP="00787820">
      <w:pPr>
        <w:numPr>
          <w:ilvl w:val="0"/>
          <w:numId w:val="1"/>
        </w:numPr>
        <w:spacing w:after="120"/>
        <w:jc w:val="both"/>
        <w:rPr>
          <w:sz w:val="22"/>
        </w:rPr>
      </w:pPr>
      <w:r>
        <w:rPr>
          <w:rFonts w:hint="cs"/>
          <w:sz w:val="22"/>
          <w:rtl/>
          <w:lang w:bidi="ar-EG"/>
        </w:rPr>
        <w:lastRenderedPageBreak/>
        <w:t>ويرد ذكر الإدخال غير المقصود أيضا في المبادئ الم</w:t>
      </w:r>
      <w:r w:rsidR="00FB59D8">
        <w:rPr>
          <w:rFonts w:hint="cs"/>
          <w:sz w:val="22"/>
          <w:rtl/>
          <w:lang w:bidi="ar-EG"/>
        </w:rPr>
        <w:t>ُ</w:t>
      </w:r>
      <w:r>
        <w:rPr>
          <w:rFonts w:hint="cs"/>
          <w:sz w:val="22"/>
          <w:rtl/>
          <w:lang w:bidi="ar-EG"/>
        </w:rPr>
        <w:t>وج</w:t>
      </w:r>
      <w:r w:rsidR="00FB59D8">
        <w:rPr>
          <w:rFonts w:hint="cs"/>
          <w:sz w:val="22"/>
          <w:rtl/>
          <w:lang w:bidi="ar-EG"/>
        </w:rPr>
        <w:t>ِ</w:t>
      </w:r>
      <w:r>
        <w:rPr>
          <w:rFonts w:hint="cs"/>
          <w:sz w:val="22"/>
          <w:rtl/>
          <w:lang w:bidi="ar-EG"/>
        </w:rPr>
        <w:t>هة المرفقة بالمقرر 6/23</w:t>
      </w:r>
      <w:r>
        <w:rPr>
          <w:rStyle w:val="FootnoteReference"/>
          <w:sz w:val="22"/>
          <w:rtl/>
        </w:rPr>
        <w:footnoteReference w:id="11"/>
      </w:r>
      <w:r>
        <w:rPr>
          <w:rFonts w:hint="cs"/>
          <w:sz w:val="22"/>
          <w:rtl/>
          <w:lang w:bidi="ar-EG"/>
        </w:rPr>
        <w:t xml:space="preserve"> في المبادئ 1 و7 و11، التي تشير إلى النهج التحوطي، والرقابة على الحدود وتحليل مخاطر المسارات، على التوالي. ومع مراعاة أنه يمكن الاضطلاع بعمليات مراقبة الحدود وتحليل مخاطر المسارات ليس من جانب سلطات الحفظ أو السلطات البيئية فحسب، ولكن أيضا من جانب السلطات المسؤولة عن مراقبة الحدود ولوائح المخاطر فضلا عن هيئات الإنفاذ التابعة لها، ينبغي تنفيذ الإرشادات التكميلية بطريقة متكاملة من جانب السلطات الوطنية ذات الصلة</w:t>
      </w:r>
      <w:r w:rsidR="00E23355">
        <w:rPr>
          <w:rStyle w:val="FootnoteReference"/>
          <w:sz w:val="22"/>
          <w:rtl/>
        </w:rPr>
        <w:footnoteReference w:id="12"/>
      </w:r>
      <w:r>
        <w:rPr>
          <w:rFonts w:hint="cs"/>
          <w:sz w:val="22"/>
          <w:rtl/>
          <w:lang w:bidi="ar-EG"/>
        </w:rPr>
        <w:t xml:space="preserve"> وفقا للمعايير الدولية والتشريعات الوطنية القائمة.</w:t>
      </w:r>
    </w:p>
    <w:p w:rsidR="0033630C" w:rsidRPr="0033630C" w:rsidRDefault="0033630C" w:rsidP="00787820">
      <w:pPr>
        <w:spacing w:after="120"/>
        <w:jc w:val="center"/>
        <w:rPr>
          <w:b/>
          <w:bCs/>
          <w:sz w:val="22"/>
        </w:rPr>
      </w:pPr>
      <w:r>
        <w:rPr>
          <w:rFonts w:hint="cs"/>
          <w:b/>
          <w:bCs/>
          <w:sz w:val="22"/>
          <w:rtl/>
        </w:rPr>
        <w:t>الإبلاغ عن المخاطر</w:t>
      </w:r>
    </w:p>
    <w:p w:rsidR="00E23355" w:rsidRDefault="0033693E" w:rsidP="00787820">
      <w:pPr>
        <w:numPr>
          <w:ilvl w:val="0"/>
          <w:numId w:val="1"/>
        </w:numPr>
        <w:spacing w:after="120"/>
        <w:jc w:val="both"/>
        <w:rPr>
          <w:sz w:val="22"/>
        </w:rPr>
      </w:pPr>
      <w:r>
        <w:rPr>
          <w:rFonts w:hint="cs"/>
          <w:sz w:val="22"/>
          <w:rtl/>
          <w:lang w:bidi="ar-EG"/>
        </w:rPr>
        <w:t xml:space="preserve">تنص إرشادات اتفاقية التنوع البيولوجي المتعلقة بوضع وتنفيذ تدابير للتصدي للمخاطر المرتبطة بإدخال الأنواع الغريبة كحيوانات أليفة، وكأنواع لأحواض الكائنات المائية ولأحواض الكائنات الأرضية، وكطعم حي وأغذية حية، والمرفقة بالمقرر 12/16، على أنه "يمكن وضع ملصقات على الشحنات تفيد بانها تشكل خطرا محتملا على التنوع البيولوجي، إلا إذا </w:t>
      </w:r>
      <w:r w:rsidR="00A072B6">
        <w:rPr>
          <w:rFonts w:hint="cs"/>
          <w:sz w:val="22"/>
          <w:rtl/>
          <w:lang w:bidi="ar-EG"/>
        </w:rPr>
        <w:t>ثبت</w:t>
      </w:r>
      <w:r>
        <w:rPr>
          <w:rFonts w:hint="cs"/>
          <w:sz w:val="22"/>
          <w:rtl/>
          <w:lang w:bidi="ar-EG"/>
        </w:rPr>
        <w:t xml:space="preserve"> أن الأنواع آمنة ولا يشكل استي</w:t>
      </w:r>
      <w:r w:rsidR="00A072B6">
        <w:rPr>
          <w:rFonts w:hint="cs"/>
          <w:sz w:val="22"/>
          <w:rtl/>
          <w:lang w:bidi="ar-EG"/>
        </w:rPr>
        <w:t>رادها ل</w:t>
      </w:r>
      <w:r>
        <w:rPr>
          <w:rFonts w:hint="cs"/>
          <w:sz w:val="22"/>
          <w:rtl/>
          <w:lang w:bidi="ar-EG"/>
        </w:rPr>
        <w:t>لبلد المعني أو المنطقة البيوجغرافية داخل البلد قيد البحث</w:t>
      </w:r>
      <w:r w:rsidR="00A072B6">
        <w:rPr>
          <w:rFonts w:hint="cs"/>
          <w:sz w:val="22"/>
          <w:rtl/>
          <w:lang w:bidi="ar-EG"/>
        </w:rPr>
        <w:t xml:space="preserve"> أي خطر</w:t>
      </w:r>
      <w:r>
        <w:rPr>
          <w:rFonts w:hint="cs"/>
          <w:sz w:val="22"/>
          <w:rtl/>
          <w:lang w:bidi="ar-EG"/>
        </w:rPr>
        <w:t>"</w:t>
      </w:r>
      <w:r w:rsidR="00A072B6">
        <w:rPr>
          <w:rFonts w:hint="cs"/>
          <w:sz w:val="22"/>
          <w:rtl/>
          <w:lang w:bidi="ar-EG"/>
        </w:rPr>
        <w:t xml:space="preserve"> (الفقرة 20 من الإرشادات). ومع ذلك، من شأن وجود لغة منسقة عالميا أن ييسر زيادة فعالية التنفيذ من جانب مسؤولي </w:t>
      </w:r>
      <w:r w:rsidR="00727987">
        <w:rPr>
          <w:rFonts w:hint="cs"/>
          <w:sz w:val="22"/>
          <w:rtl/>
          <w:lang w:bidi="ar-EG"/>
        </w:rPr>
        <w:t>مراقبة</w:t>
      </w:r>
      <w:r w:rsidR="00A072B6">
        <w:rPr>
          <w:rFonts w:hint="cs"/>
          <w:sz w:val="22"/>
          <w:rtl/>
          <w:lang w:bidi="ar-EG"/>
        </w:rPr>
        <w:t xml:space="preserve"> الحدود والجهات الفاعلة الأخرى المشاركة في سلسلة القيمة للأنواع الحية.</w:t>
      </w:r>
      <w:r w:rsidR="00727987">
        <w:rPr>
          <w:rFonts w:hint="cs"/>
          <w:sz w:val="22"/>
          <w:rtl/>
          <w:lang w:bidi="ar-EG"/>
        </w:rPr>
        <w:t xml:space="preserve"> وفي الوقت الحالي، اضطلعت منظمات دولية بنُهج متسقة</w:t>
      </w:r>
      <w:r w:rsidR="00FB59D8">
        <w:rPr>
          <w:rFonts w:hint="cs"/>
          <w:sz w:val="22"/>
          <w:rtl/>
          <w:lang w:bidi="ar-EG"/>
        </w:rPr>
        <w:t xml:space="preserve"> عالميا</w:t>
      </w:r>
      <w:r w:rsidR="00727987">
        <w:rPr>
          <w:rFonts w:hint="cs"/>
          <w:sz w:val="22"/>
          <w:rtl/>
          <w:lang w:bidi="ar-EG"/>
        </w:rPr>
        <w:t xml:space="preserve"> لوضع العلامات على الأخطار من أجل الإبلاغ عن المخاطر على السلع العابرة للحدود التي تحتوي على مواد خط</w:t>
      </w:r>
      <w:r w:rsidR="00FB59D8">
        <w:rPr>
          <w:rFonts w:hint="cs"/>
          <w:sz w:val="22"/>
          <w:rtl/>
          <w:lang w:bidi="ar-EG"/>
        </w:rPr>
        <w:t>ي</w:t>
      </w:r>
      <w:r w:rsidR="00727987">
        <w:rPr>
          <w:rFonts w:hint="cs"/>
          <w:sz w:val="22"/>
          <w:rtl/>
          <w:lang w:bidi="ar-EG"/>
        </w:rPr>
        <w:t>رة مختلفة. ويتضمن ذلك الأمثلة التالية:</w:t>
      </w:r>
    </w:p>
    <w:p w:rsidR="00727987" w:rsidRDefault="00727987" w:rsidP="00787820">
      <w:pPr>
        <w:spacing w:after="120"/>
        <w:ind w:firstLine="720"/>
        <w:jc w:val="both"/>
        <w:rPr>
          <w:rtl/>
          <w:lang w:bidi="ar"/>
        </w:rPr>
      </w:pPr>
      <w:r>
        <w:rPr>
          <w:rFonts w:hint="cs"/>
          <w:sz w:val="22"/>
          <w:rtl/>
          <w:lang w:bidi="ar-EG"/>
        </w:rPr>
        <w:t>(أ)</w:t>
      </w:r>
      <w:r>
        <w:rPr>
          <w:rFonts w:hint="cs"/>
          <w:sz w:val="22"/>
          <w:rtl/>
          <w:lang w:bidi="ar-EG"/>
        </w:rPr>
        <w:tab/>
      </w:r>
      <w:r>
        <w:rPr>
          <w:rFonts w:hint="cs"/>
          <w:rtl/>
          <w:lang w:bidi="ar"/>
        </w:rPr>
        <w:t>في إطار المنظمة العالمية لصحة الحيوان: يُحدد الكشف عن المخاطر الصحية المحتملة في الحيوانات على أنها "خطر" من جانب السلطات البيطرية بموجب المعايير الدولية القائمة؛</w:t>
      </w:r>
      <w:r>
        <w:rPr>
          <w:rStyle w:val="FootnoteReference"/>
          <w:rtl/>
        </w:rPr>
        <w:footnoteReference w:id="13"/>
      </w:r>
      <w:r w:rsidRPr="00727987">
        <w:rPr>
          <w:rFonts w:hint="cs"/>
          <w:vertAlign w:val="superscript"/>
          <w:rtl/>
          <w:lang w:bidi="ar"/>
        </w:rPr>
        <w:t>،</w:t>
      </w:r>
      <w:r>
        <w:rPr>
          <w:rStyle w:val="FootnoteReference"/>
          <w:rtl/>
        </w:rPr>
        <w:footnoteReference w:id="14"/>
      </w:r>
    </w:p>
    <w:p w:rsidR="00727987" w:rsidRDefault="00727987" w:rsidP="00B26FE7">
      <w:pPr>
        <w:spacing w:after="120"/>
        <w:ind w:firstLine="720"/>
        <w:jc w:val="both"/>
        <w:rPr>
          <w:rtl/>
          <w:lang w:bidi="ar"/>
        </w:rPr>
      </w:pPr>
      <w:r>
        <w:rPr>
          <w:rFonts w:hint="cs"/>
          <w:rtl/>
          <w:lang w:bidi="ar"/>
        </w:rPr>
        <w:t>(ب)</w:t>
      </w:r>
      <w:r>
        <w:rPr>
          <w:rFonts w:hint="cs"/>
          <w:rtl/>
          <w:lang w:bidi="ar"/>
        </w:rPr>
        <w:tab/>
      </w:r>
      <w:r w:rsidR="0019075C">
        <w:rPr>
          <w:rFonts w:hint="cs"/>
          <w:rtl/>
          <w:lang w:bidi="ar"/>
        </w:rPr>
        <w:t>في إطار المنظمة العالمي</w:t>
      </w:r>
      <w:r w:rsidR="00B26FE7">
        <w:rPr>
          <w:rFonts w:hint="cs"/>
          <w:rtl/>
          <w:lang w:bidi="ar"/>
        </w:rPr>
        <w:t>ة</w:t>
      </w:r>
      <w:r w:rsidR="0019075C">
        <w:rPr>
          <w:rFonts w:hint="cs"/>
          <w:rtl/>
          <w:lang w:bidi="ar"/>
        </w:rPr>
        <w:t xml:space="preserve"> للجمارك: يستخدم الكشف عن المخاطر المحتملة على الحدود من جانب سلطات الجمارك الوطنية علامات أو وثائق توضع على الشحنات "ببيان </w:t>
      </w:r>
      <w:r w:rsidR="00B26FE7">
        <w:rPr>
          <w:rFonts w:hint="cs"/>
          <w:rtl/>
          <w:lang w:bidi="ar"/>
        </w:rPr>
        <w:t>للخطر</w:t>
      </w:r>
      <w:r w:rsidR="0019075C">
        <w:rPr>
          <w:rFonts w:hint="cs"/>
          <w:rtl/>
          <w:lang w:bidi="ar"/>
        </w:rPr>
        <w:t>"؛</w:t>
      </w:r>
      <w:r w:rsidR="0019075C">
        <w:rPr>
          <w:rStyle w:val="FootnoteReference"/>
          <w:rtl/>
        </w:rPr>
        <w:footnoteReference w:id="15"/>
      </w:r>
      <w:r w:rsidR="0019075C" w:rsidRPr="0019075C">
        <w:rPr>
          <w:rFonts w:hint="cs"/>
          <w:vertAlign w:val="superscript"/>
          <w:rtl/>
          <w:lang w:bidi="ar"/>
        </w:rPr>
        <w:t>،</w:t>
      </w:r>
      <w:r w:rsidR="0019075C">
        <w:rPr>
          <w:rStyle w:val="FootnoteReference"/>
          <w:rtl/>
        </w:rPr>
        <w:footnoteReference w:id="16"/>
      </w:r>
    </w:p>
    <w:p w:rsidR="00727987" w:rsidRDefault="00727987" w:rsidP="00D32CB4">
      <w:pPr>
        <w:spacing w:after="120"/>
        <w:ind w:firstLine="720"/>
        <w:jc w:val="both"/>
        <w:rPr>
          <w:rtl/>
          <w:lang w:bidi="ar"/>
        </w:rPr>
      </w:pPr>
      <w:r>
        <w:rPr>
          <w:rFonts w:hint="cs"/>
          <w:rtl/>
          <w:lang w:bidi="ar"/>
        </w:rPr>
        <w:t>(ج)</w:t>
      </w:r>
      <w:r>
        <w:rPr>
          <w:rFonts w:hint="cs"/>
          <w:rtl/>
          <w:lang w:bidi="ar"/>
        </w:rPr>
        <w:tab/>
      </w:r>
      <w:r w:rsidR="0019075C">
        <w:rPr>
          <w:rFonts w:hint="cs"/>
          <w:rtl/>
          <w:lang w:bidi="ar"/>
        </w:rPr>
        <w:t>في إطار منظمة الصحة العالمية: تحدد الإرشادات بشأن لوائح نقل المواد المعدية 2015-2016</w:t>
      </w:r>
      <w:r w:rsidR="0019075C">
        <w:rPr>
          <w:rStyle w:val="FootnoteReference"/>
          <w:rtl/>
        </w:rPr>
        <w:footnoteReference w:id="17"/>
      </w:r>
      <w:r w:rsidR="0019075C">
        <w:rPr>
          <w:rFonts w:hint="cs"/>
          <w:rtl/>
          <w:lang w:bidi="ar"/>
        </w:rPr>
        <w:t xml:space="preserve"> متطلبات للتعبئة، ووضع العلامات والوثائق بشأن المواد المعدية (بما في ذلك </w:t>
      </w:r>
      <w:r w:rsidR="00D32CB4">
        <w:rPr>
          <w:rFonts w:hint="cs"/>
          <w:rtl/>
          <w:lang w:bidi="ar-EG"/>
        </w:rPr>
        <w:t>مزارع البكتيريا</w:t>
      </w:r>
      <w:r w:rsidR="0019075C">
        <w:rPr>
          <w:rFonts w:hint="cs"/>
          <w:rtl/>
          <w:lang w:bidi="ar"/>
        </w:rPr>
        <w:t>، والعينات من المرضى، والمنتجات البيولوجية المصنعة، والكائنات الحية الدقيقة المحورة جينيا والكائنات الحية المحورة جينيا، والنفايات الطبية والسريرية)؛</w:t>
      </w:r>
    </w:p>
    <w:p w:rsidR="00727987" w:rsidRPr="006D47CE" w:rsidRDefault="00727987" w:rsidP="00787820">
      <w:pPr>
        <w:spacing w:after="120"/>
        <w:ind w:firstLine="720"/>
        <w:jc w:val="both"/>
        <w:rPr>
          <w:sz w:val="22"/>
        </w:rPr>
      </w:pPr>
      <w:r>
        <w:rPr>
          <w:rFonts w:hint="cs"/>
          <w:rtl/>
          <w:lang w:bidi="ar"/>
        </w:rPr>
        <w:t>(د)</w:t>
      </w:r>
      <w:r>
        <w:rPr>
          <w:rFonts w:hint="cs"/>
          <w:rtl/>
          <w:lang w:bidi="ar"/>
        </w:rPr>
        <w:tab/>
      </w:r>
      <w:r w:rsidR="00B258EC">
        <w:rPr>
          <w:rFonts w:hint="cs"/>
          <w:rtl/>
          <w:lang w:bidi="ar"/>
        </w:rPr>
        <w:t xml:space="preserve">في إطار الأمم المتحدة: </w:t>
      </w:r>
      <w:r w:rsidR="006D47CE">
        <w:rPr>
          <w:rFonts w:hint="cs"/>
          <w:rtl/>
          <w:lang w:bidi="ar"/>
        </w:rPr>
        <w:t xml:space="preserve">يقدم </w:t>
      </w:r>
      <w:r w:rsidR="00B258EC">
        <w:rPr>
          <w:rFonts w:hint="cs"/>
          <w:rtl/>
          <w:lang w:bidi="ar"/>
        </w:rPr>
        <w:t xml:space="preserve">الإصدار الرابع من </w:t>
      </w:r>
      <w:r w:rsidR="006D47CE">
        <w:rPr>
          <w:rFonts w:hint="cs"/>
          <w:i/>
          <w:iCs/>
          <w:rtl/>
          <w:lang w:bidi="ar"/>
        </w:rPr>
        <w:t>النظام المنسق عالميا لتصنيف المواد الكيميائية ووسمها</w:t>
      </w:r>
      <w:r w:rsidR="006D47CE">
        <w:rPr>
          <w:rStyle w:val="FootnoteReference"/>
          <w:i/>
          <w:iCs/>
          <w:rtl/>
        </w:rPr>
        <w:footnoteReference w:id="18"/>
      </w:r>
      <w:r w:rsidR="006D47CE">
        <w:rPr>
          <w:rFonts w:hint="cs"/>
          <w:rtl/>
          <w:lang w:bidi="ar"/>
        </w:rPr>
        <w:t xml:space="preserve"> إرشادات بشأن عناصر الإبلاغ المنسق عن "الأخطار"، والأخطار الكيميائية التي ربما يكون لها آثار بيئية طويلة الأجل، بما </w:t>
      </w:r>
      <w:r w:rsidR="006D47CE">
        <w:rPr>
          <w:rFonts w:hint="cs"/>
          <w:rtl/>
          <w:lang w:bidi="ar"/>
        </w:rPr>
        <w:lastRenderedPageBreak/>
        <w:t>في ذلك متطلبات لوسم وسلامة بطاقات البيانات بشأن "الأخطار الكيميائية". وقامت لجنة من الخبراء تحت رعاية المجلس الاقتصادي والاجتماعي التابع للأمم المتحدة بتطوير النظام المنسق عالميا.</w:t>
      </w:r>
      <w:r w:rsidR="006D47CE">
        <w:rPr>
          <w:rStyle w:val="FootnoteReference"/>
          <w:rtl/>
        </w:rPr>
        <w:footnoteReference w:id="19"/>
      </w:r>
    </w:p>
    <w:p w:rsidR="003E18B4" w:rsidRPr="00727987" w:rsidRDefault="006D47CE" w:rsidP="00956A62">
      <w:pPr>
        <w:numPr>
          <w:ilvl w:val="0"/>
          <w:numId w:val="1"/>
        </w:numPr>
        <w:spacing w:after="120"/>
        <w:jc w:val="both"/>
        <w:rPr>
          <w:sz w:val="22"/>
        </w:rPr>
      </w:pPr>
      <w:r>
        <w:rPr>
          <w:rFonts w:hint="cs"/>
          <w:sz w:val="22"/>
          <w:rtl/>
        </w:rPr>
        <w:t xml:space="preserve">ومن شأن طرق الإبلاغ عن المخاطر المنسقة عالميا بشأن الأخطار على التنوع البيولوجي أن تساعد على </w:t>
      </w:r>
      <w:r w:rsidR="00956A62">
        <w:rPr>
          <w:rFonts w:hint="cs"/>
          <w:sz w:val="22"/>
          <w:rtl/>
        </w:rPr>
        <w:t>الإبلاغ عن</w:t>
      </w:r>
      <w:r>
        <w:rPr>
          <w:rFonts w:hint="cs"/>
          <w:sz w:val="22"/>
          <w:rtl/>
        </w:rPr>
        <w:t xml:space="preserve"> طرق منع إدخال الأنواع الغريبة الغازية إلى مجموعة واسعة من أصحاب المصلحة المشاركين في تجارة الأنواع الحية. وقد ترغب الهيئة الفرعية للمشورة العلمية والتقنية والتكنولوجية في النظر في إمكانية وضع علامات منسقة عالميا </w:t>
      </w:r>
      <w:r w:rsidR="00956A62">
        <w:rPr>
          <w:rFonts w:hint="cs"/>
          <w:sz w:val="22"/>
          <w:rtl/>
        </w:rPr>
        <w:t>ل</w:t>
      </w:r>
      <w:r>
        <w:rPr>
          <w:rFonts w:hint="cs"/>
          <w:sz w:val="22"/>
          <w:rtl/>
        </w:rPr>
        <w:t>لشحنات العابرة للحدود التي تحتوي على الأنواع الحية التي قد يكون لها آثار خطيرة محتملة على التنوع البيولوجي وخدمات النظم الإيكولوجية.</w:t>
      </w:r>
    </w:p>
    <w:p w:rsidR="00FA5C19" w:rsidRPr="00482021" w:rsidRDefault="007D70CA" w:rsidP="00727987">
      <w:pPr>
        <w:keepNext/>
        <w:spacing w:after="120" w:line="192" w:lineRule="auto"/>
        <w:ind w:left="2132" w:hanging="1418"/>
        <w:jc w:val="left"/>
        <w:rPr>
          <w:b/>
          <w:bCs/>
          <w:sz w:val="28"/>
          <w:szCs w:val="28"/>
          <w:rtl/>
          <w:lang w:bidi="ar-EG"/>
        </w:rPr>
      </w:pPr>
      <w:r w:rsidRPr="00D75435">
        <w:rPr>
          <w:rFonts w:hint="cs"/>
          <w:b/>
          <w:bCs/>
          <w:sz w:val="28"/>
          <w:szCs w:val="28"/>
          <w:rtl/>
          <w:lang w:bidi="ar-EG"/>
        </w:rPr>
        <w:t>ثانيا</w:t>
      </w:r>
      <w:r w:rsidR="00FA5C19" w:rsidRPr="00D75435">
        <w:rPr>
          <w:rFonts w:hint="cs"/>
          <w:b/>
          <w:bCs/>
          <w:sz w:val="28"/>
          <w:szCs w:val="28"/>
          <w:rtl/>
          <w:lang w:bidi="ar-EG"/>
        </w:rPr>
        <w:t>-</w:t>
      </w:r>
      <w:r w:rsidR="00FA5C19" w:rsidRPr="00D75435">
        <w:rPr>
          <w:rFonts w:hint="cs"/>
          <w:b/>
          <w:bCs/>
          <w:sz w:val="28"/>
          <w:szCs w:val="28"/>
          <w:rtl/>
          <w:lang w:bidi="ar-EG"/>
        </w:rPr>
        <w:tab/>
      </w:r>
      <w:r w:rsidR="00727987" w:rsidRPr="00D75435">
        <w:rPr>
          <w:rFonts w:hint="cs"/>
          <w:b/>
          <w:bCs/>
          <w:sz w:val="28"/>
          <w:szCs w:val="28"/>
          <w:rtl/>
          <w:lang w:bidi="ar-EG"/>
        </w:rPr>
        <w:t>التقدم المحرز في إعداد إرشادات للأطراف التي يمكن تساعد سلطات الجمارك الوطنية في تيسير الضوابط الضرورية بشأن الأنواع الغريبة الحية التي تُباع عبر التجارة الإلكترونية</w:t>
      </w:r>
    </w:p>
    <w:p w:rsidR="008A42A3" w:rsidRPr="00136E5D" w:rsidRDefault="00D75435" w:rsidP="00956A62">
      <w:pPr>
        <w:numPr>
          <w:ilvl w:val="0"/>
          <w:numId w:val="1"/>
        </w:numPr>
        <w:spacing w:after="120"/>
        <w:jc w:val="both"/>
        <w:rPr>
          <w:sz w:val="22"/>
          <w:lang w:bidi="ar-EG"/>
        </w:rPr>
      </w:pPr>
      <w:r>
        <w:rPr>
          <w:rFonts w:hint="cs"/>
          <w:sz w:val="22"/>
          <w:rtl/>
          <w:lang w:bidi="ar-EG"/>
        </w:rPr>
        <w:t xml:space="preserve">على النحو المشار إليه أعلاه، طُلب إلى الأمين التنفيذ في المقرر 13/13 أن يقوم، بالتعاون مع مختلف المنظمات الدولية، </w:t>
      </w:r>
      <w:r>
        <w:rPr>
          <w:rFonts w:hint="cs"/>
          <w:sz w:val="22"/>
          <w:rtl/>
          <w:lang w:val="en-GB" w:bidi="ar-EG"/>
        </w:rPr>
        <w:t>باستكشاف الحاجة إلى أدوات أو إرشادات للأطراف التي يمكن أن تساعد سلطات الجمارك الوطنية في تيسير الضوابط الضرورية بشأن الأنواع الغريبة الحية التي تُباع عبر التجارة الإلكترونية</w:t>
      </w:r>
      <w:r w:rsidR="00FB27BD">
        <w:rPr>
          <w:rFonts w:hint="cs"/>
          <w:sz w:val="22"/>
          <w:rtl/>
          <w:lang w:val="en-GB" w:bidi="ar-EG"/>
        </w:rPr>
        <w:t>.</w:t>
      </w:r>
      <w:r w:rsidR="00FB27BD">
        <w:rPr>
          <w:rStyle w:val="FootnoteReference"/>
          <w:sz w:val="22"/>
          <w:rtl/>
          <w:lang w:val="en-GB"/>
        </w:rPr>
        <w:footnoteReference w:id="20"/>
      </w:r>
      <w:r w:rsidR="00FB27BD">
        <w:rPr>
          <w:rFonts w:hint="cs"/>
          <w:sz w:val="22"/>
          <w:rtl/>
          <w:lang w:val="en-GB" w:bidi="ar-EG"/>
        </w:rPr>
        <w:t xml:space="preserve"> </w:t>
      </w:r>
      <w:r w:rsidR="00136E5D">
        <w:rPr>
          <w:rFonts w:hint="cs"/>
          <w:sz w:val="22"/>
          <w:rtl/>
          <w:lang w:val="en-GB" w:bidi="ar-EG"/>
        </w:rPr>
        <w:t xml:space="preserve">وتناولت منتديات دولية مختلفة قضية التجارة الإلكترونية باعتبارها تتعلق </w:t>
      </w:r>
      <w:r w:rsidR="00956A62">
        <w:rPr>
          <w:rFonts w:hint="cs"/>
          <w:sz w:val="22"/>
          <w:rtl/>
          <w:lang w:val="en-GB" w:bidi="ar-EG"/>
        </w:rPr>
        <w:t>بالتجارة</w:t>
      </w:r>
      <w:r w:rsidR="00136E5D">
        <w:rPr>
          <w:rFonts w:hint="cs"/>
          <w:sz w:val="22"/>
          <w:rtl/>
          <w:lang w:val="en-GB" w:bidi="ar-EG"/>
        </w:rPr>
        <w:t xml:space="preserve"> </w:t>
      </w:r>
      <w:r w:rsidR="00956A62">
        <w:rPr>
          <w:rFonts w:hint="cs"/>
          <w:sz w:val="22"/>
          <w:rtl/>
          <w:lang w:val="en-GB" w:bidi="ar-EG"/>
        </w:rPr>
        <w:t>ب</w:t>
      </w:r>
      <w:r w:rsidR="00136E5D">
        <w:rPr>
          <w:rFonts w:hint="cs"/>
          <w:sz w:val="22"/>
          <w:rtl/>
          <w:lang w:val="en-GB" w:bidi="ar-EG"/>
        </w:rPr>
        <w:t>الأنواع الحية:</w:t>
      </w:r>
    </w:p>
    <w:p w:rsidR="00136E5D" w:rsidRDefault="00136E5D" w:rsidP="007814B9">
      <w:pPr>
        <w:spacing w:after="120"/>
        <w:ind w:firstLine="720"/>
        <w:jc w:val="both"/>
        <w:rPr>
          <w:rtl/>
          <w:lang w:bidi="ar"/>
        </w:rPr>
      </w:pPr>
      <w:r>
        <w:rPr>
          <w:rFonts w:hint="cs"/>
          <w:sz w:val="22"/>
          <w:rtl/>
          <w:lang w:bidi="ar-EG"/>
        </w:rPr>
        <w:t>(أ)</w:t>
      </w:r>
      <w:r>
        <w:rPr>
          <w:rFonts w:hint="cs"/>
          <w:sz w:val="22"/>
          <w:rtl/>
          <w:lang w:bidi="ar-EG"/>
        </w:rPr>
        <w:tab/>
      </w:r>
      <w:r>
        <w:rPr>
          <w:rFonts w:hint="cs"/>
          <w:rtl/>
          <w:lang w:bidi="ar"/>
        </w:rPr>
        <w:t>قام مؤتمر الأطراف في اتفاقية الاتّجار الدولي بأنواع الحيوانات والنباتات البرية المعرضة للانقراض بتعديل قرار يتعلق بالتجارة الإلكترونية لعينات الأنواع الواردة في هذه الاتفاقية</w:t>
      </w:r>
      <w:r w:rsidR="00C21487">
        <w:rPr>
          <w:rStyle w:val="FootnoteReference"/>
          <w:rtl/>
        </w:rPr>
        <w:footnoteReference w:id="21"/>
      </w:r>
      <w:r w:rsidR="007814B9">
        <w:rPr>
          <w:rFonts w:hint="cs"/>
          <w:rtl/>
          <w:lang w:bidi="ar"/>
        </w:rPr>
        <w:t xml:space="preserve"> وقدم توصيات إلى ا</w:t>
      </w:r>
      <w:r>
        <w:rPr>
          <w:rFonts w:hint="cs"/>
          <w:rtl/>
          <w:lang w:bidi="ar"/>
        </w:rPr>
        <w:t xml:space="preserve">لأطراف في هذه الاتفاقية بشأن التجارة الإلكترونية للعينات فيما يتعلق بالتحقيق في التجارة غير المشروعة في الحياة البرية </w:t>
      </w:r>
      <w:r w:rsidR="007814B9">
        <w:rPr>
          <w:rFonts w:hint="cs"/>
          <w:rtl/>
          <w:lang w:bidi="ar"/>
        </w:rPr>
        <w:t>ومكافحتها</w:t>
      </w:r>
      <w:r>
        <w:rPr>
          <w:rFonts w:hint="cs"/>
          <w:rtl/>
          <w:lang w:bidi="ar"/>
        </w:rPr>
        <w:t xml:space="preserve">. ومع ذلك، لا يتعلق هذا الأمر بشكل مباشر </w:t>
      </w:r>
      <w:r w:rsidR="007814B9">
        <w:rPr>
          <w:rFonts w:hint="cs"/>
          <w:rtl/>
          <w:lang w:bidi="ar"/>
        </w:rPr>
        <w:t>بمكافحة</w:t>
      </w:r>
      <w:r>
        <w:rPr>
          <w:rFonts w:hint="cs"/>
          <w:rtl/>
          <w:lang w:bidi="ar"/>
        </w:rPr>
        <w:t xml:space="preserve"> الأنواع الغريبة الغازية (باستثناء الأنواع المدرجة في تذييلات اتفاقية الاتّجار الدولي بأنواع الحيوانات والنباتات البرية المعرضة للانقراض التي قد تكون غازية)؛</w:t>
      </w:r>
    </w:p>
    <w:p w:rsidR="005B7F63" w:rsidRDefault="00136E5D" w:rsidP="00C454E9">
      <w:pPr>
        <w:spacing w:after="120"/>
        <w:ind w:firstLine="720"/>
        <w:jc w:val="both"/>
        <w:rPr>
          <w:rtl/>
          <w:lang w:bidi="ar"/>
        </w:rPr>
      </w:pPr>
      <w:r>
        <w:rPr>
          <w:rFonts w:hint="cs"/>
          <w:rtl/>
          <w:lang w:bidi="ar"/>
        </w:rPr>
        <w:t>(ب)</w:t>
      </w:r>
      <w:r>
        <w:rPr>
          <w:rFonts w:hint="cs"/>
          <w:rtl/>
          <w:lang w:bidi="ar"/>
        </w:rPr>
        <w:tab/>
      </w:r>
      <w:r w:rsidR="00C21487">
        <w:rPr>
          <w:rFonts w:hint="cs"/>
          <w:rtl/>
          <w:lang w:bidi="ar"/>
        </w:rPr>
        <w:t xml:space="preserve">عملت </w:t>
      </w:r>
      <w:hyperlink r:id="rId12" w:history="1">
        <w:r w:rsidR="00C21487" w:rsidRPr="00C21487">
          <w:rPr>
            <w:rStyle w:val="Hyperlink"/>
            <w:rFonts w:hint="cs"/>
            <w:rtl/>
            <w:lang w:bidi="ar"/>
          </w:rPr>
          <w:t>الاتفاقية الدولية لوقاية النباتات</w:t>
        </w:r>
      </w:hyperlink>
      <w:r w:rsidR="00C21487">
        <w:rPr>
          <w:rFonts w:hint="cs"/>
          <w:rtl/>
          <w:lang w:bidi="ar"/>
        </w:rPr>
        <w:t xml:space="preserve"> على موضوع التجارة الإلكترونية منذ عام 2010.</w:t>
      </w:r>
      <w:r w:rsidR="00C21487">
        <w:rPr>
          <w:rStyle w:val="FootnoteReference"/>
          <w:rtl/>
        </w:rPr>
        <w:footnoteReference w:id="22"/>
      </w:r>
      <w:r w:rsidR="00C21487" w:rsidRPr="00C21487">
        <w:rPr>
          <w:rFonts w:hint="cs"/>
          <w:vertAlign w:val="superscript"/>
          <w:rtl/>
          <w:lang w:bidi="ar"/>
        </w:rPr>
        <w:t>،</w:t>
      </w:r>
      <w:r w:rsidR="00C21487">
        <w:rPr>
          <w:rStyle w:val="FootnoteReference"/>
          <w:rtl/>
        </w:rPr>
        <w:footnoteReference w:id="23"/>
      </w:r>
      <w:r w:rsidR="00C21487" w:rsidRPr="00C21487">
        <w:rPr>
          <w:rFonts w:hint="cs"/>
          <w:vertAlign w:val="superscript"/>
          <w:rtl/>
          <w:lang w:bidi="ar"/>
        </w:rPr>
        <w:t>،</w:t>
      </w:r>
      <w:r w:rsidR="00C21487">
        <w:rPr>
          <w:rStyle w:val="FootnoteReference"/>
          <w:rtl/>
        </w:rPr>
        <w:footnoteReference w:id="24"/>
      </w:r>
      <w:r w:rsidR="00C21487">
        <w:rPr>
          <w:rFonts w:hint="cs"/>
          <w:rtl/>
          <w:lang w:bidi="ar"/>
        </w:rPr>
        <w:t xml:space="preserve"> وأوصى مكتب </w:t>
      </w:r>
      <w:hyperlink r:id="rId13" w:history="1">
        <w:r w:rsidR="00C21487" w:rsidRPr="00C21487">
          <w:rPr>
            <w:rStyle w:val="Hyperlink"/>
            <w:rFonts w:hint="cs"/>
            <w:rtl/>
            <w:lang w:bidi="ar"/>
          </w:rPr>
          <w:t>هيئة تدابير الصحة النباتية</w:t>
        </w:r>
      </w:hyperlink>
      <w:r w:rsidR="00C21487">
        <w:rPr>
          <w:rFonts w:hint="cs"/>
          <w:rtl/>
          <w:lang w:bidi="ar"/>
        </w:rPr>
        <w:t xml:space="preserve"> بتناول</w:t>
      </w:r>
      <w:r w:rsidR="007814B9">
        <w:rPr>
          <w:rFonts w:hint="cs"/>
          <w:rtl/>
          <w:lang w:bidi="ar"/>
        </w:rPr>
        <w:t xml:space="preserve"> قضايا</w:t>
      </w:r>
      <w:r w:rsidR="00C21487">
        <w:rPr>
          <w:rFonts w:hint="cs"/>
          <w:rtl/>
          <w:lang w:bidi="ar"/>
        </w:rPr>
        <w:t xml:space="preserve"> التجارة الإلكترونية </w:t>
      </w:r>
      <w:r w:rsidR="005B7F63">
        <w:rPr>
          <w:rFonts w:hint="cs"/>
          <w:rtl/>
          <w:lang w:bidi="ar"/>
        </w:rPr>
        <w:t>ضمن</w:t>
      </w:r>
      <w:r w:rsidR="00C21487">
        <w:rPr>
          <w:rFonts w:hint="cs"/>
          <w:rtl/>
          <w:lang w:bidi="ar"/>
        </w:rPr>
        <w:t xml:space="preserve"> </w:t>
      </w:r>
      <w:r w:rsidR="005B7F63">
        <w:rPr>
          <w:rFonts w:hint="cs"/>
          <w:rtl/>
          <w:lang w:bidi="ar"/>
        </w:rPr>
        <w:t xml:space="preserve">الاتفاق بشأن تيسير التجارة في إطار منظمة التجارة العالمية، واقترحت عدة إجراءات، بما في ذلك: (1) إعداد صحائف الوقائع </w:t>
      </w:r>
      <w:r w:rsidR="005B7F63" w:rsidRPr="00475A88">
        <w:rPr>
          <w:rFonts w:hint="cs"/>
          <w:rtl/>
          <w:lang w:bidi="ar"/>
        </w:rPr>
        <w:t xml:space="preserve">للمنظمات الوطنية المعنية </w:t>
      </w:r>
      <w:r w:rsidR="00C454E9">
        <w:rPr>
          <w:rFonts w:hint="cs"/>
          <w:rtl/>
          <w:lang w:bidi="ar"/>
        </w:rPr>
        <w:t>بحماية</w:t>
      </w:r>
      <w:r w:rsidR="005B7F63" w:rsidRPr="00475A88">
        <w:rPr>
          <w:rFonts w:hint="cs"/>
          <w:rtl/>
          <w:lang w:bidi="ar"/>
        </w:rPr>
        <w:t xml:space="preserve"> النباتات</w:t>
      </w:r>
      <w:r w:rsidR="005B7F63">
        <w:rPr>
          <w:rFonts w:hint="cs"/>
          <w:rtl/>
          <w:lang w:bidi="ar"/>
        </w:rPr>
        <w:t>؛ (2) وإشراك الجهات الفاعلة في التجارة الإلكترونية وخدمات التوصيل، بما في ذلك الاتحاد البريدي العالمي؛ (3) وصياغة معلوم</w:t>
      </w:r>
      <w:r w:rsidR="00475A88">
        <w:rPr>
          <w:rFonts w:hint="cs"/>
          <w:rtl/>
          <w:lang w:bidi="ar"/>
        </w:rPr>
        <w:t xml:space="preserve">ات موحدة لأصحاب المصلحة هؤلاء. كما </w:t>
      </w:r>
      <w:r w:rsidR="005B7F63">
        <w:rPr>
          <w:rFonts w:hint="cs"/>
          <w:rtl/>
          <w:lang w:bidi="ar"/>
        </w:rPr>
        <w:t>تتعاون الاتفاقية الدولية لوقاية النباتات مع الفريق العامل المعني بالتجارة الإلكترونية والتابع للمنظمة العالمية للجمارك ومع منظمة التجارة العالمية فيما يتعلق بالاتفاق بشأن تيسير التجارة؛</w:t>
      </w:r>
    </w:p>
    <w:p w:rsidR="00136E5D" w:rsidRPr="00FC32BA" w:rsidRDefault="00136E5D" w:rsidP="00475A88">
      <w:pPr>
        <w:spacing w:after="120"/>
        <w:ind w:firstLine="720"/>
        <w:jc w:val="both"/>
        <w:rPr>
          <w:sz w:val="22"/>
          <w:rtl/>
          <w:lang w:bidi="ar-EG"/>
        </w:rPr>
      </w:pPr>
      <w:r>
        <w:rPr>
          <w:rFonts w:hint="cs"/>
          <w:rtl/>
          <w:lang w:bidi="ar"/>
        </w:rPr>
        <w:t>(ج)</w:t>
      </w:r>
      <w:r>
        <w:rPr>
          <w:rFonts w:hint="cs"/>
          <w:rtl/>
          <w:lang w:bidi="ar"/>
        </w:rPr>
        <w:tab/>
      </w:r>
      <w:r w:rsidR="00815879">
        <w:rPr>
          <w:rFonts w:hint="cs"/>
          <w:rtl/>
          <w:lang w:bidi="ar"/>
        </w:rPr>
        <w:t xml:space="preserve">أسست المنظمة العالمية للجمارك فريقا عاملا معنيا بالتجارة الإلكترونية في عام 2016. وعقب أول اجتماع للفريق العامل، أجرت المنظمة العالمية للجمارك دراسة استقصائية بين الدول الأعضاء فيها ونشرت تقرير دراسة بشأن التجارة </w:t>
      </w:r>
      <w:r w:rsidR="00815879">
        <w:rPr>
          <w:rFonts w:hint="cs"/>
          <w:rtl/>
          <w:lang w:bidi="ar"/>
        </w:rPr>
        <w:lastRenderedPageBreak/>
        <w:t>الإلكترونية العابرة للحدود</w:t>
      </w:r>
      <w:r w:rsidR="00815879">
        <w:rPr>
          <w:rStyle w:val="FootnoteReference"/>
          <w:rtl/>
        </w:rPr>
        <w:footnoteReference w:id="25"/>
      </w:r>
      <w:r w:rsidR="00815879">
        <w:rPr>
          <w:rFonts w:hint="cs"/>
          <w:rtl/>
          <w:lang w:bidi="ar"/>
        </w:rPr>
        <w:t xml:space="preserve"> في مارس/آذار 2017. وتعاونت أمانة الاتفاقية المتعلقة بالتنوع البيولوجي مع المنظمة العالمية للجمارك </w:t>
      </w:r>
      <w:r w:rsidR="00475A88">
        <w:rPr>
          <w:rFonts w:hint="cs"/>
          <w:rtl/>
          <w:lang w:bidi="ar"/>
        </w:rPr>
        <w:t>من خلال</w:t>
      </w:r>
      <w:r w:rsidR="00815879">
        <w:rPr>
          <w:rFonts w:hint="cs"/>
          <w:rtl/>
          <w:lang w:bidi="ar"/>
        </w:rPr>
        <w:t xml:space="preserve"> </w:t>
      </w:r>
      <w:r w:rsidR="00475A88">
        <w:rPr>
          <w:rFonts w:hint="cs"/>
          <w:rtl/>
          <w:lang w:bidi="ar"/>
        </w:rPr>
        <w:t>الاجتماع الثامن</w:t>
      </w:r>
      <w:r w:rsidR="00815879">
        <w:rPr>
          <w:rFonts w:hint="cs"/>
          <w:rtl/>
          <w:lang w:bidi="ar"/>
        </w:rPr>
        <w:t xml:space="preserve"> لفريق الاتصال المشترك بين الوكالات المعني بالأنواع الغريبة الغازية،</w:t>
      </w:r>
      <w:r w:rsidR="00815879">
        <w:rPr>
          <w:rStyle w:val="FootnoteReference"/>
          <w:rtl/>
        </w:rPr>
        <w:footnoteReference w:id="26"/>
      </w:r>
      <w:r w:rsidR="00815879">
        <w:rPr>
          <w:rFonts w:hint="cs"/>
          <w:rtl/>
          <w:lang w:bidi="ar"/>
        </w:rPr>
        <w:t xml:space="preserve"> واجتماع للأفرقة الفرعية </w:t>
      </w:r>
      <w:r w:rsidR="00475A88">
        <w:rPr>
          <w:rFonts w:hint="cs"/>
          <w:rtl/>
          <w:lang w:bidi="ar"/>
        </w:rPr>
        <w:t xml:space="preserve">التابعة </w:t>
      </w:r>
      <w:r w:rsidR="00815879">
        <w:rPr>
          <w:rFonts w:hint="cs"/>
          <w:rtl/>
          <w:lang w:bidi="ar"/>
        </w:rPr>
        <w:t>للفريق العامل المعني بالتجارة الإلكترونية،</w:t>
      </w:r>
      <w:r w:rsidR="00815879">
        <w:rPr>
          <w:rStyle w:val="FootnoteReference"/>
          <w:rtl/>
        </w:rPr>
        <w:footnoteReference w:id="27"/>
      </w:r>
      <w:r w:rsidR="00815879">
        <w:rPr>
          <w:rFonts w:hint="cs"/>
          <w:rtl/>
          <w:lang w:bidi="ar"/>
        </w:rPr>
        <w:t xml:space="preserve"> والمؤتمر العالمي الأول للتجارة الإلكترونية العابرة للحدود.</w:t>
      </w:r>
      <w:r w:rsidR="00815879">
        <w:rPr>
          <w:rStyle w:val="FootnoteReference"/>
          <w:rtl/>
        </w:rPr>
        <w:footnoteReference w:id="28"/>
      </w:r>
      <w:r w:rsidR="00815879">
        <w:rPr>
          <w:rFonts w:hint="cs"/>
          <w:rtl/>
          <w:lang w:bidi="ar"/>
        </w:rPr>
        <w:t xml:space="preserve"> </w:t>
      </w:r>
      <w:r w:rsidR="00475A88">
        <w:rPr>
          <w:rFonts w:hint="cs"/>
          <w:rtl/>
          <w:lang w:bidi="ar"/>
        </w:rPr>
        <w:t>وفي إطار هذه</w:t>
      </w:r>
      <w:r w:rsidR="00815879">
        <w:rPr>
          <w:rFonts w:hint="cs"/>
          <w:rtl/>
          <w:lang w:bidi="ar"/>
        </w:rPr>
        <w:t xml:space="preserve"> الاجتماعات، ساهمت أمانة الاتفاقية في إعداد مشروع إطار المنظمة العالمية للجمارك بشأن التجارة الإلكترونية العابرة للحدود، الذي يقر، في فصل أُضيف حديثا بشأن السلامة والأمن، بأن الكائنات الحية، والأنواع الغريبة الغازية، والحيوانات الأليفة، ومسببات الأمراض، والمنتجات المشتقة من الحيوانات والنباتات والفطريات </w:t>
      </w:r>
      <w:r w:rsidR="005B7167">
        <w:rPr>
          <w:rFonts w:hint="cs"/>
          <w:rtl/>
          <w:lang w:bidi="ar"/>
        </w:rPr>
        <w:t xml:space="preserve">قد تحمل مخاطر الغزوات البيولوجية في البلدان المستوردة. وانتهى الفريق العامل من إعداد إطار التجارة الإلكترونية العابرة للحدود في أبريل/نيسان 2018، وستنظر فيه </w:t>
      </w:r>
      <w:r w:rsidR="00475A88">
        <w:rPr>
          <w:rFonts w:hint="cs"/>
          <w:rtl/>
          <w:lang w:bidi="ar"/>
        </w:rPr>
        <w:t>لاحقا</w:t>
      </w:r>
      <w:r w:rsidR="005B7167">
        <w:rPr>
          <w:rFonts w:hint="cs"/>
          <w:rtl/>
          <w:lang w:bidi="ar"/>
        </w:rPr>
        <w:t xml:space="preserve"> لجنة السياسات التابعة للمنظمة العالمية للجمارك في يونيو/حزيران 2018. </w:t>
      </w:r>
      <w:r w:rsidR="00475A88">
        <w:rPr>
          <w:rFonts w:hint="cs"/>
          <w:rtl/>
          <w:lang w:bidi="ar"/>
        </w:rPr>
        <w:t>و</w:t>
      </w:r>
      <w:r w:rsidR="005B7167">
        <w:rPr>
          <w:rFonts w:hint="cs"/>
          <w:rtl/>
          <w:lang w:bidi="ar"/>
        </w:rPr>
        <w:t xml:space="preserve">ستُتاح النسخة النهائية للهيئة الفرعية كوثيقة إعلامية. ودعت المنظمة العالمية للجمارك الأمانة إلى مواصلة التعاون لضمان </w:t>
      </w:r>
      <w:r w:rsidR="00475A88">
        <w:rPr>
          <w:rFonts w:hint="cs"/>
          <w:rtl/>
          <w:lang w:bidi="ar"/>
        </w:rPr>
        <w:t>أنه يمكن</w:t>
      </w:r>
      <w:r w:rsidR="005B7167">
        <w:rPr>
          <w:rFonts w:hint="cs"/>
          <w:rtl/>
          <w:lang w:bidi="ar"/>
        </w:rPr>
        <w:t xml:space="preserve"> </w:t>
      </w:r>
      <w:r w:rsidR="00475A88">
        <w:rPr>
          <w:rFonts w:hint="cs"/>
          <w:rtl/>
          <w:lang w:bidi="ar"/>
        </w:rPr>
        <w:t>ل</w:t>
      </w:r>
      <w:r w:rsidR="005B7167">
        <w:rPr>
          <w:rFonts w:hint="cs"/>
          <w:rtl/>
          <w:lang w:bidi="ar"/>
        </w:rPr>
        <w:t xml:space="preserve">أدوات وصكوك المنظمة العالمية للجمارك </w:t>
      </w:r>
      <w:r w:rsidR="00475A88">
        <w:rPr>
          <w:rFonts w:hint="cs"/>
          <w:rtl/>
          <w:lang w:bidi="ar"/>
        </w:rPr>
        <w:t>أن تغطي</w:t>
      </w:r>
      <w:r w:rsidR="005B7167">
        <w:rPr>
          <w:rFonts w:hint="cs"/>
          <w:rtl/>
          <w:lang w:bidi="ar"/>
        </w:rPr>
        <w:t xml:space="preserve"> إدا</w:t>
      </w:r>
      <w:r w:rsidR="00475A88">
        <w:rPr>
          <w:rFonts w:hint="cs"/>
          <w:rtl/>
          <w:lang w:bidi="ar"/>
        </w:rPr>
        <w:t>رة المخاطر عبر الحدود بشكل فعال</w:t>
      </w:r>
      <w:r w:rsidR="005B7167">
        <w:rPr>
          <w:rFonts w:hint="cs"/>
          <w:rtl/>
          <w:lang w:bidi="ar"/>
        </w:rPr>
        <w:t xml:space="preserve"> </w:t>
      </w:r>
      <w:r w:rsidR="00475A88">
        <w:rPr>
          <w:rFonts w:hint="cs"/>
          <w:rtl/>
          <w:lang w:bidi="ar"/>
        </w:rPr>
        <w:t>وأن تساعد</w:t>
      </w:r>
      <w:r w:rsidR="005B7167">
        <w:rPr>
          <w:rFonts w:hint="cs"/>
          <w:rtl/>
          <w:lang w:bidi="ar"/>
        </w:rPr>
        <w:t xml:space="preserve"> في تقليل انتشار الأنواع الغريبة الغازية إلى أدنى حد.</w:t>
      </w:r>
    </w:p>
    <w:p w:rsidR="00B330D0" w:rsidRPr="00482021" w:rsidRDefault="00B330D0" w:rsidP="00136E5D">
      <w:pPr>
        <w:keepNext/>
        <w:spacing w:after="120" w:line="192" w:lineRule="auto"/>
        <w:jc w:val="center"/>
        <w:rPr>
          <w:b/>
          <w:bCs/>
          <w:sz w:val="28"/>
          <w:szCs w:val="28"/>
          <w:rtl/>
          <w:lang w:bidi="ar-EG"/>
        </w:rPr>
      </w:pPr>
      <w:r w:rsidRPr="00B26A67">
        <w:rPr>
          <w:rFonts w:hint="cs"/>
          <w:b/>
          <w:bCs/>
          <w:sz w:val="28"/>
          <w:szCs w:val="28"/>
          <w:rtl/>
          <w:lang w:bidi="ar-EG"/>
        </w:rPr>
        <w:t>ثالثا-</w:t>
      </w:r>
      <w:r w:rsidRPr="00B26A67">
        <w:rPr>
          <w:rFonts w:hint="cs"/>
          <w:b/>
          <w:bCs/>
          <w:sz w:val="28"/>
          <w:szCs w:val="28"/>
          <w:rtl/>
          <w:lang w:bidi="ar-EG"/>
        </w:rPr>
        <w:tab/>
      </w:r>
      <w:r w:rsidR="00136E5D" w:rsidRPr="00B26A67">
        <w:rPr>
          <w:rFonts w:hint="cs"/>
          <w:b/>
          <w:bCs/>
          <w:sz w:val="28"/>
          <w:szCs w:val="28"/>
          <w:rtl/>
          <w:lang w:bidi="ar-EG"/>
        </w:rPr>
        <w:t xml:space="preserve">التقدم المحرز بشأن إعداد أدوات، </w:t>
      </w:r>
      <w:r w:rsidR="00B26A67" w:rsidRPr="00B26A67">
        <w:rPr>
          <w:rFonts w:hint="cs"/>
          <w:b/>
          <w:bCs/>
          <w:sz w:val="28"/>
          <w:szCs w:val="28"/>
          <w:rtl/>
          <w:lang w:bidi="ar-EG"/>
        </w:rPr>
        <w:t>و</w:t>
      </w:r>
      <w:r w:rsidR="00136E5D" w:rsidRPr="00B26A67">
        <w:rPr>
          <w:rFonts w:hint="cs"/>
          <w:b/>
          <w:bCs/>
          <w:sz w:val="28"/>
          <w:szCs w:val="28"/>
          <w:rtl/>
          <w:lang w:bidi="ar-EG"/>
        </w:rPr>
        <w:t>غيرها من الإرشادات ونظم المعلومات</w:t>
      </w:r>
    </w:p>
    <w:p w:rsidR="005D2059" w:rsidRDefault="00290420" w:rsidP="00787820">
      <w:pPr>
        <w:numPr>
          <w:ilvl w:val="0"/>
          <w:numId w:val="1"/>
        </w:numPr>
        <w:spacing w:after="120"/>
        <w:jc w:val="both"/>
        <w:rPr>
          <w:sz w:val="22"/>
          <w:lang w:bidi="ar-EG"/>
        </w:rPr>
      </w:pPr>
      <w:r>
        <w:rPr>
          <w:rFonts w:hint="cs"/>
          <w:sz w:val="22"/>
          <w:rtl/>
          <w:lang w:bidi="ar-EG"/>
        </w:rPr>
        <w:t>أُحرز تقدم بشأن إعداد مجموعة متنوعة من الأدوات، والإرشادات ونظم المعلومات فيما يتعلق بالأنواع الغريبة الغازية. على سبيل المثال ما يلي:</w:t>
      </w:r>
    </w:p>
    <w:p w:rsidR="00290420" w:rsidRDefault="00290420" w:rsidP="00B26A67">
      <w:pPr>
        <w:spacing w:after="120"/>
        <w:ind w:firstLine="720"/>
        <w:jc w:val="both"/>
        <w:rPr>
          <w:sz w:val="22"/>
          <w:rtl/>
          <w:lang w:bidi="ar-EG"/>
        </w:rPr>
      </w:pPr>
      <w:r>
        <w:rPr>
          <w:rFonts w:hint="cs"/>
          <w:sz w:val="22"/>
          <w:rtl/>
          <w:lang w:bidi="ar-EG"/>
        </w:rPr>
        <w:t>(أ)</w:t>
      </w:r>
      <w:r>
        <w:rPr>
          <w:rFonts w:hint="cs"/>
          <w:sz w:val="22"/>
          <w:rtl/>
          <w:lang w:bidi="ar-EG"/>
        </w:rPr>
        <w:tab/>
      </w:r>
      <w:r w:rsidR="00B26A67">
        <w:rPr>
          <w:rFonts w:hint="cs"/>
          <w:sz w:val="22"/>
          <w:rtl/>
          <w:lang w:bidi="ar-EG"/>
        </w:rPr>
        <w:t>أتاح</w:t>
      </w:r>
      <w:r>
        <w:rPr>
          <w:rFonts w:hint="cs"/>
          <w:sz w:val="22"/>
          <w:rtl/>
          <w:lang w:bidi="ar-EG"/>
        </w:rPr>
        <w:t xml:space="preserve"> السجل العالمي للأنواع المُدخلة والغازية</w:t>
      </w:r>
      <w:r w:rsidR="00B26A67">
        <w:rPr>
          <w:rFonts w:hint="cs"/>
          <w:sz w:val="22"/>
          <w:rtl/>
          <w:lang w:bidi="ar-EG"/>
        </w:rPr>
        <w:t xml:space="preserve"> إمكانية الحصول بحرية من على الإنترنت على</w:t>
      </w:r>
      <w:r>
        <w:rPr>
          <w:rFonts w:hint="cs"/>
          <w:sz w:val="22"/>
          <w:rtl/>
          <w:lang w:bidi="ar-EG"/>
        </w:rPr>
        <w:t xml:space="preserve"> معلومات صحيحة عن الأنواع الغازية (قوائم مرجعية) واردة من 28 طرفا وثلاث جرز دون وطنية من خلال التعاون مع المحررين القطريين المشاركين في الشراكة العالمية </w:t>
      </w:r>
      <w:r w:rsidR="00D76B75">
        <w:rPr>
          <w:rFonts w:hint="cs"/>
          <w:sz w:val="22"/>
          <w:rtl/>
          <w:lang w:bidi="ar-EG"/>
        </w:rPr>
        <w:t>للمعلومات عن الأنواع الغريبة الغازية، و</w:t>
      </w:r>
      <w:r w:rsidR="00D76B75">
        <w:rPr>
          <w:rFonts w:hint="cs"/>
          <w:sz w:val="22"/>
          <w:rtl/>
          <w:lang w:bidi="ar"/>
        </w:rPr>
        <w:t>الفريق</w:t>
      </w:r>
      <w:r w:rsidR="00D76B75">
        <w:rPr>
          <w:rFonts w:hint="cs"/>
          <w:sz w:val="22"/>
          <w:rtl/>
          <w:lang w:bidi="ar-EG"/>
        </w:rPr>
        <w:t xml:space="preserve"> المتخصص المعني بالأنواع الغازية والتابع للاتحاد الدولي لحفظ الطبيعة، والمرفق العالمي للمعلومات بشأن التنوع البيولوجي.</w:t>
      </w:r>
      <w:r w:rsidR="00D76B75">
        <w:rPr>
          <w:rStyle w:val="FootnoteReference"/>
          <w:sz w:val="22"/>
          <w:rtl/>
        </w:rPr>
        <w:footnoteReference w:id="29"/>
      </w:r>
      <w:r w:rsidR="00D76B75" w:rsidRPr="00D76B75">
        <w:rPr>
          <w:rFonts w:hint="cs"/>
          <w:sz w:val="22"/>
          <w:vertAlign w:val="superscript"/>
          <w:rtl/>
          <w:lang w:bidi="ar-EG"/>
        </w:rPr>
        <w:t>،</w:t>
      </w:r>
      <w:r w:rsidR="00D76B75">
        <w:rPr>
          <w:rStyle w:val="FootnoteReference"/>
          <w:sz w:val="22"/>
          <w:rtl/>
        </w:rPr>
        <w:footnoteReference w:id="30"/>
      </w:r>
      <w:r w:rsidR="00D76B75">
        <w:rPr>
          <w:rFonts w:hint="cs"/>
          <w:sz w:val="22"/>
          <w:rtl/>
          <w:lang w:bidi="ar-EG"/>
        </w:rPr>
        <w:t xml:space="preserve"> وبالمثل، من خلال عمل المرفق العالمي للمعلومات بشأن التنوع البيولوجي و</w:t>
      </w:r>
      <w:r w:rsidR="00D76B75">
        <w:rPr>
          <w:rFonts w:hint="cs"/>
          <w:sz w:val="22"/>
          <w:rtl/>
          <w:lang w:bidi="ar"/>
        </w:rPr>
        <w:t xml:space="preserve">الفريق المتخصص المعني بالأنواع الغازية والتابع للاتحاد الدولي لحفظ الطبيعة، من المتوقع أن تكون القوائم المرجعية للأنواع الغريبة الغازية في 198 </w:t>
      </w:r>
      <w:r w:rsidR="00B26A67">
        <w:rPr>
          <w:rFonts w:hint="cs"/>
          <w:sz w:val="22"/>
          <w:rtl/>
          <w:lang w:bidi="ar"/>
        </w:rPr>
        <w:t>بلدا</w:t>
      </w:r>
      <w:r w:rsidR="00D76B75">
        <w:rPr>
          <w:rFonts w:hint="cs"/>
          <w:sz w:val="22"/>
          <w:rtl/>
          <w:lang w:bidi="ar"/>
        </w:rPr>
        <w:t xml:space="preserve">، بما في ذلك </w:t>
      </w:r>
      <w:r w:rsidR="00B26A67">
        <w:rPr>
          <w:rFonts w:hint="cs"/>
          <w:sz w:val="22"/>
          <w:rtl/>
          <w:lang w:bidi="ar"/>
        </w:rPr>
        <w:t>ال</w:t>
      </w:r>
      <w:r w:rsidR="00D76B75">
        <w:rPr>
          <w:rFonts w:hint="cs"/>
          <w:sz w:val="22"/>
          <w:rtl/>
          <w:lang w:bidi="ar"/>
        </w:rPr>
        <w:t xml:space="preserve">أراضي </w:t>
      </w:r>
      <w:r w:rsidR="00B26A67">
        <w:rPr>
          <w:rFonts w:hint="cs"/>
          <w:sz w:val="22"/>
          <w:rtl/>
          <w:lang w:bidi="ar"/>
        </w:rPr>
        <w:t>في</w:t>
      </w:r>
      <w:r w:rsidR="00D76B75">
        <w:rPr>
          <w:rFonts w:hint="cs"/>
          <w:sz w:val="22"/>
          <w:rtl/>
          <w:lang w:bidi="ar"/>
        </w:rPr>
        <w:t>ما وراء البحار التابعة للاتحاد الأوروبي، متاحة بحلول نهاية عام 2018 من خلال موقع شبكي مخصص.</w:t>
      </w:r>
      <w:r w:rsidR="00D76B75" w:rsidRPr="00D76B75">
        <w:rPr>
          <w:rFonts w:hint="cs"/>
          <w:sz w:val="22"/>
          <w:vertAlign w:val="superscript"/>
          <w:rtl/>
        </w:rPr>
        <w:t>25</w:t>
      </w:r>
      <w:r w:rsidR="00D76B75">
        <w:rPr>
          <w:rFonts w:hint="cs"/>
          <w:sz w:val="22"/>
          <w:rtl/>
          <w:lang w:bidi="ar"/>
        </w:rPr>
        <w:t xml:space="preserve"> وسيتسنى الحصول على هذه المعلومات من آلية غرفة تبادل المعلومات في الاتفاقية المتعلقة بالتنوع البيولوجي في الوقت المناسب؛</w:t>
      </w:r>
    </w:p>
    <w:p w:rsidR="00290420" w:rsidRDefault="00290420" w:rsidP="00B26A67">
      <w:pPr>
        <w:spacing w:after="120"/>
        <w:ind w:firstLine="720"/>
        <w:jc w:val="both"/>
        <w:rPr>
          <w:sz w:val="22"/>
          <w:rtl/>
          <w:lang w:bidi="ar-EG"/>
        </w:rPr>
      </w:pPr>
      <w:r>
        <w:rPr>
          <w:rFonts w:hint="cs"/>
          <w:sz w:val="22"/>
          <w:rtl/>
          <w:lang w:bidi="ar-EG"/>
        </w:rPr>
        <w:t>(ب)</w:t>
      </w:r>
      <w:r>
        <w:rPr>
          <w:rFonts w:hint="cs"/>
          <w:sz w:val="22"/>
          <w:rtl/>
          <w:lang w:bidi="ar-EG"/>
        </w:rPr>
        <w:tab/>
      </w:r>
      <w:r w:rsidR="00BA4799">
        <w:rPr>
          <w:rFonts w:hint="cs"/>
          <w:sz w:val="22"/>
          <w:rtl/>
          <w:lang w:bidi="ar-EG"/>
        </w:rPr>
        <w:t>في مايو/أيار 2017، نشر الاتحاد الدولي لحفظ الطبيعة وثيقة تشاور بشأن التصنيف الموحد للاتحاد الدولي لحفظ الطبيعة لأثر الأنواع الغريبة الغازية.</w:t>
      </w:r>
      <w:r w:rsidR="00BA4799">
        <w:rPr>
          <w:rStyle w:val="FootnoteReference"/>
          <w:sz w:val="22"/>
          <w:rtl/>
        </w:rPr>
        <w:footnoteReference w:id="31"/>
      </w:r>
      <w:r w:rsidR="00BA4799">
        <w:rPr>
          <w:rFonts w:hint="cs"/>
          <w:sz w:val="22"/>
          <w:rtl/>
          <w:lang w:bidi="ar-EG"/>
        </w:rPr>
        <w:t xml:space="preserve"> وتشرح الوثيقة تصنيف الأثر البيئي للأنواع الغريبة المقرر تطبيقه بطريقة </w:t>
      </w:r>
      <w:r w:rsidR="00B26A67">
        <w:rPr>
          <w:rFonts w:hint="cs"/>
          <w:sz w:val="22"/>
          <w:rtl/>
          <w:lang w:bidi="ar-EG"/>
        </w:rPr>
        <w:t>منسقة</w:t>
      </w:r>
      <w:r w:rsidR="00BA4799">
        <w:rPr>
          <w:rFonts w:hint="cs"/>
          <w:sz w:val="22"/>
          <w:rtl/>
          <w:lang w:bidi="ar-EG"/>
        </w:rPr>
        <w:t xml:space="preserve"> وقابلة للمقارنة في مختلف التقييمات. ومن المتوقع استخدام بيانات تصنيف الأثر البيئي للأنواع الغريبة من أجل اتخاذ القرارات السياساتية القائمة على الأدلة التي تعتبر فيها الأنواع الغريبة غازية. وبالإضافة إلى ذلك، يخطط الاتحاد الدولي لحفظ </w:t>
      </w:r>
      <w:r w:rsidR="00BA4799">
        <w:rPr>
          <w:rFonts w:hint="cs"/>
          <w:sz w:val="22"/>
          <w:rtl/>
          <w:lang w:bidi="ar-EG"/>
        </w:rPr>
        <w:lastRenderedPageBreak/>
        <w:t>الطبيعة لتطوير قاعدة بيانات بشأن الآثار الاجتماعية والاقتصادية للأنواع الغريبة الغازية بجانب نهج مماثل لتصنيف الأثر البيئي للأنواع الغريبة</w:t>
      </w:r>
      <w:r w:rsidR="00A173E9">
        <w:rPr>
          <w:rFonts w:hint="cs"/>
          <w:sz w:val="22"/>
          <w:rtl/>
          <w:lang w:bidi="ar-EG"/>
        </w:rPr>
        <w:t>؛</w:t>
      </w:r>
    </w:p>
    <w:p w:rsidR="00290420" w:rsidRDefault="00290420" w:rsidP="00787820">
      <w:pPr>
        <w:spacing w:after="120"/>
        <w:ind w:firstLine="720"/>
        <w:jc w:val="both"/>
        <w:rPr>
          <w:sz w:val="22"/>
          <w:rtl/>
          <w:lang w:bidi="ar-EG"/>
        </w:rPr>
      </w:pPr>
      <w:r>
        <w:rPr>
          <w:rFonts w:hint="cs"/>
          <w:sz w:val="22"/>
          <w:rtl/>
          <w:lang w:bidi="ar-EG"/>
        </w:rPr>
        <w:t>(ج)</w:t>
      </w:r>
      <w:r>
        <w:rPr>
          <w:rFonts w:hint="cs"/>
          <w:sz w:val="22"/>
          <w:rtl/>
          <w:lang w:bidi="ar-EG"/>
        </w:rPr>
        <w:tab/>
      </w:r>
      <w:r w:rsidR="00A173E9">
        <w:rPr>
          <w:rFonts w:hint="cs"/>
          <w:sz w:val="22"/>
          <w:rtl/>
          <w:lang w:bidi="ar-EG"/>
        </w:rPr>
        <w:t xml:space="preserve">وقام الفريق المتخصص المعني بالأنواع الغازية والتابع للاتحاد الدولي لحفظ الطبيعة بتوضيح تصنيف مسار الاتفاقية المتعلقة بالتنوع البيولوجي بصورة أكبر بغية تقديم إرشادات بشأن كيفية تفسير تعريفات نظام تصنيف مسار الاتفاقية المتعلقة بالتنوع البيولوجي. وبالإضافة إلى ذلك، تم تكييف بعض مجموعات البيانات الإقليمية والعالمة مع نظام تصنيف مسار الاتفاقية المتعلقة بالتنوع البيولوجي، على سبيل المثال بالنسبة للاتحاد الأوروبي وقاعدة البيانات العالمية بشأن الأنواع الغازية. واعتُمدت واجهة بحث تستخدم نظام تصنيف مسار الاتفاقية المتعلقة بالتنوع البيولوجي على قاعدة البيانات العالمية بشأن الأنواع الغازية من أجل الأطراف بغية مراجعة الغزوات البيولوجية المسجلة من خلال الوصول إلى المسارات واختيارها على الرابط </w:t>
      </w:r>
      <w:hyperlink r:id="rId14" w:history="1">
        <w:r w:rsidR="00A173E9" w:rsidRPr="00584A8D">
          <w:rPr>
            <w:rFonts w:eastAsia="Yu Mincho"/>
            <w:kern w:val="22"/>
            <w:szCs w:val="22"/>
            <w:lang w:eastAsia="ja-JP"/>
          </w:rPr>
          <w:t>http://www.iucngisd.org/gisd/</w:t>
        </w:r>
      </w:hyperlink>
      <w:r w:rsidR="00A173E9">
        <w:rPr>
          <w:rFonts w:hint="cs"/>
          <w:sz w:val="22"/>
          <w:rtl/>
          <w:lang w:bidi="ar-EG"/>
        </w:rPr>
        <w:t>؛</w:t>
      </w:r>
    </w:p>
    <w:p w:rsidR="00290420" w:rsidRDefault="00290420" w:rsidP="00B26A67">
      <w:pPr>
        <w:spacing w:after="120"/>
        <w:ind w:firstLine="720"/>
        <w:jc w:val="both"/>
        <w:rPr>
          <w:sz w:val="22"/>
          <w:lang w:bidi="ar-EG"/>
        </w:rPr>
      </w:pPr>
      <w:r>
        <w:rPr>
          <w:rFonts w:hint="cs"/>
          <w:sz w:val="22"/>
          <w:rtl/>
          <w:lang w:bidi="ar-EG"/>
        </w:rPr>
        <w:t>(د)</w:t>
      </w:r>
      <w:r>
        <w:rPr>
          <w:rFonts w:hint="cs"/>
          <w:sz w:val="22"/>
          <w:rtl/>
          <w:lang w:bidi="ar-EG"/>
        </w:rPr>
        <w:tab/>
      </w:r>
      <w:r w:rsidR="00A173E9">
        <w:rPr>
          <w:rFonts w:hint="cs"/>
          <w:sz w:val="22"/>
          <w:rtl/>
          <w:lang w:bidi="ar-EG"/>
        </w:rPr>
        <w:t xml:space="preserve">وفيما يتعلق بالأدلة على إدخال الكائنات الغريبة الغازية من خلال مسارات الإدخال غير المقصود، جمع </w:t>
      </w:r>
      <w:r w:rsidR="00A173E9">
        <w:rPr>
          <w:rFonts w:hint="cs"/>
          <w:sz w:val="22"/>
          <w:rtl/>
          <w:lang w:bidi="ar"/>
        </w:rPr>
        <w:t xml:space="preserve">الفريق المتخصص المعني بالأنواع الغازية والتابع للاتحاد الدولي لحفظ الطبيعة معلومات عن آثار هذه الكائنات من البلدان التي </w:t>
      </w:r>
      <w:r w:rsidR="00B26A67">
        <w:rPr>
          <w:rFonts w:hint="cs"/>
          <w:sz w:val="22"/>
          <w:rtl/>
          <w:lang w:bidi="ar"/>
        </w:rPr>
        <w:t>استقرت</w:t>
      </w:r>
      <w:r w:rsidR="00786F84">
        <w:rPr>
          <w:rFonts w:hint="cs"/>
          <w:sz w:val="22"/>
          <w:rtl/>
          <w:lang w:bidi="ar"/>
        </w:rPr>
        <w:t xml:space="preserve"> وانتشرت</w:t>
      </w:r>
      <w:r w:rsidR="00A173E9">
        <w:rPr>
          <w:rFonts w:hint="cs"/>
          <w:sz w:val="22"/>
          <w:rtl/>
          <w:lang w:bidi="ar"/>
        </w:rPr>
        <w:t xml:space="preserve"> فيها الأنواع الغازية</w:t>
      </w:r>
      <w:r w:rsidR="00786F84">
        <w:rPr>
          <w:rFonts w:hint="cs"/>
          <w:sz w:val="22"/>
          <w:rtl/>
          <w:lang w:bidi="ar"/>
        </w:rPr>
        <w:t>، وحلل الآثار والمسارات الرئيسية المسؤولة عن ذلك. كما قامت دول الشمال الأوروبي والاتحاد الأوروبي بتقييم المخاطر المحددة للمسار.</w:t>
      </w:r>
    </w:p>
    <w:p w:rsidR="00CA26EE" w:rsidRPr="00482021" w:rsidRDefault="00CA26EE" w:rsidP="00CA26EE">
      <w:pPr>
        <w:keepNext/>
        <w:spacing w:after="120" w:line="192" w:lineRule="auto"/>
        <w:jc w:val="center"/>
        <w:rPr>
          <w:b/>
          <w:bCs/>
          <w:sz w:val="28"/>
          <w:szCs w:val="28"/>
          <w:rtl/>
          <w:lang w:bidi="ar-EG"/>
        </w:rPr>
      </w:pPr>
      <w:r w:rsidRPr="00B174F3">
        <w:rPr>
          <w:rFonts w:hint="cs"/>
          <w:b/>
          <w:bCs/>
          <w:sz w:val="28"/>
          <w:szCs w:val="28"/>
          <w:rtl/>
          <w:lang w:bidi="ar-EG"/>
        </w:rPr>
        <w:t>رابعا-</w:t>
      </w:r>
      <w:r w:rsidRPr="00B174F3">
        <w:rPr>
          <w:rFonts w:hint="cs"/>
          <w:b/>
          <w:bCs/>
          <w:sz w:val="28"/>
          <w:szCs w:val="28"/>
          <w:rtl/>
          <w:lang w:bidi="ar-EG"/>
        </w:rPr>
        <w:tab/>
        <w:t>مسائل أخرى</w:t>
      </w:r>
    </w:p>
    <w:p w:rsidR="00CA26EE" w:rsidRDefault="00B174F3" w:rsidP="00DD5A97">
      <w:pPr>
        <w:numPr>
          <w:ilvl w:val="0"/>
          <w:numId w:val="1"/>
        </w:numPr>
        <w:spacing w:after="120"/>
        <w:jc w:val="both"/>
        <w:rPr>
          <w:sz w:val="22"/>
          <w:lang w:bidi="ar-EG"/>
        </w:rPr>
      </w:pPr>
      <w:r>
        <w:rPr>
          <w:rFonts w:hint="cs"/>
          <w:sz w:val="22"/>
          <w:rtl/>
          <w:lang w:bidi="ar-EG"/>
        </w:rPr>
        <w:t xml:space="preserve">وهناك حاجة إلى مزيد من العمل من جانب الخبراء لجمع معلومات عن تأثيرات تغير المناخ وتحليلها </w:t>
      </w:r>
      <w:r w:rsidR="00DD5A97">
        <w:rPr>
          <w:rFonts w:hint="cs"/>
          <w:sz w:val="22"/>
          <w:rtl/>
          <w:lang w:bidi="ar-EG"/>
        </w:rPr>
        <w:t>فيما يتعلق</w:t>
      </w:r>
      <w:r>
        <w:rPr>
          <w:rFonts w:hint="cs"/>
          <w:sz w:val="22"/>
          <w:rtl/>
          <w:lang w:bidi="ar-EG"/>
        </w:rPr>
        <w:t xml:space="preserve"> </w:t>
      </w:r>
      <w:r w:rsidR="00DD5A97">
        <w:rPr>
          <w:rFonts w:hint="cs"/>
          <w:sz w:val="22"/>
          <w:rtl/>
          <w:lang w:bidi="ar-EG"/>
        </w:rPr>
        <w:t>ب</w:t>
      </w:r>
      <w:r>
        <w:rPr>
          <w:rFonts w:hint="cs"/>
          <w:sz w:val="22"/>
          <w:rtl/>
          <w:lang w:bidi="ar-EG"/>
        </w:rPr>
        <w:t xml:space="preserve">إدارة الأنواع الغريبة الغازية؛ </w:t>
      </w:r>
      <w:r w:rsidR="00DD5A97">
        <w:rPr>
          <w:rFonts w:hint="cs"/>
          <w:sz w:val="22"/>
          <w:rtl/>
          <w:lang w:bidi="ar-EG"/>
        </w:rPr>
        <w:t>والأساليب المستخدمة</w:t>
      </w:r>
      <w:r>
        <w:rPr>
          <w:rFonts w:hint="cs"/>
          <w:sz w:val="22"/>
          <w:rtl/>
          <w:lang w:bidi="ar-EG"/>
        </w:rPr>
        <w:t xml:space="preserve"> لتحديد </w:t>
      </w:r>
      <w:r>
        <w:rPr>
          <w:sz w:val="22"/>
          <w:rtl/>
          <w:lang w:bidi="ar-EG"/>
        </w:rPr>
        <w:t xml:space="preserve">التكاليف والمنافع وتحليل </w:t>
      </w:r>
      <w:r>
        <w:rPr>
          <w:rFonts w:hint="cs"/>
          <w:sz w:val="22"/>
          <w:rtl/>
          <w:lang w:bidi="ar-EG"/>
        </w:rPr>
        <w:t>الفعالية من حيث</w:t>
      </w:r>
      <w:r>
        <w:rPr>
          <w:sz w:val="22"/>
          <w:rtl/>
          <w:lang w:bidi="ar-EG"/>
        </w:rPr>
        <w:t xml:space="preserve"> التكلفة لإدارة الأنواع الغريبة</w:t>
      </w:r>
      <w:r>
        <w:rPr>
          <w:rFonts w:hint="cs"/>
          <w:sz w:val="22"/>
          <w:rtl/>
          <w:lang w:bidi="ar-EG"/>
        </w:rPr>
        <w:t xml:space="preserve"> الغازية؛ وتحليل مخاطر الأنواع الغريبة الغازية، مع الأخذ في الاعتبار العواقب المحتملة للإدخال وتأثير ذلك على القيم الاجتماعية والاقتصادية والثقافية؛ ولتحديد أثر التجارة الإلكترونية (تجارة الأنواع الغريبة) على التنوع البيولوجي. وقد تساعد الأنشطة المذكورة أعلاه في تطوير أدوات وإرشادات تقنية </w:t>
      </w:r>
      <w:r w:rsidR="00DD5A97">
        <w:rPr>
          <w:rFonts w:hint="cs"/>
          <w:sz w:val="22"/>
          <w:rtl/>
          <w:lang w:bidi="ar-EG"/>
        </w:rPr>
        <w:t>للاستجابة</w:t>
      </w:r>
      <w:r>
        <w:rPr>
          <w:rFonts w:hint="cs"/>
          <w:sz w:val="22"/>
          <w:rtl/>
          <w:lang w:bidi="ar-EG"/>
        </w:rPr>
        <w:t xml:space="preserve"> </w:t>
      </w:r>
      <w:r w:rsidR="00DD5A97">
        <w:rPr>
          <w:rFonts w:hint="cs"/>
          <w:sz w:val="22"/>
          <w:rtl/>
          <w:lang w:bidi="ar-EG"/>
        </w:rPr>
        <w:t>ل</w:t>
      </w:r>
      <w:r>
        <w:rPr>
          <w:rFonts w:hint="cs"/>
          <w:sz w:val="22"/>
          <w:rtl/>
          <w:lang w:bidi="ar-EG"/>
        </w:rPr>
        <w:t>طلبات مؤتمر الأطراف الواردة في المقرر 13/13.</w:t>
      </w:r>
    </w:p>
    <w:p w:rsidR="00CA26EE" w:rsidRDefault="001B3E97" w:rsidP="00DD5A97">
      <w:pPr>
        <w:numPr>
          <w:ilvl w:val="0"/>
          <w:numId w:val="1"/>
        </w:numPr>
        <w:spacing w:after="120"/>
        <w:jc w:val="both"/>
        <w:rPr>
          <w:sz w:val="22"/>
          <w:lang w:bidi="ar-EG"/>
        </w:rPr>
      </w:pPr>
      <w:r>
        <w:rPr>
          <w:rFonts w:hint="cs"/>
          <w:sz w:val="22"/>
          <w:rtl/>
          <w:lang w:bidi="ar-EG"/>
        </w:rPr>
        <w:t>واستجابة للمقرر 9/4 ألف، سيركز الاجتماع التاسع لفريق الاتصال المعني بالأنواع الغريبة الغازية،</w:t>
      </w:r>
      <w:r w:rsidR="00A133E0">
        <w:rPr>
          <w:rStyle w:val="FootnoteReference"/>
          <w:sz w:val="22"/>
          <w:rtl/>
        </w:rPr>
        <w:footnoteReference w:id="32"/>
      </w:r>
      <w:r>
        <w:rPr>
          <w:rFonts w:hint="cs"/>
          <w:sz w:val="22"/>
          <w:rtl/>
          <w:lang w:bidi="ar-EG"/>
        </w:rPr>
        <w:t xml:space="preserve"> المقرر أن تشارك في استضافته </w:t>
      </w:r>
      <w:r w:rsidR="00820555">
        <w:rPr>
          <w:rFonts w:hint="cs"/>
          <w:sz w:val="22"/>
          <w:rtl/>
          <w:lang w:bidi="ar-EG"/>
        </w:rPr>
        <w:t>منظمة الطيران المدني الدولي</w:t>
      </w:r>
      <w:r>
        <w:rPr>
          <w:rFonts w:hint="cs"/>
          <w:sz w:val="22"/>
          <w:rtl/>
          <w:lang w:bidi="ar-EG"/>
        </w:rPr>
        <w:t xml:space="preserve"> والاتفاقية</w:t>
      </w:r>
      <w:r w:rsidR="00A133E0">
        <w:rPr>
          <w:rFonts w:hint="cs"/>
          <w:sz w:val="22"/>
          <w:rtl/>
          <w:lang w:bidi="ar-EG"/>
        </w:rPr>
        <w:t xml:space="preserve"> المتعلقة بالتنوع البيولوجي،</w:t>
      </w:r>
      <w:r w:rsidR="00A133E0">
        <w:rPr>
          <w:rStyle w:val="FootnoteReference"/>
          <w:sz w:val="22"/>
          <w:rtl/>
        </w:rPr>
        <w:footnoteReference w:id="33"/>
      </w:r>
      <w:r w:rsidR="00A133E0">
        <w:rPr>
          <w:rFonts w:hint="cs"/>
          <w:sz w:val="22"/>
          <w:rtl/>
          <w:lang w:bidi="ar-EG"/>
        </w:rPr>
        <w:t xml:space="preserve"> على </w:t>
      </w:r>
      <w:r w:rsidR="00DD5A97">
        <w:rPr>
          <w:rFonts w:hint="cs"/>
          <w:sz w:val="22"/>
          <w:rtl/>
          <w:lang w:bidi="ar-EG"/>
        </w:rPr>
        <w:t xml:space="preserve">مسارات الإدخال المرتبطة </w:t>
      </w:r>
      <w:r w:rsidR="00A133E0">
        <w:rPr>
          <w:rFonts w:hint="cs"/>
          <w:sz w:val="22"/>
          <w:rtl/>
          <w:lang w:bidi="ar-EG"/>
        </w:rPr>
        <w:t>بالنقل الجوي للبضائع والمسافرين لتقليل مخاطر الغزوات البيولوجية المرتبطة بها إلى أدنى حد.</w:t>
      </w:r>
    </w:p>
    <w:p w:rsidR="00CA26EE" w:rsidRPr="00482021" w:rsidRDefault="00CA26EE" w:rsidP="00CA26EE">
      <w:pPr>
        <w:keepNext/>
        <w:spacing w:after="120" w:line="192" w:lineRule="auto"/>
        <w:jc w:val="center"/>
        <w:rPr>
          <w:b/>
          <w:bCs/>
          <w:sz w:val="28"/>
          <w:szCs w:val="28"/>
          <w:rtl/>
          <w:lang w:bidi="ar-EG"/>
        </w:rPr>
      </w:pPr>
      <w:r w:rsidRPr="00EE2490">
        <w:rPr>
          <w:rFonts w:hint="cs"/>
          <w:b/>
          <w:bCs/>
          <w:sz w:val="28"/>
          <w:szCs w:val="28"/>
          <w:rtl/>
          <w:lang w:bidi="ar-EG"/>
        </w:rPr>
        <w:t>خامسا-</w:t>
      </w:r>
      <w:r w:rsidRPr="00EE2490">
        <w:rPr>
          <w:rFonts w:hint="cs"/>
          <w:b/>
          <w:bCs/>
          <w:sz w:val="28"/>
          <w:szCs w:val="28"/>
          <w:rtl/>
          <w:lang w:bidi="ar-EG"/>
        </w:rPr>
        <w:tab/>
        <w:t>التوصيات المقترحة</w:t>
      </w:r>
    </w:p>
    <w:p w:rsidR="00CA26EE" w:rsidRDefault="00EC4B70" w:rsidP="00787820">
      <w:pPr>
        <w:numPr>
          <w:ilvl w:val="0"/>
          <w:numId w:val="1"/>
        </w:numPr>
        <w:spacing w:after="120"/>
        <w:jc w:val="both"/>
        <w:rPr>
          <w:sz w:val="22"/>
          <w:lang w:bidi="ar-EG"/>
        </w:rPr>
      </w:pPr>
      <w:r>
        <w:rPr>
          <w:rFonts w:hint="cs"/>
          <w:sz w:val="22"/>
          <w:rtl/>
          <w:lang w:bidi="ar-EG"/>
        </w:rPr>
        <w:t>قد ترغب الهيئة الفرعية للمشورة العلمية والتقنية والتكنولوجية في أن توصي مؤتمر الأطراف بأن يعتمد مقرر</w:t>
      </w:r>
      <w:r w:rsidR="00DD5A97">
        <w:rPr>
          <w:rFonts w:hint="cs"/>
          <w:sz w:val="22"/>
          <w:rtl/>
          <w:lang w:bidi="ar-EG"/>
        </w:rPr>
        <w:t>ا</w:t>
      </w:r>
      <w:r>
        <w:rPr>
          <w:rFonts w:hint="cs"/>
          <w:sz w:val="22"/>
          <w:rtl/>
          <w:lang w:bidi="ar-EG"/>
        </w:rPr>
        <w:t xml:space="preserve"> على غرار ما يلي:</w:t>
      </w:r>
    </w:p>
    <w:p w:rsidR="00B330D0" w:rsidRDefault="00B330D0" w:rsidP="00787820">
      <w:pPr>
        <w:spacing w:after="100"/>
        <w:ind w:firstLine="720"/>
        <w:jc w:val="both"/>
        <w:rPr>
          <w:i/>
          <w:iCs/>
          <w:sz w:val="22"/>
          <w:rtl/>
          <w:lang w:bidi="ar-EG"/>
        </w:rPr>
      </w:pPr>
      <w:r>
        <w:rPr>
          <w:rFonts w:hint="cs"/>
          <w:i/>
          <w:iCs/>
          <w:sz w:val="22"/>
          <w:rtl/>
          <w:lang w:bidi="ar-EG"/>
        </w:rPr>
        <w:t xml:space="preserve">إن </w:t>
      </w:r>
      <w:r w:rsidRPr="00FE3257">
        <w:rPr>
          <w:rFonts w:hint="cs"/>
          <w:i/>
          <w:iCs/>
          <w:sz w:val="22"/>
          <w:rtl/>
          <w:lang w:bidi="ar-EG"/>
        </w:rPr>
        <w:t>مؤتمر الأطراف</w:t>
      </w:r>
    </w:p>
    <w:p w:rsidR="00B330D0" w:rsidRDefault="00EE2490" w:rsidP="00DD5A97">
      <w:pPr>
        <w:numPr>
          <w:ilvl w:val="0"/>
          <w:numId w:val="13"/>
        </w:numPr>
        <w:spacing w:after="100"/>
        <w:ind w:left="90" w:firstLine="630"/>
        <w:jc w:val="both"/>
        <w:rPr>
          <w:sz w:val="22"/>
          <w:lang w:bidi="ar-EG"/>
        </w:rPr>
      </w:pPr>
      <w:r>
        <w:rPr>
          <w:rFonts w:hint="cs"/>
          <w:i/>
          <w:iCs/>
          <w:sz w:val="22"/>
          <w:rtl/>
          <w:lang w:bidi="ar-EG"/>
        </w:rPr>
        <w:t>يعتمد</w:t>
      </w:r>
      <w:r>
        <w:rPr>
          <w:rFonts w:hint="cs"/>
          <w:sz w:val="22"/>
          <w:rtl/>
          <w:lang w:bidi="ar-EG"/>
        </w:rPr>
        <w:t xml:space="preserve"> الإرشادات التكميلية </w:t>
      </w:r>
      <w:r w:rsidR="00DD5A97">
        <w:rPr>
          <w:rFonts w:hint="cs"/>
          <w:sz w:val="22"/>
          <w:rtl/>
          <w:lang w:bidi="ar-EG"/>
        </w:rPr>
        <w:t>على النحو المرفق</w:t>
      </w:r>
      <w:r>
        <w:rPr>
          <w:rFonts w:hint="cs"/>
          <w:sz w:val="22"/>
          <w:rtl/>
          <w:lang w:bidi="ar-EG"/>
        </w:rPr>
        <w:t xml:space="preserve"> بهذا المقرر</w:t>
      </w:r>
      <w:r w:rsidR="00B330D0" w:rsidRPr="00B50B14">
        <w:rPr>
          <w:rFonts w:hint="cs"/>
          <w:sz w:val="22"/>
          <w:rtl/>
          <w:lang w:bidi="ar-EG"/>
        </w:rPr>
        <w:t>؛</w:t>
      </w:r>
    </w:p>
    <w:p w:rsidR="0090366E" w:rsidRDefault="00EE2490" w:rsidP="00787820">
      <w:pPr>
        <w:numPr>
          <w:ilvl w:val="0"/>
          <w:numId w:val="13"/>
        </w:numPr>
        <w:spacing w:after="100"/>
        <w:ind w:left="90" w:firstLine="630"/>
        <w:jc w:val="both"/>
        <w:rPr>
          <w:sz w:val="22"/>
          <w:lang w:bidi="ar-EG"/>
        </w:rPr>
      </w:pPr>
      <w:r>
        <w:rPr>
          <w:rFonts w:hint="cs"/>
          <w:i/>
          <w:iCs/>
          <w:sz w:val="22"/>
          <w:rtl/>
          <w:lang w:bidi="ar-EG"/>
        </w:rPr>
        <w:t>يدعو</w:t>
      </w:r>
      <w:r>
        <w:rPr>
          <w:rFonts w:hint="cs"/>
          <w:sz w:val="22"/>
          <w:rtl/>
          <w:lang w:bidi="ar-EG"/>
        </w:rPr>
        <w:t xml:space="preserve"> الأطراف، والحكومات الأخرى والمنظمات ذات الصلة إلى تطبيق هذه الإرشادات</w:t>
      </w:r>
      <w:r w:rsidR="0090366E">
        <w:rPr>
          <w:rFonts w:hint="cs"/>
          <w:sz w:val="22"/>
          <w:rtl/>
          <w:lang w:bidi="ar-EG"/>
        </w:rPr>
        <w:t>؛</w:t>
      </w:r>
    </w:p>
    <w:p w:rsidR="0090366E" w:rsidRDefault="00EE2490" w:rsidP="00787820">
      <w:pPr>
        <w:numPr>
          <w:ilvl w:val="0"/>
          <w:numId w:val="13"/>
        </w:numPr>
        <w:spacing w:after="100"/>
        <w:ind w:left="90" w:firstLine="630"/>
        <w:jc w:val="both"/>
        <w:rPr>
          <w:sz w:val="22"/>
          <w:lang w:bidi="ar-EG"/>
        </w:rPr>
      </w:pPr>
      <w:r>
        <w:rPr>
          <w:rFonts w:hint="cs"/>
          <w:i/>
          <w:iCs/>
          <w:sz w:val="22"/>
          <w:rtl/>
          <w:lang w:bidi="ar-EG"/>
        </w:rPr>
        <w:lastRenderedPageBreak/>
        <w:t>يقرر</w:t>
      </w:r>
      <w:r>
        <w:rPr>
          <w:rFonts w:hint="cs"/>
          <w:sz w:val="22"/>
          <w:rtl/>
          <w:lang w:bidi="ar-EG"/>
        </w:rPr>
        <w:t xml:space="preserve"> إنشاء فريق خبراء تقني مخصص معني بالأنواع الغريبة الغازية، والقيام، رهنا بتوافر الموارد المالية، بعقد اجتماع لهذا الفريق وفقا للاختصاصات الواردة في المرفق؛</w:t>
      </w:r>
    </w:p>
    <w:p w:rsidR="00FC2617" w:rsidRDefault="00EE2490" w:rsidP="00DD5A97">
      <w:pPr>
        <w:numPr>
          <w:ilvl w:val="0"/>
          <w:numId w:val="13"/>
        </w:numPr>
        <w:spacing w:after="100"/>
        <w:ind w:left="91" w:firstLine="629"/>
        <w:jc w:val="both"/>
        <w:rPr>
          <w:sz w:val="22"/>
          <w:lang w:bidi="ar-EG"/>
        </w:rPr>
      </w:pPr>
      <w:r>
        <w:rPr>
          <w:rFonts w:hint="cs"/>
          <w:i/>
          <w:iCs/>
          <w:sz w:val="22"/>
          <w:rtl/>
          <w:lang w:bidi="ar-EG"/>
        </w:rPr>
        <w:t xml:space="preserve">يشجع </w:t>
      </w:r>
      <w:r>
        <w:rPr>
          <w:rFonts w:hint="cs"/>
          <w:sz w:val="22"/>
          <w:rtl/>
          <w:lang w:bidi="ar-EG"/>
        </w:rPr>
        <w:t xml:space="preserve">الأطراف </w:t>
      </w:r>
      <w:r w:rsidR="00DD5A97">
        <w:rPr>
          <w:rFonts w:hint="cs"/>
          <w:sz w:val="22"/>
          <w:rtl/>
          <w:lang w:bidi="ar-EG"/>
        </w:rPr>
        <w:t xml:space="preserve">على </w:t>
      </w:r>
      <w:r>
        <w:rPr>
          <w:rFonts w:hint="cs"/>
          <w:sz w:val="22"/>
          <w:rtl/>
          <w:lang w:bidi="ar-EG"/>
        </w:rPr>
        <w:t>تقاسم المعلومات بشأن لوائح الاستيراد الوطنية ذات الصلة بالأنواع الغريبة الغازية من خلال آلية غرفة تبادل المعلومات أو ما يعادلها من وسائل</w:t>
      </w:r>
      <w:r w:rsidR="00DD5A97">
        <w:rPr>
          <w:rFonts w:hint="cs"/>
          <w:sz w:val="22"/>
          <w:rtl/>
          <w:lang w:bidi="ar-EG"/>
        </w:rPr>
        <w:t xml:space="preserve">، </w:t>
      </w:r>
      <w:r w:rsidR="00DD5A97">
        <w:rPr>
          <w:rFonts w:hint="cs"/>
          <w:i/>
          <w:iCs/>
          <w:sz w:val="22"/>
          <w:rtl/>
          <w:lang w:bidi="ar-EG"/>
        </w:rPr>
        <w:t>ويدعو</w:t>
      </w:r>
      <w:r w:rsidR="00DD5A97">
        <w:rPr>
          <w:rFonts w:hint="cs"/>
          <w:sz w:val="22"/>
          <w:rtl/>
          <w:lang w:bidi="ar-EG"/>
        </w:rPr>
        <w:t xml:space="preserve"> الحكومات الأخرى إلى </w:t>
      </w:r>
      <w:r w:rsidR="00DD5A97">
        <w:rPr>
          <w:rFonts w:hint="cs"/>
          <w:sz w:val="22"/>
          <w:rtl/>
          <w:lang w:bidi="ar-EG"/>
        </w:rPr>
        <w:t>القيام بذلك</w:t>
      </w:r>
      <w:r>
        <w:rPr>
          <w:rFonts w:hint="cs"/>
          <w:sz w:val="22"/>
          <w:rtl/>
          <w:lang w:bidi="ar-EG"/>
        </w:rPr>
        <w:t>؛</w:t>
      </w:r>
    </w:p>
    <w:p w:rsidR="0003607A" w:rsidRDefault="00EE2490" w:rsidP="00DD5A97">
      <w:pPr>
        <w:numPr>
          <w:ilvl w:val="0"/>
          <w:numId w:val="13"/>
        </w:numPr>
        <w:spacing w:after="100"/>
        <w:ind w:left="91" w:firstLine="629"/>
        <w:jc w:val="both"/>
        <w:rPr>
          <w:sz w:val="22"/>
          <w:lang w:bidi="ar-EG"/>
        </w:rPr>
      </w:pPr>
      <w:r>
        <w:rPr>
          <w:rFonts w:hint="cs"/>
          <w:i/>
          <w:iCs/>
          <w:sz w:val="22"/>
          <w:rtl/>
          <w:lang w:bidi="ar-EG"/>
        </w:rPr>
        <w:t xml:space="preserve">يطلب إلى </w:t>
      </w:r>
      <w:r>
        <w:rPr>
          <w:rFonts w:hint="cs"/>
          <w:sz w:val="22"/>
          <w:rtl/>
          <w:lang w:bidi="ar-EG"/>
        </w:rPr>
        <w:t xml:space="preserve">الأمين التنفيذ أن </w:t>
      </w:r>
      <w:r w:rsidR="00DD5A97">
        <w:rPr>
          <w:rFonts w:hint="cs"/>
          <w:sz w:val="22"/>
          <w:rtl/>
          <w:lang w:bidi="ar-EG"/>
        </w:rPr>
        <w:t>يقوم</w:t>
      </w:r>
      <w:r>
        <w:rPr>
          <w:rFonts w:hint="cs"/>
          <w:sz w:val="22"/>
          <w:rtl/>
          <w:lang w:bidi="ar-EG"/>
        </w:rPr>
        <w:t xml:space="preserve"> مع أمانة المجلس الاقتصادي والاجتماعي التابع للأمم المتحدة، وكذلك فريق الاتصال المشترك بين الوكالات والمعني بالأنواع الغريبة الغازية </w:t>
      </w:r>
      <w:r w:rsidR="00DD5A97">
        <w:rPr>
          <w:rFonts w:hint="cs"/>
          <w:sz w:val="22"/>
          <w:rtl/>
          <w:lang w:bidi="ar-EG"/>
        </w:rPr>
        <w:t xml:space="preserve">باستكشاف </w:t>
      </w:r>
      <w:r>
        <w:rPr>
          <w:rFonts w:hint="cs"/>
          <w:sz w:val="22"/>
          <w:rtl/>
          <w:lang w:bidi="ar-EG"/>
        </w:rPr>
        <w:t>إمكانية إعداد نظام منسق عالميا للتصنيف ووضع العلامات للأخطار على التنوع البيولوجي، وتقديم تقرير عن التقدم المحرز فيه إلى الهيئة الفرعية للمشورة العلمية والتقنية والتكنولوجية في اجتماع يُعقد قبل الاجتماع الخامس عشر لمؤتمر الأطراف.</w:t>
      </w:r>
    </w:p>
    <w:p w:rsidR="005835D1" w:rsidRDefault="005835D1" w:rsidP="00EC7CB9">
      <w:pPr>
        <w:keepNext/>
        <w:spacing w:after="100" w:line="204" w:lineRule="auto"/>
        <w:ind w:left="720"/>
        <w:jc w:val="center"/>
        <w:rPr>
          <w:rStyle w:val="hps"/>
          <w:i/>
          <w:iCs/>
          <w:sz w:val="22"/>
          <w:rtl/>
          <w:lang w:bidi="ar-EG"/>
        </w:rPr>
      </w:pPr>
      <w:r>
        <w:rPr>
          <w:rStyle w:val="hps"/>
          <w:sz w:val="22"/>
          <w:rtl/>
          <w:lang w:bidi="ar-EG"/>
        </w:rPr>
        <w:br w:type="page"/>
      </w:r>
      <w:r>
        <w:rPr>
          <w:rStyle w:val="hps"/>
          <w:rFonts w:hint="cs"/>
          <w:i/>
          <w:iCs/>
          <w:sz w:val="22"/>
          <w:rtl/>
          <w:lang w:bidi="ar-EG"/>
        </w:rPr>
        <w:lastRenderedPageBreak/>
        <w:t>المرفق</w:t>
      </w:r>
      <w:r w:rsidR="00EE2490">
        <w:rPr>
          <w:rStyle w:val="hps"/>
          <w:rFonts w:hint="cs"/>
          <w:i/>
          <w:iCs/>
          <w:sz w:val="22"/>
          <w:rtl/>
          <w:lang w:bidi="ar-EG"/>
        </w:rPr>
        <w:t xml:space="preserve"> الأول</w:t>
      </w:r>
    </w:p>
    <w:p w:rsidR="005835D1" w:rsidRDefault="00787820" w:rsidP="00EC7CB9">
      <w:pPr>
        <w:keepNext/>
        <w:spacing w:after="100" w:line="204" w:lineRule="auto"/>
        <w:ind w:left="720"/>
        <w:jc w:val="center"/>
        <w:rPr>
          <w:rStyle w:val="hps"/>
          <w:b/>
          <w:bCs/>
          <w:sz w:val="22"/>
          <w:rtl/>
          <w:lang w:bidi="ar-EG"/>
        </w:rPr>
      </w:pPr>
      <w:r>
        <w:rPr>
          <w:rStyle w:val="hps"/>
          <w:rFonts w:hint="cs"/>
          <w:b/>
          <w:bCs/>
          <w:sz w:val="22"/>
          <w:rtl/>
          <w:lang w:bidi="ar-EG"/>
        </w:rPr>
        <w:t>مشروع الإرشادات التكميلية لتجنب عمليات الإدخال غير المقصود للأنواع الغريبة الغازية المرتبطة بالتجارة بالأنواع</w:t>
      </w:r>
      <w:r w:rsidR="00745F70">
        <w:rPr>
          <w:rStyle w:val="hps"/>
          <w:rFonts w:hint="cs"/>
          <w:b/>
          <w:bCs/>
          <w:sz w:val="22"/>
          <w:rtl/>
          <w:lang w:bidi="ar-EG"/>
        </w:rPr>
        <w:t xml:space="preserve"> الغريبة</w:t>
      </w:r>
      <w:r>
        <w:rPr>
          <w:rStyle w:val="hps"/>
          <w:rFonts w:hint="cs"/>
          <w:b/>
          <w:bCs/>
          <w:sz w:val="22"/>
          <w:rtl/>
          <w:lang w:bidi="ar-EG"/>
        </w:rPr>
        <w:t xml:space="preserve"> الحية</w:t>
      </w:r>
    </w:p>
    <w:p w:rsidR="00153D05" w:rsidRPr="005835D1" w:rsidRDefault="00153D05" w:rsidP="005835D1">
      <w:pPr>
        <w:spacing w:after="100" w:line="204" w:lineRule="auto"/>
        <w:ind w:left="720"/>
        <w:jc w:val="center"/>
        <w:rPr>
          <w:rStyle w:val="hps"/>
          <w:b/>
          <w:bCs/>
          <w:sz w:val="22"/>
          <w:rtl/>
          <w:lang w:bidi="ar-EG"/>
        </w:rPr>
      </w:pPr>
    </w:p>
    <w:p w:rsidR="005835D1" w:rsidRDefault="00787820" w:rsidP="00787820">
      <w:pPr>
        <w:spacing w:after="120"/>
        <w:jc w:val="both"/>
        <w:rPr>
          <w:sz w:val="22"/>
          <w:rtl/>
          <w:lang w:bidi="ar-EG"/>
        </w:rPr>
      </w:pPr>
      <w:r>
        <w:rPr>
          <w:rFonts w:hint="cs"/>
          <w:sz w:val="22"/>
          <w:rtl/>
          <w:lang w:bidi="ar-EG"/>
        </w:rPr>
        <w:t>1-</w:t>
      </w:r>
      <w:r>
        <w:rPr>
          <w:rFonts w:hint="cs"/>
          <w:sz w:val="22"/>
          <w:rtl/>
          <w:lang w:bidi="ar-EG"/>
        </w:rPr>
        <w:tab/>
        <w:t xml:space="preserve">هذه الإرشادات تكمل الإرشادات بشأن صياغة وتنفيذ تدابير للتصدي للمخاطر المرتبطة بإدخال الأنواع الغريبة كحيوانات أليفة، وكأنواع لأحواض الكائنات الحية المائية ولأحواض الكائنات الأرضية، وكطعم حي وأغذية حية المرفقة بالمقرر </w:t>
      </w:r>
      <w:hyperlink r:id="rId15" w:history="1">
        <w:r w:rsidRPr="00787820">
          <w:rPr>
            <w:rStyle w:val="Hyperlink"/>
            <w:rFonts w:hint="cs"/>
            <w:sz w:val="22"/>
            <w:rtl/>
            <w:lang w:bidi="ar-EG"/>
          </w:rPr>
          <w:t>12/16</w:t>
        </w:r>
      </w:hyperlink>
      <w:r>
        <w:rPr>
          <w:rFonts w:hint="cs"/>
          <w:sz w:val="22"/>
          <w:rtl/>
          <w:lang w:bidi="ar-EG"/>
        </w:rPr>
        <w:t>.</w:t>
      </w:r>
    </w:p>
    <w:p w:rsidR="00787820" w:rsidRPr="00745F70" w:rsidRDefault="00787820" w:rsidP="00745F70">
      <w:pPr>
        <w:spacing w:after="120"/>
        <w:jc w:val="both"/>
        <w:rPr>
          <w:rFonts w:hint="cs"/>
          <w:sz w:val="22"/>
          <w:rtl/>
          <w:lang w:val="en-GB" w:bidi="ar-EG"/>
        </w:rPr>
      </w:pPr>
      <w:r>
        <w:rPr>
          <w:rFonts w:hint="cs"/>
          <w:sz w:val="22"/>
          <w:rtl/>
          <w:lang w:bidi="ar-EG"/>
        </w:rPr>
        <w:t>2-</w:t>
      </w:r>
      <w:r>
        <w:rPr>
          <w:rFonts w:hint="cs"/>
          <w:sz w:val="22"/>
          <w:rtl/>
          <w:lang w:bidi="ar-EG"/>
        </w:rPr>
        <w:tab/>
        <w:t>والغرض من</w:t>
      </w:r>
      <w:r w:rsidR="00745F70">
        <w:rPr>
          <w:rFonts w:hint="cs"/>
          <w:sz w:val="22"/>
          <w:rtl/>
          <w:lang w:bidi="ar-EG"/>
        </w:rPr>
        <w:t xml:space="preserve"> هذه الإرشادات يتمثل في التصدي </w:t>
      </w:r>
      <w:r>
        <w:rPr>
          <w:rFonts w:hint="cs"/>
          <w:sz w:val="22"/>
          <w:rtl/>
          <w:lang w:bidi="ar-EG"/>
        </w:rPr>
        <w:t>لمخاطر الغزو البيولوجي للكائنات الغريبة العابرة لحدود</w:t>
      </w:r>
      <w:r w:rsidR="00F33AC7">
        <w:rPr>
          <w:rFonts w:hint="cs"/>
          <w:sz w:val="22"/>
          <w:rtl/>
          <w:lang w:bidi="ar-EG"/>
        </w:rPr>
        <w:t xml:space="preserve"> الولاية الوطنية والمناطق البيوغرافية </w:t>
      </w:r>
      <w:r w:rsidR="00745F70">
        <w:rPr>
          <w:rFonts w:hint="cs"/>
          <w:sz w:val="22"/>
          <w:rtl/>
          <w:lang w:bidi="ar-EG"/>
        </w:rPr>
        <w:t>الواضحة</w:t>
      </w:r>
      <w:r w:rsidR="00F33AC7">
        <w:rPr>
          <w:rFonts w:hint="cs"/>
          <w:sz w:val="22"/>
          <w:rtl/>
          <w:lang w:bidi="ar-EG"/>
        </w:rPr>
        <w:t xml:space="preserve"> من خلال مسارات الإدخال غير المقصود الموصوفة في تصنيف مسار الاتفاقية المتعلقة بالتنوع البيولوجي بالاقتران مع التجارة بالأنواع الحية.</w:t>
      </w:r>
      <w:r w:rsidR="00745F70" w:rsidRPr="00745F70">
        <w:rPr>
          <w:sz w:val="22"/>
          <w:vertAlign w:val="superscript"/>
          <w:lang w:val="en-GB" w:bidi="ar-EG"/>
        </w:rPr>
        <w:t>6</w:t>
      </w:r>
      <w:r w:rsidR="00745F70" w:rsidRPr="00745F70">
        <w:rPr>
          <w:rFonts w:hint="cs"/>
          <w:sz w:val="22"/>
          <w:vertAlign w:val="superscript"/>
          <w:rtl/>
          <w:lang w:val="en-GB" w:bidi="ar-EG"/>
        </w:rPr>
        <w:t>،</w:t>
      </w:r>
      <w:r w:rsidR="00745F70" w:rsidRPr="00745F70">
        <w:rPr>
          <w:sz w:val="22"/>
          <w:vertAlign w:val="superscript"/>
          <w:lang w:val="en-GB" w:bidi="ar-EG"/>
        </w:rPr>
        <w:t>7</w:t>
      </w:r>
    </w:p>
    <w:p w:rsidR="000F2485" w:rsidRDefault="000F2485" w:rsidP="00745F70">
      <w:pPr>
        <w:spacing w:after="120"/>
        <w:jc w:val="both"/>
        <w:rPr>
          <w:sz w:val="22"/>
          <w:rtl/>
          <w:lang w:bidi="ar-EG"/>
        </w:rPr>
      </w:pPr>
      <w:r>
        <w:rPr>
          <w:rFonts w:hint="cs"/>
          <w:sz w:val="22"/>
          <w:rtl/>
          <w:lang w:bidi="ar-EG"/>
        </w:rPr>
        <w:t>3-</w:t>
      </w:r>
      <w:r>
        <w:rPr>
          <w:rFonts w:hint="cs"/>
          <w:sz w:val="22"/>
          <w:rtl/>
          <w:lang w:bidi="ar-EG"/>
        </w:rPr>
        <w:tab/>
        <w:t xml:space="preserve">وتعتبر هذه الإرشادات ذات صلة بالدول، والمنظمات ذات الصلة، والصناعات والمستهلكين، بما في ذلك جميع الجهات الفاعلة المشاركة في سلسلة </w:t>
      </w:r>
      <w:r w:rsidR="00A652BF">
        <w:rPr>
          <w:rFonts w:hint="cs"/>
          <w:sz w:val="22"/>
          <w:rtl/>
          <w:lang w:bidi="ar-EG"/>
        </w:rPr>
        <w:t>القيمة بأكملها</w:t>
      </w:r>
      <w:r>
        <w:rPr>
          <w:rFonts w:hint="cs"/>
          <w:sz w:val="22"/>
          <w:rtl/>
          <w:lang w:bidi="ar-EG"/>
        </w:rPr>
        <w:t xml:space="preserve"> للتجارة بالأنواع الحية (من قبيل المصدرين والمستوردين والمربيين، بما في ذلك الجامعين الهواة، والمشاركين في المعارض، وتجار الجملة، وتجار التجزئة، والعملاء). وبالنسبة لحالة تجارة الأغذية الحية، </w:t>
      </w:r>
      <w:r w:rsidR="00745F70">
        <w:rPr>
          <w:rFonts w:hint="cs"/>
          <w:sz w:val="22"/>
          <w:rtl/>
          <w:lang w:bidi="ar-EG"/>
        </w:rPr>
        <w:t>يشتمل الأشخاص المشتركو</w:t>
      </w:r>
      <w:r>
        <w:rPr>
          <w:rFonts w:hint="cs"/>
          <w:sz w:val="22"/>
          <w:rtl/>
          <w:lang w:bidi="ar-EG"/>
        </w:rPr>
        <w:t xml:space="preserve">ن في سلسلة القيمة </w:t>
      </w:r>
      <w:r w:rsidR="00745F70">
        <w:rPr>
          <w:rFonts w:hint="cs"/>
          <w:sz w:val="22"/>
          <w:rtl/>
          <w:lang w:bidi="ar-EG"/>
        </w:rPr>
        <w:t>على</w:t>
      </w:r>
      <w:r>
        <w:rPr>
          <w:rFonts w:hint="cs"/>
          <w:sz w:val="22"/>
          <w:rtl/>
          <w:lang w:bidi="ar-EG"/>
        </w:rPr>
        <w:t xml:space="preserve"> الأفراد في أعمال المطاعم وأسواق الأغذية.</w:t>
      </w:r>
    </w:p>
    <w:p w:rsidR="00124FA1" w:rsidRPr="00482021" w:rsidRDefault="00124FA1" w:rsidP="00124FA1">
      <w:pPr>
        <w:keepNext/>
        <w:spacing w:after="120" w:line="192" w:lineRule="auto"/>
        <w:jc w:val="center"/>
        <w:rPr>
          <w:b/>
          <w:bCs/>
          <w:sz w:val="28"/>
          <w:szCs w:val="28"/>
          <w:rtl/>
          <w:lang w:bidi="ar-EG"/>
        </w:rPr>
      </w:pPr>
      <w:r>
        <w:rPr>
          <w:rFonts w:hint="cs"/>
          <w:b/>
          <w:bCs/>
          <w:sz w:val="28"/>
          <w:szCs w:val="28"/>
          <w:rtl/>
          <w:lang w:bidi="ar-EG"/>
        </w:rPr>
        <w:t>أولا</w:t>
      </w:r>
      <w:r w:rsidRPr="00B174F3">
        <w:rPr>
          <w:rFonts w:hint="cs"/>
          <w:b/>
          <w:bCs/>
          <w:sz w:val="28"/>
          <w:szCs w:val="28"/>
          <w:rtl/>
          <w:lang w:bidi="ar-EG"/>
        </w:rPr>
        <w:t>-</w:t>
      </w:r>
      <w:r w:rsidRPr="00B174F3">
        <w:rPr>
          <w:rFonts w:hint="cs"/>
          <w:b/>
          <w:bCs/>
          <w:sz w:val="28"/>
          <w:szCs w:val="28"/>
          <w:rtl/>
          <w:lang w:bidi="ar-EG"/>
        </w:rPr>
        <w:tab/>
      </w:r>
      <w:r>
        <w:rPr>
          <w:rFonts w:hint="cs"/>
          <w:b/>
          <w:bCs/>
          <w:sz w:val="28"/>
          <w:szCs w:val="28"/>
          <w:rtl/>
          <w:lang w:bidi="ar-EG"/>
        </w:rPr>
        <w:t>النطاق</w:t>
      </w:r>
    </w:p>
    <w:p w:rsidR="00124FA1" w:rsidRDefault="00124FA1" w:rsidP="00745F70">
      <w:pPr>
        <w:spacing w:after="120"/>
        <w:jc w:val="both"/>
        <w:rPr>
          <w:sz w:val="22"/>
          <w:rtl/>
          <w:lang w:bidi="ar-EG"/>
        </w:rPr>
      </w:pPr>
      <w:r>
        <w:rPr>
          <w:rFonts w:hint="cs"/>
          <w:sz w:val="22"/>
          <w:rtl/>
          <w:lang w:bidi="ar-EG"/>
        </w:rPr>
        <w:t>4-</w:t>
      </w:r>
      <w:r>
        <w:rPr>
          <w:rFonts w:hint="cs"/>
          <w:sz w:val="22"/>
          <w:rtl/>
          <w:lang w:bidi="ar-EG"/>
        </w:rPr>
        <w:tab/>
        <w:t>هذه الإرشادات طوعية وتهدف إلى استخدامها جنبا إلى جنب مع الإرشادات الأخرى ذات الصلة، و</w:t>
      </w:r>
      <w:r w:rsidR="00745F70">
        <w:rPr>
          <w:rFonts w:hint="cs"/>
          <w:sz w:val="22"/>
          <w:rtl/>
          <w:lang w:bidi="ar-EG"/>
        </w:rPr>
        <w:t xml:space="preserve">أن </w:t>
      </w:r>
      <w:r>
        <w:rPr>
          <w:rFonts w:hint="cs"/>
          <w:sz w:val="22"/>
          <w:rtl/>
          <w:lang w:bidi="ar-EG"/>
        </w:rPr>
        <w:t xml:space="preserve">تدعم بعضها البعض، على سبيل المثال: المبادئ الموجهة لمنع الدخول والإدخال والتخفيف من تأثيرات الأنواع الغريبة الغازية التي تهدد سلامة النظم الإيكولوجية </w:t>
      </w:r>
      <w:r w:rsidR="00745F70">
        <w:rPr>
          <w:rFonts w:hint="cs"/>
          <w:sz w:val="22"/>
          <w:rtl/>
          <w:lang w:bidi="ar-EG"/>
        </w:rPr>
        <w:t>و</w:t>
      </w:r>
      <w:r>
        <w:rPr>
          <w:rFonts w:hint="cs"/>
          <w:sz w:val="22"/>
          <w:rtl/>
          <w:lang w:bidi="ar-EG"/>
        </w:rPr>
        <w:t xml:space="preserve">الموائل </w:t>
      </w:r>
      <w:r w:rsidR="00745F70">
        <w:rPr>
          <w:rFonts w:hint="cs"/>
          <w:sz w:val="22"/>
          <w:rtl/>
          <w:lang w:bidi="ar-EG"/>
        </w:rPr>
        <w:t>و</w:t>
      </w:r>
      <w:r>
        <w:rPr>
          <w:rFonts w:hint="cs"/>
          <w:sz w:val="22"/>
          <w:rtl/>
          <w:lang w:bidi="ar-EG"/>
        </w:rPr>
        <w:t>الأنواع (المرفق 6/23)؛</w:t>
      </w:r>
      <w:r>
        <w:rPr>
          <w:rStyle w:val="FootnoteReference"/>
          <w:sz w:val="22"/>
          <w:rtl/>
        </w:rPr>
        <w:footnoteReference w:id="34"/>
      </w:r>
      <w:r>
        <w:rPr>
          <w:rFonts w:hint="cs"/>
          <w:sz w:val="22"/>
          <w:rtl/>
          <w:lang w:bidi="ar-EG"/>
        </w:rPr>
        <w:t xml:space="preserve"> والمعايير الدولية لتدابير الصحة النباتية؛ ومدونة صحة الحيوانات الأرضية </w:t>
      </w:r>
      <w:r w:rsidR="00745F70">
        <w:rPr>
          <w:rFonts w:hint="cs"/>
          <w:sz w:val="22"/>
          <w:rtl/>
          <w:lang w:bidi="ar-EG"/>
        </w:rPr>
        <w:t>ومرجع</w:t>
      </w:r>
      <w:r>
        <w:rPr>
          <w:rFonts w:hint="cs"/>
          <w:sz w:val="22"/>
          <w:rtl/>
          <w:lang w:bidi="ar-EG"/>
        </w:rPr>
        <w:t xml:space="preserve"> الاختبارات التشخيصية للحيوانات الأرضية ولقاحاتها </w:t>
      </w:r>
      <w:r w:rsidR="00745F70">
        <w:rPr>
          <w:rFonts w:hint="cs"/>
          <w:sz w:val="22"/>
          <w:rtl/>
          <w:lang w:bidi="ar-EG"/>
        </w:rPr>
        <w:t>للمنظمة العالمية لصحة الحيوان</w:t>
      </w:r>
      <w:r>
        <w:rPr>
          <w:rFonts w:hint="cs"/>
          <w:sz w:val="22"/>
          <w:rtl/>
          <w:lang w:bidi="ar-EG"/>
        </w:rPr>
        <w:t xml:space="preserve">؛ ومدونة صحة الحيوانات المائية </w:t>
      </w:r>
      <w:r w:rsidR="00745F70">
        <w:rPr>
          <w:rFonts w:hint="cs"/>
          <w:sz w:val="22"/>
          <w:rtl/>
          <w:lang w:bidi="ar-EG"/>
        </w:rPr>
        <w:t>للمنظمة العالمية لصحة الحيوان</w:t>
      </w:r>
      <w:r>
        <w:rPr>
          <w:rFonts w:hint="cs"/>
          <w:sz w:val="22"/>
          <w:rtl/>
          <w:lang w:bidi="ar-EG"/>
        </w:rPr>
        <w:t xml:space="preserve">؛ </w:t>
      </w:r>
      <w:r w:rsidR="00745F70">
        <w:rPr>
          <w:rFonts w:hint="cs"/>
          <w:sz w:val="22"/>
          <w:rtl/>
          <w:lang w:bidi="ar-EG"/>
        </w:rPr>
        <w:t xml:space="preserve">ومرجع </w:t>
      </w:r>
      <w:r>
        <w:rPr>
          <w:rFonts w:hint="cs"/>
          <w:sz w:val="22"/>
          <w:rtl/>
          <w:lang w:bidi="ar-EG"/>
        </w:rPr>
        <w:t>الاختبارات التشخيصية للحيوانات المائية لهذه المنظمة وغير ذلك من المعايير والإرشادات التي أعدتها المنظمات الدولية ذات الصلة.</w:t>
      </w:r>
    </w:p>
    <w:p w:rsidR="00124FA1" w:rsidRDefault="00124FA1" w:rsidP="005D7D4F">
      <w:pPr>
        <w:spacing w:after="120"/>
        <w:jc w:val="both"/>
        <w:rPr>
          <w:sz w:val="22"/>
          <w:rtl/>
          <w:lang w:bidi="ar-EG"/>
        </w:rPr>
      </w:pPr>
      <w:r>
        <w:rPr>
          <w:rFonts w:hint="cs"/>
          <w:sz w:val="22"/>
          <w:rtl/>
          <w:lang w:bidi="ar-EG"/>
        </w:rPr>
        <w:t>5-</w:t>
      </w:r>
      <w:r>
        <w:rPr>
          <w:rFonts w:hint="cs"/>
          <w:sz w:val="22"/>
          <w:rtl/>
          <w:lang w:bidi="ar-EG"/>
        </w:rPr>
        <w:tab/>
        <w:t xml:space="preserve">وتوضح هذه الإرشادات أيضا العمليات المتكاملة من أجل تنفيذها جنبا إلى جنب مع الإرشادات المرفقة بالمقرر </w:t>
      </w:r>
      <w:hyperlink r:id="rId16" w:history="1">
        <w:r w:rsidR="005D7D4F" w:rsidRPr="00787820">
          <w:rPr>
            <w:rStyle w:val="Hyperlink"/>
            <w:rFonts w:hint="cs"/>
            <w:sz w:val="22"/>
            <w:rtl/>
            <w:lang w:bidi="ar-EG"/>
          </w:rPr>
          <w:t>12/16</w:t>
        </w:r>
      </w:hyperlink>
      <w:r>
        <w:rPr>
          <w:rFonts w:hint="cs"/>
          <w:sz w:val="22"/>
          <w:rtl/>
          <w:lang w:bidi="ar-EG"/>
        </w:rPr>
        <w:t xml:space="preserve"> والمعايير الدولية القائمة الموضوعة من أجل حماية صحة الحيوانات، والنباتات والبشر.</w:t>
      </w:r>
    </w:p>
    <w:p w:rsidR="005D7D4F" w:rsidRDefault="005D7D4F" w:rsidP="005D7D4F">
      <w:pPr>
        <w:spacing w:after="120"/>
        <w:jc w:val="both"/>
        <w:rPr>
          <w:sz w:val="22"/>
          <w:rtl/>
          <w:lang w:bidi="ar-EG"/>
        </w:rPr>
      </w:pPr>
      <w:r>
        <w:rPr>
          <w:rFonts w:hint="cs"/>
          <w:sz w:val="22"/>
          <w:rtl/>
          <w:lang w:bidi="ar-EG"/>
        </w:rPr>
        <w:t>6-</w:t>
      </w:r>
      <w:r>
        <w:rPr>
          <w:rFonts w:hint="cs"/>
          <w:sz w:val="22"/>
          <w:rtl/>
          <w:lang w:bidi="ar-EG"/>
        </w:rPr>
        <w:tab/>
        <w:t xml:space="preserve">ويمكن للأطراف والحكومات </w:t>
      </w:r>
      <w:r w:rsidR="0049410B">
        <w:rPr>
          <w:rFonts w:hint="cs"/>
          <w:sz w:val="22"/>
          <w:rtl/>
          <w:lang w:bidi="ar-EG"/>
        </w:rPr>
        <w:t>الأخرى أن تنف</w:t>
      </w:r>
      <w:r>
        <w:rPr>
          <w:rFonts w:hint="cs"/>
          <w:sz w:val="22"/>
          <w:rtl/>
          <w:lang w:bidi="ar-EG"/>
        </w:rPr>
        <w:t>ذ هذه الإرشادات من خلال التعاون عبر القطاعات فيما بين السلطات المعنية بالحفظ، وسلطات مراقبة الحدود، والهيئات التنظيمية المعنية بالمخاطر فيما يتعلق بالتجارة الدولية فضلا عن الصناعات ذات الصلة والمستهلكين المشاركين في سلسلة القيمة للتجارة بالأنواع الحية.</w:t>
      </w:r>
    </w:p>
    <w:p w:rsidR="004339BD" w:rsidRDefault="004339BD" w:rsidP="0090065B">
      <w:pPr>
        <w:keepNext/>
        <w:spacing w:after="120" w:line="192" w:lineRule="auto"/>
        <w:ind w:left="2132" w:hanging="1418"/>
        <w:jc w:val="left"/>
        <w:rPr>
          <w:b/>
          <w:bCs/>
          <w:sz w:val="28"/>
          <w:szCs w:val="28"/>
          <w:rtl/>
          <w:lang w:bidi="ar-EG"/>
        </w:rPr>
      </w:pPr>
      <w:r w:rsidRPr="00D75435">
        <w:rPr>
          <w:rFonts w:hint="cs"/>
          <w:b/>
          <w:bCs/>
          <w:sz w:val="28"/>
          <w:szCs w:val="28"/>
          <w:rtl/>
          <w:lang w:bidi="ar-EG"/>
        </w:rPr>
        <w:lastRenderedPageBreak/>
        <w:t>ثانيا-</w:t>
      </w:r>
      <w:r w:rsidRPr="00D75435">
        <w:rPr>
          <w:rFonts w:hint="cs"/>
          <w:b/>
          <w:bCs/>
          <w:sz w:val="28"/>
          <w:szCs w:val="28"/>
          <w:rtl/>
          <w:lang w:bidi="ar-EG"/>
        </w:rPr>
        <w:tab/>
      </w:r>
      <w:r>
        <w:rPr>
          <w:rFonts w:hint="cs"/>
          <w:b/>
          <w:bCs/>
          <w:sz w:val="28"/>
          <w:szCs w:val="28"/>
          <w:rtl/>
          <w:lang w:bidi="ar-EG"/>
        </w:rPr>
        <w:t>تدابير للحد من مخاطر الغزوات البيولوجية التي تنذر بها الكائنات الغريبة التي تتحرك دون قصد في المسارات المرتبطة بالتجارة بالأنواع الحية</w:t>
      </w:r>
    </w:p>
    <w:p w:rsidR="0090065B" w:rsidRPr="0090065B" w:rsidRDefault="0090065B" w:rsidP="0090065B">
      <w:pPr>
        <w:keepNext/>
        <w:spacing w:after="120" w:line="192" w:lineRule="auto"/>
        <w:jc w:val="center"/>
        <w:rPr>
          <w:b/>
          <w:bCs/>
          <w:sz w:val="26"/>
          <w:szCs w:val="26"/>
          <w:rtl/>
          <w:lang w:bidi="ar-EG"/>
        </w:rPr>
      </w:pPr>
      <w:r w:rsidRPr="0090065B">
        <w:rPr>
          <w:rFonts w:hint="cs"/>
          <w:b/>
          <w:bCs/>
          <w:sz w:val="26"/>
          <w:szCs w:val="26"/>
          <w:rtl/>
          <w:lang w:bidi="ar-EG"/>
        </w:rPr>
        <w:t>ألف-</w:t>
      </w:r>
      <w:r w:rsidRPr="0090065B">
        <w:rPr>
          <w:rFonts w:hint="cs"/>
          <w:b/>
          <w:bCs/>
          <w:sz w:val="26"/>
          <w:szCs w:val="26"/>
          <w:rtl/>
          <w:lang w:bidi="ar-EG"/>
        </w:rPr>
        <w:tab/>
      </w:r>
      <w:r>
        <w:rPr>
          <w:rFonts w:hint="cs"/>
          <w:b/>
          <w:bCs/>
          <w:sz w:val="26"/>
          <w:szCs w:val="26"/>
          <w:rtl/>
          <w:lang w:bidi="ar-EG"/>
        </w:rPr>
        <w:t>التوافق مع المعايير الدولية القائمة وغيرها من الإرشادات ذات الصلة بالأنواع الغريبة الغازية</w:t>
      </w:r>
    </w:p>
    <w:p w:rsidR="004339BD" w:rsidRDefault="004339BD" w:rsidP="007F006E">
      <w:pPr>
        <w:spacing w:after="120"/>
        <w:jc w:val="both"/>
        <w:rPr>
          <w:sz w:val="22"/>
          <w:rtl/>
          <w:lang w:bidi="ar-EG"/>
        </w:rPr>
      </w:pPr>
      <w:r>
        <w:rPr>
          <w:rFonts w:hint="cs"/>
          <w:sz w:val="22"/>
          <w:rtl/>
          <w:lang w:bidi="ar-EG"/>
        </w:rPr>
        <w:t>7-</w:t>
      </w:r>
      <w:r>
        <w:rPr>
          <w:rFonts w:hint="cs"/>
          <w:sz w:val="22"/>
          <w:rtl/>
          <w:lang w:bidi="ar-EG"/>
        </w:rPr>
        <w:tab/>
      </w:r>
      <w:r w:rsidR="0090065B">
        <w:rPr>
          <w:rFonts w:hint="cs"/>
          <w:sz w:val="22"/>
          <w:rtl/>
          <w:lang w:bidi="ar-EG"/>
        </w:rPr>
        <w:t xml:space="preserve">بالنسبة لجميع الحيوانات أو المنتجات الحيوانية الموجودة في شحنة </w:t>
      </w:r>
      <w:r w:rsidR="007F006E">
        <w:rPr>
          <w:rFonts w:hint="cs"/>
          <w:sz w:val="22"/>
          <w:rtl/>
          <w:lang w:bidi="ar-EG"/>
        </w:rPr>
        <w:t>للأنواع</w:t>
      </w:r>
      <w:r w:rsidR="0090065B">
        <w:rPr>
          <w:rFonts w:hint="cs"/>
          <w:sz w:val="22"/>
          <w:rtl/>
          <w:lang w:bidi="ar-EG"/>
        </w:rPr>
        <w:t xml:space="preserve"> الحية، ينبغي استخدام المعايير الصحية المناسبة الموضوعة بموجب عمليات وضع المعايير في المنظمة العالمية لصحة الحيوان من أجل تنسيق التدابير الوطنية، في البلدان المصدرة والمستوردة على حد سواء.</w:t>
      </w:r>
    </w:p>
    <w:p w:rsidR="007F006E" w:rsidRDefault="007F006E" w:rsidP="001F0EDE">
      <w:pPr>
        <w:spacing w:after="120"/>
        <w:jc w:val="both"/>
        <w:rPr>
          <w:sz w:val="22"/>
          <w:rtl/>
          <w:lang w:bidi="ar-EG"/>
        </w:rPr>
      </w:pPr>
      <w:r>
        <w:rPr>
          <w:rFonts w:hint="cs"/>
          <w:sz w:val="22"/>
          <w:rtl/>
          <w:lang w:bidi="ar-EG"/>
        </w:rPr>
        <w:t>8-</w:t>
      </w:r>
      <w:r>
        <w:rPr>
          <w:rFonts w:hint="cs"/>
          <w:sz w:val="22"/>
          <w:rtl/>
          <w:lang w:bidi="ar-EG"/>
        </w:rPr>
        <w:tab/>
        <w:t xml:space="preserve">وبالنسبة لجميع النباتات أو المنتجات النباتية الموجودة في شحنة للأنواع الحية، ينبغي استخدام معايير الصحة النباتية المناسبة الموضوعة بموجب عمليات وضع المعايير </w:t>
      </w:r>
      <w:r w:rsidR="001F0EDE">
        <w:rPr>
          <w:rFonts w:hint="cs"/>
          <w:sz w:val="22"/>
          <w:rtl/>
          <w:lang w:bidi="ar-EG"/>
        </w:rPr>
        <w:t>لأمانة الاتفاقية الدولية لوقاية النباتات</w:t>
      </w:r>
      <w:r>
        <w:rPr>
          <w:rFonts w:hint="cs"/>
          <w:sz w:val="22"/>
          <w:rtl/>
          <w:lang w:bidi="ar-EG"/>
        </w:rPr>
        <w:t xml:space="preserve"> من أجل تنسيق التدابير الوطنية، في البلدان المصدرة والمستوردة على حد سواء.</w:t>
      </w:r>
    </w:p>
    <w:p w:rsidR="007F006E" w:rsidRDefault="007F006E" w:rsidP="00911C4B">
      <w:pPr>
        <w:spacing w:after="120"/>
        <w:jc w:val="both"/>
        <w:rPr>
          <w:sz w:val="22"/>
          <w:rtl/>
          <w:lang w:bidi="ar-EG"/>
        </w:rPr>
      </w:pPr>
      <w:r>
        <w:rPr>
          <w:rFonts w:hint="cs"/>
          <w:sz w:val="22"/>
          <w:rtl/>
          <w:lang w:bidi="ar-EG"/>
        </w:rPr>
        <w:t>9-</w:t>
      </w:r>
      <w:r>
        <w:rPr>
          <w:rFonts w:hint="cs"/>
          <w:sz w:val="22"/>
          <w:rtl/>
          <w:lang w:bidi="ar-EG"/>
        </w:rPr>
        <w:tab/>
      </w:r>
      <w:r w:rsidR="00177BAA">
        <w:rPr>
          <w:rFonts w:hint="cs"/>
          <w:sz w:val="22"/>
          <w:rtl/>
          <w:lang w:bidi="ar-EG"/>
        </w:rPr>
        <w:t>و</w:t>
      </w:r>
      <w:r>
        <w:rPr>
          <w:rFonts w:hint="cs"/>
          <w:sz w:val="22"/>
          <w:rtl/>
          <w:lang w:bidi="ar-EG"/>
        </w:rPr>
        <w:t>ينبغي أن يثبت أي مرسل/مصدر للأنواع الحية أن السلعة الجاري تصديرها</w:t>
      </w:r>
      <w:r w:rsidR="001F0EDE">
        <w:rPr>
          <w:rFonts w:hint="cs"/>
          <w:sz w:val="22"/>
          <w:rtl/>
          <w:lang w:bidi="ar-EG"/>
        </w:rPr>
        <w:t xml:space="preserve"> (الأنواع الحية)</w:t>
      </w:r>
      <w:r>
        <w:rPr>
          <w:rFonts w:hint="cs"/>
          <w:sz w:val="22"/>
          <w:rtl/>
          <w:lang w:bidi="ar-EG"/>
        </w:rPr>
        <w:t xml:space="preserve"> </w:t>
      </w:r>
      <w:r w:rsidR="00911C4B">
        <w:rPr>
          <w:rFonts w:hint="cs"/>
          <w:sz w:val="22"/>
          <w:rtl/>
          <w:lang w:bidi="ar-EG"/>
        </w:rPr>
        <w:t>لا تشكل خطرا على المستورد</w:t>
      </w:r>
      <w:r>
        <w:rPr>
          <w:rFonts w:hint="cs"/>
          <w:sz w:val="22"/>
          <w:rtl/>
          <w:lang w:bidi="ar-EG"/>
        </w:rPr>
        <w:t>. ويمكن إبلاغ سلطة الحدود الوطنية في البلد المصدر بهذا الأمر من خلال تقديم شهادة صادرة عن السلطة البيطرية المصدرة/السلطة المختصة بالحيوانات، أو عن طريق تقديم شهادة صحة نباتية صادرة عن المنظمة الوطنية المصدرة المعنية بحماية النباتات</w:t>
      </w:r>
      <w:r w:rsidR="00937A25">
        <w:rPr>
          <w:rFonts w:hint="cs"/>
          <w:sz w:val="22"/>
          <w:rtl/>
          <w:lang w:bidi="ar-EG"/>
        </w:rPr>
        <w:t xml:space="preserve"> فيما يتعلق بالنباتات في</w:t>
      </w:r>
      <w:r w:rsidR="001F0EDE">
        <w:rPr>
          <w:rFonts w:hint="cs"/>
          <w:sz w:val="22"/>
          <w:rtl/>
          <w:lang w:bidi="ar-EG"/>
        </w:rPr>
        <w:t xml:space="preserve"> أي</w:t>
      </w:r>
      <w:r w:rsidR="00937A25">
        <w:rPr>
          <w:rFonts w:hint="cs"/>
          <w:sz w:val="22"/>
          <w:rtl/>
          <w:lang w:bidi="ar-EG"/>
        </w:rPr>
        <w:t xml:space="preserve"> بلد مصدر، وفقا للوائح الاستيراد الوطنية، التي تستند إلى تحليل مخاطر الآفات.</w:t>
      </w:r>
    </w:p>
    <w:p w:rsidR="00177BAA" w:rsidRDefault="00177BAA" w:rsidP="001F0EDE">
      <w:pPr>
        <w:spacing w:after="120"/>
        <w:jc w:val="both"/>
        <w:rPr>
          <w:sz w:val="22"/>
          <w:rtl/>
          <w:lang w:bidi="ar-EG"/>
        </w:rPr>
      </w:pPr>
      <w:r>
        <w:rPr>
          <w:rFonts w:hint="cs"/>
          <w:sz w:val="22"/>
          <w:rtl/>
          <w:lang w:bidi="ar-EG"/>
        </w:rPr>
        <w:t>10-</w:t>
      </w:r>
      <w:r>
        <w:rPr>
          <w:rFonts w:hint="cs"/>
          <w:sz w:val="22"/>
          <w:rtl/>
          <w:lang w:bidi="ar-EG"/>
        </w:rPr>
        <w:tab/>
        <w:t xml:space="preserve">وينبغي أن تستجيب </w:t>
      </w:r>
      <w:r w:rsidR="00D94210">
        <w:rPr>
          <w:rFonts w:hint="cs"/>
          <w:sz w:val="22"/>
          <w:rtl/>
          <w:lang w:bidi="ar-EG"/>
        </w:rPr>
        <w:t>الناقلات</w:t>
      </w:r>
      <w:r>
        <w:rPr>
          <w:rFonts w:hint="cs"/>
          <w:sz w:val="22"/>
          <w:rtl/>
          <w:lang w:bidi="ar-EG"/>
        </w:rPr>
        <w:t xml:space="preserve"> </w:t>
      </w:r>
      <w:r w:rsidR="00D94210">
        <w:rPr>
          <w:rFonts w:hint="cs"/>
          <w:sz w:val="22"/>
          <w:rtl/>
          <w:lang w:bidi="ar-EG"/>
        </w:rPr>
        <w:t>الحاملة</w:t>
      </w:r>
      <w:r w:rsidR="00A97B20">
        <w:rPr>
          <w:rFonts w:hint="cs"/>
          <w:sz w:val="22"/>
          <w:rtl/>
          <w:lang w:bidi="ar-EG"/>
        </w:rPr>
        <w:t xml:space="preserve"> </w:t>
      </w:r>
      <w:r w:rsidR="00D94210">
        <w:rPr>
          <w:rFonts w:hint="cs"/>
          <w:sz w:val="22"/>
          <w:rtl/>
          <w:lang w:bidi="ar-EG"/>
        </w:rPr>
        <w:t>ل</w:t>
      </w:r>
      <w:r w:rsidR="00A97B20">
        <w:rPr>
          <w:rFonts w:hint="cs"/>
          <w:sz w:val="22"/>
          <w:rtl/>
          <w:lang w:bidi="ar-EG"/>
        </w:rPr>
        <w:t xml:space="preserve">شحنات الأنواع الحية </w:t>
      </w:r>
      <w:r w:rsidR="001F0EDE">
        <w:rPr>
          <w:rFonts w:hint="cs"/>
          <w:sz w:val="22"/>
          <w:rtl/>
          <w:lang w:bidi="ar-EG"/>
        </w:rPr>
        <w:t>للإرشادات</w:t>
      </w:r>
      <w:r>
        <w:rPr>
          <w:rFonts w:hint="cs"/>
          <w:sz w:val="22"/>
          <w:rtl/>
          <w:lang w:bidi="ar-EG"/>
        </w:rPr>
        <w:t xml:space="preserve"> الدولية القائمة الموضوعة في إطار منظمات دولية، من قبيل مدونة الممارسات بشأن تعبئة وحدات نقل البضائع للمنظمة البحرية الدولية/منظمة العمل الدولية/لجنة الأمم المتحدة الاقتصادية لأوروبا،</w:t>
      </w:r>
      <w:r w:rsidR="00700B03">
        <w:rPr>
          <w:rStyle w:val="FootnoteReference"/>
          <w:sz w:val="22"/>
          <w:rtl/>
        </w:rPr>
        <w:footnoteReference w:id="35"/>
      </w:r>
      <w:r w:rsidR="001F0EDE">
        <w:rPr>
          <w:rFonts w:hint="cs"/>
          <w:sz w:val="22"/>
          <w:rtl/>
          <w:lang w:bidi="ar-EG"/>
        </w:rPr>
        <w:t xml:space="preserve"> إلا أنه </w:t>
      </w:r>
      <w:r>
        <w:rPr>
          <w:rFonts w:hint="cs"/>
          <w:sz w:val="22"/>
          <w:rtl/>
          <w:lang w:bidi="ar-EG"/>
        </w:rPr>
        <w:t>لا ينبغي أن يقتصر الأمر على ذلك.</w:t>
      </w:r>
    </w:p>
    <w:p w:rsidR="00700B03" w:rsidRPr="0090065B" w:rsidRDefault="00700B03" w:rsidP="00700B03">
      <w:pPr>
        <w:keepNext/>
        <w:spacing w:after="120" w:line="192" w:lineRule="auto"/>
        <w:jc w:val="center"/>
        <w:rPr>
          <w:b/>
          <w:bCs/>
          <w:sz w:val="26"/>
          <w:szCs w:val="26"/>
          <w:rtl/>
          <w:lang w:bidi="ar-EG"/>
        </w:rPr>
      </w:pPr>
      <w:r>
        <w:rPr>
          <w:rFonts w:hint="cs"/>
          <w:b/>
          <w:bCs/>
          <w:sz w:val="26"/>
          <w:szCs w:val="26"/>
          <w:rtl/>
          <w:lang w:bidi="ar-EG"/>
        </w:rPr>
        <w:t>باء</w:t>
      </w:r>
      <w:r w:rsidRPr="0090065B">
        <w:rPr>
          <w:rFonts w:hint="cs"/>
          <w:b/>
          <w:bCs/>
          <w:sz w:val="26"/>
          <w:szCs w:val="26"/>
          <w:rtl/>
          <w:lang w:bidi="ar-EG"/>
        </w:rPr>
        <w:t>-</w:t>
      </w:r>
      <w:r w:rsidRPr="0090065B">
        <w:rPr>
          <w:rFonts w:hint="cs"/>
          <w:b/>
          <w:bCs/>
          <w:sz w:val="26"/>
          <w:szCs w:val="26"/>
          <w:rtl/>
          <w:lang w:bidi="ar-EG"/>
        </w:rPr>
        <w:tab/>
      </w:r>
      <w:r>
        <w:rPr>
          <w:rFonts w:hint="cs"/>
          <w:b/>
          <w:bCs/>
          <w:sz w:val="26"/>
          <w:szCs w:val="26"/>
          <w:rtl/>
          <w:lang w:bidi="ar-EG"/>
        </w:rPr>
        <w:t>الإعداد المسؤول لشحنات الأنواع الحية</w:t>
      </w:r>
    </w:p>
    <w:p w:rsidR="00700B03" w:rsidRDefault="00700B03" w:rsidP="001F0EDE">
      <w:pPr>
        <w:spacing w:after="120"/>
        <w:jc w:val="both"/>
        <w:rPr>
          <w:sz w:val="22"/>
          <w:rtl/>
          <w:lang w:bidi="ar-EG"/>
        </w:rPr>
      </w:pPr>
      <w:r>
        <w:rPr>
          <w:rFonts w:hint="cs"/>
          <w:sz w:val="22"/>
          <w:rtl/>
          <w:lang w:bidi="ar-EG"/>
        </w:rPr>
        <w:t>11-</w:t>
      </w:r>
      <w:r>
        <w:rPr>
          <w:rFonts w:hint="cs"/>
          <w:sz w:val="22"/>
          <w:rtl/>
          <w:lang w:bidi="ar-EG"/>
        </w:rPr>
        <w:tab/>
      </w:r>
      <w:r w:rsidR="002C1A96">
        <w:rPr>
          <w:rFonts w:hint="cs"/>
          <w:sz w:val="22"/>
          <w:rtl/>
          <w:lang w:bidi="ar-EG"/>
        </w:rPr>
        <w:t xml:space="preserve">ينبغي أن يكون أي مرسل/مصدر للأنواع الحية على دراية تامة بالمخاطر المحتملة للغزوات البيولوجية الناتجة عن حركة الكائنات الغريبة من خلال مسارات الإدخال غير المقصود المرتبطة بالتجارة بالأنواع الحية وينبغي له أن يضمن: (أ) أن أي شحنة تستوفي متطلبات الصحة والصحة النباتية التي يحددها البلد المستورد؛ (ب) أن تُطبق تدابير </w:t>
      </w:r>
      <w:r w:rsidR="001F0EDE">
        <w:rPr>
          <w:rFonts w:hint="cs"/>
          <w:sz w:val="22"/>
          <w:rtl/>
          <w:lang w:bidi="ar-EG"/>
        </w:rPr>
        <w:t>لتقليل</w:t>
      </w:r>
      <w:r w:rsidR="002C1A96">
        <w:rPr>
          <w:rFonts w:hint="cs"/>
          <w:sz w:val="22"/>
          <w:rtl/>
          <w:lang w:bidi="ar-EG"/>
        </w:rPr>
        <w:t xml:space="preserve"> مخاطر عمليات الإدخال غير المقصود إلى أدنى حد.</w:t>
      </w:r>
    </w:p>
    <w:p w:rsidR="00700B03" w:rsidRDefault="00700B03" w:rsidP="00C454E9">
      <w:pPr>
        <w:spacing w:after="120"/>
        <w:jc w:val="both"/>
        <w:rPr>
          <w:sz w:val="22"/>
          <w:rtl/>
          <w:lang w:bidi="ar-EG"/>
        </w:rPr>
      </w:pPr>
      <w:r>
        <w:rPr>
          <w:rFonts w:hint="cs"/>
          <w:sz w:val="22"/>
          <w:rtl/>
          <w:lang w:bidi="ar-EG"/>
        </w:rPr>
        <w:t>12-</w:t>
      </w:r>
      <w:r>
        <w:rPr>
          <w:rFonts w:hint="cs"/>
          <w:sz w:val="22"/>
          <w:rtl/>
          <w:lang w:bidi="ar-EG"/>
        </w:rPr>
        <w:tab/>
      </w:r>
      <w:r w:rsidR="00911C4B">
        <w:rPr>
          <w:rFonts w:hint="cs"/>
          <w:sz w:val="22"/>
          <w:rtl/>
          <w:lang w:bidi="ar-EG"/>
        </w:rPr>
        <w:t xml:space="preserve">ويجب على أي مرسل/مصدر لشحنة أنواع حية أن يبلغ المستورد بالمخاطر المحتملة للغزو البيولوجي </w:t>
      </w:r>
      <w:r w:rsidR="001F0EDE">
        <w:rPr>
          <w:rFonts w:hint="cs"/>
          <w:sz w:val="22"/>
          <w:rtl/>
          <w:lang w:bidi="ar-EG"/>
        </w:rPr>
        <w:t>ل</w:t>
      </w:r>
      <w:r w:rsidR="00911C4B">
        <w:rPr>
          <w:rFonts w:hint="cs"/>
          <w:sz w:val="22"/>
          <w:rtl/>
          <w:lang w:bidi="ar-EG"/>
        </w:rPr>
        <w:t>لكائنات الغريبة على علامة و/أو وثيقة مرفقة بالشحنة التي تحتوي على الأنواع الحية، موجهة إلى سلطات مراق</w:t>
      </w:r>
      <w:r w:rsidR="00C400C3">
        <w:rPr>
          <w:rFonts w:hint="cs"/>
          <w:sz w:val="22"/>
          <w:rtl/>
          <w:lang w:bidi="ar-EG"/>
        </w:rPr>
        <w:t xml:space="preserve">بة الحدود، أو المنظمات الوطنية المعنية </w:t>
      </w:r>
      <w:r w:rsidR="00C454E9">
        <w:rPr>
          <w:rFonts w:hint="cs"/>
          <w:sz w:val="22"/>
          <w:rtl/>
          <w:lang w:bidi="ar-EG"/>
        </w:rPr>
        <w:t>بحماية</w:t>
      </w:r>
      <w:r w:rsidR="00911C4B">
        <w:rPr>
          <w:rFonts w:hint="cs"/>
          <w:sz w:val="22"/>
          <w:rtl/>
          <w:lang w:bidi="ar-EG"/>
        </w:rPr>
        <w:t xml:space="preserve"> النباتات أو السلطات البيطرية. وفي بعض الحالات، ينبغي تقديم هذه المعلومات إلى السلطات المختصة في بلد أو بلدان المرور العابر، للسماح باعتماد التدابير الملائمة لإدارة المخاطر أثناء عملية المرور العابر.</w:t>
      </w:r>
    </w:p>
    <w:p w:rsidR="001D0217" w:rsidRDefault="00700B03" w:rsidP="001D0217">
      <w:pPr>
        <w:spacing w:after="120"/>
        <w:jc w:val="both"/>
        <w:rPr>
          <w:sz w:val="22"/>
          <w:rtl/>
          <w:lang w:bidi="ar-EG"/>
        </w:rPr>
      </w:pPr>
      <w:r>
        <w:rPr>
          <w:rFonts w:hint="cs"/>
          <w:sz w:val="22"/>
          <w:rtl/>
          <w:lang w:bidi="ar-EG"/>
        </w:rPr>
        <w:t>13-</w:t>
      </w:r>
      <w:r>
        <w:rPr>
          <w:rFonts w:hint="cs"/>
          <w:sz w:val="22"/>
          <w:rtl/>
          <w:lang w:bidi="ar-EG"/>
        </w:rPr>
        <w:tab/>
      </w:r>
      <w:r w:rsidR="001D0217">
        <w:rPr>
          <w:rFonts w:hint="cs"/>
          <w:sz w:val="22"/>
          <w:rtl/>
          <w:lang w:bidi="ar-EG"/>
        </w:rPr>
        <w:t>وينبغي لأي مرسل/مصدر للأنواع الحية أن يطبق تدابير الصحة والصحة النباتية الملائمة لضمان شحن الأنواع الحية خالية من الآفات، والعوامل المسببة للأمراض والكائنات الغريبة التي قد تحمل مخاطر الغزوات البيولوجية في البلد المستورد أو المناطق البيوغرافية التي تتلقاها.</w:t>
      </w:r>
    </w:p>
    <w:p w:rsidR="00700B03" w:rsidRPr="0090065B" w:rsidRDefault="00C91EDA" w:rsidP="002A23AC">
      <w:pPr>
        <w:keepNext/>
        <w:spacing w:after="120" w:line="192" w:lineRule="auto"/>
        <w:jc w:val="center"/>
        <w:rPr>
          <w:b/>
          <w:bCs/>
          <w:sz w:val="26"/>
          <w:szCs w:val="26"/>
          <w:rtl/>
          <w:lang w:bidi="ar-EG"/>
        </w:rPr>
      </w:pPr>
      <w:r>
        <w:rPr>
          <w:rFonts w:hint="cs"/>
          <w:b/>
          <w:bCs/>
          <w:sz w:val="26"/>
          <w:szCs w:val="26"/>
          <w:rtl/>
          <w:lang w:bidi="ar-EG"/>
        </w:rPr>
        <w:t>جيم</w:t>
      </w:r>
      <w:r w:rsidR="00700B03" w:rsidRPr="0090065B">
        <w:rPr>
          <w:rFonts w:hint="cs"/>
          <w:b/>
          <w:bCs/>
          <w:sz w:val="26"/>
          <w:szCs w:val="26"/>
          <w:rtl/>
          <w:lang w:bidi="ar-EG"/>
        </w:rPr>
        <w:t>-</w:t>
      </w:r>
      <w:r w:rsidR="00700B03" w:rsidRPr="0090065B">
        <w:rPr>
          <w:rFonts w:hint="cs"/>
          <w:b/>
          <w:bCs/>
          <w:sz w:val="26"/>
          <w:szCs w:val="26"/>
          <w:rtl/>
          <w:lang w:bidi="ar-EG"/>
        </w:rPr>
        <w:tab/>
      </w:r>
      <w:r w:rsidR="002A23AC">
        <w:rPr>
          <w:rFonts w:hint="cs"/>
          <w:b/>
          <w:bCs/>
          <w:sz w:val="26"/>
          <w:szCs w:val="26"/>
          <w:rtl/>
          <w:lang w:bidi="ar-EG"/>
        </w:rPr>
        <w:t>حاويات التعبئة</w:t>
      </w:r>
      <w:r>
        <w:rPr>
          <w:rFonts w:hint="cs"/>
          <w:b/>
          <w:bCs/>
          <w:sz w:val="26"/>
          <w:szCs w:val="26"/>
          <w:rtl/>
          <w:lang w:bidi="ar-EG"/>
        </w:rPr>
        <w:t>/</w:t>
      </w:r>
      <w:r w:rsidR="002A23AC">
        <w:rPr>
          <w:rFonts w:hint="cs"/>
          <w:b/>
          <w:bCs/>
          <w:sz w:val="26"/>
          <w:szCs w:val="26"/>
          <w:rtl/>
          <w:lang w:bidi="ar-EG"/>
        </w:rPr>
        <w:t>الشحنة</w:t>
      </w:r>
    </w:p>
    <w:p w:rsidR="00700B03" w:rsidRDefault="00700B03" w:rsidP="001F0EDE">
      <w:pPr>
        <w:spacing w:after="120"/>
        <w:jc w:val="both"/>
        <w:rPr>
          <w:sz w:val="22"/>
          <w:rtl/>
          <w:lang w:bidi="ar-EG"/>
        </w:rPr>
      </w:pPr>
      <w:r>
        <w:rPr>
          <w:rFonts w:hint="cs"/>
          <w:sz w:val="22"/>
          <w:rtl/>
          <w:lang w:bidi="ar-EG"/>
        </w:rPr>
        <w:t>14-</w:t>
      </w:r>
      <w:r>
        <w:rPr>
          <w:rFonts w:hint="cs"/>
          <w:sz w:val="22"/>
          <w:rtl/>
          <w:lang w:bidi="ar-EG"/>
        </w:rPr>
        <w:tab/>
      </w:r>
      <w:r w:rsidR="002A23AC">
        <w:rPr>
          <w:rFonts w:hint="cs"/>
          <w:sz w:val="22"/>
          <w:rtl/>
          <w:lang w:bidi="ar-EG"/>
        </w:rPr>
        <w:t>يمكن لصق علامات تعريف المخاطر على كل شحنة، عند الإمكان و</w:t>
      </w:r>
      <w:r w:rsidR="001F0EDE">
        <w:rPr>
          <w:rFonts w:hint="cs"/>
          <w:sz w:val="22"/>
          <w:rtl/>
          <w:lang w:bidi="ar-EG"/>
        </w:rPr>
        <w:t xml:space="preserve">حسب </w:t>
      </w:r>
      <w:r w:rsidR="002A23AC">
        <w:rPr>
          <w:rFonts w:hint="cs"/>
          <w:sz w:val="22"/>
          <w:rtl/>
          <w:lang w:bidi="ar-EG"/>
        </w:rPr>
        <w:t>الاقتضاء، عن طريق مرسل/</w:t>
      </w:r>
      <w:r w:rsidR="001F0EDE">
        <w:rPr>
          <w:rFonts w:hint="cs"/>
          <w:sz w:val="22"/>
          <w:rtl/>
          <w:lang w:bidi="ar-EG"/>
        </w:rPr>
        <w:t>مصدر</w:t>
      </w:r>
      <w:r w:rsidR="002A23AC">
        <w:rPr>
          <w:rFonts w:hint="cs"/>
          <w:sz w:val="22"/>
          <w:rtl/>
          <w:lang w:bidi="ar-EG"/>
        </w:rPr>
        <w:t xml:space="preserve">، مع مراعاة الخطر المحتمل للغزوات البيولوجية للكائنات الغريبة التي تتحرك من خلال مسارات الإدخال غير المقصود، وعلى وجه </w:t>
      </w:r>
      <w:r w:rsidR="002A23AC">
        <w:rPr>
          <w:rFonts w:hint="cs"/>
          <w:sz w:val="22"/>
          <w:rtl/>
          <w:lang w:bidi="ar-EG"/>
        </w:rPr>
        <w:lastRenderedPageBreak/>
        <w:t xml:space="preserve">الخصوص عندما يتم الحصول على الأنواع الحية أو جمعها من الطبيعة البرية، من أجل إبلاغ الأشخاص المشاركين في سلسلة </w:t>
      </w:r>
      <w:r w:rsidR="00A652BF">
        <w:rPr>
          <w:rFonts w:hint="cs"/>
          <w:sz w:val="22"/>
          <w:rtl/>
          <w:lang w:bidi="ar-EG"/>
        </w:rPr>
        <w:t>القيمة بأكملها</w:t>
      </w:r>
      <w:r w:rsidR="001F0EDE">
        <w:rPr>
          <w:rFonts w:hint="cs"/>
          <w:sz w:val="22"/>
          <w:rtl/>
          <w:lang w:bidi="ar-EG"/>
        </w:rPr>
        <w:t xml:space="preserve"> با</w:t>
      </w:r>
      <w:r w:rsidR="002A23AC">
        <w:rPr>
          <w:rFonts w:hint="cs"/>
          <w:sz w:val="22"/>
          <w:rtl/>
          <w:lang w:bidi="ar-EG"/>
        </w:rPr>
        <w:t>لمخاطر المحتملة على التنوع البيولوجي.</w:t>
      </w:r>
    </w:p>
    <w:p w:rsidR="00700B03" w:rsidRDefault="00700B03" w:rsidP="001F0EDE">
      <w:pPr>
        <w:spacing w:after="120"/>
        <w:jc w:val="both"/>
        <w:rPr>
          <w:sz w:val="22"/>
          <w:rtl/>
          <w:lang w:bidi="ar-EG"/>
        </w:rPr>
      </w:pPr>
      <w:r>
        <w:rPr>
          <w:rFonts w:hint="cs"/>
          <w:sz w:val="22"/>
          <w:rtl/>
          <w:lang w:bidi="ar-EG"/>
        </w:rPr>
        <w:t>15-</w:t>
      </w:r>
      <w:r>
        <w:rPr>
          <w:rFonts w:hint="cs"/>
          <w:sz w:val="22"/>
          <w:rtl/>
          <w:lang w:bidi="ar-EG"/>
        </w:rPr>
        <w:tab/>
      </w:r>
      <w:r w:rsidR="002F51E3">
        <w:rPr>
          <w:rFonts w:hint="cs"/>
          <w:sz w:val="22"/>
          <w:rtl/>
          <w:lang w:bidi="ar-EG"/>
        </w:rPr>
        <w:t xml:space="preserve">وينبغي أن تخلو مواد </w:t>
      </w:r>
      <w:r w:rsidR="001F0EDE">
        <w:rPr>
          <w:rFonts w:hint="cs"/>
          <w:sz w:val="22"/>
          <w:rtl/>
          <w:lang w:bidi="ar-EG"/>
        </w:rPr>
        <w:t xml:space="preserve">أو حاويات </w:t>
      </w:r>
      <w:r w:rsidR="002F51E3">
        <w:rPr>
          <w:rFonts w:hint="cs"/>
          <w:sz w:val="22"/>
          <w:rtl/>
          <w:lang w:bidi="ar-EG"/>
        </w:rPr>
        <w:t>التعبئة المرتبطة بحركة الأنواع الحية من الآفات، والعوامل المسببة للأمراض والكائنات الغريبة</w:t>
      </w:r>
      <w:r w:rsidR="001F0EDE">
        <w:rPr>
          <w:rFonts w:hint="cs"/>
          <w:sz w:val="22"/>
          <w:rtl/>
          <w:lang w:bidi="ar-EG"/>
        </w:rPr>
        <w:t xml:space="preserve"> الغازية</w:t>
      </w:r>
      <w:r w:rsidR="002F51E3">
        <w:rPr>
          <w:rFonts w:hint="cs"/>
          <w:sz w:val="22"/>
          <w:rtl/>
          <w:lang w:bidi="ar-EG"/>
        </w:rPr>
        <w:t xml:space="preserve"> التي </w:t>
      </w:r>
      <w:r w:rsidR="00EE7F5E">
        <w:rPr>
          <w:rFonts w:hint="cs"/>
          <w:sz w:val="22"/>
          <w:rtl/>
          <w:lang w:bidi="ar-EG"/>
        </w:rPr>
        <w:t>تشغل البلد المستورد لها</w:t>
      </w:r>
      <w:r w:rsidR="002F51E3">
        <w:rPr>
          <w:rFonts w:hint="cs"/>
          <w:sz w:val="22"/>
          <w:rtl/>
          <w:lang w:bidi="ar-EG"/>
        </w:rPr>
        <w:t xml:space="preserve"> أو المناطق الجغرافية التي تتلقاها. وإذا كانت مادة التعبئة مصنوعة من الخشب، ينبغي تطبيق المعالجة المناسبة الموصوفة في المعيار الدولي 15 لتدابير الصحة النباتية (تنظيم مواد التعبئة الخشبية في التجارة الدولية). وينبغي بذل الجهود لضمان أن تخلو مواد التعبئة/الحاويات من الكائنات الغريبة الغازية.</w:t>
      </w:r>
    </w:p>
    <w:p w:rsidR="00700B03" w:rsidRDefault="00700B03" w:rsidP="00EE7F5E">
      <w:pPr>
        <w:spacing w:after="120"/>
        <w:jc w:val="both"/>
        <w:rPr>
          <w:sz w:val="22"/>
          <w:rtl/>
          <w:lang w:bidi="ar-EG"/>
        </w:rPr>
      </w:pPr>
      <w:r>
        <w:rPr>
          <w:rFonts w:hint="cs"/>
          <w:sz w:val="22"/>
          <w:rtl/>
          <w:lang w:bidi="ar-EG"/>
        </w:rPr>
        <w:t>16-</w:t>
      </w:r>
      <w:r>
        <w:rPr>
          <w:rFonts w:hint="cs"/>
          <w:sz w:val="22"/>
          <w:rtl/>
          <w:lang w:bidi="ar-EG"/>
        </w:rPr>
        <w:tab/>
      </w:r>
      <w:r w:rsidR="0062299B">
        <w:rPr>
          <w:rFonts w:hint="cs"/>
          <w:sz w:val="22"/>
          <w:rtl/>
          <w:lang w:bidi="ar-EG"/>
        </w:rPr>
        <w:t xml:space="preserve">وفي حالة إعادة استخدام حاوية التعبئة، يجب على المرسل/المصدر أن يغسلها ويطهرها قبل الشحن ويجب </w:t>
      </w:r>
      <w:r w:rsidR="00EE7F5E">
        <w:rPr>
          <w:rFonts w:hint="cs"/>
          <w:sz w:val="22"/>
          <w:rtl/>
          <w:lang w:bidi="ar-EG"/>
        </w:rPr>
        <w:t>فحصها</w:t>
      </w:r>
      <w:r w:rsidR="0062299B">
        <w:rPr>
          <w:rFonts w:hint="cs"/>
          <w:sz w:val="22"/>
          <w:rtl/>
          <w:lang w:bidi="ar-EG"/>
        </w:rPr>
        <w:t xml:space="preserve"> مرئيا قبل إعادة استخدامها.</w:t>
      </w:r>
    </w:p>
    <w:p w:rsidR="00700B03" w:rsidRDefault="00700B03" w:rsidP="00EE7F5E">
      <w:pPr>
        <w:spacing w:after="120"/>
        <w:jc w:val="both"/>
        <w:rPr>
          <w:sz w:val="22"/>
          <w:rtl/>
          <w:lang w:bidi="ar-EG"/>
        </w:rPr>
      </w:pPr>
      <w:r>
        <w:rPr>
          <w:rFonts w:hint="cs"/>
          <w:sz w:val="22"/>
          <w:rtl/>
          <w:lang w:bidi="ar-EG"/>
        </w:rPr>
        <w:t>17-</w:t>
      </w:r>
      <w:r>
        <w:rPr>
          <w:rFonts w:hint="cs"/>
          <w:sz w:val="22"/>
          <w:rtl/>
          <w:lang w:bidi="ar-EG"/>
        </w:rPr>
        <w:tab/>
      </w:r>
      <w:r w:rsidR="000C6CB1">
        <w:rPr>
          <w:rFonts w:hint="cs"/>
          <w:sz w:val="22"/>
          <w:rtl/>
          <w:lang w:bidi="ar-EG"/>
        </w:rPr>
        <w:t xml:space="preserve">وينبغي أن تخلو حاويات التعبئة للأنواع المائية من الآفات، والعوامل المسببة للأمراض والكائنات الغريبة </w:t>
      </w:r>
      <w:r w:rsidR="00EE7F5E">
        <w:rPr>
          <w:rFonts w:hint="cs"/>
          <w:sz w:val="22"/>
          <w:rtl/>
          <w:lang w:bidi="ar-EG"/>
        </w:rPr>
        <w:t xml:space="preserve">الغازية </w:t>
      </w:r>
      <w:r w:rsidR="000C6CB1">
        <w:rPr>
          <w:rFonts w:hint="cs"/>
          <w:sz w:val="22"/>
          <w:rtl/>
          <w:lang w:bidi="ar-EG"/>
        </w:rPr>
        <w:t xml:space="preserve">التي </w:t>
      </w:r>
      <w:r w:rsidR="00EE7F5E">
        <w:rPr>
          <w:rFonts w:hint="cs"/>
          <w:sz w:val="22"/>
          <w:rtl/>
          <w:lang w:bidi="ar-EG"/>
        </w:rPr>
        <w:t>تشغل البلد المستورد لها</w:t>
      </w:r>
      <w:r w:rsidR="000C6CB1">
        <w:rPr>
          <w:rFonts w:hint="cs"/>
          <w:sz w:val="22"/>
          <w:rtl/>
          <w:lang w:bidi="ar-EG"/>
        </w:rPr>
        <w:t xml:space="preserve"> أو المناطق الجغرافية التي تتلقاها</w:t>
      </w:r>
      <w:r w:rsidR="00E83830">
        <w:rPr>
          <w:rFonts w:hint="cs"/>
          <w:sz w:val="22"/>
          <w:rtl/>
          <w:lang w:bidi="ar-EG"/>
        </w:rPr>
        <w:t>، وأن يغلقها المرسل/ال</w:t>
      </w:r>
      <w:r w:rsidR="008263AC">
        <w:rPr>
          <w:rFonts w:hint="cs"/>
          <w:sz w:val="22"/>
          <w:rtl/>
          <w:lang w:bidi="ar-EG"/>
        </w:rPr>
        <w:t xml:space="preserve">مصدر بشكل </w:t>
      </w:r>
      <w:r w:rsidR="00EE7F5E">
        <w:rPr>
          <w:rFonts w:hint="cs"/>
          <w:sz w:val="22"/>
          <w:rtl/>
          <w:lang w:bidi="ar-EG"/>
        </w:rPr>
        <w:t>مُحكم</w:t>
      </w:r>
      <w:r w:rsidR="008263AC">
        <w:rPr>
          <w:rFonts w:hint="cs"/>
          <w:sz w:val="22"/>
          <w:rtl/>
          <w:lang w:bidi="ar-EG"/>
        </w:rPr>
        <w:t xml:space="preserve"> لمنع تسرب </w:t>
      </w:r>
      <w:r w:rsidR="00E83830">
        <w:rPr>
          <w:rFonts w:hint="cs"/>
          <w:sz w:val="22"/>
          <w:rtl/>
          <w:lang w:bidi="ar-EG"/>
        </w:rPr>
        <w:t>الم</w:t>
      </w:r>
      <w:r w:rsidR="008263AC">
        <w:rPr>
          <w:rFonts w:hint="cs"/>
          <w:sz w:val="22"/>
          <w:rtl/>
          <w:lang w:bidi="ar-EG"/>
        </w:rPr>
        <w:t>ياه</w:t>
      </w:r>
      <w:r w:rsidR="00E83830">
        <w:rPr>
          <w:rFonts w:hint="cs"/>
          <w:sz w:val="22"/>
          <w:rtl/>
          <w:lang w:bidi="ar-EG"/>
        </w:rPr>
        <w:t xml:space="preserve"> و/أو التلوث إلى أو من الشحنة أثناء نقل سلسلة </w:t>
      </w:r>
      <w:r w:rsidR="00A652BF">
        <w:rPr>
          <w:rFonts w:hint="cs"/>
          <w:sz w:val="22"/>
          <w:rtl/>
          <w:lang w:bidi="ar-EG"/>
        </w:rPr>
        <w:t>القيمة بأكملها</w:t>
      </w:r>
      <w:r w:rsidR="00E83830">
        <w:rPr>
          <w:rFonts w:hint="cs"/>
          <w:sz w:val="22"/>
          <w:rtl/>
          <w:lang w:bidi="ar-EG"/>
        </w:rPr>
        <w:t xml:space="preserve"> من جانب الأفراد الذين يتعاملون مع حاويات التعبئة.</w:t>
      </w:r>
    </w:p>
    <w:p w:rsidR="00A652BF" w:rsidRPr="0090065B" w:rsidRDefault="00A652BF" w:rsidP="00A652BF">
      <w:pPr>
        <w:keepNext/>
        <w:spacing w:after="120" w:line="192" w:lineRule="auto"/>
        <w:jc w:val="center"/>
        <w:rPr>
          <w:b/>
          <w:bCs/>
          <w:sz w:val="26"/>
          <w:szCs w:val="26"/>
          <w:rtl/>
          <w:lang w:bidi="ar-EG"/>
        </w:rPr>
      </w:pPr>
      <w:r>
        <w:rPr>
          <w:rFonts w:hint="cs"/>
          <w:b/>
          <w:bCs/>
          <w:sz w:val="26"/>
          <w:szCs w:val="26"/>
          <w:rtl/>
          <w:lang w:bidi="ar-EG"/>
        </w:rPr>
        <w:t>دال</w:t>
      </w:r>
      <w:r w:rsidRPr="0090065B">
        <w:rPr>
          <w:rFonts w:hint="cs"/>
          <w:b/>
          <w:bCs/>
          <w:sz w:val="26"/>
          <w:szCs w:val="26"/>
          <w:rtl/>
          <w:lang w:bidi="ar-EG"/>
        </w:rPr>
        <w:t>-</w:t>
      </w:r>
      <w:r w:rsidRPr="0090065B">
        <w:rPr>
          <w:rFonts w:hint="cs"/>
          <w:b/>
          <w:bCs/>
          <w:sz w:val="26"/>
          <w:szCs w:val="26"/>
          <w:rtl/>
          <w:lang w:bidi="ar-EG"/>
        </w:rPr>
        <w:tab/>
      </w:r>
      <w:r>
        <w:rPr>
          <w:rFonts w:hint="cs"/>
          <w:b/>
          <w:bCs/>
          <w:sz w:val="26"/>
          <w:szCs w:val="26"/>
          <w:rtl/>
          <w:lang w:bidi="ar-EG"/>
        </w:rPr>
        <w:t xml:space="preserve">مواد ذات </w:t>
      </w:r>
      <w:r w:rsidR="00EE7F5E">
        <w:rPr>
          <w:rFonts w:hint="cs"/>
          <w:b/>
          <w:bCs/>
          <w:sz w:val="26"/>
          <w:szCs w:val="26"/>
          <w:rtl/>
          <w:lang w:bidi="ar-EG"/>
        </w:rPr>
        <w:t xml:space="preserve">صلة في </w:t>
      </w:r>
      <w:r>
        <w:rPr>
          <w:rFonts w:hint="cs"/>
          <w:b/>
          <w:bCs/>
          <w:sz w:val="26"/>
          <w:szCs w:val="26"/>
          <w:rtl/>
          <w:lang w:bidi="ar-EG"/>
        </w:rPr>
        <w:t>حاويات التعبئة</w:t>
      </w:r>
    </w:p>
    <w:p w:rsidR="00A652BF" w:rsidRDefault="00A652BF" w:rsidP="008263AC">
      <w:pPr>
        <w:spacing w:after="120"/>
        <w:jc w:val="both"/>
        <w:rPr>
          <w:sz w:val="22"/>
          <w:rtl/>
          <w:lang w:bidi="ar-EG"/>
        </w:rPr>
      </w:pPr>
      <w:r>
        <w:rPr>
          <w:rFonts w:hint="cs"/>
          <w:sz w:val="22"/>
          <w:rtl/>
          <w:lang w:bidi="ar-EG"/>
        </w:rPr>
        <w:t>18-</w:t>
      </w:r>
      <w:r>
        <w:rPr>
          <w:rFonts w:hint="cs"/>
          <w:sz w:val="22"/>
          <w:rtl/>
          <w:lang w:bidi="ar-EG"/>
        </w:rPr>
        <w:tab/>
      </w:r>
      <w:r w:rsidR="008263AC">
        <w:rPr>
          <w:rFonts w:hint="cs"/>
          <w:sz w:val="22"/>
          <w:rtl/>
          <w:lang w:bidi="ar-EG"/>
        </w:rPr>
        <w:t>ينبغي لمرسل/مصدر الأنواع الحية أن يضمن معالجة فراش الحيوانات قبل الشحن بالطريقة (الطرق) المناسبة لضمان خلوه من الآفات، والعوامل المسببة للأمراض والكائنات الغريبة</w:t>
      </w:r>
      <w:r w:rsidR="00EE7F5E">
        <w:rPr>
          <w:rFonts w:hint="cs"/>
          <w:sz w:val="22"/>
          <w:rtl/>
          <w:lang w:bidi="ar-EG"/>
        </w:rPr>
        <w:t xml:space="preserve"> الغازية</w:t>
      </w:r>
      <w:r w:rsidR="008263AC">
        <w:rPr>
          <w:rFonts w:hint="cs"/>
          <w:sz w:val="22"/>
          <w:rtl/>
          <w:lang w:bidi="ar-EG"/>
        </w:rPr>
        <w:t xml:space="preserve"> التي </w:t>
      </w:r>
      <w:r w:rsidR="00EE7F5E">
        <w:rPr>
          <w:rFonts w:hint="cs"/>
          <w:sz w:val="22"/>
          <w:rtl/>
          <w:lang w:bidi="ar-EG"/>
        </w:rPr>
        <w:t>تشغل البلد المستورد لها</w:t>
      </w:r>
      <w:r w:rsidR="008263AC">
        <w:rPr>
          <w:rFonts w:hint="cs"/>
          <w:sz w:val="22"/>
          <w:rtl/>
          <w:lang w:bidi="ar-EG"/>
        </w:rPr>
        <w:t xml:space="preserve"> أو المناطق الجغرافية التي تتلقاها.</w:t>
      </w:r>
    </w:p>
    <w:p w:rsidR="00A652BF" w:rsidRDefault="00A652BF" w:rsidP="008263AC">
      <w:pPr>
        <w:spacing w:after="120"/>
        <w:jc w:val="both"/>
        <w:rPr>
          <w:sz w:val="22"/>
          <w:rtl/>
          <w:lang w:bidi="ar-EG"/>
        </w:rPr>
      </w:pPr>
      <w:r>
        <w:rPr>
          <w:rFonts w:hint="cs"/>
          <w:sz w:val="22"/>
          <w:rtl/>
          <w:lang w:bidi="ar-EG"/>
        </w:rPr>
        <w:t>19-</w:t>
      </w:r>
      <w:r>
        <w:rPr>
          <w:rFonts w:hint="cs"/>
          <w:sz w:val="22"/>
          <w:rtl/>
          <w:lang w:bidi="ar-EG"/>
        </w:rPr>
        <w:tab/>
      </w:r>
      <w:r w:rsidR="00E60038">
        <w:rPr>
          <w:rFonts w:hint="cs"/>
          <w:sz w:val="22"/>
          <w:rtl/>
          <w:lang w:bidi="ar-EG"/>
        </w:rPr>
        <w:t>و</w:t>
      </w:r>
      <w:r w:rsidR="008263AC">
        <w:rPr>
          <w:rFonts w:hint="cs"/>
          <w:sz w:val="22"/>
          <w:rtl/>
          <w:lang w:bidi="ar-EG"/>
        </w:rPr>
        <w:t>ينبغي أن تخلو مياه الأنواع الحية المائية وأي وسائط تتعلق</w:t>
      </w:r>
      <w:r w:rsidR="00E60038">
        <w:rPr>
          <w:rFonts w:hint="cs"/>
          <w:sz w:val="22"/>
          <w:rtl/>
          <w:lang w:bidi="ar-EG"/>
        </w:rPr>
        <w:t xml:space="preserve"> بها يتعين استخدامها أثناء عملية النقل من الآفات، والعوامل المسببة للأمراض والكائنات الغريبة التي </w:t>
      </w:r>
      <w:r w:rsidR="00EE7F5E">
        <w:rPr>
          <w:rFonts w:hint="cs"/>
          <w:sz w:val="22"/>
          <w:rtl/>
          <w:lang w:bidi="ar-EG"/>
        </w:rPr>
        <w:t>تشغل البلد المستورد لها</w:t>
      </w:r>
      <w:r w:rsidR="00E60038">
        <w:rPr>
          <w:rFonts w:hint="cs"/>
          <w:sz w:val="22"/>
          <w:rtl/>
          <w:lang w:bidi="ar-EG"/>
        </w:rPr>
        <w:t xml:space="preserve"> أو المناطق الجغرافية التي تتلقاها وينبغي معالجتها على النحو المطلوب.</w:t>
      </w:r>
    </w:p>
    <w:p w:rsidR="00A652BF" w:rsidRDefault="00A652BF" w:rsidP="00E60038">
      <w:pPr>
        <w:spacing w:after="120"/>
        <w:jc w:val="both"/>
        <w:rPr>
          <w:sz w:val="22"/>
          <w:rtl/>
          <w:lang w:bidi="ar-EG"/>
        </w:rPr>
      </w:pPr>
      <w:r>
        <w:rPr>
          <w:rFonts w:hint="cs"/>
          <w:sz w:val="22"/>
          <w:rtl/>
          <w:lang w:bidi="ar-EG"/>
        </w:rPr>
        <w:t>20-</w:t>
      </w:r>
      <w:r>
        <w:rPr>
          <w:rFonts w:hint="cs"/>
          <w:sz w:val="22"/>
          <w:rtl/>
          <w:lang w:bidi="ar-EG"/>
        </w:rPr>
        <w:tab/>
      </w:r>
      <w:r w:rsidR="00E60038">
        <w:rPr>
          <w:rFonts w:hint="cs"/>
          <w:sz w:val="22"/>
          <w:rtl/>
          <w:lang w:bidi="ar-EG"/>
        </w:rPr>
        <w:t xml:space="preserve">وينبغي أن يخلو الهواء والأجهزة الموردة للهواء المرتبطة بشحنات الأنواع المائية من الآفات، والعوامل المسببة للأمراض والكائنات الغريبة التي </w:t>
      </w:r>
      <w:r w:rsidR="00EE7F5E">
        <w:rPr>
          <w:rFonts w:hint="cs"/>
          <w:sz w:val="22"/>
          <w:rtl/>
          <w:lang w:bidi="ar-EG"/>
        </w:rPr>
        <w:t>تشغل البلد المستورد لها</w:t>
      </w:r>
      <w:r w:rsidR="00E60038">
        <w:rPr>
          <w:rFonts w:hint="cs"/>
          <w:sz w:val="22"/>
          <w:rtl/>
          <w:lang w:bidi="ar-EG"/>
        </w:rPr>
        <w:t xml:space="preserve"> أو المناطق الجغرافية التي تتلقاها.</w:t>
      </w:r>
    </w:p>
    <w:p w:rsidR="00A652BF" w:rsidRDefault="00A652BF" w:rsidP="00EE7F5E">
      <w:pPr>
        <w:spacing w:after="120"/>
        <w:jc w:val="both"/>
        <w:rPr>
          <w:sz w:val="22"/>
          <w:rtl/>
          <w:lang w:bidi="ar-EG"/>
        </w:rPr>
      </w:pPr>
      <w:r>
        <w:rPr>
          <w:rFonts w:hint="cs"/>
          <w:sz w:val="22"/>
          <w:rtl/>
          <w:lang w:bidi="ar-EG"/>
        </w:rPr>
        <w:t>21-</w:t>
      </w:r>
      <w:r>
        <w:rPr>
          <w:rFonts w:hint="cs"/>
          <w:sz w:val="22"/>
          <w:rtl/>
          <w:lang w:bidi="ar-EG"/>
        </w:rPr>
        <w:tab/>
      </w:r>
      <w:r w:rsidR="00E60038">
        <w:rPr>
          <w:rFonts w:hint="cs"/>
          <w:sz w:val="22"/>
          <w:rtl/>
          <w:lang w:bidi="ar-EG"/>
        </w:rPr>
        <w:t>وينبغي</w:t>
      </w:r>
      <w:r w:rsidR="00EE7F5E">
        <w:rPr>
          <w:rFonts w:hint="cs"/>
          <w:sz w:val="22"/>
          <w:rtl/>
          <w:lang w:bidi="ar-EG"/>
        </w:rPr>
        <w:t xml:space="preserve"> لأي مرسل/مصدر</w:t>
      </w:r>
      <w:r w:rsidR="00E60038">
        <w:rPr>
          <w:rFonts w:hint="cs"/>
          <w:sz w:val="22"/>
          <w:rtl/>
          <w:lang w:bidi="ar-EG"/>
        </w:rPr>
        <w:t xml:space="preserve"> التخلص من أي تربة أو مواد تتعلق بالتربة </w:t>
      </w:r>
      <w:r w:rsidR="00EE7F5E">
        <w:rPr>
          <w:rFonts w:hint="cs"/>
          <w:sz w:val="22"/>
          <w:rtl/>
          <w:lang w:bidi="ar-EG"/>
        </w:rPr>
        <w:t>لها صلة</w:t>
      </w:r>
      <w:r w:rsidR="00E60038">
        <w:rPr>
          <w:rFonts w:hint="cs"/>
          <w:sz w:val="22"/>
          <w:rtl/>
          <w:lang w:bidi="ar-EG"/>
        </w:rPr>
        <w:t xml:space="preserve"> بنقل الأنواع الحية قبل الشحن. وإذا تعذر إزالة التربة أو المواد المتعلقة بالتربة من حاويات التعبئة، يجب على المرسل/المصدر الرجوع إلى لوائح الا</w:t>
      </w:r>
      <w:r w:rsidR="00C454E9">
        <w:rPr>
          <w:rFonts w:hint="cs"/>
          <w:sz w:val="22"/>
          <w:rtl/>
          <w:lang w:bidi="ar-EG"/>
        </w:rPr>
        <w:t>ستيراد الخاصة بالمنظمة الوطنية المعنية ب</w:t>
      </w:r>
      <w:r w:rsidR="00E60038">
        <w:rPr>
          <w:rFonts w:hint="cs"/>
          <w:sz w:val="22"/>
          <w:rtl/>
          <w:lang w:bidi="ar-EG"/>
        </w:rPr>
        <w:t>حماية النباتات في البلد المستورد والامتثال لها.</w:t>
      </w:r>
    </w:p>
    <w:p w:rsidR="00FE3E0C" w:rsidRPr="0090065B" w:rsidRDefault="00FE3E0C" w:rsidP="00FE3E0C">
      <w:pPr>
        <w:keepNext/>
        <w:spacing w:after="120" w:line="192" w:lineRule="auto"/>
        <w:jc w:val="center"/>
        <w:rPr>
          <w:b/>
          <w:bCs/>
          <w:sz w:val="26"/>
          <w:szCs w:val="26"/>
          <w:rtl/>
          <w:lang w:bidi="ar-EG"/>
        </w:rPr>
      </w:pPr>
      <w:r>
        <w:rPr>
          <w:rFonts w:hint="cs"/>
          <w:b/>
          <w:bCs/>
          <w:sz w:val="26"/>
          <w:szCs w:val="26"/>
          <w:rtl/>
          <w:lang w:bidi="ar-EG"/>
        </w:rPr>
        <w:t>هاء</w:t>
      </w:r>
      <w:r w:rsidRPr="0090065B">
        <w:rPr>
          <w:rFonts w:hint="cs"/>
          <w:b/>
          <w:bCs/>
          <w:sz w:val="26"/>
          <w:szCs w:val="26"/>
          <w:rtl/>
          <w:lang w:bidi="ar-EG"/>
        </w:rPr>
        <w:t>-</w:t>
      </w:r>
      <w:r w:rsidRPr="0090065B">
        <w:rPr>
          <w:rFonts w:hint="cs"/>
          <w:b/>
          <w:bCs/>
          <w:sz w:val="26"/>
          <w:szCs w:val="26"/>
          <w:rtl/>
          <w:lang w:bidi="ar-EG"/>
        </w:rPr>
        <w:tab/>
      </w:r>
      <w:r>
        <w:rPr>
          <w:rFonts w:hint="cs"/>
          <w:b/>
          <w:bCs/>
          <w:sz w:val="26"/>
          <w:szCs w:val="26"/>
          <w:rtl/>
          <w:lang w:bidi="ar-EG"/>
        </w:rPr>
        <w:t>أعلاف أو أغذية للحيوانات الحية</w:t>
      </w:r>
    </w:p>
    <w:p w:rsidR="00FE3E0C" w:rsidRDefault="00FE3E0C" w:rsidP="00EE7F5E">
      <w:pPr>
        <w:spacing w:after="120"/>
        <w:jc w:val="both"/>
        <w:rPr>
          <w:sz w:val="22"/>
          <w:rtl/>
          <w:lang w:bidi="ar-EG"/>
        </w:rPr>
      </w:pPr>
      <w:r>
        <w:rPr>
          <w:rFonts w:hint="cs"/>
          <w:sz w:val="22"/>
          <w:rtl/>
          <w:lang w:bidi="ar-EG"/>
        </w:rPr>
        <w:t>22-</w:t>
      </w:r>
      <w:r>
        <w:rPr>
          <w:rFonts w:hint="cs"/>
          <w:sz w:val="22"/>
          <w:rtl/>
          <w:lang w:bidi="ar-EG"/>
        </w:rPr>
        <w:tab/>
        <w:t xml:space="preserve">ينبغي أن يضمن </w:t>
      </w:r>
      <w:r w:rsidR="00EE7F5E">
        <w:rPr>
          <w:rFonts w:hint="cs"/>
          <w:sz w:val="22"/>
          <w:rtl/>
          <w:lang w:bidi="ar-EG"/>
        </w:rPr>
        <w:t>أي مرسل/مصدر ل</w:t>
      </w:r>
      <w:r>
        <w:rPr>
          <w:rFonts w:hint="cs"/>
          <w:sz w:val="22"/>
          <w:rtl/>
          <w:lang w:bidi="ar-EG"/>
        </w:rPr>
        <w:t xml:space="preserve">لأنواع الحية ألا تحتوي أي أعلاف أو أغذية موجودة في الشحنة على بذور صالحة للبقاء، أو أجزاء من النباتات أو الحيوانات التي </w:t>
      </w:r>
      <w:r w:rsidR="00EE7F5E">
        <w:rPr>
          <w:rFonts w:hint="cs"/>
          <w:sz w:val="22"/>
          <w:rtl/>
          <w:lang w:bidi="ar-EG"/>
        </w:rPr>
        <w:t>تحظى بالقدرة على</w:t>
      </w:r>
      <w:r w:rsidR="006461A5">
        <w:rPr>
          <w:rFonts w:hint="cs"/>
          <w:sz w:val="22"/>
          <w:rtl/>
          <w:lang w:bidi="ar-EG"/>
        </w:rPr>
        <w:t xml:space="preserve"> الاستقرار</w:t>
      </w:r>
      <w:r>
        <w:rPr>
          <w:rFonts w:hint="cs"/>
          <w:sz w:val="22"/>
          <w:rtl/>
          <w:lang w:bidi="ar-EG"/>
        </w:rPr>
        <w:t xml:space="preserve"> في بلد المقصد. وينبغي أن يضمن المرسلون/المصدرون أن تخلو الأعلاف أو الأغذية من الآفات، والعوامل المسببة للأمراض والكائنات الغريبة</w:t>
      </w:r>
      <w:r w:rsidR="00EE7F5E">
        <w:rPr>
          <w:rFonts w:hint="cs"/>
          <w:sz w:val="22"/>
          <w:rtl/>
          <w:lang w:bidi="ar-EG"/>
        </w:rPr>
        <w:t xml:space="preserve"> الغازية</w:t>
      </w:r>
      <w:r>
        <w:rPr>
          <w:rFonts w:hint="cs"/>
          <w:sz w:val="22"/>
          <w:rtl/>
          <w:lang w:bidi="ar-EG"/>
        </w:rPr>
        <w:t xml:space="preserve"> التي </w:t>
      </w:r>
      <w:r w:rsidR="00EE7F5E">
        <w:rPr>
          <w:rFonts w:hint="cs"/>
          <w:sz w:val="22"/>
          <w:rtl/>
          <w:lang w:bidi="ar-EG"/>
        </w:rPr>
        <w:t>تشغل البلد المستورد لها</w:t>
      </w:r>
      <w:r>
        <w:rPr>
          <w:rFonts w:hint="cs"/>
          <w:sz w:val="22"/>
          <w:rtl/>
          <w:lang w:bidi="ar-EG"/>
        </w:rPr>
        <w:t xml:space="preserve"> أو المناطق الجغرافية التي تتلقاها.</w:t>
      </w:r>
    </w:p>
    <w:p w:rsidR="0013743A" w:rsidRPr="0090065B" w:rsidRDefault="0013743A" w:rsidP="0013743A">
      <w:pPr>
        <w:keepNext/>
        <w:spacing w:after="120" w:line="192" w:lineRule="auto"/>
        <w:jc w:val="center"/>
        <w:rPr>
          <w:b/>
          <w:bCs/>
          <w:sz w:val="26"/>
          <w:szCs w:val="26"/>
          <w:rtl/>
          <w:lang w:bidi="ar-EG"/>
        </w:rPr>
      </w:pPr>
      <w:r>
        <w:rPr>
          <w:rFonts w:hint="cs"/>
          <w:b/>
          <w:bCs/>
          <w:sz w:val="26"/>
          <w:szCs w:val="26"/>
          <w:rtl/>
          <w:lang w:bidi="ar-EG"/>
        </w:rPr>
        <w:lastRenderedPageBreak/>
        <w:t>واو</w:t>
      </w:r>
      <w:r w:rsidRPr="0090065B">
        <w:rPr>
          <w:rFonts w:hint="cs"/>
          <w:b/>
          <w:bCs/>
          <w:sz w:val="26"/>
          <w:szCs w:val="26"/>
          <w:rtl/>
          <w:lang w:bidi="ar-EG"/>
        </w:rPr>
        <w:t>-</w:t>
      </w:r>
      <w:r w:rsidRPr="0090065B">
        <w:rPr>
          <w:rFonts w:hint="cs"/>
          <w:b/>
          <w:bCs/>
          <w:sz w:val="26"/>
          <w:szCs w:val="26"/>
          <w:rtl/>
          <w:lang w:bidi="ar-EG"/>
        </w:rPr>
        <w:tab/>
      </w:r>
      <w:r>
        <w:rPr>
          <w:rFonts w:hint="cs"/>
          <w:b/>
          <w:bCs/>
          <w:sz w:val="26"/>
          <w:szCs w:val="26"/>
          <w:rtl/>
          <w:lang w:bidi="ar-EG"/>
        </w:rPr>
        <w:t>معالجة المنتجات الثانوية، والنفايات، والمياه والوسائط</w:t>
      </w:r>
    </w:p>
    <w:p w:rsidR="0013743A" w:rsidRDefault="0013743A" w:rsidP="00EE7F5E">
      <w:pPr>
        <w:spacing w:after="120"/>
        <w:jc w:val="both"/>
        <w:rPr>
          <w:sz w:val="22"/>
          <w:rtl/>
          <w:lang w:bidi="ar-EG"/>
        </w:rPr>
      </w:pPr>
      <w:r>
        <w:rPr>
          <w:rFonts w:hint="cs"/>
          <w:sz w:val="22"/>
          <w:rtl/>
          <w:lang w:bidi="ar-EG"/>
        </w:rPr>
        <w:t>23-</w:t>
      </w:r>
      <w:r>
        <w:rPr>
          <w:rFonts w:hint="cs"/>
          <w:sz w:val="22"/>
          <w:rtl/>
          <w:lang w:bidi="ar-EG"/>
        </w:rPr>
        <w:tab/>
      </w:r>
      <w:r w:rsidR="00816888">
        <w:rPr>
          <w:rFonts w:hint="cs"/>
          <w:sz w:val="22"/>
          <w:rtl/>
          <w:lang w:bidi="ar-EG"/>
        </w:rPr>
        <w:t>ينبغي إزالة المنتجات الثانوية والنفايات الناتجة أثناء نقل الأنواع الحية من الشحنة لدى وصولها إلى البلد المتلقي. ويجب على متلقي الشحنة أن يطبق المعالجة المناسبة، بما في ذلك التطهير،</w:t>
      </w:r>
      <w:r w:rsidR="00286FBF">
        <w:rPr>
          <w:rStyle w:val="FootnoteReference"/>
          <w:sz w:val="22"/>
          <w:rtl/>
        </w:rPr>
        <w:footnoteReference w:id="36"/>
      </w:r>
      <w:r w:rsidR="00816888">
        <w:rPr>
          <w:rFonts w:hint="cs"/>
          <w:sz w:val="22"/>
          <w:rtl/>
          <w:lang w:bidi="ar-EG"/>
        </w:rPr>
        <w:t xml:space="preserve"> أو الترميد، أو </w:t>
      </w:r>
      <w:r w:rsidR="00286FBF">
        <w:rPr>
          <w:rFonts w:hint="cs"/>
          <w:sz w:val="22"/>
          <w:rtl/>
          <w:lang w:bidi="ar-EG"/>
        </w:rPr>
        <w:t>الاختلاص</w:t>
      </w:r>
      <w:r w:rsidR="00816888">
        <w:rPr>
          <w:rFonts w:hint="cs"/>
          <w:sz w:val="22"/>
          <w:rtl/>
          <w:lang w:bidi="ar-EG"/>
        </w:rPr>
        <w:t xml:space="preserve">، أو التعقيم، أو أي تدابير أخرى </w:t>
      </w:r>
      <w:r w:rsidR="00EE7F5E">
        <w:rPr>
          <w:rFonts w:hint="cs"/>
          <w:sz w:val="22"/>
          <w:rtl/>
          <w:lang w:bidi="ar-EG"/>
        </w:rPr>
        <w:t>بشأن</w:t>
      </w:r>
      <w:r w:rsidR="00816888">
        <w:rPr>
          <w:rFonts w:hint="cs"/>
          <w:sz w:val="22"/>
          <w:rtl/>
          <w:lang w:bidi="ar-EG"/>
        </w:rPr>
        <w:t xml:space="preserve"> حاويات التعبئة، والمواد الأخرى المرتبطة بها، والمنتجات الثانوية والنفايات قبل التخلص منها لتقيل مخاطر الغزوات البيولوجية للكائنات الغريبة إلى أدنى حد.</w:t>
      </w:r>
    </w:p>
    <w:p w:rsidR="00A97B20" w:rsidRPr="0090065B" w:rsidRDefault="00A97B20" w:rsidP="00D94210">
      <w:pPr>
        <w:keepNext/>
        <w:spacing w:after="120" w:line="192" w:lineRule="auto"/>
        <w:jc w:val="center"/>
        <w:rPr>
          <w:b/>
          <w:bCs/>
          <w:sz w:val="26"/>
          <w:szCs w:val="26"/>
          <w:rtl/>
          <w:lang w:bidi="ar-EG"/>
        </w:rPr>
      </w:pPr>
      <w:r>
        <w:rPr>
          <w:rFonts w:hint="cs"/>
          <w:b/>
          <w:bCs/>
          <w:sz w:val="26"/>
          <w:szCs w:val="26"/>
          <w:rtl/>
          <w:lang w:bidi="ar-EG"/>
        </w:rPr>
        <w:t>زاي</w:t>
      </w:r>
      <w:r w:rsidRPr="0090065B">
        <w:rPr>
          <w:rFonts w:hint="cs"/>
          <w:b/>
          <w:bCs/>
          <w:sz w:val="26"/>
          <w:szCs w:val="26"/>
          <w:rtl/>
          <w:lang w:bidi="ar-EG"/>
        </w:rPr>
        <w:t>-</w:t>
      </w:r>
      <w:r w:rsidRPr="0090065B">
        <w:rPr>
          <w:rFonts w:hint="cs"/>
          <w:b/>
          <w:bCs/>
          <w:sz w:val="26"/>
          <w:szCs w:val="26"/>
          <w:rtl/>
          <w:lang w:bidi="ar-EG"/>
        </w:rPr>
        <w:tab/>
      </w:r>
      <w:r>
        <w:rPr>
          <w:rFonts w:hint="cs"/>
          <w:b/>
          <w:bCs/>
          <w:sz w:val="26"/>
          <w:szCs w:val="26"/>
          <w:rtl/>
          <w:lang w:bidi="ar-EG"/>
        </w:rPr>
        <w:t xml:space="preserve">حالة </w:t>
      </w:r>
      <w:r w:rsidR="00D94210">
        <w:rPr>
          <w:rFonts w:hint="cs"/>
          <w:b/>
          <w:bCs/>
          <w:sz w:val="26"/>
          <w:szCs w:val="26"/>
          <w:rtl/>
          <w:lang w:bidi="ar-EG"/>
        </w:rPr>
        <w:t>الناقلات</w:t>
      </w:r>
      <w:r>
        <w:rPr>
          <w:rFonts w:hint="cs"/>
          <w:b/>
          <w:bCs/>
          <w:sz w:val="26"/>
          <w:szCs w:val="26"/>
          <w:rtl/>
          <w:lang w:bidi="ar-EG"/>
        </w:rPr>
        <w:t xml:space="preserve"> الحاملة</w:t>
      </w:r>
    </w:p>
    <w:p w:rsidR="00A97B20" w:rsidRDefault="00A97B20" w:rsidP="00860C75">
      <w:pPr>
        <w:spacing w:after="120"/>
        <w:jc w:val="both"/>
        <w:rPr>
          <w:sz w:val="22"/>
          <w:rtl/>
          <w:lang w:bidi="ar-EG"/>
        </w:rPr>
      </w:pPr>
      <w:r>
        <w:rPr>
          <w:rFonts w:hint="cs"/>
          <w:sz w:val="22"/>
          <w:rtl/>
          <w:lang w:bidi="ar-EG"/>
        </w:rPr>
        <w:t>24-</w:t>
      </w:r>
      <w:r>
        <w:rPr>
          <w:rFonts w:hint="cs"/>
          <w:sz w:val="22"/>
          <w:rtl/>
          <w:lang w:bidi="ar-EG"/>
        </w:rPr>
        <w:tab/>
      </w:r>
      <w:r w:rsidR="00D94210">
        <w:rPr>
          <w:rFonts w:hint="cs"/>
          <w:sz w:val="22"/>
          <w:rtl/>
          <w:lang w:bidi="ar-EG"/>
        </w:rPr>
        <w:t xml:space="preserve">إذا كان من المتوقع تحميل الأنواع الحية أو شحنة أنواع حية أو تم تحميلها من قبل، ينبغي لمالكي ومشغلي الناقلات الحاملة التأكد من غسيل الناقلات أو تطهيرها أو معالجتها بطريقة مناسبة. وينبغي </w:t>
      </w:r>
      <w:r w:rsidR="00860C75">
        <w:rPr>
          <w:rFonts w:hint="cs"/>
          <w:sz w:val="22"/>
          <w:rtl/>
          <w:lang w:bidi="ar-EG"/>
        </w:rPr>
        <w:t xml:space="preserve">لمالكي </w:t>
      </w:r>
      <w:r w:rsidR="00D94210">
        <w:rPr>
          <w:rFonts w:hint="cs"/>
          <w:sz w:val="22"/>
          <w:rtl/>
          <w:lang w:bidi="ar-EG"/>
        </w:rPr>
        <w:t>الناقلات الحاملة اتخاذ تدابير مسؤولة لتطبيق العلاج فور وصول ناقل حامل إلى بلد المقصد والحفاظ على الحالة المعالجة حتى الاستخدام التالي.</w:t>
      </w:r>
    </w:p>
    <w:p w:rsidR="00496F31" w:rsidRDefault="00496F31" w:rsidP="00D94210">
      <w:pPr>
        <w:spacing w:after="120"/>
        <w:jc w:val="both"/>
        <w:rPr>
          <w:sz w:val="22"/>
          <w:rtl/>
          <w:lang w:bidi="ar-EG"/>
        </w:rPr>
      </w:pPr>
      <w:r>
        <w:rPr>
          <w:rFonts w:hint="cs"/>
          <w:sz w:val="22"/>
          <w:rtl/>
          <w:lang w:bidi="ar-EG"/>
        </w:rPr>
        <w:t>25-</w:t>
      </w:r>
      <w:r>
        <w:rPr>
          <w:rFonts w:hint="cs"/>
          <w:sz w:val="22"/>
          <w:rtl/>
          <w:lang w:bidi="ar-EG"/>
        </w:rPr>
        <w:tab/>
        <w:t xml:space="preserve">وقبل التشغيل، ينبغي فحص أي ناقل حامل لتحديد حالته الصحية والصحية النباتية لضمان تقليل الإدخال غير المقصود من الآفات والعوامل المسببة للأمراض والكائنات الغريبة </w:t>
      </w:r>
      <w:r w:rsidR="00C454E9">
        <w:rPr>
          <w:rFonts w:hint="cs"/>
          <w:sz w:val="22"/>
          <w:rtl/>
          <w:lang w:bidi="ar-EG"/>
        </w:rPr>
        <w:t xml:space="preserve">الغازية </w:t>
      </w:r>
      <w:r>
        <w:rPr>
          <w:rFonts w:hint="cs"/>
          <w:sz w:val="22"/>
          <w:rtl/>
          <w:lang w:bidi="ar-EG"/>
        </w:rPr>
        <w:t>إلى أدنى حد.</w:t>
      </w:r>
    </w:p>
    <w:p w:rsidR="00CC06D3" w:rsidRDefault="00CC06D3" w:rsidP="00C454E9">
      <w:pPr>
        <w:spacing w:after="120"/>
        <w:jc w:val="both"/>
        <w:rPr>
          <w:sz w:val="22"/>
          <w:rtl/>
          <w:lang w:bidi="ar-EG"/>
        </w:rPr>
      </w:pPr>
      <w:r>
        <w:rPr>
          <w:rFonts w:hint="cs"/>
          <w:sz w:val="22"/>
          <w:rtl/>
          <w:lang w:bidi="ar-EG"/>
        </w:rPr>
        <w:t>26-</w:t>
      </w:r>
      <w:r>
        <w:rPr>
          <w:rFonts w:hint="cs"/>
          <w:sz w:val="22"/>
          <w:rtl/>
          <w:lang w:bidi="ar-EG"/>
        </w:rPr>
        <w:tab/>
        <w:t xml:space="preserve">وفي حالة هروب الأنواع الحية أو الانسكاب العرضي أو التسربات من إحدى الشحنات، ينبغي لمالك ومشغلي الناقلات الحاملة اتخاذ التدابير اللازمة لاستعادة واحتواء الأنواع الحية والكائنات </w:t>
      </w:r>
      <w:r w:rsidR="00C454E9">
        <w:rPr>
          <w:rFonts w:hint="cs"/>
          <w:sz w:val="22"/>
          <w:rtl/>
          <w:lang w:bidi="ar-EG"/>
        </w:rPr>
        <w:t>الغريبة العالقة بها</w:t>
      </w:r>
      <w:r>
        <w:rPr>
          <w:rFonts w:hint="cs"/>
          <w:sz w:val="22"/>
          <w:rtl/>
          <w:lang w:bidi="ar-EG"/>
        </w:rPr>
        <w:t>. وينبغي لمالكي ومشغلي الناقلات الحاملة غسلها وتطهيرها أو معالجتها بشكل مناسب، وإبلاغ السلطات الوطنية المعنية في البلد المتضرر (بلد المرور العابر أو بلد المقصد) عن طبيعة الهروب أو الانسكا</w:t>
      </w:r>
      <w:r w:rsidR="00EE7F5E">
        <w:rPr>
          <w:rFonts w:hint="cs"/>
          <w:sz w:val="22"/>
          <w:rtl/>
          <w:lang w:bidi="ar-EG"/>
        </w:rPr>
        <w:t>ب أو التسرب والتدابير التي اتخذ</w:t>
      </w:r>
      <w:r>
        <w:rPr>
          <w:rFonts w:hint="cs"/>
          <w:sz w:val="22"/>
          <w:rtl/>
          <w:lang w:bidi="ar-EG"/>
        </w:rPr>
        <w:t>ها مالكو أو مشغلو الناقلات الحاملة.</w:t>
      </w:r>
    </w:p>
    <w:p w:rsidR="00CF1C21" w:rsidRPr="0090065B" w:rsidRDefault="00CF1C21" w:rsidP="00CF1C21">
      <w:pPr>
        <w:keepNext/>
        <w:spacing w:after="120" w:line="192" w:lineRule="auto"/>
        <w:jc w:val="center"/>
        <w:rPr>
          <w:b/>
          <w:bCs/>
          <w:sz w:val="26"/>
          <w:szCs w:val="26"/>
          <w:rtl/>
          <w:lang w:bidi="ar-EG"/>
        </w:rPr>
      </w:pPr>
      <w:r>
        <w:rPr>
          <w:rFonts w:hint="cs"/>
          <w:b/>
          <w:bCs/>
          <w:sz w:val="26"/>
          <w:szCs w:val="26"/>
          <w:rtl/>
          <w:lang w:bidi="ar-EG"/>
        </w:rPr>
        <w:t>حاء</w:t>
      </w:r>
      <w:r w:rsidRPr="0090065B">
        <w:rPr>
          <w:rFonts w:hint="cs"/>
          <w:b/>
          <w:bCs/>
          <w:sz w:val="26"/>
          <w:szCs w:val="26"/>
          <w:rtl/>
          <w:lang w:bidi="ar-EG"/>
        </w:rPr>
        <w:t>-</w:t>
      </w:r>
      <w:r w:rsidRPr="0090065B">
        <w:rPr>
          <w:rFonts w:hint="cs"/>
          <w:b/>
          <w:bCs/>
          <w:sz w:val="26"/>
          <w:szCs w:val="26"/>
          <w:rtl/>
          <w:lang w:bidi="ar-EG"/>
        </w:rPr>
        <w:tab/>
      </w:r>
      <w:r>
        <w:rPr>
          <w:rFonts w:hint="cs"/>
          <w:b/>
          <w:bCs/>
          <w:sz w:val="26"/>
          <w:szCs w:val="26"/>
          <w:rtl/>
          <w:lang w:bidi="ar-EG"/>
        </w:rPr>
        <w:t>دور الدول والسلطات الوطنية فيما يتعلق بالأنواع الغريبة الغازية</w:t>
      </w:r>
    </w:p>
    <w:p w:rsidR="00CF1C21" w:rsidRDefault="00CF1C21" w:rsidP="00857E39">
      <w:pPr>
        <w:spacing w:after="120"/>
        <w:jc w:val="both"/>
        <w:rPr>
          <w:sz w:val="22"/>
          <w:rtl/>
          <w:lang w:bidi="ar-EG"/>
        </w:rPr>
      </w:pPr>
      <w:r>
        <w:rPr>
          <w:rFonts w:hint="cs"/>
          <w:sz w:val="22"/>
          <w:rtl/>
          <w:lang w:bidi="ar-EG"/>
        </w:rPr>
        <w:t>27-</w:t>
      </w:r>
      <w:r>
        <w:rPr>
          <w:rFonts w:hint="cs"/>
          <w:sz w:val="22"/>
          <w:rtl/>
          <w:lang w:bidi="ar-EG"/>
        </w:rPr>
        <w:tab/>
      </w:r>
      <w:r w:rsidR="00857E39">
        <w:rPr>
          <w:rFonts w:hint="cs"/>
          <w:sz w:val="22"/>
          <w:rtl/>
          <w:lang w:bidi="ar-EG"/>
        </w:rPr>
        <w:t>ينبغي للدول التي تتلقى الأنواع الحية أن تحتفظ بسجلات لجميع الشحنات التي تحتوي على الأنواع الحية، فيما يتعلق بمعلومات عن المصدرين، والمستوردين، وفئات السلع الأساسية</w:t>
      </w:r>
      <w:r w:rsidR="00A60C74">
        <w:rPr>
          <w:rFonts w:hint="cs"/>
          <w:sz w:val="22"/>
          <w:rtl/>
          <w:lang w:bidi="ar-EG"/>
        </w:rPr>
        <w:t xml:space="preserve"> على مستوى الأنواع أو ربما أدنى رتبة تصنيف</w:t>
      </w:r>
      <w:r w:rsidR="00C454E9">
        <w:rPr>
          <w:rFonts w:hint="cs"/>
          <w:sz w:val="22"/>
          <w:rtl/>
          <w:lang w:bidi="ar-EG"/>
        </w:rPr>
        <w:t>ية</w:t>
      </w:r>
      <w:r w:rsidR="00A60C74">
        <w:rPr>
          <w:rFonts w:hint="cs"/>
          <w:sz w:val="22"/>
          <w:rtl/>
          <w:lang w:bidi="ar-EG"/>
        </w:rPr>
        <w:t xml:space="preserve"> معروفة، والحالة الصحية للحيوانات وشروط الصحة النباتية للنباتات.</w:t>
      </w:r>
    </w:p>
    <w:p w:rsidR="00F774FC" w:rsidRDefault="00F774FC" w:rsidP="00784306">
      <w:pPr>
        <w:spacing w:after="120"/>
        <w:jc w:val="both"/>
        <w:rPr>
          <w:sz w:val="22"/>
          <w:rtl/>
          <w:lang w:bidi="ar-EG"/>
        </w:rPr>
      </w:pPr>
      <w:r>
        <w:rPr>
          <w:rFonts w:hint="cs"/>
          <w:sz w:val="22"/>
          <w:rtl/>
          <w:lang w:bidi="ar-EG"/>
        </w:rPr>
        <w:t>28-</w:t>
      </w:r>
      <w:r>
        <w:rPr>
          <w:rFonts w:hint="cs"/>
          <w:sz w:val="22"/>
          <w:rtl/>
          <w:lang w:bidi="ar-EG"/>
        </w:rPr>
        <w:tab/>
      </w:r>
      <w:r w:rsidR="00784306">
        <w:rPr>
          <w:rFonts w:hint="cs"/>
          <w:sz w:val="22"/>
          <w:rtl/>
          <w:lang w:bidi="ar-EG"/>
        </w:rPr>
        <w:t>وينبغي أن تطبق الدول تدابير مناسبة لإدارة مخاطر الحدود الوطنية وفقا للإرشادات الدولية القائمة بهدف تقليل مخاطر الإدخال غير المقصود للكائنات الغريبة الغازية إلى أدنى حد.</w:t>
      </w:r>
    </w:p>
    <w:p w:rsidR="00F774FC" w:rsidRDefault="00F774FC" w:rsidP="008E6692">
      <w:pPr>
        <w:spacing w:after="120"/>
        <w:jc w:val="both"/>
        <w:rPr>
          <w:sz w:val="22"/>
          <w:rtl/>
          <w:lang w:bidi="ar-EG"/>
        </w:rPr>
      </w:pPr>
      <w:r>
        <w:rPr>
          <w:rFonts w:hint="cs"/>
          <w:sz w:val="22"/>
          <w:rtl/>
          <w:lang w:bidi="ar-EG"/>
        </w:rPr>
        <w:t>29-</w:t>
      </w:r>
      <w:r>
        <w:rPr>
          <w:rFonts w:hint="cs"/>
          <w:sz w:val="22"/>
          <w:rtl/>
          <w:lang w:bidi="ar-EG"/>
        </w:rPr>
        <w:tab/>
      </w:r>
      <w:r w:rsidR="006461A5">
        <w:rPr>
          <w:rFonts w:hint="cs"/>
          <w:sz w:val="22"/>
          <w:rtl/>
          <w:lang w:bidi="ar-EG"/>
        </w:rPr>
        <w:t>وعندما تدخل الكائنات الغريبة الغازية دون قصد أو تصبح</w:t>
      </w:r>
      <w:r w:rsidR="008E6692">
        <w:rPr>
          <w:rFonts w:hint="cs"/>
          <w:sz w:val="22"/>
          <w:rtl/>
          <w:lang w:bidi="ar-EG"/>
        </w:rPr>
        <w:t xml:space="preserve"> مستقرة، ينبغي إخطار المكاتب المعنية، بما في ذلك السلطات المعنية بالحفظ، بما في ذلك حسب الاقتضاء، السلطة البيطرية/ا</w:t>
      </w:r>
      <w:r w:rsidR="00C454E9">
        <w:rPr>
          <w:rFonts w:hint="cs"/>
          <w:sz w:val="22"/>
          <w:rtl/>
          <w:lang w:bidi="ar-EG"/>
        </w:rPr>
        <w:t>لسلطة المختصة والمنظمة الوطنية المعنية ب</w:t>
      </w:r>
      <w:r w:rsidR="008E6692">
        <w:rPr>
          <w:rFonts w:hint="cs"/>
          <w:sz w:val="22"/>
          <w:rtl/>
          <w:lang w:bidi="ar-EG"/>
        </w:rPr>
        <w:t>حماية النباتات، لضمان أن يكون البلد القائم بالتصدير أو إعادة التصدير على دراية بالحدث للحيلولة دون زيادة انتشار الأنواع الغريبة الغازية.</w:t>
      </w:r>
    </w:p>
    <w:p w:rsidR="00F774FC" w:rsidRDefault="00F774FC" w:rsidP="00C22784">
      <w:pPr>
        <w:spacing w:after="120"/>
        <w:jc w:val="both"/>
        <w:rPr>
          <w:sz w:val="22"/>
          <w:rtl/>
          <w:lang w:bidi="ar-EG"/>
        </w:rPr>
      </w:pPr>
      <w:r>
        <w:rPr>
          <w:rFonts w:hint="cs"/>
          <w:sz w:val="22"/>
          <w:rtl/>
          <w:lang w:bidi="ar-EG"/>
        </w:rPr>
        <w:t>30-</w:t>
      </w:r>
      <w:r>
        <w:rPr>
          <w:rFonts w:hint="cs"/>
          <w:sz w:val="22"/>
          <w:rtl/>
          <w:lang w:bidi="ar-EG"/>
        </w:rPr>
        <w:tab/>
      </w:r>
      <w:r w:rsidR="00C22784">
        <w:rPr>
          <w:rFonts w:hint="cs"/>
          <w:sz w:val="22"/>
          <w:rtl/>
          <w:lang w:bidi="ar-EG"/>
        </w:rPr>
        <w:t xml:space="preserve">وينبغي للدول أن تقوم، بالتعاون مع المنظمات ذات الصلة، بإتاحة معلومات للجمهور بشأن: (أ) متطلبات الاستيراد للتجارة بالأنواع الحية المصممة لمنع الإدخال غير المقصود للكائنات الحية الغريبة المرتبطة بالتجارة بالأنواع الحية؛ (ب) </w:t>
      </w:r>
      <w:r w:rsidR="00C454E9">
        <w:rPr>
          <w:rFonts w:hint="cs"/>
          <w:sz w:val="22"/>
          <w:rtl/>
          <w:lang w:bidi="ar-EG"/>
        </w:rPr>
        <w:t>و</w:t>
      </w:r>
      <w:r w:rsidR="00C22784">
        <w:rPr>
          <w:rFonts w:hint="cs"/>
          <w:sz w:val="22"/>
          <w:rtl/>
          <w:lang w:bidi="ar-EG"/>
        </w:rPr>
        <w:t xml:space="preserve">وجود أنواع غريبة غازية نتيجة لإدخال غير مقصود؛ (ج) </w:t>
      </w:r>
      <w:r w:rsidR="00C454E9">
        <w:rPr>
          <w:rFonts w:hint="cs"/>
          <w:sz w:val="22"/>
          <w:rtl/>
          <w:lang w:bidi="ar-EG"/>
        </w:rPr>
        <w:t>و</w:t>
      </w:r>
      <w:r w:rsidR="00C22784">
        <w:rPr>
          <w:rFonts w:hint="cs"/>
          <w:sz w:val="22"/>
          <w:rtl/>
          <w:lang w:bidi="ar-EG"/>
        </w:rPr>
        <w:t xml:space="preserve">نتائج تحليل مخاطر المسارات، إذا ما تم الاضطلاع بها. </w:t>
      </w:r>
    </w:p>
    <w:p w:rsidR="00F774FC" w:rsidRDefault="00F774FC" w:rsidP="002C2086">
      <w:pPr>
        <w:spacing w:after="120"/>
        <w:jc w:val="both"/>
        <w:rPr>
          <w:sz w:val="22"/>
          <w:rtl/>
          <w:lang w:bidi="ar-EG"/>
        </w:rPr>
      </w:pPr>
      <w:r>
        <w:rPr>
          <w:rFonts w:hint="cs"/>
          <w:sz w:val="22"/>
          <w:rtl/>
          <w:lang w:bidi="ar-EG"/>
        </w:rPr>
        <w:t>31-</w:t>
      </w:r>
      <w:r>
        <w:rPr>
          <w:rFonts w:hint="cs"/>
          <w:sz w:val="22"/>
          <w:rtl/>
          <w:lang w:bidi="ar-EG"/>
        </w:rPr>
        <w:tab/>
      </w:r>
      <w:r w:rsidR="007A3EBD">
        <w:rPr>
          <w:rFonts w:hint="cs"/>
          <w:sz w:val="22"/>
          <w:rtl/>
          <w:lang w:bidi="ar-EG"/>
        </w:rPr>
        <w:t xml:space="preserve">وينبغي للدول المتلقية للأنواع الحية أن </w:t>
      </w:r>
      <w:r w:rsidR="002C2086">
        <w:rPr>
          <w:rFonts w:hint="cs"/>
          <w:sz w:val="22"/>
          <w:rtl/>
          <w:lang w:bidi="ar-EG"/>
        </w:rPr>
        <w:t>تزيد</w:t>
      </w:r>
      <w:r w:rsidR="007A3EBD">
        <w:rPr>
          <w:rFonts w:hint="cs"/>
          <w:sz w:val="22"/>
          <w:rtl/>
          <w:lang w:bidi="ar-EG"/>
        </w:rPr>
        <w:t xml:space="preserve"> الوعي بمخاطر الغزوات البيولوجية التي تشكلها التجارة بالأنواع الحية، بما في ذلك الإدخال غير المقصود للآفات والعوامل المسببة للأمراض والكائنات الغريبة الغازية للأشخاص المشاركين في سلسة القيمة بأكملها. ويتضمن ذلك حملات زيادة الوعي موجهة إلى الجمهور والمشغلين المحتملين (المربيين الهواة، وما إلى </w:t>
      </w:r>
      <w:r w:rsidR="007A3EBD">
        <w:rPr>
          <w:rFonts w:hint="cs"/>
          <w:sz w:val="22"/>
          <w:rtl/>
          <w:lang w:bidi="ar-EG"/>
        </w:rPr>
        <w:lastRenderedPageBreak/>
        <w:t>ذلك). ويمكن للدول، أو الحكومات دون الوطنية أو المنظمات ذات الصلة أو أي صناعة تشارك في سلسلة القيمة أن تنظم مثل هذه الحملات.</w:t>
      </w:r>
    </w:p>
    <w:p w:rsidR="00F774FC" w:rsidRPr="0090065B" w:rsidRDefault="00F774FC" w:rsidP="00F774FC">
      <w:pPr>
        <w:keepNext/>
        <w:spacing w:after="120" w:line="192" w:lineRule="auto"/>
        <w:jc w:val="center"/>
        <w:rPr>
          <w:b/>
          <w:bCs/>
          <w:sz w:val="26"/>
          <w:szCs w:val="26"/>
          <w:rtl/>
          <w:lang w:bidi="ar-EG"/>
        </w:rPr>
      </w:pPr>
      <w:r>
        <w:rPr>
          <w:rFonts w:hint="cs"/>
          <w:b/>
          <w:bCs/>
          <w:sz w:val="26"/>
          <w:szCs w:val="26"/>
          <w:rtl/>
          <w:lang w:bidi="ar-EG"/>
        </w:rPr>
        <w:t>طاء</w:t>
      </w:r>
      <w:r w:rsidRPr="0090065B">
        <w:rPr>
          <w:rFonts w:hint="cs"/>
          <w:b/>
          <w:bCs/>
          <w:sz w:val="26"/>
          <w:szCs w:val="26"/>
          <w:rtl/>
          <w:lang w:bidi="ar-EG"/>
        </w:rPr>
        <w:t>-</w:t>
      </w:r>
      <w:r w:rsidRPr="0090065B">
        <w:rPr>
          <w:rFonts w:hint="cs"/>
          <w:b/>
          <w:bCs/>
          <w:sz w:val="26"/>
          <w:szCs w:val="26"/>
          <w:rtl/>
          <w:lang w:bidi="ar-EG"/>
        </w:rPr>
        <w:tab/>
      </w:r>
      <w:r>
        <w:rPr>
          <w:rFonts w:hint="cs"/>
          <w:b/>
          <w:bCs/>
          <w:sz w:val="26"/>
          <w:szCs w:val="26"/>
          <w:rtl/>
          <w:lang w:bidi="ar-EG"/>
        </w:rPr>
        <w:t>الرصد</w:t>
      </w:r>
    </w:p>
    <w:p w:rsidR="00F774FC" w:rsidRDefault="00F774FC" w:rsidP="002C2086">
      <w:pPr>
        <w:spacing w:after="120"/>
        <w:jc w:val="both"/>
        <w:rPr>
          <w:sz w:val="22"/>
          <w:rtl/>
          <w:lang w:bidi="ar-EG"/>
        </w:rPr>
      </w:pPr>
      <w:r>
        <w:rPr>
          <w:rFonts w:hint="cs"/>
          <w:sz w:val="22"/>
          <w:rtl/>
          <w:lang w:bidi="ar-EG"/>
        </w:rPr>
        <w:t>32-</w:t>
      </w:r>
      <w:r>
        <w:rPr>
          <w:rFonts w:hint="cs"/>
          <w:sz w:val="22"/>
          <w:rtl/>
          <w:lang w:bidi="ar-EG"/>
        </w:rPr>
        <w:tab/>
      </w:r>
      <w:r w:rsidR="000B4C76">
        <w:rPr>
          <w:rFonts w:hint="cs"/>
          <w:sz w:val="22"/>
          <w:rtl/>
          <w:lang w:bidi="ar-EG"/>
        </w:rPr>
        <w:t>ينبغي للدول أن تجري رصد الكائنات الغريبة الغازية التي قد تصل دون قصد إلى أراضيها، لاسيما في المناطق الحساسة (</w:t>
      </w:r>
      <w:r w:rsidR="002C2086">
        <w:rPr>
          <w:rFonts w:hint="cs"/>
          <w:sz w:val="22"/>
          <w:rtl/>
          <w:lang w:bidi="ar-EG"/>
        </w:rPr>
        <w:t>من قبيل</w:t>
      </w:r>
      <w:r w:rsidR="000B4C76">
        <w:rPr>
          <w:rFonts w:hint="cs"/>
          <w:sz w:val="22"/>
          <w:rtl/>
          <w:lang w:bidi="ar-EG"/>
        </w:rPr>
        <w:t xml:space="preserve"> الموانئ، ومرافق الإرساء والتخزين، وساحات الحاويات خارج </w:t>
      </w:r>
      <w:r w:rsidR="002C2086">
        <w:rPr>
          <w:rFonts w:hint="cs"/>
          <w:sz w:val="22"/>
          <w:rtl/>
          <w:lang w:bidi="ar-EG"/>
        </w:rPr>
        <w:t>مرافق الإرساء</w:t>
      </w:r>
      <w:r w:rsidR="000B4C76">
        <w:rPr>
          <w:rFonts w:hint="cs"/>
          <w:sz w:val="22"/>
          <w:rtl/>
          <w:lang w:bidi="ar-EG"/>
        </w:rPr>
        <w:t>، والطرق وخطوط السكك الحديدية المتصلة) التي قد تدخلها أو تستقر فيها أو تكون في المرحلة المبكرة من الانتشار بها.</w:t>
      </w:r>
    </w:p>
    <w:p w:rsidR="00F774FC" w:rsidRDefault="00F774FC" w:rsidP="00513D31">
      <w:pPr>
        <w:spacing w:after="120"/>
        <w:jc w:val="both"/>
        <w:rPr>
          <w:sz w:val="22"/>
          <w:rtl/>
          <w:lang w:bidi="ar-EG"/>
        </w:rPr>
      </w:pPr>
      <w:r>
        <w:rPr>
          <w:rFonts w:hint="cs"/>
          <w:sz w:val="22"/>
          <w:rtl/>
          <w:lang w:bidi="ar-EG"/>
        </w:rPr>
        <w:t>33-</w:t>
      </w:r>
      <w:r>
        <w:rPr>
          <w:rFonts w:hint="cs"/>
          <w:sz w:val="22"/>
          <w:rtl/>
          <w:lang w:bidi="ar-EG"/>
        </w:rPr>
        <w:tab/>
      </w:r>
      <w:r w:rsidR="004717B2">
        <w:rPr>
          <w:rFonts w:hint="cs"/>
          <w:sz w:val="22"/>
          <w:rtl/>
          <w:lang w:bidi="ar-EG"/>
        </w:rPr>
        <w:t>وعند ملاحظة الإدخال غير المقصود في المناطق الحساسة، ينبغي للدول تكثيف رصد الكائنات الغريبة الغازية في المناطق القريبة التي توجد بها شواغل بشأن حماية التنوع البيولوجي، وينبغي اتخاذ استجابات سريعة لاحتواء الكائنات الغريبة الغازية ومكافحتها والتخلص منها. وعندما تُتاح المعلومات، ينبغي بذل الجهود لإيصالها إلى الجم</w:t>
      </w:r>
      <w:r w:rsidR="00513D31">
        <w:rPr>
          <w:rFonts w:hint="cs"/>
          <w:sz w:val="22"/>
          <w:rtl/>
          <w:lang w:bidi="ar-EG"/>
        </w:rPr>
        <w:t xml:space="preserve">هور، بما في ذلك البلدان التي تشغلها قضية </w:t>
      </w:r>
      <w:r w:rsidR="004717B2">
        <w:rPr>
          <w:rFonts w:hint="cs"/>
          <w:sz w:val="22"/>
          <w:rtl/>
          <w:lang w:bidi="ar-EG"/>
        </w:rPr>
        <w:t>الإدخال غير المقصود.</w:t>
      </w:r>
    </w:p>
    <w:p w:rsidR="00F774FC" w:rsidRDefault="00F774FC" w:rsidP="00513D31">
      <w:pPr>
        <w:spacing w:after="120"/>
        <w:jc w:val="both"/>
        <w:rPr>
          <w:sz w:val="22"/>
          <w:rtl/>
          <w:lang w:bidi="ar-EG"/>
        </w:rPr>
      </w:pPr>
      <w:r>
        <w:rPr>
          <w:rFonts w:hint="cs"/>
          <w:sz w:val="22"/>
          <w:rtl/>
          <w:lang w:bidi="ar-EG"/>
        </w:rPr>
        <w:t>34-</w:t>
      </w:r>
      <w:r>
        <w:rPr>
          <w:rFonts w:hint="cs"/>
          <w:sz w:val="22"/>
          <w:rtl/>
          <w:lang w:bidi="ar-EG"/>
        </w:rPr>
        <w:tab/>
      </w:r>
      <w:r w:rsidR="00513D31">
        <w:rPr>
          <w:rFonts w:hint="cs"/>
          <w:sz w:val="22"/>
          <w:rtl/>
          <w:lang w:bidi="ar-EG"/>
        </w:rPr>
        <w:t>و</w:t>
      </w:r>
      <w:r w:rsidR="006840F6">
        <w:rPr>
          <w:rFonts w:hint="cs"/>
          <w:sz w:val="22"/>
          <w:rtl/>
          <w:lang w:bidi="ar-EG"/>
        </w:rPr>
        <w:t xml:space="preserve">ينبغي للدول </w:t>
      </w:r>
      <w:r w:rsidR="00513D31">
        <w:rPr>
          <w:rFonts w:hint="cs"/>
          <w:sz w:val="22"/>
          <w:rtl/>
          <w:lang w:bidi="ar-EG"/>
        </w:rPr>
        <w:t>أن تراقب</w:t>
      </w:r>
      <w:r w:rsidR="006840F6">
        <w:rPr>
          <w:rFonts w:hint="cs"/>
          <w:sz w:val="22"/>
          <w:rtl/>
          <w:lang w:bidi="ar-EG"/>
        </w:rPr>
        <w:t xml:space="preserve"> حركة ال</w:t>
      </w:r>
      <w:r w:rsidR="002F663D">
        <w:rPr>
          <w:rFonts w:hint="cs"/>
          <w:sz w:val="22"/>
          <w:rtl/>
          <w:lang w:bidi="ar-EG"/>
        </w:rPr>
        <w:t>كائنات الغريبة</w:t>
      </w:r>
      <w:r w:rsidR="00513D31">
        <w:rPr>
          <w:rFonts w:hint="cs"/>
          <w:sz w:val="22"/>
          <w:rtl/>
          <w:lang w:bidi="ar-EG"/>
        </w:rPr>
        <w:t xml:space="preserve"> الغازية</w:t>
      </w:r>
      <w:r w:rsidR="002F663D">
        <w:rPr>
          <w:rFonts w:hint="cs"/>
          <w:sz w:val="22"/>
          <w:rtl/>
          <w:lang w:bidi="ar-EG"/>
        </w:rPr>
        <w:t>، المدخلة دون قصد</w:t>
      </w:r>
      <w:r w:rsidR="006840F6">
        <w:rPr>
          <w:rFonts w:hint="cs"/>
          <w:sz w:val="22"/>
          <w:rtl/>
          <w:lang w:bidi="ar-EG"/>
        </w:rPr>
        <w:t xml:space="preserve"> مع استيراد الأنواع الحية،</w:t>
      </w:r>
      <w:r w:rsidR="00513D31" w:rsidRPr="00513D31">
        <w:rPr>
          <w:rFonts w:hint="cs"/>
          <w:sz w:val="22"/>
          <w:rtl/>
          <w:lang w:bidi="ar-EG"/>
        </w:rPr>
        <w:t xml:space="preserve"> </w:t>
      </w:r>
      <w:r w:rsidR="00513D31">
        <w:rPr>
          <w:rFonts w:hint="cs"/>
          <w:sz w:val="22"/>
          <w:rtl/>
          <w:lang w:bidi="ar-EG"/>
        </w:rPr>
        <w:t>وانتشار</w:t>
      </w:r>
      <w:r w:rsidR="00513D31">
        <w:rPr>
          <w:rFonts w:hint="cs"/>
          <w:sz w:val="22"/>
          <w:rtl/>
          <w:lang w:bidi="ar-EG"/>
        </w:rPr>
        <w:t>ها</w:t>
      </w:r>
      <w:r w:rsidR="006840F6">
        <w:rPr>
          <w:rFonts w:hint="cs"/>
          <w:sz w:val="22"/>
          <w:rtl/>
          <w:lang w:bidi="ar-EG"/>
        </w:rPr>
        <w:t xml:space="preserve"> داخل البلد </w:t>
      </w:r>
      <w:r w:rsidR="002F663D">
        <w:rPr>
          <w:rFonts w:hint="cs"/>
          <w:sz w:val="22"/>
          <w:rtl/>
          <w:lang w:bidi="ar-EG"/>
        </w:rPr>
        <w:t>بالتعاون مع السلطات دون الوطنية أو المحلية بغية تقليل أثر الأنواع الغريبة الغازية وانتشارها إلى أدنى حد.</w:t>
      </w:r>
    </w:p>
    <w:p w:rsidR="00F774FC" w:rsidRPr="0090065B" w:rsidRDefault="00F774FC" w:rsidP="00F774FC">
      <w:pPr>
        <w:keepNext/>
        <w:spacing w:after="120" w:line="192" w:lineRule="auto"/>
        <w:jc w:val="center"/>
        <w:rPr>
          <w:b/>
          <w:bCs/>
          <w:sz w:val="26"/>
          <w:szCs w:val="26"/>
          <w:rtl/>
          <w:lang w:bidi="ar-EG"/>
        </w:rPr>
      </w:pPr>
      <w:r>
        <w:rPr>
          <w:rFonts w:hint="cs"/>
          <w:b/>
          <w:bCs/>
          <w:sz w:val="26"/>
          <w:szCs w:val="26"/>
          <w:rtl/>
          <w:lang w:bidi="ar-EG"/>
        </w:rPr>
        <w:t>ياء</w:t>
      </w:r>
      <w:r w:rsidRPr="0090065B">
        <w:rPr>
          <w:rFonts w:hint="cs"/>
          <w:b/>
          <w:bCs/>
          <w:sz w:val="26"/>
          <w:szCs w:val="26"/>
          <w:rtl/>
          <w:lang w:bidi="ar-EG"/>
        </w:rPr>
        <w:t>-</w:t>
      </w:r>
      <w:r w:rsidRPr="0090065B">
        <w:rPr>
          <w:rFonts w:hint="cs"/>
          <w:b/>
          <w:bCs/>
          <w:sz w:val="26"/>
          <w:szCs w:val="26"/>
          <w:rtl/>
          <w:lang w:bidi="ar-EG"/>
        </w:rPr>
        <w:tab/>
      </w:r>
      <w:r>
        <w:rPr>
          <w:rFonts w:hint="cs"/>
          <w:b/>
          <w:bCs/>
          <w:sz w:val="26"/>
          <w:szCs w:val="26"/>
          <w:rtl/>
          <w:lang w:bidi="ar-EG"/>
        </w:rPr>
        <w:t>تدابير أخرى</w:t>
      </w:r>
    </w:p>
    <w:p w:rsidR="00F774FC" w:rsidRDefault="00F774FC" w:rsidP="00857E39">
      <w:pPr>
        <w:spacing w:after="120"/>
        <w:jc w:val="both"/>
        <w:rPr>
          <w:sz w:val="22"/>
          <w:rtl/>
          <w:lang w:bidi="ar-EG"/>
        </w:rPr>
      </w:pPr>
      <w:r>
        <w:rPr>
          <w:rFonts w:hint="cs"/>
          <w:sz w:val="22"/>
          <w:rtl/>
          <w:lang w:bidi="ar-EG"/>
        </w:rPr>
        <w:t>35-</w:t>
      </w:r>
      <w:r>
        <w:rPr>
          <w:rFonts w:hint="cs"/>
          <w:sz w:val="22"/>
          <w:rtl/>
          <w:lang w:bidi="ar-EG"/>
        </w:rPr>
        <w:tab/>
      </w:r>
      <w:r w:rsidR="00857E39">
        <w:rPr>
          <w:rFonts w:hint="cs"/>
          <w:sz w:val="22"/>
          <w:rtl/>
          <w:lang w:bidi="ar-EG"/>
        </w:rPr>
        <w:t>يجوز، في نطاق هذه الإرشادات التكميلية، تطبيق أي تدابير وطنية لإدارة المخاطر بشأن مسارات الإدخال غير المقصود في البلدان المصدرة والمستوردة، ومدونات السلوك التي وضعتها الهيئات الدولية ذات الصلة بخدمات الشحن والتوصيل.</w:t>
      </w:r>
    </w:p>
    <w:p w:rsidR="00F774FC" w:rsidRDefault="00F774FC" w:rsidP="00F774FC">
      <w:pPr>
        <w:keepNext/>
        <w:spacing w:after="100" w:line="204" w:lineRule="auto"/>
        <w:ind w:left="720"/>
        <w:jc w:val="center"/>
        <w:rPr>
          <w:rStyle w:val="hps"/>
          <w:i/>
          <w:iCs/>
          <w:sz w:val="22"/>
          <w:rtl/>
          <w:lang w:bidi="ar-EG"/>
        </w:rPr>
      </w:pPr>
      <w:r>
        <w:rPr>
          <w:rStyle w:val="hps"/>
          <w:rFonts w:hint="cs"/>
          <w:i/>
          <w:iCs/>
          <w:sz w:val="22"/>
          <w:rtl/>
          <w:lang w:bidi="ar-EG"/>
        </w:rPr>
        <w:t>المرفق الثاني</w:t>
      </w:r>
    </w:p>
    <w:p w:rsidR="00F774FC" w:rsidRDefault="00F774FC" w:rsidP="00F774FC">
      <w:pPr>
        <w:keepNext/>
        <w:spacing w:after="100" w:line="204" w:lineRule="auto"/>
        <w:ind w:left="720"/>
        <w:jc w:val="center"/>
        <w:rPr>
          <w:rStyle w:val="hps"/>
          <w:b/>
          <w:bCs/>
          <w:sz w:val="22"/>
          <w:rtl/>
          <w:lang w:bidi="ar-EG"/>
        </w:rPr>
      </w:pPr>
      <w:r>
        <w:rPr>
          <w:rStyle w:val="hps"/>
          <w:rFonts w:hint="cs"/>
          <w:b/>
          <w:bCs/>
          <w:sz w:val="22"/>
          <w:rtl/>
          <w:lang w:bidi="ar-EG"/>
        </w:rPr>
        <w:t>اختصاصات فريق الخبراء التقني المخصص والمعني بالأنواع الغريبة الغازية</w:t>
      </w:r>
    </w:p>
    <w:p w:rsidR="00F774FC" w:rsidRPr="005835D1" w:rsidRDefault="00F774FC" w:rsidP="00F774FC">
      <w:pPr>
        <w:spacing w:after="100" w:line="204" w:lineRule="auto"/>
        <w:ind w:left="720"/>
        <w:jc w:val="center"/>
        <w:rPr>
          <w:rStyle w:val="hps"/>
          <w:b/>
          <w:bCs/>
          <w:sz w:val="22"/>
          <w:rtl/>
          <w:lang w:bidi="ar-EG"/>
        </w:rPr>
      </w:pPr>
    </w:p>
    <w:p w:rsidR="00F774FC" w:rsidRDefault="00F774FC" w:rsidP="00513D31">
      <w:pPr>
        <w:spacing w:after="120"/>
        <w:jc w:val="both"/>
        <w:rPr>
          <w:sz w:val="22"/>
          <w:rtl/>
          <w:lang w:bidi="ar-EG"/>
        </w:rPr>
      </w:pPr>
      <w:r>
        <w:rPr>
          <w:rFonts w:hint="cs"/>
          <w:sz w:val="22"/>
          <w:rtl/>
          <w:lang w:bidi="ar-EG"/>
        </w:rPr>
        <w:t>1-</w:t>
      </w:r>
      <w:r>
        <w:rPr>
          <w:rFonts w:hint="cs"/>
          <w:sz w:val="22"/>
          <w:rtl/>
          <w:lang w:bidi="ar-EG"/>
        </w:rPr>
        <w:tab/>
      </w:r>
      <w:r w:rsidR="00513D31">
        <w:rPr>
          <w:rFonts w:hint="cs"/>
          <w:sz w:val="22"/>
          <w:rtl/>
          <w:lang w:bidi="ar-EG"/>
        </w:rPr>
        <w:t>يُجري</w:t>
      </w:r>
      <w:r w:rsidR="00744056">
        <w:rPr>
          <w:rFonts w:hint="cs"/>
          <w:sz w:val="22"/>
          <w:rtl/>
          <w:lang w:bidi="ar-EG"/>
        </w:rPr>
        <w:t xml:space="preserve"> فريق الخبراء </w:t>
      </w:r>
      <w:r w:rsidR="00513D31">
        <w:rPr>
          <w:rFonts w:hint="cs"/>
          <w:sz w:val="22"/>
          <w:rtl/>
          <w:lang w:bidi="ar-EG"/>
        </w:rPr>
        <w:t xml:space="preserve">التقني المخصص </w:t>
      </w:r>
      <w:r w:rsidR="00744056">
        <w:rPr>
          <w:rFonts w:hint="cs"/>
          <w:sz w:val="22"/>
          <w:rtl/>
          <w:lang w:bidi="ar-EG"/>
        </w:rPr>
        <w:t xml:space="preserve">تقييمات </w:t>
      </w:r>
      <w:r w:rsidR="00513D31">
        <w:rPr>
          <w:rFonts w:hint="cs"/>
          <w:sz w:val="22"/>
          <w:rtl/>
          <w:lang w:bidi="ar-EG"/>
        </w:rPr>
        <w:t>بشأن ما</w:t>
      </w:r>
      <w:r w:rsidR="00744056">
        <w:rPr>
          <w:rFonts w:hint="cs"/>
          <w:sz w:val="22"/>
          <w:rtl/>
          <w:lang w:bidi="ar-EG"/>
        </w:rPr>
        <w:t xml:space="preserve"> يلي:</w:t>
      </w:r>
    </w:p>
    <w:p w:rsidR="00744056" w:rsidRDefault="00744056" w:rsidP="00744056">
      <w:pPr>
        <w:spacing w:after="120"/>
        <w:ind w:firstLine="720"/>
        <w:jc w:val="both"/>
        <w:rPr>
          <w:sz w:val="22"/>
          <w:rtl/>
          <w:lang w:bidi="ar-EG"/>
        </w:rPr>
      </w:pPr>
      <w:r>
        <w:rPr>
          <w:rFonts w:hint="cs"/>
          <w:sz w:val="22"/>
          <w:rtl/>
          <w:lang w:bidi="ar-EG"/>
        </w:rPr>
        <w:t>(أ)</w:t>
      </w:r>
      <w:r>
        <w:rPr>
          <w:rFonts w:hint="cs"/>
          <w:sz w:val="22"/>
          <w:rtl/>
          <w:lang w:bidi="ar-EG"/>
        </w:rPr>
        <w:tab/>
        <w:t>طرائق لتحليل التكاليف والمنافع والفعال</w:t>
      </w:r>
      <w:r w:rsidR="00DE325E">
        <w:rPr>
          <w:rFonts w:hint="cs"/>
          <w:sz w:val="22"/>
          <w:rtl/>
          <w:lang w:bidi="ar-EG"/>
        </w:rPr>
        <w:t>ي</w:t>
      </w:r>
      <w:r>
        <w:rPr>
          <w:rFonts w:hint="cs"/>
          <w:sz w:val="22"/>
          <w:rtl/>
          <w:lang w:bidi="ar-EG"/>
        </w:rPr>
        <w:t xml:space="preserve">ة من حيث التكلفة التي </w:t>
      </w:r>
      <w:r w:rsidR="00BD1D0C">
        <w:rPr>
          <w:rFonts w:hint="cs"/>
          <w:sz w:val="22"/>
          <w:rtl/>
          <w:lang w:bidi="ar-EG"/>
        </w:rPr>
        <w:t>تنطبق على أفضل وجه على إدارة الأنواع الغريبة الغازية؛</w:t>
      </w:r>
    </w:p>
    <w:p w:rsidR="00744056" w:rsidRDefault="00744056" w:rsidP="00DE325E">
      <w:pPr>
        <w:spacing w:after="120"/>
        <w:ind w:firstLine="720"/>
        <w:jc w:val="both"/>
        <w:rPr>
          <w:sz w:val="22"/>
          <w:rtl/>
          <w:lang w:bidi="ar-EG"/>
        </w:rPr>
      </w:pPr>
      <w:r>
        <w:rPr>
          <w:rFonts w:hint="cs"/>
          <w:sz w:val="22"/>
          <w:rtl/>
          <w:lang w:bidi="ar-EG"/>
        </w:rPr>
        <w:t>(ب)</w:t>
      </w:r>
      <w:r>
        <w:rPr>
          <w:rFonts w:hint="cs"/>
          <w:sz w:val="22"/>
          <w:rtl/>
          <w:lang w:bidi="ar-EG"/>
        </w:rPr>
        <w:tab/>
      </w:r>
      <w:r w:rsidR="00BD1D0C">
        <w:rPr>
          <w:rFonts w:hint="cs"/>
          <w:sz w:val="22"/>
          <w:rtl/>
          <w:lang w:bidi="ar-EG"/>
        </w:rPr>
        <w:t xml:space="preserve">مخاطر الغزوات البيولوجية التي تنذر بها الأنواع الغريبة من خلال التجارة الإلكترونية </w:t>
      </w:r>
      <w:r w:rsidR="00DE325E">
        <w:rPr>
          <w:rFonts w:hint="cs"/>
          <w:sz w:val="22"/>
          <w:rtl/>
          <w:lang w:bidi="ar-EG"/>
        </w:rPr>
        <w:t>والآثار</w:t>
      </w:r>
      <w:r w:rsidR="00BD1D0C">
        <w:rPr>
          <w:rFonts w:hint="cs"/>
          <w:sz w:val="22"/>
          <w:rtl/>
          <w:lang w:bidi="ar-EG"/>
        </w:rPr>
        <w:t xml:space="preserve"> الناجمة عنها؛</w:t>
      </w:r>
    </w:p>
    <w:p w:rsidR="00F774FC" w:rsidRDefault="00F774FC" w:rsidP="00933114">
      <w:pPr>
        <w:spacing w:after="120"/>
        <w:jc w:val="both"/>
        <w:rPr>
          <w:sz w:val="22"/>
          <w:rtl/>
          <w:lang w:bidi="ar-EG"/>
        </w:rPr>
      </w:pPr>
      <w:r>
        <w:rPr>
          <w:rFonts w:hint="cs"/>
          <w:sz w:val="22"/>
          <w:rtl/>
          <w:lang w:bidi="ar-EG"/>
        </w:rPr>
        <w:t>2-</w:t>
      </w:r>
      <w:r>
        <w:rPr>
          <w:rFonts w:hint="cs"/>
          <w:sz w:val="22"/>
          <w:rtl/>
          <w:lang w:bidi="ar-EG"/>
        </w:rPr>
        <w:tab/>
      </w:r>
      <w:r w:rsidR="00933114">
        <w:rPr>
          <w:rFonts w:hint="cs"/>
          <w:sz w:val="22"/>
          <w:rtl/>
          <w:lang w:bidi="ar-EG"/>
        </w:rPr>
        <w:t>يقوم فريق الخبراء التقني المخصص بإعداد عناصر لإرشادات تقنية بشأن:</w:t>
      </w:r>
    </w:p>
    <w:p w:rsidR="00744056" w:rsidRDefault="00744056" w:rsidP="00933114">
      <w:pPr>
        <w:spacing w:after="120"/>
        <w:ind w:firstLine="720"/>
        <w:jc w:val="both"/>
        <w:rPr>
          <w:sz w:val="22"/>
          <w:rtl/>
          <w:lang w:bidi="ar-EG"/>
        </w:rPr>
      </w:pPr>
      <w:r>
        <w:rPr>
          <w:rFonts w:hint="cs"/>
          <w:sz w:val="22"/>
          <w:rtl/>
          <w:lang w:bidi="ar-EG"/>
        </w:rPr>
        <w:t>(أ)</w:t>
      </w:r>
      <w:r>
        <w:rPr>
          <w:rFonts w:hint="cs"/>
          <w:sz w:val="22"/>
          <w:rtl/>
          <w:lang w:bidi="ar-EG"/>
        </w:rPr>
        <w:tab/>
      </w:r>
      <w:r w:rsidR="00933114">
        <w:rPr>
          <w:rFonts w:hint="cs"/>
          <w:sz w:val="22"/>
          <w:rtl/>
          <w:lang w:bidi="ar-EG"/>
        </w:rPr>
        <w:t>إدارة الأنواع الغريبة الغازية، مع مراعاة المخاطر المحتملة الجديدة الناشئة عن تغير المناخ وما يرتبط به من كوارث طبيعية وتغيرات استخدام الأراضي؛</w:t>
      </w:r>
    </w:p>
    <w:p w:rsidR="00744056" w:rsidRDefault="00744056" w:rsidP="00744056">
      <w:pPr>
        <w:spacing w:after="120"/>
        <w:ind w:firstLine="720"/>
        <w:jc w:val="both"/>
        <w:rPr>
          <w:sz w:val="22"/>
          <w:rtl/>
          <w:lang w:bidi="ar-EG"/>
        </w:rPr>
      </w:pPr>
      <w:r>
        <w:rPr>
          <w:rFonts w:hint="cs"/>
          <w:sz w:val="22"/>
          <w:rtl/>
          <w:lang w:bidi="ar-EG"/>
        </w:rPr>
        <w:t>(ب)</w:t>
      </w:r>
      <w:r>
        <w:rPr>
          <w:rFonts w:hint="cs"/>
          <w:sz w:val="22"/>
          <w:rtl/>
          <w:lang w:bidi="ar-EG"/>
        </w:rPr>
        <w:tab/>
      </w:r>
      <w:r w:rsidR="00933114">
        <w:rPr>
          <w:rFonts w:hint="cs"/>
          <w:sz w:val="22"/>
          <w:rtl/>
          <w:lang w:bidi="ar-EG"/>
        </w:rPr>
        <w:t>تحليل المخاطر، مع مراعاة العواقب المحتملة لإدخال الأنواع الغريبة الغازية على القيم الاجتماعية، والاقتصادية والثقافية؛</w:t>
      </w:r>
    </w:p>
    <w:p w:rsidR="00A652BF" w:rsidRDefault="00744056" w:rsidP="00DE325E">
      <w:pPr>
        <w:spacing w:after="120"/>
        <w:ind w:firstLine="720"/>
        <w:jc w:val="both"/>
        <w:rPr>
          <w:sz w:val="22"/>
          <w:rtl/>
          <w:lang w:bidi="ar-EG"/>
        </w:rPr>
      </w:pPr>
      <w:r>
        <w:rPr>
          <w:rFonts w:hint="cs"/>
          <w:sz w:val="22"/>
          <w:rtl/>
          <w:lang w:bidi="ar-EG"/>
        </w:rPr>
        <w:t>(ج)</w:t>
      </w:r>
      <w:r>
        <w:rPr>
          <w:rFonts w:hint="cs"/>
          <w:sz w:val="22"/>
          <w:rtl/>
          <w:lang w:bidi="ar-EG"/>
        </w:rPr>
        <w:tab/>
      </w:r>
      <w:r w:rsidR="00933114">
        <w:rPr>
          <w:rFonts w:hint="cs"/>
          <w:sz w:val="22"/>
          <w:rtl/>
          <w:lang w:bidi="ar-EG"/>
        </w:rPr>
        <w:t>تصنيف الأنواع الغريبة الخط</w:t>
      </w:r>
      <w:r w:rsidR="00DE325E">
        <w:rPr>
          <w:rFonts w:hint="cs"/>
          <w:sz w:val="22"/>
          <w:rtl/>
          <w:lang w:bidi="ar-EG"/>
        </w:rPr>
        <w:t>ي</w:t>
      </w:r>
      <w:r w:rsidR="00933114">
        <w:rPr>
          <w:rFonts w:hint="cs"/>
          <w:sz w:val="22"/>
          <w:rtl/>
          <w:lang w:bidi="ar-EG"/>
        </w:rPr>
        <w:t xml:space="preserve">رة وعناصر الإبلاغ عن المخاطر </w:t>
      </w:r>
      <w:r w:rsidR="00DE325E">
        <w:rPr>
          <w:rFonts w:hint="cs"/>
          <w:sz w:val="22"/>
          <w:rtl/>
          <w:lang w:bidi="ar-EG"/>
        </w:rPr>
        <w:t>المتعلقة</w:t>
      </w:r>
      <w:r w:rsidR="00933114">
        <w:rPr>
          <w:rFonts w:hint="cs"/>
          <w:sz w:val="22"/>
          <w:rtl/>
          <w:lang w:bidi="ar-EG"/>
        </w:rPr>
        <w:t xml:space="preserve"> بها.</w:t>
      </w:r>
      <w:r w:rsidR="00670531">
        <w:rPr>
          <w:rFonts w:hint="cs"/>
          <w:sz w:val="22"/>
          <w:rtl/>
          <w:lang w:bidi="ar-EG"/>
        </w:rPr>
        <w:t xml:space="preserve"> </w:t>
      </w:r>
      <w:bookmarkStart w:id="0" w:name="_GoBack"/>
      <w:bookmarkEnd w:id="0"/>
    </w:p>
    <w:p w:rsidR="00E347CC" w:rsidRDefault="00E347CC" w:rsidP="00E347CC">
      <w:pPr>
        <w:spacing w:after="120"/>
        <w:ind w:firstLine="720"/>
        <w:jc w:val="both"/>
        <w:rPr>
          <w:sz w:val="22"/>
          <w:rtl/>
          <w:lang w:bidi="ar-EG"/>
        </w:rPr>
      </w:pPr>
    </w:p>
    <w:p w:rsidR="001A1C55" w:rsidRPr="002B4F51" w:rsidRDefault="001A1C55" w:rsidP="001A1C55">
      <w:pPr>
        <w:pStyle w:val="Para1"/>
        <w:numPr>
          <w:ilvl w:val="0"/>
          <w:numId w:val="0"/>
        </w:numPr>
        <w:jc w:val="center"/>
        <w:rPr>
          <w:sz w:val="24"/>
          <w:szCs w:val="24"/>
          <w:lang w:val="en-CA" w:bidi="ar-EG"/>
        </w:rPr>
      </w:pPr>
      <w:r>
        <w:rPr>
          <w:sz w:val="24"/>
          <w:szCs w:val="24"/>
        </w:rPr>
        <w:t>_</w:t>
      </w:r>
      <w:r>
        <w:rPr>
          <w:sz w:val="24"/>
          <w:szCs w:val="24"/>
          <w:lang w:val="en-CA"/>
        </w:rPr>
        <w:t>_</w:t>
      </w:r>
      <w:r>
        <w:rPr>
          <w:sz w:val="24"/>
          <w:szCs w:val="24"/>
        </w:rPr>
        <w:t>_______</w:t>
      </w:r>
    </w:p>
    <w:sectPr w:rsidR="001A1C55" w:rsidRPr="002B4F51" w:rsidSect="00B330D0">
      <w:headerReference w:type="even" r:id="rId17"/>
      <w:headerReference w:type="default" r:id="rId18"/>
      <w:headerReference w:type="first" r:id="rId19"/>
      <w:pgSz w:w="12240" w:h="15840" w:code="1"/>
      <w:pgMar w:top="964" w:right="1440" w:bottom="1021" w:left="1440" w:header="45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E8D" w:rsidRDefault="00844E8D">
      <w:r>
        <w:separator/>
      </w:r>
    </w:p>
  </w:endnote>
  <w:endnote w:type="continuationSeparator" w:id="0">
    <w:p w:rsidR="00844E8D" w:rsidRDefault="0084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Microsoft YaHei"/>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Univers">
    <w:altName w:val="Arial"/>
    <w:charset w:val="00"/>
    <w:family w:val="swiss"/>
    <w:pitch w:val="variable"/>
    <w:sig w:usb0="80000287" w:usb1="00000000" w:usb2="00000000" w:usb3="00000000" w:csb0="0000000F" w:csb1="00000000"/>
  </w:font>
  <w:font w:name="Yu Mincho">
    <w:altName w:val="MS Mincho"/>
    <w:charset w:val="80"/>
    <w:family w:val="roman"/>
    <w:pitch w:val="variable"/>
    <w:sig w:usb0="00000001" w:usb1="2AC7FCFF"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E8D" w:rsidRDefault="00844E8D">
      <w:r>
        <w:separator/>
      </w:r>
    </w:p>
  </w:footnote>
  <w:footnote w:type="continuationSeparator" w:id="0">
    <w:p w:rsidR="00844E8D" w:rsidRDefault="00844E8D">
      <w:r>
        <w:continuationSeparator/>
      </w:r>
    </w:p>
  </w:footnote>
  <w:footnote w:id="1">
    <w:p w:rsidR="006840F6" w:rsidRDefault="006840F6" w:rsidP="00836797">
      <w:pPr>
        <w:pStyle w:val="FootnoteText"/>
      </w:pPr>
      <w:r>
        <w:rPr>
          <w:rStyle w:val="FootnoteReference"/>
          <w:rtl/>
        </w:rPr>
        <w:t>*</w:t>
      </w:r>
      <w:r>
        <w:rPr>
          <w:rtl/>
        </w:rPr>
        <w:t xml:space="preserve"> </w:t>
      </w:r>
      <w:hyperlink r:id="rId1" w:history="1">
        <w:r w:rsidRPr="00836797">
          <w:rPr>
            <w:rStyle w:val="Hyperlink"/>
            <w:sz w:val="18"/>
            <w:szCs w:val="18"/>
            <w:lang w:val="en-CA" w:bidi="ar-EG"/>
          </w:rPr>
          <w:t>CBD/SBSTTA/22/1</w:t>
        </w:r>
      </w:hyperlink>
      <w:r w:rsidRPr="00117A4B">
        <w:rPr>
          <w:rFonts w:hint="cs"/>
          <w:szCs w:val="20"/>
          <w:rtl/>
          <w:lang w:bidi="ar-EG"/>
        </w:rPr>
        <w:t>.</w:t>
      </w:r>
    </w:p>
  </w:footnote>
  <w:footnote w:id="2">
    <w:p w:rsidR="006840F6" w:rsidRDefault="006840F6">
      <w:pPr>
        <w:pStyle w:val="FootnoteText"/>
      </w:pPr>
      <w:r>
        <w:rPr>
          <w:rStyle w:val="FootnoteReference"/>
        </w:rPr>
        <w:footnoteRef/>
      </w:r>
      <w:r>
        <w:rPr>
          <w:rtl/>
        </w:rPr>
        <w:t xml:space="preserve"> </w:t>
      </w:r>
      <w:r w:rsidRPr="00AA70A0">
        <w:rPr>
          <w:rFonts w:ascii="Simplified Arabic" w:hAnsi="Simplified Arabic" w:cs="Simplified Arabic"/>
          <w:rtl/>
        </w:rPr>
        <w:t xml:space="preserve">المقرر </w:t>
      </w:r>
      <w:hyperlink r:id="rId2" w:history="1">
        <w:r w:rsidRPr="00AA70A0">
          <w:rPr>
            <w:rStyle w:val="Hyperlink"/>
            <w:rFonts w:ascii="Simplified Arabic" w:hAnsi="Simplified Arabic" w:cs="Simplified Arabic"/>
            <w:sz w:val="18"/>
            <w:szCs w:val="18"/>
            <w:rtl/>
          </w:rPr>
          <w:t>12/16</w:t>
        </w:r>
      </w:hyperlink>
      <w:r w:rsidRPr="00AA70A0">
        <w:rPr>
          <w:rFonts w:ascii="Simplified Arabic" w:hAnsi="Simplified Arabic" w:cs="Simplified Arabic"/>
          <w:rtl/>
        </w:rPr>
        <w:t>، المرفق</w:t>
      </w:r>
      <w:r>
        <w:rPr>
          <w:rFonts w:hint="cs"/>
          <w:rtl/>
        </w:rPr>
        <w:t>.</w:t>
      </w:r>
    </w:p>
  </w:footnote>
  <w:footnote w:id="3">
    <w:p w:rsidR="006840F6" w:rsidRDefault="006840F6">
      <w:pPr>
        <w:pStyle w:val="FootnoteText"/>
      </w:pPr>
      <w:r>
        <w:rPr>
          <w:rStyle w:val="FootnoteReference"/>
        </w:rPr>
        <w:footnoteRef/>
      </w:r>
      <w:r>
        <w:rPr>
          <w:rtl/>
        </w:rPr>
        <w:t xml:space="preserve"> </w:t>
      </w:r>
      <w:r>
        <w:rPr>
          <w:rFonts w:hint="cs"/>
          <w:rtl/>
        </w:rPr>
        <w:t>ال</w:t>
      </w:r>
      <w:r w:rsidRPr="00AA70A0">
        <w:rPr>
          <w:rFonts w:ascii="Simplified Arabic" w:hAnsi="Simplified Arabic" w:cs="Simplified Arabic"/>
          <w:rtl/>
        </w:rPr>
        <w:t xml:space="preserve">مقرر </w:t>
      </w:r>
      <w:hyperlink r:id="rId3" w:history="1">
        <w:r w:rsidRPr="00AA70A0">
          <w:rPr>
            <w:rStyle w:val="Hyperlink"/>
            <w:rFonts w:ascii="Simplified Arabic" w:hAnsi="Simplified Arabic" w:cs="Simplified Arabic"/>
            <w:sz w:val="18"/>
            <w:szCs w:val="18"/>
            <w:rtl/>
          </w:rPr>
          <w:t>13/13</w:t>
        </w:r>
      </w:hyperlink>
      <w:r w:rsidRPr="00AA70A0">
        <w:rPr>
          <w:rFonts w:ascii="Simplified Arabic" w:hAnsi="Simplified Arabic" w:cs="Simplified Arabic"/>
          <w:rtl/>
        </w:rPr>
        <w:t>، الفقرة 5.</w:t>
      </w:r>
    </w:p>
  </w:footnote>
  <w:footnote w:id="4">
    <w:p w:rsidR="006840F6" w:rsidRDefault="006840F6">
      <w:pPr>
        <w:pStyle w:val="FootnoteText"/>
      </w:pPr>
      <w:r>
        <w:rPr>
          <w:rStyle w:val="FootnoteReference"/>
        </w:rPr>
        <w:footnoteRef/>
      </w:r>
      <w:r>
        <w:rPr>
          <w:rtl/>
        </w:rPr>
        <w:t xml:space="preserve"> </w:t>
      </w:r>
      <w:r w:rsidRPr="00AA70A0">
        <w:rPr>
          <w:rFonts w:ascii="Simplified Arabic" w:hAnsi="Simplified Arabic" w:cs="Simplified Arabic"/>
          <w:rtl/>
        </w:rPr>
        <w:t>الإخطار</w:t>
      </w:r>
      <w:r>
        <w:rPr>
          <w:rFonts w:hint="cs"/>
          <w:rtl/>
        </w:rPr>
        <w:t xml:space="preserve"> </w:t>
      </w:r>
      <w:r w:rsidRPr="00AA70A0">
        <w:rPr>
          <w:rFonts w:eastAsia="Yu Mincho"/>
          <w:snapToGrid w:val="0"/>
          <w:kern w:val="18"/>
          <w:sz w:val="18"/>
          <w:szCs w:val="18"/>
          <w:lang w:eastAsia="ja-JP"/>
        </w:rPr>
        <w:t>2017-056 and 2017-074</w:t>
      </w:r>
      <w:r>
        <w:rPr>
          <w:rFonts w:hint="cs"/>
          <w:rtl/>
        </w:rPr>
        <w:t>.</w:t>
      </w:r>
    </w:p>
  </w:footnote>
  <w:footnote w:id="5">
    <w:p w:rsidR="006840F6" w:rsidRDefault="006840F6">
      <w:pPr>
        <w:pStyle w:val="FootnoteText"/>
        <w:rPr>
          <w:lang w:bidi="ar-EG"/>
        </w:rPr>
      </w:pPr>
      <w:r>
        <w:rPr>
          <w:rStyle w:val="FootnoteReference"/>
        </w:rPr>
        <w:footnoteRef/>
      </w:r>
      <w:r>
        <w:rPr>
          <w:rtl/>
        </w:rPr>
        <w:t xml:space="preserve"> </w:t>
      </w:r>
      <w:r w:rsidRPr="00AA70A0">
        <w:rPr>
          <w:rFonts w:ascii="Simplified Arabic" w:hAnsi="Simplified Arabic" w:cs="Simplified Arabic"/>
          <w:rtl/>
        </w:rPr>
        <w:t>الجزائر، وأندورا، والأرجنتين، وأستراليا، وبلجيكا، والبوسنة والهرسك، والبرازيل، وكمبوديا، وكندا، والصين، وكولومبيا، وتشيكيا، وإريتريا، وإثيوبيا، والاتحاد الأوروبي، وفنلندا، وفرنسا، والغابون، وآيسلندا، والهند، والعراق، وإيران (الجمهورية الإسلامية)، وإيطاليا، واليابان، وكينيا، وكيريباس، ومدغشقر، وموريشيوس، والمكسيك، ونيبال، وهولندا، ونيوزيلندا، ونيجيريا، والنرويج، وبيرو، وبولندا، والبرتغال، وسيشيل، وسلوفاكيا، وجنوب أفريقيا، وإسبانيا، وسري لانكا، وسانت كيتس ونيفس، و</w:t>
      </w:r>
      <w:r w:rsidRPr="00AA70A0">
        <w:rPr>
          <w:rFonts w:ascii="Simplified Arabic" w:hAnsi="Simplified Arabic" w:cs="Simplified Arabic"/>
          <w:color w:val="333333"/>
          <w:sz w:val="21"/>
          <w:szCs w:val="21"/>
          <w:shd w:val="clear" w:color="auto" w:fill="FFFFFF"/>
          <w:rtl/>
        </w:rPr>
        <w:t>سانت فنسنت وجزر غرينادين</w:t>
      </w:r>
      <w:r>
        <w:rPr>
          <w:rFonts w:ascii="Simplified Arabic" w:hAnsi="Simplified Arabic" w:cs="Simplified Arabic" w:hint="cs"/>
          <w:color w:val="333333"/>
          <w:sz w:val="21"/>
          <w:szCs w:val="21"/>
          <w:shd w:val="clear" w:color="auto" w:fill="FFFFFF"/>
          <w:rtl/>
        </w:rPr>
        <w:t>، وسورينام، والسويد، وسويسرا، وتونس، وتركيا، المملكة المتحدة (بالإضافة إلى إنكلترا وويلز)، والولايات المتحدة الأمريكية، وفنزويلا، وزامبيا.</w:t>
      </w:r>
    </w:p>
  </w:footnote>
  <w:footnote w:id="6">
    <w:p w:rsidR="006840F6" w:rsidRDefault="006840F6" w:rsidP="00A37CB0">
      <w:pPr>
        <w:pStyle w:val="FootnoteText"/>
      </w:pPr>
      <w:r>
        <w:rPr>
          <w:rStyle w:val="FootnoteReference"/>
        </w:rPr>
        <w:footnoteRef/>
      </w:r>
      <w:r>
        <w:rPr>
          <w:rtl/>
        </w:rPr>
        <w:t xml:space="preserve"> </w:t>
      </w:r>
      <w:r>
        <w:rPr>
          <w:rFonts w:ascii="Simplified Arabic" w:hAnsi="Simplified Arabic" w:cs="Simplified Arabic" w:hint="cs"/>
          <w:rtl/>
        </w:rPr>
        <w:t xml:space="preserve">عُقد في بروكسل يومي </w:t>
      </w:r>
      <w:r w:rsidRPr="00D82799">
        <w:rPr>
          <w:rFonts w:ascii="Simplified Arabic" w:hAnsi="Simplified Arabic" w:cs="Simplified Arabic" w:hint="cs"/>
          <w:sz w:val="18"/>
          <w:szCs w:val="18"/>
          <w:rtl/>
        </w:rPr>
        <w:t>22</w:t>
      </w:r>
      <w:r>
        <w:rPr>
          <w:rFonts w:ascii="Simplified Arabic" w:hAnsi="Simplified Arabic" w:cs="Simplified Arabic" w:hint="cs"/>
          <w:rtl/>
        </w:rPr>
        <w:t xml:space="preserve"> و</w:t>
      </w:r>
      <w:r w:rsidRPr="00D82799">
        <w:rPr>
          <w:rFonts w:ascii="Simplified Arabic" w:hAnsi="Simplified Arabic" w:cs="Simplified Arabic" w:hint="cs"/>
          <w:sz w:val="18"/>
          <w:szCs w:val="18"/>
          <w:rtl/>
        </w:rPr>
        <w:t>23</w:t>
      </w:r>
      <w:r>
        <w:rPr>
          <w:rFonts w:ascii="Simplified Arabic" w:hAnsi="Simplified Arabic" w:cs="Simplified Arabic" w:hint="cs"/>
          <w:rtl/>
        </w:rPr>
        <w:t xml:space="preserve"> نوفمبر/تشرين الثاني </w:t>
      </w:r>
      <w:r w:rsidRPr="00D82799">
        <w:rPr>
          <w:rFonts w:ascii="Simplified Arabic" w:hAnsi="Simplified Arabic" w:cs="Simplified Arabic" w:hint="cs"/>
          <w:sz w:val="18"/>
          <w:szCs w:val="18"/>
          <w:rtl/>
        </w:rPr>
        <w:t>2017</w:t>
      </w:r>
      <w:r>
        <w:rPr>
          <w:rFonts w:ascii="Simplified Arabic" w:hAnsi="Simplified Arabic" w:cs="Simplified Arabic" w:hint="cs"/>
          <w:rtl/>
        </w:rPr>
        <w:t xml:space="preserve">. وشاركت المنظمات التالية في الاجتماع </w:t>
      </w:r>
      <w:r w:rsidR="00A37CB0">
        <w:rPr>
          <w:rFonts w:ascii="Simplified Arabic" w:hAnsi="Simplified Arabic" w:cs="Simplified Arabic" w:hint="cs"/>
          <w:rtl/>
        </w:rPr>
        <w:t>الثامن</w:t>
      </w:r>
      <w:r>
        <w:rPr>
          <w:rFonts w:ascii="Simplified Arabic" w:hAnsi="Simplified Arabic" w:cs="Simplified Arabic" w:hint="cs"/>
          <w:rtl/>
        </w:rPr>
        <w:t xml:space="preserve"> لفريق الاتصال: المركز الدولي للزراعة والعلوم البيولوجية، والاتفاقية المتعلقة بالتنوع البيولوجي، واتفاقية الاتّجار الد</w:t>
      </w:r>
      <w:r w:rsidR="00A37CB0">
        <w:rPr>
          <w:rFonts w:ascii="Simplified Arabic" w:hAnsi="Simplified Arabic" w:cs="Simplified Arabic" w:hint="cs"/>
          <w:rtl/>
        </w:rPr>
        <w:t>و</w:t>
      </w:r>
      <w:r>
        <w:rPr>
          <w:rFonts w:ascii="Simplified Arabic" w:hAnsi="Simplified Arabic" w:cs="Simplified Arabic" w:hint="cs"/>
          <w:rtl/>
        </w:rPr>
        <w:t xml:space="preserve">لي بأنواع الحيوانات والنباتات البرية المعرضة للانقراض*، والمنظمة البحرية الدولية، </w:t>
      </w:r>
      <w:r w:rsidRPr="00D82799">
        <w:rPr>
          <w:rFonts w:ascii="Simplified Arabic" w:hAnsi="Simplified Arabic" w:cs="Simplified Arabic"/>
          <w:rtl/>
        </w:rPr>
        <w:t xml:space="preserve">والاتفاقية الدولية </w:t>
      </w:r>
      <w:r>
        <w:rPr>
          <w:rFonts w:ascii="Simplified Arabic" w:hAnsi="Simplified Arabic" w:cs="Simplified Arabic" w:hint="cs"/>
          <w:rtl/>
        </w:rPr>
        <w:t>لوقاية</w:t>
      </w:r>
      <w:r w:rsidR="00A37CB0">
        <w:rPr>
          <w:rFonts w:ascii="Simplified Arabic" w:hAnsi="Simplified Arabic" w:cs="Simplified Arabic"/>
          <w:rtl/>
        </w:rPr>
        <w:t xml:space="preserve"> النباتات، والاتحاد الدولي</w:t>
      </w:r>
      <w:r w:rsidRPr="00D82799">
        <w:rPr>
          <w:rFonts w:ascii="Simplified Arabic" w:hAnsi="Simplified Arabic" w:cs="Simplified Arabic"/>
          <w:rtl/>
        </w:rPr>
        <w:t xml:space="preserve"> لحفظ الطبيعة، </w:t>
      </w:r>
      <w:r>
        <w:rPr>
          <w:rFonts w:ascii="Simplified Arabic" w:hAnsi="Simplified Arabic" w:cs="Simplified Arabic" w:hint="cs"/>
          <w:rtl/>
        </w:rPr>
        <w:t>و</w:t>
      </w:r>
      <w:r w:rsidRPr="00D82799">
        <w:rPr>
          <w:rFonts w:ascii="Simplified Arabic" w:hAnsi="Simplified Arabic" w:cs="Simplified Arabic"/>
          <w:sz w:val="22"/>
          <w:rtl/>
          <w:lang w:bidi="ar"/>
        </w:rPr>
        <w:t>الفريق المتخصص المعني بالأنواع الغازية والتابع للاتحاد الدولي لحفظ الطبيعة</w:t>
      </w:r>
      <w:r>
        <w:rPr>
          <w:rFonts w:ascii="Simplified Arabic" w:hAnsi="Simplified Arabic" w:cs="Simplified Arabic" w:hint="cs"/>
          <w:sz w:val="22"/>
          <w:rtl/>
          <w:lang w:bidi="ar"/>
        </w:rPr>
        <w:t xml:space="preserve">، والمنظمة العالمية لصحة الحيوان، والمنظمة العالمية للجمارك، ومنظمة التجارة العالمية* (مشاركة عن بعد عبر الإنترنت). ويُتاح تقرير فريق الاتصال على الرابط </w:t>
      </w:r>
      <w:hyperlink r:id="rId4" w:history="1">
        <w:r w:rsidRPr="00D82799">
          <w:rPr>
            <w:rStyle w:val="Hyperlink"/>
            <w:snapToGrid w:val="0"/>
            <w:kern w:val="18"/>
            <w:sz w:val="18"/>
            <w:szCs w:val="18"/>
          </w:rPr>
          <w:t>http://www.cbd.int/invasive/lg/</w:t>
        </w:r>
      </w:hyperlink>
      <w:r>
        <w:rPr>
          <w:rFonts w:ascii="Simplified Arabic" w:hAnsi="Simplified Arabic" w:cs="Simplified Arabic" w:hint="cs"/>
          <w:sz w:val="22"/>
          <w:rtl/>
          <w:lang w:bidi="ar"/>
        </w:rPr>
        <w:t>.</w:t>
      </w:r>
    </w:p>
  </w:footnote>
  <w:footnote w:id="7">
    <w:p w:rsidR="006840F6" w:rsidRDefault="006840F6" w:rsidP="00C21487">
      <w:pPr>
        <w:pStyle w:val="FootnoteText"/>
      </w:pPr>
      <w:r>
        <w:rPr>
          <w:rStyle w:val="FootnoteReference"/>
        </w:rPr>
        <w:footnoteRef/>
      </w:r>
      <w:r>
        <w:rPr>
          <w:rtl/>
        </w:rPr>
        <w:t xml:space="preserve"> </w:t>
      </w:r>
      <w:r>
        <w:rPr>
          <w:rFonts w:ascii="Simplified Arabic" w:hAnsi="Simplified Arabic" w:cs="Simplified Arabic" w:hint="cs"/>
          <w:rtl/>
        </w:rPr>
        <w:t xml:space="preserve">عُقدت في مونتريال في الفترة من </w:t>
      </w:r>
      <w:r w:rsidRPr="00D82799">
        <w:rPr>
          <w:rFonts w:ascii="Simplified Arabic" w:hAnsi="Simplified Arabic" w:cs="Simplified Arabic" w:hint="cs"/>
          <w:sz w:val="18"/>
          <w:szCs w:val="18"/>
          <w:rtl/>
        </w:rPr>
        <w:t>6</w:t>
      </w:r>
      <w:r>
        <w:rPr>
          <w:rFonts w:ascii="Simplified Arabic" w:hAnsi="Simplified Arabic" w:cs="Simplified Arabic" w:hint="cs"/>
          <w:rtl/>
        </w:rPr>
        <w:t xml:space="preserve"> إلى </w:t>
      </w:r>
      <w:r w:rsidRPr="00D82799">
        <w:rPr>
          <w:rFonts w:ascii="Simplified Arabic" w:hAnsi="Simplified Arabic" w:cs="Simplified Arabic" w:hint="cs"/>
          <w:sz w:val="18"/>
          <w:szCs w:val="18"/>
          <w:rtl/>
        </w:rPr>
        <w:t>9</w:t>
      </w:r>
      <w:r>
        <w:rPr>
          <w:rFonts w:ascii="Simplified Arabic" w:hAnsi="Simplified Arabic" w:cs="Simplified Arabic" w:hint="cs"/>
          <w:rtl/>
        </w:rPr>
        <w:t xml:space="preserve"> ديسمبر/كانون الأول </w:t>
      </w:r>
      <w:r w:rsidRPr="00D82799">
        <w:rPr>
          <w:rFonts w:ascii="Simplified Arabic" w:hAnsi="Simplified Arabic" w:cs="Simplified Arabic" w:hint="cs"/>
          <w:sz w:val="18"/>
          <w:szCs w:val="18"/>
          <w:rtl/>
        </w:rPr>
        <w:t>2017</w:t>
      </w:r>
      <w:r>
        <w:rPr>
          <w:rFonts w:ascii="Simplified Arabic" w:hAnsi="Simplified Arabic" w:cs="Simplified Arabic" w:hint="cs"/>
          <w:rtl/>
        </w:rPr>
        <w:t>. وتم اختيار خبراء من حلقة العمل هذه على أساس المعلومات المقدمة استجابة للإخطارات، مع إيلاء الاعتبار الواجب للتوازن الجغرافي والجنساني. وحضر خبراء من بربادوس، والبرازيل، وكابو فيردي، وكندا، والمكسيك، ونيوزيلندا، وسري لانكا، والسويد، والشعوب الأصلية والمجتمعات المحلية،</w:t>
      </w:r>
      <w:r w:rsidRPr="009F5AD5">
        <w:rPr>
          <w:rFonts w:ascii="Simplified Arabic" w:hAnsi="Simplified Arabic" w:cs="Simplified Arabic"/>
          <w:rtl/>
        </w:rPr>
        <w:t xml:space="preserve"> </w:t>
      </w:r>
      <w:r w:rsidR="00A37CB0">
        <w:rPr>
          <w:rFonts w:ascii="Simplified Arabic" w:hAnsi="Simplified Arabic" w:cs="Simplified Arabic"/>
          <w:rtl/>
        </w:rPr>
        <w:t>والاتحاد الدولي</w:t>
      </w:r>
      <w:r w:rsidRPr="00D82799">
        <w:rPr>
          <w:rFonts w:ascii="Simplified Arabic" w:hAnsi="Simplified Arabic" w:cs="Simplified Arabic"/>
          <w:rtl/>
        </w:rPr>
        <w:t xml:space="preserve"> لحفظ الطبيعة</w:t>
      </w:r>
      <w:r>
        <w:rPr>
          <w:rFonts w:ascii="Simplified Arabic" w:hAnsi="Simplified Arabic" w:cs="Simplified Arabic" w:hint="cs"/>
          <w:rtl/>
        </w:rPr>
        <w:t>، و</w:t>
      </w:r>
      <w:r w:rsidRPr="00D82799">
        <w:rPr>
          <w:rFonts w:ascii="Simplified Arabic" w:hAnsi="Simplified Arabic" w:cs="Simplified Arabic"/>
          <w:sz w:val="22"/>
          <w:rtl/>
          <w:lang w:bidi="ar"/>
        </w:rPr>
        <w:t>الفريق المتخصص المعني بالأنواع الغازية والتابع للاتحاد الدولي لحفظ الطبيعة</w:t>
      </w:r>
      <w:r>
        <w:rPr>
          <w:rFonts w:ascii="Simplified Arabic" w:hAnsi="Simplified Arabic" w:cs="Simplified Arabic" w:hint="cs"/>
          <w:sz w:val="22"/>
          <w:rtl/>
          <w:lang w:bidi="ar"/>
        </w:rPr>
        <w:t xml:space="preserve">، وأمانة المرفق العالمي للمعلومات بشأن التنوع البيولوجي، وشبكة الحكومات الإقليمية من أجل التنمية المستدامة. وتلقت الأمانة معلومات وتعليقات أخرى من كندا، والاتحاد الأوروبي، وسري لانكا، والسويد، </w:t>
      </w:r>
      <w:r w:rsidRPr="00D82799">
        <w:rPr>
          <w:rFonts w:ascii="Simplified Arabic" w:hAnsi="Simplified Arabic" w:cs="Simplified Arabic"/>
          <w:rtl/>
        </w:rPr>
        <w:t>و</w:t>
      </w:r>
      <w:r>
        <w:rPr>
          <w:rFonts w:ascii="Simplified Arabic" w:hAnsi="Simplified Arabic" w:cs="Simplified Arabic" w:hint="cs"/>
          <w:rtl/>
        </w:rPr>
        <w:t xml:space="preserve">أمانة </w:t>
      </w:r>
      <w:r w:rsidRPr="00D82799">
        <w:rPr>
          <w:rFonts w:ascii="Simplified Arabic" w:hAnsi="Simplified Arabic" w:cs="Simplified Arabic"/>
          <w:rtl/>
        </w:rPr>
        <w:t xml:space="preserve">الاتفاقية الدولية </w:t>
      </w:r>
      <w:r>
        <w:rPr>
          <w:rFonts w:ascii="Simplified Arabic" w:hAnsi="Simplified Arabic" w:cs="Simplified Arabic" w:hint="cs"/>
          <w:rtl/>
        </w:rPr>
        <w:t>لوقاية</w:t>
      </w:r>
      <w:r w:rsidRPr="00D82799">
        <w:rPr>
          <w:rFonts w:ascii="Simplified Arabic" w:hAnsi="Simplified Arabic" w:cs="Simplified Arabic"/>
          <w:rtl/>
        </w:rPr>
        <w:t xml:space="preserve"> النباتات</w:t>
      </w:r>
      <w:r>
        <w:rPr>
          <w:rFonts w:ascii="Simplified Arabic" w:hAnsi="Simplified Arabic" w:cs="Simplified Arabic" w:hint="cs"/>
          <w:rtl/>
        </w:rPr>
        <w:t>،</w:t>
      </w:r>
      <w:r w:rsidRPr="009F5AD5">
        <w:rPr>
          <w:rFonts w:ascii="Simplified Arabic" w:hAnsi="Simplified Arabic" w:cs="Simplified Arabic" w:hint="cs"/>
          <w:sz w:val="22"/>
          <w:rtl/>
          <w:lang w:bidi="ar"/>
        </w:rPr>
        <w:t xml:space="preserve"> </w:t>
      </w:r>
      <w:r>
        <w:rPr>
          <w:rFonts w:ascii="Simplified Arabic" w:hAnsi="Simplified Arabic" w:cs="Simplified Arabic" w:hint="cs"/>
          <w:sz w:val="22"/>
          <w:rtl/>
          <w:lang w:bidi="ar"/>
        </w:rPr>
        <w:t xml:space="preserve">والمنظمة العالمية لصحة الحيوان، </w:t>
      </w:r>
      <w:r w:rsidR="00A37CB0">
        <w:rPr>
          <w:rFonts w:ascii="Simplified Arabic" w:hAnsi="Simplified Arabic" w:cs="Simplified Arabic"/>
          <w:rtl/>
        </w:rPr>
        <w:t>والاتحاد الدولي</w:t>
      </w:r>
      <w:r w:rsidRPr="00D82799">
        <w:rPr>
          <w:rFonts w:ascii="Simplified Arabic" w:hAnsi="Simplified Arabic" w:cs="Simplified Arabic"/>
          <w:rtl/>
        </w:rPr>
        <w:t xml:space="preserve"> لحفظ الطبيعة، </w:t>
      </w:r>
      <w:r>
        <w:rPr>
          <w:rFonts w:ascii="Simplified Arabic" w:hAnsi="Simplified Arabic" w:cs="Simplified Arabic" w:hint="cs"/>
          <w:rtl/>
        </w:rPr>
        <w:t>و</w:t>
      </w:r>
      <w:r w:rsidRPr="00D82799">
        <w:rPr>
          <w:rFonts w:ascii="Simplified Arabic" w:hAnsi="Simplified Arabic" w:cs="Simplified Arabic"/>
          <w:sz w:val="22"/>
          <w:rtl/>
          <w:lang w:bidi="ar"/>
        </w:rPr>
        <w:t>الفريق المتخصص المعني بالأنواع الغازية والتابع للاتحاد الدولي لحفظ الطبيعة</w:t>
      </w:r>
      <w:r>
        <w:rPr>
          <w:rFonts w:ascii="Simplified Arabic" w:hAnsi="Simplified Arabic" w:cs="Simplified Arabic" w:hint="cs"/>
          <w:sz w:val="22"/>
          <w:rtl/>
          <w:lang w:bidi="ar"/>
        </w:rPr>
        <w:t xml:space="preserve"> خلال فترة</w:t>
      </w:r>
      <w:r w:rsidR="00A37CB0">
        <w:rPr>
          <w:rFonts w:ascii="Simplified Arabic" w:hAnsi="Simplified Arabic" w:cs="Simplified Arabic" w:hint="cs"/>
          <w:sz w:val="22"/>
          <w:rtl/>
          <w:lang w:bidi="ar"/>
        </w:rPr>
        <w:t xml:space="preserve"> إبداء</w:t>
      </w:r>
      <w:r>
        <w:rPr>
          <w:rFonts w:ascii="Simplified Arabic" w:hAnsi="Simplified Arabic" w:cs="Simplified Arabic" w:hint="cs"/>
          <w:sz w:val="22"/>
          <w:rtl/>
          <w:lang w:bidi="ar"/>
        </w:rPr>
        <w:t xml:space="preserve"> التعليقات </w:t>
      </w:r>
      <w:r>
        <w:rPr>
          <w:rFonts w:ascii="Simplified Arabic" w:hAnsi="Simplified Arabic" w:cs="Simplified Arabic"/>
          <w:sz w:val="22"/>
          <w:rtl/>
          <w:lang w:bidi="ar"/>
        </w:rPr>
        <w:t>–</w:t>
      </w:r>
      <w:r>
        <w:rPr>
          <w:rFonts w:ascii="Simplified Arabic" w:hAnsi="Simplified Arabic" w:cs="Simplified Arabic" w:hint="cs"/>
          <w:sz w:val="22"/>
          <w:rtl/>
          <w:lang w:bidi="ar"/>
        </w:rPr>
        <w:t xml:space="preserve"> من </w:t>
      </w:r>
      <w:r w:rsidRPr="009F5AD5">
        <w:rPr>
          <w:rFonts w:ascii="Simplified Arabic" w:hAnsi="Simplified Arabic" w:cs="Simplified Arabic" w:hint="cs"/>
          <w:sz w:val="18"/>
          <w:szCs w:val="18"/>
          <w:rtl/>
          <w:lang w:bidi="ar"/>
        </w:rPr>
        <w:t>22</w:t>
      </w:r>
      <w:r>
        <w:rPr>
          <w:rFonts w:ascii="Simplified Arabic" w:hAnsi="Simplified Arabic" w:cs="Simplified Arabic" w:hint="cs"/>
          <w:sz w:val="22"/>
          <w:rtl/>
          <w:lang w:bidi="ar"/>
        </w:rPr>
        <w:t xml:space="preserve"> ديسمبر/كانون الأول </w:t>
      </w:r>
      <w:r w:rsidRPr="009F5AD5">
        <w:rPr>
          <w:rFonts w:ascii="Simplified Arabic" w:hAnsi="Simplified Arabic" w:cs="Simplified Arabic" w:hint="cs"/>
          <w:sz w:val="18"/>
          <w:szCs w:val="18"/>
          <w:rtl/>
          <w:lang w:bidi="ar"/>
        </w:rPr>
        <w:t>2017</w:t>
      </w:r>
      <w:r>
        <w:rPr>
          <w:rFonts w:ascii="Simplified Arabic" w:hAnsi="Simplified Arabic" w:cs="Simplified Arabic" w:hint="cs"/>
          <w:sz w:val="22"/>
          <w:rtl/>
          <w:lang w:bidi="ar"/>
        </w:rPr>
        <w:t xml:space="preserve"> إلى </w:t>
      </w:r>
      <w:r w:rsidRPr="009F5AD5">
        <w:rPr>
          <w:rFonts w:ascii="Simplified Arabic" w:hAnsi="Simplified Arabic" w:cs="Simplified Arabic" w:hint="cs"/>
          <w:sz w:val="18"/>
          <w:szCs w:val="18"/>
          <w:rtl/>
          <w:lang w:bidi="ar"/>
        </w:rPr>
        <w:t>28</w:t>
      </w:r>
      <w:r>
        <w:rPr>
          <w:rFonts w:ascii="Simplified Arabic" w:hAnsi="Simplified Arabic" w:cs="Simplified Arabic" w:hint="cs"/>
          <w:sz w:val="22"/>
          <w:rtl/>
          <w:lang w:bidi="ar"/>
        </w:rPr>
        <w:t xml:space="preserve"> فبراير/شباط </w:t>
      </w:r>
      <w:r w:rsidRPr="009F5AD5">
        <w:rPr>
          <w:rFonts w:ascii="Simplified Arabic" w:hAnsi="Simplified Arabic" w:cs="Simplified Arabic" w:hint="cs"/>
          <w:sz w:val="18"/>
          <w:szCs w:val="18"/>
          <w:rtl/>
          <w:lang w:bidi="ar"/>
        </w:rPr>
        <w:t>2018</w:t>
      </w:r>
      <w:r>
        <w:rPr>
          <w:rFonts w:ascii="Simplified Arabic" w:hAnsi="Simplified Arabic" w:cs="Simplified Arabic" w:hint="cs"/>
          <w:sz w:val="22"/>
          <w:rtl/>
          <w:lang w:bidi="ar"/>
        </w:rPr>
        <w:t xml:space="preserve"> </w:t>
      </w:r>
      <w:r>
        <w:rPr>
          <w:rFonts w:ascii="Simplified Arabic" w:hAnsi="Simplified Arabic" w:cs="Simplified Arabic"/>
          <w:sz w:val="22"/>
          <w:rtl/>
          <w:lang w:bidi="ar"/>
        </w:rPr>
        <w:t>–</w:t>
      </w:r>
      <w:r>
        <w:rPr>
          <w:rFonts w:ascii="Simplified Arabic" w:hAnsi="Simplified Arabic" w:cs="Simplified Arabic" w:hint="cs"/>
          <w:sz w:val="22"/>
          <w:rtl/>
          <w:lang w:bidi="ar"/>
        </w:rPr>
        <w:t xml:space="preserve"> كما طلب المشاركون. وللاطلاع على تقرير حلقة عمل الخبراء، انظر </w:t>
      </w:r>
      <w:r w:rsidRPr="009F5AD5">
        <w:rPr>
          <w:snapToGrid w:val="0"/>
          <w:kern w:val="18"/>
          <w:sz w:val="18"/>
          <w:szCs w:val="18"/>
        </w:rPr>
        <w:t>CBD/IAS/EM/2017/1/2</w:t>
      </w:r>
      <w:r>
        <w:rPr>
          <w:rFonts w:ascii="Simplified Arabic" w:hAnsi="Simplified Arabic" w:cs="Simplified Arabic" w:hint="cs"/>
          <w:sz w:val="22"/>
          <w:rtl/>
          <w:lang w:bidi="ar"/>
        </w:rPr>
        <w:t>.</w:t>
      </w:r>
    </w:p>
  </w:footnote>
  <w:footnote w:id="8">
    <w:p w:rsidR="006840F6" w:rsidRDefault="006840F6">
      <w:pPr>
        <w:pStyle w:val="FootnoteText"/>
      </w:pPr>
      <w:r>
        <w:rPr>
          <w:rStyle w:val="FootnoteReference"/>
        </w:rPr>
        <w:footnoteRef/>
      </w:r>
      <w:r>
        <w:rPr>
          <w:rtl/>
        </w:rPr>
        <w:t xml:space="preserve"> </w:t>
      </w:r>
      <w:hyperlink r:id="rId5" w:history="1">
        <w:r w:rsidRPr="006D6FFE">
          <w:rPr>
            <w:rStyle w:val="Hyperlink"/>
            <w:rFonts w:eastAsia="Yu Mincho"/>
            <w:snapToGrid w:val="0"/>
            <w:kern w:val="18"/>
            <w:sz w:val="18"/>
            <w:szCs w:val="18"/>
            <w:lang w:eastAsia="ja-JP"/>
          </w:rPr>
          <w:t>UNEP/CBD/SBSTTA/18/9/Add.1</w:t>
        </w:r>
      </w:hyperlink>
      <w:r>
        <w:rPr>
          <w:rFonts w:hint="cs"/>
          <w:rtl/>
        </w:rPr>
        <w:t>.</w:t>
      </w:r>
    </w:p>
  </w:footnote>
  <w:footnote w:id="9">
    <w:p w:rsidR="006840F6" w:rsidRDefault="006840F6" w:rsidP="006D6FFE">
      <w:pPr>
        <w:pStyle w:val="FootnoteText"/>
        <w:rPr>
          <w:lang w:bidi="ar-EG"/>
        </w:rPr>
      </w:pPr>
      <w:r>
        <w:rPr>
          <w:rStyle w:val="FootnoteReference"/>
        </w:rPr>
        <w:footnoteRef/>
      </w:r>
      <w:r>
        <w:rPr>
          <w:rtl/>
        </w:rPr>
        <w:t xml:space="preserve"> </w:t>
      </w:r>
      <w:r>
        <w:rPr>
          <w:rFonts w:ascii="Simplified Arabic" w:hAnsi="Simplified Arabic" w:cs="Simplified Arabic" w:hint="cs"/>
          <w:sz w:val="22"/>
          <w:rtl/>
          <w:lang w:bidi="ar"/>
        </w:rPr>
        <w:t xml:space="preserve">الاتحاد الدولي لحفظ الطبيعة، </w:t>
      </w:r>
      <w:r w:rsidRPr="006D6FFE">
        <w:rPr>
          <w:rFonts w:ascii="Simplified Arabic" w:hAnsi="Simplified Arabic" w:cs="Simplified Arabic" w:hint="cs"/>
          <w:sz w:val="18"/>
          <w:szCs w:val="18"/>
          <w:rtl/>
          <w:lang w:bidi="ar"/>
        </w:rPr>
        <w:t>2017</w:t>
      </w:r>
      <w:r>
        <w:rPr>
          <w:rFonts w:ascii="Simplified Arabic" w:hAnsi="Simplified Arabic" w:cs="Simplified Arabic" w:hint="cs"/>
          <w:sz w:val="22"/>
          <w:rtl/>
          <w:lang w:bidi="ar"/>
        </w:rPr>
        <w:t>. إرشادات من أجل ترجمة فئات الاتفاقية المتعلقة بالتنوع البيولوجي بشأن مسارات الإدخال. مذكرة تقنية أعدها الاتحاد الدولي لحفظ الطبيعة من أجل المفوضية الأوروبية.</w:t>
      </w:r>
    </w:p>
  </w:footnote>
  <w:footnote w:id="10">
    <w:p w:rsidR="006840F6" w:rsidRDefault="006840F6">
      <w:pPr>
        <w:pStyle w:val="FootnoteText"/>
      </w:pPr>
      <w:r>
        <w:rPr>
          <w:rStyle w:val="FootnoteReference"/>
        </w:rPr>
        <w:footnoteRef/>
      </w:r>
      <w:r>
        <w:rPr>
          <w:rtl/>
        </w:rPr>
        <w:t xml:space="preserve"> </w:t>
      </w:r>
      <w:hyperlink r:id="rId6" w:history="1">
        <w:r w:rsidRPr="00D8411E">
          <w:rPr>
            <w:rStyle w:val="Hyperlink"/>
            <w:snapToGrid w:val="0"/>
            <w:kern w:val="18"/>
            <w:sz w:val="18"/>
            <w:szCs w:val="18"/>
          </w:rPr>
          <w:t>https://www.wto.org/english/tratop_e/sps_e/spsagr_e.htm</w:t>
        </w:r>
      </w:hyperlink>
      <w:r w:rsidRPr="00D8411E">
        <w:rPr>
          <w:rFonts w:hint="cs"/>
          <w:sz w:val="18"/>
          <w:szCs w:val="18"/>
          <w:rtl/>
        </w:rPr>
        <w:t>.</w:t>
      </w:r>
    </w:p>
  </w:footnote>
  <w:footnote w:id="11">
    <w:p w:rsidR="006840F6" w:rsidRDefault="006840F6" w:rsidP="004F2FCA">
      <w:pPr>
        <w:pStyle w:val="FootnoteText"/>
      </w:pPr>
      <w:r>
        <w:rPr>
          <w:rStyle w:val="FootnoteReference"/>
        </w:rPr>
        <w:footnoteRef/>
      </w:r>
      <w:r>
        <w:rPr>
          <w:rtl/>
        </w:rPr>
        <w:t xml:space="preserve"> </w:t>
      </w:r>
      <w:r>
        <w:rPr>
          <w:rFonts w:ascii="Simplified Arabic" w:hAnsi="Simplified Arabic" w:cs="Simplified Arabic" w:hint="cs"/>
          <w:sz w:val="22"/>
          <w:rtl/>
          <w:lang w:bidi="ar"/>
        </w:rPr>
        <w:t xml:space="preserve">تقدم أحد الممثلين باعتراض رسمي أثناء العملية المؤدية إلى اعتماد هذا المقرر وشدد على أنه لا يعتقد أن مؤتمر الأطراف يمكن أن يعتمد، بصورة مشروعة، اقتراحا أو نصا في ظل وجود اعتراض رسمي. وأبدى عدد قليل من الممثلين تحفظات بشأن الإجراء الذي أدى إلى اعتماد هذا القرار (انظر الوثيقة </w:t>
      </w:r>
      <w:hyperlink r:id="rId7" w:history="1">
        <w:r w:rsidRPr="001A54FC">
          <w:rPr>
            <w:rStyle w:val="Hyperlink"/>
            <w:rFonts w:eastAsia="Yu Mincho"/>
            <w:snapToGrid w:val="0"/>
            <w:kern w:val="18"/>
            <w:sz w:val="18"/>
            <w:szCs w:val="18"/>
          </w:rPr>
          <w:t>UNEP/CBD/COP/6/20</w:t>
        </w:r>
      </w:hyperlink>
      <w:r>
        <w:rPr>
          <w:rFonts w:ascii="Simplified Arabic" w:hAnsi="Simplified Arabic" w:cs="Simplified Arabic" w:hint="cs"/>
          <w:sz w:val="22"/>
          <w:rtl/>
          <w:lang w:bidi="ar"/>
        </w:rPr>
        <w:t xml:space="preserve">، الفقرات </w:t>
      </w:r>
      <w:r w:rsidRPr="001A54FC">
        <w:rPr>
          <w:rFonts w:ascii="Simplified Arabic" w:hAnsi="Simplified Arabic" w:cs="Simplified Arabic" w:hint="cs"/>
          <w:sz w:val="18"/>
          <w:szCs w:val="18"/>
          <w:rtl/>
          <w:lang w:bidi="ar"/>
        </w:rPr>
        <w:t>294</w:t>
      </w:r>
      <w:r>
        <w:rPr>
          <w:rFonts w:ascii="Simplified Arabic" w:hAnsi="Simplified Arabic" w:cs="Simplified Arabic" w:hint="cs"/>
          <w:sz w:val="22"/>
          <w:rtl/>
          <w:lang w:bidi="ar"/>
        </w:rPr>
        <w:t>-</w:t>
      </w:r>
      <w:r w:rsidRPr="001A54FC">
        <w:rPr>
          <w:rFonts w:ascii="Simplified Arabic" w:hAnsi="Simplified Arabic" w:cs="Simplified Arabic" w:hint="cs"/>
          <w:sz w:val="18"/>
          <w:szCs w:val="18"/>
          <w:rtl/>
          <w:lang w:bidi="ar"/>
        </w:rPr>
        <w:t>324</w:t>
      </w:r>
      <w:r>
        <w:rPr>
          <w:rFonts w:ascii="Simplified Arabic" w:hAnsi="Simplified Arabic" w:cs="Simplified Arabic" w:hint="cs"/>
          <w:sz w:val="22"/>
          <w:rtl/>
          <w:lang w:bidi="ar"/>
        </w:rPr>
        <w:t>).</w:t>
      </w:r>
    </w:p>
  </w:footnote>
  <w:footnote w:id="12">
    <w:p w:rsidR="006840F6" w:rsidRDefault="006840F6" w:rsidP="00E23355">
      <w:pPr>
        <w:pStyle w:val="FootnoteText"/>
      </w:pPr>
      <w:r>
        <w:rPr>
          <w:rStyle w:val="FootnoteReference"/>
        </w:rPr>
        <w:footnoteRef/>
      </w:r>
      <w:r>
        <w:rPr>
          <w:rtl/>
        </w:rPr>
        <w:t xml:space="preserve"> </w:t>
      </w:r>
      <w:hyperlink r:id="rId8" w:history="1">
        <w:r w:rsidRPr="00E23355">
          <w:rPr>
            <w:rStyle w:val="Hyperlink"/>
            <w:snapToGrid w:val="0"/>
            <w:kern w:val="18"/>
            <w:sz w:val="18"/>
            <w:szCs w:val="18"/>
          </w:rPr>
          <w:t>http://www.oie.int/standard-setting/terrestrial-code/access-online/</w:t>
        </w:r>
      </w:hyperlink>
      <w:r w:rsidRPr="00E23355">
        <w:rPr>
          <w:rFonts w:hint="cs"/>
          <w:sz w:val="18"/>
          <w:szCs w:val="18"/>
          <w:rtl/>
        </w:rPr>
        <w:t>.</w:t>
      </w:r>
    </w:p>
  </w:footnote>
  <w:footnote w:id="13">
    <w:p w:rsidR="006840F6" w:rsidRDefault="006840F6">
      <w:pPr>
        <w:pStyle w:val="FootnoteText"/>
        <w:rPr>
          <w:lang w:bidi="ar-EG"/>
        </w:rPr>
      </w:pPr>
      <w:r>
        <w:rPr>
          <w:rStyle w:val="FootnoteReference"/>
        </w:rPr>
        <w:footnoteRef/>
      </w:r>
      <w:r>
        <w:rPr>
          <w:rtl/>
        </w:rPr>
        <w:t xml:space="preserve"> </w:t>
      </w:r>
      <w:hyperlink r:id="rId9" w:history="1">
        <w:r w:rsidRPr="00C31A4B">
          <w:rPr>
            <w:rStyle w:val="Hyperlink"/>
            <w:snapToGrid w:val="0"/>
            <w:kern w:val="18"/>
            <w:sz w:val="18"/>
            <w:szCs w:val="18"/>
          </w:rPr>
          <w:t>http://www.oie.int/standard-setting/terrestrial-code/access-online/</w:t>
        </w:r>
      </w:hyperlink>
      <w:r>
        <w:rPr>
          <w:rFonts w:hint="cs"/>
          <w:rtl/>
        </w:rPr>
        <w:t>.</w:t>
      </w:r>
    </w:p>
  </w:footnote>
  <w:footnote w:id="14">
    <w:p w:rsidR="006840F6" w:rsidRDefault="006840F6">
      <w:pPr>
        <w:pStyle w:val="FootnoteText"/>
        <w:rPr>
          <w:lang w:bidi="ar-EG"/>
        </w:rPr>
      </w:pPr>
      <w:r>
        <w:rPr>
          <w:rStyle w:val="FootnoteReference"/>
        </w:rPr>
        <w:footnoteRef/>
      </w:r>
      <w:r>
        <w:rPr>
          <w:rtl/>
        </w:rPr>
        <w:t xml:space="preserve"> </w:t>
      </w:r>
      <w:hyperlink r:id="rId10" w:history="1">
        <w:r w:rsidRPr="00C31A4B">
          <w:rPr>
            <w:rStyle w:val="Hyperlink"/>
            <w:snapToGrid w:val="0"/>
            <w:kern w:val="18"/>
            <w:sz w:val="18"/>
            <w:szCs w:val="18"/>
          </w:rPr>
          <w:t>http://www.oie.int/standard-setting/aquatic-code/access-online/</w:t>
        </w:r>
      </w:hyperlink>
      <w:r>
        <w:rPr>
          <w:rFonts w:hint="cs"/>
          <w:rtl/>
        </w:rPr>
        <w:t>.</w:t>
      </w:r>
    </w:p>
  </w:footnote>
  <w:footnote w:id="15">
    <w:p w:rsidR="006840F6" w:rsidRPr="00C31A4B" w:rsidRDefault="006840F6" w:rsidP="00C31A4B">
      <w:pPr>
        <w:pStyle w:val="FootnoteText"/>
        <w:rPr>
          <w:rtl/>
          <w:lang w:val="en-GB" w:bidi="ar-EG"/>
        </w:rPr>
      </w:pPr>
      <w:r>
        <w:rPr>
          <w:rStyle w:val="FootnoteReference"/>
        </w:rPr>
        <w:footnoteRef/>
      </w:r>
      <w:r>
        <w:rPr>
          <w:rtl/>
        </w:rPr>
        <w:t xml:space="preserve"> </w:t>
      </w:r>
      <w:hyperlink r:id="rId11" w:history="1">
        <w:r w:rsidRPr="00C31A4B">
          <w:rPr>
            <w:rStyle w:val="Hyperlink"/>
            <w:rFonts w:ascii="Simplified Arabic" w:hAnsi="Simplified Arabic" w:cs="Simplified Arabic" w:hint="cs"/>
            <w:i/>
            <w:iCs/>
            <w:rtl/>
            <w:lang w:bidi="ar"/>
          </w:rPr>
          <w:t>النظام المنسق عالميا لتصنيف المواد الكيميائية ووسمها</w:t>
        </w:r>
        <w:r w:rsidRPr="00C31A4B">
          <w:rPr>
            <w:rStyle w:val="Hyperlink"/>
            <w:rFonts w:ascii="Simplified Arabic" w:hAnsi="Simplified Arabic" w:cs="Simplified Arabic" w:hint="cs"/>
            <w:i/>
            <w:iCs/>
            <w:rtl/>
            <w:lang w:bidi="ar-EG"/>
          </w:rPr>
          <w:t>، الإصدار الرابع المنقح</w:t>
        </w:r>
        <w:r w:rsidRPr="00C31A4B">
          <w:rPr>
            <w:rStyle w:val="Hyperlink"/>
            <w:rFonts w:ascii="Simplified Arabic" w:hAnsi="Simplified Arabic" w:cs="Simplified Arabic" w:hint="cs"/>
            <w:rtl/>
            <w:lang w:bidi="ar-EG"/>
          </w:rPr>
          <w:t xml:space="preserve"> (منشور الأمم المتحدة، رقم المبيع </w:t>
        </w:r>
        <w:r w:rsidRPr="000D35F4">
          <w:rPr>
            <w:rStyle w:val="Hyperlink"/>
            <w:sz w:val="18"/>
            <w:szCs w:val="18"/>
            <w:lang w:bidi="ar-EG"/>
          </w:rPr>
          <w:t>E.11.II.E.6</w:t>
        </w:r>
      </w:hyperlink>
      <w:r>
        <w:rPr>
          <w:rFonts w:ascii="Simplified Arabic" w:hAnsi="Simplified Arabic" w:cs="Simplified Arabic" w:hint="cs"/>
          <w:rtl/>
          <w:lang w:val="en-GB" w:bidi="ar-EG"/>
        </w:rPr>
        <w:t>.</w:t>
      </w:r>
    </w:p>
  </w:footnote>
  <w:footnote w:id="16">
    <w:p w:rsidR="006840F6" w:rsidRDefault="006840F6" w:rsidP="00C31A4B">
      <w:pPr>
        <w:pStyle w:val="FootnoteText"/>
        <w:rPr>
          <w:lang w:bidi="ar-EG"/>
        </w:rPr>
      </w:pPr>
      <w:r>
        <w:rPr>
          <w:rStyle w:val="FootnoteReference"/>
        </w:rPr>
        <w:footnoteRef/>
      </w:r>
      <w:r>
        <w:rPr>
          <w:rtl/>
        </w:rPr>
        <w:t xml:space="preserve"> </w:t>
      </w:r>
      <w:r>
        <w:rPr>
          <w:rFonts w:hint="cs"/>
          <w:rtl/>
        </w:rPr>
        <w:t>"</w:t>
      </w:r>
      <w:hyperlink r:id="rId12" w:history="1">
        <w:r w:rsidRPr="00C31A4B">
          <w:rPr>
            <w:rStyle w:val="Hyperlink"/>
            <w:rFonts w:ascii="Simplified Arabic" w:hAnsi="Simplified Arabic" w:cs="Simplified Arabic"/>
            <w:rtl/>
          </w:rPr>
          <w:t>إنفاذ ضوابط التجارة الاستراتيجية: دليل تنفيذ</w:t>
        </w:r>
      </w:hyperlink>
      <w:r w:rsidRPr="00C31A4B">
        <w:rPr>
          <w:rFonts w:ascii="Simplified Arabic" w:hAnsi="Simplified Arabic" w:cs="Simplified Arabic"/>
          <w:rtl/>
        </w:rPr>
        <w:t>"</w:t>
      </w:r>
      <w:r>
        <w:rPr>
          <w:rFonts w:hint="cs"/>
          <w:rtl/>
        </w:rPr>
        <w:t>.</w:t>
      </w:r>
    </w:p>
  </w:footnote>
  <w:footnote w:id="17">
    <w:p w:rsidR="006840F6" w:rsidRDefault="006840F6">
      <w:pPr>
        <w:pStyle w:val="FootnoteText"/>
        <w:rPr>
          <w:lang w:bidi="ar-EG"/>
        </w:rPr>
      </w:pPr>
      <w:r>
        <w:rPr>
          <w:rStyle w:val="FootnoteReference"/>
        </w:rPr>
        <w:footnoteRef/>
      </w:r>
      <w:r>
        <w:rPr>
          <w:rtl/>
        </w:rPr>
        <w:t xml:space="preserve"> </w:t>
      </w:r>
      <w:hyperlink r:id="rId13" w:history="1">
        <w:r w:rsidRPr="00C31A4B">
          <w:rPr>
            <w:rStyle w:val="Hyperlink"/>
            <w:snapToGrid w:val="0"/>
            <w:kern w:val="18"/>
            <w:sz w:val="18"/>
            <w:szCs w:val="18"/>
          </w:rPr>
          <w:t>WHO/HSE/GCR/2015.2</w:t>
        </w:r>
      </w:hyperlink>
      <w:r>
        <w:rPr>
          <w:rFonts w:hint="cs"/>
          <w:rtl/>
        </w:rPr>
        <w:t>.</w:t>
      </w:r>
    </w:p>
  </w:footnote>
  <w:footnote w:id="18">
    <w:p w:rsidR="006840F6" w:rsidRDefault="006840F6" w:rsidP="00C31A4B">
      <w:pPr>
        <w:pStyle w:val="FootnoteText"/>
        <w:rPr>
          <w:lang w:bidi="ar-EG"/>
        </w:rPr>
      </w:pPr>
      <w:r>
        <w:rPr>
          <w:rStyle w:val="FootnoteReference"/>
        </w:rPr>
        <w:footnoteRef/>
      </w:r>
      <w:r>
        <w:rPr>
          <w:rtl/>
        </w:rPr>
        <w:t xml:space="preserve"> </w:t>
      </w:r>
      <w:hyperlink r:id="rId14" w:history="1">
        <w:r w:rsidRPr="00C31A4B">
          <w:rPr>
            <w:rStyle w:val="Hyperlink"/>
            <w:rFonts w:ascii="Simplified Arabic" w:hAnsi="Simplified Arabic" w:cs="Simplified Arabic" w:hint="cs"/>
            <w:sz w:val="22"/>
            <w:rtl/>
            <w:lang w:bidi="ar"/>
          </w:rPr>
          <w:t xml:space="preserve">منشور الأمم المتحدة، رقم المبيع </w:t>
        </w:r>
        <w:r w:rsidRPr="00C31A4B">
          <w:rPr>
            <w:rStyle w:val="Hyperlink"/>
            <w:sz w:val="18"/>
            <w:szCs w:val="18"/>
            <w:lang w:val="en-GB" w:bidi="ar"/>
          </w:rPr>
          <w:t>E.11.II.E.6</w:t>
        </w:r>
      </w:hyperlink>
      <w:r>
        <w:rPr>
          <w:rFonts w:ascii="Simplified Arabic" w:hAnsi="Simplified Arabic" w:cs="Simplified Arabic" w:hint="cs"/>
          <w:sz w:val="22"/>
          <w:rtl/>
          <w:lang w:bidi="ar"/>
        </w:rPr>
        <w:t>.</w:t>
      </w:r>
    </w:p>
  </w:footnote>
  <w:footnote w:id="19">
    <w:p w:rsidR="006840F6" w:rsidRPr="00C31A4B" w:rsidRDefault="006840F6">
      <w:pPr>
        <w:pStyle w:val="FootnoteText"/>
        <w:rPr>
          <w:rtl/>
          <w:lang w:val="en-GB" w:bidi="ar-EG"/>
        </w:rPr>
      </w:pPr>
      <w:r>
        <w:rPr>
          <w:rStyle w:val="FootnoteReference"/>
        </w:rPr>
        <w:footnoteRef/>
      </w:r>
      <w:r>
        <w:rPr>
          <w:rtl/>
        </w:rPr>
        <w:t xml:space="preserve"> </w:t>
      </w:r>
      <w:r w:rsidRPr="00C31A4B">
        <w:rPr>
          <w:rFonts w:ascii="Simplified Arabic" w:hAnsi="Simplified Arabic" w:cs="Simplified Arabic"/>
          <w:rtl/>
        </w:rPr>
        <w:t>انظر</w:t>
      </w:r>
      <w:r>
        <w:rPr>
          <w:rFonts w:ascii="Simplified Arabic" w:hAnsi="Simplified Arabic" w:cs="Simplified Arabic" w:hint="cs"/>
          <w:rtl/>
        </w:rPr>
        <w:t xml:space="preserve"> قرار المجلس الاقتصادي والاجتماعي </w:t>
      </w:r>
      <w:hyperlink r:id="rId15" w:history="1">
        <w:r w:rsidRPr="00D75435">
          <w:rPr>
            <w:rStyle w:val="Hyperlink"/>
            <w:rFonts w:ascii="Simplified Arabic" w:hAnsi="Simplified Arabic" w:cs="Simplified Arabic"/>
            <w:sz w:val="18"/>
            <w:szCs w:val="18"/>
            <w:lang w:val="en-GB"/>
          </w:rPr>
          <w:t>2009</w:t>
        </w:r>
        <w:r w:rsidRPr="00D75435">
          <w:rPr>
            <w:rStyle w:val="Hyperlink"/>
            <w:rFonts w:ascii="Simplified Arabic" w:hAnsi="Simplified Arabic" w:cs="Simplified Arabic" w:hint="cs"/>
            <w:sz w:val="18"/>
            <w:szCs w:val="18"/>
            <w:rtl/>
            <w:lang w:val="en-GB" w:bidi="ar-EG"/>
          </w:rPr>
          <w:t>/</w:t>
        </w:r>
        <w:r w:rsidRPr="00D75435">
          <w:rPr>
            <w:rStyle w:val="Hyperlink"/>
            <w:rFonts w:ascii="Simplified Arabic" w:hAnsi="Simplified Arabic" w:cs="Simplified Arabic"/>
            <w:sz w:val="18"/>
            <w:szCs w:val="18"/>
            <w:lang w:val="en-GB" w:bidi="ar-EG"/>
          </w:rPr>
          <w:t>19</w:t>
        </w:r>
      </w:hyperlink>
      <w:r>
        <w:rPr>
          <w:rFonts w:ascii="Simplified Arabic" w:hAnsi="Simplified Arabic" w:cs="Simplified Arabic" w:hint="cs"/>
          <w:rtl/>
          <w:lang w:val="en-GB" w:bidi="ar-EG"/>
        </w:rPr>
        <w:t xml:space="preserve"> الصادر في </w:t>
      </w:r>
      <w:r w:rsidRPr="00D75435">
        <w:rPr>
          <w:rFonts w:ascii="Simplified Arabic" w:hAnsi="Simplified Arabic" w:cs="Simplified Arabic" w:hint="cs"/>
          <w:sz w:val="18"/>
          <w:szCs w:val="18"/>
          <w:rtl/>
          <w:lang w:val="en-GB" w:bidi="ar-EG"/>
        </w:rPr>
        <w:t>29</w:t>
      </w:r>
      <w:r>
        <w:rPr>
          <w:rFonts w:ascii="Simplified Arabic" w:hAnsi="Simplified Arabic" w:cs="Simplified Arabic" w:hint="cs"/>
          <w:rtl/>
          <w:lang w:val="en-GB" w:bidi="ar-EG"/>
        </w:rPr>
        <w:t xml:space="preserve"> يوليو/تموز </w:t>
      </w:r>
      <w:r w:rsidRPr="00D75435">
        <w:rPr>
          <w:rFonts w:ascii="Simplified Arabic" w:hAnsi="Simplified Arabic" w:cs="Simplified Arabic" w:hint="cs"/>
          <w:sz w:val="18"/>
          <w:szCs w:val="18"/>
          <w:rtl/>
          <w:lang w:val="en-GB" w:bidi="ar-EG"/>
        </w:rPr>
        <w:t>2009</w:t>
      </w:r>
      <w:r>
        <w:rPr>
          <w:rFonts w:ascii="Simplified Arabic" w:hAnsi="Simplified Arabic" w:cs="Simplified Arabic" w:hint="cs"/>
          <w:rtl/>
          <w:lang w:val="en-GB" w:bidi="ar-EG"/>
        </w:rPr>
        <w:t>.</w:t>
      </w:r>
    </w:p>
  </w:footnote>
  <w:footnote w:id="20">
    <w:p w:rsidR="006840F6" w:rsidRDefault="006840F6" w:rsidP="00FB27BD">
      <w:pPr>
        <w:pStyle w:val="FootnoteText"/>
        <w:rPr>
          <w:lang w:bidi="ar-EG"/>
        </w:rPr>
      </w:pPr>
      <w:r>
        <w:rPr>
          <w:rStyle w:val="FootnoteReference"/>
        </w:rPr>
        <w:footnoteRef/>
      </w:r>
      <w:r>
        <w:rPr>
          <w:rtl/>
        </w:rPr>
        <w:t xml:space="preserve"> </w:t>
      </w:r>
      <w:r>
        <w:rPr>
          <w:rFonts w:ascii="Simplified Arabic" w:hAnsi="Simplified Arabic" w:cs="Simplified Arabic" w:hint="cs"/>
          <w:rtl/>
        </w:rPr>
        <w:t xml:space="preserve">يرد مزيد من المعلومات عن التجارة الإلكترونية والمسائل الأخرى، وفقا للطلبات الواردة في المقرر 13/13، في الوثيقة الإعلامية </w:t>
      </w:r>
      <w:r w:rsidRPr="00FB27BD">
        <w:rPr>
          <w:snapToGrid w:val="0"/>
          <w:kern w:val="18"/>
          <w:sz w:val="18"/>
          <w:szCs w:val="18"/>
        </w:rPr>
        <w:t>CBD/SBSTTA/22/INF/22</w:t>
      </w:r>
      <w:r>
        <w:rPr>
          <w:rFonts w:ascii="Simplified Arabic" w:hAnsi="Simplified Arabic" w:cs="Simplified Arabic" w:hint="cs"/>
          <w:rtl/>
        </w:rPr>
        <w:t>.</w:t>
      </w:r>
    </w:p>
  </w:footnote>
  <w:footnote w:id="21">
    <w:p w:rsidR="006840F6" w:rsidRDefault="006840F6">
      <w:pPr>
        <w:pStyle w:val="FootnoteText"/>
        <w:rPr>
          <w:lang w:bidi="ar-EG"/>
        </w:rPr>
      </w:pPr>
      <w:r>
        <w:rPr>
          <w:rStyle w:val="FootnoteReference"/>
        </w:rPr>
        <w:footnoteRef/>
      </w:r>
      <w:r>
        <w:rPr>
          <w:rtl/>
        </w:rPr>
        <w:t xml:space="preserve"> </w:t>
      </w:r>
      <w:r w:rsidRPr="00C21487">
        <w:rPr>
          <w:rFonts w:ascii="Simplified Arabic" w:hAnsi="Simplified Arabic" w:cs="Simplified Arabic"/>
          <w:rtl/>
        </w:rPr>
        <w:t>انظر القرار</w:t>
      </w:r>
      <w:r>
        <w:rPr>
          <w:rFonts w:ascii="Simplified Arabic" w:hAnsi="Simplified Arabic" w:cs="Simplified Arabic" w:hint="cs"/>
          <w:rtl/>
        </w:rPr>
        <w:t xml:space="preserve"> </w:t>
      </w:r>
      <w:hyperlink r:id="rId16" w:history="1">
        <w:r w:rsidRPr="00C21487">
          <w:rPr>
            <w:rStyle w:val="Hyperlink"/>
            <w:rFonts w:eastAsia="MS Mincho"/>
            <w:snapToGrid w:val="0"/>
            <w:kern w:val="18"/>
            <w:sz w:val="18"/>
            <w:szCs w:val="18"/>
            <w:lang w:eastAsia="ja-JP"/>
          </w:rPr>
          <w:t>Conf. 11.3 (Rev. CoP17)</w:t>
        </w:r>
      </w:hyperlink>
      <w:r w:rsidRPr="00C21487">
        <w:rPr>
          <w:rFonts w:ascii="Simplified Arabic" w:hAnsi="Simplified Arabic" w:cs="Simplified Arabic"/>
          <w:rtl/>
        </w:rPr>
        <w:t xml:space="preserve"> بشأن الامتثال والإنفاذ</w:t>
      </w:r>
      <w:r>
        <w:rPr>
          <w:rFonts w:hint="cs"/>
          <w:rtl/>
        </w:rPr>
        <w:t>.</w:t>
      </w:r>
    </w:p>
  </w:footnote>
  <w:footnote w:id="22">
    <w:p w:rsidR="006840F6" w:rsidRDefault="006840F6" w:rsidP="00C21487">
      <w:pPr>
        <w:pStyle w:val="FootnoteText"/>
        <w:rPr>
          <w:lang w:bidi="ar-EG"/>
        </w:rPr>
      </w:pPr>
      <w:r>
        <w:rPr>
          <w:rStyle w:val="FootnoteReference"/>
        </w:rPr>
        <w:footnoteRef/>
      </w:r>
      <w:r>
        <w:rPr>
          <w:rtl/>
        </w:rPr>
        <w:t xml:space="preserve"> </w:t>
      </w:r>
      <w:r>
        <w:rPr>
          <w:rFonts w:ascii="Simplified Arabic" w:hAnsi="Simplified Arabic" w:cs="Simplified Arabic" w:hint="cs"/>
          <w:rtl/>
        </w:rPr>
        <w:t xml:space="preserve">تقرير </w:t>
      </w:r>
      <w:hyperlink r:id="rId17" w:history="1">
        <w:r w:rsidRPr="00C21487">
          <w:rPr>
            <w:rStyle w:val="Hyperlink"/>
            <w:rFonts w:ascii="Simplified Arabic" w:hAnsi="Simplified Arabic" w:cs="Simplified Arabic" w:hint="cs"/>
            <w:rtl/>
          </w:rPr>
          <w:t>المؤتمر التقني الثاني والعشرين للمنظمة الإقليمية لحماية النباتات</w:t>
        </w:r>
      </w:hyperlink>
      <w:r>
        <w:rPr>
          <w:rFonts w:ascii="Simplified Arabic" w:hAnsi="Simplified Arabic" w:cs="Simplified Arabic" w:hint="cs"/>
          <w:rtl/>
        </w:rPr>
        <w:t>.</w:t>
      </w:r>
    </w:p>
  </w:footnote>
  <w:footnote w:id="23">
    <w:p w:rsidR="006840F6" w:rsidRDefault="006840F6" w:rsidP="002B6343">
      <w:pPr>
        <w:pStyle w:val="FootnoteText"/>
        <w:rPr>
          <w:lang w:bidi="ar-EG"/>
        </w:rPr>
      </w:pPr>
      <w:r>
        <w:rPr>
          <w:rStyle w:val="FootnoteReference"/>
        </w:rPr>
        <w:footnoteRef/>
      </w:r>
      <w:r>
        <w:rPr>
          <w:rtl/>
        </w:rPr>
        <w:t xml:space="preserve"> </w:t>
      </w:r>
      <w:r>
        <w:rPr>
          <w:rFonts w:ascii="Simplified Arabic" w:hAnsi="Simplified Arabic" w:cs="Simplified Arabic" w:hint="cs"/>
          <w:rtl/>
        </w:rPr>
        <w:t xml:space="preserve">تُتاح دراسة نظام استعراض ودعم التنفيذ بشأن التجارة عبر الإنترنت (التجارة الإلكترونية) في النباتات: المخاطر المحتملة على الصحة النباتية على الرابط </w:t>
      </w:r>
      <w:hyperlink r:id="rId18" w:history="1">
        <w:r w:rsidRPr="00584A8D">
          <w:rPr>
            <w:rStyle w:val="Hyperlink"/>
            <w:rFonts w:eastAsia="Calibri"/>
            <w:snapToGrid w:val="0"/>
            <w:kern w:val="18"/>
            <w:sz w:val="18"/>
            <w:szCs w:val="18"/>
          </w:rPr>
          <w:t>https://www.ippc.int/en/irss/activities/2/</w:t>
        </w:r>
      </w:hyperlink>
      <w:r>
        <w:rPr>
          <w:rFonts w:ascii="Simplified Arabic" w:hAnsi="Simplified Arabic" w:cs="Simplified Arabic" w:hint="cs"/>
          <w:rtl/>
        </w:rPr>
        <w:t>.</w:t>
      </w:r>
    </w:p>
  </w:footnote>
  <w:footnote w:id="24">
    <w:p w:rsidR="006840F6" w:rsidRDefault="006840F6" w:rsidP="002B6343">
      <w:pPr>
        <w:pStyle w:val="FootnoteText"/>
        <w:rPr>
          <w:lang w:bidi="ar-EG"/>
        </w:rPr>
      </w:pPr>
      <w:r>
        <w:rPr>
          <w:rStyle w:val="FootnoteReference"/>
        </w:rPr>
        <w:footnoteRef/>
      </w:r>
      <w:r>
        <w:rPr>
          <w:rtl/>
        </w:rPr>
        <w:t xml:space="preserve"> </w:t>
      </w:r>
      <w:hyperlink r:id="rId19" w:history="1">
        <w:r w:rsidRPr="00951945">
          <w:rPr>
            <w:rStyle w:val="Hyperlink"/>
            <w:rFonts w:ascii="Simplified Arabic" w:hAnsi="Simplified Arabic" w:cs="Simplified Arabic" w:hint="cs"/>
            <w:rtl/>
          </w:rPr>
          <w:t xml:space="preserve">التوصية </w:t>
        </w:r>
        <w:r w:rsidRPr="002B6343">
          <w:rPr>
            <w:rStyle w:val="Hyperlink"/>
            <w:rFonts w:ascii="Simplified Arabic" w:hAnsi="Simplified Arabic" w:cs="Simplified Arabic"/>
            <w:sz w:val="18"/>
            <w:szCs w:val="18"/>
            <w:lang w:val="en-GB"/>
          </w:rPr>
          <w:t>014/14</w:t>
        </w:r>
        <w:r w:rsidRPr="00951945">
          <w:rPr>
            <w:rStyle w:val="Hyperlink"/>
            <w:rFonts w:ascii="Simplified Arabic" w:hAnsi="Simplified Arabic" w:cs="Simplified Arabic" w:hint="cs"/>
            <w:rtl/>
            <w:lang w:val="en-GB" w:bidi="ar-EG"/>
          </w:rPr>
          <w:t xml:space="preserve"> الصادرة عن الدورة التاسعة لهيئة</w:t>
        </w:r>
        <w:r w:rsidRPr="00951945">
          <w:rPr>
            <w:rStyle w:val="Hyperlink"/>
            <w:rFonts w:ascii="Simplified Arabic" w:hAnsi="Simplified Arabic" w:cs="Simplified Arabic" w:hint="cs"/>
            <w:rtl/>
          </w:rPr>
          <w:t xml:space="preserve"> تدابير الصحة النباتية</w:t>
        </w:r>
      </w:hyperlink>
      <w:r w:rsidR="00976ED7">
        <w:rPr>
          <w:rFonts w:ascii="Simplified Arabic" w:hAnsi="Simplified Arabic" w:cs="Simplified Arabic" w:hint="cs"/>
          <w:rtl/>
        </w:rPr>
        <w:t>.</w:t>
      </w:r>
    </w:p>
  </w:footnote>
  <w:footnote w:id="25">
    <w:p w:rsidR="006840F6" w:rsidRDefault="006840F6">
      <w:pPr>
        <w:pStyle w:val="FootnoteText"/>
        <w:rPr>
          <w:lang w:bidi="ar-EG"/>
        </w:rPr>
      </w:pPr>
      <w:r>
        <w:rPr>
          <w:rStyle w:val="FootnoteReference"/>
        </w:rPr>
        <w:footnoteRef/>
      </w:r>
      <w:r>
        <w:rPr>
          <w:rtl/>
        </w:rPr>
        <w:t xml:space="preserve"> </w:t>
      </w:r>
      <w:hyperlink r:id="rId20" w:history="1">
        <w:r w:rsidRPr="00951945">
          <w:rPr>
            <w:rStyle w:val="Hyperlink"/>
            <w:snapToGrid w:val="0"/>
            <w:kern w:val="18"/>
            <w:sz w:val="18"/>
            <w:szCs w:val="18"/>
          </w:rPr>
          <w:t>http://www.wcoomd.org/~/media/wco/public/global/pdf/topics/facilitation/activities-and-programmes/ecommerce/wco-study-report-on-e_commerce.pdf?la=en</w:t>
        </w:r>
      </w:hyperlink>
      <w:r w:rsidR="00976ED7">
        <w:rPr>
          <w:rFonts w:ascii="Simplified Arabic" w:hAnsi="Simplified Arabic" w:cs="Simplified Arabic" w:hint="cs"/>
          <w:rtl/>
        </w:rPr>
        <w:t>.</w:t>
      </w:r>
    </w:p>
  </w:footnote>
  <w:footnote w:id="26">
    <w:p w:rsidR="006840F6" w:rsidRDefault="006840F6" w:rsidP="002B6343">
      <w:pPr>
        <w:pStyle w:val="FootnoteText"/>
        <w:rPr>
          <w:lang w:bidi="ar-EG"/>
        </w:rPr>
      </w:pPr>
      <w:r>
        <w:rPr>
          <w:rStyle w:val="FootnoteReference"/>
        </w:rPr>
        <w:footnoteRef/>
      </w:r>
      <w:r>
        <w:rPr>
          <w:rtl/>
        </w:rPr>
        <w:t xml:space="preserve"> </w:t>
      </w:r>
      <w:r>
        <w:rPr>
          <w:rFonts w:ascii="Simplified Arabic" w:hAnsi="Simplified Arabic" w:cs="Simplified Arabic" w:hint="cs"/>
          <w:rtl/>
        </w:rPr>
        <w:t xml:space="preserve">عُقدت في المقر الرئيسي للمنظمة العالمية للجمارك في بروكسل يومي </w:t>
      </w:r>
      <w:r w:rsidRPr="00AD4C94">
        <w:rPr>
          <w:rFonts w:ascii="Simplified Arabic" w:hAnsi="Simplified Arabic" w:cs="Simplified Arabic" w:hint="cs"/>
          <w:sz w:val="18"/>
          <w:szCs w:val="18"/>
          <w:rtl/>
        </w:rPr>
        <w:t>22</w:t>
      </w:r>
      <w:r>
        <w:rPr>
          <w:rFonts w:ascii="Simplified Arabic" w:hAnsi="Simplified Arabic" w:cs="Simplified Arabic" w:hint="cs"/>
          <w:rtl/>
        </w:rPr>
        <w:t xml:space="preserve"> و</w:t>
      </w:r>
      <w:r w:rsidRPr="00AD4C94">
        <w:rPr>
          <w:rFonts w:ascii="Simplified Arabic" w:hAnsi="Simplified Arabic" w:cs="Simplified Arabic" w:hint="cs"/>
          <w:sz w:val="18"/>
          <w:szCs w:val="18"/>
          <w:rtl/>
        </w:rPr>
        <w:t>23</w:t>
      </w:r>
      <w:r>
        <w:rPr>
          <w:rFonts w:ascii="Simplified Arabic" w:hAnsi="Simplified Arabic" w:cs="Simplified Arabic" w:hint="cs"/>
          <w:rtl/>
        </w:rPr>
        <w:t xml:space="preserve"> نوفمبر/تشرين الثاني </w:t>
      </w:r>
      <w:r w:rsidRPr="00AD4C94">
        <w:rPr>
          <w:rFonts w:ascii="Simplified Arabic" w:hAnsi="Simplified Arabic" w:cs="Simplified Arabic" w:hint="cs"/>
          <w:sz w:val="18"/>
          <w:szCs w:val="18"/>
          <w:rtl/>
        </w:rPr>
        <w:t>2017</w:t>
      </w:r>
      <w:r>
        <w:rPr>
          <w:rFonts w:ascii="Simplified Arabic" w:hAnsi="Simplified Arabic" w:cs="Simplified Arabic" w:hint="cs"/>
          <w:rtl/>
        </w:rPr>
        <w:t>.</w:t>
      </w:r>
    </w:p>
  </w:footnote>
  <w:footnote w:id="27">
    <w:p w:rsidR="006840F6" w:rsidRDefault="006840F6" w:rsidP="00AD4C94">
      <w:pPr>
        <w:pStyle w:val="FootnoteText"/>
        <w:rPr>
          <w:lang w:bidi="ar-EG"/>
        </w:rPr>
      </w:pPr>
      <w:r>
        <w:rPr>
          <w:rStyle w:val="FootnoteReference"/>
        </w:rPr>
        <w:footnoteRef/>
      </w:r>
      <w:r>
        <w:rPr>
          <w:rtl/>
        </w:rPr>
        <w:t xml:space="preserve"> </w:t>
      </w:r>
      <w:r>
        <w:rPr>
          <w:rFonts w:ascii="Simplified Arabic" w:hAnsi="Simplified Arabic" w:cs="Simplified Arabic" w:hint="cs"/>
          <w:rtl/>
        </w:rPr>
        <w:t xml:space="preserve">عُقدت في بروكسل في الفترة </w:t>
      </w:r>
      <w:r>
        <w:rPr>
          <w:rFonts w:ascii="Simplified Arabic" w:hAnsi="Simplified Arabic" w:cs="Simplified Arabic" w:hint="cs"/>
          <w:sz w:val="18"/>
          <w:szCs w:val="18"/>
          <w:rtl/>
        </w:rPr>
        <w:t>23</w:t>
      </w:r>
      <w:r>
        <w:rPr>
          <w:rFonts w:ascii="Simplified Arabic" w:hAnsi="Simplified Arabic" w:cs="Simplified Arabic"/>
          <w:sz w:val="18"/>
          <w:szCs w:val="18"/>
          <w:lang w:val="en-GB"/>
        </w:rPr>
        <w:t>-</w:t>
      </w:r>
      <w:r>
        <w:rPr>
          <w:rFonts w:ascii="Simplified Arabic" w:hAnsi="Simplified Arabic" w:cs="Simplified Arabic" w:hint="cs"/>
          <w:sz w:val="18"/>
          <w:szCs w:val="18"/>
          <w:rtl/>
          <w:lang w:val="en-GB" w:bidi="ar-EG"/>
        </w:rPr>
        <w:t>25</w:t>
      </w:r>
      <w:r>
        <w:rPr>
          <w:rFonts w:ascii="Simplified Arabic" w:hAnsi="Simplified Arabic" w:cs="Simplified Arabic" w:hint="cs"/>
          <w:rtl/>
        </w:rPr>
        <w:t xml:space="preserve"> يناير/كانون الثاني </w:t>
      </w:r>
      <w:r>
        <w:rPr>
          <w:rFonts w:ascii="Simplified Arabic" w:hAnsi="Simplified Arabic" w:cs="Simplified Arabic" w:hint="cs"/>
          <w:sz w:val="18"/>
          <w:szCs w:val="18"/>
          <w:rtl/>
        </w:rPr>
        <w:t>2018.</w:t>
      </w:r>
    </w:p>
  </w:footnote>
  <w:footnote w:id="28">
    <w:p w:rsidR="006840F6" w:rsidRDefault="006840F6" w:rsidP="00AD4C94">
      <w:pPr>
        <w:pStyle w:val="FootnoteText"/>
        <w:rPr>
          <w:lang w:bidi="ar-EG"/>
        </w:rPr>
      </w:pPr>
      <w:r>
        <w:rPr>
          <w:rStyle w:val="FootnoteReference"/>
        </w:rPr>
        <w:footnoteRef/>
      </w:r>
      <w:r>
        <w:rPr>
          <w:rtl/>
        </w:rPr>
        <w:t xml:space="preserve"> </w:t>
      </w:r>
      <w:r>
        <w:rPr>
          <w:rFonts w:ascii="Simplified Arabic" w:hAnsi="Simplified Arabic" w:cs="Simplified Arabic" w:hint="cs"/>
          <w:rtl/>
        </w:rPr>
        <w:t xml:space="preserve">عُقدت في بيجين يومي </w:t>
      </w:r>
      <w:r>
        <w:rPr>
          <w:rFonts w:ascii="Simplified Arabic" w:hAnsi="Simplified Arabic" w:cs="Simplified Arabic" w:hint="cs"/>
          <w:sz w:val="18"/>
          <w:szCs w:val="18"/>
          <w:rtl/>
        </w:rPr>
        <w:t>9</w:t>
      </w:r>
      <w:r w:rsidRPr="00AD4C94">
        <w:rPr>
          <w:rFonts w:ascii="Simplified Arabic" w:hAnsi="Simplified Arabic" w:cs="Simplified Arabic" w:hint="cs"/>
          <w:rtl/>
        </w:rPr>
        <w:t xml:space="preserve"> </w:t>
      </w:r>
      <w:r>
        <w:rPr>
          <w:rFonts w:ascii="Simplified Arabic" w:hAnsi="Simplified Arabic" w:cs="Simplified Arabic" w:hint="cs"/>
          <w:rtl/>
        </w:rPr>
        <w:t>و</w:t>
      </w:r>
      <w:r>
        <w:rPr>
          <w:rFonts w:ascii="Simplified Arabic" w:hAnsi="Simplified Arabic" w:cs="Simplified Arabic" w:hint="cs"/>
          <w:sz w:val="18"/>
          <w:szCs w:val="18"/>
          <w:rtl/>
          <w:lang w:val="en-GB" w:bidi="ar-EG"/>
        </w:rPr>
        <w:t>10</w:t>
      </w:r>
      <w:r>
        <w:rPr>
          <w:rFonts w:ascii="Simplified Arabic" w:hAnsi="Simplified Arabic" w:cs="Simplified Arabic" w:hint="cs"/>
          <w:rtl/>
        </w:rPr>
        <w:t xml:space="preserve"> فبراير/شباط </w:t>
      </w:r>
      <w:r>
        <w:rPr>
          <w:rFonts w:ascii="Simplified Arabic" w:hAnsi="Simplified Arabic" w:cs="Simplified Arabic" w:hint="cs"/>
          <w:sz w:val="18"/>
          <w:szCs w:val="18"/>
          <w:rtl/>
        </w:rPr>
        <w:t>2018.</w:t>
      </w:r>
    </w:p>
  </w:footnote>
  <w:footnote w:id="29">
    <w:p w:rsidR="006840F6" w:rsidRPr="00D76B75" w:rsidRDefault="006840F6" w:rsidP="00D76B75">
      <w:pPr>
        <w:pStyle w:val="FootnoteText"/>
        <w:rPr>
          <w:lang w:bidi="ar-EG"/>
        </w:rPr>
      </w:pPr>
      <w:r>
        <w:rPr>
          <w:rStyle w:val="FootnoteReference"/>
        </w:rPr>
        <w:footnoteRef/>
      </w:r>
      <w:r>
        <w:rPr>
          <w:rtl/>
        </w:rPr>
        <w:t xml:space="preserve"> </w:t>
      </w:r>
      <w:r>
        <w:rPr>
          <w:rFonts w:ascii="Simplified Arabic" w:hAnsi="Simplified Arabic" w:cs="Simplified Arabic" w:hint="cs"/>
          <w:rtl/>
        </w:rPr>
        <w:t xml:space="preserve">دراسة </w:t>
      </w:r>
      <w:r w:rsidRPr="008B2EA0">
        <w:rPr>
          <w:snapToGrid w:val="0"/>
          <w:kern w:val="18"/>
          <w:szCs w:val="18"/>
        </w:rPr>
        <w:t>Pagad S. et al.</w:t>
      </w:r>
      <w:r>
        <w:rPr>
          <w:rFonts w:ascii="Simplified Arabic" w:hAnsi="Simplified Arabic" w:cs="Simplified Arabic" w:hint="cs"/>
          <w:rtl/>
        </w:rPr>
        <w:t xml:space="preserve">، </w:t>
      </w:r>
      <w:r>
        <w:rPr>
          <w:rFonts w:ascii="Simplified Arabic" w:hAnsi="Simplified Arabic" w:cs="Simplified Arabic" w:hint="cs"/>
          <w:i/>
          <w:iCs/>
          <w:rtl/>
        </w:rPr>
        <w:t>بيانات علمية عن الطبيعة</w:t>
      </w:r>
      <w:r>
        <w:rPr>
          <w:rFonts w:ascii="Simplified Arabic" w:hAnsi="Simplified Arabic" w:cs="Simplified Arabic" w:hint="cs"/>
          <w:rtl/>
        </w:rPr>
        <w:t xml:space="preserve">، الإصدار الخامس، رقم المقال </w:t>
      </w:r>
      <w:r w:rsidRPr="00D76B75">
        <w:rPr>
          <w:snapToGrid w:val="0"/>
          <w:kern w:val="18"/>
          <w:sz w:val="18"/>
          <w:szCs w:val="18"/>
        </w:rPr>
        <w:t>170202 (2018) doi:10.1038/sdata.2017.202</w:t>
      </w:r>
      <w:r w:rsidR="00976ED7">
        <w:rPr>
          <w:rFonts w:ascii="Simplified Arabic" w:hAnsi="Simplified Arabic" w:cs="Simplified Arabic" w:hint="cs"/>
          <w:rtl/>
        </w:rPr>
        <w:t>.</w:t>
      </w:r>
    </w:p>
  </w:footnote>
  <w:footnote w:id="30">
    <w:p w:rsidR="006840F6" w:rsidRDefault="006840F6">
      <w:pPr>
        <w:pStyle w:val="FootnoteText"/>
        <w:rPr>
          <w:lang w:bidi="ar-EG"/>
        </w:rPr>
      </w:pPr>
      <w:r>
        <w:rPr>
          <w:rStyle w:val="FootnoteReference"/>
        </w:rPr>
        <w:footnoteRef/>
      </w:r>
      <w:r>
        <w:rPr>
          <w:rtl/>
        </w:rPr>
        <w:t xml:space="preserve"> </w:t>
      </w:r>
      <w:hyperlink r:id="rId21" w:history="1">
        <w:r w:rsidRPr="00C842FE">
          <w:rPr>
            <w:rStyle w:val="Hyperlink"/>
            <w:snapToGrid w:val="0"/>
            <w:kern w:val="18"/>
            <w:sz w:val="18"/>
            <w:szCs w:val="18"/>
          </w:rPr>
          <w:t>https://www.gbif.org/dataset/search?publishing_org=cdef28b1-db4e-4c58-aa71-3c5238c2d0b5</w:t>
        </w:r>
      </w:hyperlink>
      <w:r>
        <w:rPr>
          <w:rFonts w:hint="cs"/>
          <w:rtl/>
        </w:rPr>
        <w:t xml:space="preserve"> </w:t>
      </w:r>
      <w:r w:rsidRPr="00D6722D">
        <w:rPr>
          <w:rFonts w:ascii="Simplified Arabic" w:hAnsi="Simplified Arabic" w:cs="Simplified Arabic"/>
          <w:rtl/>
        </w:rPr>
        <w:t xml:space="preserve">(يمكن الوصول إليه في </w:t>
      </w:r>
      <w:r w:rsidRPr="00D6722D">
        <w:rPr>
          <w:rFonts w:ascii="Simplified Arabic" w:hAnsi="Simplified Arabic" w:cs="Simplified Arabic"/>
          <w:sz w:val="18"/>
          <w:szCs w:val="18"/>
          <w:rtl/>
        </w:rPr>
        <w:t>28</w:t>
      </w:r>
      <w:r w:rsidRPr="00D6722D">
        <w:rPr>
          <w:rFonts w:ascii="Simplified Arabic" w:hAnsi="Simplified Arabic" w:cs="Simplified Arabic"/>
          <w:rtl/>
        </w:rPr>
        <w:t xml:space="preserve"> أبريل/نيسان </w:t>
      </w:r>
      <w:r w:rsidRPr="00D6722D">
        <w:rPr>
          <w:rFonts w:ascii="Simplified Arabic" w:hAnsi="Simplified Arabic" w:cs="Simplified Arabic"/>
          <w:sz w:val="18"/>
          <w:szCs w:val="18"/>
          <w:rtl/>
        </w:rPr>
        <w:t>2018</w:t>
      </w:r>
      <w:r w:rsidRPr="00D6722D">
        <w:rPr>
          <w:rFonts w:ascii="Simplified Arabic" w:hAnsi="Simplified Arabic" w:cs="Simplified Arabic"/>
          <w:rtl/>
        </w:rPr>
        <w:t>)</w:t>
      </w:r>
      <w:r>
        <w:rPr>
          <w:rFonts w:hint="cs"/>
          <w:rtl/>
        </w:rPr>
        <w:t>.</w:t>
      </w:r>
    </w:p>
  </w:footnote>
  <w:footnote w:id="31">
    <w:p w:rsidR="006840F6" w:rsidRDefault="006840F6">
      <w:pPr>
        <w:pStyle w:val="FootnoteText"/>
        <w:rPr>
          <w:lang w:bidi="ar-EG"/>
        </w:rPr>
      </w:pPr>
      <w:r>
        <w:rPr>
          <w:rStyle w:val="FootnoteReference"/>
        </w:rPr>
        <w:footnoteRef/>
      </w:r>
      <w:r>
        <w:rPr>
          <w:rtl/>
        </w:rPr>
        <w:t xml:space="preserve"> </w:t>
      </w:r>
      <w:hyperlink r:id="rId22" w:history="1">
        <w:r w:rsidRPr="00B174F3">
          <w:rPr>
            <w:rStyle w:val="Hyperlink"/>
            <w:snapToGrid w:val="0"/>
            <w:kern w:val="18"/>
            <w:sz w:val="18"/>
            <w:szCs w:val="18"/>
          </w:rPr>
          <w:t>https://www.iucn.org/sites/dev/files/eicat_standard_version_1_may_2017.pdf</w:t>
        </w:r>
      </w:hyperlink>
      <w:r>
        <w:rPr>
          <w:rFonts w:hint="cs"/>
          <w:rtl/>
        </w:rPr>
        <w:t>.</w:t>
      </w:r>
    </w:p>
  </w:footnote>
  <w:footnote w:id="32">
    <w:p w:rsidR="006840F6" w:rsidRDefault="006840F6">
      <w:pPr>
        <w:pStyle w:val="FootnoteText"/>
        <w:rPr>
          <w:lang w:bidi="ar-EG"/>
        </w:rPr>
      </w:pPr>
      <w:r>
        <w:rPr>
          <w:rStyle w:val="FootnoteReference"/>
        </w:rPr>
        <w:footnoteRef/>
      </w:r>
      <w:r>
        <w:rPr>
          <w:rtl/>
        </w:rPr>
        <w:t xml:space="preserve"> </w:t>
      </w:r>
      <w:r>
        <w:rPr>
          <w:rFonts w:ascii="Simplified Arabic" w:hAnsi="Simplified Arabic" w:cs="Simplified Arabic" w:hint="cs"/>
          <w:rtl/>
        </w:rPr>
        <w:t>يتألف فريق الاتصال المشترك بين الوكالات والمعني بالأنواع الغريبة الغازية حاليا من المنظمات الدولية التالي</w:t>
      </w:r>
      <w:r w:rsidR="00DD5A97">
        <w:rPr>
          <w:rFonts w:ascii="Simplified Arabic" w:hAnsi="Simplified Arabic" w:cs="Simplified Arabic" w:hint="cs"/>
          <w:rtl/>
        </w:rPr>
        <w:t>ة</w:t>
      </w:r>
      <w:r>
        <w:rPr>
          <w:rFonts w:ascii="Simplified Arabic" w:hAnsi="Simplified Arabic" w:cs="Simplified Arabic" w:hint="cs"/>
          <w:rtl/>
        </w:rPr>
        <w:t>: المركز الدولي للزراعة والعلوم البيولوجية؛ والاتفاقية المتعلقة بالتنوع البيولوجي؛ واتفاقية الاتّجار الد</w:t>
      </w:r>
      <w:r w:rsidR="00745F70">
        <w:rPr>
          <w:rFonts w:ascii="Simplified Arabic" w:hAnsi="Simplified Arabic" w:cs="Simplified Arabic" w:hint="cs"/>
          <w:rtl/>
        </w:rPr>
        <w:t>و</w:t>
      </w:r>
      <w:r>
        <w:rPr>
          <w:rFonts w:ascii="Simplified Arabic" w:hAnsi="Simplified Arabic" w:cs="Simplified Arabic" w:hint="cs"/>
          <w:rtl/>
        </w:rPr>
        <w:t>لي بأنواع الحيوانات والنباتات البرية المعرضة للانقراض؛ ومنظمة الأغذية والزراعة للأمم المتحدة؛ ومنظمة الطيران المدني الدولي؛ والمنظمة البحرية الدولية؛ والاتفاقية الدولية لوقاية النباتات؛ والاتحاد الدولي لحفظ الطبيعة والفريق المتخصص المعني بالأنواع الغازية التابع له؛ والمنظمة العالمية لصحة الحيوان؛ والمنظمة العالمية للجمارك؛ ومنظمة التجارة العالمية.</w:t>
      </w:r>
    </w:p>
  </w:footnote>
  <w:footnote w:id="33">
    <w:p w:rsidR="006840F6" w:rsidRDefault="006840F6" w:rsidP="007E1EB8">
      <w:pPr>
        <w:pStyle w:val="FootnoteText"/>
        <w:rPr>
          <w:lang w:bidi="ar-EG"/>
        </w:rPr>
      </w:pPr>
      <w:r>
        <w:rPr>
          <w:rStyle w:val="FootnoteReference"/>
        </w:rPr>
        <w:footnoteRef/>
      </w:r>
      <w:r>
        <w:rPr>
          <w:rtl/>
        </w:rPr>
        <w:t xml:space="preserve"> </w:t>
      </w:r>
      <w:r>
        <w:rPr>
          <w:rFonts w:ascii="Simplified Arabic" w:hAnsi="Simplified Arabic" w:cs="Simplified Arabic" w:hint="cs"/>
          <w:rtl/>
        </w:rPr>
        <w:t xml:space="preserve">من المقرر أن يُعقد في مونتريال، كندا، يومي </w:t>
      </w:r>
      <w:r w:rsidRPr="007E1EB8">
        <w:rPr>
          <w:rFonts w:ascii="Simplified Arabic" w:hAnsi="Simplified Arabic" w:cs="Simplified Arabic" w:hint="cs"/>
          <w:sz w:val="18"/>
          <w:szCs w:val="18"/>
          <w:rtl/>
        </w:rPr>
        <w:t>9</w:t>
      </w:r>
      <w:r>
        <w:rPr>
          <w:rFonts w:ascii="Simplified Arabic" w:hAnsi="Simplified Arabic" w:cs="Simplified Arabic" w:hint="cs"/>
          <w:rtl/>
        </w:rPr>
        <w:t xml:space="preserve"> و</w:t>
      </w:r>
      <w:r w:rsidRPr="007E1EB8">
        <w:rPr>
          <w:rFonts w:ascii="Simplified Arabic" w:hAnsi="Simplified Arabic" w:cs="Simplified Arabic" w:hint="cs"/>
          <w:sz w:val="18"/>
          <w:szCs w:val="18"/>
          <w:rtl/>
        </w:rPr>
        <w:t>11</w:t>
      </w:r>
      <w:r>
        <w:rPr>
          <w:rFonts w:ascii="Simplified Arabic" w:hAnsi="Simplified Arabic" w:cs="Simplified Arabic" w:hint="cs"/>
          <w:rtl/>
        </w:rPr>
        <w:t xml:space="preserve"> يوليو/تموز </w:t>
      </w:r>
      <w:r w:rsidRPr="007E1EB8">
        <w:rPr>
          <w:rFonts w:ascii="Simplified Arabic" w:hAnsi="Simplified Arabic" w:cs="Simplified Arabic" w:hint="cs"/>
          <w:sz w:val="18"/>
          <w:szCs w:val="18"/>
          <w:rtl/>
        </w:rPr>
        <w:t>2018</w:t>
      </w:r>
      <w:r>
        <w:rPr>
          <w:rFonts w:ascii="Simplified Arabic" w:hAnsi="Simplified Arabic" w:cs="Simplified Arabic" w:hint="cs"/>
          <w:rtl/>
        </w:rPr>
        <w:t>.</w:t>
      </w:r>
    </w:p>
  </w:footnote>
  <w:footnote w:id="34">
    <w:p w:rsidR="006840F6" w:rsidRDefault="006840F6">
      <w:pPr>
        <w:pStyle w:val="FootnoteText"/>
        <w:rPr>
          <w:lang w:bidi="ar-EG"/>
        </w:rPr>
      </w:pPr>
      <w:r>
        <w:rPr>
          <w:rStyle w:val="FootnoteReference"/>
        </w:rPr>
        <w:footnoteRef/>
      </w:r>
      <w:r>
        <w:rPr>
          <w:rtl/>
        </w:rPr>
        <w:t xml:space="preserve"> </w:t>
      </w:r>
      <w:r>
        <w:rPr>
          <w:rFonts w:ascii="Simplified Arabic" w:hAnsi="Simplified Arabic" w:cs="Simplified Arabic" w:hint="cs"/>
          <w:sz w:val="22"/>
          <w:rtl/>
          <w:lang w:bidi="ar"/>
        </w:rPr>
        <w:t xml:space="preserve">تقدم أحد الممثلين باعتراض رسمي أثناء العملية المؤدية إلى اعتماد هذا المقرر وشدد على أنه لا يعتقد أن مؤتمر الأطراف يمكن أن يعتمد، بصورة مشروعة، اقتراحا أو نصا في ظل وجود اعتراض رسمي. وأبدى عدد قليل من الممثلين تحفظات بشأن الإجراء الذي أدى إلى اعتماد هذا القرار (انظر الوثيقة </w:t>
      </w:r>
      <w:r w:rsidRPr="00124FA1">
        <w:rPr>
          <w:rFonts w:eastAsia="Yu Mincho"/>
          <w:snapToGrid w:val="0"/>
          <w:kern w:val="18"/>
          <w:sz w:val="18"/>
          <w:szCs w:val="18"/>
        </w:rPr>
        <w:t>UNEP/CBD/COP/6/20</w:t>
      </w:r>
      <w:r>
        <w:rPr>
          <w:rFonts w:ascii="Simplified Arabic" w:hAnsi="Simplified Arabic" w:cs="Simplified Arabic" w:hint="cs"/>
          <w:sz w:val="22"/>
          <w:rtl/>
          <w:lang w:bidi="ar"/>
        </w:rPr>
        <w:t xml:space="preserve">، الفقرات </w:t>
      </w:r>
      <w:r w:rsidRPr="001A54FC">
        <w:rPr>
          <w:rFonts w:ascii="Simplified Arabic" w:hAnsi="Simplified Arabic" w:cs="Simplified Arabic" w:hint="cs"/>
          <w:sz w:val="18"/>
          <w:szCs w:val="18"/>
          <w:rtl/>
          <w:lang w:bidi="ar"/>
        </w:rPr>
        <w:t>294</w:t>
      </w:r>
      <w:r>
        <w:rPr>
          <w:rFonts w:ascii="Simplified Arabic" w:hAnsi="Simplified Arabic" w:cs="Simplified Arabic" w:hint="cs"/>
          <w:sz w:val="22"/>
          <w:rtl/>
          <w:lang w:bidi="ar"/>
        </w:rPr>
        <w:t>-</w:t>
      </w:r>
      <w:r w:rsidRPr="001A54FC">
        <w:rPr>
          <w:rFonts w:ascii="Simplified Arabic" w:hAnsi="Simplified Arabic" w:cs="Simplified Arabic" w:hint="cs"/>
          <w:sz w:val="18"/>
          <w:szCs w:val="18"/>
          <w:rtl/>
          <w:lang w:bidi="ar"/>
        </w:rPr>
        <w:t>324</w:t>
      </w:r>
      <w:r>
        <w:rPr>
          <w:rFonts w:ascii="Simplified Arabic" w:hAnsi="Simplified Arabic" w:cs="Simplified Arabic" w:hint="cs"/>
          <w:sz w:val="22"/>
          <w:rtl/>
          <w:lang w:bidi="ar"/>
        </w:rPr>
        <w:t>).</w:t>
      </w:r>
    </w:p>
  </w:footnote>
  <w:footnote w:id="35">
    <w:p w:rsidR="006840F6" w:rsidRDefault="006840F6">
      <w:pPr>
        <w:pStyle w:val="FootnoteText"/>
        <w:rPr>
          <w:lang w:bidi="ar-EG"/>
        </w:rPr>
      </w:pPr>
      <w:r>
        <w:rPr>
          <w:rStyle w:val="FootnoteReference"/>
        </w:rPr>
        <w:footnoteRef/>
      </w:r>
      <w:r>
        <w:rPr>
          <w:rtl/>
        </w:rPr>
        <w:t xml:space="preserve"> </w:t>
      </w:r>
      <w:hyperlink r:id="rId23" w:history="1">
        <w:r w:rsidRPr="00700B03">
          <w:rPr>
            <w:rStyle w:val="Hyperlink"/>
            <w:snapToGrid w:val="0"/>
            <w:kern w:val="18"/>
            <w:sz w:val="18"/>
            <w:szCs w:val="18"/>
          </w:rPr>
          <w:t>https://www.unece.org/fileadmin/DAM/trans/doc/2014/wp24/CTU_Code_January_2014.pdf</w:t>
        </w:r>
      </w:hyperlink>
      <w:r w:rsidR="00976ED7">
        <w:rPr>
          <w:rFonts w:ascii="Simplified Arabic" w:hAnsi="Simplified Arabic" w:cs="Simplified Arabic" w:hint="cs"/>
          <w:rtl/>
        </w:rPr>
        <w:t>.</w:t>
      </w:r>
    </w:p>
  </w:footnote>
  <w:footnote w:id="36">
    <w:p w:rsidR="006840F6" w:rsidRDefault="006840F6" w:rsidP="00C454E9">
      <w:pPr>
        <w:pStyle w:val="FootnoteText"/>
        <w:rPr>
          <w:lang w:bidi="ar-EG"/>
        </w:rPr>
      </w:pPr>
      <w:r>
        <w:rPr>
          <w:rStyle w:val="FootnoteReference"/>
        </w:rPr>
        <w:footnoteRef/>
      </w:r>
      <w:r>
        <w:rPr>
          <w:rtl/>
        </w:rPr>
        <w:t xml:space="preserve"> </w:t>
      </w:r>
      <w:r>
        <w:rPr>
          <w:rFonts w:ascii="Simplified Arabic" w:hAnsi="Simplified Arabic" w:cs="Simplified Arabic" w:hint="cs"/>
          <w:sz w:val="22"/>
          <w:rtl/>
          <w:lang w:bidi="ar"/>
        </w:rPr>
        <w:t xml:space="preserve">التطهير يعني تطبيق، بعد تنظيف دقيق، الإجراءات الرامية إلى تدمير العوامل المعدية أو الطفيلية </w:t>
      </w:r>
      <w:r w:rsidR="00C454E9">
        <w:rPr>
          <w:rFonts w:ascii="Simplified Arabic" w:hAnsi="Simplified Arabic" w:cs="Simplified Arabic" w:hint="cs"/>
          <w:sz w:val="22"/>
          <w:rtl/>
          <w:lang w:bidi="ar"/>
        </w:rPr>
        <w:t>ل</w:t>
      </w:r>
      <w:r>
        <w:rPr>
          <w:rFonts w:ascii="Simplified Arabic" w:hAnsi="Simplified Arabic" w:cs="Simplified Arabic" w:hint="cs"/>
          <w:sz w:val="22"/>
          <w:rtl/>
          <w:lang w:bidi="ar"/>
        </w:rPr>
        <w:t xml:space="preserve">لأمراض الحيوانية، بما في ذلك الأمراض حيوانية المنشأ؛ وينطبق </w:t>
      </w:r>
      <w:r w:rsidR="00C454E9">
        <w:rPr>
          <w:rFonts w:ascii="Simplified Arabic" w:hAnsi="Simplified Arabic" w:cs="Simplified Arabic" w:hint="cs"/>
          <w:sz w:val="22"/>
          <w:rtl/>
          <w:lang w:bidi="ar"/>
        </w:rPr>
        <w:t>ذلك</w:t>
      </w:r>
      <w:r>
        <w:rPr>
          <w:rFonts w:ascii="Simplified Arabic" w:hAnsi="Simplified Arabic" w:cs="Simplified Arabic" w:hint="cs"/>
          <w:sz w:val="22"/>
          <w:rtl/>
          <w:lang w:bidi="ar"/>
        </w:rPr>
        <w:t xml:space="preserve"> على المباني، والمركبات والأشياء المختلفة التي قد تكون ملوثة بشكل مباشر أو غير مباشر (</w:t>
      </w:r>
      <w:hyperlink r:id="rId24" w:history="1">
        <w:r w:rsidRPr="00286FBF">
          <w:rPr>
            <w:rStyle w:val="Hyperlink"/>
            <w:rFonts w:ascii="Simplified Arabic" w:hAnsi="Simplified Arabic" w:cs="Simplified Arabic" w:hint="cs"/>
            <w:sz w:val="22"/>
            <w:rtl/>
            <w:lang w:bidi="ar"/>
          </w:rPr>
          <w:t>مدونة صحة الحيوانات الأرضية للمنظمة العالمية لصحة الحيوان</w:t>
        </w:r>
      </w:hyperlink>
      <w:r>
        <w:rPr>
          <w:rFonts w:ascii="Simplified Arabic" w:hAnsi="Simplified Arabic" w:cs="Simplified Arabic" w:hint="cs"/>
          <w:sz w:val="22"/>
          <w:rtl/>
          <w:lang w:bidi="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F6" w:rsidRPr="006B57BC" w:rsidRDefault="006840F6" w:rsidP="00BA133E">
    <w:pPr>
      <w:tabs>
        <w:tab w:val="left" w:pos="6379"/>
      </w:tabs>
      <w:bidi w:val="0"/>
      <w:ind w:left="6237" w:hanging="477"/>
      <w:jc w:val="right"/>
      <w:rPr>
        <w:sz w:val="22"/>
        <w:szCs w:val="22"/>
      </w:rPr>
    </w:pPr>
    <w:r w:rsidRPr="00650EFC">
      <w:rPr>
        <w:sz w:val="22"/>
        <w:szCs w:val="22"/>
      </w:rPr>
      <w:t>CBD/SBSTTA/</w:t>
    </w:r>
    <w:r w:rsidRPr="00650EFC">
      <w:rPr>
        <w:sz w:val="22"/>
        <w:szCs w:val="22"/>
        <w:lang w:bidi="ar-EG"/>
      </w:rPr>
      <w:t>2</w:t>
    </w:r>
    <w:r>
      <w:rPr>
        <w:sz w:val="22"/>
        <w:szCs w:val="22"/>
        <w:lang w:bidi="ar-EG"/>
      </w:rPr>
      <w:t>2</w:t>
    </w:r>
    <w:r w:rsidRPr="00650EFC">
      <w:rPr>
        <w:rFonts w:cs="Times New Roman"/>
        <w:sz w:val="22"/>
        <w:szCs w:val="22"/>
        <w:lang w:bidi="ar-EG"/>
      </w:rPr>
      <w:t>/</w:t>
    </w:r>
    <w:r>
      <w:rPr>
        <w:rFonts w:cs="Times New Roman" w:hint="cs"/>
        <w:sz w:val="22"/>
        <w:szCs w:val="22"/>
        <w:rtl/>
        <w:lang w:bidi="ar-EG"/>
      </w:rPr>
      <w:t>9</w:t>
    </w:r>
  </w:p>
  <w:p w:rsidR="006840F6" w:rsidRPr="00084BB4" w:rsidRDefault="006840F6" w:rsidP="00B30E50">
    <w:pPr>
      <w:tabs>
        <w:tab w:val="left" w:pos="6379"/>
      </w:tabs>
      <w:bidi w:val="0"/>
      <w:ind w:left="6237"/>
      <w:jc w:val="righ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670531">
      <w:rPr>
        <w:noProof/>
        <w:sz w:val="22"/>
        <w:szCs w:val="22"/>
      </w:rPr>
      <w:t>12</w:t>
    </w:r>
    <w:r w:rsidRPr="00BF5722">
      <w:rPr>
        <w:sz w:val="22"/>
        <w:szCs w:val="22"/>
      </w:rPr>
      <w:fldChar w:fldCharType="end"/>
    </w:r>
  </w:p>
  <w:p w:rsidR="006840F6" w:rsidRPr="00FF65D5" w:rsidRDefault="006840F6" w:rsidP="00B30E50">
    <w:pPr>
      <w:pStyle w:val="Header"/>
      <w:bidi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F6" w:rsidRPr="00176BCC" w:rsidRDefault="006840F6" w:rsidP="00BA133E">
    <w:pPr>
      <w:tabs>
        <w:tab w:val="left" w:pos="6379"/>
      </w:tabs>
      <w:bidi w:val="0"/>
      <w:jc w:val="left"/>
      <w:rPr>
        <w:sz w:val="22"/>
        <w:szCs w:val="22"/>
        <w:lang w:val="en-CA"/>
      </w:rPr>
    </w:pPr>
    <w:r w:rsidRPr="00650EFC">
      <w:rPr>
        <w:sz w:val="22"/>
        <w:szCs w:val="22"/>
      </w:rPr>
      <w:t>CBD/SBSTTA/</w:t>
    </w:r>
    <w:r w:rsidRPr="00650EFC">
      <w:rPr>
        <w:sz w:val="22"/>
        <w:szCs w:val="22"/>
        <w:lang w:bidi="ar-EG"/>
      </w:rPr>
      <w:t>2</w:t>
    </w:r>
    <w:r>
      <w:rPr>
        <w:sz w:val="22"/>
        <w:szCs w:val="22"/>
        <w:lang w:bidi="ar-EG"/>
      </w:rPr>
      <w:t>2</w:t>
    </w:r>
    <w:r w:rsidRPr="00650EFC">
      <w:rPr>
        <w:rFonts w:cs="Times New Roman"/>
        <w:sz w:val="22"/>
        <w:szCs w:val="22"/>
        <w:lang w:bidi="ar-EG"/>
      </w:rPr>
      <w:t>/</w:t>
    </w:r>
    <w:r>
      <w:rPr>
        <w:rFonts w:cs="Times New Roman" w:hint="cs"/>
        <w:sz w:val="22"/>
        <w:szCs w:val="22"/>
        <w:rtl/>
        <w:lang w:bidi="ar-EG"/>
      </w:rPr>
      <w:t>9</w:t>
    </w:r>
  </w:p>
  <w:p w:rsidR="006840F6" w:rsidRPr="00084BB4" w:rsidRDefault="006840F6" w:rsidP="00FF65D5">
    <w:pPr>
      <w:tabs>
        <w:tab w:val="left" w:pos="6379"/>
      </w:tabs>
      <w:bidi w:val="0"/>
      <w:jc w:val="lef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670531">
      <w:rPr>
        <w:noProof/>
        <w:sz w:val="22"/>
        <w:szCs w:val="22"/>
      </w:rPr>
      <w:t>11</w:t>
    </w:r>
    <w:r w:rsidRPr="00BF5722">
      <w:rPr>
        <w:sz w:val="22"/>
        <w:szCs w:val="22"/>
      </w:rPr>
      <w:fldChar w:fldCharType="end"/>
    </w:r>
  </w:p>
  <w:p w:rsidR="006840F6" w:rsidRPr="00FF65D5" w:rsidRDefault="006840F6" w:rsidP="00FF65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F6" w:rsidRPr="00084BB4" w:rsidRDefault="006840F6" w:rsidP="00FF65D5">
    <w:pPr>
      <w:tabs>
        <w:tab w:val="left" w:pos="6379"/>
      </w:tabs>
      <w:bidi w:val="0"/>
      <w:jc w:val="lef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987F4A"/>
    <w:multiLevelType w:val="hybridMultilevel"/>
    <w:tmpl w:val="C278F9AE"/>
    <w:lvl w:ilvl="0" w:tplc="F9806AAA">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D5864B1"/>
    <w:multiLevelType w:val="hybridMultilevel"/>
    <w:tmpl w:val="BE9E2D60"/>
    <w:lvl w:ilvl="0" w:tplc="2592DA28">
      <w:start w:val="1"/>
      <w:numFmt w:val="decimal"/>
      <w:lvlText w:val="%1-"/>
      <w:lvlJc w:val="left"/>
      <w:pPr>
        <w:ind w:left="1786" w:hanging="720"/>
      </w:pPr>
    </w:lvl>
    <w:lvl w:ilvl="1" w:tplc="10090019">
      <w:start w:val="1"/>
      <w:numFmt w:val="lowerLetter"/>
      <w:lvlText w:val="%2."/>
      <w:lvlJc w:val="left"/>
      <w:pPr>
        <w:ind w:left="2146" w:hanging="360"/>
      </w:pPr>
    </w:lvl>
    <w:lvl w:ilvl="2" w:tplc="1009001B">
      <w:start w:val="1"/>
      <w:numFmt w:val="lowerRoman"/>
      <w:lvlText w:val="%3."/>
      <w:lvlJc w:val="right"/>
      <w:pPr>
        <w:ind w:left="2866" w:hanging="180"/>
      </w:pPr>
    </w:lvl>
    <w:lvl w:ilvl="3" w:tplc="1009000F">
      <w:start w:val="1"/>
      <w:numFmt w:val="decimal"/>
      <w:lvlText w:val="%4."/>
      <w:lvlJc w:val="left"/>
      <w:pPr>
        <w:ind w:left="3586" w:hanging="360"/>
      </w:pPr>
    </w:lvl>
    <w:lvl w:ilvl="4" w:tplc="10090019">
      <w:start w:val="1"/>
      <w:numFmt w:val="lowerLetter"/>
      <w:lvlText w:val="%5."/>
      <w:lvlJc w:val="left"/>
      <w:pPr>
        <w:ind w:left="4306" w:hanging="360"/>
      </w:pPr>
    </w:lvl>
    <w:lvl w:ilvl="5" w:tplc="1009001B">
      <w:start w:val="1"/>
      <w:numFmt w:val="lowerRoman"/>
      <w:lvlText w:val="%6."/>
      <w:lvlJc w:val="right"/>
      <w:pPr>
        <w:ind w:left="5026" w:hanging="180"/>
      </w:pPr>
    </w:lvl>
    <w:lvl w:ilvl="6" w:tplc="1009000F">
      <w:start w:val="1"/>
      <w:numFmt w:val="decimal"/>
      <w:lvlText w:val="%7."/>
      <w:lvlJc w:val="left"/>
      <w:pPr>
        <w:ind w:left="5746" w:hanging="360"/>
      </w:pPr>
    </w:lvl>
    <w:lvl w:ilvl="7" w:tplc="10090019">
      <w:start w:val="1"/>
      <w:numFmt w:val="lowerLetter"/>
      <w:lvlText w:val="%8."/>
      <w:lvlJc w:val="left"/>
      <w:pPr>
        <w:ind w:left="6466" w:hanging="360"/>
      </w:pPr>
    </w:lvl>
    <w:lvl w:ilvl="8" w:tplc="1009001B">
      <w:start w:val="1"/>
      <w:numFmt w:val="lowerRoman"/>
      <w:lvlText w:val="%9."/>
      <w:lvlJc w:val="right"/>
      <w:pPr>
        <w:ind w:left="7186" w:hanging="180"/>
      </w:pPr>
    </w:lvl>
  </w:abstractNum>
  <w:abstractNum w:abstractNumId="3"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B67B68"/>
    <w:multiLevelType w:val="hybridMultilevel"/>
    <w:tmpl w:val="7F72AF3E"/>
    <w:lvl w:ilvl="0" w:tplc="F21245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6"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F975207"/>
    <w:multiLevelType w:val="hybridMultilevel"/>
    <w:tmpl w:val="510A5F6A"/>
    <w:lvl w:ilvl="0" w:tplc="4BEAE4C2">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C21DB2"/>
    <w:multiLevelType w:val="hybridMultilevel"/>
    <w:tmpl w:val="CF48B86C"/>
    <w:lvl w:ilvl="0" w:tplc="4BEAE4C2">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36F1A06"/>
    <w:multiLevelType w:val="hybridMultilevel"/>
    <w:tmpl w:val="05D04A90"/>
    <w:lvl w:ilvl="0" w:tplc="90D609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13"/>
  </w:num>
  <w:num w:numId="3">
    <w:abstractNumId w:val="8"/>
  </w:num>
  <w:num w:numId="4">
    <w:abstractNumId w:val="6"/>
  </w:num>
  <w:num w:numId="5">
    <w:abstractNumId w:val="0"/>
  </w:num>
  <w:num w:numId="6">
    <w:abstractNumId w:val="3"/>
  </w:num>
  <w:num w:numId="7">
    <w:abstractNumId w:val="11"/>
  </w:num>
  <w:num w:numId="8">
    <w:abstractNumId w:val="14"/>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8"/>
    </w:lvlOverride>
  </w:num>
  <w:num w:numId="13">
    <w:abstractNumId w:val="1"/>
  </w:num>
  <w:num w:numId="14">
    <w:abstractNumId w:val="9"/>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324"/>
    <w:rsid w:val="00000127"/>
    <w:rsid w:val="00001033"/>
    <w:rsid w:val="00001335"/>
    <w:rsid w:val="00001FD1"/>
    <w:rsid w:val="0000220F"/>
    <w:rsid w:val="000039B6"/>
    <w:rsid w:val="000047DC"/>
    <w:rsid w:val="00004E02"/>
    <w:rsid w:val="00004F1B"/>
    <w:rsid w:val="000056A7"/>
    <w:rsid w:val="00005C6B"/>
    <w:rsid w:val="00006287"/>
    <w:rsid w:val="0000629F"/>
    <w:rsid w:val="00006B3C"/>
    <w:rsid w:val="00007338"/>
    <w:rsid w:val="0000770F"/>
    <w:rsid w:val="00007E58"/>
    <w:rsid w:val="00010174"/>
    <w:rsid w:val="00010F2A"/>
    <w:rsid w:val="000144D3"/>
    <w:rsid w:val="00014C62"/>
    <w:rsid w:val="00014DC6"/>
    <w:rsid w:val="00015DC4"/>
    <w:rsid w:val="00016B4E"/>
    <w:rsid w:val="00017621"/>
    <w:rsid w:val="00017D1A"/>
    <w:rsid w:val="000213DE"/>
    <w:rsid w:val="00022D4B"/>
    <w:rsid w:val="00022FBA"/>
    <w:rsid w:val="00023967"/>
    <w:rsid w:val="00024250"/>
    <w:rsid w:val="0002474B"/>
    <w:rsid w:val="0002523A"/>
    <w:rsid w:val="00025E2A"/>
    <w:rsid w:val="00027140"/>
    <w:rsid w:val="000272C6"/>
    <w:rsid w:val="00027F72"/>
    <w:rsid w:val="000300D1"/>
    <w:rsid w:val="00030485"/>
    <w:rsid w:val="00030C8C"/>
    <w:rsid w:val="0003135B"/>
    <w:rsid w:val="00031468"/>
    <w:rsid w:val="00031FBE"/>
    <w:rsid w:val="000326E4"/>
    <w:rsid w:val="000334A6"/>
    <w:rsid w:val="00033F9A"/>
    <w:rsid w:val="00034043"/>
    <w:rsid w:val="00034910"/>
    <w:rsid w:val="0003607A"/>
    <w:rsid w:val="00036F64"/>
    <w:rsid w:val="000408ED"/>
    <w:rsid w:val="00040FA5"/>
    <w:rsid w:val="00041299"/>
    <w:rsid w:val="000418B0"/>
    <w:rsid w:val="00041FD9"/>
    <w:rsid w:val="00043D1B"/>
    <w:rsid w:val="00044AAF"/>
    <w:rsid w:val="00044EB4"/>
    <w:rsid w:val="0004504F"/>
    <w:rsid w:val="00045E3C"/>
    <w:rsid w:val="00046170"/>
    <w:rsid w:val="0004712C"/>
    <w:rsid w:val="000518A5"/>
    <w:rsid w:val="000518AA"/>
    <w:rsid w:val="00051A6E"/>
    <w:rsid w:val="00052817"/>
    <w:rsid w:val="00053725"/>
    <w:rsid w:val="0005429D"/>
    <w:rsid w:val="0005468E"/>
    <w:rsid w:val="000555C6"/>
    <w:rsid w:val="00056818"/>
    <w:rsid w:val="000569D7"/>
    <w:rsid w:val="00056B97"/>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3D8B"/>
    <w:rsid w:val="00064142"/>
    <w:rsid w:val="00064701"/>
    <w:rsid w:val="000647C5"/>
    <w:rsid w:val="00065187"/>
    <w:rsid w:val="000659D4"/>
    <w:rsid w:val="00065D74"/>
    <w:rsid w:val="00065EAD"/>
    <w:rsid w:val="00066168"/>
    <w:rsid w:val="000673FE"/>
    <w:rsid w:val="00070DE2"/>
    <w:rsid w:val="00070EF1"/>
    <w:rsid w:val="00071AA3"/>
    <w:rsid w:val="00072556"/>
    <w:rsid w:val="000730AE"/>
    <w:rsid w:val="0007477C"/>
    <w:rsid w:val="000748F0"/>
    <w:rsid w:val="00074A52"/>
    <w:rsid w:val="00075A8A"/>
    <w:rsid w:val="000770F3"/>
    <w:rsid w:val="000777DF"/>
    <w:rsid w:val="00077DAB"/>
    <w:rsid w:val="0008009F"/>
    <w:rsid w:val="00080B30"/>
    <w:rsid w:val="00081999"/>
    <w:rsid w:val="000839A2"/>
    <w:rsid w:val="00084BB4"/>
    <w:rsid w:val="00085341"/>
    <w:rsid w:val="000858CA"/>
    <w:rsid w:val="000867EE"/>
    <w:rsid w:val="00086ADE"/>
    <w:rsid w:val="0008758D"/>
    <w:rsid w:val="00087C19"/>
    <w:rsid w:val="000904A8"/>
    <w:rsid w:val="000916BE"/>
    <w:rsid w:val="00091948"/>
    <w:rsid w:val="00092667"/>
    <w:rsid w:val="0009290C"/>
    <w:rsid w:val="00093760"/>
    <w:rsid w:val="00093B35"/>
    <w:rsid w:val="00093F2D"/>
    <w:rsid w:val="00094391"/>
    <w:rsid w:val="00094D7F"/>
    <w:rsid w:val="00095854"/>
    <w:rsid w:val="00096F83"/>
    <w:rsid w:val="00097021"/>
    <w:rsid w:val="00097777"/>
    <w:rsid w:val="000A043F"/>
    <w:rsid w:val="000A05B7"/>
    <w:rsid w:val="000A0836"/>
    <w:rsid w:val="000A0B70"/>
    <w:rsid w:val="000A10E4"/>
    <w:rsid w:val="000A1281"/>
    <w:rsid w:val="000A151F"/>
    <w:rsid w:val="000A1661"/>
    <w:rsid w:val="000A1E30"/>
    <w:rsid w:val="000A2405"/>
    <w:rsid w:val="000A395A"/>
    <w:rsid w:val="000A52DA"/>
    <w:rsid w:val="000A5398"/>
    <w:rsid w:val="000A5B08"/>
    <w:rsid w:val="000A776F"/>
    <w:rsid w:val="000A792D"/>
    <w:rsid w:val="000B013A"/>
    <w:rsid w:val="000B0213"/>
    <w:rsid w:val="000B100E"/>
    <w:rsid w:val="000B1E61"/>
    <w:rsid w:val="000B1E95"/>
    <w:rsid w:val="000B2606"/>
    <w:rsid w:val="000B3249"/>
    <w:rsid w:val="000B3997"/>
    <w:rsid w:val="000B4102"/>
    <w:rsid w:val="000B4A2B"/>
    <w:rsid w:val="000B4C76"/>
    <w:rsid w:val="000B4E04"/>
    <w:rsid w:val="000B5A15"/>
    <w:rsid w:val="000B5A66"/>
    <w:rsid w:val="000B5A77"/>
    <w:rsid w:val="000B61A8"/>
    <w:rsid w:val="000B731D"/>
    <w:rsid w:val="000B737A"/>
    <w:rsid w:val="000B7D90"/>
    <w:rsid w:val="000C1221"/>
    <w:rsid w:val="000C1320"/>
    <w:rsid w:val="000C14D0"/>
    <w:rsid w:val="000C1FF3"/>
    <w:rsid w:val="000C2493"/>
    <w:rsid w:val="000C2729"/>
    <w:rsid w:val="000C2D35"/>
    <w:rsid w:val="000C2D6E"/>
    <w:rsid w:val="000C34D2"/>
    <w:rsid w:val="000C381A"/>
    <w:rsid w:val="000C3D18"/>
    <w:rsid w:val="000C4896"/>
    <w:rsid w:val="000C48B3"/>
    <w:rsid w:val="000C49C5"/>
    <w:rsid w:val="000C5662"/>
    <w:rsid w:val="000C697A"/>
    <w:rsid w:val="000C6CB1"/>
    <w:rsid w:val="000C6F97"/>
    <w:rsid w:val="000D09E6"/>
    <w:rsid w:val="000D0AAE"/>
    <w:rsid w:val="000D0AC3"/>
    <w:rsid w:val="000D0E3C"/>
    <w:rsid w:val="000D18D7"/>
    <w:rsid w:val="000D19AB"/>
    <w:rsid w:val="000D1FD4"/>
    <w:rsid w:val="000D2896"/>
    <w:rsid w:val="000D35F4"/>
    <w:rsid w:val="000D481D"/>
    <w:rsid w:val="000D48C6"/>
    <w:rsid w:val="000D4B21"/>
    <w:rsid w:val="000D6011"/>
    <w:rsid w:val="000D707B"/>
    <w:rsid w:val="000D7524"/>
    <w:rsid w:val="000E0176"/>
    <w:rsid w:val="000E01B6"/>
    <w:rsid w:val="000E01D6"/>
    <w:rsid w:val="000E1BBD"/>
    <w:rsid w:val="000E1BD9"/>
    <w:rsid w:val="000E272A"/>
    <w:rsid w:val="000E2BE2"/>
    <w:rsid w:val="000E33F7"/>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F0C9E"/>
    <w:rsid w:val="000F18DF"/>
    <w:rsid w:val="000F22B2"/>
    <w:rsid w:val="000F235F"/>
    <w:rsid w:val="000F2485"/>
    <w:rsid w:val="000F29B8"/>
    <w:rsid w:val="000F3E31"/>
    <w:rsid w:val="000F4052"/>
    <w:rsid w:val="000F5748"/>
    <w:rsid w:val="000F58C1"/>
    <w:rsid w:val="000F5B3D"/>
    <w:rsid w:val="000F7C9C"/>
    <w:rsid w:val="001000A9"/>
    <w:rsid w:val="00100918"/>
    <w:rsid w:val="00101DD4"/>
    <w:rsid w:val="00102599"/>
    <w:rsid w:val="00103222"/>
    <w:rsid w:val="00103AE0"/>
    <w:rsid w:val="0010432E"/>
    <w:rsid w:val="001044C2"/>
    <w:rsid w:val="001061E2"/>
    <w:rsid w:val="0010717E"/>
    <w:rsid w:val="0010734B"/>
    <w:rsid w:val="00107AB9"/>
    <w:rsid w:val="00107C58"/>
    <w:rsid w:val="00107E92"/>
    <w:rsid w:val="00110E2E"/>
    <w:rsid w:val="0011130E"/>
    <w:rsid w:val="00111693"/>
    <w:rsid w:val="00111839"/>
    <w:rsid w:val="0011229F"/>
    <w:rsid w:val="00112A0C"/>
    <w:rsid w:val="00112AC9"/>
    <w:rsid w:val="00113131"/>
    <w:rsid w:val="00113889"/>
    <w:rsid w:val="00113C4A"/>
    <w:rsid w:val="00114272"/>
    <w:rsid w:val="0011477C"/>
    <w:rsid w:val="00115994"/>
    <w:rsid w:val="00117321"/>
    <w:rsid w:val="0011791F"/>
    <w:rsid w:val="00117A4B"/>
    <w:rsid w:val="00117DE2"/>
    <w:rsid w:val="00117E49"/>
    <w:rsid w:val="0012044D"/>
    <w:rsid w:val="001207B2"/>
    <w:rsid w:val="0012117C"/>
    <w:rsid w:val="00121E3A"/>
    <w:rsid w:val="00122BDE"/>
    <w:rsid w:val="001243B6"/>
    <w:rsid w:val="00124FA1"/>
    <w:rsid w:val="00126DCB"/>
    <w:rsid w:val="001306C4"/>
    <w:rsid w:val="00130D85"/>
    <w:rsid w:val="00131C2E"/>
    <w:rsid w:val="00132236"/>
    <w:rsid w:val="001333F6"/>
    <w:rsid w:val="0013397B"/>
    <w:rsid w:val="001344FD"/>
    <w:rsid w:val="001359E9"/>
    <w:rsid w:val="00136622"/>
    <w:rsid w:val="001367D4"/>
    <w:rsid w:val="00136BDC"/>
    <w:rsid w:val="00136E5D"/>
    <w:rsid w:val="0013743A"/>
    <w:rsid w:val="001376BF"/>
    <w:rsid w:val="0014028D"/>
    <w:rsid w:val="00140467"/>
    <w:rsid w:val="00141238"/>
    <w:rsid w:val="0014128C"/>
    <w:rsid w:val="00141B5B"/>
    <w:rsid w:val="00141DCF"/>
    <w:rsid w:val="00142099"/>
    <w:rsid w:val="0014267A"/>
    <w:rsid w:val="00142CE1"/>
    <w:rsid w:val="00143020"/>
    <w:rsid w:val="00143185"/>
    <w:rsid w:val="001433E8"/>
    <w:rsid w:val="001438E4"/>
    <w:rsid w:val="00144281"/>
    <w:rsid w:val="00144511"/>
    <w:rsid w:val="00144673"/>
    <w:rsid w:val="00145BE8"/>
    <w:rsid w:val="0014606A"/>
    <w:rsid w:val="00146A70"/>
    <w:rsid w:val="00146C0B"/>
    <w:rsid w:val="0014701D"/>
    <w:rsid w:val="0015389D"/>
    <w:rsid w:val="00153A4B"/>
    <w:rsid w:val="00153D05"/>
    <w:rsid w:val="00153D62"/>
    <w:rsid w:val="00153EB0"/>
    <w:rsid w:val="001545AB"/>
    <w:rsid w:val="0015460F"/>
    <w:rsid w:val="00154685"/>
    <w:rsid w:val="00155463"/>
    <w:rsid w:val="00161C76"/>
    <w:rsid w:val="00162099"/>
    <w:rsid w:val="001635E6"/>
    <w:rsid w:val="00163E06"/>
    <w:rsid w:val="00163EB7"/>
    <w:rsid w:val="0016566C"/>
    <w:rsid w:val="00165D77"/>
    <w:rsid w:val="0016621D"/>
    <w:rsid w:val="001676FE"/>
    <w:rsid w:val="0017009A"/>
    <w:rsid w:val="00171A91"/>
    <w:rsid w:val="00171CC9"/>
    <w:rsid w:val="001728CF"/>
    <w:rsid w:val="00172EF1"/>
    <w:rsid w:val="00173FC2"/>
    <w:rsid w:val="00176483"/>
    <w:rsid w:val="00176BCC"/>
    <w:rsid w:val="0017757C"/>
    <w:rsid w:val="00177826"/>
    <w:rsid w:val="00177BAA"/>
    <w:rsid w:val="00181A29"/>
    <w:rsid w:val="00181C37"/>
    <w:rsid w:val="00182117"/>
    <w:rsid w:val="00183A60"/>
    <w:rsid w:val="00183B25"/>
    <w:rsid w:val="00184104"/>
    <w:rsid w:val="001842C5"/>
    <w:rsid w:val="0018508B"/>
    <w:rsid w:val="00185827"/>
    <w:rsid w:val="00185DC3"/>
    <w:rsid w:val="00186890"/>
    <w:rsid w:val="00187013"/>
    <w:rsid w:val="001904F0"/>
    <w:rsid w:val="001905D4"/>
    <w:rsid w:val="0019075C"/>
    <w:rsid w:val="001910DD"/>
    <w:rsid w:val="001910F3"/>
    <w:rsid w:val="00191391"/>
    <w:rsid w:val="0019279D"/>
    <w:rsid w:val="0019349C"/>
    <w:rsid w:val="00194B47"/>
    <w:rsid w:val="00195913"/>
    <w:rsid w:val="001964E7"/>
    <w:rsid w:val="00197CD2"/>
    <w:rsid w:val="001A0740"/>
    <w:rsid w:val="001A0BB5"/>
    <w:rsid w:val="001A1396"/>
    <w:rsid w:val="001A1C55"/>
    <w:rsid w:val="001A2111"/>
    <w:rsid w:val="001A3186"/>
    <w:rsid w:val="001A3254"/>
    <w:rsid w:val="001A46DB"/>
    <w:rsid w:val="001A4A2D"/>
    <w:rsid w:val="001A54D5"/>
    <w:rsid w:val="001A54FC"/>
    <w:rsid w:val="001A5503"/>
    <w:rsid w:val="001A68D9"/>
    <w:rsid w:val="001A7344"/>
    <w:rsid w:val="001A79A3"/>
    <w:rsid w:val="001B2191"/>
    <w:rsid w:val="001B2595"/>
    <w:rsid w:val="001B3654"/>
    <w:rsid w:val="001B3E97"/>
    <w:rsid w:val="001B404D"/>
    <w:rsid w:val="001B4262"/>
    <w:rsid w:val="001B4E40"/>
    <w:rsid w:val="001B6250"/>
    <w:rsid w:val="001B6F23"/>
    <w:rsid w:val="001B7F92"/>
    <w:rsid w:val="001C0AA6"/>
    <w:rsid w:val="001C17FA"/>
    <w:rsid w:val="001C200E"/>
    <w:rsid w:val="001C2717"/>
    <w:rsid w:val="001C44E3"/>
    <w:rsid w:val="001C52BF"/>
    <w:rsid w:val="001C5805"/>
    <w:rsid w:val="001C597D"/>
    <w:rsid w:val="001C5AEE"/>
    <w:rsid w:val="001C6CFD"/>
    <w:rsid w:val="001C7861"/>
    <w:rsid w:val="001C7BD2"/>
    <w:rsid w:val="001C7F36"/>
    <w:rsid w:val="001D0217"/>
    <w:rsid w:val="001D02C3"/>
    <w:rsid w:val="001D0DF6"/>
    <w:rsid w:val="001D3924"/>
    <w:rsid w:val="001D45C6"/>
    <w:rsid w:val="001D5549"/>
    <w:rsid w:val="001D6114"/>
    <w:rsid w:val="001D6EAC"/>
    <w:rsid w:val="001D7ADB"/>
    <w:rsid w:val="001E0D3A"/>
    <w:rsid w:val="001E1B00"/>
    <w:rsid w:val="001E3A23"/>
    <w:rsid w:val="001E3DC9"/>
    <w:rsid w:val="001E6145"/>
    <w:rsid w:val="001E6E2F"/>
    <w:rsid w:val="001E720C"/>
    <w:rsid w:val="001E755B"/>
    <w:rsid w:val="001E75AC"/>
    <w:rsid w:val="001F05BB"/>
    <w:rsid w:val="001F0EDE"/>
    <w:rsid w:val="001F116D"/>
    <w:rsid w:val="001F1A9B"/>
    <w:rsid w:val="001F3917"/>
    <w:rsid w:val="001F3B35"/>
    <w:rsid w:val="001F550E"/>
    <w:rsid w:val="001F6492"/>
    <w:rsid w:val="001F655A"/>
    <w:rsid w:val="001F7070"/>
    <w:rsid w:val="001F70BC"/>
    <w:rsid w:val="001F7699"/>
    <w:rsid w:val="001F7E62"/>
    <w:rsid w:val="00200285"/>
    <w:rsid w:val="002008DD"/>
    <w:rsid w:val="00200B4B"/>
    <w:rsid w:val="00202230"/>
    <w:rsid w:val="0020291E"/>
    <w:rsid w:val="00202A7D"/>
    <w:rsid w:val="00202FBD"/>
    <w:rsid w:val="0020597A"/>
    <w:rsid w:val="0020663F"/>
    <w:rsid w:val="0020679B"/>
    <w:rsid w:val="00206C65"/>
    <w:rsid w:val="0020757C"/>
    <w:rsid w:val="00207B78"/>
    <w:rsid w:val="00212288"/>
    <w:rsid w:val="00213677"/>
    <w:rsid w:val="00214074"/>
    <w:rsid w:val="00215B52"/>
    <w:rsid w:val="00215CDC"/>
    <w:rsid w:val="00216892"/>
    <w:rsid w:val="00216CC5"/>
    <w:rsid w:val="00216D4D"/>
    <w:rsid w:val="002170F2"/>
    <w:rsid w:val="00217152"/>
    <w:rsid w:val="0021743C"/>
    <w:rsid w:val="0022077F"/>
    <w:rsid w:val="002207FF"/>
    <w:rsid w:val="0022129C"/>
    <w:rsid w:val="002214C4"/>
    <w:rsid w:val="00221F29"/>
    <w:rsid w:val="002224DB"/>
    <w:rsid w:val="00222D10"/>
    <w:rsid w:val="002237BC"/>
    <w:rsid w:val="00224D4B"/>
    <w:rsid w:val="00224E4C"/>
    <w:rsid w:val="0022666F"/>
    <w:rsid w:val="00227066"/>
    <w:rsid w:val="002273B3"/>
    <w:rsid w:val="002276F7"/>
    <w:rsid w:val="00227E29"/>
    <w:rsid w:val="00230B45"/>
    <w:rsid w:val="002328A5"/>
    <w:rsid w:val="00232DEC"/>
    <w:rsid w:val="002366DF"/>
    <w:rsid w:val="0024021E"/>
    <w:rsid w:val="0024076D"/>
    <w:rsid w:val="00240788"/>
    <w:rsid w:val="00241753"/>
    <w:rsid w:val="00241D35"/>
    <w:rsid w:val="002425E8"/>
    <w:rsid w:val="00243136"/>
    <w:rsid w:val="00244971"/>
    <w:rsid w:val="0024513B"/>
    <w:rsid w:val="002462D4"/>
    <w:rsid w:val="002475E9"/>
    <w:rsid w:val="002511E1"/>
    <w:rsid w:val="002512B0"/>
    <w:rsid w:val="0025133F"/>
    <w:rsid w:val="00251EC6"/>
    <w:rsid w:val="00252BBD"/>
    <w:rsid w:val="0025370D"/>
    <w:rsid w:val="00253F95"/>
    <w:rsid w:val="0025456E"/>
    <w:rsid w:val="00255450"/>
    <w:rsid w:val="00255635"/>
    <w:rsid w:val="00255A49"/>
    <w:rsid w:val="002568AD"/>
    <w:rsid w:val="002576AB"/>
    <w:rsid w:val="00260E72"/>
    <w:rsid w:val="00261832"/>
    <w:rsid w:val="002622E7"/>
    <w:rsid w:val="00262590"/>
    <w:rsid w:val="002628E7"/>
    <w:rsid w:val="00262988"/>
    <w:rsid w:val="00262C67"/>
    <w:rsid w:val="002632E2"/>
    <w:rsid w:val="00264564"/>
    <w:rsid w:val="002658A1"/>
    <w:rsid w:val="00265A5D"/>
    <w:rsid w:val="00265BBA"/>
    <w:rsid w:val="00266161"/>
    <w:rsid w:val="00267D60"/>
    <w:rsid w:val="00267DD1"/>
    <w:rsid w:val="00267F40"/>
    <w:rsid w:val="00270F95"/>
    <w:rsid w:val="00271024"/>
    <w:rsid w:val="00271F2D"/>
    <w:rsid w:val="00272866"/>
    <w:rsid w:val="00272959"/>
    <w:rsid w:val="00272DEB"/>
    <w:rsid w:val="0027387D"/>
    <w:rsid w:val="00273A8B"/>
    <w:rsid w:val="00273E98"/>
    <w:rsid w:val="00275585"/>
    <w:rsid w:val="00275B93"/>
    <w:rsid w:val="00276E61"/>
    <w:rsid w:val="002770CA"/>
    <w:rsid w:val="0027728D"/>
    <w:rsid w:val="002805CE"/>
    <w:rsid w:val="002807C8"/>
    <w:rsid w:val="002813E7"/>
    <w:rsid w:val="0028187C"/>
    <w:rsid w:val="00282461"/>
    <w:rsid w:val="00282D8E"/>
    <w:rsid w:val="00282EC5"/>
    <w:rsid w:val="00283D43"/>
    <w:rsid w:val="00285E6A"/>
    <w:rsid w:val="00286468"/>
    <w:rsid w:val="00286812"/>
    <w:rsid w:val="00286ED1"/>
    <w:rsid w:val="00286FBF"/>
    <w:rsid w:val="00287EAE"/>
    <w:rsid w:val="00287F71"/>
    <w:rsid w:val="00290420"/>
    <w:rsid w:val="00290527"/>
    <w:rsid w:val="00290B5C"/>
    <w:rsid w:val="0029356F"/>
    <w:rsid w:val="00293A63"/>
    <w:rsid w:val="00294864"/>
    <w:rsid w:val="00294B37"/>
    <w:rsid w:val="00296069"/>
    <w:rsid w:val="002963EB"/>
    <w:rsid w:val="0029669D"/>
    <w:rsid w:val="002A04CE"/>
    <w:rsid w:val="002A202D"/>
    <w:rsid w:val="002A23AC"/>
    <w:rsid w:val="002A265B"/>
    <w:rsid w:val="002A27D4"/>
    <w:rsid w:val="002A28DA"/>
    <w:rsid w:val="002A2E4B"/>
    <w:rsid w:val="002A333C"/>
    <w:rsid w:val="002A397D"/>
    <w:rsid w:val="002A434B"/>
    <w:rsid w:val="002A4553"/>
    <w:rsid w:val="002A4572"/>
    <w:rsid w:val="002A4D72"/>
    <w:rsid w:val="002A6240"/>
    <w:rsid w:val="002A646F"/>
    <w:rsid w:val="002A6E58"/>
    <w:rsid w:val="002A7996"/>
    <w:rsid w:val="002B1D05"/>
    <w:rsid w:val="002B1DAE"/>
    <w:rsid w:val="002B253C"/>
    <w:rsid w:val="002B2CD5"/>
    <w:rsid w:val="002B2EB6"/>
    <w:rsid w:val="002B3414"/>
    <w:rsid w:val="002B3C22"/>
    <w:rsid w:val="002B415A"/>
    <w:rsid w:val="002B4F51"/>
    <w:rsid w:val="002B52B4"/>
    <w:rsid w:val="002B6343"/>
    <w:rsid w:val="002B6431"/>
    <w:rsid w:val="002B6A2F"/>
    <w:rsid w:val="002B6AE5"/>
    <w:rsid w:val="002C0932"/>
    <w:rsid w:val="002C0EA1"/>
    <w:rsid w:val="002C12CA"/>
    <w:rsid w:val="002C1A96"/>
    <w:rsid w:val="002C2086"/>
    <w:rsid w:val="002C34CE"/>
    <w:rsid w:val="002C3CE2"/>
    <w:rsid w:val="002C4F7A"/>
    <w:rsid w:val="002C5A7E"/>
    <w:rsid w:val="002C62C6"/>
    <w:rsid w:val="002C7811"/>
    <w:rsid w:val="002D04AA"/>
    <w:rsid w:val="002D0B34"/>
    <w:rsid w:val="002D0C4E"/>
    <w:rsid w:val="002D1ADE"/>
    <w:rsid w:val="002D1D6B"/>
    <w:rsid w:val="002D2302"/>
    <w:rsid w:val="002D24DC"/>
    <w:rsid w:val="002D25F5"/>
    <w:rsid w:val="002D2F37"/>
    <w:rsid w:val="002D3EE9"/>
    <w:rsid w:val="002D4279"/>
    <w:rsid w:val="002D448F"/>
    <w:rsid w:val="002D4A9A"/>
    <w:rsid w:val="002D56EB"/>
    <w:rsid w:val="002D5C13"/>
    <w:rsid w:val="002D5C2C"/>
    <w:rsid w:val="002D6006"/>
    <w:rsid w:val="002D677E"/>
    <w:rsid w:val="002D7DA9"/>
    <w:rsid w:val="002E0C4A"/>
    <w:rsid w:val="002E0D57"/>
    <w:rsid w:val="002E228C"/>
    <w:rsid w:val="002E2443"/>
    <w:rsid w:val="002E2B45"/>
    <w:rsid w:val="002E32D6"/>
    <w:rsid w:val="002E4241"/>
    <w:rsid w:val="002E5922"/>
    <w:rsid w:val="002E5BAA"/>
    <w:rsid w:val="002E5E37"/>
    <w:rsid w:val="002E6312"/>
    <w:rsid w:val="002E78F5"/>
    <w:rsid w:val="002E7ED3"/>
    <w:rsid w:val="002F05DD"/>
    <w:rsid w:val="002F159D"/>
    <w:rsid w:val="002F159E"/>
    <w:rsid w:val="002F1744"/>
    <w:rsid w:val="002F437F"/>
    <w:rsid w:val="002F438B"/>
    <w:rsid w:val="002F4DB8"/>
    <w:rsid w:val="002F51C1"/>
    <w:rsid w:val="002F51E3"/>
    <w:rsid w:val="002F5DFE"/>
    <w:rsid w:val="002F6084"/>
    <w:rsid w:val="002F663D"/>
    <w:rsid w:val="002F7451"/>
    <w:rsid w:val="0030012E"/>
    <w:rsid w:val="00300A5B"/>
    <w:rsid w:val="00300E35"/>
    <w:rsid w:val="003020FD"/>
    <w:rsid w:val="003025BD"/>
    <w:rsid w:val="003047D0"/>
    <w:rsid w:val="00306C34"/>
    <w:rsid w:val="003071F4"/>
    <w:rsid w:val="00310720"/>
    <w:rsid w:val="003110D1"/>
    <w:rsid w:val="003111B5"/>
    <w:rsid w:val="0031220C"/>
    <w:rsid w:val="0031246C"/>
    <w:rsid w:val="00313667"/>
    <w:rsid w:val="00314132"/>
    <w:rsid w:val="00315923"/>
    <w:rsid w:val="00315BDA"/>
    <w:rsid w:val="00315EBE"/>
    <w:rsid w:val="00316F74"/>
    <w:rsid w:val="003171A8"/>
    <w:rsid w:val="003178D1"/>
    <w:rsid w:val="00317E03"/>
    <w:rsid w:val="0032102F"/>
    <w:rsid w:val="003212F2"/>
    <w:rsid w:val="00321CA7"/>
    <w:rsid w:val="00321CE0"/>
    <w:rsid w:val="00322217"/>
    <w:rsid w:val="0032335B"/>
    <w:rsid w:val="00323765"/>
    <w:rsid w:val="003248EA"/>
    <w:rsid w:val="003251A2"/>
    <w:rsid w:val="0032547E"/>
    <w:rsid w:val="00325CF6"/>
    <w:rsid w:val="003275D9"/>
    <w:rsid w:val="00330071"/>
    <w:rsid w:val="003301CD"/>
    <w:rsid w:val="00330382"/>
    <w:rsid w:val="003303D8"/>
    <w:rsid w:val="0033059D"/>
    <w:rsid w:val="00330B53"/>
    <w:rsid w:val="00331001"/>
    <w:rsid w:val="003334DC"/>
    <w:rsid w:val="00334735"/>
    <w:rsid w:val="00335CA2"/>
    <w:rsid w:val="00336150"/>
    <w:rsid w:val="0033630C"/>
    <w:rsid w:val="0033693E"/>
    <w:rsid w:val="00336B26"/>
    <w:rsid w:val="00336BDF"/>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645"/>
    <w:rsid w:val="00345C3F"/>
    <w:rsid w:val="00346218"/>
    <w:rsid w:val="00346B08"/>
    <w:rsid w:val="0034745D"/>
    <w:rsid w:val="00347C75"/>
    <w:rsid w:val="00347D0B"/>
    <w:rsid w:val="00350FAA"/>
    <w:rsid w:val="00351A32"/>
    <w:rsid w:val="00351B41"/>
    <w:rsid w:val="00351E54"/>
    <w:rsid w:val="003520FE"/>
    <w:rsid w:val="003522D7"/>
    <w:rsid w:val="00352FE0"/>
    <w:rsid w:val="00353BAB"/>
    <w:rsid w:val="0035440C"/>
    <w:rsid w:val="00354666"/>
    <w:rsid w:val="00354669"/>
    <w:rsid w:val="00354700"/>
    <w:rsid w:val="003548FB"/>
    <w:rsid w:val="00356878"/>
    <w:rsid w:val="00357070"/>
    <w:rsid w:val="003603BF"/>
    <w:rsid w:val="00360460"/>
    <w:rsid w:val="00361B24"/>
    <w:rsid w:val="00361ED7"/>
    <w:rsid w:val="003624B5"/>
    <w:rsid w:val="003640F5"/>
    <w:rsid w:val="003651A1"/>
    <w:rsid w:val="00365BCC"/>
    <w:rsid w:val="00365EC0"/>
    <w:rsid w:val="00367700"/>
    <w:rsid w:val="0036783B"/>
    <w:rsid w:val="00367DD4"/>
    <w:rsid w:val="00370973"/>
    <w:rsid w:val="0037101B"/>
    <w:rsid w:val="003714DD"/>
    <w:rsid w:val="00371CCD"/>
    <w:rsid w:val="00372ACA"/>
    <w:rsid w:val="00373250"/>
    <w:rsid w:val="0037331F"/>
    <w:rsid w:val="00373912"/>
    <w:rsid w:val="003746B2"/>
    <w:rsid w:val="00374733"/>
    <w:rsid w:val="00375E6A"/>
    <w:rsid w:val="00376D5B"/>
    <w:rsid w:val="0037789A"/>
    <w:rsid w:val="003801E4"/>
    <w:rsid w:val="003806BF"/>
    <w:rsid w:val="003806D2"/>
    <w:rsid w:val="00380E2B"/>
    <w:rsid w:val="0038201D"/>
    <w:rsid w:val="0038206B"/>
    <w:rsid w:val="00382C4D"/>
    <w:rsid w:val="003831FF"/>
    <w:rsid w:val="0038449B"/>
    <w:rsid w:val="003848BF"/>
    <w:rsid w:val="00384CAD"/>
    <w:rsid w:val="00386A9E"/>
    <w:rsid w:val="00387245"/>
    <w:rsid w:val="003872C8"/>
    <w:rsid w:val="00387932"/>
    <w:rsid w:val="00387C63"/>
    <w:rsid w:val="00390045"/>
    <w:rsid w:val="00390F4A"/>
    <w:rsid w:val="003922FA"/>
    <w:rsid w:val="0039297B"/>
    <w:rsid w:val="0039388E"/>
    <w:rsid w:val="00393B97"/>
    <w:rsid w:val="00394948"/>
    <w:rsid w:val="00395560"/>
    <w:rsid w:val="00396FD1"/>
    <w:rsid w:val="003971F2"/>
    <w:rsid w:val="003A04DE"/>
    <w:rsid w:val="003A11EE"/>
    <w:rsid w:val="003A20AF"/>
    <w:rsid w:val="003A2B97"/>
    <w:rsid w:val="003A4CFA"/>
    <w:rsid w:val="003A4DF0"/>
    <w:rsid w:val="003A71A8"/>
    <w:rsid w:val="003A76B3"/>
    <w:rsid w:val="003A7759"/>
    <w:rsid w:val="003A7A87"/>
    <w:rsid w:val="003A7B25"/>
    <w:rsid w:val="003A7D34"/>
    <w:rsid w:val="003B1225"/>
    <w:rsid w:val="003B245A"/>
    <w:rsid w:val="003B2F19"/>
    <w:rsid w:val="003B3906"/>
    <w:rsid w:val="003B3CB4"/>
    <w:rsid w:val="003B478A"/>
    <w:rsid w:val="003B5981"/>
    <w:rsid w:val="003B6F3C"/>
    <w:rsid w:val="003B70E0"/>
    <w:rsid w:val="003B7B9D"/>
    <w:rsid w:val="003C134B"/>
    <w:rsid w:val="003C13F1"/>
    <w:rsid w:val="003C3739"/>
    <w:rsid w:val="003C3963"/>
    <w:rsid w:val="003C457F"/>
    <w:rsid w:val="003C45A3"/>
    <w:rsid w:val="003C4A7A"/>
    <w:rsid w:val="003C5470"/>
    <w:rsid w:val="003C6972"/>
    <w:rsid w:val="003C7075"/>
    <w:rsid w:val="003C7BFB"/>
    <w:rsid w:val="003D04D7"/>
    <w:rsid w:val="003D04FD"/>
    <w:rsid w:val="003D2EBE"/>
    <w:rsid w:val="003D3614"/>
    <w:rsid w:val="003D3F82"/>
    <w:rsid w:val="003D441B"/>
    <w:rsid w:val="003D5D71"/>
    <w:rsid w:val="003D68C1"/>
    <w:rsid w:val="003D761D"/>
    <w:rsid w:val="003D7970"/>
    <w:rsid w:val="003E045F"/>
    <w:rsid w:val="003E094E"/>
    <w:rsid w:val="003E0966"/>
    <w:rsid w:val="003E0D3E"/>
    <w:rsid w:val="003E0EE3"/>
    <w:rsid w:val="003E18B4"/>
    <w:rsid w:val="003E1C8A"/>
    <w:rsid w:val="003E1D48"/>
    <w:rsid w:val="003E34A3"/>
    <w:rsid w:val="003E3DC2"/>
    <w:rsid w:val="003E3FA9"/>
    <w:rsid w:val="003E6B08"/>
    <w:rsid w:val="003F07D6"/>
    <w:rsid w:val="003F1E10"/>
    <w:rsid w:val="003F2531"/>
    <w:rsid w:val="003F31CF"/>
    <w:rsid w:val="003F3EE1"/>
    <w:rsid w:val="003F44E9"/>
    <w:rsid w:val="003F4577"/>
    <w:rsid w:val="003F49B2"/>
    <w:rsid w:val="003F507A"/>
    <w:rsid w:val="003F50A1"/>
    <w:rsid w:val="003F6A15"/>
    <w:rsid w:val="003F7000"/>
    <w:rsid w:val="003F756C"/>
    <w:rsid w:val="0040199D"/>
    <w:rsid w:val="00401FD8"/>
    <w:rsid w:val="004020F7"/>
    <w:rsid w:val="004028EE"/>
    <w:rsid w:val="00402FAA"/>
    <w:rsid w:val="00403853"/>
    <w:rsid w:val="004045A7"/>
    <w:rsid w:val="004052E2"/>
    <w:rsid w:val="00406AB0"/>
    <w:rsid w:val="00407375"/>
    <w:rsid w:val="004077DC"/>
    <w:rsid w:val="004110AD"/>
    <w:rsid w:val="0041136A"/>
    <w:rsid w:val="0041177C"/>
    <w:rsid w:val="004121B1"/>
    <w:rsid w:val="004133F6"/>
    <w:rsid w:val="004145EB"/>
    <w:rsid w:val="00415BCE"/>
    <w:rsid w:val="00416071"/>
    <w:rsid w:val="0041654F"/>
    <w:rsid w:val="00416A13"/>
    <w:rsid w:val="00416BB7"/>
    <w:rsid w:val="00417A26"/>
    <w:rsid w:val="00417A9D"/>
    <w:rsid w:val="00417EC1"/>
    <w:rsid w:val="00417ED8"/>
    <w:rsid w:val="00417FA5"/>
    <w:rsid w:val="00420252"/>
    <w:rsid w:val="004204F8"/>
    <w:rsid w:val="00420C8B"/>
    <w:rsid w:val="0042152D"/>
    <w:rsid w:val="00422D6F"/>
    <w:rsid w:val="0042356D"/>
    <w:rsid w:val="004245C1"/>
    <w:rsid w:val="00424615"/>
    <w:rsid w:val="0042675E"/>
    <w:rsid w:val="004270E9"/>
    <w:rsid w:val="004277F4"/>
    <w:rsid w:val="00427BA5"/>
    <w:rsid w:val="00431C8C"/>
    <w:rsid w:val="00432F9B"/>
    <w:rsid w:val="0043311F"/>
    <w:rsid w:val="004339BD"/>
    <w:rsid w:val="00433B07"/>
    <w:rsid w:val="00434855"/>
    <w:rsid w:val="00435749"/>
    <w:rsid w:val="00435795"/>
    <w:rsid w:val="00436043"/>
    <w:rsid w:val="0043620C"/>
    <w:rsid w:val="0043785F"/>
    <w:rsid w:val="00437B06"/>
    <w:rsid w:val="00437E3E"/>
    <w:rsid w:val="00441DFC"/>
    <w:rsid w:val="00441ECA"/>
    <w:rsid w:val="00442BF4"/>
    <w:rsid w:val="00443524"/>
    <w:rsid w:val="00444EE2"/>
    <w:rsid w:val="00447582"/>
    <w:rsid w:val="00450394"/>
    <w:rsid w:val="00450820"/>
    <w:rsid w:val="00450E94"/>
    <w:rsid w:val="00451562"/>
    <w:rsid w:val="00451C96"/>
    <w:rsid w:val="00453D3B"/>
    <w:rsid w:val="004551A3"/>
    <w:rsid w:val="00455334"/>
    <w:rsid w:val="0045566E"/>
    <w:rsid w:val="004558A4"/>
    <w:rsid w:val="0045611A"/>
    <w:rsid w:val="0045712F"/>
    <w:rsid w:val="004600CC"/>
    <w:rsid w:val="00461F46"/>
    <w:rsid w:val="004628F6"/>
    <w:rsid w:val="0046512E"/>
    <w:rsid w:val="00465D31"/>
    <w:rsid w:val="00466704"/>
    <w:rsid w:val="0046688C"/>
    <w:rsid w:val="004717B2"/>
    <w:rsid w:val="00471A29"/>
    <w:rsid w:val="004721F1"/>
    <w:rsid w:val="00473190"/>
    <w:rsid w:val="004735A1"/>
    <w:rsid w:val="0047425F"/>
    <w:rsid w:val="00475A88"/>
    <w:rsid w:val="0047672D"/>
    <w:rsid w:val="00476CE3"/>
    <w:rsid w:val="00477286"/>
    <w:rsid w:val="004778A2"/>
    <w:rsid w:val="0048049E"/>
    <w:rsid w:val="00480D07"/>
    <w:rsid w:val="00482021"/>
    <w:rsid w:val="00482299"/>
    <w:rsid w:val="004824EA"/>
    <w:rsid w:val="0048267C"/>
    <w:rsid w:val="0048277D"/>
    <w:rsid w:val="004837B0"/>
    <w:rsid w:val="004841A0"/>
    <w:rsid w:val="004841BC"/>
    <w:rsid w:val="004855E6"/>
    <w:rsid w:val="00486A22"/>
    <w:rsid w:val="0049054D"/>
    <w:rsid w:val="0049363B"/>
    <w:rsid w:val="00493925"/>
    <w:rsid w:val="00493DE0"/>
    <w:rsid w:val="0049410B"/>
    <w:rsid w:val="00494130"/>
    <w:rsid w:val="0049415A"/>
    <w:rsid w:val="004944FB"/>
    <w:rsid w:val="00494A4B"/>
    <w:rsid w:val="004954EE"/>
    <w:rsid w:val="00495C40"/>
    <w:rsid w:val="00496F31"/>
    <w:rsid w:val="00497003"/>
    <w:rsid w:val="004A1056"/>
    <w:rsid w:val="004A197A"/>
    <w:rsid w:val="004A1BB2"/>
    <w:rsid w:val="004A1BBF"/>
    <w:rsid w:val="004A208D"/>
    <w:rsid w:val="004A2776"/>
    <w:rsid w:val="004A2A64"/>
    <w:rsid w:val="004A38B2"/>
    <w:rsid w:val="004A42BB"/>
    <w:rsid w:val="004A5072"/>
    <w:rsid w:val="004A5D09"/>
    <w:rsid w:val="004A6386"/>
    <w:rsid w:val="004A65FD"/>
    <w:rsid w:val="004A6F65"/>
    <w:rsid w:val="004B1245"/>
    <w:rsid w:val="004B1ACB"/>
    <w:rsid w:val="004B4C87"/>
    <w:rsid w:val="004B5873"/>
    <w:rsid w:val="004B5C58"/>
    <w:rsid w:val="004B743E"/>
    <w:rsid w:val="004C0749"/>
    <w:rsid w:val="004C0B31"/>
    <w:rsid w:val="004C127E"/>
    <w:rsid w:val="004C1D41"/>
    <w:rsid w:val="004C24EA"/>
    <w:rsid w:val="004C2B5D"/>
    <w:rsid w:val="004C3A7B"/>
    <w:rsid w:val="004C3AFD"/>
    <w:rsid w:val="004C40F7"/>
    <w:rsid w:val="004C45FE"/>
    <w:rsid w:val="004C56FF"/>
    <w:rsid w:val="004C59E0"/>
    <w:rsid w:val="004C6651"/>
    <w:rsid w:val="004C6D68"/>
    <w:rsid w:val="004C71D8"/>
    <w:rsid w:val="004C77CA"/>
    <w:rsid w:val="004D0C18"/>
    <w:rsid w:val="004D1F2D"/>
    <w:rsid w:val="004D277D"/>
    <w:rsid w:val="004D2A41"/>
    <w:rsid w:val="004D3A13"/>
    <w:rsid w:val="004D56ED"/>
    <w:rsid w:val="004D5802"/>
    <w:rsid w:val="004E0161"/>
    <w:rsid w:val="004E01DB"/>
    <w:rsid w:val="004E04BB"/>
    <w:rsid w:val="004E11A7"/>
    <w:rsid w:val="004E20B4"/>
    <w:rsid w:val="004E348C"/>
    <w:rsid w:val="004E4D36"/>
    <w:rsid w:val="004E6BDC"/>
    <w:rsid w:val="004E70BC"/>
    <w:rsid w:val="004E735F"/>
    <w:rsid w:val="004F0DD1"/>
    <w:rsid w:val="004F163F"/>
    <w:rsid w:val="004F1B86"/>
    <w:rsid w:val="004F1F24"/>
    <w:rsid w:val="004F203A"/>
    <w:rsid w:val="004F25C6"/>
    <w:rsid w:val="004F2DA8"/>
    <w:rsid w:val="004F2F7E"/>
    <w:rsid w:val="004F2FCA"/>
    <w:rsid w:val="004F2FDC"/>
    <w:rsid w:val="004F38C4"/>
    <w:rsid w:val="004F3E33"/>
    <w:rsid w:val="004F43F5"/>
    <w:rsid w:val="004F6CAD"/>
    <w:rsid w:val="004F7065"/>
    <w:rsid w:val="004F74C1"/>
    <w:rsid w:val="004F7666"/>
    <w:rsid w:val="00500A15"/>
    <w:rsid w:val="00500D9D"/>
    <w:rsid w:val="00503554"/>
    <w:rsid w:val="005038A9"/>
    <w:rsid w:val="00504179"/>
    <w:rsid w:val="00505533"/>
    <w:rsid w:val="00505A4A"/>
    <w:rsid w:val="00506AF8"/>
    <w:rsid w:val="00506CE5"/>
    <w:rsid w:val="00506FFB"/>
    <w:rsid w:val="00511F69"/>
    <w:rsid w:val="00513171"/>
    <w:rsid w:val="00513D31"/>
    <w:rsid w:val="00514D49"/>
    <w:rsid w:val="00515742"/>
    <w:rsid w:val="00520153"/>
    <w:rsid w:val="0052075C"/>
    <w:rsid w:val="00520DF4"/>
    <w:rsid w:val="00521B8D"/>
    <w:rsid w:val="00521EBE"/>
    <w:rsid w:val="00522231"/>
    <w:rsid w:val="005225B9"/>
    <w:rsid w:val="00523006"/>
    <w:rsid w:val="00523170"/>
    <w:rsid w:val="0052446C"/>
    <w:rsid w:val="00525218"/>
    <w:rsid w:val="00525BCC"/>
    <w:rsid w:val="00525C68"/>
    <w:rsid w:val="005261FF"/>
    <w:rsid w:val="00527119"/>
    <w:rsid w:val="005271EA"/>
    <w:rsid w:val="005274FE"/>
    <w:rsid w:val="00527AB0"/>
    <w:rsid w:val="00527BCB"/>
    <w:rsid w:val="0053036B"/>
    <w:rsid w:val="0053062B"/>
    <w:rsid w:val="005306E4"/>
    <w:rsid w:val="0053157E"/>
    <w:rsid w:val="00531B33"/>
    <w:rsid w:val="00531E0F"/>
    <w:rsid w:val="005320B7"/>
    <w:rsid w:val="005320DC"/>
    <w:rsid w:val="00532ECD"/>
    <w:rsid w:val="005331D8"/>
    <w:rsid w:val="005332A0"/>
    <w:rsid w:val="005337A9"/>
    <w:rsid w:val="005337BD"/>
    <w:rsid w:val="00533B6A"/>
    <w:rsid w:val="00534418"/>
    <w:rsid w:val="0053449E"/>
    <w:rsid w:val="0053465A"/>
    <w:rsid w:val="00534D44"/>
    <w:rsid w:val="00534D8C"/>
    <w:rsid w:val="005351D7"/>
    <w:rsid w:val="00535A29"/>
    <w:rsid w:val="00535D28"/>
    <w:rsid w:val="005367FF"/>
    <w:rsid w:val="00540A17"/>
    <w:rsid w:val="00541374"/>
    <w:rsid w:val="0054142A"/>
    <w:rsid w:val="00541B98"/>
    <w:rsid w:val="00542381"/>
    <w:rsid w:val="00542DC7"/>
    <w:rsid w:val="00542E76"/>
    <w:rsid w:val="00543517"/>
    <w:rsid w:val="00545633"/>
    <w:rsid w:val="00545F1B"/>
    <w:rsid w:val="00546407"/>
    <w:rsid w:val="00546C2A"/>
    <w:rsid w:val="0054725C"/>
    <w:rsid w:val="00547D38"/>
    <w:rsid w:val="00547F2E"/>
    <w:rsid w:val="005509F2"/>
    <w:rsid w:val="0055147D"/>
    <w:rsid w:val="00551C85"/>
    <w:rsid w:val="00552447"/>
    <w:rsid w:val="00553725"/>
    <w:rsid w:val="00553751"/>
    <w:rsid w:val="0055396D"/>
    <w:rsid w:val="00553B6A"/>
    <w:rsid w:val="005545B9"/>
    <w:rsid w:val="00555095"/>
    <w:rsid w:val="00555503"/>
    <w:rsid w:val="005557D3"/>
    <w:rsid w:val="00555890"/>
    <w:rsid w:val="00555AFE"/>
    <w:rsid w:val="00557177"/>
    <w:rsid w:val="00557B75"/>
    <w:rsid w:val="00560613"/>
    <w:rsid w:val="00560C14"/>
    <w:rsid w:val="00560F23"/>
    <w:rsid w:val="00561CA6"/>
    <w:rsid w:val="0056262A"/>
    <w:rsid w:val="005628AE"/>
    <w:rsid w:val="00562B54"/>
    <w:rsid w:val="00562D09"/>
    <w:rsid w:val="00563578"/>
    <w:rsid w:val="005635A5"/>
    <w:rsid w:val="005636DA"/>
    <w:rsid w:val="00564206"/>
    <w:rsid w:val="00564DD2"/>
    <w:rsid w:val="00566E46"/>
    <w:rsid w:val="00570B3F"/>
    <w:rsid w:val="00570FBD"/>
    <w:rsid w:val="00571734"/>
    <w:rsid w:val="00572023"/>
    <w:rsid w:val="00572E1B"/>
    <w:rsid w:val="00573EC7"/>
    <w:rsid w:val="0057497F"/>
    <w:rsid w:val="00574D73"/>
    <w:rsid w:val="0057591D"/>
    <w:rsid w:val="00575C3C"/>
    <w:rsid w:val="00575D10"/>
    <w:rsid w:val="0057655E"/>
    <w:rsid w:val="00576B76"/>
    <w:rsid w:val="005770DB"/>
    <w:rsid w:val="005775B2"/>
    <w:rsid w:val="0057768F"/>
    <w:rsid w:val="00580193"/>
    <w:rsid w:val="005808B2"/>
    <w:rsid w:val="0058126D"/>
    <w:rsid w:val="0058132E"/>
    <w:rsid w:val="00581C93"/>
    <w:rsid w:val="00581E53"/>
    <w:rsid w:val="005820F8"/>
    <w:rsid w:val="005823AC"/>
    <w:rsid w:val="00582916"/>
    <w:rsid w:val="005835D1"/>
    <w:rsid w:val="0058362F"/>
    <w:rsid w:val="0058522E"/>
    <w:rsid w:val="00585F6F"/>
    <w:rsid w:val="005861A7"/>
    <w:rsid w:val="00586FD3"/>
    <w:rsid w:val="0058732B"/>
    <w:rsid w:val="005915B8"/>
    <w:rsid w:val="005917A8"/>
    <w:rsid w:val="00591E00"/>
    <w:rsid w:val="00592408"/>
    <w:rsid w:val="005924C0"/>
    <w:rsid w:val="00594444"/>
    <w:rsid w:val="00594B5F"/>
    <w:rsid w:val="005951E1"/>
    <w:rsid w:val="005954CB"/>
    <w:rsid w:val="00595C2F"/>
    <w:rsid w:val="00596432"/>
    <w:rsid w:val="005A21F7"/>
    <w:rsid w:val="005A2AC9"/>
    <w:rsid w:val="005A55BF"/>
    <w:rsid w:val="005A5EE4"/>
    <w:rsid w:val="005A6062"/>
    <w:rsid w:val="005A7089"/>
    <w:rsid w:val="005B0779"/>
    <w:rsid w:val="005B1600"/>
    <w:rsid w:val="005B227B"/>
    <w:rsid w:val="005B2354"/>
    <w:rsid w:val="005B3181"/>
    <w:rsid w:val="005B3696"/>
    <w:rsid w:val="005B5E97"/>
    <w:rsid w:val="005B6241"/>
    <w:rsid w:val="005B6918"/>
    <w:rsid w:val="005B6990"/>
    <w:rsid w:val="005B6D78"/>
    <w:rsid w:val="005B7167"/>
    <w:rsid w:val="005B76E4"/>
    <w:rsid w:val="005B7F63"/>
    <w:rsid w:val="005C02D6"/>
    <w:rsid w:val="005C034F"/>
    <w:rsid w:val="005C0EE0"/>
    <w:rsid w:val="005C1EE2"/>
    <w:rsid w:val="005C4E86"/>
    <w:rsid w:val="005C5746"/>
    <w:rsid w:val="005C5788"/>
    <w:rsid w:val="005C5820"/>
    <w:rsid w:val="005C7011"/>
    <w:rsid w:val="005D190B"/>
    <w:rsid w:val="005D1DED"/>
    <w:rsid w:val="005D2059"/>
    <w:rsid w:val="005D279B"/>
    <w:rsid w:val="005D2D20"/>
    <w:rsid w:val="005D306F"/>
    <w:rsid w:val="005D323C"/>
    <w:rsid w:val="005D390E"/>
    <w:rsid w:val="005D4A0F"/>
    <w:rsid w:val="005D5664"/>
    <w:rsid w:val="005D5986"/>
    <w:rsid w:val="005D6865"/>
    <w:rsid w:val="005D69C3"/>
    <w:rsid w:val="005D6BF8"/>
    <w:rsid w:val="005D7453"/>
    <w:rsid w:val="005D763F"/>
    <w:rsid w:val="005D781D"/>
    <w:rsid w:val="005D785F"/>
    <w:rsid w:val="005D7D4F"/>
    <w:rsid w:val="005E0DF3"/>
    <w:rsid w:val="005E134F"/>
    <w:rsid w:val="005E151F"/>
    <w:rsid w:val="005E1986"/>
    <w:rsid w:val="005E2FBF"/>
    <w:rsid w:val="005E425C"/>
    <w:rsid w:val="005E47A5"/>
    <w:rsid w:val="005E4C7A"/>
    <w:rsid w:val="005E4F2C"/>
    <w:rsid w:val="005E542B"/>
    <w:rsid w:val="005E6BCA"/>
    <w:rsid w:val="005E6E1D"/>
    <w:rsid w:val="005E71E0"/>
    <w:rsid w:val="005E7A40"/>
    <w:rsid w:val="005F003B"/>
    <w:rsid w:val="005F055E"/>
    <w:rsid w:val="005F0560"/>
    <w:rsid w:val="005F085F"/>
    <w:rsid w:val="005F0A23"/>
    <w:rsid w:val="005F16BB"/>
    <w:rsid w:val="005F1B9B"/>
    <w:rsid w:val="005F21DD"/>
    <w:rsid w:val="005F3277"/>
    <w:rsid w:val="005F3620"/>
    <w:rsid w:val="005F398A"/>
    <w:rsid w:val="005F4087"/>
    <w:rsid w:val="005F41B8"/>
    <w:rsid w:val="005F4335"/>
    <w:rsid w:val="005F46F7"/>
    <w:rsid w:val="005F6E9F"/>
    <w:rsid w:val="00600A04"/>
    <w:rsid w:val="00600F43"/>
    <w:rsid w:val="00601E8C"/>
    <w:rsid w:val="006023CC"/>
    <w:rsid w:val="006057FC"/>
    <w:rsid w:val="00605AE5"/>
    <w:rsid w:val="00605CFA"/>
    <w:rsid w:val="00606E77"/>
    <w:rsid w:val="006070FC"/>
    <w:rsid w:val="00607997"/>
    <w:rsid w:val="00607E4C"/>
    <w:rsid w:val="006101C7"/>
    <w:rsid w:val="00610E00"/>
    <w:rsid w:val="006112FB"/>
    <w:rsid w:val="00611359"/>
    <w:rsid w:val="00611426"/>
    <w:rsid w:val="006116CB"/>
    <w:rsid w:val="006118CF"/>
    <w:rsid w:val="00611B0E"/>
    <w:rsid w:val="00612086"/>
    <w:rsid w:val="006136BD"/>
    <w:rsid w:val="00613908"/>
    <w:rsid w:val="00613C65"/>
    <w:rsid w:val="00613CA1"/>
    <w:rsid w:val="00613F1D"/>
    <w:rsid w:val="006144E5"/>
    <w:rsid w:val="006153C5"/>
    <w:rsid w:val="00615F18"/>
    <w:rsid w:val="0061761A"/>
    <w:rsid w:val="00617826"/>
    <w:rsid w:val="00617AD9"/>
    <w:rsid w:val="00617C91"/>
    <w:rsid w:val="00617D2B"/>
    <w:rsid w:val="0062046E"/>
    <w:rsid w:val="00620E8E"/>
    <w:rsid w:val="00621034"/>
    <w:rsid w:val="006223E5"/>
    <w:rsid w:val="0062299B"/>
    <w:rsid w:val="00622BE7"/>
    <w:rsid w:val="006239B3"/>
    <w:rsid w:val="006250E3"/>
    <w:rsid w:val="00626010"/>
    <w:rsid w:val="00626A9A"/>
    <w:rsid w:val="00627F09"/>
    <w:rsid w:val="0063116C"/>
    <w:rsid w:val="0063222E"/>
    <w:rsid w:val="00632835"/>
    <w:rsid w:val="00633E08"/>
    <w:rsid w:val="00633F21"/>
    <w:rsid w:val="0063476C"/>
    <w:rsid w:val="006358CC"/>
    <w:rsid w:val="006361B8"/>
    <w:rsid w:val="0063638D"/>
    <w:rsid w:val="00636454"/>
    <w:rsid w:val="00636513"/>
    <w:rsid w:val="006365D6"/>
    <w:rsid w:val="00636790"/>
    <w:rsid w:val="00636850"/>
    <w:rsid w:val="00637F18"/>
    <w:rsid w:val="00640A6B"/>
    <w:rsid w:val="00640A74"/>
    <w:rsid w:val="0064126B"/>
    <w:rsid w:val="0064255F"/>
    <w:rsid w:val="00642C40"/>
    <w:rsid w:val="006449B4"/>
    <w:rsid w:val="00644D62"/>
    <w:rsid w:val="00644E6D"/>
    <w:rsid w:val="006454C3"/>
    <w:rsid w:val="006461A5"/>
    <w:rsid w:val="006479D6"/>
    <w:rsid w:val="00647BF8"/>
    <w:rsid w:val="0065031D"/>
    <w:rsid w:val="00650E29"/>
    <w:rsid w:val="00650EFC"/>
    <w:rsid w:val="00650F1E"/>
    <w:rsid w:val="00651417"/>
    <w:rsid w:val="00651850"/>
    <w:rsid w:val="00652C4A"/>
    <w:rsid w:val="006544E4"/>
    <w:rsid w:val="00654CD5"/>
    <w:rsid w:val="00654E4E"/>
    <w:rsid w:val="00655149"/>
    <w:rsid w:val="00655156"/>
    <w:rsid w:val="00655D9A"/>
    <w:rsid w:val="006573C4"/>
    <w:rsid w:val="00657838"/>
    <w:rsid w:val="00657B18"/>
    <w:rsid w:val="00660C7F"/>
    <w:rsid w:val="0066189D"/>
    <w:rsid w:val="00661C36"/>
    <w:rsid w:val="00661F3C"/>
    <w:rsid w:val="006623EF"/>
    <w:rsid w:val="00662C90"/>
    <w:rsid w:val="0066409F"/>
    <w:rsid w:val="0066467C"/>
    <w:rsid w:val="00664B08"/>
    <w:rsid w:val="00664E83"/>
    <w:rsid w:val="00664F99"/>
    <w:rsid w:val="0066582C"/>
    <w:rsid w:val="00666C8B"/>
    <w:rsid w:val="00670531"/>
    <w:rsid w:val="00670D20"/>
    <w:rsid w:val="006717CD"/>
    <w:rsid w:val="0067257C"/>
    <w:rsid w:val="006759DC"/>
    <w:rsid w:val="00675BEB"/>
    <w:rsid w:val="00675CAA"/>
    <w:rsid w:val="00675D31"/>
    <w:rsid w:val="00676BB1"/>
    <w:rsid w:val="00677004"/>
    <w:rsid w:val="006804BA"/>
    <w:rsid w:val="006804FA"/>
    <w:rsid w:val="006809FF"/>
    <w:rsid w:val="00680B31"/>
    <w:rsid w:val="00681A64"/>
    <w:rsid w:val="006824ED"/>
    <w:rsid w:val="00682527"/>
    <w:rsid w:val="00682817"/>
    <w:rsid w:val="00682DE7"/>
    <w:rsid w:val="0068346D"/>
    <w:rsid w:val="00683754"/>
    <w:rsid w:val="006840F6"/>
    <w:rsid w:val="00684BA2"/>
    <w:rsid w:val="00685EAF"/>
    <w:rsid w:val="0068618B"/>
    <w:rsid w:val="00690E8E"/>
    <w:rsid w:val="00691060"/>
    <w:rsid w:val="006910A3"/>
    <w:rsid w:val="006910D5"/>
    <w:rsid w:val="0069125C"/>
    <w:rsid w:val="006914D2"/>
    <w:rsid w:val="006920C8"/>
    <w:rsid w:val="0069215E"/>
    <w:rsid w:val="00693478"/>
    <w:rsid w:val="006937F8"/>
    <w:rsid w:val="006939FA"/>
    <w:rsid w:val="00693AD2"/>
    <w:rsid w:val="006956CA"/>
    <w:rsid w:val="00695A16"/>
    <w:rsid w:val="00695B12"/>
    <w:rsid w:val="00696AEE"/>
    <w:rsid w:val="00696F25"/>
    <w:rsid w:val="006973A6"/>
    <w:rsid w:val="00697664"/>
    <w:rsid w:val="00697D68"/>
    <w:rsid w:val="006A11EE"/>
    <w:rsid w:val="006A17B3"/>
    <w:rsid w:val="006A1CC5"/>
    <w:rsid w:val="006A3052"/>
    <w:rsid w:val="006A361E"/>
    <w:rsid w:val="006A378F"/>
    <w:rsid w:val="006A3C6A"/>
    <w:rsid w:val="006A4423"/>
    <w:rsid w:val="006A46BB"/>
    <w:rsid w:val="006A4DF4"/>
    <w:rsid w:val="006A51EB"/>
    <w:rsid w:val="006A5520"/>
    <w:rsid w:val="006A567A"/>
    <w:rsid w:val="006A5804"/>
    <w:rsid w:val="006A60E9"/>
    <w:rsid w:val="006A6D3B"/>
    <w:rsid w:val="006A7CAB"/>
    <w:rsid w:val="006A7D68"/>
    <w:rsid w:val="006B05F4"/>
    <w:rsid w:val="006B06D2"/>
    <w:rsid w:val="006B103D"/>
    <w:rsid w:val="006B10AB"/>
    <w:rsid w:val="006B1A90"/>
    <w:rsid w:val="006B1E79"/>
    <w:rsid w:val="006B2AB0"/>
    <w:rsid w:val="006B2DA8"/>
    <w:rsid w:val="006B46CD"/>
    <w:rsid w:val="006B511B"/>
    <w:rsid w:val="006B58B9"/>
    <w:rsid w:val="006B606D"/>
    <w:rsid w:val="006B6CAE"/>
    <w:rsid w:val="006B6F47"/>
    <w:rsid w:val="006B738D"/>
    <w:rsid w:val="006B75D1"/>
    <w:rsid w:val="006B7628"/>
    <w:rsid w:val="006B7C72"/>
    <w:rsid w:val="006C0B9E"/>
    <w:rsid w:val="006C0E3D"/>
    <w:rsid w:val="006C16B4"/>
    <w:rsid w:val="006C20A5"/>
    <w:rsid w:val="006C2D57"/>
    <w:rsid w:val="006C3788"/>
    <w:rsid w:val="006C38C6"/>
    <w:rsid w:val="006C3D8A"/>
    <w:rsid w:val="006C41C2"/>
    <w:rsid w:val="006C43A3"/>
    <w:rsid w:val="006C46D8"/>
    <w:rsid w:val="006C4ADE"/>
    <w:rsid w:val="006C5519"/>
    <w:rsid w:val="006C75ED"/>
    <w:rsid w:val="006C7DC4"/>
    <w:rsid w:val="006C7F65"/>
    <w:rsid w:val="006D0340"/>
    <w:rsid w:val="006D04ED"/>
    <w:rsid w:val="006D08CD"/>
    <w:rsid w:val="006D1288"/>
    <w:rsid w:val="006D29B4"/>
    <w:rsid w:val="006D2EEA"/>
    <w:rsid w:val="006D39AF"/>
    <w:rsid w:val="006D47CE"/>
    <w:rsid w:val="006D5A94"/>
    <w:rsid w:val="006D6FFE"/>
    <w:rsid w:val="006D70DF"/>
    <w:rsid w:val="006D71EB"/>
    <w:rsid w:val="006D76B6"/>
    <w:rsid w:val="006D788D"/>
    <w:rsid w:val="006E046A"/>
    <w:rsid w:val="006E099B"/>
    <w:rsid w:val="006E0DAE"/>
    <w:rsid w:val="006E2B7F"/>
    <w:rsid w:val="006E2D0A"/>
    <w:rsid w:val="006E3861"/>
    <w:rsid w:val="006E3F37"/>
    <w:rsid w:val="006E4105"/>
    <w:rsid w:val="006E594A"/>
    <w:rsid w:val="006E6E41"/>
    <w:rsid w:val="006E724A"/>
    <w:rsid w:val="006F15FF"/>
    <w:rsid w:val="006F355B"/>
    <w:rsid w:val="006F3ADE"/>
    <w:rsid w:val="006F3F38"/>
    <w:rsid w:val="006F4E14"/>
    <w:rsid w:val="006F53AD"/>
    <w:rsid w:val="006F581D"/>
    <w:rsid w:val="006F6AC1"/>
    <w:rsid w:val="006F765C"/>
    <w:rsid w:val="006F7839"/>
    <w:rsid w:val="00700B03"/>
    <w:rsid w:val="00700E94"/>
    <w:rsid w:val="007011BE"/>
    <w:rsid w:val="007015CC"/>
    <w:rsid w:val="00701747"/>
    <w:rsid w:val="007018C2"/>
    <w:rsid w:val="00701DB0"/>
    <w:rsid w:val="00701F58"/>
    <w:rsid w:val="00702460"/>
    <w:rsid w:val="00703042"/>
    <w:rsid w:val="007037C0"/>
    <w:rsid w:val="007041C0"/>
    <w:rsid w:val="00705275"/>
    <w:rsid w:val="007068A4"/>
    <w:rsid w:val="00706BB7"/>
    <w:rsid w:val="00707A3A"/>
    <w:rsid w:val="00710309"/>
    <w:rsid w:val="007104E5"/>
    <w:rsid w:val="007106BB"/>
    <w:rsid w:val="00710ECE"/>
    <w:rsid w:val="007120D7"/>
    <w:rsid w:val="00712265"/>
    <w:rsid w:val="00713991"/>
    <w:rsid w:val="00713C9E"/>
    <w:rsid w:val="00716C5A"/>
    <w:rsid w:val="0071705C"/>
    <w:rsid w:val="00717A79"/>
    <w:rsid w:val="00720455"/>
    <w:rsid w:val="00720BEC"/>
    <w:rsid w:val="007219A0"/>
    <w:rsid w:val="00721C44"/>
    <w:rsid w:val="00721FD9"/>
    <w:rsid w:val="00722755"/>
    <w:rsid w:val="00723282"/>
    <w:rsid w:val="007238CF"/>
    <w:rsid w:val="00725D13"/>
    <w:rsid w:val="00726C25"/>
    <w:rsid w:val="00727987"/>
    <w:rsid w:val="00727B22"/>
    <w:rsid w:val="0073049F"/>
    <w:rsid w:val="0073052F"/>
    <w:rsid w:val="00731E0E"/>
    <w:rsid w:val="007330F9"/>
    <w:rsid w:val="0073343B"/>
    <w:rsid w:val="00733EA0"/>
    <w:rsid w:val="00734817"/>
    <w:rsid w:val="00734B43"/>
    <w:rsid w:val="00735007"/>
    <w:rsid w:val="007378D5"/>
    <w:rsid w:val="00740FE2"/>
    <w:rsid w:val="0074129A"/>
    <w:rsid w:val="00741922"/>
    <w:rsid w:val="0074225A"/>
    <w:rsid w:val="00742493"/>
    <w:rsid w:val="0074311E"/>
    <w:rsid w:val="0074349F"/>
    <w:rsid w:val="00744056"/>
    <w:rsid w:val="00744B30"/>
    <w:rsid w:val="007455B0"/>
    <w:rsid w:val="00745A26"/>
    <w:rsid w:val="00745F70"/>
    <w:rsid w:val="00747C1B"/>
    <w:rsid w:val="007511D1"/>
    <w:rsid w:val="007512F6"/>
    <w:rsid w:val="00751E35"/>
    <w:rsid w:val="0075239D"/>
    <w:rsid w:val="00752DF2"/>
    <w:rsid w:val="00753383"/>
    <w:rsid w:val="00753787"/>
    <w:rsid w:val="00753DFA"/>
    <w:rsid w:val="00754A65"/>
    <w:rsid w:val="00754C25"/>
    <w:rsid w:val="007573CA"/>
    <w:rsid w:val="00757A12"/>
    <w:rsid w:val="00760415"/>
    <w:rsid w:val="0076054F"/>
    <w:rsid w:val="00760BF7"/>
    <w:rsid w:val="007615AC"/>
    <w:rsid w:val="007625B1"/>
    <w:rsid w:val="00764FA1"/>
    <w:rsid w:val="0076521E"/>
    <w:rsid w:val="00765445"/>
    <w:rsid w:val="00765497"/>
    <w:rsid w:val="00766380"/>
    <w:rsid w:val="00766BBE"/>
    <w:rsid w:val="00767306"/>
    <w:rsid w:val="00767945"/>
    <w:rsid w:val="00770FD7"/>
    <w:rsid w:val="00772494"/>
    <w:rsid w:val="00774383"/>
    <w:rsid w:val="00774798"/>
    <w:rsid w:val="007751F1"/>
    <w:rsid w:val="007765CA"/>
    <w:rsid w:val="007766E0"/>
    <w:rsid w:val="0078055E"/>
    <w:rsid w:val="0078083B"/>
    <w:rsid w:val="007814B9"/>
    <w:rsid w:val="0078175C"/>
    <w:rsid w:val="00781924"/>
    <w:rsid w:val="00781BA5"/>
    <w:rsid w:val="007825AD"/>
    <w:rsid w:val="00782CD8"/>
    <w:rsid w:val="00783446"/>
    <w:rsid w:val="007838AE"/>
    <w:rsid w:val="007839AA"/>
    <w:rsid w:val="00783DF1"/>
    <w:rsid w:val="00784306"/>
    <w:rsid w:val="007868C9"/>
    <w:rsid w:val="00786F84"/>
    <w:rsid w:val="00787820"/>
    <w:rsid w:val="00790103"/>
    <w:rsid w:val="00791161"/>
    <w:rsid w:val="007918DB"/>
    <w:rsid w:val="00791BC9"/>
    <w:rsid w:val="00791C8B"/>
    <w:rsid w:val="007920F1"/>
    <w:rsid w:val="007923D0"/>
    <w:rsid w:val="00793634"/>
    <w:rsid w:val="007938C7"/>
    <w:rsid w:val="00793992"/>
    <w:rsid w:val="00793A5D"/>
    <w:rsid w:val="00794CD2"/>
    <w:rsid w:val="00795A3F"/>
    <w:rsid w:val="0079627E"/>
    <w:rsid w:val="0079691F"/>
    <w:rsid w:val="00797592"/>
    <w:rsid w:val="007A022B"/>
    <w:rsid w:val="007A0E6A"/>
    <w:rsid w:val="007A17A7"/>
    <w:rsid w:val="007A1DB7"/>
    <w:rsid w:val="007A29BC"/>
    <w:rsid w:val="007A309A"/>
    <w:rsid w:val="007A3EBD"/>
    <w:rsid w:val="007A4569"/>
    <w:rsid w:val="007A51D3"/>
    <w:rsid w:val="007A65A5"/>
    <w:rsid w:val="007A7736"/>
    <w:rsid w:val="007B0324"/>
    <w:rsid w:val="007B1468"/>
    <w:rsid w:val="007B19DF"/>
    <w:rsid w:val="007B1B01"/>
    <w:rsid w:val="007B1C85"/>
    <w:rsid w:val="007B28E1"/>
    <w:rsid w:val="007B459A"/>
    <w:rsid w:val="007B5BDD"/>
    <w:rsid w:val="007B5FB0"/>
    <w:rsid w:val="007B6033"/>
    <w:rsid w:val="007B626B"/>
    <w:rsid w:val="007B636E"/>
    <w:rsid w:val="007B6F0C"/>
    <w:rsid w:val="007C0025"/>
    <w:rsid w:val="007C0774"/>
    <w:rsid w:val="007C118D"/>
    <w:rsid w:val="007C1448"/>
    <w:rsid w:val="007C146E"/>
    <w:rsid w:val="007C1A3B"/>
    <w:rsid w:val="007C1E2F"/>
    <w:rsid w:val="007C235C"/>
    <w:rsid w:val="007C2A6D"/>
    <w:rsid w:val="007C2E8B"/>
    <w:rsid w:val="007C2F1F"/>
    <w:rsid w:val="007C4936"/>
    <w:rsid w:val="007C5506"/>
    <w:rsid w:val="007C5A7E"/>
    <w:rsid w:val="007C5DC9"/>
    <w:rsid w:val="007C606C"/>
    <w:rsid w:val="007C6226"/>
    <w:rsid w:val="007C6A48"/>
    <w:rsid w:val="007C6C97"/>
    <w:rsid w:val="007C6F88"/>
    <w:rsid w:val="007C709C"/>
    <w:rsid w:val="007D0DC2"/>
    <w:rsid w:val="007D11B4"/>
    <w:rsid w:val="007D1727"/>
    <w:rsid w:val="007D1A23"/>
    <w:rsid w:val="007D2122"/>
    <w:rsid w:val="007D216E"/>
    <w:rsid w:val="007D286D"/>
    <w:rsid w:val="007D2A7C"/>
    <w:rsid w:val="007D2C69"/>
    <w:rsid w:val="007D2F4F"/>
    <w:rsid w:val="007D34DE"/>
    <w:rsid w:val="007D3882"/>
    <w:rsid w:val="007D431E"/>
    <w:rsid w:val="007D557B"/>
    <w:rsid w:val="007D68CD"/>
    <w:rsid w:val="007D70CA"/>
    <w:rsid w:val="007D7559"/>
    <w:rsid w:val="007D7670"/>
    <w:rsid w:val="007E05D3"/>
    <w:rsid w:val="007E144C"/>
    <w:rsid w:val="007E1B25"/>
    <w:rsid w:val="007E1EB8"/>
    <w:rsid w:val="007E2F69"/>
    <w:rsid w:val="007E343D"/>
    <w:rsid w:val="007E38BF"/>
    <w:rsid w:val="007E3EA3"/>
    <w:rsid w:val="007E4AF6"/>
    <w:rsid w:val="007E5B09"/>
    <w:rsid w:val="007E6D33"/>
    <w:rsid w:val="007E6FF5"/>
    <w:rsid w:val="007E79E2"/>
    <w:rsid w:val="007E7C24"/>
    <w:rsid w:val="007F006E"/>
    <w:rsid w:val="007F0C58"/>
    <w:rsid w:val="007F16FC"/>
    <w:rsid w:val="007F1C7A"/>
    <w:rsid w:val="007F32EE"/>
    <w:rsid w:val="007F33E9"/>
    <w:rsid w:val="007F41DC"/>
    <w:rsid w:val="007F463E"/>
    <w:rsid w:val="007F5458"/>
    <w:rsid w:val="007F65FE"/>
    <w:rsid w:val="007F6AD1"/>
    <w:rsid w:val="00800631"/>
    <w:rsid w:val="00800855"/>
    <w:rsid w:val="0080194B"/>
    <w:rsid w:val="00801EA4"/>
    <w:rsid w:val="008022A3"/>
    <w:rsid w:val="008029CF"/>
    <w:rsid w:val="00803A5C"/>
    <w:rsid w:val="00803C3F"/>
    <w:rsid w:val="00804099"/>
    <w:rsid w:val="008049E8"/>
    <w:rsid w:val="00804D3F"/>
    <w:rsid w:val="0080705F"/>
    <w:rsid w:val="00807316"/>
    <w:rsid w:val="00807E98"/>
    <w:rsid w:val="0081046F"/>
    <w:rsid w:val="00810796"/>
    <w:rsid w:val="00810D20"/>
    <w:rsid w:val="00812900"/>
    <w:rsid w:val="00812A12"/>
    <w:rsid w:val="00813830"/>
    <w:rsid w:val="00813F7D"/>
    <w:rsid w:val="00815879"/>
    <w:rsid w:val="00815B06"/>
    <w:rsid w:val="00816888"/>
    <w:rsid w:val="00816915"/>
    <w:rsid w:val="00820074"/>
    <w:rsid w:val="00820555"/>
    <w:rsid w:val="00820D05"/>
    <w:rsid w:val="00821023"/>
    <w:rsid w:val="00821416"/>
    <w:rsid w:val="00821FDC"/>
    <w:rsid w:val="0082465E"/>
    <w:rsid w:val="008263AC"/>
    <w:rsid w:val="00826A64"/>
    <w:rsid w:val="00826BE8"/>
    <w:rsid w:val="00827C2E"/>
    <w:rsid w:val="00827D97"/>
    <w:rsid w:val="00831048"/>
    <w:rsid w:val="008320A8"/>
    <w:rsid w:val="00832633"/>
    <w:rsid w:val="0083266C"/>
    <w:rsid w:val="00833243"/>
    <w:rsid w:val="008333C6"/>
    <w:rsid w:val="008339F2"/>
    <w:rsid w:val="00833F4A"/>
    <w:rsid w:val="008345AA"/>
    <w:rsid w:val="0083477C"/>
    <w:rsid w:val="0083520B"/>
    <w:rsid w:val="00835689"/>
    <w:rsid w:val="008357D3"/>
    <w:rsid w:val="00836253"/>
    <w:rsid w:val="0083630F"/>
    <w:rsid w:val="00836797"/>
    <w:rsid w:val="00836E03"/>
    <w:rsid w:val="008374D3"/>
    <w:rsid w:val="0084008D"/>
    <w:rsid w:val="00840EF7"/>
    <w:rsid w:val="008413D2"/>
    <w:rsid w:val="00841BE1"/>
    <w:rsid w:val="00843848"/>
    <w:rsid w:val="00844A7E"/>
    <w:rsid w:val="00844B7C"/>
    <w:rsid w:val="00844E8D"/>
    <w:rsid w:val="00845373"/>
    <w:rsid w:val="008455D3"/>
    <w:rsid w:val="008457DB"/>
    <w:rsid w:val="00845A54"/>
    <w:rsid w:val="00845D1A"/>
    <w:rsid w:val="00846227"/>
    <w:rsid w:val="00846604"/>
    <w:rsid w:val="00846A1F"/>
    <w:rsid w:val="00847640"/>
    <w:rsid w:val="008509B5"/>
    <w:rsid w:val="00851C45"/>
    <w:rsid w:val="0085230C"/>
    <w:rsid w:val="00852A87"/>
    <w:rsid w:val="00852B33"/>
    <w:rsid w:val="00852E08"/>
    <w:rsid w:val="00853681"/>
    <w:rsid w:val="00853E85"/>
    <w:rsid w:val="008553E8"/>
    <w:rsid w:val="008565ED"/>
    <w:rsid w:val="00856699"/>
    <w:rsid w:val="00857785"/>
    <w:rsid w:val="00857E39"/>
    <w:rsid w:val="008607E2"/>
    <w:rsid w:val="00860B13"/>
    <w:rsid w:val="00860C75"/>
    <w:rsid w:val="00863DCB"/>
    <w:rsid w:val="00864A73"/>
    <w:rsid w:val="00865A3E"/>
    <w:rsid w:val="00865CF9"/>
    <w:rsid w:val="0086622F"/>
    <w:rsid w:val="00867103"/>
    <w:rsid w:val="00867187"/>
    <w:rsid w:val="008715BA"/>
    <w:rsid w:val="008716AE"/>
    <w:rsid w:val="0087196F"/>
    <w:rsid w:val="00872311"/>
    <w:rsid w:val="0087255E"/>
    <w:rsid w:val="008727C1"/>
    <w:rsid w:val="008729ED"/>
    <w:rsid w:val="00872B30"/>
    <w:rsid w:val="008735DB"/>
    <w:rsid w:val="008737CA"/>
    <w:rsid w:val="0087589E"/>
    <w:rsid w:val="008759A8"/>
    <w:rsid w:val="00875A6B"/>
    <w:rsid w:val="008773E0"/>
    <w:rsid w:val="008806FA"/>
    <w:rsid w:val="00881272"/>
    <w:rsid w:val="0088181E"/>
    <w:rsid w:val="00882035"/>
    <w:rsid w:val="0088267B"/>
    <w:rsid w:val="00882DF9"/>
    <w:rsid w:val="0088306A"/>
    <w:rsid w:val="008848E0"/>
    <w:rsid w:val="00884A8B"/>
    <w:rsid w:val="00885E02"/>
    <w:rsid w:val="00885E43"/>
    <w:rsid w:val="008877D4"/>
    <w:rsid w:val="00887A7A"/>
    <w:rsid w:val="00887CE0"/>
    <w:rsid w:val="00887F66"/>
    <w:rsid w:val="00890358"/>
    <w:rsid w:val="00890D58"/>
    <w:rsid w:val="00892319"/>
    <w:rsid w:val="00893570"/>
    <w:rsid w:val="008957C5"/>
    <w:rsid w:val="0089619F"/>
    <w:rsid w:val="00896904"/>
    <w:rsid w:val="008969B5"/>
    <w:rsid w:val="00896FF3"/>
    <w:rsid w:val="0089745F"/>
    <w:rsid w:val="00897C87"/>
    <w:rsid w:val="008A2282"/>
    <w:rsid w:val="008A2844"/>
    <w:rsid w:val="008A35AF"/>
    <w:rsid w:val="008A42A3"/>
    <w:rsid w:val="008A43A4"/>
    <w:rsid w:val="008A60E0"/>
    <w:rsid w:val="008A6268"/>
    <w:rsid w:val="008A6B5A"/>
    <w:rsid w:val="008A6B88"/>
    <w:rsid w:val="008A7FBF"/>
    <w:rsid w:val="008B12F7"/>
    <w:rsid w:val="008B1D90"/>
    <w:rsid w:val="008B1E37"/>
    <w:rsid w:val="008B2182"/>
    <w:rsid w:val="008B2437"/>
    <w:rsid w:val="008B2B0B"/>
    <w:rsid w:val="008B4849"/>
    <w:rsid w:val="008B595C"/>
    <w:rsid w:val="008B5C60"/>
    <w:rsid w:val="008B797F"/>
    <w:rsid w:val="008C0B3B"/>
    <w:rsid w:val="008C0C2A"/>
    <w:rsid w:val="008C0DAB"/>
    <w:rsid w:val="008C27D2"/>
    <w:rsid w:val="008C30B7"/>
    <w:rsid w:val="008C3F6D"/>
    <w:rsid w:val="008C4651"/>
    <w:rsid w:val="008C4E37"/>
    <w:rsid w:val="008C556F"/>
    <w:rsid w:val="008C585F"/>
    <w:rsid w:val="008C5901"/>
    <w:rsid w:val="008C5DF1"/>
    <w:rsid w:val="008C60BF"/>
    <w:rsid w:val="008C6E84"/>
    <w:rsid w:val="008C70C3"/>
    <w:rsid w:val="008D05A4"/>
    <w:rsid w:val="008D20D2"/>
    <w:rsid w:val="008D2129"/>
    <w:rsid w:val="008D2324"/>
    <w:rsid w:val="008D24E1"/>
    <w:rsid w:val="008D2728"/>
    <w:rsid w:val="008D2A25"/>
    <w:rsid w:val="008D2C1A"/>
    <w:rsid w:val="008D358C"/>
    <w:rsid w:val="008D3677"/>
    <w:rsid w:val="008D47CA"/>
    <w:rsid w:val="008D4EFD"/>
    <w:rsid w:val="008D6111"/>
    <w:rsid w:val="008D6135"/>
    <w:rsid w:val="008D65A3"/>
    <w:rsid w:val="008D6ABB"/>
    <w:rsid w:val="008D7C15"/>
    <w:rsid w:val="008E0168"/>
    <w:rsid w:val="008E02E0"/>
    <w:rsid w:val="008E0654"/>
    <w:rsid w:val="008E124F"/>
    <w:rsid w:val="008E16B1"/>
    <w:rsid w:val="008E1845"/>
    <w:rsid w:val="008E1877"/>
    <w:rsid w:val="008E2ABE"/>
    <w:rsid w:val="008E2BC9"/>
    <w:rsid w:val="008E4BC9"/>
    <w:rsid w:val="008E5A97"/>
    <w:rsid w:val="008E62BE"/>
    <w:rsid w:val="008E6692"/>
    <w:rsid w:val="008E68C0"/>
    <w:rsid w:val="008E7181"/>
    <w:rsid w:val="008F14D4"/>
    <w:rsid w:val="008F19C9"/>
    <w:rsid w:val="008F1D4D"/>
    <w:rsid w:val="008F2729"/>
    <w:rsid w:val="008F2893"/>
    <w:rsid w:val="008F3083"/>
    <w:rsid w:val="008F356C"/>
    <w:rsid w:val="008F392C"/>
    <w:rsid w:val="008F3DA2"/>
    <w:rsid w:val="008F4111"/>
    <w:rsid w:val="008F444A"/>
    <w:rsid w:val="008F4BE5"/>
    <w:rsid w:val="008F50CA"/>
    <w:rsid w:val="008F70E3"/>
    <w:rsid w:val="008F76DA"/>
    <w:rsid w:val="008F77CB"/>
    <w:rsid w:val="0090065B"/>
    <w:rsid w:val="00900AB9"/>
    <w:rsid w:val="00901150"/>
    <w:rsid w:val="009015E3"/>
    <w:rsid w:val="00901B99"/>
    <w:rsid w:val="00902036"/>
    <w:rsid w:val="0090330C"/>
    <w:rsid w:val="0090366E"/>
    <w:rsid w:val="00903D27"/>
    <w:rsid w:val="00905EC8"/>
    <w:rsid w:val="00907897"/>
    <w:rsid w:val="0090797C"/>
    <w:rsid w:val="00907CAD"/>
    <w:rsid w:val="00910864"/>
    <w:rsid w:val="00910D80"/>
    <w:rsid w:val="0091120C"/>
    <w:rsid w:val="00911C4B"/>
    <w:rsid w:val="00912FC1"/>
    <w:rsid w:val="0091308E"/>
    <w:rsid w:val="009130C4"/>
    <w:rsid w:val="00913C99"/>
    <w:rsid w:val="00914011"/>
    <w:rsid w:val="00914511"/>
    <w:rsid w:val="00914D37"/>
    <w:rsid w:val="009154B0"/>
    <w:rsid w:val="0091569E"/>
    <w:rsid w:val="00915906"/>
    <w:rsid w:val="00915A1C"/>
    <w:rsid w:val="00915E67"/>
    <w:rsid w:val="00917792"/>
    <w:rsid w:val="0092009D"/>
    <w:rsid w:val="00920EBB"/>
    <w:rsid w:val="00921B02"/>
    <w:rsid w:val="00922486"/>
    <w:rsid w:val="009226FE"/>
    <w:rsid w:val="009227DF"/>
    <w:rsid w:val="009228EE"/>
    <w:rsid w:val="0092291B"/>
    <w:rsid w:val="00922A11"/>
    <w:rsid w:val="00923A23"/>
    <w:rsid w:val="0092478F"/>
    <w:rsid w:val="0092495C"/>
    <w:rsid w:val="00925A12"/>
    <w:rsid w:val="009261DD"/>
    <w:rsid w:val="009262D9"/>
    <w:rsid w:val="009271F6"/>
    <w:rsid w:val="009278E5"/>
    <w:rsid w:val="0093026E"/>
    <w:rsid w:val="009316F2"/>
    <w:rsid w:val="00931C32"/>
    <w:rsid w:val="009326D5"/>
    <w:rsid w:val="00932A6B"/>
    <w:rsid w:val="00932C34"/>
    <w:rsid w:val="00932E96"/>
    <w:rsid w:val="00932F6D"/>
    <w:rsid w:val="00933114"/>
    <w:rsid w:val="00933333"/>
    <w:rsid w:val="009341AE"/>
    <w:rsid w:val="00934EEE"/>
    <w:rsid w:val="0093601D"/>
    <w:rsid w:val="0093674B"/>
    <w:rsid w:val="00936F68"/>
    <w:rsid w:val="00937A25"/>
    <w:rsid w:val="00937A7E"/>
    <w:rsid w:val="00940E96"/>
    <w:rsid w:val="00940FB9"/>
    <w:rsid w:val="00942D4B"/>
    <w:rsid w:val="00943872"/>
    <w:rsid w:val="00943FF9"/>
    <w:rsid w:val="00944341"/>
    <w:rsid w:val="00946EE9"/>
    <w:rsid w:val="0094702A"/>
    <w:rsid w:val="009477B5"/>
    <w:rsid w:val="00947C8C"/>
    <w:rsid w:val="00947EEB"/>
    <w:rsid w:val="009500CA"/>
    <w:rsid w:val="0095098F"/>
    <w:rsid w:val="00950A1B"/>
    <w:rsid w:val="00950BFB"/>
    <w:rsid w:val="00951945"/>
    <w:rsid w:val="00951A1A"/>
    <w:rsid w:val="00951AE4"/>
    <w:rsid w:val="00951C12"/>
    <w:rsid w:val="00952267"/>
    <w:rsid w:val="00953627"/>
    <w:rsid w:val="00954348"/>
    <w:rsid w:val="00956487"/>
    <w:rsid w:val="00956A62"/>
    <w:rsid w:val="0095798B"/>
    <w:rsid w:val="009604FC"/>
    <w:rsid w:val="009612EA"/>
    <w:rsid w:val="009616DC"/>
    <w:rsid w:val="00961F28"/>
    <w:rsid w:val="0096205E"/>
    <w:rsid w:val="009626A7"/>
    <w:rsid w:val="009628B7"/>
    <w:rsid w:val="00962A7E"/>
    <w:rsid w:val="00962BEB"/>
    <w:rsid w:val="009634D7"/>
    <w:rsid w:val="0096393E"/>
    <w:rsid w:val="00964CEF"/>
    <w:rsid w:val="00964DA0"/>
    <w:rsid w:val="00964F77"/>
    <w:rsid w:val="009655F8"/>
    <w:rsid w:val="009656CD"/>
    <w:rsid w:val="0096670D"/>
    <w:rsid w:val="00967804"/>
    <w:rsid w:val="00967F7F"/>
    <w:rsid w:val="00970B03"/>
    <w:rsid w:val="009713C5"/>
    <w:rsid w:val="00971F53"/>
    <w:rsid w:val="00972869"/>
    <w:rsid w:val="0097291C"/>
    <w:rsid w:val="00973C36"/>
    <w:rsid w:val="0097453F"/>
    <w:rsid w:val="00974E56"/>
    <w:rsid w:val="00975064"/>
    <w:rsid w:val="009752C7"/>
    <w:rsid w:val="0097564A"/>
    <w:rsid w:val="0097577F"/>
    <w:rsid w:val="00976098"/>
    <w:rsid w:val="00976ED7"/>
    <w:rsid w:val="009773A6"/>
    <w:rsid w:val="009774F7"/>
    <w:rsid w:val="0097779F"/>
    <w:rsid w:val="00982420"/>
    <w:rsid w:val="00983CC9"/>
    <w:rsid w:val="00983F46"/>
    <w:rsid w:val="00984258"/>
    <w:rsid w:val="00984468"/>
    <w:rsid w:val="0098475C"/>
    <w:rsid w:val="0098506E"/>
    <w:rsid w:val="009853C6"/>
    <w:rsid w:val="00985602"/>
    <w:rsid w:val="00985F79"/>
    <w:rsid w:val="00986FE3"/>
    <w:rsid w:val="0098756C"/>
    <w:rsid w:val="009875C2"/>
    <w:rsid w:val="00990C8A"/>
    <w:rsid w:val="00991243"/>
    <w:rsid w:val="009912AC"/>
    <w:rsid w:val="00993786"/>
    <w:rsid w:val="00993B35"/>
    <w:rsid w:val="0099422B"/>
    <w:rsid w:val="00994D8D"/>
    <w:rsid w:val="009953B6"/>
    <w:rsid w:val="00995682"/>
    <w:rsid w:val="009957E4"/>
    <w:rsid w:val="0099663F"/>
    <w:rsid w:val="00996AD0"/>
    <w:rsid w:val="00996FB2"/>
    <w:rsid w:val="009979C7"/>
    <w:rsid w:val="00997A3B"/>
    <w:rsid w:val="00997B50"/>
    <w:rsid w:val="009A0FFA"/>
    <w:rsid w:val="009A1183"/>
    <w:rsid w:val="009A1786"/>
    <w:rsid w:val="009A2A7E"/>
    <w:rsid w:val="009A4925"/>
    <w:rsid w:val="009A6315"/>
    <w:rsid w:val="009A7F11"/>
    <w:rsid w:val="009B0312"/>
    <w:rsid w:val="009B0344"/>
    <w:rsid w:val="009B1316"/>
    <w:rsid w:val="009B1856"/>
    <w:rsid w:val="009B226F"/>
    <w:rsid w:val="009B2288"/>
    <w:rsid w:val="009B22DE"/>
    <w:rsid w:val="009B286C"/>
    <w:rsid w:val="009B4263"/>
    <w:rsid w:val="009B468C"/>
    <w:rsid w:val="009B49DE"/>
    <w:rsid w:val="009B4DBE"/>
    <w:rsid w:val="009B6BD8"/>
    <w:rsid w:val="009B7154"/>
    <w:rsid w:val="009B7897"/>
    <w:rsid w:val="009B7B21"/>
    <w:rsid w:val="009C136A"/>
    <w:rsid w:val="009C1741"/>
    <w:rsid w:val="009C4E65"/>
    <w:rsid w:val="009C64B5"/>
    <w:rsid w:val="009C68CD"/>
    <w:rsid w:val="009C696D"/>
    <w:rsid w:val="009C6CEB"/>
    <w:rsid w:val="009D0094"/>
    <w:rsid w:val="009D0FF6"/>
    <w:rsid w:val="009D160B"/>
    <w:rsid w:val="009D2289"/>
    <w:rsid w:val="009D23B4"/>
    <w:rsid w:val="009D2410"/>
    <w:rsid w:val="009D47F8"/>
    <w:rsid w:val="009D493B"/>
    <w:rsid w:val="009D5BF2"/>
    <w:rsid w:val="009D760C"/>
    <w:rsid w:val="009D7ECD"/>
    <w:rsid w:val="009E0921"/>
    <w:rsid w:val="009E1B43"/>
    <w:rsid w:val="009E3D62"/>
    <w:rsid w:val="009E597C"/>
    <w:rsid w:val="009E6426"/>
    <w:rsid w:val="009E6849"/>
    <w:rsid w:val="009E79C0"/>
    <w:rsid w:val="009E7A57"/>
    <w:rsid w:val="009F0CC4"/>
    <w:rsid w:val="009F1C99"/>
    <w:rsid w:val="009F22FF"/>
    <w:rsid w:val="009F25A5"/>
    <w:rsid w:val="009F2807"/>
    <w:rsid w:val="009F3117"/>
    <w:rsid w:val="009F3836"/>
    <w:rsid w:val="009F3A0F"/>
    <w:rsid w:val="009F431A"/>
    <w:rsid w:val="009F4373"/>
    <w:rsid w:val="009F5034"/>
    <w:rsid w:val="009F5AD5"/>
    <w:rsid w:val="009F6C51"/>
    <w:rsid w:val="009F719C"/>
    <w:rsid w:val="00A00050"/>
    <w:rsid w:val="00A01961"/>
    <w:rsid w:val="00A02017"/>
    <w:rsid w:val="00A0229F"/>
    <w:rsid w:val="00A02FDD"/>
    <w:rsid w:val="00A036A4"/>
    <w:rsid w:val="00A03C66"/>
    <w:rsid w:val="00A04266"/>
    <w:rsid w:val="00A0436C"/>
    <w:rsid w:val="00A04618"/>
    <w:rsid w:val="00A04DF3"/>
    <w:rsid w:val="00A056B1"/>
    <w:rsid w:val="00A05BC4"/>
    <w:rsid w:val="00A064E4"/>
    <w:rsid w:val="00A0695F"/>
    <w:rsid w:val="00A06E86"/>
    <w:rsid w:val="00A072B6"/>
    <w:rsid w:val="00A07A38"/>
    <w:rsid w:val="00A10222"/>
    <w:rsid w:val="00A10639"/>
    <w:rsid w:val="00A1071F"/>
    <w:rsid w:val="00A10C68"/>
    <w:rsid w:val="00A11D6C"/>
    <w:rsid w:val="00A12101"/>
    <w:rsid w:val="00A12E0A"/>
    <w:rsid w:val="00A133E0"/>
    <w:rsid w:val="00A139E1"/>
    <w:rsid w:val="00A14390"/>
    <w:rsid w:val="00A1474B"/>
    <w:rsid w:val="00A15FCB"/>
    <w:rsid w:val="00A16901"/>
    <w:rsid w:val="00A173E9"/>
    <w:rsid w:val="00A1773A"/>
    <w:rsid w:val="00A17A06"/>
    <w:rsid w:val="00A17D2C"/>
    <w:rsid w:val="00A23828"/>
    <w:rsid w:val="00A23ADB"/>
    <w:rsid w:val="00A23DA3"/>
    <w:rsid w:val="00A242C1"/>
    <w:rsid w:val="00A2497A"/>
    <w:rsid w:val="00A24C37"/>
    <w:rsid w:val="00A25ED4"/>
    <w:rsid w:val="00A2778B"/>
    <w:rsid w:val="00A30C45"/>
    <w:rsid w:val="00A31F81"/>
    <w:rsid w:val="00A32617"/>
    <w:rsid w:val="00A337A2"/>
    <w:rsid w:val="00A339D1"/>
    <w:rsid w:val="00A34D97"/>
    <w:rsid w:val="00A3794D"/>
    <w:rsid w:val="00A37CB0"/>
    <w:rsid w:val="00A40AAB"/>
    <w:rsid w:val="00A424F9"/>
    <w:rsid w:val="00A4274F"/>
    <w:rsid w:val="00A42F45"/>
    <w:rsid w:val="00A43A8C"/>
    <w:rsid w:val="00A44708"/>
    <w:rsid w:val="00A45629"/>
    <w:rsid w:val="00A45DF2"/>
    <w:rsid w:val="00A508D2"/>
    <w:rsid w:val="00A550AF"/>
    <w:rsid w:val="00A57A44"/>
    <w:rsid w:val="00A6049D"/>
    <w:rsid w:val="00A6088C"/>
    <w:rsid w:val="00A60C74"/>
    <w:rsid w:val="00A61349"/>
    <w:rsid w:val="00A616C8"/>
    <w:rsid w:val="00A62240"/>
    <w:rsid w:val="00A62321"/>
    <w:rsid w:val="00A62402"/>
    <w:rsid w:val="00A635FE"/>
    <w:rsid w:val="00A643C1"/>
    <w:rsid w:val="00A65085"/>
    <w:rsid w:val="00A652BF"/>
    <w:rsid w:val="00A65A02"/>
    <w:rsid w:val="00A65A44"/>
    <w:rsid w:val="00A668C5"/>
    <w:rsid w:val="00A668DA"/>
    <w:rsid w:val="00A6690D"/>
    <w:rsid w:val="00A66C37"/>
    <w:rsid w:val="00A66FCE"/>
    <w:rsid w:val="00A67F5F"/>
    <w:rsid w:val="00A73B61"/>
    <w:rsid w:val="00A74D8D"/>
    <w:rsid w:val="00A74FF9"/>
    <w:rsid w:val="00A75787"/>
    <w:rsid w:val="00A75C49"/>
    <w:rsid w:val="00A76AAE"/>
    <w:rsid w:val="00A76C7F"/>
    <w:rsid w:val="00A76EA4"/>
    <w:rsid w:val="00A77B69"/>
    <w:rsid w:val="00A820B4"/>
    <w:rsid w:val="00A821A0"/>
    <w:rsid w:val="00A835C5"/>
    <w:rsid w:val="00A83A71"/>
    <w:rsid w:val="00A848D6"/>
    <w:rsid w:val="00A84A4D"/>
    <w:rsid w:val="00A852C6"/>
    <w:rsid w:val="00A85E84"/>
    <w:rsid w:val="00A861B7"/>
    <w:rsid w:val="00A86A2D"/>
    <w:rsid w:val="00A86EF6"/>
    <w:rsid w:val="00A87A7E"/>
    <w:rsid w:val="00A87D35"/>
    <w:rsid w:val="00A87E6D"/>
    <w:rsid w:val="00A908CB"/>
    <w:rsid w:val="00A9271E"/>
    <w:rsid w:val="00A92843"/>
    <w:rsid w:val="00A95F9C"/>
    <w:rsid w:val="00A9673A"/>
    <w:rsid w:val="00A96BFE"/>
    <w:rsid w:val="00A96F8D"/>
    <w:rsid w:val="00A97B20"/>
    <w:rsid w:val="00AA0030"/>
    <w:rsid w:val="00AA084E"/>
    <w:rsid w:val="00AA1252"/>
    <w:rsid w:val="00AA285E"/>
    <w:rsid w:val="00AA2BBA"/>
    <w:rsid w:val="00AA2DDC"/>
    <w:rsid w:val="00AA34FC"/>
    <w:rsid w:val="00AA3CD6"/>
    <w:rsid w:val="00AA3CF9"/>
    <w:rsid w:val="00AA3F45"/>
    <w:rsid w:val="00AA42EA"/>
    <w:rsid w:val="00AA6AE4"/>
    <w:rsid w:val="00AA6BCD"/>
    <w:rsid w:val="00AA70A0"/>
    <w:rsid w:val="00AA7AE3"/>
    <w:rsid w:val="00AB0556"/>
    <w:rsid w:val="00AB0C15"/>
    <w:rsid w:val="00AB1088"/>
    <w:rsid w:val="00AB2D57"/>
    <w:rsid w:val="00AB3041"/>
    <w:rsid w:val="00AB3072"/>
    <w:rsid w:val="00AB3BA4"/>
    <w:rsid w:val="00AB50C1"/>
    <w:rsid w:val="00AB5BB1"/>
    <w:rsid w:val="00AB6591"/>
    <w:rsid w:val="00AB6F43"/>
    <w:rsid w:val="00AB79DE"/>
    <w:rsid w:val="00AB7DCF"/>
    <w:rsid w:val="00AC01DD"/>
    <w:rsid w:val="00AC0800"/>
    <w:rsid w:val="00AC0F5A"/>
    <w:rsid w:val="00AC13BB"/>
    <w:rsid w:val="00AC146B"/>
    <w:rsid w:val="00AC24B8"/>
    <w:rsid w:val="00AC2C4D"/>
    <w:rsid w:val="00AC3058"/>
    <w:rsid w:val="00AC31D2"/>
    <w:rsid w:val="00AC32BE"/>
    <w:rsid w:val="00AC3C13"/>
    <w:rsid w:val="00AC3C6E"/>
    <w:rsid w:val="00AC4F67"/>
    <w:rsid w:val="00AC6E2F"/>
    <w:rsid w:val="00AC6E71"/>
    <w:rsid w:val="00AC6F91"/>
    <w:rsid w:val="00AC788F"/>
    <w:rsid w:val="00AC7E94"/>
    <w:rsid w:val="00AD07B4"/>
    <w:rsid w:val="00AD08A7"/>
    <w:rsid w:val="00AD0B82"/>
    <w:rsid w:val="00AD0E6B"/>
    <w:rsid w:val="00AD0F0F"/>
    <w:rsid w:val="00AD1C61"/>
    <w:rsid w:val="00AD3523"/>
    <w:rsid w:val="00AD387D"/>
    <w:rsid w:val="00AD4C94"/>
    <w:rsid w:val="00AD4CA8"/>
    <w:rsid w:val="00AD5181"/>
    <w:rsid w:val="00AD575E"/>
    <w:rsid w:val="00AD5950"/>
    <w:rsid w:val="00AD6038"/>
    <w:rsid w:val="00AD6BFB"/>
    <w:rsid w:val="00AE027F"/>
    <w:rsid w:val="00AE0763"/>
    <w:rsid w:val="00AE0F43"/>
    <w:rsid w:val="00AE18EF"/>
    <w:rsid w:val="00AE19CA"/>
    <w:rsid w:val="00AE22E7"/>
    <w:rsid w:val="00AE2B65"/>
    <w:rsid w:val="00AE3024"/>
    <w:rsid w:val="00AE358E"/>
    <w:rsid w:val="00AE3668"/>
    <w:rsid w:val="00AE3BFC"/>
    <w:rsid w:val="00AE4283"/>
    <w:rsid w:val="00AE46E6"/>
    <w:rsid w:val="00AE4A63"/>
    <w:rsid w:val="00AE4C73"/>
    <w:rsid w:val="00AE61E2"/>
    <w:rsid w:val="00AE6A20"/>
    <w:rsid w:val="00AE7D78"/>
    <w:rsid w:val="00AF418B"/>
    <w:rsid w:val="00AF517D"/>
    <w:rsid w:val="00AF561A"/>
    <w:rsid w:val="00AF5F36"/>
    <w:rsid w:val="00AF64C7"/>
    <w:rsid w:val="00AF66A9"/>
    <w:rsid w:val="00AF7172"/>
    <w:rsid w:val="00AF7B86"/>
    <w:rsid w:val="00B00FD6"/>
    <w:rsid w:val="00B01CC0"/>
    <w:rsid w:val="00B023B6"/>
    <w:rsid w:val="00B02441"/>
    <w:rsid w:val="00B027A0"/>
    <w:rsid w:val="00B02F5D"/>
    <w:rsid w:val="00B04A9B"/>
    <w:rsid w:val="00B04DB2"/>
    <w:rsid w:val="00B0541C"/>
    <w:rsid w:val="00B11996"/>
    <w:rsid w:val="00B1227E"/>
    <w:rsid w:val="00B122E6"/>
    <w:rsid w:val="00B12475"/>
    <w:rsid w:val="00B148D3"/>
    <w:rsid w:val="00B14CC6"/>
    <w:rsid w:val="00B15012"/>
    <w:rsid w:val="00B150E8"/>
    <w:rsid w:val="00B15240"/>
    <w:rsid w:val="00B16BDB"/>
    <w:rsid w:val="00B174F3"/>
    <w:rsid w:val="00B17855"/>
    <w:rsid w:val="00B17B67"/>
    <w:rsid w:val="00B17CD4"/>
    <w:rsid w:val="00B20FF1"/>
    <w:rsid w:val="00B2138F"/>
    <w:rsid w:val="00B222A3"/>
    <w:rsid w:val="00B22459"/>
    <w:rsid w:val="00B239FA"/>
    <w:rsid w:val="00B23AA0"/>
    <w:rsid w:val="00B23E0B"/>
    <w:rsid w:val="00B245FB"/>
    <w:rsid w:val="00B258EC"/>
    <w:rsid w:val="00B25D06"/>
    <w:rsid w:val="00B260DA"/>
    <w:rsid w:val="00B2684A"/>
    <w:rsid w:val="00B26A67"/>
    <w:rsid w:val="00B26FE7"/>
    <w:rsid w:val="00B272A6"/>
    <w:rsid w:val="00B30A63"/>
    <w:rsid w:val="00B30E50"/>
    <w:rsid w:val="00B31ED0"/>
    <w:rsid w:val="00B32453"/>
    <w:rsid w:val="00B32D36"/>
    <w:rsid w:val="00B330D0"/>
    <w:rsid w:val="00B337E0"/>
    <w:rsid w:val="00B344FC"/>
    <w:rsid w:val="00B3462B"/>
    <w:rsid w:val="00B3576F"/>
    <w:rsid w:val="00B35816"/>
    <w:rsid w:val="00B36CE3"/>
    <w:rsid w:val="00B37E0D"/>
    <w:rsid w:val="00B40928"/>
    <w:rsid w:val="00B40EDC"/>
    <w:rsid w:val="00B413C8"/>
    <w:rsid w:val="00B4416B"/>
    <w:rsid w:val="00B467EE"/>
    <w:rsid w:val="00B50667"/>
    <w:rsid w:val="00B508BF"/>
    <w:rsid w:val="00B51252"/>
    <w:rsid w:val="00B51ACF"/>
    <w:rsid w:val="00B547C7"/>
    <w:rsid w:val="00B54DE2"/>
    <w:rsid w:val="00B55BBE"/>
    <w:rsid w:val="00B55DB0"/>
    <w:rsid w:val="00B603E8"/>
    <w:rsid w:val="00B6070D"/>
    <w:rsid w:val="00B60D9D"/>
    <w:rsid w:val="00B616BB"/>
    <w:rsid w:val="00B6273C"/>
    <w:rsid w:val="00B627AB"/>
    <w:rsid w:val="00B62DE3"/>
    <w:rsid w:val="00B63C39"/>
    <w:rsid w:val="00B66615"/>
    <w:rsid w:val="00B66AC7"/>
    <w:rsid w:val="00B674F4"/>
    <w:rsid w:val="00B675E0"/>
    <w:rsid w:val="00B67707"/>
    <w:rsid w:val="00B706E4"/>
    <w:rsid w:val="00B70C21"/>
    <w:rsid w:val="00B70D5E"/>
    <w:rsid w:val="00B71B4A"/>
    <w:rsid w:val="00B752A4"/>
    <w:rsid w:val="00B76090"/>
    <w:rsid w:val="00B76685"/>
    <w:rsid w:val="00B76F01"/>
    <w:rsid w:val="00B80183"/>
    <w:rsid w:val="00B804C3"/>
    <w:rsid w:val="00B80784"/>
    <w:rsid w:val="00B80FDC"/>
    <w:rsid w:val="00B8105C"/>
    <w:rsid w:val="00B8392C"/>
    <w:rsid w:val="00B83BE8"/>
    <w:rsid w:val="00B83F3D"/>
    <w:rsid w:val="00B84776"/>
    <w:rsid w:val="00B847C9"/>
    <w:rsid w:val="00B84CAC"/>
    <w:rsid w:val="00B85002"/>
    <w:rsid w:val="00B85B87"/>
    <w:rsid w:val="00B9127F"/>
    <w:rsid w:val="00B913FD"/>
    <w:rsid w:val="00B924E9"/>
    <w:rsid w:val="00B9459B"/>
    <w:rsid w:val="00B949EA"/>
    <w:rsid w:val="00B95563"/>
    <w:rsid w:val="00B9587A"/>
    <w:rsid w:val="00B95A93"/>
    <w:rsid w:val="00B962F7"/>
    <w:rsid w:val="00B96A95"/>
    <w:rsid w:val="00B96CA4"/>
    <w:rsid w:val="00B96F81"/>
    <w:rsid w:val="00B9751B"/>
    <w:rsid w:val="00BA07F2"/>
    <w:rsid w:val="00BA133E"/>
    <w:rsid w:val="00BA1CF3"/>
    <w:rsid w:val="00BA223C"/>
    <w:rsid w:val="00BA2582"/>
    <w:rsid w:val="00BA3B9F"/>
    <w:rsid w:val="00BA4799"/>
    <w:rsid w:val="00BA4843"/>
    <w:rsid w:val="00BA4D13"/>
    <w:rsid w:val="00BA5CC7"/>
    <w:rsid w:val="00BA677B"/>
    <w:rsid w:val="00BA6B9E"/>
    <w:rsid w:val="00BA789C"/>
    <w:rsid w:val="00BA7A0D"/>
    <w:rsid w:val="00BB007B"/>
    <w:rsid w:val="00BB0D19"/>
    <w:rsid w:val="00BB2488"/>
    <w:rsid w:val="00BB27DD"/>
    <w:rsid w:val="00BB2A84"/>
    <w:rsid w:val="00BB2BF2"/>
    <w:rsid w:val="00BB2CD2"/>
    <w:rsid w:val="00BB39B4"/>
    <w:rsid w:val="00BB6738"/>
    <w:rsid w:val="00BB74DA"/>
    <w:rsid w:val="00BB7581"/>
    <w:rsid w:val="00BC0948"/>
    <w:rsid w:val="00BC0952"/>
    <w:rsid w:val="00BC14C1"/>
    <w:rsid w:val="00BC184F"/>
    <w:rsid w:val="00BC1AAA"/>
    <w:rsid w:val="00BC1FA2"/>
    <w:rsid w:val="00BC3ABB"/>
    <w:rsid w:val="00BC41E9"/>
    <w:rsid w:val="00BC43F3"/>
    <w:rsid w:val="00BC48B3"/>
    <w:rsid w:val="00BC5D3A"/>
    <w:rsid w:val="00BC6927"/>
    <w:rsid w:val="00BC781B"/>
    <w:rsid w:val="00BD08FF"/>
    <w:rsid w:val="00BD090C"/>
    <w:rsid w:val="00BD0C55"/>
    <w:rsid w:val="00BD0DAD"/>
    <w:rsid w:val="00BD1D0C"/>
    <w:rsid w:val="00BD22D1"/>
    <w:rsid w:val="00BD237A"/>
    <w:rsid w:val="00BD24EF"/>
    <w:rsid w:val="00BD281F"/>
    <w:rsid w:val="00BD28FB"/>
    <w:rsid w:val="00BD3320"/>
    <w:rsid w:val="00BD4A43"/>
    <w:rsid w:val="00BD4F73"/>
    <w:rsid w:val="00BD4F7F"/>
    <w:rsid w:val="00BD51A8"/>
    <w:rsid w:val="00BD57E9"/>
    <w:rsid w:val="00BD5A54"/>
    <w:rsid w:val="00BD5B57"/>
    <w:rsid w:val="00BD5D75"/>
    <w:rsid w:val="00BD631D"/>
    <w:rsid w:val="00BD70AC"/>
    <w:rsid w:val="00BD7138"/>
    <w:rsid w:val="00BE18E7"/>
    <w:rsid w:val="00BE2AC1"/>
    <w:rsid w:val="00BE2F1E"/>
    <w:rsid w:val="00BE345F"/>
    <w:rsid w:val="00BE3FA1"/>
    <w:rsid w:val="00BE422C"/>
    <w:rsid w:val="00BE5947"/>
    <w:rsid w:val="00BE5A9E"/>
    <w:rsid w:val="00BE6259"/>
    <w:rsid w:val="00BE724F"/>
    <w:rsid w:val="00BE7BA7"/>
    <w:rsid w:val="00BF0580"/>
    <w:rsid w:val="00BF20B6"/>
    <w:rsid w:val="00BF343A"/>
    <w:rsid w:val="00BF4255"/>
    <w:rsid w:val="00BF5CA5"/>
    <w:rsid w:val="00BF7661"/>
    <w:rsid w:val="00BF7A96"/>
    <w:rsid w:val="00C0001D"/>
    <w:rsid w:val="00C004CE"/>
    <w:rsid w:val="00C00FB8"/>
    <w:rsid w:val="00C016F6"/>
    <w:rsid w:val="00C01CDB"/>
    <w:rsid w:val="00C0338B"/>
    <w:rsid w:val="00C040C7"/>
    <w:rsid w:val="00C042CD"/>
    <w:rsid w:val="00C06970"/>
    <w:rsid w:val="00C06A4F"/>
    <w:rsid w:val="00C10131"/>
    <w:rsid w:val="00C11A05"/>
    <w:rsid w:val="00C11F46"/>
    <w:rsid w:val="00C125CB"/>
    <w:rsid w:val="00C1301E"/>
    <w:rsid w:val="00C13D24"/>
    <w:rsid w:val="00C14A84"/>
    <w:rsid w:val="00C152E3"/>
    <w:rsid w:val="00C15F5D"/>
    <w:rsid w:val="00C16B90"/>
    <w:rsid w:val="00C20312"/>
    <w:rsid w:val="00C21001"/>
    <w:rsid w:val="00C21487"/>
    <w:rsid w:val="00C218CA"/>
    <w:rsid w:val="00C21BCA"/>
    <w:rsid w:val="00C2223C"/>
    <w:rsid w:val="00C222A6"/>
    <w:rsid w:val="00C22784"/>
    <w:rsid w:val="00C229B5"/>
    <w:rsid w:val="00C235C4"/>
    <w:rsid w:val="00C23884"/>
    <w:rsid w:val="00C24AE8"/>
    <w:rsid w:val="00C258EB"/>
    <w:rsid w:val="00C2658C"/>
    <w:rsid w:val="00C279CF"/>
    <w:rsid w:val="00C30037"/>
    <w:rsid w:val="00C300BE"/>
    <w:rsid w:val="00C30427"/>
    <w:rsid w:val="00C305E8"/>
    <w:rsid w:val="00C307F3"/>
    <w:rsid w:val="00C31A4B"/>
    <w:rsid w:val="00C31D4A"/>
    <w:rsid w:val="00C32D20"/>
    <w:rsid w:val="00C338A3"/>
    <w:rsid w:val="00C3402E"/>
    <w:rsid w:val="00C346AF"/>
    <w:rsid w:val="00C36EDE"/>
    <w:rsid w:val="00C36EE1"/>
    <w:rsid w:val="00C400AF"/>
    <w:rsid w:val="00C400C3"/>
    <w:rsid w:val="00C4011A"/>
    <w:rsid w:val="00C403B6"/>
    <w:rsid w:val="00C41A74"/>
    <w:rsid w:val="00C42173"/>
    <w:rsid w:val="00C431B3"/>
    <w:rsid w:val="00C43324"/>
    <w:rsid w:val="00C4344F"/>
    <w:rsid w:val="00C45499"/>
    <w:rsid w:val="00C454E9"/>
    <w:rsid w:val="00C45A66"/>
    <w:rsid w:val="00C45B0E"/>
    <w:rsid w:val="00C4637A"/>
    <w:rsid w:val="00C469BA"/>
    <w:rsid w:val="00C4794B"/>
    <w:rsid w:val="00C47ED4"/>
    <w:rsid w:val="00C47F38"/>
    <w:rsid w:val="00C5001B"/>
    <w:rsid w:val="00C50416"/>
    <w:rsid w:val="00C50ADE"/>
    <w:rsid w:val="00C5111A"/>
    <w:rsid w:val="00C535DD"/>
    <w:rsid w:val="00C57060"/>
    <w:rsid w:val="00C600F2"/>
    <w:rsid w:val="00C6075D"/>
    <w:rsid w:val="00C61A32"/>
    <w:rsid w:val="00C61A4C"/>
    <w:rsid w:val="00C62A2F"/>
    <w:rsid w:val="00C632C5"/>
    <w:rsid w:val="00C63508"/>
    <w:rsid w:val="00C63CB1"/>
    <w:rsid w:val="00C6434C"/>
    <w:rsid w:val="00C64ACB"/>
    <w:rsid w:val="00C6599E"/>
    <w:rsid w:val="00C663C3"/>
    <w:rsid w:val="00C66406"/>
    <w:rsid w:val="00C72A0C"/>
    <w:rsid w:val="00C736C4"/>
    <w:rsid w:val="00C752F8"/>
    <w:rsid w:val="00C76AA4"/>
    <w:rsid w:val="00C76E3C"/>
    <w:rsid w:val="00C77F35"/>
    <w:rsid w:val="00C8006D"/>
    <w:rsid w:val="00C80204"/>
    <w:rsid w:val="00C80331"/>
    <w:rsid w:val="00C81541"/>
    <w:rsid w:val="00C831AA"/>
    <w:rsid w:val="00C83309"/>
    <w:rsid w:val="00C83498"/>
    <w:rsid w:val="00C83AC9"/>
    <w:rsid w:val="00C842FE"/>
    <w:rsid w:val="00C85144"/>
    <w:rsid w:val="00C8657B"/>
    <w:rsid w:val="00C870BA"/>
    <w:rsid w:val="00C8758A"/>
    <w:rsid w:val="00C8772F"/>
    <w:rsid w:val="00C90B5F"/>
    <w:rsid w:val="00C91EDA"/>
    <w:rsid w:val="00C92693"/>
    <w:rsid w:val="00C92705"/>
    <w:rsid w:val="00C93126"/>
    <w:rsid w:val="00C944C5"/>
    <w:rsid w:val="00C9485C"/>
    <w:rsid w:val="00C94D87"/>
    <w:rsid w:val="00C95AEC"/>
    <w:rsid w:val="00C95BAC"/>
    <w:rsid w:val="00C95EAD"/>
    <w:rsid w:val="00C978B3"/>
    <w:rsid w:val="00CA07AC"/>
    <w:rsid w:val="00CA1233"/>
    <w:rsid w:val="00CA1381"/>
    <w:rsid w:val="00CA138E"/>
    <w:rsid w:val="00CA1D6F"/>
    <w:rsid w:val="00CA26EE"/>
    <w:rsid w:val="00CA31F3"/>
    <w:rsid w:val="00CA4B8A"/>
    <w:rsid w:val="00CA4EA0"/>
    <w:rsid w:val="00CA53E4"/>
    <w:rsid w:val="00CA5424"/>
    <w:rsid w:val="00CA5A16"/>
    <w:rsid w:val="00CA6283"/>
    <w:rsid w:val="00CA6686"/>
    <w:rsid w:val="00CA68F4"/>
    <w:rsid w:val="00CA7160"/>
    <w:rsid w:val="00CB0807"/>
    <w:rsid w:val="00CB0ADE"/>
    <w:rsid w:val="00CB1E6A"/>
    <w:rsid w:val="00CB2BB2"/>
    <w:rsid w:val="00CB2D77"/>
    <w:rsid w:val="00CB46D9"/>
    <w:rsid w:val="00CB4B32"/>
    <w:rsid w:val="00CB5ED1"/>
    <w:rsid w:val="00CB799F"/>
    <w:rsid w:val="00CC06D3"/>
    <w:rsid w:val="00CC0742"/>
    <w:rsid w:val="00CC0F76"/>
    <w:rsid w:val="00CC1A81"/>
    <w:rsid w:val="00CC2F0C"/>
    <w:rsid w:val="00CC3748"/>
    <w:rsid w:val="00CC3987"/>
    <w:rsid w:val="00CC4C1A"/>
    <w:rsid w:val="00CC60B5"/>
    <w:rsid w:val="00CC67D6"/>
    <w:rsid w:val="00CC7356"/>
    <w:rsid w:val="00CC7630"/>
    <w:rsid w:val="00CD0506"/>
    <w:rsid w:val="00CD087F"/>
    <w:rsid w:val="00CD0FAA"/>
    <w:rsid w:val="00CD1250"/>
    <w:rsid w:val="00CD202C"/>
    <w:rsid w:val="00CD22E5"/>
    <w:rsid w:val="00CD3F51"/>
    <w:rsid w:val="00CD492B"/>
    <w:rsid w:val="00CD4AF8"/>
    <w:rsid w:val="00CD4F64"/>
    <w:rsid w:val="00CD53AC"/>
    <w:rsid w:val="00CD5620"/>
    <w:rsid w:val="00CD5E44"/>
    <w:rsid w:val="00CD6083"/>
    <w:rsid w:val="00CD6526"/>
    <w:rsid w:val="00CD6AC4"/>
    <w:rsid w:val="00CD714B"/>
    <w:rsid w:val="00CD7986"/>
    <w:rsid w:val="00CE092E"/>
    <w:rsid w:val="00CE0A5E"/>
    <w:rsid w:val="00CE10B9"/>
    <w:rsid w:val="00CE2182"/>
    <w:rsid w:val="00CE30CA"/>
    <w:rsid w:val="00CE4BF1"/>
    <w:rsid w:val="00CE4DB9"/>
    <w:rsid w:val="00CE516A"/>
    <w:rsid w:val="00CE5AAD"/>
    <w:rsid w:val="00CE6104"/>
    <w:rsid w:val="00CF0019"/>
    <w:rsid w:val="00CF005D"/>
    <w:rsid w:val="00CF14D1"/>
    <w:rsid w:val="00CF1AF0"/>
    <w:rsid w:val="00CF1B2E"/>
    <w:rsid w:val="00CF1B39"/>
    <w:rsid w:val="00CF1C21"/>
    <w:rsid w:val="00CF2306"/>
    <w:rsid w:val="00CF42FF"/>
    <w:rsid w:val="00CF5B20"/>
    <w:rsid w:val="00CF7A59"/>
    <w:rsid w:val="00CF7B99"/>
    <w:rsid w:val="00D00E19"/>
    <w:rsid w:val="00D03B79"/>
    <w:rsid w:val="00D04620"/>
    <w:rsid w:val="00D048E3"/>
    <w:rsid w:val="00D058D9"/>
    <w:rsid w:val="00D068FF"/>
    <w:rsid w:val="00D07A2D"/>
    <w:rsid w:val="00D07E10"/>
    <w:rsid w:val="00D07EF3"/>
    <w:rsid w:val="00D11B6D"/>
    <w:rsid w:val="00D12061"/>
    <w:rsid w:val="00D12EB0"/>
    <w:rsid w:val="00D13665"/>
    <w:rsid w:val="00D1385F"/>
    <w:rsid w:val="00D13C3A"/>
    <w:rsid w:val="00D14742"/>
    <w:rsid w:val="00D14EEF"/>
    <w:rsid w:val="00D15490"/>
    <w:rsid w:val="00D1737F"/>
    <w:rsid w:val="00D20D6F"/>
    <w:rsid w:val="00D2118D"/>
    <w:rsid w:val="00D2132A"/>
    <w:rsid w:val="00D21BE9"/>
    <w:rsid w:val="00D21C2A"/>
    <w:rsid w:val="00D250BB"/>
    <w:rsid w:val="00D261DF"/>
    <w:rsid w:val="00D26A76"/>
    <w:rsid w:val="00D27330"/>
    <w:rsid w:val="00D277D6"/>
    <w:rsid w:val="00D277E6"/>
    <w:rsid w:val="00D309CB"/>
    <w:rsid w:val="00D32117"/>
    <w:rsid w:val="00D32AB4"/>
    <w:rsid w:val="00D32CB4"/>
    <w:rsid w:val="00D33167"/>
    <w:rsid w:val="00D331A7"/>
    <w:rsid w:val="00D33899"/>
    <w:rsid w:val="00D36F40"/>
    <w:rsid w:val="00D37816"/>
    <w:rsid w:val="00D37D64"/>
    <w:rsid w:val="00D40476"/>
    <w:rsid w:val="00D40876"/>
    <w:rsid w:val="00D41350"/>
    <w:rsid w:val="00D41CD4"/>
    <w:rsid w:val="00D428A8"/>
    <w:rsid w:val="00D430D9"/>
    <w:rsid w:val="00D43268"/>
    <w:rsid w:val="00D43569"/>
    <w:rsid w:val="00D450DE"/>
    <w:rsid w:val="00D452C9"/>
    <w:rsid w:val="00D458F7"/>
    <w:rsid w:val="00D45B34"/>
    <w:rsid w:val="00D45E68"/>
    <w:rsid w:val="00D45EB9"/>
    <w:rsid w:val="00D46880"/>
    <w:rsid w:val="00D46988"/>
    <w:rsid w:val="00D473B6"/>
    <w:rsid w:val="00D479F2"/>
    <w:rsid w:val="00D47B07"/>
    <w:rsid w:val="00D50A9A"/>
    <w:rsid w:val="00D51943"/>
    <w:rsid w:val="00D51E9A"/>
    <w:rsid w:val="00D521AE"/>
    <w:rsid w:val="00D5262F"/>
    <w:rsid w:val="00D5391C"/>
    <w:rsid w:val="00D56DC0"/>
    <w:rsid w:val="00D571AA"/>
    <w:rsid w:val="00D57723"/>
    <w:rsid w:val="00D57D25"/>
    <w:rsid w:val="00D60BC7"/>
    <w:rsid w:val="00D60C27"/>
    <w:rsid w:val="00D6165D"/>
    <w:rsid w:val="00D61A30"/>
    <w:rsid w:val="00D62817"/>
    <w:rsid w:val="00D638F3"/>
    <w:rsid w:val="00D63DBF"/>
    <w:rsid w:val="00D63F06"/>
    <w:rsid w:val="00D6515F"/>
    <w:rsid w:val="00D6656B"/>
    <w:rsid w:val="00D66CAF"/>
    <w:rsid w:val="00D6718C"/>
    <w:rsid w:val="00D6722D"/>
    <w:rsid w:val="00D67361"/>
    <w:rsid w:val="00D700A7"/>
    <w:rsid w:val="00D704C1"/>
    <w:rsid w:val="00D70AF7"/>
    <w:rsid w:val="00D73C91"/>
    <w:rsid w:val="00D74AC8"/>
    <w:rsid w:val="00D74E57"/>
    <w:rsid w:val="00D75435"/>
    <w:rsid w:val="00D76711"/>
    <w:rsid w:val="00D76B75"/>
    <w:rsid w:val="00D80565"/>
    <w:rsid w:val="00D80BBA"/>
    <w:rsid w:val="00D80C0C"/>
    <w:rsid w:val="00D80C53"/>
    <w:rsid w:val="00D81E1B"/>
    <w:rsid w:val="00D82799"/>
    <w:rsid w:val="00D82F1A"/>
    <w:rsid w:val="00D83203"/>
    <w:rsid w:val="00D836CA"/>
    <w:rsid w:val="00D8411E"/>
    <w:rsid w:val="00D8474F"/>
    <w:rsid w:val="00D84CEB"/>
    <w:rsid w:val="00D8558E"/>
    <w:rsid w:val="00D862C6"/>
    <w:rsid w:val="00D8723F"/>
    <w:rsid w:val="00D8775D"/>
    <w:rsid w:val="00D9034F"/>
    <w:rsid w:val="00D90703"/>
    <w:rsid w:val="00D912A8"/>
    <w:rsid w:val="00D925AF"/>
    <w:rsid w:val="00D92804"/>
    <w:rsid w:val="00D93C78"/>
    <w:rsid w:val="00D94210"/>
    <w:rsid w:val="00D947D5"/>
    <w:rsid w:val="00D94842"/>
    <w:rsid w:val="00D95605"/>
    <w:rsid w:val="00D95C71"/>
    <w:rsid w:val="00D95EBD"/>
    <w:rsid w:val="00D96128"/>
    <w:rsid w:val="00D96306"/>
    <w:rsid w:val="00D96C17"/>
    <w:rsid w:val="00D97B37"/>
    <w:rsid w:val="00DA0ADB"/>
    <w:rsid w:val="00DA113D"/>
    <w:rsid w:val="00DA15A0"/>
    <w:rsid w:val="00DA1BBB"/>
    <w:rsid w:val="00DA2643"/>
    <w:rsid w:val="00DA27B5"/>
    <w:rsid w:val="00DA3094"/>
    <w:rsid w:val="00DA3B9C"/>
    <w:rsid w:val="00DA59BB"/>
    <w:rsid w:val="00DA5CC9"/>
    <w:rsid w:val="00DA7130"/>
    <w:rsid w:val="00DA7442"/>
    <w:rsid w:val="00DA7C01"/>
    <w:rsid w:val="00DB002A"/>
    <w:rsid w:val="00DB01C0"/>
    <w:rsid w:val="00DB0634"/>
    <w:rsid w:val="00DB07A6"/>
    <w:rsid w:val="00DB0811"/>
    <w:rsid w:val="00DB2EB8"/>
    <w:rsid w:val="00DB4CA1"/>
    <w:rsid w:val="00DB5003"/>
    <w:rsid w:val="00DB6254"/>
    <w:rsid w:val="00DB64C6"/>
    <w:rsid w:val="00DC09C1"/>
    <w:rsid w:val="00DC2200"/>
    <w:rsid w:val="00DC2864"/>
    <w:rsid w:val="00DC2C97"/>
    <w:rsid w:val="00DC3292"/>
    <w:rsid w:val="00DC4F36"/>
    <w:rsid w:val="00DC5194"/>
    <w:rsid w:val="00DC7536"/>
    <w:rsid w:val="00DD0DCD"/>
    <w:rsid w:val="00DD0F7D"/>
    <w:rsid w:val="00DD1751"/>
    <w:rsid w:val="00DD1E41"/>
    <w:rsid w:val="00DD22A8"/>
    <w:rsid w:val="00DD23FD"/>
    <w:rsid w:val="00DD2E07"/>
    <w:rsid w:val="00DD48D2"/>
    <w:rsid w:val="00DD5487"/>
    <w:rsid w:val="00DD5A97"/>
    <w:rsid w:val="00DD5AF0"/>
    <w:rsid w:val="00DD5E9D"/>
    <w:rsid w:val="00DD6E2A"/>
    <w:rsid w:val="00DD7BEF"/>
    <w:rsid w:val="00DE0712"/>
    <w:rsid w:val="00DE0DEF"/>
    <w:rsid w:val="00DE18D1"/>
    <w:rsid w:val="00DE21CA"/>
    <w:rsid w:val="00DE325E"/>
    <w:rsid w:val="00DE3C86"/>
    <w:rsid w:val="00DE501C"/>
    <w:rsid w:val="00DE59AF"/>
    <w:rsid w:val="00DE6907"/>
    <w:rsid w:val="00DE6B42"/>
    <w:rsid w:val="00DE70CB"/>
    <w:rsid w:val="00DE7BA4"/>
    <w:rsid w:val="00DE7E6C"/>
    <w:rsid w:val="00DF0754"/>
    <w:rsid w:val="00DF12B5"/>
    <w:rsid w:val="00DF1D98"/>
    <w:rsid w:val="00DF28E6"/>
    <w:rsid w:val="00DF29E7"/>
    <w:rsid w:val="00DF36E6"/>
    <w:rsid w:val="00DF4FEC"/>
    <w:rsid w:val="00DF5FA4"/>
    <w:rsid w:val="00DF6625"/>
    <w:rsid w:val="00DF7239"/>
    <w:rsid w:val="00DF7A16"/>
    <w:rsid w:val="00DF7F9B"/>
    <w:rsid w:val="00E002DA"/>
    <w:rsid w:val="00E00A4F"/>
    <w:rsid w:val="00E00EB1"/>
    <w:rsid w:val="00E03226"/>
    <w:rsid w:val="00E0375D"/>
    <w:rsid w:val="00E03D56"/>
    <w:rsid w:val="00E04D09"/>
    <w:rsid w:val="00E052C5"/>
    <w:rsid w:val="00E0539D"/>
    <w:rsid w:val="00E06C04"/>
    <w:rsid w:val="00E071EE"/>
    <w:rsid w:val="00E10D96"/>
    <w:rsid w:val="00E111F4"/>
    <w:rsid w:val="00E12AC1"/>
    <w:rsid w:val="00E13A01"/>
    <w:rsid w:val="00E1460A"/>
    <w:rsid w:val="00E14C74"/>
    <w:rsid w:val="00E15079"/>
    <w:rsid w:val="00E1562C"/>
    <w:rsid w:val="00E15AD0"/>
    <w:rsid w:val="00E15F71"/>
    <w:rsid w:val="00E161BA"/>
    <w:rsid w:val="00E179D9"/>
    <w:rsid w:val="00E20A33"/>
    <w:rsid w:val="00E20C1B"/>
    <w:rsid w:val="00E21B0E"/>
    <w:rsid w:val="00E222A9"/>
    <w:rsid w:val="00E22B81"/>
    <w:rsid w:val="00E23355"/>
    <w:rsid w:val="00E2379A"/>
    <w:rsid w:val="00E23B6B"/>
    <w:rsid w:val="00E23DF7"/>
    <w:rsid w:val="00E2446F"/>
    <w:rsid w:val="00E24BBB"/>
    <w:rsid w:val="00E25FCC"/>
    <w:rsid w:val="00E266E3"/>
    <w:rsid w:val="00E26789"/>
    <w:rsid w:val="00E26C39"/>
    <w:rsid w:val="00E276AD"/>
    <w:rsid w:val="00E305DA"/>
    <w:rsid w:val="00E3074C"/>
    <w:rsid w:val="00E3387D"/>
    <w:rsid w:val="00E347CC"/>
    <w:rsid w:val="00E34C11"/>
    <w:rsid w:val="00E34FF5"/>
    <w:rsid w:val="00E3646F"/>
    <w:rsid w:val="00E3666B"/>
    <w:rsid w:val="00E37BCF"/>
    <w:rsid w:val="00E407F6"/>
    <w:rsid w:val="00E40B02"/>
    <w:rsid w:val="00E41135"/>
    <w:rsid w:val="00E41374"/>
    <w:rsid w:val="00E4210F"/>
    <w:rsid w:val="00E43580"/>
    <w:rsid w:val="00E435BC"/>
    <w:rsid w:val="00E438ED"/>
    <w:rsid w:val="00E440E5"/>
    <w:rsid w:val="00E4439E"/>
    <w:rsid w:val="00E447C0"/>
    <w:rsid w:val="00E45BC4"/>
    <w:rsid w:val="00E4668C"/>
    <w:rsid w:val="00E46709"/>
    <w:rsid w:val="00E471AB"/>
    <w:rsid w:val="00E47953"/>
    <w:rsid w:val="00E47CD4"/>
    <w:rsid w:val="00E5248D"/>
    <w:rsid w:val="00E533AB"/>
    <w:rsid w:val="00E538F3"/>
    <w:rsid w:val="00E554ED"/>
    <w:rsid w:val="00E559E0"/>
    <w:rsid w:val="00E55B10"/>
    <w:rsid w:val="00E55FBD"/>
    <w:rsid w:val="00E563E5"/>
    <w:rsid w:val="00E56F8D"/>
    <w:rsid w:val="00E57627"/>
    <w:rsid w:val="00E57929"/>
    <w:rsid w:val="00E60038"/>
    <w:rsid w:val="00E6034A"/>
    <w:rsid w:val="00E60AC0"/>
    <w:rsid w:val="00E61424"/>
    <w:rsid w:val="00E61B89"/>
    <w:rsid w:val="00E61D89"/>
    <w:rsid w:val="00E62014"/>
    <w:rsid w:val="00E62AE5"/>
    <w:rsid w:val="00E63321"/>
    <w:rsid w:val="00E63D54"/>
    <w:rsid w:val="00E65301"/>
    <w:rsid w:val="00E65307"/>
    <w:rsid w:val="00E655EB"/>
    <w:rsid w:val="00E658AF"/>
    <w:rsid w:val="00E659A2"/>
    <w:rsid w:val="00E65E44"/>
    <w:rsid w:val="00E667E7"/>
    <w:rsid w:val="00E66B9E"/>
    <w:rsid w:val="00E67E00"/>
    <w:rsid w:val="00E70EE2"/>
    <w:rsid w:val="00E712B2"/>
    <w:rsid w:val="00E721F0"/>
    <w:rsid w:val="00E7298D"/>
    <w:rsid w:val="00E74513"/>
    <w:rsid w:val="00E7549A"/>
    <w:rsid w:val="00E75D14"/>
    <w:rsid w:val="00E75FF8"/>
    <w:rsid w:val="00E760C0"/>
    <w:rsid w:val="00E766E4"/>
    <w:rsid w:val="00E76A20"/>
    <w:rsid w:val="00E77F64"/>
    <w:rsid w:val="00E80B06"/>
    <w:rsid w:val="00E81434"/>
    <w:rsid w:val="00E81473"/>
    <w:rsid w:val="00E81F5F"/>
    <w:rsid w:val="00E8269F"/>
    <w:rsid w:val="00E83830"/>
    <w:rsid w:val="00E838CA"/>
    <w:rsid w:val="00E83B8F"/>
    <w:rsid w:val="00E84D8E"/>
    <w:rsid w:val="00E85644"/>
    <w:rsid w:val="00E86489"/>
    <w:rsid w:val="00E86576"/>
    <w:rsid w:val="00E87524"/>
    <w:rsid w:val="00E901AC"/>
    <w:rsid w:val="00E91F40"/>
    <w:rsid w:val="00E925E5"/>
    <w:rsid w:val="00E94DC1"/>
    <w:rsid w:val="00E9563B"/>
    <w:rsid w:val="00E9569F"/>
    <w:rsid w:val="00E97362"/>
    <w:rsid w:val="00E97C80"/>
    <w:rsid w:val="00E97CA0"/>
    <w:rsid w:val="00EA0348"/>
    <w:rsid w:val="00EA15A2"/>
    <w:rsid w:val="00EA1813"/>
    <w:rsid w:val="00EA19B2"/>
    <w:rsid w:val="00EA1ACE"/>
    <w:rsid w:val="00EA2B2A"/>
    <w:rsid w:val="00EA3062"/>
    <w:rsid w:val="00EA3BFC"/>
    <w:rsid w:val="00EA3D30"/>
    <w:rsid w:val="00EA3E64"/>
    <w:rsid w:val="00EA4537"/>
    <w:rsid w:val="00EA51CE"/>
    <w:rsid w:val="00EA5BA9"/>
    <w:rsid w:val="00EA60A0"/>
    <w:rsid w:val="00EA63A1"/>
    <w:rsid w:val="00EA64B0"/>
    <w:rsid w:val="00EA64BD"/>
    <w:rsid w:val="00EA6D45"/>
    <w:rsid w:val="00EB0639"/>
    <w:rsid w:val="00EB06EA"/>
    <w:rsid w:val="00EB0B22"/>
    <w:rsid w:val="00EB202A"/>
    <w:rsid w:val="00EB2256"/>
    <w:rsid w:val="00EB57A1"/>
    <w:rsid w:val="00EB5B50"/>
    <w:rsid w:val="00EB5FB2"/>
    <w:rsid w:val="00EB7F58"/>
    <w:rsid w:val="00EC05F1"/>
    <w:rsid w:val="00EC0ACF"/>
    <w:rsid w:val="00EC0B61"/>
    <w:rsid w:val="00EC0BDB"/>
    <w:rsid w:val="00EC1FC4"/>
    <w:rsid w:val="00EC4258"/>
    <w:rsid w:val="00EC4475"/>
    <w:rsid w:val="00EC4B70"/>
    <w:rsid w:val="00EC5C39"/>
    <w:rsid w:val="00EC5F8F"/>
    <w:rsid w:val="00EC62BC"/>
    <w:rsid w:val="00EC63CC"/>
    <w:rsid w:val="00EC64AF"/>
    <w:rsid w:val="00EC64E1"/>
    <w:rsid w:val="00EC657C"/>
    <w:rsid w:val="00EC757F"/>
    <w:rsid w:val="00EC76F9"/>
    <w:rsid w:val="00EC7CB9"/>
    <w:rsid w:val="00EC7DEE"/>
    <w:rsid w:val="00ED0CFA"/>
    <w:rsid w:val="00ED1DAA"/>
    <w:rsid w:val="00ED2210"/>
    <w:rsid w:val="00ED2871"/>
    <w:rsid w:val="00ED36AB"/>
    <w:rsid w:val="00ED3C72"/>
    <w:rsid w:val="00ED50FA"/>
    <w:rsid w:val="00ED5BD0"/>
    <w:rsid w:val="00ED64A4"/>
    <w:rsid w:val="00ED6BC8"/>
    <w:rsid w:val="00ED7E6E"/>
    <w:rsid w:val="00EE0CA4"/>
    <w:rsid w:val="00EE0D66"/>
    <w:rsid w:val="00EE13C2"/>
    <w:rsid w:val="00EE1FFA"/>
    <w:rsid w:val="00EE2490"/>
    <w:rsid w:val="00EE30D7"/>
    <w:rsid w:val="00EE394C"/>
    <w:rsid w:val="00EE3AF8"/>
    <w:rsid w:val="00EE4F67"/>
    <w:rsid w:val="00EE554D"/>
    <w:rsid w:val="00EE5790"/>
    <w:rsid w:val="00EE5A1F"/>
    <w:rsid w:val="00EE5AA8"/>
    <w:rsid w:val="00EE5B28"/>
    <w:rsid w:val="00EE656D"/>
    <w:rsid w:val="00EE65F8"/>
    <w:rsid w:val="00EE7000"/>
    <w:rsid w:val="00EE747A"/>
    <w:rsid w:val="00EE7B95"/>
    <w:rsid w:val="00EE7C02"/>
    <w:rsid w:val="00EE7F5E"/>
    <w:rsid w:val="00EF0BBB"/>
    <w:rsid w:val="00EF17AD"/>
    <w:rsid w:val="00EF1A85"/>
    <w:rsid w:val="00EF1B96"/>
    <w:rsid w:val="00EF1D89"/>
    <w:rsid w:val="00EF1F36"/>
    <w:rsid w:val="00EF395D"/>
    <w:rsid w:val="00EF39E8"/>
    <w:rsid w:val="00EF4AD0"/>
    <w:rsid w:val="00EF5D60"/>
    <w:rsid w:val="00EF77F0"/>
    <w:rsid w:val="00F00331"/>
    <w:rsid w:val="00F00607"/>
    <w:rsid w:val="00F00994"/>
    <w:rsid w:val="00F00A5E"/>
    <w:rsid w:val="00F00F55"/>
    <w:rsid w:val="00F02B5E"/>
    <w:rsid w:val="00F03A3E"/>
    <w:rsid w:val="00F0427D"/>
    <w:rsid w:val="00F04396"/>
    <w:rsid w:val="00F048C3"/>
    <w:rsid w:val="00F04A1B"/>
    <w:rsid w:val="00F0555F"/>
    <w:rsid w:val="00F05950"/>
    <w:rsid w:val="00F05BA0"/>
    <w:rsid w:val="00F05EA1"/>
    <w:rsid w:val="00F05FBF"/>
    <w:rsid w:val="00F0607F"/>
    <w:rsid w:val="00F073B0"/>
    <w:rsid w:val="00F073B1"/>
    <w:rsid w:val="00F07442"/>
    <w:rsid w:val="00F108F8"/>
    <w:rsid w:val="00F10AEB"/>
    <w:rsid w:val="00F11125"/>
    <w:rsid w:val="00F11934"/>
    <w:rsid w:val="00F11CAB"/>
    <w:rsid w:val="00F1244E"/>
    <w:rsid w:val="00F12796"/>
    <w:rsid w:val="00F13D3D"/>
    <w:rsid w:val="00F14DA8"/>
    <w:rsid w:val="00F15003"/>
    <w:rsid w:val="00F152FD"/>
    <w:rsid w:val="00F16D1C"/>
    <w:rsid w:val="00F174FA"/>
    <w:rsid w:val="00F1781C"/>
    <w:rsid w:val="00F17821"/>
    <w:rsid w:val="00F17FAD"/>
    <w:rsid w:val="00F2019D"/>
    <w:rsid w:val="00F203BD"/>
    <w:rsid w:val="00F20BB5"/>
    <w:rsid w:val="00F223B6"/>
    <w:rsid w:val="00F22787"/>
    <w:rsid w:val="00F22FE6"/>
    <w:rsid w:val="00F234DD"/>
    <w:rsid w:val="00F23A73"/>
    <w:rsid w:val="00F249EC"/>
    <w:rsid w:val="00F24B7F"/>
    <w:rsid w:val="00F2576F"/>
    <w:rsid w:val="00F25D61"/>
    <w:rsid w:val="00F26AAD"/>
    <w:rsid w:val="00F26C47"/>
    <w:rsid w:val="00F2709D"/>
    <w:rsid w:val="00F27754"/>
    <w:rsid w:val="00F27E53"/>
    <w:rsid w:val="00F301C0"/>
    <w:rsid w:val="00F32102"/>
    <w:rsid w:val="00F32130"/>
    <w:rsid w:val="00F3239A"/>
    <w:rsid w:val="00F3298B"/>
    <w:rsid w:val="00F32AEB"/>
    <w:rsid w:val="00F33AC7"/>
    <w:rsid w:val="00F34131"/>
    <w:rsid w:val="00F3428D"/>
    <w:rsid w:val="00F34628"/>
    <w:rsid w:val="00F34ED7"/>
    <w:rsid w:val="00F3601B"/>
    <w:rsid w:val="00F36DF1"/>
    <w:rsid w:val="00F37A3D"/>
    <w:rsid w:val="00F4130E"/>
    <w:rsid w:val="00F42183"/>
    <w:rsid w:val="00F42B03"/>
    <w:rsid w:val="00F43D6E"/>
    <w:rsid w:val="00F4501D"/>
    <w:rsid w:val="00F45087"/>
    <w:rsid w:val="00F459CC"/>
    <w:rsid w:val="00F47F88"/>
    <w:rsid w:val="00F50978"/>
    <w:rsid w:val="00F52307"/>
    <w:rsid w:val="00F53CBD"/>
    <w:rsid w:val="00F5696B"/>
    <w:rsid w:val="00F56A94"/>
    <w:rsid w:val="00F6000A"/>
    <w:rsid w:val="00F61BCC"/>
    <w:rsid w:val="00F6227C"/>
    <w:rsid w:val="00F62E8A"/>
    <w:rsid w:val="00F65B19"/>
    <w:rsid w:val="00F661CD"/>
    <w:rsid w:val="00F6636A"/>
    <w:rsid w:val="00F67A34"/>
    <w:rsid w:val="00F707A5"/>
    <w:rsid w:val="00F70A87"/>
    <w:rsid w:val="00F71A16"/>
    <w:rsid w:val="00F71DF2"/>
    <w:rsid w:val="00F725CA"/>
    <w:rsid w:val="00F740DE"/>
    <w:rsid w:val="00F74766"/>
    <w:rsid w:val="00F74D3B"/>
    <w:rsid w:val="00F74DB7"/>
    <w:rsid w:val="00F755EA"/>
    <w:rsid w:val="00F7561F"/>
    <w:rsid w:val="00F75E50"/>
    <w:rsid w:val="00F761DE"/>
    <w:rsid w:val="00F76878"/>
    <w:rsid w:val="00F76E7C"/>
    <w:rsid w:val="00F77231"/>
    <w:rsid w:val="00F774FC"/>
    <w:rsid w:val="00F81530"/>
    <w:rsid w:val="00F81D6B"/>
    <w:rsid w:val="00F8288C"/>
    <w:rsid w:val="00F82B31"/>
    <w:rsid w:val="00F82FEF"/>
    <w:rsid w:val="00F8424B"/>
    <w:rsid w:val="00F84313"/>
    <w:rsid w:val="00F8561D"/>
    <w:rsid w:val="00F86D94"/>
    <w:rsid w:val="00F903A2"/>
    <w:rsid w:val="00F904EB"/>
    <w:rsid w:val="00F90BB7"/>
    <w:rsid w:val="00F934CC"/>
    <w:rsid w:val="00F937BC"/>
    <w:rsid w:val="00F944ED"/>
    <w:rsid w:val="00F94646"/>
    <w:rsid w:val="00F946A2"/>
    <w:rsid w:val="00F94812"/>
    <w:rsid w:val="00F95620"/>
    <w:rsid w:val="00F95A94"/>
    <w:rsid w:val="00F95B41"/>
    <w:rsid w:val="00F96117"/>
    <w:rsid w:val="00F96CAC"/>
    <w:rsid w:val="00F97E0B"/>
    <w:rsid w:val="00F97FB4"/>
    <w:rsid w:val="00FA1761"/>
    <w:rsid w:val="00FA2247"/>
    <w:rsid w:val="00FA315A"/>
    <w:rsid w:val="00FA3F4E"/>
    <w:rsid w:val="00FA3F63"/>
    <w:rsid w:val="00FA4709"/>
    <w:rsid w:val="00FA4BC0"/>
    <w:rsid w:val="00FA5C19"/>
    <w:rsid w:val="00FA7A59"/>
    <w:rsid w:val="00FA7EC9"/>
    <w:rsid w:val="00FB01FA"/>
    <w:rsid w:val="00FB028F"/>
    <w:rsid w:val="00FB27BD"/>
    <w:rsid w:val="00FB2FD0"/>
    <w:rsid w:val="00FB30A4"/>
    <w:rsid w:val="00FB31B9"/>
    <w:rsid w:val="00FB49D1"/>
    <w:rsid w:val="00FB4EC7"/>
    <w:rsid w:val="00FB59D8"/>
    <w:rsid w:val="00FB5FFC"/>
    <w:rsid w:val="00FB67F6"/>
    <w:rsid w:val="00FB6857"/>
    <w:rsid w:val="00FB7627"/>
    <w:rsid w:val="00FB7840"/>
    <w:rsid w:val="00FC00BA"/>
    <w:rsid w:val="00FC079A"/>
    <w:rsid w:val="00FC16DC"/>
    <w:rsid w:val="00FC2617"/>
    <w:rsid w:val="00FC2F30"/>
    <w:rsid w:val="00FC32BA"/>
    <w:rsid w:val="00FC3B65"/>
    <w:rsid w:val="00FC41AE"/>
    <w:rsid w:val="00FC5B5D"/>
    <w:rsid w:val="00FC6316"/>
    <w:rsid w:val="00FC66A3"/>
    <w:rsid w:val="00FC7662"/>
    <w:rsid w:val="00FC784A"/>
    <w:rsid w:val="00FD008D"/>
    <w:rsid w:val="00FD04D0"/>
    <w:rsid w:val="00FD0D26"/>
    <w:rsid w:val="00FD151B"/>
    <w:rsid w:val="00FD1FCA"/>
    <w:rsid w:val="00FD28E9"/>
    <w:rsid w:val="00FD2D54"/>
    <w:rsid w:val="00FD32C5"/>
    <w:rsid w:val="00FD5A62"/>
    <w:rsid w:val="00FD5FE1"/>
    <w:rsid w:val="00FE12B5"/>
    <w:rsid w:val="00FE17D2"/>
    <w:rsid w:val="00FE1F1A"/>
    <w:rsid w:val="00FE2D8D"/>
    <w:rsid w:val="00FE2E99"/>
    <w:rsid w:val="00FE2F1F"/>
    <w:rsid w:val="00FE3E0C"/>
    <w:rsid w:val="00FE43E8"/>
    <w:rsid w:val="00FE5279"/>
    <w:rsid w:val="00FE5788"/>
    <w:rsid w:val="00FE7A3D"/>
    <w:rsid w:val="00FF1D5F"/>
    <w:rsid w:val="00FF2557"/>
    <w:rsid w:val="00FF33EB"/>
    <w:rsid w:val="00FF4084"/>
    <w:rsid w:val="00FF4E89"/>
    <w:rsid w:val="00FF4FC6"/>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20BB23-95F3-458D-AFB7-8630E872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765"/>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08758D"/>
    <w:pPr>
      <w:jc w:val="both"/>
    </w:pPr>
    <w:rPr>
      <w:rFonts w:eastAsia="PMingLiU" w:cs="Times New Roman"/>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9B7B21"/>
    <w:rPr>
      <w:rFonts w:eastAsia="PMingLiU" w:cs="Simplified Arabic"/>
      <w:szCs w:val="22"/>
      <w:lang w:val="en-US" w:eastAsia="ar-SA"/>
    </w:rPr>
  </w:style>
  <w:style w:type="paragraph" w:customStyle="1" w:styleId="Para3">
    <w:name w:val="Para3"/>
    <w:basedOn w:val="Normal"/>
    <w:rsid w:val="002E5E37"/>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character" w:customStyle="1" w:styleId="hps">
    <w:name w:val="hps"/>
    <w:rsid w:val="00B3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ppc.int/ar/core-activities/governance/cp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ppc.int/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doc/decisions/cop-12/cop-12-dec-16-a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13-ar.pdf" TargetMode="External"/><Relationship Id="rId5" Type="http://schemas.openxmlformats.org/officeDocument/2006/relationships/webSettings" Target="webSettings.xml"/><Relationship Id="rId15" Type="http://schemas.openxmlformats.org/officeDocument/2006/relationships/hyperlink" Target="https://www.cbd.int/doc/decisions/cop-12/cop-12-dec-16-ar.pdf" TargetMode="Externa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ucngisd.org/gis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ie.int/standard-setting/terrestrial-code/access-online/" TargetMode="External"/><Relationship Id="rId13" Type="http://schemas.openxmlformats.org/officeDocument/2006/relationships/hyperlink" Target="http://apps.who.int/iris/bitstream/handle/10665/149288/WHO_HSE_GCR_2015.2_eng.pdf;jsessionid=4D86EF9B53506FF473B4A62CDEFA7F02?sequence=1" TargetMode="External"/><Relationship Id="rId18" Type="http://schemas.openxmlformats.org/officeDocument/2006/relationships/hyperlink" Target="https://www.ippc.int/en/irss/activities/2/" TargetMode="External"/><Relationship Id="rId3" Type="http://schemas.openxmlformats.org/officeDocument/2006/relationships/hyperlink" Target="https://www.cbd.int/doc/decisions/cop-13/cop-13-dec-13-ar.pdf" TargetMode="External"/><Relationship Id="rId21" Type="http://schemas.openxmlformats.org/officeDocument/2006/relationships/hyperlink" Target="https://www.gbif.org/dataset/search?publishing_org=cdef28b1-db4e-4c58-aa71-3c5238c2d0b5" TargetMode="External"/><Relationship Id="rId7" Type="http://schemas.openxmlformats.org/officeDocument/2006/relationships/hyperlink" Target="https://www.cbd.int/doc/meetings/cop/cop-06/official/cop-06-20-en.pdf" TargetMode="External"/><Relationship Id="rId12" Type="http://schemas.openxmlformats.org/officeDocument/2006/relationships/hyperlink" Target="http://www.wcoomd.org/-/media/wco/public/global/pdf/topics/enforcement-and-compliance/tools-and-instruments/stce-implementation-guide/stce-implementation-guide-_-e-_-small.pdf?db=web" TargetMode="External"/><Relationship Id="rId17" Type="http://schemas.openxmlformats.org/officeDocument/2006/relationships/hyperlink" Target="https://www.ippc.int/en/2010---22nd-tc-among-rppos-/" TargetMode="External"/><Relationship Id="rId2" Type="http://schemas.openxmlformats.org/officeDocument/2006/relationships/hyperlink" Target="https://www.cbd.int/doc/decisions/cop-12/cop-12-dec-16-ar.pdf" TargetMode="External"/><Relationship Id="rId16" Type="http://schemas.openxmlformats.org/officeDocument/2006/relationships/hyperlink" Target="https://cites.org/sites/default/files/document/E-Res-11-03-R17A.pdf" TargetMode="External"/><Relationship Id="rId20" Type="http://schemas.openxmlformats.org/officeDocument/2006/relationships/hyperlink" Target="http://www.wcoomd.org/~/media/wco/public/global/pdf/topics/facilitation/activities-and-programmes/ecommerce/wco-study-report-on-e_commerce.pdf?la=en" TargetMode="External"/><Relationship Id="rId1" Type="http://schemas.openxmlformats.org/officeDocument/2006/relationships/hyperlink" Target="https://www.cbd.int/doc/meetings/sbstta/sbstta-22/official/sbstta-22-01-ar.pdf" TargetMode="External"/><Relationship Id="rId6" Type="http://schemas.openxmlformats.org/officeDocument/2006/relationships/hyperlink" Target="https://www.wto.org/english/tratop_e/sps_e/spsagr_e.htm" TargetMode="External"/><Relationship Id="rId11" Type="http://schemas.openxmlformats.org/officeDocument/2006/relationships/hyperlink" Target="https://www.unece.org/fileadmin/DAM/trans/danger/publi/ghs/ghs_rev04/English/ST-SG-AC10-30-Rev4e.pdf" TargetMode="External"/><Relationship Id="rId24" Type="http://schemas.openxmlformats.org/officeDocument/2006/relationships/hyperlink" Target="http://www.oie.int/standard-setting/terrestrial-code/" TargetMode="External"/><Relationship Id="rId5" Type="http://schemas.openxmlformats.org/officeDocument/2006/relationships/hyperlink" Target="https://www.cbd.int/doc/meetings/sbstta/sbstta-18/official/sbstta-18-09-add1-ar.pdf" TargetMode="External"/><Relationship Id="rId15" Type="http://schemas.openxmlformats.org/officeDocument/2006/relationships/hyperlink" Target="https://www.un.org/ecosoc/sites/www.un.org.ecosoc/files/documents/2009/resolution-2009-19.pdf" TargetMode="External"/><Relationship Id="rId23" Type="http://schemas.openxmlformats.org/officeDocument/2006/relationships/hyperlink" Target="https://www.unece.org/fileadmin/DAM/trans/doc/2014/wp24/CTU_Code_January_2014.pdf" TargetMode="External"/><Relationship Id="rId10" Type="http://schemas.openxmlformats.org/officeDocument/2006/relationships/hyperlink" Target="http://www.oie.int/standard-setting/aquatic-code/access-online/" TargetMode="External"/><Relationship Id="rId19" Type="http://schemas.openxmlformats.org/officeDocument/2006/relationships/hyperlink" Target="https://www.ippc.int/sites/default/files/documents/20140127/cpm_2014_14_cpm_recommendations_2014-01-26_201401270647--202.46%20KB.pdf" TargetMode="External"/><Relationship Id="rId4" Type="http://schemas.openxmlformats.org/officeDocument/2006/relationships/hyperlink" Target="http://www.cbd.int/invasive/lg/" TargetMode="External"/><Relationship Id="rId9" Type="http://schemas.openxmlformats.org/officeDocument/2006/relationships/hyperlink" Target="http://www.oie.int/standard-setting/terrestrial-code/access-online/" TargetMode="External"/><Relationship Id="rId14" Type="http://schemas.openxmlformats.org/officeDocument/2006/relationships/hyperlink" Target="https://www.unece.org/fileadmin/DAM/trans/danger/publi/ghs/ghs_rev04/English/ST-SG-AC10-30-Rev4e.pdf" TargetMode="External"/><Relationship Id="rId22" Type="http://schemas.openxmlformats.org/officeDocument/2006/relationships/hyperlink" Target="https://www.iucn.org/sites/dev/files/eicat_standard_version_1_may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EBFEB-51BB-4B65-A180-1701953A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13</Pages>
  <Words>4448</Words>
  <Characters>25359</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Annotated provisional agenda</vt:lpstr>
      <vt:lpstr>Annotated provisional agenda</vt:lpstr>
    </vt:vector>
  </TitlesOfParts>
  <Company>Biodiversity</Company>
  <LinksUpToDate>false</LinksUpToDate>
  <CharactersWithSpaces>29748</CharactersWithSpaces>
  <SharedDoc>false</SharedDoc>
  <HLinks>
    <vt:vector size="54" baseType="variant">
      <vt:variant>
        <vt:i4>589906</vt:i4>
      </vt:variant>
      <vt:variant>
        <vt:i4>9</vt:i4>
      </vt:variant>
      <vt:variant>
        <vt:i4>0</vt:i4>
      </vt:variant>
      <vt:variant>
        <vt:i4>5</vt:i4>
      </vt:variant>
      <vt:variant>
        <vt:lpwstr>https://www.cbd.int/doc/decisions/cop-12/cop-12-dec-24-ar.pdf</vt:lpwstr>
      </vt:variant>
      <vt:variant>
        <vt:lpwstr/>
      </vt:variant>
      <vt:variant>
        <vt:i4>6815797</vt:i4>
      </vt:variant>
      <vt:variant>
        <vt:i4>6</vt:i4>
      </vt:variant>
      <vt:variant>
        <vt:i4>0</vt:i4>
      </vt:variant>
      <vt:variant>
        <vt:i4>5</vt:i4>
      </vt:variant>
      <vt:variant>
        <vt:lpwstr>https://www.cbd.int/decision/mop/default.shtml?id=13245</vt:lpwstr>
      </vt:variant>
      <vt:variant>
        <vt:lpwstr/>
      </vt:variant>
      <vt:variant>
        <vt:i4>5505029</vt:i4>
      </vt:variant>
      <vt:variant>
        <vt:i4>3</vt:i4>
      </vt:variant>
      <vt:variant>
        <vt:i4>0</vt:i4>
      </vt:variant>
      <vt:variant>
        <vt:i4>5</vt:i4>
      </vt:variant>
      <vt:variant>
        <vt:lpwstr>http://bch.cbd.int/protocol/cpb_art15_submissions</vt:lpwstr>
      </vt:variant>
      <vt:variant>
        <vt:lpwstr/>
      </vt:variant>
      <vt:variant>
        <vt:i4>655444</vt:i4>
      </vt:variant>
      <vt:variant>
        <vt:i4>0</vt:i4>
      </vt:variant>
      <vt:variant>
        <vt:i4>0</vt:i4>
      </vt:variant>
      <vt:variant>
        <vt:i4>5</vt:i4>
      </vt:variant>
      <vt:variant>
        <vt:lpwstr>https://www.cbd.int/doc/decisions/mop-08/mop-08-dec-12-ar.pdf</vt:lpwstr>
      </vt:variant>
      <vt:variant>
        <vt:lpwstr/>
      </vt:variant>
      <vt:variant>
        <vt:i4>131142</vt:i4>
      </vt:variant>
      <vt:variant>
        <vt:i4>12</vt:i4>
      </vt:variant>
      <vt:variant>
        <vt:i4>0</vt:i4>
      </vt:variant>
      <vt:variant>
        <vt:i4>5</vt:i4>
      </vt:variant>
      <vt:variant>
        <vt:lpwstr>https://www.cbd.int/doc/decisions/cop-08/cop-08-dec-10-en.pdf</vt:lpwstr>
      </vt:variant>
      <vt:variant>
        <vt:lpwstr/>
      </vt:variant>
      <vt:variant>
        <vt:i4>6291545</vt:i4>
      </vt:variant>
      <vt:variant>
        <vt:i4>9</vt:i4>
      </vt:variant>
      <vt:variant>
        <vt:i4>0</vt:i4>
      </vt:variant>
      <vt:variant>
        <vt:i4>5</vt:i4>
      </vt:variant>
      <vt:variant>
        <vt:lpwstr>https://bch.cbd.int/onlineconferences/forum_ra/peer-review.shtml</vt:lpwstr>
      </vt:variant>
      <vt:variant>
        <vt:lpwstr/>
      </vt:variant>
      <vt:variant>
        <vt:i4>1900669</vt:i4>
      </vt:variant>
      <vt:variant>
        <vt:i4>6</vt:i4>
      </vt:variant>
      <vt:variant>
        <vt:i4>0</vt:i4>
      </vt:variant>
      <vt:variant>
        <vt:i4>5</vt:i4>
      </vt:variant>
      <vt:variant>
        <vt:lpwstr>https://bch.cbd.int/onlineconferences/forum_ra/discussion.shtml</vt:lpwstr>
      </vt:variant>
      <vt:variant>
        <vt:lpwstr/>
      </vt:variant>
      <vt:variant>
        <vt:i4>4915224</vt:i4>
      </vt:variant>
      <vt:variant>
        <vt:i4>3</vt:i4>
      </vt:variant>
      <vt:variant>
        <vt:i4>0</vt:i4>
      </vt:variant>
      <vt:variant>
        <vt:i4>5</vt:i4>
      </vt:variant>
      <vt:variant>
        <vt:lpwstr>https://www.cbd.int/doc/notifications/2017/ntf-2017-035-bs-en.doc</vt:lpwstr>
      </vt:variant>
      <vt:variant>
        <vt:lpwstr/>
      </vt:variant>
      <vt:variant>
        <vt:i4>2097214</vt:i4>
      </vt:variant>
      <vt:variant>
        <vt:i4>0</vt:i4>
      </vt:variant>
      <vt:variant>
        <vt:i4>0</vt:i4>
      </vt:variant>
      <vt:variant>
        <vt:i4>5</vt:i4>
      </vt:variant>
      <vt:variant>
        <vt:lpwstr>https://www.cbd.int/doc/meetings/sbstta/sbstta-22/official/sbstta-22-01-ar.pdf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CBD/SBSTTA/22/1/Add.1</dc:subject>
  <dc:creator>SCBD</dc:creator>
  <cp:keywords/>
  <cp:lastModifiedBy>Ahmed OSMAN</cp:lastModifiedBy>
  <cp:revision>93</cp:revision>
  <cp:lastPrinted>2018-05-28T14:11:00Z</cp:lastPrinted>
  <dcterms:created xsi:type="dcterms:W3CDTF">2018-04-18T19:54:00Z</dcterms:created>
  <dcterms:modified xsi:type="dcterms:W3CDTF">2018-06-18T00:15:00Z</dcterms:modified>
</cp:coreProperties>
</file>