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867"/>
        <w:gridCol w:w="3765"/>
        <w:gridCol w:w="599"/>
      </w:tblGrid>
      <w:tr w:rsidR="00C9161D" w:rsidRPr="00D16AC1" w14:paraId="3C82EFF3" w14:textId="77777777" w:rsidTr="004C240B">
        <w:trPr>
          <w:gridAfter w:val="1"/>
          <w:wAfter w:w="599" w:type="dxa"/>
          <w:trHeight w:val="709"/>
        </w:trPr>
        <w:tc>
          <w:tcPr>
            <w:tcW w:w="976" w:type="dxa"/>
            <w:tcBorders>
              <w:bottom w:val="single" w:sz="12" w:space="0" w:color="auto"/>
            </w:tcBorders>
          </w:tcPr>
          <w:p w14:paraId="06E99AEF" w14:textId="01FDB571" w:rsidR="00C9161D" w:rsidRPr="00AA5D70" w:rsidRDefault="00C9161D" w:rsidP="00AA5D70">
            <w:pPr>
              <w:suppressLineNumbers/>
              <w:suppressAutoHyphens/>
              <w:kinsoku w:val="0"/>
              <w:overflowPunct w:val="0"/>
              <w:autoSpaceDE w:val="0"/>
              <w:autoSpaceDN w:val="0"/>
              <w:adjustRightInd w:val="0"/>
              <w:snapToGrid w:val="0"/>
              <w:rPr>
                <w:snapToGrid w:val="0"/>
                <w:kern w:val="22"/>
              </w:rPr>
            </w:pPr>
            <w:r w:rsidRPr="00AA5D70">
              <w:rPr>
                <w:noProof/>
                <w:snapToGrid w:val="0"/>
                <w:kern w:val="22"/>
                <w:lang w:val="fr-CA" w:eastAsia="fr-CA"/>
              </w:rPr>
              <w:drawing>
                <wp:inline distT="0" distB="0" distL="0" distR="0" wp14:anchorId="4D325686" wp14:editId="41DF651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867" w:type="dxa"/>
            <w:tcBorders>
              <w:bottom w:val="single" w:sz="12" w:space="0" w:color="auto"/>
            </w:tcBorders>
          </w:tcPr>
          <w:p w14:paraId="4AE9661D" w14:textId="691BD24E" w:rsidR="00C9161D" w:rsidRPr="00AA5D70" w:rsidRDefault="004C240B" w:rsidP="00AA5D70">
            <w:pPr>
              <w:suppressLineNumbers/>
              <w:suppressAutoHyphens/>
              <w:kinsoku w:val="0"/>
              <w:overflowPunct w:val="0"/>
              <w:autoSpaceDE w:val="0"/>
              <w:autoSpaceDN w:val="0"/>
              <w:adjustRightInd w:val="0"/>
              <w:snapToGrid w:val="0"/>
              <w:rPr>
                <w:snapToGrid w:val="0"/>
                <w:kern w:val="22"/>
              </w:rPr>
            </w:pPr>
            <w:r>
              <w:rPr>
                <w:noProof/>
                <w:snapToGrid w:val="0"/>
                <w:kern w:val="22"/>
                <w:lang w:val="fr-CA" w:eastAsia="fr-CA"/>
              </w:rPr>
              <w:drawing>
                <wp:inline distT="0" distB="0" distL="0" distR="0" wp14:anchorId="00B89365" wp14:editId="6B5FECC0">
                  <wp:extent cx="591185" cy="3416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341630"/>
                          </a:xfrm>
                          <a:prstGeom prst="rect">
                            <a:avLst/>
                          </a:prstGeom>
                          <a:noFill/>
                        </pic:spPr>
                      </pic:pic>
                    </a:graphicData>
                  </a:graphic>
                </wp:inline>
              </w:drawing>
            </w:r>
          </w:p>
        </w:tc>
        <w:tc>
          <w:tcPr>
            <w:tcW w:w="3765" w:type="dxa"/>
            <w:tcBorders>
              <w:bottom w:val="single" w:sz="12" w:space="0" w:color="auto"/>
            </w:tcBorders>
          </w:tcPr>
          <w:p w14:paraId="76FF5593" w14:textId="77777777" w:rsidR="00C9161D" w:rsidRPr="00AA5D70" w:rsidRDefault="00C9161D" w:rsidP="00AA5D70">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AA5D70">
              <w:rPr>
                <w:rFonts w:ascii="Arial" w:hAnsi="Arial" w:cs="Arial"/>
                <w:b/>
                <w:snapToGrid w:val="0"/>
                <w:kern w:val="22"/>
                <w:sz w:val="32"/>
                <w:szCs w:val="32"/>
              </w:rPr>
              <w:t>CBD</w:t>
            </w:r>
          </w:p>
        </w:tc>
      </w:tr>
      <w:tr w:rsidR="00C9161D" w:rsidRPr="00D16AC1" w14:paraId="1078384E" w14:textId="77777777" w:rsidTr="004C240B">
        <w:tc>
          <w:tcPr>
            <w:tcW w:w="5843" w:type="dxa"/>
            <w:gridSpan w:val="2"/>
            <w:tcBorders>
              <w:top w:val="single" w:sz="12" w:space="0" w:color="auto"/>
              <w:bottom w:val="single" w:sz="36" w:space="0" w:color="auto"/>
            </w:tcBorders>
            <w:vAlign w:val="center"/>
          </w:tcPr>
          <w:p w14:paraId="063C0763" w14:textId="5BCC320A" w:rsidR="00C9161D" w:rsidRPr="00AA5D70" w:rsidRDefault="004C240B" w:rsidP="00AA5D70">
            <w:pPr>
              <w:suppressLineNumbers/>
              <w:suppressAutoHyphens/>
              <w:kinsoku w:val="0"/>
              <w:overflowPunct w:val="0"/>
              <w:autoSpaceDE w:val="0"/>
              <w:autoSpaceDN w:val="0"/>
              <w:adjustRightInd w:val="0"/>
              <w:snapToGrid w:val="0"/>
              <w:rPr>
                <w:snapToGrid w:val="0"/>
                <w:kern w:val="22"/>
              </w:rPr>
            </w:pPr>
            <w:r w:rsidRPr="00CF3966">
              <w:rPr>
                <w:noProof/>
                <w:szCs w:val="22"/>
                <w:lang w:val="fr-CA" w:eastAsia="fr-CA"/>
              </w:rPr>
              <w:drawing>
                <wp:inline distT="0" distB="0" distL="0" distR="0" wp14:anchorId="43A88CB0" wp14:editId="342A1AB9">
                  <wp:extent cx="2355215" cy="943610"/>
                  <wp:effectExtent l="0" t="0" r="6985" b="8890"/>
                  <wp:docPr id="9" name="Image 9"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215" cy="943610"/>
                          </a:xfrm>
                          <a:prstGeom prst="rect">
                            <a:avLst/>
                          </a:prstGeom>
                          <a:noFill/>
                          <a:ln>
                            <a:noFill/>
                          </a:ln>
                        </pic:spPr>
                      </pic:pic>
                    </a:graphicData>
                  </a:graphic>
                </wp:inline>
              </w:drawing>
            </w:r>
          </w:p>
        </w:tc>
        <w:tc>
          <w:tcPr>
            <w:tcW w:w="4364" w:type="dxa"/>
            <w:gridSpan w:val="2"/>
            <w:tcBorders>
              <w:top w:val="single" w:sz="12" w:space="0" w:color="auto"/>
              <w:bottom w:val="single" w:sz="36" w:space="0" w:color="auto"/>
            </w:tcBorders>
          </w:tcPr>
          <w:p w14:paraId="47F406BB" w14:textId="77777777" w:rsidR="00C9161D" w:rsidRPr="00F50701" w:rsidRDefault="00C9161D" w:rsidP="00AA5D70">
            <w:pPr>
              <w:suppressLineNumbers/>
              <w:suppressAutoHyphens/>
              <w:kinsoku w:val="0"/>
              <w:overflowPunct w:val="0"/>
              <w:autoSpaceDE w:val="0"/>
              <w:autoSpaceDN w:val="0"/>
              <w:adjustRightInd w:val="0"/>
              <w:snapToGrid w:val="0"/>
              <w:ind w:left="1215"/>
              <w:rPr>
                <w:snapToGrid w:val="0"/>
                <w:kern w:val="22"/>
                <w:szCs w:val="22"/>
                <w:lang w:val="fr-CA"/>
              </w:rPr>
            </w:pPr>
            <w:proofErr w:type="spellStart"/>
            <w:r w:rsidRPr="00F50701">
              <w:rPr>
                <w:snapToGrid w:val="0"/>
                <w:kern w:val="22"/>
                <w:szCs w:val="22"/>
                <w:lang w:val="fr-CA"/>
              </w:rPr>
              <w:t>Distr</w:t>
            </w:r>
            <w:proofErr w:type="spellEnd"/>
            <w:r w:rsidRPr="00F50701">
              <w:rPr>
                <w:snapToGrid w:val="0"/>
                <w:kern w:val="22"/>
                <w:szCs w:val="22"/>
                <w:lang w:val="fr-CA"/>
              </w:rPr>
              <w:t>.</w:t>
            </w:r>
          </w:p>
          <w:p w14:paraId="77B2FC63" w14:textId="54260415" w:rsidR="00C9161D" w:rsidRPr="00F50701" w:rsidRDefault="009669E1" w:rsidP="00AA5D70">
            <w:pPr>
              <w:suppressLineNumbers/>
              <w:suppressAutoHyphens/>
              <w:kinsoku w:val="0"/>
              <w:overflowPunct w:val="0"/>
              <w:autoSpaceDE w:val="0"/>
              <w:autoSpaceDN w:val="0"/>
              <w:adjustRightInd w:val="0"/>
              <w:snapToGrid w:val="0"/>
              <w:ind w:left="1215"/>
              <w:rPr>
                <w:snapToGrid w:val="0"/>
                <w:kern w:val="22"/>
                <w:szCs w:val="22"/>
                <w:lang w:val="fr-CA"/>
              </w:rPr>
            </w:pPr>
            <w:sdt>
              <w:sdtPr>
                <w:rPr>
                  <w:caps/>
                  <w:snapToGrid w:val="0"/>
                  <w:kern w:val="22"/>
                  <w:szCs w:val="22"/>
                  <w:lang w:val="fr-CA"/>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00CCF" w:rsidRPr="00F50701">
                  <w:rPr>
                    <w:caps/>
                    <w:snapToGrid w:val="0"/>
                    <w:kern w:val="22"/>
                    <w:szCs w:val="22"/>
                    <w:lang w:val="fr-CA"/>
                  </w:rPr>
                  <w:t>GÉNÉRALE</w:t>
                </w:r>
              </w:sdtContent>
            </w:sdt>
          </w:p>
          <w:p w14:paraId="2889549B" w14:textId="77777777" w:rsidR="00C9161D" w:rsidRPr="00F50701" w:rsidRDefault="00C9161D" w:rsidP="00AA5D70">
            <w:pPr>
              <w:suppressLineNumbers/>
              <w:suppressAutoHyphens/>
              <w:kinsoku w:val="0"/>
              <w:overflowPunct w:val="0"/>
              <w:autoSpaceDE w:val="0"/>
              <w:autoSpaceDN w:val="0"/>
              <w:adjustRightInd w:val="0"/>
              <w:snapToGrid w:val="0"/>
              <w:ind w:left="1215"/>
              <w:rPr>
                <w:snapToGrid w:val="0"/>
                <w:kern w:val="22"/>
                <w:szCs w:val="22"/>
                <w:lang w:val="fr-CA"/>
              </w:rPr>
            </w:pPr>
          </w:p>
          <w:p w14:paraId="377F94DA" w14:textId="5D1A0214" w:rsidR="00C9161D" w:rsidRPr="00F50701" w:rsidRDefault="009669E1" w:rsidP="00AA5D70">
            <w:pPr>
              <w:suppressLineNumbers/>
              <w:suppressAutoHyphens/>
              <w:kinsoku w:val="0"/>
              <w:overflowPunct w:val="0"/>
              <w:autoSpaceDE w:val="0"/>
              <w:autoSpaceDN w:val="0"/>
              <w:adjustRightInd w:val="0"/>
              <w:snapToGrid w:val="0"/>
              <w:ind w:left="1215"/>
              <w:rPr>
                <w:snapToGrid w:val="0"/>
                <w:kern w:val="22"/>
                <w:szCs w:val="22"/>
                <w:lang w:val="fr-CA"/>
              </w:rPr>
            </w:pPr>
            <w:sdt>
              <w:sdtPr>
                <w:rPr>
                  <w:snapToGrid w:val="0"/>
                  <w:kern w:val="22"/>
                  <w:lang w:val="fr-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D262DC" w:rsidRPr="00F50701">
                  <w:rPr>
                    <w:snapToGrid w:val="0"/>
                    <w:kern w:val="22"/>
                    <w:lang w:val="fr-CA"/>
                  </w:rPr>
                  <w:t>CBD/SBI/3/7</w:t>
                </w:r>
              </w:sdtContent>
            </w:sdt>
          </w:p>
          <w:p w14:paraId="347E412B" w14:textId="771B9189" w:rsidR="00C9161D" w:rsidRPr="00F50701" w:rsidRDefault="000C4E8F" w:rsidP="00AA5D70">
            <w:pPr>
              <w:suppressLineNumbers/>
              <w:suppressAutoHyphens/>
              <w:kinsoku w:val="0"/>
              <w:overflowPunct w:val="0"/>
              <w:autoSpaceDE w:val="0"/>
              <w:autoSpaceDN w:val="0"/>
              <w:adjustRightInd w:val="0"/>
              <w:snapToGrid w:val="0"/>
              <w:ind w:left="1215"/>
              <w:rPr>
                <w:snapToGrid w:val="0"/>
                <w:kern w:val="22"/>
                <w:szCs w:val="22"/>
                <w:lang w:val="fr-CA"/>
              </w:rPr>
            </w:pPr>
            <w:r w:rsidRPr="00F50701">
              <w:rPr>
                <w:snapToGrid w:val="0"/>
                <w:kern w:val="22"/>
                <w:szCs w:val="22"/>
                <w:lang w:val="fr-CA"/>
              </w:rPr>
              <w:t xml:space="preserve">2 </w:t>
            </w:r>
            <w:r w:rsidR="00500CCF" w:rsidRPr="00F50701">
              <w:rPr>
                <w:snapToGrid w:val="0"/>
                <w:kern w:val="22"/>
                <w:szCs w:val="22"/>
                <w:lang w:val="fr-CA"/>
              </w:rPr>
              <w:t>novembre</w:t>
            </w:r>
            <w:r w:rsidRPr="00F50701">
              <w:rPr>
                <w:snapToGrid w:val="0"/>
                <w:kern w:val="22"/>
                <w:lang w:val="fr-CA"/>
              </w:rPr>
              <w:t xml:space="preserve"> </w:t>
            </w:r>
            <w:r w:rsidR="00BA769C" w:rsidRPr="00F50701">
              <w:rPr>
                <w:snapToGrid w:val="0"/>
                <w:kern w:val="22"/>
                <w:lang w:val="fr-CA"/>
              </w:rPr>
              <w:t>2020</w:t>
            </w:r>
          </w:p>
          <w:p w14:paraId="6A96DD85" w14:textId="77777777" w:rsidR="00C9161D" w:rsidRPr="00F50701" w:rsidRDefault="00C9161D" w:rsidP="00AA5D70">
            <w:pPr>
              <w:suppressLineNumbers/>
              <w:suppressAutoHyphens/>
              <w:kinsoku w:val="0"/>
              <w:overflowPunct w:val="0"/>
              <w:autoSpaceDE w:val="0"/>
              <w:autoSpaceDN w:val="0"/>
              <w:adjustRightInd w:val="0"/>
              <w:snapToGrid w:val="0"/>
              <w:ind w:left="1215"/>
              <w:rPr>
                <w:snapToGrid w:val="0"/>
                <w:kern w:val="22"/>
                <w:szCs w:val="22"/>
                <w:lang w:val="fr-CA"/>
              </w:rPr>
            </w:pPr>
          </w:p>
          <w:p w14:paraId="7B6FE4FB" w14:textId="77777777" w:rsidR="00500CCF" w:rsidRPr="00F50701" w:rsidRDefault="00500CCF" w:rsidP="00AA5D70">
            <w:pPr>
              <w:suppressLineNumbers/>
              <w:suppressAutoHyphens/>
              <w:kinsoku w:val="0"/>
              <w:overflowPunct w:val="0"/>
              <w:autoSpaceDE w:val="0"/>
              <w:autoSpaceDN w:val="0"/>
              <w:adjustRightInd w:val="0"/>
              <w:snapToGrid w:val="0"/>
              <w:ind w:left="1215"/>
              <w:rPr>
                <w:snapToGrid w:val="0"/>
                <w:kern w:val="22"/>
                <w:szCs w:val="22"/>
                <w:lang w:val="fr-CA"/>
              </w:rPr>
            </w:pPr>
            <w:r w:rsidRPr="00F50701">
              <w:rPr>
                <w:snapToGrid w:val="0"/>
                <w:kern w:val="22"/>
                <w:szCs w:val="22"/>
                <w:lang w:val="fr-CA"/>
              </w:rPr>
              <w:t>FRANÇAIS</w:t>
            </w:r>
          </w:p>
          <w:p w14:paraId="38BD1B6C" w14:textId="2DCF9B04" w:rsidR="00C9161D" w:rsidRPr="00F50701" w:rsidRDefault="006B2290" w:rsidP="00AA5D70">
            <w:pPr>
              <w:suppressLineNumbers/>
              <w:suppressAutoHyphens/>
              <w:kinsoku w:val="0"/>
              <w:overflowPunct w:val="0"/>
              <w:autoSpaceDE w:val="0"/>
              <w:autoSpaceDN w:val="0"/>
              <w:adjustRightInd w:val="0"/>
              <w:snapToGrid w:val="0"/>
              <w:ind w:left="1215"/>
              <w:rPr>
                <w:snapToGrid w:val="0"/>
                <w:kern w:val="22"/>
                <w:szCs w:val="22"/>
                <w:lang w:val="fr-CA"/>
              </w:rPr>
            </w:pPr>
            <w:r w:rsidRPr="00F50701">
              <w:rPr>
                <w:snapToGrid w:val="0"/>
                <w:kern w:val="22"/>
                <w:szCs w:val="22"/>
                <w:lang w:val="fr-CA"/>
              </w:rPr>
              <w:t>ORIGINAL</w:t>
            </w:r>
            <w:r w:rsidR="00500CCF" w:rsidRPr="00F50701">
              <w:rPr>
                <w:snapToGrid w:val="0"/>
                <w:kern w:val="22"/>
                <w:szCs w:val="22"/>
                <w:lang w:val="fr-CA"/>
              </w:rPr>
              <w:t xml:space="preserve"> </w:t>
            </w:r>
            <w:r w:rsidRPr="00F50701">
              <w:rPr>
                <w:snapToGrid w:val="0"/>
                <w:kern w:val="22"/>
                <w:szCs w:val="22"/>
                <w:lang w:val="fr-CA"/>
              </w:rPr>
              <w:t xml:space="preserve">: </w:t>
            </w:r>
            <w:r w:rsidR="00500CCF" w:rsidRPr="00F50701">
              <w:rPr>
                <w:snapToGrid w:val="0"/>
                <w:kern w:val="22"/>
                <w:szCs w:val="22"/>
                <w:lang w:val="fr-CA"/>
              </w:rPr>
              <w:t>ANGLAIS</w:t>
            </w:r>
          </w:p>
          <w:p w14:paraId="49D1CB7C" w14:textId="77777777" w:rsidR="00C9161D" w:rsidRPr="00AA5D70" w:rsidRDefault="00C9161D" w:rsidP="00AA5D70">
            <w:pPr>
              <w:suppressLineNumbers/>
              <w:suppressAutoHyphens/>
              <w:kinsoku w:val="0"/>
              <w:overflowPunct w:val="0"/>
              <w:autoSpaceDE w:val="0"/>
              <w:autoSpaceDN w:val="0"/>
              <w:adjustRightInd w:val="0"/>
              <w:snapToGrid w:val="0"/>
              <w:rPr>
                <w:snapToGrid w:val="0"/>
                <w:kern w:val="22"/>
              </w:rPr>
            </w:pPr>
          </w:p>
        </w:tc>
      </w:tr>
    </w:tbl>
    <w:p w14:paraId="0D5F5AD8" w14:textId="0EB06759" w:rsidR="004C240B" w:rsidRPr="00383149" w:rsidRDefault="004C240B" w:rsidP="00383149">
      <w:pPr>
        <w:pStyle w:val="Cornernotation"/>
        <w:suppressLineNumbers/>
        <w:suppressAutoHyphens/>
        <w:kinsoku w:val="0"/>
        <w:overflowPunct w:val="0"/>
        <w:autoSpaceDE w:val="0"/>
        <w:autoSpaceDN w:val="0"/>
        <w:adjustRightInd w:val="0"/>
        <w:snapToGrid w:val="0"/>
        <w:ind w:left="180"/>
        <w:rPr>
          <w:kern w:val="22"/>
          <w:szCs w:val="22"/>
          <w:lang w:val="fr-CA"/>
        </w:rPr>
      </w:pPr>
      <w:bookmarkStart w:id="0" w:name="_Hlk35353706"/>
      <w:r w:rsidRPr="00383149">
        <w:rPr>
          <w:kern w:val="22"/>
          <w:szCs w:val="22"/>
          <w:lang w:val="fr-CA"/>
        </w:rPr>
        <w:t>ORGANE SUBSIDIAIRE CHARGÉ</w:t>
      </w:r>
    </w:p>
    <w:p w14:paraId="1E2CC8D1" w14:textId="5A06CC61" w:rsidR="004C240B" w:rsidRPr="00383149" w:rsidRDefault="00F974E6" w:rsidP="00383149">
      <w:pPr>
        <w:pStyle w:val="Cornernotation"/>
        <w:suppressLineNumbers/>
        <w:suppressAutoHyphens/>
        <w:kinsoku w:val="0"/>
        <w:overflowPunct w:val="0"/>
        <w:autoSpaceDE w:val="0"/>
        <w:autoSpaceDN w:val="0"/>
        <w:adjustRightInd w:val="0"/>
        <w:snapToGrid w:val="0"/>
        <w:ind w:left="180"/>
        <w:rPr>
          <w:kern w:val="22"/>
          <w:szCs w:val="22"/>
          <w:lang w:val="fr-CA"/>
        </w:rPr>
      </w:pPr>
      <w:r>
        <w:rPr>
          <w:kern w:val="22"/>
          <w:szCs w:val="22"/>
          <w:lang w:val="fr-CA"/>
        </w:rPr>
        <w:t xml:space="preserve">   </w:t>
      </w:r>
      <w:r w:rsidR="004C240B" w:rsidRPr="00383149">
        <w:rPr>
          <w:kern w:val="22"/>
          <w:szCs w:val="22"/>
          <w:lang w:val="fr-CA"/>
        </w:rPr>
        <w:t>DE L’APPLICATION</w:t>
      </w:r>
    </w:p>
    <w:p w14:paraId="3720C42E" w14:textId="77777777" w:rsidR="004C240B" w:rsidRPr="00383149" w:rsidRDefault="004C240B" w:rsidP="00383149">
      <w:pPr>
        <w:suppressLineNumbers/>
        <w:tabs>
          <w:tab w:val="left" w:pos="5954"/>
        </w:tabs>
        <w:suppressAutoHyphens/>
        <w:kinsoku w:val="0"/>
        <w:overflowPunct w:val="0"/>
        <w:autoSpaceDE w:val="0"/>
        <w:autoSpaceDN w:val="0"/>
        <w:adjustRightInd w:val="0"/>
        <w:snapToGrid w:val="0"/>
        <w:ind w:right="3406"/>
        <w:jc w:val="left"/>
        <w:rPr>
          <w:kern w:val="22"/>
          <w:szCs w:val="22"/>
          <w:lang w:val="fr-CA"/>
        </w:rPr>
      </w:pPr>
      <w:r w:rsidRPr="00383149">
        <w:rPr>
          <w:kern w:val="22"/>
          <w:szCs w:val="22"/>
          <w:lang w:val="fr-CA"/>
        </w:rPr>
        <w:t>Troisième réunion</w:t>
      </w:r>
    </w:p>
    <w:p w14:paraId="7F12F2C5" w14:textId="246CDFBA" w:rsidR="004C240B" w:rsidRPr="00383149" w:rsidRDefault="004C240B" w:rsidP="00383149">
      <w:pPr>
        <w:suppressLineNumbers/>
        <w:suppressAutoHyphens/>
        <w:kinsoku w:val="0"/>
        <w:overflowPunct w:val="0"/>
        <w:autoSpaceDE w:val="0"/>
        <w:autoSpaceDN w:val="0"/>
        <w:adjustRightInd w:val="0"/>
        <w:snapToGrid w:val="0"/>
        <w:ind w:right="3124"/>
        <w:jc w:val="left"/>
        <w:rPr>
          <w:kern w:val="22"/>
          <w:szCs w:val="22"/>
          <w:lang w:val="fr-CA"/>
        </w:rPr>
      </w:pPr>
      <w:r w:rsidRPr="00383149">
        <w:rPr>
          <w:kern w:val="22"/>
          <w:szCs w:val="22"/>
          <w:lang w:val="fr-CA"/>
        </w:rPr>
        <w:t>Date et lieu à déterminer</w:t>
      </w:r>
    </w:p>
    <w:p w14:paraId="51C5B7F1" w14:textId="2F28F0D6" w:rsidR="002270F4" w:rsidRPr="00383149" w:rsidRDefault="004C240B" w:rsidP="004C240B">
      <w:pPr>
        <w:pStyle w:val="Cornernotation"/>
        <w:suppressLineNumbers/>
        <w:suppressAutoHyphens/>
        <w:kinsoku w:val="0"/>
        <w:overflowPunct w:val="0"/>
        <w:autoSpaceDE w:val="0"/>
        <w:autoSpaceDN w:val="0"/>
        <w:adjustRightInd w:val="0"/>
        <w:snapToGrid w:val="0"/>
        <w:ind w:left="227" w:right="3970" w:hanging="227"/>
        <w:rPr>
          <w:rFonts w:eastAsia="Batang"/>
          <w:snapToGrid w:val="0"/>
          <w:color w:val="000000"/>
          <w:kern w:val="22"/>
          <w:lang w:val="fr-CA" w:eastAsia="ko-KR"/>
        </w:rPr>
      </w:pPr>
      <w:r w:rsidRPr="00383149">
        <w:rPr>
          <w:kern w:val="22"/>
          <w:szCs w:val="22"/>
          <w:lang w:val="fr-CA"/>
        </w:rPr>
        <w:t>Point 7 de l’ordre du jour provisoire</w:t>
      </w:r>
      <w:r w:rsidR="00317363" w:rsidRPr="00383149">
        <w:rPr>
          <w:rStyle w:val="FootnoteReference"/>
          <w:snapToGrid w:val="0"/>
          <w:kern w:val="22"/>
          <w:szCs w:val="22"/>
          <w:vertAlign w:val="baseline"/>
          <w:lang w:val="fr-CA"/>
        </w:rPr>
        <w:footnoteReference w:customMarkFollows="1" w:id="2"/>
        <w:t>*</w:t>
      </w:r>
      <w:bookmarkEnd w:id="0"/>
    </w:p>
    <w:sdt>
      <w:sdtPr>
        <w:rPr>
          <w:rFonts w:asciiTheme="majorBidi" w:hAnsiTheme="majorBidi" w:cstheme="majorBidi"/>
          <w:b/>
          <w:caps/>
          <w:snapToGrid w:val="0"/>
          <w:kern w:val="22"/>
          <w:lang w:val="fr-CA"/>
        </w:rPr>
        <w:alias w:val="Title"/>
        <w:tag w:val=""/>
        <w:id w:val="772832786"/>
        <w:placeholder>
          <w:docPart w:val="BEB20ED685304A1C91A992BF91A9937D"/>
        </w:placeholder>
        <w:dataBinding w:prefixMappings="xmlns:ns0='http://purl.org/dc/elements/1.1/' xmlns:ns1='http://schemas.openxmlformats.org/package/2006/metadata/core-properties' " w:xpath="/ns1:coreProperties[1]/ns0:title[1]" w:storeItemID="{6C3C8BC8-F283-45AE-878A-BAB7291924A1}"/>
        <w:text/>
      </w:sdtPr>
      <w:sdtEndPr/>
      <w:sdtContent>
        <w:p w14:paraId="292E83A0" w14:textId="3D5FFA27" w:rsidR="002270F4" w:rsidRPr="00383149" w:rsidRDefault="00800027" w:rsidP="00AA5D70">
          <w:pPr>
            <w:suppressLineNumbers/>
            <w:suppressAutoHyphens/>
            <w:kinsoku w:val="0"/>
            <w:overflowPunct w:val="0"/>
            <w:autoSpaceDE w:val="0"/>
            <w:autoSpaceDN w:val="0"/>
            <w:adjustRightInd w:val="0"/>
            <w:snapToGrid w:val="0"/>
            <w:spacing w:before="240" w:after="120"/>
            <w:jc w:val="center"/>
            <w:rPr>
              <w:rFonts w:asciiTheme="majorBidi" w:hAnsiTheme="majorBidi" w:cstheme="majorBidi"/>
              <w:b/>
              <w:caps/>
              <w:snapToGrid w:val="0"/>
              <w:kern w:val="22"/>
              <w:szCs w:val="22"/>
              <w:lang w:val="fr-CA" w:eastAsia="ko-KR"/>
            </w:rPr>
          </w:pPr>
          <w:r w:rsidRPr="00383149">
            <w:rPr>
              <w:rFonts w:asciiTheme="majorBidi" w:hAnsiTheme="majorBidi" w:cstheme="majorBidi"/>
              <w:b/>
              <w:caps/>
              <w:snapToGrid w:val="0"/>
              <w:kern w:val="22"/>
              <w:lang w:val="fr-CA"/>
            </w:rPr>
            <w:t xml:space="preserve">renforcement des capacités, coopÉration technique et scientifique, et transfert de technologie </w:t>
          </w:r>
        </w:p>
      </w:sdtContent>
    </w:sdt>
    <w:p w14:paraId="6E50C869" w14:textId="7A036EEE" w:rsidR="00D57DEB" w:rsidRPr="00383149" w:rsidRDefault="00383149" w:rsidP="00AA5D70">
      <w:pPr>
        <w:pStyle w:val="Para1"/>
        <w:numPr>
          <w:ilvl w:val="0"/>
          <w:numId w:val="0"/>
        </w:numPr>
        <w:suppressLineNumbers/>
        <w:suppressAutoHyphens/>
        <w:kinsoku w:val="0"/>
        <w:overflowPunct w:val="0"/>
        <w:autoSpaceDE w:val="0"/>
        <w:autoSpaceDN w:val="0"/>
        <w:adjustRightInd w:val="0"/>
        <w:snapToGrid w:val="0"/>
        <w:jc w:val="center"/>
        <w:rPr>
          <w:i/>
          <w:kern w:val="22"/>
          <w:lang w:val="fr-CA"/>
        </w:rPr>
      </w:pPr>
      <w:r w:rsidRPr="00383149">
        <w:rPr>
          <w:i/>
          <w:kern w:val="22"/>
          <w:lang w:val="fr-CA"/>
        </w:rPr>
        <w:t>Note de la Secrétaire exécutive</w:t>
      </w:r>
    </w:p>
    <w:p w14:paraId="6CF04934" w14:textId="3CB0D87E" w:rsidR="00964A8F" w:rsidRPr="00383149" w:rsidRDefault="00B13D66" w:rsidP="00AA5D70">
      <w:pPr>
        <w:pStyle w:val="Heading1"/>
        <w:numPr>
          <w:ilvl w:val="0"/>
          <w:numId w:val="5"/>
        </w:numPr>
        <w:suppressLineNumbers/>
        <w:tabs>
          <w:tab w:val="clear" w:pos="720"/>
          <w:tab w:val="left" w:pos="284"/>
        </w:tabs>
        <w:suppressAutoHyphens/>
        <w:kinsoku w:val="0"/>
        <w:overflowPunct w:val="0"/>
        <w:autoSpaceDE w:val="0"/>
        <w:autoSpaceDN w:val="0"/>
        <w:adjustRightInd w:val="0"/>
        <w:snapToGrid w:val="0"/>
        <w:spacing w:before="120"/>
        <w:ind w:left="0" w:firstLine="0"/>
        <w:rPr>
          <w:rFonts w:ascii="Times New Roman Bold" w:hAnsi="Times New Roman Bold"/>
          <w:snapToGrid w:val="0"/>
          <w:kern w:val="22"/>
          <w:lang w:val="fr-CA"/>
        </w:rPr>
      </w:pPr>
      <w:bookmarkStart w:id="1" w:name="_Toc57214880"/>
      <w:r w:rsidRPr="00383149">
        <w:rPr>
          <w:rFonts w:ascii="Times New Roman Bold" w:hAnsi="Times New Roman Bold"/>
          <w:snapToGrid w:val="0"/>
          <w:kern w:val="22"/>
          <w:lang w:val="fr-CA"/>
        </w:rPr>
        <w:t>Introduction</w:t>
      </w:r>
      <w:bookmarkEnd w:id="1"/>
    </w:p>
    <w:p w14:paraId="43A1DC5E" w14:textId="344ACBE9" w:rsidR="000273F1" w:rsidRPr="00583644" w:rsidRDefault="00030056"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030056">
        <w:rPr>
          <w:snapToGrid w:val="0"/>
          <w:kern w:val="22"/>
          <w:lang w:val="fr-CA"/>
        </w:rPr>
        <w:t>D</w:t>
      </w:r>
      <w:r>
        <w:rPr>
          <w:snapToGrid w:val="0"/>
          <w:kern w:val="22"/>
          <w:lang w:val="fr-CA"/>
        </w:rPr>
        <w:t>ans ses décisi</w:t>
      </w:r>
      <w:r w:rsidRPr="00030056">
        <w:rPr>
          <w:snapToGrid w:val="0"/>
          <w:kern w:val="22"/>
          <w:lang w:val="fr-CA"/>
        </w:rPr>
        <w:t>ons</w:t>
      </w:r>
      <w:r w:rsidR="000273F1" w:rsidRPr="00030056">
        <w:rPr>
          <w:snapToGrid w:val="0"/>
          <w:color w:val="000000"/>
          <w:kern w:val="22"/>
          <w:lang w:val="fr-CA"/>
        </w:rPr>
        <w:t xml:space="preserve"> </w:t>
      </w:r>
      <w:hyperlink r:id="rId15">
        <w:r w:rsidR="000273F1" w:rsidRPr="009C48D5">
          <w:rPr>
            <w:snapToGrid w:val="0"/>
            <w:color w:val="0000FF"/>
            <w:kern w:val="22"/>
            <w:u w:val="single"/>
            <w:lang w:val="fr-CA"/>
          </w:rPr>
          <w:t>XIII</w:t>
        </w:r>
        <w:r w:rsidR="000273F1" w:rsidRPr="00030056">
          <w:rPr>
            <w:snapToGrid w:val="0"/>
            <w:color w:val="0000FF"/>
            <w:kern w:val="22"/>
            <w:u w:val="single"/>
            <w:lang w:val="fr-CA"/>
          </w:rPr>
          <w:t>/23</w:t>
        </w:r>
      </w:hyperlink>
      <w:r w:rsidR="000273F1" w:rsidRPr="00030056">
        <w:rPr>
          <w:snapToGrid w:val="0"/>
          <w:color w:val="000000"/>
          <w:kern w:val="22"/>
          <w:lang w:val="fr-CA"/>
        </w:rPr>
        <w:t xml:space="preserve"> </w:t>
      </w:r>
      <w:r w:rsidRPr="00030056">
        <w:rPr>
          <w:snapToGrid w:val="0"/>
          <w:color w:val="000000"/>
          <w:kern w:val="22"/>
          <w:lang w:val="fr-CA"/>
        </w:rPr>
        <w:t>et</w:t>
      </w:r>
      <w:r w:rsidR="000273F1" w:rsidRPr="00030056">
        <w:rPr>
          <w:snapToGrid w:val="0"/>
          <w:color w:val="000000"/>
          <w:kern w:val="22"/>
          <w:lang w:val="fr-CA"/>
        </w:rPr>
        <w:t xml:space="preserve"> </w:t>
      </w:r>
      <w:hyperlink r:id="rId16">
        <w:r w:rsidR="000273F1" w:rsidRPr="00030056">
          <w:rPr>
            <w:snapToGrid w:val="0"/>
            <w:color w:val="0000FF"/>
            <w:kern w:val="22"/>
            <w:u w:val="single"/>
            <w:lang w:val="fr-CA"/>
          </w:rPr>
          <w:t>14/24</w:t>
        </w:r>
      </w:hyperlink>
      <w:r w:rsidR="000273F1" w:rsidRPr="00030056">
        <w:rPr>
          <w:snapToGrid w:val="0"/>
          <w:color w:val="000000"/>
          <w:kern w:val="22"/>
          <w:lang w:val="fr-CA"/>
        </w:rPr>
        <w:t xml:space="preserve">, </w:t>
      </w:r>
      <w:bookmarkStart w:id="2" w:name="_Ref516653888"/>
      <w:r w:rsidRPr="00030056">
        <w:rPr>
          <w:snapToGrid w:val="0"/>
          <w:kern w:val="22"/>
          <w:lang w:val="fr-CA"/>
        </w:rPr>
        <w:t xml:space="preserve">la Conférence des Parties a abordé des questions portant sur le renforcement des capacités, la </w:t>
      </w:r>
      <w:r w:rsidR="00583644">
        <w:rPr>
          <w:snapToGrid w:val="0"/>
          <w:kern w:val="22"/>
          <w:lang w:val="fr-CA"/>
        </w:rPr>
        <w:t>coopé</w:t>
      </w:r>
      <w:r w:rsidRPr="00030056">
        <w:rPr>
          <w:snapToGrid w:val="0"/>
          <w:kern w:val="22"/>
          <w:lang w:val="fr-CA"/>
        </w:rPr>
        <w:t>ration technique et scientifique et le transfert de technologie</w:t>
      </w:r>
      <w:r w:rsidR="00583644">
        <w:rPr>
          <w:snapToGrid w:val="0"/>
          <w:kern w:val="22"/>
          <w:lang w:val="fr-CA"/>
        </w:rPr>
        <w:t xml:space="preserve">. </w:t>
      </w:r>
      <w:r w:rsidR="00583644" w:rsidRPr="00583644">
        <w:rPr>
          <w:snapToGrid w:val="0"/>
          <w:kern w:val="22"/>
          <w:lang w:val="fr-CA"/>
        </w:rPr>
        <w:t xml:space="preserve">La Secrétaire exécutive a été invitée </w:t>
      </w:r>
      <w:r w:rsidR="0081608E">
        <w:rPr>
          <w:snapToGrid w:val="0"/>
          <w:kern w:val="22"/>
          <w:lang w:val="fr-CA"/>
        </w:rPr>
        <w:t>à</w:t>
      </w:r>
      <w:r w:rsidR="00583644" w:rsidRPr="00583644">
        <w:rPr>
          <w:snapToGrid w:val="0"/>
          <w:kern w:val="22"/>
          <w:lang w:val="fr-CA"/>
        </w:rPr>
        <w:t xml:space="preserve"> </w:t>
      </w:r>
      <w:r w:rsidR="00500CCF">
        <w:rPr>
          <w:snapToGrid w:val="0"/>
          <w:kern w:val="22"/>
          <w:lang w:val="fr-CA"/>
        </w:rPr>
        <w:t>amorcer</w:t>
      </w:r>
      <w:r w:rsidR="00583644" w:rsidRPr="00583644">
        <w:rPr>
          <w:snapToGrid w:val="0"/>
          <w:kern w:val="22"/>
          <w:lang w:val="fr-CA"/>
        </w:rPr>
        <w:t xml:space="preserve"> le processus de pr</w:t>
      </w:r>
      <w:r w:rsidR="0081608E">
        <w:rPr>
          <w:snapToGrid w:val="0"/>
          <w:kern w:val="22"/>
          <w:lang w:val="fr-CA"/>
        </w:rPr>
        <w:t>é</w:t>
      </w:r>
      <w:r w:rsidR="00583644" w:rsidRPr="00583644">
        <w:rPr>
          <w:snapToGrid w:val="0"/>
          <w:kern w:val="22"/>
          <w:lang w:val="fr-CA"/>
        </w:rPr>
        <w:t>paration d’un cadre stratégique à long terme pour le renforcement des capacités au-del</w:t>
      </w:r>
      <w:r w:rsidR="00583644">
        <w:rPr>
          <w:snapToGrid w:val="0"/>
          <w:kern w:val="22"/>
          <w:lang w:val="fr-CA"/>
        </w:rPr>
        <w:t xml:space="preserve">à de 2020 </w:t>
      </w:r>
      <w:r w:rsidR="00F50701">
        <w:rPr>
          <w:snapToGrid w:val="0"/>
          <w:kern w:val="22"/>
          <w:lang w:val="fr-CA"/>
        </w:rPr>
        <w:t>concordant avec le</w:t>
      </w:r>
      <w:r w:rsidR="00583644">
        <w:rPr>
          <w:snapToGrid w:val="0"/>
          <w:kern w:val="22"/>
          <w:lang w:val="fr-CA"/>
        </w:rPr>
        <w:t xml:space="preserve"> cadre mondial de la biodiversité pour l</w:t>
      </w:r>
      <w:r w:rsidR="00F50701">
        <w:rPr>
          <w:snapToGrid w:val="0"/>
          <w:kern w:val="22"/>
          <w:lang w:val="fr-CA"/>
        </w:rPr>
        <w:t>’</w:t>
      </w:r>
      <w:r w:rsidR="00583644">
        <w:rPr>
          <w:snapToGrid w:val="0"/>
          <w:kern w:val="22"/>
          <w:lang w:val="fr-CA"/>
        </w:rPr>
        <w:t xml:space="preserve">après-2020 et </w:t>
      </w:r>
      <w:r w:rsidR="00F974E6">
        <w:rPr>
          <w:snapToGrid w:val="0"/>
          <w:kern w:val="22"/>
          <w:lang w:val="fr-CA"/>
        </w:rPr>
        <w:t>le</w:t>
      </w:r>
      <w:r w:rsidR="00583644">
        <w:rPr>
          <w:snapToGrid w:val="0"/>
          <w:kern w:val="22"/>
          <w:lang w:val="fr-CA"/>
        </w:rPr>
        <w:t xml:space="preserve"> Progra</w:t>
      </w:r>
      <w:r w:rsidR="0081608E">
        <w:rPr>
          <w:snapToGrid w:val="0"/>
          <w:kern w:val="22"/>
          <w:lang w:val="fr-CA"/>
        </w:rPr>
        <w:t>mme de développement durable à</w:t>
      </w:r>
      <w:r w:rsidR="00583644">
        <w:rPr>
          <w:snapToGrid w:val="0"/>
          <w:kern w:val="22"/>
          <w:lang w:val="fr-CA"/>
        </w:rPr>
        <w:t xml:space="preserve"> l’</w:t>
      </w:r>
      <w:r w:rsidR="0081608E">
        <w:rPr>
          <w:snapToGrid w:val="0"/>
          <w:kern w:val="22"/>
          <w:lang w:val="fr-CA"/>
        </w:rPr>
        <w:t>horizo</w:t>
      </w:r>
      <w:r w:rsidR="00583644">
        <w:rPr>
          <w:snapToGrid w:val="0"/>
          <w:kern w:val="22"/>
          <w:lang w:val="fr-CA"/>
        </w:rPr>
        <w:t>n 2030</w:t>
      </w:r>
      <w:r w:rsidR="00C769AD" w:rsidRPr="00383149">
        <w:rPr>
          <w:rStyle w:val="FootnoteReference"/>
          <w:rFonts w:eastAsiaTheme="majorEastAsia"/>
          <w:snapToGrid w:val="0"/>
          <w:color w:val="000000" w:themeColor="text1"/>
          <w:kern w:val="22"/>
          <w:szCs w:val="22"/>
          <w:lang w:val="fr-CA"/>
        </w:rPr>
        <w:footnoteReference w:id="3"/>
      </w:r>
      <w:bookmarkEnd w:id="2"/>
      <w:r w:rsidR="000273F1" w:rsidRPr="00583644">
        <w:rPr>
          <w:snapToGrid w:val="0"/>
          <w:kern w:val="22"/>
          <w:lang w:val="fr-CA"/>
        </w:rPr>
        <w:t xml:space="preserve"> </w:t>
      </w:r>
      <w:r w:rsidR="00583644">
        <w:rPr>
          <w:snapToGrid w:val="0"/>
          <w:kern w:val="22"/>
          <w:lang w:val="fr-CA"/>
        </w:rPr>
        <w:t>pour examen par l’Organe subsidiaire chargé de l</w:t>
      </w:r>
      <w:r w:rsidR="00F50701">
        <w:rPr>
          <w:snapToGrid w:val="0"/>
          <w:kern w:val="22"/>
          <w:lang w:val="fr-CA"/>
        </w:rPr>
        <w:t>’</w:t>
      </w:r>
      <w:r w:rsidR="00583644">
        <w:rPr>
          <w:snapToGrid w:val="0"/>
          <w:kern w:val="22"/>
          <w:lang w:val="fr-CA"/>
        </w:rPr>
        <w:t xml:space="preserve">application à sa troisième </w:t>
      </w:r>
      <w:r w:rsidR="0081608E">
        <w:rPr>
          <w:snapToGrid w:val="0"/>
          <w:kern w:val="22"/>
          <w:lang w:val="fr-CA"/>
        </w:rPr>
        <w:t>réu</w:t>
      </w:r>
      <w:r w:rsidR="00583644">
        <w:rPr>
          <w:snapToGrid w:val="0"/>
          <w:kern w:val="22"/>
          <w:lang w:val="fr-CA"/>
        </w:rPr>
        <w:t>nion et ensuite par la Conférence des Parties à sa quinzième réunion</w:t>
      </w:r>
      <w:r w:rsidR="000273F1" w:rsidRPr="00583644">
        <w:rPr>
          <w:snapToGrid w:val="0"/>
          <w:kern w:val="22"/>
          <w:lang w:val="fr-CA"/>
        </w:rPr>
        <w:t>.</w:t>
      </w:r>
    </w:p>
    <w:p w14:paraId="338FE820" w14:textId="4DB702E4" w:rsidR="000273F1" w:rsidRPr="004F239A" w:rsidRDefault="0081608E" w:rsidP="00AA5D70">
      <w:pPr>
        <w:pStyle w:val="Para1"/>
        <w:numPr>
          <w:ilvl w:val="0"/>
          <w:numId w:val="49"/>
        </w:numPr>
        <w:suppressLineNumbers/>
        <w:suppressAutoHyphens/>
        <w:kinsoku w:val="0"/>
        <w:overflowPunct w:val="0"/>
        <w:autoSpaceDE w:val="0"/>
        <w:autoSpaceDN w:val="0"/>
        <w:adjustRightInd w:val="0"/>
        <w:snapToGrid w:val="0"/>
        <w:rPr>
          <w:bCs/>
          <w:kern w:val="22"/>
          <w:szCs w:val="22"/>
          <w:lang w:val="fr-CA"/>
        </w:rPr>
      </w:pPr>
      <w:r w:rsidRPr="004F239A">
        <w:rPr>
          <w:bCs/>
          <w:kern w:val="22"/>
          <w:szCs w:val="22"/>
          <w:lang w:val="fr-CA"/>
        </w:rPr>
        <w:t>La Secrétaire exécutive a également été invitée</w:t>
      </w:r>
      <w:r w:rsidR="00F92390" w:rsidRPr="004F239A">
        <w:rPr>
          <w:bCs/>
          <w:kern w:val="22"/>
          <w:szCs w:val="22"/>
          <w:lang w:val="fr-CA"/>
        </w:rPr>
        <w:t>, dans la décision 14/24 B,</w:t>
      </w:r>
      <w:r w:rsidRPr="004F239A">
        <w:rPr>
          <w:bCs/>
          <w:kern w:val="22"/>
          <w:szCs w:val="22"/>
          <w:lang w:val="fr-CA"/>
        </w:rPr>
        <w:t xml:space="preserve"> à continuer à promouvoir et à faciliter </w:t>
      </w:r>
      <w:r w:rsidR="00500CCF" w:rsidRPr="004F239A">
        <w:rPr>
          <w:bCs/>
          <w:kern w:val="22"/>
          <w:szCs w:val="22"/>
          <w:lang w:val="fr-CA"/>
        </w:rPr>
        <w:t>la</w:t>
      </w:r>
      <w:r w:rsidRPr="004F239A">
        <w:rPr>
          <w:bCs/>
          <w:kern w:val="22"/>
          <w:szCs w:val="22"/>
          <w:lang w:val="fr-CA"/>
        </w:rPr>
        <w:t xml:space="preserve"> coopération technique et scientifique (paragraphe 8</w:t>
      </w:r>
      <w:r w:rsidR="00F92390" w:rsidRPr="004F239A">
        <w:rPr>
          <w:kern w:val="22"/>
          <w:szCs w:val="22"/>
          <w:lang w:val="fr-CA"/>
        </w:rPr>
        <w:t>)</w:t>
      </w:r>
      <w:r w:rsidR="00500CCF" w:rsidRPr="004F239A">
        <w:rPr>
          <w:kern w:val="22"/>
          <w:szCs w:val="22"/>
          <w:lang w:val="fr-CA"/>
        </w:rPr>
        <w:t>,</w:t>
      </w:r>
      <w:r w:rsidR="00F92390" w:rsidRPr="004F239A">
        <w:rPr>
          <w:kern w:val="22"/>
          <w:szCs w:val="22"/>
          <w:lang w:val="fr-CA"/>
        </w:rPr>
        <w:t xml:space="preserve"> à élaborer des proposi</w:t>
      </w:r>
      <w:r w:rsidR="00F26181" w:rsidRPr="004F239A">
        <w:rPr>
          <w:kern w:val="22"/>
          <w:szCs w:val="22"/>
          <w:lang w:val="fr-CA"/>
        </w:rPr>
        <w:t>tions concernant un processus o</w:t>
      </w:r>
      <w:r w:rsidR="00F92390" w:rsidRPr="004F239A">
        <w:rPr>
          <w:kern w:val="22"/>
          <w:szCs w:val="22"/>
          <w:lang w:val="fr-CA"/>
        </w:rPr>
        <w:t>uvert à to</w:t>
      </w:r>
      <w:r w:rsidR="00500CCF" w:rsidRPr="004F239A">
        <w:rPr>
          <w:kern w:val="22"/>
          <w:szCs w:val="22"/>
          <w:lang w:val="fr-CA"/>
        </w:rPr>
        <w:t>us pour examiner et renouveler l</w:t>
      </w:r>
      <w:r w:rsidR="00F92390" w:rsidRPr="004F239A">
        <w:rPr>
          <w:kern w:val="22"/>
          <w:szCs w:val="22"/>
          <w:lang w:val="fr-CA"/>
        </w:rPr>
        <w:t>es programmes de coopération techniqu</w:t>
      </w:r>
      <w:r w:rsidR="00F26181" w:rsidRPr="004F239A">
        <w:rPr>
          <w:kern w:val="22"/>
          <w:szCs w:val="22"/>
          <w:lang w:val="fr-CA"/>
        </w:rPr>
        <w:t xml:space="preserve">e et scientifique et </w:t>
      </w:r>
      <w:r w:rsidR="00F974E6">
        <w:rPr>
          <w:kern w:val="22"/>
          <w:szCs w:val="22"/>
          <w:lang w:val="fr-CA"/>
        </w:rPr>
        <w:t>à</w:t>
      </w:r>
      <w:r w:rsidR="00F26181" w:rsidRPr="004F239A">
        <w:rPr>
          <w:kern w:val="22"/>
          <w:szCs w:val="22"/>
          <w:lang w:val="fr-CA"/>
        </w:rPr>
        <w:t xml:space="preserve"> transme</w:t>
      </w:r>
      <w:r w:rsidR="00F92390" w:rsidRPr="004F239A">
        <w:rPr>
          <w:kern w:val="22"/>
          <w:szCs w:val="22"/>
          <w:lang w:val="fr-CA"/>
        </w:rPr>
        <w:t>ttre ces propositions pour examen par l’Organe subsidiaire chargé de fournir des avis scientifiques, techniques et technologiques et l’Organe subsidiaire chargé de l</w:t>
      </w:r>
      <w:r w:rsidR="00F50701">
        <w:rPr>
          <w:kern w:val="22"/>
          <w:szCs w:val="22"/>
          <w:lang w:val="fr-CA"/>
        </w:rPr>
        <w:t>’</w:t>
      </w:r>
      <w:r w:rsidR="00F92390" w:rsidRPr="004F239A">
        <w:rPr>
          <w:kern w:val="22"/>
          <w:szCs w:val="22"/>
          <w:lang w:val="fr-CA"/>
        </w:rPr>
        <w:t>application à leurs réunions qui se tiendront avant la quinzi</w:t>
      </w:r>
      <w:r w:rsidR="00F26181" w:rsidRPr="004F239A">
        <w:rPr>
          <w:kern w:val="22"/>
          <w:szCs w:val="22"/>
          <w:lang w:val="fr-CA"/>
        </w:rPr>
        <w:t xml:space="preserve">ème </w:t>
      </w:r>
      <w:r w:rsidR="00F92390" w:rsidRPr="004F239A">
        <w:rPr>
          <w:kern w:val="22"/>
          <w:szCs w:val="22"/>
          <w:lang w:val="fr-CA"/>
        </w:rPr>
        <w:t>réunion de la Conférence des Parties</w:t>
      </w:r>
      <w:r w:rsidR="00F26181" w:rsidRPr="004F239A">
        <w:rPr>
          <w:kern w:val="22"/>
          <w:szCs w:val="22"/>
          <w:lang w:val="fr-CA"/>
        </w:rPr>
        <w:t xml:space="preserve"> (paragraphe 9)</w:t>
      </w:r>
      <w:r w:rsidR="00F92390" w:rsidRPr="004F239A">
        <w:rPr>
          <w:kern w:val="22"/>
          <w:szCs w:val="22"/>
          <w:lang w:val="fr-CA"/>
        </w:rPr>
        <w:t>.</w:t>
      </w:r>
    </w:p>
    <w:p w14:paraId="32C8F5A2" w14:textId="3F11E42D" w:rsidR="000273F1" w:rsidRPr="004F239A" w:rsidRDefault="00222D73"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Dans sa recomm</w:t>
      </w:r>
      <w:r w:rsidR="00997368" w:rsidRPr="004F239A">
        <w:rPr>
          <w:snapToGrid w:val="0"/>
          <w:kern w:val="22"/>
          <w:lang w:val="fr-CA"/>
        </w:rPr>
        <w:t>a</w:t>
      </w:r>
      <w:r w:rsidRPr="004F239A">
        <w:rPr>
          <w:snapToGrid w:val="0"/>
          <w:kern w:val="22"/>
          <w:lang w:val="fr-CA"/>
        </w:rPr>
        <w:t xml:space="preserve">ndation 23/6, l’Organe subsidiaire chargé de fournir des avis scientifiques, techniques et technologiques a pris note </w:t>
      </w:r>
      <w:r w:rsidRPr="004F239A">
        <w:rPr>
          <w:kern w:val="22"/>
          <w:lang w:val="fr-CA"/>
        </w:rPr>
        <w:t xml:space="preserve">des propositions visant à renforcer la coopération technique et scientifique </w:t>
      </w:r>
      <w:r w:rsidR="00F974E6">
        <w:rPr>
          <w:kern w:val="22"/>
          <w:lang w:val="fr-CA"/>
        </w:rPr>
        <w:t>en appui au</w:t>
      </w:r>
      <w:r w:rsidRPr="004F239A">
        <w:rPr>
          <w:kern w:val="22"/>
          <w:lang w:val="fr-CA"/>
        </w:rPr>
        <w:t xml:space="preserve"> cadre mondial de la biodiversité pour l’après</w:t>
      </w:r>
      <w:r w:rsidRPr="004F239A">
        <w:rPr>
          <w:kern w:val="22"/>
          <w:lang w:val="fr-CA"/>
        </w:rPr>
        <w:noBreakHyphen/>
        <w:t xml:space="preserve">2020, présentées à l’annexe I à la recommandation, et a invité la Secrétaire exécutive à </w:t>
      </w:r>
      <w:r w:rsidR="00A34E2E" w:rsidRPr="004F239A">
        <w:rPr>
          <w:kern w:val="22"/>
          <w:lang w:val="fr-CA"/>
        </w:rPr>
        <w:t xml:space="preserve">en </w:t>
      </w:r>
      <w:r w:rsidRPr="004F239A">
        <w:rPr>
          <w:noProof/>
          <w:kern w:val="22"/>
          <w:lang w:val="fr-CA"/>
        </w:rPr>
        <w:t xml:space="preserve">poursuivre l’élaboration </w:t>
      </w:r>
      <w:r w:rsidRPr="004F239A">
        <w:rPr>
          <w:kern w:val="22"/>
          <w:lang w:val="fr-CA"/>
        </w:rPr>
        <w:t xml:space="preserve">en tenant compte des </w:t>
      </w:r>
      <w:r w:rsidR="00A34E2E" w:rsidRPr="004F239A">
        <w:rPr>
          <w:kern w:val="22"/>
          <w:lang w:val="fr-CA"/>
        </w:rPr>
        <w:t>points de vue et des suggestions des Parties, des autres gouvernements et des organisations compétentes. Dans l’exécution de cette tâche, la Secrétaire exécutive a aussi été invitée à fournir des renseignements sur les avantages, les inconvénients et les coûts des trois</w:t>
      </w:r>
      <w:r w:rsidR="00997368" w:rsidRPr="004F239A">
        <w:rPr>
          <w:kern w:val="22"/>
          <w:lang w:val="fr-CA"/>
        </w:rPr>
        <w:t xml:space="preserve"> scénarios d’arrangements institutionnels visant à faciliter et à améliorer la coopération technique et scientifique, ainsi qu’une compilation des arrangements institutionnels et</w:t>
      </w:r>
      <w:r w:rsidR="00D04925" w:rsidRPr="004F239A">
        <w:rPr>
          <w:kern w:val="22"/>
          <w:lang w:val="fr-CA"/>
        </w:rPr>
        <w:t xml:space="preserve"> des réseaux de coop</w:t>
      </w:r>
      <w:r w:rsidR="00997368" w:rsidRPr="004F239A">
        <w:rPr>
          <w:kern w:val="22"/>
          <w:lang w:val="fr-CA"/>
        </w:rPr>
        <w:t>ération technique e</w:t>
      </w:r>
      <w:r w:rsidR="00F50701">
        <w:rPr>
          <w:kern w:val="22"/>
          <w:lang w:val="fr-CA"/>
        </w:rPr>
        <w:t>t</w:t>
      </w:r>
      <w:r w:rsidR="00997368" w:rsidRPr="004F239A">
        <w:rPr>
          <w:kern w:val="22"/>
          <w:lang w:val="fr-CA"/>
        </w:rPr>
        <w:t xml:space="preserve"> scientifique pertinents pour différents domaines thématiques.</w:t>
      </w:r>
    </w:p>
    <w:p w14:paraId="364B92DF" w14:textId="0D64B008" w:rsidR="004A3E7E" w:rsidRPr="004F239A" w:rsidRDefault="00D04925"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Le </w:t>
      </w:r>
      <w:r w:rsidR="00356311" w:rsidRPr="004F239A">
        <w:rPr>
          <w:snapToGrid w:val="0"/>
          <w:kern w:val="22"/>
          <w:lang w:val="fr-CA"/>
        </w:rPr>
        <w:t>pré</w:t>
      </w:r>
      <w:r w:rsidRPr="004F239A">
        <w:rPr>
          <w:snapToGrid w:val="0"/>
          <w:kern w:val="22"/>
          <w:lang w:val="fr-CA"/>
        </w:rPr>
        <w:t xml:space="preserve">sent document </w:t>
      </w:r>
      <w:r w:rsidR="00356311" w:rsidRPr="004F239A">
        <w:rPr>
          <w:snapToGrid w:val="0"/>
          <w:kern w:val="22"/>
          <w:lang w:val="fr-CA"/>
        </w:rPr>
        <w:t>offre</w:t>
      </w:r>
      <w:r w:rsidRPr="004F239A">
        <w:rPr>
          <w:snapToGrid w:val="0"/>
          <w:kern w:val="22"/>
          <w:lang w:val="fr-CA"/>
        </w:rPr>
        <w:t xml:space="preserve"> un </w:t>
      </w:r>
      <w:r w:rsidR="00356311" w:rsidRPr="004F239A">
        <w:rPr>
          <w:snapToGrid w:val="0"/>
          <w:kern w:val="22"/>
          <w:lang w:val="fr-CA"/>
        </w:rPr>
        <w:t>aperç</w:t>
      </w:r>
      <w:r w:rsidRPr="004F239A">
        <w:rPr>
          <w:snapToGrid w:val="0"/>
          <w:kern w:val="22"/>
          <w:lang w:val="fr-CA"/>
        </w:rPr>
        <w:t>u des mes</w:t>
      </w:r>
      <w:r w:rsidR="00356311" w:rsidRPr="004F239A">
        <w:rPr>
          <w:snapToGrid w:val="0"/>
          <w:kern w:val="22"/>
          <w:lang w:val="fr-CA"/>
        </w:rPr>
        <w:t>ures prises et des documents pré</w:t>
      </w:r>
      <w:r w:rsidRPr="004F239A">
        <w:rPr>
          <w:snapToGrid w:val="0"/>
          <w:kern w:val="22"/>
          <w:lang w:val="fr-CA"/>
        </w:rPr>
        <w:t xml:space="preserve">parés en réponse aux </w:t>
      </w:r>
      <w:r w:rsidR="00356311" w:rsidRPr="004F239A">
        <w:rPr>
          <w:snapToGrid w:val="0"/>
          <w:kern w:val="22"/>
          <w:lang w:val="fr-CA"/>
        </w:rPr>
        <w:t>dé</w:t>
      </w:r>
      <w:r w:rsidRPr="004F239A">
        <w:rPr>
          <w:snapToGrid w:val="0"/>
          <w:kern w:val="22"/>
          <w:lang w:val="fr-CA"/>
        </w:rPr>
        <w:t>cisions ci-dessus. La p</w:t>
      </w:r>
      <w:r w:rsidR="00356311" w:rsidRPr="004F239A">
        <w:rPr>
          <w:snapToGrid w:val="0"/>
          <w:kern w:val="22"/>
          <w:lang w:val="fr-CA"/>
        </w:rPr>
        <w:t>a</w:t>
      </w:r>
      <w:r w:rsidRPr="004F239A">
        <w:rPr>
          <w:snapToGrid w:val="0"/>
          <w:kern w:val="22"/>
          <w:lang w:val="fr-CA"/>
        </w:rPr>
        <w:t xml:space="preserve">rtie II propose un sommaire du rapport final préliminaire sur la mise en œuvre du plan d’action </w:t>
      </w:r>
      <w:r w:rsidR="00356311" w:rsidRPr="004F239A">
        <w:rPr>
          <w:snapToGrid w:val="0"/>
          <w:kern w:val="22"/>
          <w:lang w:val="fr-CA"/>
        </w:rPr>
        <w:t>à</w:t>
      </w:r>
      <w:r w:rsidRPr="004F239A">
        <w:rPr>
          <w:snapToGrid w:val="0"/>
          <w:kern w:val="22"/>
          <w:lang w:val="fr-CA"/>
        </w:rPr>
        <w:t xml:space="preserve"> court terme (2017-2020) pour améliorer et soutenir le renforcement des capacités pour </w:t>
      </w:r>
      <w:r w:rsidR="00356311" w:rsidRPr="004F239A">
        <w:rPr>
          <w:snapToGrid w:val="0"/>
          <w:kern w:val="22"/>
          <w:lang w:val="fr-CA"/>
        </w:rPr>
        <w:lastRenderedPageBreak/>
        <w:t>l’application</w:t>
      </w:r>
      <w:r w:rsidRPr="004F239A">
        <w:rPr>
          <w:snapToGrid w:val="0"/>
          <w:kern w:val="22"/>
          <w:lang w:val="fr-CA"/>
        </w:rPr>
        <w:t xml:space="preserve"> de la Convention et de ses Protocoles</w:t>
      </w:r>
      <w:r w:rsidR="00232E16" w:rsidRPr="004F239A">
        <w:rPr>
          <w:snapToGrid w:val="0"/>
          <w:kern w:val="22"/>
          <w:lang w:val="fr-CA"/>
        </w:rPr>
        <w:t>,</w:t>
      </w:r>
      <w:r w:rsidR="0074751A" w:rsidRPr="004F239A">
        <w:rPr>
          <w:rStyle w:val="FootnoteReference"/>
          <w:snapToGrid w:val="0"/>
          <w:kern w:val="22"/>
          <w:lang w:val="fr-CA"/>
        </w:rPr>
        <w:footnoteReference w:id="4"/>
      </w:r>
      <w:r w:rsidR="000273F1" w:rsidRPr="004F239A">
        <w:rPr>
          <w:snapToGrid w:val="0"/>
          <w:kern w:val="22"/>
          <w:lang w:val="fr-CA"/>
        </w:rPr>
        <w:t xml:space="preserve"> </w:t>
      </w:r>
      <w:r w:rsidRPr="004F239A">
        <w:rPr>
          <w:snapToGrid w:val="0"/>
          <w:kern w:val="22"/>
          <w:lang w:val="fr-CA"/>
        </w:rPr>
        <w:t>e</w:t>
      </w:r>
      <w:r w:rsidR="00356311" w:rsidRPr="004F239A">
        <w:rPr>
          <w:snapToGrid w:val="0"/>
          <w:kern w:val="22"/>
          <w:lang w:val="fr-CA"/>
        </w:rPr>
        <w:t xml:space="preserve">t présente </w:t>
      </w:r>
      <w:r w:rsidR="00965758" w:rsidRPr="004F239A">
        <w:rPr>
          <w:snapToGrid w:val="0"/>
          <w:kern w:val="22"/>
          <w:lang w:val="fr-CA"/>
        </w:rPr>
        <w:t xml:space="preserve">le cadre stratégique à long terme pour le renforcement des capacités en appui à </w:t>
      </w:r>
      <w:r w:rsidR="004531BD" w:rsidRPr="004F239A">
        <w:rPr>
          <w:snapToGrid w:val="0"/>
          <w:kern w:val="22"/>
          <w:lang w:val="fr-CA"/>
        </w:rPr>
        <w:t xml:space="preserve">la mise en </w:t>
      </w:r>
      <w:r w:rsidR="00210413" w:rsidRPr="004F239A">
        <w:rPr>
          <w:snapToGrid w:val="0"/>
          <w:kern w:val="22"/>
          <w:lang w:val="fr-CA"/>
        </w:rPr>
        <w:t xml:space="preserve">œuvre </w:t>
      </w:r>
      <w:r w:rsidR="00965758" w:rsidRPr="004F239A">
        <w:rPr>
          <w:snapToGrid w:val="0"/>
          <w:kern w:val="22"/>
          <w:lang w:val="fr-CA"/>
        </w:rPr>
        <w:t>du cadre mondial de la biodiversité pour l</w:t>
      </w:r>
      <w:r w:rsidR="00F50701">
        <w:rPr>
          <w:snapToGrid w:val="0"/>
          <w:kern w:val="22"/>
          <w:lang w:val="fr-CA"/>
        </w:rPr>
        <w:t>’</w:t>
      </w:r>
      <w:r w:rsidR="00965758" w:rsidRPr="004F239A">
        <w:rPr>
          <w:snapToGrid w:val="0"/>
          <w:kern w:val="22"/>
          <w:lang w:val="fr-CA"/>
        </w:rPr>
        <w:t xml:space="preserve">après-2020 </w:t>
      </w:r>
      <w:r w:rsidRPr="004F239A">
        <w:rPr>
          <w:snapToGrid w:val="0"/>
          <w:kern w:val="22"/>
          <w:lang w:val="fr-CA"/>
        </w:rPr>
        <w:t>(</w:t>
      </w:r>
      <w:r w:rsidR="004F239A">
        <w:rPr>
          <w:snapToGrid w:val="0"/>
          <w:kern w:val="22"/>
          <w:lang w:val="fr-CA"/>
        </w:rPr>
        <w:t xml:space="preserve">joint à l’annexe I des présentes et élaboré dans le </w:t>
      </w:r>
      <w:r w:rsidRPr="004F239A">
        <w:rPr>
          <w:snapToGrid w:val="0"/>
          <w:kern w:val="22"/>
          <w:lang w:val="fr-CA"/>
        </w:rPr>
        <w:t>document</w:t>
      </w:r>
      <w:r w:rsidR="00356311" w:rsidRPr="004F239A">
        <w:rPr>
          <w:snapToGrid w:val="0"/>
          <w:kern w:val="22"/>
          <w:lang w:val="fr-CA"/>
        </w:rPr>
        <w:t xml:space="preserve"> CBD/SBI/3/Add.1). La partie III propose un rapport sommaire </w:t>
      </w:r>
      <w:r w:rsidR="00811A24">
        <w:rPr>
          <w:snapToGrid w:val="0"/>
          <w:kern w:val="22"/>
          <w:lang w:val="fr-CA"/>
        </w:rPr>
        <w:t>de</w:t>
      </w:r>
      <w:r w:rsidR="00965758" w:rsidRPr="004F239A">
        <w:rPr>
          <w:snapToGrid w:val="0"/>
          <w:kern w:val="22"/>
          <w:lang w:val="fr-CA"/>
        </w:rPr>
        <w:t xml:space="preserve"> l’état d’avancement de la coop</w:t>
      </w:r>
      <w:r w:rsidR="00356311" w:rsidRPr="004F239A">
        <w:rPr>
          <w:snapToGrid w:val="0"/>
          <w:kern w:val="22"/>
          <w:lang w:val="fr-CA"/>
        </w:rPr>
        <w:t xml:space="preserve">ération technique et scientifique et </w:t>
      </w:r>
      <w:r w:rsidR="00811A24">
        <w:rPr>
          <w:snapToGrid w:val="0"/>
          <w:kern w:val="22"/>
          <w:lang w:val="fr-CA"/>
        </w:rPr>
        <w:t>du</w:t>
      </w:r>
      <w:r w:rsidR="00356311" w:rsidRPr="004F239A">
        <w:rPr>
          <w:snapToGrid w:val="0"/>
          <w:kern w:val="22"/>
          <w:lang w:val="fr-CA"/>
        </w:rPr>
        <w:t xml:space="preserve"> transfert de technologie</w:t>
      </w:r>
      <w:r w:rsidR="001C1B3B" w:rsidRPr="004F239A">
        <w:rPr>
          <w:snapToGrid w:val="0"/>
          <w:kern w:val="22"/>
          <w:lang w:val="fr-CA"/>
        </w:rPr>
        <w:t>,</w:t>
      </w:r>
      <w:r w:rsidR="00A33A36" w:rsidRPr="004F239A">
        <w:rPr>
          <w:rStyle w:val="FootnoteReference"/>
          <w:snapToGrid w:val="0"/>
          <w:kern w:val="22"/>
          <w:lang w:val="fr-CA"/>
        </w:rPr>
        <w:footnoteReference w:id="5"/>
      </w:r>
      <w:r w:rsidR="000273F1" w:rsidRPr="004F239A">
        <w:rPr>
          <w:snapToGrid w:val="0"/>
          <w:kern w:val="22"/>
          <w:lang w:val="fr-CA"/>
        </w:rPr>
        <w:t xml:space="preserve"> </w:t>
      </w:r>
      <w:r w:rsidR="00356311" w:rsidRPr="004F239A">
        <w:rPr>
          <w:snapToGrid w:val="0"/>
          <w:kern w:val="22"/>
          <w:lang w:val="fr-CA"/>
        </w:rPr>
        <w:t xml:space="preserve">et présente les propositions </w:t>
      </w:r>
      <w:r w:rsidR="00512AD0" w:rsidRPr="004F239A">
        <w:rPr>
          <w:snapToGrid w:val="0"/>
          <w:kern w:val="22"/>
          <w:lang w:val="fr-CA"/>
        </w:rPr>
        <w:t xml:space="preserve">pour renforcer la coopération technique et scientifique (disponibles dans le document CBD/SBI/3/7/Add.2) et les propositions </w:t>
      </w:r>
      <w:r w:rsidR="00E82A60" w:rsidRPr="004F239A">
        <w:rPr>
          <w:snapToGrid w:val="0"/>
          <w:kern w:val="22"/>
          <w:lang w:val="fr-CA"/>
        </w:rPr>
        <w:t>concernant</w:t>
      </w:r>
      <w:r w:rsidR="00512AD0" w:rsidRPr="004F239A">
        <w:rPr>
          <w:snapToGrid w:val="0"/>
          <w:kern w:val="22"/>
          <w:lang w:val="fr-CA"/>
        </w:rPr>
        <w:t xml:space="preserve"> un processus </w:t>
      </w:r>
      <w:r w:rsidR="00E82A60" w:rsidRPr="004F239A">
        <w:rPr>
          <w:snapToGrid w:val="0"/>
          <w:kern w:val="22"/>
          <w:lang w:val="fr-CA"/>
        </w:rPr>
        <w:t>ouvert à tous d’examen et de renouvellement</w:t>
      </w:r>
      <w:r w:rsidR="00512AD0" w:rsidRPr="004F239A">
        <w:rPr>
          <w:snapToGrid w:val="0"/>
          <w:kern w:val="22"/>
          <w:lang w:val="fr-CA"/>
        </w:rPr>
        <w:t xml:space="preserve">. </w:t>
      </w:r>
      <w:r w:rsidR="00FE69D0" w:rsidRPr="004F239A">
        <w:rPr>
          <w:snapToGrid w:val="0"/>
          <w:kern w:val="22"/>
          <w:lang w:val="fr-CA"/>
        </w:rPr>
        <w:t>La partie IV met en évidence les liens entre les divers moyens d’appliquer le cadre mondial de la biodiversité pour l</w:t>
      </w:r>
      <w:r w:rsidR="00F50701">
        <w:rPr>
          <w:snapToGrid w:val="0"/>
          <w:kern w:val="22"/>
          <w:lang w:val="fr-CA"/>
        </w:rPr>
        <w:t>’</w:t>
      </w:r>
      <w:r w:rsidR="00FE69D0" w:rsidRPr="004F239A">
        <w:rPr>
          <w:snapToGrid w:val="0"/>
          <w:kern w:val="22"/>
          <w:lang w:val="fr-CA"/>
        </w:rPr>
        <w:t xml:space="preserve">après-2020 (à savoir le développement des capacités, la coopération technique et scientifique, la gestion des connaissances et les communications), les conditions de facilitation ainsi que l’amélioration </w:t>
      </w:r>
      <w:r w:rsidR="00811A24">
        <w:rPr>
          <w:snapToGrid w:val="0"/>
          <w:kern w:val="22"/>
          <w:lang w:val="fr-CA"/>
        </w:rPr>
        <w:t>de</w:t>
      </w:r>
      <w:r w:rsidR="00FE69D0" w:rsidRPr="004F239A">
        <w:rPr>
          <w:snapToGrid w:val="0"/>
          <w:kern w:val="22"/>
          <w:lang w:val="fr-CA"/>
        </w:rPr>
        <w:t xml:space="preserve"> la planification, </w:t>
      </w:r>
      <w:r w:rsidR="00811A24">
        <w:rPr>
          <w:snapToGrid w:val="0"/>
          <w:kern w:val="22"/>
          <w:lang w:val="fr-CA"/>
        </w:rPr>
        <w:t xml:space="preserve">de </w:t>
      </w:r>
      <w:r w:rsidR="00FE69D0" w:rsidRPr="004F239A">
        <w:rPr>
          <w:snapToGrid w:val="0"/>
          <w:kern w:val="22"/>
          <w:lang w:val="fr-CA"/>
        </w:rPr>
        <w:t xml:space="preserve">l’établissement des rapports et </w:t>
      </w:r>
      <w:r w:rsidR="00811A24">
        <w:rPr>
          <w:snapToGrid w:val="0"/>
          <w:kern w:val="22"/>
          <w:lang w:val="fr-CA"/>
        </w:rPr>
        <w:t>du</w:t>
      </w:r>
      <w:r w:rsidR="00FE69D0" w:rsidRPr="004F239A">
        <w:rPr>
          <w:snapToGrid w:val="0"/>
          <w:kern w:val="22"/>
          <w:lang w:val="fr-CA"/>
        </w:rPr>
        <w:t xml:space="preserve"> mécanisme d’examen. La partie V présente les projets d’éléments d’une décision sur le </w:t>
      </w:r>
      <w:r w:rsidR="00F96191" w:rsidRPr="004F239A">
        <w:rPr>
          <w:snapToGrid w:val="0"/>
          <w:kern w:val="22"/>
          <w:lang w:val="fr-CA"/>
        </w:rPr>
        <w:t>renforcement</w:t>
      </w:r>
      <w:r w:rsidR="00FE69D0" w:rsidRPr="004F239A">
        <w:rPr>
          <w:snapToGrid w:val="0"/>
          <w:kern w:val="22"/>
          <w:lang w:val="fr-CA"/>
        </w:rPr>
        <w:t xml:space="preserve"> des capacités, la coopération technique et scientifique et le transfert de technologie</w:t>
      </w:r>
      <w:r w:rsidR="006009CB" w:rsidRPr="004F239A">
        <w:rPr>
          <w:snapToGrid w:val="0"/>
          <w:kern w:val="22"/>
          <w:lang w:val="fr-CA"/>
        </w:rPr>
        <w:t>.</w:t>
      </w:r>
    </w:p>
    <w:p w14:paraId="0C4E5825" w14:textId="0527E97E" w:rsidR="004A3E7E" w:rsidRPr="004F239A" w:rsidRDefault="00F96191" w:rsidP="00AA5D70">
      <w:pPr>
        <w:pStyle w:val="Heading1"/>
        <w:numPr>
          <w:ilvl w:val="0"/>
          <w:numId w:val="5"/>
        </w:numPr>
        <w:suppressLineNumbers/>
        <w:tabs>
          <w:tab w:val="clear" w:pos="720"/>
          <w:tab w:val="left" w:pos="426"/>
        </w:tabs>
        <w:suppressAutoHyphens/>
        <w:kinsoku w:val="0"/>
        <w:overflowPunct w:val="0"/>
        <w:autoSpaceDE w:val="0"/>
        <w:autoSpaceDN w:val="0"/>
        <w:adjustRightInd w:val="0"/>
        <w:snapToGrid w:val="0"/>
        <w:spacing w:before="120"/>
        <w:ind w:left="0" w:firstLine="0"/>
        <w:rPr>
          <w:snapToGrid w:val="0"/>
          <w:kern w:val="22"/>
          <w:lang w:val="fr-CA"/>
        </w:rPr>
      </w:pPr>
      <w:r w:rsidRPr="004F239A">
        <w:rPr>
          <w:snapToGrid w:val="0"/>
          <w:kern w:val="22"/>
          <w:lang w:val="fr-CA"/>
        </w:rPr>
        <w:t>RENFORCEMENT DES CAPACITÉS</w:t>
      </w:r>
    </w:p>
    <w:p w14:paraId="349842D5" w14:textId="6FDB3163" w:rsidR="004A3E7E" w:rsidRPr="004F239A" w:rsidRDefault="009C48D5" w:rsidP="00AA5D70">
      <w:pPr>
        <w:pStyle w:val="Heading2"/>
        <w:numPr>
          <w:ilvl w:val="0"/>
          <w:numId w:val="52"/>
        </w:numPr>
        <w:suppressLineNumbers/>
        <w:tabs>
          <w:tab w:val="clear" w:pos="720"/>
        </w:tabs>
        <w:suppressAutoHyphens/>
        <w:kinsoku w:val="0"/>
        <w:overflowPunct w:val="0"/>
        <w:autoSpaceDE w:val="0"/>
        <w:autoSpaceDN w:val="0"/>
        <w:adjustRightInd w:val="0"/>
        <w:snapToGrid w:val="0"/>
        <w:ind w:left="284" w:firstLine="0"/>
        <w:rPr>
          <w:snapToGrid w:val="0"/>
          <w:kern w:val="22"/>
          <w:lang w:val="fr-CA"/>
        </w:rPr>
      </w:pPr>
      <w:bookmarkStart w:id="3" w:name="_Toc57214882"/>
      <w:bookmarkStart w:id="4" w:name="_Hlk51599746"/>
      <w:r w:rsidRPr="004F239A">
        <w:rPr>
          <w:snapToGrid w:val="0"/>
          <w:kern w:val="22"/>
          <w:lang w:val="fr-CA"/>
        </w:rPr>
        <w:t>Rapport final préliminaire sur l’application du plan d’action à court terme</w:t>
      </w:r>
      <w:r w:rsidR="004A3E7E" w:rsidRPr="004F239A">
        <w:rPr>
          <w:snapToGrid w:val="0"/>
          <w:kern w:val="22"/>
          <w:lang w:val="fr-CA"/>
        </w:rPr>
        <w:t xml:space="preserve"> (2017-2020)</w:t>
      </w:r>
      <w:bookmarkEnd w:id="3"/>
    </w:p>
    <w:p w14:paraId="5048B27B" w14:textId="71DA915C" w:rsidR="004A3E7E" w:rsidRPr="004F239A" w:rsidRDefault="009C48D5"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Dans sa décision XIII/23, la Conférence des Parties a adopté un plan d’action à court terme (2017-2020) pour améliorer et soutenir le renforcement des capacités pour l’application de la Convention et de ses Protocoles, et a demandé à la Secrétaire exécutive de soutenir et de faciliter </w:t>
      </w:r>
      <w:r w:rsidR="00704FDD" w:rsidRPr="004F239A">
        <w:rPr>
          <w:snapToGrid w:val="0"/>
          <w:kern w:val="22"/>
          <w:lang w:val="fr-CA"/>
        </w:rPr>
        <w:t>sa mise en œuvre</w:t>
      </w:r>
      <w:r w:rsidRPr="004F239A">
        <w:rPr>
          <w:snapToGrid w:val="0"/>
          <w:kern w:val="22"/>
          <w:lang w:val="fr-CA"/>
        </w:rPr>
        <w:t>, en collaboration avec des partenaires</w:t>
      </w:r>
      <w:r w:rsidR="004A3E7E" w:rsidRPr="004F239A">
        <w:rPr>
          <w:snapToGrid w:val="0"/>
          <w:kern w:val="22"/>
          <w:lang w:val="fr-CA"/>
        </w:rPr>
        <w:t>.</w:t>
      </w:r>
    </w:p>
    <w:p w14:paraId="0FF3EF01" w14:textId="28336BD2" w:rsidR="004A3E7E" w:rsidRPr="004F239A" w:rsidRDefault="00704FDD"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La décision XIII/23 charge également la Secrétaire exécutive, dans les limites des ressources disponibles, de commander</w:t>
      </w:r>
      <w:r w:rsidR="0023374A" w:rsidRPr="004F239A">
        <w:rPr>
          <w:snapToGrid w:val="0"/>
          <w:kern w:val="22"/>
          <w:lang w:val="fr-CA"/>
        </w:rPr>
        <w:t xml:space="preserve"> une évaluation indépendante sur l’impact, les résultats et l’efficacité du plan d’action à court terme (2017-2020), </w:t>
      </w:r>
      <w:r w:rsidR="002415BA">
        <w:rPr>
          <w:snapToGrid w:val="0"/>
          <w:kern w:val="22"/>
          <w:lang w:val="fr-CA"/>
        </w:rPr>
        <w:t>comprenant des</w:t>
      </w:r>
      <w:r w:rsidR="0023374A" w:rsidRPr="004F239A">
        <w:rPr>
          <w:snapToGrid w:val="0"/>
          <w:kern w:val="22"/>
          <w:lang w:val="fr-CA"/>
        </w:rPr>
        <w:t xml:space="preserve"> recommandations à des fins d’amélioration, qui sera transmise à l’Organe subsidiaire chargé de l</w:t>
      </w:r>
      <w:r w:rsidR="00F50701">
        <w:rPr>
          <w:snapToGrid w:val="0"/>
          <w:kern w:val="22"/>
          <w:lang w:val="fr-CA"/>
        </w:rPr>
        <w:t>’</w:t>
      </w:r>
      <w:r w:rsidR="0023374A" w:rsidRPr="004F239A">
        <w:rPr>
          <w:snapToGrid w:val="0"/>
          <w:kern w:val="22"/>
          <w:lang w:val="fr-CA"/>
        </w:rPr>
        <w:t>application pour examen à sa troisième réunion. Malheureusement les ressources financières nécess</w:t>
      </w:r>
      <w:r w:rsidR="002415BA">
        <w:rPr>
          <w:snapToGrid w:val="0"/>
          <w:kern w:val="22"/>
          <w:lang w:val="fr-CA"/>
        </w:rPr>
        <w:t>aires ne se sont pas concrétisé</w:t>
      </w:r>
      <w:r w:rsidR="0023374A" w:rsidRPr="004F239A">
        <w:rPr>
          <w:snapToGrid w:val="0"/>
          <w:kern w:val="22"/>
          <w:lang w:val="fr-CA"/>
        </w:rPr>
        <w:t>es afin d’entreprendre l’évaluation indépendante</w:t>
      </w:r>
      <w:r w:rsidR="004A3E7E" w:rsidRPr="004F239A">
        <w:rPr>
          <w:snapToGrid w:val="0"/>
          <w:kern w:val="22"/>
          <w:lang w:val="fr-CA"/>
        </w:rPr>
        <w:t>.</w:t>
      </w:r>
    </w:p>
    <w:bookmarkEnd w:id="4"/>
    <w:p w14:paraId="7BD0AE2E" w14:textId="0A84DFF3" w:rsidR="00553D7A" w:rsidRPr="004F239A" w:rsidRDefault="002415BA"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Pr>
          <w:kern w:val="22"/>
          <w:lang w:val="fr-CA"/>
        </w:rPr>
        <w:t>L</w:t>
      </w:r>
      <w:r w:rsidR="009E50B4" w:rsidRPr="004F239A">
        <w:rPr>
          <w:kern w:val="22"/>
          <w:lang w:val="fr-CA"/>
        </w:rPr>
        <w:t>e Secrétariat de la Convention, en collaboration avec des partenaires, a facilité la mise en œuvre de plusieurs activités de développement du plan d’action à court terme</w:t>
      </w:r>
      <w:r>
        <w:rPr>
          <w:kern w:val="22"/>
          <w:lang w:val="fr-CA"/>
        </w:rPr>
        <w:t xml:space="preserve"> d</w:t>
      </w:r>
      <w:r w:rsidRPr="004F239A">
        <w:rPr>
          <w:kern w:val="22"/>
          <w:lang w:val="fr-CA"/>
        </w:rPr>
        <w:t xml:space="preserve">e janvier 2017 à juin 2020, </w:t>
      </w:r>
      <w:r w:rsidR="009E50B4" w:rsidRPr="004F239A">
        <w:rPr>
          <w:kern w:val="22"/>
          <w:lang w:val="fr-CA"/>
        </w:rPr>
        <w:t>grâce en grande partie au soutien des gouvernements du Japon (par le biais du Fonds japonais pour la biodiversité), de la République de Corée et de l’Union européenne. D’autres</w:t>
      </w:r>
      <w:r w:rsidR="007875EA">
        <w:rPr>
          <w:kern w:val="22"/>
          <w:lang w:val="fr-CA"/>
        </w:rPr>
        <w:t xml:space="preserve"> P</w:t>
      </w:r>
      <w:r w:rsidR="009E50B4" w:rsidRPr="004F239A">
        <w:rPr>
          <w:kern w:val="22"/>
          <w:lang w:val="fr-CA"/>
        </w:rPr>
        <w:t>arties ont offert un soutien financier, à savoir l’Allemagne, la Belgique, le Canada, le Danemark, la Finlande, la France, l</w:t>
      </w:r>
      <w:r w:rsidR="000C4D18" w:rsidRPr="004F239A">
        <w:rPr>
          <w:kern w:val="22"/>
          <w:lang w:val="fr-CA"/>
        </w:rPr>
        <w:t>a Norvège, le Royaume Uni de Grande-Bretagne et d’Irlande du Nord, la Suède et la Suisse. Par exemple</w:t>
      </w:r>
      <w:r w:rsidR="00F50701">
        <w:rPr>
          <w:kern w:val="22"/>
          <w:lang w:val="fr-CA"/>
        </w:rPr>
        <w:t> </w:t>
      </w:r>
      <w:r w:rsidR="00FE660D" w:rsidRPr="004F239A">
        <w:rPr>
          <w:kern w:val="22"/>
          <w:szCs w:val="22"/>
          <w:lang w:val="fr-CA"/>
        </w:rPr>
        <w:t>:</w:t>
      </w:r>
    </w:p>
    <w:p w14:paraId="47777539" w14:textId="361C0BCF" w:rsidR="004A3E7E" w:rsidRPr="004F239A" w:rsidRDefault="000C4D18" w:rsidP="000C4D18">
      <w:pPr>
        <w:pStyle w:val="Para1"/>
        <w:numPr>
          <w:ilvl w:val="1"/>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Plus de 105 ateliers et tables rondes en personne ont été organisés sur différents sujets, au profit de plus de 2 800 participants</w:t>
      </w:r>
      <w:r w:rsidR="00F50701">
        <w:rPr>
          <w:kern w:val="22"/>
          <w:lang w:val="fr-CA"/>
        </w:rPr>
        <w:t> </w:t>
      </w:r>
      <w:r w:rsidR="00643D53" w:rsidRPr="004F239A">
        <w:rPr>
          <w:kern w:val="22"/>
          <w:lang w:val="fr-CA"/>
        </w:rPr>
        <w:t>;</w:t>
      </w:r>
    </w:p>
    <w:p w14:paraId="4CD8EEB0" w14:textId="6CFDC8E8" w:rsidR="004A3E7E" w:rsidRPr="004F239A" w:rsidRDefault="000C4D18" w:rsidP="00A00F36">
      <w:pPr>
        <w:pStyle w:val="Para1"/>
        <w:numPr>
          <w:ilvl w:val="1"/>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Près de 90 projets pilotes et de démonstration ont reçu le soutien du Secrétariat par le biais du Fonds japonais pour la biodiversité, du Projet de restauration des écosyst</w:t>
      </w:r>
      <w:r w:rsidR="00A00F36" w:rsidRPr="004F239A">
        <w:rPr>
          <w:kern w:val="22"/>
          <w:lang w:val="fr-CA"/>
        </w:rPr>
        <w:t>èmes forestiers</w:t>
      </w:r>
      <w:r w:rsidRPr="004F239A">
        <w:rPr>
          <w:kern w:val="22"/>
          <w:lang w:val="fr-CA"/>
        </w:rPr>
        <w:t xml:space="preserve">, </w:t>
      </w:r>
      <w:r w:rsidR="00A00F36" w:rsidRPr="004F239A">
        <w:rPr>
          <w:kern w:val="22"/>
          <w:lang w:val="fr-CA"/>
        </w:rPr>
        <w:t xml:space="preserve">de </w:t>
      </w:r>
      <w:r w:rsidRPr="004F239A">
        <w:rPr>
          <w:kern w:val="22"/>
          <w:lang w:val="fr-CA"/>
        </w:rPr>
        <w:t>l’I</w:t>
      </w:r>
      <w:r w:rsidR="00A00F36" w:rsidRPr="004F239A">
        <w:rPr>
          <w:kern w:val="22"/>
          <w:lang w:val="fr-CA"/>
        </w:rPr>
        <w:t>n</w:t>
      </w:r>
      <w:r w:rsidRPr="004F239A">
        <w:rPr>
          <w:kern w:val="22"/>
          <w:lang w:val="fr-CA"/>
        </w:rPr>
        <w:t xml:space="preserve">itiative Bio-Bridge, </w:t>
      </w:r>
      <w:r w:rsidR="00A00F36" w:rsidRPr="004F239A">
        <w:rPr>
          <w:kern w:val="22"/>
          <w:lang w:val="fr-CA"/>
        </w:rPr>
        <w:t xml:space="preserve">de </w:t>
      </w:r>
      <w:r w:rsidRPr="004F239A">
        <w:rPr>
          <w:kern w:val="22"/>
          <w:lang w:val="fr-CA"/>
        </w:rPr>
        <w:t>l’</w:t>
      </w:r>
      <w:r w:rsidR="00A00F36" w:rsidRPr="004F239A">
        <w:rPr>
          <w:kern w:val="22"/>
          <w:lang w:val="fr-CA"/>
        </w:rPr>
        <w:t>Initia</w:t>
      </w:r>
      <w:r w:rsidRPr="004F239A">
        <w:rPr>
          <w:kern w:val="22"/>
          <w:lang w:val="fr-CA"/>
        </w:rPr>
        <w:t xml:space="preserve">tive </w:t>
      </w:r>
      <w:r w:rsidR="00A00F36" w:rsidRPr="004F239A">
        <w:rPr>
          <w:kern w:val="22"/>
          <w:lang w:val="fr-CA"/>
        </w:rPr>
        <w:t>taxonomique mond</w:t>
      </w:r>
      <w:r w:rsidRPr="004F239A">
        <w:rPr>
          <w:kern w:val="22"/>
          <w:lang w:val="fr-CA"/>
        </w:rPr>
        <w:t xml:space="preserve">iale, </w:t>
      </w:r>
      <w:r w:rsidR="00A00F36" w:rsidRPr="004F239A">
        <w:rPr>
          <w:kern w:val="22"/>
          <w:lang w:val="fr-CA"/>
        </w:rPr>
        <w:t>du</w:t>
      </w:r>
      <w:r w:rsidRPr="004F239A">
        <w:rPr>
          <w:kern w:val="22"/>
          <w:lang w:val="fr-CA"/>
        </w:rPr>
        <w:t xml:space="preserve"> </w:t>
      </w:r>
      <w:r w:rsidR="00A00F36" w:rsidRPr="004F239A">
        <w:rPr>
          <w:kern w:val="22"/>
          <w:lang w:val="fr-CA"/>
        </w:rPr>
        <w:t>Dialogue paix</w:t>
      </w:r>
      <w:r w:rsidRPr="004F239A">
        <w:rPr>
          <w:kern w:val="22"/>
          <w:lang w:val="fr-CA"/>
        </w:rPr>
        <w:t xml:space="preserve"> et biodiversité et </w:t>
      </w:r>
      <w:r w:rsidR="00A00F36" w:rsidRPr="004F239A">
        <w:rPr>
          <w:kern w:val="22"/>
          <w:lang w:val="fr-CA"/>
        </w:rPr>
        <w:t xml:space="preserve">de </w:t>
      </w:r>
      <w:r w:rsidRPr="004F239A">
        <w:rPr>
          <w:kern w:val="22"/>
          <w:lang w:val="fr-CA"/>
        </w:rPr>
        <w:t xml:space="preserve">l’initiative de renforcement des capacités </w:t>
      </w:r>
      <w:r w:rsidR="00A00F36" w:rsidRPr="004F239A">
        <w:rPr>
          <w:kern w:val="22"/>
          <w:lang w:val="fr-CA"/>
        </w:rPr>
        <w:t>pour la</w:t>
      </w:r>
      <w:r w:rsidRPr="004F239A">
        <w:rPr>
          <w:kern w:val="22"/>
          <w:lang w:val="fr-CA"/>
        </w:rPr>
        <w:t xml:space="preserve"> prévention des risques biotechnologiques</w:t>
      </w:r>
      <w:r w:rsidR="00F50701">
        <w:rPr>
          <w:kern w:val="22"/>
          <w:lang w:val="fr-CA"/>
        </w:rPr>
        <w:t> </w:t>
      </w:r>
      <w:r w:rsidR="00643D53" w:rsidRPr="004F239A">
        <w:rPr>
          <w:kern w:val="22"/>
          <w:lang w:val="fr-CA"/>
        </w:rPr>
        <w:t>;</w:t>
      </w:r>
    </w:p>
    <w:p w14:paraId="3949ADC1" w14:textId="609678C7" w:rsidR="004A3E7E" w:rsidRPr="004F239A" w:rsidRDefault="00A00F36" w:rsidP="00AA5D70">
      <w:pPr>
        <w:pStyle w:val="Para1"/>
        <w:numPr>
          <w:ilvl w:val="1"/>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Quinze cours en ligne et 17 webinaires ont été présentés et ont mené à la formation de plus de 4 000 participants en différents domaines</w:t>
      </w:r>
      <w:r w:rsidR="00CA10AB" w:rsidRPr="004F239A">
        <w:rPr>
          <w:kern w:val="22"/>
          <w:lang w:val="fr-CA"/>
        </w:rPr>
        <w:t xml:space="preserve">, </w:t>
      </w:r>
      <w:r w:rsidR="002415BA">
        <w:rPr>
          <w:kern w:val="22"/>
          <w:lang w:val="fr-CA"/>
        </w:rPr>
        <w:t>comprenant</w:t>
      </w:r>
      <w:r w:rsidR="00CA10AB" w:rsidRPr="004F239A">
        <w:rPr>
          <w:kern w:val="22"/>
          <w:lang w:val="fr-CA"/>
        </w:rPr>
        <w:t xml:space="preserve"> le financement de la biodiversité, le tourisme durable, la vie sauvage et son utilisation durable pour la conservation, les aires protégées, les connaissances </w:t>
      </w:r>
      <w:proofErr w:type="gramStart"/>
      <w:r w:rsidR="00CA10AB" w:rsidRPr="004F239A">
        <w:rPr>
          <w:kern w:val="22"/>
          <w:lang w:val="fr-CA"/>
        </w:rPr>
        <w:t>traditionnelles</w:t>
      </w:r>
      <w:proofErr w:type="gramEnd"/>
      <w:r w:rsidR="00CA10AB" w:rsidRPr="004F239A">
        <w:rPr>
          <w:kern w:val="22"/>
          <w:lang w:val="fr-CA"/>
        </w:rPr>
        <w:t>, les technologies de l’ADN, la conservation des semences, l’établissement de rapports en ligne pour le sixième rapport national, la détection et l’identification des organismes vivants modifiés (OVM), l’évaluation des risques des OVM, la sensibilisation du public, l’éducation e</w:t>
      </w:r>
      <w:r w:rsidR="002415BA">
        <w:rPr>
          <w:kern w:val="22"/>
          <w:lang w:val="fr-CA"/>
        </w:rPr>
        <w:t>t</w:t>
      </w:r>
      <w:r w:rsidR="00CA10AB" w:rsidRPr="004F239A">
        <w:rPr>
          <w:kern w:val="22"/>
          <w:lang w:val="fr-CA"/>
        </w:rPr>
        <w:t xml:space="preserve"> la participation, l’application du Protocole de Nagoya et le centre d’échanges sur l’accès et le partage des avantages</w:t>
      </w:r>
      <w:r w:rsidR="004A3E7E" w:rsidRPr="004F239A">
        <w:rPr>
          <w:kern w:val="22"/>
          <w:lang w:val="fr-CA"/>
        </w:rPr>
        <w:t>.</w:t>
      </w:r>
    </w:p>
    <w:p w14:paraId="5A9B9A75" w14:textId="5AC1965D" w:rsidR="004A3E7E" w:rsidRPr="004F239A" w:rsidRDefault="00801293"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 xml:space="preserve">Un rapport final préliminaire des principaux résultats et conclusions du plan d’action à court terme est </w:t>
      </w:r>
      <w:r w:rsidR="00046D04">
        <w:rPr>
          <w:kern w:val="22"/>
          <w:lang w:val="fr-CA"/>
        </w:rPr>
        <w:t>proposé</w:t>
      </w:r>
      <w:r w:rsidRPr="004F239A">
        <w:rPr>
          <w:kern w:val="22"/>
          <w:lang w:val="fr-CA"/>
        </w:rPr>
        <w:t xml:space="preserve"> dans le document CBD/SBI/3/INF/14. Ce document identifie aussi les principaux partenaires de </w:t>
      </w:r>
      <w:r w:rsidRPr="004F239A">
        <w:rPr>
          <w:kern w:val="22"/>
          <w:lang w:val="fr-CA"/>
        </w:rPr>
        <w:lastRenderedPageBreak/>
        <w:t>l’application et les sources de financement des différentes activités. De plus amples détails de ces activités sont offerts dans les éditions antérieures d</w:t>
      </w:r>
      <w:r w:rsidR="00046D04">
        <w:rPr>
          <w:kern w:val="22"/>
          <w:lang w:val="fr-CA"/>
        </w:rPr>
        <w:t>u</w:t>
      </w:r>
      <w:r w:rsidRPr="004F239A">
        <w:rPr>
          <w:kern w:val="22"/>
          <w:lang w:val="fr-CA"/>
        </w:rPr>
        <w:t xml:space="preserve"> bu</w:t>
      </w:r>
      <w:r w:rsidR="00D91435" w:rsidRPr="004F239A">
        <w:rPr>
          <w:kern w:val="22"/>
          <w:lang w:val="fr-CA"/>
        </w:rPr>
        <w:t>lletin électronique trimestriel</w:t>
      </w:r>
      <w:r w:rsidRPr="004F239A">
        <w:rPr>
          <w:kern w:val="22"/>
          <w:lang w:val="fr-CA"/>
        </w:rPr>
        <w:t xml:space="preserve"> intitulé </w:t>
      </w:r>
      <w:proofErr w:type="spellStart"/>
      <w:r w:rsidR="00D91435" w:rsidRPr="004F239A">
        <w:rPr>
          <w:i/>
          <w:kern w:val="22"/>
          <w:lang w:val="fr-CA"/>
        </w:rPr>
        <w:t>BioCap</w:t>
      </w:r>
      <w:proofErr w:type="spellEnd"/>
      <w:r w:rsidR="00D91435" w:rsidRPr="004F239A">
        <w:rPr>
          <w:i/>
          <w:kern w:val="22"/>
          <w:lang w:val="fr-CA"/>
        </w:rPr>
        <w:t xml:space="preserve"> : </w:t>
      </w:r>
      <w:proofErr w:type="spellStart"/>
      <w:r w:rsidR="00D91435" w:rsidRPr="004F239A">
        <w:rPr>
          <w:i/>
          <w:kern w:val="22"/>
          <w:lang w:val="fr-CA"/>
        </w:rPr>
        <w:t>Biodiversity</w:t>
      </w:r>
      <w:proofErr w:type="spellEnd"/>
      <w:r w:rsidR="00D91435" w:rsidRPr="004F239A">
        <w:rPr>
          <w:i/>
          <w:kern w:val="22"/>
          <w:lang w:val="fr-CA"/>
        </w:rPr>
        <w:t xml:space="preserve"> </w:t>
      </w:r>
      <w:proofErr w:type="spellStart"/>
      <w:r w:rsidR="00D91435" w:rsidRPr="004F239A">
        <w:rPr>
          <w:i/>
          <w:kern w:val="22"/>
          <w:lang w:val="fr-CA"/>
        </w:rPr>
        <w:t>Capacity</w:t>
      </w:r>
      <w:proofErr w:type="spellEnd"/>
      <w:r w:rsidR="00D91435" w:rsidRPr="004F239A">
        <w:rPr>
          <w:i/>
          <w:kern w:val="22"/>
          <w:lang w:val="fr-CA"/>
        </w:rPr>
        <w:t xml:space="preserve"> </w:t>
      </w:r>
      <w:proofErr w:type="spellStart"/>
      <w:r w:rsidR="00D91435" w:rsidRPr="004F239A">
        <w:rPr>
          <w:i/>
          <w:kern w:val="22"/>
          <w:lang w:val="fr-CA"/>
        </w:rPr>
        <w:t>Development</w:t>
      </w:r>
      <w:proofErr w:type="spellEnd"/>
      <w:r w:rsidR="00D91435" w:rsidRPr="004F239A">
        <w:rPr>
          <w:i/>
          <w:kern w:val="22"/>
          <w:lang w:val="fr-CA"/>
        </w:rPr>
        <w:t xml:space="preserve"> Update</w:t>
      </w:r>
      <w:r w:rsidR="004A3E7E" w:rsidRPr="004F239A">
        <w:rPr>
          <w:kern w:val="22"/>
          <w:lang w:val="fr-CA"/>
        </w:rPr>
        <w:t>.</w:t>
      </w:r>
      <w:r w:rsidR="004A3E7E" w:rsidRPr="004F239A">
        <w:rPr>
          <w:rStyle w:val="FootnoteReference"/>
          <w:kern w:val="22"/>
          <w:lang w:val="fr-CA"/>
        </w:rPr>
        <w:footnoteReference w:id="6"/>
      </w:r>
    </w:p>
    <w:p w14:paraId="1E815013" w14:textId="279A2667" w:rsidR="004A3E7E" w:rsidRPr="004F239A" w:rsidRDefault="00D91435"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 xml:space="preserve">Le Secrétariat a adopté une démarche systématique </w:t>
      </w:r>
      <w:r w:rsidR="00046D04">
        <w:rPr>
          <w:kern w:val="22"/>
          <w:lang w:val="fr-CA"/>
        </w:rPr>
        <w:t>pour</w:t>
      </w:r>
      <w:r w:rsidRPr="004F239A">
        <w:rPr>
          <w:kern w:val="22"/>
          <w:lang w:val="fr-CA"/>
        </w:rPr>
        <w:t xml:space="preserve"> la participation des partenaires à la promotion de la mise en œuvre intégrée et coordonnée du renforcement des capacités. Par exemple, il a continué à convoquer un groupe de coordonnateur</w:t>
      </w:r>
      <w:r w:rsidR="00046D04">
        <w:rPr>
          <w:kern w:val="22"/>
          <w:lang w:val="fr-CA"/>
        </w:rPr>
        <w:t>s</w:t>
      </w:r>
      <w:r w:rsidRPr="004F239A">
        <w:rPr>
          <w:kern w:val="22"/>
          <w:lang w:val="fr-CA"/>
        </w:rPr>
        <w:t xml:space="preserve"> du renforcement des capacités des secrétariats des conventions liées à la diversité biologique et des organisations internationales compétentes afin d’avancer </w:t>
      </w:r>
      <w:r w:rsidR="00046D04">
        <w:rPr>
          <w:kern w:val="22"/>
          <w:lang w:val="fr-CA"/>
        </w:rPr>
        <w:t>l’application des décisions XIII/23 et</w:t>
      </w:r>
      <w:r w:rsidRPr="004F239A">
        <w:rPr>
          <w:kern w:val="22"/>
          <w:lang w:val="fr-CA"/>
        </w:rPr>
        <w:t xml:space="preserve"> 14/4, </w:t>
      </w:r>
      <w:r w:rsidR="00046D04">
        <w:rPr>
          <w:kern w:val="22"/>
          <w:lang w:val="fr-CA"/>
        </w:rPr>
        <w:t>et des</w:t>
      </w:r>
      <w:r w:rsidRPr="004F239A">
        <w:rPr>
          <w:kern w:val="22"/>
          <w:lang w:val="fr-CA"/>
        </w:rPr>
        <w:t xml:space="preserve"> éléments pertinents de la décision</w:t>
      </w:r>
      <w:r w:rsidR="004A3E7E" w:rsidRPr="004F239A">
        <w:rPr>
          <w:kern w:val="22"/>
          <w:lang w:val="fr-CA"/>
        </w:rPr>
        <w:t xml:space="preserve"> </w:t>
      </w:r>
      <w:hyperlink r:id="rId17" w:history="1">
        <w:r w:rsidR="004A3E7E" w:rsidRPr="004F239A">
          <w:rPr>
            <w:rStyle w:val="Hyperlink"/>
            <w:kern w:val="22"/>
            <w:sz w:val="22"/>
            <w:lang w:val="fr-CA"/>
          </w:rPr>
          <w:t>XIII/24</w:t>
        </w:r>
      </w:hyperlink>
      <w:r w:rsidR="004A3E7E" w:rsidRPr="004F239A">
        <w:rPr>
          <w:kern w:val="22"/>
          <w:lang w:val="fr-CA"/>
        </w:rPr>
        <w:t xml:space="preserve">. </w:t>
      </w:r>
      <w:r w:rsidR="001F7087" w:rsidRPr="004F239A">
        <w:rPr>
          <w:kern w:val="22"/>
          <w:lang w:val="fr-CA"/>
        </w:rPr>
        <w:t>Le groupe a notamment recensé les domaines prioritaires suivants aux fins de collaboration : renforcement des capacités des correspondants nationaux pour la cueillette et la gestion de données, conception du projet sur la biodiversité et mobilisation des ressources, planific</w:t>
      </w:r>
      <w:r w:rsidR="00046D04">
        <w:rPr>
          <w:kern w:val="22"/>
          <w:lang w:val="fr-CA"/>
        </w:rPr>
        <w:t>ation spatiale et intégration des</w:t>
      </w:r>
      <w:r w:rsidR="001F7087" w:rsidRPr="004F239A">
        <w:rPr>
          <w:kern w:val="22"/>
          <w:lang w:val="fr-CA"/>
        </w:rPr>
        <w:t xml:space="preserve"> genre</w:t>
      </w:r>
      <w:r w:rsidR="00046D04">
        <w:rPr>
          <w:kern w:val="22"/>
          <w:lang w:val="fr-CA"/>
        </w:rPr>
        <w:t>s</w:t>
      </w:r>
      <w:r w:rsidR="004A3E7E" w:rsidRPr="004F239A">
        <w:rPr>
          <w:kern w:val="22"/>
          <w:lang w:val="fr-CA"/>
        </w:rPr>
        <w:t>.</w:t>
      </w:r>
    </w:p>
    <w:p w14:paraId="61E9AD03" w14:textId="37FA9F8F" w:rsidR="004A3E7E" w:rsidRPr="004F239A" w:rsidRDefault="00D819C9"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 xml:space="preserve">Des progrès ont également été réalisés dans la diversification des modalités et des méthodes d’offrir le soutien au renforcement des capacités. </w:t>
      </w:r>
      <w:r w:rsidR="00C95B16">
        <w:rPr>
          <w:kern w:val="22"/>
          <w:lang w:val="fr-CA"/>
        </w:rPr>
        <w:t>En plus des</w:t>
      </w:r>
      <w:r w:rsidRPr="004F239A">
        <w:rPr>
          <w:kern w:val="22"/>
          <w:lang w:val="fr-CA"/>
        </w:rPr>
        <w:t xml:space="preserve"> ateliers en personne, le Secrétariat et ses partenaires ont étendu </w:t>
      </w:r>
      <w:r w:rsidR="00455DCF" w:rsidRPr="004F239A">
        <w:rPr>
          <w:kern w:val="22"/>
          <w:lang w:val="fr-CA"/>
        </w:rPr>
        <w:t>l’utilisation</w:t>
      </w:r>
      <w:r w:rsidRPr="004F239A">
        <w:rPr>
          <w:kern w:val="22"/>
          <w:lang w:val="fr-CA"/>
        </w:rPr>
        <w:t xml:space="preserve"> de l’apprentissage en ligne, </w:t>
      </w:r>
      <w:r w:rsidR="00C95B16">
        <w:rPr>
          <w:kern w:val="22"/>
          <w:lang w:val="fr-CA"/>
        </w:rPr>
        <w:t>le</w:t>
      </w:r>
      <w:r w:rsidRPr="004F239A">
        <w:rPr>
          <w:kern w:val="22"/>
          <w:lang w:val="fr-CA"/>
        </w:rPr>
        <w:t xml:space="preserve"> soutien au service d’a</w:t>
      </w:r>
      <w:r w:rsidR="00455DCF" w:rsidRPr="004F239A">
        <w:rPr>
          <w:kern w:val="22"/>
          <w:lang w:val="fr-CA"/>
        </w:rPr>
        <w:t>ss</w:t>
      </w:r>
      <w:r w:rsidRPr="004F239A">
        <w:rPr>
          <w:kern w:val="22"/>
          <w:lang w:val="fr-CA"/>
        </w:rPr>
        <w:t xml:space="preserve">istance informatique, les projets de petite envergure, les dialogues régionaux et les missions d’apprentissage, les activités de formation des formateurs, </w:t>
      </w:r>
      <w:r w:rsidR="00455DCF" w:rsidRPr="004F239A">
        <w:rPr>
          <w:kern w:val="22"/>
          <w:lang w:val="fr-CA"/>
        </w:rPr>
        <w:t>l’offre</w:t>
      </w:r>
      <w:r w:rsidRPr="004F239A">
        <w:rPr>
          <w:kern w:val="22"/>
          <w:lang w:val="fr-CA"/>
        </w:rPr>
        <w:t xml:space="preserve"> de matériel d’apprentissage et d’orientation et le développement d’outils de soutien (tels que l’outil </w:t>
      </w:r>
      <w:proofErr w:type="spellStart"/>
      <w:r w:rsidRPr="004F239A">
        <w:rPr>
          <w:kern w:val="22"/>
          <w:lang w:val="fr-CA"/>
        </w:rPr>
        <w:t>Biola</w:t>
      </w:r>
      <w:r w:rsidR="00455DCF" w:rsidRPr="004F239A">
        <w:rPr>
          <w:kern w:val="22"/>
          <w:lang w:val="fr-CA"/>
        </w:rPr>
        <w:t>n</w:t>
      </w:r>
      <w:r w:rsidRPr="004F239A">
        <w:rPr>
          <w:kern w:val="22"/>
          <w:lang w:val="fr-CA"/>
        </w:rPr>
        <w:t>d</w:t>
      </w:r>
      <w:proofErr w:type="spellEnd"/>
      <w:r w:rsidRPr="004F239A">
        <w:rPr>
          <w:kern w:val="22"/>
          <w:lang w:val="fr-CA"/>
        </w:rPr>
        <w:t xml:space="preserve"> pour les sites Web des centres d’échange des pays</w:t>
      </w:r>
      <w:r w:rsidR="004A3E7E" w:rsidRPr="004F239A">
        <w:rPr>
          <w:kern w:val="22"/>
          <w:lang w:val="fr-CA"/>
        </w:rPr>
        <w:t>).</w:t>
      </w:r>
      <w:r w:rsidR="004A3E7E" w:rsidRPr="004F239A">
        <w:rPr>
          <w:rStyle w:val="FootnoteReference"/>
          <w:kern w:val="22"/>
          <w:lang w:val="fr-CA"/>
        </w:rPr>
        <w:footnoteReference w:id="7"/>
      </w:r>
      <w:r w:rsidR="004A3E7E" w:rsidRPr="004F239A">
        <w:rPr>
          <w:kern w:val="22"/>
          <w:lang w:val="fr-CA"/>
        </w:rPr>
        <w:t xml:space="preserve"> </w:t>
      </w:r>
      <w:r w:rsidR="00455DCF" w:rsidRPr="004F239A">
        <w:rPr>
          <w:kern w:val="22"/>
          <w:lang w:val="fr-CA"/>
        </w:rPr>
        <w:t>La méthode «</w:t>
      </w:r>
      <w:r w:rsidR="00F50701">
        <w:rPr>
          <w:kern w:val="22"/>
          <w:lang w:val="fr-CA"/>
        </w:rPr>
        <w:t> </w:t>
      </w:r>
      <w:r w:rsidR="00455DCF" w:rsidRPr="004F239A">
        <w:rPr>
          <w:kern w:val="22"/>
          <w:lang w:val="fr-CA"/>
        </w:rPr>
        <w:t>d’apprentissage mixte », comprenant deux de ces modalités ou plus, a été adopt</w:t>
      </w:r>
      <w:r w:rsidR="00C95B16">
        <w:rPr>
          <w:kern w:val="22"/>
          <w:lang w:val="fr-CA"/>
        </w:rPr>
        <w:t>é</w:t>
      </w:r>
      <w:r w:rsidR="00455DCF" w:rsidRPr="004F239A">
        <w:rPr>
          <w:kern w:val="22"/>
          <w:lang w:val="fr-CA"/>
        </w:rPr>
        <w:t xml:space="preserve">e avec succès </w:t>
      </w:r>
      <w:r w:rsidR="00595F2F" w:rsidRPr="004F239A">
        <w:rPr>
          <w:kern w:val="22"/>
          <w:lang w:val="fr-CA"/>
        </w:rPr>
        <w:t xml:space="preserve">dans certaines </w:t>
      </w:r>
      <w:r w:rsidR="00455DCF" w:rsidRPr="004F239A">
        <w:rPr>
          <w:kern w:val="22"/>
          <w:lang w:val="fr-CA"/>
        </w:rPr>
        <w:t xml:space="preserve">activités de renforcement des capacités. L’apprentissage en ligne (comprenant </w:t>
      </w:r>
      <w:r w:rsidR="00595F2F" w:rsidRPr="004F239A">
        <w:rPr>
          <w:kern w:val="22"/>
          <w:lang w:val="fr-CA"/>
        </w:rPr>
        <w:t>des</w:t>
      </w:r>
      <w:r w:rsidR="00C95B16">
        <w:rPr>
          <w:kern w:val="22"/>
          <w:lang w:val="fr-CA"/>
        </w:rPr>
        <w:t xml:space="preserve"> modules d’apprentissage en lign</w:t>
      </w:r>
      <w:r w:rsidR="00595F2F" w:rsidRPr="004F239A">
        <w:rPr>
          <w:kern w:val="22"/>
          <w:lang w:val="fr-CA"/>
        </w:rPr>
        <w:t>e autodirigés, des cours en ligne de masse et des webinaires) a connu une croissance progressive en tant que modalité ayant la possibilité d’ouvrir l’accès au contenu d’apprentissage élaboré par le Secrétariat et des organisations partenaires</w:t>
      </w:r>
      <w:r w:rsidR="00455DCF" w:rsidRPr="004F239A">
        <w:rPr>
          <w:kern w:val="22"/>
          <w:lang w:val="fr-CA"/>
        </w:rPr>
        <w:t xml:space="preserve"> </w:t>
      </w:r>
      <w:r w:rsidR="00595F2F" w:rsidRPr="004F239A">
        <w:rPr>
          <w:kern w:val="22"/>
          <w:lang w:val="fr-CA"/>
        </w:rPr>
        <w:t>à un plus vaste éventail d’utilisateurs dans différentes parties du monde. Certains pays en développement ont toutefois rapporté des difficultés à obtenir l’accès à ces modules et cours offerts sur la plateforme d’apprentissage en ligne de la biodiversité, surtout à cause d’une connectivité restreinte à l’Internet</w:t>
      </w:r>
      <w:r w:rsidR="004A3E7E" w:rsidRPr="004F239A">
        <w:rPr>
          <w:kern w:val="22"/>
          <w:lang w:val="fr-CA"/>
        </w:rPr>
        <w:t>.</w:t>
      </w:r>
    </w:p>
    <w:p w14:paraId="692FDDD4" w14:textId="2FE2F0C7" w:rsidR="000A22CD" w:rsidRPr="004F239A" w:rsidRDefault="002A23C5"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La méthode consistant à former les formateurs a été appliquée par divers programmes dont le programme de formation de l’Initiative taxonomique mondiale, l’Initiative pour des océans durables et le programme de formation des peuples autochtones et des communautés locales. Cette méthode s’est avéré</w:t>
      </w:r>
      <w:r w:rsidR="00F50701">
        <w:rPr>
          <w:kern w:val="22"/>
          <w:lang w:val="fr-CA"/>
        </w:rPr>
        <w:t>e</w:t>
      </w:r>
      <w:r w:rsidR="00163841" w:rsidRPr="004F239A">
        <w:rPr>
          <w:kern w:val="22"/>
          <w:lang w:val="fr-CA"/>
        </w:rPr>
        <w:t xml:space="preserve"> un modè</w:t>
      </w:r>
      <w:r w:rsidRPr="004F239A">
        <w:rPr>
          <w:kern w:val="22"/>
          <w:lang w:val="fr-CA"/>
        </w:rPr>
        <w:t xml:space="preserve">le utile pour </w:t>
      </w:r>
      <w:r w:rsidR="00163841" w:rsidRPr="004F239A">
        <w:rPr>
          <w:kern w:val="22"/>
          <w:lang w:val="fr-CA"/>
        </w:rPr>
        <w:t>renforcer la prestation de la formation, en formant des groupes de formateurs qui ont ensuite formé d’autres personnes dans les différentes régions</w:t>
      </w:r>
      <w:r w:rsidR="004A3E7E" w:rsidRPr="004F239A">
        <w:rPr>
          <w:kern w:val="22"/>
          <w:lang w:val="fr-CA"/>
        </w:rPr>
        <w:t>.</w:t>
      </w:r>
      <w:r w:rsidR="00D15035" w:rsidRPr="004F239A">
        <w:rPr>
          <w:rStyle w:val="FootnoteReference"/>
          <w:kern w:val="22"/>
          <w:lang w:val="fr-CA"/>
        </w:rPr>
        <w:footnoteReference w:id="8"/>
      </w:r>
    </w:p>
    <w:p w14:paraId="6122C5C2" w14:textId="1F59E046" w:rsidR="004A3E7E" w:rsidRPr="004F239A" w:rsidRDefault="00163841" w:rsidP="00AA5D70">
      <w:pPr>
        <w:pStyle w:val="Para1"/>
        <w:numPr>
          <w:ilvl w:val="0"/>
          <w:numId w:val="49"/>
        </w:numPr>
        <w:suppressLineNumbers/>
        <w:suppressAutoHyphens/>
        <w:kinsoku w:val="0"/>
        <w:overflowPunct w:val="0"/>
        <w:autoSpaceDE w:val="0"/>
        <w:autoSpaceDN w:val="0"/>
        <w:adjustRightInd w:val="0"/>
        <w:snapToGrid w:val="0"/>
        <w:rPr>
          <w:rFonts w:eastAsiaTheme="minorEastAsia"/>
          <w:kern w:val="22"/>
          <w:lang w:val="fr-CA"/>
        </w:rPr>
      </w:pPr>
      <w:r w:rsidRPr="004F239A">
        <w:rPr>
          <w:kern w:val="22"/>
          <w:lang w:val="fr-CA"/>
        </w:rPr>
        <w:t xml:space="preserve">L’utilisation de projets pilotes et de démonstration ciblés comme méthode de renforcer les capacités a aussi </w:t>
      </w:r>
      <w:r w:rsidR="0091007A" w:rsidRPr="004F239A">
        <w:rPr>
          <w:kern w:val="22"/>
          <w:lang w:val="fr-CA"/>
        </w:rPr>
        <w:t>augmenté</w:t>
      </w:r>
      <w:r w:rsidRPr="004F239A">
        <w:rPr>
          <w:kern w:val="22"/>
          <w:lang w:val="fr-CA"/>
        </w:rPr>
        <w:t>. Le Secrétariat a appu</w:t>
      </w:r>
      <w:r w:rsidR="0091007A" w:rsidRPr="004F239A">
        <w:rPr>
          <w:kern w:val="22"/>
          <w:lang w:val="fr-CA"/>
        </w:rPr>
        <w:t>yé au moins 50 projets pilotes d</w:t>
      </w:r>
      <w:r w:rsidRPr="004F239A">
        <w:rPr>
          <w:kern w:val="22"/>
          <w:lang w:val="fr-CA"/>
        </w:rPr>
        <w:t>ont ont p</w:t>
      </w:r>
      <w:r w:rsidR="0091007A" w:rsidRPr="004F239A">
        <w:rPr>
          <w:kern w:val="22"/>
          <w:lang w:val="fr-CA"/>
        </w:rPr>
        <w:t>rofité au</w:t>
      </w:r>
      <w:r w:rsidRPr="004F239A">
        <w:rPr>
          <w:kern w:val="22"/>
          <w:lang w:val="fr-CA"/>
        </w:rPr>
        <w:t xml:space="preserve"> moins 40 pays, comme indiqué dans le document CBD/SBI/3/INF/14</w:t>
      </w:r>
      <w:r w:rsidR="00D95590">
        <w:rPr>
          <w:kern w:val="22"/>
          <w:lang w:val="fr-CA"/>
        </w:rPr>
        <w:t>.</w:t>
      </w:r>
      <w:r w:rsidR="004A3E7E" w:rsidRPr="004F239A">
        <w:rPr>
          <w:rStyle w:val="FootnoteReference"/>
          <w:kern w:val="22"/>
          <w:lang w:val="fr-CA"/>
        </w:rPr>
        <w:footnoteReference w:id="9"/>
      </w:r>
      <w:r w:rsidR="004A3E7E" w:rsidRPr="004F239A">
        <w:rPr>
          <w:kern w:val="22"/>
          <w:lang w:val="fr-CA"/>
        </w:rPr>
        <w:t xml:space="preserve"> </w:t>
      </w:r>
      <w:r w:rsidR="0091007A" w:rsidRPr="004F239A">
        <w:rPr>
          <w:kern w:val="22"/>
          <w:lang w:val="fr-CA"/>
        </w:rPr>
        <w:t xml:space="preserve">Les projets pilotes ont porté sur différents sujets, dont la restauration des écosystèmes, les données et les informations spatiales, les données socioéconomiques, l’intégration de la diversité biologique, </w:t>
      </w:r>
      <w:r w:rsidR="00D95590">
        <w:rPr>
          <w:kern w:val="22"/>
          <w:lang w:val="fr-CA"/>
        </w:rPr>
        <w:t xml:space="preserve">l’intégration de la prévention des risques biotechnologiques, </w:t>
      </w:r>
      <w:r w:rsidR="0091007A" w:rsidRPr="004F239A">
        <w:rPr>
          <w:kern w:val="22"/>
          <w:lang w:val="fr-CA"/>
        </w:rPr>
        <w:t>la comptabilité des écosystèmes, et le codage à barres de l’ADN</w:t>
      </w:r>
      <w:r w:rsidR="004A3E7E" w:rsidRPr="004F239A">
        <w:rPr>
          <w:kern w:val="22"/>
          <w:lang w:val="fr-CA"/>
        </w:rPr>
        <w:t>.</w:t>
      </w:r>
      <w:r w:rsidR="0091007A" w:rsidRPr="004F239A">
        <w:rPr>
          <w:kern w:val="22"/>
          <w:lang w:val="fr-CA"/>
        </w:rPr>
        <w:t xml:space="preserve"> Ces projets ont contribué à l’apprentissage par la pratique, renforcé les capacités institutionnelles et amélioré la collaboration et le réseautage aux niveaux national et régional.</w:t>
      </w:r>
    </w:p>
    <w:p w14:paraId="0E099E83" w14:textId="2434F57E" w:rsidR="004A3E7E" w:rsidRPr="004F239A" w:rsidRDefault="006F698C" w:rsidP="00AA5D70">
      <w:pPr>
        <w:pStyle w:val="Para1"/>
        <w:numPr>
          <w:ilvl w:val="0"/>
          <w:numId w:val="49"/>
        </w:numPr>
        <w:suppressLineNumbers/>
        <w:suppressAutoHyphens/>
        <w:kinsoku w:val="0"/>
        <w:overflowPunct w:val="0"/>
        <w:autoSpaceDE w:val="0"/>
        <w:autoSpaceDN w:val="0"/>
        <w:adjustRightInd w:val="0"/>
        <w:snapToGrid w:val="0"/>
        <w:rPr>
          <w:rFonts w:eastAsiaTheme="minorEastAsia"/>
          <w:kern w:val="22"/>
          <w:lang w:val="fr-CA"/>
        </w:rPr>
      </w:pPr>
      <w:r w:rsidRPr="004F239A">
        <w:rPr>
          <w:kern w:val="22"/>
          <w:lang w:val="fr-CA"/>
        </w:rPr>
        <w:lastRenderedPageBreak/>
        <w:t xml:space="preserve">Le Secrétariat a étendu l’offre du soutien du service d’assistance informatique </w:t>
      </w:r>
      <w:r w:rsidR="00120A1D" w:rsidRPr="004F239A">
        <w:rPr>
          <w:kern w:val="22"/>
          <w:lang w:val="fr-CA"/>
        </w:rPr>
        <w:t>au centre</w:t>
      </w:r>
      <w:r w:rsidRPr="004F239A">
        <w:rPr>
          <w:kern w:val="22"/>
          <w:lang w:val="fr-CA"/>
        </w:rPr>
        <w:t xml:space="preserve"> d’échange sur l’accès et le partage des avantages</w:t>
      </w:r>
      <w:r w:rsidR="00120A1D" w:rsidRPr="004F239A">
        <w:rPr>
          <w:kern w:val="22"/>
          <w:lang w:val="fr-CA"/>
        </w:rPr>
        <w:t>,</w:t>
      </w:r>
      <w:r w:rsidR="003F5E24">
        <w:rPr>
          <w:kern w:val="22"/>
          <w:lang w:val="fr-CA"/>
        </w:rPr>
        <w:t xml:space="preserve"> à</w:t>
      </w:r>
      <w:r w:rsidR="00120A1D" w:rsidRPr="004F239A">
        <w:rPr>
          <w:kern w:val="22"/>
          <w:lang w:val="fr-CA"/>
        </w:rPr>
        <w:t xml:space="preserve"> l’établissement des rapports nationaux, </w:t>
      </w:r>
      <w:r w:rsidR="003F5E24">
        <w:rPr>
          <w:kern w:val="22"/>
          <w:lang w:val="fr-CA"/>
        </w:rPr>
        <w:t xml:space="preserve">à </w:t>
      </w:r>
      <w:r w:rsidR="00120A1D" w:rsidRPr="004F239A">
        <w:rPr>
          <w:kern w:val="22"/>
          <w:lang w:val="fr-CA"/>
        </w:rPr>
        <w:t xml:space="preserve">l’initiative Bio-Bridge et </w:t>
      </w:r>
      <w:r w:rsidR="003F5E24">
        <w:rPr>
          <w:kern w:val="22"/>
          <w:lang w:val="fr-CA"/>
        </w:rPr>
        <w:t>aux</w:t>
      </w:r>
      <w:r w:rsidR="006C24DF">
        <w:rPr>
          <w:kern w:val="22"/>
          <w:lang w:val="fr-CA"/>
        </w:rPr>
        <w:t xml:space="preserve"> mécanismes de centre</w:t>
      </w:r>
      <w:r w:rsidR="00120A1D" w:rsidRPr="004F239A">
        <w:rPr>
          <w:kern w:val="22"/>
          <w:lang w:val="fr-CA"/>
        </w:rPr>
        <w:t xml:space="preserve"> d’échanges nationaux. Les Parties et les parties prenantes concernées ont reçu des conseils et des réponses rapides à leurs questions précises et demandes d’information. Les commentaires reçus révèlent que plusieurs parties prenantes ont trouvé ce service fort utile</w:t>
      </w:r>
      <w:r w:rsidR="004A3E7E" w:rsidRPr="004F239A">
        <w:rPr>
          <w:kern w:val="22"/>
          <w:lang w:val="fr-CA"/>
        </w:rPr>
        <w:t>.</w:t>
      </w:r>
    </w:p>
    <w:p w14:paraId="2212C4CF" w14:textId="1EBAAC95" w:rsidR="004A3E7E" w:rsidRPr="004F239A" w:rsidRDefault="00120A1D"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 xml:space="preserve">De plus, le Secrétariat, en collaboration avec des partenaires, </w:t>
      </w:r>
      <w:r w:rsidR="006C24DF">
        <w:rPr>
          <w:kern w:val="22"/>
          <w:lang w:val="fr-CA"/>
        </w:rPr>
        <w:t>a</w:t>
      </w:r>
      <w:r w:rsidRPr="004F239A">
        <w:rPr>
          <w:kern w:val="22"/>
          <w:lang w:val="fr-CA"/>
        </w:rPr>
        <w:t xml:space="preserve"> é</w:t>
      </w:r>
      <w:r w:rsidR="005026E7" w:rsidRPr="004F239A">
        <w:rPr>
          <w:kern w:val="22"/>
          <w:lang w:val="fr-CA"/>
        </w:rPr>
        <w:t>tendu les efforts pour faciliter la mise sur pied ou le renforcement de réseaux de soutien régionaux et mondiaux, par exemple les réseaux de soutien régional à la mise en œuvre d’aires protégées</w:t>
      </w:r>
      <w:r w:rsidR="004A3E7E" w:rsidRPr="004F239A">
        <w:rPr>
          <w:kern w:val="22"/>
          <w:lang w:val="fr-CA"/>
        </w:rPr>
        <w:t>,</w:t>
      </w:r>
      <w:r w:rsidR="004A3E7E" w:rsidRPr="004F239A">
        <w:rPr>
          <w:rStyle w:val="FootnoteReference"/>
          <w:kern w:val="22"/>
          <w:lang w:val="fr-CA"/>
        </w:rPr>
        <w:footnoteReference w:id="10"/>
      </w:r>
      <w:r w:rsidR="004A3E7E" w:rsidRPr="004F239A">
        <w:rPr>
          <w:kern w:val="22"/>
          <w:lang w:val="fr-CA"/>
        </w:rPr>
        <w:t xml:space="preserve"> </w:t>
      </w:r>
      <w:r w:rsidR="005026E7" w:rsidRPr="004F239A">
        <w:rPr>
          <w:kern w:val="22"/>
          <w:lang w:val="fr-CA"/>
        </w:rPr>
        <w:t>les noyaux régionaux de soutien technique CBD-BIOFIN</w:t>
      </w:r>
      <w:r w:rsidR="004A3E7E" w:rsidRPr="004F239A">
        <w:rPr>
          <w:kern w:val="22"/>
          <w:lang w:val="fr-CA"/>
        </w:rPr>
        <w:t>,</w:t>
      </w:r>
      <w:r w:rsidR="004A3E7E" w:rsidRPr="004F239A">
        <w:rPr>
          <w:rStyle w:val="StyleFootnoteReferencenumberFootnoteReferenceSuperscript-EF"/>
          <w:sz w:val="22"/>
          <w:szCs w:val="22"/>
          <w:lang w:val="fr-CA"/>
        </w:rPr>
        <w:footnoteReference w:id="11"/>
      </w:r>
      <w:r w:rsidR="004A3E7E" w:rsidRPr="004F239A">
        <w:rPr>
          <w:kern w:val="22"/>
          <w:lang w:val="fr-CA"/>
        </w:rPr>
        <w:t xml:space="preserve"> </w:t>
      </w:r>
      <w:r w:rsidR="005026E7" w:rsidRPr="004F239A">
        <w:rPr>
          <w:kern w:val="22"/>
          <w:lang w:val="fr-CA"/>
        </w:rPr>
        <w:t>les réseaux régionaux de laboratoires pour la détection et l’identification d’organismes vivants modifiés</w:t>
      </w:r>
      <w:r w:rsidR="006C24DF" w:rsidRPr="004F239A">
        <w:rPr>
          <w:kern w:val="22"/>
          <w:lang w:val="fr-CA"/>
        </w:rPr>
        <w:t xml:space="preserve"> </w:t>
      </w:r>
      <w:r w:rsidR="004A3E7E" w:rsidRPr="004F239A">
        <w:rPr>
          <w:rStyle w:val="FootnoteReference"/>
          <w:kern w:val="22"/>
          <w:lang w:val="fr-CA"/>
        </w:rPr>
        <w:footnoteReference w:id="12"/>
      </w:r>
      <w:r w:rsidR="004A3E7E" w:rsidRPr="004F239A">
        <w:rPr>
          <w:kern w:val="22"/>
          <w:lang w:val="fr-CA"/>
        </w:rPr>
        <w:t xml:space="preserve"> </w:t>
      </w:r>
      <w:r w:rsidR="005026E7" w:rsidRPr="004F239A">
        <w:rPr>
          <w:kern w:val="22"/>
          <w:lang w:val="fr-CA"/>
        </w:rPr>
        <w:t>et le réseau mondial d’experts juridiques en matière d’accès et de partage des avantages</w:t>
      </w:r>
      <w:r w:rsidR="004A3E7E" w:rsidRPr="004F239A">
        <w:rPr>
          <w:kern w:val="22"/>
          <w:lang w:val="fr-CA"/>
        </w:rPr>
        <w:t>.</w:t>
      </w:r>
      <w:r w:rsidR="004A3E7E" w:rsidRPr="004F239A">
        <w:rPr>
          <w:rStyle w:val="FootnoteReference"/>
          <w:kern w:val="22"/>
          <w:lang w:val="fr-CA"/>
        </w:rPr>
        <w:footnoteReference w:id="13"/>
      </w:r>
    </w:p>
    <w:p w14:paraId="4514FC09" w14:textId="09FCAE1D" w:rsidR="004A3E7E" w:rsidRPr="004F239A" w:rsidRDefault="00E32DD6" w:rsidP="00AA5D70">
      <w:pPr>
        <w:pStyle w:val="Para1"/>
        <w:numPr>
          <w:ilvl w:val="0"/>
          <w:numId w:val="49"/>
        </w:numPr>
        <w:suppressLineNumbers/>
        <w:suppressAutoHyphens/>
        <w:kinsoku w:val="0"/>
        <w:overflowPunct w:val="0"/>
        <w:autoSpaceDE w:val="0"/>
        <w:autoSpaceDN w:val="0"/>
        <w:adjustRightInd w:val="0"/>
        <w:snapToGrid w:val="0"/>
        <w:rPr>
          <w:rFonts w:eastAsiaTheme="minorEastAsia"/>
          <w:color w:val="000000"/>
          <w:kern w:val="22"/>
          <w:lang w:val="fr-CA"/>
        </w:rPr>
      </w:pPr>
      <w:bookmarkStart w:id="5" w:name="_Hlk51600910"/>
      <w:r w:rsidRPr="004F239A">
        <w:rPr>
          <w:kern w:val="22"/>
          <w:lang w:val="fr-CA"/>
        </w:rPr>
        <w:t>Les capacités des pays ont aussi été renforcées grâce à des processus et activités qui ne constituent pas habituellement du renforcement des capacités</w:t>
      </w:r>
      <w:r w:rsidR="004A3E7E" w:rsidRPr="004F239A">
        <w:rPr>
          <w:color w:val="000000"/>
          <w:kern w:val="22"/>
          <w:lang w:val="fr-CA"/>
        </w:rPr>
        <w:t>.</w:t>
      </w:r>
      <w:r w:rsidRPr="004F239A">
        <w:rPr>
          <w:color w:val="000000"/>
          <w:kern w:val="22"/>
          <w:lang w:val="fr-CA"/>
        </w:rPr>
        <w:t xml:space="preserve"> Par exemple, l’examen volontaire par des pairs des stratégies et plans d’action nationaux pour la biodiversité (SPANB) offre des occasions d’apprentissage </w:t>
      </w:r>
      <w:r w:rsidR="00420FCE">
        <w:rPr>
          <w:color w:val="000000"/>
          <w:kern w:val="22"/>
          <w:lang w:val="fr-CA"/>
        </w:rPr>
        <w:t>par</w:t>
      </w:r>
      <w:r w:rsidRPr="004F239A">
        <w:rPr>
          <w:color w:val="000000"/>
          <w:kern w:val="22"/>
          <w:lang w:val="fr-CA"/>
        </w:rPr>
        <w:t xml:space="preserve"> les pairs pour les Parties participantes.</w:t>
      </w:r>
    </w:p>
    <w:p w14:paraId="5115C002" w14:textId="3DB04B87" w:rsidR="004A3E7E" w:rsidRPr="004F239A" w:rsidRDefault="00E32DD6" w:rsidP="00AA5D70">
      <w:pPr>
        <w:pStyle w:val="Para1"/>
        <w:numPr>
          <w:ilvl w:val="0"/>
          <w:numId w:val="49"/>
        </w:numPr>
        <w:suppressLineNumbers/>
        <w:suppressAutoHyphens/>
        <w:kinsoku w:val="0"/>
        <w:overflowPunct w:val="0"/>
        <w:autoSpaceDE w:val="0"/>
        <w:autoSpaceDN w:val="0"/>
        <w:adjustRightInd w:val="0"/>
        <w:snapToGrid w:val="0"/>
        <w:rPr>
          <w:color w:val="000000"/>
          <w:kern w:val="22"/>
          <w:lang w:val="fr-CA"/>
        </w:rPr>
      </w:pPr>
      <w:r w:rsidRPr="004F239A">
        <w:rPr>
          <w:kern w:val="22"/>
          <w:lang w:val="fr-CA"/>
        </w:rPr>
        <w:t>Le plan d’</w:t>
      </w:r>
      <w:r w:rsidR="00BF4894" w:rsidRPr="004F239A">
        <w:rPr>
          <w:kern w:val="22"/>
          <w:lang w:val="fr-CA"/>
        </w:rPr>
        <w:t>acti</w:t>
      </w:r>
      <w:r w:rsidRPr="004F239A">
        <w:rPr>
          <w:kern w:val="22"/>
          <w:lang w:val="fr-CA"/>
        </w:rPr>
        <w:t>on à court terme a été mis en œuvre avec succès</w:t>
      </w:r>
      <w:r w:rsidR="00420FCE">
        <w:rPr>
          <w:kern w:val="22"/>
          <w:lang w:val="fr-CA"/>
        </w:rPr>
        <w:t>,</w:t>
      </w:r>
      <w:r w:rsidRPr="004F239A">
        <w:rPr>
          <w:kern w:val="22"/>
          <w:lang w:val="fr-CA"/>
        </w:rPr>
        <w:t xml:space="preserve"> de façon </w:t>
      </w:r>
      <w:r w:rsidR="00BF4894" w:rsidRPr="004F239A">
        <w:rPr>
          <w:kern w:val="22"/>
          <w:lang w:val="fr-CA"/>
        </w:rPr>
        <w:t>générale</w:t>
      </w:r>
      <w:r w:rsidRPr="004F239A">
        <w:rPr>
          <w:kern w:val="22"/>
          <w:lang w:val="fr-CA"/>
        </w:rPr>
        <w:t xml:space="preserve"> (</w:t>
      </w:r>
      <w:r w:rsidR="00BF4894" w:rsidRPr="004F239A">
        <w:rPr>
          <w:kern w:val="22"/>
          <w:lang w:val="fr-CA"/>
        </w:rPr>
        <w:t>taux de mise en œuvre évalué à 90 p. cent) et plusieurs résultats concrets en matière de capacités prévus dans le plan ont été atteints</w:t>
      </w:r>
      <w:r w:rsidR="004A3E7E" w:rsidRPr="004F239A">
        <w:rPr>
          <w:kern w:val="22"/>
          <w:lang w:val="fr-CA"/>
        </w:rPr>
        <w:t>.</w:t>
      </w:r>
    </w:p>
    <w:p w14:paraId="4A73E54B" w14:textId="4CA7F567" w:rsidR="004A3E7E" w:rsidRPr="004F239A" w:rsidRDefault="00BF4894" w:rsidP="00AA5D70">
      <w:pPr>
        <w:pStyle w:val="Para1"/>
        <w:numPr>
          <w:ilvl w:val="0"/>
          <w:numId w:val="49"/>
        </w:numPr>
        <w:suppressLineNumbers/>
        <w:suppressAutoHyphens/>
        <w:kinsoku w:val="0"/>
        <w:overflowPunct w:val="0"/>
        <w:autoSpaceDE w:val="0"/>
        <w:autoSpaceDN w:val="0"/>
        <w:adjustRightInd w:val="0"/>
        <w:snapToGrid w:val="0"/>
        <w:rPr>
          <w:color w:val="000000"/>
          <w:kern w:val="22"/>
          <w:lang w:val="fr-CA"/>
        </w:rPr>
      </w:pPr>
      <w:r w:rsidRPr="004F239A">
        <w:rPr>
          <w:kern w:val="22"/>
          <w:lang w:val="fr-CA"/>
        </w:rPr>
        <w:t>Voici les principales contraintes et difficultés rencontrées</w:t>
      </w:r>
      <w:r w:rsidR="00F50701">
        <w:rPr>
          <w:kern w:val="22"/>
          <w:lang w:val="fr-CA"/>
        </w:rPr>
        <w:t> </w:t>
      </w:r>
      <w:r w:rsidR="004A3E7E" w:rsidRPr="004F239A">
        <w:rPr>
          <w:kern w:val="22"/>
          <w:lang w:val="fr-CA"/>
        </w:rPr>
        <w:t>:</w:t>
      </w:r>
    </w:p>
    <w:p w14:paraId="5B303C8B" w14:textId="627E3F64" w:rsidR="004A3E7E" w:rsidRPr="004F239A" w:rsidRDefault="00BF4894" w:rsidP="00AA5D70">
      <w:pPr>
        <w:pStyle w:val="Para1"/>
        <w:numPr>
          <w:ilvl w:val="1"/>
          <w:numId w:val="49"/>
        </w:numPr>
        <w:suppressLineNumbers/>
        <w:suppressAutoHyphens/>
        <w:kinsoku w:val="0"/>
        <w:overflowPunct w:val="0"/>
        <w:autoSpaceDE w:val="0"/>
        <w:autoSpaceDN w:val="0"/>
        <w:adjustRightInd w:val="0"/>
        <w:snapToGrid w:val="0"/>
        <w:rPr>
          <w:color w:val="000000"/>
          <w:kern w:val="22"/>
          <w:lang w:val="fr-CA"/>
        </w:rPr>
      </w:pPr>
      <w:r w:rsidRPr="004F239A">
        <w:rPr>
          <w:color w:val="000000" w:themeColor="text1"/>
          <w:kern w:val="22"/>
          <w:lang w:val="fr-CA"/>
        </w:rPr>
        <w:t>La vision à court terme du plan d’action a entraîné un volume élevé d’ateliers en personne individuels donnant lieu à des coûts de transaction élevés et un suivi limité</w:t>
      </w:r>
      <w:r w:rsidR="00F50701">
        <w:rPr>
          <w:color w:val="000000" w:themeColor="text1"/>
          <w:kern w:val="22"/>
          <w:lang w:val="fr-CA"/>
        </w:rPr>
        <w:t> </w:t>
      </w:r>
      <w:r w:rsidR="004A3E7E" w:rsidRPr="004F239A">
        <w:rPr>
          <w:color w:val="000000" w:themeColor="text1"/>
          <w:kern w:val="22"/>
          <w:lang w:val="fr-CA"/>
        </w:rPr>
        <w:t>;</w:t>
      </w:r>
    </w:p>
    <w:p w14:paraId="648F9994" w14:textId="2052CA67" w:rsidR="004A3E7E" w:rsidRPr="004F239A" w:rsidRDefault="00BF4894" w:rsidP="00AA5D70">
      <w:pPr>
        <w:pStyle w:val="Para1"/>
        <w:numPr>
          <w:ilvl w:val="1"/>
          <w:numId w:val="49"/>
        </w:numPr>
        <w:suppressLineNumbers/>
        <w:suppressAutoHyphens/>
        <w:kinsoku w:val="0"/>
        <w:overflowPunct w:val="0"/>
        <w:autoSpaceDE w:val="0"/>
        <w:autoSpaceDN w:val="0"/>
        <w:adjustRightInd w:val="0"/>
        <w:snapToGrid w:val="0"/>
        <w:rPr>
          <w:color w:val="000000"/>
          <w:kern w:val="22"/>
          <w:lang w:val="fr-CA"/>
        </w:rPr>
      </w:pPr>
      <w:r w:rsidRPr="004F239A">
        <w:rPr>
          <w:color w:val="000000" w:themeColor="text1"/>
          <w:kern w:val="22"/>
          <w:lang w:val="fr-CA"/>
        </w:rPr>
        <w:t>L’</w:t>
      </w:r>
      <w:r w:rsidR="002D39E5" w:rsidRPr="004F239A">
        <w:rPr>
          <w:color w:val="000000" w:themeColor="text1"/>
          <w:kern w:val="22"/>
          <w:lang w:val="fr-CA"/>
        </w:rPr>
        <w:t>absence d’</w:t>
      </w:r>
      <w:r w:rsidRPr="004F239A">
        <w:rPr>
          <w:color w:val="000000" w:themeColor="text1"/>
          <w:kern w:val="22"/>
          <w:lang w:val="fr-CA"/>
        </w:rPr>
        <w:t>un cadre</w:t>
      </w:r>
      <w:r w:rsidR="002D39E5" w:rsidRPr="004F239A">
        <w:rPr>
          <w:color w:val="000000" w:themeColor="text1"/>
          <w:kern w:val="22"/>
          <w:lang w:val="fr-CA"/>
        </w:rPr>
        <w:t xml:space="preserve"> commun de suivi, évaluation et établissement de rapport a fait en sorte qu’il a été plus difficile d’évaluer l’efficacité et les incidences des activités pour l’ensemble du plan d’action</w:t>
      </w:r>
      <w:r w:rsidR="00F50701">
        <w:rPr>
          <w:color w:val="000000" w:themeColor="text1"/>
          <w:kern w:val="22"/>
          <w:lang w:val="fr-CA"/>
        </w:rPr>
        <w:t> </w:t>
      </w:r>
      <w:r w:rsidR="004A3E7E" w:rsidRPr="004F239A">
        <w:rPr>
          <w:color w:val="000000" w:themeColor="text1"/>
          <w:kern w:val="22"/>
          <w:lang w:val="fr-CA"/>
        </w:rPr>
        <w:t>;</w:t>
      </w:r>
    </w:p>
    <w:p w14:paraId="7403B0FB" w14:textId="232B9A8D" w:rsidR="004A3E7E" w:rsidRPr="004F239A" w:rsidRDefault="002D39E5" w:rsidP="00AA5D70">
      <w:pPr>
        <w:pStyle w:val="Para1"/>
        <w:numPr>
          <w:ilvl w:val="1"/>
          <w:numId w:val="49"/>
        </w:numPr>
        <w:suppressLineNumbers/>
        <w:suppressAutoHyphens/>
        <w:kinsoku w:val="0"/>
        <w:overflowPunct w:val="0"/>
        <w:autoSpaceDE w:val="0"/>
        <w:autoSpaceDN w:val="0"/>
        <w:adjustRightInd w:val="0"/>
        <w:snapToGrid w:val="0"/>
        <w:rPr>
          <w:color w:val="000000"/>
          <w:kern w:val="22"/>
          <w:lang w:val="fr-CA"/>
        </w:rPr>
      </w:pPr>
      <w:r w:rsidRPr="004F239A">
        <w:rPr>
          <w:color w:val="000000" w:themeColor="text1"/>
          <w:kern w:val="22"/>
          <w:lang w:val="fr-CA"/>
        </w:rPr>
        <w:t>La mise en œuvre de certaines activités dépendait de la disponibilité des ressources, qui dans certains cas ont été obtenues tard ou pas du tout, ce qui a limité le niveau de mise en œuvre</w:t>
      </w:r>
      <w:r w:rsidR="00F50701">
        <w:rPr>
          <w:color w:val="000000" w:themeColor="text1"/>
          <w:kern w:val="22"/>
          <w:lang w:val="fr-CA"/>
        </w:rPr>
        <w:t> </w:t>
      </w:r>
      <w:r w:rsidR="004A3E7E" w:rsidRPr="004F239A">
        <w:rPr>
          <w:color w:val="000000" w:themeColor="text1"/>
          <w:kern w:val="22"/>
          <w:lang w:val="fr-CA"/>
        </w:rPr>
        <w:t>;</w:t>
      </w:r>
    </w:p>
    <w:p w14:paraId="4CA994CE" w14:textId="5AD4D17D" w:rsidR="004A3E7E" w:rsidRPr="004F239A" w:rsidRDefault="002D39E5" w:rsidP="00AA5D70">
      <w:pPr>
        <w:pStyle w:val="Para1"/>
        <w:numPr>
          <w:ilvl w:val="1"/>
          <w:numId w:val="49"/>
        </w:numPr>
        <w:suppressLineNumbers/>
        <w:suppressAutoHyphens/>
        <w:kinsoku w:val="0"/>
        <w:overflowPunct w:val="0"/>
        <w:autoSpaceDE w:val="0"/>
        <w:autoSpaceDN w:val="0"/>
        <w:adjustRightInd w:val="0"/>
        <w:snapToGrid w:val="0"/>
        <w:rPr>
          <w:color w:val="000000"/>
          <w:kern w:val="22"/>
          <w:lang w:val="fr-CA"/>
        </w:rPr>
      </w:pPr>
      <w:r w:rsidRPr="004F239A">
        <w:rPr>
          <w:color w:val="000000" w:themeColor="text1"/>
          <w:kern w:val="22"/>
          <w:lang w:val="fr-CA"/>
        </w:rPr>
        <w:t>Le processus de haut niveau grâce auquel le plan d’action a été négocié et adopté</w:t>
      </w:r>
      <w:r w:rsidR="0065639A" w:rsidRPr="004F239A">
        <w:rPr>
          <w:color w:val="000000" w:themeColor="text1"/>
          <w:kern w:val="22"/>
          <w:lang w:val="fr-CA"/>
        </w:rPr>
        <w:t>, avec une contribution limitée de la part des partenaires, a aussi limité la collaboration des organisations et parties prenantes concernées</w:t>
      </w:r>
      <w:r w:rsidR="00F50701">
        <w:rPr>
          <w:color w:val="000000" w:themeColor="text1"/>
          <w:kern w:val="22"/>
          <w:lang w:val="fr-CA"/>
        </w:rPr>
        <w:t> </w:t>
      </w:r>
      <w:r w:rsidR="004A3E7E" w:rsidRPr="004F239A">
        <w:rPr>
          <w:color w:val="000000" w:themeColor="text1"/>
          <w:kern w:val="22"/>
          <w:lang w:val="fr-CA"/>
        </w:rPr>
        <w:t>;</w:t>
      </w:r>
    </w:p>
    <w:p w14:paraId="20BE73FC" w14:textId="6D81442E" w:rsidR="004A3E7E" w:rsidRPr="004F239A" w:rsidRDefault="0065639A" w:rsidP="00AA5D70">
      <w:pPr>
        <w:pStyle w:val="Para1"/>
        <w:numPr>
          <w:ilvl w:val="1"/>
          <w:numId w:val="49"/>
        </w:numPr>
        <w:suppressLineNumbers/>
        <w:suppressAutoHyphens/>
        <w:kinsoku w:val="0"/>
        <w:overflowPunct w:val="0"/>
        <w:autoSpaceDE w:val="0"/>
        <w:autoSpaceDN w:val="0"/>
        <w:adjustRightInd w:val="0"/>
        <w:snapToGrid w:val="0"/>
        <w:rPr>
          <w:color w:val="000000"/>
          <w:kern w:val="22"/>
          <w:lang w:val="fr-CA"/>
        </w:rPr>
      </w:pPr>
      <w:r w:rsidRPr="004F239A">
        <w:rPr>
          <w:color w:val="000000" w:themeColor="text1"/>
          <w:kern w:val="22"/>
          <w:lang w:val="fr-CA"/>
        </w:rPr>
        <w:t>En dernier lieu, aucun mécanisme formel ni informel n’a été créé afin de mobiliser et d’utiliser des partenariats, et aucune ressource n’a été affectée ni offerte afin de faciliter le processus</w:t>
      </w:r>
      <w:r w:rsidR="004A3E7E" w:rsidRPr="004F239A">
        <w:rPr>
          <w:color w:val="000000" w:themeColor="text1"/>
          <w:kern w:val="22"/>
          <w:lang w:val="fr-CA"/>
        </w:rPr>
        <w:t>.</w:t>
      </w:r>
    </w:p>
    <w:p w14:paraId="45745985" w14:textId="03BF46AD" w:rsidR="004A3E7E" w:rsidRPr="004F239A" w:rsidRDefault="0065639A"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Plusieurs enseignements ont été tirés de la mise en œuvre du plan d’action</w:t>
      </w:r>
      <w:r w:rsidR="00B82427">
        <w:rPr>
          <w:snapToGrid w:val="0"/>
          <w:kern w:val="22"/>
          <w:lang w:val="fr-CA"/>
        </w:rPr>
        <w:t>.</w:t>
      </w:r>
      <w:r w:rsidRPr="004F239A">
        <w:rPr>
          <w:snapToGrid w:val="0"/>
          <w:kern w:val="22"/>
          <w:lang w:val="fr-CA"/>
        </w:rPr>
        <w:t xml:space="preserve"> Voici certains enseignements importants</w:t>
      </w:r>
      <w:r w:rsidR="00F50701">
        <w:rPr>
          <w:snapToGrid w:val="0"/>
          <w:kern w:val="22"/>
          <w:lang w:val="fr-CA"/>
        </w:rPr>
        <w:t> </w:t>
      </w:r>
      <w:r w:rsidR="004A3E7E" w:rsidRPr="004F239A">
        <w:rPr>
          <w:snapToGrid w:val="0"/>
          <w:kern w:val="22"/>
          <w:lang w:val="fr-CA"/>
        </w:rPr>
        <w:t>:</w:t>
      </w:r>
    </w:p>
    <w:bookmarkEnd w:id="5"/>
    <w:p w14:paraId="1B9B2E64" w14:textId="5C07124B" w:rsidR="004A3E7E" w:rsidRPr="004F239A" w:rsidRDefault="0065639A"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Les activités de renfor</w:t>
      </w:r>
      <w:r w:rsidR="00385852" w:rsidRPr="004F239A">
        <w:rPr>
          <w:snapToGrid w:val="0"/>
          <w:kern w:val="22"/>
          <w:lang w:val="fr-CA"/>
        </w:rPr>
        <w:t>cement des capacités doivent al</w:t>
      </w:r>
      <w:r w:rsidRPr="004F239A">
        <w:rPr>
          <w:snapToGrid w:val="0"/>
          <w:kern w:val="22"/>
          <w:lang w:val="fr-CA"/>
        </w:rPr>
        <w:t xml:space="preserve">ler au-delà des ateliers de formation </w:t>
      </w:r>
      <w:r w:rsidR="00385852" w:rsidRPr="004F239A">
        <w:rPr>
          <w:snapToGrid w:val="0"/>
          <w:kern w:val="22"/>
          <w:lang w:val="fr-CA"/>
        </w:rPr>
        <w:t>individuelle. Il faut encourager les autres niveaux de capacités (p. ex., organisationnelles et/ou facilitantes) et d’autres méthodes de prestation</w:t>
      </w:r>
      <w:r w:rsidR="00F50701">
        <w:rPr>
          <w:snapToGrid w:val="0"/>
          <w:kern w:val="22"/>
          <w:lang w:val="fr-CA"/>
        </w:rPr>
        <w:t> </w:t>
      </w:r>
      <w:r w:rsidR="004A3E7E" w:rsidRPr="004F239A">
        <w:rPr>
          <w:snapToGrid w:val="0"/>
          <w:kern w:val="22"/>
          <w:lang w:val="fr-CA"/>
        </w:rPr>
        <w:t>;</w:t>
      </w:r>
    </w:p>
    <w:p w14:paraId="2B4F7B76" w14:textId="7072FF3F" w:rsidR="004A3E7E" w:rsidRPr="004F239A" w:rsidRDefault="00385852"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Il faut envisager une vision et une méthode globale à long terme, comprenant les aspects financiers, lors </w:t>
      </w:r>
      <w:r w:rsidR="00885464" w:rsidRPr="004F239A">
        <w:rPr>
          <w:snapToGrid w:val="0"/>
          <w:kern w:val="22"/>
          <w:lang w:val="fr-CA"/>
        </w:rPr>
        <w:t>de</w:t>
      </w:r>
      <w:r w:rsidRPr="004F239A">
        <w:rPr>
          <w:snapToGrid w:val="0"/>
          <w:kern w:val="22"/>
          <w:lang w:val="fr-CA"/>
        </w:rPr>
        <w:t xml:space="preserve"> la conception des interventions de </w:t>
      </w:r>
      <w:r w:rsidR="00885464" w:rsidRPr="004F239A">
        <w:rPr>
          <w:snapToGrid w:val="0"/>
          <w:kern w:val="22"/>
          <w:lang w:val="fr-CA"/>
        </w:rPr>
        <w:t>renforcement des capacités</w:t>
      </w:r>
      <w:r w:rsidR="00F50701">
        <w:rPr>
          <w:snapToGrid w:val="0"/>
          <w:kern w:val="22"/>
          <w:lang w:val="fr-CA"/>
        </w:rPr>
        <w:t> </w:t>
      </w:r>
      <w:r w:rsidR="004A3E7E" w:rsidRPr="004F239A">
        <w:rPr>
          <w:snapToGrid w:val="0"/>
          <w:kern w:val="22"/>
          <w:lang w:val="fr-CA"/>
        </w:rPr>
        <w:t>;</w:t>
      </w:r>
    </w:p>
    <w:p w14:paraId="23401C22" w14:textId="06B6F5F9" w:rsidR="004A3E7E" w:rsidRPr="004F239A" w:rsidRDefault="00385852"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Les interventions de renforcement des capacités doivent comprendre </w:t>
      </w:r>
      <w:r w:rsidR="00885464" w:rsidRPr="004F239A">
        <w:rPr>
          <w:snapToGrid w:val="0"/>
          <w:kern w:val="22"/>
          <w:lang w:val="fr-CA"/>
        </w:rPr>
        <w:t>un cadre de suivi et évaluation</w:t>
      </w:r>
      <w:r w:rsidR="00F50701">
        <w:rPr>
          <w:snapToGrid w:val="0"/>
          <w:kern w:val="22"/>
          <w:lang w:val="fr-CA"/>
        </w:rPr>
        <w:t> </w:t>
      </w:r>
      <w:r w:rsidR="004A3E7E" w:rsidRPr="004F239A">
        <w:rPr>
          <w:snapToGrid w:val="0"/>
          <w:kern w:val="22"/>
          <w:lang w:val="fr-CA"/>
        </w:rPr>
        <w:t>;</w:t>
      </w:r>
    </w:p>
    <w:p w14:paraId="6D841C04" w14:textId="53FE454D" w:rsidR="004A3E7E" w:rsidRPr="004F239A" w:rsidRDefault="00885464"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lastRenderedPageBreak/>
        <w:t xml:space="preserve">Les partenaires éventuels doivent participer à la conception d’interventions </w:t>
      </w:r>
      <w:r w:rsidR="00B82427">
        <w:rPr>
          <w:snapToGrid w:val="0"/>
          <w:kern w:val="22"/>
          <w:lang w:val="fr-CA"/>
        </w:rPr>
        <w:t>conjointes</w:t>
      </w:r>
      <w:r w:rsidRPr="004F239A">
        <w:rPr>
          <w:snapToGrid w:val="0"/>
          <w:kern w:val="22"/>
          <w:lang w:val="fr-CA"/>
        </w:rPr>
        <w:t xml:space="preserve"> de renforcement des capacités afin d’éviter le dédoublement des efforts</w:t>
      </w:r>
      <w:r w:rsidR="004A3E7E" w:rsidRPr="004F239A">
        <w:rPr>
          <w:snapToGrid w:val="0"/>
          <w:kern w:val="22"/>
          <w:lang w:val="fr-CA"/>
        </w:rPr>
        <w:t>.</w:t>
      </w:r>
    </w:p>
    <w:p w14:paraId="0033B33A" w14:textId="3F20AD4B" w:rsidR="004A3E7E" w:rsidRPr="004F239A" w:rsidRDefault="00885464"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L’Organe subsidiaire chargé de l</w:t>
      </w:r>
      <w:r w:rsidR="00F50701">
        <w:rPr>
          <w:snapToGrid w:val="0"/>
          <w:kern w:val="22"/>
          <w:lang w:val="fr-CA"/>
        </w:rPr>
        <w:t>’</w:t>
      </w:r>
      <w:r w:rsidRPr="004F239A">
        <w:rPr>
          <w:snapToGrid w:val="0"/>
          <w:kern w:val="22"/>
          <w:lang w:val="fr-CA"/>
        </w:rPr>
        <w:t>application pourrait souhaiter prendre note du rapport final préliminaire présenté dans le document CBD/SBI/3/INF/14 et des enseignements tirés, et demander à la Secrétaire exécutive de remettre le rapport fi</w:t>
      </w:r>
      <w:r w:rsidR="003D3C48">
        <w:rPr>
          <w:snapToGrid w:val="0"/>
          <w:kern w:val="22"/>
          <w:lang w:val="fr-CA"/>
        </w:rPr>
        <w:t>nal à la Conférence des Parties</w:t>
      </w:r>
      <w:r w:rsidRPr="004F239A">
        <w:rPr>
          <w:snapToGrid w:val="0"/>
          <w:kern w:val="22"/>
          <w:lang w:val="fr-CA"/>
        </w:rPr>
        <w:t xml:space="preserve"> à sa quinzième réunion</w:t>
      </w:r>
      <w:r w:rsidR="004A3E7E" w:rsidRPr="004F239A">
        <w:rPr>
          <w:snapToGrid w:val="0"/>
          <w:kern w:val="22"/>
          <w:lang w:val="fr-CA"/>
        </w:rPr>
        <w:t>.</w:t>
      </w:r>
    </w:p>
    <w:p w14:paraId="5A6F6F97" w14:textId="5C483947" w:rsidR="004A3E7E" w:rsidRPr="004F239A" w:rsidRDefault="00EC667F" w:rsidP="00AA5D70">
      <w:pPr>
        <w:pStyle w:val="Heading2"/>
        <w:numPr>
          <w:ilvl w:val="0"/>
          <w:numId w:val="52"/>
        </w:numPr>
        <w:suppressLineNumbers/>
        <w:tabs>
          <w:tab w:val="clear" w:pos="720"/>
        </w:tabs>
        <w:suppressAutoHyphens/>
        <w:kinsoku w:val="0"/>
        <w:overflowPunct w:val="0"/>
        <w:autoSpaceDE w:val="0"/>
        <w:autoSpaceDN w:val="0"/>
        <w:adjustRightInd w:val="0"/>
        <w:snapToGrid w:val="0"/>
        <w:ind w:left="907" w:hanging="340"/>
        <w:jc w:val="left"/>
        <w:rPr>
          <w:snapToGrid w:val="0"/>
          <w:kern w:val="22"/>
          <w:lang w:val="fr-CA"/>
        </w:rPr>
      </w:pPr>
      <w:bookmarkStart w:id="6" w:name="_Toc57214883"/>
      <w:r w:rsidRPr="004F239A">
        <w:rPr>
          <w:snapToGrid w:val="0"/>
          <w:kern w:val="22"/>
          <w:lang w:val="fr-CA"/>
        </w:rPr>
        <w:t>Préparation du cadre stratégique à long terme pour le renforcement des capacités en appui à la mise en œuvre du cadre mondial de la biodiversité pour l</w:t>
      </w:r>
      <w:r w:rsidR="00F50701">
        <w:rPr>
          <w:snapToGrid w:val="0"/>
          <w:kern w:val="22"/>
          <w:lang w:val="fr-CA"/>
        </w:rPr>
        <w:t>’</w:t>
      </w:r>
      <w:r w:rsidRPr="004F239A">
        <w:rPr>
          <w:snapToGrid w:val="0"/>
          <w:kern w:val="22"/>
          <w:lang w:val="fr-CA"/>
        </w:rPr>
        <w:t>après-2020</w:t>
      </w:r>
      <w:bookmarkEnd w:id="6"/>
    </w:p>
    <w:p w14:paraId="0018E48E" w14:textId="7FE39A96" w:rsidR="004A3E7E" w:rsidRPr="004F239A" w:rsidRDefault="00DC22EA"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color w:val="000000" w:themeColor="text1"/>
          <w:kern w:val="22"/>
          <w:szCs w:val="22"/>
          <w:lang w:val="fr-CA"/>
        </w:rPr>
      </w:pPr>
      <w:r w:rsidRPr="004F239A">
        <w:rPr>
          <w:snapToGrid w:val="0"/>
          <w:color w:val="000000"/>
          <w:kern w:val="22"/>
          <w:lang w:val="fr-CA"/>
        </w:rPr>
        <w:t>Conformément aux décisions</w:t>
      </w:r>
      <w:r w:rsidR="004A3E7E" w:rsidRPr="004F239A">
        <w:rPr>
          <w:snapToGrid w:val="0"/>
          <w:color w:val="000000"/>
          <w:kern w:val="22"/>
          <w:lang w:val="fr-CA"/>
        </w:rPr>
        <w:t xml:space="preserve"> </w:t>
      </w:r>
      <w:hyperlink r:id="rId18">
        <w:r w:rsidR="004A3E7E" w:rsidRPr="004F239A">
          <w:rPr>
            <w:snapToGrid w:val="0"/>
            <w:color w:val="0000FF"/>
            <w:kern w:val="22"/>
            <w:u w:val="single"/>
            <w:lang w:val="fr-CA"/>
          </w:rPr>
          <w:t>XIII/23</w:t>
        </w:r>
      </w:hyperlink>
      <w:r w:rsidR="004A3E7E" w:rsidRPr="004F239A">
        <w:rPr>
          <w:snapToGrid w:val="0"/>
          <w:color w:val="000000"/>
          <w:kern w:val="22"/>
          <w:lang w:val="fr-CA"/>
        </w:rPr>
        <w:t xml:space="preserve"> </w:t>
      </w:r>
      <w:r w:rsidRPr="004F239A">
        <w:rPr>
          <w:snapToGrid w:val="0"/>
          <w:color w:val="000000"/>
          <w:kern w:val="22"/>
          <w:lang w:val="fr-CA"/>
        </w:rPr>
        <w:t>et</w:t>
      </w:r>
      <w:r w:rsidR="004A3E7E" w:rsidRPr="004F239A">
        <w:rPr>
          <w:snapToGrid w:val="0"/>
          <w:color w:val="000000"/>
          <w:kern w:val="22"/>
          <w:lang w:val="fr-CA"/>
        </w:rPr>
        <w:t xml:space="preserve"> </w:t>
      </w:r>
      <w:hyperlink r:id="rId19">
        <w:r w:rsidR="004A3E7E" w:rsidRPr="004F239A">
          <w:rPr>
            <w:snapToGrid w:val="0"/>
            <w:color w:val="0000FF"/>
            <w:kern w:val="22"/>
            <w:u w:val="single"/>
            <w:lang w:val="fr-CA"/>
          </w:rPr>
          <w:t>14/24</w:t>
        </w:r>
      </w:hyperlink>
      <w:r w:rsidR="004A3E7E" w:rsidRPr="004F239A">
        <w:rPr>
          <w:snapToGrid w:val="0"/>
          <w:color w:val="000000"/>
          <w:kern w:val="22"/>
          <w:lang w:val="fr-CA"/>
        </w:rPr>
        <w:t xml:space="preserve">, </w:t>
      </w:r>
      <w:r w:rsidRPr="004F239A">
        <w:rPr>
          <w:snapToGrid w:val="0"/>
          <w:color w:val="000000"/>
          <w:kern w:val="22"/>
          <w:lang w:val="fr-CA"/>
        </w:rPr>
        <w:t>la Secrétaire exécutive, avec l’appui d’</w:t>
      </w:r>
      <w:r w:rsidR="00755919" w:rsidRPr="004F239A">
        <w:rPr>
          <w:snapToGrid w:val="0"/>
          <w:color w:val="000000"/>
          <w:kern w:val="22"/>
          <w:lang w:val="fr-CA"/>
        </w:rPr>
        <w:t>u</w:t>
      </w:r>
      <w:r w:rsidRPr="004F239A">
        <w:rPr>
          <w:snapToGrid w:val="0"/>
          <w:color w:val="000000"/>
          <w:kern w:val="22"/>
          <w:lang w:val="fr-CA"/>
        </w:rPr>
        <w:t>n consultant, a préparé un projet de cadre stratégique à long terme p</w:t>
      </w:r>
      <w:r w:rsidR="00755919" w:rsidRPr="004F239A">
        <w:rPr>
          <w:snapToGrid w:val="0"/>
          <w:color w:val="000000"/>
          <w:kern w:val="22"/>
          <w:lang w:val="fr-CA"/>
        </w:rPr>
        <w:t>our le renforcement des capacités harmonisé au cadre mondial de la biodiversité pour l</w:t>
      </w:r>
      <w:r w:rsidR="00F50701">
        <w:rPr>
          <w:snapToGrid w:val="0"/>
          <w:color w:val="000000"/>
          <w:kern w:val="22"/>
          <w:lang w:val="fr-CA"/>
        </w:rPr>
        <w:t>’</w:t>
      </w:r>
      <w:r w:rsidR="00755919" w:rsidRPr="004F239A">
        <w:rPr>
          <w:snapToGrid w:val="0"/>
          <w:color w:val="000000"/>
          <w:kern w:val="22"/>
          <w:lang w:val="fr-CA"/>
        </w:rPr>
        <w:t xml:space="preserve">après-2020, au Programme de développement durable à l’horizon 2030 et aux travaux de renforcement des capacités des Protocoles de Nagoya et de Cartagena. Une version </w:t>
      </w:r>
      <w:r w:rsidR="00B82427">
        <w:rPr>
          <w:snapToGrid w:val="0"/>
          <w:color w:val="000000"/>
          <w:kern w:val="22"/>
          <w:lang w:val="fr-CA"/>
        </w:rPr>
        <w:t>condensée d</w:t>
      </w:r>
      <w:r w:rsidR="00755919" w:rsidRPr="004F239A">
        <w:rPr>
          <w:snapToGrid w:val="0"/>
          <w:color w:val="000000"/>
          <w:kern w:val="22"/>
          <w:lang w:val="fr-CA"/>
        </w:rPr>
        <w:t>u projet de cadre stratégique à long terme est présenté</w:t>
      </w:r>
      <w:r w:rsidR="005315F6">
        <w:rPr>
          <w:snapToGrid w:val="0"/>
          <w:color w:val="000000"/>
          <w:kern w:val="22"/>
          <w:lang w:val="fr-CA"/>
        </w:rPr>
        <w:t>e</w:t>
      </w:r>
      <w:r w:rsidR="00755919" w:rsidRPr="004F239A">
        <w:rPr>
          <w:snapToGrid w:val="0"/>
          <w:color w:val="000000"/>
          <w:kern w:val="22"/>
          <w:lang w:val="fr-CA"/>
        </w:rPr>
        <w:t xml:space="preserve"> à l’annexe I au présent docu</w:t>
      </w:r>
      <w:r w:rsidR="005315F6">
        <w:rPr>
          <w:snapToGrid w:val="0"/>
          <w:color w:val="000000"/>
          <w:kern w:val="22"/>
          <w:lang w:val="fr-CA"/>
        </w:rPr>
        <w:t>ment.</w:t>
      </w:r>
      <w:r w:rsidR="00755919" w:rsidRPr="004F239A">
        <w:rPr>
          <w:snapToGrid w:val="0"/>
          <w:color w:val="000000"/>
          <w:kern w:val="22"/>
          <w:lang w:val="fr-CA"/>
        </w:rPr>
        <w:t xml:space="preserve"> Une version détaillée est présentée dans le document </w:t>
      </w:r>
      <w:r w:rsidR="004A3E7E" w:rsidRPr="004F239A">
        <w:rPr>
          <w:snapToGrid w:val="0"/>
          <w:color w:val="000000" w:themeColor="text1"/>
          <w:kern w:val="22"/>
          <w:lang w:val="fr-CA"/>
        </w:rPr>
        <w:t>CBD/SBI/3/7/Add.1.</w:t>
      </w:r>
    </w:p>
    <w:p w14:paraId="5604BE47" w14:textId="7F160D1D" w:rsidR="004A3E7E" w:rsidRPr="004F239A" w:rsidRDefault="00301443"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bookmarkStart w:id="7" w:name="_Hlk51349855"/>
      <w:r w:rsidRPr="004F239A">
        <w:rPr>
          <w:snapToGrid w:val="0"/>
          <w:color w:val="000000"/>
          <w:kern w:val="22"/>
          <w:lang w:val="fr-CA"/>
        </w:rPr>
        <w:t>Le projet de cadre stratégique tient compte des conclusions d’une étude menée par le Centre mondial de surveillance pour la conservation (WCMC-PNUE) au nom du Secrétariat</w:t>
      </w:r>
      <w:r w:rsidR="005315F6">
        <w:rPr>
          <w:snapToGrid w:val="0"/>
          <w:color w:val="000000"/>
          <w:kern w:val="22"/>
          <w:lang w:val="fr-CA"/>
        </w:rPr>
        <w:t xml:space="preserve"> dans le but </w:t>
      </w:r>
      <w:r w:rsidRPr="004F239A">
        <w:rPr>
          <w:snapToGrid w:val="0"/>
          <w:color w:val="000000"/>
          <w:kern w:val="22"/>
          <w:lang w:val="fr-CA"/>
        </w:rPr>
        <w:t>de créer une base d’information</w:t>
      </w:r>
      <w:r w:rsidR="00CA6FB6" w:rsidRPr="004F239A">
        <w:rPr>
          <w:snapToGrid w:val="0"/>
          <w:color w:val="000000"/>
          <w:kern w:val="22"/>
          <w:lang w:val="fr-CA"/>
        </w:rPr>
        <w:t>,</w:t>
      </w:r>
      <w:r w:rsidR="004A3E7E" w:rsidRPr="004F239A">
        <w:rPr>
          <w:rStyle w:val="FootnoteReference"/>
          <w:snapToGrid w:val="0"/>
          <w:color w:val="000000"/>
          <w:kern w:val="22"/>
          <w:lang w:val="fr-CA"/>
        </w:rPr>
        <w:footnoteReference w:id="14"/>
      </w:r>
      <w:r w:rsidR="00D51248" w:rsidRPr="004F239A">
        <w:rPr>
          <w:snapToGrid w:val="0"/>
          <w:color w:val="000000"/>
          <w:kern w:val="22"/>
          <w:lang w:val="fr-CA"/>
        </w:rPr>
        <w:t xml:space="preserve"> </w:t>
      </w:r>
      <w:r w:rsidR="005B486F" w:rsidRPr="004F239A">
        <w:rPr>
          <w:snapToGrid w:val="0"/>
          <w:color w:val="000000"/>
          <w:kern w:val="22"/>
          <w:lang w:val="fr-CA"/>
        </w:rPr>
        <w:t xml:space="preserve">de </w:t>
      </w:r>
      <w:r w:rsidRPr="004F239A">
        <w:rPr>
          <w:snapToGrid w:val="0"/>
          <w:color w:val="000000"/>
          <w:kern w:val="22"/>
          <w:lang w:val="fr-CA"/>
        </w:rPr>
        <w:t xml:space="preserve">l’étude sur le renforcement des capacités pour </w:t>
      </w:r>
      <w:r w:rsidR="005315F6">
        <w:rPr>
          <w:snapToGrid w:val="0"/>
          <w:color w:val="000000"/>
          <w:kern w:val="22"/>
          <w:lang w:val="fr-CA"/>
        </w:rPr>
        <w:t>l’application</w:t>
      </w:r>
      <w:r w:rsidRPr="004F239A">
        <w:rPr>
          <w:snapToGrid w:val="0"/>
          <w:color w:val="000000"/>
          <w:kern w:val="22"/>
          <w:lang w:val="fr-CA"/>
        </w:rPr>
        <w:t xml:space="preserve"> cohérente des conventions sur la diversité biologique menée par l’Union internationale pour la conservation de la nature (UICN</w:t>
      </w:r>
      <w:r w:rsidR="004A3E7E" w:rsidRPr="004F239A">
        <w:rPr>
          <w:snapToGrid w:val="0"/>
          <w:kern w:val="22"/>
          <w:lang w:val="fr-CA"/>
        </w:rPr>
        <w:t>)</w:t>
      </w:r>
      <w:r w:rsidR="004A3E7E" w:rsidRPr="004F239A">
        <w:rPr>
          <w:rStyle w:val="FootnoteReference"/>
          <w:snapToGrid w:val="0"/>
          <w:kern w:val="22"/>
          <w:lang w:val="fr-CA"/>
        </w:rPr>
        <w:footnoteReference w:id="15"/>
      </w:r>
      <w:r w:rsidR="004A3E7E" w:rsidRPr="004F239A">
        <w:rPr>
          <w:snapToGrid w:val="0"/>
          <w:color w:val="000000"/>
          <w:kern w:val="22"/>
          <w:lang w:val="fr-CA"/>
        </w:rPr>
        <w:t xml:space="preserve"> </w:t>
      </w:r>
      <w:r w:rsidRPr="004F239A">
        <w:rPr>
          <w:snapToGrid w:val="0"/>
          <w:color w:val="000000"/>
          <w:kern w:val="22"/>
          <w:lang w:val="fr-CA"/>
        </w:rPr>
        <w:t xml:space="preserve">et </w:t>
      </w:r>
      <w:r w:rsidR="005B486F" w:rsidRPr="004F239A">
        <w:rPr>
          <w:snapToGrid w:val="0"/>
          <w:color w:val="000000"/>
          <w:kern w:val="22"/>
          <w:lang w:val="fr-CA"/>
        </w:rPr>
        <w:t>des</w:t>
      </w:r>
      <w:r w:rsidRPr="004F239A">
        <w:rPr>
          <w:snapToGrid w:val="0"/>
          <w:color w:val="000000"/>
          <w:kern w:val="22"/>
          <w:lang w:val="fr-CA"/>
        </w:rPr>
        <w:t xml:space="preserve"> </w:t>
      </w:r>
      <w:r w:rsidR="005B486F" w:rsidRPr="004F239A">
        <w:rPr>
          <w:snapToGrid w:val="0"/>
          <w:color w:val="000000"/>
          <w:kern w:val="22"/>
          <w:lang w:val="fr-CA"/>
        </w:rPr>
        <w:t>travaux d’autres processus et organisations m</w:t>
      </w:r>
      <w:r w:rsidR="003D3C48">
        <w:rPr>
          <w:snapToGrid w:val="0"/>
          <w:color w:val="000000"/>
          <w:kern w:val="22"/>
          <w:lang w:val="fr-CA"/>
        </w:rPr>
        <w:t>ultilatéraux sur l’environnemen</w:t>
      </w:r>
      <w:r w:rsidR="00E16418">
        <w:rPr>
          <w:snapToGrid w:val="0"/>
          <w:color w:val="000000"/>
          <w:kern w:val="22"/>
          <w:lang w:val="fr-CA"/>
        </w:rPr>
        <w:t>t</w:t>
      </w:r>
      <w:r w:rsidR="003D3C48">
        <w:rPr>
          <w:snapToGrid w:val="0"/>
          <w:color w:val="000000"/>
          <w:kern w:val="22"/>
          <w:lang w:val="fr-CA"/>
        </w:rPr>
        <w:t>.</w:t>
      </w:r>
      <w:r w:rsidR="004A3E7E" w:rsidRPr="004F239A">
        <w:rPr>
          <w:snapToGrid w:val="0"/>
          <w:color w:val="000000"/>
          <w:kern w:val="22"/>
          <w:vertAlign w:val="superscript"/>
          <w:lang w:val="fr-CA"/>
        </w:rPr>
        <w:footnoteReference w:id="16"/>
      </w:r>
      <w:bookmarkEnd w:id="7"/>
      <w:r w:rsidR="00C01EBA" w:rsidRPr="004F239A">
        <w:rPr>
          <w:snapToGrid w:val="0"/>
          <w:kern w:val="22"/>
          <w:lang w:val="fr-CA"/>
        </w:rPr>
        <w:t xml:space="preserve"> </w:t>
      </w:r>
      <w:r w:rsidR="005B486F" w:rsidRPr="004F239A">
        <w:rPr>
          <w:snapToGrid w:val="0"/>
          <w:kern w:val="22"/>
          <w:lang w:val="fr-CA"/>
        </w:rPr>
        <w:t>Il tient compte également des conclusions des consultations régionales sur le cadre mondial de la biodiversité pour l</w:t>
      </w:r>
      <w:r w:rsidR="00F50701">
        <w:rPr>
          <w:snapToGrid w:val="0"/>
          <w:kern w:val="22"/>
          <w:lang w:val="fr-CA"/>
        </w:rPr>
        <w:t>’</w:t>
      </w:r>
      <w:r w:rsidR="005B486F" w:rsidRPr="004F239A">
        <w:rPr>
          <w:snapToGrid w:val="0"/>
          <w:kern w:val="22"/>
          <w:lang w:val="fr-CA"/>
        </w:rPr>
        <w:t>après-2020 tenues en 2019</w:t>
      </w:r>
      <w:r w:rsidR="00CA6FB6" w:rsidRPr="004F239A">
        <w:rPr>
          <w:snapToGrid w:val="0"/>
          <w:color w:val="000000"/>
          <w:kern w:val="22"/>
          <w:lang w:val="fr-CA"/>
        </w:rPr>
        <w:t>,</w:t>
      </w:r>
      <w:r w:rsidR="004A3E7E" w:rsidRPr="004F239A">
        <w:rPr>
          <w:rStyle w:val="FootnoteReference"/>
          <w:snapToGrid w:val="0"/>
          <w:color w:val="000000"/>
          <w:kern w:val="22"/>
          <w:lang w:val="fr-CA"/>
        </w:rPr>
        <w:footnoteReference w:id="17"/>
      </w:r>
      <w:r w:rsidR="004A3E7E" w:rsidRPr="004F239A">
        <w:rPr>
          <w:snapToGrid w:val="0"/>
          <w:color w:val="000000"/>
          <w:kern w:val="22"/>
          <w:lang w:val="fr-CA"/>
        </w:rPr>
        <w:t xml:space="preserve"> </w:t>
      </w:r>
      <w:r w:rsidR="005B486F" w:rsidRPr="004F239A">
        <w:rPr>
          <w:snapToGrid w:val="0"/>
          <w:color w:val="000000"/>
          <w:kern w:val="22"/>
          <w:lang w:val="fr-CA"/>
        </w:rPr>
        <w:t xml:space="preserve">des réunions du Groupe de liaison sur le </w:t>
      </w:r>
      <w:r w:rsidR="00D55363" w:rsidRPr="004F239A">
        <w:rPr>
          <w:snapToGrid w:val="0"/>
          <w:color w:val="000000"/>
          <w:kern w:val="22"/>
          <w:lang w:val="fr-CA"/>
        </w:rPr>
        <w:t>Protocole</w:t>
      </w:r>
      <w:r w:rsidR="005B486F" w:rsidRPr="004F239A">
        <w:rPr>
          <w:snapToGrid w:val="0"/>
          <w:color w:val="000000"/>
          <w:kern w:val="22"/>
          <w:lang w:val="fr-CA"/>
        </w:rPr>
        <w:t xml:space="preserve"> de Cartagena sur la prévention des risques biotechnologiques</w:t>
      </w:r>
      <w:r w:rsidR="00CA6FB6" w:rsidRPr="004F239A">
        <w:rPr>
          <w:snapToGrid w:val="0"/>
          <w:color w:val="000000"/>
          <w:kern w:val="22"/>
          <w:lang w:val="fr-CA"/>
        </w:rPr>
        <w:t>,</w:t>
      </w:r>
      <w:r w:rsidR="004A3E7E" w:rsidRPr="004F239A">
        <w:rPr>
          <w:rStyle w:val="FootnoteReference"/>
          <w:snapToGrid w:val="0"/>
          <w:color w:val="000000"/>
          <w:kern w:val="22"/>
          <w:lang w:val="fr-CA"/>
        </w:rPr>
        <w:footnoteReference w:id="18"/>
      </w:r>
      <w:r w:rsidR="004A3E7E" w:rsidRPr="004F239A">
        <w:rPr>
          <w:snapToGrid w:val="0"/>
          <w:color w:val="000000"/>
          <w:kern w:val="22"/>
          <w:lang w:val="fr-CA"/>
        </w:rPr>
        <w:t xml:space="preserve"> </w:t>
      </w:r>
      <w:r w:rsidR="00D55363" w:rsidRPr="004F239A">
        <w:rPr>
          <w:snapToGrid w:val="0"/>
          <w:color w:val="000000"/>
          <w:kern w:val="22"/>
          <w:lang w:val="fr-CA"/>
        </w:rPr>
        <w:t xml:space="preserve">du comité consultatif informel sur le renforcement des capacités pour </w:t>
      </w:r>
      <w:r w:rsidR="005315F6">
        <w:rPr>
          <w:snapToGrid w:val="0"/>
          <w:color w:val="000000"/>
          <w:kern w:val="22"/>
          <w:lang w:val="fr-CA"/>
        </w:rPr>
        <w:t>l’application</w:t>
      </w:r>
      <w:r w:rsidR="00D55363" w:rsidRPr="004F239A">
        <w:rPr>
          <w:snapToGrid w:val="0"/>
          <w:color w:val="000000"/>
          <w:kern w:val="22"/>
          <w:lang w:val="fr-CA"/>
        </w:rPr>
        <w:t xml:space="preserve"> du Protocole de Nagoya</w:t>
      </w:r>
      <w:r w:rsidR="004A3E7E" w:rsidRPr="004F239A">
        <w:rPr>
          <w:rStyle w:val="FootnoteReference"/>
          <w:snapToGrid w:val="0"/>
          <w:color w:val="000000"/>
          <w:kern w:val="22"/>
          <w:lang w:val="fr-CA"/>
        </w:rPr>
        <w:footnoteReference w:id="19"/>
      </w:r>
      <w:r w:rsidR="004A3E7E" w:rsidRPr="004F239A">
        <w:rPr>
          <w:snapToGrid w:val="0"/>
          <w:color w:val="000000"/>
          <w:kern w:val="22"/>
          <w:lang w:val="fr-CA"/>
        </w:rPr>
        <w:t xml:space="preserve"> </w:t>
      </w:r>
      <w:r w:rsidR="00D55363" w:rsidRPr="004F239A">
        <w:rPr>
          <w:snapToGrid w:val="0"/>
          <w:color w:val="000000"/>
          <w:kern w:val="22"/>
          <w:lang w:val="fr-CA"/>
        </w:rPr>
        <w:t>e</w:t>
      </w:r>
      <w:r w:rsidR="005315F6">
        <w:rPr>
          <w:snapToGrid w:val="0"/>
          <w:color w:val="000000"/>
          <w:kern w:val="22"/>
          <w:lang w:val="fr-CA"/>
        </w:rPr>
        <w:t>t des ateliers de consultation d</w:t>
      </w:r>
      <w:r w:rsidR="00D55363" w:rsidRPr="004F239A">
        <w:rPr>
          <w:snapToGrid w:val="0"/>
          <w:color w:val="000000"/>
          <w:kern w:val="22"/>
          <w:lang w:val="fr-CA"/>
        </w:rPr>
        <w:t>es conventions liées à la diversité biologique sur le cadre mondial de la biodiversité pour l</w:t>
      </w:r>
      <w:r w:rsidR="00F50701">
        <w:rPr>
          <w:snapToGrid w:val="0"/>
          <w:color w:val="000000"/>
          <w:kern w:val="22"/>
          <w:lang w:val="fr-CA"/>
        </w:rPr>
        <w:t>’</w:t>
      </w:r>
      <w:r w:rsidR="00D55363" w:rsidRPr="004F239A">
        <w:rPr>
          <w:snapToGrid w:val="0"/>
          <w:color w:val="000000"/>
          <w:kern w:val="22"/>
          <w:lang w:val="fr-CA"/>
        </w:rPr>
        <w:t>après-2020</w:t>
      </w:r>
      <w:r w:rsidR="00CA6FB6" w:rsidRPr="004F239A">
        <w:rPr>
          <w:snapToGrid w:val="0"/>
          <w:color w:val="000000"/>
          <w:kern w:val="22"/>
          <w:lang w:val="fr-CA"/>
        </w:rPr>
        <w:t>.</w:t>
      </w:r>
      <w:r w:rsidR="004A3E7E" w:rsidRPr="004F239A">
        <w:rPr>
          <w:rStyle w:val="FootnoteReference"/>
          <w:snapToGrid w:val="0"/>
          <w:color w:val="000000"/>
          <w:kern w:val="22"/>
          <w:lang w:val="fr-CA"/>
        </w:rPr>
        <w:footnoteReference w:id="20"/>
      </w:r>
      <w:r w:rsidR="004A3E7E" w:rsidRPr="004F239A">
        <w:rPr>
          <w:snapToGrid w:val="0"/>
          <w:color w:val="000000"/>
          <w:kern w:val="22"/>
          <w:lang w:val="fr-CA"/>
        </w:rPr>
        <w:t xml:space="preserve"> </w:t>
      </w:r>
      <w:r w:rsidR="00D55363" w:rsidRPr="004F239A">
        <w:rPr>
          <w:snapToGrid w:val="0"/>
          <w:color w:val="000000"/>
          <w:kern w:val="22"/>
          <w:lang w:val="fr-CA"/>
        </w:rPr>
        <w:t xml:space="preserve">Il prend aussi en considération la contribution offerte lors des consultations thématiques sur le renforcement des capacités et la coopération technique et scientifique pour le </w:t>
      </w:r>
      <w:r w:rsidR="005315F6">
        <w:rPr>
          <w:snapToGrid w:val="0"/>
          <w:color w:val="000000"/>
          <w:kern w:val="22"/>
          <w:lang w:val="fr-CA"/>
        </w:rPr>
        <w:t>cadre mondial de la biodiversité pour l</w:t>
      </w:r>
      <w:r w:rsidR="00F50701">
        <w:rPr>
          <w:snapToGrid w:val="0"/>
          <w:color w:val="000000"/>
          <w:kern w:val="22"/>
          <w:lang w:val="fr-CA"/>
        </w:rPr>
        <w:t>’</w:t>
      </w:r>
      <w:r w:rsidR="005315F6">
        <w:rPr>
          <w:snapToGrid w:val="0"/>
          <w:color w:val="000000"/>
          <w:kern w:val="22"/>
          <w:lang w:val="fr-CA"/>
        </w:rPr>
        <w:t>après-2020</w:t>
      </w:r>
      <w:r w:rsidR="00D55363" w:rsidRPr="004F239A">
        <w:rPr>
          <w:snapToGrid w:val="0"/>
          <w:color w:val="000000"/>
          <w:kern w:val="22"/>
          <w:lang w:val="fr-CA"/>
        </w:rPr>
        <w:t xml:space="preserve"> tenues à Rome, le 1</w:t>
      </w:r>
      <w:r w:rsidR="00D55363" w:rsidRPr="004F239A">
        <w:rPr>
          <w:snapToGrid w:val="0"/>
          <w:color w:val="000000"/>
          <w:kern w:val="22"/>
          <w:vertAlign w:val="superscript"/>
          <w:lang w:val="fr-CA"/>
        </w:rPr>
        <w:t>er</w:t>
      </w:r>
      <w:r w:rsidR="00D55363" w:rsidRPr="004F239A">
        <w:rPr>
          <w:snapToGrid w:val="0"/>
          <w:color w:val="000000"/>
          <w:kern w:val="22"/>
          <w:lang w:val="fr-CA"/>
        </w:rPr>
        <w:t xml:space="preserve"> et le 2 mai 2020</w:t>
      </w:r>
      <w:r w:rsidR="00F50701">
        <w:rPr>
          <w:snapToGrid w:val="0"/>
          <w:color w:val="000000"/>
          <w:kern w:val="22"/>
          <w:lang w:val="fr-CA"/>
        </w:rPr>
        <w:t> </w:t>
      </w:r>
      <w:r w:rsidR="00CA6FB6" w:rsidRPr="004F239A">
        <w:rPr>
          <w:snapToGrid w:val="0"/>
          <w:kern w:val="22"/>
          <w:lang w:val="fr-CA"/>
        </w:rPr>
        <w:t>;</w:t>
      </w:r>
      <w:r w:rsidR="004A3E7E" w:rsidRPr="004F239A">
        <w:rPr>
          <w:rStyle w:val="FootnoteReference"/>
          <w:snapToGrid w:val="0"/>
          <w:kern w:val="22"/>
          <w:lang w:val="fr-CA"/>
        </w:rPr>
        <w:footnoteReference w:id="21"/>
      </w:r>
      <w:r w:rsidR="004A3E7E" w:rsidRPr="004F239A">
        <w:rPr>
          <w:snapToGrid w:val="0"/>
          <w:kern w:val="22"/>
          <w:lang w:val="fr-CA"/>
        </w:rPr>
        <w:t xml:space="preserve"> </w:t>
      </w:r>
      <w:r w:rsidR="00D55363" w:rsidRPr="004F239A">
        <w:rPr>
          <w:snapToGrid w:val="0"/>
          <w:kern w:val="22"/>
          <w:lang w:val="fr-CA"/>
        </w:rPr>
        <w:t>d</w:t>
      </w:r>
      <w:r w:rsidR="00360037" w:rsidRPr="004F239A">
        <w:rPr>
          <w:snapToGrid w:val="0"/>
          <w:kern w:val="22"/>
          <w:lang w:val="fr-CA"/>
        </w:rPr>
        <w:t>u forum de discussion en lig</w:t>
      </w:r>
      <w:r w:rsidR="00D55363" w:rsidRPr="004F239A">
        <w:rPr>
          <w:snapToGrid w:val="0"/>
          <w:kern w:val="22"/>
          <w:lang w:val="fr-CA"/>
        </w:rPr>
        <w:t>ne</w:t>
      </w:r>
      <w:r w:rsidR="00360037" w:rsidRPr="004F239A">
        <w:rPr>
          <w:snapToGrid w:val="0"/>
          <w:kern w:val="22"/>
          <w:lang w:val="fr-CA"/>
        </w:rPr>
        <w:t xml:space="preserve"> </w:t>
      </w:r>
      <w:r w:rsidR="005315F6">
        <w:rPr>
          <w:snapToGrid w:val="0"/>
          <w:kern w:val="22"/>
          <w:lang w:val="fr-CA"/>
        </w:rPr>
        <w:t>présenté</w:t>
      </w:r>
      <w:r w:rsidR="00360037" w:rsidRPr="004F239A">
        <w:rPr>
          <w:snapToGrid w:val="0"/>
          <w:kern w:val="22"/>
          <w:lang w:val="fr-CA"/>
        </w:rPr>
        <w:t xml:space="preserve"> du 25 mai au 5 juin 2020</w:t>
      </w:r>
      <w:r w:rsidR="00F50701">
        <w:rPr>
          <w:snapToGrid w:val="0"/>
          <w:kern w:val="22"/>
          <w:lang w:val="fr-CA"/>
        </w:rPr>
        <w:t> </w:t>
      </w:r>
      <w:r w:rsidR="00CA6FB6" w:rsidRPr="004F239A">
        <w:rPr>
          <w:snapToGrid w:val="0"/>
          <w:kern w:val="22"/>
          <w:lang w:val="fr-CA"/>
        </w:rPr>
        <w:t>;</w:t>
      </w:r>
      <w:r w:rsidR="004A3E7E" w:rsidRPr="004F239A">
        <w:rPr>
          <w:rStyle w:val="FootnoteReference"/>
          <w:snapToGrid w:val="0"/>
          <w:kern w:val="22"/>
          <w:lang w:val="fr-CA"/>
        </w:rPr>
        <w:footnoteReference w:id="22"/>
      </w:r>
      <w:r w:rsidR="004A3E7E" w:rsidRPr="004F239A">
        <w:rPr>
          <w:snapToGrid w:val="0"/>
          <w:kern w:val="22"/>
          <w:lang w:val="fr-CA"/>
        </w:rPr>
        <w:t xml:space="preserve"> </w:t>
      </w:r>
      <w:r w:rsidR="00360037" w:rsidRPr="004F239A">
        <w:rPr>
          <w:snapToGrid w:val="0"/>
          <w:kern w:val="22"/>
          <w:lang w:val="fr-CA"/>
        </w:rPr>
        <w:t>et des exposés des Parties, des autres gouvernements et des organisations compétentes</w:t>
      </w:r>
      <w:r w:rsidR="006D4027" w:rsidRPr="004F239A">
        <w:rPr>
          <w:snapToGrid w:val="0"/>
          <w:color w:val="000000"/>
          <w:kern w:val="22"/>
          <w:lang w:val="fr-CA"/>
        </w:rPr>
        <w:t>.</w:t>
      </w:r>
      <w:r w:rsidR="004A3E7E" w:rsidRPr="004F239A">
        <w:rPr>
          <w:rStyle w:val="FootnoteReference"/>
          <w:snapToGrid w:val="0"/>
          <w:color w:val="000000"/>
          <w:kern w:val="22"/>
          <w:lang w:val="fr-CA"/>
        </w:rPr>
        <w:footnoteReference w:id="23"/>
      </w:r>
    </w:p>
    <w:p w14:paraId="75EFCBF2" w14:textId="47736589" w:rsidR="0067493D" w:rsidRPr="004F239A" w:rsidRDefault="00150E7C"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color w:val="000000"/>
          <w:kern w:val="22"/>
          <w:lang w:val="fr-CA"/>
        </w:rPr>
        <w:lastRenderedPageBreak/>
        <w:t>Le cadre stratégique a pour but de diriger les efforts de renforcement des capacités des acteurs gouvernementaux et non gouvernementaux. Le cadre stratégique décrit la vision globale et la théorie du changement pour le renforcement des capacités et fournit des exemples des résultats de capacité</w:t>
      </w:r>
      <w:r w:rsidR="00113364">
        <w:rPr>
          <w:color w:val="000000"/>
          <w:kern w:val="22"/>
          <w:lang w:val="fr-CA"/>
        </w:rPr>
        <w:t>s</w:t>
      </w:r>
      <w:r w:rsidRPr="004F239A">
        <w:rPr>
          <w:color w:val="000000"/>
          <w:kern w:val="22"/>
          <w:lang w:val="fr-CA"/>
        </w:rPr>
        <w:t xml:space="preserve"> de haut niveau attendus</w:t>
      </w:r>
      <w:r w:rsidR="004A3E7E" w:rsidRPr="004F239A">
        <w:rPr>
          <w:kern w:val="22"/>
          <w:lang w:val="fr-CA"/>
        </w:rPr>
        <w:t>.</w:t>
      </w:r>
      <w:r w:rsidRPr="004F239A">
        <w:rPr>
          <w:kern w:val="22"/>
          <w:lang w:val="fr-CA"/>
        </w:rPr>
        <w:t xml:space="preserve"> Il donne aussi les grandes lignes des principaux principes directeurs et facteurs de succès d’un renforcement des capacités </w:t>
      </w:r>
      <w:r w:rsidR="0017626F" w:rsidRPr="004F239A">
        <w:rPr>
          <w:kern w:val="22"/>
          <w:lang w:val="fr-CA"/>
        </w:rPr>
        <w:t>efficace</w:t>
      </w:r>
      <w:r w:rsidR="00F50701">
        <w:rPr>
          <w:kern w:val="22"/>
          <w:lang w:val="fr-CA"/>
        </w:rPr>
        <w:t> </w:t>
      </w:r>
      <w:r w:rsidR="0017626F" w:rsidRPr="004F239A">
        <w:rPr>
          <w:kern w:val="22"/>
          <w:lang w:val="fr-CA"/>
        </w:rPr>
        <w:t xml:space="preserve">; propose les principales stratégies pour améliorer le renforcement des capacités et donne les grandes lignes des principaux mécanismes pour aider </w:t>
      </w:r>
      <w:r w:rsidR="005B4BAD" w:rsidRPr="004F239A">
        <w:rPr>
          <w:kern w:val="22"/>
          <w:lang w:val="fr-CA"/>
        </w:rPr>
        <w:t>à mettre les principaux él</w:t>
      </w:r>
      <w:r w:rsidR="0017626F" w:rsidRPr="004F239A">
        <w:rPr>
          <w:kern w:val="22"/>
          <w:lang w:val="fr-CA"/>
        </w:rPr>
        <w:t>éments à l’œuvre.</w:t>
      </w:r>
    </w:p>
    <w:p w14:paraId="620BE359" w14:textId="2E3C426D" w:rsidR="00077F14" w:rsidRPr="004F239A" w:rsidRDefault="00113364"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Pr>
          <w:kern w:val="22"/>
          <w:lang w:val="fr-CA"/>
        </w:rPr>
        <w:t>Le</w:t>
      </w:r>
      <w:r w:rsidR="0017626F" w:rsidRPr="004F239A">
        <w:rPr>
          <w:kern w:val="22"/>
          <w:lang w:val="fr-CA"/>
        </w:rPr>
        <w:t xml:space="preserve"> plan d’action sur le renforcement des capacités pour le Protocole de Cartagena, élaboré en réponse à la décision CP-</w:t>
      </w:r>
      <w:hyperlink r:id="rId20" w:history="1">
        <w:r w:rsidR="009669E1" w:rsidRPr="009669E1">
          <w:rPr>
            <w:rStyle w:val="Hyperlink"/>
            <w:kern w:val="22"/>
            <w:sz w:val="22"/>
            <w:lang w:val="fr-CA"/>
          </w:rPr>
          <w:t>9</w:t>
        </w:r>
        <w:bookmarkStart w:id="8" w:name="_GoBack"/>
        <w:bookmarkEnd w:id="8"/>
        <w:r w:rsidR="009669E1" w:rsidRPr="009669E1">
          <w:rPr>
            <w:rStyle w:val="Hyperlink"/>
            <w:kern w:val="22"/>
            <w:sz w:val="22"/>
            <w:lang w:val="fr-CA"/>
          </w:rPr>
          <w:t>/3</w:t>
        </w:r>
      </w:hyperlink>
      <w:r w:rsidR="0017626F" w:rsidRPr="004F239A">
        <w:rPr>
          <w:rStyle w:val="FootnoteReference"/>
          <w:kern w:val="22"/>
          <w:lang w:val="fr-CA"/>
        </w:rPr>
        <w:footnoteReference w:id="24"/>
      </w:r>
      <w:r w:rsidR="0017626F" w:rsidRPr="004F239A">
        <w:rPr>
          <w:kern w:val="22"/>
          <w:lang w:val="fr-CA"/>
        </w:rPr>
        <w:t xml:space="preserve"> </w:t>
      </w:r>
      <w:r w:rsidR="005B4BAD" w:rsidRPr="004F239A">
        <w:rPr>
          <w:kern w:val="22"/>
          <w:lang w:val="fr-CA"/>
        </w:rPr>
        <w:t xml:space="preserve">et </w:t>
      </w:r>
      <w:r w:rsidR="0017626F" w:rsidRPr="004F239A">
        <w:rPr>
          <w:kern w:val="22"/>
          <w:lang w:val="fr-CA"/>
        </w:rPr>
        <w:t>qui renvoie à plusieurs principes généraux, méthodes et stratégies mises de l’</w:t>
      </w:r>
      <w:r w:rsidR="005B4BAD" w:rsidRPr="004F239A">
        <w:rPr>
          <w:kern w:val="22"/>
          <w:lang w:val="fr-CA"/>
        </w:rPr>
        <w:t>avant dans l</w:t>
      </w:r>
      <w:r w:rsidR="0017626F" w:rsidRPr="004F239A">
        <w:rPr>
          <w:kern w:val="22"/>
          <w:lang w:val="fr-CA"/>
        </w:rPr>
        <w:t>e cadre stratégique, compl</w:t>
      </w:r>
      <w:r w:rsidR="005B4BAD" w:rsidRPr="004F239A">
        <w:rPr>
          <w:kern w:val="22"/>
          <w:lang w:val="fr-CA"/>
        </w:rPr>
        <w:t xml:space="preserve">ète </w:t>
      </w:r>
      <w:r w:rsidR="0017626F" w:rsidRPr="004F239A">
        <w:rPr>
          <w:kern w:val="22"/>
          <w:lang w:val="fr-CA"/>
        </w:rPr>
        <w:t>le cadre stratégique</w:t>
      </w:r>
      <w:r w:rsidR="0067493D" w:rsidRPr="004F239A">
        <w:rPr>
          <w:kern w:val="22"/>
          <w:lang w:val="fr-CA"/>
        </w:rPr>
        <w:t>.</w:t>
      </w:r>
    </w:p>
    <w:p w14:paraId="0F048775" w14:textId="30181AA6" w:rsidR="004A3E7E" w:rsidRPr="004F239A" w:rsidRDefault="005B4BAD"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spacing w:val="-2"/>
          <w:kern w:val="22"/>
          <w:szCs w:val="22"/>
          <w:lang w:val="fr-CA"/>
        </w:rPr>
        <w:t>Bien que les échanges sur le plan d’action pour le renforcement des capacités et le plan d’action pour le Protocole de Cartagena soient prévus au point 5 de l’ordre du jour provisoire</w:t>
      </w:r>
      <w:r w:rsidR="00BC7D2D" w:rsidRPr="004F239A">
        <w:rPr>
          <w:spacing w:val="-2"/>
          <w:kern w:val="22"/>
          <w:szCs w:val="22"/>
          <w:lang w:val="fr-CA"/>
        </w:rPr>
        <w:t xml:space="preserve"> (voir CBD/SBI/3/1/A</w:t>
      </w:r>
      <w:r w:rsidR="00F50701">
        <w:rPr>
          <w:spacing w:val="-2"/>
          <w:kern w:val="22"/>
          <w:szCs w:val="22"/>
          <w:lang w:val="fr-CA"/>
        </w:rPr>
        <w:t>d</w:t>
      </w:r>
      <w:r w:rsidR="00BC7D2D" w:rsidRPr="004F239A">
        <w:rPr>
          <w:spacing w:val="-2"/>
          <w:kern w:val="22"/>
          <w:szCs w:val="22"/>
          <w:lang w:val="fr-CA"/>
        </w:rPr>
        <w:t xml:space="preserve">d.1/Rev.2), </w:t>
      </w:r>
      <w:r w:rsidRPr="004F239A">
        <w:rPr>
          <w:spacing w:val="-2"/>
          <w:kern w:val="22"/>
          <w:szCs w:val="22"/>
          <w:lang w:val="fr-CA"/>
        </w:rPr>
        <w:t>l’Organe subsidiaire chargé de l</w:t>
      </w:r>
      <w:r w:rsidR="00F50701">
        <w:rPr>
          <w:spacing w:val="-2"/>
          <w:kern w:val="22"/>
          <w:szCs w:val="22"/>
          <w:lang w:val="fr-CA"/>
        </w:rPr>
        <w:t>’</w:t>
      </w:r>
      <w:r w:rsidRPr="004F239A">
        <w:rPr>
          <w:spacing w:val="-2"/>
          <w:kern w:val="22"/>
          <w:szCs w:val="22"/>
          <w:lang w:val="fr-CA"/>
        </w:rPr>
        <w:t>application pourrait souhaiter prendre en compte le plan d’action pour le renforcement des capacités pour le Protocole au point 7 de l’ordre du jour</w:t>
      </w:r>
      <w:r w:rsidR="0067493D" w:rsidRPr="004F239A">
        <w:rPr>
          <w:spacing w:val="-2"/>
          <w:kern w:val="22"/>
          <w:szCs w:val="22"/>
          <w:lang w:val="fr-CA"/>
        </w:rPr>
        <w:t>.</w:t>
      </w:r>
    </w:p>
    <w:p w14:paraId="3BCD5691" w14:textId="62DC1372" w:rsidR="004A3E7E" w:rsidRPr="004F239A" w:rsidRDefault="00BC7D2D"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L’Organe subsidiaire chargé de l</w:t>
      </w:r>
      <w:r w:rsidR="00F50701">
        <w:rPr>
          <w:kern w:val="22"/>
          <w:lang w:val="fr-CA"/>
        </w:rPr>
        <w:t>’</w:t>
      </w:r>
      <w:r w:rsidRPr="004F239A">
        <w:rPr>
          <w:kern w:val="22"/>
          <w:lang w:val="fr-CA"/>
        </w:rPr>
        <w:t xml:space="preserve">application pourrait souhaiter examiner et réviser, s’il y a lieu, le projet de cadre stratégique </w:t>
      </w:r>
      <w:r w:rsidR="000C1FF2" w:rsidRPr="004F239A">
        <w:rPr>
          <w:kern w:val="22"/>
          <w:lang w:val="fr-CA"/>
        </w:rPr>
        <w:t xml:space="preserve">à long terme </w:t>
      </w:r>
      <w:r w:rsidRPr="004F239A">
        <w:rPr>
          <w:kern w:val="22"/>
          <w:lang w:val="fr-CA"/>
        </w:rPr>
        <w:t xml:space="preserve">et le projet de recommandations conformément à l’orientation donnée </w:t>
      </w:r>
      <w:r w:rsidR="000C1FF2" w:rsidRPr="004F239A">
        <w:rPr>
          <w:kern w:val="22"/>
          <w:lang w:val="fr-CA"/>
        </w:rPr>
        <w:t>à</w:t>
      </w:r>
      <w:r w:rsidRPr="004F239A">
        <w:rPr>
          <w:kern w:val="22"/>
          <w:lang w:val="fr-CA"/>
        </w:rPr>
        <w:t xml:space="preserve"> la partie V ci-dessous et les acheminer pour examen par la Conférence des Parties à sa quinzième réunion</w:t>
      </w:r>
      <w:r w:rsidR="004A3E7E" w:rsidRPr="004F239A">
        <w:rPr>
          <w:kern w:val="22"/>
          <w:lang w:val="fr-CA"/>
        </w:rPr>
        <w:t>.</w:t>
      </w:r>
    </w:p>
    <w:p w14:paraId="4F7EC1F4" w14:textId="1CA2D0FC" w:rsidR="004A3E7E" w:rsidRPr="004F239A" w:rsidRDefault="000C1FF2" w:rsidP="00AA5D70">
      <w:pPr>
        <w:pStyle w:val="Heading1"/>
        <w:numPr>
          <w:ilvl w:val="0"/>
          <w:numId w:val="5"/>
        </w:numPr>
        <w:suppressLineNumbers/>
        <w:tabs>
          <w:tab w:val="clear" w:pos="720"/>
          <w:tab w:val="left" w:pos="426"/>
        </w:tabs>
        <w:suppressAutoHyphens/>
        <w:kinsoku w:val="0"/>
        <w:overflowPunct w:val="0"/>
        <w:autoSpaceDE w:val="0"/>
        <w:autoSpaceDN w:val="0"/>
        <w:adjustRightInd w:val="0"/>
        <w:snapToGrid w:val="0"/>
        <w:spacing w:before="120"/>
        <w:ind w:left="0" w:firstLine="0"/>
        <w:rPr>
          <w:snapToGrid w:val="0"/>
          <w:kern w:val="22"/>
          <w:lang w:val="fr-CA"/>
        </w:rPr>
      </w:pPr>
      <w:r w:rsidRPr="004F239A">
        <w:rPr>
          <w:snapToGrid w:val="0"/>
          <w:kern w:val="22"/>
          <w:lang w:val="fr-CA"/>
        </w:rPr>
        <w:t>COOPÉRATION TECHNIQUE ET SCIENTIFIQUE ET TRANSFERT DE TECHNOLOGIE</w:t>
      </w:r>
    </w:p>
    <w:p w14:paraId="4CE3A035" w14:textId="0A91AE2D" w:rsidR="004A3E7E" w:rsidRPr="004F239A" w:rsidRDefault="000C1FF2" w:rsidP="00AA5D70">
      <w:pPr>
        <w:pStyle w:val="Heading2"/>
        <w:numPr>
          <w:ilvl w:val="0"/>
          <w:numId w:val="53"/>
        </w:numPr>
        <w:suppressLineNumbers/>
        <w:tabs>
          <w:tab w:val="clear" w:pos="720"/>
        </w:tabs>
        <w:suppressAutoHyphens/>
        <w:kinsoku w:val="0"/>
        <w:overflowPunct w:val="0"/>
        <w:autoSpaceDE w:val="0"/>
        <w:autoSpaceDN w:val="0"/>
        <w:adjustRightInd w:val="0"/>
        <w:snapToGrid w:val="0"/>
        <w:ind w:left="714" w:hanging="357"/>
        <w:rPr>
          <w:snapToGrid w:val="0"/>
          <w:kern w:val="22"/>
          <w:lang w:val="fr-CA"/>
        </w:rPr>
      </w:pPr>
      <w:bookmarkStart w:id="9" w:name="_Toc57201904"/>
      <w:bookmarkStart w:id="10" w:name="_Hlk57389678"/>
      <w:bookmarkEnd w:id="9"/>
      <w:r w:rsidRPr="004F239A">
        <w:rPr>
          <w:snapToGrid w:val="0"/>
          <w:kern w:val="22"/>
          <w:lang w:val="fr-CA"/>
        </w:rPr>
        <w:t xml:space="preserve">Rapport sur l’état d’achèvement de la coopération technique et scientifique </w:t>
      </w:r>
      <w:r w:rsidRPr="004F239A">
        <w:rPr>
          <w:snapToGrid w:val="0"/>
          <w:kern w:val="22"/>
          <w:lang w:val="fr-CA"/>
        </w:rPr>
        <w:br/>
        <w:t xml:space="preserve">et le transfert de </w:t>
      </w:r>
      <w:r w:rsidR="00DD366D">
        <w:rPr>
          <w:snapToGrid w:val="0"/>
          <w:kern w:val="22"/>
          <w:lang w:val="fr-CA"/>
        </w:rPr>
        <w:t>technologie</w:t>
      </w:r>
    </w:p>
    <w:bookmarkEnd w:id="10"/>
    <w:p w14:paraId="22B7747A" w14:textId="27C33164" w:rsidR="00555F79" w:rsidRPr="004F239A" w:rsidRDefault="000C1FF2"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Conformément aux décisions</w:t>
      </w:r>
      <w:r w:rsidR="00555F79" w:rsidRPr="004F239A">
        <w:rPr>
          <w:snapToGrid w:val="0"/>
          <w:kern w:val="22"/>
          <w:szCs w:val="22"/>
          <w:lang w:val="fr-CA"/>
        </w:rPr>
        <w:t xml:space="preserve"> </w:t>
      </w:r>
      <w:hyperlink r:id="rId21" w:history="1">
        <w:r w:rsidR="00555F79" w:rsidRPr="004F239A">
          <w:rPr>
            <w:rStyle w:val="Hyperlink"/>
            <w:snapToGrid w:val="0"/>
            <w:kern w:val="22"/>
            <w:sz w:val="22"/>
            <w:szCs w:val="22"/>
            <w:lang w:val="fr-CA"/>
          </w:rPr>
          <w:t>XI/29</w:t>
        </w:r>
      </w:hyperlink>
      <w:r w:rsidR="00555F79" w:rsidRPr="004F239A">
        <w:rPr>
          <w:snapToGrid w:val="0"/>
          <w:kern w:val="22"/>
          <w:szCs w:val="22"/>
          <w:lang w:val="fr-CA"/>
        </w:rPr>
        <w:t xml:space="preserve">, </w:t>
      </w:r>
      <w:hyperlink r:id="rId22" w:history="1">
        <w:r w:rsidR="00555F79" w:rsidRPr="004F239A">
          <w:rPr>
            <w:rStyle w:val="Hyperlink"/>
            <w:snapToGrid w:val="0"/>
            <w:kern w:val="22"/>
            <w:sz w:val="22"/>
            <w:szCs w:val="22"/>
            <w:lang w:val="fr-CA"/>
          </w:rPr>
          <w:t>XII/2</w:t>
        </w:r>
      </w:hyperlink>
      <w:r w:rsidR="00555F79" w:rsidRPr="004F239A">
        <w:rPr>
          <w:snapToGrid w:val="0"/>
          <w:kern w:val="22"/>
          <w:szCs w:val="22"/>
          <w:lang w:val="fr-CA"/>
        </w:rPr>
        <w:t xml:space="preserve"> B,</w:t>
      </w:r>
      <w:r w:rsidR="00555F79" w:rsidRPr="004F239A">
        <w:rPr>
          <w:snapToGrid w:val="0"/>
          <w:kern w:val="22"/>
          <w:lang w:val="fr-CA"/>
        </w:rPr>
        <w:t xml:space="preserve"> XIII/23 B </w:t>
      </w:r>
      <w:r w:rsidRPr="004F239A">
        <w:rPr>
          <w:snapToGrid w:val="0"/>
          <w:kern w:val="22"/>
          <w:lang w:val="fr-CA"/>
        </w:rPr>
        <w:t>et</w:t>
      </w:r>
      <w:r w:rsidR="00555F79" w:rsidRPr="004F239A">
        <w:rPr>
          <w:snapToGrid w:val="0"/>
          <w:kern w:val="22"/>
          <w:lang w:val="fr-CA"/>
        </w:rPr>
        <w:t xml:space="preserve"> 14/24 </w:t>
      </w:r>
      <w:r w:rsidRPr="004F239A">
        <w:rPr>
          <w:snapToGrid w:val="0"/>
          <w:kern w:val="22"/>
          <w:lang w:val="fr-CA"/>
        </w:rPr>
        <w:t xml:space="preserve">de la Conférence des Parties, la Secrétaire exécutive, en collaboration avec des partenaires, a entrepris des activités afin d’appuyer et de faciliter la coopération technique et scientifique et le transfert de technologie au titre de la Convention. </w:t>
      </w:r>
      <w:r w:rsidR="00B90D22" w:rsidRPr="004F239A">
        <w:rPr>
          <w:snapToGrid w:val="0"/>
          <w:kern w:val="22"/>
          <w:lang w:val="fr-CA"/>
        </w:rPr>
        <w:t>Les activités ont été réalisées grâce à divers partenariats, programmes et initiatives, dont l’Initiative taxonomique mondial</w:t>
      </w:r>
      <w:r w:rsidR="00307469" w:rsidRPr="004F239A">
        <w:rPr>
          <w:snapToGrid w:val="0"/>
          <w:kern w:val="22"/>
          <w:lang w:val="fr-CA"/>
        </w:rPr>
        <w:t>e, l’Initiative Bio-Bridge, le P</w:t>
      </w:r>
      <w:r w:rsidR="00B90D22" w:rsidRPr="004F239A">
        <w:rPr>
          <w:snapToGrid w:val="0"/>
          <w:kern w:val="22"/>
          <w:lang w:val="fr-CA"/>
        </w:rPr>
        <w:t xml:space="preserve">rojet de restauration des écosystèmes forestiers, </w:t>
      </w:r>
      <w:r w:rsidR="00922E73" w:rsidRPr="004F239A">
        <w:rPr>
          <w:snapToGrid w:val="0"/>
          <w:kern w:val="22"/>
          <w:lang w:val="fr-CA"/>
        </w:rPr>
        <w:t>l’Initiative pour des océans durables, le Partenariat mondial pour la conservation des plantes, le Partenariat de collaboration sur la gestion durable de la vie sauvage et le Groupe de liaison interagences sur les espèces exotiques envahissantes</w:t>
      </w:r>
      <w:r w:rsidR="00555F79" w:rsidRPr="004F239A">
        <w:rPr>
          <w:snapToGrid w:val="0"/>
          <w:kern w:val="22"/>
          <w:lang w:val="fr-CA"/>
        </w:rPr>
        <w:t>.</w:t>
      </w:r>
      <w:r w:rsidR="006135FE" w:rsidRPr="004F239A">
        <w:rPr>
          <w:rStyle w:val="FootnoteReference"/>
          <w:snapToGrid w:val="0"/>
          <w:kern w:val="22"/>
          <w:lang w:val="fr-CA"/>
        </w:rPr>
        <w:footnoteReference w:id="25"/>
      </w:r>
    </w:p>
    <w:p w14:paraId="72FC227E" w14:textId="0C01FEDC" w:rsidR="00555F79" w:rsidRPr="004F239A" w:rsidRDefault="000C38E0"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L’Initiative taxonomique mondiale a offert un forum de collaboration des institutions taxonomiques conformément à la décision XI/29. Les activités ont été entreprises</w:t>
      </w:r>
      <w:r w:rsidR="00A13472">
        <w:rPr>
          <w:snapToGrid w:val="0"/>
          <w:kern w:val="22"/>
          <w:lang w:val="fr-CA"/>
        </w:rPr>
        <w:t xml:space="preserve"> en grande partie</w:t>
      </w:r>
      <w:r w:rsidRPr="004F239A">
        <w:rPr>
          <w:snapToGrid w:val="0"/>
          <w:kern w:val="22"/>
          <w:lang w:val="fr-CA"/>
        </w:rPr>
        <w:t xml:space="preserve"> par des institutions partenaires, telles que le Système mondial d’information sur la biodiversité (SMIB), le Consortium international des codes à barre </w:t>
      </w:r>
      <w:r w:rsidR="00A13472">
        <w:rPr>
          <w:snapToGrid w:val="0"/>
          <w:kern w:val="22"/>
          <w:lang w:val="fr-CA"/>
        </w:rPr>
        <w:t xml:space="preserve">de la vie et </w:t>
      </w:r>
      <w:r w:rsidR="00065C5B" w:rsidRPr="004F239A">
        <w:rPr>
          <w:snapToGrid w:val="0"/>
          <w:kern w:val="22"/>
          <w:lang w:val="fr-CA"/>
        </w:rPr>
        <w:t>le Consor</w:t>
      </w:r>
      <w:r w:rsidR="00A13472">
        <w:rPr>
          <w:snapToGrid w:val="0"/>
          <w:kern w:val="22"/>
          <w:lang w:val="fr-CA"/>
        </w:rPr>
        <w:t>tium de mécanismes taxonomiques</w:t>
      </w:r>
      <w:r w:rsidR="00065C5B" w:rsidRPr="004F239A">
        <w:rPr>
          <w:snapToGrid w:val="0"/>
          <w:kern w:val="22"/>
          <w:lang w:val="fr-CA"/>
        </w:rPr>
        <w:t>, des musées nationaux, des jardins botaniques et des collections de cultures</w:t>
      </w:r>
      <w:r w:rsidR="00A13472">
        <w:rPr>
          <w:snapToGrid w:val="0"/>
          <w:kern w:val="22"/>
          <w:lang w:val="fr-CA"/>
        </w:rPr>
        <w:t xml:space="preserve"> européens</w:t>
      </w:r>
      <w:r w:rsidR="00065C5B" w:rsidRPr="004F239A">
        <w:rPr>
          <w:snapToGrid w:val="0"/>
          <w:kern w:val="22"/>
          <w:lang w:val="fr-CA"/>
        </w:rPr>
        <w:t>. Les nomb</w:t>
      </w:r>
      <w:r w:rsidR="0046421F" w:rsidRPr="004F239A">
        <w:rPr>
          <w:snapToGrid w:val="0"/>
          <w:kern w:val="22"/>
          <w:lang w:val="fr-CA"/>
        </w:rPr>
        <w:t>r</w:t>
      </w:r>
      <w:r w:rsidR="00065C5B" w:rsidRPr="004F239A">
        <w:rPr>
          <w:snapToGrid w:val="0"/>
          <w:kern w:val="22"/>
          <w:lang w:val="fr-CA"/>
        </w:rPr>
        <w:t>eux projets internationaux ont contribué à la découverte de</w:t>
      </w:r>
      <w:r w:rsidR="00A13472">
        <w:rPr>
          <w:snapToGrid w:val="0"/>
          <w:kern w:val="22"/>
          <w:lang w:val="fr-CA"/>
        </w:rPr>
        <w:t xml:space="preserve"> </w:t>
      </w:r>
      <w:r w:rsidR="00065C5B" w:rsidRPr="004F239A">
        <w:rPr>
          <w:snapToGrid w:val="0"/>
          <w:kern w:val="22"/>
          <w:lang w:val="fr-CA"/>
        </w:rPr>
        <w:t>la biodiversité, à la formation avancée des jeunes taxon</w:t>
      </w:r>
      <w:r w:rsidR="0046421F" w:rsidRPr="004F239A">
        <w:rPr>
          <w:snapToGrid w:val="0"/>
          <w:kern w:val="22"/>
          <w:lang w:val="fr-CA"/>
        </w:rPr>
        <w:t>o</w:t>
      </w:r>
      <w:r w:rsidR="00065C5B" w:rsidRPr="004F239A">
        <w:rPr>
          <w:snapToGrid w:val="0"/>
          <w:kern w:val="22"/>
          <w:lang w:val="fr-CA"/>
        </w:rPr>
        <w:t>mistes, à l’é</w:t>
      </w:r>
      <w:r w:rsidR="0046421F" w:rsidRPr="004F239A">
        <w:rPr>
          <w:snapToGrid w:val="0"/>
          <w:kern w:val="22"/>
          <w:lang w:val="fr-CA"/>
        </w:rPr>
        <w:t>t</w:t>
      </w:r>
      <w:r w:rsidR="00065C5B" w:rsidRPr="004F239A">
        <w:rPr>
          <w:snapToGrid w:val="0"/>
          <w:kern w:val="22"/>
          <w:lang w:val="fr-CA"/>
        </w:rPr>
        <w:t xml:space="preserve">ablissement de bases de données et au partage des </w:t>
      </w:r>
      <w:r w:rsidR="00A13472">
        <w:rPr>
          <w:snapToGrid w:val="0"/>
          <w:kern w:val="22"/>
          <w:lang w:val="fr-CA"/>
        </w:rPr>
        <w:t>d</w:t>
      </w:r>
      <w:r w:rsidR="00065C5B" w:rsidRPr="004F239A">
        <w:rPr>
          <w:snapToGrid w:val="0"/>
          <w:kern w:val="22"/>
          <w:lang w:val="fr-CA"/>
        </w:rPr>
        <w:t>onnées, et à la partic</w:t>
      </w:r>
      <w:r w:rsidR="0046421F" w:rsidRPr="004F239A">
        <w:rPr>
          <w:snapToGrid w:val="0"/>
          <w:kern w:val="22"/>
          <w:lang w:val="fr-CA"/>
        </w:rPr>
        <w:t>i</w:t>
      </w:r>
      <w:r w:rsidR="00065C5B" w:rsidRPr="004F239A">
        <w:rPr>
          <w:snapToGrid w:val="0"/>
          <w:kern w:val="22"/>
          <w:lang w:val="fr-CA"/>
        </w:rPr>
        <w:t>pation des organes de réglementation et des organisations régionales à l’applic</w:t>
      </w:r>
      <w:r w:rsidR="0046421F" w:rsidRPr="004F239A">
        <w:rPr>
          <w:snapToGrid w:val="0"/>
          <w:kern w:val="22"/>
          <w:lang w:val="fr-CA"/>
        </w:rPr>
        <w:t>ati</w:t>
      </w:r>
      <w:r w:rsidR="00065C5B" w:rsidRPr="004F239A">
        <w:rPr>
          <w:snapToGrid w:val="0"/>
          <w:kern w:val="22"/>
          <w:lang w:val="fr-CA"/>
        </w:rPr>
        <w:t>on des technologies avancées à la taxonomie. Leurs produits techniques et scientif</w:t>
      </w:r>
      <w:r w:rsidR="00A13472">
        <w:rPr>
          <w:snapToGrid w:val="0"/>
          <w:kern w:val="22"/>
          <w:lang w:val="fr-CA"/>
        </w:rPr>
        <w:t>iques comprennent, entre autres</w:t>
      </w:r>
      <w:r w:rsidR="00F50701">
        <w:rPr>
          <w:snapToGrid w:val="0"/>
          <w:kern w:val="22"/>
          <w:lang w:val="fr-CA"/>
        </w:rPr>
        <w:t> </w:t>
      </w:r>
      <w:r w:rsidR="00065C5B" w:rsidRPr="004F239A">
        <w:rPr>
          <w:snapToGrid w:val="0"/>
          <w:kern w:val="22"/>
          <w:lang w:val="fr-CA"/>
        </w:rPr>
        <w:t>: a)</w:t>
      </w:r>
      <w:r w:rsidR="0046421F" w:rsidRPr="004F239A">
        <w:rPr>
          <w:snapToGrid w:val="0"/>
          <w:kern w:val="22"/>
          <w:lang w:val="fr-CA"/>
        </w:rPr>
        <w:t xml:space="preserve"> </w:t>
      </w:r>
      <w:r w:rsidR="00065C5B" w:rsidRPr="004F239A">
        <w:rPr>
          <w:snapToGrid w:val="0"/>
          <w:kern w:val="22"/>
          <w:lang w:val="fr-CA"/>
        </w:rPr>
        <w:t>de la document</w:t>
      </w:r>
      <w:r w:rsidR="0046421F" w:rsidRPr="004F239A">
        <w:rPr>
          <w:snapToGrid w:val="0"/>
          <w:kern w:val="22"/>
          <w:lang w:val="fr-CA"/>
        </w:rPr>
        <w:t>ati</w:t>
      </w:r>
      <w:r w:rsidR="00065C5B" w:rsidRPr="004F239A">
        <w:rPr>
          <w:snapToGrid w:val="0"/>
          <w:kern w:val="22"/>
          <w:lang w:val="fr-CA"/>
        </w:rPr>
        <w:t>on sur la biodiversité et les collections de spécimens</w:t>
      </w:r>
      <w:r w:rsidR="00F50701">
        <w:rPr>
          <w:snapToGrid w:val="0"/>
          <w:kern w:val="22"/>
          <w:lang w:val="fr-CA"/>
        </w:rPr>
        <w:t> </w:t>
      </w:r>
      <w:r w:rsidR="00065C5B" w:rsidRPr="004F239A">
        <w:rPr>
          <w:snapToGrid w:val="0"/>
          <w:kern w:val="22"/>
          <w:lang w:val="fr-CA"/>
        </w:rPr>
        <w:t>; b) les biblio</w:t>
      </w:r>
      <w:r w:rsidR="0046421F" w:rsidRPr="004F239A">
        <w:rPr>
          <w:snapToGrid w:val="0"/>
          <w:kern w:val="22"/>
          <w:lang w:val="fr-CA"/>
        </w:rPr>
        <w:t>thèqu</w:t>
      </w:r>
      <w:r w:rsidR="00065C5B" w:rsidRPr="004F239A">
        <w:rPr>
          <w:snapToGrid w:val="0"/>
          <w:kern w:val="22"/>
          <w:lang w:val="fr-CA"/>
        </w:rPr>
        <w:t>es numériques</w:t>
      </w:r>
      <w:r w:rsidRPr="004F239A">
        <w:rPr>
          <w:snapToGrid w:val="0"/>
          <w:kern w:val="22"/>
          <w:lang w:val="fr-CA"/>
        </w:rPr>
        <w:t xml:space="preserve"> </w:t>
      </w:r>
      <w:r w:rsidR="00555F79" w:rsidRPr="004F239A">
        <w:rPr>
          <w:rStyle w:val="FootnoteReference"/>
          <w:snapToGrid w:val="0"/>
          <w:kern w:val="22"/>
          <w:lang w:val="fr-CA"/>
        </w:rPr>
        <w:footnoteReference w:id="26"/>
      </w:r>
      <w:r w:rsidR="00555F79" w:rsidRPr="004F239A">
        <w:rPr>
          <w:snapToGrid w:val="0"/>
          <w:kern w:val="22"/>
          <w:lang w:val="fr-CA"/>
        </w:rPr>
        <w:t xml:space="preserve"> </w:t>
      </w:r>
      <w:r w:rsidR="00065C5B" w:rsidRPr="004F239A">
        <w:rPr>
          <w:snapToGrid w:val="0"/>
          <w:kern w:val="22"/>
          <w:lang w:val="fr-CA"/>
        </w:rPr>
        <w:t>en taxonomie</w:t>
      </w:r>
      <w:r w:rsidR="00F50701">
        <w:rPr>
          <w:snapToGrid w:val="0"/>
          <w:kern w:val="22"/>
          <w:lang w:val="fr-CA"/>
        </w:rPr>
        <w:t> </w:t>
      </w:r>
      <w:r w:rsidR="00555F79" w:rsidRPr="004F239A">
        <w:rPr>
          <w:snapToGrid w:val="0"/>
          <w:kern w:val="22"/>
          <w:lang w:val="fr-CA"/>
        </w:rPr>
        <w:t xml:space="preserve">; </w:t>
      </w:r>
      <w:r w:rsidR="00065C5B" w:rsidRPr="004F239A">
        <w:rPr>
          <w:snapToGrid w:val="0"/>
          <w:kern w:val="22"/>
          <w:lang w:val="fr-CA"/>
        </w:rPr>
        <w:t xml:space="preserve">et c) </w:t>
      </w:r>
      <w:r w:rsidR="0046421F" w:rsidRPr="004F239A">
        <w:rPr>
          <w:snapToGrid w:val="0"/>
          <w:kern w:val="22"/>
          <w:lang w:val="fr-CA"/>
        </w:rPr>
        <w:t xml:space="preserve">une </w:t>
      </w:r>
      <w:r w:rsidR="0046421F" w:rsidRPr="004F239A">
        <w:rPr>
          <w:snapToGrid w:val="0"/>
          <w:kern w:val="22"/>
          <w:lang w:val="fr-CA"/>
        </w:rPr>
        <w:lastRenderedPageBreak/>
        <w:t>orientation technique pour l’accès et le partage des avantages</w:t>
      </w:r>
      <w:r w:rsidR="00555F79" w:rsidRPr="004F239A">
        <w:rPr>
          <w:snapToGrid w:val="0"/>
          <w:kern w:val="22"/>
          <w:lang w:val="fr-CA"/>
        </w:rPr>
        <w:t>.</w:t>
      </w:r>
      <w:r w:rsidR="00555F79" w:rsidRPr="004F239A">
        <w:rPr>
          <w:rStyle w:val="FootnoteReference"/>
          <w:snapToGrid w:val="0"/>
          <w:kern w:val="22"/>
          <w:lang w:val="fr-CA"/>
        </w:rPr>
        <w:footnoteReference w:id="27"/>
      </w:r>
      <w:r w:rsidR="00555F79" w:rsidRPr="004F239A">
        <w:rPr>
          <w:snapToGrid w:val="0"/>
          <w:kern w:val="22"/>
          <w:lang w:val="fr-CA"/>
        </w:rPr>
        <w:t xml:space="preserve"> </w:t>
      </w:r>
      <w:r w:rsidR="0046421F" w:rsidRPr="004F239A">
        <w:rPr>
          <w:snapToGrid w:val="0"/>
          <w:kern w:val="22"/>
          <w:lang w:val="fr-CA"/>
        </w:rPr>
        <w:t>Les produits ont également contribué à l’avancement des études taxonomiques, l’élaboration de guides de poche sur la biodiversité et la forte participation de citoyens scientifiques au suivi et à la consignation de la diversité biologique à l’échelle locale</w:t>
      </w:r>
      <w:r w:rsidR="00555F79" w:rsidRPr="004F239A">
        <w:rPr>
          <w:snapToGrid w:val="0"/>
          <w:kern w:val="22"/>
          <w:lang w:val="fr-CA"/>
        </w:rPr>
        <w:t>.</w:t>
      </w:r>
      <w:r w:rsidR="00555F79" w:rsidRPr="004F239A">
        <w:rPr>
          <w:rStyle w:val="FootnoteReference"/>
          <w:snapToGrid w:val="0"/>
          <w:kern w:val="22"/>
          <w:lang w:val="fr-CA"/>
        </w:rPr>
        <w:footnoteReference w:id="28"/>
      </w:r>
    </w:p>
    <w:p w14:paraId="4DC42220" w14:textId="1C1147E7" w:rsidR="00555F79" w:rsidRPr="004F239A" w:rsidRDefault="00480141"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L’Initiative Bio-Bridge a entrepris et achevé avec succès dix nouveaux projets de démonstration en Afrique du Sud, au Bénin, au Brésil, au Lib</w:t>
      </w:r>
      <w:r w:rsidR="00F50701">
        <w:rPr>
          <w:snapToGrid w:val="0"/>
          <w:kern w:val="22"/>
          <w:lang w:val="fr-CA"/>
        </w:rPr>
        <w:t>e</w:t>
      </w:r>
      <w:r w:rsidRPr="004F239A">
        <w:rPr>
          <w:snapToGrid w:val="0"/>
          <w:kern w:val="22"/>
          <w:lang w:val="fr-CA"/>
        </w:rPr>
        <w:t>ria, en République de Moldavie, en Namibie, au Sénégal, à Singapour, au Sri Lanka et en Thaïlande depuis la dernière réunion de la Conférence des Parties, en novembre 2018</w:t>
      </w:r>
      <w:r w:rsidR="00555F79" w:rsidRPr="004F239A">
        <w:rPr>
          <w:snapToGrid w:val="0"/>
          <w:kern w:val="22"/>
          <w:lang w:val="fr-CA"/>
        </w:rPr>
        <w:t>.</w:t>
      </w:r>
      <w:r w:rsidR="00555F79" w:rsidRPr="004F239A">
        <w:rPr>
          <w:rStyle w:val="FootnoteReference"/>
          <w:snapToGrid w:val="0"/>
          <w:kern w:val="22"/>
          <w:lang w:val="fr-CA"/>
        </w:rPr>
        <w:footnoteReference w:id="29"/>
      </w:r>
      <w:r w:rsidR="00555F79" w:rsidRPr="004F239A">
        <w:rPr>
          <w:snapToGrid w:val="0"/>
          <w:kern w:val="22"/>
          <w:lang w:val="fr-CA"/>
        </w:rPr>
        <w:t xml:space="preserve"> </w:t>
      </w:r>
      <w:r w:rsidR="00DE726F" w:rsidRPr="004F239A">
        <w:rPr>
          <w:snapToGrid w:val="0"/>
          <w:kern w:val="22"/>
          <w:lang w:val="fr-CA"/>
        </w:rPr>
        <w:t xml:space="preserve">En réponse à un appel de propositions pour la troisième ronde de projets de démonstration </w:t>
      </w:r>
      <w:r w:rsidR="00552136">
        <w:rPr>
          <w:snapToGrid w:val="0"/>
          <w:kern w:val="22"/>
          <w:lang w:val="fr-CA"/>
        </w:rPr>
        <w:t>de l’Initiative Bio-Bridge lancé</w:t>
      </w:r>
      <w:r w:rsidR="00DE726F" w:rsidRPr="004F239A">
        <w:rPr>
          <w:snapToGrid w:val="0"/>
          <w:kern w:val="22"/>
          <w:lang w:val="fr-CA"/>
        </w:rPr>
        <w:t xml:space="preserve"> en juin 2020</w:t>
      </w:r>
      <w:r w:rsidR="00555F79" w:rsidRPr="004F239A">
        <w:rPr>
          <w:snapToGrid w:val="0"/>
          <w:kern w:val="22"/>
          <w:lang w:val="fr-CA"/>
        </w:rPr>
        <w:t>,</w:t>
      </w:r>
      <w:r w:rsidR="00555F79" w:rsidRPr="004F239A">
        <w:rPr>
          <w:rStyle w:val="FootnoteReference"/>
          <w:snapToGrid w:val="0"/>
          <w:kern w:val="22"/>
          <w:lang w:val="fr-CA"/>
        </w:rPr>
        <w:footnoteReference w:id="30"/>
      </w:r>
      <w:r w:rsidR="00555F79" w:rsidRPr="004F239A">
        <w:rPr>
          <w:snapToGrid w:val="0"/>
          <w:kern w:val="22"/>
          <w:lang w:val="fr-CA"/>
        </w:rPr>
        <w:t xml:space="preserve"> </w:t>
      </w:r>
      <w:r w:rsidR="00DE726F" w:rsidRPr="004F239A">
        <w:rPr>
          <w:snapToGrid w:val="0"/>
          <w:kern w:val="22"/>
          <w:lang w:val="fr-CA"/>
        </w:rPr>
        <w:t>99 propositions ont été reçues et</w:t>
      </w:r>
      <w:r w:rsidR="00552136">
        <w:rPr>
          <w:snapToGrid w:val="0"/>
          <w:kern w:val="22"/>
          <w:lang w:val="fr-CA"/>
        </w:rPr>
        <w:t xml:space="preserve"> évaluées, et 15 projets parmi c</w:t>
      </w:r>
      <w:r w:rsidR="00DE726F" w:rsidRPr="004F239A">
        <w:rPr>
          <w:snapToGrid w:val="0"/>
          <w:kern w:val="22"/>
          <w:lang w:val="fr-CA"/>
        </w:rPr>
        <w:t>es propositions seront appuyés</w:t>
      </w:r>
      <w:r w:rsidR="00555F79" w:rsidRPr="004F239A">
        <w:rPr>
          <w:snapToGrid w:val="0"/>
          <w:kern w:val="22"/>
          <w:lang w:val="fr-CA"/>
        </w:rPr>
        <w:t>.</w:t>
      </w:r>
    </w:p>
    <w:p w14:paraId="785E0442" w14:textId="1F43BABC" w:rsidR="00555F79" w:rsidRPr="004F239A" w:rsidRDefault="00DE726F"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 xml:space="preserve">Le Secrétariat a mis à jour la plateforme de jumelage en ligne de l’Initiative Bio-Bridge et offert un service d’assistance </w:t>
      </w:r>
      <w:r w:rsidR="00552136">
        <w:rPr>
          <w:snapToGrid w:val="0"/>
          <w:kern w:val="22"/>
          <w:lang w:val="fr-CA"/>
        </w:rPr>
        <w:t xml:space="preserve">informatique </w:t>
      </w:r>
      <w:r w:rsidRPr="004F239A">
        <w:rPr>
          <w:snapToGrid w:val="0"/>
          <w:kern w:val="22"/>
          <w:lang w:val="fr-CA"/>
        </w:rPr>
        <w:t xml:space="preserve">afin d’appuyer les Parties ayant cerné des besoins de coopération technique et scientifique. </w:t>
      </w:r>
      <w:r w:rsidR="00544E83" w:rsidRPr="004F239A">
        <w:rPr>
          <w:snapToGrid w:val="0"/>
          <w:kern w:val="22"/>
          <w:lang w:val="fr-CA"/>
        </w:rPr>
        <w:t>À ce jour, 48 entités de 21 pays sont enregistrées à titre de fournisseurs d’assistance technique sur la plateforme et 160 occasions (dont des subventions, des bourses de recherche et des occasions de formation) ont été annoncées.</w:t>
      </w:r>
    </w:p>
    <w:p w14:paraId="49D641A0" w14:textId="33990A74" w:rsidR="00555F79" w:rsidRPr="004F239A" w:rsidRDefault="00544E83"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Le Secrétariat a aussi continué à appuyer le </w:t>
      </w:r>
      <w:r w:rsidR="00371224">
        <w:rPr>
          <w:snapToGrid w:val="0"/>
          <w:kern w:val="22"/>
          <w:lang w:val="fr-CA"/>
        </w:rPr>
        <w:t xml:space="preserve">Consortium </w:t>
      </w:r>
      <w:r w:rsidRPr="004F239A">
        <w:rPr>
          <w:snapToGrid w:val="0"/>
          <w:kern w:val="22"/>
          <w:lang w:val="fr-CA"/>
        </w:rPr>
        <w:t xml:space="preserve">de partenaires scientifiques sur la biodiversité dans la mise en œuvre de son programme de travail. </w:t>
      </w:r>
      <w:r w:rsidR="00E474DE" w:rsidRPr="004F239A">
        <w:rPr>
          <w:snapToGrid w:val="0"/>
          <w:kern w:val="22"/>
          <w:lang w:val="fr-CA"/>
        </w:rPr>
        <w:t>Il a notam</w:t>
      </w:r>
      <w:r w:rsidRPr="004F239A">
        <w:rPr>
          <w:snapToGrid w:val="0"/>
          <w:kern w:val="22"/>
          <w:lang w:val="fr-CA"/>
        </w:rPr>
        <w:t xml:space="preserve">ment aidé </w:t>
      </w:r>
      <w:r w:rsidR="00E474DE" w:rsidRPr="004F239A">
        <w:rPr>
          <w:snapToGrid w:val="0"/>
          <w:kern w:val="22"/>
          <w:lang w:val="fr-CA"/>
        </w:rPr>
        <w:t xml:space="preserve">le Consortium à organiser </w:t>
      </w:r>
      <w:r w:rsidR="00371224">
        <w:rPr>
          <w:snapToGrid w:val="0"/>
          <w:kern w:val="22"/>
          <w:lang w:val="fr-CA"/>
        </w:rPr>
        <w:t>sa réunion générale et à présenter</w:t>
      </w:r>
      <w:r w:rsidR="00E474DE" w:rsidRPr="004F239A">
        <w:rPr>
          <w:snapToGrid w:val="0"/>
          <w:kern w:val="22"/>
          <w:lang w:val="fr-CA"/>
        </w:rPr>
        <w:t xml:space="preserve"> deux activités en parallèle en marge de la vingt-troisième réunion de l’Organe subsidiaire chargé de fournir des avis scientifiques, techniques et technologiques, en novembre 2019. </w:t>
      </w:r>
      <w:r w:rsidR="00667AE3" w:rsidRPr="004F239A">
        <w:rPr>
          <w:snapToGrid w:val="0"/>
          <w:kern w:val="22"/>
          <w:lang w:val="fr-CA"/>
        </w:rPr>
        <w:t>De plus, le Secrétariat a continué à appuyer les institutions intéressées à devenir membres du Consortium de partenaires scientifiques</w:t>
      </w:r>
      <w:r w:rsidR="00371224">
        <w:rPr>
          <w:snapToGrid w:val="0"/>
          <w:kern w:val="22"/>
          <w:lang w:val="fr-CA"/>
        </w:rPr>
        <w:t xml:space="preserve"> sur la biodiversité</w:t>
      </w:r>
      <w:r w:rsidR="00667AE3" w:rsidRPr="004F239A">
        <w:rPr>
          <w:snapToGrid w:val="0"/>
          <w:kern w:val="22"/>
          <w:lang w:val="fr-CA"/>
        </w:rPr>
        <w:t>. Une institution, l’Institut national de la biodiversité de l’Équateur, a adhéré au Consortium, tandis que cinq autres sont en voie de le faire.</w:t>
      </w:r>
    </w:p>
    <w:p w14:paraId="3BA07576" w14:textId="4CB9025D" w:rsidR="00555F79" w:rsidRPr="004F239A" w:rsidRDefault="00667AE3"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Le Secrétariat est en train de faciliter la préparation du cinquième forum scientifique et politique pour la </w:t>
      </w:r>
      <w:r w:rsidR="0035584F" w:rsidRPr="004F239A">
        <w:rPr>
          <w:snapToGrid w:val="0"/>
          <w:kern w:val="22"/>
          <w:lang w:val="fr-CA"/>
        </w:rPr>
        <w:t>biodiversité</w:t>
      </w:r>
      <w:r w:rsidRPr="004F239A">
        <w:rPr>
          <w:snapToGrid w:val="0"/>
          <w:kern w:val="22"/>
          <w:lang w:val="fr-CA"/>
        </w:rPr>
        <w:t xml:space="preserve">, </w:t>
      </w:r>
      <w:r w:rsidR="00371224">
        <w:rPr>
          <w:snapToGrid w:val="0"/>
          <w:kern w:val="22"/>
          <w:lang w:val="fr-CA"/>
        </w:rPr>
        <w:t>qui aura pour</w:t>
      </w:r>
      <w:r w:rsidRPr="004F239A">
        <w:rPr>
          <w:snapToGrid w:val="0"/>
          <w:kern w:val="22"/>
          <w:lang w:val="fr-CA"/>
        </w:rPr>
        <w:t xml:space="preserve"> thème </w:t>
      </w:r>
      <w:r w:rsidR="00371224">
        <w:rPr>
          <w:snapToGrid w:val="0"/>
          <w:kern w:val="22"/>
          <w:lang w:val="fr-CA"/>
        </w:rPr>
        <w:t>le</w:t>
      </w:r>
      <w:r w:rsidRPr="004F239A">
        <w:rPr>
          <w:snapToGrid w:val="0"/>
          <w:kern w:val="22"/>
          <w:lang w:val="fr-CA"/>
        </w:rPr>
        <w:t xml:space="preserve"> r</w:t>
      </w:r>
      <w:r w:rsidR="0035584F" w:rsidRPr="004F239A">
        <w:rPr>
          <w:snapToGrid w:val="0"/>
          <w:kern w:val="22"/>
          <w:lang w:val="fr-CA"/>
        </w:rPr>
        <w:t>ô</w:t>
      </w:r>
      <w:r w:rsidRPr="004F239A">
        <w:rPr>
          <w:snapToGrid w:val="0"/>
          <w:kern w:val="22"/>
          <w:lang w:val="fr-CA"/>
        </w:rPr>
        <w:t>le de la science, de la technologie et de l’</w:t>
      </w:r>
      <w:r w:rsidR="0035584F" w:rsidRPr="004F239A">
        <w:rPr>
          <w:snapToGrid w:val="0"/>
          <w:kern w:val="22"/>
          <w:lang w:val="fr-CA"/>
        </w:rPr>
        <w:t>inno</w:t>
      </w:r>
      <w:r w:rsidRPr="004F239A">
        <w:rPr>
          <w:snapToGrid w:val="0"/>
          <w:kern w:val="22"/>
          <w:lang w:val="fr-CA"/>
        </w:rPr>
        <w:t xml:space="preserve">vation pour </w:t>
      </w:r>
      <w:r w:rsidR="0035584F" w:rsidRPr="004F239A">
        <w:rPr>
          <w:snapToGrid w:val="0"/>
          <w:kern w:val="22"/>
          <w:lang w:val="fr-CA"/>
        </w:rPr>
        <w:t>ralentir l’appauvrissement de la diversité biologique et contribuer à la réalisation de la Vision 2050 Vivre en harmonie avec la nature</w:t>
      </w:r>
      <w:r w:rsidR="00371224">
        <w:rPr>
          <w:snapToGrid w:val="0"/>
          <w:kern w:val="22"/>
          <w:lang w:val="fr-CA"/>
        </w:rPr>
        <w:t xml:space="preserve">, </w:t>
      </w:r>
      <w:r w:rsidR="00371224" w:rsidRPr="004F239A">
        <w:rPr>
          <w:snapToGrid w:val="0"/>
          <w:kern w:val="22"/>
          <w:lang w:val="fr-CA"/>
        </w:rPr>
        <w:t>qui aura lieu immédiatement après la quinzième réunion d</w:t>
      </w:r>
      <w:r w:rsidR="00371224">
        <w:rPr>
          <w:snapToGrid w:val="0"/>
          <w:kern w:val="22"/>
          <w:lang w:val="fr-CA"/>
        </w:rPr>
        <w:t>e la Conférence des Parties</w:t>
      </w:r>
      <w:r w:rsidR="00555F79" w:rsidRPr="004F239A">
        <w:rPr>
          <w:snapToGrid w:val="0"/>
          <w:kern w:val="22"/>
          <w:lang w:val="fr-CA"/>
        </w:rPr>
        <w:t>.</w:t>
      </w:r>
      <w:r w:rsidR="00555F79" w:rsidRPr="004F239A">
        <w:rPr>
          <w:rStyle w:val="FootnoteReference"/>
          <w:snapToGrid w:val="0"/>
          <w:kern w:val="22"/>
          <w:lang w:val="fr-CA"/>
        </w:rPr>
        <w:footnoteReference w:id="31"/>
      </w:r>
    </w:p>
    <w:p w14:paraId="15C6FDA5" w14:textId="020F2C26" w:rsidR="00555F79" w:rsidRPr="004F239A" w:rsidRDefault="0035584F"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Prenant appui sur le succès de la Foire de l’innovation et des solutions pour la diversité biologique</w:t>
      </w:r>
      <w:r w:rsidR="00555F79" w:rsidRPr="004F239A">
        <w:rPr>
          <w:snapToGrid w:val="0"/>
          <w:kern w:val="22"/>
          <w:lang w:val="fr-CA"/>
        </w:rPr>
        <w:t>,</w:t>
      </w:r>
      <w:r w:rsidR="00555F79" w:rsidRPr="004F239A">
        <w:rPr>
          <w:rStyle w:val="FootnoteReference"/>
          <w:snapToGrid w:val="0"/>
          <w:kern w:val="22"/>
          <w:lang w:val="fr-CA"/>
        </w:rPr>
        <w:footnoteReference w:id="32"/>
      </w:r>
      <w:r w:rsidR="00555F79" w:rsidRPr="004F239A">
        <w:rPr>
          <w:snapToGrid w:val="0"/>
          <w:kern w:val="22"/>
          <w:lang w:val="fr-CA"/>
        </w:rPr>
        <w:t xml:space="preserve"> </w:t>
      </w:r>
      <w:bookmarkStart w:id="11" w:name="_Hlk54787958"/>
      <w:r w:rsidRPr="004F239A">
        <w:rPr>
          <w:snapToGrid w:val="0"/>
          <w:kern w:val="22"/>
          <w:lang w:val="fr-CA"/>
        </w:rPr>
        <w:t>qui a suivi immédiatement la quatorzième réunion de la Conférence des Parties, le Secrétariat</w:t>
      </w:r>
      <w:r w:rsidR="009F3982">
        <w:rPr>
          <w:snapToGrid w:val="0"/>
          <w:kern w:val="22"/>
          <w:lang w:val="fr-CA"/>
        </w:rPr>
        <w:t xml:space="preserve"> se consacre </w:t>
      </w:r>
      <w:r w:rsidR="00354387" w:rsidRPr="004F239A">
        <w:rPr>
          <w:snapToGrid w:val="0"/>
          <w:kern w:val="22"/>
          <w:lang w:val="fr-CA"/>
        </w:rPr>
        <w:t>à l’organisation de l’Expo</w:t>
      </w:r>
      <w:r w:rsidR="009F3982">
        <w:rPr>
          <w:snapToGrid w:val="0"/>
          <w:kern w:val="22"/>
          <w:lang w:val="fr-CA"/>
        </w:rPr>
        <w:t>sition sur l’</w:t>
      </w:r>
      <w:r w:rsidR="00354387" w:rsidRPr="004F239A">
        <w:rPr>
          <w:snapToGrid w:val="0"/>
          <w:kern w:val="22"/>
          <w:lang w:val="fr-CA"/>
        </w:rPr>
        <w:t xml:space="preserve">innovation et </w:t>
      </w:r>
      <w:r w:rsidR="009F3982">
        <w:rPr>
          <w:snapToGrid w:val="0"/>
          <w:kern w:val="22"/>
          <w:lang w:val="fr-CA"/>
        </w:rPr>
        <w:t xml:space="preserve">la </w:t>
      </w:r>
      <w:r w:rsidR="00354387" w:rsidRPr="004F239A">
        <w:rPr>
          <w:snapToGrid w:val="0"/>
          <w:kern w:val="22"/>
          <w:lang w:val="fr-CA"/>
        </w:rPr>
        <w:t>technologie pour la diversité biologique qui se tiendra au cours de la quinzième réunion de la Conférence des Parties. L’Expo</w:t>
      </w:r>
      <w:r w:rsidR="009F3982">
        <w:rPr>
          <w:snapToGrid w:val="0"/>
          <w:kern w:val="22"/>
          <w:lang w:val="fr-CA"/>
        </w:rPr>
        <w:t>sition</w:t>
      </w:r>
      <w:r w:rsidR="00354387" w:rsidRPr="004F239A">
        <w:rPr>
          <w:snapToGrid w:val="0"/>
          <w:kern w:val="22"/>
          <w:lang w:val="fr-CA"/>
        </w:rPr>
        <w:t xml:space="preserve"> a pour but d’offrir une plateforme </w:t>
      </w:r>
      <w:r w:rsidR="009F3982">
        <w:rPr>
          <w:snapToGrid w:val="0"/>
          <w:kern w:val="22"/>
          <w:lang w:val="fr-CA"/>
        </w:rPr>
        <w:t>pour présenter</w:t>
      </w:r>
      <w:r w:rsidR="00354387" w:rsidRPr="004F239A">
        <w:rPr>
          <w:snapToGrid w:val="0"/>
          <w:kern w:val="22"/>
          <w:lang w:val="fr-CA"/>
        </w:rPr>
        <w:t xml:space="preserve"> </w:t>
      </w:r>
      <w:r w:rsidR="004D0558" w:rsidRPr="004F239A">
        <w:rPr>
          <w:snapToGrid w:val="0"/>
          <w:kern w:val="22"/>
          <w:lang w:val="fr-CA"/>
        </w:rPr>
        <w:t>les technologies de pointe et l</w:t>
      </w:r>
      <w:r w:rsidR="00354387" w:rsidRPr="004F239A">
        <w:rPr>
          <w:snapToGrid w:val="0"/>
          <w:kern w:val="22"/>
          <w:lang w:val="fr-CA"/>
        </w:rPr>
        <w:t>es solutions innovatrices en lien avec la conservation et l’utilisation durable de la biodiversité, comprenant les technologies autochtones et tradit</w:t>
      </w:r>
      <w:r w:rsidR="004D0558" w:rsidRPr="004F239A">
        <w:rPr>
          <w:snapToGrid w:val="0"/>
          <w:kern w:val="22"/>
          <w:lang w:val="fr-CA"/>
        </w:rPr>
        <w:t>ionne</w:t>
      </w:r>
      <w:r w:rsidR="00354387" w:rsidRPr="004F239A">
        <w:rPr>
          <w:snapToGrid w:val="0"/>
          <w:kern w:val="22"/>
          <w:lang w:val="fr-CA"/>
        </w:rPr>
        <w:t xml:space="preserve">lles, et de mettre en évidence les occasions qu’offrent la technologie et l’innovation </w:t>
      </w:r>
      <w:r w:rsidR="0003105A">
        <w:rPr>
          <w:snapToGrid w:val="0"/>
          <w:kern w:val="22"/>
          <w:lang w:val="fr-CA"/>
        </w:rPr>
        <w:t>d’</w:t>
      </w:r>
      <w:r w:rsidR="004D0558" w:rsidRPr="004F239A">
        <w:rPr>
          <w:snapToGrid w:val="0"/>
          <w:kern w:val="22"/>
          <w:lang w:val="fr-CA"/>
        </w:rPr>
        <w:t>appuyer le cadre mondial de la biodiversité pour l</w:t>
      </w:r>
      <w:r w:rsidR="00F50701">
        <w:rPr>
          <w:snapToGrid w:val="0"/>
          <w:kern w:val="22"/>
          <w:lang w:val="fr-CA"/>
        </w:rPr>
        <w:t>’</w:t>
      </w:r>
      <w:r w:rsidR="004D0558" w:rsidRPr="004F239A">
        <w:rPr>
          <w:snapToGrid w:val="0"/>
          <w:kern w:val="22"/>
          <w:lang w:val="fr-CA"/>
        </w:rPr>
        <w:t>après-2020. De plus, le Secrétariat a entrepris la mise à niveau de la « Base de données de coopération technique et scientifique et de transfert de technologie »</w:t>
      </w:r>
      <w:r w:rsidR="00555F79" w:rsidRPr="004F239A">
        <w:rPr>
          <w:rStyle w:val="FootnoteReference"/>
          <w:snapToGrid w:val="0"/>
          <w:kern w:val="22"/>
          <w:lang w:val="fr-CA"/>
        </w:rPr>
        <w:footnoteReference w:id="33"/>
      </w:r>
      <w:r w:rsidR="00555F79" w:rsidRPr="004F239A">
        <w:rPr>
          <w:snapToGrid w:val="0"/>
          <w:kern w:val="22"/>
          <w:lang w:val="fr-CA"/>
        </w:rPr>
        <w:t xml:space="preserve"> </w:t>
      </w:r>
      <w:r w:rsidR="004D0558" w:rsidRPr="004F239A">
        <w:rPr>
          <w:snapToGrid w:val="0"/>
          <w:kern w:val="22"/>
          <w:lang w:val="fr-CA"/>
        </w:rPr>
        <w:t>afin d’y inclure les plus récentes technologies liée</w:t>
      </w:r>
      <w:r w:rsidR="009F3982">
        <w:rPr>
          <w:snapToGrid w:val="0"/>
          <w:kern w:val="22"/>
          <w:lang w:val="fr-CA"/>
        </w:rPr>
        <w:t>s</w:t>
      </w:r>
      <w:r w:rsidR="004D0558" w:rsidRPr="004F239A">
        <w:rPr>
          <w:snapToGrid w:val="0"/>
          <w:kern w:val="22"/>
          <w:lang w:val="fr-CA"/>
        </w:rPr>
        <w:t xml:space="preserve"> à la diversité biologique et la rendre plus interactive et conviviale</w:t>
      </w:r>
      <w:r w:rsidR="00555F79" w:rsidRPr="004F239A">
        <w:rPr>
          <w:snapToGrid w:val="0"/>
          <w:kern w:val="22"/>
          <w:lang w:val="fr-CA"/>
        </w:rPr>
        <w:t>.</w:t>
      </w:r>
      <w:bookmarkEnd w:id="11"/>
    </w:p>
    <w:p w14:paraId="0DFD6B40" w14:textId="1CD4B6A4" w:rsidR="00555F79" w:rsidRPr="004F239A" w:rsidRDefault="00307469"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spacing w:val="-1"/>
          <w:kern w:val="22"/>
          <w:lang w:val="fr-CA"/>
        </w:rPr>
      </w:pPr>
      <w:r w:rsidRPr="004F239A">
        <w:rPr>
          <w:snapToGrid w:val="0"/>
          <w:spacing w:val="-1"/>
          <w:kern w:val="22"/>
          <w:lang w:val="fr-CA"/>
        </w:rPr>
        <w:t xml:space="preserve">Le Projet de restauration des écosystèmes forestiers a offert un soutien financier et technique à </w:t>
      </w:r>
      <w:r w:rsidR="0003105A">
        <w:rPr>
          <w:snapToGrid w:val="0"/>
          <w:spacing w:val="-1"/>
          <w:kern w:val="22"/>
          <w:lang w:val="fr-CA"/>
        </w:rPr>
        <w:t>une douzaine de</w:t>
      </w:r>
      <w:r w:rsidR="00380A74">
        <w:rPr>
          <w:snapToGrid w:val="0"/>
          <w:spacing w:val="-1"/>
          <w:kern w:val="22"/>
          <w:lang w:val="fr-CA"/>
        </w:rPr>
        <w:t> </w:t>
      </w:r>
      <w:r w:rsidRPr="004F239A">
        <w:rPr>
          <w:snapToGrid w:val="0"/>
          <w:spacing w:val="-1"/>
          <w:kern w:val="22"/>
          <w:lang w:val="fr-CA"/>
        </w:rPr>
        <w:t>projets de restauration pilotes qui font l’essai de diverses techniques de restauration innovatrices et a facilité l’échange de renseignements sur l’</w:t>
      </w:r>
      <w:r w:rsidR="0095792D" w:rsidRPr="004F239A">
        <w:rPr>
          <w:snapToGrid w:val="0"/>
          <w:spacing w:val="-1"/>
          <w:kern w:val="22"/>
          <w:lang w:val="fr-CA"/>
        </w:rPr>
        <w:t>orientation, le</w:t>
      </w:r>
      <w:r w:rsidRPr="004F239A">
        <w:rPr>
          <w:snapToGrid w:val="0"/>
          <w:spacing w:val="-1"/>
          <w:kern w:val="22"/>
          <w:lang w:val="fr-CA"/>
        </w:rPr>
        <w:t>s</w:t>
      </w:r>
      <w:r w:rsidR="0095792D" w:rsidRPr="004F239A">
        <w:rPr>
          <w:snapToGrid w:val="0"/>
          <w:spacing w:val="-1"/>
          <w:kern w:val="22"/>
          <w:lang w:val="fr-CA"/>
        </w:rPr>
        <w:t xml:space="preserve"> </w:t>
      </w:r>
      <w:r w:rsidRPr="004F239A">
        <w:rPr>
          <w:snapToGrid w:val="0"/>
          <w:spacing w:val="-1"/>
          <w:kern w:val="22"/>
          <w:lang w:val="fr-CA"/>
        </w:rPr>
        <w:t>ou</w:t>
      </w:r>
      <w:r w:rsidR="0095792D" w:rsidRPr="004F239A">
        <w:rPr>
          <w:snapToGrid w:val="0"/>
          <w:spacing w:val="-1"/>
          <w:kern w:val="22"/>
          <w:lang w:val="fr-CA"/>
        </w:rPr>
        <w:t>tils, les solutions et les ensei</w:t>
      </w:r>
      <w:r w:rsidRPr="004F239A">
        <w:rPr>
          <w:snapToGrid w:val="0"/>
          <w:spacing w:val="-1"/>
          <w:kern w:val="22"/>
          <w:lang w:val="fr-CA"/>
        </w:rPr>
        <w:t xml:space="preserve">gnements tirés </w:t>
      </w:r>
      <w:r w:rsidRPr="004F239A">
        <w:rPr>
          <w:snapToGrid w:val="0"/>
          <w:spacing w:val="-1"/>
          <w:kern w:val="22"/>
          <w:lang w:val="fr-CA"/>
        </w:rPr>
        <w:lastRenderedPageBreak/>
        <w:t xml:space="preserve">de la restauration des écosystèmes. De plus, le Projet a offert son soutien </w:t>
      </w:r>
      <w:r w:rsidR="0095792D" w:rsidRPr="004F239A">
        <w:rPr>
          <w:snapToGrid w:val="0"/>
          <w:spacing w:val="-1"/>
          <w:kern w:val="22"/>
          <w:lang w:val="fr-CA"/>
        </w:rPr>
        <w:t>à des événements qui réunissent les Parties et les parties prenantes afin qu’elles échangent des expériences et recensent les difficultés et des solutions communes sur l’élaboration et la mise en œuvre de plans nationaux pour la restauration des écosystèmes</w:t>
      </w:r>
      <w:r w:rsidR="00555F79" w:rsidRPr="004F239A">
        <w:rPr>
          <w:snapToGrid w:val="0"/>
          <w:spacing w:val="-1"/>
          <w:kern w:val="22"/>
          <w:lang w:val="fr-CA"/>
        </w:rPr>
        <w:t>.</w:t>
      </w:r>
      <w:r w:rsidR="00555F79" w:rsidRPr="004F239A">
        <w:rPr>
          <w:rStyle w:val="FootnoteReference"/>
          <w:snapToGrid w:val="0"/>
          <w:spacing w:val="-1"/>
          <w:kern w:val="22"/>
          <w:lang w:val="fr-CA"/>
        </w:rPr>
        <w:footnoteReference w:id="34"/>
      </w:r>
    </w:p>
    <w:p w14:paraId="4E083497" w14:textId="124A6D3F" w:rsidR="00555F79" w:rsidRPr="004F239A" w:rsidRDefault="00054493"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L’Initiative des océans durables réunit un vaste éventail de partenaires qui partagent et prennent appui sur leurs expériences, connaissances et ressources afin de réaliser des objectifs communs. Parmi les récentes réalisations, la deuxième réunion d</w:t>
      </w:r>
      <w:r w:rsidR="00380A74">
        <w:rPr>
          <w:snapToGrid w:val="0"/>
          <w:kern w:val="22"/>
          <w:lang w:val="fr-CA"/>
        </w:rPr>
        <w:t>u</w:t>
      </w:r>
      <w:r w:rsidR="0030016B">
        <w:rPr>
          <w:snapToGrid w:val="0"/>
          <w:kern w:val="22"/>
          <w:lang w:val="fr-CA"/>
        </w:rPr>
        <w:t xml:space="preserve"> Dialogue mondial</w:t>
      </w:r>
      <w:r w:rsidRPr="004F239A">
        <w:rPr>
          <w:snapToGrid w:val="0"/>
          <w:kern w:val="22"/>
          <w:lang w:val="fr-CA"/>
        </w:rPr>
        <w:t xml:space="preserve"> de l’Initiative des océans durables a été organisée en 2018 afin de recenser les occasions d’améliorer la coopération régionale </w:t>
      </w:r>
      <w:r w:rsidR="00435367" w:rsidRPr="004F239A">
        <w:rPr>
          <w:snapToGrid w:val="0"/>
          <w:kern w:val="22"/>
          <w:lang w:val="fr-CA"/>
        </w:rPr>
        <w:t xml:space="preserve">qui s’impose </w:t>
      </w:r>
      <w:r w:rsidRPr="004F239A">
        <w:rPr>
          <w:snapToGrid w:val="0"/>
          <w:kern w:val="22"/>
          <w:lang w:val="fr-CA"/>
        </w:rPr>
        <w:t>en toute urgence afin d’accélérer</w:t>
      </w:r>
      <w:r w:rsidR="00435367" w:rsidRPr="004F239A">
        <w:rPr>
          <w:snapToGrid w:val="0"/>
          <w:kern w:val="22"/>
          <w:lang w:val="fr-CA"/>
        </w:rPr>
        <w:t xml:space="preserve"> les efforts des pays pour réaliser les Objectifs d’Aichi pour la biodiversité et les Objectifs de développement durable. Les «</w:t>
      </w:r>
      <w:r w:rsidR="00F50701">
        <w:rPr>
          <w:snapToGrid w:val="0"/>
          <w:kern w:val="22"/>
          <w:lang w:val="fr-CA"/>
        </w:rPr>
        <w:t> </w:t>
      </w:r>
      <w:r w:rsidR="00C36A40" w:rsidRPr="004F239A">
        <w:rPr>
          <w:lang w:val="fr-CA"/>
        </w:rPr>
        <w:t>conclusions</w:t>
      </w:r>
      <w:r w:rsidR="00435367" w:rsidRPr="004F239A">
        <w:rPr>
          <w:lang w:val="fr-CA"/>
        </w:rPr>
        <w:t xml:space="preserve"> Séoul +2</w:t>
      </w:r>
      <w:r w:rsidR="00F50701">
        <w:rPr>
          <w:lang w:val="fr-CA"/>
        </w:rPr>
        <w:t> </w:t>
      </w:r>
      <w:r w:rsidR="00435367" w:rsidRPr="004F239A">
        <w:rPr>
          <w:lang w:val="fr-CA"/>
        </w:rPr>
        <w:t>»</w:t>
      </w:r>
      <w:r w:rsidR="00435367" w:rsidRPr="004F239A">
        <w:rPr>
          <w:snapToGrid w:val="0"/>
          <w:kern w:val="22"/>
          <w:lang w:val="fr-CA"/>
        </w:rPr>
        <w:t xml:space="preserve"> </w:t>
      </w:r>
      <w:r w:rsidR="00A20695">
        <w:rPr>
          <w:snapToGrid w:val="0"/>
          <w:kern w:val="22"/>
          <w:lang w:val="fr-CA"/>
        </w:rPr>
        <w:t xml:space="preserve">qui en découlent </w:t>
      </w:r>
      <w:r w:rsidR="00C36A40" w:rsidRPr="004F239A">
        <w:rPr>
          <w:snapToGrid w:val="0"/>
          <w:kern w:val="22"/>
          <w:lang w:val="fr-CA"/>
        </w:rPr>
        <w:t>mettent en évidence des moyens pratiques d’aller de l’avant en matière de collaboration intersectorielle régionale, comprenant la création de programmes de dialogue</w:t>
      </w:r>
      <w:r w:rsidR="0030016B">
        <w:rPr>
          <w:snapToGrid w:val="0"/>
          <w:kern w:val="22"/>
          <w:lang w:val="fr-CA"/>
        </w:rPr>
        <w:t>s</w:t>
      </w:r>
      <w:r w:rsidR="00C36A40" w:rsidRPr="004F239A">
        <w:rPr>
          <w:snapToGrid w:val="0"/>
          <w:kern w:val="22"/>
          <w:lang w:val="fr-CA"/>
        </w:rPr>
        <w:t>/partenariat</w:t>
      </w:r>
      <w:r w:rsidR="0030016B">
        <w:rPr>
          <w:snapToGrid w:val="0"/>
          <w:kern w:val="22"/>
          <w:lang w:val="fr-CA"/>
        </w:rPr>
        <w:t>s</w:t>
      </w:r>
      <w:r w:rsidR="00C36A40" w:rsidRPr="004F239A">
        <w:rPr>
          <w:snapToGrid w:val="0"/>
          <w:kern w:val="22"/>
          <w:lang w:val="fr-CA"/>
        </w:rPr>
        <w:t xml:space="preserve"> régionaux.</w:t>
      </w:r>
      <w:r w:rsidR="00555F79" w:rsidRPr="004F239A">
        <w:rPr>
          <w:rStyle w:val="FootnoteReference"/>
          <w:snapToGrid w:val="0"/>
          <w:kern w:val="22"/>
          <w:lang w:val="fr-CA"/>
        </w:rPr>
        <w:footnoteReference w:id="35"/>
      </w:r>
    </w:p>
    <w:p w14:paraId="2BD6637E" w14:textId="3ECB1260" w:rsidR="00555F79" w:rsidRPr="004F239A" w:rsidRDefault="00C36A40"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Le Partenariat mondial pour la conservation des plantes</w:t>
      </w:r>
      <w:r w:rsidR="00555F79" w:rsidRPr="004F239A">
        <w:rPr>
          <w:snapToGrid w:val="0"/>
          <w:kern w:val="22"/>
          <w:lang w:val="fr-CA"/>
        </w:rPr>
        <w:t xml:space="preserve">, </w:t>
      </w:r>
      <w:r w:rsidRPr="004F239A">
        <w:rPr>
          <w:snapToGrid w:val="0"/>
          <w:kern w:val="22"/>
          <w:lang w:val="fr-CA"/>
        </w:rPr>
        <w:t xml:space="preserve">qui réunit plusieurs </w:t>
      </w:r>
      <w:r w:rsidR="00DC44AD" w:rsidRPr="004F239A">
        <w:rPr>
          <w:snapToGrid w:val="0"/>
          <w:kern w:val="22"/>
          <w:lang w:val="fr-CA"/>
        </w:rPr>
        <w:t>organisati</w:t>
      </w:r>
      <w:r w:rsidR="00165F25" w:rsidRPr="004F239A">
        <w:rPr>
          <w:snapToGrid w:val="0"/>
          <w:kern w:val="22"/>
          <w:lang w:val="fr-CA"/>
        </w:rPr>
        <w:t xml:space="preserve">ons internationales, régionales et nationales du secteur des plantes et de </w:t>
      </w:r>
      <w:r w:rsidR="00A20695">
        <w:rPr>
          <w:snapToGrid w:val="0"/>
          <w:kern w:val="22"/>
          <w:lang w:val="fr-CA"/>
        </w:rPr>
        <w:t xml:space="preserve">la </w:t>
      </w:r>
      <w:r w:rsidR="00165F25" w:rsidRPr="004F239A">
        <w:rPr>
          <w:snapToGrid w:val="0"/>
          <w:kern w:val="22"/>
          <w:lang w:val="fr-CA"/>
        </w:rPr>
        <w:t xml:space="preserve">conservation afin de faciliter et promouvoir la mise en œuvre et le suivi de la Stratégie mondiale pour la conservation des plantes, a </w:t>
      </w:r>
      <w:r w:rsidR="00A20695">
        <w:rPr>
          <w:snapToGrid w:val="0"/>
          <w:kern w:val="22"/>
          <w:lang w:val="fr-CA"/>
        </w:rPr>
        <w:t>encouragé les réseaux et l</w:t>
      </w:r>
      <w:r w:rsidR="00165F25" w:rsidRPr="004F239A">
        <w:rPr>
          <w:snapToGrid w:val="0"/>
          <w:kern w:val="22"/>
          <w:lang w:val="fr-CA"/>
        </w:rPr>
        <w:t>es partenariats nationaux et mondiaux pour la création d’une vaste communauté de parties prenantes unie et engagée à garantir la conservation des plantes et l’utilisation durable de la diversité végétale</w:t>
      </w:r>
      <w:r w:rsidR="00555F79" w:rsidRPr="004F239A">
        <w:rPr>
          <w:snapToGrid w:val="0"/>
          <w:kern w:val="22"/>
          <w:lang w:val="fr-CA"/>
        </w:rPr>
        <w:t>.</w:t>
      </w:r>
      <w:r w:rsidR="00555F79" w:rsidRPr="004F239A">
        <w:rPr>
          <w:rStyle w:val="FootnoteReference"/>
          <w:snapToGrid w:val="0"/>
          <w:kern w:val="22"/>
          <w:lang w:val="fr-CA"/>
        </w:rPr>
        <w:footnoteReference w:id="36"/>
      </w:r>
    </w:p>
    <w:p w14:paraId="5AB39C0F" w14:textId="46CF5F70" w:rsidR="00555F79" w:rsidRPr="004F239A" w:rsidRDefault="00C36A40"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szCs w:val="22"/>
          <w:lang w:val="fr-CA"/>
        </w:rPr>
        <w:t>Le Partenariat de collaboration sur la gestion de la vie sauvage</w:t>
      </w:r>
      <w:r w:rsidR="00555F79" w:rsidRPr="004F239A">
        <w:rPr>
          <w:snapToGrid w:val="0"/>
          <w:kern w:val="22"/>
          <w:szCs w:val="22"/>
          <w:lang w:val="fr-CA"/>
        </w:rPr>
        <w:t xml:space="preserve"> </w:t>
      </w:r>
      <w:r w:rsidR="00DC44AD" w:rsidRPr="004F239A">
        <w:rPr>
          <w:snapToGrid w:val="0"/>
          <w:kern w:val="22"/>
          <w:szCs w:val="22"/>
          <w:lang w:val="fr-CA"/>
        </w:rPr>
        <w:t>a facilité la coopération et la coordination de ses membres afin de lutter contre les problèmes de gestion de la vie sauvage et encourager l’utilisation durable et la conservation des ressources de la vie sauvage</w:t>
      </w:r>
      <w:r w:rsidR="00555F79" w:rsidRPr="004F239A">
        <w:rPr>
          <w:snapToGrid w:val="0"/>
          <w:kern w:val="22"/>
          <w:szCs w:val="22"/>
          <w:lang w:val="fr-CA"/>
        </w:rPr>
        <w:t>.</w:t>
      </w:r>
      <w:r w:rsidR="00555F79" w:rsidRPr="004F239A">
        <w:rPr>
          <w:rStyle w:val="FootnoteReference"/>
          <w:snapToGrid w:val="0"/>
          <w:kern w:val="22"/>
          <w:szCs w:val="22"/>
          <w:lang w:val="fr-CA"/>
        </w:rPr>
        <w:footnoteReference w:id="37"/>
      </w:r>
    </w:p>
    <w:p w14:paraId="3776C9A3" w14:textId="7BFC54C0" w:rsidR="00555F79" w:rsidRPr="004F239A" w:rsidRDefault="00DC44AD"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Le Groupe de liaison interagences sur les espèces exotiques envahissantes cherche à faciliter </w:t>
      </w:r>
      <w:r w:rsidR="004122B5" w:rsidRPr="004F239A">
        <w:rPr>
          <w:snapToGrid w:val="0"/>
          <w:kern w:val="22"/>
          <w:lang w:val="fr-CA"/>
        </w:rPr>
        <w:t xml:space="preserve">la coopération entre les organisations compétentes </w:t>
      </w:r>
      <w:r w:rsidR="0030016B">
        <w:rPr>
          <w:snapToGrid w:val="0"/>
          <w:kern w:val="22"/>
          <w:lang w:val="fr-CA"/>
        </w:rPr>
        <w:t>concernant</w:t>
      </w:r>
      <w:r w:rsidR="004122B5" w:rsidRPr="004F239A">
        <w:rPr>
          <w:snapToGrid w:val="0"/>
          <w:kern w:val="22"/>
          <w:lang w:val="fr-CA"/>
        </w:rPr>
        <w:t xml:space="preserve"> des mesures de soutien pour prévenir l’introduction et atténuer les impacts des espèces exotiques envahissantes. </w:t>
      </w:r>
      <w:r w:rsidR="00526F19" w:rsidRPr="004F239A">
        <w:rPr>
          <w:snapToGrid w:val="0"/>
          <w:kern w:val="22"/>
          <w:lang w:val="fr-CA"/>
        </w:rPr>
        <w:t>Parmi ses activité</w:t>
      </w:r>
      <w:r w:rsidR="00A20695">
        <w:rPr>
          <w:snapToGrid w:val="0"/>
          <w:kern w:val="22"/>
          <w:lang w:val="fr-CA"/>
        </w:rPr>
        <w:t>s, le Groupe a organisé conjointement</w:t>
      </w:r>
      <w:r w:rsidR="00526F19" w:rsidRPr="004F239A">
        <w:rPr>
          <w:snapToGrid w:val="0"/>
          <w:kern w:val="22"/>
          <w:lang w:val="fr-CA"/>
        </w:rPr>
        <w:t xml:space="preserve"> un forum de discussion en ligne sur l’élaboration d’une orientation et d’outils de gestion des espèces exotiques envahissantes en novembre 2019</w:t>
      </w:r>
      <w:r w:rsidR="00555F79" w:rsidRPr="004F239A">
        <w:rPr>
          <w:snapToGrid w:val="0"/>
          <w:kern w:val="22"/>
          <w:lang w:val="fr-CA"/>
        </w:rPr>
        <w:t>.</w:t>
      </w:r>
      <w:r w:rsidR="00555F79" w:rsidRPr="004F239A">
        <w:rPr>
          <w:rStyle w:val="FootnoteReference"/>
          <w:snapToGrid w:val="0"/>
          <w:kern w:val="22"/>
          <w:lang w:val="fr-CA"/>
        </w:rPr>
        <w:footnoteReference w:id="38"/>
      </w:r>
    </w:p>
    <w:p w14:paraId="31E713A3" w14:textId="2B0217FD" w:rsidR="00555F79" w:rsidRPr="004F239A" w:rsidRDefault="00526F19"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Voici les principales observations et les enseignements tirés de la coopération technique e</w:t>
      </w:r>
      <w:r w:rsidR="00406B60">
        <w:rPr>
          <w:snapToGrid w:val="0"/>
          <w:kern w:val="22"/>
          <w:lang w:val="fr-CA"/>
        </w:rPr>
        <w:t>t</w:t>
      </w:r>
      <w:r w:rsidRPr="004F239A">
        <w:rPr>
          <w:snapToGrid w:val="0"/>
          <w:kern w:val="22"/>
          <w:lang w:val="fr-CA"/>
        </w:rPr>
        <w:t xml:space="preserve"> scientifique et </w:t>
      </w:r>
      <w:r w:rsidR="00406B60">
        <w:rPr>
          <w:snapToGrid w:val="0"/>
          <w:kern w:val="22"/>
          <w:lang w:val="fr-CA"/>
        </w:rPr>
        <w:t>du</w:t>
      </w:r>
      <w:r w:rsidRPr="004F239A">
        <w:rPr>
          <w:snapToGrid w:val="0"/>
          <w:kern w:val="22"/>
          <w:lang w:val="fr-CA"/>
        </w:rPr>
        <w:t xml:space="preserve"> transfert de technologie</w:t>
      </w:r>
      <w:r w:rsidR="00F50701">
        <w:rPr>
          <w:snapToGrid w:val="0"/>
          <w:kern w:val="22"/>
          <w:lang w:val="fr-CA"/>
        </w:rPr>
        <w:t> </w:t>
      </w:r>
      <w:r w:rsidR="00555F79" w:rsidRPr="004F239A">
        <w:rPr>
          <w:snapToGrid w:val="0"/>
          <w:kern w:val="22"/>
          <w:lang w:val="fr-CA"/>
        </w:rPr>
        <w:t>:</w:t>
      </w:r>
    </w:p>
    <w:p w14:paraId="08E911CF" w14:textId="0A5F165C" w:rsidR="00555F79" w:rsidRPr="004F239A" w:rsidRDefault="00036796"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Il y a une forte demande d’occasions de participer à la coopération pour l</w:t>
      </w:r>
      <w:r w:rsidR="00406B60">
        <w:rPr>
          <w:snapToGrid w:val="0"/>
          <w:kern w:val="22"/>
          <w:lang w:val="fr-CA"/>
        </w:rPr>
        <w:t>a</w:t>
      </w:r>
      <w:r w:rsidRPr="004F239A">
        <w:rPr>
          <w:snapToGrid w:val="0"/>
          <w:kern w:val="22"/>
          <w:lang w:val="fr-CA"/>
        </w:rPr>
        <w:t xml:space="preserve"> diversité biologique, notamment la mise en commun d’expertise et de ressources techniques, </w:t>
      </w:r>
      <w:r w:rsidR="00406B60">
        <w:rPr>
          <w:snapToGrid w:val="0"/>
          <w:kern w:val="22"/>
          <w:lang w:val="fr-CA"/>
        </w:rPr>
        <w:t>les</w:t>
      </w:r>
      <w:r w:rsidRPr="004F239A">
        <w:rPr>
          <w:snapToGrid w:val="0"/>
          <w:kern w:val="22"/>
          <w:lang w:val="fr-CA"/>
        </w:rPr>
        <w:t xml:space="preserve"> projets de collaboration pour l</w:t>
      </w:r>
      <w:r w:rsidR="00406B60">
        <w:rPr>
          <w:snapToGrid w:val="0"/>
          <w:kern w:val="22"/>
          <w:lang w:val="fr-CA"/>
        </w:rPr>
        <w:t>e</w:t>
      </w:r>
      <w:r w:rsidRPr="004F239A">
        <w:rPr>
          <w:snapToGrid w:val="0"/>
          <w:kern w:val="22"/>
          <w:lang w:val="fr-CA"/>
        </w:rPr>
        <w:t xml:space="preserve"> développement et l’accès à des technologies, </w:t>
      </w:r>
      <w:r w:rsidR="00406B60">
        <w:rPr>
          <w:snapToGrid w:val="0"/>
          <w:kern w:val="22"/>
          <w:lang w:val="fr-CA"/>
        </w:rPr>
        <w:t xml:space="preserve">les recherches conjointes et les </w:t>
      </w:r>
      <w:r w:rsidRPr="004F239A">
        <w:rPr>
          <w:snapToGrid w:val="0"/>
          <w:kern w:val="22"/>
          <w:lang w:val="fr-CA"/>
        </w:rPr>
        <w:t>occasions d’apprentissage réciproque, comme en fait foi le nombre de Parties et d’organisations qui ont participé aux projets mentionnés ci-dessus</w:t>
      </w:r>
      <w:r w:rsidR="00F50701">
        <w:rPr>
          <w:snapToGrid w:val="0"/>
          <w:kern w:val="22"/>
          <w:lang w:val="fr-CA"/>
        </w:rPr>
        <w:t> </w:t>
      </w:r>
      <w:r w:rsidR="00555F79" w:rsidRPr="004F239A">
        <w:rPr>
          <w:snapToGrid w:val="0"/>
          <w:kern w:val="22"/>
          <w:lang w:val="fr-CA"/>
        </w:rPr>
        <w:t>;</w:t>
      </w:r>
    </w:p>
    <w:p w14:paraId="705CF183" w14:textId="7CE98BE7" w:rsidR="00555F79" w:rsidRPr="004F239A" w:rsidRDefault="00EA59AB" w:rsidP="00AA5D70">
      <w:pPr>
        <w:numPr>
          <w:ilvl w:val="1"/>
          <w:numId w:val="49"/>
        </w:numPr>
        <w:suppressLineNumbers/>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La coopération Sud-Sud offre des occasions d’apprentissage réciproque et d’actions coordonnées entre les Parties de la même région ou ayant des écosystèmes et des caractéristiques environnementales semblables</w:t>
      </w:r>
      <w:r w:rsidR="00F50701">
        <w:rPr>
          <w:snapToGrid w:val="0"/>
          <w:kern w:val="22"/>
          <w:lang w:val="fr-CA"/>
        </w:rPr>
        <w:t> </w:t>
      </w:r>
      <w:r w:rsidR="00555F79" w:rsidRPr="004F239A">
        <w:rPr>
          <w:snapToGrid w:val="0"/>
          <w:kern w:val="22"/>
          <w:lang w:val="fr-CA"/>
        </w:rPr>
        <w:t>;</w:t>
      </w:r>
    </w:p>
    <w:p w14:paraId="38AA1B16" w14:textId="40EBBEB7" w:rsidR="00555F79" w:rsidRPr="004F239A" w:rsidRDefault="000B5D7E"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Compter uniquement sur les bases de données pour recenser et communiquer les besoins des Parties, d’une part, et les occasions et/ou les technologies existantes pour répondre à ces besoins, d’autre part, ne suffit pas pour catalyser et faciliter la coopération technique et le transfert de technologie. Des interventions pour faciliter les liaisons entre les Parties et les parties prenantes ayant des besoins</w:t>
      </w:r>
      <w:r w:rsidR="00406B60">
        <w:rPr>
          <w:snapToGrid w:val="0"/>
          <w:kern w:val="22"/>
          <w:lang w:val="fr-CA"/>
        </w:rPr>
        <w:t>,</w:t>
      </w:r>
      <w:r w:rsidRPr="004F239A">
        <w:rPr>
          <w:snapToGrid w:val="0"/>
          <w:kern w:val="22"/>
          <w:lang w:val="fr-CA"/>
        </w:rPr>
        <w:t xml:space="preserve"> </w:t>
      </w:r>
      <w:r w:rsidR="00406B60">
        <w:rPr>
          <w:snapToGrid w:val="0"/>
          <w:kern w:val="22"/>
          <w:lang w:val="fr-CA"/>
        </w:rPr>
        <w:t>et</w:t>
      </w:r>
      <w:r w:rsidRPr="004F239A">
        <w:rPr>
          <w:snapToGrid w:val="0"/>
          <w:kern w:val="22"/>
          <w:lang w:val="fr-CA"/>
        </w:rPr>
        <w:t xml:space="preserve"> celles étant en mesure de prêter assistance sont souvent nécessaires. Le jumelage demeure une modalité essentielle afin de faciliter la coopération technique et scientifique</w:t>
      </w:r>
      <w:r w:rsidR="00F50701">
        <w:rPr>
          <w:snapToGrid w:val="0"/>
          <w:kern w:val="22"/>
          <w:lang w:val="fr-CA"/>
        </w:rPr>
        <w:t> </w:t>
      </w:r>
      <w:r w:rsidR="00555F79" w:rsidRPr="004F239A">
        <w:rPr>
          <w:snapToGrid w:val="0"/>
          <w:kern w:val="22"/>
          <w:lang w:val="fr-CA"/>
        </w:rPr>
        <w:t>;</w:t>
      </w:r>
    </w:p>
    <w:p w14:paraId="70DDF56E" w14:textId="5E002323" w:rsidR="00555F79" w:rsidRPr="004F239A" w:rsidRDefault="00DB24FB"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lastRenderedPageBreak/>
        <w:t>L’approche actuelle à la coopération technique et scientifique tient pour acquis que les partenaires compétents seront capables d’offrir une assistance technique aux Parties à même leurs propres ressources. Pourtant, trouver des Parties ou des organisations capables de le faire à de telles conditions s’est avéré difficile sans des ressources financièr</w:t>
      </w:r>
      <w:r w:rsidR="00750DE4">
        <w:rPr>
          <w:snapToGrid w:val="0"/>
          <w:kern w:val="22"/>
          <w:lang w:val="fr-CA"/>
        </w:rPr>
        <w:t>es supplémentaires leur permetta</w:t>
      </w:r>
      <w:r w:rsidRPr="004F239A">
        <w:rPr>
          <w:snapToGrid w:val="0"/>
          <w:kern w:val="22"/>
          <w:lang w:val="fr-CA"/>
        </w:rPr>
        <w:t>nt au moins de p</w:t>
      </w:r>
      <w:r w:rsidR="00750DE4">
        <w:rPr>
          <w:snapToGrid w:val="0"/>
          <w:kern w:val="22"/>
          <w:lang w:val="fr-CA"/>
        </w:rPr>
        <w:t>ayer les coûts d’exécution tel</w:t>
      </w:r>
      <w:r w:rsidRPr="004F239A">
        <w:rPr>
          <w:snapToGrid w:val="0"/>
          <w:kern w:val="22"/>
          <w:lang w:val="fr-CA"/>
        </w:rPr>
        <w:t>s que les déplacements et l’hébergement</w:t>
      </w:r>
      <w:r w:rsidR="00F50701">
        <w:rPr>
          <w:snapToGrid w:val="0"/>
          <w:kern w:val="22"/>
          <w:lang w:val="fr-CA"/>
        </w:rPr>
        <w:t> </w:t>
      </w:r>
      <w:r w:rsidR="00555F79" w:rsidRPr="004F239A">
        <w:rPr>
          <w:snapToGrid w:val="0"/>
          <w:kern w:val="22"/>
          <w:lang w:val="fr-CA"/>
        </w:rPr>
        <w:t>;</w:t>
      </w:r>
    </w:p>
    <w:p w14:paraId="0E1D6005" w14:textId="4650D4B9" w:rsidR="00555F79" w:rsidRPr="004F239A" w:rsidRDefault="00DB24FB" w:rsidP="00AA5D70">
      <w:pPr>
        <w:pStyle w:val="ListParagraph"/>
        <w:numPr>
          <w:ilvl w:val="1"/>
          <w:numId w:val="49"/>
        </w:numPr>
        <w:suppressLineNumbers/>
        <w:suppressAutoHyphens/>
        <w:kinsoku w:val="0"/>
        <w:overflowPunct w:val="0"/>
        <w:autoSpaceDE w:val="0"/>
        <w:autoSpaceDN w:val="0"/>
        <w:adjustRightInd w:val="0"/>
        <w:snapToGrid w:val="0"/>
        <w:spacing w:before="120" w:after="120"/>
        <w:contextualSpacing w:val="0"/>
        <w:rPr>
          <w:snapToGrid w:val="0"/>
          <w:kern w:val="22"/>
          <w:lang w:val="fr-CA"/>
        </w:rPr>
      </w:pPr>
      <w:r w:rsidRPr="004F239A">
        <w:rPr>
          <w:snapToGrid w:val="0"/>
          <w:kern w:val="22"/>
          <w:lang w:val="fr-CA"/>
        </w:rPr>
        <w:t xml:space="preserve">La facilitation de la coopération technique et scientifique exige un solide mandat explicite de la Conférence des Parties afin d’élargir </w:t>
      </w:r>
      <w:r w:rsidR="00EC0EFA" w:rsidRPr="004F239A">
        <w:rPr>
          <w:snapToGrid w:val="0"/>
          <w:kern w:val="22"/>
          <w:lang w:val="fr-CA"/>
        </w:rPr>
        <w:t xml:space="preserve">la prise en charge des projets et favoriser la mobilisation des ressources, ainsi qu’un mécanisme efficace pour fournir une vision et une orientation stratégiques, </w:t>
      </w:r>
      <w:r w:rsidR="00750DE4">
        <w:rPr>
          <w:snapToGrid w:val="0"/>
          <w:kern w:val="22"/>
          <w:lang w:val="fr-CA"/>
        </w:rPr>
        <w:t>de même</w:t>
      </w:r>
      <w:r w:rsidR="00EC0EFA" w:rsidRPr="004F239A">
        <w:rPr>
          <w:snapToGrid w:val="0"/>
          <w:kern w:val="22"/>
          <w:lang w:val="fr-CA"/>
        </w:rPr>
        <w:t xml:space="preserve"> que l’engagement connexe en matière de ressources financières et humaines à la hauteur des demandes des Parties</w:t>
      </w:r>
      <w:r w:rsidR="00F50701">
        <w:rPr>
          <w:snapToGrid w:val="0"/>
          <w:kern w:val="22"/>
          <w:lang w:val="fr-CA"/>
        </w:rPr>
        <w:t> </w:t>
      </w:r>
      <w:r w:rsidR="00555F79" w:rsidRPr="004F239A">
        <w:rPr>
          <w:snapToGrid w:val="0"/>
          <w:kern w:val="22"/>
          <w:lang w:val="fr-CA"/>
        </w:rPr>
        <w:t>;</w:t>
      </w:r>
    </w:p>
    <w:p w14:paraId="17F95864" w14:textId="47FC8723" w:rsidR="00555F79" w:rsidRPr="004F239A" w:rsidRDefault="00EC0EFA" w:rsidP="00AA5D70">
      <w:pPr>
        <w:numPr>
          <w:ilvl w:val="1"/>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Les projets passés de coopération technique et scientifique relevant du Secrétariat ont été de petite envergure et de courte durée, ce qui a limité la capacité d’obtenir des r</w:t>
      </w:r>
      <w:r w:rsidR="00D213BB" w:rsidRPr="004F239A">
        <w:rPr>
          <w:snapToGrid w:val="0"/>
          <w:kern w:val="22"/>
          <w:lang w:val="fr-CA"/>
        </w:rPr>
        <w:t xml:space="preserve">essources supplémentaires et d’obtenir de meilleurs résultats et des </w:t>
      </w:r>
      <w:r w:rsidRPr="004F239A">
        <w:rPr>
          <w:snapToGrid w:val="0"/>
          <w:kern w:val="22"/>
          <w:lang w:val="fr-CA"/>
        </w:rPr>
        <w:t xml:space="preserve">résultats durables. </w:t>
      </w:r>
      <w:r w:rsidR="00D213BB" w:rsidRPr="004F239A">
        <w:rPr>
          <w:snapToGrid w:val="0"/>
          <w:kern w:val="22"/>
          <w:lang w:val="fr-CA"/>
        </w:rPr>
        <w:t>Cela a aussi compliqué l’adoption d’un programme à long terme qui comblerait les besoins et resserrerait les écarts reconnus grâce à des partenariats avec plusieurs parties prenantes</w:t>
      </w:r>
      <w:r w:rsidR="00555F79" w:rsidRPr="004F239A">
        <w:rPr>
          <w:snapToGrid w:val="0"/>
          <w:kern w:val="22"/>
          <w:lang w:val="fr-CA"/>
        </w:rPr>
        <w:t>.</w:t>
      </w:r>
    </w:p>
    <w:p w14:paraId="6A9FA283" w14:textId="7583D75D" w:rsidR="004A3E7E" w:rsidRPr="004F239A" w:rsidRDefault="00DF29A5" w:rsidP="00AA5D70">
      <w:pPr>
        <w:pStyle w:val="Heading2"/>
        <w:numPr>
          <w:ilvl w:val="0"/>
          <w:numId w:val="53"/>
        </w:numPr>
        <w:suppressLineNumbers/>
        <w:tabs>
          <w:tab w:val="clear" w:pos="720"/>
        </w:tabs>
        <w:suppressAutoHyphens/>
        <w:kinsoku w:val="0"/>
        <w:overflowPunct w:val="0"/>
        <w:autoSpaceDE w:val="0"/>
        <w:autoSpaceDN w:val="0"/>
        <w:adjustRightInd w:val="0"/>
        <w:snapToGrid w:val="0"/>
        <w:ind w:left="964" w:hanging="397"/>
        <w:jc w:val="left"/>
        <w:rPr>
          <w:snapToGrid w:val="0"/>
          <w:kern w:val="22"/>
          <w:lang w:val="fr-CA"/>
        </w:rPr>
      </w:pPr>
      <w:r w:rsidRPr="004F239A">
        <w:rPr>
          <w:snapToGrid w:val="0"/>
          <w:kern w:val="22"/>
          <w:lang w:val="fr-CA"/>
        </w:rPr>
        <w:t>Préparation de propositions pour renforcer la coopération technique et scientifique en appui au cadre mondial de la biodiversité pour l</w:t>
      </w:r>
      <w:r w:rsidR="00F50701">
        <w:rPr>
          <w:snapToGrid w:val="0"/>
          <w:kern w:val="22"/>
          <w:lang w:val="fr-CA"/>
        </w:rPr>
        <w:t>’</w:t>
      </w:r>
      <w:r w:rsidRPr="004F239A">
        <w:rPr>
          <w:snapToGrid w:val="0"/>
          <w:kern w:val="22"/>
          <w:lang w:val="fr-CA"/>
        </w:rPr>
        <w:t>après-2020</w:t>
      </w:r>
    </w:p>
    <w:p w14:paraId="39837E78" w14:textId="72AC6C02" w:rsidR="004A3E7E" w:rsidRPr="004F239A" w:rsidRDefault="00DF29A5"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En réponse aux paragraphes 4 et 5 de la recommandation 23/6 de l</w:t>
      </w:r>
      <w:r w:rsidR="00C43FBA" w:rsidRPr="004F239A">
        <w:rPr>
          <w:snapToGrid w:val="0"/>
          <w:kern w:val="22"/>
          <w:lang w:val="fr-CA"/>
        </w:rPr>
        <w:t>’</w:t>
      </w:r>
      <w:r w:rsidRPr="004F239A">
        <w:rPr>
          <w:snapToGrid w:val="0"/>
          <w:kern w:val="22"/>
          <w:lang w:val="fr-CA"/>
        </w:rPr>
        <w:t>Organe subsidiaire chargé de fournir des avis scientifiques, techniques et technologiques</w:t>
      </w:r>
      <w:r w:rsidR="00C43FBA" w:rsidRPr="004F239A">
        <w:rPr>
          <w:snapToGrid w:val="0"/>
          <w:kern w:val="22"/>
          <w:lang w:val="fr-CA"/>
        </w:rPr>
        <w:t>, la Secrétaire exécutive a élaboré des propositions supplémentaires pour renforcer la coopération technique et scientifique en appui au cadre mondial de la biodiversité pour l</w:t>
      </w:r>
      <w:r w:rsidR="00F50701">
        <w:rPr>
          <w:snapToGrid w:val="0"/>
          <w:kern w:val="22"/>
          <w:lang w:val="fr-CA"/>
        </w:rPr>
        <w:t>’</w:t>
      </w:r>
      <w:r w:rsidR="00C43FBA" w:rsidRPr="004F239A">
        <w:rPr>
          <w:snapToGrid w:val="0"/>
          <w:kern w:val="22"/>
          <w:lang w:val="fr-CA"/>
        </w:rPr>
        <w:t>après-2020, présentées dans le document CBD/SBI/3/7/Add.</w:t>
      </w:r>
      <w:r w:rsidR="00DC0972">
        <w:rPr>
          <w:snapToGrid w:val="0"/>
          <w:kern w:val="22"/>
          <w:lang w:val="fr-CA"/>
        </w:rPr>
        <w:t>2</w:t>
      </w:r>
      <w:r w:rsidR="00C43FBA" w:rsidRPr="004F239A">
        <w:rPr>
          <w:snapToGrid w:val="0"/>
          <w:kern w:val="22"/>
          <w:lang w:val="fr-CA"/>
        </w:rPr>
        <w:t>. Les points de vue et les suggestions reçus des Parties, des autres gouvernements et des organisations compétentes en réponse à la notification 2020-001</w:t>
      </w:r>
      <w:r w:rsidR="00DC0972">
        <w:rPr>
          <w:snapToGrid w:val="0"/>
          <w:kern w:val="22"/>
          <w:lang w:val="fr-CA"/>
        </w:rPr>
        <w:t xml:space="preserve"> </w:t>
      </w:r>
      <w:r w:rsidR="00C43FBA" w:rsidRPr="004F239A">
        <w:rPr>
          <w:snapToGrid w:val="0"/>
          <w:kern w:val="22"/>
          <w:lang w:val="fr-CA"/>
        </w:rPr>
        <w:t>ont été intégrés au document.</w:t>
      </w:r>
      <w:r w:rsidR="004A3E7E" w:rsidRPr="004F239A">
        <w:rPr>
          <w:rStyle w:val="FootnoteReference"/>
          <w:snapToGrid w:val="0"/>
          <w:kern w:val="22"/>
          <w:lang w:val="fr-CA"/>
        </w:rPr>
        <w:footnoteReference w:id="39"/>
      </w:r>
      <w:r w:rsidR="004A3E7E" w:rsidRPr="004F239A">
        <w:rPr>
          <w:snapToGrid w:val="0"/>
          <w:kern w:val="22"/>
          <w:lang w:val="fr-CA"/>
        </w:rPr>
        <w:t xml:space="preserve"> </w:t>
      </w:r>
      <w:r w:rsidR="00615EC4" w:rsidRPr="004F239A">
        <w:rPr>
          <w:snapToGrid w:val="0"/>
          <w:kern w:val="22"/>
          <w:lang w:val="fr-CA"/>
        </w:rPr>
        <w:t xml:space="preserve">Le document </w:t>
      </w:r>
      <w:bookmarkStart w:id="12" w:name="_Hlk54777988"/>
      <w:r w:rsidR="00615EC4" w:rsidRPr="004F239A">
        <w:rPr>
          <w:snapToGrid w:val="0"/>
          <w:kern w:val="22"/>
          <w:lang w:val="fr-CA"/>
        </w:rPr>
        <w:t>CBD/SBI/3/INF/16</w:t>
      </w:r>
      <w:bookmarkEnd w:id="12"/>
      <w:r w:rsidR="00615EC4" w:rsidRPr="004F239A">
        <w:rPr>
          <w:snapToGrid w:val="0"/>
          <w:kern w:val="22"/>
          <w:lang w:val="fr-CA"/>
        </w:rPr>
        <w:t xml:space="preserve"> contient des renseignements sur les avantages et les inconvénients des trois scénarios d’arrangements institutionnels et le document CBD/SBI/3/INF/17 offre une première compilation des arrangements institutionnels et des réseaux de coopération technique et scientifique pertinents </w:t>
      </w:r>
      <w:r w:rsidR="00DC0972">
        <w:rPr>
          <w:snapToGrid w:val="0"/>
          <w:kern w:val="22"/>
          <w:lang w:val="fr-CA"/>
        </w:rPr>
        <w:t>selon</w:t>
      </w:r>
      <w:r w:rsidR="00615EC4" w:rsidRPr="004F239A">
        <w:rPr>
          <w:snapToGrid w:val="0"/>
          <w:kern w:val="22"/>
          <w:lang w:val="fr-CA"/>
        </w:rPr>
        <w:t xml:space="preserve"> différents thèmes</w:t>
      </w:r>
      <w:r w:rsidR="004A3E7E" w:rsidRPr="004F239A">
        <w:rPr>
          <w:snapToGrid w:val="0"/>
          <w:kern w:val="22"/>
          <w:lang w:val="fr-CA"/>
        </w:rPr>
        <w:t>.</w:t>
      </w:r>
    </w:p>
    <w:p w14:paraId="44AC0018" w14:textId="585906F9" w:rsidR="004A3E7E" w:rsidRPr="004F239A" w:rsidRDefault="00FB0CD6"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La mise en œuvre des propositions pour le renforcement de la coopération technique et scientifique exigera des ressources supplémentaires prévisibles afin de soutenir les activités pertinentes des Parties, des parties prenantes et du Secrétariat. Le Secrétariat, en particulier, aura besoin de</w:t>
      </w:r>
      <w:r w:rsidR="004A3E7E" w:rsidRPr="004F239A">
        <w:rPr>
          <w:snapToGrid w:val="0"/>
          <w:kern w:val="22"/>
          <w:lang w:val="fr-CA"/>
        </w:rPr>
        <w:t xml:space="preserve"> res</w:t>
      </w:r>
      <w:r w:rsidRPr="004F239A">
        <w:rPr>
          <w:snapToGrid w:val="0"/>
          <w:kern w:val="22"/>
          <w:lang w:val="fr-CA"/>
        </w:rPr>
        <w:t>s</w:t>
      </w:r>
      <w:r w:rsidR="004A3E7E" w:rsidRPr="004F239A">
        <w:rPr>
          <w:snapToGrid w:val="0"/>
          <w:kern w:val="22"/>
          <w:lang w:val="fr-CA"/>
        </w:rPr>
        <w:t>ource</w:t>
      </w:r>
      <w:r w:rsidR="00F50701">
        <w:rPr>
          <w:snapToGrid w:val="0"/>
          <w:kern w:val="22"/>
          <w:lang w:val="fr-CA"/>
        </w:rPr>
        <w:t>s</w:t>
      </w:r>
      <w:r w:rsidRPr="004F239A">
        <w:rPr>
          <w:snapToGrid w:val="0"/>
          <w:kern w:val="22"/>
          <w:lang w:val="fr-CA"/>
        </w:rPr>
        <w:t xml:space="preserve"> supplémentaires, dont des ressources humaines</w:t>
      </w:r>
      <w:r w:rsidR="00AB4938" w:rsidRPr="004F239A">
        <w:rPr>
          <w:snapToGrid w:val="0"/>
          <w:kern w:val="22"/>
          <w:lang w:val="fr-CA"/>
        </w:rPr>
        <w:t>,</w:t>
      </w:r>
      <w:r w:rsidR="004A3E7E" w:rsidRPr="004F239A">
        <w:rPr>
          <w:rStyle w:val="FootnoteReference"/>
          <w:snapToGrid w:val="0"/>
          <w:kern w:val="22"/>
          <w:lang w:val="fr-CA"/>
        </w:rPr>
        <w:footnoteReference w:id="40"/>
      </w:r>
      <w:r w:rsidR="004A3E7E" w:rsidRPr="004F239A">
        <w:rPr>
          <w:snapToGrid w:val="0"/>
          <w:kern w:val="22"/>
          <w:lang w:val="fr-CA"/>
        </w:rPr>
        <w:t xml:space="preserve"> </w:t>
      </w:r>
      <w:r w:rsidRPr="004F239A">
        <w:rPr>
          <w:snapToGrid w:val="0"/>
          <w:kern w:val="22"/>
          <w:lang w:val="fr-CA"/>
        </w:rPr>
        <w:t>afin de</w:t>
      </w:r>
      <w:r w:rsidR="00F50701">
        <w:rPr>
          <w:snapToGrid w:val="0"/>
          <w:kern w:val="22"/>
          <w:lang w:val="fr-CA"/>
        </w:rPr>
        <w:t> </w:t>
      </w:r>
      <w:r w:rsidR="004A3E7E" w:rsidRPr="004F239A">
        <w:rPr>
          <w:rFonts w:eastAsiaTheme="minorEastAsia"/>
          <w:snapToGrid w:val="0"/>
          <w:kern w:val="22"/>
          <w:szCs w:val="18"/>
          <w:lang w:val="fr-CA"/>
        </w:rPr>
        <w:t>:</w:t>
      </w:r>
    </w:p>
    <w:p w14:paraId="158C78A1" w14:textId="3E8BD3E9" w:rsidR="004A3E7E" w:rsidRPr="004F239A" w:rsidRDefault="00E4592E" w:rsidP="00AA5D70">
      <w:pPr>
        <w:pStyle w:val="ListParagraph"/>
        <w:numPr>
          <w:ilvl w:val="1"/>
          <w:numId w:val="49"/>
        </w:numPr>
        <w:suppressLineNumbers/>
        <w:suppressAutoHyphens/>
        <w:kinsoku w:val="0"/>
        <w:overflowPunct w:val="0"/>
        <w:autoSpaceDE w:val="0"/>
        <w:autoSpaceDN w:val="0"/>
        <w:adjustRightInd w:val="0"/>
        <w:snapToGrid w:val="0"/>
        <w:spacing w:after="120"/>
        <w:contextualSpacing w:val="0"/>
        <w:rPr>
          <w:snapToGrid w:val="0"/>
          <w:kern w:val="22"/>
          <w:lang w:val="fr-CA"/>
        </w:rPr>
      </w:pPr>
      <w:r w:rsidRPr="004F239A">
        <w:rPr>
          <w:snapToGrid w:val="0"/>
          <w:kern w:val="22"/>
          <w:lang w:val="fr-CA"/>
        </w:rPr>
        <w:t>Encourager et faciliter la coopération technique et scientifique en appui au cadre mondial de la biodiversité pour l</w:t>
      </w:r>
      <w:r w:rsidR="00F50701">
        <w:rPr>
          <w:snapToGrid w:val="0"/>
          <w:kern w:val="22"/>
          <w:lang w:val="fr-CA"/>
        </w:rPr>
        <w:t>’</w:t>
      </w:r>
      <w:r w:rsidRPr="004F239A">
        <w:rPr>
          <w:snapToGrid w:val="0"/>
          <w:kern w:val="22"/>
          <w:lang w:val="fr-CA"/>
        </w:rPr>
        <w:t>après-2020</w:t>
      </w:r>
      <w:r w:rsidR="00F50701">
        <w:rPr>
          <w:snapToGrid w:val="0"/>
          <w:kern w:val="22"/>
          <w:lang w:val="fr-CA"/>
        </w:rPr>
        <w:t> </w:t>
      </w:r>
      <w:r w:rsidR="00AB4938" w:rsidRPr="004F239A">
        <w:rPr>
          <w:snapToGrid w:val="0"/>
          <w:color w:val="000000" w:themeColor="text1"/>
          <w:kern w:val="22"/>
          <w:lang w:val="fr-CA"/>
        </w:rPr>
        <w:t>;</w:t>
      </w:r>
    </w:p>
    <w:p w14:paraId="48FC7F25" w14:textId="3878ABD9" w:rsidR="004A3E7E" w:rsidRPr="004F239A" w:rsidRDefault="00E4592E" w:rsidP="00AA5D70">
      <w:pPr>
        <w:pStyle w:val="ListParagraph"/>
        <w:numPr>
          <w:ilvl w:val="1"/>
          <w:numId w:val="49"/>
        </w:numPr>
        <w:suppressLineNumbers/>
        <w:suppressAutoHyphens/>
        <w:kinsoku w:val="0"/>
        <w:overflowPunct w:val="0"/>
        <w:autoSpaceDE w:val="0"/>
        <w:autoSpaceDN w:val="0"/>
        <w:adjustRightInd w:val="0"/>
        <w:snapToGrid w:val="0"/>
        <w:spacing w:after="120"/>
        <w:contextualSpacing w:val="0"/>
        <w:rPr>
          <w:snapToGrid w:val="0"/>
          <w:kern w:val="22"/>
          <w:lang w:val="fr-CA"/>
        </w:rPr>
      </w:pPr>
      <w:r w:rsidRPr="004F239A">
        <w:rPr>
          <w:snapToGrid w:val="0"/>
          <w:kern w:val="22"/>
          <w:lang w:val="fr-CA"/>
        </w:rPr>
        <w:t>Compil</w:t>
      </w:r>
      <w:r w:rsidR="00DC0972">
        <w:rPr>
          <w:snapToGrid w:val="0"/>
          <w:kern w:val="22"/>
          <w:lang w:val="fr-CA"/>
        </w:rPr>
        <w:t>er des renseignements pertinent</w:t>
      </w:r>
      <w:r w:rsidRPr="004F239A">
        <w:rPr>
          <w:snapToGrid w:val="0"/>
          <w:kern w:val="22"/>
          <w:lang w:val="fr-CA"/>
        </w:rPr>
        <w:t>s sur la coopération technique et scientifique et le transfert de technologie dans le domaine de la diversité biologique, et l</w:t>
      </w:r>
      <w:r w:rsidR="00DC0972">
        <w:rPr>
          <w:snapToGrid w:val="0"/>
          <w:kern w:val="22"/>
          <w:lang w:val="fr-CA"/>
        </w:rPr>
        <w:t>es</w:t>
      </w:r>
      <w:r w:rsidRPr="004F239A">
        <w:rPr>
          <w:snapToGrid w:val="0"/>
          <w:kern w:val="22"/>
          <w:lang w:val="fr-CA"/>
        </w:rPr>
        <w:t xml:space="preserve"> mettre à la disposition des Parties par le biais du mécanisme de centre d’échange, conformément au volet de gestion des connaissances du cadre mondial de la biodiversité pour l</w:t>
      </w:r>
      <w:r w:rsidR="00F50701">
        <w:rPr>
          <w:snapToGrid w:val="0"/>
          <w:kern w:val="22"/>
          <w:lang w:val="fr-CA"/>
        </w:rPr>
        <w:t>’</w:t>
      </w:r>
      <w:r w:rsidRPr="004F239A">
        <w:rPr>
          <w:snapToGrid w:val="0"/>
          <w:kern w:val="22"/>
          <w:lang w:val="fr-CA"/>
        </w:rPr>
        <w:t>après-2020</w:t>
      </w:r>
      <w:r w:rsidR="00F50701">
        <w:rPr>
          <w:snapToGrid w:val="0"/>
          <w:kern w:val="22"/>
          <w:lang w:val="fr-CA"/>
        </w:rPr>
        <w:t> </w:t>
      </w:r>
      <w:r w:rsidR="004A3E7E" w:rsidRPr="004F239A">
        <w:rPr>
          <w:snapToGrid w:val="0"/>
          <w:kern w:val="22"/>
          <w:lang w:val="fr-CA"/>
        </w:rPr>
        <w:t>;</w:t>
      </w:r>
    </w:p>
    <w:p w14:paraId="19A6934C" w14:textId="08657C40" w:rsidR="004A3E7E" w:rsidRPr="004F239A" w:rsidRDefault="00E4592E" w:rsidP="00AA5D70">
      <w:pPr>
        <w:pStyle w:val="ListParagraph"/>
        <w:numPr>
          <w:ilvl w:val="1"/>
          <w:numId w:val="49"/>
        </w:numPr>
        <w:suppressLineNumbers/>
        <w:suppressAutoHyphens/>
        <w:kinsoku w:val="0"/>
        <w:overflowPunct w:val="0"/>
        <w:autoSpaceDE w:val="0"/>
        <w:autoSpaceDN w:val="0"/>
        <w:adjustRightInd w:val="0"/>
        <w:snapToGrid w:val="0"/>
        <w:spacing w:after="120"/>
        <w:contextualSpacing w:val="0"/>
        <w:rPr>
          <w:rFonts w:eastAsiaTheme="minorEastAsia"/>
          <w:snapToGrid w:val="0"/>
          <w:kern w:val="22"/>
          <w:lang w:val="fr-CA"/>
        </w:rPr>
      </w:pPr>
      <w:r w:rsidRPr="004F239A">
        <w:rPr>
          <w:snapToGrid w:val="0"/>
          <w:kern w:val="22"/>
          <w:lang w:val="fr-CA"/>
        </w:rPr>
        <w:t>Faciliter la coordination et la synergie, selon qu’il convient, avec les conventions liées à la diversité biologique, les agences compétentes, le Consortium de partenaires scientifiques sur la biodiver</w:t>
      </w:r>
      <w:r w:rsidR="00EF5790" w:rsidRPr="004F239A">
        <w:rPr>
          <w:snapToGrid w:val="0"/>
          <w:kern w:val="22"/>
          <w:lang w:val="fr-CA"/>
        </w:rPr>
        <w:t>sité, le Partenariat mondial des affaires et de la biodiversité et autres réseaux et programmes pertinents ayant une expertise technique et scientifique et/ou participant à la coopération</w:t>
      </w:r>
      <w:r w:rsidR="00F50701">
        <w:rPr>
          <w:snapToGrid w:val="0"/>
          <w:kern w:val="22"/>
          <w:lang w:val="fr-CA"/>
        </w:rPr>
        <w:t> </w:t>
      </w:r>
      <w:r w:rsidR="004A3E7E" w:rsidRPr="004F239A">
        <w:rPr>
          <w:snapToGrid w:val="0"/>
          <w:kern w:val="22"/>
          <w:lang w:val="fr-CA"/>
        </w:rPr>
        <w:t>;</w:t>
      </w:r>
    </w:p>
    <w:p w14:paraId="266D90D2" w14:textId="385C639D" w:rsidR="004A3E7E" w:rsidRPr="004F239A" w:rsidRDefault="00EF5790" w:rsidP="00AA5D70">
      <w:pPr>
        <w:pStyle w:val="ListParagraph"/>
        <w:numPr>
          <w:ilvl w:val="1"/>
          <w:numId w:val="49"/>
        </w:numPr>
        <w:suppressLineNumbers/>
        <w:suppressAutoHyphens/>
        <w:kinsoku w:val="0"/>
        <w:overflowPunct w:val="0"/>
        <w:autoSpaceDE w:val="0"/>
        <w:autoSpaceDN w:val="0"/>
        <w:adjustRightInd w:val="0"/>
        <w:snapToGrid w:val="0"/>
        <w:spacing w:after="120"/>
        <w:contextualSpacing w:val="0"/>
        <w:rPr>
          <w:rFonts w:eastAsiaTheme="minorEastAsia"/>
          <w:snapToGrid w:val="0"/>
          <w:kern w:val="22"/>
          <w:lang w:val="fr-CA"/>
        </w:rPr>
      </w:pPr>
      <w:r w:rsidRPr="004F239A">
        <w:rPr>
          <w:snapToGrid w:val="0"/>
          <w:kern w:val="22"/>
          <w:lang w:val="fr-CA"/>
        </w:rPr>
        <w:lastRenderedPageBreak/>
        <w:t>Organiser des foires scientifiques, des expo</w:t>
      </w:r>
      <w:r w:rsidR="00E52054">
        <w:rPr>
          <w:snapToGrid w:val="0"/>
          <w:kern w:val="22"/>
          <w:lang w:val="fr-CA"/>
        </w:rPr>
        <w:t>sitions sur la</w:t>
      </w:r>
      <w:r w:rsidRPr="004F239A">
        <w:rPr>
          <w:snapToGrid w:val="0"/>
          <w:kern w:val="22"/>
          <w:lang w:val="fr-CA"/>
        </w:rPr>
        <w:t xml:space="preserve"> technologie et </w:t>
      </w:r>
      <w:r w:rsidR="00E52054">
        <w:rPr>
          <w:snapToGrid w:val="0"/>
          <w:kern w:val="22"/>
          <w:lang w:val="fr-CA"/>
        </w:rPr>
        <w:t>l</w:t>
      </w:r>
      <w:r w:rsidRPr="004F239A">
        <w:rPr>
          <w:snapToGrid w:val="0"/>
          <w:kern w:val="22"/>
          <w:lang w:val="fr-CA"/>
        </w:rPr>
        <w:t xml:space="preserve">’innovation, des tables rondes et autres événements en collaboration avec des partenaires, afin de mettre en lumière des projets de coopération, des </w:t>
      </w:r>
      <w:r w:rsidR="00480898" w:rsidRPr="004F239A">
        <w:rPr>
          <w:snapToGrid w:val="0"/>
          <w:kern w:val="22"/>
          <w:lang w:val="fr-CA"/>
        </w:rPr>
        <w:t xml:space="preserve">technologies </w:t>
      </w:r>
      <w:r w:rsidRPr="004F239A">
        <w:rPr>
          <w:snapToGrid w:val="0"/>
          <w:kern w:val="22"/>
          <w:lang w:val="fr-CA"/>
        </w:rPr>
        <w:t>et des occasions</w:t>
      </w:r>
      <w:r w:rsidR="00F50701">
        <w:rPr>
          <w:snapToGrid w:val="0"/>
          <w:kern w:val="22"/>
          <w:lang w:val="fr-CA"/>
        </w:rPr>
        <w:t> </w:t>
      </w:r>
      <w:r w:rsidR="004A3E7E" w:rsidRPr="004F239A">
        <w:rPr>
          <w:snapToGrid w:val="0"/>
          <w:kern w:val="22"/>
          <w:lang w:val="fr-CA"/>
        </w:rPr>
        <w:t>;</w:t>
      </w:r>
    </w:p>
    <w:p w14:paraId="54598355" w14:textId="3BE65A87" w:rsidR="004A3E7E" w:rsidRPr="004F239A" w:rsidRDefault="00480898" w:rsidP="00AA5D70">
      <w:pPr>
        <w:pStyle w:val="ListParagraph"/>
        <w:numPr>
          <w:ilvl w:val="1"/>
          <w:numId w:val="49"/>
        </w:numPr>
        <w:suppressLineNumbers/>
        <w:suppressAutoHyphens/>
        <w:kinsoku w:val="0"/>
        <w:overflowPunct w:val="0"/>
        <w:autoSpaceDE w:val="0"/>
        <w:autoSpaceDN w:val="0"/>
        <w:adjustRightInd w:val="0"/>
        <w:snapToGrid w:val="0"/>
        <w:spacing w:after="120"/>
        <w:contextualSpacing w:val="0"/>
        <w:rPr>
          <w:snapToGrid w:val="0"/>
          <w:kern w:val="22"/>
          <w:lang w:val="fr-CA"/>
        </w:rPr>
      </w:pPr>
      <w:r w:rsidRPr="004F239A">
        <w:rPr>
          <w:snapToGrid w:val="0"/>
          <w:kern w:val="22"/>
          <w:lang w:val="fr-CA"/>
        </w:rPr>
        <w:t>Préparer les documents et les rapports pertinents sur la coopération technique et scientifique et le transfert de technologie pour examen par la Conférence des Parties et ses organes subsidiaires</w:t>
      </w:r>
      <w:r w:rsidR="004A3E7E" w:rsidRPr="004F239A">
        <w:rPr>
          <w:snapToGrid w:val="0"/>
          <w:kern w:val="22"/>
          <w:lang w:val="fr-CA"/>
        </w:rPr>
        <w:t>.</w:t>
      </w:r>
    </w:p>
    <w:p w14:paraId="081C5202" w14:textId="5290508E" w:rsidR="00505D7E" w:rsidRPr="004F239A" w:rsidRDefault="00480898" w:rsidP="00AA5D70">
      <w:pPr>
        <w:pStyle w:val="Heading2"/>
        <w:numPr>
          <w:ilvl w:val="0"/>
          <w:numId w:val="53"/>
        </w:numPr>
        <w:suppressLineNumbers/>
        <w:tabs>
          <w:tab w:val="clear" w:pos="720"/>
        </w:tabs>
        <w:suppressAutoHyphens/>
        <w:kinsoku w:val="0"/>
        <w:overflowPunct w:val="0"/>
        <w:autoSpaceDE w:val="0"/>
        <w:autoSpaceDN w:val="0"/>
        <w:adjustRightInd w:val="0"/>
        <w:snapToGrid w:val="0"/>
        <w:ind w:left="1248" w:hanging="397"/>
        <w:jc w:val="left"/>
        <w:rPr>
          <w:snapToGrid w:val="0"/>
          <w:kern w:val="22"/>
          <w:lang w:val="fr-CA"/>
        </w:rPr>
      </w:pPr>
      <w:r w:rsidRPr="004F239A">
        <w:rPr>
          <w:snapToGrid w:val="0"/>
          <w:kern w:val="22"/>
          <w:lang w:val="fr-CA"/>
        </w:rPr>
        <w:t xml:space="preserve">Propositions </w:t>
      </w:r>
      <w:r w:rsidR="00E52054">
        <w:rPr>
          <w:snapToGrid w:val="0"/>
          <w:kern w:val="22"/>
          <w:lang w:val="fr-CA"/>
        </w:rPr>
        <w:t>pour</w:t>
      </w:r>
      <w:r w:rsidRPr="004F239A">
        <w:rPr>
          <w:snapToGrid w:val="0"/>
          <w:kern w:val="22"/>
          <w:lang w:val="fr-CA"/>
        </w:rPr>
        <w:t xml:space="preserve"> un processus </w:t>
      </w:r>
      <w:r w:rsidR="00E52054">
        <w:rPr>
          <w:snapToGrid w:val="0"/>
          <w:kern w:val="22"/>
          <w:lang w:val="fr-CA"/>
        </w:rPr>
        <w:t>ouvert à tous</w:t>
      </w:r>
      <w:r w:rsidRPr="004F239A">
        <w:rPr>
          <w:snapToGrid w:val="0"/>
          <w:kern w:val="22"/>
          <w:lang w:val="fr-CA"/>
        </w:rPr>
        <w:t xml:space="preserve"> </w:t>
      </w:r>
      <w:r w:rsidR="00E52054">
        <w:rPr>
          <w:snapToGrid w:val="0"/>
          <w:kern w:val="22"/>
          <w:lang w:val="fr-CA"/>
        </w:rPr>
        <w:t>pour l’examen et le</w:t>
      </w:r>
      <w:r w:rsidRPr="004F239A">
        <w:rPr>
          <w:snapToGrid w:val="0"/>
          <w:kern w:val="22"/>
          <w:lang w:val="fr-CA"/>
        </w:rPr>
        <w:t xml:space="preserve"> renouvellement des programmes de coopération technique et scientifique</w:t>
      </w:r>
    </w:p>
    <w:p w14:paraId="4182C542" w14:textId="4B6658FF" w:rsidR="00505D7E" w:rsidRPr="004F239A" w:rsidRDefault="00480898"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spacing w:val="-2"/>
          <w:kern w:val="22"/>
          <w:lang w:val="fr-CA"/>
        </w:rPr>
      </w:pPr>
      <w:r w:rsidRPr="004F239A">
        <w:rPr>
          <w:snapToGrid w:val="0"/>
          <w:spacing w:val="-2"/>
          <w:kern w:val="22"/>
          <w:lang w:val="fr-CA"/>
        </w:rPr>
        <w:t xml:space="preserve">En réponse au </w:t>
      </w:r>
      <w:r w:rsidR="00BC410E" w:rsidRPr="004F239A">
        <w:rPr>
          <w:snapToGrid w:val="0"/>
          <w:spacing w:val="-2"/>
          <w:kern w:val="22"/>
          <w:lang w:val="fr-CA"/>
        </w:rPr>
        <w:t>paragraphe</w:t>
      </w:r>
      <w:r w:rsidRPr="004F239A">
        <w:rPr>
          <w:snapToGrid w:val="0"/>
          <w:spacing w:val="-2"/>
          <w:kern w:val="22"/>
          <w:lang w:val="fr-CA"/>
        </w:rPr>
        <w:t xml:space="preserve"> 9 de la décision 14/24 B de la Conférence </w:t>
      </w:r>
      <w:r w:rsidR="00BC410E" w:rsidRPr="004F239A">
        <w:rPr>
          <w:snapToGrid w:val="0"/>
          <w:spacing w:val="-2"/>
          <w:kern w:val="22"/>
          <w:lang w:val="fr-CA"/>
        </w:rPr>
        <w:t>des Pa</w:t>
      </w:r>
      <w:r w:rsidRPr="004F239A">
        <w:rPr>
          <w:snapToGrid w:val="0"/>
          <w:spacing w:val="-2"/>
          <w:kern w:val="22"/>
          <w:lang w:val="fr-CA"/>
        </w:rPr>
        <w:t xml:space="preserve">rties et au paragraphe 2 de la recommandation 23/6 de l’Organe subsidiaire chargé de fournir des avis scientifiques, techniques et technologiques, la Secrétaire exécutive a préparé des propositions sur un processus </w:t>
      </w:r>
      <w:r w:rsidR="00E82A60" w:rsidRPr="004F239A">
        <w:rPr>
          <w:snapToGrid w:val="0"/>
          <w:spacing w:val="-2"/>
          <w:kern w:val="22"/>
          <w:lang w:val="fr-CA"/>
        </w:rPr>
        <w:t>ouvert à tous</w:t>
      </w:r>
      <w:r w:rsidRPr="004F239A">
        <w:rPr>
          <w:snapToGrid w:val="0"/>
          <w:spacing w:val="-2"/>
          <w:kern w:val="22"/>
          <w:lang w:val="fr-CA"/>
        </w:rPr>
        <w:t xml:space="preserve"> </w:t>
      </w:r>
      <w:r w:rsidR="00E82A60" w:rsidRPr="004F239A">
        <w:rPr>
          <w:snapToGrid w:val="0"/>
          <w:spacing w:val="-2"/>
          <w:kern w:val="22"/>
          <w:lang w:val="fr-CA"/>
        </w:rPr>
        <w:t>pour examiner et renouveler les</w:t>
      </w:r>
      <w:r w:rsidR="00BC410E" w:rsidRPr="004F239A">
        <w:rPr>
          <w:snapToGrid w:val="0"/>
          <w:spacing w:val="-2"/>
          <w:kern w:val="22"/>
          <w:lang w:val="fr-CA"/>
        </w:rPr>
        <w:t xml:space="preserve"> programmes de coopération technique et scientifique, jointes à l’annexe II aux présentes et élaborées dans le document </w:t>
      </w:r>
      <w:r w:rsidR="00505D7E" w:rsidRPr="004F239A">
        <w:rPr>
          <w:snapToGrid w:val="0"/>
          <w:spacing w:val="-2"/>
          <w:kern w:val="22"/>
          <w:lang w:val="fr-CA"/>
        </w:rPr>
        <w:t>CBD/SBI/3/INF/15.</w:t>
      </w:r>
    </w:p>
    <w:p w14:paraId="3F86410E" w14:textId="17D6B403" w:rsidR="00FB7E1E" w:rsidRPr="004F239A" w:rsidRDefault="00BC410E" w:rsidP="00AA5D70">
      <w:pPr>
        <w:pStyle w:val="Heading2"/>
        <w:numPr>
          <w:ilvl w:val="0"/>
          <w:numId w:val="53"/>
        </w:numPr>
        <w:suppressLineNumbers/>
        <w:tabs>
          <w:tab w:val="clear" w:pos="720"/>
          <w:tab w:val="left" w:pos="426"/>
        </w:tabs>
        <w:suppressAutoHyphens/>
        <w:kinsoku w:val="0"/>
        <w:overflowPunct w:val="0"/>
        <w:autoSpaceDE w:val="0"/>
        <w:autoSpaceDN w:val="0"/>
        <w:adjustRightInd w:val="0"/>
        <w:snapToGrid w:val="0"/>
        <w:ind w:left="0" w:firstLine="0"/>
        <w:rPr>
          <w:snapToGrid w:val="0"/>
          <w:kern w:val="22"/>
          <w:lang w:val="fr-CA"/>
        </w:rPr>
      </w:pPr>
      <w:r w:rsidRPr="004F239A">
        <w:rPr>
          <w:snapToGrid w:val="0"/>
          <w:kern w:val="22"/>
          <w:lang w:val="fr-CA"/>
        </w:rPr>
        <w:t>Groupe consultatif informel sur la coopération technique et scientifique</w:t>
      </w:r>
    </w:p>
    <w:p w14:paraId="11A6BB24" w14:textId="08F893D5" w:rsidR="00FB7E1E" w:rsidRPr="004F239A" w:rsidRDefault="00BC410E"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snapToGrid w:val="0"/>
          <w:kern w:val="22"/>
          <w:lang w:val="fr-CA"/>
        </w:rPr>
      </w:pPr>
      <w:r w:rsidRPr="004F239A">
        <w:rPr>
          <w:snapToGrid w:val="0"/>
          <w:kern w:val="22"/>
          <w:lang w:val="fr-CA"/>
        </w:rPr>
        <w:t xml:space="preserve">Au paragraphe 6 de sa recommandation 23/6, l’Organe subsidiaire chargé de fournir des avis scientifiques, techniques et technologiques </w:t>
      </w:r>
      <w:r w:rsidR="00270679">
        <w:rPr>
          <w:snapToGrid w:val="0"/>
          <w:kern w:val="22"/>
          <w:lang w:val="fr-CA"/>
        </w:rPr>
        <w:t xml:space="preserve">a </w:t>
      </w:r>
      <w:r w:rsidRPr="004F239A">
        <w:rPr>
          <w:snapToGrid w:val="0"/>
          <w:kern w:val="22"/>
          <w:lang w:val="fr-CA"/>
        </w:rPr>
        <w:t>accueill</w:t>
      </w:r>
      <w:r w:rsidR="00270679">
        <w:rPr>
          <w:snapToGrid w:val="0"/>
          <w:kern w:val="22"/>
          <w:lang w:val="fr-CA"/>
        </w:rPr>
        <w:t>i</w:t>
      </w:r>
      <w:r w:rsidRPr="004F239A">
        <w:rPr>
          <w:snapToGrid w:val="0"/>
          <w:kern w:val="22"/>
          <w:lang w:val="fr-CA"/>
        </w:rPr>
        <w:t xml:space="preserve"> également le projet de mandat d’un groupe consultatif informel en matière de coopération technique et scientifique </w:t>
      </w:r>
      <w:r w:rsidR="00270679">
        <w:rPr>
          <w:snapToGrid w:val="0"/>
          <w:kern w:val="22"/>
          <w:lang w:val="fr-CA"/>
        </w:rPr>
        <w:t xml:space="preserve">proposé </w:t>
      </w:r>
      <w:r w:rsidRPr="004F239A">
        <w:rPr>
          <w:snapToGrid w:val="0"/>
          <w:kern w:val="22"/>
          <w:lang w:val="fr-CA"/>
        </w:rPr>
        <w:t xml:space="preserve">et a invité </w:t>
      </w:r>
      <w:r w:rsidR="00666DFB" w:rsidRPr="004F239A">
        <w:rPr>
          <w:snapToGrid w:val="0"/>
          <w:kern w:val="22"/>
          <w:lang w:val="fr-CA"/>
        </w:rPr>
        <w:t>l’Organe subsidiaire chargé de l</w:t>
      </w:r>
      <w:r w:rsidR="00F50701">
        <w:rPr>
          <w:snapToGrid w:val="0"/>
          <w:kern w:val="22"/>
          <w:lang w:val="fr-CA"/>
        </w:rPr>
        <w:t>’</w:t>
      </w:r>
      <w:r w:rsidR="00666DFB" w:rsidRPr="004F239A">
        <w:rPr>
          <w:snapToGrid w:val="0"/>
          <w:kern w:val="22"/>
          <w:lang w:val="fr-CA"/>
        </w:rPr>
        <w:t>application de l’examiner à sa troisième réunion et de présenter une recommandation à la Conférence des Parties à sa quinzième réunion. Le projet de mandat est joint à l’annexe III ci-dessous</w:t>
      </w:r>
      <w:r w:rsidR="00FB7E1E" w:rsidRPr="004F239A">
        <w:rPr>
          <w:snapToGrid w:val="0"/>
          <w:kern w:val="22"/>
          <w:lang w:val="fr-CA"/>
        </w:rPr>
        <w:t>.</w:t>
      </w:r>
    </w:p>
    <w:p w14:paraId="4D7A34B9" w14:textId="11250313" w:rsidR="004A3E7E" w:rsidRPr="004F239A" w:rsidRDefault="00666DFB" w:rsidP="00AA5D70">
      <w:pPr>
        <w:pStyle w:val="Heading1"/>
        <w:numPr>
          <w:ilvl w:val="0"/>
          <w:numId w:val="5"/>
        </w:numPr>
        <w:suppressLineNumbers/>
        <w:tabs>
          <w:tab w:val="clear" w:pos="720"/>
        </w:tabs>
        <w:suppressAutoHyphens/>
        <w:kinsoku w:val="0"/>
        <w:overflowPunct w:val="0"/>
        <w:autoSpaceDE w:val="0"/>
        <w:autoSpaceDN w:val="0"/>
        <w:adjustRightInd w:val="0"/>
        <w:snapToGrid w:val="0"/>
        <w:spacing w:before="120"/>
        <w:ind w:left="1021" w:hanging="454"/>
        <w:jc w:val="left"/>
        <w:rPr>
          <w:bCs/>
          <w:snapToGrid w:val="0"/>
          <w:kern w:val="22"/>
          <w:lang w:val="fr-CA"/>
        </w:rPr>
      </w:pPr>
      <w:bookmarkStart w:id="13" w:name="_Toc57201927"/>
      <w:bookmarkStart w:id="14" w:name="_Toc57214889"/>
      <w:bookmarkEnd w:id="13"/>
      <w:bookmarkEnd w:id="14"/>
      <w:r w:rsidRPr="004F239A">
        <w:rPr>
          <w:bCs/>
          <w:snapToGrid w:val="0"/>
          <w:kern w:val="22"/>
          <w:lang w:val="fr-CA"/>
        </w:rPr>
        <w:t>LIENS ENTRE LE RENFORCEMENT DES CAPACITÉS, LA COOPÉRATION TECHNIQUE ET SCIENTIFIQUE, LE TRANSFERT DE TECHNOLOGIE, LA GESTION DES CONNAISSANCES ET LES COMMUNICATIONS</w:t>
      </w:r>
    </w:p>
    <w:p w14:paraId="64456AE8" w14:textId="43576692" w:rsidR="004A3E7E" w:rsidRPr="004F239A" w:rsidRDefault="00666DFB" w:rsidP="00AA5D70">
      <w:pPr>
        <w:numPr>
          <w:ilvl w:val="0"/>
          <w:numId w:val="49"/>
        </w:numPr>
        <w:suppressLineNumbers/>
        <w:pBdr>
          <w:top w:val="nil"/>
          <w:left w:val="nil"/>
          <w:bottom w:val="nil"/>
          <w:right w:val="nil"/>
          <w:between w:val="nil"/>
        </w:pBdr>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Les différents moyens de mettre en œuvre le cadre mondial de la biodiversité pour l</w:t>
      </w:r>
      <w:r w:rsidR="00F50701">
        <w:rPr>
          <w:snapToGrid w:val="0"/>
          <w:kern w:val="22"/>
          <w:lang w:val="fr-CA"/>
        </w:rPr>
        <w:t>’</w:t>
      </w:r>
      <w:r w:rsidRPr="004F239A">
        <w:rPr>
          <w:snapToGrid w:val="0"/>
          <w:kern w:val="22"/>
          <w:lang w:val="fr-CA"/>
        </w:rPr>
        <w:t>après-2020 (comprenant le renforcement des capacités, la coopération technique et scientifique, le transfert de technologie, la</w:t>
      </w:r>
      <w:r w:rsidR="00574010" w:rsidRPr="004F239A">
        <w:rPr>
          <w:snapToGrid w:val="0"/>
          <w:kern w:val="22"/>
          <w:lang w:val="fr-CA"/>
        </w:rPr>
        <w:t xml:space="preserve"> g</w:t>
      </w:r>
      <w:r w:rsidRPr="004F239A">
        <w:rPr>
          <w:snapToGrid w:val="0"/>
          <w:kern w:val="22"/>
          <w:lang w:val="fr-CA"/>
        </w:rPr>
        <w:t xml:space="preserve">estion des connaissances et les </w:t>
      </w:r>
      <w:r w:rsidR="00574010" w:rsidRPr="004F239A">
        <w:rPr>
          <w:snapToGrid w:val="0"/>
          <w:kern w:val="22"/>
          <w:lang w:val="fr-CA"/>
        </w:rPr>
        <w:t>communications</w:t>
      </w:r>
      <w:r w:rsidRPr="004F239A">
        <w:rPr>
          <w:snapToGrid w:val="0"/>
          <w:kern w:val="22"/>
          <w:lang w:val="fr-CA"/>
        </w:rPr>
        <w:t>), les conditions de facilit</w:t>
      </w:r>
      <w:r w:rsidR="00574010" w:rsidRPr="004F239A">
        <w:rPr>
          <w:snapToGrid w:val="0"/>
          <w:kern w:val="22"/>
          <w:lang w:val="fr-CA"/>
        </w:rPr>
        <w:t>ati</w:t>
      </w:r>
      <w:r w:rsidRPr="004F239A">
        <w:rPr>
          <w:snapToGrid w:val="0"/>
          <w:kern w:val="22"/>
          <w:lang w:val="fr-CA"/>
        </w:rPr>
        <w:t xml:space="preserve">on et </w:t>
      </w:r>
      <w:r w:rsidR="00574010" w:rsidRPr="004F239A">
        <w:rPr>
          <w:snapToGrid w:val="0"/>
          <w:kern w:val="22"/>
          <w:lang w:val="fr-CA"/>
        </w:rPr>
        <w:t>la planification, l’établissement de rapports et le mécanisme d’examen améliorés sont étroitement liés</w:t>
      </w:r>
      <w:r w:rsidR="004A3E7E" w:rsidRPr="004F239A">
        <w:rPr>
          <w:snapToGrid w:val="0"/>
          <w:kern w:val="22"/>
          <w:lang w:val="fr-CA"/>
        </w:rPr>
        <w:t>.</w:t>
      </w:r>
      <w:r w:rsidR="004A3E7E" w:rsidRPr="004F239A">
        <w:rPr>
          <w:snapToGrid w:val="0"/>
          <w:kern w:val="22"/>
          <w:vertAlign w:val="superscript"/>
          <w:lang w:val="fr-CA"/>
        </w:rPr>
        <w:footnoteReference w:id="41"/>
      </w:r>
      <w:r w:rsidR="004A3E7E" w:rsidRPr="004F239A">
        <w:rPr>
          <w:snapToGrid w:val="0"/>
          <w:kern w:val="22"/>
          <w:lang w:val="fr-CA"/>
        </w:rPr>
        <w:t xml:space="preserve"> </w:t>
      </w:r>
      <w:r w:rsidR="00574010" w:rsidRPr="004F239A">
        <w:rPr>
          <w:snapToGrid w:val="0"/>
          <w:kern w:val="22"/>
          <w:lang w:val="fr-CA"/>
        </w:rPr>
        <w:t>Par exemple, les projets et programmes de renforcement des capacités contiennent souvent des éléments de coopération technique et scientifique, de transfert d</w:t>
      </w:r>
      <w:r w:rsidR="00D915E9" w:rsidRPr="004F239A">
        <w:rPr>
          <w:snapToGrid w:val="0"/>
          <w:kern w:val="22"/>
          <w:lang w:val="fr-CA"/>
        </w:rPr>
        <w:t>e technologie, de gestion des c</w:t>
      </w:r>
      <w:r w:rsidR="00574010" w:rsidRPr="004F239A">
        <w:rPr>
          <w:snapToGrid w:val="0"/>
          <w:kern w:val="22"/>
          <w:lang w:val="fr-CA"/>
        </w:rPr>
        <w:t>onnais</w:t>
      </w:r>
      <w:r w:rsidR="00D915E9" w:rsidRPr="004F239A">
        <w:rPr>
          <w:snapToGrid w:val="0"/>
          <w:kern w:val="22"/>
          <w:lang w:val="fr-CA"/>
        </w:rPr>
        <w:t>sances et de communicati</w:t>
      </w:r>
      <w:r w:rsidR="00574010" w:rsidRPr="004F239A">
        <w:rPr>
          <w:snapToGrid w:val="0"/>
          <w:kern w:val="22"/>
          <w:lang w:val="fr-CA"/>
        </w:rPr>
        <w:t>on. De même, les projets de coopération technique e</w:t>
      </w:r>
      <w:r w:rsidR="00D915E9" w:rsidRPr="004F239A">
        <w:rPr>
          <w:snapToGrid w:val="0"/>
          <w:kern w:val="22"/>
          <w:lang w:val="fr-CA"/>
        </w:rPr>
        <w:t>t scientifique, surtout dans le</w:t>
      </w:r>
      <w:r w:rsidR="00574010" w:rsidRPr="004F239A">
        <w:rPr>
          <w:snapToGrid w:val="0"/>
          <w:kern w:val="22"/>
          <w:lang w:val="fr-CA"/>
        </w:rPr>
        <w:t>s</w:t>
      </w:r>
      <w:r w:rsidR="00D915E9" w:rsidRPr="004F239A">
        <w:rPr>
          <w:snapToGrid w:val="0"/>
          <w:kern w:val="22"/>
          <w:lang w:val="fr-CA"/>
        </w:rPr>
        <w:t xml:space="preserve"> pay</w:t>
      </w:r>
      <w:r w:rsidR="00574010" w:rsidRPr="004F239A">
        <w:rPr>
          <w:snapToGrid w:val="0"/>
          <w:kern w:val="22"/>
          <w:lang w:val="fr-CA"/>
        </w:rPr>
        <w:t>s en développement, comprennent souvent des élé</w:t>
      </w:r>
      <w:r w:rsidR="00D915E9" w:rsidRPr="004F239A">
        <w:rPr>
          <w:snapToGrid w:val="0"/>
          <w:kern w:val="22"/>
          <w:lang w:val="fr-CA"/>
        </w:rPr>
        <w:t>ments de renforcement des capacités et de p</w:t>
      </w:r>
      <w:r w:rsidR="00574010" w:rsidRPr="004F239A">
        <w:rPr>
          <w:snapToGrid w:val="0"/>
          <w:kern w:val="22"/>
          <w:lang w:val="fr-CA"/>
        </w:rPr>
        <w:t>artage des connaissances et de renseignements</w:t>
      </w:r>
      <w:r w:rsidR="005C5755">
        <w:rPr>
          <w:snapToGrid w:val="0"/>
          <w:kern w:val="22"/>
          <w:lang w:val="fr-CA"/>
        </w:rPr>
        <w:t>.</w:t>
      </w:r>
      <w:r w:rsidR="00574010" w:rsidRPr="004F239A">
        <w:rPr>
          <w:snapToGrid w:val="0"/>
          <w:kern w:val="22"/>
          <w:lang w:val="fr-CA"/>
        </w:rPr>
        <w:t xml:space="preserve"> De plus, les projets de gestion des c</w:t>
      </w:r>
      <w:r w:rsidR="00D915E9" w:rsidRPr="004F239A">
        <w:rPr>
          <w:snapToGrid w:val="0"/>
          <w:kern w:val="22"/>
          <w:lang w:val="fr-CA"/>
        </w:rPr>
        <w:t>onna</w:t>
      </w:r>
      <w:r w:rsidR="00574010" w:rsidRPr="004F239A">
        <w:rPr>
          <w:snapToGrid w:val="0"/>
          <w:kern w:val="22"/>
          <w:lang w:val="fr-CA"/>
        </w:rPr>
        <w:t>issances soutiennent souvent l’appre</w:t>
      </w:r>
      <w:r w:rsidR="00D915E9" w:rsidRPr="004F239A">
        <w:rPr>
          <w:snapToGrid w:val="0"/>
          <w:kern w:val="22"/>
          <w:lang w:val="fr-CA"/>
        </w:rPr>
        <w:t>n</w:t>
      </w:r>
      <w:r w:rsidR="00574010" w:rsidRPr="004F239A">
        <w:rPr>
          <w:snapToGrid w:val="0"/>
          <w:kern w:val="22"/>
          <w:lang w:val="fr-CA"/>
        </w:rPr>
        <w:t>tissage organisationnel, le partage d’expertise et le t</w:t>
      </w:r>
      <w:r w:rsidR="00D915E9" w:rsidRPr="004F239A">
        <w:rPr>
          <w:snapToGrid w:val="0"/>
          <w:kern w:val="22"/>
          <w:lang w:val="fr-CA"/>
        </w:rPr>
        <w:t>rans</w:t>
      </w:r>
      <w:r w:rsidR="00574010" w:rsidRPr="004F239A">
        <w:rPr>
          <w:snapToGrid w:val="0"/>
          <w:kern w:val="22"/>
          <w:lang w:val="fr-CA"/>
        </w:rPr>
        <w:t>fert de savoir-faire</w:t>
      </w:r>
      <w:r w:rsidR="004A3E7E" w:rsidRPr="004F239A">
        <w:rPr>
          <w:snapToGrid w:val="0"/>
          <w:kern w:val="22"/>
          <w:lang w:val="fr-CA"/>
        </w:rPr>
        <w:t>.</w:t>
      </w:r>
    </w:p>
    <w:p w14:paraId="0D83814B" w14:textId="01B2D856" w:rsidR="004A3E7E" w:rsidRPr="004F239A" w:rsidRDefault="007F628D" w:rsidP="00AA5D70">
      <w:pPr>
        <w:numPr>
          <w:ilvl w:val="0"/>
          <w:numId w:val="49"/>
        </w:numPr>
        <w:suppressLineNumbers/>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Ainsi, bien que ces champs de travail ne constituent pas une seule et unique façon de faire, ils doivent être traités comme un tout afin de favoriser les synergies entre eux et éviter le dédoublement des efforts. Par conséquent, l’Organe subsidiaire chargé de l</w:t>
      </w:r>
      <w:r w:rsidR="00F50701">
        <w:rPr>
          <w:snapToGrid w:val="0"/>
          <w:kern w:val="22"/>
          <w:lang w:val="fr-CA"/>
        </w:rPr>
        <w:t>’</w:t>
      </w:r>
      <w:r w:rsidRPr="004F239A">
        <w:rPr>
          <w:snapToGrid w:val="0"/>
          <w:kern w:val="22"/>
          <w:lang w:val="fr-CA"/>
        </w:rPr>
        <w:t>application pourrait souhaiter recommander à la Conférence des Parties qu’elle désigne un mécanisme institutionnel commun afin</w:t>
      </w:r>
      <w:r w:rsidR="003356F1" w:rsidRPr="004F239A">
        <w:rPr>
          <w:snapToGrid w:val="0"/>
          <w:kern w:val="22"/>
          <w:lang w:val="fr-CA"/>
        </w:rPr>
        <w:t xml:space="preserve"> d</w:t>
      </w:r>
      <w:r w:rsidRPr="004F239A">
        <w:rPr>
          <w:snapToGrid w:val="0"/>
          <w:kern w:val="22"/>
          <w:lang w:val="fr-CA"/>
        </w:rPr>
        <w:t xml:space="preserve">e favoriser la </w:t>
      </w:r>
      <w:r w:rsidR="00F50701">
        <w:rPr>
          <w:snapToGrid w:val="0"/>
          <w:kern w:val="22"/>
          <w:lang w:val="fr-CA"/>
        </w:rPr>
        <w:t xml:space="preserve">synergie et la </w:t>
      </w:r>
      <w:r w:rsidRPr="004F239A">
        <w:rPr>
          <w:snapToGrid w:val="0"/>
          <w:kern w:val="22"/>
          <w:lang w:val="fr-CA"/>
        </w:rPr>
        <w:t xml:space="preserve">mise en œuvre </w:t>
      </w:r>
      <w:r w:rsidR="003356F1" w:rsidRPr="004F239A">
        <w:rPr>
          <w:snapToGrid w:val="0"/>
          <w:kern w:val="22"/>
          <w:lang w:val="fr-CA"/>
        </w:rPr>
        <w:t xml:space="preserve">coordonnée </w:t>
      </w:r>
      <w:r w:rsidRPr="004F239A">
        <w:rPr>
          <w:snapToGrid w:val="0"/>
          <w:kern w:val="22"/>
          <w:lang w:val="fr-CA"/>
        </w:rPr>
        <w:t>du cadre stratégique à long terme po</w:t>
      </w:r>
      <w:r w:rsidR="003356F1" w:rsidRPr="004F239A">
        <w:rPr>
          <w:snapToGrid w:val="0"/>
          <w:kern w:val="22"/>
          <w:lang w:val="fr-CA"/>
        </w:rPr>
        <w:t xml:space="preserve">ur le renforcement des capacités, des propositions pour renforcer la coopération technique et scientifique et </w:t>
      </w:r>
      <w:r w:rsidR="005C5755">
        <w:rPr>
          <w:snapToGrid w:val="0"/>
          <w:kern w:val="22"/>
          <w:lang w:val="fr-CA"/>
        </w:rPr>
        <w:t>du</w:t>
      </w:r>
      <w:r w:rsidR="003356F1" w:rsidRPr="004F239A">
        <w:rPr>
          <w:snapToGrid w:val="0"/>
          <w:kern w:val="22"/>
          <w:lang w:val="fr-CA"/>
        </w:rPr>
        <w:t xml:space="preserve"> volet de gestion des connaissances du cadre mondial de la biodiversité pour l</w:t>
      </w:r>
      <w:r w:rsidR="00F50701">
        <w:rPr>
          <w:snapToGrid w:val="0"/>
          <w:kern w:val="22"/>
          <w:lang w:val="fr-CA"/>
        </w:rPr>
        <w:t>’</w:t>
      </w:r>
      <w:r w:rsidR="003356F1" w:rsidRPr="004F239A">
        <w:rPr>
          <w:snapToGrid w:val="0"/>
          <w:kern w:val="22"/>
          <w:lang w:val="fr-CA"/>
        </w:rPr>
        <w:t xml:space="preserve">après-2020. Par exemple, le Groupe consultatif informel sur la coopération technique et scientifique pourrait avoir la tâche </w:t>
      </w:r>
      <w:r w:rsidR="005C5755">
        <w:rPr>
          <w:snapToGrid w:val="0"/>
          <w:kern w:val="22"/>
          <w:lang w:val="fr-CA"/>
        </w:rPr>
        <w:t>d</w:t>
      </w:r>
      <w:r w:rsidR="003356F1" w:rsidRPr="004F239A">
        <w:rPr>
          <w:snapToGrid w:val="0"/>
          <w:kern w:val="22"/>
          <w:lang w:val="fr-CA"/>
        </w:rPr>
        <w:t>e fournir cette orientation et ce soutien</w:t>
      </w:r>
      <w:r w:rsidR="00BC30A6" w:rsidRPr="004F239A">
        <w:rPr>
          <w:snapToGrid w:val="0"/>
          <w:kern w:val="22"/>
          <w:lang w:val="fr-CA"/>
        </w:rPr>
        <w:t>.</w:t>
      </w:r>
    </w:p>
    <w:p w14:paraId="1EA7DF03" w14:textId="7751862A" w:rsidR="004A3E7E" w:rsidRPr="004F239A" w:rsidRDefault="00A13F27" w:rsidP="00AA5D70">
      <w:pPr>
        <w:pStyle w:val="Heading1"/>
        <w:numPr>
          <w:ilvl w:val="0"/>
          <w:numId w:val="5"/>
        </w:numPr>
        <w:suppressLineNumbers/>
        <w:tabs>
          <w:tab w:val="clear" w:pos="720"/>
          <w:tab w:val="left" w:pos="426"/>
        </w:tabs>
        <w:suppressAutoHyphens/>
        <w:kinsoku w:val="0"/>
        <w:overflowPunct w:val="0"/>
        <w:autoSpaceDE w:val="0"/>
        <w:autoSpaceDN w:val="0"/>
        <w:adjustRightInd w:val="0"/>
        <w:snapToGrid w:val="0"/>
        <w:spacing w:before="120"/>
        <w:ind w:left="0" w:firstLine="0"/>
        <w:rPr>
          <w:bCs/>
          <w:snapToGrid w:val="0"/>
          <w:kern w:val="22"/>
          <w:lang w:val="fr-CA"/>
        </w:rPr>
      </w:pPr>
      <w:r w:rsidRPr="004F239A">
        <w:rPr>
          <w:bCs/>
          <w:snapToGrid w:val="0"/>
          <w:kern w:val="22"/>
          <w:lang w:val="fr-CA"/>
        </w:rPr>
        <w:t>éléments d’un projet de recommandation</w:t>
      </w:r>
    </w:p>
    <w:p w14:paraId="29232DFD" w14:textId="76DE19E8" w:rsidR="004A3E7E" w:rsidRPr="004F239A" w:rsidRDefault="00A13F27" w:rsidP="00AA5D70">
      <w:pPr>
        <w:pStyle w:val="Para1"/>
        <w:numPr>
          <w:ilvl w:val="0"/>
          <w:numId w:val="49"/>
        </w:numPr>
        <w:suppressLineNumbers/>
        <w:suppressAutoHyphens/>
        <w:kinsoku w:val="0"/>
        <w:overflowPunct w:val="0"/>
        <w:autoSpaceDE w:val="0"/>
        <w:autoSpaceDN w:val="0"/>
        <w:adjustRightInd w:val="0"/>
        <w:snapToGrid w:val="0"/>
        <w:rPr>
          <w:kern w:val="22"/>
          <w:lang w:val="fr-CA"/>
        </w:rPr>
      </w:pPr>
      <w:r w:rsidRPr="004F239A">
        <w:rPr>
          <w:kern w:val="22"/>
          <w:lang w:val="fr-CA"/>
        </w:rPr>
        <w:t>L’Organe subsidiaire chargé de l</w:t>
      </w:r>
      <w:r w:rsidR="00F50701">
        <w:rPr>
          <w:kern w:val="22"/>
          <w:lang w:val="fr-CA"/>
        </w:rPr>
        <w:t>’</w:t>
      </w:r>
      <w:r w:rsidRPr="004F239A">
        <w:rPr>
          <w:kern w:val="22"/>
          <w:lang w:val="fr-CA"/>
        </w:rPr>
        <w:t>application pourrait souhaiter recommander à la Conférence des Parties d’adopter une décision qui ressemble à ce qui suit</w:t>
      </w:r>
      <w:r w:rsidR="00F50701">
        <w:rPr>
          <w:kern w:val="22"/>
          <w:lang w:val="fr-CA"/>
        </w:rPr>
        <w:t> </w:t>
      </w:r>
      <w:r w:rsidR="004A3E7E" w:rsidRPr="004F239A">
        <w:rPr>
          <w:kern w:val="22"/>
          <w:lang w:val="fr-CA"/>
        </w:rPr>
        <w:t>:</w:t>
      </w:r>
    </w:p>
    <w:p w14:paraId="45A809B8" w14:textId="235D6E42" w:rsidR="004A3E7E" w:rsidRPr="004F239A" w:rsidRDefault="00A13F27" w:rsidP="00AA5D70">
      <w:pPr>
        <w:pStyle w:val="Para1"/>
        <w:numPr>
          <w:ilvl w:val="0"/>
          <w:numId w:val="0"/>
        </w:numPr>
        <w:suppressLineNumbers/>
        <w:suppressAutoHyphens/>
        <w:kinsoku w:val="0"/>
        <w:overflowPunct w:val="0"/>
        <w:autoSpaceDE w:val="0"/>
        <w:autoSpaceDN w:val="0"/>
        <w:adjustRightInd w:val="0"/>
        <w:snapToGrid w:val="0"/>
        <w:ind w:left="720"/>
        <w:rPr>
          <w:kern w:val="22"/>
          <w:lang w:val="fr-CA"/>
        </w:rPr>
      </w:pPr>
      <w:r w:rsidRPr="004F239A">
        <w:rPr>
          <w:i/>
          <w:kern w:val="22"/>
          <w:szCs w:val="22"/>
          <w:lang w:val="fr-CA"/>
        </w:rPr>
        <w:t>La Conférence des Parties</w:t>
      </w:r>
      <w:r w:rsidR="006569C2" w:rsidRPr="004F239A">
        <w:rPr>
          <w:i/>
          <w:kern w:val="22"/>
          <w:szCs w:val="22"/>
          <w:lang w:val="fr-CA"/>
        </w:rPr>
        <w:t>,</w:t>
      </w:r>
    </w:p>
    <w:p w14:paraId="5A89A445" w14:textId="3EBB9F23" w:rsidR="004A3E7E" w:rsidRPr="004F239A" w:rsidRDefault="004A3E7E" w:rsidP="00AA5D70">
      <w:pPr>
        <w:pStyle w:val="Para1"/>
        <w:keepNext/>
        <w:numPr>
          <w:ilvl w:val="0"/>
          <w:numId w:val="0"/>
        </w:numPr>
        <w:suppressLineNumbers/>
        <w:tabs>
          <w:tab w:val="left" w:pos="426"/>
        </w:tabs>
        <w:suppressAutoHyphens/>
        <w:kinsoku w:val="0"/>
        <w:overflowPunct w:val="0"/>
        <w:autoSpaceDE w:val="0"/>
        <w:autoSpaceDN w:val="0"/>
        <w:adjustRightInd w:val="0"/>
        <w:snapToGrid w:val="0"/>
        <w:jc w:val="center"/>
        <w:outlineLvl w:val="1"/>
        <w:rPr>
          <w:b/>
          <w:bCs/>
          <w:kern w:val="22"/>
          <w:lang w:val="fr-CA"/>
        </w:rPr>
      </w:pPr>
      <w:bookmarkStart w:id="15" w:name="_Toc57214892"/>
      <w:r w:rsidRPr="004F239A">
        <w:rPr>
          <w:b/>
          <w:bCs/>
          <w:kern w:val="22"/>
          <w:lang w:val="fr-CA"/>
        </w:rPr>
        <w:lastRenderedPageBreak/>
        <w:t>A.</w:t>
      </w:r>
      <w:r w:rsidRPr="004F239A">
        <w:rPr>
          <w:b/>
          <w:kern w:val="22"/>
          <w:szCs w:val="22"/>
          <w:lang w:val="fr-CA"/>
        </w:rPr>
        <w:tab/>
      </w:r>
      <w:bookmarkEnd w:id="15"/>
      <w:r w:rsidR="00A13F27" w:rsidRPr="004F239A">
        <w:rPr>
          <w:b/>
          <w:bCs/>
          <w:kern w:val="22"/>
          <w:lang w:val="fr-CA"/>
        </w:rPr>
        <w:t>Renforcement des capacités</w:t>
      </w:r>
    </w:p>
    <w:p w14:paraId="6D6FCF65" w14:textId="69BDA975" w:rsidR="004A3E7E" w:rsidRPr="004F239A" w:rsidRDefault="00A13F27"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i/>
          <w:kern w:val="22"/>
          <w:szCs w:val="22"/>
          <w:lang w:val="fr-CA"/>
        </w:rPr>
        <w:t xml:space="preserve">Rappelant </w:t>
      </w:r>
      <w:r w:rsidRPr="004F239A">
        <w:rPr>
          <w:kern w:val="22"/>
          <w:szCs w:val="22"/>
          <w:lang w:val="fr-CA"/>
        </w:rPr>
        <w:t>les décisions</w:t>
      </w:r>
      <w:r w:rsidR="004A3E7E" w:rsidRPr="004F239A">
        <w:rPr>
          <w:kern w:val="22"/>
          <w:szCs w:val="22"/>
          <w:lang w:val="fr-CA"/>
        </w:rPr>
        <w:t xml:space="preserve"> </w:t>
      </w:r>
      <w:hyperlink r:id="rId23" w:history="1">
        <w:r w:rsidRPr="004F239A">
          <w:rPr>
            <w:rStyle w:val="Hyperlink"/>
            <w:kern w:val="22"/>
            <w:sz w:val="22"/>
            <w:szCs w:val="22"/>
            <w:lang w:val="fr-CA"/>
          </w:rPr>
          <w:t>XIII</w:t>
        </w:r>
      </w:hyperlink>
      <w:r w:rsidRPr="004F239A">
        <w:rPr>
          <w:rStyle w:val="Hyperlink"/>
          <w:kern w:val="22"/>
          <w:sz w:val="22"/>
          <w:szCs w:val="22"/>
          <w:lang w:val="fr-CA"/>
        </w:rPr>
        <w:t>/23</w:t>
      </w:r>
      <w:r w:rsidR="004A3E7E" w:rsidRPr="004F239A">
        <w:rPr>
          <w:kern w:val="22"/>
          <w:szCs w:val="22"/>
          <w:lang w:val="fr-CA"/>
        </w:rPr>
        <w:t xml:space="preserve"> </w:t>
      </w:r>
      <w:r w:rsidRPr="004F239A">
        <w:rPr>
          <w:kern w:val="22"/>
          <w:szCs w:val="22"/>
          <w:lang w:val="fr-CA"/>
        </w:rPr>
        <w:t>et</w:t>
      </w:r>
      <w:r w:rsidR="004A3E7E" w:rsidRPr="004F239A">
        <w:rPr>
          <w:kern w:val="22"/>
          <w:szCs w:val="22"/>
          <w:lang w:val="fr-CA"/>
        </w:rPr>
        <w:t xml:space="preserve"> </w:t>
      </w:r>
      <w:hyperlink r:id="rId24" w:history="1">
        <w:r w:rsidR="003D4541" w:rsidRPr="004F239A">
          <w:rPr>
            <w:rStyle w:val="Hyperlink"/>
            <w:kern w:val="22"/>
            <w:sz w:val="22"/>
            <w:szCs w:val="22"/>
            <w:lang w:val="fr-CA"/>
          </w:rPr>
          <w:t>14/24</w:t>
        </w:r>
      </w:hyperlink>
      <w:r w:rsidR="006569C2" w:rsidRPr="004F239A">
        <w:rPr>
          <w:kern w:val="22"/>
          <w:szCs w:val="22"/>
          <w:lang w:val="fr-CA"/>
        </w:rPr>
        <w:t>,</w:t>
      </w:r>
    </w:p>
    <w:p w14:paraId="757437D8" w14:textId="2FF4478C" w:rsidR="004A3E7E" w:rsidRPr="004F239A" w:rsidRDefault="00082E80"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Prenant note avec satisfaction</w:t>
      </w:r>
      <w:r w:rsidR="004A3E7E" w:rsidRPr="004F239A">
        <w:rPr>
          <w:i/>
          <w:iCs/>
          <w:kern w:val="22"/>
          <w:lang w:val="fr-CA"/>
        </w:rPr>
        <w:t xml:space="preserve"> </w:t>
      </w:r>
      <w:r w:rsidRPr="004F239A">
        <w:rPr>
          <w:kern w:val="22"/>
          <w:lang w:val="fr-CA"/>
        </w:rPr>
        <w:t>de l’appui offert par les Parties, les autres gouvernements, le Fonds pour l’environnement mondial et les organisations compétentes pour le renforcement des capacités et les activités de coopération technique et scientifique</w:t>
      </w:r>
      <w:r w:rsidR="009C06D1">
        <w:rPr>
          <w:kern w:val="22"/>
          <w:lang w:val="fr-CA"/>
        </w:rPr>
        <w:t>,</w:t>
      </w:r>
      <w:r w:rsidRPr="004F239A">
        <w:rPr>
          <w:kern w:val="22"/>
          <w:lang w:val="fr-CA"/>
        </w:rPr>
        <w:t xml:space="preserve"> afin d’aider les pays en développement Parties, les Parties à économie en transition et les peuples autochtones et les communautés locales</w:t>
      </w:r>
      <w:r w:rsidR="006569C2" w:rsidRPr="004F239A">
        <w:rPr>
          <w:kern w:val="22"/>
          <w:lang w:val="fr-CA"/>
        </w:rPr>
        <w:t>,</w:t>
      </w:r>
    </w:p>
    <w:p w14:paraId="068F57E0" w14:textId="7AA95590" w:rsidR="004A3E7E" w:rsidRPr="004F239A" w:rsidRDefault="00082E80"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 xml:space="preserve">Confirmant </w:t>
      </w:r>
      <w:r w:rsidRPr="004F239A">
        <w:rPr>
          <w:iCs/>
          <w:kern w:val="22"/>
          <w:lang w:val="fr-CA"/>
        </w:rPr>
        <w:t>la nécessité de promouvoir les démarches stratégiques et cohérentes</w:t>
      </w:r>
      <w:r w:rsidR="00400DB7" w:rsidRPr="004F239A">
        <w:rPr>
          <w:iCs/>
          <w:kern w:val="22"/>
          <w:lang w:val="fr-CA"/>
        </w:rPr>
        <w:t xml:space="preserve"> pour le renforcement des capacités et la coopération technique et scientifique en appui à </w:t>
      </w:r>
      <w:r w:rsidR="00096A2B" w:rsidRPr="004F239A">
        <w:rPr>
          <w:iCs/>
          <w:kern w:val="22"/>
          <w:lang w:val="fr-CA"/>
        </w:rPr>
        <w:t>l’application</w:t>
      </w:r>
      <w:r w:rsidR="00400DB7" w:rsidRPr="004F239A">
        <w:rPr>
          <w:iCs/>
          <w:kern w:val="22"/>
          <w:lang w:val="fr-CA"/>
        </w:rPr>
        <w:t xml:space="preserve"> de la Convention et de ses Protocoles</w:t>
      </w:r>
      <w:r w:rsidR="006569C2" w:rsidRPr="004F239A">
        <w:rPr>
          <w:kern w:val="22"/>
          <w:lang w:val="fr-CA"/>
        </w:rPr>
        <w:t>,</w:t>
      </w:r>
    </w:p>
    <w:p w14:paraId="442AF056" w14:textId="033220C9" w:rsidR="004A3E7E" w:rsidRPr="004F239A" w:rsidRDefault="00400DB7"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 xml:space="preserve">Soulignant </w:t>
      </w:r>
      <w:r w:rsidRPr="004F239A">
        <w:rPr>
          <w:iCs/>
          <w:kern w:val="22"/>
          <w:lang w:val="fr-CA"/>
        </w:rPr>
        <w:t>l’importance critique du renforcement des capacités pour la mise en œuvre efficace du cadre mondial de la biodiversité pour l</w:t>
      </w:r>
      <w:r w:rsidR="00F50701">
        <w:rPr>
          <w:iCs/>
          <w:kern w:val="22"/>
          <w:lang w:val="fr-CA"/>
        </w:rPr>
        <w:t>’</w:t>
      </w:r>
      <w:r w:rsidRPr="004F239A">
        <w:rPr>
          <w:iCs/>
          <w:kern w:val="22"/>
          <w:lang w:val="fr-CA"/>
        </w:rPr>
        <w:t>après-2020</w:t>
      </w:r>
      <w:r w:rsidR="006569C2" w:rsidRPr="004F239A">
        <w:rPr>
          <w:kern w:val="22"/>
          <w:lang w:val="fr-CA"/>
        </w:rPr>
        <w:t>,</w:t>
      </w:r>
    </w:p>
    <w:p w14:paraId="3E52E36A" w14:textId="61E525D2" w:rsidR="004A3E7E" w:rsidRPr="004F239A" w:rsidRDefault="00400DB7"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 xml:space="preserve">Prenant note </w:t>
      </w:r>
      <w:r w:rsidR="00096A2B" w:rsidRPr="004F239A">
        <w:rPr>
          <w:iCs/>
          <w:kern w:val="22"/>
          <w:lang w:val="fr-CA"/>
        </w:rPr>
        <w:t>du rapport final sur la mise en œuvre du plan d’action à court terme (2017-2020) pour améliorer et soutenir le renforcement des capacités pour l’application de la Convention et de ses Protocoles, et des enseignements tirés</w:t>
      </w:r>
      <w:r w:rsidR="004961EB" w:rsidRPr="004F239A">
        <w:rPr>
          <w:kern w:val="22"/>
          <w:lang w:val="fr-CA"/>
        </w:rPr>
        <w:t>,</w:t>
      </w:r>
      <w:r w:rsidR="004A3E7E" w:rsidRPr="004F239A">
        <w:rPr>
          <w:rStyle w:val="StyleFootnoteReferencenumberFootnoteReferenceSuperscript-EF"/>
          <w:sz w:val="22"/>
          <w:szCs w:val="22"/>
          <w:lang w:val="fr-CA"/>
        </w:rPr>
        <w:footnoteReference w:id="42"/>
      </w:r>
    </w:p>
    <w:p w14:paraId="0CEB40FD" w14:textId="716C9653" w:rsidR="004A3E7E" w:rsidRPr="004F239A" w:rsidRDefault="00096A2B"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Accueillant</w:t>
      </w:r>
      <w:r w:rsidRPr="004F239A">
        <w:rPr>
          <w:iCs/>
          <w:kern w:val="22"/>
          <w:lang w:val="fr-CA"/>
        </w:rPr>
        <w:t xml:space="preserve"> les conclusions du Sommet des Nations Unies sur la biodiversité du 30 septembre 2020</w:t>
      </w:r>
      <w:r w:rsidR="004A3E7E" w:rsidRPr="004F239A">
        <w:rPr>
          <w:kern w:val="22"/>
          <w:lang w:val="fr-CA"/>
        </w:rPr>
        <w:t>,</w:t>
      </w:r>
      <w:r w:rsidR="0061284C" w:rsidRPr="004F239A">
        <w:rPr>
          <w:rStyle w:val="FootnoteReference"/>
          <w:kern w:val="22"/>
          <w:lang w:val="fr-CA"/>
        </w:rPr>
        <w:footnoteReference w:id="43"/>
      </w:r>
      <w:r w:rsidR="004A3E7E" w:rsidRPr="004F239A">
        <w:rPr>
          <w:kern w:val="22"/>
          <w:lang w:val="fr-CA"/>
        </w:rPr>
        <w:t xml:space="preserve"> </w:t>
      </w:r>
      <w:r w:rsidRPr="004F239A">
        <w:rPr>
          <w:kern w:val="22"/>
          <w:lang w:val="fr-CA"/>
        </w:rPr>
        <w:t>plus particuli</w:t>
      </w:r>
      <w:r w:rsidR="00420B65" w:rsidRPr="004F239A">
        <w:rPr>
          <w:kern w:val="22"/>
          <w:lang w:val="fr-CA"/>
        </w:rPr>
        <w:t>èrement l</w:t>
      </w:r>
      <w:r w:rsidRPr="004F239A">
        <w:rPr>
          <w:kern w:val="22"/>
          <w:lang w:val="fr-CA"/>
        </w:rPr>
        <w:t>es conclusions du dialogue des dirigeants sur l’</w:t>
      </w:r>
      <w:r w:rsidR="00420B65" w:rsidRPr="004F239A">
        <w:rPr>
          <w:kern w:val="22"/>
          <w:lang w:val="fr-CA"/>
        </w:rPr>
        <w:t>expl</w:t>
      </w:r>
      <w:r w:rsidRPr="004F239A">
        <w:rPr>
          <w:kern w:val="22"/>
          <w:lang w:val="fr-CA"/>
        </w:rPr>
        <w:t xml:space="preserve">oitation de la science, de la technologie et de l’innovation, </w:t>
      </w:r>
      <w:r w:rsidR="009C06D1">
        <w:rPr>
          <w:kern w:val="22"/>
          <w:lang w:val="fr-CA"/>
        </w:rPr>
        <w:t>la consolidation</w:t>
      </w:r>
      <w:r w:rsidRPr="004F239A">
        <w:rPr>
          <w:kern w:val="22"/>
          <w:lang w:val="fr-CA"/>
        </w:rPr>
        <w:t xml:space="preserve"> du renforcement des capacités et l’amélioration de l’accès et du partage des avantages, </w:t>
      </w:r>
      <w:r w:rsidR="00420B65" w:rsidRPr="004F239A">
        <w:rPr>
          <w:kern w:val="22"/>
          <w:lang w:val="fr-CA"/>
        </w:rPr>
        <w:t>du financement et des partenariats pour la biodiversité</w:t>
      </w:r>
      <w:r w:rsidR="006569C2" w:rsidRPr="004F239A">
        <w:rPr>
          <w:kern w:val="22"/>
          <w:lang w:val="fr-CA"/>
        </w:rPr>
        <w:t>,</w:t>
      </w:r>
    </w:p>
    <w:p w14:paraId="3828D778" w14:textId="37768C9B"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kern w:val="22"/>
          <w:szCs w:val="22"/>
          <w:lang w:val="fr-CA"/>
        </w:rPr>
        <w:t>1.</w:t>
      </w:r>
      <w:r w:rsidRPr="004F239A">
        <w:rPr>
          <w:kern w:val="22"/>
          <w:szCs w:val="22"/>
          <w:lang w:val="fr-CA"/>
        </w:rPr>
        <w:tab/>
      </w:r>
      <w:r w:rsidR="00420B65" w:rsidRPr="004F239A">
        <w:rPr>
          <w:i/>
          <w:iCs/>
          <w:kern w:val="22"/>
          <w:szCs w:val="22"/>
          <w:lang w:val="fr-CA"/>
        </w:rPr>
        <w:t xml:space="preserve">Adopte </w:t>
      </w:r>
      <w:r w:rsidR="00420B65" w:rsidRPr="004F239A">
        <w:rPr>
          <w:iCs/>
          <w:kern w:val="22"/>
          <w:szCs w:val="22"/>
          <w:lang w:val="fr-CA"/>
        </w:rPr>
        <w:t>le cadre stratégique à long terme pour le renforcement des capacités en appui à la mise en œuvre du cadre mondial de la biodiversité pour l</w:t>
      </w:r>
      <w:r w:rsidR="00F50701">
        <w:rPr>
          <w:iCs/>
          <w:kern w:val="22"/>
          <w:szCs w:val="22"/>
          <w:lang w:val="fr-CA"/>
        </w:rPr>
        <w:t>’</w:t>
      </w:r>
      <w:r w:rsidR="00420B65" w:rsidRPr="004F239A">
        <w:rPr>
          <w:iCs/>
          <w:kern w:val="22"/>
          <w:szCs w:val="22"/>
          <w:lang w:val="fr-CA"/>
        </w:rPr>
        <w:t>après-2020, joint à l’annexe I à la présente décision</w:t>
      </w:r>
      <w:r w:rsidR="00F50701">
        <w:rPr>
          <w:iCs/>
          <w:kern w:val="22"/>
          <w:szCs w:val="22"/>
          <w:lang w:val="fr-CA"/>
        </w:rPr>
        <w:t> </w:t>
      </w:r>
      <w:r w:rsidR="006569C2" w:rsidRPr="004F239A">
        <w:rPr>
          <w:kern w:val="22"/>
          <w:szCs w:val="22"/>
          <w:lang w:val="fr-CA"/>
        </w:rPr>
        <w:t>;</w:t>
      </w:r>
      <w:r w:rsidR="00905C3B" w:rsidRPr="004F239A">
        <w:rPr>
          <w:rStyle w:val="FootnoteReference"/>
          <w:kern w:val="22"/>
          <w:szCs w:val="22"/>
          <w:lang w:val="fr-CA"/>
        </w:rPr>
        <w:footnoteReference w:id="44"/>
      </w:r>
    </w:p>
    <w:p w14:paraId="19EBC190" w14:textId="59FCED39" w:rsidR="00066573"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2.</w:t>
      </w:r>
      <w:r w:rsidRPr="004F239A">
        <w:rPr>
          <w:kern w:val="22"/>
          <w:szCs w:val="22"/>
          <w:lang w:val="fr-CA"/>
        </w:rPr>
        <w:tab/>
      </w:r>
      <w:r w:rsidR="00420B65" w:rsidRPr="004F239A">
        <w:rPr>
          <w:i/>
          <w:iCs/>
          <w:kern w:val="22"/>
          <w:szCs w:val="22"/>
          <w:lang w:val="fr-CA"/>
        </w:rPr>
        <w:t xml:space="preserve">Accueille </w:t>
      </w:r>
      <w:r w:rsidR="00420B65" w:rsidRPr="004F239A">
        <w:rPr>
          <w:iCs/>
          <w:kern w:val="22"/>
          <w:szCs w:val="22"/>
          <w:lang w:val="fr-CA"/>
        </w:rPr>
        <w:t>le plan d’action pour le renforcement des capacités pour le Protocole de Cartagena sur la prévention des risques biotechnologiques</w:t>
      </w:r>
      <w:r w:rsidR="00113FA3" w:rsidRPr="004F239A">
        <w:rPr>
          <w:kern w:val="22"/>
          <w:szCs w:val="22"/>
          <w:lang w:val="fr-CA"/>
        </w:rPr>
        <w:t>,</w:t>
      </w:r>
      <w:r w:rsidR="00E639AA" w:rsidRPr="004F239A">
        <w:rPr>
          <w:rStyle w:val="FootnoteReference"/>
          <w:kern w:val="22"/>
          <w:szCs w:val="22"/>
          <w:lang w:val="fr-CA"/>
        </w:rPr>
        <w:footnoteReference w:id="45"/>
      </w:r>
      <w:r w:rsidR="00813F02" w:rsidRPr="004F239A">
        <w:rPr>
          <w:kern w:val="22"/>
          <w:szCs w:val="22"/>
          <w:lang w:val="fr-CA"/>
        </w:rPr>
        <w:t xml:space="preserve"> </w:t>
      </w:r>
      <w:r w:rsidR="00420B65" w:rsidRPr="004F239A">
        <w:rPr>
          <w:kern w:val="22"/>
          <w:szCs w:val="22"/>
          <w:lang w:val="fr-CA"/>
        </w:rPr>
        <w:t>élaboré en tant que complément au cadre stratégique à long terme dont il est question au paragraphe 1 ci-dessus</w:t>
      </w:r>
      <w:r w:rsidR="00F50701">
        <w:rPr>
          <w:kern w:val="22"/>
          <w:szCs w:val="22"/>
          <w:lang w:val="fr-CA"/>
        </w:rPr>
        <w:t> </w:t>
      </w:r>
      <w:r w:rsidR="006569C2" w:rsidRPr="004F239A">
        <w:rPr>
          <w:kern w:val="22"/>
          <w:szCs w:val="22"/>
          <w:lang w:val="fr-CA"/>
        </w:rPr>
        <w:t>;</w:t>
      </w:r>
    </w:p>
    <w:p w14:paraId="34075F9C" w14:textId="57259885" w:rsidR="00066573"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kern w:val="22"/>
          <w:szCs w:val="22"/>
          <w:lang w:val="fr-CA"/>
        </w:rPr>
        <w:t>3.</w:t>
      </w:r>
      <w:r w:rsidRPr="004F239A">
        <w:rPr>
          <w:kern w:val="22"/>
          <w:szCs w:val="22"/>
          <w:lang w:val="fr-CA"/>
        </w:rPr>
        <w:tab/>
      </w:r>
      <w:r w:rsidR="00420B65" w:rsidRPr="004F239A">
        <w:rPr>
          <w:rFonts w:eastAsiaTheme="minorEastAsia"/>
          <w:i/>
          <w:iCs/>
          <w:kern w:val="22"/>
          <w:szCs w:val="22"/>
          <w:lang w:val="fr-CA"/>
        </w:rPr>
        <w:t xml:space="preserve">Prend note </w:t>
      </w:r>
      <w:r w:rsidR="00420B65" w:rsidRPr="004F239A">
        <w:rPr>
          <w:rFonts w:eastAsiaTheme="minorEastAsia"/>
          <w:iCs/>
          <w:kern w:val="22"/>
          <w:szCs w:val="22"/>
          <w:lang w:val="fr-CA"/>
        </w:rPr>
        <w:t>des conclusions et des recommandations de l’évaluation du cadre stratégique pour le renforcement des capacités et le développement en appui à l’application efficace du Protocole de Nagoya</w:t>
      </w:r>
      <w:r w:rsidR="002C3E14" w:rsidRPr="004F239A">
        <w:rPr>
          <w:rFonts w:eastAsiaTheme="minorEastAsia"/>
          <w:kern w:val="22"/>
          <w:szCs w:val="22"/>
          <w:lang w:val="fr-CA"/>
        </w:rPr>
        <w:t>,</w:t>
      </w:r>
      <w:r w:rsidR="00E639AA" w:rsidRPr="004F239A">
        <w:rPr>
          <w:rStyle w:val="FootnoteReference"/>
          <w:rFonts w:eastAsiaTheme="minorEastAsia"/>
          <w:kern w:val="22"/>
          <w:szCs w:val="22"/>
          <w:lang w:val="fr-CA"/>
        </w:rPr>
        <w:footnoteReference w:id="46"/>
      </w:r>
      <w:r w:rsidR="00B93D50" w:rsidRPr="004F239A">
        <w:rPr>
          <w:rFonts w:eastAsiaTheme="minorEastAsia"/>
          <w:kern w:val="22"/>
          <w:szCs w:val="22"/>
          <w:lang w:val="fr-CA"/>
        </w:rPr>
        <w:t xml:space="preserve"> </w:t>
      </w:r>
      <w:r w:rsidR="00420B65" w:rsidRPr="004F239A">
        <w:rPr>
          <w:rFonts w:eastAsiaTheme="minorEastAsia"/>
          <w:kern w:val="22"/>
          <w:szCs w:val="22"/>
          <w:lang w:val="fr-CA"/>
        </w:rPr>
        <w:t xml:space="preserve">et </w:t>
      </w:r>
      <w:r w:rsidR="00420B65" w:rsidRPr="004F239A">
        <w:rPr>
          <w:rFonts w:eastAsiaTheme="minorEastAsia"/>
          <w:i/>
          <w:kern w:val="22"/>
          <w:szCs w:val="22"/>
          <w:lang w:val="fr-CA"/>
        </w:rPr>
        <w:t>réitère</w:t>
      </w:r>
      <w:r w:rsidR="001148A4">
        <w:rPr>
          <w:rFonts w:eastAsiaTheme="minorEastAsia"/>
          <w:kern w:val="22"/>
          <w:szCs w:val="22"/>
          <w:lang w:val="fr-CA"/>
        </w:rPr>
        <w:t xml:space="preserve"> sa décision de demander à</w:t>
      </w:r>
      <w:r w:rsidR="00420B65" w:rsidRPr="004F239A">
        <w:rPr>
          <w:rFonts w:eastAsiaTheme="minorEastAsia"/>
          <w:kern w:val="22"/>
          <w:szCs w:val="22"/>
          <w:lang w:val="fr-CA"/>
        </w:rPr>
        <w:t xml:space="preserve"> la Secrétaire exécutive d’en faciliter la révision </w:t>
      </w:r>
      <w:r w:rsidR="00DA46F6" w:rsidRPr="004F239A">
        <w:rPr>
          <w:rFonts w:eastAsiaTheme="minorEastAsia"/>
          <w:kern w:val="22"/>
          <w:szCs w:val="22"/>
          <w:lang w:val="fr-CA"/>
        </w:rPr>
        <w:t xml:space="preserve">en </w:t>
      </w:r>
      <w:r w:rsidR="001148A4">
        <w:rPr>
          <w:rFonts w:eastAsiaTheme="minorEastAsia"/>
          <w:kern w:val="22"/>
          <w:szCs w:val="22"/>
          <w:lang w:val="fr-CA"/>
        </w:rPr>
        <w:t>concordance</w:t>
      </w:r>
      <w:r w:rsidR="00DA46F6" w:rsidRPr="004F239A">
        <w:rPr>
          <w:rFonts w:eastAsiaTheme="minorEastAsia"/>
          <w:kern w:val="22"/>
          <w:szCs w:val="22"/>
          <w:lang w:val="fr-CA"/>
        </w:rPr>
        <w:t xml:space="preserve"> avec le cadre stratégique à long terme dont il est question au paragraphe 1 ci-dessus</w:t>
      </w:r>
      <w:r w:rsidR="00F50701">
        <w:rPr>
          <w:rFonts w:eastAsiaTheme="minorEastAsia"/>
          <w:kern w:val="22"/>
          <w:szCs w:val="22"/>
          <w:lang w:val="fr-CA"/>
        </w:rPr>
        <w:t> </w:t>
      </w:r>
      <w:r w:rsidR="006569C2" w:rsidRPr="004F239A">
        <w:rPr>
          <w:kern w:val="22"/>
          <w:szCs w:val="22"/>
          <w:lang w:val="fr-CA"/>
        </w:rPr>
        <w:t>;</w:t>
      </w:r>
    </w:p>
    <w:p w14:paraId="3FA1C70F" w14:textId="3E766DB4" w:rsidR="008F5B8B" w:rsidRPr="004F239A" w:rsidRDefault="008B7BF3"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4</w:t>
      </w:r>
      <w:r w:rsidR="00BC4DEE" w:rsidRPr="004F239A">
        <w:rPr>
          <w:kern w:val="22"/>
          <w:szCs w:val="22"/>
          <w:lang w:val="fr-CA"/>
        </w:rPr>
        <w:t>.</w:t>
      </w:r>
      <w:r w:rsidR="00BC4DEE" w:rsidRPr="004F239A">
        <w:rPr>
          <w:kern w:val="22"/>
          <w:szCs w:val="22"/>
          <w:lang w:val="fr-CA"/>
        </w:rPr>
        <w:tab/>
      </w:r>
      <w:r w:rsidR="00DA46F6" w:rsidRPr="004F239A">
        <w:rPr>
          <w:i/>
          <w:iCs/>
          <w:kern w:val="22"/>
          <w:szCs w:val="22"/>
          <w:lang w:val="fr-CA"/>
        </w:rPr>
        <w:t xml:space="preserve">Invite </w:t>
      </w:r>
      <w:r w:rsidR="00DA46F6" w:rsidRPr="004F239A">
        <w:rPr>
          <w:iCs/>
          <w:kern w:val="22"/>
          <w:szCs w:val="22"/>
          <w:lang w:val="fr-CA"/>
        </w:rPr>
        <w:t xml:space="preserve">les Parties, les autres gouvernements, les peuples autochtones et les communautés locales et organisations compétentes à appliquer l’orientation proposée dans le cadre stratégique à long terme </w:t>
      </w:r>
      <w:r w:rsidR="007642E8">
        <w:rPr>
          <w:iCs/>
          <w:kern w:val="22"/>
          <w:szCs w:val="22"/>
          <w:lang w:val="fr-CA"/>
        </w:rPr>
        <w:t>à</w:t>
      </w:r>
      <w:r w:rsidR="00DA46F6" w:rsidRPr="004F239A">
        <w:rPr>
          <w:iCs/>
          <w:kern w:val="22"/>
          <w:szCs w:val="22"/>
          <w:lang w:val="fr-CA"/>
        </w:rPr>
        <w:t xml:space="preserve"> la conception, l’application, le suivi et l’évaluation de leurs projets de renforcement des capacités</w:t>
      </w:r>
      <w:r w:rsidR="007642E8">
        <w:rPr>
          <w:iCs/>
          <w:kern w:val="22"/>
          <w:szCs w:val="22"/>
          <w:lang w:val="fr-CA"/>
        </w:rPr>
        <w:t>,</w:t>
      </w:r>
      <w:r w:rsidR="00DA46F6" w:rsidRPr="004F239A">
        <w:rPr>
          <w:iCs/>
          <w:kern w:val="22"/>
          <w:szCs w:val="22"/>
          <w:lang w:val="fr-CA"/>
        </w:rPr>
        <w:t xml:space="preserve"> en appui à la réalisation de la vision, de la mission, des buts et des </w:t>
      </w:r>
      <w:r w:rsidR="00A67F02">
        <w:rPr>
          <w:iCs/>
          <w:kern w:val="22"/>
          <w:szCs w:val="22"/>
          <w:lang w:val="fr-CA"/>
        </w:rPr>
        <w:t>objectifs</w:t>
      </w:r>
      <w:r w:rsidR="00DA46F6" w:rsidRPr="004F239A">
        <w:rPr>
          <w:iCs/>
          <w:kern w:val="22"/>
          <w:szCs w:val="22"/>
          <w:lang w:val="fr-CA"/>
        </w:rPr>
        <w:t xml:space="preserve"> du cadre mondial de la biodiversité pour l</w:t>
      </w:r>
      <w:r w:rsidR="00F50701">
        <w:rPr>
          <w:iCs/>
          <w:kern w:val="22"/>
          <w:szCs w:val="22"/>
          <w:lang w:val="fr-CA"/>
        </w:rPr>
        <w:t>’</w:t>
      </w:r>
      <w:r w:rsidR="00DA46F6" w:rsidRPr="004F239A">
        <w:rPr>
          <w:iCs/>
          <w:kern w:val="22"/>
          <w:szCs w:val="22"/>
          <w:lang w:val="fr-CA"/>
        </w:rPr>
        <w:t>après-2020</w:t>
      </w:r>
      <w:r w:rsidR="00F50701">
        <w:rPr>
          <w:iCs/>
          <w:kern w:val="22"/>
          <w:szCs w:val="22"/>
          <w:lang w:val="fr-CA"/>
        </w:rPr>
        <w:t> </w:t>
      </w:r>
      <w:r w:rsidR="006569C2" w:rsidRPr="004F239A">
        <w:rPr>
          <w:kern w:val="22"/>
          <w:szCs w:val="22"/>
          <w:lang w:val="fr-CA"/>
        </w:rPr>
        <w:t>;</w:t>
      </w:r>
    </w:p>
    <w:p w14:paraId="72843848" w14:textId="553F5281" w:rsidR="008F5B8B" w:rsidRPr="004F239A" w:rsidRDefault="00886E83"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5.</w:t>
      </w:r>
      <w:r w:rsidR="00B000E6" w:rsidRPr="004F239A">
        <w:rPr>
          <w:kern w:val="22"/>
          <w:szCs w:val="22"/>
          <w:lang w:val="fr-CA"/>
        </w:rPr>
        <w:tab/>
      </w:r>
      <w:r w:rsidR="007501F6" w:rsidRPr="004F239A">
        <w:rPr>
          <w:i/>
          <w:iCs/>
          <w:kern w:val="22"/>
          <w:szCs w:val="22"/>
          <w:lang w:val="fr-CA"/>
        </w:rPr>
        <w:t xml:space="preserve">Exhorte </w:t>
      </w:r>
      <w:r w:rsidR="007501F6" w:rsidRPr="004F239A">
        <w:rPr>
          <w:iCs/>
          <w:kern w:val="22"/>
          <w:szCs w:val="22"/>
          <w:lang w:val="fr-CA"/>
        </w:rPr>
        <w:t>les Parties et les autres gouvernements de mettre en place des environnements de facilitation (notamment des politiques, lois et mesures d’encouragement pertinentes) afin de promouvoir et de faciliter le renforcement des capacités à divers niveaux</w:t>
      </w:r>
      <w:r w:rsidR="00F50701">
        <w:rPr>
          <w:iCs/>
          <w:kern w:val="22"/>
          <w:szCs w:val="22"/>
          <w:lang w:val="fr-CA"/>
        </w:rPr>
        <w:t> </w:t>
      </w:r>
      <w:r w:rsidR="005477AF" w:rsidRPr="004F239A">
        <w:rPr>
          <w:kern w:val="22"/>
          <w:szCs w:val="22"/>
          <w:lang w:val="fr-CA"/>
        </w:rPr>
        <w:t>;</w:t>
      </w:r>
    </w:p>
    <w:p w14:paraId="2D7EC93E" w14:textId="19977B6F" w:rsidR="004A3E7E" w:rsidRPr="004F239A" w:rsidRDefault="0055470F"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rFonts w:eastAsiaTheme="minorEastAsia"/>
          <w:kern w:val="22"/>
          <w:szCs w:val="22"/>
          <w:lang w:val="fr-CA"/>
        </w:rPr>
        <w:t>6</w:t>
      </w:r>
      <w:r w:rsidR="00BC4DEE" w:rsidRPr="004F239A">
        <w:rPr>
          <w:kern w:val="22"/>
          <w:szCs w:val="22"/>
          <w:lang w:val="fr-CA"/>
        </w:rPr>
        <w:t>.</w:t>
      </w:r>
      <w:r w:rsidR="00BC4DEE" w:rsidRPr="004F239A">
        <w:rPr>
          <w:kern w:val="22"/>
          <w:szCs w:val="22"/>
          <w:lang w:val="fr-CA"/>
        </w:rPr>
        <w:tab/>
      </w:r>
      <w:r w:rsidR="007501F6" w:rsidRPr="004F239A">
        <w:rPr>
          <w:i/>
          <w:iCs/>
          <w:kern w:val="22"/>
          <w:szCs w:val="22"/>
          <w:lang w:val="fr-CA"/>
        </w:rPr>
        <w:t xml:space="preserve">Invite </w:t>
      </w:r>
      <w:r w:rsidR="007501F6" w:rsidRPr="004F239A">
        <w:rPr>
          <w:iCs/>
          <w:kern w:val="22"/>
          <w:szCs w:val="22"/>
          <w:lang w:val="fr-CA"/>
        </w:rPr>
        <w:t xml:space="preserve">les conventions liées à la diversité biologique et autres accords multilatéraux et processus sur l’environnement à </w:t>
      </w:r>
      <w:r w:rsidR="007642E8">
        <w:rPr>
          <w:iCs/>
          <w:kern w:val="22"/>
          <w:szCs w:val="22"/>
          <w:lang w:val="fr-CA"/>
        </w:rPr>
        <w:t>faire concorder</w:t>
      </w:r>
      <w:r w:rsidR="007501F6" w:rsidRPr="004F239A">
        <w:rPr>
          <w:iCs/>
          <w:kern w:val="22"/>
          <w:szCs w:val="22"/>
          <w:lang w:val="fr-CA"/>
        </w:rPr>
        <w:t xml:space="preserve"> leurs stratégies, plans d’action, programmes de travail et mécanismes de renforcement des capacités au cadre stratégique à long terme, selon qu’il convient, afin de </w:t>
      </w:r>
      <w:r w:rsidR="007501F6" w:rsidRPr="004F239A">
        <w:rPr>
          <w:iCs/>
          <w:kern w:val="22"/>
          <w:szCs w:val="22"/>
          <w:lang w:val="fr-CA"/>
        </w:rPr>
        <w:lastRenderedPageBreak/>
        <w:t>favoriser les synergies, les programmes intégrés et/ou l’application conjointe des projets de renforcement des capacités pour la biodiversité</w:t>
      </w:r>
      <w:r w:rsidR="00F50701">
        <w:rPr>
          <w:iCs/>
          <w:kern w:val="22"/>
          <w:szCs w:val="22"/>
          <w:lang w:val="fr-CA"/>
        </w:rPr>
        <w:t> </w:t>
      </w:r>
      <w:r w:rsidR="006569C2" w:rsidRPr="004F239A">
        <w:rPr>
          <w:kern w:val="22"/>
          <w:szCs w:val="22"/>
          <w:lang w:val="fr-CA"/>
        </w:rPr>
        <w:t>;</w:t>
      </w:r>
    </w:p>
    <w:p w14:paraId="73FB2683" w14:textId="63671DD3" w:rsidR="004A3E7E" w:rsidRPr="004F239A" w:rsidRDefault="0055470F"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7</w:t>
      </w:r>
      <w:r w:rsidR="00BC4DEE" w:rsidRPr="004F239A">
        <w:rPr>
          <w:kern w:val="22"/>
          <w:szCs w:val="22"/>
          <w:lang w:val="fr-CA"/>
        </w:rPr>
        <w:t>.</w:t>
      </w:r>
      <w:r w:rsidR="00BC4DEE" w:rsidRPr="004F239A">
        <w:rPr>
          <w:kern w:val="22"/>
          <w:szCs w:val="22"/>
          <w:lang w:val="fr-CA"/>
        </w:rPr>
        <w:tab/>
      </w:r>
      <w:r w:rsidR="007501F6" w:rsidRPr="004F239A">
        <w:rPr>
          <w:i/>
          <w:iCs/>
          <w:kern w:val="22"/>
          <w:szCs w:val="22"/>
          <w:lang w:val="fr-CA"/>
        </w:rPr>
        <w:t xml:space="preserve">Invite également </w:t>
      </w:r>
      <w:r w:rsidR="007501F6" w:rsidRPr="004F239A">
        <w:rPr>
          <w:iCs/>
          <w:kern w:val="22"/>
          <w:szCs w:val="22"/>
          <w:lang w:val="fr-CA"/>
        </w:rPr>
        <w:t xml:space="preserve">les Parties, les autres gouvernements et les organisations compétentes </w:t>
      </w:r>
      <w:r w:rsidR="007642E8">
        <w:rPr>
          <w:iCs/>
          <w:kern w:val="22"/>
          <w:szCs w:val="22"/>
          <w:lang w:val="fr-CA"/>
        </w:rPr>
        <w:t>capables</w:t>
      </w:r>
      <w:r w:rsidR="007501F6" w:rsidRPr="004F239A">
        <w:rPr>
          <w:iCs/>
          <w:kern w:val="22"/>
          <w:szCs w:val="22"/>
          <w:lang w:val="fr-CA"/>
        </w:rPr>
        <w:t xml:space="preserve"> de le faire, ainsi que le Fonds pour l’environnement mondial, à fournir un soutien </w:t>
      </w:r>
      <w:r w:rsidR="00953199" w:rsidRPr="004F239A">
        <w:rPr>
          <w:iCs/>
          <w:kern w:val="22"/>
          <w:szCs w:val="22"/>
          <w:lang w:val="fr-CA"/>
        </w:rPr>
        <w:t>financier</w:t>
      </w:r>
      <w:r w:rsidR="007501F6" w:rsidRPr="004F239A">
        <w:rPr>
          <w:iCs/>
          <w:kern w:val="22"/>
          <w:szCs w:val="22"/>
          <w:lang w:val="fr-CA"/>
        </w:rPr>
        <w:t xml:space="preserve"> et technique</w:t>
      </w:r>
      <w:r w:rsidR="00953199" w:rsidRPr="004F239A">
        <w:rPr>
          <w:iCs/>
          <w:kern w:val="22"/>
          <w:szCs w:val="22"/>
          <w:lang w:val="fr-CA"/>
        </w:rPr>
        <w:t xml:space="preserve"> pour permettre aux pays en développement Parties, aux Parties à économie en transition et aux peuples autochtones et communautés locales de concevoir et de mettre en œuvre des programmes de renforcement des capacités </w:t>
      </w:r>
      <w:r w:rsidR="008C7BEA">
        <w:rPr>
          <w:iCs/>
          <w:kern w:val="22"/>
          <w:szCs w:val="22"/>
          <w:lang w:val="fr-CA"/>
        </w:rPr>
        <w:t>concordant</w:t>
      </w:r>
      <w:r w:rsidR="00953199" w:rsidRPr="004F239A">
        <w:rPr>
          <w:iCs/>
          <w:kern w:val="22"/>
          <w:szCs w:val="22"/>
          <w:lang w:val="fr-CA"/>
        </w:rPr>
        <w:t xml:space="preserve"> </w:t>
      </w:r>
      <w:r w:rsidR="008C7BEA">
        <w:rPr>
          <w:iCs/>
          <w:kern w:val="22"/>
          <w:szCs w:val="22"/>
          <w:lang w:val="fr-CA"/>
        </w:rPr>
        <w:t>avec le</w:t>
      </w:r>
      <w:r w:rsidR="00953199" w:rsidRPr="004F239A">
        <w:rPr>
          <w:iCs/>
          <w:kern w:val="22"/>
          <w:szCs w:val="22"/>
          <w:lang w:val="fr-CA"/>
        </w:rPr>
        <w:t xml:space="preserve"> cadre stratégique à long terme</w:t>
      </w:r>
      <w:r w:rsidR="00F50701">
        <w:rPr>
          <w:iCs/>
          <w:kern w:val="22"/>
          <w:szCs w:val="22"/>
          <w:lang w:val="fr-CA"/>
        </w:rPr>
        <w:t> </w:t>
      </w:r>
      <w:r w:rsidR="006569C2" w:rsidRPr="004F239A">
        <w:rPr>
          <w:kern w:val="22"/>
          <w:szCs w:val="22"/>
          <w:lang w:val="fr-CA"/>
        </w:rPr>
        <w:t>;</w:t>
      </w:r>
    </w:p>
    <w:p w14:paraId="05016B60" w14:textId="00378CF2" w:rsidR="004A3E7E" w:rsidRPr="004F239A" w:rsidRDefault="0055470F"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8</w:t>
      </w:r>
      <w:r w:rsidR="00BC4DEE" w:rsidRPr="004F239A">
        <w:rPr>
          <w:kern w:val="22"/>
          <w:szCs w:val="22"/>
          <w:lang w:val="fr-CA"/>
        </w:rPr>
        <w:t>.</w:t>
      </w:r>
      <w:r w:rsidR="00BC4DEE" w:rsidRPr="004F239A">
        <w:rPr>
          <w:kern w:val="22"/>
          <w:szCs w:val="22"/>
          <w:lang w:val="fr-CA"/>
        </w:rPr>
        <w:tab/>
      </w:r>
      <w:r w:rsidR="00953199" w:rsidRPr="004F239A">
        <w:rPr>
          <w:i/>
          <w:iCs/>
          <w:kern w:val="22"/>
          <w:szCs w:val="22"/>
          <w:lang w:val="fr-CA"/>
        </w:rPr>
        <w:t xml:space="preserve">Invite </w:t>
      </w:r>
      <w:r w:rsidR="00953199" w:rsidRPr="004F239A">
        <w:rPr>
          <w:iCs/>
          <w:kern w:val="22"/>
          <w:szCs w:val="22"/>
          <w:lang w:val="fr-CA"/>
        </w:rPr>
        <w:t>les secrétariats des conventions liées à la diversité biologique, en collaboration avec les gouvernements, les organisations compétentes et les parties prenantes, à préparer des plans d’action thématiques de renforcement des capacités pour des cibles précises ou des groupes de cibles apparentées de 2030,</w:t>
      </w:r>
      <w:r w:rsidR="00B4522F" w:rsidRPr="004F239A">
        <w:rPr>
          <w:iCs/>
          <w:kern w:val="22"/>
          <w:szCs w:val="22"/>
          <w:lang w:val="fr-CA"/>
        </w:rPr>
        <w:t xml:space="preserve"> immédiatement après l’adoption du cadre mondial de la biodiversité pour l</w:t>
      </w:r>
      <w:r w:rsidR="00F50701">
        <w:rPr>
          <w:iCs/>
          <w:kern w:val="22"/>
          <w:szCs w:val="22"/>
          <w:lang w:val="fr-CA"/>
        </w:rPr>
        <w:t>’</w:t>
      </w:r>
      <w:r w:rsidR="00B4522F" w:rsidRPr="004F239A">
        <w:rPr>
          <w:iCs/>
          <w:kern w:val="22"/>
          <w:szCs w:val="22"/>
          <w:lang w:val="fr-CA"/>
        </w:rPr>
        <w:t>après-2020,</w:t>
      </w:r>
      <w:r w:rsidR="00953199" w:rsidRPr="004F239A">
        <w:rPr>
          <w:iCs/>
          <w:kern w:val="22"/>
          <w:szCs w:val="22"/>
          <w:lang w:val="fr-CA"/>
        </w:rPr>
        <w:t xml:space="preserve"> et </w:t>
      </w:r>
      <w:r w:rsidR="00B4522F" w:rsidRPr="004F239A">
        <w:rPr>
          <w:iCs/>
          <w:kern w:val="22"/>
          <w:szCs w:val="22"/>
          <w:lang w:val="fr-CA"/>
        </w:rPr>
        <w:t xml:space="preserve">à </w:t>
      </w:r>
      <w:r w:rsidR="00953199" w:rsidRPr="004F239A">
        <w:rPr>
          <w:iCs/>
          <w:kern w:val="22"/>
          <w:szCs w:val="22"/>
          <w:lang w:val="fr-CA"/>
        </w:rPr>
        <w:t>élaborer des programmes mondiaux</w:t>
      </w:r>
      <w:r w:rsidR="00F50701">
        <w:rPr>
          <w:iCs/>
          <w:kern w:val="22"/>
          <w:szCs w:val="22"/>
          <w:lang w:val="fr-CA"/>
        </w:rPr>
        <w:t>,</w:t>
      </w:r>
      <w:r w:rsidR="00953199" w:rsidRPr="004F239A">
        <w:rPr>
          <w:iCs/>
          <w:kern w:val="22"/>
          <w:szCs w:val="22"/>
          <w:lang w:val="fr-CA"/>
        </w:rPr>
        <w:t xml:space="preserve"> régionaux et infrarégionaux </w:t>
      </w:r>
      <w:r w:rsidR="00B4522F" w:rsidRPr="004F239A">
        <w:rPr>
          <w:iCs/>
          <w:kern w:val="22"/>
          <w:szCs w:val="22"/>
          <w:lang w:val="fr-CA"/>
        </w:rPr>
        <w:t xml:space="preserve">dédiés </w:t>
      </w:r>
      <w:r w:rsidR="00953199" w:rsidRPr="004F239A">
        <w:rPr>
          <w:iCs/>
          <w:kern w:val="22"/>
          <w:szCs w:val="22"/>
          <w:lang w:val="fr-CA"/>
        </w:rPr>
        <w:t>pour mettre ces plans thématiqu</w:t>
      </w:r>
      <w:r w:rsidR="00B4522F" w:rsidRPr="004F239A">
        <w:rPr>
          <w:iCs/>
          <w:kern w:val="22"/>
          <w:szCs w:val="22"/>
          <w:lang w:val="fr-CA"/>
        </w:rPr>
        <w:t>e</w:t>
      </w:r>
      <w:r w:rsidR="00953199" w:rsidRPr="004F239A">
        <w:rPr>
          <w:iCs/>
          <w:kern w:val="22"/>
          <w:szCs w:val="22"/>
          <w:lang w:val="fr-CA"/>
        </w:rPr>
        <w:t xml:space="preserve">s en </w:t>
      </w:r>
      <w:r w:rsidR="00B4522F" w:rsidRPr="004F239A">
        <w:rPr>
          <w:iCs/>
          <w:kern w:val="22"/>
          <w:szCs w:val="22"/>
          <w:lang w:val="fr-CA"/>
        </w:rPr>
        <w:t>œuvre</w:t>
      </w:r>
      <w:r w:rsidR="00953199" w:rsidRPr="004F239A">
        <w:rPr>
          <w:iCs/>
          <w:kern w:val="22"/>
          <w:szCs w:val="22"/>
          <w:lang w:val="fr-CA"/>
        </w:rPr>
        <w:t xml:space="preserve">, </w:t>
      </w:r>
      <w:r w:rsidR="00B4522F" w:rsidRPr="004F239A">
        <w:rPr>
          <w:iCs/>
          <w:kern w:val="22"/>
          <w:szCs w:val="22"/>
          <w:lang w:val="fr-CA"/>
        </w:rPr>
        <w:t xml:space="preserve">en </w:t>
      </w:r>
      <w:r w:rsidR="001148A4">
        <w:rPr>
          <w:iCs/>
          <w:kern w:val="22"/>
          <w:szCs w:val="22"/>
          <w:lang w:val="fr-CA"/>
        </w:rPr>
        <w:t>concordance</w:t>
      </w:r>
      <w:r w:rsidR="00B4522F" w:rsidRPr="004F239A">
        <w:rPr>
          <w:iCs/>
          <w:kern w:val="22"/>
          <w:szCs w:val="22"/>
          <w:lang w:val="fr-CA"/>
        </w:rPr>
        <w:t xml:space="preserve"> avec le cadre stra</w:t>
      </w:r>
      <w:r w:rsidR="00953199" w:rsidRPr="004F239A">
        <w:rPr>
          <w:iCs/>
          <w:kern w:val="22"/>
          <w:szCs w:val="22"/>
          <w:lang w:val="fr-CA"/>
        </w:rPr>
        <w:t>tégique à long terme</w:t>
      </w:r>
      <w:r w:rsidR="00F50701">
        <w:rPr>
          <w:iCs/>
          <w:kern w:val="22"/>
          <w:szCs w:val="22"/>
          <w:lang w:val="fr-CA"/>
        </w:rPr>
        <w:t> </w:t>
      </w:r>
      <w:r w:rsidR="006569C2" w:rsidRPr="004F239A">
        <w:rPr>
          <w:kern w:val="22"/>
          <w:szCs w:val="22"/>
          <w:lang w:val="fr-CA"/>
        </w:rPr>
        <w:t>;</w:t>
      </w:r>
    </w:p>
    <w:p w14:paraId="2280F80D" w14:textId="1856B24F" w:rsidR="004A3E7E" w:rsidRPr="004F239A" w:rsidRDefault="0055470F"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9</w:t>
      </w:r>
      <w:r w:rsidR="00BC4DEE" w:rsidRPr="004F239A">
        <w:rPr>
          <w:kern w:val="22"/>
          <w:szCs w:val="22"/>
          <w:lang w:val="fr-CA"/>
        </w:rPr>
        <w:t>.</w:t>
      </w:r>
      <w:r w:rsidR="00BC4DEE" w:rsidRPr="004F239A">
        <w:rPr>
          <w:kern w:val="22"/>
          <w:szCs w:val="22"/>
          <w:lang w:val="fr-CA"/>
        </w:rPr>
        <w:tab/>
      </w:r>
      <w:r w:rsidR="00B4522F" w:rsidRPr="004F239A">
        <w:rPr>
          <w:i/>
          <w:iCs/>
          <w:kern w:val="22"/>
          <w:szCs w:val="22"/>
          <w:lang w:val="fr-CA"/>
        </w:rPr>
        <w:t xml:space="preserve">Invite </w:t>
      </w:r>
      <w:r w:rsidR="00B4522F" w:rsidRPr="004F239A">
        <w:rPr>
          <w:iCs/>
          <w:kern w:val="22"/>
          <w:szCs w:val="22"/>
          <w:lang w:val="fr-CA"/>
        </w:rPr>
        <w:t>les Parties et les autres gouvernements à intégrer les éléments du renforcement des capacités à leurs stratégies et plans d’action nationaux pour la biodiversité et/ou à élaborer des plans d’action de renforcement des capacités dédiés à la diversité biologique, selon qu’il convient</w:t>
      </w:r>
      <w:r w:rsidR="00F50701">
        <w:rPr>
          <w:iCs/>
          <w:kern w:val="22"/>
          <w:szCs w:val="22"/>
          <w:lang w:val="fr-CA"/>
        </w:rPr>
        <w:t> </w:t>
      </w:r>
      <w:r w:rsidR="006569C2" w:rsidRPr="004F239A">
        <w:rPr>
          <w:kern w:val="22"/>
          <w:szCs w:val="22"/>
          <w:lang w:val="fr-CA"/>
        </w:rPr>
        <w:t>;</w:t>
      </w:r>
    </w:p>
    <w:p w14:paraId="48B8CAB6" w14:textId="51033D8A" w:rsidR="004A3E7E" w:rsidRPr="004F239A" w:rsidRDefault="0055470F"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10</w:t>
      </w:r>
      <w:r w:rsidR="00BC4DEE" w:rsidRPr="004F239A">
        <w:rPr>
          <w:kern w:val="22"/>
          <w:szCs w:val="22"/>
          <w:lang w:val="fr-CA"/>
        </w:rPr>
        <w:t>.</w:t>
      </w:r>
      <w:r w:rsidR="00BC4DEE" w:rsidRPr="004F239A">
        <w:rPr>
          <w:kern w:val="22"/>
          <w:szCs w:val="22"/>
          <w:lang w:val="fr-CA"/>
        </w:rPr>
        <w:tab/>
      </w:r>
      <w:r w:rsidR="00B4522F" w:rsidRPr="004F239A">
        <w:rPr>
          <w:i/>
          <w:iCs/>
          <w:kern w:val="22"/>
          <w:szCs w:val="22"/>
          <w:lang w:val="fr-CA"/>
        </w:rPr>
        <w:t xml:space="preserve">Invite </w:t>
      </w:r>
      <w:r w:rsidR="00B4522F" w:rsidRPr="004F239A">
        <w:rPr>
          <w:iCs/>
          <w:kern w:val="22"/>
          <w:szCs w:val="22"/>
          <w:lang w:val="fr-CA"/>
        </w:rPr>
        <w:t xml:space="preserve">les Parties, les autres gouvernements et les organisations compétentes à institutionnaliser et </w:t>
      </w:r>
      <w:r w:rsidR="008C7F52" w:rsidRPr="004F239A">
        <w:rPr>
          <w:iCs/>
          <w:kern w:val="22"/>
          <w:szCs w:val="22"/>
          <w:lang w:val="fr-CA"/>
        </w:rPr>
        <w:t>à réaliser des inter</w:t>
      </w:r>
      <w:r w:rsidR="00B4522F" w:rsidRPr="004F239A">
        <w:rPr>
          <w:iCs/>
          <w:kern w:val="22"/>
          <w:szCs w:val="22"/>
          <w:lang w:val="fr-CA"/>
        </w:rPr>
        <w:t xml:space="preserve">ventions de renforcement des capacités </w:t>
      </w:r>
      <w:r w:rsidR="008C7F52" w:rsidRPr="004F239A">
        <w:rPr>
          <w:iCs/>
          <w:kern w:val="22"/>
          <w:szCs w:val="22"/>
          <w:lang w:val="fr-CA"/>
        </w:rPr>
        <w:t>dans le cadre de leurs politiques, plans et programmes réguliers</w:t>
      </w:r>
      <w:r w:rsidR="00F50701">
        <w:rPr>
          <w:iCs/>
          <w:kern w:val="22"/>
          <w:szCs w:val="22"/>
          <w:lang w:val="fr-CA"/>
        </w:rPr>
        <w:t> </w:t>
      </w:r>
      <w:r w:rsidR="006569C2" w:rsidRPr="004F239A">
        <w:rPr>
          <w:kern w:val="22"/>
          <w:szCs w:val="22"/>
          <w:lang w:val="fr-CA"/>
        </w:rPr>
        <w:t>;</w:t>
      </w:r>
    </w:p>
    <w:p w14:paraId="74458699" w14:textId="045CC3DC"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55470F" w:rsidRPr="004F239A">
        <w:rPr>
          <w:kern w:val="22"/>
          <w:szCs w:val="22"/>
          <w:lang w:val="fr-CA"/>
        </w:rPr>
        <w:t>1</w:t>
      </w:r>
      <w:r w:rsidRPr="004F239A">
        <w:rPr>
          <w:kern w:val="22"/>
          <w:szCs w:val="22"/>
          <w:lang w:val="fr-CA"/>
        </w:rPr>
        <w:t>.</w:t>
      </w:r>
      <w:r w:rsidRPr="004F239A">
        <w:rPr>
          <w:kern w:val="22"/>
          <w:szCs w:val="22"/>
          <w:lang w:val="fr-CA"/>
        </w:rPr>
        <w:tab/>
      </w:r>
      <w:r w:rsidR="008C7F52" w:rsidRPr="004F239A">
        <w:rPr>
          <w:i/>
          <w:iCs/>
          <w:kern w:val="22"/>
          <w:szCs w:val="22"/>
          <w:lang w:val="fr-CA"/>
        </w:rPr>
        <w:t xml:space="preserve">Invite </w:t>
      </w:r>
      <w:r w:rsidR="008C7F52" w:rsidRPr="004F239A">
        <w:rPr>
          <w:iCs/>
          <w:kern w:val="22"/>
          <w:szCs w:val="22"/>
          <w:lang w:val="fr-CA"/>
        </w:rPr>
        <w:t xml:space="preserve">les Parties, les autres gouvernements et les organisations compétentes à attribuer des ressources financières supplémentaires au soutien au renforcement des capacités pour la </w:t>
      </w:r>
      <w:r w:rsidR="008C7BEA">
        <w:rPr>
          <w:iCs/>
          <w:kern w:val="22"/>
          <w:szCs w:val="22"/>
          <w:lang w:val="fr-CA"/>
        </w:rPr>
        <w:t>biodiversité</w:t>
      </w:r>
      <w:r w:rsidR="008C7F52" w:rsidRPr="004F239A">
        <w:rPr>
          <w:iCs/>
          <w:kern w:val="22"/>
          <w:szCs w:val="22"/>
          <w:lang w:val="fr-CA"/>
        </w:rPr>
        <w:t>, en tenant compte des besoins prioritaires précisés dans les stratégies et plans d’action nationaux pour la biodiversité et/ou les stratégies nationales de renforcement des capacités</w:t>
      </w:r>
      <w:r w:rsidR="00F50701">
        <w:rPr>
          <w:iCs/>
          <w:kern w:val="22"/>
          <w:szCs w:val="22"/>
          <w:lang w:val="fr-CA"/>
        </w:rPr>
        <w:t> </w:t>
      </w:r>
      <w:r w:rsidR="006569C2" w:rsidRPr="004F239A">
        <w:rPr>
          <w:kern w:val="22"/>
          <w:szCs w:val="22"/>
          <w:lang w:val="fr-CA"/>
        </w:rPr>
        <w:t>;</w:t>
      </w:r>
    </w:p>
    <w:p w14:paraId="2A499DA9" w14:textId="0DD87AAD"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55470F" w:rsidRPr="004F239A">
        <w:rPr>
          <w:kern w:val="22"/>
          <w:szCs w:val="22"/>
          <w:lang w:val="fr-CA"/>
        </w:rPr>
        <w:t>2</w:t>
      </w:r>
      <w:r w:rsidRPr="004F239A">
        <w:rPr>
          <w:kern w:val="22"/>
          <w:szCs w:val="22"/>
          <w:lang w:val="fr-CA"/>
        </w:rPr>
        <w:t>.</w:t>
      </w:r>
      <w:r w:rsidRPr="004F239A">
        <w:rPr>
          <w:kern w:val="22"/>
          <w:szCs w:val="22"/>
          <w:lang w:val="fr-CA"/>
        </w:rPr>
        <w:tab/>
      </w:r>
      <w:r w:rsidR="008C7F52" w:rsidRPr="004F239A">
        <w:rPr>
          <w:i/>
          <w:iCs/>
          <w:kern w:val="22"/>
          <w:szCs w:val="22"/>
          <w:lang w:val="fr-CA"/>
        </w:rPr>
        <w:t xml:space="preserve">Invite </w:t>
      </w:r>
      <w:r w:rsidR="008C7F52" w:rsidRPr="004F239A">
        <w:rPr>
          <w:iCs/>
          <w:kern w:val="22"/>
          <w:szCs w:val="22"/>
          <w:lang w:val="fr-CA"/>
        </w:rPr>
        <w:t xml:space="preserve">les Parties et les autres gouvernements à inclure le </w:t>
      </w:r>
      <w:r w:rsidR="00513BEF" w:rsidRPr="004F239A">
        <w:rPr>
          <w:iCs/>
          <w:kern w:val="22"/>
          <w:szCs w:val="22"/>
          <w:lang w:val="fr-CA"/>
        </w:rPr>
        <w:t>renforcement</w:t>
      </w:r>
      <w:r w:rsidR="008C7F52" w:rsidRPr="004F239A">
        <w:rPr>
          <w:iCs/>
          <w:kern w:val="22"/>
          <w:szCs w:val="22"/>
          <w:lang w:val="fr-CA"/>
        </w:rPr>
        <w:t xml:space="preserve"> des capacités pour la biodiversité, comme </w:t>
      </w:r>
      <w:r w:rsidR="00513BEF" w:rsidRPr="004F239A">
        <w:rPr>
          <w:iCs/>
          <w:kern w:val="22"/>
          <w:szCs w:val="22"/>
          <w:lang w:val="fr-CA"/>
        </w:rPr>
        <w:t xml:space="preserve">il convient, </w:t>
      </w:r>
      <w:r w:rsidR="00DA7EE6">
        <w:rPr>
          <w:iCs/>
          <w:kern w:val="22"/>
          <w:szCs w:val="22"/>
          <w:lang w:val="fr-CA"/>
        </w:rPr>
        <w:t>dans les</w:t>
      </w:r>
      <w:r w:rsidR="00513BEF" w:rsidRPr="004F239A">
        <w:rPr>
          <w:iCs/>
          <w:kern w:val="22"/>
          <w:szCs w:val="22"/>
          <w:lang w:val="fr-CA"/>
        </w:rPr>
        <w:t xml:space="preserve"> cadres, partenariats et programmes de coop</w:t>
      </w:r>
      <w:r w:rsidR="008C7F52" w:rsidRPr="004F239A">
        <w:rPr>
          <w:iCs/>
          <w:kern w:val="22"/>
          <w:szCs w:val="22"/>
          <w:lang w:val="fr-CA"/>
        </w:rPr>
        <w:t>ération pour le développement</w:t>
      </w:r>
      <w:r w:rsidR="00513BEF" w:rsidRPr="004F239A">
        <w:rPr>
          <w:iCs/>
          <w:kern w:val="22"/>
          <w:szCs w:val="22"/>
          <w:lang w:val="fr-CA"/>
        </w:rPr>
        <w:t xml:space="preserve"> pertinents</w:t>
      </w:r>
      <w:r w:rsidR="00F50701">
        <w:rPr>
          <w:iCs/>
          <w:kern w:val="22"/>
          <w:szCs w:val="22"/>
          <w:lang w:val="fr-CA"/>
        </w:rPr>
        <w:t> </w:t>
      </w:r>
      <w:r w:rsidR="006569C2" w:rsidRPr="004F239A">
        <w:rPr>
          <w:kern w:val="22"/>
          <w:szCs w:val="22"/>
          <w:lang w:val="fr-CA"/>
        </w:rPr>
        <w:t>;</w:t>
      </w:r>
    </w:p>
    <w:p w14:paraId="65321C75" w14:textId="752BD9D6"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55470F" w:rsidRPr="004F239A">
        <w:rPr>
          <w:kern w:val="22"/>
          <w:szCs w:val="22"/>
          <w:lang w:val="fr-CA"/>
        </w:rPr>
        <w:t>3</w:t>
      </w:r>
      <w:r w:rsidRPr="004F239A">
        <w:rPr>
          <w:kern w:val="22"/>
          <w:szCs w:val="22"/>
          <w:lang w:val="fr-CA"/>
        </w:rPr>
        <w:t>.</w:t>
      </w:r>
      <w:r w:rsidRPr="004F239A">
        <w:rPr>
          <w:kern w:val="22"/>
          <w:szCs w:val="22"/>
          <w:lang w:val="fr-CA"/>
        </w:rPr>
        <w:tab/>
      </w:r>
      <w:r w:rsidR="00513BEF" w:rsidRPr="004F239A">
        <w:rPr>
          <w:i/>
          <w:iCs/>
          <w:kern w:val="22"/>
          <w:szCs w:val="22"/>
          <w:lang w:val="fr-CA"/>
        </w:rPr>
        <w:t xml:space="preserve">Invite </w:t>
      </w:r>
      <w:r w:rsidR="00513BEF" w:rsidRPr="004F239A">
        <w:rPr>
          <w:iCs/>
          <w:kern w:val="22"/>
          <w:szCs w:val="22"/>
          <w:lang w:val="fr-CA"/>
        </w:rPr>
        <w:t xml:space="preserve">les universités et autres établissements d’enseignement à </w:t>
      </w:r>
      <w:r w:rsidR="008C7BEA">
        <w:rPr>
          <w:iCs/>
          <w:kern w:val="22"/>
          <w:szCs w:val="22"/>
          <w:lang w:val="fr-CA"/>
        </w:rPr>
        <w:t>ajouter</w:t>
      </w:r>
      <w:r w:rsidR="00513BEF" w:rsidRPr="004F239A">
        <w:rPr>
          <w:iCs/>
          <w:kern w:val="22"/>
          <w:szCs w:val="22"/>
          <w:lang w:val="fr-CA"/>
        </w:rPr>
        <w:t xml:space="preserve"> de nouveaux cours et programmes spécialisés et transdisciplinaires à leurs programmes et/ou à étendre et renforcer les cours et programmes existants, à créer et à partager de nouvelles connaissances et à mettre en œuvre des programmes de formation continue en appui au cadre mondial de la biodiversité pour l</w:t>
      </w:r>
      <w:r w:rsidR="00F50701">
        <w:rPr>
          <w:iCs/>
          <w:kern w:val="22"/>
          <w:szCs w:val="22"/>
          <w:lang w:val="fr-CA"/>
        </w:rPr>
        <w:t>’</w:t>
      </w:r>
      <w:r w:rsidR="00513BEF" w:rsidRPr="004F239A">
        <w:rPr>
          <w:iCs/>
          <w:kern w:val="22"/>
          <w:szCs w:val="22"/>
          <w:lang w:val="fr-CA"/>
        </w:rPr>
        <w:t>après-2020</w:t>
      </w:r>
      <w:r w:rsidR="00F50701">
        <w:rPr>
          <w:iCs/>
          <w:kern w:val="22"/>
          <w:szCs w:val="22"/>
          <w:lang w:val="fr-CA"/>
        </w:rPr>
        <w:t> </w:t>
      </w:r>
      <w:r w:rsidR="006569C2" w:rsidRPr="004F239A">
        <w:rPr>
          <w:kern w:val="22"/>
          <w:szCs w:val="22"/>
          <w:lang w:val="fr-CA"/>
        </w:rPr>
        <w:t>;</w:t>
      </w:r>
    </w:p>
    <w:p w14:paraId="4E7A99F5" w14:textId="2E50EDD7"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55470F" w:rsidRPr="004F239A">
        <w:rPr>
          <w:kern w:val="22"/>
          <w:szCs w:val="22"/>
          <w:lang w:val="fr-CA"/>
        </w:rPr>
        <w:t>4</w:t>
      </w:r>
      <w:r w:rsidRPr="004F239A">
        <w:rPr>
          <w:kern w:val="22"/>
          <w:szCs w:val="22"/>
          <w:lang w:val="fr-CA"/>
        </w:rPr>
        <w:t>.</w:t>
      </w:r>
      <w:r w:rsidRPr="004F239A">
        <w:rPr>
          <w:kern w:val="22"/>
          <w:szCs w:val="22"/>
          <w:lang w:val="fr-CA"/>
        </w:rPr>
        <w:tab/>
      </w:r>
      <w:r w:rsidR="00513BEF" w:rsidRPr="004F239A">
        <w:rPr>
          <w:i/>
          <w:iCs/>
          <w:kern w:val="22"/>
          <w:szCs w:val="22"/>
          <w:lang w:val="fr-CA"/>
        </w:rPr>
        <w:t xml:space="preserve">Invite </w:t>
      </w:r>
      <w:r w:rsidR="00220B96" w:rsidRPr="004F239A">
        <w:rPr>
          <w:iCs/>
          <w:kern w:val="22"/>
          <w:szCs w:val="22"/>
          <w:lang w:val="fr-CA"/>
        </w:rPr>
        <w:t>les organisations et organes régionaux et infrarégionaux compétents</w:t>
      </w:r>
      <w:r w:rsidR="00E102F0" w:rsidRPr="004F239A">
        <w:rPr>
          <w:iCs/>
          <w:kern w:val="22"/>
          <w:szCs w:val="22"/>
          <w:lang w:val="fr-CA"/>
        </w:rPr>
        <w:t>,</w:t>
      </w:r>
      <w:r w:rsidR="00220B96" w:rsidRPr="004F239A">
        <w:rPr>
          <w:iCs/>
          <w:kern w:val="22"/>
          <w:szCs w:val="22"/>
          <w:lang w:val="fr-CA"/>
        </w:rPr>
        <w:t xml:space="preserve"> </w:t>
      </w:r>
      <w:r w:rsidR="00E102F0" w:rsidRPr="004F239A">
        <w:rPr>
          <w:iCs/>
          <w:kern w:val="22"/>
          <w:szCs w:val="22"/>
          <w:lang w:val="fr-CA"/>
        </w:rPr>
        <w:t>y compris</w:t>
      </w:r>
      <w:r w:rsidR="00220B96" w:rsidRPr="004F239A">
        <w:rPr>
          <w:iCs/>
          <w:kern w:val="22"/>
          <w:szCs w:val="22"/>
          <w:lang w:val="fr-CA"/>
        </w:rPr>
        <w:t xml:space="preserve"> les organisations régionales d’intégration économique, à créer ou</w:t>
      </w:r>
      <w:r w:rsidR="00773665">
        <w:rPr>
          <w:iCs/>
          <w:kern w:val="22"/>
          <w:szCs w:val="22"/>
          <w:lang w:val="fr-CA"/>
        </w:rPr>
        <w:t xml:space="preserve"> </w:t>
      </w:r>
      <w:r w:rsidR="00E102F0" w:rsidRPr="004F239A">
        <w:rPr>
          <w:iCs/>
          <w:kern w:val="22"/>
          <w:szCs w:val="22"/>
          <w:lang w:val="fr-CA"/>
        </w:rPr>
        <w:t xml:space="preserve">à </w:t>
      </w:r>
      <w:r w:rsidR="00220B96" w:rsidRPr="004F239A">
        <w:rPr>
          <w:iCs/>
          <w:kern w:val="22"/>
          <w:szCs w:val="22"/>
          <w:lang w:val="fr-CA"/>
        </w:rPr>
        <w:t xml:space="preserve">renforcer les réseaux régionaux et infrarégionaux existants, </w:t>
      </w:r>
      <w:r w:rsidR="00773665">
        <w:rPr>
          <w:iCs/>
          <w:kern w:val="22"/>
          <w:szCs w:val="22"/>
          <w:lang w:val="fr-CA"/>
        </w:rPr>
        <w:t xml:space="preserve">selon qu’il convient, </w:t>
      </w:r>
      <w:r w:rsidR="00220B96" w:rsidRPr="004F239A">
        <w:rPr>
          <w:iCs/>
          <w:kern w:val="22"/>
          <w:szCs w:val="22"/>
          <w:lang w:val="fr-CA"/>
        </w:rPr>
        <w:t xml:space="preserve">afin qu’ils puissent prêter assistance </w:t>
      </w:r>
      <w:r w:rsidR="00E102F0" w:rsidRPr="004F239A">
        <w:rPr>
          <w:iCs/>
          <w:kern w:val="22"/>
          <w:szCs w:val="22"/>
          <w:lang w:val="fr-CA"/>
        </w:rPr>
        <w:t xml:space="preserve">sur demande </w:t>
      </w:r>
      <w:r w:rsidR="00220B96" w:rsidRPr="004F239A">
        <w:rPr>
          <w:iCs/>
          <w:kern w:val="22"/>
          <w:szCs w:val="22"/>
          <w:lang w:val="fr-CA"/>
        </w:rPr>
        <w:t>pour habiliter les institutions gouvernementales nationales et infranationales, les autorités locales et les acteurs non gouvernementaux</w:t>
      </w:r>
      <w:r w:rsidR="00E102F0" w:rsidRPr="004F239A">
        <w:rPr>
          <w:iCs/>
          <w:kern w:val="22"/>
          <w:szCs w:val="22"/>
          <w:lang w:val="fr-CA"/>
        </w:rPr>
        <w:t>,</w:t>
      </w:r>
      <w:r w:rsidR="00220B96" w:rsidRPr="004F239A">
        <w:rPr>
          <w:iCs/>
          <w:kern w:val="22"/>
          <w:szCs w:val="22"/>
          <w:lang w:val="fr-CA"/>
        </w:rPr>
        <w:t xml:space="preserve"> dans leurs r</w:t>
      </w:r>
      <w:r w:rsidR="00E102F0" w:rsidRPr="004F239A">
        <w:rPr>
          <w:iCs/>
          <w:kern w:val="22"/>
          <w:szCs w:val="22"/>
          <w:lang w:val="fr-CA"/>
        </w:rPr>
        <w:t>égions et sous-régions respecti</w:t>
      </w:r>
      <w:r w:rsidR="00220B96" w:rsidRPr="004F239A">
        <w:rPr>
          <w:iCs/>
          <w:kern w:val="22"/>
          <w:szCs w:val="22"/>
          <w:lang w:val="fr-CA"/>
        </w:rPr>
        <w:t>ves</w:t>
      </w:r>
      <w:r w:rsidR="00E102F0" w:rsidRPr="004F239A">
        <w:rPr>
          <w:iCs/>
          <w:kern w:val="22"/>
          <w:szCs w:val="22"/>
          <w:lang w:val="fr-CA"/>
        </w:rPr>
        <w:t>,</w:t>
      </w:r>
      <w:r w:rsidR="00220B96" w:rsidRPr="004F239A">
        <w:rPr>
          <w:iCs/>
          <w:kern w:val="22"/>
          <w:szCs w:val="22"/>
          <w:lang w:val="fr-CA"/>
        </w:rPr>
        <w:t xml:space="preserve"> à </w:t>
      </w:r>
      <w:r w:rsidR="00E102F0" w:rsidRPr="004F239A">
        <w:rPr>
          <w:iCs/>
          <w:kern w:val="22"/>
          <w:szCs w:val="22"/>
          <w:lang w:val="fr-CA"/>
        </w:rPr>
        <w:t>renforcer</w:t>
      </w:r>
      <w:r w:rsidR="00220B96" w:rsidRPr="004F239A">
        <w:rPr>
          <w:iCs/>
          <w:kern w:val="22"/>
          <w:szCs w:val="22"/>
          <w:lang w:val="fr-CA"/>
        </w:rPr>
        <w:t xml:space="preserve"> leurs capacités tout e</w:t>
      </w:r>
      <w:r w:rsidR="00E102F0" w:rsidRPr="004F239A">
        <w:rPr>
          <w:iCs/>
          <w:kern w:val="22"/>
          <w:szCs w:val="22"/>
          <w:lang w:val="fr-CA"/>
        </w:rPr>
        <w:t xml:space="preserve">n mobilisant </w:t>
      </w:r>
      <w:r w:rsidR="00773665" w:rsidRPr="004F239A">
        <w:rPr>
          <w:iCs/>
          <w:kern w:val="22"/>
          <w:szCs w:val="22"/>
          <w:lang w:val="fr-CA"/>
        </w:rPr>
        <w:t>des capacités renforcées</w:t>
      </w:r>
      <w:r w:rsidR="00773665">
        <w:rPr>
          <w:iCs/>
          <w:kern w:val="22"/>
          <w:szCs w:val="22"/>
          <w:lang w:val="fr-CA"/>
        </w:rPr>
        <w:t xml:space="preserve"> et en favorisant leur </w:t>
      </w:r>
      <w:r w:rsidR="00E102F0" w:rsidRPr="004F239A">
        <w:rPr>
          <w:iCs/>
          <w:kern w:val="22"/>
          <w:szCs w:val="22"/>
          <w:lang w:val="fr-CA"/>
        </w:rPr>
        <w:t>utilisation et le</w:t>
      </w:r>
      <w:r w:rsidR="00773665">
        <w:rPr>
          <w:iCs/>
          <w:kern w:val="22"/>
          <w:szCs w:val="22"/>
          <w:lang w:val="fr-CA"/>
        </w:rPr>
        <w:t>ur</w:t>
      </w:r>
      <w:r w:rsidR="00E102F0" w:rsidRPr="004F239A">
        <w:rPr>
          <w:iCs/>
          <w:kern w:val="22"/>
          <w:szCs w:val="22"/>
          <w:lang w:val="fr-CA"/>
        </w:rPr>
        <w:t xml:space="preserve"> maintien efficaces</w:t>
      </w:r>
      <w:r w:rsidR="00F50701">
        <w:rPr>
          <w:iCs/>
          <w:kern w:val="22"/>
          <w:szCs w:val="22"/>
          <w:lang w:val="fr-CA"/>
        </w:rPr>
        <w:t> </w:t>
      </w:r>
      <w:r w:rsidR="00D77D2E" w:rsidRPr="004F239A">
        <w:rPr>
          <w:kern w:val="22"/>
          <w:szCs w:val="22"/>
          <w:lang w:val="fr-CA"/>
        </w:rPr>
        <w:t>;</w:t>
      </w:r>
    </w:p>
    <w:p w14:paraId="50712398" w14:textId="69ABAE28"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i/>
          <w:iCs/>
          <w:kern w:val="22"/>
          <w:szCs w:val="22"/>
          <w:lang w:val="fr-CA"/>
        </w:rPr>
      </w:pPr>
      <w:r w:rsidRPr="004F239A">
        <w:rPr>
          <w:kern w:val="22"/>
          <w:szCs w:val="22"/>
          <w:lang w:val="fr-CA"/>
        </w:rPr>
        <w:t>1</w:t>
      </w:r>
      <w:r w:rsidR="0055470F" w:rsidRPr="004F239A">
        <w:rPr>
          <w:kern w:val="22"/>
          <w:szCs w:val="22"/>
          <w:lang w:val="fr-CA"/>
        </w:rPr>
        <w:t>5</w:t>
      </w:r>
      <w:r w:rsidRPr="004F239A">
        <w:rPr>
          <w:kern w:val="22"/>
          <w:szCs w:val="22"/>
          <w:lang w:val="fr-CA"/>
        </w:rPr>
        <w:t>.</w:t>
      </w:r>
      <w:r w:rsidRPr="004F239A">
        <w:rPr>
          <w:kern w:val="22"/>
          <w:szCs w:val="22"/>
          <w:lang w:val="fr-CA"/>
        </w:rPr>
        <w:tab/>
      </w:r>
      <w:r w:rsidR="00E102F0" w:rsidRPr="004F239A">
        <w:rPr>
          <w:i/>
          <w:iCs/>
          <w:kern w:val="22"/>
          <w:szCs w:val="22"/>
          <w:lang w:val="fr-CA"/>
        </w:rPr>
        <w:t xml:space="preserve">Invite </w:t>
      </w:r>
      <w:r w:rsidR="00E102F0" w:rsidRPr="004F239A">
        <w:rPr>
          <w:iCs/>
          <w:kern w:val="22"/>
          <w:szCs w:val="22"/>
          <w:lang w:val="fr-CA"/>
        </w:rPr>
        <w:t xml:space="preserve">le Groupe de gestion de l’environnement des Nations Unies à </w:t>
      </w:r>
      <w:r w:rsidR="00424BB1" w:rsidRPr="004F239A">
        <w:rPr>
          <w:iCs/>
          <w:kern w:val="22"/>
          <w:szCs w:val="22"/>
          <w:lang w:val="fr-CA"/>
        </w:rPr>
        <w:t>former</w:t>
      </w:r>
      <w:r w:rsidR="00E102F0" w:rsidRPr="004F239A">
        <w:rPr>
          <w:iCs/>
          <w:kern w:val="22"/>
          <w:szCs w:val="22"/>
          <w:lang w:val="fr-CA"/>
        </w:rPr>
        <w:t>, en collaboration avec le Groupe de liaison des conventions liées à la diversité biologique, une équipe spéciale</w:t>
      </w:r>
      <w:r w:rsidR="00C70389" w:rsidRPr="004F239A">
        <w:rPr>
          <w:iCs/>
          <w:kern w:val="22"/>
          <w:szCs w:val="22"/>
          <w:lang w:val="fr-CA"/>
        </w:rPr>
        <w:t xml:space="preserve"> de renforcement des capacités pour la biodiversité</w:t>
      </w:r>
      <w:r w:rsidR="00E102F0" w:rsidRPr="004F239A">
        <w:rPr>
          <w:iCs/>
          <w:kern w:val="22"/>
          <w:szCs w:val="22"/>
          <w:lang w:val="fr-CA"/>
        </w:rPr>
        <w:t xml:space="preserve"> </w:t>
      </w:r>
      <w:r w:rsidR="00C70389" w:rsidRPr="004F239A">
        <w:rPr>
          <w:iCs/>
          <w:kern w:val="22"/>
          <w:szCs w:val="22"/>
          <w:lang w:val="fr-CA"/>
        </w:rPr>
        <w:t>ayant pour mandat de favoriser les synergies, la cohérence et l’efficacité de l’offre de soutien et d’orientation en matière de renforcement des capacités à l’échelle des Nations Unies pour la mise en œuvre du cadre mondial de la biodiversité pour l</w:t>
      </w:r>
      <w:r w:rsidR="00F50701">
        <w:rPr>
          <w:iCs/>
          <w:kern w:val="22"/>
          <w:szCs w:val="22"/>
          <w:lang w:val="fr-CA"/>
        </w:rPr>
        <w:t>’</w:t>
      </w:r>
      <w:r w:rsidR="00C70389" w:rsidRPr="004F239A">
        <w:rPr>
          <w:iCs/>
          <w:kern w:val="22"/>
          <w:szCs w:val="22"/>
          <w:lang w:val="fr-CA"/>
        </w:rPr>
        <w:t xml:space="preserve">après-2020, en </w:t>
      </w:r>
      <w:r w:rsidR="007642E8">
        <w:rPr>
          <w:iCs/>
          <w:kern w:val="22"/>
          <w:szCs w:val="22"/>
          <w:lang w:val="fr-CA"/>
        </w:rPr>
        <w:t>concordance</w:t>
      </w:r>
      <w:r w:rsidR="00C70389" w:rsidRPr="004F239A">
        <w:rPr>
          <w:iCs/>
          <w:kern w:val="22"/>
          <w:szCs w:val="22"/>
          <w:lang w:val="fr-CA"/>
        </w:rPr>
        <w:t xml:space="preserve"> avec la démarche commune des Nations Unies proposé</w:t>
      </w:r>
      <w:r w:rsidR="00424BB1" w:rsidRPr="004F239A">
        <w:rPr>
          <w:iCs/>
          <w:kern w:val="22"/>
          <w:szCs w:val="22"/>
          <w:lang w:val="fr-CA"/>
        </w:rPr>
        <w:t>e</w:t>
      </w:r>
      <w:r w:rsidR="00C70389" w:rsidRPr="004F239A">
        <w:rPr>
          <w:iCs/>
          <w:kern w:val="22"/>
          <w:szCs w:val="22"/>
          <w:lang w:val="fr-CA"/>
        </w:rPr>
        <w:t xml:space="preserve"> pour l’intégration de la biodiversité et des solutions fondées sur la nature pour le développement durable dans la planification et la prestation des politiques et des programmes des Nations Unies</w:t>
      </w:r>
      <w:r w:rsidR="00F50701">
        <w:rPr>
          <w:iCs/>
          <w:kern w:val="22"/>
          <w:szCs w:val="22"/>
          <w:lang w:val="fr-CA"/>
        </w:rPr>
        <w:t> </w:t>
      </w:r>
      <w:r w:rsidR="00D77D2E" w:rsidRPr="004F239A">
        <w:rPr>
          <w:kern w:val="22"/>
          <w:szCs w:val="22"/>
          <w:lang w:val="fr-CA"/>
        </w:rPr>
        <w:t>;</w:t>
      </w:r>
      <w:r w:rsidR="004A3E7E" w:rsidRPr="004F239A">
        <w:rPr>
          <w:rStyle w:val="FootnoteReference"/>
          <w:kern w:val="22"/>
          <w:szCs w:val="22"/>
          <w:lang w:val="fr-CA"/>
        </w:rPr>
        <w:footnoteReference w:id="47"/>
      </w:r>
    </w:p>
    <w:p w14:paraId="1F6F6506" w14:textId="73FDFB07"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A32140" w:rsidRPr="004F239A">
        <w:rPr>
          <w:kern w:val="22"/>
          <w:szCs w:val="22"/>
          <w:lang w:val="fr-CA"/>
        </w:rPr>
        <w:t>6</w:t>
      </w:r>
      <w:r w:rsidRPr="004F239A">
        <w:rPr>
          <w:kern w:val="22"/>
          <w:szCs w:val="22"/>
          <w:lang w:val="fr-CA"/>
        </w:rPr>
        <w:t>.</w:t>
      </w:r>
      <w:r w:rsidRPr="004F239A">
        <w:rPr>
          <w:kern w:val="22"/>
          <w:szCs w:val="22"/>
          <w:lang w:val="fr-CA"/>
        </w:rPr>
        <w:tab/>
      </w:r>
      <w:r w:rsidR="00424BB1" w:rsidRPr="004F239A">
        <w:rPr>
          <w:i/>
          <w:iCs/>
          <w:kern w:val="22"/>
          <w:szCs w:val="22"/>
          <w:lang w:val="fr-CA"/>
        </w:rPr>
        <w:t xml:space="preserve">Invite </w:t>
      </w:r>
      <w:r w:rsidR="00424BB1" w:rsidRPr="004F239A">
        <w:rPr>
          <w:iCs/>
          <w:kern w:val="22"/>
          <w:szCs w:val="22"/>
          <w:lang w:val="fr-CA"/>
        </w:rPr>
        <w:t>les équipes régionales du Groupe de développement durable des Nations Unies et les commissions régionales des Nations Unies</w:t>
      </w:r>
      <w:r w:rsidR="00F50701">
        <w:rPr>
          <w:iCs/>
          <w:kern w:val="22"/>
          <w:szCs w:val="22"/>
          <w:lang w:val="fr-CA"/>
        </w:rPr>
        <w:t xml:space="preserve"> à entreprendre et faciliter la </w:t>
      </w:r>
      <w:r w:rsidR="00424BB1" w:rsidRPr="004F239A">
        <w:rPr>
          <w:iCs/>
          <w:kern w:val="22"/>
          <w:szCs w:val="22"/>
          <w:lang w:val="fr-CA"/>
        </w:rPr>
        <w:t xml:space="preserve">coordination et </w:t>
      </w:r>
      <w:r w:rsidR="00F50701">
        <w:rPr>
          <w:iCs/>
          <w:kern w:val="22"/>
          <w:szCs w:val="22"/>
          <w:lang w:val="fr-CA"/>
        </w:rPr>
        <w:t xml:space="preserve">la synergie de la mise </w:t>
      </w:r>
      <w:r w:rsidR="00F50701">
        <w:rPr>
          <w:iCs/>
          <w:kern w:val="22"/>
          <w:szCs w:val="22"/>
          <w:lang w:val="fr-CA"/>
        </w:rPr>
        <w:lastRenderedPageBreak/>
        <w:t>en œuvre</w:t>
      </w:r>
      <w:r w:rsidR="00424BB1" w:rsidRPr="004F239A">
        <w:rPr>
          <w:iCs/>
          <w:kern w:val="22"/>
          <w:szCs w:val="22"/>
          <w:lang w:val="fr-CA"/>
        </w:rPr>
        <w:t xml:space="preserve"> des interventions de renforcement des capacités en appui au cadre mondial de la biodiversité pour l</w:t>
      </w:r>
      <w:r w:rsidR="00F50701">
        <w:rPr>
          <w:iCs/>
          <w:kern w:val="22"/>
          <w:szCs w:val="22"/>
          <w:lang w:val="fr-CA"/>
        </w:rPr>
        <w:t>’</w:t>
      </w:r>
      <w:r w:rsidR="00424BB1" w:rsidRPr="004F239A">
        <w:rPr>
          <w:iCs/>
          <w:kern w:val="22"/>
          <w:szCs w:val="22"/>
          <w:lang w:val="fr-CA"/>
        </w:rPr>
        <w:t>après-2020</w:t>
      </w:r>
      <w:r w:rsidR="00F50701">
        <w:rPr>
          <w:iCs/>
          <w:kern w:val="22"/>
          <w:szCs w:val="22"/>
          <w:lang w:val="fr-CA"/>
        </w:rPr>
        <w:t> </w:t>
      </w:r>
      <w:r w:rsidR="00D77D2E" w:rsidRPr="004F239A">
        <w:rPr>
          <w:kern w:val="22"/>
          <w:szCs w:val="22"/>
          <w:lang w:val="fr-CA"/>
        </w:rPr>
        <w:t>;</w:t>
      </w:r>
    </w:p>
    <w:p w14:paraId="0F8352C0" w14:textId="1528DCFC"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A32140" w:rsidRPr="004F239A">
        <w:rPr>
          <w:kern w:val="22"/>
          <w:szCs w:val="22"/>
          <w:lang w:val="fr-CA"/>
        </w:rPr>
        <w:t>7</w:t>
      </w:r>
      <w:r w:rsidRPr="004F239A">
        <w:rPr>
          <w:kern w:val="22"/>
          <w:szCs w:val="22"/>
          <w:lang w:val="fr-CA"/>
        </w:rPr>
        <w:t>.</w:t>
      </w:r>
      <w:r w:rsidRPr="004F239A">
        <w:rPr>
          <w:kern w:val="22"/>
          <w:szCs w:val="22"/>
          <w:lang w:val="fr-CA"/>
        </w:rPr>
        <w:tab/>
      </w:r>
      <w:r w:rsidR="00424BB1" w:rsidRPr="004F239A">
        <w:rPr>
          <w:i/>
          <w:kern w:val="22"/>
          <w:szCs w:val="22"/>
          <w:lang w:val="fr-CA"/>
        </w:rPr>
        <w:t xml:space="preserve">Invite également </w:t>
      </w:r>
      <w:r w:rsidR="00067EFF" w:rsidRPr="004F239A">
        <w:rPr>
          <w:kern w:val="22"/>
          <w:szCs w:val="22"/>
          <w:lang w:val="fr-CA"/>
        </w:rPr>
        <w:t>les coordonnateurs résidents des Nations Unies et les équipes de pays des Nations Unies à intégrer le renforcement des capacités pour la biodiversité à leurs cadres de coopération au développement durable des Nations Unies</w:t>
      </w:r>
      <w:r w:rsidR="002D2965">
        <w:rPr>
          <w:kern w:val="22"/>
          <w:szCs w:val="22"/>
          <w:lang w:val="fr-CA"/>
        </w:rPr>
        <w:t>,</w:t>
      </w:r>
      <w:r w:rsidR="00067EFF" w:rsidRPr="004F239A">
        <w:rPr>
          <w:kern w:val="22"/>
          <w:szCs w:val="22"/>
          <w:lang w:val="fr-CA"/>
        </w:rPr>
        <w:t xml:space="preserve"> afin de soutenir la mise en œuvre du cadre mondial de la biodiversité pour l</w:t>
      </w:r>
      <w:r w:rsidR="00F50701">
        <w:rPr>
          <w:kern w:val="22"/>
          <w:szCs w:val="22"/>
          <w:lang w:val="fr-CA"/>
        </w:rPr>
        <w:t>’</w:t>
      </w:r>
      <w:r w:rsidR="00067EFF" w:rsidRPr="004F239A">
        <w:rPr>
          <w:kern w:val="22"/>
          <w:szCs w:val="22"/>
          <w:lang w:val="fr-CA"/>
        </w:rPr>
        <w:t>après-2020 et des Objectifs de développement durable</w:t>
      </w:r>
      <w:r w:rsidR="00F50701">
        <w:rPr>
          <w:kern w:val="22"/>
          <w:szCs w:val="22"/>
          <w:lang w:val="fr-CA"/>
        </w:rPr>
        <w:t> </w:t>
      </w:r>
      <w:r w:rsidR="003F0354" w:rsidRPr="004F239A">
        <w:rPr>
          <w:kern w:val="22"/>
          <w:szCs w:val="22"/>
          <w:lang w:val="fr-CA"/>
        </w:rPr>
        <w:t>;</w:t>
      </w:r>
    </w:p>
    <w:p w14:paraId="3C0A52BD" w14:textId="6651260E" w:rsidR="004A3E7E" w:rsidRPr="004F239A" w:rsidRDefault="00BC4DEE" w:rsidP="00015FFB">
      <w:pPr>
        <w:pStyle w:val="Para1"/>
        <w:keepNext/>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kern w:val="22"/>
          <w:szCs w:val="22"/>
          <w:lang w:val="fr-CA"/>
        </w:rPr>
        <w:t>1</w:t>
      </w:r>
      <w:r w:rsidR="00A32140" w:rsidRPr="004F239A">
        <w:rPr>
          <w:kern w:val="22"/>
          <w:szCs w:val="22"/>
          <w:lang w:val="fr-CA"/>
        </w:rPr>
        <w:t>8</w:t>
      </w:r>
      <w:r w:rsidRPr="004F239A">
        <w:rPr>
          <w:kern w:val="22"/>
          <w:szCs w:val="22"/>
          <w:lang w:val="fr-CA"/>
        </w:rPr>
        <w:t>.</w:t>
      </w:r>
      <w:r w:rsidRPr="004F239A">
        <w:rPr>
          <w:kern w:val="22"/>
          <w:szCs w:val="22"/>
          <w:lang w:val="fr-CA"/>
        </w:rPr>
        <w:tab/>
      </w:r>
      <w:r w:rsidR="00D00616" w:rsidRPr="004F239A">
        <w:rPr>
          <w:i/>
          <w:iCs/>
          <w:kern w:val="22"/>
          <w:szCs w:val="22"/>
          <w:lang w:val="fr-CA"/>
        </w:rPr>
        <w:t xml:space="preserve">Demande </w:t>
      </w:r>
      <w:r w:rsidR="00D00616" w:rsidRPr="004F239A">
        <w:rPr>
          <w:iCs/>
          <w:kern w:val="22"/>
          <w:szCs w:val="22"/>
          <w:lang w:val="fr-CA"/>
        </w:rPr>
        <w:t>à la Secrétaire exécutive, dans les limites des ressources disponibles</w:t>
      </w:r>
      <w:r w:rsidR="00F50701">
        <w:rPr>
          <w:iCs/>
          <w:kern w:val="22"/>
          <w:szCs w:val="22"/>
          <w:lang w:val="fr-CA"/>
        </w:rPr>
        <w:t> </w:t>
      </w:r>
      <w:r w:rsidR="004A3E7E" w:rsidRPr="004F239A">
        <w:rPr>
          <w:kern w:val="22"/>
          <w:szCs w:val="22"/>
          <w:lang w:val="fr-CA"/>
        </w:rPr>
        <w:t>:</w:t>
      </w:r>
    </w:p>
    <w:p w14:paraId="7314DEF8" w14:textId="522DDB26" w:rsidR="004A3E7E" w:rsidRPr="004F239A" w:rsidRDefault="00D00616"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kern w:val="22"/>
          <w:szCs w:val="22"/>
          <w:lang w:val="fr-CA"/>
        </w:rPr>
        <w:t>a)</w:t>
      </w:r>
      <w:r w:rsidRPr="004F239A">
        <w:rPr>
          <w:rStyle w:val="normaltextrun"/>
          <w:kern w:val="22"/>
          <w:szCs w:val="22"/>
          <w:lang w:val="fr-CA"/>
        </w:rPr>
        <w:tab/>
      </w:r>
      <w:r w:rsidR="002D2965">
        <w:rPr>
          <w:rStyle w:val="normaltextrun"/>
          <w:kern w:val="22"/>
          <w:szCs w:val="22"/>
          <w:lang w:val="fr-CA"/>
        </w:rPr>
        <w:t>D’encourager</w:t>
      </w:r>
      <w:r w:rsidRPr="004F239A">
        <w:rPr>
          <w:rStyle w:val="normaltextrun"/>
          <w:kern w:val="22"/>
          <w:szCs w:val="22"/>
          <w:lang w:val="fr-CA"/>
        </w:rPr>
        <w:t xml:space="preserve"> la sensibilisation au cadre stratégique à long terme, notamment par la création d’une page Web dédiée dans le portail du renforcement des capacités du Secrétariat</w:t>
      </w:r>
      <w:r w:rsidR="00F50701">
        <w:rPr>
          <w:rStyle w:val="normaltextrun"/>
          <w:kern w:val="22"/>
          <w:szCs w:val="22"/>
          <w:lang w:val="fr-CA"/>
        </w:rPr>
        <w:t> </w:t>
      </w:r>
      <w:r w:rsidR="004A3E7E" w:rsidRPr="004F239A">
        <w:rPr>
          <w:rStyle w:val="normaltextrun"/>
          <w:kern w:val="22"/>
          <w:szCs w:val="22"/>
          <w:lang w:val="fr-CA"/>
        </w:rPr>
        <w:t>;</w:t>
      </w:r>
    </w:p>
    <w:p w14:paraId="02BAC6C9" w14:textId="443D2881" w:rsidR="004A3E7E" w:rsidRPr="004F239A" w:rsidRDefault="00220F4C"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kern w:val="22"/>
          <w:szCs w:val="22"/>
          <w:lang w:val="fr-CA"/>
        </w:rPr>
        <w:t>b)</w:t>
      </w:r>
      <w:r w:rsidRPr="004F239A">
        <w:rPr>
          <w:rStyle w:val="normaltextrun"/>
          <w:kern w:val="22"/>
          <w:szCs w:val="22"/>
          <w:lang w:val="fr-CA"/>
        </w:rPr>
        <w:tab/>
      </w:r>
      <w:r w:rsidR="00D00616" w:rsidRPr="004F239A">
        <w:rPr>
          <w:rStyle w:val="normaltextrun"/>
          <w:kern w:val="22"/>
          <w:szCs w:val="22"/>
          <w:lang w:val="fr-CA"/>
        </w:rPr>
        <w:t xml:space="preserve">D’élaborer et </w:t>
      </w:r>
      <w:r w:rsidR="002D2965">
        <w:rPr>
          <w:rStyle w:val="normaltextrun"/>
          <w:kern w:val="22"/>
          <w:szCs w:val="22"/>
          <w:lang w:val="fr-CA"/>
        </w:rPr>
        <w:t xml:space="preserve">de </w:t>
      </w:r>
      <w:r w:rsidR="00D00616" w:rsidRPr="004F239A">
        <w:rPr>
          <w:rStyle w:val="normaltextrun"/>
          <w:kern w:val="22"/>
          <w:szCs w:val="22"/>
          <w:lang w:val="fr-CA"/>
        </w:rPr>
        <w:t xml:space="preserve">rendre disponible une orientation supplémentaire sur le renforcement des capacités, comprenant les outils, méthodes et études de cas de bonnes pratiques et les enseignements tirés qui pourraient </w:t>
      </w:r>
      <w:r w:rsidR="00C97E79" w:rsidRPr="004F239A">
        <w:rPr>
          <w:rStyle w:val="normaltextrun"/>
          <w:kern w:val="22"/>
          <w:szCs w:val="22"/>
          <w:lang w:val="fr-CA"/>
        </w:rPr>
        <w:t>aider</w:t>
      </w:r>
      <w:r w:rsidR="00D00616" w:rsidRPr="004F239A">
        <w:rPr>
          <w:rStyle w:val="normaltextrun"/>
          <w:kern w:val="22"/>
          <w:szCs w:val="22"/>
          <w:lang w:val="fr-CA"/>
        </w:rPr>
        <w:t xml:space="preserve"> Parties, </w:t>
      </w:r>
      <w:r w:rsidR="00C97E79" w:rsidRPr="004F239A">
        <w:rPr>
          <w:rStyle w:val="normaltextrun"/>
          <w:kern w:val="22"/>
          <w:szCs w:val="22"/>
          <w:lang w:val="fr-CA"/>
        </w:rPr>
        <w:t>les</w:t>
      </w:r>
      <w:r w:rsidR="00D00616" w:rsidRPr="004F239A">
        <w:rPr>
          <w:rStyle w:val="normaltextrun"/>
          <w:kern w:val="22"/>
          <w:szCs w:val="22"/>
          <w:lang w:val="fr-CA"/>
        </w:rPr>
        <w:t xml:space="preserve"> peuples autochtones et les communautés locales et autres parties prenantes concernées</w:t>
      </w:r>
      <w:r w:rsidR="00C97E79" w:rsidRPr="004F239A">
        <w:rPr>
          <w:rStyle w:val="normaltextrun"/>
          <w:kern w:val="22"/>
          <w:szCs w:val="22"/>
          <w:lang w:val="fr-CA"/>
        </w:rPr>
        <w:t xml:space="preserve"> dans leurs efforts de renforcement des capacités</w:t>
      </w:r>
      <w:r w:rsidR="00F50701">
        <w:rPr>
          <w:rStyle w:val="normaltextrun"/>
          <w:kern w:val="22"/>
          <w:szCs w:val="22"/>
          <w:lang w:val="fr-CA"/>
        </w:rPr>
        <w:t> </w:t>
      </w:r>
      <w:r w:rsidR="004A3E7E" w:rsidRPr="004F239A">
        <w:rPr>
          <w:rStyle w:val="normaltextrun"/>
          <w:kern w:val="22"/>
          <w:szCs w:val="22"/>
          <w:lang w:val="fr-CA"/>
        </w:rPr>
        <w:t>;</w:t>
      </w:r>
    </w:p>
    <w:p w14:paraId="5268B5B4" w14:textId="5550D569" w:rsidR="004A3E7E" w:rsidRPr="004F239A" w:rsidRDefault="00220F4C"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kern w:val="22"/>
          <w:szCs w:val="22"/>
          <w:lang w:val="fr-CA"/>
        </w:rPr>
        <w:t>c)</w:t>
      </w:r>
      <w:r w:rsidRPr="004F239A">
        <w:rPr>
          <w:rStyle w:val="normaltextrun"/>
          <w:kern w:val="22"/>
          <w:szCs w:val="22"/>
          <w:lang w:val="fr-CA"/>
        </w:rPr>
        <w:tab/>
      </w:r>
      <w:r w:rsidR="00C97E79" w:rsidRPr="004F239A">
        <w:rPr>
          <w:rStyle w:val="normaltextrun"/>
          <w:kern w:val="22"/>
          <w:szCs w:val="22"/>
          <w:lang w:val="fr-CA"/>
        </w:rPr>
        <w:t xml:space="preserve">De collaborer avec les Parties et les organisations compétentes, avec l’appui de celles-ci, à la préparation de plans d’action </w:t>
      </w:r>
      <w:r w:rsidR="002D2965">
        <w:rPr>
          <w:rStyle w:val="normaltextrun"/>
          <w:kern w:val="22"/>
          <w:szCs w:val="22"/>
          <w:lang w:val="fr-CA"/>
        </w:rPr>
        <w:t xml:space="preserve">thématiques </w:t>
      </w:r>
      <w:r w:rsidR="00C97E79" w:rsidRPr="004F239A">
        <w:rPr>
          <w:rStyle w:val="normaltextrun"/>
          <w:kern w:val="22"/>
          <w:szCs w:val="22"/>
          <w:lang w:val="fr-CA"/>
        </w:rPr>
        <w:t>pour le renforcement des capacités pour des cibles précises ou des groupes de cibles apparentés de 2030, selon qu’il convient, immédiatement après l’adoption du cadre mondial de la biodiversité pour l</w:t>
      </w:r>
      <w:r w:rsidR="00F50701">
        <w:rPr>
          <w:rStyle w:val="normaltextrun"/>
          <w:kern w:val="22"/>
          <w:szCs w:val="22"/>
          <w:lang w:val="fr-CA"/>
        </w:rPr>
        <w:t>’</w:t>
      </w:r>
      <w:r w:rsidR="00C97E79" w:rsidRPr="004F239A">
        <w:rPr>
          <w:rStyle w:val="normaltextrun"/>
          <w:kern w:val="22"/>
          <w:szCs w:val="22"/>
          <w:lang w:val="fr-CA"/>
        </w:rPr>
        <w:t>après-2020,</w:t>
      </w:r>
      <w:r w:rsidR="00F50701">
        <w:rPr>
          <w:rStyle w:val="normaltextrun"/>
          <w:kern w:val="22"/>
          <w:szCs w:val="22"/>
          <w:lang w:val="fr-CA"/>
        </w:rPr>
        <w:t> </w:t>
      </w:r>
      <w:r w:rsidR="004A3E7E" w:rsidRPr="004F239A">
        <w:rPr>
          <w:rStyle w:val="normaltextrun"/>
          <w:kern w:val="22"/>
          <w:szCs w:val="22"/>
          <w:lang w:val="fr-CA"/>
        </w:rPr>
        <w:t>;</w:t>
      </w:r>
    </w:p>
    <w:p w14:paraId="160FAC70" w14:textId="1917F962" w:rsidR="004A3E7E" w:rsidRPr="004F239A" w:rsidRDefault="00BE10DC"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kern w:val="22"/>
          <w:szCs w:val="22"/>
          <w:lang w:val="fr-CA"/>
        </w:rPr>
        <w:t>d)</w:t>
      </w:r>
      <w:r w:rsidRPr="004F239A">
        <w:rPr>
          <w:rStyle w:val="normaltextrun"/>
          <w:kern w:val="22"/>
          <w:szCs w:val="22"/>
          <w:lang w:val="fr-CA"/>
        </w:rPr>
        <w:tab/>
      </w:r>
      <w:r w:rsidR="00B82679" w:rsidRPr="004F239A">
        <w:rPr>
          <w:rStyle w:val="normaltextrun"/>
          <w:kern w:val="22"/>
          <w:szCs w:val="22"/>
          <w:lang w:val="fr-CA"/>
        </w:rPr>
        <w:t>D’élaborer, en collaboration avec les partenaires pertinents, des indicateurs complémentaires et une méthode pour mesurer les progrès accomplis dans la réalisation des buts du cadre stratégique à long terme et pour permettre aux Parties de suivre, évaluer et établir des rapports sur le renforcement des capacités au pays</w:t>
      </w:r>
      <w:r w:rsidR="00F50701">
        <w:rPr>
          <w:rStyle w:val="normaltextrun"/>
          <w:kern w:val="22"/>
          <w:szCs w:val="22"/>
          <w:lang w:val="fr-CA"/>
        </w:rPr>
        <w:t> </w:t>
      </w:r>
      <w:r w:rsidR="004A3E7E" w:rsidRPr="004F239A">
        <w:rPr>
          <w:rStyle w:val="normaltextrun"/>
          <w:kern w:val="22"/>
          <w:szCs w:val="22"/>
          <w:lang w:val="fr-CA"/>
        </w:rPr>
        <w:t>;</w:t>
      </w:r>
    </w:p>
    <w:p w14:paraId="7256FA55" w14:textId="47C6EF15" w:rsidR="004A3E7E" w:rsidRPr="004F239A" w:rsidRDefault="00BE10DC"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rFonts w:eastAsia="MS Mincho"/>
          <w:kern w:val="22"/>
          <w:szCs w:val="22"/>
          <w:lang w:val="fr-CA"/>
        </w:rPr>
        <w:t>e)</w:t>
      </w:r>
      <w:r w:rsidRPr="004F239A">
        <w:rPr>
          <w:rStyle w:val="normaltextrun"/>
          <w:rFonts w:eastAsia="MS Mincho"/>
          <w:kern w:val="22"/>
          <w:szCs w:val="22"/>
          <w:lang w:val="fr-CA"/>
        </w:rPr>
        <w:tab/>
      </w:r>
      <w:r w:rsidR="00B82679" w:rsidRPr="004F239A">
        <w:rPr>
          <w:rStyle w:val="normaltextrun"/>
          <w:rFonts w:eastAsia="MS Mincho"/>
          <w:kern w:val="22"/>
          <w:szCs w:val="22"/>
          <w:lang w:val="fr-CA"/>
        </w:rPr>
        <w:t>D’organiser, en collaboration avec les partenaires, le premier forum de renforcement des capacités pour la biodiversité, afin de mettre en commun les expériences, les bonnes pratiques et les</w:t>
      </w:r>
      <w:r w:rsidR="00C72563" w:rsidRPr="004F239A">
        <w:rPr>
          <w:rStyle w:val="normaltextrun"/>
          <w:rFonts w:eastAsia="MS Mincho"/>
          <w:kern w:val="22"/>
          <w:szCs w:val="22"/>
          <w:lang w:val="fr-CA"/>
        </w:rPr>
        <w:t xml:space="preserve"> enseignements tirés du renforcem</w:t>
      </w:r>
      <w:r w:rsidR="00B82679" w:rsidRPr="004F239A">
        <w:rPr>
          <w:rStyle w:val="normaltextrun"/>
          <w:rFonts w:eastAsia="MS Mincho"/>
          <w:kern w:val="22"/>
          <w:szCs w:val="22"/>
          <w:lang w:val="fr-CA"/>
        </w:rPr>
        <w:t>ent des capacités p</w:t>
      </w:r>
      <w:r w:rsidR="00C72563" w:rsidRPr="004F239A">
        <w:rPr>
          <w:rStyle w:val="normaltextrun"/>
          <w:rFonts w:eastAsia="MS Mincho"/>
          <w:kern w:val="22"/>
          <w:szCs w:val="22"/>
          <w:lang w:val="fr-CA"/>
        </w:rPr>
        <w:t>o</w:t>
      </w:r>
      <w:r w:rsidR="00B82679" w:rsidRPr="004F239A">
        <w:rPr>
          <w:rStyle w:val="normaltextrun"/>
          <w:rFonts w:eastAsia="MS Mincho"/>
          <w:kern w:val="22"/>
          <w:szCs w:val="22"/>
          <w:lang w:val="fr-CA"/>
        </w:rPr>
        <w:t xml:space="preserve">ur la biodiversité, </w:t>
      </w:r>
      <w:r w:rsidR="00C72563" w:rsidRPr="004F239A">
        <w:rPr>
          <w:rStyle w:val="normaltextrun"/>
          <w:rFonts w:eastAsia="MS Mincho"/>
          <w:kern w:val="22"/>
          <w:szCs w:val="22"/>
          <w:lang w:val="fr-CA"/>
        </w:rPr>
        <w:t xml:space="preserve">qui serait présenté </w:t>
      </w:r>
      <w:r w:rsidR="00B82679" w:rsidRPr="004F239A">
        <w:rPr>
          <w:rStyle w:val="normaltextrun"/>
          <w:rFonts w:eastAsia="MS Mincho"/>
          <w:kern w:val="22"/>
          <w:szCs w:val="22"/>
          <w:lang w:val="fr-CA"/>
        </w:rPr>
        <w:t>immédiatement après la seizième réunion de la Conférence des Parties</w:t>
      </w:r>
      <w:r w:rsidR="00F50701">
        <w:rPr>
          <w:rStyle w:val="normaltextrun"/>
          <w:rFonts w:eastAsia="MS Mincho"/>
          <w:kern w:val="22"/>
          <w:szCs w:val="22"/>
          <w:lang w:val="fr-CA"/>
        </w:rPr>
        <w:t> </w:t>
      </w:r>
      <w:r w:rsidR="004A3E7E" w:rsidRPr="004F239A">
        <w:rPr>
          <w:rStyle w:val="normaltextrun"/>
          <w:rFonts w:eastAsia="MS Mincho"/>
          <w:kern w:val="22"/>
          <w:szCs w:val="22"/>
          <w:lang w:val="fr-CA"/>
        </w:rPr>
        <w:t>;</w:t>
      </w:r>
    </w:p>
    <w:p w14:paraId="0DCE912F" w14:textId="12DF423E" w:rsidR="004A3E7E" w:rsidRPr="004F239A" w:rsidRDefault="00BE10DC" w:rsidP="00AA5D70">
      <w:pPr>
        <w:pStyle w:val="Para1"/>
        <w:numPr>
          <w:ilvl w:val="0"/>
          <w:numId w:val="0"/>
        </w:numPr>
        <w:suppressLineNumbers/>
        <w:suppressAutoHyphens/>
        <w:kinsoku w:val="0"/>
        <w:overflowPunct w:val="0"/>
        <w:autoSpaceDE w:val="0"/>
        <w:autoSpaceDN w:val="0"/>
        <w:adjustRightInd w:val="0"/>
        <w:snapToGrid w:val="0"/>
        <w:ind w:firstLine="720"/>
        <w:rPr>
          <w:rStyle w:val="normaltextrun"/>
          <w:kern w:val="22"/>
          <w:szCs w:val="22"/>
          <w:lang w:val="fr-CA"/>
        </w:rPr>
      </w:pPr>
      <w:r w:rsidRPr="004F239A">
        <w:rPr>
          <w:rStyle w:val="normaltextrun"/>
          <w:kern w:val="22"/>
          <w:szCs w:val="22"/>
          <w:lang w:val="fr-CA"/>
        </w:rPr>
        <w:t>f)</w:t>
      </w:r>
      <w:r w:rsidRPr="004F239A">
        <w:rPr>
          <w:rStyle w:val="normaltextrun"/>
          <w:kern w:val="22"/>
          <w:szCs w:val="22"/>
          <w:lang w:val="fr-CA"/>
        </w:rPr>
        <w:tab/>
      </w:r>
      <w:r w:rsidR="00C72563" w:rsidRPr="004F239A">
        <w:rPr>
          <w:rStyle w:val="normaltextrun"/>
          <w:kern w:val="22"/>
          <w:szCs w:val="22"/>
          <w:lang w:val="fr-CA"/>
        </w:rPr>
        <w:t>De préparer une mise à jour de l’état d’avancement de l’application de l’orientation fournie dans le cadre stratégique à long terme, pour examen par l’Organe subsidiaire chargé de l</w:t>
      </w:r>
      <w:r w:rsidR="00F50701">
        <w:rPr>
          <w:rStyle w:val="normaltextrun"/>
          <w:kern w:val="22"/>
          <w:szCs w:val="22"/>
          <w:lang w:val="fr-CA"/>
        </w:rPr>
        <w:t>’</w:t>
      </w:r>
      <w:r w:rsidR="00C72563" w:rsidRPr="004F239A">
        <w:rPr>
          <w:rStyle w:val="normaltextrun"/>
          <w:kern w:val="22"/>
          <w:szCs w:val="22"/>
          <w:lang w:val="fr-CA"/>
        </w:rPr>
        <w:t>application</w:t>
      </w:r>
      <w:r w:rsidR="00F50701">
        <w:rPr>
          <w:rStyle w:val="normaltextrun"/>
          <w:kern w:val="22"/>
          <w:szCs w:val="22"/>
          <w:lang w:val="fr-CA"/>
        </w:rPr>
        <w:t> </w:t>
      </w:r>
      <w:r w:rsidR="004A3E7E" w:rsidRPr="004F239A">
        <w:rPr>
          <w:rStyle w:val="normaltextrun"/>
          <w:kern w:val="22"/>
          <w:szCs w:val="22"/>
          <w:lang w:val="fr-CA"/>
        </w:rPr>
        <w:t>;</w:t>
      </w:r>
    </w:p>
    <w:p w14:paraId="48A466C1" w14:textId="71942A22" w:rsidR="004A3E7E" w:rsidRPr="004F239A" w:rsidRDefault="00BE10DC" w:rsidP="00AA5D70">
      <w:pPr>
        <w:pStyle w:val="Para1"/>
        <w:numPr>
          <w:ilvl w:val="0"/>
          <w:numId w:val="0"/>
        </w:numPr>
        <w:suppressLineNumbers/>
        <w:suppressAutoHyphens/>
        <w:kinsoku w:val="0"/>
        <w:overflowPunct w:val="0"/>
        <w:autoSpaceDE w:val="0"/>
        <w:autoSpaceDN w:val="0"/>
        <w:adjustRightInd w:val="0"/>
        <w:snapToGrid w:val="0"/>
        <w:ind w:firstLine="720"/>
        <w:rPr>
          <w:rStyle w:val="eop"/>
          <w:kern w:val="22"/>
          <w:szCs w:val="22"/>
          <w:lang w:val="fr-CA"/>
        </w:rPr>
      </w:pPr>
      <w:r w:rsidRPr="004F239A">
        <w:rPr>
          <w:rStyle w:val="normaltextrun"/>
          <w:kern w:val="22"/>
          <w:szCs w:val="22"/>
          <w:lang w:val="fr-CA"/>
        </w:rPr>
        <w:t>g)</w:t>
      </w:r>
      <w:r w:rsidRPr="004F239A">
        <w:rPr>
          <w:rStyle w:val="normaltextrun"/>
          <w:kern w:val="22"/>
          <w:szCs w:val="22"/>
          <w:lang w:val="fr-CA"/>
        </w:rPr>
        <w:tab/>
      </w:r>
      <w:r w:rsidR="00C72563" w:rsidRPr="004F239A">
        <w:rPr>
          <w:rStyle w:val="normaltextrun"/>
          <w:kern w:val="22"/>
          <w:szCs w:val="22"/>
          <w:lang w:val="fr-CA"/>
        </w:rPr>
        <w:t>D’entreprendre, en collaboration avec d’autres convention</w:t>
      </w:r>
      <w:r w:rsidR="00F50701">
        <w:rPr>
          <w:rStyle w:val="normaltextrun"/>
          <w:kern w:val="22"/>
          <w:szCs w:val="22"/>
          <w:lang w:val="fr-CA"/>
        </w:rPr>
        <w:t>s</w:t>
      </w:r>
      <w:r w:rsidR="00C72563" w:rsidRPr="004F239A">
        <w:rPr>
          <w:rStyle w:val="normaltextrun"/>
          <w:kern w:val="22"/>
          <w:szCs w:val="22"/>
          <w:lang w:val="fr-CA"/>
        </w:rPr>
        <w:t xml:space="preserve"> liées à la diversité biologique et partenaires, un examen du cadre </w:t>
      </w:r>
      <w:r w:rsidR="00141C04">
        <w:rPr>
          <w:rStyle w:val="normaltextrun"/>
          <w:kern w:val="22"/>
          <w:szCs w:val="22"/>
          <w:lang w:val="fr-CA"/>
        </w:rPr>
        <w:t>stratégique à long terme en 202</w:t>
      </w:r>
      <w:r w:rsidR="00C72563" w:rsidRPr="004F239A">
        <w:rPr>
          <w:rStyle w:val="normaltextrun"/>
          <w:kern w:val="22"/>
          <w:szCs w:val="22"/>
          <w:lang w:val="fr-CA"/>
        </w:rPr>
        <w:t xml:space="preserve">5 afin d’en évaluer l’utilisation par les Parties, les peuples autochtones et les communautés locales et les parties prenantes concernées et, si nécessaire, </w:t>
      </w:r>
      <w:r w:rsidR="00141C04">
        <w:rPr>
          <w:rStyle w:val="normaltextrun"/>
          <w:kern w:val="22"/>
          <w:szCs w:val="22"/>
          <w:lang w:val="fr-CA"/>
        </w:rPr>
        <w:t>proposer des mises à jour afin d’</w:t>
      </w:r>
      <w:r w:rsidR="00C72563" w:rsidRPr="004F239A">
        <w:rPr>
          <w:rStyle w:val="normaltextrun"/>
          <w:kern w:val="22"/>
          <w:szCs w:val="22"/>
          <w:lang w:val="fr-CA"/>
        </w:rPr>
        <w:t>assurer sa pertinence et son efficacité continues</w:t>
      </w:r>
      <w:r w:rsidR="00F50701">
        <w:rPr>
          <w:rStyle w:val="normaltextrun"/>
          <w:kern w:val="22"/>
          <w:szCs w:val="22"/>
          <w:lang w:val="fr-CA"/>
        </w:rPr>
        <w:t> </w:t>
      </w:r>
      <w:r w:rsidR="004A3E7E" w:rsidRPr="004F239A">
        <w:rPr>
          <w:rStyle w:val="normaltextrun"/>
          <w:kern w:val="22"/>
          <w:szCs w:val="22"/>
          <w:lang w:val="fr-CA"/>
        </w:rPr>
        <w:t>;</w:t>
      </w:r>
    </w:p>
    <w:p w14:paraId="6606DA2B" w14:textId="16F3EC65" w:rsidR="004A3E7E" w:rsidRPr="004F239A" w:rsidRDefault="00BE10DC"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rStyle w:val="normaltextrun"/>
          <w:kern w:val="22"/>
          <w:szCs w:val="22"/>
          <w:lang w:val="fr-CA"/>
        </w:rPr>
        <w:t>h)</w:t>
      </w:r>
      <w:r w:rsidRPr="004F239A">
        <w:rPr>
          <w:rStyle w:val="normaltextrun"/>
          <w:kern w:val="22"/>
          <w:szCs w:val="22"/>
          <w:lang w:val="fr-CA"/>
        </w:rPr>
        <w:tab/>
      </w:r>
      <w:r w:rsidR="00C72563" w:rsidRPr="004F239A">
        <w:rPr>
          <w:rStyle w:val="normaltextrun"/>
          <w:kern w:val="22"/>
          <w:szCs w:val="22"/>
          <w:lang w:val="fr-CA"/>
        </w:rPr>
        <w:t>D</w:t>
      </w:r>
      <w:r w:rsidR="00C3205E" w:rsidRPr="004F239A">
        <w:rPr>
          <w:rStyle w:val="normaltextrun"/>
          <w:kern w:val="22"/>
          <w:szCs w:val="22"/>
          <w:lang w:val="fr-CA"/>
        </w:rPr>
        <w:t>e commander une évaluati</w:t>
      </w:r>
      <w:r w:rsidR="00C72563" w:rsidRPr="004F239A">
        <w:rPr>
          <w:rStyle w:val="normaltextrun"/>
          <w:kern w:val="22"/>
          <w:szCs w:val="22"/>
          <w:lang w:val="fr-CA"/>
        </w:rPr>
        <w:t>on indépendante du cadre stratégique à long terme en 2029</w:t>
      </w:r>
      <w:r w:rsidR="00C3205E" w:rsidRPr="004F239A">
        <w:rPr>
          <w:rStyle w:val="normaltextrun"/>
          <w:kern w:val="22"/>
          <w:szCs w:val="22"/>
          <w:lang w:val="fr-CA"/>
        </w:rPr>
        <w:t xml:space="preserve"> et de remettre un rapport, afin de faciliter l’examen par l’Organe subsidiaire chargé de l</w:t>
      </w:r>
      <w:r w:rsidR="00F50701">
        <w:rPr>
          <w:rStyle w:val="normaltextrun"/>
          <w:kern w:val="22"/>
          <w:szCs w:val="22"/>
          <w:lang w:val="fr-CA"/>
        </w:rPr>
        <w:t>’</w:t>
      </w:r>
      <w:r w:rsidR="00C3205E" w:rsidRPr="004F239A">
        <w:rPr>
          <w:rStyle w:val="normaltextrun"/>
          <w:kern w:val="22"/>
          <w:szCs w:val="22"/>
          <w:lang w:val="fr-CA"/>
        </w:rPr>
        <w:t>application et la Conférence des Parties, de concert avec l’examen du cadre mondial de la biodiversité pour l</w:t>
      </w:r>
      <w:r w:rsidR="00F50701">
        <w:rPr>
          <w:rStyle w:val="normaltextrun"/>
          <w:kern w:val="22"/>
          <w:szCs w:val="22"/>
          <w:lang w:val="fr-CA"/>
        </w:rPr>
        <w:t>’</w:t>
      </w:r>
      <w:r w:rsidR="00C3205E" w:rsidRPr="004F239A">
        <w:rPr>
          <w:rStyle w:val="normaltextrun"/>
          <w:kern w:val="22"/>
          <w:szCs w:val="22"/>
          <w:lang w:val="fr-CA"/>
        </w:rPr>
        <w:t>après-2020</w:t>
      </w:r>
      <w:r w:rsidR="00F50701">
        <w:rPr>
          <w:rStyle w:val="normaltextrun"/>
          <w:kern w:val="22"/>
          <w:szCs w:val="22"/>
          <w:lang w:val="fr-CA"/>
        </w:rPr>
        <w:t> </w:t>
      </w:r>
      <w:r w:rsidR="001A616F" w:rsidRPr="004F239A">
        <w:rPr>
          <w:rStyle w:val="normaltextrun"/>
          <w:kern w:val="22"/>
          <w:szCs w:val="22"/>
          <w:lang w:val="fr-CA"/>
        </w:rPr>
        <w:t>;</w:t>
      </w:r>
    </w:p>
    <w:p w14:paraId="2FEC9E94" w14:textId="4D0152D6" w:rsidR="004A3E7E" w:rsidRPr="004F239A" w:rsidRDefault="004A3E7E" w:rsidP="00AA5D70">
      <w:pPr>
        <w:pStyle w:val="Para1"/>
        <w:keepNext/>
        <w:numPr>
          <w:ilvl w:val="0"/>
          <w:numId w:val="0"/>
        </w:numPr>
        <w:suppressLineNumbers/>
        <w:tabs>
          <w:tab w:val="left" w:pos="426"/>
        </w:tabs>
        <w:suppressAutoHyphens/>
        <w:kinsoku w:val="0"/>
        <w:overflowPunct w:val="0"/>
        <w:autoSpaceDE w:val="0"/>
        <w:autoSpaceDN w:val="0"/>
        <w:adjustRightInd w:val="0"/>
        <w:snapToGrid w:val="0"/>
        <w:jc w:val="center"/>
        <w:outlineLvl w:val="1"/>
        <w:rPr>
          <w:b/>
          <w:bCs/>
          <w:kern w:val="22"/>
          <w:lang w:val="fr-CA"/>
        </w:rPr>
      </w:pPr>
      <w:bookmarkStart w:id="16" w:name="_Toc57214893"/>
      <w:r w:rsidRPr="004F239A">
        <w:rPr>
          <w:b/>
          <w:bCs/>
          <w:kern w:val="22"/>
          <w:lang w:val="fr-CA"/>
        </w:rPr>
        <w:t xml:space="preserve">B. </w:t>
      </w:r>
      <w:r w:rsidRPr="004F239A">
        <w:rPr>
          <w:b/>
          <w:kern w:val="22"/>
          <w:szCs w:val="22"/>
          <w:lang w:val="fr-CA"/>
        </w:rPr>
        <w:tab/>
      </w:r>
      <w:r w:rsidR="00C3205E" w:rsidRPr="004F239A">
        <w:rPr>
          <w:b/>
          <w:bCs/>
          <w:kern w:val="22"/>
          <w:lang w:val="fr-CA"/>
        </w:rPr>
        <w:t>Coopération technique et scientifique</w:t>
      </w:r>
      <w:bookmarkEnd w:id="16"/>
    </w:p>
    <w:p w14:paraId="238C7061" w14:textId="18315C98" w:rsidR="004A3E7E" w:rsidRPr="004F239A" w:rsidRDefault="00C3205E" w:rsidP="00AA5D70">
      <w:pPr>
        <w:pStyle w:val="Para1"/>
        <w:numPr>
          <w:ilvl w:val="0"/>
          <w:numId w:val="0"/>
        </w:numPr>
        <w:suppressLineNumbers/>
        <w:suppressAutoHyphens/>
        <w:kinsoku w:val="0"/>
        <w:overflowPunct w:val="0"/>
        <w:autoSpaceDE w:val="0"/>
        <w:autoSpaceDN w:val="0"/>
        <w:adjustRightInd w:val="0"/>
        <w:snapToGrid w:val="0"/>
        <w:ind w:firstLine="720"/>
        <w:rPr>
          <w:i/>
          <w:iCs/>
          <w:kern w:val="22"/>
          <w:lang w:val="fr-CA"/>
        </w:rPr>
      </w:pPr>
      <w:r w:rsidRPr="004F239A">
        <w:rPr>
          <w:i/>
          <w:iCs/>
          <w:kern w:val="22"/>
          <w:lang w:val="fr-CA"/>
        </w:rPr>
        <w:t xml:space="preserve">Rappelant </w:t>
      </w:r>
      <w:r w:rsidRPr="004F239A">
        <w:rPr>
          <w:iCs/>
          <w:kern w:val="22"/>
          <w:lang w:val="fr-CA"/>
        </w:rPr>
        <w:t xml:space="preserve">les </w:t>
      </w:r>
      <w:r w:rsidR="00C31B01" w:rsidRPr="004F239A">
        <w:rPr>
          <w:iCs/>
          <w:kern w:val="22"/>
          <w:lang w:val="fr-CA"/>
        </w:rPr>
        <w:t>dé</w:t>
      </w:r>
      <w:r w:rsidRPr="004F239A">
        <w:rPr>
          <w:iCs/>
          <w:kern w:val="22"/>
          <w:lang w:val="fr-CA"/>
        </w:rPr>
        <w:t xml:space="preserve">cisions </w:t>
      </w:r>
      <w:r w:rsidR="004A3E7E" w:rsidRPr="004F239A">
        <w:rPr>
          <w:kern w:val="22"/>
          <w:lang w:val="fr-CA"/>
        </w:rPr>
        <w:t>14/24 B, XIII/23, XIII/31, XII/2</w:t>
      </w:r>
      <w:r w:rsidR="00C243C4" w:rsidRPr="004F239A">
        <w:rPr>
          <w:kern w:val="22"/>
          <w:lang w:val="fr-CA"/>
        </w:rPr>
        <w:t xml:space="preserve"> B</w:t>
      </w:r>
      <w:r w:rsidR="004A3E7E" w:rsidRPr="004F239A">
        <w:rPr>
          <w:kern w:val="22"/>
          <w:lang w:val="fr-CA"/>
        </w:rPr>
        <w:t xml:space="preserve">, X/16, IX/14, VIII/12 </w:t>
      </w:r>
      <w:r w:rsidRPr="004F239A">
        <w:rPr>
          <w:kern w:val="22"/>
          <w:lang w:val="fr-CA"/>
        </w:rPr>
        <w:t>et</w:t>
      </w:r>
      <w:r w:rsidR="004A3E7E" w:rsidRPr="004F239A">
        <w:rPr>
          <w:kern w:val="22"/>
          <w:lang w:val="fr-CA"/>
        </w:rPr>
        <w:t xml:space="preserve"> VII/29 </w:t>
      </w:r>
      <w:r w:rsidRPr="004F239A">
        <w:rPr>
          <w:kern w:val="22"/>
          <w:lang w:val="fr-CA"/>
        </w:rPr>
        <w:t xml:space="preserve">concernant la </w:t>
      </w:r>
      <w:r w:rsidR="00C31B01" w:rsidRPr="004F239A">
        <w:rPr>
          <w:kern w:val="22"/>
          <w:lang w:val="fr-CA"/>
        </w:rPr>
        <w:t>coopé</w:t>
      </w:r>
      <w:r w:rsidRPr="004F239A">
        <w:rPr>
          <w:kern w:val="22"/>
          <w:lang w:val="fr-CA"/>
        </w:rPr>
        <w:t>ration technique et scientifique et le transfert de technologie</w:t>
      </w:r>
      <w:r w:rsidR="001A616F" w:rsidRPr="004F239A">
        <w:rPr>
          <w:kern w:val="22"/>
          <w:lang w:val="fr-CA"/>
        </w:rPr>
        <w:t>,</w:t>
      </w:r>
    </w:p>
    <w:p w14:paraId="5DC00032" w14:textId="475D8EA5" w:rsidR="004A3E7E" w:rsidRPr="004F239A" w:rsidRDefault="00C3205E"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 xml:space="preserve">Confirmant </w:t>
      </w:r>
      <w:r w:rsidRPr="004F239A">
        <w:rPr>
          <w:iCs/>
          <w:kern w:val="22"/>
          <w:lang w:val="fr-CA"/>
        </w:rPr>
        <w:t>que la coopération technique et scientifique est essentielle à la mise en œuvre efficace du cadre mondial de la biodiversité pour l</w:t>
      </w:r>
      <w:r w:rsidR="00F50701">
        <w:rPr>
          <w:iCs/>
          <w:kern w:val="22"/>
          <w:lang w:val="fr-CA"/>
        </w:rPr>
        <w:t>’</w:t>
      </w:r>
      <w:r w:rsidRPr="004F239A">
        <w:rPr>
          <w:iCs/>
          <w:kern w:val="22"/>
          <w:lang w:val="fr-CA"/>
        </w:rPr>
        <w:t>après-2020</w:t>
      </w:r>
      <w:r w:rsidR="001A616F" w:rsidRPr="004F239A">
        <w:rPr>
          <w:kern w:val="22"/>
          <w:lang w:val="fr-CA"/>
        </w:rPr>
        <w:t>,</w:t>
      </w:r>
    </w:p>
    <w:p w14:paraId="29D45887" w14:textId="6D8BD6A6" w:rsidR="004A3E7E" w:rsidRPr="004F239A" w:rsidRDefault="00C31B01" w:rsidP="00AA5D70">
      <w:pPr>
        <w:pStyle w:val="Para1"/>
        <w:numPr>
          <w:ilvl w:val="0"/>
          <w:numId w:val="0"/>
        </w:numPr>
        <w:suppressLineNumbers/>
        <w:suppressAutoHyphens/>
        <w:kinsoku w:val="0"/>
        <w:overflowPunct w:val="0"/>
        <w:autoSpaceDE w:val="0"/>
        <w:autoSpaceDN w:val="0"/>
        <w:adjustRightInd w:val="0"/>
        <w:snapToGrid w:val="0"/>
        <w:ind w:firstLine="720"/>
        <w:rPr>
          <w:i/>
          <w:iCs/>
          <w:kern w:val="22"/>
          <w:lang w:val="fr-CA"/>
        </w:rPr>
      </w:pPr>
      <w:r w:rsidRPr="004F239A">
        <w:rPr>
          <w:i/>
          <w:iCs/>
          <w:kern w:val="22"/>
          <w:lang w:val="fr-CA"/>
        </w:rPr>
        <w:t xml:space="preserve">Reconnaissant </w:t>
      </w:r>
      <w:r w:rsidRPr="004F239A">
        <w:rPr>
          <w:iCs/>
          <w:kern w:val="22"/>
          <w:lang w:val="fr-CA"/>
        </w:rPr>
        <w:t>les liens étroits entre la coopération technique et scientifique et les autres modes de mise en œuvre (renforcement des capacités, gestion des connaissances, communications et autres) et le besoin de les examiner comme un tout et non indépendamment les uns des autres</w:t>
      </w:r>
      <w:r w:rsidRPr="004F239A">
        <w:rPr>
          <w:b/>
          <w:i/>
          <w:iCs/>
          <w:kern w:val="22"/>
          <w:lang w:val="fr-CA"/>
        </w:rPr>
        <w:t>,</w:t>
      </w:r>
    </w:p>
    <w:p w14:paraId="52550F21" w14:textId="0731449D" w:rsidR="004A3E7E" w:rsidRPr="004F239A" w:rsidRDefault="00C31B01"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i/>
          <w:iCs/>
          <w:kern w:val="22"/>
          <w:lang w:val="fr-CA"/>
        </w:rPr>
        <w:t xml:space="preserve">Accueillant </w:t>
      </w:r>
      <w:r w:rsidRPr="004F239A">
        <w:rPr>
          <w:iCs/>
          <w:kern w:val="22"/>
          <w:lang w:val="fr-CA"/>
        </w:rPr>
        <w:t xml:space="preserve">le rapport sur l’état d’avancement de la coopération technique et scientifique, </w:t>
      </w:r>
      <w:r w:rsidR="003F34F0" w:rsidRPr="004F239A">
        <w:rPr>
          <w:iCs/>
          <w:kern w:val="22"/>
          <w:lang w:val="fr-CA"/>
        </w:rPr>
        <w:t xml:space="preserve">comprenant les réalisations </w:t>
      </w:r>
      <w:r w:rsidR="00F50701">
        <w:rPr>
          <w:iCs/>
          <w:kern w:val="22"/>
          <w:lang w:val="fr-CA"/>
        </w:rPr>
        <w:t>au titre de</w:t>
      </w:r>
      <w:r w:rsidRPr="004F239A">
        <w:rPr>
          <w:iCs/>
          <w:kern w:val="22"/>
          <w:lang w:val="fr-CA"/>
        </w:rPr>
        <w:t xml:space="preserve"> </w:t>
      </w:r>
      <w:r w:rsidR="003F34F0" w:rsidRPr="004F239A">
        <w:rPr>
          <w:iCs/>
          <w:kern w:val="22"/>
          <w:lang w:val="fr-CA"/>
        </w:rPr>
        <w:t>l’Initiative Bio-Bridge, présenté dans le document</w:t>
      </w:r>
      <w:r w:rsidR="00AE539F" w:rsidRPr="004F239A">
        <w:rPr>
          <w:kern w:val="22"/>
          <w:lang w:val="fr-CA"/>
        </w:rPr>
        <w:t xml:space="preserve"> CBD/SBI/3/INF/18</w:t>
      </w:r>
      <w:r w:rsidR="00B70EC0" w:rsidRPr="004F239A">
        <w:rPr>
          <w:kern w:val="22"/>
          <w:lang w:val="fr-CA"/>
        </w:rPr>
        <w:t>,</w:t>
      </w:r>
    </w:p>
    <w:p w14:paraId="37FCED0A" w14:textId="44225355"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i/>
          <w:iCs/>
          <w:kern w:val="22"/>
          <w:lang w:val="fr-CA"/>
        </w:rPr>
      </w:pPr>
      <w:r w:rsidRPr="004F239A">
        <w:rPr>
          <w:kern w:val="22"/>
          <w:lang w:val="fr-CA"/>
        </w:rPr>
        <w:lastRenderedPageBreak/>
        <w:t>1</w:t>
      </w:r>
      <w:r w:rsidR="00A32140" w:rsidRPr="004F239A">
        <w:rPr>
          <w:kern w:val="22"/>
          <w:lang w:val="fr-CA"/>
        </w:rPr>
        <w:t>9</w:t>
      </w:r>
      <w:r w:rsidRPr="004F239A">
        <w:rPr>
          <w:kern w:val="22"/>
          <w:lang w:val="fr-CA"/>
        </w:rPr>
        <w:t>.</w:t>
      </w:r>
      <w:r w:rsidRPr="004F239A">
        <w:rPr>
          <w:kern w:val="22"/>
          <w:lang w:val="fr-CA"/>
        </w:rPr>
        <w:tab/>
      </w:r>
      <w:r w:rsidR="003F34F0" w:rsidRPr="004F239A">
        <w:rPr>
          <w:i/>
          <w:iCs/>
          <w:kern w:val="22"/>
          <w:lang w:val="fr-CA"/>
        </w:rPr>
        <w:t xml:space="preserve">Adopte </w:t>
      </w:r>
      <w:r w:rsidR="003F34F0" w:rsidRPr="004F239A">
        <w:rPr>
          <w:iCs/>
          <w:kern w:val="22"/>
          <w:lang w:val="fr-CA"/>
        </w:rPr>
        <w:t>les propositions pour renforcer la coopération technique et scientifique en appui au cadre mondial de la biodiversité pour l</w:t>
      </w:r>
      <w:r w:rsidR="00F50701">
        <w:rPr>
          <w:iCs/>
          <w:kern w:val="22"/>
          <w:lang w:val="fr-CA"/>
        </w:rPr>
        <w:t>’</w:t>
      </w:r>
      <w:r w:rsidR="003F34F0" w:rsidRPr="004F239A">
        <w:rPr>
          <w:iCs/>
          <w:kern w:val="22"/>
          <w:lang w:val="fr-CA"/>
        </w:rPr>
        <w:t xml:space="preserve">après-2020 </w:t>
      </w:r>
      <w:r w:rsidR="00D61E2C">
        <w:rPr>
          <w:iCs/>
          <w:kern w:val="22"/>
          <w:lang w:val="fr-CA"/>
        </w:rPr>
        <w:t>présentées</w:t>
      </w:r>
      <w:r w:rsidR="003F34F0" w:rsidRPr="004F239A">
        <w:rPr>
          <w:iCs/>
          <w:kern w:val="22"/>
          <w:lang w:val="fr-CA"/>
        </w:rPr>
        <w:t xml:space="preserve"> dans la note de la Secrétaire exécutive</w:t>
      </w:r>
      <w:r w:rsidR="00F50701">
        <w:rPr>
          <w:iCs/>
          <w:kern w:val="22"/>
          <w:lang w:val="fr-CA"/>
        </w:rPr>
        <w:t> </w:t>
      </w:r>
      <w:r w:rsidR="00B70EC0" w:rsidRPr="004F239A">
        <w:rPr>
          <w:kern w:val="22"/>
          <w:lang w:val="fr-CA"/>
        </w:rPr>
        <w:t>;</w:t>
      </w:r>
      <w:r w:rsidR="00A0114A" w:rsidRPr="004F239A">
        <w:rPr>
          <w:rStyle w:val="FootnoteReference"/>
          <w:kern w:val="22"/>
          <w:lang w:val="fr-CA"/>
        </w:rPr>
        <w:footnoteReference w:id="48"/>
      </w:r>
    </w:p>
    <w:p w14:paraId="7D1E7218" w14:textId="7CA780F7" w:rsidR="004A3E7E" w:rsidRPr="004F239A" w:rsidRDefault="00A32140" w:rsidP="00AA5D70">
      <w:pPr>
        <w:pStyle w:val="Para1"/>
        <w:numPr>
          <w:ilvl w:val="0"/>
          <w:numId w:val="0"/>
        </w:numPr>
        <w:suppressLineNumbers/>
        <w:suppressAutoHyphens/>
        <w:kinsoku w:val="0"/>
        <w:overflowPunct w:val="0"/>
        <w:autoSpaceDE w:val="0"/>
        <w:autoSpaceDN w:val="0"/>
        <w:adjustRightInd w:val="0"/>
        <w:snapToGrid w:val="0"/>
        <w:ind w:firstLine="720"/>
        <w:rPr>
          <w:i/>
          <w:iCs/>
          <w:kern w:val="22"/>
          <w:lang w:val="fr-CA"/>
        </w:rPr>
      </w:pPr>
      <w:r w:rsidRPr="004F239A">
        <w:rPr>
          <w:kern w:val="22"/>
          <w:lang w:val="fr-CA"/>
        </w:rPr>
        <w:t>20</w:t>
      </w:r>
      <w:r w:rsidR="00BC4DEE" w:rsidRPr="004F239A">
        <w:rPr>
          <w:kern w:val="22"/>
          <w:lang w:val="fr-CA"/>
        </w:rPr>
        <w:t>.</w:t>
      </w:r>
      <w:r w:rsidR="00BC4DEE" w:rsidRPr="004F239A">
        <w:rPr>
          <w:kern w:val="22"/>
          <w:lang w:val="fr-CA"/>
        </w:rPr>
        <w:tab/>
      </w:r>
      <w:r w:rsidR="003F34F0" w:rsidRPr="004F239A">
        <w:rPr>
          <w:i/>
          <w:iCs/>
          <w:kern w:val="22"/>
          <w:lang w:val="fr-CA"/>
        </w:rPr>
        <w:t xml:space="preserve">Prend note </w:t>
      </w:r>
      <w:r w:rsidR="003F34F0" w:rsidRPr="004F239A">
        <w:rPr>
          <w:iCs/>
          <w:kern w:val="22"/>
          <w:lang w:val="fr-CA"/>
        </w:rPr>
        <w:t xml:space="preserve">des propositions concernant un processus </w:t>
      </w:r>
      <w:r w:rsidR="00E82A60" w:rsidRPr="004F239A">
        <w:rPr>
          <w:iCs/>
          <w:kern w:val="22"/>
          <w:lang w:val="fr-CA"/>
        </w:rPr>
        <w:t>ouvert à tous pour examiner et renouveler les</w:t>
      </w:r>
      <w:r w:rsidR="003F34F0" w:rsidRPr="004F239A">
        <w:rPr>
          <w:iCs/>
          <w:kern w:val="22"/>
          <w:lang w:val="fr-CA"/>
        </w:rPr>
        <w:t xml:space="preserve"> programmes de coopération technique et scientifique</w:t>
      </w:r>
      <w:r w:rsidR="00D61E2C">
        <w:rPr>
          <w:iCs/>
          <w:kern w:val="22"/>
          <w:lang w:val="fr-CA"/>
        </w:rPr>
        <w:t>,</w:t>
      </w:r>
      <w:r w:rsidR="003F34F0" w:rsidRPr="004F239A">
        <w:rPr>
          <w:iCs/>
          <w:kern w:val="22"/>
          <w:lang w:val="fr-CA"/>
        </w:rPr>
        <w:t xml:space="preserve"> présentées à l’annexe II aux présentes</w:t>
      </w:r>
      <w:r w:rsidR="00C61648" w:rsidRPr="004F239A">
        <w:rPr>
          <w:kern w:val="22"/>
          <w:lang w:val="fr-CA"/>
        </w:rPr>
        <w:t>,</w:t>
      </w:r>
      <w:r w:rsidR="00C61648" w:rsidRPr="004F239A">
        <w:rPr>
          <w:rStyle w:val="FootnoteReference"/>
          <w:kern w:val="22"/>
          <w:lang w:val="fr-CA"/>
        </w:rPr>
        <w:footnoteReference w:id="49"/>
      </w:r>
      <w:r w:rsidR="004A3E7E" w:rsidRPr="004F239A">
        <w:rPr>
          <w:kern w:val="22"/>
          <w:lang w:val="fr-CA"/>
        </w:rPr>
        <w:t xml:space="preserve"> </w:t>
      </w:r>
      <w:r w:rsidR="003F34F0" w:rsidRPr="004F239A">
        <w:rPr>
          <w:kern w:val="22"/>
          <w:lang w:val="fr-CA"/>
        </w:rPr>
        <w:t xml:space="preserve">et </w:t>
      </w:r>
      <w:r w:rsidR="00505F13" w:rsidRPr="004F239A">
        <w:rPr>
          <w:i/>
          <w:kern w:val="22"/>
          <w:lang w:val="fr-CA"/>
        </w:rPr>
        <w:t>prie</w:t>
      </w:r>
      <w:r w:rsidR="003F34F0" w:rsidRPr="004F239A">
        <w:rPr>
          <w:kern w:val="22"/>
          <w:lang w:val="fr-CA"/>
        </w:rPr>
        <w:t xml:space="preserve"> la Secrétaire exécutive de commande</w:t>
      </w:r>
      <w:r w:rsidR="00D61E2C">
        <w:rPr>
          <w:kern w:val="22"/>
          <w:lang w:val="fr-CA"/>
        </w:rPr>
        <w:t>r</w:t>
      </w:r>
      <w:r w:rsidR="003F34F0" w:rsidRPr="004F239A">
        <w:rPr>
          <w:kern w:val="22"/>
          <w:lang w:val="fr-CA"/>
        </w:rPr>
        <w:t xml:space="preserve"> un processus d’examen, selon la disponibilité des ressources, et de remettre un rapport pour examen par l’Organe subsidiaire chargé de l</w:t>
      </w:r>
      <w:r w:rsidR="00F50701">
        <w:rPr>
          <w:kern w:val="22"/>
          <w:lang w:val="fr-CA"/>
        </w:rPr>
        <w:t>’</w:t>
      </w:r>
      <w:r w:rsidR="003F34F0" w:rsidRPr="004F239A">
        <w:rPr>
          <w:kern w:val="22"/>
          <w:lang w:val="fr-CA"/>
        </w:rPr>
        <w:t>application à sa quatrième réunion</w:t>
      </w:r>
      <w:r w:rsidR="00F50701">
        <w:rPr>
          <w:kern w:val="22"/>
          <w:lang w:val="fr-CA"/>
        </w:rPr>
        <w:t> </w:t>
      </w:r>
      <w:r w:rsidR="00B70EC0" w:rsidRPr="004F239A">
        <w:rPr>
          <w:kern w:val="22"/>
          <w:lang w:val="fr-CA"/>
        </w:rPr>
        <w:t>;</w:t>
      </w:r>
    </w:p>
    <w:p w14:paraId="140BFE47" w14:textId="29ADE4B3"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2</w:t>
      </w:r>
      <w:r w:rsidR="00A32140" w:rsidRPr="004F239A">
        <w:rPr>
          <w:kern w:val="22"/>
          <w:lang w:val="fr-CA"/>
        </w:rPr>
        <w:t>1</w:t>
      </w:r>
      <w:r w:rsidRPr="004F239A">
        <w:rPr>
          <w:kern w:val="22"/>
          <w:lang w:val="fr-CA"/>
        </w:rPr>
        <w:t>.</w:t>
      </w:r>
      <w:r w:rsidRPr="004F239A">
        <w:rPr>
          <w:kern w:val="22"/>
          <w:lang w:val="fr-CA"/>
        </w:rPr>
        <w:tab/>
      </w:r>
      <w:r w:rsidR="00505F13" w:rsidRPr="004F239A">
        <w:rPr>
          <w:i/>
          <w:iCs/>
          <w:kern w:val="22"/>
          <w:lang w:val="fr-CA"/>
        </w:rPr>
        <w:t xml:space="preserve">Rappelle </w:t>
      </w:r>
      <w:r w:rsidR="0014608A" w:rsidRPr="004F239A">
        <w:rPr>
          <w:iCs/>
          <w:kern w:val="22"/>
          <w:lang w:val="fr-CA"/>
        </w:rPr>
        <w:t>aux Parties</w:t>
      </w:r>
      <w:r w:rsidR="00505F13" w:rsidRPr="004F239A">
        <w:rPr>
          <w:iCs/>
          <w:kern w:val="22"/>
          <w:lang w:val="fr-CA"/>
        </w:rPr>
        <w:t xml:space="preserve"> d’identifier et de communiquer leurs besoins et demandes d’assistance technique et </w:t>
      </w:r>
      <w:r w:rsidR="0014608A" w:rsidRPr="004F239A">
        <w:rPr>
          <w:iCs/>
          <w:kern w:val="22"/>
          <w:lang w:val="fr-CA"/>
        </w:rPr>
        <w:t>scientifique</w:t>
      </w:r>
      <w:r w:rsidR="00505F13" w:rsidRPr="004F239A">
        <w:rPr>
          <w:iCs/>
          <w:kern w:val="22"/>
          <w:lang w:val="fr-CA"/>
        </w:rPr>
        <w:t xml:space="preserve"> en lien avec la diversité biologique, </w:t>
      </w:r>
      <w:r w:rsidR="0014608A" w:rsidRPr="004F239A">
        <w:rPr>
          <w:iCs/>
          <w:kern w:val="22"/>
          <w:lang w:val="fr-CA"/>
        </w:rPr>
        <w:t xml:space="preserve">conformément au paragraphe 6 de la décision XIII/23, </w:t>
      </w:r>
      <w:r w:rsidR="00505F13" w:rsidRPr="004F239A">
        <w:rPr>
          <w:iCs/>
          <w:kern w:val="22"/>
          <w:lang w:val="fr-CA"/>
        </w:rPr>
        <w:t xml:space="preserve">et </w:t>
      </w:r>
      <w:r w:rsidR="00505F13" w:rsidRPr="004F239A">
        <w:rPr>
          <w:i/>
          <w:iCs/>
          <w:kern w:val="22"/>
          <w:lang w:val="fr-CA"/>
        </w:rPr>
        <w:t>invite</w:t>
      </w:r>
      <w:r w:rsidR="00505F13" w:rsidRPr="004F239A">
        <w:rPr>
          <w:iCs/>
          <w:kern w:val="22"/>
          <w:lang w:val="fr-CA"/>
        </w:rPr>
        <w:t xml:space="preserve"> les Parties, les autres gouvernements et les </w:t>
      </w:r>
      <w:r w:rsidR="0014608A" w:rsidRPr="004F239A">
        <w:rPr>
          <w:iCs/>
          <w:kern w:val="22"/>
          <w:lang w:val="fr-CA"/>
        </w:rPr>
        <w:t>organisations</w:t>
      </w:r>
      <w:r w:rsidR="00505F13" w:rsidRPr="004F239A">
        <w:rPr>
          <w:iCs/>
          <w:kern w:val="22"/>
          <w:lang w:val="fr-CA"/>
        </w:rPr>
        <w:t xml:space="preserve"> compétentes </w:t>
      </w:r>
      <w:r w:rsidR="00D61E2C">
        <w:rPr>
          <w:iCs/>
          <w:kern w:val="22"/>
          <w:lang w:val="fr-CA"/>
        </w:rPr>
        <w:t>capables</w:t>
      </w:r>
      <w:r w:rsidR="00505F13" w:rsidRPr="004F239A">
        <w:rPr>
          <w:iCs/>
          <w:kern w:val="22"/>
          <w:lang w:val="fr-CA"/>
        </w:rPr>
        <w:t xml:space="preserve"> de le faire </w:t>
      </w:r>
      <w:r w:rsidR="00D61E2C">
        <w:rPr>
          <w:iCs/>
          <w:kern w:val="22"/>
          <w:lang w:val="fr-CA"/>
        </w:rPr>
        <w:t>à</w:t>
      </w:r>
      <w:r w:rsidR="00505F13" w:rsidRPr="004F239A">
        <w:rPr>
          <w:iCs/>
          <w:kern w:val="22"/>
          <w:lang w:val="fr-CA"/>
        </w:rPr>
        <w:t xml:space="preserve"> s’</w:t>
      </w:r>
      <w:r w:rsidR="0014608A" w:rsidRPr="004F239A">
        <w:rPr>
          <w:iCs/>
          <w:kern w:val="22"/>
          <w:lang w:val="fr-CA"/>
        </w:rPr>
        <w:t>enre</w:t>
      </w:r>
      <w:r w:rsidR="00505F13" w:rsidRPr="004F239A">
        <w:rPr>
          <w:iCs/>
          <w:kern w:val="22"/>
          <w:lang w:val="fr-CA"/>
        </w:rPr>
        <w:t>gistrer en tant que fournisseurs d’</w:t>
      </w:r>
      <w:r w:rsidR="0014608A" w:rsidRPr="004F239A">
        <w:rPr>
          <w:iCs/>
          <w:kern w:val="22"/>
          <w:lang w:val="fr-CA"/>
        </w:rPr>
        <w:t>assistance te</w:t>
      </w:r>
      <w:r w:rsidR="00D61E2C">
        <w:rPr>
          <w:iCs/>
          <w:kern w:val="22"/>
          <w:lang w:val="fr-CA"/>
        </w:rPr>
        <w:t xml:space="preserve">chnique et à </w:t>
      </w:r>
      <w:r w:rsidR="00505F13" w:rsidRPr="004F239A">
        <w:rPr>
          <w:iCs/>
          <w:kern w:val="22"/>
          <w:lang w:val="fr-CA"/>
        </w:rPr>
        <w:t xml:space="preserve">offrir un soutien pour </w:t>
      </w:r>
      <w:r w:rsidR="0014608A" w:rsidRPr="004F239A">
        <w:rPr>
          <w:iCs/>
          <w:kern w:val="22"/>
          <w:lang w:val="fr-CA"/>
        </w:rPr>
        <w:t>répondre aux</w:t>
      </w:r>
      <w:r w:rsidR="00505F13" w:rsidRPr="004F239A">
        <w:rPr>
          <w:iCs/>
          <w:kern w:val="22"/>
          <w:lang w:val="fr-CA"/>
        </w:rPr>
        <w:t xml:space="preserve"> besoins identifiés par les Parties </w:t>
      </w:r>
      <w:r w:rsidR="0014608A" w:rsidRPr="004F239A">
        <w:rPr>
          <w:iCs/>
          <w:kern w:val="22"/>
          <w:lang w:val="fr-CA"/>
        </w:rPr>
        <w:t>grâce à la plateforme de jumelage du mécanisme de centre d’échange</w:t>
      </w:r>
      <w:r w:rsidR="00F50701">
        <w:rPr>
          <w:iCs/>
          <w:kern w:val="22"/>
          <w:lang w:val="fr-CA"/>
        </w:rPr>
        <w:t> </w:t>
      </w:r>
      <w:r w:rsidR="00B70EC0" w:rsidRPr="004F239A">
        <w:rPr>
          <w:kern w:val="22"/>
          <w:lang w:val="fr-CA"/>
        </w:rPr>
        <w:t>;</w:t>
      </w:r>
    </w:p>
    <w:p w14:paraId="2B26B180" w14:textId="72E24D5B"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2</w:t>
      </w:r>
      <w:r w:rsidR="00A32140" w:rsidRPr="004F239A">
        <w:rPr>
          <w:kern w:val="22"/>
          <w:lang w:val="fr-CA"/>
        </w:rPr>
        <w:t>2</w:t>
      </w:r>
      <w:r w:rsidRPr="004F239A">
        <w:rPr>
          <w:kern w:val="22"/>
          <w:lang w:val="fr-CA"/>
        </w:rPr>
        <w:t>.</w:t>
      </w:r>
      <w:r w:rsidRPr="004F239A">
        <w:rPr>
          <w:kern w:val="22"/>
          <w:lang w:val="fr-CA"/>
        </w:rPr>
        <w:tab/>
      </w:r>
      <w:r w:rsidR="0014608A" w:rsidRPr="004F239A">
        <w:rPr>
          <w:i/>
          <w:iCs/>
          <w:kern w:val="22"/>
          <w:lang w:val="fr-CA"/>
        </w:rPr>
        <w:t xml:space="preserve">Exhorte </w:t>
      </w:r>
      <w:r w:rsidR="0014608A" w:rsidRPr="004F239A">
        <w:rPr>
          <w:iCs/>
          <w:kern w:val="22"/>
          <w:lang w:val="fr-CA"/>
        </w:rPr>
        <w:t>les Parties et les autres gouvernements de mettre en place</w:t>
      </w:r>
      <w:r w:rsidR="003D0591" w:rsidRPr="004F239A">
        <w:rPr>
          <w:iCs/>
          <w:kern w:val="22"/>
          <w:lang w:val="fr-CA"/>
        </w:rPr>
        <w:t xml:space="preserve"> des </w:t>
      </w:r>
      <w:r w:rsidR="00D61E2C">
        <w:rPr>
          <w:iCs/>
          <w:kern w:val="22"/>
          <w:lang w:val="fr-CA"/>
        </w:rPr>
        <w:t>conditions</w:t>
      </w:r>
      <w:r w:rsidR="003D0591" w:rsidRPr="004F239A">
        <w:rPr>
          <w:iCs/>
          <w:kern w:val="22"/>
          <w:lang w:val="fr-CA"/>
        </w:rPr>
        <w:t xml:space="preserve"> de facilitation (notamment des politiques, lois et mesures d’encouragement pertinentes) afin de promouvoir et de faciliter la coopération technique et scientifique, la recherche conjointe et les actions concertées pour la création des technologies et solutions innovatrices appropriées en lien avec la diversité biologique</w:t>
      </w:r>
      <w:r w:rsidR="00F50701">
        <w:rPr>
          <w:iCs/>
          <w:kern w:val="22"/>
          <w:lang w:val="fr-CA"/>
        </w:rPr>
        <w:t> </w:t>
      </w:r>
      <w:r w:rsidR="00AC0656" w:rsidRPr="004F239A">
        <w:rPr>
          <w:kern w:val="22"/>
          <w:lang w:val="fr-CA"/>
        </w:rPr>
        <w:t>;</w:t>
      </w:r>
    </w:p>
    <w:p w14:paraId="06744ED3" w14:textId="6EBEA1E1"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kern w:val="22"/>
          <w:lang w:val="fr-CA"/>
        </w:rPr>
        <w:t>2</w:t>
      </w:r>
      <w:r w:rsidR="00A32140" w:rsidRPr="004F239A">
        <w:rPr>
          <w:kern w:val="22"/>
          <w:lang w:val="fr-CA"/>
        </w:rPr>
        <w:t>3</w:t>
      </w:r>
      <w:r w:rsidRPr="004F239A">
        <w:rPr>
          <w:kern w:val="22"/>
          <w:lang w:val="fr-CA"/>
        </w:rPr>
        <w:t>.</w:t>
      </w:r>
      <w:r w:rsidRPr="004F239A">
        <w:rPr>
          <w:kern w:val="22"/>
          <w:lang w:val="fr-CA"/>
        </w:rPr>
        <w:tab/>
      </w:r>
      <w:r w:rsidR="003D0591" w:rsidRPr="004F239A">
        <w:rPr>
          <w:i/>
          <w:iCs/>
          <w:kern w:val="22"/>
          <w:lang w:val="fr-CA"/>
        </w:rPr>
        <w:t xml:space="preserve">Encourage </w:t>
      </w:r>
      <w:r w:rsidR="003D0591" w:rsidRPr="004F239A">
        <w:rPr>
          <w:iCs/>
          <w:kern w:val="22"/>
          <w:lang w:val="fr-CA"/>
        </w:rPr>
        <w:t xml:space="preserve">les Parties et les autres gouvernements à </w:t>
      </w:r>
      <w:r w:rsidR="00B407E6" w:rsidRPr="004F239A">
        <w:rPr>
          <w:iCs/>
          <w:kern w:val="22"/>
          <w:lang w:val="fr-CA"/>
        </w:rPr>
        <w:t>soutenir la mise en place ou le renforcement de</w:t>
      </w:r>
      <w:r w:rsidR="00D61E2C">
        <w:rPr>
          <w:iCs/>
          <w:kern w:val="22"/>
          <w:lang w:val="fr-CA"/>
        </w:rPr>
        <w:t>s</w:t>
      </w:r>
      <w:r w:rsidR="00B407E6" w:rsidRPr="004F239A">
        <w:rPr>
          <w:iCs/>
          <w:kern w:val="22"/>
          <w:lang w:val="fr-CA"/>
        </w:rPr>
        <w:t xml:space="preserve"> programmes d’incubation et de</w:t>
      </w:r>
      <w:r w:rsidR="00D61E2C">
        <w:rPr>
          <w:iCs/>
          <w:kern w:val="22"/>
          <w:lang w:val="fr-CA"/>
        </w:rPr>
        <w:t>s</w:t>
      </w:r>
      <w:r w:rsidR="00B407E6" w:rsidRPr="004F239A">
        <w:rPr>
          <w:iCs/>
          <w:kern w:val="22"/>
          <w:lang w:val="fr-CA"/>
        </w:rPr>
        <w:t xml:space="preserve"> mécanismes d’accélération afin de promouvoir et de faciliter la création de technologies et d’innovations appropriées en lien avec la diversité biologique, dont des technologies autochtones et des solutions </w:t>
      </w:r>
      <w:r w:rsidR="00D41520">
        <w:rPr>
          <w:iCs/>
          <w:kern w:val="22"/>
          <w:lang w:val="fr-CA"/>
        </w:rPr>
        <w:t>élaborées</w:t>
      </w:r>
      <w:r w:rsidR="00B407E6" w:rsidRPr="004F239A">
        <w:rPr>
          <w:iCs/>
          <w:kern w:val="22"/>
          <w:lang w:val="fr-CA"/>
        </w:rPr>
        <w:t xml:space="preserve"> localement</w:t>
      </w:r>
      <w:r w:rsidR="00F50701">
        <w:rPr>
          <w:iCs/>
          <w:kern w:val="22"/>
          <w:lang w:val="fr-CA"/>
        </w:rPr>
        <w:t> </w:t>
      </w:r>
      <w:r w:rsidR="00AC0656" w:rsidRPr="004F239A">
        <w:rPr>
          <w:kern w:val="22"/>
          <w:szCs w:val="22"/>
          <w:lang w:val="fr-CA"/>
        </w:rPr>
        <w:t>;</w:t>
      </w:r>
    </w:p>
    <w:p w14:paraId="3700A788" w14:textId="0F2B6F1D" w:rsidR="004A3E7E"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i/>
          <w:iCs/>
          <w:kern w:val="22"/>
          <w:lang w:val="fr-CA"/>
        </w:rPr>
      </w:pPr>
      <w:r w:rsidRPr="004F239A">
        <w:rPr>
          <w:kern w:val="22"/>
          <w:lang w:val="fr-CA"/>
        </w:rPr>
        <w:t>2</w:t>
      </w:r>
      <w:r w:rsidR="00A32140" w:rsidRPr="004F239A">
        <w:rPr>
          <w:kern w:val="22"/>
          <w:lang w:val="fr-CA"/>
        </w:rPr>
        <w:t>4</w:t>
      </w:r>
      <w:r w:rsidRPr="004F239A">
        <w:rPr>
          <w:kern w:val="22"/>
          <w:lang w:val="fr-CA"/>
        </w:rPr>
        <w:t>.</w:t>
      </w:r>
      <w:r w:rsidRPr="004F239A">
        <w:rPr>
          <w:kern w:val="22"/>
          <w:lang w:val="fr-CA"/>
        </w:rPr>
        <w:tab/>
      </w:r>
      <w:r w:rsidR="00B407E6" w:rsidRPr="004F239A">
        <w:rPr>
          <w:i/>
          <w:iCs/>
          <w:kern w:val="22"/>
          <w:lang w:val="fr-CA"/>
        </w:rPr>
        <w:t xml:space="preserve">Encourage davantage </w:t>
      </w:r>
      <w:r w:rsidR="00B407E6" w:rsidRPr="004F239A">
        <w:rPr>
          <w:iCs/>
          <w:kern w:val="22"/>
          <w:lang w:val="fr-CA"/>
        </w:rPr>
        <w:t>les Parties, les autres gouvernements et les organisations compétentes à prendre des mesures par étapes pour promouvoir et renforcer les réseaux pertinents d’institutions et de communautés de pratique</w:t>
      </w:r>
      <w:r w:rsidR="00D41520">
        <w:rPr>
          <w:iCs/>
          <w:kern w:val="22"/>
          <w:lang w:val="fr-CA"/>
        </w:rPr>
        <w:t>,</w:t>
      </w:r>
      <w:r w:rsidR="00B407E6" w:rsidRPr="004F239A">
        <w:rPr>
          <w:iCs/>
          <w:kern w:val="22"/>
          <w:lang w:val="fr-CA"/>
        </w:rPr>
        <w:t xml:space="preserve"> afin de faciliter l’échange de renseignements, d’expériences, de compétentes et de savoir-faire technique en lien avec la diversité biologique</w:t>
      </w:r>
      <w:r w:rsidR="00F50701">
        <w:rPr>
          <w:iCs/>
          <w:kern w:val="22"/>
          <w:lang w:val="fr-CA"/>
        </w:rPr>
        <w:t> </w:t>
      </w:r>
      <w:r w:rsidR="00AC0656" w:rsidRPr="004F239A">
        <w:rPr>
          <w:kern w:val="22"/>
          <w:lang w:val="fr-CA"/>
        </w:rPr>
        <w:t>;</w:t>
      </w:r>
    </w:p>
    <w:p w14:paraId="2F27CCB2" w14:textId="367E7A19" w:rsidR="00057BF0" w:rsidRPr="004F239A" w:rsidRDefault="00BC4DEE" w:rsidP="00AA5D70">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kern w:val="22"/>
          <w:lang w:val="fr-CA"/>
        </w:rPr>
        <w:t>2</w:t>
      </w:r>
      <w:r w:rsidR="00A32140" w:rsidRPr="004F239A">
        <w:rPr>
          <w:kern w:val="22"/>
          <w:lang w:val="fr-CA"/>
        </w:rPr>
        <w:t>5</w:t>
      </w:r>
      <w:r w:rsidRPr="004F239A">
        <w:rPr>
          <w:kern w:val="22"/>
          <w:lang w:val="fr-CA"/>
        </w:rPr>
        <w:t>.</w:t>
      </w:r>
      <w:r w:rsidRPr="004F239A">
        <w:rPr>
          <w:kern w:val="22"/>
          <w:lang w:val="fr-CA"/>
        </w:rPr>
        <w:tab/>
      </w:r>
      <w:r w:rsidR="00B132BC" w:rsidRPr="004F239A">
        <w:rPr>
          <w:i/>
          <w:iCs/>
          <w:kern w:val="22"/>
          <w:lang w:val="fr-CA"/>
        </w:rPr>
        <w:t xml:space="preserve">Décide </w:t>
      </w:r>
      <w:r w:rsidR="00B132BC" w:rsidRPr="004F239A">
        <w:rPr>
          <w:iCs/>
          <w:kern w:val="22"/>
          <w:lang w:val="fr-CA"/>
        </w:rPr>
        <w:t xml:space="preserve">de </w:t>
      </w:r>
      <w:r w:rsidR="00D41520">
        <w:rPr>
          <w:iCs/>
          <w:kern w:val="22"/>
          <w:lang w:val="fr-CA"/>
        </w:rPr>
        <w:t>constituer</w:t>
      </w:r>
      <w:r w:rsidR="00B132BC" w:rsidRPr="004F239A">
        <w:rPr>
          <w:iCs/>
          <w:kern w:val="22"/>
          <w:lang w:val="fr-CA"/>
        </w:rPr>
        <w:t xml:space="preserve"> un Groupe consultatif informel sur la coopération technique et scientifique</w:t>
      </w:r>
      <w:r w:rsidR="00D41520">
        <w:rPr>
          <w:iCs/>
          <w:kern w:val="22"/>
          <w:lang w:val="fr-CA"/>
        </w:rPr>
        <w:t>,</w:t>
      </w:r>
      <w:r w:rsidR="00B132BC" w:rsidRPr="004F239A">
        <w:rPr>
          <w:iCs/>
          <w:kern w:val="22"/>
          <w:lang w:val="fr-CA"/>
        </w:rPr>
        <w:t xml:space="preserve"> chargé de fournir des avis stratégiques sur les mesures pratiques, les outils et les occasions de promouvoir et de faciliter la coopération technique et scientifique</w:t>
      </w:r>
      <w:r w:rsidR="00D41520">
        <w:rPr>
          <w:iCs/>
          <w:kern w:val="22"/>
          <w:lang w:val="fr-CA"/>
        </w:rPr>
        <w:t>,</w:t>
      </w:r>
      <w:r w:rsidR="00B132BC" w:rsidRPr="004F239A">
        <w:rPr>
          <w:iCs/>
          <w:kern w:val="22"/>
          <w:lang w:val="fr-CA"/>
        </w:rPr>
        <w:t xml:space="preserve"> conformément au</w:t>
      </w:r>
      <w:r w:rsidR="00D41520">
        <w:rPr>
          <w:iCs/>
          <w:kern w:val="22"/>
          <w:lang w:val="fr-CA"/>
        </w:rPr>
        <w:t xml:space="preserve"> mandat joint à l’annexe </w:t>
      </w:r>
      <w:r w:rsidR="00B132BC" w:rsidRPr="004F239A">
        <w:rPr>
          <w:iCs/>
          <w:kern w:val="22"/>
          <w:lang w:val="fr-CA"/>
        </w:rPr>
        <w:t>II</w:t>
      </w:r>
      <w:r w:rsidR="00D41520">
        <w:rPr>
          <w:iCs/>
          <w:kern w:val="22"/>
          <w:lang w:val="fr-CA"/>
        </w:rPr>
        <w:t>I</w:t>
      </w:r>
      <w:r w:rsidR="00B132BC" w:rsidRPr="004F239A">
        <w:rPr>
          <w:iCs/>
          <w:kern w:val="22"/>
          <w:lang w:val="fr-CA"/>
        </w:rPr>
        <w:t xml:space="preserve"> aux présentes</w:t>
      </w:r>
      <w:r w:rsidR="00F50701">
        <w:rPr>
          <w:iCs/>
          <w:kern w:val="22"/>
          <w:lang w:val="fr-CA"/>
        </w:rPr>
        <w:t> </w:t>
      </w:r>
      <w:r w:rsidR="00AC0656" w:rsidRPr="004F239A">
        <w:rPr>
          <w:kern w:val="22"/>
          <w:lang w:val="fr-CA"/>
        </w:rPr>
        <w:t>;</w:t>
      </w:r>
    </w:p>
    <w:p w14:paraId="157B4BC2" w14:textId="2D1ED3C5" w:rsidR="00C730C8" w:rsidRPr="004F239A" w:rsidRDefault="00BE5C66" w:rsidP="00AA5D70">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CA"/>
        </w:rPr>
      </w:pPr>
      <w:r w:rsidRPr="004F239A">
        <w:rPr>
          <w:rFonts w:eastAsiaTheme="minorEastAsia"/>
          <w:kern w:val="22"/>
          <w:szCs w:val="22"/>
          <w:lang w:val="fr-CA"/>
        </w:rPr>
        <w:t>2</w:t>
      </w:r>
      <w:r w:rsidR="00A32140" w:rsidRPr="004F239A">
        <w:rPr>
          <w:rFonts w:eastAsiaTheme="minorEastAsia"/>
          <w:kern w:val="22"/>
          <w:szCs w:val="22"/>
          <w:lang w:val="fr-CA"/>
        </w:rPr>
        <w:t>6</w:t>
      </w:r>
      <w:r w:rsidRPr="004F239A">
        <w:rPr>
          <w:rFonts w:eastAsiaTheme="minorEastAsia"/>
          <w:kern w:val="22"/>
          <w:szCs w:val="22"/>
          <w:lang w:val="fr-CA"/>
        </w:rPr>
        <w:t>.</w:t>
      </w:r>
      <w:r w:rsidRPr="004F239A">
        <w:rPr>
          <w:rFonts w:eastAsiaTheme="minorEastAsia"/>
          <w:kern w:val="22"/>
          <w:szCs w:val="22"/>
          <w:lang w:val="fr-CA"/>
        </w:rPr>
        <w:tab/>
      </w:r>
      <w:r w:rsidR="00B132BC" w:rsidRPr="004F239A">
        <w:rPr>
          <w:rFonts w:eastAsiaTheme="minorEastAsia"/>
          <w:i/>
          <w:iCs/>
          <w:kern w:val="22"/>
          <w:szCs w:val="22"/>
          <w:lang w:val="fr-CA"/>
        </w:rPr>
        <w:t xml:space="preserve">Décide également, </w:t>
      </w:r>
      <w:r w:rsidR="00B132BC" w:rsidRPr="004F239A">
        <w:rPr>
          <w:rFonts w:eastAsiaTheme="minorEastAsia"/>
          <w:iCs/>
          <w:kern w:val="22"/>
          <w:szCs w:val="22"/>
          <w:lang w:val="fr-CA"/>
        </w:rPr>
        <w:t>à la lumière des avantages, des inconvénients et des coûts présentés dans le document</w:t>
      </w:r>
      <w:r w:rsidRPr="004F239A">
        <w:rPr>
          <w:kern w:val="22"/>
          <w:szCs w:val="22"/>
          <w:lang w:val="fr-CA"/>
        </w:rPr>
        <w:t xml:space="preserve"> CBD/SBI/3/INF/16, </w:t>
      </w:r>
      <w:r w:rsidR="00B132BC" w:rsidRPr="004F239A">
        <w:rPr>
          <w:kern w:val="22"/>
          <w:szCs w:val="22"/>
          <w:lang w:val="fr-CA"/>
        </w:rPr>
        <w:t xml:space="preserve">d’adopter </w:t>
      </w:r>
      <w:r w:rsidR="00573174" w:rsidRPr="004F239A">
        <w:rPr>
          <w:kern w:val="22"/>
          <w:szCs w:val="22"/>
          <w:lang w:val="fr-CA"/>
        </w:rPr>
        <w:t>une version hybride</w:t>
      </w:r>
      <w:r w:rsidR="00B132BC" w:rsidRPr="004F239A">
        <w:rPr>
          <w:kern w:val="22"/>
          <w:szCs w:val="22"/>
          <w:lang w:val="fr-CA"/>
        </w:rPr>
        <w:t xml:space="preserve"> des</w:t>
      </w:r>
      <w:r w:rsidR="00573174" w:rsidRPr="004F239A">
        <w:rPr>
          <w:kern w:val="22"/>
          <w:szCs w:val="22"/>
          <w:lang w:val="fr-CA"/>
        </w:rPr>
        <w:t xml:space="preserve"> scénarios A et B du mécanisme institutionnel pour promouvoir et faciliter la coopér</w:t>
      </w:r>
      <w:r w:rsidR="00D41520">
        <w:rPr>
          <w:kern w:val="22"/>
          <w:szCs w:val="22"/>
          <w:lang w:val="fr-CA"/>
        </w:rPr>
        <w:t xml:space="preserve">ation technique et scientifique proposés </w:t>
      </w:r>
      <w:r w:rsidR="00573174" w:rsidRPr="004F239A">
        <w:rPr>
          <w:kern w:val="22"/>
          <w:szCs w:val="22"/>
          <w:lang w:val="fr-CA"/>
        </w:rPr>
        <w:t>à la partie V de la note de la Secrétaire exécutive</w:t>
      </w:r>
      <w:r w:rsidRPr="004F239A">
        <w:rPr>
          <w:kern w:val="22"/>
          <w:szCs w:val="22"/>
          <w:lang w:val="fr-CA"/>
        </w:rPr>
        <w:t>,</w:t>
      </w:r>
      <w:r w:rsidR="00D743B5" w:rsidRPr="004F239A">
        <w:rPr>
          <w:rStyle w:val="FootnoteReference"/>
          <w:kern w:val="22"/>
          <w:szCs w:val="22"/>
          <w:lang w:val="fr-CA"/>
        </w:rPr>
        <w:footnoteReference w:id="50"/>
      </w:r>
      <w:r w:rsidRPr="004F239A">
        <w:rPr>
          <w:kern w:val="22"/>
          <w:szCs w:val="22"/>
          <w:lang w:val="fr-CA"/>
        </w:rPr>
        <w:t xml:space="preserve"> </w:t>
      </w:r>
      <w:r w:rsidR="00D41520">
        <w:rPr>
          <w:kern w:val="22"/>
          <w:szCs w:val="22"/>
          <w:lang w:val="fr-CA"/>
        </w:rPr>
        <w:t>selon</w:t>
      </w:r>
      <w:r w:rsidR="00573174" w:rsidRPr="004F239A">
        <w:rPr>
          <w:kern w:val="22"/>
          <w:szCs w:val="22"/>
          <w:lang w:val="fr-CA"/>
        </w:rPr>
        <w:t xml:space="preserve"> laquelle un centre de soutien à la coopération technique et scientifique </w:t>
      </w:r>
      <w:r w:rsidR="00D41520">
        <w:rPr>
          <w:kern w:val="22"/>
          <w:szCs w:val="22"/>
          <w:lang w:val="fr-CA"/>
        </w:rPr>
        <w:t>entretiendrait une</w:t>
      </w:r>
      <w:r w:rsidR="00573174" w:rsidRPr="004F239A">
        <w:rPr>
          <w:kern w:val="22"/>
          <w:szCs w:val="22"/>
          <w:lang w:val="fr-CA"/>
        </w:rPr>
        <w:t xml:space="preserve"> collaboration avec un réseau de centres de soutien régionaux et autres organisations compétentes</w:t>
      </w:r>
      <w:r w:rsidR="00F50701">
        <w:rPr>
          <w:kern w:val="22"/>
          <w:szCs w:val="22"/>
          <w:lang w:val="fr-CA"/>
        </w:rPr>
        <w:t> </w:t>
      </w:r>
      <w:r w:rsidRPr="004F239A">
        <w:rPr>
          <w:kern w:val="22"/>
          <w:szCs w:val="22"/>
          <w:lang w:val="fr-CA"/>
        </w:rPr>
        <w:t>;</w:t>
      </w:r>
    </w:p>
    <w:p w14:paraId="715ACA9F" w14:textId="14B7638F" w:rsidR="004A3E7E" w:rsidRPr="004F239A" w:rsidRDefault="007F7869"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kern w:val="22"/>
          <w:szCs w:val="22"/>
          <w:lang w:val="fr-CA"/>
        </w:rPr>
        <w:t>2</w:t>
      </w:r>
      <w:r w:rsidR="00A32140" w:rsidRPr="004F239A">
        <w:rPr>
          <w:kern w:val="22"/>
          <w:szCs w:val="22"/>
          <w:lang w:val="fr-CA"/>
        </w:rPr>
        <w:t>7</w:t>
      </w:r>
      <w:r w:rsidRPr="004F239A">
        <w:rPr>
          <w:kern w:val="22"/>
          <w:szCs w:val="22"/>
          <w:lang w:val="fr-CA"/>
        </w:rPr>
        <w:t>.</w:t>
      </w:r>
      <w:r w:rsidRPr="004F239A">
        <w:rPr>
          <w:kern w:val="22"/>
          <w:szCs w:val="22"/>
          <w:lang w:val="fr-CA"/>
        </w:rPr>
        <w:tab/>
      </w:r>
      <w:r w:rsidR="00B73BE5" w:rsidRPr="004F239A">
        <w:rPr>
          <w:i/>
          <w:iCs/>
          <w:kern w:val="22"/>
          <w:szCs w:val="22"/>
          <w:lang w:val="fr-CA"/>
        </w:rPr>
        <w:t xml:space="preserve">Invite </w:t>
      </w:r>
      <w:r w:rsidR="00B73BE5" w:rsidRPr="004F239A">
        <w:rPr>
          <w:iCs/>
          <w:kern w:val="22"/>
          <w:szCs w:val="22"/>
          <w:lang w:val="fr-CA"/>
        </w:rPr>
        <w:t>le Programme des Nations Unies pour l’environnement à mettre en place le centre mondial de soutien à la coopération technique et scientifique pour la biodiversité, en collaboration avec les organisations compétentes, afin de catalyser, faciliter et améliorer la coopération technique et scientifiqu</w:t>
      </w:r>
      <w:r w:rsidR="000B4639" w:rsidRPr="004F239A">
        <w:rPr>
          <w:iCs/>
          <w:kern w:val="22"/>
          <w:szCs w:val="22"/>
          <w:lang w:val="fr-CA"/>
        </w:rPr>
        <w:t>e et le transfert de te</w:t>
      </w:r>
      <w:r w:rsidR="00B73BE5" w:rsidRPr="004F239A">
        <w:rPr>
          <w:iCs/>
          <w:kern w:val="22"/>
          <w:szCs w:val="22"/>
          <w:lang w:val="fr-CA"/>
        </w:rPr>
        <w:t xml:space="preserve">chnologie en appui </w:t>
      </w:r>
      <w:r w:rsidR="000B4639" w:rsidRPr="004F239A">
        <w:rPr>
          <w:iCs/>
          <w:kern w:val="22"/>
          <w:szCs w:val="22"/>
          <w:lang w:val="fr-CA"/>
        </w:rPr>
        <w:t>à la réalisati</w:t>
      </w:r>
      <w:r w:rsidR="002C3071">
        <w:rPr>
          <w:iCs/>
          <w:kern w:val="22"/>
          <w:szCs w:val="22"/>
          <w:lang w:val="fr-CA"/>
        </w:rPr>
        <w:t xml:space="preserve">on des objectifs </w:t>
      </w:r>
      <w:r w:rsidR="00B73BE5" w:rsidRPr="004F239A">
        <w:rPr>
          <w:iCs/>
          <w:kern w:val="22"/>
          <w:szCs w:val="22"/>
          <w:lang w:val="fr-CA"/>
        </w:rPr>
        <w:t xml:space="preserve">et </w:t>
      </w:r>
      <w:r w:rsidR="002C3071">
        <w:rPr>
          <w:iCs/>
          <w:kern w:val="22"/>
          <w:szCs w:val="22"/>
          <w:lang w:val="fr-CA"/>
        </w:rPr>
        <w:t xml:space="preserve">des </w:t>
      </w:r>
      <w:r w:rsidR="00B73BE5" w:rsidRPr="004F239A">
        <w:rPr>
          <w:iCs/>
          <w:kern w:val="22"/>
          <w:szCs w:val="22"/>
          <w:lang w:val="fr-CA"/>
        </w:rPr>
        <w:t>buts du cadre mondial de la biodiversité pour l</w:t>
      </w:r>
      <w:r w:rsidR="00F50701">
        <w:rPr>
          <w:iCs/>
          <w:kern w:val="22"/>
          <w:szCs w:val="22"/>
          <w:lang w:val="fr-CA"/>
        </w:rPr>
        <w:t>’</w:t>
      </w:r>
      <w:r w:rsidR="00B73BE5" w:rsidRPr="004F239A">
        <w:rPr>
          <w:iCs/>
          <w:kern w:val="22"/>
          <w:szCs w:val="22"/>
          <w:lang w:val="fr-CA"/>
        </w:rPr>
        <w:t>après-2020 et du Programme de d</w:t>
      </w:r>
      <w:r w:rsidR="000B4639" w:rsidRPr="004F239A">
        <w:rPr>
          <w:iCs/>
          <w:kern w:val="22"/>
          <w:szCs w:val="22"/>
          <w:lang w:val="fr-CA"/>
        </w:rPr>
        <w:t>éveloppem</w:t>
      </w:r>
      <w:r w:rsidR="00B73BE5" w:rsidRPr="004F239A">
        <w:rPr>
          <w:iCs/>
          <w:kern w:val="22"/>
          <w:szCs w:val="22"/>
          <w:lang w:val="fr-CA"/>
        </w:rPr>
        <w:t xml:space="preserve">ent durable </w:t>
      </w:r>
      <w:r w:rsidR="000B4639" w:rsidRPr="004F239A">
        <w:rPr>
          <w:iCs/>
          <w:kern w:val="22"/>
          <w:szCs w:val="22"/>
          <w:lang w:val="fr-CA"/>
        </w:rPr>
        <w:t>à l’</w:t>
      </w:r>
      <w:r w:rsidR="00B73BE5" w:rsidRPr="004F239A">
        <w:rPr>
          <w:iCs/>
          <w:kern w:val="22"/>
          <w:szCs w:val="22"/>
          <w:lang w:val="fr-CA"/>
        </w:rPr>
        <w:t>hori</w:t>
      </w:r>
      <w:r w:rsidR="000B4639" w:rsidRPr="004F239A">
        <w:rPr>
          <w:iCs/>
          <w:kern w:val="22"/>
          <w:szCs w:val="22"/>
          <w:lang w:val="fr-CA"/>
        </w:rPr>
        <w:t>z</w:t>
      </w:r>
      <w:r w:rsidR="00B73BE5" w:rsidRPr="004F239A">
        <w:rPr>
          <w:iCs/>
          <w:kern w:val="22"/>
          <w:szCs w:val="22"/>
          <w:lang w:val="fr-CA"/>
        </w:rPr>
        <w:t>on 2030</w:t>
      </w:r>
      <w:r w:rsidR="006739F1" w:rsidRPr="004F239A">
        <w:rPr>
          <w:kern w:val="22"/>
          <w:szCs w:val="22"/>
          <w:lang w:val="fr-CA"/>
        </w:rPr>
        <w:t>,</w:t>
      </w:r>
      <w:r w:rsidR="004D625F" w:rsidRPr="004F239A">
        <w:rPr>
          <w:rStyle w:val="FootnoteReference"/>
          <w:kern w:val="22"/>
          <w:szCs w:val="22"/>
          <w:lang w:val="fr-CA"/>
        </w:rPr>
        <w:footnoteReference w:id="51"/>
      </w:r>
      <w:r w:rsidR="006739F1" w:rsidRPr="004F239A">
        <w:rPr>
          <w:kern w:val="22"/>
          <w:szCs w:val="22"/>
          <w:lang w:val="fr-CA"/>
        </w:rPr>
        <w:t xml:space="preserve"> </w:t>
      </w:r>
      <w:r w:rsidR="000B4639" w:rsidRPr="004F239A">
        <w:rPr>
          <w:kern w:val="22"/>
          <w:szCs w:val="22"/>
          <w:lang w:val="fr-CA"/>
        </w:rPr>
        <w:t>en puisant dans les enseignements tirés du Centre et réseau de technologie climatique et en maximisant les synergies avec celui-ci</w:t>
      </w:r>
      <w:r w:rsidR="00F50701">
        <w:rPr>
          <w:kern w:val="22"/>
          <w:szCs w:val="22"/>
          <w:lang w:val="fr-CA"/>
        </w:rPr>
        <w:t> </w:t>
      </w:r>
      <w:r w:rsidR="00C7239B" w:rsidRPr="004F239A">
        <w:rPr>
          <w:kern w:val="22"/>
          <w:szCs w:val="22"/>
          <w:lang w:val="fr-CA"/>
        </w:rPr>
        <w:t>;</w:t>
      </w:r>
    </w:p>
    <w:p w14:paraId="431C1DB0" w14:textId="3F47C991" w:rsidR="004A3E7E" w:rsidRPr="004F239A" w:rsidRDefault="007F7869"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szCs w:val="22"/>
          <w:lang w:val="fr-CA"/>
        </w:rPr>
      </w:pPr>
      <w:r w:rsidRPr="004F239A">
        <w:rPr>
          <w:kern w:val="22"/>
          <w:lang w:val="fr-CA"/>
        </w:rPr>
        <w:lastRenderedPageBreak/>
        <w:t>2</w:t>
      </w:r>
      <w:r w:rsidR="00A32140" w:rsidRPr="004F239A">
        <w:rPr>
          <w:kern w:val="22"/>
          <w:lang w:val="fr-CA"/>
        </w:rPr>
        <w:t>8</w:t>
      </w:r>
      <w:r w:rsidRPr="004F239A">
        <w:rPr>
          <w:kern w:val="22"/>
          <w:lang w:val="fr-CA"/>
        </w:rPr>
        <w:t>.</w:t>
      </w:r>
      <w:r w:rsidRPr="004F239A">
        <w:rPr>
          <w:kern w:val="22"/>
          <w:lang w:val="fr-CA"/>
        </w:rPr>
        <w:tab/>
      </w:r>
      <w:r w:rsidR="00F653CA" w:rsidRPr="004F239A">
        <w:rPr>
          <w:i/>
          <w:iCs/>
          <w:kern w:val="22"/>
          <w:lang w:val="fr-CA"/>
        </w:rPr>
        <w:t xml:space="preserve">Décide </w:t>
      </w:r>
      <w:r w:rsidR="00F653CA" w:rsidRPr="004F239A">
        <w:rPr>
          <w:iCs/>
          <w:kern w:val="22"/>
          <w:lang w:val="fr-CA"/>
        </w:rPr>
        <w:t>que le centre mondial de soutien et les centres et organisations régionaux de soutien auront pour tâche</w:t>
      </w:r>
      <w:r w:rsidR="002C3071">
        <w:rPr>
          <w:iCs/>
          <w:kern w:val="22"/>
          <w:lang w:val="fr-CA"/>
        </w:rPr>
        <w:t>s fondamentales</w:t>
      </w:r>
      <w:r w:rsidR="00F50701">
        <w:rPr>
          <w:iCs/>
          <w:kern w:val="22"/>
          <w:lang w:val="fr-CA"/>
        </w:rPr>
        <w:t> </w:t>
      </w:r>
      <w:r w:rsidR="004A3E7E" w:rsidRPr="004F239A">
        <w:rPr>
          <w:kern w:val="22"/>
          <w:szCs w:val="22"/>
          <w:lang w:val="fr-CA"/>
        </w:rPr>
        <w:t>:</w:t>
      </w:r>
    </w:p>
    <w:p w14:paraId="28ABC061" w14:textId="1E895B03"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fr-CA"/>
        </w:rPr>
      </w:pPr>
      <w:r w:rsidRPr="004F239A">
        <w:rPr>
          <w:snapToGrid w:val="0"/>
          <w:color w:val="000000" w:themeColor="text1"/>
          <w:kern w:val="22"/>
          <w:szCs w:val="22"/>
          <w:lang w:val="fr-CA"/>
        </w:rPr>
        <w:t>a)</w:t>
      </w:r>
      <w:r w:rsidRPr="004F239A">
        <w:rPr>
          <w:snapToGrid w:val="0"/>
          <w:color w:val="000000" w:themeColor="text1"/>
          <w:kern w:val="22"/>
          <w:szCs w:val="22"/>
          <w:lang w:val="fr-CA"/>
        </w:rPr>
        <w:tab/>
      </w:r>
      <w:r w:rsidR="002C4A1A" w:rsidRPr="004F239A">
        <w:rPr>
          <w:snapToGrid w:val="0"/>
          <w:color w:val="000000" w:themeColor="text1"/>
          <w:kern w:val="22"/>
          <w:szCs w:val="22"/>
          <w:lang w:val="fr-CA"/>
        </w:rPr>
        <w:t>De promouvoir et de faciliter la coopération technique et scientifique et le transfert de technologie auprès des Parties en appui à la mise en œuvre du cadre mondial de la biodiversité pour l</w:t>
      </w:r>
      <w:r w:rsidR="00F50701">
        <w:rPr>
          <w:snapToGrid w:val="0"/>
          <w:color w:val="000000" w:themeColor="text1"/>
          <w:kern w:val="22"/>
          <w:szCs w:val="22"/>
          <w:lang w:val="fr-CA"/>
        </w:rPr>
        <w:t>’</w:t>
      </w:r>
      <w:r w:rsidR="002C4A1A" w:rsidRPr="004F239A">
        <w:rPr>
          <w:snapToGrid w:val="0"/>
          <w:color w:val="000000" w:themeColor="text1"/>
          <w:kern w:val="22"/>
          <w:szCs w:val="22"/>
          <w:lang w:val="fr-CA"/>
        </w:rPr>
        <w:t>après-2020</w:t>
      </w:r>
      <w:r w:rsidR="00F50701">
        <w:rPr>
          <w:snapToGrid w:val="0"/>
          <w:color w:val="000000" w:themeColor="text1"/>
          <w:kern w:val="22"/>
          <w:szCs w:val="22"/>
          <w:lang w:val="fr-CA"/>
        </w:rPr>
        <w:t> </w:t>
      </w:r>
      <w:r w:rsidR="004A3E7E" w:rsidRPr="004F239A">
        <w:rPr>
          <w:snapToGrid w:val="0"/>
          <w:color w:val="000000" w:themeColor="text1"/>
          <w:kern w:val="22"/>
          <w:szCs w:val="22"/>
          <w:lang w:val="fr-CA"/>
        </w:rPr>
        <w:t>;</w:t>
      </w:r>
    </w:p>
    <w:p w14:paraId="6000221A" w14:textId="16753ABD"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fr-CA"/>
        </w:rPr>
      </w:pPr>
      <w:r w:rsidRPr="004F239A">
        <w:rPr>
          <w:snapToGrid w:val="0"/>
          <w:color w:val="000000" w:themeColor="text1"/>
          <w:kern w:val="22"/>
          <w:szCs w:val="22"/>
          <w:lang w:val="fr-CA"/>
        </w:rPr>
        <w:t>b)</w:t>
      </w:r>
      <w:r w:rsidRPr="004F239A">
        <w:rPr>
          <w:snapToGrid w:val="0"/>
          <w:color w:val="000000" w:themeColor="text1"/>
          <w:kern w:val="22"/>
          <w:szCs w:val="22"/>
          <w:lang w:val="fr-CA"/>
        </w:rPr>
        <w:tab/>
      </w:r>
      <w:r w:rsidR="002C4A1A" w:rsidRPr="004F239A">
        <w:rPr>
          <w:snapToGrid w:val="0"/>
          <w:color w:val="000000" w:themeColor="text1"/>
          <w:kern w:val="22"/>
          <w:szCs w:val="22"/>
          <w:lang w:val="fr-CA"/>
        </w:rPr>
        <w:t>D’offrir un « centre de service unique » d’accès aux connaissances, à l’expertise, aux outils et autres ressources de coopération technique et scientifique aux Parties</w:t>
      </w:r>
      <w:r w:rsidR="002C3071">
        <w:rPr>
          <w:snapToGrid w:val="0"/>
          <w:color w:val="000000" w:themeColor="text1"/>
          <w:kern w:val="22"/>
          <w:szCs w:val="22"/>
          <w:lang w:val="fr-CA"/>
        </w:rPr>
        <w:t>,</w:t>
      </w:r>
      <w:r w:rsidR="002C4A1A" w:rsidRPr="004F239A">
        <w:rPr>
          <w:snapToGrid w:val="0"/>
          <w:color w:val="000000" w:themeColor="text1"/>
          <w:kern w:val="22"/>
          <w:szCs w:val="22"/>
          <w:lang w:val="fr-CA"/>
        </w:rPr>
        <w:t xml:space="preserve"> aux conventions liées à la diversité biologique, aux peuples autochtones et communautés locales et aux parties prenantes compétentes</w:t>
      </w:r>
      <w:r w:rsidR="00F50701">
        <w:rPr>
          <w:snapToGrid w:val="0"/>
          <w:color w:val="000000" w:themeColor="text1"/>
          <w:kern w:val="22"/>
          <w:szCs w:val="22"/>
          <w:lang w:val="fr-CA"/>
        </w:rPr>
        <w:t> </w:t>
      </w:r>
      <w:r w:rsidR="004A3E7E" w:rsidRPr="004F239A">
        <w:rPr>
          <w:snapToGrid w:val="0"/>
          <w:kern w:val="22"/>
          <w:szCs w:val="22"/>
          <w:lang w:val="fr-CA"/>
        </w:rPr>
        <w:t>;</w:t>
      </w:r>
    </w:p>
    <w:p w14:paraId="0029299F" w14:textId="2A5B246D"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fr-CA"/>
        </w:rPr>
      </w:pPr>
      <w:r w:rsidRPr="004F239A">
        <w:rPr>
          <w:snapToGrid w:val="0"/>
          <w:kern w:val="22"/>
          <w:szCs w:val="22"/>
          <w:lang w:val="fr-CA"/>
        </w:rPr>
        <w:t>c)</w:t>
      </w:r>
      <w:r w:rsidRPr="004F239A">
        <w:rPr>
          <w:snapToGrid w:val="0"/>
          <w:kern w:val="22"/>
          <w:szCs w:val="22"/>
          <w:lang w:val="fr-CA"/>
        </w:rPr>
        <w:tab/>
      </w:r>
      <w:r w:rsidR="002C155D" w:rsidRPr="004F239A">
        <w:rPr>
          <w:snapToGrid w:val="0"/>
          <w:kern w:val="22"/>
          <w:szCs w:val="22"/>
          <w:lang w:val="fr-CA"/>
        </w:rPr>
        <w:t>D’offrir l’accès à l’information sur les occasions de coopération technique et scientifique, de transfert de technologie et d’innovation</w:t>
      </w:r>
      <w:r w:rsidR="00F50701">
        <w:rPr>
          <w:snapToGrid w:val="0"/>
          <w:kern w:val="22"/>
          <w:szCs w:val="22"/>
          <w:lang w:val="fr-CA"/>
        </w:rPr>
        <w:t> </w:t>
      </w:r>
      <w:r w:rsidR="004A3E7E" w:rsidRPr="004F239A">
        <w:rPr>
          <w:snapToGrid w:val="0"/>
          <w:color w:val="000000" w:themeColor="text1"/>
          <w:kern w:val="22"/>
          <w:szCs w:val="22"/>
          <w:lang w:val="fr-CA"/>
        </w:rPr>
        <w:t>;</w:t>
      </w:r>
    </w:p>
    <w:p w14:paraId="462E7B00" w14:textId="0591332E"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lang w:val="fr-CA"/>
        </w:rPr>
      </w:pPr>
      <w:r w:rsidRPr="004F239A">
        <w:rPr>
          <w:snapToGrid w:val="0"/>
          <w:color w:val="000000" w:themeColor="text1"/>
          <w:kern w:val="22"/>
          <w:szCs w:val="22"/>
          <w:lang w:val="fr-CA"/>
        </w:rPr>
        <w:t>d)</w:t>
      </w:r>
      <w:r w:rsidRPr="004F239A">
        <w:rPr>
          <w:snapToGrid w:val="0"/>
          <w:color w:val="000000" w:themeColor="text1"/>
          <w:kern w:val="22"/>
          <w:szCs w:val="22"/>
          <w:lang w:val="fr-CA"/>
        </w:rPr>
        <w:tab/>
      </w:r>
      <w:r w:rsidR="002C155D" w:rsidRPr="004F239A">
        <w:rPr>
          <w:snapToGrid w:val="0"/>
          <w:color w:val="000000" w:themeColor="text1"/>
          <w:kern w:val="22"/>
          <w:szCs w:val="22"/>
          <w:lang w:val="fr-CA"/>
        </w:rPr>
        <w:t>De mobiliser les ressources nécessaires pour offrir un soutien ponctuel et ciblé aux projets et activités de petite envergure visant à répondre aux besoins techniques et scientifiques connus</w:t>
      </w:r>
      <w:r w:rsidR="00F50701">
        <w:rPr>
          <w:snapToGrid w:val="0"/>
          <w:color w:val="000000" w:themeColor="text1"/>
          <w:kern w:val="22"/>
          <w:szCs w:val="22"/>
          <w:lang w:val="fr-CA"/>
        </w:rPr>
        <w:t> </w:t>
      </w:r>
      <w:r w:rsidR="004A3E7E" w:rsidRPr="004F239A">
        <w:rPr>
          <w:snapToGrid w:val="0"/>
          <w:color w:val="000000" w:themeColor="text1"/>
          <w:kern w:val="22"/>
          <w:szCs w:val="22"/>
          <w:lang w:val="fr-CA"/>
        </w:rPr>
        <w:t>;</w:t>
      </w:r>
    </w:p>
    <w:p w14:paraId="0031785C" w14:textId="2E652D6D"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fr-CA"/>
        </w:rPr>
      </w:pPr>
      <w:r w:rsidRPr="004F239A">
        <w:rPr>
          <w:snapToGrid w:val="0"/>
          <w:kern w:val="22"/>
          <w:szCs w:val="22"/>
          <w:lang w:val="fr-CA"/>
        </w:rPr>
        <w:t>e)</w:t>
      </w:r>
      <w:r w:rsidRPr="004F239A">
        <w:rPr>
          <w:snapToGrid w:val="0"/>
          <w:kern w:val="22"/>
          <w:szCs w:val="22"/>
          <w:lang w:val="fr-CA"/>
        </w:rPr>
        <w:tab/>
      </w:r>
      <w:r w:rsidR="002C155D" w:rsidRPr="004F239A">
        <w:rPr>
          <w:snapToGrid w:val="0"/>
          <w:kern w:val="22"/>
          <w:szCs w:val="22"/>
          <w:lang w:val="fr-CA"/>
        </w:rPr>
        <w:t>De faciliter le jumelage des Parti</w:t>
      </w:r>
      <w:r w:rsidR="002C3071">
        <w:rPr>
          <w:snapToGrid w:val="0"/>
          <w:kern w:val="22"/>
          <w:szCs w:val="22"/>
          <w:lang w:val="fr-CA"/>
        </w:rPr>
        <w:t>es ayant des besoins précis et des Parties ou organisations capables</w:t>
      </w:r>
      <w:r w:rsidR="002C155D" w:rsidRPr="004F239A">
        <w:rPr>
          <w:snapToGrid w:val="0"/>
          <w:kern w:val="22"/>
          <w:szCs w:val="22"/>
          <w:lang w:val="fr-CA"/>
        </w:rPr>
        <w:t xml:space="preserve"> de fournir de l’assistance en réponse aux besoins prioritaires connus</w:t>
      </w:r>
      <w:r w:rsidR="00F50701">
        <w:rPr>
          <w:snapToGrid w:val="0"/>
          <w:kern w:val="22"/>
          <w:szCs w:val="22"/>
          <w:lang w:val="fr-CA"/>
        </w:rPr>
        <w:t> </w:t>
      </w:r>
      <w:r w:rsidR="004A3E7E" w:rsidRPr="004F239A">
        <w:rPr>
          <w:snapToGrid w:val="0"/>
          <w:kern w:val="22"/>
          <w:szCs w:val="22"/>
          <w:lang w:val="fr-CA"/>
        </w:rPr>
        <w:t>;</w:t>
      </w:r>
    </w:p>
    <w:p w14:paraId="04E31C9F" w14:textId="785310C9" w:rsidR="004A3E7E"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fr-CA"/>
        </w:rPr>
      </w:pPr>
      <w:r w:rsidRPr="004F239A">
        <w:rPr>
          <w:snapToGrid w:val="0"/>
          <w:kern w:val="22"/>
          <w:szCs w:val="22"/>
          <w:lang w:val="fr-CA"/>
        </w:rPr>
        <w:t>f)</w:t>
      </w:r>
      <w:r w:rsidRPr="004F239A">
        <w:rPr>
          <w:snapToGrid w:val="0"/>
          <w:kern w:val="22"/>
          <w:szCs w:val="22"/>
          <w:lang w:val="fr-CA"/>
        </w:rPr>
        <w:tab/>
      </w:r>
      <w:r w:rsidR="002C155D" w:rsidRPr="004F239A">
        <w:rPr>
          <w:snapToGrid w:val="0"/>
          <w:kern w:val="22"/>
          <w:szCs w:val="22"/>
          <w:lang w:val="fr-CA"/>
        </w:rPr>
        <w:t>De catalyser et de soutenir</w:t>
      </w:r>
      <w:r w:rsidR="00057343" w:rsidRPr="004F239A">
        <w:rPr>
          <w:snapToGrid w:val="0"/>
          <w:kern w:val="22"/>
          <w:szCs w:val="22"/>
          <w:lang w:val="fr-CA"/>
        </w:rPr>
        <w:t xml:space="preserve"> </w:t>
      </w:r>
      <w:r w:rsidR="002C3071">
        <w:rPr>
          <w:snapToGrid w:val="0"/>
          <w:kern w:val="22"/>
          <w:szCs w:val="22"/>
          <w:lang w:val="fr-CA"/>
        </w:rPr>
        <w:t>l’élaboration</w:t>
      </w:r>
      <w:r w:rsidR="00057343" w:rsidRPr="004F239A">
        <w:rPr>
          <w:snapToGrid w:val="0"/>
          <w:kern w:val="22"/>
          <w:szCs w:val="22"/>
          <w:lang w:val="fr-CA"/>
        </w:rPr>
        <w:t>, la mise en œuvre, le suivi et l’évaluation des programmes et projets de coopération technique et scientifique qui</w:t>
      </w:r>
      <w:r w:rsidR="00F50701">
        <w:rPr>
          <w:snapToGrid w:val="0"/>
          <w:kern w:val="22"/>
          <w:szCs w:val="22"/>
          <w:lang w:val="fr-CA"/>
        </w:rPr>
        <w:t> </w:t>
      </w:r>
      <w:r w:rsidR="004A3E7E" w:rsidRPr="004F239A">
        <w:rPr>
          <w:snapToGrid w:val="0"/>
          <w:kern w:val="22"/>
          <w:szCs w:val="22"/>
          <w:lang w:val="fr-CA"/>
        </w:rPr>
        <w:t>:</w:t>
      </w:r>
    </w:p>
    <w:p w14:paraId="17CD9FE9" w14:textId="25B7DE24" w:rsidR="004A3E7E" w:rsidRPr="004F239A" w:rsidRDefault="007F7869" w:rsidP="00AA5D70">
      <w:pPr>
        <w:suppressLineNumbers/>
        <w:suppressAutoHyphens/>
        <w:kinsoku w:val="0"/>
        <w:overflowPunct w:val="0"/>
        <w:autoSpaceDE w:val="0"/>
        <w:autoSpaceDN w:val="0"/>
        <w:adjustRightInd w:val="0"/>
        <w:snapToGrid w:val="0"/>
        <w:spacing w:after="120"/>
        <w:ind w:left="1584" w:hanging="720"/>
        <w:rPr>
          <w:snapToGrid w:val="0"/>
          <w:kern w:val="22"/>
          <w:szCs w:val="22"/>
          <w:lang w:val="fr-CA"/>
        </w:rPr>
      </w:pPr>
      <w:r w:rsidRPr="004F239A">
        <w:rPr>
          <w:snapToGrid w:val="0"/>
          <w:kern w:val="22"/>
          <w:szCs w:val="22"/>
          <w:lang w:val="fr-CA"/>
        </w:rPr>
        <w:t>i)</w:t>
      </w:r>
      <w:r w:rsidRPr="004F239A">
        <w:rPr>
          <w:snapToGrid w:val="0"/>
          <w:kern w:val="22"/>
          <w:szCs w:val="22"/>
          <w:lang w:val="fr-CA"/>
        </w:rPr>
        <w:tab/>
      </w:r>
      <w:r w:rsidR="00CB57F3">
        <w:rPr>
          <w:snapToGrid w:val="0"/>
          <w:kern w:val="22"/>
          <w:szCs w:val="22"/>
          <w:lang w:val="fr-CA"/>
        </w:rPr>
        <w:t>Encouragent</w:t>
      </w:r>
      <w:r w:rsidR="00057343" w:rsidRPr="004F239A">
        <w:rPr>
          <w:snapToGrid w:val="0"/>
          <w:kern w:val="22"/>
          <w:szCs w:val="22"/>
          <w:lang w:val="fr-CA"/>
        </w:rPr>
        <w:t xml:space="preserve"> et </w:t>
      </w:r>
      <w:r w:rsidR="00CB57F3">
        <w:rPr>
          <w:snapToGrid w:val="0"/>
          <w:kern w:val="22"/>
          <w:szCs w:val="22"/>
          <w:lang w:val="fr-CA"/>
        </w:rPr>
        <w:t>couvent</w:t>
      </w:r>
      <w:r w:rsidR="00057343" w:rsidRPr="004F239A">
        <w:rPr>
          <w:snapToGrid w:val="0"/>
          <w:kern w:val="22"/>
          <w:szCs w:val="22"/>
          <w:lang w:val="fr-CA"/>
        </w:rPr>
        <w:t xml:space="preserve"> la coopération technique et scientifique et </w:t>
      </w:r>
      <w:r w:rsidR="00CB57F3">
        <w:rPr>
          <w:snapToGrid w:val="0"/>
          <w:kern w:val="22"/>
          <w:szCs w:val="22"/>
          <w:lang w:val="fr-CA"/>
        </w:rPr>
        <w:t>l</w:t>
      </w:r>
      <w:r w:rsidR="00057343" w:rsidRPr="004F239A">
        <w:rPr>
          <w:snapToGrid w:val="0"/>
          <w:kern w:val="22"/>
          <w:szCs w:val="22"/>
          <w:lang w:val="fr-CA"/>
        </w:rPr>
        <w:t xml:space="preserve">es partenariats grâce à une démarche </w:t>
      </w:r>
      <w:r w:rsidR="00CB57F3">
        <w:rPr>
          <w:snapToGrid w:val="0"/>
          <w:kern w:val="22"/>
          <w:szCs w:val="22"/>
          <w:lang w:val="fr-CA"/>
        </w:rPr>
        <w:t>programmatique</w:t>
      </w:r>
      <w:r w:rsidR="00F50701">
        <w:rPr>
          <w:snapToGrid w:val="0"/>
          <w:kern w:val="22"/>
          <w:szCs w:val="22"/>
          <w:lang w:val="fr-CA"/>
        </w:rPr>
        <w:t> </w:t>
      </w:r>
      <w:r w:rsidR="004A3E7E" w:rsidRPr="004F239A">
        <w:rPr>
          <w:snapToGrid w:val="0"/>
          <w:kern w:val="22"/>
          <w:szCs w:val="22"/>
          <w:lang w:val="fr-CA"/>
        </w:rPr>
        <w:t>;</w:t>
      </w:r>
    </w:p>
    <w:p w14:paraId="467C6C92" w14:textId="19D1CCF1" w:rsidR="004A3E7E" w:rsidRPr="004F239A" w:rsidRDefault="007F7869" w:rsidP="00AA5D70">
      <w:pPr>
        <w:suppressLineNumbers/>
        <w:suppressAutoHyphens/>
        <w:kinsoku w:val="0"/>
        <w:overflowPunct w:val="0"/>
        <w:autoSpaceDE w:val="0"/>
        <w:autoSpaceDN w:val="0"/>
        <w:adjustRightInd w:val="0"/>
        <w:snapToGrid w:val="0"/>
        <w:spacing w:after="120"/>
        <w:ind w:left="1584" w:hanging="720"/>
        <w:rPr>
          <w:snapToGrid w:val="0"/>
          <w:kern w:val="22"/>
          <w:szCs w:val="22"/>
          <w:lang w:val="fr-CA"/>
        </w:rPr>
      </w:pPr>
      <w:r w:rsidRPr="004F239A">
        <w:rPr>
          <w:snapToGrid w:val="0"/>
          <w:kern w:val="22"/>
          <w:szCs w:val="22"/>
          <w:lang w:val="fr-CA"/>
        </w:rPr>
        <w:t>ii)</w:t>
      </w:r>
      <w:r w:rsidRPr="004F239A">
        <w:rPr>
          <w:snapToGrid w:val="0"/>
          <w:kern w:val="22"/>
          <w:szCs w:val="22"/>
          <w:lang w:val="fr-CA"/>
        </w:rPr>
        <w:tab/>
      </w:r>
      <w:r w:rsidR="00057343" w:rsidRPr="004F239A">
        <w:rPr>
          <w:snapToGrid w:val="0"/>
          <w:kern w:val="22"/>
          <w:szCs w:val="22"/>
          <w:lang w:val="fr-CA"/>
        </w:rPr>
        <w:t>Facilitent la création, le transfert et la diffusion de technologies et de solutions locales innovatrices, y compris au moyen de projets évolutifs</w:t>
      </w:r>
      <w:r w:rsidR="00F50701">
        <w:rPr>
          <w:snapToGrid w:val="0"/>
          <w:kern w:val="22"/>
          <w:szCs w:val="22"/>
          <w:lang w:val="fr-CA"/>
        </w:rPr>
        <w:t> </w:t>
      </w:r>
      <w:r w:rsidR="004A3E7E" w:rsidRPr="004F239A">
        <w:rPr>
          <w:snapToGrid w:val="0"/>
          <w:kern w:val="22"/>
          <w:szCs w:val="22"/>
          <w:lang w:val="fr-CA"/>
        </w:rPr>
        <w:t>;</w:t>
      </w:r>
    </w:p>
    <w:p w14:paraId="2E5DF62B" w14:textId="20B0066E" w:rsidR="004A3E7E" w:rsidRPr="004F239A" w:rsidRDefault="007F7869" w:rsidP="00AA5D70">
      <w:pPr>
        <w:suppressLineNumbers/>
        <w:suppressAutoHyphens/>
        <w:kinsoku w:val="0"/>
        <w:overflowPunct w:val="0"/>
        <w:autoSpaceDE w:val="0"/>
        <w:autoSpaceDN w:val="0"/>
        <w:adjustRightInd w:val="0"/>
        <w:snapToGrid w:val="0"/>
        <w:spacing w:after="120"/>
        <w:ind w:left="1584" w:hanging="720"/>
        <w:rPr>
          <w:snapToGrid w:val="0"/>
          <w:kern w:val="22"/>
          <w:szCs w:val="22"/>
          <w:lang w:val="fr-CA"/>
        </w:rPr>
      </w:pPr>
      <w:r w:rsidRPr="004F239A">
        <w:rPr>
          <w:snapToGrid w:val="0"/>
          <w:kern w:val="22"/>
          <w:szCs w:val="22"/>
          <w:lang w:val="fr-CA"/>
        </w:rPr>
        <w:t>iii)</w:t>
      </w:r>
      <w:r w:rsidRPr="004F239A">
        <w:rPr>
          <w:snapToGrid w:val="0"/>
          <w:kern w:val="22"/>
          <w:szCs w:val="22"/>
          <w:lang w:val="fr-CA"/>
        </w:rPr>
        <w:tab/>
      </w:r>
      <w:r w:rsidR="00057343" w:rsidRPr="004F239A">
        <w:rPr>
          <w:snapToGrid w:val="0"/>
          <w:kern w:val="22"/>
          <w:szCs w:val="22"/>
          <w:lang w:val="fr-CA"/>
        </w:rPr>
        <w:t>Facilitent l</w:t>
      </w:r>
      <w:r w:rsidR="00A24C43" w:rsidRPr="004F239A">
        <w:rPr>
          <w:snapToGrid w:val="0"/>
          <w:kern w:val="22"/>
          <w:szCs w:val="22"/>
          <w:lang w:val="fr-CA"/>
        </w:rPr>
        <w:t>’utilisation et l’accès aux connaissances, renseignements et données scientifiques disponibles, ainsi qu’aux connaissances autochtones et traditionnelles, sous réserve du consentement préalable</w:t>
      </w:r>
      <w:r w:rsidR="00F50701">
        <w:rPr>
          <w:snapToGrid w:val="0"/>
          <w:kern w:val="22"/>
          <w:szCs w:val="22"/>
          <w:lang w:val="fr-CA"/>
        </w:rPr>
        <w:t> </w:t>
      </w:r>
      <w:r w:rsidR="004A3E7E" w:rsidRPr="004F239A">
        <w:rPr>
          <w:snapToGrid w:val="0"/>
          <w:kern w:val="22"/>
          <w:szCs w:val="22"/>
          <w:lang w:val="fr-CA"/>
        </w:rPr>
        <w:t>;</w:t>
      </w:r>
    </w:p>
    <w:p w14:paraId="46C576B7" w14:textId="1BF36B60" w:rsidR="006C5C72" w:rsidRPr="004F239A" w:rsidRDefault="007F7869"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fr-CA"/>
        </w:rPr>
      </w:pPr>
      <w:r w:rsidRPr="004F239A">
        <w:rPr>
          <w:snapToGrid w:val="0"/>
          <w:kern w:val="22"/>
          <w:szCs w:val="22"/>
          <w:lang w:val="fr-CA"/>
        </w:rPr>
        <w:t>g)</w:t>
      </w:r>
      <w:r w:rsidRPr="004F239A">
        <w:rPr>
          <w:snapToGrid w:val="0"/>
          <w:kern w:val="22"/>
          <w:szCs w:val="22"/>
          <w:lang w:val="fr-CA"/>
        </w:rPr>
        <w:tab/>
      </w:r>
      <w:r w:rsidR="00A24C43" w:rsidRPr="004F239A">
        <w:rPr>
          <w:snapToGrid w:val="0"/>
          <w:kern w:val="22"/>
          <w:szCs w:val="22"/>
          <w:lang w:val="fr-CA"/>
        </w:rPr>
        <w:t>De renforcer les capacités des centres régionaux et nationaux pour faciliter la coopération technique et scientifique</w:t>
      </w:r>
      <w:r w:rsidR="00F50701">
        <w:rPr>
          <w:snapToGrid w:val="0"/>
          <w:kern w:val="22"/>
          <w:szCs w:val="22"/>
          <w:lang w:val="fr-CA"/>
        </w:rPr>
        <w:t> </w:t>
      </w:r>
      <w:r w:rsidR="006C5C72" w:rsidRPr="004F239A">
        <w:rPr>
          <w:snapToGrid w:val="0"/>
          <w:kern w:val="22"/>
          <w:szCs w:val="22"/>
          <w:lang w:val="fr-CA"/>
        </w:rPr>
        <w:t>;</w:t>
      </w:r>
    </w:p>
    <w:p w14:paraId="5A149839" w14:textId="5E5AA3B8" w:rsidR="006C5C72" w:rsidRPr="004F239A" w:rsidRDefault="004A2392"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lang w:val="fr-CA"/>
        </w:rPr>
      </w:pPr>
      <w:r w:rsidRPr="004F239A">
        <w:rPr>
          <w:snapToGrid w:val="0"/>
          <w:kern w:val="22"/>
          <w:szCs w:val="22"/>
          <w:lang w:val="fr-CA"/>
        </w:rPr>
        <w:t>h)</w:t>
      </w:r>
      <w:r w:rsidRPr="004F239A">
        <w:rPr>
          <w:snapToGrid w:val="0"/>
          <w:kern w:val="22"/>
          <w:szCs w:val="22"/>
          <w:lang w:val="fr-CA"/>
        </w:rPr>
        <w:tab/>
      </w:r>
      <w:r w:rsidR="00A24C43" w:rsidRPr="004F239A">
        <w:rPr>
          <w:snapToGrid w:val="0"/>
          <w:kern w:val="22"/>
          <w:szCs w:val="22"/>
          <w:lang w:val="fr-CA"/>
        </w:rPr>
        <w:t>De faciliter l</w:t>
      </w:r>
      <w:r w:rsidR="00F50701">
        <w:rPr>
          <w:snapToGrid w:val="0"/>
          <w:kern w:val="22"/>
          <w:szCs w:val="22"/>
          <w:lang w:val="fr-CA"/>
        </w:rPr>
        <w:t>e</w:t>
      </w:r>
      <w:r w:rsidR="00A24C43" w:rsidRPr="004F239A">
        <w:rPr>
          <w:snapToGrid w:val="0"/>
          <w:kern w:val="22"/>
          <w:szCs w:val="22"/>
          <w:lang w:val="fr-CA"/>
        </w:rPr>
        <w:t xml:space="preserve"> partage de connaissances et l’apprentissage organisationnel</w:t>
      </w:r>
      <w:r w:rsidR="00F50701">
        <w:rPr>
          <w:snapToGrid w:val="0"/>
          <w:kern w:val="22"/>
          <w:szCs w:val="22"/>
          <w:lang w:val="fr-CA"/>
        </w:rPr>
        <w:t> </w:t>
      </w:r>
      <w:r w:rsidR="004A3E7E" w:rsidRPr="004F239A">
        <w:rPr>
          <w:snapToGrid w:val="0"/>
          <w:kern w:val="22"/>
          <w:szCs w:val="22"/>
          <w:lang w:val="fr-CA"/>
        </w:rPr>
        <w:t>;</w:t>
      </w:r>
    </w:p>
    <w:p w14:paraId="1C2022A4" w14:textId="799D8979" w:rsidR="004A3E7E" w:rsidRPr="004F239A" w:rsidRDefault="004A2392"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lang w:val="fr-CA"/>
        </w:rPr>
      </w:pPr>
      <w:r w:rsidRPr="004F239A">
        <w:rPr>
          <w:snapToGrid w:val="0"/>
          <w:kern w:val="22"/>
          <w:lang w:val="fr-CA"/>
        </w:rPr>
        <w:t>i)</w:t>
      </w:r>
      <w:r w:rsidRPr="004F239A">
        <w:rPr>
          <w:snapToGrid w:val="0"/>
          <w:kern w:val="22"/>
          <w:lang w:val="fr-CA"/>
        </w:rPr>
        <w:tab/>
      </w:r>
      <w:r w:rsidR="00A24C43" w:rsidRPr="004F239A">
        <w:rPr>
          <w:snapToGrid w:val="0"/>
          <w:kern w:val="22"/>
          <w:lang w:val="fr-CA"/>
        </w:rPr>
        <w:t xml:space="preserve">De reconnaître, </w:t>
      </w:r>
      <w:r w:rsidR="00CB57F3">
        <w:rPr>
          <w:snapToGrid w:val="0"/>
          <w:kern w:val="22"/>
          <w:lang w:val="fr-CA"/>
        </w:rPr>
        <w:t>réunir</w:t>
      </w:r>
      <w:r w:rsidR="00A24C43" w:rsidRPr="004F239A">
        <w:rPr>
          <w:snapToGrid w:val="0"/>
          <w:kern w:val="22"/>
          <w:lang w:val="fr-CA"/>
        </w:rPr>
        <w:t xml:space="preserve"> et diffuser les bonnes pratiques et enseignements tirés en matière de </w:t>
      </w:r>
      <w:r w:rsidR="00A0055F" w:rsidRPr="004F239A">
        <w:rPr>
          <w:snapToGrid w:val="0"/>
          <w:kern w:val="22"/>
          <w:lang w:val="fr-CA"/>
        </w:rPr>
        <w:t>coopération technique et scien</w:t>
      </w:r>
      <w:r w:rsidR="00A24C43" w:rsidRPr="004F239A">
        <w:rPr>
          <w:snapToGrid w:val="0"/>
          <w:kern w:val="22"/>
          <w:lang w:val="fr-CA"/>
        </w:rPr>
        <w:t>ti</w:t>
      </w:r>
      <w:r w:rsidR="00A0055F" w:rsidRPr="004F239A">
        <w:rPr>
          <w:snapToGrid w:val="0"/>
          <w:kern w:val="22"/>
          <w:lang w:val="fr-CA"/>
        </w:rPr>
        <w:t>fi</w:t>
      </w:r>
      <w:r w:rsidR="00A24C43" w:rsidRPr="004F239A">
        <w:rPr>
          <w:snapToGrid w:val="0"/>
          <w:kern w:val="22"/>
          <w:lang w:val="fr-CA"/>
        </w:rPr>
        <w:t>que pour la biodiversité, le transfert de technologie et l’innovation</w:t>
      </w:r>
      <w:r w:rsidR="00F50701">
        <w:rPr>
          <w:snapToGrid w:val="0"/>
          <w:kern w:val="22"/>
          <w:lang w:val="fr-CA"/>
        </w:rPr>
        <w:t> </w:t>
      </w:r>
      <w:r w:rsidR="004A3E7E" w:rsidRPr="004F239A">
        <w:rPr>
          <w:snapToGrid w:val="0"/>
          <w:kern w:val="22"/>
          <w:lang w:val="fr-CA"/>
        </w:rPr>
        <w:t>;</w:t>
      </w:r>
    </w:p>
    <w:p w14:paraId="17DDA720" w14:textId="2BAFD481" w:rsidR="004A3E7E" w:rsidRPr="004F239A" w:rsidRDefault="004A2392"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lang w:val="fr-CA"/>
        </w:rPr>
      </w:pPr>
      <w:r w:rsidRPr="004F239A">
        <w:rPr>
          <w:snapToGrid w:val="0"/>
          <w:kern w:val="22"/>
          <w:lang w:val="fr-CA"/>
        </w:rPr>
        <w:t>j)</w:t>
      </w:r>
      <w:r w:rsidRPr="004F239A">
        <w:rPr>
          <w:snapToGrid w:val="0"/>
          <w:kern w:val="22"/>
          <w:lang w:val="fr-CA"/>
        </w:rPr>
        <w:tab/>
      </w:r>
      <w:r w:rsidR="00A0055F" w:rsidRPr="004F239A">
        <w:rPr>
          <w:snapToGrid w:val="0"/>
          <w:kern w:val="22"/>
          <w:lang w:val="fr-CA"/>
        </w:rPr>
        <w:t>D’effectuer toute autre tâche, au besoin</w:t>
      </w:r>
      <w:r w:rsidR="00F50701">
        <w:rPr>
          <w:snapToGrid w:val="0"/>
          <w:kern w:val="22"/>
          <w:lang w:val="fr-CA"/>
        </w:rPr>
        <w:t> </w:t>
      </w:r>
      <w:r w:rsidR="00C7239B" w:rsidRPr="004F239A">
        <w:rPr>
          <w:snapToGrid w:val="0"/>
          <w:kern w:val="22"/>
          <w:lang w:val="fr-CA"/>
        </w:rPr>
        <w:t>;</w:t>
      </w:r>
    </w:p>
    <w:p w14:paraId="2D613D49" w14:textId="137821EC" w:rsidR="004A3E7E" w:rsidRPr="004F239A" w:rsidRDefault="00232751"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2</w:t>
      </w:r>
      <w:r w:rsidR="00A32140" w:rsidRPr="004F239A">
        <w:rPr>
          <w:kern w:val="22"/>
          <w:lang w:val="fr-CA"/>
        </w:rPr>
        <w:t>9</w:t>
      </w:r>
      <w:r w:rsidRPr="004F239A">
        <w:rPr>
          <w:kern w:val="22"/>
          <w:lang w:val="fr-CA"/>
        </w:rPr>
        <w:t>.</w:t>
      </w:r>
      <w:r w:rsidRPr="004F239A">
        <w:rPr>
          <w:kern w:val="22"/>
          <w:lang w:val="fr-CA"/>
        </w:rPr>
        <w:tab/>
      </w:r>
      <w:r w:rsidR="00A0055F" w:rsidRPr="004F239A">
        <w:rPr>
          <w:i/>
          <w:iCs/>
          <w:kern w:val="22"/>
          <w:lang w:val="fr-CA"/>
        </w:rPr>
        <w:t xml:space="preserve">Décide également </w:t>
      </w:r>
      <w:r w:rsidR="00A0055F" w:rsidRPr="004F239A">
        <w:rPr>
          <w:iCs/>
          <w:kern w:val="22"/>
          <w:lang w:val="fr-CA"/>
        </w:rPr>
        <w:t>que le centre mondial de soutien entreprendra ses opérations dès que possible</w:t>
      </w:r>
      <w:r w:rsidR="00F50701">
        <w:rPr>
          <w:iCs/>
          <w:kern w:val="22"/>
          <w:lang w:val="fr-CA"/>
        </w:rPr>
        <w:t> </w:t>
      </w:r>
      <w:r w:rsidR="00C7239B" w:rsidRPr="004F239A">
        <w:rPr>
          <w:kern w:val="22"/>
          <w:lang w:val="fr-CA"/>
        </w:rPr>
        <w:t>;</w:t>
      </w:r>
    </w:p>
    <w:p w14:paraId="6503B14C" w14:textId="02BA1209" w:rsidR="004A3E7E" w:rsidRPr="004F239A" w:rsidRDefault="00A32140"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30</w:t>
      </w:r>
      <w:r w:rsidR="00232751" w:rsidRPr="004F239A">
        <w:rPr>
          <w:kern w:val="22"/>
          <w:lang w:val="fr-CA"/>
        </w:rPr>
        <w:t>.</w:t>
      </w:r>
      <w:r w:rsidR="00232751" w:rsidRPr="004F239A">
        <w:rPr>
          <w:kern w:val="22"/>
          <w:lang w:val="fr-CA"/>
        </w:rPr>
        <w:tab/>
      </w:r>
      <w:r w:rsidR="00A0055F" w:rsidRPr="004F239A">
        <w:rPr>
          <w:i/>
          <w:iCs/>
          <w:kern w:val="22"/>
          <w:lang w:val="fr-CA"/>
        </w:rPr>
        <w:t xml:space="preserve">Demande </w:t>
      </w:r>
      <w:r w:rsidR="00A0055F" w:rsidRPr="004F239A">
        <w:rPr>
          <w:iCs/>
          <w:kern w:val="22"/>
          <w:lang w:val="fr-CA"/>
        </w:rPr>
        <w:t xml:space="preserve">au Fonds pour l’environnement mondial de soutenir les activités du centre mondial de soutien à la coopération technique et scientifique pour </w:t>
      </w:r>
      <w:proofErr w:type="gramStart"/>
      <w:r w:rsidR="00A0055F" w:rsidRPr="004F239A">
        <w:rPr>
          <w:iCs/>
          <w:kern w:val="22"/>
          <w:lang w:val="fr-CA"/>
        </w:rPr>
        <w:t>la biodiversité admissibles</w:t>
      </w:r>
      <w:proofErr w:type="gramEnd"/>
      <w:r w:rsidR="00A0055F" w:rsidRPr="004F239A">
        <w:rPr>
          <w:iCs/>
          <w:kern w:val="22"/>
          <w:lang w:val="fr-CA"/>
        </w:rPr>
        <w:t xml:space="preserve"> et, selon qu’il convient, des centres régionaux de soutien et des organisations dont il est question au paragraphe 26 ci-dessus</w:t>
      </w:r>
      <w:r w:rsidR="00F50701">
        <w:rPr>
          <w:iCs/>
          <w:kern w:val="22"/>
          <w:lang w:val="fr-CA"/>
        </w:rPr>
        <w:t> </w:t>
      </w:r>
      <w:r w:rsidR="00C7239B" w:rsidRPr="004F239A">
        <w:rPr>
          <w:kern w:val="22"/>
          <w:lang w:val="fr-CA"/>
        </w:rPr>
        <w:t>;</w:t>
      </w:r>
    </w:p>
    <w:p w14:paraId="59B59204" w14:textId="5647B3F1" w:rsidR="004A3E7E" w:rsidRPr="004F239A" w:rsidRDefault="006C5806"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3</w:t>
      </w:r>
      <w:r w:rsidR="00A32140" w:rsidRPr="004F239A">
        <w:rPr>
          <w:kern w:val="22"/>
          <w:lang w:val="fr-CA"/>
        </w:rPr>
        <w:t>1</w:t>
      </w:r>
      <w:r w:rsidRPr="004F239A">
        <w:rPr>
          <w:kern w:val="22"/>
          <w:lang w:val="fr-CA"/>
        </w:rPr>
        <w:t>.</w:t>
      </w:r>
      <w:r w:rsidRPr="004F239A">
        <w:rPr>
          <w:kern w:val="22"/>
          <w:lang w:val="fr-CA"/>
        </w:rPr>
        <w:tab/>
      </w:r>
      <w:r w:rsidR="00A0055F" w:rsidRPr="004F239A">
        <w:rPr>
          <w:i/>
          <w:iCs/>
          <w:kern w:val="22"/>
          <w:lang w:val="fr-CA"/>
        </w:rPr>
        <w:t xml:space="preserve">Invite </w:t>
      </w:r>
      <w:r w:rsidR="00A0055F" w:rsidRPr="004F239A">
        <w:rPr>
          <w:iCs/>
          <w:kern w:val="22"/>
          <w:lang w:val="fr-CA"/>
        </w:rPr>
        <w:t xml:space="preserve">les Parties, les autres gouvernements et les organisations compétentes </w:t>
      </w:r>
      <w:r w:rsidR="00630E5B">
        <w:rPr>
          <w:iCs/>
          <w:kern w:val="22"/>
          <w:lang w:val="fr-CA"/>
        </w:rPr>
        <w:t>capables</w:t>
      </w:r>
      <w:r w:rsidR="00A0055F" w:rsidRPr="004F239A">
        <w:rPr>
          <w:iCs/>
          <w:kern w:val="22"/>
          <w:lang w:val="fr-CA"/>
        </w:rPr>
        <w:t xml:space="preserve"> de le faire</w:t>
      </w:r>
      <w:r w:rsidR="00F50701">
        <w:rPr>
          <w:iCs/>
          <w:kern w:val="22"/>
          <w:lang w:val="fr-CA"/>
        </w:rPr>
        <w:t>,</w:t>
      </w:r>
      <w:r w:rsidR="00A0055F" w:rsidRPr="004F239A">
        <w:rPr>
          <w:iCs/>
          <w:kern w:val="22"/>
          <w:lang w:val="fr-CA"/>
        </w:rPr>
        <w:t xml:space="preserve"> à offrir les ressour</w:t>
      </w:r>
      <w:r w:rsidR="004B488A" w:rsidRPr="004F239A">
        <w:rPr>
          <w:iCs/>
          <w:kern w:val="22"/>
          <w:lang w:val="fr-CA"/>
        </w:rPr>
        <w:t>c</w:t>
      </w:r>
      <w:r w:rsidR="00A0055F" w:rsidRPr="004F239A">
        <w:rPr>
          <w:iCs/>
          <w:kern w:val="22"/>
          <w:lang w:val="fr-CA"/>
        </w:rPr>
        <w:t>es financières, techniques et humaines nécessaires pour appu</w:t>
      </w:r>
      <w:r w:rsidR="004B488A" w:rsidRPr="004F239A">
        <w:rPr>
          <w:iCs/>
          <w:kern w:val="22"/>
          <w:lang w:val="fr-CA"/>
        </w:rPr>
        <w:t>y</w:t>
      </w:r>
      <w:r w:rsidR="00A0055F" w:rsidRPr="004F239A">
        <w:rPr>
          <w:iCs/>
          <w:kern w:val="22"/>
          <w:lang w:val="fr-CA"/>
        </w:rPr>
        <w:t>er le centre mondial de soutien à la coopération technique et scientifique</w:t>
      </w:r>
      <w:r w:rsidR="004B488A" w:rsidRPr="004F239A">
        <w:rPr>
          <w:iCs/>
          <w:kern w:val="22"/>
          <w:lang w:val="fr-CA"/>
        </w:rPr>
        <w:t xml:space="preserve"> et, selon qu’il convient, les activités des centres régionaux de soutien et des organisations dont il est question au paragraphe 26 ci-dessus</w:t>
      </w:r>
      <w:r w:rsidR="00F50701">
        <w:rPr>
          <w:iCs/>
          <w:kern w:val="22"/>
          <w:lang w:val="fr-CA"/>
        </w:rPr>
        <w:t> </w:t>
      </w:r>
      <w:r w:rsidR="00C7239B" w:rsidRPr="004F239A">
        <w:rPr>
          <w:kern w:val="22"/>
          <w:lang w:val="fr-CA"/>
        </w:rPr>
        <w:t>;</w:t>
      </w:r>
    </w:p>
    <w:p w14:paraId="25AF8264" w14:textId="259FC400" w:rsidR="004A3E7E" w:rsidRPr="004F239A" w:rsidRDefault="006C5806" w:rsidP="00AA5D70">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kern w:val="22"/>
          <w:lang w:val="fr-CA"/>
        </w:rPr>
      </w:pPr>
      <w:r w:rsidRPr="004F239A">
        <w:rPr>
          <w:kern w:val="22"/>
          <w:lang w:val="fr-CA"/>
        </w:rPr>
        <w:t>3</w:t>
      </w:r>
      <w:r w:rsidR="00A32140" w:rsidRPr="004F239A">
        <w:rPr>
          <w:kern w:val="22"/>
          <w:lang w:val="fr-CA"/>
        </w:rPr>
        <w:t>2</w:t>
      </w:r>
      <w:r w:rsidRPr="004F239A">
        <w:rPr>
          <w:kern w:val="22"/>
          <w:lang w:val="fr-CA"/>
        </w:rPr>
        <w:t>.</w:t>
      </w:r>
      <w:r w:rsidRPr="004F239A">
        <w:rPr>
          <w:kern w:val="22"/>
          <w:lang w:val="fr-CA"/>
        </w:rPr>
        <w:tab/>
      </w:r>
      <w:r w:rsidR="004B488A" w:rsidRPr="004F239A">
        <w:rPr>
          <w:i/>
          <w:iCs/>
          <w:kern w:val="22"/>
          <w:lang w:val="fr-CA"/>
        </w:rPr>
        <w:t xml:space="preserve">Prie </w:t>
      </w:r>
      <w:r w:rsidR="004B488A" w:rsidRPr="004F239A">
        <w:rPr>
          <w:iCs/>
          <w:kern w:val="22"/>
          <w:lang w:val="fr-CA"/>
        </w:rPr>
        <w:t>la Secrétaire, selon les ressources disponibles</w:t>
      </w:r>
      <w:r w:rsidR="00F50701">
        <w:rPr>
          <w:iCs/>
          <w:kern w:val="22"/>
          <w:lang w:val="fr-CA"/>
        </w:rPr>
        <w:t> </w:t>
      </w:r>
      <w:r w:rsidR="004A3E7E" w:rsidRPr="004F239A">
        <w:rPr>
          <w:kern w:val="22"/>
          <w:lang w:val="fr-CA"/>
        </w:rPr>
        <w:t>:</w:t>
      </w:r>
    </w:p>
    <w:p w14:paraId="38C76C54" w14:textId="5BCB9593" w:rsidR="004A3E7E" w:rsidRPr="004F239A" w:rsidRDefault="006C5806" w:rsidP="00AA5D70">
      <w:pPr>
        <w:suppressLineNumbers/>
        <w:suppressAutoHyphens/>
        <w:kinsoku w:val="0"/>
        <w:overflowPunct w:val="0"/>
        <w:autoSpaceDE w:val="0"/>
        <w:autoSpaceDN w:val="0"/>
        <w:adjustRightInd w:val="0"/>
        <w:snapToGrid w:val="0"/>
        <w:spacing w:before="120" w:after="120"/>
        <w:ind w:firstLine="720"/>
        <w:rPr>
          <w:snapToGrid w:val="0"/>
          <w:kern w:val="22"/>
          <w:lang w:val="fr-CA"/>
        </w:rPr>
      </w:pPr>
      <w:r w:rsidRPr="004F239A">
        <w:rPr>
          <w:snapToGrid w:val="0"/>
          <w:kern w:val="22"/>
          <w:lang w:val="fr-CA"/>
        </w:rPr>
        <w:t>a)</w:t>
      </w:r>
      <w:r w:rsidRPr="004F239A">
        <w:rPr>
          <w:snapToGrid w:val="0"/>
          <w:kern w:val="22"/>
          <w:lang w:val="fr-CA"/>
        </w:rPr>
        <w:tab/>
      </w:r>
      <w:r w:rsidR="004B488A" w:rsidRPr="004F239A">
        <w:rPr>
          <w:snapToGrid w:val="0"/>
          <w:kern w:val="22"/>
          <w:lang w:val="fr-CA"/>
        </w:rPr>
        <w:t>D’encourager et de faciliter davantage la coopération technique et scientifique en appui au cadre mondial de la biodiversité pour l</w:t>
      </w:r>
      <w:r w:rsidR="00F50701">
        <w:rPr>
          <w:snapToGrid w:val="0"/>
          <w:kern w:val="22"/>
          <w:lang w:val="fr-CA"/>
        </w:rPr>
        <w:t>’</w:t>
      </w:r>
      <w:r w:rsidR="004B488A" w:rsidRPr="004F239A">
        <w:rPr>
          <w:snapToGrid w:val="0"/>
          <w:kern w:val="22"/>
          <w:lang w:val="fr-CA"/>
        </w:rPr>
        <w:t>après-2020, en collaboration avec les partenaires compétents, y compris le centre mondial de soutien et les centres régionaux de soutien et autres organisations</w:t>
      </w:r>
      <w:r w:rsidR="00F50701">
        <w:rPr>
          <w:snapToGrid w:val="0"/>
          <w:kern w:val="22"/>
          <w:lang w:val="fr-CA"/>
        </w:rPr>
        <w:t> </w:t>
      </w:r>
      <w:r w:rsidR="00C7239B" w:rsidRPr="004F239A">
        <w:rPr>
          <w:snapToGrid w:val="0"/>
          <w:color w:val="000000" w:themeColor="text1"/>
          <w:kern w:val="22"/>
          <w:lang w:val="fr-CA"/>
        </w:rPr>
        <w:t>;</w:t>
      </w:r>
    </w:p>
    <w:p w14:paraId="559393DA" w14:textId="2C361B58" w:rsidR="004A3E7E" w:rsidRPr="004F239A" w:rsidRDefault="00BD2757" w:rsidP="00AA5D70">
      <w:pPr>
        <w:suppressLineNumbers/>
        <w:suppressAutoHyphens/>
        <w:kinsoku w:val="0"/>
        <w:overflowPunct w:val="0"/>
        <w:autoSpaceDE w:val="0"/>
        <w:autoSpaceDN w:val="0"/>
        <w:adjustRightInd w:val="0"/>
        <w:snapToGrid w:val="0"/>
        <w:spacing w:before="120" w:after="120"/>
        <w:ind w:firstLine="720"/>
        <w:rPr>
          <w:snapToGrid w:val="0"/>
          <w:spacing w:val="-4"/>
          <w:kern w:val="22"/>
          <w:lang w:val="fr-CA"/>
        </w:rPr>
      </w:pPr>
      <w:r w:rsidRPr="004F239A">
        <w:rPr>
          <w:snapToGrid w:val="0"/>
          <w:spacing w:val="-4"/>
          <w:kern w:val="22"/>
          <w:lang w:val="fr-CA"/>
        </w:rPr>
        <w:lastRenderedPageBreak/>
        <w:t>b</w:t>
      </w:r>
      <w:r w:rsidR="006C5806" w:rsidRPr="004F239A">
        <w:rPr>
          <w:snapToGrid w:val="0"/>
          <w:spacing w:val="-4"/>
          <w:kern w:val="22"/>
          <w:lang w:val="fr-CA"/>
        </w:rPr>
        <w:t>)</w:t>
      </w:r>
      <w:r w:rsidR="006C5806" w:rsidRPr="004F239A">
        <w:rPr>
          <w:snapToGrid w:val="0"/>
          <w:spacing w:val="-4"/>
          <w:kern w:val="22"/>
          <w:lang w:val="fr-CA"/>
        </w:rPr>
        <w:tab/>
      </w:r>
      <w:r w:rsidR="004B488A" w:rsidRPr="004F239A">
        <w:rPr>
          <w:snapToGrid w:val="0"/>
          <w:spacing w:val="-4"/>
          <w:kern w:val="22"/>
          <w:lang w:val="fr-CA"/>
        </w:rPr>
        <w:t>De maintenir la synergie et la collaboration avec les conventions liées à la diversité biologique et les organisations, initiatives et réseaux pertinents, dont le Consortium des partenaires scientifiques sur la biodiversité,</w:t>
      </w:r>
      <w:r w:rsidR="004C5745" w:rsidRPr="004F239A">
        <w:rPr>
          <w:snapToGrid w:val="0"/>
          <w:spacing w:val="-4"/>
          <w:kern w:val="22"/>
          <w:lang w:val="fr-CA"/>
        </w:rPr>
        <w:t xml:space="preserve"> le Partenariat mondial des affaires et de la biodiversité et autres possédant une expertise, des technologies et des renseignements techniques et scientifiques, et/ou qui participent à la coopération technique et scientifique pour la biodiversité</w:t>
      </w:r>
      <w:r w:rsidR="00F50701">
        <w:rPr>
          <w:snapToGrid w:val="0"/>
          <w:spacing w:val="-4"/>
          <w:kern w:val="22"/>
          <w:lang w:val="fr-CA"/>
        </w:rPr>
        <w:t> </w:t>
      </w:r>
      <w:r w:rsidR="004A3E7E" w:rsidRPr="004F239A">
        <w:rPr>
          <w:snapToGrid w:val="0"/>
          <w:spacing w:val="-4"/>
          <w:kern w:val="22"/>
          <w:lang w:val="fr-CA"/>
        </w:rPr>
        <w:t>;</w:t>
      </w:r>
    </w:p>
    <w:p w14:paraId="23F23DD3" w14:textId="32C3CADF" w:rsidR="00FB4A70" w:rsidRPr="004F239A" w:rsidRDefault="00BD2757" w:rsidP="00AA5D70">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lang w:val="fr-CA"/>
        </w:rPr>
      </w:pPr>
      <w:r w:rsidRPr="004F239A">
        <w:rPr>
          <w:snapToGrid w:val="0"/>
          <w:kern w:val="22"/>
          <w:lang w:val="fr-CA"/>
        </w:rPr>
        <w:t>c</w:t>
      </w:r>
      <w:r w:rsidR="00FB4A70" w:rsidRPr="004F239A">
        <w:rPr>
          <w:snapToGrid w:val="0"/>
          <w:kern w:val="22"/>
          <w:lang w:val="fr-CA"/>
        </w:rPr>
        <w:t xml:space="preserve">) </w:t>
      </w:r>
      <w:r w:rsidR="00FB4A70" w:rsidRPr="004F239A">
        <w:rPr>
          <w:snapToGrid w:val="0"/>
          <w:kern w:val="22"/>
          <w:lang w:val="fr-CA"/>
        </w:rPr>
        <w:tab/>
      </w:r>
      <w:r w:rsidR="004C5745" w:rsidRPr="004F239A">
        <w:rPr>
          <w:snapToGrid w:val="0"/>
          <w:kern w:val="22"/>
          <w:lang w:val="fr-CA"/>
        </w:rPr>
        <w:t xml:space="preserve">D’entretenir des communications actives avec les Parties et les parties prenantes compétentes afin </w:t>
      </w:r>
      <w:r w:rsidR="00B370E0" w:rsidRPr="004F239A">
        <w:rPr>
          <w:snapToGrid w:val="0"/>
          <w:kern w:val="22"/>
          <w:lang w:val="fr-CA"/>
        </w:rPr>
        <w:t>de les informer, ainsi que le public, des</w:t>
      </w:r>
      <w:r w:rsidR="004C5745" w:rsidRPr="004F239A">
        <w:rPr>
          <w:snapToGrid w:val="0"/>
          <w:kern w:val="22"/>
          <w:lang w:val="fr-CA"/>
        </w:rPr>
        <w:t xml:space="preserve"> </w:t>
      </w:r>
      <w:r w:rsidR="00B370E0" w:rsidRPr="004F239A">
        <w:rPr>
          <w:snapToGrid w:val="0"/>
          <w:kern w:val="22"/>
          <w:lang w:val="fr-CA"/>
        </w:rPr>
        <w:t>résultats des activités de coopération technique et scientifique</w:t>
      </w:r>
      <w:r w:rsidR="00F50701">
        <w:rPr>
          <w:snapToGrid w:val="0"/>
          <w:kern w:val="22"/>
          <w:lang w:val="fr-CA"/>
        </w:rPr>
        <w:t> </w:t>
      </w:r>
      <w:r w:rsidR="00FB4A70" w:rsidRPr="004F239A">
        <w:rPr>
          <w:snapToGrid w:val="0"/>
          <w:kern w:val="22"/>
          <w:lang w:val="fr-CA"/>
        </w:rPr>
        <w:t>;</w:t>
      </w:r>
    </w:p>
    <w:p w14:paraId="199BFB06" w14:textId="1C4AA6EE" w:rsidR="004A3E7E" w:rsidRPr="004F239A" w:rsidRDefault="006C5806" w:rsidP="00AA5D70">
      <w:pPr>
        <w:suppressLineNumbers/>
        <w:suppressAutoHyphens/>
        <w:kinsoku w:val="0"/>
        <w:overflowPunct w:val="0"/>
        <w:autoSpaceDE w:val="0"/>
        <w:autoSpaceDN w:val="0"/>
        <w:adjustRightInd w:val="0"/>
        <w:snapToGrid w:val="0"/>
        <w:spacing w:before="120" w:after="120"/>
        <w:ind w:firstLine="720"/>
        <w:rPr>
          <w:snapToGrid w:val="0"/>
          <w:kern w:val="22"/>
          <w:lang w:val="fr-CA"/>
        </w:rPr>
      </w:pPr>
      <w:r w:rsidRPr="004F239A">
        <w:rPr>
          <w:snapToGrid w:val="0"/>
          <w:kern w:val="22"/>
          <w:lang w:val="fr-CA"/>
        </w:rPr>
        <w:t>d)</w:t>
      </w:r>
      <w:r w:rsidRPr="004F239A">
        <w:rPr>
          <w:snapToGrid w:val="0"/>
          <w:kern w:val="22"/>
          <w:lang w:val="fr-CA"/>
        </w:rPr>
        <w:tab/>
      </w:r>
      <w:r w:rsidR="00B370E0" w:rsidRPr="004F239A">
        <w:rPr>
          <w:snapToGrid w:val="0"/>
          <w:kern w:val="22"/>
          <w:lang w:val="fr-CA"/>
        </w:rPr>
        <w:t xml:space="preserve">D’organiser </w:t>
      </w:r>
      <w:r w:rsidR="00306EC8" w:rsidRPr="004F239A">
        <w:rPr>
          <w:snapToGrid w:val="0"/>
          <w:kern w:val="22"/>
          <w:lang w:val="fr-CA"/>
        </w:rPr>
        <w:t>des forums scientifiques sur la biodiversité, des expo</w:t>
      </w:r>
      <w:r w:rsidR="00630E5B">
        <w:rPr>
          <w:snapToGrid w:val="0"/>
          <w:kern w:val="22"/>
          <w:lang w:val="fr-CA"/>
        </w:rPr>
        <w:t>sition</w:t>
      </w:r>
      <w:r w:rsidR="00306EC8" w:rsidRPr="004F239A">
        <w:rPr>
          <w:snapToGrid w:val="0"/>
          <w:kern w:val="22"/>
          <w:lang w:val="fr-CA"/>
        </w:rPr>
        <w:t>s sur la technologie et l’innovation, des tables rondes et autres événements afin de mettre en lumière les projets, initiatives et occasions de coopération</w:t>
      </w:r>
      <w:r w:rsidR="00F50701">
        <w:rPr>
          <w:snapToGrid w:val="0"/>
          <w:kern w:val="22"/>
          <w:lang w:val="fr-CA"/>
        </w:rPr>
        <w:t> </w:t>
      </w:r>
      <w:r w:rsidR="004A3E7E" w:rsidRPr="004F239A">
        <w:rPr>
          <w:snapToGrid w:val="0"/>
          <w:kern w:val="22"/>
          <w:lang w:val="fr-CA"/>
        </w:rPr>
        <w:t>;</w:t>
      </w:r>
    </w:p>
    <w:p w14:paraId="1A6BB99C" w14:textId="76F71E35" w:rsidR="00FA7ED2" w:rsidRPr="004F239A" w:rsidRDefault="00BD2757" w:rsidP="00AA5D70">
      <w:pPr>
        <w:suppressLineNumbers/>
        <w:suppressAutoHyphens/>
        <w:kinsoku w:val="0"/>
        <w:overflowPunct w:val="0"/>
        <w:autoSpaceDE w:val="0"/>
        <w:autoSpaceDN w:val="0"/>
        <w:adjustRightInd w:val="0"/>
        <w:snapToGrid w:val="0"/>
        <w:spacing w:before="120" w:after="120"/>
        <w:ind w:firstLine="720"/>
        <w:rPr>
          <w:snapToGrid w:val="0"/>
          <w:kern w:val="22"/>
          <w:lang w:val="fr-CA"/>
        </w:rPr>
      </w:pPr>
      <w:r w:rsidRPr="004F239A">
        <w:rPr>
          <w:snapToGrid w:val="0"/>
          <w:kern w:val="22"/>
          <w:lang w:val="fr-CA"/>
        </w:rPr>
        <w:t>e</w:t>
      </w:r>
      <w:r w:rsidR="00FA7ED2" w:rsidRPr="004F239A">
        <w:rPr>
          <w:snapToGrid w:val="0"/>
          <w:kern w:val="22"/>
          <w:lang w:val="fr-CA"/>
        </w:rPr>
        <w:t>)</w:t>
      </w:r>
      <w:r w:rsidR="00FA7ED2" w:rsidRPr="004F239A">
        <w:rPr>
          <w:snapToGrid w:val="0"/>
          <w:kern w:val="22"/>
          <w:lang w:val="fr-CA"/>
        </w:rPr>
        <w:tab/>
      </w:r>
      <w:r w:rsidR="00306EC8" w:rsidRPr="004F239A">
        <w:rPr>
          <w:snapToGrid w:val="0"/>
          <w:kern w:val="22"/>
          <w:lang w:val="fr-CA"/>
        </w:rPr>
        <w:t>De tenir comp</w:t>
      </w:r>
      <w:r w:rsidR="00630E5B">
        <w:rPr>
          <w:snapToGrid w:val="0"/>
          <w:kern w:val="22"/>
          <w:lang w:val="fr-CA"/>
        </w:rPr>
        <w:t>te des renseignements pertinent</w:t>
      </w:r>
      <w:r w:rsidR="00306EC8" w:rsidRPr="004F239A">
        <w:rPr>
          <w:snapToGrid w:val="0"/>
          <w:kern w:val="22"/>
          <w:lang w:val="fr-CA"/>
        </w:rPr>
        <w:t>s en lien avec la coopération technique et scientifique et le transfert de technologie dans le domaine de la diversité biologique et de</w:t>
      </w:r>
      <w:r w:rsidR="0056191F" w:rsidRPr="004F239A">
        <w:rPr>
          <w:snapToGrid w:val="0"/>
          <w:kern w:val="22"/>
          <w:lang w:val="fr-CA"/>
        </w:rPr>
        <w:t xml:space="preserve"> les mettre à la disposition des Parties par le biais du mécanisme de centre d’échange, conformément au volet de gestion des connaissances du cadre mondial de la biodiversité pour l</w:t>
      </w:r>
      <w:r w:rsidR="00F50701">
        <w:rPr>
          <w:snapToGrid w:val="0"/>
          <w:kern w:val="22"/>
          <w:lang w:val="fr-CA"/>
        </w:rPr>
        <w:t>’</w:t>
      </w:r>
      <w:r w:rsidR="0056191F" w:rsidRPr="004F239A">
        <w:rPr>
          <w:snapToGrid w:val="0"/>
          <w:kern w:val="22"/>
          <w:lang w:val="fr-CA"/>
        </w:rPr>
        <w:t>après-2020</w:t>
      </w:r>
      <w:r w:rsidR="00F50701">
        <w:rPr>
          <w:snapToGrid w:val="0"/>
          <w:kern w:val="22"/>
          <w:lang w:val="fr-CA"/>
        </w:rPr>
        <w:t> </w:t>
      </w:r>
      <w:r w:rsidR="00FA7ED2" w:rsidRPr="004F239A">
        <w:rPr>
          <w:snapToGrid w:val="0"/>
          <w:kern w:val="22"/>
          <w:lang w:val="fr-CA"/>
        </w:rPr>
        <w:t>;</w:t>
      </w:r>
    </w:p>
    <w:p w14:paraId="0FF9CD14" w14:textId="7FA393D5" w:rsidR="004A3E7E" w:rsidRPr="004F239A" w:rsidRDefault="00FB4A70" w:rsidP="00AA5D70">
      <w:pPr>
        <w:suppressLineNumbers/>
        <w:suppressAutoHyphens/>
        <w:kinsoku w:val="0"/>
        <w:overflowPunct w:val="0"/>
        <w:autoSpaceDE w:val="0"/>
        <w:autoSpaceDN w:val="0"/>
        <w:adjustRightInd w:val="0"/>
        <w:snapToGrid w:val="0"/>
        <w:spacing w:before="120" w:after="120"/>
        <w:rPr>
          <w:rFonts w:eastAsiaTheme="minorEastAsia"/>
          <w:snapToGrid w:val="0"/>
          <w:kern w:val="22"/>
          <w:lang w:val="fr-CA"/>
        </w:rPr>
      </w:pPr>
      <w:r w:rsidRPr="004F239A">
        <w:rPr>
          <w:snapToGrid w:val="0"/>
          <w:kern w:val="22"/>
          <w:lang w:val="fr-CA"/>
        </w:rPr>
        <w:tab/>
      </w:r>
      <w:r w:rsidR="00BD2757" w:rsidRPr="004F239A">
        <w:rPr>
          <w:snapToGrid w:val="0"/>
          <w:kern w:val="22"/>
          <w:lang w:val="fr-CA"/>
        </w:rPr>
        <w:t>f</w:t>
      </w:r>
      <w:r w:rsidR="006C5806" w:rsidRPr="004F239A">
        <w:rPr>
          <w:snapToGrid w:val="0"/>
          <w:kern w:val="22"/>
          <w:lang w:val="fr-CA"/>
        </w:rPr>
        <w:t>)</w:t>
      </w:r>
      <w:r w:rsidR="006C5806" w:rsidRPr="004F239A">
        <w:rPr>
          <w:snapToGrid w:val="0"/>
          <w:kern w:val="22"/>
          <w:lang w:val="fr-CA"/>
        </w:rPr>
        <w:tab/>
      </w:r>
      <w:r w:rsidR="0056191F" w:rsidRPr="004F239A">
        <w:rPr>
          <w:snapToGrid w:val="0"/>
          <w:kern w:val="22"/>
          <w:lang w:val="fr-CA"/>
        </w:rPr>
        <w:t>D’exécuter les autres activités nécessaires afin de faciliter la coopération technique et scientifique en appui au cadre mondial de la biodiversité pour l</w:t>
      </w:r>
      <w:r w:rsidR="00F50701">
        <w:rPr>
          <w:snapToGrid w:val="0"/>
          <w:kern w:val="22"/>
          <w:lang w:val="fr-CA"/>
        </w:rPr>
        <w:t>’</w:t>
      </w:r>
      <w:r w:rsidR="0056191F" w:rsidRPr="004F239A">
        <w:rPr>
          <w:snapToGrid w:val="0"/>
          <w:kern w:val="22"/>
          <w:lang w:val="fr-CA"/>
        </w:rPr>
        <w:t>après-2020</w:t>
      </w:r>
      <w:r w:rsidR="00F50701">
        <w:rPr>
          <w:snapToGrid w:val="0"/>
          <w:kern w:val="22"/>
          <w:lang w:val="fr-CA"/>
        </w:rPr>
        <w:t> </w:t>
      </w:r>
      <w:r w:rsidR="008D7138" w:rsidRPr="004F239A">
        <w:rPr>
          <w:snapToGrid w:val="0"/>
          <w:color w:val="000000" w:themeColor="text1"/>
          <w:kern w:val="22"/>
          <w:lang w:val="fr-CA"/>
        </w:rPr>
        <w:t>;</w:t>
      </w:r>
    </w:p>
    <w:p w14:paraId="31A98855" w14:textId="1F3D75D8" w:rsidR="004A3E7E" w:rsidRPr="004F239A" w:rsidRDefault="00BD2757" w:rsidP="00015FFB">
      <w:pPr>
        <w:pStyle w:val="Para1"/>
        <w:numPr>
          <w:ilvl w:val="0"/>
          <w:numId w:val="0"/>
        </w:numPr>
        <w:suppressLineNumbers/>
        <w:suppressAutoHyphens/>
        <w:kinsoku w:val="0"/>
        <w:overflowPunct w:val="0"/>
        <w:autoSpaceDE w:val="0"/>
        <w:autoSpaceDN w:val="0"/>
        <w:adjustRightInd w:val="0"/>
        <w:snapToGrid w:val="0"/>
        <w:ind w:firstLine="720"/>
        <w:rPr>
          <w:kern w:val="22"/>
          <w:lang w:val="fr-CA"/>
        </w:rPr>
      </w:pPr>
      <w:r w:rsidRPr="004F239A">
        <w:rPr>
          <w:kern w:val="22"/>
          <w:lang w:val="fr-CA"/>
        </w:rPr>
        <w:t>g</w:t>
      </w:r>
      <w:r w:rsidR="006C5806" w:rsidRPr="004F239A">
        <w:rPr>
          <w:kern w:val="22"/>
          <w:lang w:val="fr-CA"/>
        </w:rPr>
        <w:t>)</w:t>
      </w:r>
      <w:r w:rsidR="006C5806" w:rsidRPr="004F239A">
        <w:rPr>
          <w:kern w:val="22"/>
          <w:lang w:val="fr-CA"/>
        </w:rPr>
        <w:tab/>
      </w:r>
      <w:r w:rsidR="0056191F" w:rsidRPr="004F239A">
        <w:rPr>
          <w:kern w:val="22"/>
          <w:lang w:val="fr-CA"/>
        </w:rPr>
        <w:t>De préparer les documents et rapports pertinents sur la coopération technique et scientifique et le transfert de technologie pour examen par la Conférence des Parties et ses organes subsidiaires</w:t>
      </w:r>
      <w:r w:rsidR="004A3E7E" w:rsidRPr="004F239A">
        <w:rPr>
          <w:kern w:val="22"/>
          <w:lang w:val="fr-CA"/>
        </w:rPr>
        <w:t>.</w:t>
      </w:r>
      <w:r w:rsidR="004A3E7E" w:rsidRPr="004F239A">
        <w:rPr>
          <w:kern w:val="22"/>
          <w:lang w:val="fr-CA"/>
        </w:rPr>
        <w:br w:type="page"/>
      </w:r>
    </w:p>
    <w:p w14:paraId="4FDFE2D8" w14:textId="21C7B54D" w:rsidR="004A3E7E" w:rsidRPr="004F239A" w:rsidRDefault="00423C8C" w:rsidP="00AA5D70">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2"/>
        <w:rPr>
          <w:i/>
          <w:iCs/>
          <w:snapToGrid w:val="0"/>
          <w:kern w:val="22"/>
          <w:lang w:val="fr-CA"/>
        </w:rPr>
      </w:pPr>
      <w:bookmarkStart w:id="17" w:name="_Toc57214894"/>
      <w:r w:rsidRPr="004F239A">
        <w:rPr>
          <w:i/>
          <w:iCs/>
          <w:snapToGrid w:val="0"/>
          <w:kern w:val="22"/>
          <w:lang w:val="fr-CA"/>
        </w:rPr>
        <w:lastRenderedPageBreak/>
        <w:t>Annex</w:t>
      </w:r>
      <w:r w:rsidR="00F1045C" w:rsidRPr="004F239A">
        <w:rPr>
          <w:i/>
          <w:iCs/>
          <w:snapToGrid w:val="0"/>
          <w:kern w:val="22"/>
          <w:lang w:val="fr-CA"/>
        </w:rPr>
        <w:t>e</w:t>
      </w:r>
      <w:r w:rsidR="004A3E7E" w:rsidRPr="004F239A">
        <w:rPr>
          <w:i/>
          <w:iCs/>
          <w:snapToGrid w:val="0"/>
          <w:kern w:val="22"/>
          <w:lang w:val="fr-CA"/>
        </w:rPr>
        <w:t xml:space="preserve"> </w:t>
      </w:r>
      <w:r w:rsidRPr="004F239A">
        <w:rPr>
          <w:i/>
          <w:iCs/>
          <w:snapToGrid w:val="0"/>
          <w:kern w:val="22"/>
          <w:lang w:val="fr-CA"/>
        </w:rPr>
        <w:t>I</w:t>
      </w:r>
      <w:bookmarkEnd w:id="17"/>
    </w:p>
    <w:p w14:paraId="5B0E5AA0" w14:textId="08CB0D82" w:rsidR="004A3E7E" w:rsidRPr="004F239A" w:rsidRDefault="00F1045C" w:rsidP="00AA5D70">
      <w:pPr>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lang w:val="fr-CA"/>
        </w:rPr>
      </w:pPr>
      <w:r w:rsidRPr="004F239A">
        <w:rPr>
          <w:b/>
          <w:bCs/>
          <w:caps/>
          <w:snapToGrid w:val="0"/>
          <w:kern w:val="22"/>
          <w:szCs w:val="22"/>
          <w:lang w:val="fr-CA"/>
        </w:rPr>
        <w:t>cadre stratégique à long terme pour le renforcement des capacités</w:t>
      </w:r>
    </w:p>
    <w:p w14:paraId="50B78404" w14:textId="05BA14ED" w:rsidR="004A3E7E" w:rsidRPr="004F239A" w:rsidRDefault="00E37046" w:rsidP="00AA5D70">
      <w:pPr>
        <w:pStyle w:val="Heading1"/>
        <w:numPr>
          <w:ilvl w:val="0"/>
          <w:numId w:val="84"/>
        </w:numPr>
        <w:suppressLineNumbers/>
        <w:tabs>
          <w:tab w:val="clear" w:pos="720"/>
          <w:tab w:val="left" w:pos="284"/>
        </w:tabs>
        <w:suppressAutoHyphens/>
        <w:kinsoku w:val="0"/>
        <w:overflowPunct w:val="0"/>
        <w:autoSpaceDE w:val="0"/>
        <w:autoSpaceDN w:val="0"/>
        <w:adjustRightInd w:val="0"/>
        <w:snapToGrid w:val="0"/>
        <w:ind w:left="0" w:firstLine="0"/>
        <w:rPr>
          <w:snapToGrid w:val="0"/>
          <w:kern w:val="22"/>
          <w:lang w:val="fr-CA"/>
        </w:rPr>
      </w:pPr>
      <w:bookmarkStart w:id="18" w:name="_Toc57214896"/>
      <w:r w:rsidRPr="004F239A">
        <w:rPr>
          <w:snapToGrid w:val="0"/>
          <w:kern w:val="22"/>
          <w:lang w:val="fr-CA"/>
        </w:rPr>
        <w:t>Introduction</w:t>
      </w:r>
      <w:bookmarkEnd w:id="18"/>
    </w:p>
    <w:p w14:paraId="2B5069C4" w14:textId="4F097BE8" w:rsidR="004A3E7E" w:rsidRPr="004F239A" w:rsidRDefault="00007315"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color w:val="000000"/>
          <w:kern w:val="22"/>
          <w:lang w:val="fr-CA"/>
        </w:rPr>
        <w:t xml:space="preserve">Le cadre stratégique </w:t>
      </w:r>
      <w:r w:rsidR="00977175">
        <w:rPr>
          <w:color w:val="000000"/>
          <w:kern w:val="22"/>
          <w:lang w:val="fr-CA"/>
        </w:rPr>
        <w:t xml:space="preserve">à long terme </w:t>
      </w:r>
      <w:r w:rsidRPr="004F239A">
        <w:rPr>
          <w:color w:val="000000"/>
          <w:kern w:val="22"/>
          <w:lang w:val="fr-CA"/>
        </w:rPr>
        <w:t>a pour but de diriger les efforts de renforcement des capacités des acteurs gouvern</w:t>
      </w:r>
      <w:r w:rsidR="00977175">
        <w:rPr>
          <w:color w:val="000000"/>
          <w:kern w:val="22"/>
          <w:lang w:val="fr-CA"/>
        </w:rPr>
        <w:t>ementaux et non gouvernementaux</w:t>
      </w:r>
      <w:r w:rsidR="004A3E7E" w:rsidRPr="004F239A">
        <w:rPr>
          <w:rStyle w:val="FootnoteReference"/>
          <w:kern w:val="22"/>
          <w:lang w:val="fr-CA"/>
        </w:rPr>
        <w:footnoteReference w:id="52"/>
      </w:r>
      <w:r w:rsidR="004A3E7E" w:rsidRPr="004F239A">
        <w:rPr>
          <w:kern w:val="22"/>
          <w:lang w:val="fr-CA"/>
        </w:rPr>
        <w:t xml:space="preserve"> </w:t>
      </w:r>
      <w:r w:rsidRPr="004F239A">
        <w:rPr>
          <w:color w:val="000000"/>
          <w:kern w:val="22"/>
          <w:lang w:val="fr-CA"/>
        </w:rPr>
        <w:t>en appui à la mise en œuvre du cadre mondial de la biodiversité pour l</w:t>
      </w:r>
      <w:r w:rsidR="00F50701">
        <w:rPr>
          <w:color w:val="000000"/>
          <w:kern w:val="22"/>
          <w:lang w:val="fr-CA"/>
        </w:rPr>
        <w:t>’</w:t>
      </w:r>
      <w:r w:rsidRPr="004F239A">
        <w:rPr>
          <w:color w:val="000000"/>
          <w:kern w:val="22"/>
          <w:lang w:val="fr-CA"/>
        </w:rPr>
        <w:t xml:space="preserve">après-2020 et des Objectifs de développement durable. Il vise à catalyser des interventions institutionnelles de renforcement des capacités solides, coordonnées et réalisées de manière </w:t>
      </w:r>
      <w:r w:rsidR="00977175">
        <w:rPr>
          <w:color w:val="000000"/>
          <w:kern w:val="22"/>
          <w:lang w:val="fr-CA"/>
        </w:rPr>
        <w:t>systémique</w:t>
      </w:r>
      <w:r w:rsidRPr="004F239A">
        <w:rPr>
          <w:color w:val="000000"/>
          <w:kern w:val="22"/>
          <w:lang w:val="fr-CA"/>
        </w:rPr>
        <w:t xml:space="preserve"> et complémentaire et </w:t>
      </w:r>
      <w:r w:rsidR="009B159D" w:rsidRPr="004F239A">
        <w:rPr>
          <w:color w:val="000000"/>
          <w:kern w:val="22"/>
          <w:lang w:val="fr-CA"/>
        </w:rPr>
        <w:t>à</w:t>
      </w:r>
      <w:r w:rsidRPr="004F239A">
        <w:rPr>
          <w:color w:val="000000"/>
          <w:kern w:val="22"/>
          <w:lang w:val="fr-CA"/>
        </w:rPr>
        <w:t xml:space="preserve"> favoriser la cohérence et l’efficacité des efforts de renforcement des capacités à tous les niveaux grâce à des démarches stratégiques, coordonnées et harmonisées</w:t>
      </w:r>
      <w:r w:rsidR="004A3E7E" w:rsidRPr="004F239A">
        <w:rPr>
          <w:kern w:val="22"/>
          <w:lang w:val="fr-CA"/>
        </w:rPr>
        <w:t>.</w:t>
      </w:r>
    </w:p>
    <w:p w14:paraId="46F655A6" w14:textId="264E3107" w:rsidR="004A3E7E" w:rsidRPr="004F239A" w:rsidRDefault="009B159D"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L’étude r</w:t>
      </w:r>
      <w:r w:rsidR="00977175">
        <w:rPr>
          <w:kern w:val="22"/>
          <w:lang w:val="fr-CA"/>
        </w:rPr>
        <w:t xml:space="preserve">éalisée dans le but de </w:t>
      </w:r>
      <w:r w:rsidR="002E39A4">
        <w:rPr>
          <w:kern w:val="22"/>
          <w:lang w:val="fr-CA"/>
        </w:rPr>
        <w:t>créer</w:t>
      </w:r>
      <w:r w:rsidR="00977175">
        <w:rPr>
          <w:kern w:val="22"/>
          <w:lang w:val="fr-CA"/>
        </w:rPr>
        <w:t xml:space="preserve"> la base de connaissances sur la</w:t>
      </w:r>
      <w:r w:rsidRPr="004F239A">
        <w:rPr>
          <w:kern w:val="22"/>
          <w:lang w:val="fr-CA"/>
        </w:rPr>
        <w:t>quelle repose le cadre</w:t>
      </w:r>
      <w:r w:rsidR="004A3E7E" w:rsidRPr="004F239A">
        <w:rPr>
          <w:kern w:val="22"/>
          <w:vertAlign w:val="superscript"/>
          <w:lang w:val="fr-CA"/>
        </w:rPr>
        <w:footnoteReference w:id="53"/>
      </w:r>
      <w:r w:rsidR="004A3E7E" w:rsidRPr="004F239A">
        <w:rPr>
          <w:kern w:val="22"/>
          <w:lang w:val="fr-CA"/>
        </w:rPr>
        <w:t xml:space="preserve"> </w:t>
      </w:r>
      <w:r w:rsidRPr="004F239A">
        <w:rPr>
          <w:kern w:val="22"/>
          <w:lang w:val="fr-CA"/>
        </w:rPr>
        <w:t xml:space="preserve">a révélé que les efforts de renforcement des capacités, surtout dans les pays en développement, sont fragmentés et entrepris en silos, surtout </w:t>
      </w:r>
      <w:r w:rsidR="002E39A4">
        <w:rPr>
          <w:kern w:val="22"/>
          <w:lang w:val="fr-CA"/>
        </w:rPr>
        <w:t>à cause</w:t>
      </w:r>
      <w:r w:rsidRPr="004F239A">
        <w:rPr>
          <w:kern w:val="22"/>
          <w:lang w:val="fr-CA"/>
        </w:rPr>
        <w:t xml:space="preserve"> de projets à court terme recevant un appui financier de l’extérieur. Plusieurs pays n’ont pas encore adopté de démarches systémiques à long terme et institutionnalisées en matière de renforcement des capacités. </w:t>
      </w:r>
      <w:r w:rsidR="00EE3614" w:rsidRPr="004F239A">
        <w:rPr>
          <w:kern w:val="22"/>
          <w:lang w:val="fr-CA"/>
        </w:rPr>
        <w:t>Les interventions de renforcement des capacités sont souvent réalisées de manière ponctuelle et non dans le cadre d’un programme à long terme cohérent, sans environnement habilitant adéquat</w:t>
      </w:r>
      <w:r w:rsidR="004811FF">
        <w:rPr>
          <w:kern w:val="22"/>
          <w:lang w:val="fr-CA"/>
        </w:rPr>
        <w:t>, de sorte que</w:t>
      </w:r>
      <w:r w:rsidR="00EE3614" w:rsidRPr="004F239A">
        <w:rPr>
          <w:kern w:val="22"/>
          <w:lang w:val="fr-CA"/>
        </w:rPr>
        <w:t xml:space="preserve"> plusieurs interventions n’ont pas réussi à </w:t>
      </w:r>
      <w:r w:rsidR="004811FF">
        <w:rPr>
          <w:kern w:val="22"/>
          <w:lang w:val="fr-CA"/>
        </w:rPr>
        <w:t>provoquer</w:t>
      </w:r>
      <w:r w:rsidR="00EE3614" w:rsidRPr="004F239A">
        <w:rPr>
          <w:kern w:val="22"/>
          <w:lang w:val="fr-CA"/>
        </w:rPr>
        <w:t xml:space="preserve"> les changements désirés de manière durable. Le cadre stratégique vise à corriger ces lacunes</w:t>
      </w:r>
      <w:r w:rsidR="004A3E7E" w:rsidRPr="004F239A">
        <w:rPr>
          <w:kern w:val="22"/>
          <w:lang w:val="fr-CA"/>
        </w:rPr>
        <w:t>.</w:t>
      </w:r>
    </w:p>
    <w:p w14:paraId="7340AC26" w14:textId="31696D52" w:rsidR="004A3E7E" w:rsidRPr="004F239A" w:rsidRDefault="00EE3614"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szCs w:val="22"/>
          <w:lang w:val="fr-CA"/>
        </w:rPr>
      </w:pPr>
      <w:r w:rsidRPr="004F239A">
        <w:rPr>
          <w:kern w:val="22"/>
          <w:szCs w:val="22"/>
          <w:lang w:val="fr-CA"/>
        </w:rPr>
        <w:t>La ca</w:t>
      </w:r>
      <w:r w:rsidR="003D3101" w:rsidRPr="004F239A">
        <w:rPr>
          <w:kern w:val="22"/>
          <w:szCs w:val="22"/>
          <w:lang w:val="fr-CA"/>
        </w:rPr>
        <w:t xml:space="preserve">pacité est définie comme étant « l’aptitude des gens, des </w:t>
      </w:r>
      <w:r w:rsidR="00536800" w:rsidRPr="004F239A">
        <w:rPr>
          <w:kern w:val="22"/>
          <w:szCs w:val="22"/>
          <w:lang w:val="fr-CA"/>
        </w:rPr>
        <w:t>organisations</w:t>
      </w:r>
      <w:r w:rsidR="003D3101" w:rsidRPr="004F239A">
        <w:rPr>
          <w:kern w:val="22"/>
          <w:szCs w:val="22"/>
          <w:lang w:val="fr-CA"/>
        </w:rPr>
        <w:t xml:space="preserve"> et </w:t>
      </w:r>
      <w:r w:rsidR="002E39A4">
        <w:rPr>
          <w:kern w:val="22"/>
          <w:szCs w:val="22"/>
          <w:lang w:val="fr-CA"/>
        </w:rPr>
        <w:t>l’ensemble de la société</w:t>
      </w:r>
      <w:r w:rsidR="003D3101" w:rsidRPr="004F239A">
        <w:rPr>
          <w:kern w:val="22"/>
          <w:szCs w:val="22"/>
          <w:lang w:val="fr-CA"/>
        </w:rPr>
        <w:t xml:space="preserve"> à réaliser les objectifs liés à la diversité bio</w:t>
      </w:r>
      <w:r w:rsidR="00536800" w:rsidRPr="004F239A">
        <w:rPr>
          <w:kern w:val="22"/>
          <w:szCs w:val="22"/>
          <w:lang w:val="fr-CA"/>
        </w:rPr>
        <w:t>lo</w:t>
      </w:r>
      <w:r w:rsidR="003D3101" w:rsidRPr="004F239A">
        <w:rPr>
          <w:kern w:val="22"/>
          <w:szCs w:val="22"/>
          <w:lang w:val="fr-CA"/>
        </w:rPr>
        <w:t>gique et les cibles d</w:t>
      </w:r>
      <w:r w:rsidR="004811FF">
        <w:rPr>
          <w:kern w:val="22"/>
          <w:szCs w:val="22"/>
          <w:lang w:val="fr-CA"/>
        </w:rPr>
        <w:t>’</w:t>
      </w:r>
      <w:r w:rsidR="003D3101" w:rsidRPr="004F239A">
        <w:rPr>
          <w:kern w:val="22"/>
          <w:szCs w:val="22"/>
          <w:lang w:val="fr-CA"/>
        </w:rPr>
        <w:t>action</w:t>
      </w:r>
      <w:r w:rsidR="003D3101" w:rsidRPr="004F239A">
        <w:rPr>
          <w:lang w:val="fr-CA"/>
        </w:rPr>
        <w:t xml:space="preserve"> » dans le contexte </w:t>
      </w:r>
      <w:r w:rsidR="004811FF">
        <w:rPr>
          <w:lang w:val="fr-CA"/>
        </w:rPr>
        <w:t>du</w:t>
      </w:r>
      <w:r w:rsidR="003D3101" w:rsidRPr="004F239A">
        <w:rPr>
          <w:lang w:val="fr-CA"/>
        </w:rPr>
        <w:t xml:space="preserve"> cadre stratégique, et le renforcement des capacités est vu comme « le processus</w:t>
      </w:r>
      <w:r w:rsidR="00536800" w:rsidRPr="004F239A">
        <w:rPr>
          <w:lang w:val="fr-CA"/>
        </w:rPr>
        <w:t xml:space="preserve"> par lequel les gens, les organisations et </w:t>
      </w:r>
      <w:r w:rsidR="002E39A4">
        <w:rPr>
          <w:lang w:val="fr-CA"/>
        </w:rPr>
        <w:t>l’ensemble de la société</w:t>
      </w:r>
      <w:r w:rsidR="00536800" w:rsidRPr="004F239A">
        <w:rPr>
          <w:lang w:val="fr-CA"/>
        </w:rPr>
        <w:t xml:space="preserve"> dégagent, renforcent, créent, adaptent et maintiennent les capacités à long terme afin d’obtenir des résultats positifs pour la diversité biologique »</w:t>
      </w:r>
      <w:r w:rsidR="004A3E7E" w:rsidRPr="004F239A">
        <w:rPr>
          <w:kern w:val="22"/>
          <w:szCs w:val="22"/>
          <w:lang w:val="fr-CA"/>
        </w:rPr>
        <w:t>.</w:t>
      </w:r>
      <w:r w:rsidR="004A3E7E" w:rsidRPr="004F239A">
        <w:rPr>
          <w:kern w:val="22"/>
          <w:szCs w:val="22"/>
          <w:vertAlign w:val="superscript"/>
          <w:lang w:val="fr-CA"/>
        </w:rPr>
        <w:footnoteReference w:id="54"/>
      </w:r>
      <w:r w:rsidR="004A3E7E" w:rsidRPr="004F239A">
        <w:rPr>
          <w:kern w:val="22"/>
          <w:szCs w:val="22"/>
          <w:lang w:val="fr-CA"/>
        </w:rPr>
        <w:t xml:space="preserve"> </w:t>
      </w:r>
      <w:r w:rsidR="00536800" w:rsidRPr="004F239A">
        <w:rPr>
          <w:kern w:val="22"/>
          <w:szCs w:val="22"/>
          <w:lang w:val="fr-CA"/>
        </w:rPr>
        <w:t xml:space="preserve">Le renforcement des capacités est examiné </w:t>
      </w:r>
      <w:r w:rsidR="00DA07BE">
        <w:rPr>
          <w:kern w:val="22"/>
          <w:szCs w:val="22"/>
          <w:lang w:val="fr-CA"/>
        </w:rPr>
        <w:t>selon trois aspects</w:t>
      </w:r>
      <w:r w:rsidR="00536800" w:rsidRPr="004F239A">
        <w:rPr>
          <w:kern w:val="22"/>
          <w:szCs w:val="22"/>
          <w:lang w:val="fr-CA"/>
        </w:rPr>
        <w:t> : l’</w:t>
      </w:r>
      <w:r w:rsidR="00E562AF" w:rsidRPr="004F239A">
        <w:rPr>
          <w:kern w:val="22"/>
          <w:szCs w:val="22"/>
          <w:lang w:val="fr-CA"/>
        </w:rPr>
        <w:t>environnement habi</w:t>
      </w:r>
      <w:r w:rsidR="00536800" w:rsidRPr="004F239A">
        <w:rPr>
          <w:kern w:val="22"/>
          <w:szCs w:val="22"/>
          <w:lang w:val="fr-CA"/>
        </w:rPr>
        <w:t>litant, et les niveaux organisationn</w:t>
      </w:r>
      <w:r w:rsidR="00E562AF" w:rsidRPr="004F239A">
        <w:rPr>
          <w:kern w:val="22"/>
          <w:szCs w:val="22"/>
          <w:lang w:val="fr-CA"/>
        </w:rPr>
        <w:t>e</w:t>
      </w:r>
      <w:r w:rsidR="00536800" w:rsidRPr="004F239A">
        <w:rPr>
          <w:kern w:val="22"/>
          <w:szCs w:val="22"/>
          <w:lang w:val="fr-CA"/>
        </w:rPr>
        <w:t>l et individuel</w:t>
      </w:r>
      <w:r w:rsidR="004A3E7E" w:rsidRPr="004F239A">
        <w:rPr>
          <w:kern w:val="22"/>
          <w:szCs w:val="22"/>
          <w:lang w:val="fr-CA"/>
        </w:rPr>
        <w:t>.</w:t>
      </w:r>
    </w:p>
    <w:p w14:paraId="13192EC2" w14:textId="0D4A25D7" w:rsidR="004A3E7E" w:rsidRPr="004F239A" w:rsidRDefault="004A3E7E" w:rsidP="00AA5D70">
      <w:pPr>
        <w:pStyle w:val="Heading1"/>
        <w:suppressLineNumbers/>
        <w:tabs>
          <w:tab w:val="clear" w:pos="720"/>
          <w:tab w:val="left" w:pos="426"/>
        </w:tabs>
        <w:suppressAutoHyphens/>
        <w:kinsoku w:val="0"/>
        <w:overflowPunct w:val="0"/>
        <w:autoSpaceDE w:val="0"/>
        <w:autoSpaceDN w:val="0"/>
        <w:adjustRightInd w:val="0"/>
        <w:snapToGrid w:val="0"/>
        <w:spacing w:before="120"/>
        <w:rPr>
          <w:bCs/>
          <w:snapToGrid w:val="0"/>
          <w:kern w:val="22"/>
          <w:lang w:val="fr-CA"/>
        </w:rPr>
      </w:pPr>
      <w:bookmarkStart w:id="19" w:name="_Toc57214897"/>
      <w:r w:rsidRPr="004F239A">
        <w:rPr>
          <w:bCs/>
          <w:snapToGrid w:val="0"/>
          <w:kern w:val="22"/>
          <w:lang w:val="fr-CA"/>
        </w:rPr>
        <w:t>II.</w:t>
      </w:r>
      <w:r w:rsidRPr="004F239A">
        <w:rPr>
          <w:bCs/>
          <w:snapToGrid w:val="0"/>
          <w:kern w:val="22"/>
          <w:lang w:val="fr-CA"/>
        </w:rPr>
        <w:tab/>
      </w:r>
      <w:bookmarkEnd w:id="19"/>
      <w:r w:rsidR="00E562AF" w:rsidRPr="004F239A">
        <w:rPr>
          <w:snapToGrid w:val="0"/>
          <w:kern w:val="22"/>
          <w:lang w:val="fr-CA"/>
        </w:rPr>
        <w:t>DIRECTION STRATÉGIQUE ET RÉSULTATS</w:t>
      </w:r>
    </w:p>
    <w:p w14:paraId="4823932E" w14:textId="529DBE37" w:rsidR="004A3E7E" w:rsidRPr="004F239A" w:rsidRDefault="00E562AF" w:rsidP="00AA5D70">
      <w:pPr>
        <w:pStyle w:val="Heading2"/>
        <w:keepNext w:val="0"/>
        <w:numPr>
          <w:ilvl w:val="0"/>
          <w:numId w:val="7"/>
        </w:numPr>
        <w:suppressLineNumbers/>
        <w:tabs>
          <w:tab w:val="clear" w:pos="720"/>
        </w:tabs>
        <w:suppressAutoHyphens/>
        <w:kinsoku w:val="0"/>
        <w:overflowPunct w:val="0"/>
        <w:autoSpaceDE w:val="0"/>
        <w:autoSpaceDN w:val="0"/>
        <w:adjustRightInd w:val="0"/>
        <w:snapToGrid w:val="0"/>
        <w:ind w:left="714" w:hanging="357"/>
        <w:rPr>
          <w:snapToGrid w:val="0"/>
          <w:kern w:val="22"/>
          <w:lang w:val="fr-CA"/>
        </w:rPr>
      </w:pPr>
      <w:r w:rsidRPr="004F239A">
        <w:rPr>
          <w:snapToGrid w:val="0"/>
          <w:kern w:val="22"/>
          <w:lang w:val="fr-CA"/>
        </w:rPr>
        <w:t>Vision globale de la théorie du changement</w:t>
      </w:r>
    </w:p>
    <w:p w14:paraId="17D22939" w14:textId="68869895" w:rsidR="004A3E7E" w:rsidRPr="004F239A" w:rsidRDefault="00E562AF"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 xml:space="preserve">La vision à long terme de ce cadre stratégique </w:t>
      </w:r>
      <w:r w:rsidR="00DA07BE">
        <w:rPr>
          <w:kern w:val="22"/>
          <w:lang w:val="fr-CA"/>
        </w:rPr>
        <w:t>est</w:t>
      </w:r>
      <w:r w:rsidRPr="004F239A">
        <w:rPr>
          <w:kern w:val="22"/>
          <w:lang w:val="fr-CA"/>
        </w:rPr>
        <w:t xml:space="preserve"> que d’ici à 2050, toutes les sociétés seront entièrement responsabilisées et vivront efficacement en harmonie avec la nature. La vision à moyen terme </w:t>
      </w:r>
      <w:r w:rsidR="00DA07BE">
        <w:rPr>
          <w:kern w:val="22"/>
          <w:lang w:val="fr-CA"/>
        </w:rPr>
        <w:t>est</w:t>
      </w:r>
      <w:r w:rsidRPr="004F239A">
        <w:rPr>
          <w:kern w:val="22"/>
          <w:lang w:val="fr-CA"/>
        </w:rPr>
        <w:t xml:space="preserve"> que d’ici à 2030, les gouvernements et les acteurs non gouvernementaux </w:t>
      </w:r>
      <w:r w:rsidR="00DA07BE">
        <w:rPr>
          <w:kern w:val="22"/>
          <w:lang w:val="fr-CA"/>
        </w:rPr>
        <w:t>concernés</w:t>
      </w:r>
      <w:r w:rsidRPr="004F239A">
        <w:rPr>
          <w:kern w:val="22"/>
          <w:lang w:val="fr-CA"/>
        </w:rPr>
        <w:t xml:space="preserve"> auront les capacités requises pour contribuer de manière efficace et durable</w:t>
      </w:r>
      <w:r w:rsidR="003D4177" w:rsidRPr="004F239A">
        <w:rPr>
          <w:kern w:val="22"/>
          <w:lang w:val="fr-CA"/>
        </w:rPr>
        <w:t xml:space="preserve"> à la réalisation des objectifs et des cibles d’action de 2030 du cadre mondial de la biodiversité pour l</w:t>
      </w:r>
      <w:r w:rsidR="00F50701">
        <w:rPr>
          <w:kern w:val="22"/>
          <w:lang w:val="fr-CA"/>
        </w:rPr>
        <w:t>’</w:t>
      </w:r>
      <w:r w:rsidR="003D4177" w:rsidRPr="004F239A">
        <w:rPr>
          <w:kern w:val="22"/>
          <w:lang w:val="fr-CA"/>
        </w:rPr>
        <w:t>après-2020</w:t>
      </w:r>
      <w:r w:rsidR="004A3E7E" w:rsidRPr="004F239A">
        <w:rPr>
          <w:kern w:val="22"/>
          <w:lang w:val="fr-CA"/>
        </w:rPr>
        <w:t>.</w:t>
      </w:r>
    </w:p>
    <w:p w14:paraId="74843D8E" w14:textId="144B0BE2" w:rsidR="004A3E7E" w:rsidRPr="004F239A" w:rsidRDefault="003D4177"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L’objectif général consiste à soutenir le développement continu et le renforcement des capacités nécessaires à la réalisation des buts et objectifs du cadre mondial de la biodiversité pour l</w:t>
      </w:r>
      <w:r w:rsidR="00F50701">
        <w:rPr>
          <w:kern w:val="22"/>
          <w:lang w:val="fr-CA"/>
        </w:rPr>
        <w:t>’</w:t>
      </w:r>
      <w:r w:rsidRPr="004F239A">
        <w:rPr>
          <w:kern w:val="22"/>
          <w:lang w:val="fr-CA"/>
        </w:rPr>
        <w:t>après-2020, en améliorant la cohérence et l’efficacité des proje</w:t>
      </w:r>
      <w:r w:rsidR="004B7054" w:rsidRPr="004F239A">
        <w:rPr>
          <w:kern w:val="22"/>
          <w:lang w:val="fr-CA"/>
        </w:rPr>
        <w:t>t</w:t>
      </w:r>
      <w:r w:rsidRPr="004F239A">
        <w:rPr>
          <w:kern w:val="22"/>
          <w:lang w:val="fr-CA"/>
        </w:rPr>
        <w:t xml:space="preserve">s de renforcement des capacités à tous les niveaux et en les </w:t>
      </w:r>
      <w:r w:rsidR="00093FBF">
        <w:rPr>
          <w:kern w:val="22"/>
          <w:lang w:val="fr-CA"/>
        </w:rPr>
        <w:t>faisant concorder</w:t>
      </w:r>
      <w:r w:rsidRPr="004F239A">
        <w:rPr>
          <w:kern w:val="22"/>
          <w:lang w:val="fr-CA"/>
        </w:rPr>
        <w:t xml:space="preserve"> aux projets pertinents qui appuient la réalisation des Objectifs de développement durable.</w:t>
      </w:r>
      <w:r w:rsidR="004B7054" w:rsidRPr="004F239A">
        <w:rPr>
          <w:kern w:val="22"/>
          <w:lang w:val="fr-CA"/>
        </w:rPr>
        <w:t xml:space="preserve"> </w:t>
      </w:r>
      <w:r w:rsidR="004B7054" w:rsidRPr="004F239A">
        <w:rPr>
          <w:kern w:val="22"/>
          <w:lang w:val="fr-CA"/>
        </w:rPr>
        <w:lastRenderedPageBreak/>
        <w:t>Ces changements ne pourront être réalis</w:t>
      </w:r>
      <w:r w:rsidR="00F50701">
        <w:rPr>
          <w:kern w:val="22"/>
          <w:lang w:val="fr-CA"/>
        </w:rPr>
        <w:t>é</w:t>
      </w:r>
      <w:r w:rsidR="004B7054" w:rsidRPr="004F239A">
        <w:rPr>
          <w:kern w:val="22"/>
          <w:lang w:val="fr-CA"/>
        </w:rPr>
        <w:t>s qu’en mettant en place des organisations efficaces, souples et en apprentissage continu</w:t>
      </w:r>
      <w:r w:rsidR="004A3E7E" w:rsidRPr="004F239A">
        <w:rPr>
          <w:rStyle w:val="FootnoteReference"/>
          <w:kern w:val="22"/>
          <w:lang w:val="fr-CA"/>
        </w:rPr>
        <w:footnoteReference w:id="55"/>
      </w:r>
      <w:r w:rsidR="004A3E7E" w:rsidRPr="004F239A">
        <w:rPr>
          <w:kern w:val="22"/>
          <w:lang w:val="fr-CA"/>
        </w:rPr>
        <w:t xml:space="preserve"> </w:t>
      </w:r>
      <w:r w:rsidR="00E10145">
        <w:rPr>
          <w:kern w:val="22"/>
          <w:lang w:val="fr-CA"/>
        </w:rPr>
        <w:t>profitant</w:t>
      </w:r>
      <w:r w:rsidR="004B7054" w:rsidRPr="004F239A">
        <w:rPr>
          <w:kern w:val="22"/>
          <w:lang w:val="fr-CA"/>
        </w:rPr>
        <w:t xml:space="preserve"> des ressources financières et techniques suffisantes</w:t>
      </w:r>
      <w:r w:rsidR="004A3E7E" w:rsidRPr="004F239A">
        <w:rPr>
          <w:kern w:val="22"/>
          <w:lang w:val="fr-CA"/>
        </w:rPr>
        <w:t>.</w:t>
      </w:r>
    </w:p>
    <w:p w14:paraId="103A663A" w14:textId="5B7115FC" w:rsidR="004A3E7E" w:rsidRPr="004F239A" w:rsidRDefault="0078545A"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Le cadre stratégique à long terme, tout comme le cadre mondial de la biodiversité pour l</w:t>
      </w:r>
      <w:r w:rsidR="00F50701">
        <w:rPr>
          <w:kern w:val="22"/>
          <w:lang w:val="fr-CA"/>
        </w:rPr>
        <w:t>’</w:t>
      </w:r>
      <w:r w:rsidRPr="004F239A">
        <w:rPr>
          <w:kern w:val="22"/>
          <w:lang w:val="fr-CA"/>
        </w:rPr>
        <w:t>après-2020, repose sur la théorie du changem</w:t>
      </w:r>
      <w:r w:rsidR="00093FBF">
        <w:rPr>
          <w:kern w:val="22"/>
          <w:lang w:val="fr-CA"/>
        </w:rPr>
        <w:t>ent, élaboré et illustré dans la</w:t>
      </w:r>
      <w:r w:rsidRPr="004F239A">
        <w:rPr>
          <w:kern w:val="22"/>
          <w:lang w:val="fr-CA"/>
        </w:rPr>
        <w:t xml:space="preserve"> figure 3 du document </w:t>
      </w:r>
      <w:r w:rsidR="004A3E7E" w:rsidRPr="004F239A">
        <w:rPr>
          <w:kern w:val="22"/>
          <w:lang w:val="fr-CA"/>
        </w:rPr>
        <w:t>CBD/SBI/3/7/Add.1.</w:t>
      </w:r>
      <w:r w:rsidR="004A3E7E" w:rsidRPr="004F239A">
        <w:rPr>
          <w:kern w:val="22"/>
          <w:vertAlign w:val="superscript"/>
          <w:lang w:val="fr-CA"/>
        </w:rPr>
        <w:footnoteReference w:id="56"/>
      </w:r>
      <w:r w:rsidR="004A3E7E" w:rsidRPr="004F239A">
        <w:rPr>
          <w:kern w:val="22"/>
          <w:lang w:val="fr-CA"/>
        </w:rPr>
        <w:t xml:space="preserve"> </w:t>
      </w:r>
      <w:r w:rsidRPr="004F239A">
        <w:rPr>
          <w:kern w:val="22"/>
          <w:lang w:val="fr-CA"/>
        </w:rPr>
        <w:t>La théorie du changement donne les gran</w:t>
      </w:r>
      <w:r w:rsidR="00093FBF">
        <w:rPr>
          <w:kern w:val="22"/>
          <w:lang w:val="fr-CA"/>
        </w:rPr>
        <w:t>des lignes des voies à utiliser</w:t>
      </w:r>
      <w:r w:rsidRPr="004F239A">
        <w:rPr>
          <w:kern w:val="22"/>
          <w:lang w:val="fr-CA"/>
        </w:rPr>
        <w:t xml:space="preserve"> pour changer les capacités, les hypothèses sous-jacentes et les résultats/conclusion</w:t>
      </w:r>
      <w:r w:rsidR="00093FBF">
        <w:rPr>
          <w:kern w:val="22"/>
          <w:lang w:val="fr-CA"/>
        </w:rPr>
        <w:t>s</w:t>
      </w:r>
      <w:r w:rsidRPr="004F239A">
        <w:rPr>
          <w:kern w:val="22"/>
          <w:lang w:val="fr-CA"/>
        </w:rPr>
        <w:t xml:space="preserve"> de hau</w:t>
      </w:r>
      <w:r w:rsidR="00342DC1" w:rsidRPr="004F239A">
        <w:rPr>
          <w:kern w:val="22"/>
          <w:lang w:val="fr-CA"/>
        </w:rPr>
        <w:t>t</w:t>
      </w:r>
      <w:r w:rsidRPr="004F239A">
        <w:rPr>
          <w:kern w:val="22"/>
          <w:lang w:val="fr-CA"/>
        </w:rPr>
        <w:t xml:space="preserve"> niveau esc</w:t>
      </w:r>
      <w:r w:rsidR="00342DC1" w:rsidRPr="004F239A">
        <w:rPr>
          <w:kern w:val="22"/>
          <w:lang w:val="fr-CA"/>
        </w:rPr>
        <w:t>omptés</w:t>
      </w:r>
      <w:r w:rsidRPr="004F239A">
        <w:rPr>
          <w:kern w:val="22"/>
          <w:lang w:val="fr-CA"/>
        </w:rPr>
        <w:t>. La théorie du changement a pour but de veiller à ce que les acteurs concernés soient conscients des re</w:t>
      </w:r>
      <w:r w:rsidR="00342DC1" w:rsidRPr="004F239A">
        <w:rPr>
          <w:kern w:val="22"/>
          <w:lang w:val="fr-CA"/>
        </w:rPr>
        <w:t>lations causales, des modificati</w:t>
      </w:r>
      <w:r w:rsidRPr="004F239A">
        <w:rPr>
          <w:kern w:val="22"/>
          <w:lang w:val="fr-CA"/>
        </w:rPr>
        <w:t>ons des voies, des résultats/conclusions escomptés, et des facteurs conceptuels importants et hypothèses sous-jacentes</w:t>
      </w:r>
      <w:r w:rsidR="004A3E7E" w:rsidRPr="004F239A">
        <w:rPr>
          <w:kern w:val="22"/>
          <w:lang w:val="fr-CA"/>
        </w:rPr>
        <w:t>.</w:t>
      </w:r>
    </w:p>
    <w:p w14:paraId="2B707971" w14:textId="1F1055E7" w:rsidR="004A3E7E" w:rsidRPr="004F239A" w:rsidRDefault="00342DC1" w:rsidP="00AA5D70">
      <w:pPr>
        <w:pStyle w:val="Heading2"/>
        <w:keepNext w:val="0"/>
        <w:numPr>
          <w:ilvl w:val="0"/>
          <w:numId w:val="6"/>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t>Résultats en matière de capacités</w:t>
      </w:r>
    </w:p>
    <w:p w14:paraId="14EFAAA3" w14:textId="6B22B07A" w:rsidR="004A3E7E" w:rsidRPr="004F239A" w:rsidRDefault="00342DC1" w:rsidP="00AA5D70">
      <w:pPr>
        <w:pStyle w:val="Para1"/>
        <w:numPr>
          <w:ilvl w:val="0"/>
          <w:numId w:val="54"/>
        </w:numPr>
        <w:suppressLineNumbers/>
        <w:tabs>
          <w:tab w:val="clear" w:pos="360"/>
        </w:tabs>
        <w:suppressAutoHyphens/>
        <w:kinsoku w:val="0"/>
        <w:overflowPunct w:val="0"/>
        <w:autoSpaceDE w:val="0"/>
        <w:autoSpaceDN w:val="0"/>
        <w:adjustRightInd w:val="0"/>
        <w:snapToGrid w:val="0"/>
        <w:spacing w:after="240"/>
        <w:rPr>
          <w:kern w:val="22"/>
          <w:lang w:val="fr-CA"/>
        </w:rPr>
      </w:pPr>
      <w:r w:rsidRPr="004F239A">
        <w:rPr>
          <w:kern w:val="22"/>
          <w:lang w:val="fr-CA"/>
        </w:rPr>
        <w:t xml:space="preserve">Le cadre stratégique établit les résultats indicatifs de </w:t>
      </w:r>
      <w:r w:rsidR="00F238E7" w:rsidRPr="004F239A">
        <w:rPr>
          <w:kern w:val="22"/>
          <w:lang w:val="fr-CA"/>
        </w:rPr>
        <w:t>haut nivea</w:t>
      </w:r>
      <w:r w:rsidRPr="004F239A">
        <w:rPr>
          <w:kern w:val="22"/>
          <w:lang w:val="fr-CA"/>
        </w:rPr>
        <w:t xml:space="preserve">u et de capacités à long terme d’intérêt </w:t>
      </w:r>
      <w:r w:rsidR="00F137A1">
        <w:rPr>
          <w:kern w:val="22"/>
          <w:lang w:val="fr-CA"/>
        </w:rPr>
        <w:t>pour</w:t>
      </w:r>
      <w:r w:rsidR="00F238E7" w:rsidRPr="004F239A">
        <w:rPr>
          <w:kern w:val="22"/>
          <w:lang w:val="fr-CA"/>
        </w:rPr>
        <w:t xml:space="preserve"> la réalisati</w:t>
      </w:r>
      <w:r w:rsidRPr="004F239A">
        <w:rPr>
          <w:kern w:val="22"/>
          <w:lang w:val="fr-CA"/>
        </w:rPr>
        <w:t>on des buts et objectifs du cadre mondial de la biodiversité pour l</w:t>
      </w:r>
      <w:r w:rsidR="00F50701">
        <w:rPr>
          <w:kern w:val="22"/>
          <w:lang w:val="fr-CA"/>
        </w:rPr>
        <w:t>’</w:t>
      </w:r>
      <w:r w:rsidRPr="004F239A">
        <w:rPr>
          <w:kern w:val="22"/>
          <w:lang w:val="fr-CA"/>
        </w:rPr>
        <w:t>après-2020 et d</w:t>
      </w:r>
      <w:r w:rsidR="00F238E7" w:rsidRPr="004F239A">
        <w:rPr>
          <w:kern w:val="22"/>
          <w:lang w:val="fr-CA"/>
        </w:rPr>
        <w:t>es Objectifs de développement durable (v</w:t>
      </w:r>
      <w:r w:rsidRPr="004F239A">
        <w:rPr>
          <w:kern w:val="22"/>
          <w:lang w:val="fr-CA"/>
        </w:rPr>
        <w:t xml:space="preserve">oir l’encadré 1). </w:t>
      </w:r>
      <w:r w:rsidR="00D06893" w:rsidRPr="004F239A">
        <w:rPr>
          <w:kern w:val="22"/>
          <w:lang w:val="fr-CA"/>
        </w:rPr>
        <w:t xml:space="preserve">Les </w:t>
      </w:r>
      <w:r w:rsidR="00F137A1">
        <w:rPr>
          <w:kern w:val="22"/>
          <w:lang w:val="fr-CA"/>
        </w:rPr>
        <w:t xml:space="preserve">acteurs </w:t>
      </w:r>
      <w:r w:rsidR="00D06893" w:rsidRPr="004F239A">
        <w:rPr>
          <w:kern w:val="22"/>
          <w:lang w:val="fr-CA"/>
        </w:rPr>
        <w:t>gouvernem</w:t>
      </w:r>
      <w:r w:rsidR="00F137A1">
        <w:rPr>
          <w:kern w:val="22"/>
          <w:lang w:val="fr-CA"/>
        </w:rPr>
        <w:t>entaux</w:t>
      </w:r>
      <w:r w:rsidR="00F238E7" w:rsidRPr="004F239A">
        <w:rPr>
          <w:kern w:val="22"/>
          <w:lang w:val="fr-CA"/>
        </w:rPr>
        <w:t xml:space="preserve"> et non gouvernementaux compétents sont aussi encouragés à </w:t>
      </w:r>
      <w:r w:rsidR="00F137A1">
        <w:rPr>
          <w:kern w:val="22"/>
          <w:lang w:val="fr-CA"/>
        </w:rPr>
        <w:t>fixer</w:t>
      </w:r>
      <w:r w:rsidR="00F238E7" w:rsidRPr="004F239A">
        <w:rPr>
          <w:kern w:val="22"/>
          <w:lang w:val="fr-CA"/>
        </w:rPr>
        <w:t xml:space="preserve"> des objectifs de renforcement des capacités </w:t>
      </w:r>
      <w:r w:rsidR="00D06893" w:rsidRPr="004F239A">
        <w:rPr>
          <w:kern w:val="22"/>
          <w:lang w:val="fr-CA"/>
        </w:rPr>
        <w:t>à diff</w:t>
      </w:r>
      <w:r w:rsidR="00F238E7" w:rsidRPr="004F239A">
        <w:rPr>
          <w:kern w:val="22"/>
          <w:lang w:val="fr-CA"/>
        </w:rPr>
        <w:t xml:space="preserve">érents niveaux et </w:t>
      </w:r>
      <w:r w:rsidR="00F137A1">
        <w:rPr>
          <w:kern w:val="22"/>
          <w:lang w:val="fr-CA"/>
        </w:rPr>
        <w:t xml:space="preserve">à </w:t>
      </w:r>
      <w:r w:rsidR="00F238E7" w:rsidRPr="004F239A">
        <w:rPr>
          <w:kern w:val="22"/>
          <w:lang w:val="fr-CA"/>
        </w:rPr>
        <w:t>les inclure clairement dans les documents co</w:t>
      </w:r>
      <w:r w:rsidR="00D06893" w:rsidRPr="004F239A">
        <w:rPr>
          <w:kern w:val="22"/>
          <w:lang w:val="fr-CA"/>
        </w:rPr>
        <w:t>ncernés tels que les stratégies et plans d</w:t>
      </w:r>
      <w:r w:rsidR="00F50701">
        <w:rPr>
          <w:kern w:val="22"/>
          <w:lang w:val="fr-CA"/>
        </w:rPr>
        <w:t>’</w:t>
      </w:r>
      <w:r w:rsidR="00D06893" w:rsidRPr="004F239A">
        <w:rPr>
          <w:kern w:val="22"/>
          <w:lang w:val="fr-CA"/>
        </w:rPr>
        <w:t>action nationaux pour la biodiversité (SPANB</w:t>
      </w:r>
      <w:r w:rsidR="004A3E7E" w:rsidRPr="004F239A">
        <w:rPr>
          <w:kern w:val="22"/>
          <w:lang w:val="fr-CA"/>
        </w:rPr>
        <w:t>)</w:t>
      </w:r>
      <w:r w:rsidR="00D06893" w:rsidRPr="004F239A">
        <w:rPr>
          <w:kern w:val="22"/>
          <w:lang w:val="fr-CA"/>
        </w:rPr>
        <w:t>, les stratégies de programme et les plans. Les capacités peuvent être qualifiées de capacités « fonctionnelles</w:t>
      </w:r>
      <w:r w:rsidR="00F50701">
        <w:rPr>
          <w:kern w:val="22"/>
          <w:lang w:val="fr-CA"/>
        </w:rPr>
        <w:t> </w:t>
      </w:r>
      <w:r w:rsidR="00D06893" w:rsidRPr="004F239A">
        <w:rPr>
          <w:lang w:val="fr-CA"/>
        </w:rPr>
        <w:t>» (habiletés transversales nécessaires pour obtenir des résultats</w:t>
      </w:r>
      <w:r w:rsidR="00F137A1">
        <w:rPr>
          <w:lang w:val="fr-CA"/>
        </w:rPr>
        <w:t>, mais</w:t>
      </w:r>
      <w:r w:rsidR="00D06893" w:rsidRPr="004F239A">
        <w:rPr>
          <w:lang w:val="fr-CA"/>
        </w:rPr>
        <w:t xml:space="preserve"> non associées à un secteur ou un thème en particulier) ou de capacités « techniques</w:t>
      </w:r>
      <w:r w:rsidR="00F50701">
        <w:rPr>
          <w:lang w:val="fr-CA"/>
        </w:rPr>
        <w:t> </w:t>
      </w:r>
      <w:r w:rsidR="00D06893" w:rsidRPr="004F239A">
        <w:rPr>
          <w:lang w:val="fr-CA"/>
        </w:rPr>
        <w:t>» (associées à des secteurs d’expertise ou des thèmes précis)</w:t>
      </w:r>
      <w:r w:rsidR="004A3E7E" w:rsidRPr="004F239A">
        <w:rPr>
          <w:kern w:val="22"/>
          <w:lang w:val="fr-CA"/>
        </w:rPr>
        <w:t>.</w:t>
      </w:r>
    </w:p>
    <w:tbl>
      <w:tblPr>
        <w:tblStyle w:val="TableGrid"/>
        <w:tblW w:w="0" w:type="auto"/>
        <w:tblLook w:val="04A0" w:firstRow="1" w:lastRow="0" w:firstColumn="1" w:lastColumn="0" w:noHBand="0" w:noVBand="1"/>
      </w:tblPr>
      <w:tblGrid>
        <w:gridCol w:w="9452"/>
      </w:tblGrid>
      <w:tr w:rsidR="00AF0CDA" w:rsidRPr="009669E1" w14:paraId="7F6560F2" w14:textId="77777777" w:rsidTr="00AF0CDA">
        <w:tc>
          <w:tcPr>
            <w:tcW w:w="9452" w:type="dxa"/>
          </w:tcPr>
          <w:p w14:paraId="6D318222" w14:textId="6C2B84F4" w:rsidR="00AF0CDA" w:rsidRPr="004F239A" w:rsidRDefault="00B404B4" w:rsidP="00AA5D70">
            <w:pPr>
              <w:suppressLineNumbers/>
              <w:suppressAutoHyphens/>
              <w:kinsoku w:val="0"/>
              <w:overflowPunct w:val="0"/>
              <w:autoSpaceDE w:val="0"/>
              <w:autoSpaceDN w:val="0"/>
              <w:adjustRightInd w:val="0"/>
              <w:snapToGrid w:val="0"/>
              <w:spacing w:before="120" w:after="120"/>
              <w:jc w:val="center"/>
              <w:rPr>
                <w:snapToGrid w:val="0"/>
                <w:kern w:val="22"/>
                <w:lang w:val="fr-CA"/>
              </w:rPr>
            </w:pPr>
            <w:r w:rsidRPr="004F239A">
              <w:rPr>
                <w:b/>
                <w:bCs/>
                <w:snapToGrid w:val="0"/>
                <w:color w:val="000000"/>
                <w:kern w:val="22"/>
                <w:lang w:val="fr-CA"/>
              </w:rPr>
              <w:t>Encadré</w:t>
            </w:r>
            <w:r w:rsidR="0025124E" w:rsidRPr="004F239A">
              <w:rPr>
                <w:b/>
                <w:bCs/>
                <w:snapToGrid w:val="0"/>
                <w:color w:val="000000"/>
                <w:kern w:val="22"/>
                <w:lang w:val="fr-CA"/>
              </w:rPr>
              <w:t xml:space="preserve"> 1. Exemples de résultats escomptés e</w:t>
            </w:r>
            <w:r w:rsidRPr="004F239A">
              <w:rPr>
                <w:b/>
                <w:bCs/>
                <w:snapToGrid w:val="0"/>
                <w:color w:val="000000"/>
                <w:kern w:val="22"/>
                <w:lang w:val="fr-CA"/>
              </w:rPr>
              <w:t>n ma</w:t>
            </w:r>
            <w:r w:rsidR="0025124E" w:rsidRPr="004F239A">
              <w:rPr>
                <w:b/>
                <w:bCs/>
                <w:snapToGrid w:val="0"/>
                <w:color w:val="000000"/>
                <w:kern w:val="22"/>
                <w:lang w:val="fr-CA"/>
              </w:rPr>
              <w:t>t</w:t>
            </w:r>
            <w:r w:rsidRPr="004F239A">
              <w:rPr>
                <w:b/>
                <w:bCs/>
                <w:snapToGrid w:val="0"/>
                <w:color w:val="000000"/>
                <w:kern w:val="22"/>
                <w:lang w:val="fr-CA"/>
              </w:rPr>
              <w:t>i</w:t>
            </w:r>
            <w:r w:rsidR="0025124E" w:rsidRPr="004F239A">
              <w:rPr>
                <w:b/>
                <w:bCs/>
                <w:snapToGrid w:val="0"/>
                <w:color w:val="000000"/>
                <w:kern w:val="22"/>
                <w:lang w:val="fr-CA"/>
              </w:rPr>
              <w:t>ère de capacités</w:t>
            </w:r>
          </w:p>
          <w:p w14:paraId="1F5A3230" w14:textId="0CB355D7" w:rsidR="00AF0CDA" w:rsidRPr="004F239A" w:rsidRDefault="005808C9" w:rsidP="00AA5D70">
            <w:pPr>
              <w:pStyle w:val="ListParagraph"/>
              <w:suppressLineNumbers/>
              <w:suppressAutoHyphens/>
              <w:kinsoku w:val="0"/>
              <w:overflowPunct w:val="0"/>
              <w:autoSpaceDE w:val="0"/>
              <w:autoSpaceDN w:val="0"/>
              <w:adjustRightInd w:val="0"/>
              <w:snapToGrid w:val="0"/>
              <w:spacing w:after="60"/>
              <w:ind w:left="0"/>
              <w:contextualSpacing w:val="0"/>
              <w:rPr>
                <w:rFonts w:eastAsia="Calibri"/>
                <w:bCs/>
                <w:snapToGrid w:val="0"/>
                <w:color w:val="000000"/>
                <w:kern w:val="22"/>
                <w:lang w:val="fr-CA"/>
              </w:rPr>
            </w:pPr>
            <w:r w:rsidRPr="004F239A">
              <w:rPr>
                <w:rFonts w:eastAsia="Calibri"/>
                <w:bCs/>
                <w:snapToGrid w:val="0"/>
                <w:color w:val="000000"/>
                <w:kern w:val="22"/>
                <w:lang w:val="fr-CA"/>
              </w:rPr>
              <w:t>Résultats de haut niveau, à long terme</w:t>
            </w:r>
          </w:p>
          <w:p w14:paraId="62441B33" w14:textId="2188BED1" w:rsidR="00AF0CDA" w:rsidRPr="004F239A" w:rsidRDefault="005808C9" w:rsidP="00AA5D70">
            <w:pPr>
              <w:pStyle w:val="ListParagraph"/>
              <w:numPr>
                <w:ilvl w:val="0"/>
                <w:numId w:val="57"/>
              </w:numPr>
              <w:suppressLineNumbers/>
              <w:suppressAutoHyphens/>
              <w:kinsoku w:val="0"/>
              <w:overflowPunct w:val="0"/>
              <w:autoSpaceDE w:val="0"/>
              <w:autoSpaceDN w:val="0"/>
              <w:adjustRightInd w:val="0"/>
              <w:snapToGrid w:val="0"/>
              <w:contextualSpacing w:val="0"/>
              <w:rPr>
                <w:rFonts w:eastAsia="Calibri"/>
                <w:bCs/>
                <w:snapToGrid w:val="0"/>
                <w:color w:val="000000"/>
                <w:kern w:val="22"/>
                <w:lang w:val="fr-CA"/>
              </w:rPr>
            </w:pPr>
            <w:r w:rsidRPr="004F239A">
              <w:rPr>
                <w:bCs/>
                <w:snapToGrid w:val="0"/>
                <w:kern w:val="22"/>
                <w:lang w:val="fr-CA"/>
              </w:rPr>
              <w:t>Mise en œuvre réussie des stratégies et plans d</w:t>
            </w:r>
            <w:r w:rsidR="00F50701">
              <w:rPr>
                <w:bCs/>
                <w:snapToGrid w:val="0"/>
                <w:kern w:val="22"/>
                <w:lang w:val="fr-CA"/>
              </w:rPr>
              <w:t>’</w:t>
            </w:r>
            <w:r w:rsidRPr="004F239A">
              <w:rPr>
                <w:bCs/>
                <w:snapToGrid w:val="0"/>
                <w:kern w:val="22"/>
                <w:lang w:val="fr-CA"/>
              </w:rPr>
              <w:t>action nationaux pour la biodiversité (SPANB</w:t>
            </w:r>
            <w:r w:rsidR="00B92090" w:rsidRPr="004F239A">
              <w:rPr>
                <w:bCs/>
                <w:snapToGrid w:val="0"/>
                <w:kern w:val="22"/>
                <w:lang w:val="fr-CA"/>
              </w:rPr>
              <w:t>)</w:t>
            </w:r>
          </w:p>
          <w:p w14:paraId="69D46378" w14:textId="04E36BD8" w:rsidR="00AF0CDA" w:rsidRPr="004F239A" w:rsidRDefault="005808C9" w:rsidP="00AA5D70">
            <w:pPr>
              <w:pStyle w:val="ListParagraph"/>
              <w:numPr>
                <w:ilvl w:val="0"/>
                <w:numId w:val="57"/>
              </w:numPr>
              <w:suppressLineNumbers/>
              <w:suppressAutoHyphens/>
              <w:kinsoku w:val="0"/>
              <w:overflowPunct w:val="0"/>
              <w:autoSpaceDE w:val="0"/>
              <w:autoSpaceDN w:val="0"/>
              <w:adjustRightInd w:val="0"/>
              <w:snapToGrid w:val="0"/>
              <w:contextualSpacing w:val="0"/>
              <w:rPr>
                <w:rFonts w:eastAsia="Calibri"/>
                <w:bCs/>
                <w:snapToGrid w:val="0"/>
                <w:color w:val="000000"/>
                <w:kern w:val="22"/>
                <w:lang w:val="fr-CA"/>
              </w:rPr>
            </w:pPr>
            <w:r w:rsidRPr="004F239A">
              <w:rPr>
                <w:bCs/>
                <w:snapToGrid w:val="0"/>
                <w:kern w:val="22"/>
                <w:lang w:val="fr-CA"/>
              </w:rPr>
              <w:t>Réalisation des objectifs d’action de 2030</w:t>
            </w:r>
          </w:p>
          <w:p w14:paraId="13F8DAAC" w14:textId="1C653CF7" w:rsidR="00AF0CDA" w:rsidRPr="004F239A" w:rsidRDefault="005808C9" w:rsidP="00AA5D70">
            <w:pPr>
              <w:pStyle w:val="ListParagraph"/>
              <w:numPr>
                <w:ilvl w:val="0"/>
                <w:numId w:val="57"/>
              </w:numPr>
              <w:suppressLineNumbers/>
              <w:suppressAutoHyphens/>
              <w:kinsoku w:val="0"/>
              <w:overflowPunct w:val="0"/>
              <w:autoSpaceDE w:val="0"/>
              <w:autoSpaceDN w:val="0"/>
              <w:adjustRightInd w:val="0"/>
              <w:snapToGrid w:val="0"/>
              <w:contextualSpacing w:val="0"/>
              <w:rPr>
                <w:rFonts w:eastAsia="Calibri"/>
                <w:bCs/>
                <w:snapToGrid w:val="0"/>
                <w:color w:val="000000"/>
                <w:kern w:val="22"/>
                <w:lang w:val="fr-CA"/>
              </w:rPr>
            </w:pPr>
            <w:r w:rsidRPr="004F239A">
              <w:rPr>
                <w:bCs/>
                <w:snapToGrid w:val="0"/>
                <w:kern w:val="22"/>
                <w:lang w:val="fr-CA"/>
              </w:rPr>
              <w:t>Intégration de la biodiversité dans les secteur</w:t>
            </w:r>
            <w:r w:rsidR="00F50701">
              <w:rPr>
                <w:bCs/>
                <w:snapToGrid w:val="0"/>
                <w:kern w:val="22"/>
                <w:lang w:val="fr-CA"/>
              </w:rPr>
              <w:t>s</w:t>
            </w:r>
            <w:r w:rsidRPr="004F239A">
              <w:rPr>
                <w:bCs/>
                <w:snapToGrid w:val="0"/>
                <w:kern w:val="22"/>
                <w:lang w:val="fr-CA"/>
              </w:rPr>
              <w:t xml:space="preserve"> et dans la société</w:t>
            </w:r>
          </w:p>
          <w:p w14:paraId="4CE9B76C" w14:textId="77777777" w:rsidR="00AF0CDA" w:rsidRPr="004F239A" w:rsidRDefault="00AF0CDA" w:rsidP="00AA5D70">
            <w:pPr>
              <w:pStyle w:val="ListParagraph"/>
              <w:suppressLineNumbers/>
              <w:suppressAutoHyphens/>
              <w:kinsoku w:val="0"/>
              <w:overflowPunct w:val="0"/>
              <w:autoSpaceDE w:val="0"/>
              <w:autoSpaceDN w:val="0"/>
              <w:adjustRightInd w:val="0"/>
              <w:snapToGrid w:val="0"/>
              <w:ind w:left="0"/>
              <w:contextualSpacing w:val="0"/>
              <w:rPr>
                <w:rFonts w:eastAsia="Calibri"/>
                <w:bCs/>
                <w:snapToGrid w:val="0"/>
                <w:color w:val="000000"/>
                <w:kern w:val="22"/>
                <w:lang w:val="fr-CA"/>
              </w:rPr>
            </w:pPr>
          </w:p>
          <w:p w14:paraId="3D2E9A41" w14:textId="33D88515" w:rsidR="00AF0CDA" w:rsidRPr="004F239A" w:rsidRDefault="005808C9" w:rsidP="00AA5D70">
            <w:pPr>
              <w:pStyle w:val="ListParagraph"/>
              <w:suppressLineNumbers/>
              <w:suppressAutoHyphens/>
              <w:kinsoku w:val="0"/>
              <w:overflowPunct w:val="0"/>
              <w:autoSpaceDE w:val="0"/>
              <w:autoSpaceDN w:val="0"/>
              <w:adjustRightInd w:val="0"/>
              <w:snapToGrid w:val="0"/>
              <w:spacing w:after="60"/>
              <w:ind w:left="0"/>
              <w:contextualSpacing w:val="0"/>
              <w:rPr>
                <w:rFonts w:eastAsia="Calibri"/>
                <w:bCs/>
                <w:snapToGrid w:val="0"/>
                <w:color w:val="000000"/>
                <w:kern w:val="22"/>
                <w:lang w:val="fr-CA"/>
              </w:rPr>
            </w:pPr>
            <w:r w:rsidRPr="004F239A">
              <w:rPr>
                <w:rFonts w:eastAsia="Calibri"/>
                <w:bCs/>
                <w:snapToGrid w:val="0"/>
                <w:color w:val="000000"/>
                <w:kern w:val="22"/>
                <w:lang w:val="fr-CA"/>
              </w:rPr>
              <w:t>Résultats à moyen terme</w:t>
            </w:r>
          </w:p>
          <w:p w14:paraId="3FE0784B" w14:textId="736E6620" w:rsidR="00AF0CDA" w:rsidRPr="004F239A" w:rsidRDefault="00F137A1" w:rsidP="00AA5D70">
            <w:pPr>
              <w:pStyle w:val="ListParagraph"/>
              <w:numPr>
                <w:ilvl w:val="0"/>
                <w:numId w:val="55"/>
              </w:numPr>
              <w:suppressLineNumbers/>
              <w:suppressAutoHyphens/>
              <w:kinsoku w:val="0"/>
              <w:overflowPunct w:val="0"/>
              <w:autoSpaceDE w:val="0"/>
              <w:autoSpaceDN w:val="0"/>
              <w:adjustRightInd w:val="0"/>
              <w:snapToGrid w:val="0"/>
              <w:spacing w:after="60"/>
              <w:contextualSpacing w:val="0"/>
              <w:rPr>
                <w:rFonts w:eastAsia="Calibri"/>
                <w:bCs/>
                <w:snapToGrid w:val="0"/>
                <w:color w:val="000000"/>
                <w:kern w:val="22"/>
                <w:lang w:val="fr-CA"/>
              </w:rPr>
            </w:pPr>
            <w:r>
              <w:rPr>
                <w:bCs/>
                <w:snapToGrid w:val="0"/>
                <w:kern w:val="22"/>
                <w:lang w:val="fr-CA"/>
              </w:rPr>
              <w:t>Des c</w:t>
            </w:r>
            <w:r w:rsidR="005808C9" w:rsidRPr="004F239A">
              <w:rPr>
                <w:bCs/>
                <w:snapToGrid w:val="0"/>
                <w:kern w:val="22"/>
                <w:lang w:val="fr-CA"/>
              </w:rPr>
              <w:t>adres de facilitation et arrangements institutionnels solides en appui à la réalisation des SPANB</w:t>
            </w:r>
          </w:p>
          <w:p w14:paraId="2173B66E" w14:textId="5E2F98B3" w:rsidR="00AF0CDA" w:rsidRPr="004F239A" w:rsidRDefault="005808C9" w:rsidP="00AA5D70">
            <w:pPr>
              <w:pStyle w:val="ListParagraph"/>
              <w:numPr>
                <w:ilvl w:val="0"/>
                <w:numId w:val="55"/>
              </w:numPr>
              <w:suppressLineNumbers/>
              <w:suppressAutoHyphens/>
              <w:kinsoku w:val="0"/>
              <w:overflowPunct w:val="0"/>
              <w:autoSpaceDE w:val="0"/>
              <w:autoSpaceDN w:val="0"/>
              <w:adjustRightInd w:val="0"/>
              <w:snapToGrid w:val="0"/>
              <w:spacing w:after="60"/>
              <w:contextualSpacing w:val="0"/>
              <w:rPr>
                <w:rFonts w:eastAsia="Calibri"/>
                <w:bCs/>
                <w:snapToGrid w:val="0"/>
                <w:color w:val="000000"/>
                <w:kern w:val="22"/>
                <w:lang w:val="fr-CA"/>
              </w:rPr>
            </w:pPr>
            <w:r w:rsidRPr="004F239A">
              <w:rPr>
                <w:rFonts w:eastAsia="Calibri"/>
                <w:bCs/>
                <w:snapToGrid w:val="0"/>
                <w:color w:val="000000"/>
                <w:kern w:val="22"/>
                <w:lang w:val="fr-CA"/>
              </w:rPr>
              <w:t>Les partenariats stratégiques et les réseaux d’apprentissage améliorent l</w:t>
            </w:r>
            <w:r w:rsidR="00C2529E" w:rsidRPr="004F239A">
              <w:rPr>
                <w:rFonts w:eastAsia="Calibri"/>
                <w:bCs/>
                <w:snapToGrid w:val="0"/>
                <w:color w:val="000000"/>
                <w:kern w:val="22"/>
                <w:lang w:val="fr-CA"/>
              </w:rPr>
              <w:t>es efforts de</w:t>
            </w:r>
            <w:r w:rsidRPr="004F239A">
              <w:rPr>
                <w:rFonts w:eastAsia="Calibri"/>
                <w:bCs/>
                <w:snapToGrid w:val="0"/>
                <w:color w:val="000000"/>
                <w:kern w:val="22"/>
                <w:lang w:val="fr-CA"/>
              </w:rPr>
              <w:t xml:space="preserve"> conservation et</w:t>
            </w:r>
            <w:r w:rsidR="00C2529E" w:rsidRPr="004F239A">
              <w:rPr>
                <w:rFonts w:eastAsia="Calibri"/>
                <w:bCs/>
                <w:snapToGrid w:val="0"/>
                <w:color w:val="000000"/>
                <w:kern w:val="22"/>
                <w:lang w:val="fr-CA"/>
              </w:rPr>
              <w:t xml:space="preserve"> d’</w:t>
            </w:r>
            <w:r w:rsidR="00C2529E" w:rsidRPr="004F239A">
              <w:rPr>
                <w:bCs/>
                <w:snapToGrid w:val="0"/>
                <w:color w:val="000000"/>
                <w:kern w:val="22"/>
                <w:lang w:val="fr-CA"/>
              </w:rPr>
              <w:t>utilisation</w:t>
            </w:r>
            <w:r w:rsidR="00C2529E" w:rsidRPr="004F239A">
              <w:rPr>
                <w:rFonts w:eastAsia="Calibri"/>
                <w:bCs/>
                <w:snapToGrid w:val="0"/>
                <w:color w:val="000000"/>
                <w:kern w:val="22"/>
                <w:lang w:val="fr-CA"/>
              </w:rPr>
              <w:t xml:space="preserve"> durable de la diversité biologique ainsi que le partage équitable des avantages découlant de l’</w:t>
            </w:r>
            <w:r w:rsidR="00C2529E" w:rsidRPr="004F239A">
              <w:rPr>
                <w:bCs/>
                <w:snapToGrid w:val="0"/>
                <w:color w:val="000000"/>
                <w:kern w:val="22"/>
                <w:lang w:val="fr-CA"/>
              </w:rPr>
              <w:t>utilisation</w:t>
            </w:r>
            <w:r w:rsidR="00C2529E" w:rsidRPr="004F239A">
              <w:rPr>
                <w:rFonts w:eastAsia="Calibri"/>
                <w:bCs/>
                <w:snapToGrid w:val="0"/>
                <w:color w:val="000000"/>
                <w:kern w:val="22"/>
                <w:lang w:val="fr-CA"/>
              </w:rPr>
              <w:t xml:space="preserve"> des ressources génétiques</w:t>
            </w:r>
          </w:p>
          <w:p w14:paraId="6F2A63FD" w14:textId="514E70EF" w:rsidR="00AF0CDA" w:rsidRPr="004F239A" w:rsidRDefault="00F137A1" w:rsidP="00AA5D70">
            <w:pPr>
              <w:pStyle w:val="ListParagraph"/>
              <w:numPr>
                <w:ilvl w:val="0"/>
                <w:numId w:val="55"/>
              </w:numPr>
              <w:suppressLineNumbers/>
              <w:suppressAutoHyphens/>
              <w:kinsoku w:val="0"/>
              <w:overflowPunct w:val="0"/>
              <w:autoSpaceDE w:val="0"/>
              <w:autoSpaceDN w:val="0"/>
              <w:adjustRightInd w:val="0"/>
              <w:snapToGrid w:val="0"/>
              <w:spacing w:after="60"/>
              <w:contextualSpacing w:val="0"/>
              <w:rPr>
                <w:rFonts w:eastAsia="Calibri"/>
                <w:bCs/>
                <w:snapToGrid w:val="0"/>
                <w:color w:val="000000"/>
                <w:kern w:val="22"/>
                <w:lang w:val="fr-CA"/>
              </w:rPr>
            </w:pPr>
            <w:r>
              <w:rPr>
                <w:rFonts w:eastAsia="Calibri"/>
                <w:bCs/>
                <w:snapToGrid w:val="0"/>
                <w:color w:val="000000"/>
                <w:kern w:val="22"/>
                <w:lang w:val="fr-CA"/>
              </w:rPr>
              <w:t>Des p</w:t>
            </w:r>
            <w:r w:rsidR="00C2529E" w:rsidRPr="004F239A">
              <w:rPr>
                <w:rFonts w:eastAsia="Calibri"/>
                <w:bCs/>
                <w:snapToGrid w:val="0"/>
                <w:color w:val="000000"/>
                <w:kern w:val="22"/>
                <w:lang w:val="fr-CA"/>
              </w:rPr>
              <w:t>rojets et programmes de haute qualité techniquement solides, assortis de plans réalistes et réalisables, qui abordent les questions de genre et intègrent le suivi</w:t>
            </w:r>
          </w:p>
          <w:p w14:paraId="484ACC6F" w14:textId="4ACAD4EC" w:rsidR="00AF0CDA" w:rsidRPr="004F239A" w:rsidRDefault="009D2B22" w:rsidP="00AA5D70">
            <w:pPr>
              <w:pStyle w:val="ListParagraph"/>
              <w:numPr>
                <w:ilvl w:val="0"/>
                <w:numId w:val="55"/>
              </w:numPr>
              <w:suppressLineNumbers/>
              <w:suppressAutoHyphens/>
              <w:kinsoku w:val="0"/>
              <w:overflowPunct w:val="0"/>
              <w:autoSpaceDE w:val="0"/>
              <w:autoSpaceDN w:val="0"/>
              <w:adjustRightInd w:val="0"/>
              <w:snapToGrid w:val="0"/>
              <w:spacing w:after="60"/>
              <w:contextualSpacing w:val="0"/>
              <w:rPr>
                <w:rFonts w:eastAsia="Calibri"/>
                <w:snapToGrid w:val="0"/>
                <w:color w:val="000000"/>
                <w:kern w:val="22"/>
                <w:lang w:val="fr-CA"/>
              </w:rPr>
            </w:pPr>
            <w:r>
              <w:rPr>
                <w:rFonts w:eastAsia="Calibri"/>
                <w:snapToGrid w:val="0"/>
                <w:color w:val="000000"/>
                <w:kern w:val="22"/>
                <w:lang w:val="fr-CA"/>
              </w:rPr>
              <w:t>Des p</w:t>
            </w:r>
            <w:r w:rsidR="00C2529E" w:rsidRPr="004F239A">
              <w:rPr>
                <w:rFonts w:eastAsia="Calibri"/>
                <w:snapToGrid w:val="0"/>
                <w:color w:val="000000"/>
                <w:kern w:val="22"/>
                <w:lang w:val="fr-CA"/>
              </w:rPr>
              <w:t>rocessus de suivi et évaluation et d’apprentissage intégrés dans les projets et programmes</w:t>
            </w:r>
            <w:r w:rsidR="00E00F25" w:rsidRPr="004F239A">
              <w:rPr>
                <w:rFonts w:eastAsia="Calibri"/>
                <w:snapToGrid w:val="0"/>
                <w:color w:val="000000"/>
                <w:kern w:val="22"/>
                <w:lang w:val="fr-CA"/>
              </w:rPr>
              <w:t xml:space="preserve"> dès le départ afin de soutenir la prise de décisions fondée</w:t>
            </w:r>
            <w:r>
              <w:rPr>
                <w:rFonts w:eastAsia="Calibri"/>
                <w:snapToGrid w:val="0"/>
                <w:color w:val="000000"/>
                <w:kern w:val="22"/>
                <w:lang w:val="fr-CA"/>
              </w:rPr>
              <w:t>s</w:t>
            </w:r>
            <w:r w:rsidR="00E00F25" w:rsidRPr="004F239A">
              <w:rPr>
                <w:rFonts w:eastAsia="Calibri"/>
                <w:snapToGrid w:val="0"/>
                <w:color w:val="000000"/>
                <w:kern w:val="22"/>
                <w:lang w:val="fr-CA"/>
              </w:rPr>
              <w:t xml:space="preserve"> sur des preuves, à tous les niveaux</w:t>
            </w:r>
          </w:p>
          <w:p w14:paraId="40906AFE" w14:textId="467D620C" w:rsidR="00AF0CDA" w:rsidRPr="004F239A" w:rsidRDefault="00E00F25" w:rsidP="00E00F25">
            <w:pPr>
              <w:pStyle w:val="ListParagraph"/>
              <w:numPr>
                <w:ilvl w:val="0"/>
                <w:numId w:val="56"/>
              </w:numPr>
              <w:suppressLineNumbers/>
              <w:suppressAutoHyphens/>
              <w:kinsoku w:val="0"/>
              <w:overflowPunct w:val="0"/>
              <w:autoSpaceDE w:val="0"/>
              <w:autoSpaceDN w:val="0"/>
              <w:adjustRightInd w:val="0"/>
              <w:snapToGrid w:val="0"/>
              <w:spacing w:after="120"/>
              <w:contextualSpacing w:val="0"/>
              <w:rPr>
                <w:rFonts w:eastAsia="Calibri"/>
                <w:bCs/>
                <w:snapToGrid w:val="0"/>
                <w:color w:val="000000"/>
                <w:kern w:val="22"/>
                <w:lang w:val="fr-CA"/>
              </w:rPr>
            </w:pPr>
            <w:r w:rsidRPr="004F239A">
              <w:rPr>
                <w:rFonts w:eastAsia="Calibri"/>
                <w:bCs/>
                <w:snapToGrid w:val="0"/>
                <w:color w:val="000000"/>
                <w:kern w:val="22"/>
                <w:lang w:val="fr-CA"/>
              </w:rPr>
              <w:t>Les mécanismes de renforcement, les structures d’encouragement et les investissements assurent l’</w:t>
            </w:r>
            <w:r w:rsidRPr="004F239A">
              <w:rPr>
                <w:bCs/>
                <w:snapToGrid w:val="0"/>
                <w:color w:val="000000"/>
                <w:kern w:val="22"/>
                <w:lang w:val="fr-CA"/>
              </w:rPr>
              <w:t>utilisation</w:t>
            </w:r>
            <w:r w:rsidRPr="004F239A">
              <w:rPr>
                <w:rFonts w:eastAsia="Calibri"/>
                <w:bCs/>
                <w:snapToGrid w:val="0"/>
                <w:color w:val="000000"/>
                <w:kern w:val="22"/>
                <w:lang w:val="fr-CA"/>
              </w:rPr>
              <w:t xml:space="preserve"> et la rétention des capacités de tous les types à tous les niveaux</w:t>
            </w:r>
          </w:p>
        </w:tc>
      </w:tr>
    </w:tbl>
    <w:p w14:paraId="7D5A72B7" w14:textId="044BF390" w:rsidR="004A3E7E" w:rsidRPr="004F239A" w:rsidRDefault="004A3E7E" w:rsidP="00AA5D70">
      <w:pPr>
        <w:pStyle w:val="Heading1"/>
        <w:suppressLineNumbers/>
        <w:tabs>
          <w:tab w:val="clear" w:pos="720"/>
          <w:tab w:val="left" w:pos="426"/>
        </w:tabs>
        <w:suppressAutoHyphens/>
        <w:kinsoku w:val="0"/>
        <w:overflowPunct w:val="0"/>
        <w:autoSpaceDE w:val="0"/>
        <w:autoSpaceDN w:val="0"/>
        <w:adjustRightInd w:val="0"/>
        <w:snapToGrid w:val="0"/>
        <w:ind w:right="14"/>
        <w:rPr>
          <w:bCs/>
          <w:snapToGrid w:val="0"/>
          <w:kern w:val="22"/>
          <w:lang w:val="fr-CA"/>
        </w:rPr>
      </w:pPr>
      <w:bookmarkStart w:id="20" w:name="_Toc57214900"/>
      <w:r w:rsidRPr="004F239A">
        <w:rPr>
          <w:bCs/>
          <w:snapToGrid w:val="0"/>
          <w:kern w:val="22"/>
          <w:lang w:val="fr-CA"/>
        </w:rPr>
        <w:lastRenderedPageBreak/>
        <w:t>III.</w:t>
      </w:r>
      <w:r w:rsidRPr="004F239A">
        <w:rPr>
          <w:bCs/>
          <w:snapToGrid w:val="0"/>
          <w:kern w:val="22"/>
          <w:lang w:val="fr-CA"/>
        </w:rPr>
        <w:tab/>
      </w:r>
      <w:bookmarkEnd w:id="20"/>
      <w:r w:rsidR="00E00F25" w:rsidRPr="004F239A">
        <w:rPr>
          <w:bCs/>
          <w:snapToGrid w:val="0"/>
          <w:kern w:val="22"/>
          <w:lang w:val="fr-CA"/>
        </w:rPr>
        <w:t>PRINCIPES DIRECTEURS</w:t>
      </w:r>
    </w:p>
    <w:p w14:paraId="11EFC946" w14:textId="5CC8178B" w:rsidR="004A3E7E" w:rsidRPr="004F239A" w:rsidRDefault="00E00F25"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szCs w:val="22"/>
          <w:lang w:val="fr-CA"/>
        </w:rPr>
      </w:pPr>
      <w:r w:rsidRPr="004F239A">
        <w:rPr>
          <w:kern w:val="22"/>
          <w:szCs w:val="22"/>
          <w:lang w:val="fr-CA"/>
        </w:rPr>
        <w:t>Les gouvernements et les acteurs non gouvernementaux sont encouragés à appliquer les principes directeurs généraux ci-dessous qui, lorsqu’ils sont appliqués, contribuent à</w:t>
      </w:r>
      <w:r w:rsidR="002612CF" w:rsidRPr="004F239A">
        <w:rPr>
          <w:kern w:val="22"/>
          <w:szCs w:val="22"/>
          <w:lang w:val="fr-CA"/>
        </w:rPr>
        <w:t xml:space="preserve"> des capacités plus efficaces et durables pour appuyer le cadre mondial de la biodiversité pour l</w:t>
      </w:r>
      <w:r w:rsidR="00F50701">
        <w:rPr>
          <w:kern w:val="22"/>
          <w:szCs w:val="22"/>
          <w:lang w:val="fr-CA"/>
        </w:rPr>
        <w:t>’</w:t>
      </w:r>
      <w:r w:rsidR="002612CF" w:rsidRPr="004F239A">
        <w:rPr>
          <w:kern w:val="22"/>
          <w:szCs w:val="22"/>
          <w:lang w:val="fr-CA"/>
        </w:rPr>
        <w:t>après-2020</w:t>
      </w:r>
      <w:r w:rsidR="00F50701">
        <w:rPr>
          <w:kern w:val="22"/>
          <w:szCs w:val="22"/>
          <w:lang w:val="fr-CA"/>
        </w:rPr>
        <w:t> </w:t>
      </w:r>
      <w:r w:rsidR="004A3E7E" w:rsidRPr="004F239A">
        <w:rPr>
          <w:kern w:val="22"/>
          <w:szCs w:val="22"/>
          <w:lang w:val="fr-CA"/>
        </w:rPr>
        <w:t>:</w:t>
      </w:r>
    </w:p>
    <w:p w14:paraId="37094065" w14:textId="033C0691" w:rsidR="004A3E7E" w:rsidRPr="004F239A" w:rsidRDefault="00400151" w:rsidP="00400151">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color w:val="000000"/>
          <w:kern w:val="22"/>
          <w:lang w:val="fr-CA"/>
        </w:rPr>
      </w:pPr>
      <w:r w:rsidRPr="004F239A">
        <w:rPr>
          <w:snapToGrid w:val="0"/>
          <w:color w:val="000000"/>
          <w:kern w:val="22"/>
          <w:lang w:val="fr-CA"/>
        </w:rPr>
        <w:t>Une analyse intégrée des capacités existantes et des besoins est essentielle</w:t>
      </w:r>
      <w:r w:rsidR="00153371" w:rsidRPr="004F239A">
        <w:rPr>
          <w:snapToGrid w:val="0"/>
          <w:color w:val="000000"/>
          <w:kern w:val="22"/>
          <w:lang w:val="fr-CA"/>
        </w:rPr>
        <w:t xml:space="preserve"> afin que les interventions soient efficaces</w:t>
      </w:r>
      <w:r w:rsidR="00F50701">
        <w:rPr>
          <w:snapToGrid w:val="0"/>
          <w:color w:val="000000"/>
          <w:kern w:val="22"/>
          <w:lang w:val="fr-CA"/>
        </w:rPr>
        <w:t> </w:t>
      </w:r>
      <w:r w:rsidR="00E1255B" w:rsidRPr="004F239A">
        <w:rPr>
          <w:snapToGrid w:val="0"/>
          <w:color w:val="000000"/>
          <w:kern w:val="22"/>
          <w:lang w:val="fr-CA"/>
        </w:rPr>
        <w:t>;</w:t>
      </w:r>
    </w:p>
    <w:p w14:paraId="78F844D8" w14:textId="30D49EB3" w:rsidR="004A3E7E" w:rsidRPr="004F239A" w:rsidRDefault="00153371" w:rsidP="00AA5D70">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color w:val="000000"/>
          <w:kern w:val="22"/>
          <w:lang w:val="fr-CA"/>
        </w:rPr>
      </w:pPr>
      <w:r w:rsidRPr="004F239A">
        <w:rPr>
          <w:snapToGrid w:val="0"/>
          <w:color w:val="000000"/>
          <w:kern w:val="22"/>
          <w:lang w:val="fr-CA"/>
        </w:rPr>
        <w:t>L’appropriation par le pays et l’engagement de celui-ci devraient être les pierres d’assise des mesures de renforcement des capacités</w:t>
      </w:r>
      <w:r w:rsidR="00F50701">
        <w:rPr>
          <w:snapToGrid w:val="0"/>
          <w:color w:val="000000"/>
          <w:kern w:val="22"/>
          <w:lang w:val="fr-CA"/>
        </w:rPr>
        <w:t> </w:t>
      </w:r>
      <w:r w:rsidR="00E1255B" w:rsidRPr="004F239A">
        <w:rPr>
          <w:snapToGrid w:val="0"/>
          <w:color w:val="000000"/>
          <w:kern w:val="22"/>
          <w:lang w:val="fr-CA"/>
        </w:rPr>
        <w:t>;</w:t>
      </w:r>
    </w:p>
    <w:p w14:paraId="677610B9" w14:textId="67D91171" w:rsidR="004A3E7E" w:rsidRPr="004F239A" w:rsidRDefault="00153371" w:rsidP="00AA5D70">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color w:val="000000"/>
          <w:kern w:val="22"/>
          <w:lang w:val="fr-CA"/>
        </w:rPr>
      </w:pPr>
      <w:r w:rsidRPr="004F239A">
        <w:rPr>
          <w:snapToGrid w:val="0"/>
          <w:color w:val="000000"/>
          <w:kern w:val="22"/>
          <w:lang w:val="fr-CA"/>
        </w:rPr>
        <w:t>Il faut promouvoir les démarches stratégiques et intégrées à l’échelle du système</w:t>
      </w:r>
      <w:r w:rsidR="00F50701">
        <w:rPr>
          <w:snapToGrid w:val="0"/>
          <w:color w:val="000000"/>
          <w:kern w:val="22"/>
          <w:lang w:val="fr-CA"/>
        </w:rPr>
        <w:t> </w:t>
      </w:r>
      <w:r w:rsidR="00E1255B" w:rsidRPr="004F239A">
        <w:rPr>
          <w:snapToGrid w:val="0"/>
          <w:color w:val="000000"/>
          <w:kern w:val="22"/>
          <w:lang w:val="fr-CA"/>
        </w:rPr>
        <w:t>;</w:t>
      </w:r>
    </w:p>
    <w:p w14:paraId="376C6598" w14:textId="0D7F19C9" w:rsidR="004A3E7E" w:rsidRPr="004F239A" w:rsidRDefault="00153371" w:rsidP="00AA5D70">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color w:val="000000" w:themeColor="text1"/>
          <w:kern w:val="22"/>
          <w:lang w:val="fr-CA"/>
        </w:rPr>
      </w:pPr>
      <w:r w:rsidRPr="004F239A">
        <w:rPr>
          <w:snapToGrid w:val="0"/>
          <w:color w:val="000000"/>
          <w:kern w:val="22"/>
          <w:lang w:val="fr-CA"/>
        </w:rPr>
        <w:t>Les interventions devraient être conçues et mises en œuvre selon les bonnes pratiques reconnues et les enseignements tirés</w:t>
      </w:r>
      <w:r w:rsidR="00F50701">
        <w:rPr>
          <w:snapToGrid w:val="0"/>
          <w:color w:val="000000"/>
          <w:kern w:val="22"/>
          <w:lang w:val="fr-CA"/>
        </w:rPr>
        <w:t> </w:t>
      </w:r>
      <w:r w:rsidR="00E1255B" w:rsidRPr="004F239A">
        <w:rPr>
          <w:snapToGrid w:val="0"/>
          <w:color w:val="000000" w:themeColor="text1"/>
          <w:kern w:val="22"/>
          <w:lang w:val="fr-CA"/>
        </w:rPr>
        <w:t>;</w:t>
      </w:r>
    </w:p>
    <w:p w14:paraId="548250A2" w14:textId="600CDF8D" w:rsidR="004A3E7E" w:rsidRPr="004F239A" w:rsidRDefault="00153371" w:rsidP="00AA5D70">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snapToGrid w:val="0"/>
          <w:color w:val="000000"/>
          <w:kern w:val="22"/>
          <w:lang w:val="fr-CA"/>
        </w:rPr>
        <w:t>Les perspectives des genres devraient être entièrement intégrées aux efforts de renforcement des capacités pour la biodiversité</w:t>
      </w:r>
      <w:r w:rsidR="00F50701">
        <w:rPr>
          <w:snapToGrid w:val="0"/>
          <w:color w:val="000000"/>
          <w:kern w:val="22"/>
          <w:lang w:val="fr-CA"/>
        </w:rPr>
        <w:t> </w:t>
      </w:r>
      <w:r w:rsidR="00E1255B" w:rsidRPr="004F239A">
        <w:rPr>
          <w:snapToGrid w:val="0"/>
          <w:kern w:val="22"/>
          <w:lang w:val="fr-CA"/>
        </w:rPr>
        <w:t>;</w:t>
      </w:r>
    </w:p>
    <w:p w14:paraId="265C3D95" w14:textId="4629C6B2" w:rsidR="004A3E7E" w:rsidRPr="004F239A" w:rsidRDefault="00153371" w:rsidP="00AA5D70">
      <w:pPr>
        <w:pStyle w:val="ListParagraph"/>
        <w:numPr>
          <w:ilvl w:val="0"/>
          <w:numId w:val="5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color w:val="000000" w:themeColor="text1"/>
          <w:kern w:val="22"/>
          <w:lang w:val="fr-CA"/>
        </w:rPr>
      </w:pPr>
      <w:r w:rsidRPr="004F239A">
        <w:rPr>
          <w:snapToGrid w:val="0"/>
          <w:color w:val="000000"/>
          <w:kern w:val="22"/>
          <w:lang w:val="fr-CA"/>
        </w:rPr>
        <w:t>Les cadres de suivi, évaluation et apprentissage devraient être intégrés aux stratégies, plans et programmes de renforcement des capacités, dès le départ</w:t>
      </w:r>
      <w:r w:rsidR="004A3E7E" w:rsidRPr="004F239A">
        <w:rPr>
          <w:snapToGrid w:val="0"/>
          <w:color w:val="000000" w:themeColor="text1"/>
          <w:kern w:val="22"/>
          <w:lang w:val="fr-CA"/>
        </w:rPr>
        <w:t>.</w:t>
      </w:r>
    </w:p>
    <w:p w14:paraId="3BB331BB" w14:textId="473D9860" w:rsidR="004A3E7E" w:rsidRPr="004F239A" w:rsidRDefault="004A3E7E" w:rsidP="00AA5D70">
      <w:pPr>
        <w:pStyle w:val="Heading1"/>
        <w:suppressLineNumbers/>
        <w:tabs>
          <w:tab w:val="clear" w:pos="720"/>
          <w:tab w:val="left" w:pos="567"/>
        </w:tabs>
        <w:suppressAutoHyphens/>
        <w:kinsoku w:val="0"/>
        <w:overflowPunct w:val="0"/>
        <w:autoSpaceDE w:val="0"/>
        <w:autoSpaceDN w:val="0"/>
        <w:adjustRightInd w:val="0"/>
        <w:snapToGrid w:val="0"/>
        <w:ind w:right="-130"/>
        <w:rPr>
          <w:snapToGrid w:val="0"/>
          <w:kern w:val="22"/>
          <w:lang w:val="fr-CA"/>
        </w:rPr>
      </w:pPr>
      <w:bookmarkStart w:id="21" w:name="_Toc57214901"/>
      <w:r w:rsidRPr="004F239A">
        <w:rPr>
          <w:snapToGrid w:val="0"/>
          <w:kern w:val="22"/>
          <w:lang w:val="fr-CA"/>
        </w:rPr>
        <w:t>I</w:t>
      </w:r>
      <w:bookmarkStart w:id="22" w:name="_Toc39228093"/>
      <w:r w:rsidRPr="004F239A">
        <w:rPr>
          <w:snapToGrid w:val="0"/>
          <w:kern w:val="22"/>
          <w:lang w:val="fr-CA"/>
        </w:rPr>
        <w:t>V.</w:t>
      </w:r>
      <w:r w:rsidRPr="004F239A">
        <w:rPr>
          <w:bCs/>
          <w:snapToGrid w:val="0"/>
          <w:kern w:val="22"/>
          <w:lang w:val="fr-CA"/>
        </w:rPr>
        <w:tab/>
      </w:r>
      <w:bookmarkEnd w:id="21"/>
      <w:bookmarkEnd w:id="22"/>
      <w:r w:rsidR="00501BBB" w:rsidRPr="004F239A">
        <w:rPr>
          <w:snapToGrid w:val="0"/>
          <w:kern w:val="22"/>
          <w:lang w:val="fr-CA"/>
        </w:rPr>
        <w:t>Principales stratégies pour améliorer le renforcement des capacités</w:t>
      </w:r>
    </w:p>
    <w:p w14:paraId="64879A0A" w14:textId="067CE04A" w:rsidR="004A3E7E" w:rsidRPr="004F239A" w:rsidRDefault="00501BBB"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 xml:space="preserve">Les </w:t>
      </w:r>
      <w:r w:rsidR="00AA76F3">
        <w:rPr>
          <w:kern w:val="22"/>
          <w:lang w:val="fr-CA"/>
        </w:rPr>
        <w:t xml:space="preserve">acteurs </w:t>
      </w:r>
      <w:r w:rsidRPr="004F239A">
        <w:rPr>
          <w:kern w:val="22"/>
          <w:lang w:val="fr-CA"/>
        </w:rPr>
        <w:t>gou</w:t>
      </w:r>
      <w:r w:rsidR="00AA76F3">
        <w:rPr>
          <w:kern w:val="22"/>
          <w:lang w:val="fr-CA"/>
        </w:rPr>
        <w:t>vernementaux e</w:t>
      </w:r>
      <w:r w:rsidRPr="004F239A">
        <w:rPr>
          <w:kern w:val="22"/>
          <w:lang w:val="fr-CA"/>
        </w:rPr>
        <w:t>t acteurs non gouvernementaux sont encouragés à adopter les stratégies ci-dessous, selon qu’il convient, afin d’améliorer les projets de renforcement des capacités en appui au cadre mondial de la biodiversité pour l</w:t>
      </w:r>
      <w:r w:rsidR="00F50701">
        <w:rPr>
          <w:kern w:val="22"/>
          <w:lang w:val="fr-CA"/>
        </w:rPr>
        <w:t>’</w:t>
      </w:r>
      <w:r w:rsidRPr="004F239A">
        <w:rPr>
          <w:kern w:val="22"/>
          <w:lang w:val="fr-CA"/>
        </w:rPr>
        <w:t xml:space="preserve">après-2020 et garantir leur </w:t>
      </w:r>
      <w:r w:rsidR="00AA76F3">
        <w:rPr>
          <w:kern w:val="22"/>
          <w:lang w:val="fr-CA"/>
        </w:rPr>
        <w:t>concordance</w:t>
      </w:r>
      <w:r w:rsidRPr="004F239A">
        <w:rPr>
          <w:kern w:val="22"/>
          <w:lang w:val="fr-CA"/>
        </w:rPr>
        <w:t xml:space="preserve"> et leur synergie avec les Objectifs de développement durable et autres processus nationaux et mondiaux pertinents. </w:t>
      </w:r>
      <w:r w:rsidR="001B35A7">
        <w:rPr>
          <w:kern w:val="22"/>
          <w:lang w:val="fr-CA"/>
        </w:rPr>
        <w:t>Chaque</w:t>
      </w:r>
      <w:r w:rsidRPr="004F239A">
        <w:rPr>
          <w:kern w:val="22"/>
          <w:lang w:val="fr-CA"/>
        </w:rPr>
        <w:t xml:space="preserve"> pays doit décider des stratégies à appliquer en tenant compte de ses besoins, de sa situation et de son contexte local</w:t>
      </w:r>
      <w:r w:rsidR="00F50701">
        <w:rPr>
          <w:kern w:val="22"/>
          <w:lang w:val="fr-CA"/>
        </w:rPr>
        <w:t> </w:t>
      </w:r>
      <w:r w:rsidR="00767D0C" w:rsidRPr="004F239A">
        <w:rPr>
          <w:kern w:val="22"/>
          <w:lang w:val="fr-CA"/>
        </w:rPr>
        <w:t>:</w:t>
      </w:r>
    </w:p>
    <w:p w14:paraId="412D59EF" w14:textId="7F2B5CB9" w:rsidR="004A3E7E" w:rsidRPr="004F239A" w:rsidRDefault="00501BBB" w:rsidP="00501BBB">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Institutionnaliser le renforcement des capacités</w:t>
      </w:r>
      <w:r w:rsidR="00533F66" w:rsidRPr="004F239A">
        <w:rPr>
          <w:i/>
          <w:snapToGrid w:val="0"/>
          <w:kern w:val="22"/>
          <w:lang w:val="fr-CA"/>
        </w:rPr>
        <w:t> :</w:t>
      </w:r>
      <w:r w:rsidR="00F50701">
        <w:rPr>
          <w:i/>
          <w:snapToGrid w:val="0"/>
          <w:kern w:val="22"/>
          <w:lang w:val="fr-CA"/>
        </w:rPr>
        <w:t xml:space="preserve"> </w:t>
      </w:r>
      <w:r w:rsidR="00533F66" w:rsidRPr="004F239A">
        <w:rPr>
          <w:snapToGrid w:val="0"/>
          <w:kern w:val="22"/>
          <w:lang w:val="fr-CA"/>
        </w:rPr>
        <w:t xml:space="preserve">Veiller à ce que les interventions de renforcement des capacités soient planifiées et réalisées en tant que partie intégrante des </w:t>
      </w:r>
      <w:r w:rsidR="00AA76F3">
        <w:rPr>
          <w:snapToGrid w:val="0"/>
          <w:kern w:val="22"/>
          <w:lang w:val="fr-CA"/>
        </w:rPr>
        <w:t xml:space="preserve">vastes </w:t>
      </w:r>
      <w:r w:rsidR="00533F66" w:rsidRPr="004F239A">
        <w:rPr>
          <w:snapToGrid w:val="0"/>
          <w:kern w:val="22"/>
          <w:lang w:val="fr-CA"/>
        </w:rPr>
        <w:t xml:space="preserve">plans stratégiques </w:t>
      </w:r>
      <w:r w:rsidR="00AA76F3">
        <w:rPr>
          <w:snapToGrid w:val="0"/>
          <w:kern w:val="22"/>
          <w:lang w:val="fr-CA"/>
        </w:rPr>
        <w:t xml:space="preserve">globaux </w:t>
      </w:r>
      <w:r w:rsidR="00533F66" w:rsidRPr="004F239A">
        <w:rPr>
          <w:snapToGrid w:val="0"/>
          <w:kern w:val="22"/>
          <w:lang w:val="fr-CA"/>
        </w:rPr>
        <w:t xml:space="preserve">des institutions, de la gestion continue des ressources humaines, et du développement et des connaissances organisationnels, </w:t>
      </w:r>
      <w:r w:rsidR="00AA76F3">
        <w:rPr>
          <w:snapToGrid w:val="0"/>
          <w:kern w:val="22"/>
          <w:lang w:val="fr-CA"/>
        </w:rPr>
        <w:t>du</w:t>
      </w:r>
      <w:r w:rsidR="00117C05" w:rsidRPr="004F239A">
        <w:rPr>
          <w:snapToGrid w:val="0"/>
          <w:kern w:val="22"/>
          <w:lang w:val="fr-CA"/>
        </w:rPr>
        <w:t xml:space="preserve"> mentorat et </w:t>
      </w:r>
      <w:r w:rsidR="00AA76F3">
        <w:rPr>
          <w:snapToGrid w:val="0"/>
          <w:kern w:val="22"/>
          <w:lang w:val="fr-CA"/>
        </w:rPr>
        <w:t>du</w:t>
      </w:r>
      <w:r w:rsidR="00117C05" w:rsidRPr="004F239A">
        <w:rPr>
          <w:snapToGrid w:val="0"/>
          <w:kern w:val="22"/>
          <w:lang w:val="fr-CA"/>
        </w:rPr>
        <w:t xml:space="preserve"> soutien de pair à pair</w:t>
      </w:r>
      <w:bookmarkStart w:id="23" w:name="_Toc39228095"/>
      <w:r w:rsidR="00117C05" w:rsidRPr="004F239A">
        <w:rPr>
          <w:snapToGrid w:val="0"/>
          <w:kern w:val="22"/>
          <w:szCs w:val="22"/>
          <w:lang w:val="fr-CA"/>
        </w:rPr>
        <w:t xml:space="preserve">, </w:t>
      </w:r>
      <w:r w:rsidR="00F05060">
        <w:rPr>
          <w:snapToGrid w:val="0"/>
          <w:kern w:val="22"/>
          <w:szCs w:val="22"/>
          <w:lang w:val="fr-CA"/>
        </w:rPr>
        <w:t xml:space="preserve">de </w:t>
      </w:r>
      <w:r w:rsidR="00AA76F3">
        <w:rPr>
          <w:snapToGrid w:val="0"/>
          <w:kern w:val="22"/>
          <w:szCs w:val="22"/>
          <w:lang w:val="fr-CA"/>
        </w:rPr>
        <w:t>l’encouragement des</w:t>
      </w:r>
      <w:r w:rsidR="00117C05" w:rsidRPr="004F239A">
        <w:rPr>
          <w:snapToGrid w:val="0"/>
          <w:kern w:val="22"/>
          <w:szCs w:val="22"/>
          <w:lang w:val="fr-CA"/>
        </w:rPr>
        <w:t xml:space="preserve"> communautés de pratique et </w:t>
      </w:r>
      <w:r w:rsidR="00F05060">
        <w:rPr>
          <w:snapToGrid w:val="0"/>
          <w:kern w:val="22"/>
          <w:szCs w:val="22"/>
          <w:lang w:val="fr-CA"/>
        </w:rPr>
        <w:t>du</w:t>
      </w:r>
      <w:r w:rsidR="00117C05" w:rsidRPr="004F239A">
        <w:rPr>
          <w:snapToGrid w:val="0"/>
          <w:kern w:val="22"/>
          <w:szCs w:val="22"/>
          <w:lang w:val="fr-CA"/>
        </w:rPr>
        <w:t xml:space="preserve"> partage systémique des expériences, des meilleures pratiques et des enseignements tirés</w:t>
      </w:r>
      <w:r w:rsidR="00F50701">
        <w:rPr>
          <w:snapToGrid w:val="0"/>
          <w:kern w:val="22"/>
          <w:szCs w:val="22"/>
          <w:lang w:val="fr-CA"/>
        </w:rPr>
        <w:t> </w:t>
      </w:r>
      <w:r w:rsidR="00117C05" w:rsidRPr="004F239A">
        <w:rPr>
          <w:snapToGrid w:val="0"/>
          <w:kern w:val="22"/>
          <w:szCs w:val="22"/>
          <w:lang w:val="fr-CA"/>
        </w:rPr>
        <w:t>;</w:t>
      </w:r>
    </w:p>
    <w:bookmarkEnd w:id="23"/>
    <w:p w14:paraId="03DFF9AC" w14:textId="37FDD283" w:rsidR="004A3E7E" w:rsidRPr="004F239A" w:rsidRDefault="00117C05"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Intégrer le renforcement des capacités à long terme aux stratégies et plans d</w:t>
      </w:r>
      <w:r w:rsidR="00F50701">
        <w:rPr>
          <w:i/>
          <w:snapToGrid w:val="0"/>
          <w:kern w:val="22"/>
          <w:lang w:val="fr-CA"/>
        </w:rPr>
        <w:t>’</w:t>
      </w:r>
      <w:r w:rsidRPr="004F239A">
        <w:rPr>
          <w:i/>
          <w:snapToGrid w:val="0"/>
          <w:kern w:val="22"/>
          <w:lang w:val="fr-CA"/>
        </w:rPr>
        <w:t>action nationaux pour la biodiversité</w:t>
      </w:r>
      <w:r w:rsidR="00F50701">
        <w:rPr>
          <w:i/>
          <w:snapToGrid w:val="0"/>
          <w:kern w:val="22"/>
          <w:lang w:val="fr-CA"/>
        </w:rPr>
        <w:t> </w:t>
      </w:r>
      <w:r w:rsidR="004A3E7E" w:rsidRPr="004F239A">
        <w:rPr>
          <w:i/>
          <w:snapToGrid w:val="0"/>
          <w:kern w:val="22"/>
          <w:lang w:val="fr-CA"/>
        </w:rPr>
        <w:t>:</w:t>
      </w:r>
      <w:r w:rsidR="004A3E7E" w:rsidRPr="004F239A">
        <w:rPr>
          <w:snapToGrid w:val="0"/>
          <w:kern w:val="22"/>
          <w:lang w:val="fr-CA"/>
        </w:rPr>
        <w:t xml:space="preserve"> </w:t>
      </w:r>
      <w:r w:rsidRPr="004F239A">
        <w:rPr>
          <w:snapToGrid w:val="0"/>
          <w:kern w:val="22"/>
          <w:lang w:val="fr-CA"/>
        </w:rPr>
        <w:t>Intégrer les éléments du renforcement des capacités aux SPANB et documents stratégiques semblables ou élaborer des plans d’</w:t>
      </w:r>
      <w:r w:rsidR="00DB693D" w:rsidRPr="004F239A">
        <w:rPr>
          <w:snapToGrid w:val="0"/>
          <w:kern w:val="22"/>
          <w:lang w:val="fr-CA"/>
        </w:rPr>
        <w:t>acti</w:t>
      </w:r>
      <w:r w:rsidRPr="004F239A">
        <w:rPr>
          <w:snapToGrid w:val="0"/>
          <w:kern w:val="22"/>
          <w:lang w:val="fr-CA"/>
        </w:rPr>
        <w:t xml:space="preserve">on </w:t>
      </w:r>
      <w:r w:rsidR="00DB693D" w:rsidRPr="004F239A">
        <w:rPr>
          <w:snapToGrid w:val="0"/>
          <w:kern w:val="22"/>
          <w:lang w:val="fr-CA"/>
        </w:rPr>
        <w:t>dédiés au renforcem</w:t>
      </w:r>
      <w:r w:rsidRPr="004F239A">
        <w:rPr>
          <w:snapToGrid w:val="0"/>
          <w:kern w:val="22"/>
          <w:lang w:val="fr-CA"/>
        </w:rPr>
        <w:t>ent des capacités, selon le cas,</w:t>
      </w:r>
      <w:r w:rsidR="004A3E7E" w:rsidRPr="004F239A">
        <w:rPr>
          <w:rStyle w:val="FootnoteReference"/>
          <w:snapToGrid w:val="0"/>
          <w:kern w:val="22"/>
          <w:lang w:val="fr-CA"/>
        </w:rPr>
        <w:footnoteReference w:id="57"/>
      </w:r>
      <w:r w:rsidR="004A3E7E" w:rsidRPr="004F239A">
        <w:rPr>
          <w:snapToGrid w:val="0"/>
          <w:kern w:val="22"/>
          <w:lang w:val="fr-CA"/>
        </w:rPr>
        <w:t xml:space="preserve"> </w:t>
      </w:r>
      <w:r w:rsidR="00DB693D" w:rsidRPr="004F239A">
        <w:rPr>
          <w:snapToGrid w:val="0"/>
          <w:kern w:val="22"/>
          <w:lang w:val="fr-CA"/>
        </w:rPr>
        <w:t xml:space="preserve">afin de mettre en évidence les besoins </w:t>
      </w:r>
      <w:r w:rsidR="00F05060">
        <w:rPr>
          <w:snapToGrid w:val="0"/>
          <w:kern w:val="22"/>
          <w:lang w:val="fr-CA"/>
        </w:rPr>
        <w:t>fondamentaux</w:t>
      </w:r>
      <w:r w:rsidR="00DB693D" w:rsidRPr="004F239A">
        <w:rPr>
          <w:snapToGrid w:val="0"/>
          <w:kern w:val="22"/>
          <w:lang w:val="fr-CA"/>
        </w:rPr>
        <w:t xml:space="preserve">, les buts, les objectifs et les étapes en matière de renforcement des capacités et </w:t>
      </w:r>
      <w:r w:rsidR="00F05060">
        <w:rPr>
          <w:snapToGrid w:val="0"/>
          <w:kern w:val="22"/>
          <w:lang w:val="fr-CA"/>
        </w:rPr>
        <w:t>d’</w:t>
      </w:r>
      <w:r w:rsidR="00DB693D" w:rsidRPr="004F239A">
        <w:rPr>
          <w:snapToGrid w:val="0"/>
          <w:kern w:val="22"/>
          <w:lang w:val="fr-CA"/>
        </w:rPr>
        <w:t xml:space="preserve">encourager leur </w:t>
      </w:r>
      <w:r w:rsidR="007642E8">
        <w:rPr>
          <w:snapToGrid w:val="0"/>
          <w:kern w:val="22"/>
          <w:lang w:val="fr-CA"/>
        </w:rPr>
        <w:t>concordance avec le</w:t>
      </w:r>
      <w:r w:rsidR="00DB693D" w:rsidRPr="004F239A">
        <w:rPr>
          <w:snapToGrid w:val="0"/>
          <w:kern w:val="22"/>
          <w:lang w:val="fr-CA"/>
        </w:rPr>
        <w:t xml:space="preserve"> cadre stratégique, parallèlement aux projets sur les Objectifs de d</w:t>
      </w:r>
      <w:r w:rsidR="00FD3A45" w:rsidRPr="004F239A">
        <w:rPr>
          <w:snapToGrid w:val="0"/>
          <w:kern w:val="22"/>
          <w:lang w:val="fr-CA"/>
        </w:rPr>
        <w:t>éveloppement d</w:t>
      </w:r>
      <w:r w:rsidR="00DB693D" w:rsidRPr="004F239A">
        <w:rPr>
          <w:snapToGrid w:val="0"/>
          <w:kern w:val="22"/>
          <w:lang w:val="fr-CA"/>
        </w:rPr>
        <w:t>urable connexes, afi</w:t>
      </w:r>
      <w:r w:rsidR="00FD3A45" w:rsidRPr="004F239A">
        <w:rPr>
          <w:snapToGrid w:val="0"/>
          <w:kern w:val="22"/>
          <w:lang w:val="fr-CA"/>
        </w:rPr>
        <w:t>n que le renforcement des capaci</w:t>
      </w:r>
      <w:r w:rsidR="00DB693D" w:rsidRPr="004F239A">
        <w:rPr>
          <w:snapToGrid w:val="0"/>
          <w:kern w:val="22"/>
          <w:lang w:val="fr-CA"/>
        </w:rPr>
        <w:t>tés pour l</w:t>
      </w:r>
      <w:r w:rsidR="00F05060">
        <w:rPr>
          <w:snapToGrid w:val="0"/>
          <w:kern w:val="22"/>
          <w:lang w:val="fr-CA"/>
        </w:rPr>
        <w:t>a biodiversité fasse l’objet d’</w:t>
      </w:r>
      <w:r w:rsidR="00DB693D" w:rsidRPr="004F239A">
        <w:rPr>
          <w:snapToGrid w:val="0"/>
          <w:kern w:val="22"/>
          <w:lang w:val="fr-CA"/>
        </w:rPr>
        <w:t>une planification stratégiq</w:t>
      </w:r>
      <w:r w:rsidR="001B35A7">
        <w:rPr>
          <w:snapToGrid w:val="0"/>
          <w:kern w:val="22"/>
          <w:lang w:val="fr-CA"/>
        </w:rPr>
        <w:t>ue et qu’il</w:t>
      </w:r>
      <w:r w:rsidR="00DB693D" w:rsidRPr="004F239A">
        <w:rPr>
          <w:snapToGrid w:val="0"/>
          <w:kern w:val="22"/>
          <w:lang w:val="fr-CA"/>
        </w:rPr>
        <w:t xml:space="preserve"> soit intégré aux processus nationaux d’i</w:t>
      </w:r>
      <w:r w:rsidR="00FD3A45" w:rsidRPr="004F239A">
        <w:rPr>
          <w:snapToGrid w:val="0"/>
          <w:kern w:val="22"/>
          <w:lang w:val="fr-CA"/>
        </w:rPr>
        <w:t>nvestissement et de budgétisation pour le développement</w:t>
      </w:r>
      <w:r w:rsidR="00F50701">
        <w:rPr>
          <w:snapToGrid w:val="0"/>
          <w:kern w:val="22"/>
          <w:lang w:val="fr-CA"/>
        </w:rPr>
        <w:t> </w:t>
      </w:r>
      <w:r w:rsidR="00F301CB" w:rsidRPr="004F239A">
        <w:rPr>
          <w:snapToGrid w:val="0"/>
          <w:kern w:val="22"/>
          <w:lang w:val="fr-CA"/>
        </w:rPr>
        <w:t>;</w:t>
      </w:r>
    </w:p>
    <w:p w14:paraId="4279F8C7" w14:textId="1F81BF5D" w:rsidR="004A3E7E" w:rsidRPr="004F239A" w:rsidRDefault="00FD3A45"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spacing w:val="-2"/>
          <w:kern w:val="22"/>
          <w:lang w:val="fr-CA"/>
        </w:rPr>
      </w:pPr>
      <w:r w:rsidRPr="004F239A">
        <w:rPr>
          <w:i/>
          <w:snapToGrid w:val="0"/>
          <w:spacing w:val="-2"/>
          <w:kern w:val="22"/>
          <w:lang w:val="fr-CA"/>
        </w:rPr>
        <w:t>Harmoniser le renforcement des capacités pour la biodiversité aux vastes plans et programmes intersectori</w:t>
      </w:r>
      <w:r w:rsidR="00F024C6" w:rsidRPr="004F239A">
        <w:rPr>
          <w:i/>
          <w:snapToGrid w:val="0"/>
          <w:spacing w:val="-2"/>
          <w:kern w:val="22"/>
          <w:lang w:val="fr-CA"/>
        </w:rPr>
        <w:t>els</w:t>
      </w:r>
      <w:r w:rsidR="00F50701">
        <w:rPr>
          <w:i/>
          <w:snapToGrid w:val="0"/>
          <w:spacing w:val="-2"/>
          <w:kern w:val="22"/>
          <w:lang w:val="fr-CA"/>
        </w:rPr>
        <w:t> </w:t>
      </w:r>
      <w:r w:rsidR="004A3E7E" w:rsidRPr="004F239A">
        <w:rPr>
          <w:i/>
          <w:snapToGrid w:val="0"/>
          <w:spacing w:val="-2"/>
          <w:kern w:val="22"/>
          <w:lang w:val="fr-CA"/>
        </w:rPr>
        <w:t>:</w:t>
      </w:r>
      <w:r w:rsidR="004A3E7E" w:rsidRPr="004F239A">
        <w:rPr>
          <w:snapToGrid w:val="0"/>
          <w:spacing w:val="-2"/>
          <w:kern w:val="22"/>
          <w:lang w:val="fr-CA"/>
        </w:rPr>
        <w:t xml:space="preserve"> </w:t>
      </w:r>
      <w:r w:rsidRPr="004F239A">
        <w:rPr>
          <w:snapToGrid w:val="0"/>
          <w:spacing w:val="-2"/>
          <w:kern w:val="22"/>
          <w:lang w:val="fr-CA"/>
        </w:rPr>
        <w:t>Appliquer les démarches pangouvernementales et de l’ensemble de la société à la mise en œuvre nationale proposée dans le cadre mondial de la biodiversité pour l</w:t>
      </w:r>
      <w:r w:rsidR="00F50701">
        <w:rPr>
          <w:snapToGrid w:val="0"/>
          <w:spacing w:val="-2"/>
          <w:kern w:val="22"/>
          <w:lang w:val="fr-CA"/>
        </w:rPr>
        <w:t>’</w:t>
      </w:r>
      <w:r w:rsidRPr="004F239A">
        <w:rPr>
          <w:snapToGrid w:val="0"/>
          <w:spacing w:val="-2"/>
          <w:kern w:val="22"/>
          <w:lang w:val="fr-CA"/>
        </w:rPr>
        <w:t>après-2020, afin de galvaniser le renforcement</w:t>
      </w:r>
      <w:r w:rsidR="00F024C6" w:rsidRPr="004F239A">
        <w:rPr>
          <w:snapToGrid w:val="0"/>
          <w:spacing w:val="-2"/>
          <w:kern w:val="22"/>
          <w:lang w:val="fr-CA"/>
        </w:rPr>
        <w:t xml:space="preserve"> des capacités pour la réalisati</w:t>
      </w:r>
      <w:r w:rsidRPr="004F239A">
        <w:rPr>
          <w:snapToGrid w:val="0"/>
          <w:spacing w:val="-2"/>
          <w:kern w:val="22"/>
          <w:lang w:val="fr-CA"/>
        </w:rPr>
        <w:t>on des Objectifs de développement d</w:t>
      </w:r>
      <w:r w:rsidR="00F024C6" w:rsidRPr="004F239A">
        <w:rPr>
          <w:snapToGrid w:val="0"/>
          <w:spacing w:val="-2"/>
          <w:kern w:val="22"/>
          <w:lang w:val="fr-CA"/>
        </w:rPr>
        <w:t>u</w:t>
      </w:r>
      <w:r w:rsidRPr="004F239A">
        <w:rPr>
          <w:snapToGrid w:val="0"/>
          <w:spacing w:val="-2"/>
          <w:kern w:val="22"/>
          <w:lang w:val="fr-CA"/>
        </w:rPr>
        <w:t>rable et des buts et objectifs pour l</w:t>
      </w:r>
      <w:r w:rsidR="00F05060">
        <w:rPr>
          <w:snapToGrid w:val="0"/>
          <w:spacing w:val="-2"/>
          <w:kern w:val="22"/>
          <w:lang w:val="fr-CA"/>
        </w:rPr>
        <w:t>a</w:t>
      </w:r>
      <w:r w:rsidRPr="004F239A">
        <w:rPr>
          <w:snapToGrid w:val="0"/>
          <w:spacing w:val="-2"/>
          <w:kern w:val="22"/>
          <w:lang w:val="fr-CA"/>
        </w:rPr>
        <w:t xml:space="preserve"> biodiversité. Les correspondants nationaux des conventions de Rio, des conventions liées </w:t>
      </w:r>
      <w:r w:rsidR="00F024C6" w:rsidRPr="004F239A">
        <w:rPr>
          <w:snapToGrid w:val="0"/>
          <w:spacing w:val="-2"/>
          <w:kern w:val="22"/>
          <w:lang w:val="fr-CA"/>
        </w:rPr>
        <w:t>à la diversité biolog</w:t>
      </w:r>
      <w:r w:rsidRPr="004F239A">
        <w:rPr>
          <w:snapToGrid w:val="0"/>
          <w:spacing w:val="-2"/>
          <w:kern w:val="22"/>
          <w:lang w:val="fr-CA"/>
        </w:rPr>
        <w:t>ique et des Obje</w:t>
      </w:r>
      <w:r w:rsidR="00F024C6" w:rsidRPr="004F239A">
        <w:rPr>
          <w:snapToGrid w:val="0"/>
          <w:spacing w:val="-2"/>
          <w:kern w:val="22"/>
          <w:lang w:val="fr-CA"/>
        </w:rPr>
        <w:t>c</w:t>
      </w:r>
      <w:r w:rsidRPr="004F239A">
        <w:rPr>
          <w:snapToGrid w:val="0"/>
          <w:spacing w:val="-2"/>
          <w:kern w:val="22"/>
          <w:lang w:val="fr-CA"/>
        </w:rPr>
        <w:t>ti</w:t>
      </w:r>
      <w:r w:rsidR="00F024C6" w:rsidRPr="004F239A">
        <w:rPr>
          <w:snapToGrid w:val="0"/>
          <w:spacing w:val="-2"/>
          <w:kern w:val="22"/>
          <w:lang w:val="fr-CA"/>
        </w:rPr>
        <w:t xml:space="preserve">fs de développement durable, </w:t>
      </w:r>
      <w:r w:rsidR="00F05060">
        <w:rPr>
          <w:snapToGrid w:val="0"/>
          <w:spacing w:val="-2"/>
          <w:kern w:val="22"/>
          <w:lang w:val="fr-CA"/>
        </w:rPr>
        <w:t>de même que</w:t>
      </w:r>
      <w:r w:rsidR="00F024C6" w:rsidRPr="004F239A">
        <w:rPr>
          <w:snapToGrid w:val="0"/>
          <w:spacing w:val="-2"/>
          <w:kern w:val="22"/>
          <w:lang w:val="fr-CA"/>
        </w:rPr>
        <w:t xml:space="preserve"> les représentants des ministères et secteurs de tutelle devraient adopter une carte de route pour une action harmonisée et coordonnée. Les </w:t>
      </w:r>
      <w:r w:rsidR="00F024C6" w:rsidRPr="004F239A">
        <w:rPr>
          <w:snapToGrid w:val="0"/>
          <w:spacing w:val="-2"/>
          <w:kern w:val="22"/>
          <w:lang w:val="fr-CA"/>
        </w:rPr>
        <w:lastRenderedPageBreak/>
        <w:t>équipes de pays des Nations Unis devraient aussi jou</w:t>
      </w:r>
      <w:r w:rsidR="001B35A7">
        <w:rPr>
          <w:snapToGrid w:val="0"/>
          <w:spacing w:val="-2"/>
          <w:kern w:val="22"/>
          <w:lang w:val="fr-CA"/>
        </w:rPr>
        <w:t>e</w:t>
      </w:r>
      <w:r w:rsidR="00F024C6" w:rsidRPr="004F239A">
        <w:rPr>
          <w:snapToGrid w:val="0"/>
          <w:spacing w:val="-2"/>
          <w:kern w:val="22"/>
          <w:lang w:val="fr-CA"/>
        </w:rPr>
        <w:t xml:space="preserve">r un rôle primordial en encourageant la programmation et la coordination du renforcement des capacités en tant qu’élément du cadre de coopération </w:t>
      </w:r>
      <w:r w:rsidR="0011675B" w:rsidRPr="004F239A">
        <w:rPr>
          <w:snapToGrid w:val="0"/>
          <w:spacing w:val="-2"/>
          <w:kern w:val="22"/>
          <w:lang w:val="fr-CA"/>
        </w:rPr>
        <w:t>pour le développement durable des Nations Unies</w:t>
      </w:r>
      <w:r w:rsidR="00F50701">
        <w:rPr>
          <w:snapToGrid w:val="0"/>
          <w:spacing w:val="-2"/>
          <w:kern w:val="22"/>
          <w:lang w:val="fr-CA"/>
        </w:rPr>
        <w:t> </w:t>
      </w:r>
      <w:r w:rsidR="00F301CB" w:rsidRPr="004F239A">
        <w:rPr>
          <w:snapToGrid w:val="0"/>
          <w:spacing w:val="-2"/>
          <w:kern w:val="22"/>
          <w:szCs w:val="22"/>
          <w:lang w:val="fr-CA"/>
        </w:rPr>
        <w:t>;</w:t>
      </w:r>
      <w:r w:rsidR="004A3E7E" w:rsidRPr="004F239A">
        <w:rPr>
          <w:snapToGrid w:val="0"/>
          <w:spacing w:val="-2"/>
          <w:kern w:val="22"/>
          <w:vertAlign w:val="superscript"/>
          <w:lang w:val="fr-CA"/>
        </w:rPr>
        <w:footnoteReference w:id="58"/>
      </w:r>
    </w:p>
    <w:p w14:paraId="5C49B419" w14:textId="5F3B1079" w:rsidR="004A3E7E" w:rsidRPr="004F239A" w:rsidRDefault="0011675B"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Entreprendre des mesures pour utiliser complètement et </w:t>
      </w:r>
      <w:r w:rsidR="00F62170">
        <w:rPr>
          <w:i/>
          <w:snapToGrid w:val="0"/>
          <w:kern w:val="22"/>
          <w:lang w:val="fr-CA"/>
        </w:rPr>
        <w:t>maintenir</w:t>
      </w:r>
      <w:r w:rsidRPr="004F239A">
        <w:rPr>
          <w:i/>
          <w:snapToGrid w:val="0"/>
          <w:kern w:val="22"/>
          <w:lang w:val="fr-CA"/>
        </w:rPr>
        <w:t xml:space="preserve"> les capacités existantes : </w:t>
      </w:r>
      <w:r w:rsidR="00152F42" w:rsidRPr="004F239A">
        <w:rPr>
          <w:snapToGrid w:val="0"/>
          <w:kern w:val="22"/>
          <w:lang w:val="fr-CA"/>
        </w:rPr>
        <w:t>Entreprendre des évaluati</w:t>
      </w:r>
      <w:r w:rsidRPr="004F239A">
        <w:rPr>
          <w:snapToGrid w:val="0"/>
          <w:kern w:val="22"/>
          <w:lang w:val="fr-CA"/>
        </w:rPr>
        <w:t xml:space="preserve">ons </w:t>
      </w:r>
      <w:r w:rsidR="00152F42" w:rsidRPr="004F239A">
        <w:rPr>
          <w:snapToGrid w:val="0"/>
          <w:kern w:val="22"/>
          <w:lang w:val="fr-CA"/>
        </w:rPr>
        <w:t xml:space="preserve">et des processus de bilan propres au contexte </w:t>
      </w:r>
      <w:r w:rsidR="00777320" w:rsidRPr="004F239A">
        <w:rPr>
          <w:snapToGrid w:val="0"/>
          <w:kern w:val="22"/>
          <w:lang w:val="fr-CA"/>
        </w:rPr>
        <w:t>afin de re</w:t>
      </w:r>
      <w:r w:rsidR="00152F42" w:rsidRPr="004F239A">
        <w:rPr>
          <w:snapToGrid w:val="0"/>
          <w:kern w:val="22"/>
          <w:lang w:val="fr-CA"/>
        </w:rPr>
        <w:t xml:space="preserve">censer les capacités existantes et les obstacles à leur utilisation et </w:t>
      </w:r>
      <w:r w:rsidR="00F62170">
        <w:rPr>
          <w:snapToGrid w:val="0"/>
          <w:kern w:val="22"/>
          <w:lang w:val="fr-CA"/>
        </w:rPr>
        <w:t>maintien</w:t>
      </w:r>
      <w:r w:rsidR="00152F42" w:rsidRPr="004F239A">
        <w:rPr>
          <w:snapToGrid w:val="0"/>
          <w:kern w:val="22"/>
          <w:lang w:val="fr-CA"/>
        </w:rPr>
        <w:t>. De même, identifier et encourager les mesures d’encouragement</w:t>
      </w:r>
      <w:r w:rsidR="00F62170">
        <w:rPr>
          <w:snapToGrid w:val="0"/>
          <w:kern w:val="22"/>
          <w:lang w:val="fr-CA"/>
        </w:rPr>
        <w:t xml:space="preserve"> qui aideront à maintenir et à</w:t>
      </w:r>
      <w:r w:rsidR="00152F42" w:rsidRPr="004F239A">
        <w:rPr>
          <w:snapToGrid w:val="0"/>
          <w:kern w:val="22"/>
          <w:lang w:val="fr-CA"/>
        </w:rPr>
        <w:t xml:space="preserve"> utiliser pleinement les capacités existantes et minimiser non seulement les pertes d’expertise et de mémoire institutionnelle, mais la discontinuité des partenariats et des relations créés</w:t>
      </w:r>
      <w:r w:rsidR="00F50701">
        <w:rPr>
          <w:snapToGrid w:val="0"/>
          <w:kern w:val="22"/>
          <w:lang w:val="fr-CA"/>
        </w:rPr>
        <w:t> </w:t>
      </w:r>
      <w:r w:rsidR="00F301CB" w:rsidRPr="004F239A">
        <w:rPr>
          <w:snapToGrid w:val="0"/>
          <w:kern w:val="22"/>
          <w:lang w:val="fr-CA"/>
        </w:rPr>
        <w:t>;</w:t>
      </w:r>
      <w:r w:rsidR="004A3E7E" w:rsidRPr="004F239A">
        <w:rPr>
          <w:snapToGrid w:val="0"/>
          <w:kern w:val="22"/>
          <w:vertAlign w:val="superscript"/>
          <w:lang w:val="fr-CA"/>
        </w:rPr>
        <w:footnoteReference w:id="59"/>
      </w:r>
      <w:bookmarkStart w:id="24" w:name="_Toc39228096"/>
    </w:p>
    <w:bookmarkEnd w:id="24"/>
    <w:p w14:paraId="128EF9B4" w14:textId="4DD3D7D5" w:rsidR="004A3E7E" w:rsidRPr="004F239A" w:rsidRDefault="00777320"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Élaborer des plans d’action et des programmes thématiques et de renforcement des capacités régionales : </w:t>
      </w:r>
      <w:r w:rsidRPr="004F239A">
        <w:rPr>
          <w:snapToGrid w:val="0"/>
          <w:kern w:val="22"/>
          <w:lang w:val="fr-CA"/>
        </w:rPr>
        <w:t>Il est recommandé de développer des stratégies ou plans d’action thématiques pour le renforcement des capacités, après l’adoption du cadre mondial de la biodiversité pour l</w:t>
      </w:r>
      <w:r w:rsidR="00F50701">
        <w:rPr>
          <w:snapToGrid w:val="0"/>
          <w:kern w:val="22"/>
          <w:lang w:val="fr-CA"/>
        </w:rPr>
        <w:t>’</w:t>
      </w:r>
      <w:r w:rsidRPr="004F239A">
        <w:rPr>
          <w:snapToGrid w:val="0"/>
          <w:kern w:val="22"/>
          <w:lang w:val="fr-CA"/>
        </w:rPr>
        <w:t xml:space="preserve">après-2020, afin d’appuyer la réalisation </w:t>
      </w:r>
      <w:r w:rsidR="006B739F" w:rsidRPr="004F239A">
        <w:rPr>
          <w:snapToGrid w:val="0"/>
          <w:kern w:val="22"/>
          <w:lang w:val="fr-CA"/>
        </w:rPr>
        <w:t xml:space="preserve">des buts et des groupes de buts apparentés. Les parties prenantes </w:t>
      </w:r>
      <w:r w:rsidR="00F62170">
        <w:rPr>
          <w:snapToGrid w:val="0"/>
          <w:kern w:val="22"/>
          <w:lang w:val="fr-CA"/>
        </w:rPr>
        <w:t>capables</w:t>
      </w:r>
      <w:r w:rsidR="006B739F" w:rsidRPr="004F239A">
        <w:rPr>
          <w:snapToGrid w:val="0"/>
          <w:kern w:val="22"/>
          <w:lang w:val="fr-CA"/>
        </w:rPr>
        <w:t xml:space="preserve"> de le faire devraient, selon qu’il convient, envisager d’élaborer des programmes et plans d’action régionaux, infrarégionaux, nationaux et infranationaux dédiés pour le </w:t>
      </w:r>
      <w:bookmarkStart w:id="25" w:name="_Toc39228097"/>
      <w:r w:rsidR="006B739F" w:rsidRPr="004F239A">
        <w:rPr>
          <w:snapToGrid w:val="0"/>
          <w:kern w:val="22"/>
          <w:lang w:val="fr-CA"/>
        </w:rPr>
        <w:t>renforcement des capacités à l’échelle des nombreux secteurs thématiques, assortis d’objectifs et d’indicateurs de capacité</w:t>
      </w:r>
      <w:r w:rsidR="00F50701">
        <w:rPr>
          <w:snapToGrid w:val="0"/>
          <w:kern w:val="22"/>
          <w:lang w:val="fr-CA"/>
        </w:rPr>
        <w:t> </w:t>
      </w:r>
      <w:r w:rsidR="006B739F" w:rsidRPr="004F239A">
        <w:rPr>
          <w:snapToGrid w:val="0"/>
          <w:kern w:val="22"/>
          <w:lang w:val="fr-CA"/>
        </w:rPr>
        <w:t>;</w:t>
      </w:r>
    </w:p>
    <w:bookmarkEnd w:id="25"/>
    <w:p w14:paraId="120E20F8" w14:textId="6CA104C5" w:rsidR="004A3E7E" w:rsidRPr="004F239A" w:rsidRDefault="006B739F"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Promouvoir les partenariats et les réseaux de mise en œuvre et d’apprentissage : </w:t>
      </w:r>
      <w:r w:rsidRPr="004F239A">
        <w:rPr>
          <w:snapToGrid w:val="0"/>
          <w:kern w:val="22"/>
          <w:lang w:val="fr-CA"/>
        </w:rPr>
        <w:t>Établir et renforcer les partenariats pour une mobilisation efficace des capacités et des ressources</w:t>
      </w:r>
      <w:r w:rsidR="00A51A5E">
        <w:rPr>
          <w:snapToGrid w:val="0"/>
          <w:kern w:val="22"/>
          <w:lang w:val="fr-CA"/>
        </w:rPr>
        <w:t>,</w:t>
      </w:r>
      <w:r w:rsidRPr="004F239A">
        <w:rPr>
          <w:snapToGrid w:val="0"/>
          <w:kern w:val="22"/>
          <w:lang w:val="fr-CA"/>
        </w:rPr>
        <w:t xml:space="preserve"> le partage des connaissances, de l’expertise et des technologies existantes, et la mise en œuvre</w:t>
      </w:r>
      <w:r w:rsidR="009C6D9A" w:rsidRPr="004F239A">
        <w:rPr>
          <w:snapToGrid w:val="0"/>
          <w:kern w:val="22"/>
          <w:lang w:val="fr-CA"/>
        </w:rPr>
        <w:t xml:space="preserve"> de programmes de renforcem</w:t>
      </w:r>
      <w:r w:rsidRPr="004F239A">
        <w:rPr>
          <w:snapToGrid w:val="0"/>
          <w:kern w:val="22"/>
          <w:lang w:val="fr-CA"/>
        </w:rPr>
        <w:t>ent des capacités à moyen et à long terme sur les questions précises liées au</w:t>
      </w:r>
      <w:r w:rsidR="00F50701">
        <w:rPr>
          <w:snapToGrid w:val="0"/>
          <w:kern w:val="22"/>
          <w:lang w:val="fr-CA"/>
        </w:rPr>
        <w:t>x</w:t>
      </w:r>
      <w:r w:rsidRPr="004F239A">
        <w:rPr>
          <w:snapToGrid w:val="0"/>
          <w:kern w:val="22"/>
          <w:lang w:val="fr-CA"/>
        </w:rPr>
        <w:t xml:space="preserve"> objectifs de </w:t>
      </w:r>
      <w:r w:rsidR="00345E26">
        <w:rPr>
          <w:snapToGrid w:val="0"/>
          <w:kern w:val="22"/>
          <w:lang w:val="fr-CA"/>
        </w:rPr>
        <w:t>l’après</w:t>
      </w:r>
      <w:r w:rsidRPr="004F239A">
        <w:rPr>
          <w:snapToGrid w:val="0"/>
          <w:kern w:val="22"/>
          <w:lang w:val="fr-CA"/>
        </w:rPr>
        <w:t xml:space="preserve">-2020, </w:t>
      </w:r>
      <w:r w:rsidR="009C6D9A" w:rsidRPr="004F239A">
        <w:rPr>
          <w:snapToGrid w:val="0"/>
          <w:kern w:val="22"/>
          <w:lang w:val="fr-CA"/>
        </w:rPr>
        <w:t>correspondant aux priorités nationales</w:t>
      </w:r>
      <w:r w:rsidR="00F50701">
        <w:rPr>
          <w:snapToGrid w:val="0"/>
          <w:kern w:val="22"/>
          <w:lang w:val="fr-CA"/>
        </w:rPr>
        <w:t> </w:t>
      </w:r>
      <w:r w:rsidR="00F301CB" w:rsidRPr="004F239A">
        <w:rPr>
          <w:snapToGrid w:val="0"/>
          <w:kern w:val="22"/>
          <w:lang w:val="fr-CA"/>
        </w:rPr>
        <w:t>;</w:t>
      </w:r>
    </w:p>
    <w:p w14:paraId="431394DF" w14:textId="65E3ED62" w:rsidR="004A3E7E" w:rsidRPr="004F239A" w:rsidRDefault="009C6D9A"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Améliorer les synergies entre les efforts de renforcement des capacités des processus pertinents : </w:t>
      </w:r>
      <w:r w:rsidRPr="004F239A">
        <w:rPr>
          <w:snapToGrid w:val="0"/>
          <w:kern w:val="22"/>
          <w:lang w:val="fr-CA"/>
        </w:rPr>
        <w:t xml:space="preserve">Améliorer les synergies avec les projets de renforcement des capacités des conventions liées à la diversité biologique, les conventions de Rio et </w:t>
      </w:r>
      <w:r w:rsidR="00345E26">
        <w:rPr>
          <w:snapToGrid w:val="0"/>
          <w:kern w:val="22"/>
          <w:lang w:val="fr-CA"/>
        </w:rPr>
        <w:t>les processus de mise en œuvre d</w:t>
      </w:r>
      <w:r w:rsidRPr="004F239A">
        <w:rPr>
          <w:snapToGrid w:val="0"/>
          <w:kern w:val="22"/>
          <w:lang w:val="fr-CA"/>
        </w:rPr>
        <w:t>es Objectifs de développement durable aux niveaux mondial, régional et national. Au niveau national, les correspondants</w:t>
      </w:r>
      <w:r w:rsidR="00B72B25" w:rsidRPr="004F239A">
        <w:rPr>
          <w:snapToGrid w:val="0"/>
          <w:kern w:val="22"/>
          <w:lang w:val="fr-CA"/>
        </w:rPr>
        <w:t xml:space="preserve"> nationaux des conventions et processus pertinents et de</w:t>
      </w:r>
      <w:r w:rsidR="00D34487">
        <w:rPr>
          <w:snapToGrid w:val="0"/>
          <w:kern w:val="22"/>
          <w:lang w:val="fr-CA"/>
        </w:rPr>
        <w:t>s</w:t>
      </w:r>
      <w:r w:rsidR="00B72B25" w:rsidRPr="004F239A">
        <w:rPr>
          <w:snapToGrid w:val="0"/>
          <w:kern w:val="22"/>
          <w:lang w:val="fr-CA"/>
        </w:rPr>
        <w:t xml:space="preserve"> mécanismes de financement, tels que le Fonds pour l’environnement mondial et le Fonds vert pour le climat, devraient envisager de créer un mécanisme pour favoriser la planification, </w:t>
      </w:r>
      <w:r w:rsidR="00D34487">
        <w:rPr>
          <w:snapToGrid w:val="0"/>
          <w:kern w:val="22"/>
          <w:lang w:val="fr-CA"/>
        </w:rPr>
        <w:t xml:space="preserve">la </w:t>
      </w:r>
      <w:r w:rsidR="00B72B25" w:rsidRPr="004F239A">
        <w:rPr>
          <w:snapToGrid w:val="0"/>
          <w:kern w:val="22"/>
          <w:lang w:val="fr-CA"/>
        </w:rPr>
        <w:t xml:space="preserve">programmation, </w:t>
      </w:r>
      <w:r w:rsidR="00D34487">
        <w:rPr>
          <w:snapToGrid w:val="0"/>
          <w:kern w:val="22"/>
          <w:lang w:val="fr-CA"/>
        </w:rPr>
        <w:t xml:space="preserve">le </w:t>
      </w:r>
      <w:r w:rsidR="00B72B25" w:rsidRPr="004F239A">
        <w:rPr>
          <w:snapToGrid w:val="0"/>
          <w:kern w:val="22"/>
          <w:lang w:val="fr-CA"/>
        </w:rPr>
        <w:t xml:space="preserve">suivi et </w:t>
      </w:r>
      <w:r w:rsidR="00D34487">
        <w:rPr>
          <w:snapToGrid w:val="0"/>
          <w:kern w:val="22"/>
          <w:lang w:val="fr-CA"/>
        </w:rPr>
        <w:t>l’</w:t>
      </w:r>
      <w:r w:rsidR="00B72B25" w:rsidRPr="004F239A">
        <w:rPr>
          <w:snapToGrid w:val="0"/>
          <w:kern w:val="22"/>
          <w:lang w:val="fr-CA"/>
        </w:rPr>
        <w:t>évaluation intégrés et/ou coordonnés</w:t>
      </w:r>
      <w:r w:rsidR="00F50701">
        <w:rPr>
          <w:snapToGrid w:val="0"/>
          <w:kern w:val="22"/>
          <w:lang w:val="fr-CA"/>
        </w:rPr>
        <w:t> </w:t>
      </w:r>
      <w:r w:rsidR="00F301CB" w:rsidRPr="004F239A">
        <w:rPr>
          <w:snapToGrid w:val="0"/>
          <w:kern w:val="22"/>
          <w:lang w:val="fr-CA"/>
        </w:rPr>
        <w:t>;</w:t>
      </w:r>
    </w:p>
    <w:p w14:paraId="6143137D" w14:textId="7416B1B9" w:rsidR="004A3E7E" w:rsidRPr="004F239A" w:rsidRDefault="00B72B25"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Promouvoir la coopération Sud-Sud et triangulaire </w:t>
      </w:r>
      <w:r w:rsidR="00D34487">
        <w:rPr>
          <w:snapToGrid w:val="0"/>
          <w:kern w:val="22"/>
          <w:lang w:val="fr-CA"/>
        </w:rPr>
        <w:t>en appui</w:t>
      </w:r>
      <w:r w:rsidRPr="004F239A">
        <w:rPr>
          <w:snapToGrid w:val="0"/>
          <w:kern w:val="22"/>
          <w:lang w:val="fr-CA"/>
        </w:rPr>
        <w:t xml:space="preserve"> au renforcement des capacités des pays en développement connaissant le même genre de difficultés et ayant des caractéristiques semblables (</w:t>
      </w:r>
      <w:r w:rsidR="00D34487">
        <w:rPr>
          <w:snapToGrid w:val="0"/>
          <w:kern w:val="22"/>
          <w:lang w:val="fr-CA"/>
        </w:rPr>
        <w:t>notamment en matière de</w:t>
      </w:r>
      <w:r w:rsidRPr="004F239A">
        <w:rPr>
          <w:snapToGrid w:val="0"/>
          <w:kern w:val="22"/>
          <w:lang w:val="fr-CA"/>
        </w:rPr>
        <w:t xml:space="preserve"> </w:t>
      </w:r>
      <w:r w:rsidR="00C11C95" w:rsidRPr="004F239A">
        <w:rPr>
          <w:snapToGrid w:val="0"/>
          <w:kern w:val="22"/>
          <w:lang w:val="fr-CA"/>
        </w:rPr>
        <w:t xml:space="preserve">situations économiques et sociales, et </w:t>
      </w:r>
      <w:r w:rsidR="00D34487">
        <w:rPr>
          <w:snapToGrid w:val="0"/>
          <w:kern w:val="22"/>
          <w:lang w:val="fr-CA"/>
        </w:rPr>
        <w:t>de langue</w:t>
      </w:r>
      <w:r w:rsidR="00C11C95" w:rsidRPr="004F239A">
        <w:rPr>
          <w:snapToGrid w:val="0"/>
          <w:kern w:val="22"/>
          <w:lang w:val="fr-CA"/>
        </w:rPr>
        <w:t>). Cela pourrait inclure le partage des connaissances, de l’expertise, des technologies et des ressources, et la création de noyaux, réseaux et centres d’excellence régionaux</w:t>
      </w:r>
      <w:r w:rsidR="00F50701">
        <w:rPr>
          <w:snapToGrid w:val="0"/>
          <w:kern w:val="22"/>
          <w:lang w:val="fr-CA"/>
        </w:rPr>
        <w:t> </w:t>
      </w:r>
      <w:r w:rsidR="00F301CB" w:rsidRPr="004F239A">
        <w:rPr>
          <w:snapToGrid w:val="0"/>
          <w:kern w:val="22"/>
          <w:lang w:val="fr-CA"/>
        </w:rPr>
        <w:t>;</w:t>
      </w:r>
    </w:p>
    <w:p w14:paraId="654F9280" w14:textId="25AD0058" w:rsidR="004A3E7E" w:rsidRPr="004F239A" w:rsidRDefault="00C11C95"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Faire participer le secteur privé : </w:t>
      </w:r>
      <w:r w:rsidRPr="004F239A">
        <w:rPr>
          <w:snapToGrid w:val="0"/>
          <w:kern w:val="22"/>
          <w:lang w:val="fr-CA"/>
        </w:rPr>
        <w:t>Faire participer le secteur privé au renforcement des capacités nationales, de manière proactive et selon qu’</w:t>
      </w:r>
      <w:r w:rsidR="00962625" w:rsidRPr="004F239A">
        <w:rPr>
          <w:snapToGrid w:val="0"/>
          <w:kern w:val="22"/>
          <w:lang w:val="fr-CA"/>
        </w:rPr>
        <w:t>il convient, car plusieurs ressources techniques et financières, ainsi que l’expertise et les technologies</w:t>
      </w:r>
      <w:r w:rsidR="00D34487">
        <w:rPr>
          <w:snapToGrid w:val="0"/>
          <w:kern w:val="22"/>
          <w:lang w:val="fr-CA"/>
        </w:rPr>
        <w:t>,</w:t>
      </w:r>
      <w:r w:rsidR="00962625" w:rsidRPr="004F239A">
        <w:rPr>
          <w:snapToGrid w:val="0"/>
          <w:kern w:val="22"/>
          <w:lang w:val="fr-CA"/>
        </w:rPr>
        <w:t xml:space="preserve"> sont dans les mains d’entités privées</w:t>
      </w:r>
      <w:r w:rsidR="00D34487">
        <w:rPr>
          <w:snapToGrid w:val="0"/>
          <w:kern w:val="22"/>
          <w:lang w:val="fr-CA"/>
        </w:rPr>
        <w:t xml:space="preserve">, tout en garantissant </w:t>
      </w:r>
      <w:r w:rsidR="00962625" w:rsidRPr="004F239A">
        <w:rPr>
          <w:snapToGrid w:val="0"/>
          <w:kern w:val="22"/>
          <w:lang w:val="fr-CA"/>
        </w:rPr>
        <w:t>la transparence et la responsabilité. Il faut aussi renforcer les capacité</w:t>
      </w:r>
      <w:r w:rsidR="00D34487">
        <w:rPr>
          <w:snapToGrid w:val="0"/>
          <w:kern w:val="22"/>
          <w:lang w:val="fr-CA"/>
        </w:rPr>
        <w:t>s</w:t>
      </w:r>
      <w:r w:rsidR="00962625" w:rsidRPr="004F239A">
        <w:rPr>
          <w:snapToGrid w:val="0"/>
          <w:kern w:val="22"/>
          <w:lang w:val="fr-CA"/>
        </w:rPr>
        <w:t xml:space="preserve"> des petites et moyennes entreprises afin de régler les problèmes </w:t>
      </w:r>
      <w:r w:rsidR="00D34487">
        <w:rPr>
          <w:snapToGrid w:val="0"/>
          <w:kern w:val="22"/>
          <w:lang w:val="fr-CA"/>
        </w:rPr>
        <w:t>en lien avec</w:t>
      </w:r>
      <w:r w:rsidR="00962625" w:rsidRPr="004F239A">
        <w:rPr>
          <w:snapToGrid w:val="0"/>
          <w:kern w:val="22"/>
          <w:lang w:val="fr-CA"/>
        </w:rPr>
        <w:t xml:space="preserve"> la diversité biologique</w:t>
      </w:r>
      <w:r w:rsidR="00F50701">
        <w:rPr>
          <w:snapToGrid w:val="0"/>
          <w:kern w:val="22"/>
          <w:lang w:val="fr-CA"/>
        </w:rPr>
        <w:t> </w:t>
      </w:r>
      <w:r w:rsidR="00F301CB" w:rsidRPr="004F239A">
        <w:rPr>
          <w:snapToGrid w:val="0"/>
          <w:kern w:val="22"/>
          <w:szCs w:val="22"/>
          <w:lang w:val="fr-CA"/>
        </w:rPr>
        <w:t>;</w:t>
      </w:r>
      <w:bookmarkStart w:id="26" w:name="_Toc39228098"/>
    </w:p>
    <w:bookmarkEnd w:id="26"/>
    <w:p w14:paraId="38B42E83" w14:textId="4F9E02A6" w:rsidR="004A3E7E" w:rsidRPr="004F239A" w:rsidRDefault="00962625" w:rsidP="00AA5D70">
      <w:pPr>
        <w:pStyle w:val="ListParagraph"/>
        <w:numPr>
          <w:ilvl w:val="0"/>
          <w:numId w:val="87"/>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i/>
          <w:snapToGrid w:val="0"/>
          <w:kern w:val="22"/>
          <w:lang w:val="fr-CA"/>
        </w:rPr>
        <w:t xml:space="preserve">Renforcer </w:t>
      </w:r>
      <w:r w:rsidR="009014B1">
        <w:rPr>
          <w:i/>
          <w:snapToGrid w:val="0"/>
          <w:kern w:val="22"/>
          <w:lang w:val="fr-CA"/>
        </w:rPr>
        <w:t>le</w:t>
      </w:r>
      <w:r w:rsidRPr="004F239A">
        <w:rPr>
          <w:i/>
          <w:snapToGrid w:val="0"/>
          <w:kern w:val="22"/>
          <w:lang w:val="fr-CA"/>
        </w:rPr>
        <w:t xml:space="preserve"> suivi et </w:t>
      </w:r>
      <w:r w:rsidR="009014B1">
        <w:rPr>
          <w:i/>
          <w:snapToGrid w:val="0"/>
          <w:kern w:val="22"/>
          <w:lang w:val="fr-CA"/>
        </w:rPr>
        <w:t>l’</w:t>
      </w:r>
      <w:r w:rsidRPr="004F239A">
        <w:rPr>
          <w:i/>
          <w:snapToGrid w:val="0"/>
          <w:kern w:val="22"/>
          <w:lang w:val="fr-CA"/>
        </w:rPr>
        <w:t xml:space="preserve">évaluation des interventions de renforcement des capacités : </w:t>
      </w:r>
      <w:r w:rsidRPr="004F239A">
        <w:rPr>
          <w:snapToGrid w:val="0"/>
          <w:kern w:val="22"/>
          <w:lang w:val="fr-CA"/>
        </w:rPr>
        <w:t>Créer et mettre en place des systèmes de gestion adap</w:t>
      </w:r>
      <w:r w:rsidR="005908A9" w:rsidRPr="004F239A">
        <w:rPr>
          <w:snapToGrid w:val="0"/>
          <w:kern w:val="22"/>
          <w:lang w:val="fr-CA"/>
        </w:rPr>
        <w:t>tatifs pour le suivi et évaluati</w:t>
      </w:r>
      <w:r w:rsidRPr="004F239A">
        <w:rPr>
          <w:snapToGrid w:val="0"/>
          <w:kern w:val="22"/>
          <w:lang w:val="fr-CA"/>
        </w:rPr>
        <w:t>on des efforts de renforcement d</w:t>
      </w:r>
      <w:r w:rsidR="005908A9" w:rsidRPr="004F239A">
        <w:rPr>
          <w:snapToGrid w:val="0"/>
          <w:kern w:val="22"/>
          <w:lang w:val="fr-CA"/>
        </w:rPr>
        <w:t>es capacités pour la biodiversi</w:t>
      </w:r>
      <w:r w:rsidRPr="004F239A">
        <w:rPr>
          <w:snapToGrid w:val="0"/>
          <w:kern w:val="22"/>
          <w:lang w:val="fr-CA"/>
        </w:rPr>
        <w:t xml:space="preserve">té, afin </w:t>
      </w:r>
      <w:r w:rsidR="009014B1">
        <w:rPr>
          <w:snapToGrid w:val="0"/>
          <w:kern w:val="22"/>
          <w:lang w:val="fr-CA"/>
        </w:rPr>
        <w:t>de déterminer</w:t>
      </w:r>
      <w:r w:rsidRPr="004F239A">
        <w:rPr>
          <w:snapToGrid w:val="0"/>
          <w:kern w:val="22"/>
          <w:lang w:val="fr-CA"/>
        </w:rPr>
        <w:t xml:space="preserve"> si les résultats escomptés </w:t>
      </w:r>
      <w:r w:rsidR="005908A9" w:rsidRPr="004F239A">
        <w:rPr>
          <w:snapToGrid w:val="0"/>
          <w:kern w:val="22"/>
          <w:lang w:val="fr-CA"/>
        </w:rPr>
        <w:t xml:space="preserve">pour les capacités ont été atteints de manière </w:t>
      </w:r>
      <w:r w:rsidR="009014B1">
        <w:rPr>
          <w:snapToGrid w:val="0"/>
          <w:kern w:val="22"/>
          <w:lang w:val="fr-CA"/>
        </w:rPr>
        <w:t>percutante</w:t>
      </w:r>
      <w:r w:rsidR="005908A9" w:rsidRPr="004F239A">
        <w:rPr>
          <w:snapToGrid w:val="0"/>
          <w:kern w:val="22"/>
          <w:lang w:val="fr-CA"/>
        </w:rPr>
        <w:t xml:space="preserve"> et durable, de repérer et de corriger les erreurs, et de saisir et de mettre en commun les bonnes pratiques et les enseignements.</w:t>
      </w:r>
    </w:p>
    <w:p w14:paraId="736934A6" w14:textId="78F2E670" w:rsidR="004A3E7E" w:rsidRPr="004F239A" w:rsidRDefault="004A3E7E" w:rsidP="00AA5D70">
      <w:pPr>
        <w:pStyle w:val="Heading1"/>
        <w:suppressLineNumbers/>
        <w:tabs>
          <w:tab w:val="clear" w:pos="720"/>
          <w:tab w:val="left" w:pos="426"/>
        </w:tabs>
        <w:suppressAutoHyphens/>
        <w:kinsoku w:val="0"/>
        <w:overflowPunct w:val="0"/>
        <w:autoSpaceDE w:val="0"/>
        <w:autoSpaceDN w:val="0"/>
        <w:adjustRightInd w:val="0"/>
        <w:snapToGrid w:val="0"/>
        <w:spacing w:before="120"/>
        <w:rPr>
          <w:bCs/>
          <w:snapToGrid w:val="0"/>
          <w:kern w:val="22"/>
          <w:lang w:val="fr-CA"/>
        </w:rPr>
      </w:pPr>
      <w:bookmarkStart w:id="27" w:name="_Toc57214902"/>
      <w:r w:rsidRPr="004F239A">
        <w:rPr>
          <w:bCs/>
          <w:snapToGrid w:val="0"/>
          <w:kern w:val="22"/>
          <w:lang w:val="fr-CA"/>
        </w:rPr>
        <w:lastRenderedPageBreak/>
        <w:t xml:space="preserve">V. </w:t>
      </w:r>
      <w:r w:rsidRPr="004F239A">
        <w:rPr>
          <w:bCs/>
          <w:snapToGrid w:val="0"/>
          <w:kern w:val="22"/>
          <w:lang w:val="fr-CA"/>
        </w:rPr>
        <w:tab/>
      </w:r>
      <w:bookmarkEnd w:id="27"/>
      <w:r w:rsidR="006F6E63" w:rsidRPr="004F239A">
        <w:rPr>
          <w:bCs/>
          <w:snapToGrid w:val="0"/>
          <w:kern w:val="22"/>
          <w:lang w:val="fr-CA"/>
        </w:rPr>
        <w:t>mécanismes de mise en œuvre</w:t>
      </w:r>
    </w:p>
    <w:p w14:paraId="2615B513" w14:textId="2A6A4133" w:rsidR="004A3E7E" w:rsidRPr="004F239A" w:rsidRDefault="006F6E63" w:rsidP="00AA5D70">
      <w:pPr>
        <w:pStyle w:val="Heading2"/>
        <w:numPr>
          <w:ilvl w:val="0"/>
          <w:numId w:val="59"/>
        </w:numPr>
        <w:suppressLineNumbers/>
        <w:tabs>
          <w:tab w:val="clear" w:pos="720"/>
          <w:tab w:val="left" w:pos="426"/>
        </w:tabs>
        <w:suppressAutoHyphens/>
        <w:kinsoku w:val="0"/>
        <w:overflowPunct w:val="0"/>
        <w:autoSpaceDE w:val="0"/>
        <w:autoSpaceDN w:val="0"/>
        <w:adjustRightInd w:val="0"/>
        <w:snapToGrid w:val="0"/>
        <w:spacing w:before="0" w:after="0"/>
        <w:ind w:left="0" w:firstLine="0"/>
        <w:rPr>
          <w:snapToGrid w:val="0"/>
          <w:kern w:val="22"/>
          <w:lang w:val="fr-CA"/>
        </w:rPr>
      </w:pPr>
      <w:r w:rsidRPr="004F239A">
        <w:rPr>
          <w:snapToGrid w:val="0"/>
          <w:kern w:val="22"/>
          <w:lang w:val="fr-CA"/>
        </w:rPr>
        <w:t>Mécanismes de gouvernance et de coordination</w:t>
      </w:r>
    </w:p>
    <w:p w14:paraId="29D05B9E" w14:textId="61A06034" w:rsidR="004A3E7E" w:rsidRPr="004F239A" w:rsidRDefault="006F6E63"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bookmarkStart w:id="28" w:name="_Hlk50342860"/>
      <w:r w:rsidRPr="004F239A">
        <w:rPr>
          <w:kern w:val="22"/>
          <w:lang w:val="fr-CA"/>
        </w:rPr>
        <w:t>Il doit exister des mécanismes offrant un leadership stratégique favorisant une action coordonnée pour renforcer les capacités pour la biodiversité aux niveaux mondial, régional et national. Ces mécanismes devraient notamment avoir pour rôle : a) d’améliorer les synergies en facilitant la coordination interagences et la collaboration entre les organisations, initiatives et a</w:t>
      </w:r>
      <w:r w:rsidR="00F12C8C" w:rsidRPr="004F239A">
        <w:rPr>
          <w:kern w:val="22"/>
          <w:lang w:val="fr-CA"/>
        </w:rPr>
        <w:t>gences de financement con</w:t>
      </w:r>
      <w:r w:rsidRPr="004F239A">
        <w:rPr>
          <w:kern w:val="22"/>
          <w:lang w:val="fr-CA"/>
        </w:rPr>
        <w:t>cernées</w:t>
      </w:r>
      <w:r w:rsidR="00F50701">
        <w:rPr>
          <w:kern w:val="22"/>
          <w:lang w:val="fr-CA"/>
        </w:rPr>
        <w:t> </w:t>
      </w:r>
      <w:r w:rsidRPr="004F239A">
        <w:rPr>
          <w:kern w:val="22"/>
          <w:lang w:val="fr-CA"/>
        </w:rPr>
        <w:t xml:space="preserve">; b) offrir une </w:t>
      </w:r>
      <w:r w:rsidR="00F12C8C" w:rsidRPr="004F239A">
        <w:rPr>
          <w:kern w:val="22"/>
          <w:lang w:val="fr-CA"/>
        </w:rPr>
        <w:t>orientation, des conseils et un appui</w:t>
      </w:r>
      <w:r w:rsidRPr="004F239A">
        <w:rPr>
          <w:kern w:val="22"/>
          <w:lang w:val="fr-CA"/>
        </w:rPr>
        <w:t xml:space="preserve"> stratégique</w:t>
      </w:r>
      <w:r w:rsidR="00F12C8C" w:rsidRPr="004F239A">
        <w:rPr>
          <w:kern w:val="22"/>
          <w:lang w:val="fr-CA"/>
        </w:rPr>
        <w:t xml:space="preserve"> aux </w:t>
      </w:r>
      <w:r w:rsidR="00F31D16">
        <w:rPr>
          <w:kern w:val="22"/>
          <w:lang w:val="fr-CA"/>
        </w:rPr>
        <w:t>acteurs gouvernementaux</w:t>
      </w:r>
      <w:r w:rsidR="00F12C8C" w:rsidRPr="004F239A">
        <w:rPr>
          <w:kern w:val="22"/>
          <w:lang w:val="fr-CA"/>
        </w:rPr>
        <w:t xml:space="preserve"> et non </w:t>
      </w:r>
      <w:r w:rsidR="00C603B0">
        <w:rPr>
          <w:kern w:val="22"/>
          <w:lang w:val="fr-CA"/>
        </w:rPr>
        <w:t>gouvernementaux</w:t>
      </w:r>
      <w:r w:rsidR="00F50701">
        <w:rPr>
          <w:kern w:val="22"/>
          <w:lang w:val="fr-CA"/>
        </w:rPr>
        <w:t> </w:t>
      </w:r>
      <w:r w:rsidR="00C603B0">
        <w:rPr>
          <w:kern w:val="22"/>
          <w:lang w:val="fr-CA"/>
        </w:rPr>
        <w:t>; c)</w:t>
      </w:r>
      <w:r w:rsidR="00F50701">
        <w:rPr>
          <w:kern w:val="22"/>
          <w:lang w:val="fr-CA"/>
        </w:rPr>
        <w:t xml:space="preserve"> </w:t>
      </w:r>
      <w:r w:rsidR="00F12C8C" w:rsidRPr="004F239A">
        <w:rPr>
          <w:kern w:val="22"/>
          <w:lang w:val="fr-CA"/>
        </w:rPr>
        <w:t>promouvoir les démarches stratégiques et cohérentes en matière de renforcement des capacités</w:t>
      </w:r>
      <w:r w:rsidR="00F50701">
        <w:rPr>
          <w:kern w:val="22"/>
          <w:lang w:val="fr-CA"/>
        </w:rPr>
        <w:t> </w:t>
      </w:r>
      <w:r w:rsidR="00F12C8C" w:rsidRPr="004F239A">
        <w:rPr>
          <w:kern w:val="22"/>
          <w:lang w:val="fr-CA"/>
        </w:rPr>
        <w:t xml:space="preserve">; </w:t>
      </w:r>
      <w:r w:rsidR="00C603B0">
        <w:rPr>
          <w:kern w:val="22"/>
          <w:lang w:val="fr-CA"/>
        </w:rPr>
        <w:t>d) e</w:t>
      </w:r>
      <w:r w:rsidR="00F12C8C" w:rsidRPr="004F239A">
        <w:rPr>
          <w:kern w:val="22"/>
          <w:lang w:val="fr-CA"/>
        </w:rPr>
        <w:t>ncourager les partenariats et les initiatives multipartites</w:t>
      </w:r>
      <w:r w:rsidR="00F50701">
        <w:rPr>
          <w:kern w:val="22"/>
          <w:lang w:val="fr-CA"/>
        </w:rPr>
        <w:t> </w:t>
      </w:r>
      <w:r w:rsidR="00F12C8C" w:rsidRPr="004F239A">
        <w:rPr>
          <w:kern w:val="22"/>
          <w:lang w:val="fr-CA"/>
        </w:rPr>
        <w:t xml:space="preserve">; </w:t>
      </w:r>
      <w:r w:rsidR="00C603B0">
        <w:rPr>
          <w:kern w:val="22"/>
          <w:lang w:val="fr-CA"/>
        </w:rPr>
        <w:t xml:space="preserve">e) </w:t>
      </w:r>
      <w:r w:rsidR="00F12C8C" w:rsidRPr="004F239A">
        <w:rPr>
          <w:kern w:val="22"/>
          <w:lang w:val="fr-CA"/>
        </w:rPr>
        <w:t>recenser les occasions de mobiliser des ressources supplémentaires pour les efforts de renforcement des capacités pour la biodiversité</w:t>
      </w:r>
      <w:r w:rsidR="00F50701">
        <w:rPr>
          <w:kern w:val="22"/>
          <w:lang w:val="fr-CA"/>
        </w:rPr>
        <w:t> </w:t>
      </w:r>
      <w:r w:rsidR="00F12C8C" w:rsidRPr="004F239A">
        <w:rPr>
          <w:kern w:val="22"/>
          <w:lang w:val="fr-CA"/>
        </w:rPr>
        <w:t>; et f) proposer des idées innovatrices pour améliorer et faire avancer la mise en œuvre du cadre stratégique</w:t>
      </w:r>
      <w:r w:rsidR="004A3E7E" w:rsidRPr="004F239A">
        <w:rPr>
          <w:kern w:val="22"/>
          <w:lang w:val="fr-CA"/>
        </w:rPr>
        <w:t>.</w:t>
      </w:r>
      <w:bookmarkEnd w:id="28"/>
    </w:p>
    <w:p w14:paraId="39577B57" w14:textId="310185B1" w:rsidR="004A3E7E" w:rsidRPr="004F239A" w:rsidRDefault="00F12C8C"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Au niveau mondial, les rôles pourraient se concrétiser en</w:t>
      </w:r>
      <w:r w:rsidR="00F50701">
        <w:rPr>
          <w:kern w:val="22"/>
          <w:lang w:val="fr-CA"/>
        </w:rPr>
        <w:t> </w:t>
      </w:r>
      <w:r w:rsidR="004A3E7E" w:rsidRPr="004F239A">
        <w:rPr>
          <w:kern w:val="22"/>
          <w:lang w:val="fr-CA"/>
        </w:rPr>
        <w:t>:</w:t>
      </w:r>
    </w:p>
    <w:p w14:paraId="6C238242" w14:textId="22729C63" w:rsidR="004A3E7E" w:rsidRPr="004F239A" w:rsidRDefault="00F12C8C" w:rsidP="00F12C8C">
      <w:pPr>
        <w:pStyle w:val="Para1"/>
        <w:numPr>
          <w:ilvl w:val="1"/>
          <w:numId w:val="10"/>
        </w:numPr>
        <w:suppressLineNumbers/>
        <w:suppressAutoHyphens/>
        <w:kinsoku w:val="0"/>
        <w:overflowPunct w:val="0"/>
        <w:autoSpaceDE w:val="0"/>
        <w:autoSpaceDN w:val="0"/>
        <w:adjustRightInd w:val="0"/>
        <w:snapToGrid w:val="0"/>
        <w:rPr>
          <w:kern w:val="22"/>
          <w:szCs w:val="22"/>
          <w:lang w:val="fr-CA"/>
        </w:rPr>
      </w:pPr>
      <w:bookmarkStart w:id="29" w:name="_Hlk50335725"/>
      <w:r w:rsidRPr="004F239A">
        <w:rPr>
          <w:kern w:val="22"/>
          <w:szCs w:val="22"/>
          <w:lang w:val="fr-CA"/>
        </w:rPr>
        <w:t>Formant un nouveau comité de haut niveau pour le renforcement des capac</w:t>
      </w:r>
      <w:r w:rsidR="002B33E6" w:rsidRPr="004F239A">
        <w:rPr>
          <w:kern w:val="22"/>
          <w:szCs w:val="22"/>
          <w:lang w:val="fr-CA"/>
        </w:rPr>
        <w:t>ités pour la biodiversité ou un vaste comité interagences offrant un soutien pour la mise en œuvre</w:t>
      </w:r>
      <w:r w:rsidR="00F50701">
        <w:rPr>
          <w:kern w:val="22"/>
          <w:szCs w:val="22"/>
          <w:lang w:val="fr-CA"/>
        </w:rPr>
        <w:t> </w:t>
      </w:r>
      <w:r w:rsidR="00F0386C" w:rsidRPr="004F239A">
        <w:rPr>
          <w:kern w:val="22"/>
          <w:szCs w:val="22"/>
          <w:lang w:val="fr-CA"/>
        </w:rPr>
        <w:t>;</w:t>
      </w:r>
      <w:r w:rsidR="004A3E7E" w:rsidRPr="004F239A">
        <w:rPr>
          <w:rStyle w:val="FootnoteReference"/>
          <w:kern w:val="22"/>
          <w:szCs w:val="22"/>
          <w:lang w:val="fr-CA"/>
        </w:rPr>
        <w:footnoteReference w:id="60"/>
      </w:r>
    </w:p>
    <w:p w14:paraId="29490D06" w14:textId="72DC2654" w:rsidR="004A3E7E" w:rsidRPr="004F239A" w:rsidRDefault="00C603B0" w:rsidP="00AA5D70">
      <w:pPr>
        <w:pStyle w:val="Para1"/>
        <w:numPr>
          <w:ilvl w:val="1"/>
          <w:numId w:val="10"/>
        </w:numPr>
        <w:suppressLineNumbers/>
        <w:suppressAutoHyphens/>
        <w:kinsoku w:val="0"/>
        <w:overflowPunct w:val="0"/>
        <w:autoSpaceDE w:val="0"/>
        <w:autoSpaceDN w:val="0"/>
        <w:adjustRightInd w:val="0"/>
        <w:snapToGrid w:val="0"/>
        <w:rPr>
          <w:kern w:val="22"/>
          <w:szCs w:val="22"/>
          <w:lang w:val="fr-CA"/>
        </w:rPr>
      </w:pPr>
      <w:bookmarkStart w:id="30" w:name="_Hlk50335767"/>
      <w:bookmarkEnd w:id="29"/>
      <w:r>
        <w:rPr>
          <w:kern w:val="22"/>
          <w:szCs w:val="22"/>
          <w:lang w:val="fr-CA"/>
        </w:rPr>
        <w:t>Constituant</w:t>
      </w:r>
      <w:r w:rsidR="002B33E6" w:rsidRPr="004F239A">
        <w:rPr>
          <w:kern w:val="22"/>
          <w:szCs w:val="22"/>
          <w:lang w:val="fr-CA"/>
        </w:rPr>
        <w:t xml:space="preserve"> une équipe spéciale de renforcement des capacités pour la biodiversité relevant des mécanismes existants tels que </w:t>
      </w:r>
      <w:r w:rsidR="00C733CD">
        <w:rPr>
          <w:kern w:val="22"/>
          <w:szCs w:val="22"/>
          <w:lang w:val="fr-CA"/>
        </w:rPr>
        <w:t xml:space="preserve">le </w:t>
      </w:r>
      <w:r w:rsidR="002B33E6" w:rsidRPr="004F239A">
        <w:rPr>
          <w:kern w:val="22"/>
          <w:szCs w:val="22"/>
          <w:lang w:val="fr-CA"/>
        </w:rPr>
        <w:t xml:space="preserve">Groupe de la gestion de l’environnement des Nations Unies (GGE) et le Groupe de </w:t>
      </w:r>
      <w:r w:rsidR="00E02641" w:rsidRPr="004F239A">
        <w:rPr>
          <w:kern w:val="22"/>
          <w:szCs w:val="22"/>
          <w:lang w:val="fr-CA"/>
        </w:rPr>
        <w:t>l</w:t>
      </w:r>
      <w:r w:rsidR="002B33E6" w:rsidRPr="004F239A">
        <w:rPr>
          <w:kern w:val="22"/>
          <w:szCs w:val="22"/>
          <w:lang w:val="fr-CA"/>
        </w:rPr>
        <w:t>iaison des conventions liées à la diversité biologique</w:t>
      </w:r>
      <w:r w:rsidR="00F0386C" w:rsidRPr="004F239A">
        <w:rPr>
          <w:kern w:val="22"/>
          <w:szCs w:val="22"/>
          <w:lang w:val="fr-CA"/>
        </w:rPr>
        <w:t>.</w:t>
      </w:r>
      <w:r w:rsidR="004A3E7E" w:rsidRPr="004F239A">
        <w:rPr>
          <w:kern w:val="22"/>
          <w:szCs w:val="22"/>
          <w:vertAlign w:val="superscript"/>
          <w:lang w:val="fr-CA"/>
        </w:rPr>
        <w:footnoteReference w:id="61"/>
      </w:r>
    </w:p>
    <w:bookmarkEnd w:id="30"/>
    <w:p w14:paraId="72855A25" w14:textId="21E64793" w:rsidR="004A3E7E" w:rsidRPr="004F239A" w:rsidRDefault="002B33E6"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A</w:t>
      </w:r>
      <w:r w:rsidR="00E02641" w:rsidRPr="004F239A">
        <w:rPr>
          <w:kern w:val="22"/>
          <w:lang w:val="fr-CA"/>
        </w:rPr>
        <w:t>u</w:t>
      </w:r>
      <w:r w:rsidRPr="004F239A">
        <w:rPr>
          <w:kern w:val="22"/>
          <w:lang w:val="fr-CA"/>
        </w:rPr>
        <w:t xml:space="preserve"> niveau régional, </w:t>
      </w:r>
      <w:r w:rsidR="00E02641" w:rsidRPr="004F239A">
        <w:rPr>
          <w:kern w:val="22"/>
          <w:lang w:val="fr-CA"/>
        </w:rPr>
        <w:t>la coordination et la cohérence du renforcement des capacités pour la biodiversité pourraient être réalisé</w:t>
      </w:r>
      <w:r w:rsidR="00124CC4" w:rsidRPr="004F239A">
        <w:rPr>
          <w:kern w:val="22"/>
          <w:lang w:val="fr-CA"/>
        </w:rPr>
        <w:t>e</w:t>
      </w:r>
      <w:r w:rsidR="00E02641" w:rsidRPr="004F239A">
        <w:rPr>
          <w:kern w:val="22"/>
          <w:lang w:val="fr-CA"/>
        </w:rPr>
        <w:t xml:space="preserve">s </w:t>
      </w:r>
      <w:r w:rsidR="00124CC4" w:rsidRPr="004F239A">
        <w:rPr>
          <w:kern w:val="22"/>
          <w:lang w:val="fr-CA"/>
        </w:rPr>
        <w:t xml:space="preserve">avec le soutien des commissions économiques régionales des Nations Unies et </w:t>
      </w:r>
      <w:r w:rsidR="00C603B0">
        <w:rPr>
          <w:kern w:val="22"/>
          <w:lang w:val="fr-CA"/>
        </w:rPr>
        <w:t>d</w:t>
      </w:r>
      <w:r w:rsidR="005E2943" w:rsidRPr="004F239A">
        <w:rPr>
          <w:kern w:val="22"/>
          <w:lang w:val="fr-CA"/>
        </w:rPr>
        <w:t xml:space="preserve">es équipes régionales du Groupe </w:t>
      </w:r>
      <w:r w:rsidR="00E02641" w:rsidRPr="004F239A">
        <w:rPr>
          <w:kern w:val="22"/>
          <w:lang w:val="fr-CA"/>
        </w:rPr>
        <w:t>des Nation</w:t>
      </w:r>
      <w:r w:rsidR="00124CC4" w:rsidRPr="004F239A">
        <w:rPr>
          <w:kern w:val="22"/>
          <w:lang w:val="fr-CA"/>
        </w:rPr>
        <w:t>s</w:t>
      </w:r>
      <w:r w:rsidR="00E02641" w:rsidRPr="004F239A">
        <w:rPr>
          <w:kern w:val="22"/>
          <w:lang w:val="fr-CA"/>
        </w:rPr>
        <w:t xml:space="preserve"> Unies</w:t>
      </w:r>
      <w:r w:rsidR="005E2943" w:rsidRPr="004F239A">
        <w:rPr>
          <w:kern w:val="22"/>
          <w:lang w:val="fr-CA"/>
        </w:rPr>
        <w:t xml:space="preserve"> pour le développement durable</w:t>
      </w:r>
      <w:r w:rsidR="00F50701">
        <w:rPr>
          <w:kern w:val="22"/>
          <w:lang w:val="fr-CA"/>
        </w:rPr>
        <w:t> </w:t>
      </w:r>
      <w:r w:rsidR="004A3E7E" w:rsidRPr="004F239A">
        <w:rPr>
          <w:kern w:val="22"/>
          <w:lang w:val="fr-CA"/>
        </w:rPr>
        <w:t>;</w:t>
      </w:r>
    </w:p>
    <w:p w14:paraId="00E03BC6" w14:textId="0BABAD3B" w:rsidR="004A3E7E" w:rsidRPr="004F239A" w:rsidRDefault="00124CC4"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 xml:space="preserve">Au niveau des pays, la coordination du renforcement des capacités pour la biodiversité pourrait être assurée par le biais de comités nationaux pour la biodiversité ou </w:t>
      </w:r>
      <w:r w:rsidR="005E2943" w:rsidRPr="004F239A">
        <w:rPr>
          <w:kern w:val="22"/>
          <w:lang w:val="fr-CA"/>
        </w:rPr>
        <w:t>de</w:t>
      </w:r>
      <w:r w:rsidRPr="004F239A">
        <w:rPr>
          <w:kern w:val="22"/>
          <w:lang w:val="fr-CA"/>
        </w:rPr>
        <w:t xml:space="preserve"> mécanisme</w:t>
      </w:r>
      <w:r w:rsidR="005E2943" w:rsidRPr="004F239A">
        <w:rPr>
          <w:kern w:val="22"/>
          <w:lang w:val="fr-CA"/>
        </w:rPr>
        <w:t>s</w:t>
      </w:r>
      <w:r w:rsidRPr="004F239A">
        <w:rPr>
          <w:kern w:val="22"/>
          <w:lang w:val="fr-CA"/>
        </w:rPr>
        <w:t xml:space="preserve"> semblable</w:t>
      </w:r>
      <w:r w:rsidR="005E2943" w:rsidRPr="004F239A">
        <w:rPr>
          <w:kern w:val="22"/>
          <w:lang w:val="fr-CA"/>
        </w:rPr>
        <w:t>s</w:t>
      </w:r>
      <w:r w:rsidRPr="004F239A">
        <w:rPr>
          <w:kern w:val="22"/>
          <w:lang w:val="fr-CA"/>
        </w:rPr>
        <w:t xml:space="preserve"> et facilité</w:t>
      </w:r>
      <w:r w:rsidR="00C603B0">
        <w:rPr>
          <w:kern w:val="22"/>
          <w:lang w:val="fr-CA"/>
        </w:rPr>
        <w:t>e</w:t>
      </w:r>
      <w:r w:rsidRPr="004F239A">
        <w:rPr>
          <w:kern w:val="22"/>
          <w:lang w:val="fr-CA"/>
        </w:rPr>
        <w:t xml:space="preserve"> par les équipes de pays des Nations Unies </w:t>
      </w:r>
      <w:r w:rsidR="007D546C">
        <w:rPr>
          <w:kern w:val="22"/>
          <w:lang w:val="fr-CA"/>
        </w:rPr>
        <w:t>au titre</w:t>
      </w:r>
      <w:r w:rsidRPr="004F239A">
        <w:rPr>
          <w:kern w:val="22"/>
          <w:lang w:val="fr-CA"/>
        </w:rPr>
        <w:t xml:space="preserve"> du Cadre de coopération au développement durable des Nations Unies</w:t>
      </w:r>
      <w:r w:rsidR="007D546C">
        <w:rPr>
          <w:kern w:val="22"/>
          <w:lang w:val="fr-CA"/>
        </w:rPr>
        <w:t xml:space="preserve"> pour le pays</w:t>
      </w:r>
      <w:r w:rsidR="004A3E7E" w:rsidRPr="004F239A">
        <w:rPr>
          <w:kern w:val="22"/>
          <w:lang w:val="fr-CA"/>
        </w:rPr>
        <w:t>.</w:t>
      </w:r>
    </w:p>
    <w:p w14:paraId="3561D7FF" w14:textId="211650C2" w:rsidR="004A3E7E" w:rsidRPr="004F239A" w:rsidRDefault="005E2943" w:rsidP="00AA5D70">
      <w:pPr>
        <w:pStyle w:val="Para1"/>
        <w:numPr>
          <w:ilvl w:val="0"/>
          <w:numId w:val="54"/>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De plus, un forum informel sur le renforcement des capacités pour l</w:t>
      </w:r>
      <w:r w:rsidR="007D546C">
        <w:rPr>
          <w:kern w:val="22"/>
          <w:lang w:val="fr-CA"/>
        </w:rPr>
        <w:t>a</w:t>
      </w:r>
      <w:r w:rsidRPr="004F239A">
        <w:rPr>
          <w:kern w:val="22"/>
          <w:lang w:val="fr-CA"/>
        </w:rPr>
        <w:t xml:space="preserve"> biodiversité pourrait être établi et </w:t>
      </w:r>
      <w:r w:rsidR="006D39C6" w:rsidRPr="004F239A">
        <w:rPr>
          <w:kern w:val="22"/>
          <w:lang w:val="fr-CA"/>
        </w:rPr>
        <w:t xml:space="preserve">organisé régulièrement et à tour de rôle par les différentes conventions liées à la diversité biologique, afin de réunir les </w:t>
      </w:r>
      <w:r w:rsidR="007D546C">
        <w:rPr>
          <w:kern w:val="22"/>
          <w:lang w:val="fr-CA"/>
        </w:rPr>
        <w:t>acteurs</w:t>
      </w:r>
      <w:r w:rsidR="006D39C6" w:rsidRPr="004F239A">
        <w:rPr>
          <w:kern w:val="22"/>
          <w:lang w:val="fr-CA"/>
        </w:rPr>
        <w:t xml:space="preserve"> gouvernement</w:t>
      </w:r>
      <w:r w:rsidR="007D546C">
        <w:rPr>
          <w:kern w:val="22"/>
          <w:lang w:val="fr-CA"/>
        </w:rPr>
        <w:t>aux e</w:t>
      </w:r>
      <w:r w:rsidR="006D39C6" w:rsidRPr="004F239A">
        <w:rPr>
          <w:kern w:val="22"/>
          <w:lang w:val="fr-CA"/>
        </w:rPr>
        <w:t>t non gouvernementaux, dans le but d’entretenir des liens et de partager des expériences, des bonnes pratiques et des enseignements tirés</w:t>
      </w:r>
      <w:r w:rsidR="004A3E7E" w:rsidRPr="004F239A">
        <w:rPr>
          <w:kern w:val="22"/>
          <w:lang w:val="fr-CA"/>
        </w:rPr>
        <w:t>.</w:t>
      </w:r>
    </w:p>
    <w:p w14:paraId="05A82CE8" w14:textId="1A54A26E" w:rsidR="004A3E7E" w:rsidRPr="004F239A" w:rsidRDefault="00DA6775" w:rsidP="00AA5D70">
      <w:pPr>
        <w:pStyle w:val="Heading2"/>
        <w:keepNext w:val="0"/>
        <w:numPr>
          <w:ilvl w:val="0"/>
          <w:numId w:val="59"/>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t>Appui mutuel des stratégies et processus de mise en œuvre</w:t>
      </w:r>
    </w:p>
    <w:p w14:paraId="1FCF6214" w14:textId="2F71FE40" w:rsidR="004A3E7E" w:rsidRPr="004F239A" w:rsidRDefault="00DA6775" w:rsidP="00AA5D70">
      <w:pPr>
        <w:pStyle w:val="Para1"/>
        <w:numPr>
          <w:ilvl w:val="0"/>
          <w:numId w:val="10"/>
        </w:numPr>
        <w:suppressLineNumbers/>
        <w:tabs>
          <w:tab w:val="clear" w:pos="360"/>
        </w:tabs>
        <w:suppressAutoHyphens/>
        <w:kinsoku w:val="0"/>
        <w:overflowPunct w:val="0"/>
        <w:autoSpaceDE w:val="0"/>
        <w:autoSpaceDN w:val="0"/>
        <w:adjustRightInd w:val="0"/>
        <w:snapToGrid w:val="0"/>
        <w:rPr>
          <w:spacing w:val="-4"/>
          <w:kern w:val="22"/>
          <w:szCs w:val="22"/>
          <w:lang w:val="fr-CA"/>
        </w:rPr>
      </w:pPr>
      <w:r w:rsidRPr="004F239A">
        <w:rPr>
          <w:spacing w:val="-4"/>
          <w:kern w:val="22"/>
          <w:szCs w:val="22"/>
          <w:lang w:val="fr-CA"/>
        </w:rPr>
        <w:t xml:space="preserve">Ce cadre stratégique à long terme pourrait </w:t>
      </w:r>
      <w:r w:rsidR="00BE1055">
        <w:rPr>
          <w:spacing w:val="-4"/>
          <w:kern w:val="22"/>
          <w:szCs w:val="22"/>
          <w:lang w:val="fr-CA"/>
        </w:rPr>
        <w:t>être mis en</w:t>
      </w:r>
      <w:r w:rsidRPr="004F239A">
        <w:rPr>
          <w:spacing w:val="-4"/>
          <w:kern w:val="22"/>
          <w:szCs w:val="22"/>
          <w:lang w:val="fr-CA"/>
        </w:rPr>
        <w:t xml:space="preserve"> synergie </w:t>
      </w:r>
      <w:r w:rsidR="00BE1055">
        <w:rPr>
          <w:spacing w:val="-4"/>
          <w:kern w:val="22"/>
          <w:szCs w:val="22"/>
          <w:lang w:val="fr-CA"/>
        </w:rPr>
        <w:t xml:space="preserve">avec </w:t>
      </w:r>
      <w:r w:rsidRPr="004F239A">
        <w:rPr>
          <w:spacing w:val="-4"/>
          <w:kern w:val="22"/>
          <w:szCs w:val="22"/>
          <w:lang w:val="fr-CA"/>
        </w:rPr>
        <w:t xml:space="preserve">d’autres méthodes de mise en </w:t>
      </w:r>
      <w:r w:rsidR="00A91492" w:rsidRPr="004F239A">
        <w:rPr>
          <w:spacing w:val="-4"/>
          <w:kern w:val="22"/>
          <w:szCs w:val="22"/>
          <w:lang w:val="fr-CA"/>
        </w:rPr>
        <w:t>œuvre et conditions de facilitation du cadre mondial de la biodiversité pour l</w:t>
      </w:r>
      <w:r w:rsidR="00F50701">
        <w:rPr>
          <w:spacing w:val="-4"/>
          <w:kern w:val="22"/>
          <w:szCs w:val="22"/>
          <w:lang w:val="fr-CA"/>
        </w:rPr>
        <w:t>’</w:t>
      </w:r>
      <w:r w:rsidR="00A91492" w:rsidRPr="004F239A">
        <w:rPr>
          <w:spacing w:val="-4"/>
          <w:kern w:val="22"/>
          <w:szCs w:val="22"/>
          <w:lang w:val="fr-CA"/>
        </w:rPr>
        <w:t>après-2020 (dont la coopération technique et scientifique, le transfert de technologie, la gestion des connaissances et la mobilisation des ressources), l’approche à long terme à l’intégration de la biodiversité et les mécanismes d’établissement de rapports, d’évaluation et d’analyse de la mise en œuvre</w:t>
      </w:r>
      <w:r w:rsidR="00BE1055">
        <w:rPr>
          <w:spacing w:val="-4"/>
          <w:kern w:val="22"/>
          <w:szCs w:val="22"/>
          <w:lang w:val="fr-CA"/>
        </w:rPr>
        <w:t>.</w:t>
      </w:r>
    </w:p>
    <w:p w14:paraId="71F249AB" w14:textId="51049C81" w:rsidR="004A3E7E" w:rsidRPr="004F239A" w:rsidRDefault="00A91492" w:rsidP="00AA5D70">
      <w:pPr>
        <w:pStyle w:val="Heading2"/>
        <w:keepNext w:val="0"/>
        <w:numPr>
          <w:ilvl w:val="0"/>
          <w:numId w:val="59"/>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t>Mobilisation des ressources intérieures pour le renforcement des capacités</w:t>
      </w:r>
    </w:p>
    <w:p w14:paraId="77010BFF" w14:textId="738B34D5" w:rsidR="004A3E7E" w:rsidRPr="004F239A" w:rsidRDefault="00BE1055"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szCs w:val="22"/>
          <w:lang w:val="fr-CA"/>
        </w:rPr>
      </w:pPr>
      <w:r>
        <w:rPr>
          <w:kern w:val="22"/>
          <w:szCs w:val="22"/>
          <w:lang w:val="fr-CA"/>
        </w:rPr>
        <w:t>Des</w:t>
      </w:r>
      <w:r w:rsidR="00A91492" w:rsidRPr="004F239A">
        <w:rPr>
          <w:kern w:val="22"/>
          <w:szCs w:val="22"/>
          <w:lang w:val="fr-CA"/>
        </w:rPr>
        <w:t xml:space="preserve"> ressources financières intérieures </w:t>
      </w:r>
      <w:r>
        <w:rPr>
          <w:kern w:val="22"/>
          <w:szCs w:val="22"/>
          <w:lang w:val="fr-CA"/>
        </w:rPr>
        <w:t xml:space="preserve">doivent être mobilisées </w:t>
      </w:r>
      <w:r w:rsidR="00A91492" w:rsidRPr="004F239A">
        <w:rPr>
          <w:kern w:val="22"/>
          <w:szCs w:val="22"/>
          <w:lang w:val="fr-CA"/>
        </w:rPr>
        <w:t xml:space="preserve">afin de soutenir le renforcement national des capacités et aider à créer un environnement de facilitation. </w:t>
      </w:r>
      <w:r>
        <w:rPr>
          <w:kern w:val="22"/>
          <w:szCs w:val="22"/>
          <w:lang w:val="fr-CA"/>
        </w:rPr>
        <w:t>L’</w:t>
      </w:r>
      <w:r w:rsidR="00A37E7E" w:rsidRPr="004F239A">
        <w:rPr>
          <w:kern w:val="22"/>
          <w:szCs w:val="22"/>
          <w:lang w:val="fr-CA"/>
        </w:rPr>
        <w:t>Initiative de financement de la biodiversité du Programme des Nations Unies pour le développement (BIOFIN) pourrait aider les pays à inclure des moyens de mobiliser des ressources intérieures pour le renforcement des capacités dans leurs stratégies nationales de mobilisation des ressources</w:t>
      </w:r>
      <w:r w:rsidR="004A3E7E" w:rsidRPr="004F239A">
        <w:rPr>
          <w:kern w:val="22"/>
          <w:szCs w:val="22"/>
          <w:lang w:val="fr-CA"/>
        </w:rPr>
        <w:t>.</w:t>
      </w:r>
    </w:p>
    <w:p w14:paraId="7E361E9C" w14:textId="5C2E4914" w:rsidR="004A3E7E" w:rsidRPr="004F239A" w:rsidRDefault="00F73782" w:rsidP="00AA5D70">
      <w:pPr>
        <w:pStyle w:val="Heading2"/>
        <w:keepNext w:val="0"/>
        <w:numPr>
          <w:ilvl w:val="0"/>
          <w:numId w:val="59"/>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lastRenderedPageBreak/>
        <w:t>Réseaux de soutien régionaux et mondiaux</w:t>
      </w:r>
    </w:p>
    <w:p w14:paraId="7D4132F1" w14:textId="1F2BF2C1" w:rsidR="004A3E7E" w:rsidRPr="004F239A" w:rsidRDefault="00F73782"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szCs w:val="22"/>
          <w:lang w:val="fr-CA"/>
        </w:rPr>
      </w:pPr>
      <w:r w:rsidRPr="004F239A">
        <w:rPr>
          <w:kern w:val="22"/>
          <w:szCs w:val="22"/>
          <w:lang w:val="fr-CA"/>
        </w:rPr>
        <w:t>Les réseaux de soutien régionaux et mondiaux pourraient être renforcés ou créés afin d’offrir un soutien au renforcement des capacités aux institutions gouvernementales nationales, aux gouvernements infranationaux, aux autorités locales et aux acteurs non gouvernementaux dans les régions géographiques et les sous-régions, sur demande</w:t>
      </w:r>
      <w:r w:rsidR="004A3E7E" w:rsidRPr="004F239A">
        <w:rPr>
          <w:kern w:val="22"/>
          <w:szCs w:val="22"/>
          <w:lang w:val="fr-CA"/>
        </w:rPr>
        <w:t>.</w:t>
      </w:r>
    </w:p>
    <w:p w14:paraId="494C3386" w14:textId="568CE820" w:rsidR="004A3E7E" w:rsidRPr="004F239A" w:rsidRDefault="00F73782" w:rsidP="00AA5D70">
      <w:pPr>
        <w:pStyle w:val="Heading2"/>
        <w:keepNext w:val="0"/>
        <w:numPr>
          <w:ilvl w:val="0"/>
          <w:numId w:val="59"/>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t>Mécanisme d’examen amélioré</w:t>
      </w:r>
    </w:p>
    <w:p w14:paraId="0B616BC8" w14:textId="5EA155BD" w:rsidR="004A3E7E" w:rsidRPr="004F239A" w:rsidRDefault="00F73782"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szCs w:val="22"/>
          <w:lang w:val="fr-CA"/>
        </w:rPr>
      </w:pPr>
      <w:r w:rsidRPr="004F239A">
        <w:rPr>
          <w:kern w:val="22"/>
          <w:szCs w:val="22"/>
          <w:lang w:val="fr-CA"/>
        </w:rPr>
        <w:t>Le mécanisme amélioré de planification, établissement de rapports et examen devrait tenir compte du volet du renforcement des capacités</w:t>
      </w:r>
      <w:r w:rsidR="004A3E7E" w:rsidRPr="004F239A">
        <w:rPr>
          <w:kern w:val="22"/>
          <w:szCs w:val="22"/>
          <w:lang w:val="fr-CA"/>
        </w:rPr>
        <w:t>.</w:t>
      </w:r>
      <w:r w:rsidRPr="004F239A">
        <w:rPr>
          <w:kern w:val="22"/>
          <w:szCs w:val="22"/>
          <w:lang w:val="fr-CA"/>
        </w:rPr>
        <w:t xml:space="preserve"> Les lignes directrices sur l’établissement de rapports par les gouvernements doivent aussi comprendre des dispositions pour faire rapport </w:t>
      </w:r>
      <w:r w:rsidR="007F683E">
        <w:rPr>
          <w:kern w:val="22"/>
          <w:szCs w:val="22"/>
          <w:lang w:val="fr-CA"/>
        </w:rPr>
        <w:t>sur le</w:t>
      </w:r>
      <w:r w:rsidRPr="004F239A">
        <w:rPr>
          <w:kern w:val="22"/>
          <w:szCs w:val="22"/>
          <w:lang w:val="fr-CA"/>
        </w:rPr>
        <w:t xml:space="preserve"> renforcement des capacités et permettre aux pays de partager leurs expériences et les enseignements tirés. </w:t>
      </w:r>
      <w:r w:rsidR="00AE467A" w:rsidRPr="004F239A">
        <w:rPr>
          <w:kern w:val="22"/>
          <w:szCs w:val="22"/>
          <w:lang w:val="fr-CA"/>
        </w:rPr>
        <w:t>Le processus d’analyse et examen du SPANB et l’examen volontaire par les pairs de la mise en œuvre des SPANB devraient aussi inclure une analyse des stratégies et méthodes de renforcement des capacités.</w:t>
      </w:r>
    </w:p>
    <w:p w14:paraId="337091CD" w14:textId="7DAF25AF" w:rsidR="004A3E7E" w:rsidRPr="004F239A" w:rsidRDefault="00AE467A" w:rsidP="00AA5D70">
      <w:pPr>
        <w:pStyle w:val="Heading2"/>
        <w:keepNext w:val="0"/>
        <w:numPr>
          <w:ilvl w:val="0"/>
          <w:numId w:val="59"/>
        </w:numPr>
        <w:suppressLineNumbers/>
        <w:tabs>
          <w:tab w:val="clear" w:pos="720"/>
        </w:tabs>
        <w:suppressAutoHyphens/>
        <w:kinsoku w:val="0"/>
        <w:overflowPunct w:val="0"/>
        <w:autoSpaceDE w:val="0"/>
        <w:autoSpaceDN w:val="0"/>
        <w:adjustRightInd w:val="0"/>
        <w:snapToGrid w:val="0"/>
        <w:spacing w:before="0" w:after="0"/>
        <w:rPr>
          <w:snapToGrid w:val="0"/>
          <w:kern w:val="22"/>
          <w:lang w:val="fr-CA"/>
        </w:rPr>
      </w:pPr>
      <w:r w:rsidRPr="004F239A">
        <w:rPr>
          <w:snapToGrid w:val="0"/>
          <w:kern w:val="22"/>
          <w:lang w:val="fr-CA"/>
        </w:rPr>
        <w:t>Rayonnement et diffusion du cadre</w:t>
      </w:r>
    </w:p>
    <w:p w14:paraId="00963D85" w14:textId="2B976F53" w:rsidR="004A3E7E" w:rsidRPr="004F239A" w:rsidRDefault="007F683E"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lang w:val="fr-CA"/>
        </w:rPr>
      </w:pPr>
      <w:r>
        <w:rPr>
          <w:kern w:val="22"/>
          <w:lang w:val="fr-CA"/>
        </w:rPr>
        <w:t>Une campagne visant divers acteurs et</w:t>
      </w:r>
      <w:r w:rsidR="00377793" w:rsidRPr="004F239A">
        <w:rPr>
          <w:kern w:val="22"/>
          <w:lang w:val="fr-CA"/>
        </w:rPr>
        <w:t xml:space="preserve"> parties prenantes sera lancée afin de hausser le niveau de sensibilisation et l’appui au cadre stratégique à long terme. Les principaux partenaires et parties prenan</w:t>
      </w:r>
      <w:r>
        <w:rPr>
          <w:kern w:val="22"/>
          <w:lang w:val="fr-CA"/>
        </w:rPr>
        <w:t>tes seront invités à soutenir la</w:t>
      </w:r>
      <w:r w:rsidR="00377793" w:rsidRPr="004F239A">
        <w:rPr>
          <w:kern w:val="22"/>
          <w:lang w:val="fr-CA"/>
        </w:rPr>
        <w:t xml:space="preserve"> mise en œuvre, notamment en </w:t>
      </w:r>
      <w:r>
        <w:rPr>
          <w:kern w:val="22"/>
          <w:lang w:val="fr-CA"/>
        </w:rPr>
        <w:t>faisant concorder</w:t>
      </w:r>
      <w:r w:rsidR="00377793" w:rsidRPr="004F239A">
        <w:rPr>
          <w:kern w:val="22"/>
          <w:lang w:val="fr-CA"/>
        </w:rPr>
        <w:t xml:space="preserve"> leurs démarches de renforcement des capacités </w:t>
      </w:r>
      <w:r>
        <w:rPr>
          <w:kern w:val="22"/>
          <w:lang w:val="fr-CA"/>
        </w:rPr>
        <w:t>avec le</w:t>
      </w:r>
      <w:r w:rsidR="00377793" w:rsidRPr="004F239A">
        <w:rPr>
          <w:kern w:val="22"/>
          <w:lang w:val="fr-CA"/>
        </w:rPr>
        <w:t xml:space="preserve"> cadre, en élaborant des plans d’action thématiques et en créant des coalitions et des communautés de pratique. Un portail Web dédié sera </w:t>
      </w:r>
      <w:r>
        <w:rPr>
          <w:kern w:val="22"/>
          <w:lang w:val="fr-CA"/>
        </w:rPr>
        <w:t>relié aux</w:t>
      </w:r>
      <w:r w:rsidR="00377793" w:rsidRPr="004F239A">
        <w:rPr>
          <w:kern w:val="22"/>
          <w:lang w:val="fr-CA"/>
        </w:rPr>
        <w:t xml:space="preserve"> sites Web des conventions et organisations liées à la diversité biologique afin de mettre en commun des renseignements sur le cadre et des activités et expériences des divers acteurs</w:t>
      </w:r>
      <w:r w:rsidR="004A3E7E" w:rsidRPr="004F239A">
        <w:rPr>
          <w:kern w:val="22"/>
          <w:lang w:val="fr-CA"/>
        </w:rPr>
        <w:t>.</w:t>
      </w:r>
      <w:bookmarkStart w:id="31" w:name="_Hlk50340087"/>
    </w:p>
    <w:p w14:paraId="1EC2B4D7" w14:textId="7DC460B4" w:rsidR="004A3E7E" w:rsidRPr="004F239A" w:rsidRDefault="00377793" w:rsidP="00AA5D70">
      <w:pPr>
        <w:pStyle w:val="Heading2"/>
        <w:numPr>
          <w:ilvl w:val="0"/>
          <w:numId w:val="59"/>
        </w:numPr>
        <w:suppressLineNumbers/>
        <w:tabs>
          <w:tab w:val="clear" w:pos="720"/>
        </w:tabs>
        <w:suppressAutoHyphens/>
        <w:kinsoku w:val="0"/>
        <w:overflowPunct w:val="0"/>
        <w:autoSpaceDE w:val="0"/>
        <w:autoSpaceDN w:val="0"/>
        <w:adjustRightInd w:val="0"/>
        <w:snapToGrid w:val="0"/>
        <w:spacing w:before="0" w:after="0"/>
        <w:ind w:left="714" w:hanging="357"/>
        <w:rPr>
          <w:snapToGrid w:val="0"/>
          <w:kern w:val="22"/>
          <w:lang w:val="fr-CA"/>
        </w:rPr>
      </w:pPr>
      <w:r w:rsidRPr="004F239A">
        <w:rPr>
          <w:snapToGrid w:val="0"/>
          <w:kern w:val="22"/>
          <w:lang w:val="fr-CA"/>
        </w:rPr>
        <w:t>Établissement de rapports et examen du cadre</w:t>
      </w:r>
    </w:p>
    <w:p w14:paraId="2EA06550" w14:textId="300CB5A9" w:rsidR="004A3E7E" w:rsidRPr="004F239A" w:rsidRDefault="00977103"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szCs w:val="22"/>
          <w:lang w:val="fr-CA"/>
        </w:rPr>
      </w:pPr>
      <w:r w:rsidRPr="004F239A">
        <w:rPr>
          <w:kern w:val="22"/>
          <w:szCs w:val="22"/>
          <w:lang w:val="fr-CA"/>
        </w:rPr>
        <w:t xml:space="preserve">Le cadre stratégique à long terme se veut évolutif. Il sera examiné régulièrement et mis à jour, au besoin, afin </w:t>
      </w:r>
      <w:r w:rsidR="00F541FC">
        <w:rPr>
          <w:kern w:val="22"/>
          <w:szCs w:val="22"/>
          <w:lang w:val="fr-CA"/>
        </w:rPr>
        <w:t>de demeurer</w:t>
      </w:r>
      <w:r w:rsidRPr="004F239A">
        <w:rPr>
          <w:kern w:val="22"/>
          <w:szCs w:val="22"/>
          <w:lang w:val="fr-CA"/>
        </w:rPr>
        <w:t xml:space="preserve"> pertinent, efficace et utilisé par les </w:t>
      </w:r>
      <w:r w:rsidR="00F541FC">
        <w:rPr>
          <w:kern w:val="22"/>
          <w:szCs w:val="22"/>
          <w:lang w:val="fr-CA"/>
        </w:rPr>
        <w:t xml:space="preserve">acteurs </w:t>
      </w:r>
      <w:r w:rsidRPr="004F239A">
        <w:rPr>
          <w:kern w:val="22"/>
          <w:szCs w:val="22"/>
          <w:lang w:val="fr-CA"/>
        </w:rPr>
        <w:t>gouvernement</w:t>
      </w:r>
      <w:r w:rsidR="00F541FC">
        <w:rPr>
          <w:kern w:val="22"/>
          <w:szCs w:val="22"/>
          <w:lang w:val="fr-CA"/>
        </w:rPr>
        <w:t xml:space="preserve">aux et </w:t>
      </w:r>
      <w:r w:rsidRPr="004F239A">
        <w:rPr>
          <w:kern w:val="22"/>
          <w:szCs w:val="22"/>
          <w:lang w:val="fr-CA"/>
        </w:rPr>
        <w:t>non gouvernementaux. Un premier examen sera réalisé en 2025 et une évaluation indépendante sera amorcée en 2030, de manière à coïncider avec l’examen du cadre mondial de la biodiversité pour l</w:t>
      </w:r>
      <w:r w:rsidR="00F50701">
        <w:rPr>
          <w:kern w:val="22"/>
          <w:szCs w:val="22"/>
          <w:lang w:val="fr-CA"/>
        </w:rPr>
        <w:t>’</w:t>
      </w:r>
      <w:r w:rsidRPr="004F239A">
        <w:rPr>
          <w:kern w:val="22"/>
          <w:szCs w:val="22"/>
          <w:lang w:val="fr-CA"/>
        </w:rPr>
        <w:t xml:space="preserve">après-2020. Les résultats de la mise en œuvre et les enseignements tirés par les gouvernements seront consignés dans les rapports nationaux, et </w:t>
      </w:r>
      <w:r w:rsidR="00AF2F86" w:rsidRPr="004F239A">
        <w:rPr>
          <w:kern w:val="22"/>
          <w:szCs w:val="22"/>
          <w:lang w:val="fr-CA"/>
        </w:rPr>
        <w:t>les acteurs</w:t>
      </w:r>
      <w:r w:rsidRPr="004F239A">
        <w:rPr>
          <w:kern w:val="22"/>
          <w:szCs w:val="22"/>
          <w:lang w:val="fr-CA"/>
        </w:rPr>
        <w:t xml:space="preserve"> non gouvernementaux</w:t>
      </w:r>
      <w:r w:rsidR="00AF2F86" w:rsidRPr="004F239A">
        <w:rPr>
          <w:kern w:val="22"/>
          <w:szCs w:val="22"/>
          <w:lang w:val="fr-CA"/>
        </w:rPr>
        <w:t xml:space="preserve"> seront encouragés à remettre volontairement des rapports et des études de cas aux secrétariats des conventions et processus liés à la diversité biologique</w:t>
      </w:r>
      <w:r w:rsidR="004A3E7E" w:rsidRPr="004F239A">
        <w:rPr>
          <w:kern w:val="22"/>
          <w:szCs w:val="22"/>
          <w:lang w:val="fr-CA"/>
        </w:rPr>
        <w:t>.</w:t>
      </w:r>
    </w:p>
    <w:p w14:paraId="5A5B7ECC" w14:textId="55FF04FB" w:rsidR="004A3E7E" w:rsidRPr="004F239A" w:rsidRDefault="00AF2F86"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t>Le suivi du cadre mondial de la biodiversité pour l</w:t>
      </w:r>
      <w:r w:rsidR="00F50701">
        <w:rPr>
          <w:kern w:val="22"/>
          <w:lang w:val="fr-CA"/>
        </w:rPr>
        <w:t>’</w:t>
      </w:r>
      <w:r w:rsidRPr="004F239A">
        <w:rPr>
          <w:kern w:val="22"/>
          <w:lang w:val="fr-CA"/>
        </w:rPr>
        <w:t xml:space="preserve">après-2020 comprendra une série d’indicateurs clés </w:t>
      </w:r>
      <w:r w:rsidR="00F541FC">
        <w:rPr>
          <w:kern w:val="22"/>
          <w:lang w:val="fr-CA"/>
        </w:rPr>
        <w:t>sur</w:t>
      </w:r>
      <w:r w:rsidRPr="004F239A">
        <w:rPr>
          <w:kern w:val="22"/>
          <w:lang w:val="fr-CA"/>
        </w:rPr>
        <w:t xml:space="preserve"> le renforcement des capacités. Une série d’indicateurs et </w:t>
      </w:r>
      <w:proofErr w:type="gramStart"/>
      <w:r w:rsidRPr="004F239A">
        <w:rPr>
          <w:kern w:val="22"/>
          <w:lang w:val="fr-CA"/>
        </w:rPr>
        <w:t>une méthodologie complémentaires</w:t>
      </w:r>
      <w:proofErr w:type="gramEnd"/>
      <w:r w:rsidRPr="004F239A">
        <w:rPr>
          <w:kern w:val="22"/>
          <w:lang w:val="fr-CA"/>
        </w:rPr>
        <w:t xml:space="preserve"> </w:t>
      </w:r>
      <w:r w:rsidR="003C6B96" w:rsidRPr="004F239A">
        <w:rPr>
          <w:kern w:val="22"/>
          <w:lang w:val="fr-CA"/>
        </w:rPr>
        <w:t>seront préparé</w:t>
      </w:r>
      <w:r w:rsidR="00F541FC">
        <w:rPr>
          <w:kern w:val="22"/>
          <w:lang w:val="fr-CA"/>
        </w:rPr>
        <w:t>e</w:t>
      </w:r>
      <w:r w:rsidR="003C6B96" w:rsidRPr="004F239A">
        <w:rPr>
          <w:kern w:val="22"/>
          <w:lang w:val="fr-CA"/>
        </w:rPr>
        <w:t xml:space="preserve">s avec le soutien d’experts et mis à disposition immédiatement après l’adoption du cadre stratégique, afin de mesurer les progrès accomplis </w:t>
      </w:r>
      <w:r w:rsidR="006F5A06">
        <w:rPr>
          <w:kern w:val="22"/>
          <w:lang w:val="fr-CA"/>
        </w:rPr>
        <w:t>concernant le</w:t>
      </w:r>
      <w:r w:rsidR="003C6B96" w:rsidRPr="004F239A">
        <w:rPr>
          <w:kern w:val="22"/>
          <w:lang w:val="fr-CA"/>
        </w:rPr>
        <w:t xml:space="preserve"> respect de la direction stratégique proposée dans le cadre stratégi</w:t>
      </w:r>
      <w:r w:rsidR="00412E49">
        <w:rPr>
          <w:kern w:val="22"/>
          <w:lang w:val="fr-CA"/>
        </w:rPr>
        <w:t>qu</w:t>
      </w:r>
      <w:r w:rsidR="003C6B96" w:rsidRPr="004F239A">
        <w:rPr>
          <w:kern w:val="22"/>
          <w:lang w:val="fr-CA"/>
        </w:rPr>
        <w:t xml:space="preserve">e à long terme pour le renforcement des capacités. Les </w:t>
      </w:r>
      <w:r w:rsidR="006F5A06">
        <w:rPr>
          <w:kern w:val="22"/>
          <w:lang w:val="fr-CA"/>
        </w:rPr>
        <w:t xml:space="preserve">acteurs </w:t>
      </w:r>
      <w:r w:rsidR="003C6B96" w:rsidRPr="004F239A">
        <w:rPr>
          <w:kern w:val="22"/>
          <w:lang w:val="fr-CA"/>
        </w:rPr>
        <w:t>gouvernement</w:t>
      </w:r>
      <w:r w:rsidR="006F5A06">
        <w:rPr>
          <w:kern w:val="22"/>
          <w:lang w:val="fr-CA"/>
        </w:rPr>
        <w:t xml:space="preserve">aux </w:t>
      </w:r>
      <w:r w:rsidR="003C6B96" w:rsidRPr="004F239A">
        <w:rPr>
          <w:kern w:val="22"/>
          <w:lang w:val="fr-CA"/>
        </w:rPr>
        <w:t xml:space="preserve">et non gouvernementaux pourraient aussi adapter et utiliser les indicateurs complémentaires pour suivre, évaluer et faire rapport sur leurs efforts pour renforcer les </w:t>
      </w:r>
      <w:r w:rsidR="006722BF" w:rsidRPr="004F239A">
        <w:rPr>
          <w:kern w:val="22"/>
          <w:lang w:val="fr-CA"/>
        </w:rPr>
        <w:t>capacités</w:t>
      </w:r>
      <w:r w:rsidR="003C6B96" w:rsidRPr="004F239A">
        <w:rPr>
          <w:kern w:val="22"/>
          <w:lang w:val="fr-CA"/>
        </w:rPr>
        <w:t xml:space="preserve"> aux niveaux infranational, national et régional. L’information recueillie grâce aux processus </w:t>
      </w:r>
      <w:r w:rsidR="006722BF" w:rsidRPr="004F239A">
        <w:rPr>
          <w:kern w:val="22"/>
          <w:lang w:val="fr-CA"/>
        </w:rPr>
        <w:t xml:space="preserve">nationaux et régionaux </w:t>
      </w:r>
      <w:r w:rsidR="003C6B96" w:rsidRPr="004F239A">
        <w:rPr>
          <w:kern w:val="22"/>
          <w:lang w:val="fr-CA"/>
        </w:rPr>
        <w:t>d</w:t>
      </w:r>
      <w:r w:rsidR="006722BF" w:rsidRPr="004F239A">
        <w:rPr>
          <w:kern w:val="22"/>
          <w:lang w:val="fr-CA"/>
        </w:rPr>
        <w:t>e suivi et d’évaluation du renforcement des capacités servira à l’examen et la mise à jour périodiques du cadre</w:t>
      </w:r>
      <w:r w:rsidR="004A3E7E" w:rsidRPr="004F239A">
        <w:rPr>
          <w:kern w:val="22"/>
          <w:lang w:val="fr-CA"/>
        </w:rPr>
        <w:t>.</w:t>
      </w:r>
      <w:bookmarkEnd w:id="31"/>
    </w:p>
    <w:p w14:paraId="031C3A4F" w14:textId="77777777" w:rsidR="004A3E7E" w:rsidRPr="004F239A" w:rsidRDefault="004A3E7E" w:rsidP="00AA5D70">
      <w:pPr>
        <w:pStyle w:val="Para1"/>
        <w:numPr>
          <w:ilvl w:val="0"/>
          <w:numId w:val="10"/>
        </w:numPr>
        <w:suppressLineNumbers/>
        <w:tabs>
          <w:tab w:val="clear" w:pos="360"/>
        </w:tabs>
        <w:suppressAutoHyphens/>
        <w:kinsoku w:val="0"/>
        <w:overflowPunct w:val="0"/>
        <w:autoSpaceDE w:val="0"/>
        <w:autoSpaceDN w:val="0"/>
        <w:adjustRightInd w:val="0"/>
        <w:snapToGrid w:val="0"/>
        <w:rPr>
          <w:kern w:val="22"/>
          <w:lang w:val="fr-CA"/>
        </w:rPr>
      </w:pPr>
      <w:r w:rsidRPr="004F239A">
        <w:rPr>
          <w:kern w:val="22"/>
          <w:lang w:val="fr-CA"/>
        </w:rPr>
        <w:br w:type="page"/>
      </w:r>
    </w:p>
    <w:p w14:paraId="6CF58A90" w14:textId="12D00008" w:rsidR="004A3E7E" w:rsidRPr="004F239A" w:rsidRDefault="004A3E7E" w:rsidP="00AA5D70">
      <w:pPr>
        <w:keepNext/>
        <w:suppressLineNumbers/>
        <w:suppressAutoHyphens/>
        <w:kinsoku w:val="0"/>
        <w:overflowPunct w:val="0"/>
        <w:autoSpaceDE w:val="0"/>
        <w:autoSpaceDN w:val="0"/>
        <w:adjustRightInd w:val="0"/>
        <w:snapToGrid w:val="0"/>
        <w:spacing w:before="120" w:after="120"/>
        <w:jc w:val="center"/>
        <w:outlineLvl w:val="2"/>
        <w:rPr>
          <w:i/>
          <w:iCs/>
          <w:snapToGrid w:val="0"/>
          <w:kern w:val="22"/>
          <w:szCs w:val="22"/>
          <w:lang w:val="fr-CA"/>
        </w:rPr>
      </w:pPr>
      <w:bookmarkStart w:id="32" w:name="_Toc57214910"/>
      <w:r w:rsidRPr="004F239A">
        <w:rPr>
          <w:i/>
          <w:iCs/>
          <w:snapToGrid w:val="0"/>
          <w:kern w:val="22"/>
          <w:szCs w:val="22"/>
          <w:lang w:val="fr-CA"/>
        </w:rPr>
        <w:lastRenderedPageBreak/>
        <w:t>A</w:t>
      </w:r>
      <w:r w:rsidR="00E37046" w:rsidRPr="004F239A">
        <w:rPr>
          <w:i/>
          <w:iCs/>
          <w:snapToGrid w:val="0"/>
          <w:kern w:val="22"/>
          <w:szCs w:val="22"/>
          <w:lang w:val="fr-CA"/>
        </w:rPr>
        <w:t>nnex</w:t>
      </w:r>
      <w:r w:rsidR="00210413" w:rsidRPr="004F239A">
        <w:rPr>
          <w:i/>
          <w:iCs/>
          <w:snapToGrid w:val="0"/>
          <w:kern w:val="22"/>
          <w:szCs w:val="22"/>
          <w:lang w:val="fr-CA"/>
        </w:rPr>
        <w:t>e</w:t>
      </w:r>
      <w:r w:rsidRPr="004F239A">
        <w:rPr>
          <w:i/>
          <w:iCs/>
          <w:snapToGrid w:val="0"/>
          <w:kern w:val="22"/>
          <w:szCs w:val="22"/>
          <w:lang w:val="fr-CA"/>
        </w:rPr>
        <w:t xml:space="preserve"> </w:t>
      </w:r>
      <w:r w:rsidR="00E37046" w:rsidRPr="004F239A">
        <w:rPr>
          <w:i/>
          <w:iCs/>
          <w:snapToGrid w:val="0"/>
          <w:kern w:val="22"/>
          <w:szCs w:val="22"/>
          <w:lang w:val="fr-CA"/>
        </w:rPr>
        <w:t>II</w:t>
      </w:r>
      <w:bookmarkEnd w:id="32"/>
    </w:p>
    <w:p w14:paraId="22D1BA6A" w14:textId="1F8986CC" w:rsidR="004A3E7E" w:rsidRPr="004F239A" w:rsidRDefault="00210413" w:rsidP="00AA5D70">
      <w:pPr>
        <w:pStyle w:val="NormalWeb"/>
        <w:keepNext/>
        <w:suppressLineNumbers/>
        <w:suppressAutoHyphens/>
        <w:kinsoku w:val="0"/>
        <w:overflowPunct w:val="0"/>
        <w:autoSpaceDE w:val="0"/>
        <w:autoSpaceDN w:val="0"/>
        <w:adjustRightInd w:val="0"/>
        <w:snapToGrid w:val="0"/>
        <w:spacing w:before="120" w:beforeAutospacing="0" w:after="120" w:afterAutospacing="0"/>
        <w:jc w:val="center"/>
        <w:outlineLvl w:val="0"/>
        <w:rPr>
          <w:b/>
          <w:bCs/>
          <w:caps/>
          <w:snapToGrid w:val="0"/>
          <w:kern w:val="22"/>
          <w:sz w:val="22"/>
          <w:lang w:val="fr-CA"/>
        </w:rPr>
      </w:pPr>
      <w:r w:rsidRPr="004F239A">
        <w:rPr>
          <w:b/>
          <w:bCs/>
          <w:caps/>
          <w:snapToGrid w:val="0"/>
          <w:kern w:val="22"/>
          <w:sz w:val="22"/>
          <w:lang w:val="fr-CA"/>
        </w:rPr>
        <w:t xml:space="preserve">propositions </w:t>
      </w:r>
      <w:r w:rsidR="00E82A60" w:rsidRPr="004F239A">
        <w:rPr>
          <w:b/>
          <w:bCs/>
          <w:caps/>
          <w:snapToGrid w:val="0"/>
          <w:kern w:val="22"/>
          <w:sz w:val="22"/>
          <w:lang w:val="fr-CA"/>
        </w:rPr>
        <w:t>concernant</w:t>
      </w:r>
      <w:r w:rsidRPr="004F239A">
        <w:rPr>
          <w:b/>
          <w:bCs/>
          <w:caps/>
          <w:snapToGrid w:val="0"/>
          <w:kern w:val="22"/>
          <w:sz w:val="22"/>
          <w:lang w:val="fr-CA"/>
        </w:rPr>
        <w:t xml:space="preserve"> un processus </w:t>
      </w:r>
      <w:r w:rsidR="004247BF" w:rsidRPr="004F239A">
        <w:rPr>
          <w:b/>
          <w:bCs/>
          <w:caps/>
          <w:snapToGrid w:val="0"/>
          <w:kern w:val="22"/>
          <w:sz w:val="22"/>
          <w:lang w:val="fr-CA"/>
        </w:rPr>
        <w:t>ouvert à tous</w:t>
      </w:r>
      <w:r w:rsidRPr="004F239A">
        <w:rPr>
          <w:b/>
          <w:bCs/>
          <w:caps/>
          <w:snapToGrid w:val="0"/>
          <w:kern w:val="22"/>
          <w:sz w:val="22"/>
          <w:lang w:val="fr-CA"/>
        </w:rPr>
        <w:t xml:space="preserve"> </w:t>
      </w:r>
      <w:r w:rsidR="00EC31C2" w:rsidRPr="004F239A">
        <w:rPr>
          <w:b/>
          <w:bCs/>
          <w:caps/>
          <w:snapToGrid w:val="0"/>
          <w:kern w:val="22"/>
          <w:sz w:val="22"/>
          <w:lang w:val="fr-CA"/>
        </w:rPr>
        <w:t>pour examiner et renouveler l</w:t>
      </w:r>
      <w:r w:rsidRPr="004F239A">
        <w:rPr>
          <w:b/>
          <w:bCs/>
          <w:caps/>
          <w:snapToGrid w:val="0"/>
          <w:kern w:val="22"/>
          <w:sz w:val="22"/>
          <w:lang w:val="fr-CA"/>
        </w:rPr>
        <w:t>es programmes de coopération technique et scientifique</w:t>
      </w:r>
    </w:p>
    <w:p w14:paraId="615414DA" w14:textId="7EACA859" w:rsidR="00ED5BE2" w:rsidRPr="004F239A" w:rsidRDefault="004247BF" w:rsidP="00AA5D70">
      <w:pPr>
        <w:pStyle w:val="CBD-Para"/>
        <w:keepLines w:val="0"/>
        <w:numPr>
          <w:ilvl w:val="0"/>
          <w:numId w:val="80"/>
        </w:numPr>
        <w:suppressLineNumbers/>
        <w:suppressAutoHyphens/>
        <w:kinsoku w:val="0"/>
        <w:overflowPunct w:val="0"/>
        <w:autoSpaceDE w:val="0"/>
        <w:autoSpaceDN w:val="0"/>
        <w:adjustRightInd w:val="0"/>
        <w:snapToGrid w:val="0"/>
        <w:spacing w:before="0"/>
        <w:ind w:left="0" w:firstLine="0"/>
        <w:rPr>
          <w:snapToGrid w:val="0"/>
          <w:kern w:val="22"/>
          <w:lang w:val="fr-CA"/>
        </w:rPr>
      </w:pPr>
      <w:r w:rsidRPr="004F239A">
        <w:rPr>
          <w:iCs/>
          <w:snapToGrid w:val="0"/>
          <w:kern w:val="22"/>
          <w:lang w:val="fr-CA"/>
        </w:rPr>
        <w:t>Au paragraphe 9 de la décision</w:t>
      </w:r>
      <w:r w:rsidR="004A3E7E" w:rsidRPr="004F239A">
        <w:rPr>
          <w:iCs/>
          <w:snapToGrid w:val="0"/>
          <w:kern w:val="22"/>
          <w:lang w:val="fr-CA"/>
        </w:rPr>
        <w:t xml:space="preserve"> </w:t>
      </w:r>
      <w:hyperlink r:id="rId25" w:history="1">
        <w:r w:rsidR="004A3E7E" w:rsidRPr="004F239A">
          <w:rPr>
            <w:rStyle w:val="Hyperlink"/>
            <w:snapToGrid w:val="0"/>
            <w:kern w:val="22"/>
            <w:sz w:val="22"/>
            <w:lang w:val="fr-CA"/>
          </w:rPr>
          <w:t>14/24 B</w:t>
        </w:r>
      </w:hyperlink>
      <w:r w:rsidR="004A3E7E" w:rsidRPr="004F239A">
        <w:rPr>
          <w:iCs/>
          <w:snapToGrid w:val="0"/>
          <w:kern w:val="22"/>
          <w:lang w:val="fr-CA"/>
        </w:rPr>
        <w:t xml:space="preserve">, </w:t>
      </w:r>
      <w:r w:rsidRPr="004F239A">
        <w:rPr>
          <w:iCs/>
          <w:snapToGrid w:val="0"/>
          <w:kern w:val="22"/>
          <w:lang w:val="fr-CA"/>
        </w:rPr>
        <w:t>la Co</w:t>
      </w:r>
      <w:r w:rsidR="008542BA">
        <w:rPr>
          <w:iCs/>
          <w:snapToGrid w:val="0"/>
          <w:kern w:val="22"/>
          <w:lang w:val="fr-CA"/>
        </w:rPr>
        <w:t>nférence des Parties invite la S</w:t>
      </w:r>
      <w:r w:rsidRPr="004F239A">
        <w:rPr>
          <w:iCs/>
          <w:snapToGrid w:val="0"/>
          <w:kern w:val="22"/>
          <w:lang w:val="fr-CA"/>
        </w:rPr>
        <w:t xml:space="preserve">ecrétaire exécutive à élaborer des propositions </w:t>
      </w:r>
      <w:r w:rsidR="00EC31C2" w:rsidRPr="004F239A">
        <w:rPr>
          <w:iCs/>
          <w:snapToGrid w:val="0"/>
          <w:kern w:val="22"/>
          <w:lang w:val="fr-CA"/>
        </w:rPr>
        <w:t>concernant un processus ouvert à tous pour examiner et renouveler les programmes de coopération technique et scientifique, et de transmettre ces propositions pour examen par l’Organe subsidiaire chargé de fournir des avis scientifiques, techniques et technologiques et par l’Organe subsidiaire chargé de l</w:t>
      </w:r>
      <w:r w:rsidR="00F50701">
        <w:rPr>
          <w:iCs/>
          <w:snapToGrid w:val="0"/>
          <w:kern w:val="22"/>
          <w:lang w:val="fr-CA"/>
        </w:rPr>
        <w:t>’</w:t>
      </w:r>
      <w:r w:rsidR="00EC31C2" w:rsidRPr="004F239A">
        <w:rPr>
          <w:iCs/>
          <w:snapToGrid w:val="0"/>
          <w:kern w:val="22"/>
          <w:lang w:val="fr-CA"/>
        </w:rPr>
        <w:t>application lors de leurs réunions qui précéderont la quinzième réunion de la Conférence des Parties. La Secrétaire exécutive a élaboré les présentes propositions en réponse à cette décision. De plus amples détails à cet égard sont fournis dans le document</w:t>
      </w:r>
      <w:r w:rsidR="001E274F" w:rsidRPr="004F239A">
        <w:rPr>
          <w:iCs/>
          <w:snapToGrid w:val="0"/>
          <w:kern w:val="22"/>
          <w:lang w:val="fr-CA"/>
        </w:rPr>
        <w:t xml:space="preserve"> CBD/SBI/3/INF/15</w:t>
      </w:r>
      <w:r w:rsidR="005D0B19" w:rsidRPr="004F239A">
        <w:rPr>
          <w:iCs/>
          <w:snapToGrid w:val="0"/>
          <w:kern w:val="22"/>
          <w:lang w:val="fr-CA"/>
        </w:rPr>
        <w:t>.</w:t>
      </w:r>
    </w:p>
    <w:p w14:paraId="5DB16818" w14:textId="232B12CA" w:rsidR="0057428A" w:rsidRPr="004F239A" w:rsidRDefault="00E82A60" w:rsidP="00AA5D70">
      <w:pPr>
        <w:pStyle w:val="CBD-Para"/>
        <w:keepLines w:val="0"/>
        <w:numPr>
          <w:ilvl w:val="0"/>
          <w:numId w:val="80"/>
        </w:numPr>
        <w:suppressLineNumbers/>
        <w:suppressAutoHyphens/>
        <w:kinsoku w:val="0"/>
        <w:overflowPunct w:val="0"/>
        <w:autoSpaceDE w:val="0"/>
        <w:autoSpaceDN w:val="0"/>
        <w:adjustRightInd w:val="0"/>
        <w:snapToGrid w:val="0"/>
        <w:spacing w:before="0"/>
        <w:ind w:left="0" w:firstLine="0"/>
        <w:rPr>
          <w:snapToGrid w:val="0"/>
          <w:kern w:val="22"/>
          <w:lang w:val="fr-CA"/>
        </w:rPr>
      </w:pPr>
      <w:r w:rsidRPr="004F239A">
        <w:rPr>
          <w:iCs/>
          <w:snapToGrid w:val="0"/>
          <w:kern w:val="22"/>
          <w:lang w:val="fr-CA"/>
        </w:rPr>
        <w:t>Les trois scénarios suivants sont proposés</w:t>
      </w:r>
      <w:r w:rsidR="00F50701">
        <w:rPr>
          <w:iCs/>
          <w:snapToGrid w:val="0"/>
          <w:kern w:val="22"/>
          <w:lang w:val="fr-CA"/>
        </w:rPr>
        <w:t> </w:t>
      </w:r>
      <w:r w:rsidR="008038BC" w:rsidRPr="004F239A">
        <w:rPr>
          <w:iCs/>
          <w:snapToGrid w:val="0"/>
          <w:kern w:val="22"/>
          <w:lang w:val="fr-CA"/>
        </w:rPr>
        <w:t>:</w:t>
      </w:r>
    </w:p>
    <w:p w14:paraId="2A784921" w14:textId="1F49857C" w:rsidR="004A3E7E" w:rsidRPr="004F239A" w:rsidRDefault="005E10E7" w:rsidP="005E10E7">
      <w:pPr>
        <w:pStyle w:val="ListParagraph"/>
        <w:numPr>
          <w:ilvl w:val="0"/>
          <w:numId w:val="8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kern w:val="22"/>
          <w:lang w:val="fr-CA"/>
        </w:rPr>
      </w:pPr>
      <w:r w:rsidRPr="004F239A">
        <w:rPr>
          <w:snapToGrid w:val="0"/>
          <w:kern w:val="22"/>
          <w:lang w:val="fr-CA"/>
        </w:rPr>
        <w:t>Scénario 1</w:t>
      </w:r>
      <w:r w:rsidR="00F50701">
        <w:rPr>
          <w:snapToGrid w:val="0"/>
          <w:kern w:val="22"/>
          <w:lang w:val="fr-CA"/>
        </w:rPr>
        <w:t> </w:t>
      </w:r>
      <w:r w:rsidRPr="004F239A">
        <w:rPr>
          <w:snapToGrid w:val="0"/>
          <w:kern w:val="22"/>
          <w:lang w:val="fr-CA"/>
        </w:rPr>
        <w:t xml:space="preserve">: Une équipe d’examen formée d’experts indépendants </w:t>
      </w:r>
      <w:r w:rsidR="008542BA">
        <w:rPr>
          <w:snapToGrid w:val="0"/>
          <w:kern w:val="22"/>
          <w:lang w:val="fr-CA"/>
        </w:rPr>
        <w:t>réaliserait</w:t>
      </w:r>
      <w:r w:rsidRPr="004F239A">
        <w:rPr>
          <w:snapToGrid w:val="0"/>
          <w:kern w:val="22"/>
          <w:lang w:val="fr-CA"/>
        </w:rPr>
        <w:t xml:space="preserve"> un examen complet inclusif des </w:t>
      </w:r>
      <w:r w:rsidR="009A3CE4" w:rsidRPr="004F239A">
        <w:rPr>
          <w:snapToGrid w:val="0"/>
          <w:kern w:val="22"/>
          <w:lang w:val="fr-CA"/>
        </w:rPr>
        <w:t>initiatives</w:t>
      </w:r>
      <w:r w:rsidRPr="004F239A">
        <w:rPr>
          <w:snapToGrid w:val="0"/>
          <w:kern w:val="22"/>
          <w:lang w:val="fr-CA"/>
        </w:rPr>
        <w:t xml:space="preserve"> et programmes de coopération technique et scientifique pertinents, et présenterait ses recommandations concernant le processus de renouvellement pour examen par les Parties. Le processus d’examen comprendrait un examen théorique de même que des entretiens et des enquêtes. La participation d’une équipe d’experts favoriserait une évaluation ciblée, relativement rapide et impartiale. Ce scénario engagerait</w:t>
      </w:r>
      <w:r w:rsidR="009A3CE4" w:rsidRPr="004F239A">
        <w:rPr>
          <w:snapToGrid w:val="0"/>
          <w:kern w:val="22"/>
          <w:lang w:val="fr-CA"/>
        </w:rPr>
        <w:t xml:space="preserve"> toutefois </w:t>
      </w:r>
      <w:r w:rsidRPr="004F239A">
        <w:rPr>
          <w:snapToGrid w:val="0"/>
          <w:kern w:val="22"/>
          <w:lang w:val="fr-CA"/>
        </w:rPr>
        <w:t>des coûts importants et pourrait limiter la p</w:t>
      </w:r>
      <w:r w:rsidR="009A3CE4" w:rsidRPr="004F239A">
        <w:rPr>
          <w:snapToGrid w:val="0"/>
          <w:kern w:val="22"/>
          <w:lang w:val="fr-CA"/>
        </w:rPr>
        <w:t>a</w:t>
      </w:r>
      <w:r w:rsidRPr="004F239A">
        <w:rPr>
          <w:snapToGrid w:val="0"/>
          <w:kern w:val="22"/>
          <w:lang w:val="fr-CA"/>
        </w:rPr>
        <w:t>rticipation des pays et l’intégration des expertises locales</w:t>
      </w:r>
      <w:r w:rsidR="00F50701">
        <w:rPr>
          <w:snapToGrid w:val="0"/>
          <w:kern w:val="22"/>
          <w:lang w:val="fr-CA"/>
        </w:rPr>
        <w:t> </w:t>
      </w:r>
      <w:r w:rsidR="006454C3" w:rsidRPr="004F239A">
        <w:rPr>
          <w:iCs/>
          <w:snapToGrid w:val="0"/>
          <w:kern w:val="22"/>
          <w:lang w:val="fr-CA"/>
        </w:rPr>
        <w:t>;</w:t>
      </w:r>
    </w:p>
    <w:p w14:paraId="035BA4A2" w14:textId="45B3F339" w:rsidR="00CB4799" w:rsidRPr="004F239A" w:rsidRDefault="009A3CE4" w:rsidP="00AA5D70">
      <w:pPr>
        <w:pStyle w:val="ListParagraph"/>
        <w:numPr>
          <w:ilvl w:val="0"/>
          <w:numId w:val="8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snapToGrid w:val="0"/>
          <w:kern w:val="22"/>
          <w:lang w:val="fr-CA"/>
        </w:rPr>
        <w:t>Scénario 2</w:t>
      </w:r>
      <w:r w:rsidR="00F50701">
        <w:rPr>
          <w:snapToGrid w:val="0"/>
          <w:kern w:val="22"/>
          <w:lang w:val="fr-CA"/>
        </w:rPr>
        <w:t> </w:t>
      </w:r>
      <w:r w:rsidRPr="004F239A">
        <w:rPr>
          <w:snapToGrid w:val="0"/>
          <w:kern w:val="22"/>
          <w:lang w:val="fr-CA"/>
        </w:rPr>
        <w:t>: L’efficacité des initiatives et programmes de coopération technique et scientifique pertinents serait examinée et évaluée dans le cadre d’un ou d’une série d’ateliers techniques</w:t>
      </w:r>
      <w:r w:rsidR="00EE3664" w:rsidRPr="004F239A">
        <w:rPr>
          <w:iCs/>
          <w:snapToGrid w:val="0"/>
          <w:kern w:val="22"/>
          <w:vertAlign w:val="superscript"/>
          <w:lang w:val="fr-CA"/>
        </w:rPr>
        <w:footnoteReference w:id="62"/>
      </w:r>
      <w:r w:rsidR="00EE3664" w:rsidRPr="004F239A">
        <w:rPr>
          <w:iCs/>
          <w:snapToGrid w:val="0"/>
          <w:kern w:val="22"/>
          <w:lang w:val="fr-CA"/>
        </w:rPr>
        <w:t xml:space="preserve"> </w:t>
      </w:r>
      <w:r w:rsidRPr="004F239A">
        <w:rPr>
          <w:iCs/>
          <w:snapToGrid w:val="0"/>
          <w:kern w:val="22"/>
          <w:lang w:val="fr-CA"/>
        </w:rPr>
        <w:t>à</w:t>
      </w:r>
      <w:r w:rsidR="00757204" w:rsidRPr="004F239A">
        <w:rPr>
          <w:iCs/>
          <w:snapToGrid w:val="0"/>
          <w:kern w:val="22"/>
          <w:lang w:val="fr-CA"/>
        </w:rPr>
        <w:t xml:space="preserve"> partir des éléments prép</w:t>
      </w:r>
      <w:r w:rsidRPr="004F239A">
        <w:rPr>
          <w:iCs/>
          <w:snapToGrid w:val="0"/>
          <w:kern w:val="22"/>
          <w:lang w:val="fr-CA"/>
        </w:rPr>
        <w:t xml:space="preserve">arés par le Secrétariat, </w:t>
      </w:r>
      <w:r w:rsidR="009F0F85">
        <w:rPr>
          <w:iCs/>
          <w:snapToGrid w:val="0"/>
          <w:kern w:val="22"/>
          <w:lang w:val="fr-CA"/>
        </w:rPr>
        <w:t>qui</w:t>
      </w:r>
      <w:r w:rsidRPr="004F239A">
        <w:rPr>
          <w:iCs/>
          <w:snapToGrid w:val="0"/>
          <w:kern w:val="22"/>
          <w:lang w:val="fr-CA"/>
        </w:rPr>
        <w:t xml:space="preserve"> </w:t>
      </w:r>
      <w:r w:rsidR="001E2688">
        <w:rPr>
          <w:iCs/>
          <w:snapToGrid w:val="0"/>
          <w:kern w:val="22"/>
          <w:lang w:val="fr-CA"/>
        </w:rPr>
        <w:t>élaborerait</w:t>
      </w:r>
      <w:r w:rsidRPr="004F239A">
        <w:rPr>
          <w:iCs/>
          <w:snapToGrid w:val="0"/>
          <w:kern w:val="22"/>
          <w:lang w:val="fr-CA"/>
        </w:rPr>
        <w:t xml:space="preserve"> des recommandations pour le processus de renouvellement. L’atelier appliquerait un ordre du jour et </w:t>
      </w:r>
      <w:proofErr w:type="gramStart"/>
      <w:r w:rsidRPr="004F239A">
        <w:rPr>
          <w:iCs/>
          <w:snapToGrid w:val="0"/>
          <w:kern w:val="22"/>
          <w:lang w:val="fr-CA"/>
        </w:rPr>
        <w:t>une méthodologie souples</w:t>
      </w:r>
      <w:proofErr w:type="gramEnd"/>
      <w:r w:rsidRPr="004F239A">
        <w:rPr>
          <w:iCs/>
          <w:snapToGrid w:val="0"/>
          <w:kern w:val="22"/>
          <w:lang w:val="fr-CA"/>
        </w:rPr>
        <w:t>, inclusifs et hautement participati</w:t>
      </w:r>
      <w:r w:rsidR="00F50701">
        <w:rPr>
          <w:iCs/>
          <w:snapToGrid w:val="0"/>
          <w:kern w:val="22"/>
          <w:lang w:val="fr-CA"/>
        </w:rPr>
        <w:t>f</w:t>
      </w:r>
      <w:r w:rsidRPr="004F239A">
        <w:rPr>
          <w:iCs/>
          <w:snapToGrid w:val="0"/>
          <w:kern w:val="22"/>
          <w:lang w:val="fr-CA"/>
        </w:rPr>
        <w:t xml:space="preserve">s axés sur le pays. </w:t>
      </w:r>
      <w:r w:rsidR="00757204" w:rsidRPr="004F239A">
        <w:rPr>
          <w:iCs/>
          <w:snapToGrid w:val="0"/>
          <w:kern w:val="22"/>
          <w:lang w:val="fr-CA"/>
        </w:rPr>
        <w:t>Les coûts d’une série</w:t>
      </w:r>
      <w:r w:rsidR="001E2688">
        <w:rPr>
          <w:iCs/>
          <w:snapToGrid w:val="0"/>
          <w:kern w:val="22"/>
          <w:lang w:val="fr-CA"/>
        </w:rPr>
        <w:t xml:space="preserve"> d’ateliers en personne, si cette éventualité est retenu</w:t>
      </w:r>
      <w:r w:rsidR="00757204" w:rsidRPr="004F239A">
        <w:rPr>
          <w:iCs/>
          <w:snapToGrid w:val="0"/>
          <w:kern w:val="22"/>
          <w:lang w:val="fr-CA"/>
        </w:rPr>
        <w:t xml:space="preserve">e, pourraient être très élevés et la neutralité du processus d’examen pourrait être difficile à </w:t>
      </w:r>
      <w:r w:rsidR="009F0F85">
        <w:rPr>
          <w:iCs/>
          <w:snapToGrid w:val="0"/>
          <w:kern w:val="22"/>
          <w:lang w:val="fr-CA"/>
        </w:rPr>
        <w:t>atteindre</w:t>
      </w:r>
      <w:r w:rsidR="00F50701">
        <w:rPr>
          <w:iCs/>
          <w:snapToGrid w:val="0"/>
          <w:kern w:val="22"/>
          <w:lang w:val="fr-CA"/>
        </w:rPr>
        <w:t> </w:t>
      </w:r>
      <w:r w:rsidR="006454C3" w:rsidRPr="004F239A">
        <w:rPr>
          <w:iCs/>
          <w:snapToGrid w:val="0"/>
          <w:kern w:val="22"/>
          <w:lang w:val="fr-CA"/>
        </w:rPr>
        <w:t>;</w:t>
      </w:r>
    </w:p>
    <w:p w14:paraId="2DA959E7" w14:textId="2932A7EE" w:rsidR="004A3E7E" w:rsidRPr="004F239A" w:rsidRDefault="00757204" w:rsidP="00AA5D70">
      <w:pPr>
        <w:pStyle w:val="ListParagraph"/>
        <w:numPr>
          <w:ilvl w:val="0"/>
          <w:numId w:val="88"/>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contextualSpacing w:val="0"/>
        <w:rPr>
          <w:snapToGrid w:val="0"/>
          <w:kern w:val="22"/>
          <w:lang w:val="fr-CA"/>
        </w:rPr>
      </w:pPr>
      <w:r w:rsidRPr="004F239A">
        <w:rPr>
          <w:snapToGrid w:val="0"/>
          <w:kern w:val="22"/>
          <w:lang w:val="fr-CA"/>
        </w:rPr>
        <w:t>Scénario 3 : L’examen réalisé par le Secrétariat avec l’appui d’un consultant, permettrait d’examiner et d’évaluer les initiatives et programmes de coopération technique et scientifique pertinents</w:t>
      </w:r>
      <w:r w:rsidR="001E2688">
        <w:rPr>
          <w:snapToGrid w:val="0"/>
          <w:kern w:val="22"/>
          <w:lang w:val="fr-CA"/>
        </w:rPr>
        <w:t>,</w:t>
      </w:r>
      <w:r w:rsidRPr="004F239A">
        <w:rPr>
          <w:snapToGrid w:val="0"/>
          <w:kern w:val="22"/>
          <w:lang w:val="fr-CA"/>
        </w:rPr>
        <w:t xml:space="preserve"> </w:t>
      </w:r>
      <w:r w:rsidR="001E2688">
        <w:rPr>
          <w:snapToGrid w:val="0"/>
          <w:kern w:val="22"/>
          <w:lang w:val="fr-CA"/>
        </w:rPr>
        <w:t>d’établir</w:t>
      </w:r>
      <w:r w:rsidRPr="004F239A">
        <w:rPr>
          <w:snapToGrid w:val="0"/>
          <w:kern w:val="22"/>
          <w:lang w:val="fr-CA"/>
        </w:rPr>
        <w:t xml:space="preserve"> un rapport sur les forces et les faiblesses pour ex</w:t>
      </w:r>
      <w:r w:rsidR="00387896" w:rsidRPr="004F239A">
        <w:rPr>
          <w:snapToGrid w:val="0"/>
          <w:kern w:val="22"/>
          <w:lang w:val="fr-CA"/>
        </w:rPr>
        <w:t>a</w:t>
      </w:r>
      <w:r w:rsidRPr="004F239A">
        <w:rPr>
          <w:snapToGrid w:val="0"/>
          <w:kern w:val="22"/>
          <w:lang w:val="fr-CA"/>
        </w:rPr>
        <w:t xml:space="preserve">men par les Parties, </w:t>
      </w:r>
      <w:r w:rsidR="001E2688">
        <w:rPr>
          <w:snapToGrid w:val="0"/>
          <w:kern w:val="22"/>
          <w:lang w:val="fr-CA"/>
        </w:rPr>
        <w:t>et d’élaborer des</w:t>
      </w:r>
      <w:r w:rsidR="00387896" w:rsidRPr="004F239A">
        <w:rPr>
          <w:snapToGrid w:val="0"/>
          <w:kern w:val="22"/>
          <w:lang w:val="fr-CA"/>
        </w:rPr>
        <w:t xml:space="preserve"> recommandati</w:t>
      </w:r>
      <w:r w:rsidRPr="004F239A">
        <w:rPr>
          <w:snapToGrid w:val="0"/>
          <w:kern w:val="22"/>
          <w:lang w:val="fr-CA"/>
        </w:rPr>
        <w:t xml:space="preserve">ons pour le processus de renouvellement. </w:t>
      </w:r>
      <w:r w:rsidR="00387896" w:rsidRPr="004F239A">
        <w:rPr>
          <w:snapToGrid w:val="0"/>
          <w:kern w:val="22"/>
          <w:lang w:val="fr-CA"/>
        </w:rPr>
        <w:t xml:space="preserve">Ce scénario serait le plus économique, mais le niveau d’engagement </w:t>
      </w:r>
      <w:r w:rsidR="00A1601D">
        <w:rPr>
          <w:snapToGrid w:val="0"/>
          <w:kern w:val="22"/>
          <w:lang w:val="fr-CA"/>
        </w:rPr>
        <w:t>des Parties et d</w:t>
      </w:r>
      <w:r w:rsidR="00387896" w:rsidRPr="004F239A">
        <w:rPr>
          <w:snapToGrid w:val="0"/>
          <w:kern w:val="22"/>
          <w:lang w:val="fr-CA"/>
        </w:rPr>
        <w:t xml:space="preserve">es autres parties prenantes pourrait être limité et le processus pourrait </w:t>
      </w:r>
      <w:r w:rsidR="00A1601D">
        <w:rPr>
          <w:snapToGrid w:val="0"/>
          <w:kern w:val="22"/>
          <w:lang w:val="fr-CA"/>
        </w:rPr>
        <w:t>manquer d’objectivité</w:t>
      </w:r>
      <w:r w:rsidR="004E5709" w:rsidRPr="004F239A">
        <w:rPr>
          <w:snapToGrid w:val="0"/>
          <w:kern w:val="22"/>
          <w:lang w:val="fr-CA"/>
        </w:rPr>
        <w:t>.</w:t>
      </w:r>
    </w:p>
    <w:p w14:paraId="02E2832A" w14:textId="5401B43B" w:rsidR="00ED5BE2" w:rsidRPr="004F239A" w:rsidRDefault="00ED5BE2" w:rsidP="00AA5D70">
      <w:pPr>
        <w:suppressLineNumbers/>
        <w:suppressAutoHyphens/>
        <w:kinsoku w:val="0"/>
        <w:overflowPunct w:val="0"/>
        <w:autoSpaceDE w:val="0"/>
        <w:autoSpaceDN w:val="0"/>
        <w:adjustRightInd w:val="0"/>
        <w:snapToGrid w:val="0"/>
        <w:spacing w:after="120"/>
        <w:rPr>
          <w:iCs/>
          <w:snapToGrid w:val="0"/>
          <w:kern w:val="22"/>
          <w:lang w:val="fr-CA"/>
        </w:rPr>
      </w:pPr>
      <w:r w:rsidRPr="004F239A">
        <w:rPr>
          <w:iCs/>
          <w:snapToGrid w:val="0"/>
          <w:kern w:val="22"/>
          <w:lang w:val="fr-CA"/>
        </w:rPr>
        <w:t>3.</w:t>
      </w:r>
      <w:r w:rsidRPr="004F239A">
        <w:rPr>
          <w:iCs/>
          <w:snapToGrid w:val="0"/>
          <w:kern w:val="22"/>
          <w:lang w:val="fr-CA"/>
        </w:rPr>
        <w:tab/>
      </w:r>
      <w:r w:rsidR="00387896" w:rsidRPr="004F239A">
        <w:rPr>
          <w:iCs/>
          <w:snapToGrid w:val="0"/>
          <w:kern w:val="22"/>
          <w:lang w:val="fr-CA"/>
        </w:rPr>
        <w:t xml:space="preserve">Le processus d’examen et de renouvellement </w:t>
      </w:r>
      <w:r w:rsidR="00A1601D">
        <w:rPr>
          <w:iCs/>
          <w:snapToGrid w:val="0"/>
          <w:kern w:val="22"/>
          <w:lang w:val="fr-CA"/>
        </w:rPr>
        <w:t>concordera avec les</w:t>
      </w:r>
      <w:r w:rsidR="00387896" w:rsidRPr="004F239A">
        <w:rPr>
          <w:iCs/>
          <w:snapToGrid w:val="0"/>
          <w:kern w:val="22"/>
          <w:lang w:val="fr-CA"/>
        </w:rPr>
        <w:t xml:space="preserve"> cibles et indicateurs pertinents au titre du cadre mondial de la biodiversité pour l</w:t>
      </w:r>
      <w:r w:rsidR="00F50701">
        <w:rPr>
          <w:iCs/>
          <w:snapToGrid w:val="0"/>
          <w:kern w:val="22"/>
          <w:lang w:val="fr-CA"/>
        </w:rPr>
        <w:t>’</w:t>
      </w:r>
      <w:r w:rsidR="00387896" w:rsidRPr="004F239A">
        <w:rPr>
          <w:iCs/>
          <w:snapToGrid w:val="0"/>
          <w:kern w:val="22"/>
          <w:lang w:val="fr-CA"/>
        </w:rPr>
        <w:t>après-2020 et sera mis en œuvre en tenant dûment compte de la représentation des genres et des connaissances autochtones et traditionnelles</w:t>
      </w:r>
      <w:r w:rsidRPr="004F239A">
        <w:rPr>
          <w:iCs/>
          <w:snapToGrid w:val="0"/>
          <w:kern w:val="22"/>
          <w:lang w:val="fr-CA"/>
        </w:rPr>
        <w:t>.</w:t>
      </w:r>
    </w:p>
    <w:p w14:paraId="645C041A" w14:textId="2F2DDC72" w:rsidR="00F4623E" w:rsidRPr="004F239A" w:rsidRDefault="00ED5BE2" w:rsidP="00AA5D70">
      <w:pPr>
        <w:suppressLineNumbers/>
        <w:suppressAutoHyphens/>
        <w:kinsoku w:val="0"/>
        <w:overflowPunct w:val="0"/>
        <w:autoSpaceDE w:val="0"/>
        <w:autoSpaceDN w:val="0"/>
        <w:adjustRightInd w:val="0"/>
        <w:snapToGrid w:val="0"/>
        <w:spacing w:after="120"/>
        <w:rPr>
          <w:snapToGrid w:val="0"/>
          <w:kern w:val="22"/>
          <w:lang w:val="fr-CA"/>
        </w:rPr>
      </w:pPr>
      <w:r w:rsidRPr="004F239A">
        <w:rPr>
          <w:iCs/>
          <w:snapToGrid w:val="0"/>
          <w:kern w:val="22"/>
          <w:lang w:val="fr-CA"/>
        </w:rPr>
        <w:t xml:space="preserve">4. </w:t>
      </w:r>
      <w:r w:rsidRPr="004F239A">
        <w:rPr>
          <w:iCs/>
          <w:snapToGrid w:val="0"/>
          <w:kern w:val="22"/>
          <w:lang w:val="fr-CA"/>
        </w:rPr>
        <w:tab/>
      </w:r>
      <w:r w:rsidR="00387896" w:rsidRPr="004F239A">
        <w:rPr>
          <w:snapToGrid w:val="0"/>
          <w:kern w:val="22"/>
          <w:lang w:val="fr-CA"/>
        </w:rPr>
        <w:t>Le</w:t>
      </w:r>
      <w:r w:rsidR="00A1601D">
        <w:rPr>
          <w:snapToGrid w:val="0"/>
          <w:kern w:val="22"/>
          <w:lang w:val="fr-CA"/>
        </w:rPr>
        <w:t>s</w:t>
      </w:r>
      <w:r w:rsidR="00387896" w:rsidRPr="004F239A">
        <w:rPr>
          <w:snapToGrid w:val="0"/>
          <w:kern w:val="22"/>
          <w:lang w:val="fr-CA"/>
        </w:rPr>
        <w:t xml:space="preserve"> résultat</w:t>
      </w:r>
      <w:r w:rsidR="00A1601D">
        <w:rPr>
          <w:snapToGrid w:val="0"/>
          <w:kern w:val="22"/>
          <w:lang w:val="fr-CA"/>
        </w:rPr>
        <w:t>s</w:t>
      </w:r>
      <w:r w:rsidR="00387896" w:rsidRPr="004F239A">
        <w:rPr>
          <w:snapToGrid w:val="0"/>
          <w:kern w:val="22"/>
          <w:lang w:val="fr-CA"/>
        </w:rPr>
        <w:t xml:space="preserve"> du processus d’examen et de renouvellement des programmes de coopération technique et scientifique pourrai</w:t>
      </w:r>
      <w:r w:rsidR="00A1601D">
        <w:rPr>
          <w:snapToGrid w:val="0"/>
          <w:kern w:val="22"/>
          <w:lang w:val="fr-CA"/>
        </w:rPr>
        <w:t>ent</w:t>
      </w:r>
      <w:r w:rsidR="00387896" w:rsidRPr="004F239A">
        <w:rPr>
          <w:snapToGrid w:val="0"/>
          <w:kern w:val="22"/>
          <w:lang w:val="fr-CA"/>
        </w:rPr>
        <w:t xml:space="preserve"> comprendre les éléments suivants</w:t>
      </w:r>
      <w:r w:rsidR="00F50701">
        <w:rPr>
          <w:snapToGrid w:val="0"/>
          <w:kern w:val="22"/>
          <w:lang w:val="fr-CA"/>
        </w:rPr>
        <w:t> </w:t>
      </w:r>
      <w:r w:rsidR="0071302A" w:rsidRPr="004F239A">
        <w:rPr>
          <w:snapToGrid w:val="0"/>
          <w:kern w:val="22"/>
          <w:lang w:val="fr-CA"/>
        </w:rPr>
        <w:t>:</w:t>
      </w:r>
    </w:p>
    <w:p w14:paraId="2B8871A8" w14:textId="0D6ECE38" w:rsidR="004A3E7E" w:rsidRPr="004F239A" w:rsidRDefault="00CB0365" w:rsidP="00CB0365">
      <w:pPr>
        <w:pStyle w:val="Para1"/>
        <w:numPr>
          <w:ilvl w:val="1"/>
          <w:numId w:val="10"/>
        </w:numPr>
        <w:suppressLineNumbers/>
        <w:tabs>
          <w:tab w:val="clear" w:pos="1440"/>
        </w:tabs>
        <w:suppressAutoHyphens/>
        <w:kinsoku w:val="0"/>
        <w:overflowPunct w:val="0"/>
        <w:autoSpaceDE w:val="0"/>
        <w:autoSpaceDN w:val="0"/>
        <w:adjustRightInd w:val="0"/>
        <w:snapToGrid w:val="0"/>
        <w:rPr>
          <w:kern w:val="22"/>
          <w:lang w:val="fr-CA"/>
        </w:rPr>
      </w:pPr>
      <w:r w:rsidRPr="004F239A">
        <w:rPr>
          <w:kern w:val="22"/>
          <w:lang w:val="fr-CA"/>
        </w:rPr>
        <w:t>Un sommaire des principales conclusions, y compris les enseignements tirés de l’examen</w:t>
      </w:r>
      <w:r w:rsidR="00F50701">
        <w:rPr>
          <w:kern w:val="22"/>
          <w:lang w:val="fr-CA"/>
        </w:rPr>
        <w:t> </w:t>
      </w:r>
      <w:r w:rsidR="004A3E7E" w:rsidRPr="004F239A">
        <w:rPr>
          <w:kern w:val="22"/>
          <w:lang w:val="fr-CA"/>
        </w:rPr>
        <w:t>;</w:t>
      </w:r>
    </w:p>
    <w:p w14:paraId="2C7CFA52" w14:textId="3956C8AA" w:rsidR="004A3E7E" w:rsidRPr="004F239A" w:rsidRDefault="00CB0365" w:rsidP="00CB0365">
      <w:pPr>
        <w:pStyle w:val="ListParagraph"/>
        <w:numPr>
          <w:ilvl w:val="1"/>
          <w:numId w:val="10"/>
        </w:numPr>
        <w:suppressLineNumbers/>
        <w:pBdr>
          <w:top w:val="nil"/>
          <w:left w:val="nil"/>
          <w:bottom w:val="nil"/>
          <w:right w:val="nil"/>
          <w:between w:val="nil"/>
        </w:pBdr>
        <w:suppressAutoHyphens/>
        <w:kinsoku w:val="0"/>
        <w:overflowPunct w:val="0"/>
        <w:autoSpaceDE w:val="0"/>
        <w:autoSpaceDN w:val="0"/>
        <w:adjustRightInd w:val="0"/>
        <w:snapToGrid w:val="0"/>
        <w:spacing w:after="120"/>
        <w:contextualSpacing w:val="0"/>
        <w:rPr>
          <w:snapToGrid w:val="0"/>
          <w:kern w:val="22"/>
          <w:lang w:val="fr-CA"/>
        </w:rPr>
      </w:pPr>
      <w:r w:rsidRPr="004F239A">
        <w:rPr>
          <w:iCs/>
          <w:snapToGrid w:val="0"/>
          <w:kern w:val="22"/>
          <w:lang w:val="fr-CA"/>
        </w:rPr>
        <w:t>Des propositions d’initiatives et de programmes de renouvellement possibles (comprenant une théorie du changement correspondant à la théorie du changement du cadre mondial de la biodiversité pour l</w:t>
      </w:r>
      <w:r w:rsidR="00F50701">
        <w:rPr>
          <w:iCs/>
          <w:snapToGrid w:val="0"/>
          <w:kern w:val="22"/>
          <w:lang w:val="fr-CA"/>
        </w:rPr>
        <w:t>’</w:t>
      </w:r>
      <w:r w:rsidRPr="004F239A">
        <w:rPr>
          <w:iCs/>
          <w:snapToGrid w:val="0"/>
          <w:kern w:val="22"/>
          <w:lang w:val="fr-CA"/>
        </w:rPr>
        <w:t>après-2020) et une description du processus de renouvellement</w:t>
      </w:r>
      <w:r w:rsidR="00F50701">
        <w:rPr>
          <w:iCs/>
          <w:snapToGrid w:val="0"/>
          <w:kern w:val="22"/>
          <w:lang w:val="fr-CA"/>
        </w:rPr>
        <w:t> </w:t>
      </w:r>
      <w:r w:rsidR="004A3E7E" w:rsidRPr="004F239A">
        <w:rPr>
          <w:iCs/>
          <w:snapToGrid w:val="0"/>
          <w:kern w:val="22"/>
          <w:lang w:val="fr-CA"/>
        </w:rPr>
        <w:t>;</w:t>
      </w:r>
    </w:p>
    <w:p w14:paraId="3EC7C389" w14:textId="1DC1F6EC" w:rsidR="00ED5BE2" w:rsidRPr="004F239A" w:rsidRDefault="00CB0365" w:rsidP="00CB0365">
      <w:pPr>
        <w:pStyle w:val="Para1"/>
        <w:numPr>
          <w:ilvl w:val="1"/>
          <w:numId w:val="10"/>
        </w:numPr>
        <w:suppressLineNumbers/>
        <w:suppressAutoHyphens/>
        <w:kinsoku w:val="0"/>
        <w:overflowPunct w:val="0"/>
        <w:autoSpaceDE w:val="0"/>
        <w:autoSpaceDN w:val="0"/>
        <w:adjustRightInd w:val="0"/>
        <w:snapToGrid w:val="0"/>
        <w:rPr>
          <w:kern w:val="22"/>
          <w:lang w:val="fr-CA"/>
        </w:rPr>
      </w:pPr>
      <w:r w:rsidRPr="004F239A">
        <w:rPr>
          <w:iCs/>
          <w:kern w:val="22"/>
          <w:lang w:val="fr-CA"/>
        </w:rPr>
        <w:t>Un cadre de suivi, d’examen et d’établissement de rapports proposé pour les initiatives et les programmes, comprenant les principaux indicateurs d’efficacité possibles associés aux buts et objectifs pertinents du cadre mondial de la biodiversité pour l</w:t>
      </w:r>
      <w:r w:rsidR="00F50701">
        <w:rPr>
          <w:iCs/>
          <w:kern w:val="22"/>
          <w:lang w:val="fr-CA"/>
        </w:rPr>
        <w:t>’</w:t>
      </w:r>
      <w:r w:rsidRPr="004F239A">
        <w:rPr>
          <w:iCs/>
          <w:kern w:val="22"/>
          <w:lang w:val="fr-CA"/>
        </w:rPr>
        <w:t>après-2020</w:t>
      </w:r>
      <w:r w:rsidR="00F50701">
        <w:rPr>
          <w:iCs/>
          <w:kern w:val="22"/>
          <w:lang w:val="fr-CA"/>
        </w:rPr>
        <w:t> </w:t>
      </w:r>
      <w:r w:rsidRPr="004F239A">
        <w:rPr>
          <w:iCs/>
          <w:kern w:val="22"/>
          <w:lang w:val="fr-CA"/>
        </w:rPr>
        <w:t>;</w:t>
      </w:r>
    </w:p>
    <w:p w14:paraId="2629FB22" w14:textId="65C21D15" w:rsidR="00FD0CBF" w:rsidRPr="004F239A" w:rsidRDefault="00CB0365" w:rsidP="00CB0365">
      <w:pPr>
        <w:pStyle w:val="Para1"/>
        <w:numPr>
          <w:ilvl w:val="1"/>
          <w:numId w:val="10"/>
        </w:numPr>
        <w:suppressLineNumbers/>
        <w:suppressAutoHyphens/>
        <w:kinsoku w:val="0"/>
        <w:overflowPunct w:val="0"/>
        <w:autoSpaceDE w:val="0"/>
        <w:autoSpaceDN w:val="0"/>
        <w:adjustRightInd w:val="0"/>
        <w:snapToGrid w:val="0"/>
        <w:rPr>
          <w:kern w:val="22"/>
          <w:lang w:val="fr-CA"/>
        </w:rPr>
      </w:pPr>
      <w:r w:rsidRPr="004F239A">
        <w:rPr>
          <w:iCs/>
          <w:kern w:val="22"/>
          <w:lang w:val="fr-CA"/>
        </w:rPr>
        <w:t>Des estimations des ressources requises et une stratégie de mobilisation des ressources associée pour les initiatives et programmes</w:t>
      </w:r>
      <w:r w:rsidR="005525B0" w:rsidRPr="004F239A">
        <w:rPr>
          <w:iCs/>
          <w:kern w:val="22"/>
          <w:lang w:val="fr-CA"/>
        </w:rPr>
        <w:t>.</w:t>
      </w:r>
    </w:p>
    <w:p w14:paraId="33EF435A" w14:textId="77777777" w:rsidR="00187AE5" w:rsidRPr="004F239A" w:rsidRDefault="00187AE5">
      <w:pPr>
        <w:jc w:val="left"/>
        <w:rPr>
          <w:snapToGrid w:val="0"/>
          <w:kern w:val="22"/>
          <w:szCs w:val="22"/>
          <w:lang w:val="fr-CA"/>
        </w:rPr>
      </w:pPr>
      <w:bookmarkStart w:id="33" w:name="_Toc57214912"/>
      <w:r w:rsidRPr="004F239A">
        <w:rPr>
          <w:snapToGrid w:val="0"/>
          <w:kern w:val="22"/>
          <w:lang w:val="fr-CA"/>
        </w:rPr>
        <w:br w:type="page"/>
      </w:r>
    </w:p>
    <w:p w14:paraId="1819FF5C" w14:textId="4C520241" w:rsidR="004A3E7E" w:rsidRPr="004F239A" w:rsidRDefault="00E37046" w:rsidP="00AA5D70">
      <w:pPr>
        <w:pStyle w:val="CBD-Para"/>
        <w:keepNext/>
        <w:keepLines w:val="0"/>
        <w:numPr>
          <w:ilvl w:val="0"/>
          <w:numId w:val="0"/>
        </w:numPr>
        <w:suppressLineNumbers/>
        <w:suppressAutoHyphens/>
        <w:kinsoku w:val="0"/>
        <w:overflowPunct w:val="0"/>
        <w:autoSpaceDE w:val="0"/>
        <w:autoSpaceDN w:val="0"/>
        <w:adjustRightInd w:val="0"/>
        <w:snapToGrid w:val="0"/>
        <w:jc w:val="center"/>
        <w:outlineLvl w:val="2"/>
        <w:rPr>
          <w:i/>
          <w:iCs/>
          <w:snapToGrid w:val="0"/>
          <w:kern w:val="22"/>
          <w:lang w:val="fr-CA"/>
        </w:rPr>
      </w:pPr>
      <w:r w:rsidRPr="004F239A">
        <w:rPr>
          <w:i/>
          <w:iCs/>
          <w:snapToGrid w:val="0"/>
          <w:kern w:val="22"/>
          <w:lang w:val="fr-CA"/>
        </w:rPr>
        <w:lastRenderedPageBreak/>
        <w:t>Annex</w:t>
      </w:r>
      <w:r w:rsidR="0084599D" w:rsidRPr="004F239A">
        <w:rPr>
          <w:i/>
          <w:iCs/>
          <w:snapToGrid w:val="0"/>
          <w:kern w:val="22"/>
          <w:lang w:val="fr-CA"/>
        </w:rPr>
        <w:t>e</w:t>
      </w:r>
      <w:r w:rsidR="008D7138" w:rsidRPr="004F239A">
        <w:rPr>
          <w:i/>
          <w:iCs/>
          <w:snapToGrid w:val="0"/>
          <w:kern w:val="22"/>
          <w:lang w:val="fr-CA"/>
        </w:rPr>
        <w:t xml:space="preserve"> </w:t>
      </w:r>
      <w:r w:rsidRPr="004F239A">
        <w:rPr>
          <w:i/>
          <w:iCs/>
          <w:snapToGrid w:val="0"/>
          <w:kern w:val="22"/>
          <w:lang w:val="fr-CA"/>
        </w:rPr>
        <w:t>III</w:t>
      </w:r>
      <w:bookmarkEnd w:id="33"/>
    </w:p>
    <w:p w14:paraId="3866345B" w14:textId="48D2D251" w:rsidR="004A3E7E" w:rsidRPr="004F239A" w:rsidRDefault="0084599D" w:rsidP="00AA5D70">
      <w:pPr>
        <w:pStyle w:val="NormalWeb"/>
        <w:keepNext/>
        <w:suppressLineNumbers/>
        <w:suppressAutoHyphens/>
        <w:kinsoku w:val="0"/>
        <w:overflowPunct w:val="0"/>
        <w:autoSpaceDE w:val="0"/>
        <w:autoSpaceDN w:val="0"/>
        <w:adjustRightInd w:val="0"/>
        <w:snapToGrid w:val="0"/>
        <w:spacing w:before="120" w:beforeAutospacing="0" w:after="120" w:afterAutospacing="0"/>
        <w:jc w:val="center"/>
        <w:outlineLvl w:val="0"/>
        <w:rPr>
          <w:bCs/>
          <w:caps/>
          <w:snapToGrid w:val="0"/>
          <w:kern w:val="22"/>
          <w:sz w:val="22"/>
          <w:lang w:val="fr-CA"/>
        </w:rPr>
      </w:pPr>
      <w:r w:rsidRPr="004F239A">
        <w:rPr>
          <w:b/>
          <w:bCs/>
          <w:caps/>
          <w:snapToGrid w:val="0"/>
          <w:kern w:val="22"/>
          <w:sz w:val="22"/>
          <w:lang w:val="fr-CA"/>
        </w:rPr>
        <w:t>projet de mandat du groupe consultatif informel sur la coopération technique et scientifique</w:t>
      </w:r>
    </w:p>
    <w:p w14:paraId="43F348EC" w14:textId="5CC1BC4D" w:rsidR="004A3E7E" w:rsidRPr="004F239A" w:rsidRDefault="00C26575" w:rsidP="00AA5D7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bookmarkStart w:id="34" w:name="_Toc57214914"/>
      <w:r w:rsidRPr="004F239A">
        <w:rPr>
          <w:b/>
          <w:snapToGrid w:val="0"/>
          <w:kern w:val="22"/>
          <w:szCs w:val="22"/>
          <w:lang w:val="fr-CA" w:eastAsia="en-CA"/>
        </w:rPr>
        <w:t>A.</w:t>
      </w:r>
      <w:r w:rsidRPr="004F239A">
        <w:rPr>
          <w:b/>
          <w:snapToGrid w:val="0"/>
          <w:kern w:val="22"/>
          <w:szCs w:val="22"/>
          <w:lang w:val="fr-CA" w:eastAsia="en-CA"/>
        </w:rPr>
        <w:tab/>
      </w:r>
      <w:bookmarkEnd w:id="34"/>
      <w:r w:rsidR="0084599D" w:rsidRPr="004F239A">
        <w:rPr>
          <w:b/>
          <w:snapToGrid w:val="0"/>
          <w:kern w:val="22"/>
          <w:szCs w:val="22"/>
          <w:lang w:val="fr-CA" w:eastAsia="en-CA"/>
        </w:rPr>
        <w:t>Contexte</w:t>
      </w:r>
    </w:p>
    <w:p w14:paraId="6741529C" w14:textId="028147F9" w:rsidR="004A3E7E" w:rsidRPr="004F239A" w:rsidRDefault="00C45E6A"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spacing w:val="-2"/>
          <w:kern w:val="22"/>
          <w:lang w:val="fr-CA"/>
        </w:rPr>
      </w:pPr>
      <w:r w:rsidRPr="004F239A">
        <w:rPr>
          <w:snapToGrid w:val="0"/>
          <w:spacing w:val="-2"/>
          <w:kern w:val="22"/>
          <w:lang w:val="fr-CA"/>
        </w:rPr>
        <w:t>L’article 18 de la Convention sur la diversité biologique oblige les Parties à encourager la coopération technique et scientifique internationale dans le domaine de la conservation et de l’utilisation du</w:t>
      </w:r>
      <w:r w:rsidR="001C412E" w:rsidRPr="004F239A">
        <w:rPr>
          <w:snapToGrid w:val="0"/>
          <w:spacing w:val="-2"/>
          <w:kern w:val="22"/>
          <w:lang w:val="fr-CA"/>
        </w:rPr>
        <w:t>rable de la diversité biologiqu</w:t>
      </w:r>
      <w:r w:rsidRPr="004F239A">
        <w:rPr>
          <w:snapToGrid w:val="0"/>
          <w:spacing w:val="-2"/>
          <w:kern w:val="22"/>
          <w:lang w:val="fr-CA"/>
        </w:rPr>
        <w:t xml:space="preserve">e, </w:t>
      </w:r>
      <w:r w:rsidR="001C412E" w:rsidRPr="004F239A">
        <w:rPr>
          <w:snapToGrid w:val="0"/>
          <w:spacing w:val="-2"/>
          <w:kern w:val="22"/>
          <w:lang w:val="fr-CA"/>
        </w:rPr>
        <w:t>au besoin</w:t>
      </w:r>
      <w:r w:rsidRPr="004F239A">
        <w:rPr>
          <w:snapToGrid w:val="0"/>
          <w:spacing w:val="-2"/>
          <w:kern w:val="22"/>
          <w:lang w:val="fr-CA"/>
        </w:rPr>
        <w:t>, par le biais d</w:t>
      </w:r>
      <w:r w:rsidR="001C412E" w:rsidRPr="004F239A">
        <w:rPr>
          <w:snapToGrid w:val="0"/>
          <w:spacing w:val="-2"/>
          <w:kern w:val="22"/>
          <w:lang w:val="fr-CA"/>
        </w:rPr>
        <w:t>es institutions international</w:t>
      </w:r>
      <w:r w:rsidRPr="004F239A">
        <w:rPr>
          <w:snapToGrid w:val="0"/>
          <w:spacing w:val="-2"/>
          <w:kern w:val="22"/>
          <w:lang w:val="fr-CA"/>
        </w:rPr>
        <w:t xml:space="preserve">es et nationales compétentes, notamment en </w:t>
      </w:r>
      <w:r w:rsidR="001C412E" w:rsidRPr="004F239A">
        <w:rPr>
          <w:snapToGrid w:val="0"/>
          <w:spacing w:val="-2"/>
          <w:kern w:val="22"/>
          <w:lang w:val="fr-CA"/>
        </w:rPr>
        <w:t>encourageant</w:t>
      </w:r>
      <w:r w:rsidRPr="004F239A">
        <w:rPr>
          <w:snapToGrid w:val="0"/>
          <w:spacing w:val="-2"/>
          <w:kern w:val="22"/>
          <w:lang w:val="fr-CA"/>
        </w:rPr>
        <w:t xml:space="preserve"> l</w:t>
      </w:r>
      <w:r w:rsidR="001C412E" w:rsidRPr="004F239A">
        <w:rPr>
          <w:snapToGrid w:val="0"/>
          <w:spacing w:val="-2"/>
          <w:kern w:val="22"/>
          <w:lang w:val="fr-CA"/>
        </w:rPr>
        <w:t>a</w:t>
      </w:r>
      <w:r w:rsidRPr="004F239A">
        <w:rPr>
          <w:snapToGrid w:val="0"/>
          <w:spacing w:val="-2"/>
          <w:kern w:val="22"/>
          <w:lang w:val="fr-CA"/>
        </w:rPr>
        <w:t xml:space="preserve"> coopération </w:t>
      </w:r>
      <w:r w:rsidR="001C412E" w:rsidRPr="004F239A">
        <w:rPr>
          <w:snapToGrid w:val="0"/>
          <w:spacing w:val="-2"/>
          <w:kern w:val="22"/>
          <w:lang w:val="fr-CA"/>
        </w:rPr>
        <w:t>dans le domaine de la form</w:t>
      </w:r>
      <w:r w:rsidRPr="004F239A">
        <w:rPr>
          <w:snapToGrid w:val="0"/>
          <w:spacing w:val="-2"/>
          <w:kern w:val="22"/>
          <w:lang w:val="fr-CA"/>
        </w:rPr>
        <w:t xml:space="preserve">ation des ressources humaines et </w:t>
      </w:r>
      <w:r w:rsidR="00345807">
        <w:rPr>
          <w:snapToGrid w:val="0"/>
          <w:spacing w:val="-2"/>
          <w:kern w:val="22"/>
          <w:lang w:val="fr-CA"/>
        </w:rPr>
        <w:t>le</w:t>
      </w:r>
      <w:r w:rsidRPr="004F239A">
        <w:rPr>
          <w:snapToGrid w:val="0"/>
          <w:spacing w:val="-2"/>
          <w:kern w:val="22"/>
          <w:lang w:val="fr-CA"/>
        </w:rPr>
        <w:t xml:space="preserve"> </w:t>
      </w:r>
      <w:r w:rsidR="001C412E" w:rsidRPr="004F239A">
        <w:rPr>
          <w:snapToGrid w:val="0"/>
          <w:spacing w:val="-2"/>
          <w:kern w:val="22"/>
          <w:lang w:val="fr-CA"/>
        </w:rPr>
        <w:t>renforcement des institutions</w:t>
      </w:r>
      <w:r w:rsidRPr="004F239A">
        <w:rPr>
          <w:snapToGrid w:val="0"/>
          <w:spacing w:val="-2"/>
          <w:kern w:val="22"/>
          <w:lang w:val="fr-CA"/>
        </w:rPr>
        <w:t>, en encourageant et en développant des méthodes de coopération pour le développement et l’utilisation de technologies pertinen</w:t>
      </w:r>
      <w:r w:rsidR="001C412E" w:rsidRPr="004F239A">
        <w:rPr>
          <w:snapToGrid w:val="0"/>
          <w:spacing w:val="-2"/>
          <w:kern w:val="22"/>
          <w:lang w:val="fr-CA"/>
        </w:rPr>
        <w:t>tes (dont les technologies auto</w:t>
      </w:r>
      <w:r w:rsidRPr="004F239A">
        <w:rPr>
          <w:snapToGrid w:val="0"/>
          <w:spacing w:val="-2"/>
          <w:kern w:val="22"/>
          <w:lang w:val="fr-CA"/>
        </w:rPr>
        <w:t xml:space="preserve">chtones et traditionnelles), en encourageant la coopération </w:t>
      </w:r>
      <w:r w:rsidR="00E1419F" w:rsidRPr="004F239A">
        <w:rPr>
          <w:snapToGrid w:val="0"/>
          <w:spacing w:val="-2"/>
          <w:kern w:val="22"/>
          <w:lang w:val="fr-CA"/>
        </w:rPr>
        <w:t>pour</w:t>
      </w:r>
      <w:r w:rsidRPr="004F239A">
        <w:rPr>
          <w:snapToGrid w:val="0"/>
          <w:spacing w:val="-2"/>
          <w:kern w:val="22"/>
          <w:lang w:val="fr-CA"/>
        </w:rPr>
        <w:t xml:space="preserve"> la formation du personnel</w:t>
      </w:r>
      <w:r w:rsidR="001C412E" w:rsidRPr="004F239A">
        <w:rPr>
          <w:snapToGrid w:val="0"/>
          <w:spacing w:val="-2"/>
          <w:kern w:val="22"/>
          <w:lang w:val="fr-CA"/>
        </w:rPr>
        <w:t xml:space="preserve"> e</w:t>
      </w:r>
      <w:r w:rsidRPr="004F239A">
        <w:rPr>
          <w:snapToGrid w:val="0"/>
          <w:spacing w:val="-2"/>
          <w:kern w:val="22"/>
          <w:lang w:val="fr-CA"/>
        </w:rPr>
        <w:t>t l’échange d’experts et en encourageant la création de projets conjoints p</w:t>
      </w:r>
      <w:r w:rsidR="001C412E" w:rsidRPr="004F239A">
        <w:rPr>
          <w:snapToGrid w:val="0"/>
          <w:spacing w:val="-2"/>
          <w:kern w:val="22"/>
          <w:lang w:val="fr-CA"/>
        </w:rPr>
        <w:t>o</w:t>
      </w:r>
      <w:r w:rsidRPr="004F239A">
        <w:rPr>
          <w:snapToGrid w:val="0"/>
          <w:spacing w:val="-2"/>
          <w:kern w:val="22"/>
          <w:lang w:val="fr-CA"/>
        </w:rPr>
        <w:t>ur le développement des technologies pertinentes. L’article 18 souligne</w:t>
      </w:r>
      <w:r w:rsidR="001C412E" w:rsidRPr="004F239A">
        <w:rPr>
          <w:snapToGrid w:val="0"/>
          <w:spacing w:val="-2"/>
          <w:kern w:val="22"/>
          <w:lang w:val="fr-CA"/>
        </w:rPr>
        <w:t xml:space="preserve"> l’importance du mécanisme de centre d’échange pour encourager la coopération technique et scientifique</w:t>
      </w:r>
      <w:r w:rsidR="004A3E7E" w:rsidRPr="004F239A">
        <w:rPr>
          <w:snapToGrid w:val="0"/>
          <w:spacing w:val="-2"/>
          <w:kern w:val="22"/>
          <w:lang w:val="fr-CA"/>
        </w:rPr>
        <w:t>.</w:t>
      </w:r>
    </w:p>
    <w:p w14:paraId="500B1272" w14:textId="2B2E3F5D" w:rsidR="004A3E7E" w:rsidRPr="004F239A" w:rsidRDefault="00E1419F"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rPr>
      </w:pPr>
      <w:r w:rsidRPr="004F239A">
        <w:rPr>
          <w:snapToGrid w:val="0"/>
          <w:kern w:val="22"/>
          <w:lang w:val="fr-CA" w:eastAsia="en-CA"/>
        </w:rPr>
        <w:t>La Conférence des Parties a adopté plusieurs mesures dans les décisions</w:t>
      </w:r>
      <w:r w:rsidR="004A3E7E" w:rsidRPr="004F239A">
        <w:rPr>
          <w:snapToGrid w:val="0"/>
          <w:kern w:val="22"/>
          <w:lang w:val="fr-CA" w:eastAsia="en-CA"/>
        </w:rPr>
        <w:t xml:space="preserve"> VII/29, VIII/12, IX/14, X/15, X/16, XII/2</w:t>
      </w:r>
      <w:r w:rsidR="00081DF5" w:rsidRPr="004F239A">
        <w:rPr>
          <w:snapToGrid w:val="0"/>
          <w:kern w:val="22"/>
          <w:lang w:val="fr-CA" w:eastAsia="en-CA"/>
        </w:rPr>
        <w:t xml:space="preserve"> B</w:t>
      </w:r>
      <w:r w:rsidR="004A3E7E" w:rsidRPr="004F239A">
        <w:rPr>
          <w:snapToGrid w:val="0"/>
          <w:kern w:val="22"/>
          <w:lang w:val="fr-CA" w:eastAsia="en-CA"/>
        </w:rPr>
        <w:t xml:space="preserve">, XIII/23 </w:t>
      </w:r>
      <w:r w:rsidRPr="004F239A">
        <w:rPr>
          <w:snapToGrid w:val="0"/>
          <w:kern w:val="22"/>
          <w:lang w:val="fr-CA" w:eastAsia="en-CA"/>
        </w:rPr>
        <w:t>et</w:t>
      </w:r>
      <w:r w:rsidR="004A3E7E" w:rsidRPr="004F239A">
        <w:rPr>
          <w:snapToGrid w:val="0"/>
          <w:kern w:val="22"/>
          <w:lang w:val="fr-CA" w:eastAsia="en-CA"/>
        </w:rPr>
        <w:t xml:space="preserve"> XIII/31, </w:t>
      </w:r>
      <w:r w:rsidRPr="004F239A">
        <w:rPr>
          <w:snapToGrid w:val="0"/>
          <w:kern w:val="22"/>
          <w:lang w:val="fr-CA" w:eastAsia="en-CA"/>
        </w:rPr>
        <w:t>et offert une orientation sur divers aspects liés à la coopération technique et scientifique et le transfert de technologies</w:t>
      </w:r>
      <w:r w:rsidR="004A3E7E" w:rsidRPr="004F239A">
        <w:rPr>
          <w:snapToGrid w:val="0"/>
          <w:kern w:val="22"/>
          <w:lang w:val="fr-CA" w:eastAsia="en-CA"/>
        </w:rPr>
        <w:t>.</w:t>
      </w:r>
    </w:p>
    <w:p w14:paraId="53CF8F35" w14:textId="72F63A57" w:rsidR="004A3E7E" w:rsidRPr="004F239A" w:rsidRDefault="00E1419F"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rPr>
      </w:pPr>
      <w:r w:rsidRPr="004F239A">
        <w:rPr>
          <w:snapToGrid w:val="0"/>
          <w:kern w:val="22"/>
          <w:lang w:val="fr-CA" w:eastAsia="en-CA"/>
        </w:rPr>
        <w:t>Dans sa décision 14/24 B, la Conférence des Parties a décidé de f</w:t>
      </w:r>
      <w:r w:rsidR="00345807">
        <w:rPr>
          <w:snapToGrid w:val="0"/>
          <w:kern w:val="22"/>
          <w:lang w:val="fr-CA" w:eastAsia="en-CA"/>
        </w:rPr>
        <w:t>ormer, à sa quinzième réunion, u</w:t>
      </w:r>
      <w:r w:rsidRPr="004F239A">
        <w:rPr>
          <w:snapToGrid w:val="0"/>
          <w:kern w:val="22"/>
          <w:lang w:val="fr-CA" w:eastAsia="en-CA"/>
        </w:rPr>
        <w:t>n groupe consultatif informel sur la coopération technique et scientifique qui entrerait en fonction à la fin du mandat du Comité consultatif informel du mécanisme de centre d’échange</w:t>
      </w:r>
      <w:r w:rsidR="00345807">
        <w:rPr>
          <w:snapToGrid w:val="0"/>
          <w:kern w:val="22"/>
          <w:lang w:val="fr-CA" w:eastAsia="en-CA"/>
        </w:rPr>
        <w:t xml:space="preserve"> en poste</w:t>
      </w:r>
      <w:r w:rsidRPr="004F239A">
        <w:rPr>
          <w:snapToGrid w:val="0"/>
          <w:kern w:val="22"/>
          <w:lang w:val="fr-CA" w:eastAsia="en-CA"/>
        </w:rPr>
        <w:t xml:space="preserve">, en 2020, afin de </w:t>
      </w:r>
      <w:r w:rsidR="00345807">
        <w:rPr>
          <w:snapToGrid w:val="0"/>
          <w:kern w:val="22"/>
          <w:lang w:val="fr-CA" w:eastAsia="en-CA"/>
        </w:rPr>
        <w:t xml:space="preserve">conseiller </w:t>
      </w:r>
      <w:r w:rsidRPr="004F239A">
        <w:rPr>
          <w:snapToGrid w:val="0"/>
          <w:kern w:val="22"/>
          <w:lang w:val="fr-CA" w:eastAsia="en-CA"/>
        </w:rPr>
        <w:t xml:space="preserve">la Secrétaire exécutive sur les mesures pratiques, </w:t>
      </w:r>
      <w:r w:rsidR="000B7608" w:rsidRPr="004F239A">
        <w:rPr>
          <w:snapToGrid w:val="0"/>
          <w:kern w:val="22"/>
          <w:lang w:val="fr-CA" w:eastAsia="en-CA"/>
        </w:rPr>
        <w:t xml:space="preserve">les outils et occasions d’encourager la coopération technique et scientifique pour </w:t>
      </w:r>
      <w:r w:rsidR="007E0D1A">
        <w:rPr>
          <w:snapToGrid w:val="0"/>
          <w:kern w:val="22"/>
          <w:lang w:val="fr-CA" w:eastAsia="en-CA"/>
        </w:rPr>
        <w:t>l’application</w:t>
      </w:r>
      <w:r w:rsidR="000B7608" w:rsidRPr="004F239A">
        <w:rPr>
          <w:snapToGrid w:val="0"/>
          <w:kern w:val="22"/>
          <w:lang w:val="fr-CA" w:eastAsia="en-CA"/>
        </w:rPr>
        <w:t xml:space="preserve"> efficace de la Convention</w:t>
      </w:r>
      <w:r w:rsidR="004A3E7E" w:rsidRPr="004F239A">
        <w:rPr>
          <w:snapToGrid w:val="0"/>
          <w:kern w:val="22"/>
          <w:lang w:val="fr-CA"/>
        </w:rPr>
        <w:t>.</w:t>
      </w:r>
    </w:p>
    <w:p w14:paraId="5CB5BE64" w14:textId="2E96FDC4" w:rsidR="004A3E7E" w:rsidRPr="004F239A" w:rsidRDefault="00C26575" w:rsidP="00AA5D7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bookmarkStart w:id="35" w:name="_Toc57214915"/>
      <w:r w:rsidRPr="004F239A">
        <w:rPr>
          <w:b/>
          <w:snapToGrid w:val="0"/>
          <w:kern w:val="22"/>
          <w:szCs w:val="22"/>
          <w:lang w:val="fr-CA" w:eastAsia="en-CA"/>
        </w:rPr>
        <w:t>B</w:t>
      </w:r>
      <w:r w:rsidR="004A3E7E" w:rsidRPr="004F239A">
        <w:rPr>
          <w:b/>
          <w:snapToGrid w:val="0"/>
          <w:kern w:val="22"/>
          <w:szCs w:val="22"/>
          <w:lang w:val="fr-CA" w:eastAsia="en-CA"/>
        </w:rPr>
        <w:t>.</w:t>
      </w:r>
      <w:r w:rsidR="004A3E7E" w:rsidRPr="004F239A">
        <w:rPr>
          <w:b/>
          <w:snapToGrid w:val="0"/>
          <w:kern w:val="22"/>
          <w:szCs w:val="22"/>
          <w:lang w:val="fr-CA" w:eastAsia="en-CA"/>
        </w:rPr>
        <w:tab/>
      </w:r>
      <w:bookmarkEnd w:id="35"/>
      <w:r w:rsidR="000B7608" w:rsidRPr="004F239A">
        <w:rPr>
          <w:b/>
          <w:snapToGrid w:val="0"/>
          <w:kern w:val="22"/>
          <w:szCs w:val="22"/>
          <w:lang w:val="fr-CA" w:eastAsia="en-CA"/>
        </w:rPr>
        <w:t>Objet</w:t>
      </w:r>
    </w:p>
    <w:p w14:paraId="4355EFE0" w14:textId="64FB1959" w:rsidR="004A3E7E" w:rsidRPr="004F239A" w:rsidRDefault="00E6543A"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 xml:space="preserve">Le Groupe consultatif informel sur la coopération technique et scientifique fournira des conseils et une orientation à la Secrétaire exécutive de la Convention sur la diversité biologique et autres organes et parties prenantes compétents </w:t>
      </w:r>
      <w:r w:rsidR="00345807">
        <w:rPr>
          <w:snapToGrid w:val="0"/>
          <w:kern w:val="22"/>
          <w:lang w:val="fr-CA" w:eastAsia="en-CA"/>
        </w:rPr>
        <w:t>concernant</w:t>
      </w:r>
      <w:r w:rsidRPr="004F239A">
        <w:rPr>
          <w:snapToGrid w:val="0"/>
          <w:kern w:val="22"/>
          <w:lang w:val="fr-CA" w:eastAsia="en-CA"/>
        </w:rPr>
        <w:t xml:space="preserve"> les moyens d’encourager et de faciliter la coopération technique et scientifique, le transfert de technologie, le renforcement des capacités, la gestion des connaissances et le mécanisme de centre d’échange en appui au cadre mondial de la biodiversité pour l</w:t>
      </w:r>
      <w:r w:rsidR="00F50701">
        <w:rPr>
          <w:snapToGrid w:val="0"/>
          <w:kern w:val="22"/>
          <w:lang w:val="fr-CA" w:eastAsia="en-CA"/>
        </w:rPr>
        <w:t>’</w:t>
      </w:r>
      <w:r w:rsidRPr="004F239A">
        <w:rPr>
          <w:snapToGrid w:val="0"/>
          <w:kern w:val="22"/>
          <w:lang w:val="fr-CA" w:eastAsia="en-CA"/>
        </w:rPr>
        <w:t>après-2020. Le Groupe consultatif fournira notamment des conseils, une orientation et des recommandations sur</w:t>
      </w:r>
      <w:r w:rsidR="00F50701">
        <w:rPr>
          <w:snapToGrid w:val="0"/>
          <w:kern w:val="22"/>
          <w:lang w:val="fr-CA" w:eastAsia="en-CA"/>
        </w:rPr>
        <w:t> </w:t>
      </w:r>
      <w:r w:rsidR="004A3E7E" w:rsidRPr="004F239A">
        <w:rPr>
          <w:snapToGrid w:val="0"/>
          <w:kern w:val="22"/>
          <w:lang w:val="fr-CA" w:eastAsia="en-CA"/>
        </w:rPr>
        <w:t>:</w:t>
      </w:r>
    </w:p>
    <w:p w14:paraId="52E02D48" w14:textId="10086758" w:rsidR="004A3E7E" w:rsidRPr="004F239A" w:rsidRDefault="00E6543A" w:rsidP="00E6543A">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bookmarkStart w:id="36" w:name="_Hlk15470906"/>
      <w:r w:rsidRPr="004F239A">
        <w:rPr>
          <w:kern w:val="22"/>
          <w:szCs w:val="22"/>
          <w:lang w:val="fr-CA"/>
        </w:rPr>
        <w:t>Les mesures et démarches pratiques pour encourager la coopération technique et scientifique pour l’application efficace de la Convention</w:t>
      </w:r>
      <w:r w:rsidR="00F50701">
        <w:rPr>
          <w:kern w:val="22"/>
          <w:szCs w:val="22"/>
          <w:lang w:val="fr-CA"/>
        </w:rPr>
        <w:t> </w:t>
      </w:r>
      <w:r w:rsidR="004A3E7E" w:rsidRPr="004F239A">
        <w:rPr>
          <w:kern w:val="22"/>
          <w:szCs w:val="22"/>
          <w:lang w:val="fr-CA"/>
        </w:rPr>
        <w:t>;</w:t>
      </w:r>
    </w:p>
    <w:p w14:paraId="7D35F2E0" w14:textId="2D714B26" w:rsidR="004A3E7E" w:rsidRPr="004F239A" w:rsidRDefault="00B610B8"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Les mesures pour améliorer la collaboration avec d’autres accords, processus et organisations internationaux compétents en ce qui concerne les projets de coopératio</w:t>
      </w:r>
      <w:r w:rsidR="00795C9A">
        <w:rPr>
          <w:kern w:val="22"/>
          <w:szCs w:val="22"/>
          <w:lang w:val="fr-CA"/>
        </w:rPr>
        <w:t>n technique et scientifique et l</w:t>
      </w:r>
      <w:r w:rsidRPr="004F239A">
        <w:rPr>
          <w:kern w:val="22"/>
          <w:szCs w:val="22"/>
          <w:lang w:val="fr-CA"/>
        </w:rPr>
        <w:t>e transfert de technologie</w:t>
      </w:r>
      <w:r w:rsidR="00F50701">
        <w:rPr>
          <w:kern w:val="22"/>
          <w:szCs w:val="22"/>
          <w:lang w:val="fr-CA"/>
        </w:rPr>
        <w:t> </w:t>
      </w:r>
      <w:r w:rsidR="004A3E7E" w:rsidRPr="004F239A">
        <w:rPr>
          <w:kern w:val="22"/>
          <w:szCs w:val="22"/>
          <w:lang w:val="fr-CA"/>
        </w:rPr>
        <w:t>;</w:t>
      </w:r>
    </w:p>
    <w:p w14:paraId="19B385C5" w14:textId="6E5CC2C6" w:rsidR="004A3E7E" w:rsidRPr="004F239A" w:rsidRDefault="00B610B8"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 xml:space="preserve">Les démarches stratégiques pour répondre aux besoins et priorités des Parties en mettant en œuvre des approches programmatiques de projets de coopération technique et scientifique </w:t>
      </w:r>
      <w:r w:rsidR="00C27305" w:rsidRPr="004F239A">
        <w:rPr>
          <w:kern w:val="22"/>
          <w:szCs w:val="22"/>
          <w:lang w:val="fr-CA"/>
        </w:rPr>
        <w:t xml:space="preserve">pertinents </w:t>
      </w:r>
      <w:r w:rsidRPr="004F239A">
        <w:rPr>
          <w:kern w:val="22"/>
          <w:szCs w:val="22"/>
          <w:lang w:val="fr-CA"/>
        </w:rPr>
        <w:t>créés au titre de la Convention</w:t>
      </w:r>
      <w:r w:rsidR="00F50701">
        <w:rPr>
          <w:kern w:val="22"/>
          <w:szCs w:val="22"/>
          <w:lang w:val="fr-CA"/>
        </w:rPr>
        <w:t> </w:t>
      </w:r>
      <w:r w:rsidR="004A3E7E" w:rsidRPr="004F239A">
        <w:rPr>
          <w:kern w:val="22"/>
          <w:szCs w:val="22"/>
          <w:lang w:val="fr-CA"/>
        </w:rPr>
        <w:t>;</w:t>
      </w:r>
    </w:p>
    <w:p w14:paraId="171F9CED" w14:textId="6403137A" w:rsidR="004A3E7E" w:rsidRPr="004F239A" w:rsidRDefault="00C27305"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Le suivi de l’application de stratégies sur la coopération technique et scientifique, le renforcement des capacités et la gestion des connaissances en appui au cadre mondial de la biodiversité pour l</w:t>
      </w:r>
      <w:r w:rsidR="00F50701">
        <w:rPr>
          <w:kern w:val="22"/>
          <w:szCs w:val="22"/>
          <w:lang w:val="fr-CA"/>
        </w:rPr>
        <w:t>’</w:t>
      </w:r>
      <w:r w:rsidRPr="004F239A">
        <w:rPr>
          <w:kern w:val="22"/>
          <w:szCs w:val="22"/>
          <w:lang w:val="fr-CA"/>
        </w:rPr>
        <w:t>après-2020</w:t>
      </w:r>
      <w:r w:rsidR="00795C9A">
        <w:rPr>
          <w:kern w:val="22"/>
          <w:szCs w:val="22"/>
          <w:lang w:val="fr-CA"/>
        </w:rPr>
        <w:t>,</w:t>
      </w:r>
      <w:r w:rsidRPr="004F239A">
        <w:rPr>
          <w:kern w:val="22"/>
          <w:szCs w:val="22"/>
          <w:lang w:val="fr-CA"/>
        </w:rPr>
        <w:t xml:space="preserve"> afin de garantir leur cohérence et </w:t>
      </w:r>
      <w:r w:rsidR="00795C9A">
        <w:rPr>
          <w:kern w:val="22"/>
          <w:szCs w:val="22"/>
          <w:lang w:val="fr-CA"/>
        </w:rPr>
        <w:t xml:space="preserve">leur </w:t>
      </w:r>
      <w:r w:rsidRPr="004F239A">
        <w:rPr>
          <w:kern w:val="22"/>
          <w:szCs w:val="22"/>
          <w:lang w:val="fr-CA"/>
        </w:rPr>
        <w:t>conséquence</w:t>
      </w:r>
      <w:r w:rsidR="00F50701">
        <w:rPr>
          <w:kern w:val="22"/>
          <w:szCs w:val="22"/>
          <w:lang w:val="fr-CA"/>
        </w:rPr>
        <w:t> </w:t>
      </w:r>
      <w:r w:rsidR="004A3E7E" w:rsidRPr="004F239A">
        <w:rPr>
          <w:kern w:val="22"/>
          <w:szCs w:val="22"/>
          <w:lang w:val="fr-CA"/>
        </w:rPr>
        <w:t>;</w:t>
      </w:r>
    </w:p>
    <w:p w14:paraId="32D3F914" w14:textId="650F166B" w:rsidR="004A3E7E" w:rsidRPr="004F239A" w:rsidRDefault="00C27305"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L’élaboration et la mise en place d’outils et de mécanismes pour encourager et faciliter la coopération technique et scientifique, le renforcement des capacités et la gestion des connaissances, y compris les systèmes scientifiques et de connaissances traditionnelles</w:t>
      </w:r>
      <w:r w:rsidR="00F50701">
        <w:rPr>
          <w:kern w:val="22"/>
          <w:szCs w:val="22"/>
          <w:lang w:val="fr-CA"/>
        </w:rPr>
        <w:t> </w:t>
      </w:r>
      <w:r w:rsidR="004A3E7E" w:rsidRPr="004F239A">
        <w:rPr>
          <w:kern w:val="22"/>
          <w:szCs w:val="22"/>
          <w:lang w:val="fr-CA"/>
        </w:rPr>
        <w:t>;</w:t>
      </w:r>
    </w:p>
    <w:p w14:paraId="09074AF6" w14:textId="6F5881BD" w:rsidR="004A3E7E" w:rsidRPr="004F239A" w:rsidRDefault="00C27305"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Les question</w:t>
      </w:r>
      <w:r w:rsidR="00795C9A">
        <w:rPr>
          <w:kern w:val="22"/>
          <w:szCs w:val="22"/>
          <w:lang w:val="fr-CA"/>
        </w:rPr>
        <w:t>s</w:t>
      </w:r>
      <w:r w:rsidRPr="004F239A">
        <w:rPr>
          <w:kern w:val="22"/>
          <w:szCs w:val="22"/>
          <w:lang w:val="fr-CA"/>
        </w:rPr>
        <w:t xml:space="preserve"> portant sur le mécanisme de centre d’échange et</w:t>
      </w:r>
      <w:r w:rsidR="00795C9A">
        <w:rPr>
          <w:kern w:val="22"/>
          <w:szCs w:val="22"/>
          <w:lang w:val="fr-CA"/>
        </w:rPr>
        <w:t xml:space="preserve"> plus particulièrement sur les moyens d’améliorer son </w:t>
      </w:r>
      <w:r w:rsidRPr="004F239A">
        <w:rPr>
          <w:kern w:val="22"/>
          <w:szCs w:val="22"/>
          <w:lang w:val="fr-CA"/>
        </w:rPr>
        <w:t xml:space="preserve">efficacité comme mécanisme pour encourager </w:t>
      </w:r>
      <w:r w:rsidR="00F50701">
        <w:rPr>
          <w:kern w:val="22"/>
          <w:szCs w:val="22"/>
          <w:lang w:val="fr-CA"/>
        </w:rPr>
        <w:t>et</w:t>
      </w:r>
      <w:r w:rsidRPr="004F239A">
        <w:rPr>
          <w:kern w:val="22"/>
          <w:szCs w:val="22"/>
          <w:lang w:val="fr-CA"/>
        </w:rPr>
        <w:t xml:space="preserve"> faciliter la coopération technique et scientifique et l’échange de renseignements</w:t>
      </w:r>
      <w:r w:rsidR="00F50701">
        <w:rPr>
          <w:kern w:val="22"/>
          <w:szCs w:val="22"/>
          <w:lang w:val="fr-CA"/>
        </w:rPr>
        <w:t> </w:t>
      </w:r>
      <w:r w:rsidR="004A3E7E" w:rsidRPr="004F239A">
        <w:rPr>
          <w:kern w:val="22"/>
          <w:szCs w:val="22"/>
          <w:lang w:val="fr-CA"/>
        </w:rPr>
        <w:t>;</w:t>
      </w:r>
    </w:p>
    <w:p w14:paraId="77D378E9" w14:textId="29AC39B7" w:rsidR="004A3E7E" w:rsidRPr="004F239A" w:rsidRDefault="00C27305"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lastRenderedPageBreak/>
        <w:t>Les occasions possibles de mobiliser des ressources techniques et financières afin d’encourager et d’assurer la durabilité des activités de coopération technique et scientifique</w:t>
      </w:r>
      <w:r w:rsidR="00F50701">
        <w:rPr>
          <w:kern w:val="22"/>
          <w:szCs w:val="22"/>
          <w:lang w:val="fr-CA"/>
        </w:rPr>
        <w:t> </w:t>
      </w:r>
      <w:r w:rsidR="004A3E7E" w:rsidRPr="004F239A">
        <w:rPr>
          <w:kern w:val="22"/>
          <w:szCs w:val="22"/>
          <w:lang w:val="fr-CA"/>
        </w:rPr>
        <w:t>;</w:t>
      </w:r>
      <w:bookmarkEnd w:id="36"/>
    </w:p>
    <w:p w14:paraId="06D26FAB" w14:textId="470C13A9" w:rsidR="004A3E7E" w:rsidRPr="004F239A" w:rsidRDefault="00C27305" w:rsidP="00AA5D70">
      <w:pPr>
        <w:pStyle w:val="Para1"/>
        <w:numPr>
          <w:ilvl w:val="0"/>
          <w:numId w:val="64"/>
        </w:numPr>
        <w:suppressLineNumbers/>
        <w:tabs>
          <w:tab w:val="left" w:pos="72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Le recensement et la cartographie des activités de collaboration existantes</w:t>
      </w:r>
      <w:r w:rsidR="004A3E7E" w:rsidRPr="004F239A">
        <w:rPr>
          <w:kern w:val="22"/>
          <w:szCs w:val="22"/>
          <w:lang w:val="fr-CA"/>
        </w:rPr>
        <w:t>.</w:t>
      </w:r>
    </w:p>
    <w:p w14:paraId="5212B1AF" w14:textId="64B26D7E" w:rsidR="004A3E7E" w:rsidRPr="004F239A" w:rsidRDefault="00C27305" w:rsidP="00AA5D70">
      <w:pPr>
        <w:pStyle w:val="CBD-Para"/>
        <w:keepLines w:val="0"/>
        <w:numPr>
          <w:ilvl w:val="0"/>
          <w:numId w:val="66"/>
        </w:numPr>
        <w:suppressLineNumbers/>
        <w:tabs>
          <w:tab w:val="left"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 Secrétariat de la Convention sur la diversité biologique soutiendra les travaux du</w:t>
      </w:r>
      <w:r w:rsidR="00012E02">
        <w:rPr>
          <w:snapToGrid w:val="0"/>
          <w:kern w:val="22"/>
          <w:lang w:val="fr-CA" w:eastAsia="en-CA"/>
        </w:rPr>
        <w:t xml:space="preserve"> Groupe consultatif informel</w:t>
      </w:r>
      <w:r w:rsidRPr="004F239A">
        <w:rPr>
          <w:snapToGrid w:val="0"/>
          <w:kern w:val="22"/>
          <w:lang w:val="fr-CA" w:eastAsia="en-CA"/>
        </w:rPr>
        <w:t xml:space="preserve">, notamment en fournissant </w:t>
      </w:r>
      <w:r w:rsidR="00012E02">
        <w:rPr>
          <w:snapToGrid w:val="0"/>
          <w:kern w:val="22"/>
          <w:lang w:val="fr-CA" w:eastAsia="en-CA"/>
        </w:rPr>
        <w:t>un</w:t>
      </w:r>
      <w:r w:rsidRPr="004F239A">
        <w:rPr>
          <w:snapToGrid w:val="0"/>
          <w:kern w:val="22"/>
          <w:lang w:val="fr-CA" w:eastAsia="en-CA"/>
        </w:rPr>
        <w:t xml:space="preserve"> soutien logistique et de secrétariat à ses travaux</w:t>
      </w:r>
      <w:r w:rsidR="004A3E7E" w:rsidRPr="004F239A">
        <w:rPr>
          <w:snapToGrid w:val="0"/>
          <w:kern w:val="22"/>
          <w:lang w:val="fr-CA" w:eastAsia="en-CA"/>
        </w:rPr>
        <w:t>.</w:t>
      </w:r>
    </w:p>
    <w:p w14:paraId="32377A1D" w14:textId="36FFCA77" w:rsidR="004A3E7E" w:rsidRPr="004F239A" w:rsidRDefault="00C26575" w:rsidP="00AA5D7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bookmarkStart w:id="37" w:name="_Toc57214916"/>
      <w:r w:rsidRPr="004F239A">
        <w:rPr>
          <w:b/>
          <w:snapToGrid w:val="0"/>
          <w:kern w:val="22"/>
          <w:szCs w:val="22"/>
          <w:lang w:val="fr-CA" w:eastAsia="en-CA"/>
        </w:rPr>
        <w:t>C</w:t>
      </w:r>
      <w:r w:rsidR="004A3E7E" w:rsidRPr="004F239A">
        <w:rPr>
          <w:b/>
          <w:snapToGrid w:val="0"/>
          <w:kern w:val="22"/>
          <w:szCs w:val="22"/>
          <w:lang w:val="fr-CA" w:eastAsia="en-CA"/>
        </w:rPr>
        <w:t>.</w:t>
      </w:r>
      <w:r w:rsidR="004A3E7E" w:rsidRPr="004F239A">
        <w:rPr>
          <w:b/>
          <w:snapToGrid w:val="0"/>
          <w:kern w:val="22"/>
          <w:szCs w:val="22"/>
          <w:lang w:val="fr-CA" w:eastAsia="en-CA"/>
        </w:rPr>
        <w:tab/>
      </w:r>
      <w:bookmarkEnd w:id="37"/>
      <w:r w:rsidR="00C27305" w:rsidRPr="004F239A">
        <w:rPr>
          <w:b/>
          <w:snapToGrid w:val="0"/>
          <w:kern w:val="22"/>
          <w:szCs w:val="22"/>
          <w:lang w:val="fr-CA" w:eastAsia="en-CA"/>
        </w:rPr>
        <w:t>Composition</w:t>
      </w:r>
    </w:p>
    <w:p w14:paraId="155487D3" w14:textId="551F307B" w:rsidR="004A3E7E" w:rsidRPr="004F239A" w:rsidRDefault="000B5592" w:rsidP="00AA5D70">
      <w:pPr>
        <w:pStyle w:val="CBD-Para"/>
        <w:keepLines w:val="0"/>
        <w:numPr>
          <w:ilvl w:val="0"/>
          <w:numId w:val="66"/>
        </w:numPr>
        <w:suppressLineNumbers/>
        <w:tabs>
          <w:tab w:val="left"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 Groupe consultatif informel sera composé d’experts nommés par les Parties, en accordant une attention particulière à la représentation régionale et équitable des genres, ainsi que d’expe</w:t>
      </w:r>
      <w:r w:rsidR="00012E02">
        <w:rPr>
          <w:snapToGrid w:val="0"/>
          <w:kern w:val="22"/>
          <w:lang w:val="fr-CA" w:eastAsia="en-CA"/>
        </w:rPr>
        <w:t>rts des peuples autochtones et d</w:t>
      </w:r>
      <w:r w:rsidRPr="004F239A">
        <w:rPr>
          <w:snapToGrid w:val="0"/>
          <w:kern w:val="22"/>
          <w:lang w:val="fr-CA" w:eastAsia="en-CA"/>
        </w:rPr>
        <w:t>es communautés locales et des organisations compétentes. Le nombre d’experts provenant d’organisations ne dépassera pas le nombre d’experts nommés par les Parties. Les membres seront choisis selon les critères suivants, comme en fera foi leur curriculum vitae</w:t>
      </w:r>
      <w:r w:rsidR="00F50701">
        <w:rPr>
          <w:snapToGrid w:val="0"/>
          <w:kern w:val="22"/>
          <w:lang w:val="fr-CA" w:eastAsia="en-CA"/>
        </w:rPr>
        <w:t> </w:t>
      </w:r>
      <w:r w:rsidR="004A3E7E" w:rsidRPr="004F239A">
        <w:rPr>
          <w:snapToGrid w:val="0"/>
          <w:kern w:val="22"/>
          <w:lang w:val="fr-CA" w:eastAsia="en-CA"/>
        </w:rPr>
        <w:t>:</w:t>
      </w:r>
    </w:p>
    <w:p w14:paraId="66EB6299" w14:textId="2893CE67" w:rsidR="004A3E7E" w:rsidRPr="004F239A" w:rsidRDefault="000B5592" w:rsidP="00CA51D7">
      <w:pPr>
        <w:pStyle w:val="Para1"/>
        <w:numPr>
          <w:ilvl w:val="1"/>
          <w:numId w:val="65"/>
        </w:numPr>
        <w:suppressLineNumbers/>
        <w:tabs>
          <w:tab w:val="clear" w:pos="108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eastAsia="en-CA"/>
        </w:rPr>
        <w:t xml:space="preserve">Au moins cinq ans d’expérience de travail </w:t>
      </w:r>
      <w:r w:rsidR="001B0C6D" w:rsidRPr="004F239A">
        <w:rPr>
          <w:kern w:val="22"/>
          <w:szCs w:val="22"/>
          <w:lang w:val="fr-CA" w:eastAsia="en-CA"/>
        </w:rPr>
        <w:t>sur des enjeux techniques et scientifiques liés à l’application de la Convention sur la diversité biologique et/ ou autres accords internationaux et processus pertinents</w:t>
      </w:r>
      <w:r w:rsidR="00F50701">
        <w:rPr>
          <w:kern w:val="22"/>
          <w:szCs w:val="22"/>
          <w:lang w:val="fr-CA" w:eastAsia="en-CA"/>
        </w:rPr>
        <w:t> </w:t>
      </w:r>
      <w:r w:rsidR="004A3E7E" w:rsidRPr="004F239A">
        <w:rPr>
          <w:kern w:val="22"/>
          <w:szCs w:val="22"/>
          <w:lang w:val="fr-CA"/>
        </w:rPr>
        <w:t>;</w:t>
      </w:r>
    </w:p>
    <w:p w14:paraId="6F326337" w14:textId="31761A6F" w:rsidR="004A3E7E" w:rsidRPr="004F239A" w:rsidRDefault="001B0C6D" w:rsidP="00AA5D70">
      <w:pPr>
        <w:pStyle w:val="Para1"/>
        <w:numPr>
          <w:ilvl w:val="1"/>
          <w:numId w:val="65"/>
        </w:numPr>
        <w:suppressLineNumbers/>
        <w:tabs>
          <w:tab w:val="clear" w:pos="108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Une expertise en coopération technique et scientifique, en renforcement des capacités et en gestion des connaissance</w:t>
      </w:r>
      <w:r w:rsidR="00012E02">
        <w:rPr>
          <w:kern w:val="22"/>
          <w:szCs w:val="22"/>
          <w:lang w:val="fr-CA"/>
        </w:rPr>
        <w:t>s auprès d’un mécanisme de centre</w:t>
      </w:r>
      <w:r w:rsidRPr="004F239A">
        <w:rPr>
          <w:kern w:val="22"/>
          <w:szCs w:val="22"/>
          <w:lang w:val="fr-CA"/>
        </w:rPr>
        <w:t xml:space="preserve"> d’échange ou </w:t>
      </w:r>
      <w:r w:rsidR="00012E02">
        <w:rPr>
          <w:kern w:val="22"/>
          <w:szCs w:val="22"/>
          <w:lang w:val="fr-CA"/>
        </w:rPr>
        <w:t>d’</w:t>
      </w:r>
      <w:r w:rsidRPr="004F239A">
        <w:rPr>
          <w:kern w:val="22"/>
          <w:szCs w:val="22"/>
          <w:lang w:val="fr-CA"/>
        </w:rPr>
        <w:t>une plateforme de partage d’information en ligne du même genre</w:t>
      </w:r>
      <w:r w:rsidR="00F50701">
        <w:rPr>
          <w:kern w:val="22"/>
          <w:szCs w:val="22"/>
          <w:lang w:val="fr-CA"/>
        </w:rPr>
        <w:t> </w:t>
      </w:r>
      <w:r w:rsidR="004A3E7E" w:rsidRPr="004F239A">
        <w:rPr>
          <w:kern w:val="22"/>
          <w:szCs w:val="22"/>
          <w:lang w:val="fr-CA"/>
        </w:rPr>
        <w:t>;</w:t>
      </w:r>
    </w:p>
    <w:p w14:paraId="7B153ACD" w14:textId="310CA2D1" w:rsidR="004A3E7E" w:rsidRPr="004F239A" w:rsidRDefault="001B0C6D" w:rsidP="00AA5D70">
      <w:pPr>
        <w:pStyle w:val="Para1"/>
        <w:numPr>
          <w:ilvl w:val="1"/>
          <w:numId w:val="65"/>
        </w:numPr>
        <w:suppressLineNumbers/>
        <w:tabs>
          <w:tab w:val="clear" w:pos="1080"/>
        </w:tabs>
        <w:suppressAutoHyphens/>
        <w:kinsoku w:val="0"/>
        <w:overflowPunct w:val="0"/>
        <w:autoSpaceDE w:val="0"/>
        <w:autoSpaceDN w:val="0"/>
        <w:adjustRightInd w:val="0"/>
        <w:snapToGrid w:val="0"/>
        <w:ind w:left="0" w:firstLine="720"/>
        <w:rPr>
          <w:kern w:val="22"/>
          <w:szCs w:val="22"/>
          <w:lang w:val="fr-CA"/>
        </w:rPr>
      </w:pPr>
      <w:r w:rsidRPr="004F239A">
        <w:rPr>
          <w:kern w:val="22"/>
          <w:szCs w:val="22"/>
          <w:lang w:val="fr-CA"/>
        </w:rPr>
        <w:t>Un</w:t>
      </w:r>
      <w:r w:rsidR="00E04131">
        <w:rPr>
          <w:kern w:val="22"/>
          <w:szCs w:val="22"/>
          <w:lang w:val="fr-CA"/>
        </w:rPr>
        <w:t>e</w:t>
      </w:r>
      <w:r w:rsidRPr="004F239A">
        <w:rPr>
          <w:kern w:val="22"/>
          <w:szCs w:val="22"/>
          <w:lang w:val="fr-CA"/>
        </w:rPr>
        <w:t xml:space="preserve"> expérience manifeste </w:t>
      </w:r>
      <w:r w:rsidR="00777BF4" w:rsidRPr="004F239A">
        <w:rPr>
          <w:kern w:val="22"/>
          <w:szCs w:val="22"/>
          <w:lang w:val="fr-CA"/>
        </w:rPr>
        <w:t>en ce qui a trait aux</w:t>
      </w:r>
      <w:r w:rsidRPr="004F239A">
        <w:rPr>
          <w:kern w:val="22"/>
          <w:szCs w:val="22"/>
          <w:lang w:val="fr-CA"/>
        </w:rPr>
        <w:t xml:space="preserve"> processus et programmes </w:t>
      </w:r>
      <w:r w:rsidR="00777BF4" w:rsidRPr="004F239A">
        <w:rPr>
          <w:kern w:val="22"/>
          <w:szCs w:val="22"/>
          <w:lang w:val="fr-CA"/>
        </w:rPr>
        <w:t>ré</w:t>
      </w:r>
      <w:r w:rsidRPr="004F239A">
        <w:rPr>
          <w:kern w:val="22"/>
          <w:szCs w:val="22"/>
          <w:lang w:val="fr-CA"/>
        </w:rPr>
        <w:t xml:space="preserve">gionaux ou internationaux de coopération </w:t>
      </w:r>
      <w:r w:rsidR="00777BF4" w:rsidRPr="004F239A">
        <w:rPr>
          <w:kern w:val="22"/>
          <w:szCs w:val="22"/>
          <w:lang w:val="fr-CA"/>
        </w:rPr>
        <w:t>liés à la diversité biologique et/ou l’environnement</w:t>
      </w:r>
      <w:r w:rsidR="004A3E7E" w:rsidRPr="004F239A">
        <w:rPr>
          <w:kern w:val="22"/>
          <w:szCs w:val="22"/>
          <w:lang w:val="fr-CA" w:eastAsia="en-CA"/>
        </w:rPr>
        <w:t>.</w:t>
      </w:r>
    </w:p>
    <w:p w14:paraId="787DB432" w14:textId="4CCF01CB" w:rsidR="004A3E7E" w:rsidRPr="004F239A" w:rsidRDefault="00777BF4"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w:t>
      </w:r>
      <w:r w:rsidR="00E04131">
        <w:rPr>
          <w:snapToGrid w:val="0"/>
          <w:kern w:val="22"/>
          <w:lang w:val="fr-CA" w:eastAsia="en-CA"/>
        </w:rPr>
        <w:t>s</w:t>
      </w:r>
      <w:r w:rsidRPr="004F239A">
        <w:rPr>
          <w:snapToGrid w:val="0"/>
          <w:kern w:val="22"/>
          <w:lang w:val="fr-CA" w:eastAsia="en-CA"/>
        </w:rPr>
        <w:t xml:space="preserve"> coprésidents du Consortium de partenaires scientifiques sur la biodiversité seront invités en qualité de membres d’office</w:t>
      </w:r>
      <w:r w:rsidR="004A3E7E" w:rsidRPr="004F239A">
        <w:rPr>
          <w:snapToGrid w:val="0"/>
          <w:kern w:val="22"/>
          <w:lang w:val="fr-CA" w:eastAsia="en-CA"/>
        </w:rPr>
        <w:t>.</w:t>
      </w:r>
    </w:p>
    <w:p w14:paraId="0976C765" w14:textId="7EE9D5A6" w:rsidR="004A3E7E" w:rsidRPr="004F239A" w:rsidRDefault="00777BF4"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 xml:space="preserve">Les membres du Groupe consultatif informel seront choisis au moyen d’un processus de </w:t>
      </w:r>
      <w:r w:rsidR="00012E02">
        <w:rPr>
          <w:snapToGrid w:val="0"/>
          <w:kern w:val="22"/>
          <w:lang w:val="fr-CA" w:eastAsia="en-CA"/>
        </w:rPr>
        <w:t xml:space="preserve">mise en </w:t>
      </w:r>
      <w:r w:rsidRPr="004F239A">
        <w:rPr>
          <w:snapToGrid w:val="0"/>
          <w:kern w:val="22"/>
          <w:lang w:val="fr-CA" w:eastAsia="en-CA"/>
        </w:rPr>
        <w:t xml:space="preserve">candidature reposant sur les critères ci-dessus. La Secrétaire exécutive, en consultation avec les coprésidents du Groupe consultatif informel, pourrait inviter des experts supplémentaires </w:t>
      </w:r>
      <w:r w:rsidR="001044DE">
        <w:rPr>
          <w:snapToGrid w:val="0"/>
          <w:kern w:val="22"/>
          <w:lang w:val="fr-CA" w:eastAsia="en-CA"/>
        </w:rPr>
        <w:t>connaissant à fond les enjeux ou l</w:t>
      </w:r>
      <w:r w:rsidRPr="004F239A">
        <w:rPr>
          <w:snapToGrid w:val="0"/>
          <w:kern w:val="22"/>
          <w:lang w:val="fr-CA" w:eastAsia="en-CA"/>
        </w:rPr>
        <w:t xml:space="preserve">es domaines thématiques qui seront abordés lors des réunions du Groupe consultatif informel, </w:t>
      </w:r>
      <w:r w:rsidR="008B4321" w:rsidRPr="004F239A">
        <w:rPr>
          <w:snapToGrid w:val="0"/>
          <w:kern w:val="22"/>
          <w:lang w:val="fr-CA" w:eastAsia="en-CA"/>
        </w:rPr>
        <w:t>de manière à</w:t>
      </w:r>
      <w:r w:rsidRPr="004F239A">
        <w:rPr>
          <w:snapToGrid w:val="0"/>
          <w:kern w:val="22"/>
          <w:lang w:val="fr-CA" w:eastAsia="en-CA"/>
        </w:rPr>
        <w:t xml:space="preserve"> </w:t>
      </w:r>
      <w:r w:rsidR="001044DE">
        <w:rPr>
          <w:snapToGrid w:val="0"/>
          <w:kern w:val="22"/>
          <w:lang w:val="fr-CA" w:eastAsia="en-CA"/>
        </w:rPr>
        <w:t xml:space="preserve">garantir </w:t>
      </w:r>
      <w:r w:rsidRPr="004F239A">
        <w:rPr>
          <w:snapToGrid w:val="0"/>
          <w:kern w:val="22"/>
          <w:lang w:val="fr-CA" w:eastAsia="en-CA"/>
        </w:rPr>
        <w:t>une représenta</w:t>
      </w:r>
      <w:r w:rsidR="008B4321" w:rsidRPr="004F239A">
        <w:rPr>
          <w:snapToGrid w:val="0"/>
          <w:kern w:val="22"/>
          <w:lang w:val="fr-CA" w:eastAsia="en-CA"/>
        </w:rPr>
        <w:t>t</w:t>
      </w:r>
      <w:r w:rsidRPr="004F239A">
        <w:rPr>
          <w:snapToGrid w:val="0"/>
          <w:kern w:val="22"/>
          <w:lang w:val="fr-CA" w:eastAsia="en-CA"/>
        </w:rPr>
        <w:t xml:space="preserve">ion équilibrée d’experts sur les questions liées </w:t>
      </w:r>
      <w:r w:rsidR="008B4321" w:rsidRPr="004F239A">
        <w:rPr>
          <w:snapToGrid w:val="0"/>
          <w:kern w:val="22"/>
          <w:lang w:val="fr-CA" w:eastAsia="en-CA"/>
        </w:rPr>
        <w:t>à</w:t>
      </w:r>
      <w:r w:rsidRPr="004F239A">
        <w:rPr>
          <w:snapToGrid w:val="0"/>
          <w:kern w:val="22"/>
          <w:lang w:val="fr-CA" w:eastAsia="en-CA"/>
        </w:rPr>
        <w:t xml:space="preserve"> la Convention. Les membres agiront à titre personnel et no</w:t>
      </w:r>
      <w:r w:rsidR="001044DE">
        <w:rPr>
          <w:snapToGrid w:val="0"/>
          <w:kern w:val="22"/>
          <w:lang w:val="fr-CA" w:eastAsia="en-CA"/>
        </w:rPr>
        <w:t>n en tant que r</w:t>
      </w:r>
      <w:r w:rsidRPr="004F239A">
        <w:rPr>
          <w:snapToGrid w:val="0"/>
          <w:kern w:val="22"/>
          <w:lang w:val="fr-CA" w:eastAsia="en-CA"/>
        </w:rPr>
        <w:t>eprésentants d’</w:t>
      </w:r>
      <w:r w:rsidR="008B4321" w:rsidRPr="004F239A">
        <w:rPr>
          <w:snapToGrid w:val="0"/>
          <w:kern w:val="22"/>
          <w:lang w:val="fr-CA" w:eastAsia="en-CA"/>
        </w:rPr>
        <w:t>u</w:t>
      </w:r>
      <w:r w:rsidRPr="004F239A">
        <w:rPr>
          <w:snapToGrid w:val="0"/>
          <w:kern w:val="22"/>
          <w:lang w:val="fr-CA" w:eastAsia="en-CA"/>
        </w:rPr>
        <w:t>n gouvernement, d’une organisation ou autre entité</w:t>
      </w:r>
      <w:r w:rsidR="004A3E7E" w:rsidRPr="004F239A">
        <w:rPr>
          <w:snapToGrid w:val="0"/>
          <w:kern w:val="22"/>
          <w:lang w:val="fr-CA" w:eastAsia="en-CA"/>
        </w:rPr>
        <w:t>.</w:t>
      </w:r>
    </w:p>
    <w:p w14:paraId="2CCC3074" w14:textId="3439E76C" w:rsidR="004A3E7E" w:rsidRPr="004F239A" w:rsidRDefault="008B4321"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 xml:space="preserve">Les membres du Groupe consultatif informel seront en poste pour un mandat de deux ans, </w:t>
      </w:r>
      <w:r w:rsidR="001044DE">
        <w:rPr>
          <w:snapToGrid w:val="0"/>
          <w:kern w:val="22"/>
          <w:lang w:val="fr-CA" w:eastAsia="en-CA"/>
        </w:rPr>
        <w:t>renouvelable</w:t>
      </w:r>
      <w:r w:rsidRPr="004F239A">
        <w:rPr>
          <w:snapToGrid w:val="0"/>
          <w:kern w:val="22"/>
          <w:lang w:val="fr-CA" w:eastAsia="en-CA"/>
        </w:rPr>
        <w:t xml:space="preserve"> pour un mandat supplémentaire de deux ans</w:t>
      </w:r>
      <w:r w:rsidR="004A3E7E" w:rsidRPr="004F239A">
        <w:rPr>
          <w:snapToGrid w:val="0"/>
          <w:kern w:val="22"/>
          <w:lang w:val="fr-CA" w:eastAsia="en-CA"/>
        </w:rPr>
        <w:t>.</w:t>
      </w:r>
    </w:p>
    <w:p w14:paraId="306BA5E9" w14:textId="2A4FCDCA" w:rsidR="004A3E7E" w:rsidRPr="004F239A" w:rsidRDefault="00C26575" w:rsidP="00AA5D7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bookmarkStart w:id="38" w:name="_Toc57214917"/>
      <w:r w:rsidRPr="004F239A">
        <w:rPr>
          <w:b/>
          <w:snapToGrid w:val="0"/>
          <w:kern w:val="22"/>
          <w:szCs w:val="22"/>
          <w:lang w:val="fr-CA" w:eastAsia="en-CA"/>
        </w:rPr>
        <w:t>D</w:t>
      </w:r>
      <w:r w:rsidR="004A3E7E" w:rsidRPr="004F239A">
        <w:rPr>
          <w:b/>
          <w:snapToGrid w:val="0"/>
          <w:kern w:val="22"/>
          <w:szCs w:val="22"/>
          <w:lang w:val="fr-CA" w:eastAsia="en-CA"/>
        </w:rPr>
        <w:t>.</w:t>
      </w:r>
      <w:r w:rsidR="004A3E7E" w:rsidRPr="004F239A">
        <w:rPr>
          <w:b/>
          <w:snapToGrid w:val="0"/>
          <w:kern w:val="22"/>
          <w:szCs w:val="22"/>
          <w:lang w:val="fr-CA" w:eastAsia="en-CA"/>
        </w:rPr>
        <w:tab/>
      </w:r>
      <w:bookmarkEnd w:id="38"/>
      <w:r w:rsidR="008B4321" w:rsidRPr="004F239A">
        <w:rPr>
          <w:b/>
          <w:snapToGrid w:val="0"/>
          <w:kern w:val="22"/>
          <w:szCs w:val="22"/>
          <w:lang w:val="fr-CA" w:eastAsia="en-CA"/>
        </w:rPr>
        <w:t>Méthode de travail</w:t>
      </w:r>
    </w:p>
    <w:p w14:paraId="2CC8B855" w14:textId="6EC153D5" w:rsidR="004A3E7E" w:rsidRPr="004F239A" w:rsidRDefault="008B4321"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 Groupe consultatif se réunira en personne au moins une fois l’an si possible, en marge d’autres réunions, selon la disponibilité des ressources</w:t>
      </w:r>
      <w:r w:rsidR="004A3E7E" w:rsidRPr="004F239A">
        <w:rPr>
          <w:snapToGrid w:val="0"/>
          <w:kern w:val="22"/>
          <w:lang w:val="fr-CA" w:eastAsia="en-CA"/>
        </w:rPr>
        <w:t>.</w:t>
      </w:r>
      <w:r w:rsidR="006709D6" w:rsidRPr="004F239A">
        <w:rPr>
          <w:snapToGrid w:val="0"/>
          <w:kern w:val="22"/>
          <w:lang w:val="fr-CA" w:eastAsia="en-CA"/>
        </w:rPr>
        <w:t xml:space="preserve"> La fréquence des réunions </w:t>
      </w:r>
      <w:r w:rsidR="001044DE">
        <w:rPr>
          <w:snapToGrid w:val="0"/>
          <w:kern w:val="22"/>
          <w:lang w:val="fr-CA" w:eastAsia="en-CA"/>
        </w:rPr>
        <w:t>pourra</w:t>
      </w:r>
      <w:r w:rsidR="006709D6" w:rsidRPr="004F239A">
        <w:rPr>
          <w:snapToGrid w:val="0"/>
          <w:kern w:val="22"/>
          <w:lang w:val="fr-CA" w:eastAsia="en-CA"/>
        </w:rPr>
        <w:t xml:space="preserve"> être modifiée </w:t>
      </w:r>
      <w:r w:rsidR="001044DE">
        <w:rPr>
          <w:snapToGrid w:val="0"/>
          <w:kern w:val="22"/>
          <w:lang w:val="fr-CA" w:eastAsia="en-CA"/>
        </w:rPr>
        <w:t>au</w:t>
      </w:r>
      <w:r w:rsidR="006709D6" w:rsidRPr="004F239A">
        <w:rPr>
          <w:snapToGrid w:val="0"/>
          <w:kern w:val="22"/>
          <w:lang w:val="fr-CA" w:eastAsia="en-CA"/>
        </w:rPr>
        <w:t xml:space="preserve"> besoin. Le Groupe consultatif </w:t>
      </w:r>
      <w:r w:rsidR="001044DE">
        <w:rPr>
          <w:snapToGrid w:val="0"/>
          <w:kern w:val="22"/>
          <w:lang w:val="fr-CA" w:eastAsia="en-CA"/>
        </w:rPr>
        <w:t>pourra</w:t>
      </w:r>
      <w:r w:rsidR="006709D6" w:rsidRPr="004F239A">
        <w:rPr>
          <w:snapToGrid w:val="0"/>
          <w:kern w:val="22"/>
          <w:lang w:val="fr-CA" w:eastAsia="en-CA"/>
        </w:rPr>
        <w:t xml:space="preserve"> travailler à distance, par des moyens él</w:t>
      </w:r>
      <w:r w:rsidR="00094BFB" w:rsidRPr="004F239A">
        <w:rPr>
          <w:snapToGrid w:val="0"/>
          <w:kern w:val="22"/>
          <w:lang w:val="fr-CA" w:eastAsia="en-CA"/>
        </w:rPr>
        <w:t>ectro</w:t>
      </w:r>
      <w:r w:rsidR="006709D6" w:rsidRPr="004F239A">
        <w:rPr>
          <w:snapToGrid w:val="0"/>
          <w:kern w:val="22"/>
          <w:lang w:val="fr-CA" w:eastAsia="en-CA"/>
        </w:rPr>
        <w:t>niques, selon qu’il convient, entre les réunions.</w:t>
      </w:r>
    </w:p>
    <w:p w14:paraId="2B5462CE" w14:textId="614F65CA" w:rsidR="004A3E7E" w:rsidRPr="004F239A" w:rsidRDefault="008B4321"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 Groupe consultatif peut, selon qu’</w:t>
      </w:r>
      <w:r w:rsidR="006709D6" w:rsidRPr="004F239A">
        <w:rPr>
          <w:snapToGrid w:val="0"/>
          <w:kern w:val="22"/>
          <w:lang w:val="fr-CA" w:eastAsia="en-CA"/>
        </w:rPr>
        <w:t>il convient, créer des sous-co</w:t>
      </w:r>
      <w:r w:rsidRPr="004F239A">
        <w:rPr>
          <w:snapToGrid w:val="0"/>
          <w:kern w:val="22"/>
          <w:lang w:val="fr-CA" w:eastAsia="en-CA"/>
        </w:rPr>
        <w:t>mités afin de l’appuyer</w:t>
      </w:r>
      <w:r w:rsidR="006709D6" w:rsidRPr="004F239A">
        <w:rPr>
          <w:snapToGrid w:val="0"/>
          <w:kern w:val="22"/>
          <w:lang w:val="fr-CA" w:eastAsia="en-CA"/>
        </w:rPr>
        <w:t xml:space="preserve"> dans ses travaux sur des questions ou des domaines thématiques précis et coopter des experts pertinents pour l’assister</w:t>
      </w:r>
      <w:r w:rsidR="004A3E7E" w:rsidRPr="004F239A">
        <w:rPr>
          <w:snapToGrid w:val="0"/>
          <w:kern w:val="22"/>
          <w:lang w:val="fr-CA" w:eastAsia="en-CA"/>
        </w:rPr>
        <w:t>.</w:t>
      </w:r>
    </w:p>
    <w:p w14:paraId="5F5F4F14" w14:textId="43F6942E" w:rsidR="004A3E7E" w:rsidRPr="004F239A" w:rsidRDefault="006709D6"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eastAsia="en-CA"/>
        </w:rPr>
      </w:pPr>
      <w:r w:rsidRPr="004F239A">
        <w:rPr>
          <w:snapToGrid w:val="0"/>
          <w:kern w:val="22"/>
          <w:lang w:val="fr-CA" w:eastAsia="en-CA"/>
        </w:rPr>
        <w:t>Les membres du Groupe consultatif ne recevront pas d’honoraires, de cachet ni autre forme de rémunération des Nations Unies.</w:t>
      </w:r>
      <w:r w:rsidR="00094BFB" w:rsidRPr="004F239A">
        <w:rPr>
          <w:snapToGrid w:val="0"/>
          <w:kern w:val="22"/>
          <w:lang w:val="fr-CA" w:eastAsia="en-CA"/>
        </w:rPr>
        <w:t xml:space="preserve"> </w:t>
      </w:r>
      <w:proofErr w:type="gramStart"/>
      <w:r w:rsidR="00094BFB" w:rsidRPr="004F239A">
        <w:rPr>
          <w:snapToGrid w:val="0"/>
          <w:kern w:val="22"/>
          <w:lang w:val="fr-CA" w:eastAsia="en-CA"/>
        </w:rPr>
        <w:t>Par contre</w:t>
      </w:r>
      <w:proofErr w:type="gramEnd"/>
      <w:r w:rsidR="00094BFB" w:rsidRPr="004F239A">
        <w:rPr>
          <w:snapToGrid w:val="0"/>
          <w:kern w:val="22"/>
          <w:lang w:val="fr-CA" w:eastAsia="en-CA"/>
        </w:rPr>
        <w:t>, les coûts de participation des membres du Groupe consultatif nommés par des pays en développement Parties et des Parties à économie en transition seront payés, conformément aux règlements des Nations Unies</w:t>
      </w:r>
      <w:r w:rsidR="004A3E7E" w:rsidRPr="004F239A">
        <w:rPr>
          <w:snapToGrid w:val="0"/>
          <w:kern w:val="22"/>
          <w:lang w:val="fr-CA" w:eastAsia="en-CA"/>
        </w:rPr>
        <w:t>.</w:t>
      </w:r>
    </w:p>
    <w:p w14:paraId="5704FA0E" w14:textId="0E0A7F13" w:rsidR="004A3E7E" w:rsidRPr="004F239A" w:rsidRDefault="00094BFB"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spacing w:val="-2"/>
          <w:kern w:val="22"/>
          <w:lang w:val="fr-CA" w:eastAsia="en-CA"/>
        </w:rPr>
      </w:pPr>
      <w:r w:rsidRPr="004F239A">
        <w:rPr>
          <w:snapToGrid w:val="0"/>
          <w:spacing w:val="-2"/>
          <w:kern w:val="22"/>
          <w:lang w:val="fr-CA" w:eastAsia="en-CA"/>
        </w:rPr>
        <w:t>Le Groupe consultatif informel élira deux coprésidents qui seront en fonction pour un mandat de deux ans</w:t>
      </w:r>
      <w:r w:rsidR="004A3E7E" w:rsidRPr="004F239A">
        <w:rPr>
          <w:snapToGrid w:val="0"/>
          <w:spacing w:val="-2"/>
          <w:kern w:val="22"/>
          <w:lang w:val="fr-CA" w:eastAsia="en-CA"/>
        </w:rPr>
        <w:t>.</w:t>
      </w:r>
    </w:p>
    <w:p w14:paraId="5D511F0A" w14:textId="123EC464" w:rsidR="00315555" w:rsidRPr="004F239A" w:rsidRDefault="00094BFB" w:rsidP="00AA5D70">
      <w:pPr>
        <w:pStyle w:val="CBD-Para"/>
        <w:keepLines w:val="0"/>
        <w:numPr>
          <w:ilvl w:val="0"/>
          <w:numId w:val="66"/>
        </w:numPr>
        <w:suppressLineNumbers/>
        <w:tabs>
          <w:tab w:val="clear" w:pos="720"/>
        </w:tabs>
        <w:suppressAutoHyphens/>
        <w:kinsoku w:val="0"/>
        <w:overflowPunct w:val="0"/>
        <w:autoSpaceDE w:val="0"/>
        <w:autoSpaceDN w:val="0"/>
        <w:adjustRightInd w:val="0"/>
        <w:snapToGrid w:val="0"/>
        <w:rPr>
          <w:snapToGrid w:val="0"/>
          <w:kern w:val="22"/>
          <w:lang w:val="fr-CA"/>
        </w:rPr>
      </w:pPr>
      <w:r w:rsidRPr="004F239A">
        <w:rPr>
          <w:snapToGrid w:val="0"/>
          <w:kern w:val="22"/>
          <w:lang w:val="fr-CA" w:eastAsia="en-CA"/>
        </w:rPr>
        <w:t>La langue de travail du Groupe consultatif sera l’anglais</w:t>
      </w:r>
      <w:r w:rsidR="00D47DB7" w:rsidRPr="004F239A">
        <w:rPr>
          <w:snapToGrid w:val="0"/>
          <w:kern w:val="22"/>
          <w:lang w:val="fr-CA" w:eastAsia="en-CA"/>
        </w:rPr>
        <w:t>.</w:t>
      </w:r>
    </w:p>
    <w:p w14:paraId="7C3DC06B" w14:textId="344C72EF" w:rsidR="00B3369F" w:rsidRPr="00AA5D70" w:rsidRDefault="006B112D" w:rsidP="00AA5D70">
      <w:pPr>
        <w:pStyle w:val="CBD-Para"/>
        <w:keepLines w:val="0"/>
        <w:numPr>
          <w:ilvl w:val="0"/>
          <w:numId w:val="0"/>
        </w:numPr>
        <w:suppressLineNumbers/>
        <w:suppressAutoHyphens/>
        <w:kinsoku w:val="0"/>
        <w:overflowPunct w:val="0"/>
        <w:autoSpaceDE w:val="0"/>
        <w:autoSpaceDN w:val="0"/>
        <w:adjustRightInd w:val="0"/>
        <w:snapToGrid w:val="0"/>
        <w:spacing w:before="0" w:after="0"/>
        <w:jc w:val="center"/>
        <w:rPr>
          <w:snapToGrid w:val="0"/>
          <w:kern w:val="22"/>
          <w:lang w:val="en-GB"/>
        </w:rPr>
      </w:pPr>
      <w:r w:rsidRPr="00AA5D70">
        <w:rPr>
          <w:snapToGrid w:val="0"/>
          <w:kern w:val="22"/>
          <w:lang w:val="en-GB"/>
        </w:rPr>
        <w:lastRenderedPageBreak/>
        <w:t>______</w:t>
      </w:r>
      <w:r w:rsidR="00E41066" w:rsidRPr="00AA5D70">
        <w:rPr>
          <w:snapToGrid w:val="0"/>
          <w:kern w:val="22"/>
          <w:lang w:val="en-GB"/>
        </w:rPr>
        <w:t>____</w:t>
      </w:r>
    </w:p>
    <w:sectPr w:rsidR="00B3369F" w:rsidRPr="00AA5D70" w:rsidSect="00D704C9">
      <w:headerReference w:type="even" r:id="rId26"/>
      <w:headerReference w:type="default" r:id="rId27"/>
      <w:pgSz w:w="12240" w:h="15840"/>
      <w:pgMar w:top="567" w:right="1389" w:bottom="1134" w:left="1389" w:header="56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A500" w14:textId="77777777" w:rsidR="00433514" w:rsidRDefault="00433514" w:rsidP="00CF1848">
      <w:r>
        <w:separator/>
      </w:r>
    </w:p>
  </w:endnote>
  <w:endnote w:type="continuationSeparator" w:id="0">
    <w:p w14:paraId="217D445A" w14:textId="77777777" w:rsidR="00433514" w:rsidRDefault="00433514" w:rsidP="00CF1848">
      <w:r>
        <w:continuationSeparator/>
      </w:r>
    </w:p>
  </w:endnote>
  <w:endnote w:type="continuationNotice" w:id="1">
    <w:p w14:paraId="5B8FA346" w14:textId="77777777" w:rsidR="00433514" w:rsidRDefault="00433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AA19" w14:textId="77777777" w:rsidR="00433514" w:rsidRDefault="00433514" w:rsidP="00CF1848">
      <w:r>
        <w:separator/>
      </w:r>
    </w:p>
  </w:footnote>
  <w:footnote w:type="continuationSeparator" w:id="0">
    <w:p w14:paraId="24FF3E86" w14:textId="77777777" w:rsidR="00433514" w:rsidRDefault="00433514" w:rsidP="00CF1848">
      <w:r>
        <w:continuationSeparator/>
      </w:r>
    </w:p>
  </w:footnote>
  <w:footnote w:type="continuationNotice" w:id="1">
    <w:p w14:paraId="14C78FF6" w14:textId="77777777" w:rsidR="00433514" w:rsidRDefault="00433514"/>
  </w:footnote>
  <w:footnote w:id="2">
    <w:p w14:paraId="3BC4B8E5" w14:textId="77777777" w:rsidR="002E39A4" w:rsidRPr="00EC667F"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EC667F">
        <w:rPr>
          <w:rStyle w:val="FootnoteReference"/>
          <w:snapToGrid w:val="0"/>
          <w:kern w:val="18"/>
          <w:sz w:val="18"/>
          <w:szCs w:val="18"/>
          <w:vertAlign w:val="baseline"/>
          <w:lang w:val="fr-CA"/>
        </w:rPr>
        <w:t>*</w:t>
      </w:r>
      <w:r w:rsidRPr="00EC667F">
        <w:rPr>
          <w:snapToGrid w:val="0"/>
          <w:kern w:val="18"/>
          <w:szCs w:val="18"/>
          <w:lang w:val="fr-CA"/>
        </w:rPr>
        <w:t xml:space="preserve"> CBD/SBI/3/1.</w:t>
      </w:r>
    </w:p>
  </w:footnote>
  <w:footnote w:id="3">
    <w:p w14:paraId="199068AA" w14:textId="156607D2" w:rsidR="002E39A4" w:rsidRPr="00F96191" w:rsidRDefault="002E39A4" w:rsidP="00AA5D70">
      <w:pPr>
        <w:pStyle w:val="FootnoteText"/>
        <w:suppressLineNumbers/>
        <w:suppressAutoHyphens/>
        <w:kinsoku w:val="0"/>
        <w:overflowPunct w:val="0"/>
        <w:autoSpaceDE w:val="0"/>
        <w:autoSpaceDN w:val="0"/>
        <w:adjustRightInd w:val="0"/>
        <w:snapToGrid w:val="0"/>
        <w:ind w:firstLine="0"/>
        <w:jc w:val="left"/>
        <w:rPr>
          <w:snapToGrid w:val="0"/>
          <w:spacing w:val="-8"/>
          <w:kern w:val="18"/>
          <w:szCs w:val="18"/>
          <w:lang w:val="fr-CA"/>
        </w:rPr>
      </w:pPr>
      <w:r w:rsidRPr="00AA5D70">
        <w:rPr>
          <w:rStyle w:val="FootnoteReference"/>
          <w:rFonts w:eastAsiaTheme="majorEastAsia"/>
          <w:snapToGrid w:val="0"/>
          <w:spacing w:val="-8"/>
          <w:kern w:val="18"/>
          <w:sz w:val="18"/>
          <w:szCs w:val="18"/>
        </w:rPr>
        <w:footnoteRef/>
      </w:r>
      <w:r w:rsidRPr="00F96191">
        <w:rPr>
          <w:snapToGrid w:val="0"/>
          <w:spacing w:val="-8"/>
          <w:kern w:val="18"/>
          <w:szCs w:val="18"/>
          <w:lang w:val="fr-CA"/>
        </w:rPr>
        <w:t xml:space="preserve"> Voir la </w:t>
      </w:r>
      <w:r>
        <w:rPr>
          <w:snapToGrid w:val="0"/>
          <w:spacing w:val="-8"/>
          <w:kern w:val="18"/>
          <w:szCs w:val="18"/>
          <w:lang w:val="fr-CA"/>
        </w:rPr>
        <w:t>ré</w:t>
      </w:r>
      <w:r w:rsidRPr="00F96191">
        <w:rPr>
          <w:snapToGrid w:val="0"/>
          <w:spacing w:val="-8"/>
          <w:kern w:val="18"/>
          <w:szCs w:val="18"/>
          <w:lang w:val="fr-CA"/>
        </w:rPr>
        <w:t>solution 70/1 de l’Assemblée générale datée du 25 septembre 2015, intitulée « Transformer notre monde : le Prog</w:t>
      </w:r>
      <w:r>
        <w:rPr>
          <w:snapToGrid w:val="0"/>
          <w:spacing w:val="-8"/>
          <w:kern w:val="18"/>
          <w:szCs w:val="18"/>
          <w:lang w:val="fr-CA"/>
        </w:rPr>
        <w:t>ramme de développement durable à l’horizon 2030 ».</w:t>
      </w:r>
    </w:p>
  </w:footnote>
  <w:footnote w:id="4">
    <w:p w14:paraId="5B330479" w14:textId="08E52DB6" w:rsidR="002E39A4" w:rsidRPr="00F96191"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F96191">
        <w:rPr>
          <w:snapToGrid w:val="0"/>
          <w:kern w:val="18"/>
          <w:szCs w:val="18"/>
          <w:lang w:val="fr-CA"/>
        </w:rPr>
        <w:t xml:space="preserve"> La version </w:t>
      </w:r>
      <w:r>
        <w:rPr>
          <w:snapToGrid w:val="0"/>
          <w:kern w:val="18"/>
          <w:szCs w:val="18"/>
          <w:lang w:val="fr-CA"/>
        </w:rPr>
        <w:t>complè</w:t>
      </w:r>
      <w:r w:rsidRPr="00F96191">
        <w:rPr>
          <w:snapToGrid w:val="0"/>
          <w:kern w:val="18"/>
          <w:szCs w:val="18"/>
          <w:lang w:val="fr-CA"/>
        </w:rPr>
        <w:t>te du rapport est pu</w:t>
      </w:r>
      <w:r>
        <w:rPr>
          <w:snapToGrid w:val="0"/>
          <w:kern w:val="18"/>
          <w:szCs w:val="18"/>
          <w:lang w:val="fr-CA"/>
        </w:rPr>
        <w:t>b</w:t>
      </w:r>
      <w:r w:rsidRPr="00F96191">
        <w:rPr>
          <w:snapToGrid w:val="0"/>
          <w:kern w:val="18"/>
          <w:szCs w:val="18"/>
          <w:lang w:val="fr-CA"/>
        </w:rPr>
        <w:t>liée dans le document CBD/SBI/3/INF/14.</w:t>
      </w:r>
    </w:p>
  </w:footnote>
  <w:footnote w:id="5">
    <w:p w14:paraId="2DC9C682" w14:textId="1D61AD65" w:rsidR="002E39A4" w:rsidRPr="00F96191"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F96191">
        <w:rPr>
          <w:snapToGrid w:val="0"/>
          <w:kern w:val="18"/>
          <w:szCs w:val="18"/>
          <w:lang w:val="fr-CA"/>
        </w:rPr>
        <w:t xml:space="preserve"> Le rapport complet sur l’état d’avancement est publié dans le document CBD/SBI/3/INF/18.</w:t>
      </w:r>
    </w:p>
  </w:footnote>
  <w:footnote w:id="6">
    <w:p w14:paraId="7D620739" w14:textId="77D30EA4" w:rsidR="002E39A4" w:rsidRPr="0091007A"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4F4953">
        <w:rPr>
          <w:rStyle w:val="FootnoteReference"/>
          <w:snapToGrid w:val="0"/>
          <w:kern w:val="18"/>
          <w:sz w:val="18"/>
          <w:szCs w:val="18"/>
        </w:rPr>
        <w:footnoteRef/>
      </w:r>
      <w:r w:rsidRPr="00D91435">
        <w:rPr>
          <w:snapToGrid w:val="0"/>
          <w:kern w:val="18"/>
          <w:szCs w:val="18"/>
          <w:lang w:val="fr-CA"/>
        </w:rPr>
        <w:t xml:space="preserve"> </w:t>
      </w:r>
      <w:r w:rsidRPr="0091007A">
        <w:rPr>
          <w:snapToGrid w:val="0"/>
          <w:kern w:val="18"/>
          <w:szCs w:val="18"/>
          <w:lang w:val="fr-CA"/>
        </w:rPr>
        <w:t xml:space="preserve">Les numéros de </w:t>
      </w:r>
      <w:proofErr w:type="spellStart"/>
      <w:r w:rsidRPr="0091007A">
        <w:rPr>
          <w:snapToGrid w:val="0"/>
          <w:kern w:val="18"/>
          <w:szCs w:val="18"/>
          <w:lang w:val="fr-CA"/>
        </w:rPr>
        <w:t>BioCAP</w:t>
      </w:r>
      <w:proofErr w:type="spellEnd"/>
      <w:r w:rsidRPr="0091007A">
        <w:rPr>
          <w:snapToGrid w:val="0"/>
          <w:kern w:val="18"/>
          <w:szCs w:val="18"/>
          <w:lang w:val="fr-CA"/>
        </w:rPr>
        <w:t xml:space="preserve"> sont publiés sur le site Web de la Convention, au https://www.cbd.int/cb/BioCAP/.</w:t>
      </w:r>
    </w:p>
  </w:footnote>
  <w:footnote w:id="7">
    <w:p w14:paraId="34BBFFA8" w14:textId="1EE52A43" w:rsidR="002E39A4" w:rsidRPr="0091007A"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91007A">
        <w:rPr>
          <w:rStyle w:val="FootnoteReference"/>
          <w:snapToGrid w:val="0"/>
          <w:kern w:val="18"/>
          <w:sz w:val="18"/>
          <w:szCs w:val="18"/>
          <w:lang w:val="fr-CA"/>
        </w:rPr>
        <w:footnoteRef/>
      </w:r>
      <w:r w:rsidRPr="0091007A">
        <w:rPr>
          <w:snapToGrid w:val="0"/>
          <w:kern w:val="18"/>
          <w:szCs w:val="18"/>
          <w:lang w:val="fr-CA"/>
        </w:rPr>
        <w:t xml:space="preserve"> </w:t>
      </w:r>
      <w:r>
        <w:rPr>
          <w:snapToGrid w:val="0"/>
          <w:kern w:val="18"/>
          <w:szCs w:val="18"/>
          <w:lang w:val="fr-CA"/>
        </w:rPr>
        <w:t>Vous trouverez plus de renseignements sur</w:t>
      </w:r>
      <w:r w:rsidRPr="0091007A">
        <w:rPr>
          <w:snapToGrid w:val="0"/>
          <w:kern w:val="18"/>
          <w:szCs w:val="18"/>
          <w:lang w:val="fr-CA"/>
        </w:rPr>
        <w:t xml:space="preserve"> </w:t>
      </w:r>
      <w:proofErr w:type="spellStart"/>
      <w:r w:rsidRPr="0091007A">
        <w:rPr>
          <w:snapToGrid w:val="0"/>
          <w:kern w:val="18"/>
          <w:szCs w:val="18"/>
          <w:lang w:val="fr-CA"/>
        </w:rPr>
        <w:t>Bioland</w:t>
      </w:r>
      <w:proofErr w:type="spellEnd"/>
      <w:r w:rsidRPr="0091007A">
        <w:rPr>
          <w:snapToGrid w:val="0"/>
          <w:kern w:val="18"/>
          <w:szCs w:val="18"/>
          <w:lang w:val="fr-CA"/>
        </w:rPr>
        <w:t xml:space="preserve"> </w:t>
      </w:r>
      <w:r>
        <w:rPr>
          <w:snapToGrid w:val="0"/>
          <w:kern w:val="18"/>
          <w:szCs w:val="18"/>
          <w:lang w:val="fr-CA"/>
        </w:rPr>
        <w:t xml:space="preserve">sur le site https://demo.chm-cbd.net/.  </w:t>
      </w:r>
    </w:p>
  </w:footnote>
  <w:footnote w:id="8">
    <w:p w14:paraId="776474A9" w14:textId="029C764C" w:rsidR="002E39A4" w:rsidRPr="00E11183" w:rsidRDefault="002E39A4" w:rsidP="00AA5D70">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lang w:val="fr-CA"/>
        </w:rPr>
      </w:pPr>
      <w:r w:rsidRPr="0091007A">
        <w:rPr>
          <w:rStyle w:val="FootnoteReference"/>
          <w:snapToGrid w:val="0"/>
          <w:spacing w:val="-2"/>
          <w:kern w:val="18"/>
          <w:sz w:val="18"/>
          <w:szCs w:val="18"/>
          <w:lang w:val="fr-CA"/>
        </w:rPr>
        <w:footnoteRef/>
      </w:r>
      <w:r w:rsidRPr="00E11183">
        <w:rPr>
          <w:rStyle w:val="FootnoteReference"/>
          <w:snapToGrid w:val="0"/>
          <w:spacing w:val="-2"/>
          <w:kern w:val="18"/>
          <w:sz w:val="18"/>
          <w:szCs w:val="18"/>
          <w:vertAlign w:val="baseline"/>
          <w:lang w:val="fr-CA"/>
        </w:rPr>
        <w:t xml:space="preserve"> P</w:t>
      </w:r>
      <w:proofErr w:type="gramStart"/>
      <w:r w:rsidRPr="00E11183">
        <w:rPr>
          <w:snapToGrid w:val="0"/>
          <w:spacing w:val="-2"/>
          <w:kern w:val="18"/>
          <w:szCs w:val="18"/>
          <w:lang w:val="fr-CA"/>
        </w:rPr>
        <w:t>ar</w:t>
      </w:r>
      <w:proofErr w:type="gramEnd"/>
      <w:r w:rsidRPr="00E11183">
        <w:rPr>
          <w:snapToGrid w:val="0"/>
          <w:spacing w:val="-2"/>
          <w:kern w:val="18"/>
          <w:szCs w:val="18"/>
          <w:lang w:val="fr-CA"/>
        </w:rPr>
        <w:t xml:space="preserve"> exemple, depuis 2015, l’</w:t>
      </w:r>
      <w:r>
        <w:rPr>
          <w:snapToGrid w:val="0"/>
          <w:spacing w:val="-2"/>
          <w:kern w:val="18"/>
          <w:szCs w:val="18"/>
          <w:lang w:val="fr-CA"/>
        </w:rPr>
        <w:t>Initia</w:t>
      </w:r>
      <w:r w:rsidRPr="00E11183">
        <w:rPr>
          <w:snapToGrid w:val="0"/>
          <w:spacing w:val="-2"/>
          <w:kern w:val="18"/>
          <w:szCs w:val="18"/>
          <w:lang w:val="fr-CA"/>
        </w:rPr>
        <w:t xml:space="preserve">tive taxonomique mondiale </w:t>
      </w:r>
      <w:r>
        <w:rPr>
          <w:snapToGrid w:val="0"/>
          <w:spacing w:val="-2"/>
          <w:kern w:val="18"/>
          <w:szCs w:val="18"/>
          <w:lang w:val="fr-CA"/>
        </w:rPr>
        <w:t>offre</w:t>
      </w:r>
      <w:r w:rsidRPr="00E11183">
        <w:rPr>
          <w:snapToGrid w:val="0"/>
          <w:spacing w:val="-2"/>
          <w:kern w:val="18"/>
          <w:szCs w:val="18"/>
          <w:lang w:val="fr-CA"/>
        </w:rPr>
        <w:t xml:space="preserve"> </w:t>
      </w:r>
      <w:r>
        <w:rPr>
          <w:snapToGrid w:val="0"/>
          <w:spacing w:val="-2"/>
          <w:kern w:val="18"/>
          <w:szCs w:val="18"/>
          <w:lang w:val="fr-CA"/>
        </w:rPr>
        <w:t>des formations s</w:t>
      </w:r>
      <w:r w:rsidRPr="00E11183">
        <w:rPr>
          <w:snapToGrid w:val="0"/>
          <w:spacing w:val="-2"/>
          <w:kern w:val="18"/>
          <w:szCs w:val="18"/>
          <w:lang w:val="fr-CA"/>
        </w:rPr>
        <w:t>ur les technologies de l’</w:t>
      </w:r>
      <w:r>
        <w:rPr>
          <w:snapToGrid w:val="0"/>
          <w:spacing w:val="-2"/>
          <w:kern w:val="18"/>
          <w:szCs w:val="18"/>
          <w:lang w:val="fr-CA"/>
        </w:rPr>
        <w:t>ADN</w:t>
      </w:r>
      <w:r w:rsidRPr="00E11183">
        <w:rPr>
          <w:snapToGrid w:val="0"/>
          <w:spacing w:val="-2"/>
          <w:kern w:val="18"/>
          <w:szCs w:val="18"/>
          <w:lang w:val="fr-CA"/>
        </w:rPr>
        <w:t xml:space="preserve"> </w:t>
      </w:r>
      <w:r>
        <w:rPr>
          <w:snapToGrid w:val="0"/>
          <w:spacing w:val="-2"/>
          <w:kern w:val="18"/>
          <w:szCs w:val="18"/>
          <w:lang w:val="fr-CA"/>
        </w:rPr>
        <w:t>d’intérêt</w:t>
      </w:r>
      <w:r w:rsidRPr="00E11183">
        <w:rPr>
          <w:snapToGrid w:val="0"/>
          <w:spacing w:val="-2"/>
          <w:kern w:val="18"/>
          <w:szCs w:val="18"/>
          <w:lang w:val="fr-CA"/>
        </w:rPr>
        <w:t xml:space="preserve"> </w:t>
      </w:r>
      <w:r>
        <w:rPr>
          <w:snapToGrid w:val="0"/>
          <w:spacing w:val="-2"/>
          <w:kern w:val="18"/>
          <w:szCs w:val="18"/>
          <w:lang w:val="fr-CA"/>
        </w:rPr>
        <w:t>pour la gestion de la biodiversité, qui exigent l’identification rapide des espèces. Les formateurs formés à la première étape de la formation de l’Initiative taxonomique mondiale (2015-2017) ont contribué à des formations supplémentaires depuis leur propre formation, et ainsi diffusé les compétences qu’ils ont acquises</w:t>
      </w:r>
      <w:r w:rsidRPr="00E11183">
        <w:rPr>
          <w:rStyle w:val="FootnoteReference"/>
          <w:snapToGrid w:val="0"/>
          <w:spacing w:val="-2"/>
          <w:kern w:val="18"/>
          <w:sz w:val="18"/>
          <w:szCs w:val="18"/>
          <w:vertAlign w:val="baseline"/>
          <w:lang w:val="fr-CA"/>
        </w:rPr>
        <w:t xml:space="preserve"> (</w:t>
      </w:r>
      <w:r>
        <w:rPr>
          <w:snapToGrid w:val="0"/>
          <w:spacing w:val="-2"/>
          <w:kern w:val="18"/>
          <w:szCs w:val="18"/>
          <w:lang w:val="fr-CA"/>
        </w:rPr>
        <w:t>voir</w:t>
      </w:r>
      <w:r w:rsidRPr="00E11183">
        <w:rPr>
          <w:rStyle w:val="FootnoteReference"/>
          <w:snapToGrid w:val="0"/>
          <w:spacing w:val="-2"/>
          <w:kern w:val="18"/>
          <w:sz w:val="18"/>
          <w:szCs w:val="18"/>
          <w:vertAlign w:val="baseline"/>
          <w:lang w:val="fr-CA"/>
        </w:rPr>
        <w:t xml:space="preserve"> </w:t>
      </w:r>
      <w:r w:rsidR="009669E1">
        <w:fldChar w:fldCharType="begin"/>
      </w:r>
      <w:r w:rsidR="009669E1" w:rsidRPr="009669E1">
        <w:rPr>
          <w:lang w:val="fr-CA"/>
        </w:rPr>
        <w:instrText xml:space="preserve"> HYPERLINK "https://www.cbd.int/doc/c/6ad1/da5a/ddb684c5c9b0491c89d35872/sbstta-23-inf-18-en.pdf" </w:instrText>
      </w:r>
      <w:r w:rsidR="009669E1">
        <w:fldChar w:fldCharType="separate"/>
      </w:r>
      <w:r w:rsidRPr="00E11183">
        <w:rPr>
          <w:rStyle w:val="FootnoteReference"/>
          <w:snapToGrid w:val="0"/>
          <w:spacing w:val="-2"/>
          <w:kern w:val="18"/>
          <w:sz w:val="18"/>
          <w:szCs w:val="18"/>
          <w:vertAlign w:val="baseline"/>
          <w:lang w:val="fr-CA"/>
        </w:rPr>
        <w:t>CBD/SBSTTA/23/INF/18</w:t>
      </w:r>
      <w:r w:rsidR="009669E1">
        <w:rPr>
          <w:rStyle w:val="FootnoteReference"/>
          <w:snapToGrid w:val="0"/>
          <w:spacing w:val="-2"/>
          <w:kern w:val="18"/>
          <w:sz w:val="18"/>
          <w:szCs w:val="18"/>
          <w:vertAlign w:val="baseline"/>
          <w:lang w:val="fr-CA"/>
        </w:rPr>
        <w:fldChar w:fldCharType="end"/>
      </w:r>
      <w:r w:rsidRPr="00E11183">
        <w:rPr>
          <w:rStyle w:val="FootnoteReference"/>
          <w:snapToGrid w:val="0"/>
          <w:spacing w:val="-2"/>
          <w:kern w:val="18"/>
          <w:sz w:val="18"/>
          <w:szCs w:val="18"/>
          <w:vertAlign w:val="baseline"/>
          <w:lang w:val="fr-CA"/>
        </w:rPr>
        <w:t>).</w:t>
      </w:r>
    </w:p>
  </w:footnote>
  <w:footnote w:id="9">
    <w:p w14:paraId="2B4BA3E1" w14:textId="672838FD" w:rsidR="002E39A4" w:rsidRPr="0091007A"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91007A">
        <w:rPr>
          <w:rStyle w:val="FootnoteReference"/>
          <w:snapToGrid w:val="0"/>
          <w:kern w:val="18"/>
          <w:sz w:val="18"/>
          <w:szCs w:val="18"/>
          <w:lang w:val="fr-CA"/>
        </w:rPr>
        <w:footnoteRef/>
      </w:r>
      <w:r w:rsidRPr="0091007A">
        <w:rPr>
          <w:snapToGrid w:val="0"/>
          <w:kern w:val="18"/>
          <w:szCs w:val="18"/>
          <w:lang w:val="fr-CA"/>
        </w:rPr>
        <w:t xml:space="preserve"> </w:t>
      </w:r>
      <w:r>
        <w:rPr>
          <w:snapToGrid w:val="0"/>
          <w:kern w:val="18"/>
          <w:szCs w:val="18"/>
          <w:lang w:val="fr-CA"/>
        </w:rPr>
        <w:t>Les pays suivants, entre autres, ont profité directement des projets de petite envergure : Afrique du Sud, Antigua-et-Barbuda, Belarus, Bénin, Bhoutan, Botswana, Brésil, Burundi, Cambodge, Cameroun, Chine, Colombie, Costa Rica, Cuba, Équateur, Éthiopie, Ghana, Inde, Kenya, Liberia, Madagascar, Malawi, Maroc, Mexique, Mongolie, Namibie, Nigeria, Pérou, Philippines, République de Moldavie, Sénégal, Singapour, Sri Lanka, Suriname, Thaïlande, Togo, Tunisie, Turquie, Uruguay, Venezuela (République bolivarienne du), Viet Nam et Zimbabwe</w:t>
      </w:r>
      <w:r w:rsidRPr="0091007A">
        <w:rPr>
          <w:snapToGrid w:val="0"/>
          <w:kern w:val="18"/>
          <w:szCs w:val="18"/>
          <w:lang w:val="fr-CA"/>
        </w:rPr>
        <w:t>.</w:t>
      </w:r>
    </w:p>
  </w:footnote>
  <w:footnote w:id="10">
    <w:p w14:paraId="0FDAAC08" w14:textId="267FC019" w:rsidR="002E39A4" w:rsidRPr="00D778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4F4953">
        <w:rPr>
          <w:rStyle w:val="FootnoteReference"/>
          <w:snapToGrid w:val="0"/>
          <w:kern w:val="18"/>
          <w:sz w:val="18"/>
          <w:szCs w:val="18"/>
        </w:rPr>
        <w:footnoteRef/>
      </w:r>
      <w:r w:rsidRPr="00D77837">
        <w:rPr>
          <w:snapToGrid w:val="0"/>
          <w:kern w:val="18"/>
          <w:szCs w:val="18"/>
          <w:lang w:val="fr-CA"/>
        </w:rPr>
        <w:t xml:space="preserve"> </w:t>
      </w:r>
      <w:r>
        <w:rPr>
          <w:snapToGrid w:val="0"/>
          <w:kern w:val="18"/>
          <w:szCs w:val="18"/>
          <w:lang w:val="fr-CA"/>
        </w:rPr>
        <w:t>Le Secrétariat a facilité la mise sur pied et l’opérationnalisation de réseaux de soutien à la mise en œuvre dans 10 sous-régions afin de faciliter la mise en œuvre décentralisée des cartes de route de l’Objectif 11 d’Aichi pour la biodiversité</w:t>
      </w:r>
      <w:r w:rsidRPr="00D77837">
        <w:rPr>
          <w:snapToGrid w:val="0"/>
          <w:kern w:val="18"/>
          <w:szCs w:val="18"/>
          <w:lang w:val="fr-CA"/>
        </w:rPr>
        <w:t>.</w:t>
      </w:r>
    </w:p>
  </w:footnote>
  <w:footnote w:id="11">
    <w:p w14:paraId="530678B6" w14:textId="349F2874" w:rsidR="002E39A4" w:rsidRPr="00D778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77837">
        <w:rPr>
          <w:rStyle w:val="FootnoteReference"/>
          <w:snapToGrid w:val="0"/>
          <w:kern w:val="18"/>
          <w:sz w:val="18"/>
          <w:szCs w:val="18"/>
          <w:lang w:val="fr-CA"/>
        </w:rPr>
        <w:footnoteRef/>
      </w:r>
      <w:r w:rsidRPr="00D77837">
        <w:rPr>
          <w:snapToGrid w:val="0"/>
          <w:kern w:val="18"/>
          <w:szCs w:val="18"/>
          <w:lang w:val="fr-CA"/>
        </w:rPr>
        <w:t xml:space="preserve"> </w:t>
      </w:r>
      <w:r>
        <w:rPr>
          <w:snapToGrid w:val="0"/>
          <w:kern w:val="18"/>
          <w:szCs w:val="18"/>
          <w:lang w:val="fr-CA"/>
        </w:rPr>
        <w:t>Voir les détails sur le site http://www.biodiversityfinance.net/regional-nodes</w:t>
      </w:r>
      <w:r w:rsidR="009669E1">
        <w:fldChar w:fldCharType="begin"/>
      </w:r>
      <w:r w:rsidR="009669E1" w:rsidRPr="009669E1">
        <w:rPr>
          <w:lang w:val="fr-CA"/>
        </w:rPr>
        <w:instrText xml:space="preserve"> HYPERLINK "http://www.biodiversityfinance.net/regional-nodes" </w:instrText>
      </w:r>
      <w:r w:rsidR="009669E1">
        <w:fldChar w:fldCharType="separate"/>
      </w:r>
      <w:r w:rsidR="009669E1">
        <w:fldChar w:fldCharType="end"/>
      </w:r>
      <w:r w:rsidRPr="00D77837">
        <w:rPr>
          <w:snapToGrid w:val="0"/>
          <w:kern w:val="18"/>
          <w:szCs w:val="18"/>
          <w:lang w:val="fr-CA"/>
        </w:rPr>
        <w:t>.</w:t>
      </w:r>
    </w:p>
  </w:footnote>
  <w:footnote w:id="12">
    <w:p w14:paraId="3A51B4BC" w14:textId="7DFD3FD7" w:rsidR="002E39A4" w:rsidRPr="00D778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77837">
        <w:rPr>
          <w:rStyle w:val="FootnoteReference"/>
          <w:snapToGrid w:val="0"/>
          <w:kern w:val="18"/>
          <w:sz w:val="18"/>
          <w:szCs w:val="18"/>
          <w:lang w:val="fr-CA"/>
        </w:rPr>
        <w:footnoteRef/>
      </w:r>
      <w:r w:rsidRPr="00D77837">
        <w:rPr>
          <w:snapToGrid w:val="0"/>
          <w:kern w:val="18"/>
          <w:szCs w:val="18"/>
          <w:lang w:val="fr-CA"/>
        </w:rPr>
        <w:t xml:space="preserve"> </w:t>
      </w:r>
      <w:r>
        <w:rPr>
          <w:snapToGrid w:val="0"/>
          <w:kern w:val="18"/>
          <w:szCs w:val="18"/>
          <w:lang w:val="fr-CA"/>
        </w:rPr>
        <w:t xml:space="preserve">Voir les détails sur le site </w:t>
      </w:r>
      <w:proofErr w:type="gramStart"/>
      <w:r>
        <w:rPr>
          <w:snapToGrid w:val="0"/>
          <w:kern w:val="18"/>
          <w:szCs w:val="18"/>
          <w:lang w:val="fr-CA"/>
        </w:rPr>
        <w:t>http://www.bch.cbd.int/onlineconferences/portal_detection/lab_network.shtml</w:t>
      </w:r>
      <w:r w:rsidRPr="00D77837">
        <w:rPr>
          <w:snapToGrid w:val="0"/>
          <w:kern w:val="18"/>
          <w:szCs w:val="18"/>
          <w:lang w:val="fr-CA"/>
        </w:rPr>
        <w:t xml:space="preserve"> .</w:t>
      </w:r>
      <w:proofErr w:type="gramEnd"/>
    </w:p>
  </w:footnote>
  <w:footnote w:id="13">
    <w:p w14:paraId="6B8F693C" w14:textId="776EB8FA" w:rsidR="002E39A4" w:rsidRPr="00A5428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77837">
        <w:rPr>
          <w:rStyle w:val="FootnoteReference"/>
          <w:snapToGrid w:val="0"/>
          <w:kern w:val="18"/>
          <w:sz w:val="18"/>
          <w:szCs w:val="18"/>
          <w:lang w:val="fr-CA"/>
        </w:rPr>
        <w:footnoteRef/>
      </w:r>
      <w:r w:rsidRPr="00A54287">
        <w:rPr>
          <w:snapToGrid w:val="0"/>
          <w:kern w:val="18"/>
          <w:szCs w:val="18"/>
          <w:lang w:val="fr-CA"/>
        </w:rPr>
        <w:t xml:space="preserve"> Voir le site </w:t>
      </w:r>
      <w:proofErr w:type="gramStart"/>
      <w:r w:rsidRPr="00A54287">
        <w:rPr>
          <w:snapToGrid w:val="0"/>
          <w:kern w:val="18"/>
          <w:szCs w:val="18"/>
          <w:lang w:val="fr-CA"/>
        </w:rPr>
        <w:t>http://www.</w:t>
      </w:r>
      <w:r>
        <w:rPr>
          <w:snapToGrid w:val="0"/>
          <w:kern w:val="18"/>
          <w:szCs w:val="18"/>
          <w:lang w:val="fr-CA"/>
        </w:rPr>
        <w:t xml:space="preserve">idlo.int/fr/what-we-do/initiatives/capacity-building-programme-support-implementation-nagoya-protocol </w:t>
      </w:r>
      <w:r w:rsidRPr="00A54287">
        <w:rPr>
          <w:snapToGrid w:val="0"/>
          <w:kern w:val="18"/>
          <w:szCs w:val="18"/>
          <w:lang w:val="fr-CA"/>
        </w:rPr>
        <w:t xml:space="preserve"> .</w:t>
      </w:r>
      <w:proofErr w:type="gramEnd"/>
    </w:p>
  </w:footnote>
  <w:footnote w:id="14">
    <w:p w14:paraId="77C513EF" w14:textId="3990EE2B"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360037">
        <w:rPr>
          <w:snapToGrid w:val="0"/>
          <w:kern w:val="18"/>
          <w:szCs w:val="18"/>
          <w:lang w:val="fr-CA"/>
        </w:rPr>
        <w:t xml:space="preserve"> </w:t>
      </w:r>
      <w:r>
        <w:rPr>
          <w:snapToGrid w:val="0"/>
          <w:kern w:val="18"/>
          <w:szCs w:val="18"/>
          <w:lang w:val="fr-CA"/>
        </w:rPr>
        <w:t>L’étude, réalisée par le WCMC-PNUE de mai à décembre 2019 grâce au soutien financier de l’Union européenne, est publiée dans le document CBD/SBI/3/INF/9</w:t>
      </w:r>
      <w:r w:rsidRPr="00360037">
        <w:rPr>
          <w:snapToGrid w:val="0"/>
          <w:kern w:val="18"/>
          <w:szCs w:val="18"/>
          <w:lang w:val="fr-CA"/>
        </w:rPr>
        <w:t xml:space="preserve">. </w:t>
      </w:r>
    </w:p>
  </w:footnote>
  <w:footnote w:id="15">
    <w:p w14:paraId="5E9AC2D1" w14:textId="09C3A1D8" w:rsidR="002E39A4" w:rsidRPr="00360037" w:rsidRDefault="002E39A4" w:rsidP="00AA5D70">
      <w:pPr>
        <w:pStyle w:val="CommentText"/>
        <w:keepLines/>
        <w:suppressLineNumbers/>
        <w:suppressAutoHyphens/>
        <w:kinsoku w:val="0"/>
        <w:overflowPunct w:val="0"/>
        <w:autoSpaceDE w:val="0"/>
        <w:autoSpaceDN w:val="0"/>
        <w:adjustRightInd w:val="0"/>
        <w:snapToGrid w:val="0"/>
        <w:spacing w:after="60" w:line="240" w:lineRule="auto"/>
        <w:jc w:val="left"/>
        <w:rPr>
          <w:snapToGrid w:val="0"/>
          <w:kern w:val="18"/>
          <w:sz w:val="18"/>
          <w:szCs w:val="18"/>
          <w:lang w:val="fr-CA"/>
        </w:rPr>
      </w:pPr>
      <w:r w:rsidRPr="00360037">
        <w:rPr>
          <w:rStyle w:val="FootnoteReference"/>
          <w:snapToGrid w:val="0"/>
          <w:kern w:val="18"/>
          <w:sz w:val="18"/>
          <w:szCs w:val="18"/>
          <w:lang w:val="fr-CA"/>
        </w:rPr>
        <w:footnoteRef/>
      </w:r>
      <w:r w:rsidRPr="00360037">
        <w:rPr>
          <w:snapToGrid w:val="0"/>
          <w:kern w:val="18"/>
          <w:sz w:val="18"/>
          <w:szCs w:val="18"/>
          <w:lang w:val="fr-CA"/>
        </w:rPr>
        <w:t xml:space="preserve"> </w:t>
      </w:r>
      <w:r>
        <w:rPr>
          <w:snapToGrid w:val="0"/>
          <w:kern w:val="18"/>
          <w:sz w:val="18"/>
          <w:szCs w:val="18"/>
          <w:lang w:val="fr-CA"/>
        </w:rPr>
        <w:t>Le rapport d’étude de l’UICN est publié sur le site https://www.iucn.org/sites/dev/files/capacity_building_and_synergies_-contribution_to_the_long-term_strategic_framework_for_capacity_building.pdf</w:t>
      </w:r>
      <w:r w:rsidRPr="00360037">
        <w:rPr>
          <w:snapToGrid w:val="0"/>
          <w:kern w:val="18"/>
          <w:sz w:val="18"/>
          <w:szCs w:val="18"/>
          <w:lang w:val="fr-CA"/>
        </w:rPr>
        <w:t>.</w:t>
      </w:r>
    </w:p>
  </w:footnote>
  <w:footnote w:id="16">
    <w:p w14:paraId="7230A3AA" w14:textId="5A3FC8F4" w:rsidR="002E39A4" w:rsidRPr="00360037" w:rsidRDefault="002E39A4" w:rsidP="00AA5D70">
      <w:pPr>
        <w:keepLines/>
        <w:suppressLineNumbers/>
        <w:pBdr>
          <w:top w:val="nil"/>
          <w:left w:val="nil"/>
          <w:bottom w:val="nil"/>
          <w:right w:val="nil"/>
          <w:between w:val="nil"/>
        </w:pBdr>
        <w:suppressAutoHyphens/>
        <w:kinsoku w:val="0"/>
        <w:overflowPunct w:val="0"/>
        <w:autoSpaceDE w:val="0"/>
        <w:autoSpaceDN w:val="0"/>
        <w:adjustRightInd w:val="0"/>
        <w:snapToGrid w:val="0"/>
        <w:spacing w:after="60"/>
        <w:jc w:val="left"/>
        <w:rPr>
          <w:snapToGrid w:val="0"/>
          <w:color w:val="000000"/>
          <w:kern w:val="18"/>
          <w:sz w:val="18"/>
          <w:szCs w:val="18"/>
          <w:lang w:val="fr-CA"/>
        </w:rPr>
      </w:pPr>
      <w:r w:rsidRPr="00360037">
        <w:rPr>
          <w:rStyle w:val="FootnoteReference"/>
          <w:snapToGrid w:val="0"/>
          <w:kern w:val="18"/>
          <w:sz w:val="18"/>
          <w:szCs w:val="18"/>
          <w:lang w:val="fr-CA"/>
        </w:rPr>
        <w:footnoteRef/>
      </w:r>
      <w:r w:rsidRPr="00360037">
        <w:rPr>
          <w:snapToGrid w:val="0"/>
          <w:color w:val="000000"/>
          <w:kern w:val="18"/>
          <w:sz w:val="18"/>
          <w:szCs w:val="18"/>
          <w:lang w:val="fr-CA"/>
        </w:rPr>
        <w:t xml:space="preserve"> </w:t>
      </w:r>
      <w:r>
        <w:rPr>
          <w:snapToGrid w:val="0"/>
          <w:color w:val="000000"/>
          <w:kern w:val="18"/>
          <w:sz w:val="18"/>
          <w:szCs w:val="18"/>
          <w:lang w:val="fr-CA"/>
        </w:rPr>
        <w:t>Les conventions liées à la diversité biologique ont élaboré des stratégies ou plans d’action pour le renforcement des capacités ou sont en voie de le faire (voir CDB, CITES, Convention pour la conservation des espèces migratrices appartenant à la faune sauvage, CIPV, Traité international sur les ressources phytogénétiques pour l’alimentation et l’agriculture, Ramsar et Convention sur la protection du patrimoine mondial culturel et naturel), et le plan de renforcement des capacités à horizon mobile de la Plateforme intergouvernementale scientifique et politique sur la biodiversité et les services écosystémiques  (https://ipbes.net/building-capacity)</w:t>
      </w:r>
      <w:r w:rsidRPr="00360037">
        <w:rPr>
          <w:snapToGrid w:val="0"/>
          <w:kern w:val="18"/>
          <w:sz w:val="18"/>
          <w:szCs w:val="18"/>
          <w:lang w:val="fr-CA"/>
        </w:rPr>
        <w:t>.</w:t>
      </w:r>
    </w:p>
  </w:footnote>
  <w:footnote w:id="17">
    <w:p w14:paraId="4F03A57F" w14:textId="67303149"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360037">
        <w:rPr>
          <w:rStyle w:val="FootnoteReference"/>
          <w:snapToGrid w:val="0"/>
          <w:kern w:val="18"/>
          <w:sz w:val="18"/>
          <w:szCs w:val="18"/>
          <w:lang w:val="fr-CA"/>
        </w:rPr>
        <w:footnoteRef/>
      </w:r>
      <w:r w:rsidRPr="00360037">
        <w:rPr>
          <w:snapToGrid w:val="0"/>
          <w:kern w:val="18"/>
          <w:szCs w:val="18"/>
          <w:lang w:val="fr-CA"/>
        </w:rPr>
        <w:t xml:space="preserve"> </w:t>
      </w:r>
      <w:r>
        <w:rPr>
          <w:snapToGrid w:val="0"/>
          <w:kern w:val="18"/>
          <w:szCs w:val="18"/>
          <w:lang w:val="fr-CA"/>
        </w:rPr>
        <w:t>Cinq consultations régionales ont été organisées de janvier à mai 2019 (https://www.cbd.int/conferences/post2020)</w:t>
      </w:r>
    </w:p>
  </w:footnote>
  <w:footnote w:id="18">
    <w:p w14:paraId="59F0D2F9" w14:textId="3BD9EDDB"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360037">
        <w:rPr>
          <w:rStyle w:val="FootnoteReference"/>
          <w:snapToGrid w:val="0"/>
          <w:kern w:val="18"/>
          <w:sz w:val="18"/>
          <w:szCs w:val="18"/>
          <w:lang w:val="fr-CA"/>
        </w:rPr>
        <w:footnoteRef/>
      </w:r>
      <w:r w:rsidRPr="00360037">
        <w:rPr>
          <w:snapToGrid w:val="0"/>
          <w:kern w:val="18"/>
          <w:szCs w:val="18"/>
          <w:lang w:val="fr-CA"/>
        </w:rPr>
        <w:t xml:space="preserve"> </w:t>
      </w:r>
      <w:r>
        <w:rPr>
          <w:snapToGrid w:val="0"/>
          <w:kern w:val="18"/>
          <w:szCs w:val="18"/>
          <w:lang w:val="fr-CA"/>
        </w:rPr>
        <w:t>Le Groupe de liaison a contribué à l’élaboration du projet de cadre stratégique (voir https://bch.cbd.int/protocol/post2020/portal/review.shtml). Il a aussi contribué à l’élaboration d’un projet de plan d’action pour le renforcement des capacités pour le Protocole de Cartagena pour la période 2021-2030 (voir CBD/SBI/3/18), développé en complément au cadre stratégique à long terme</w:t>
      </w:r>
      <w:r w:rsidRPr="00360037">
        <w:rPr>
          <w:snapToGrid w:val="0"/>
          <w:kern w:val="18"/>
          <w:szCs w:val="18"/>
          <w:lang w:val="fr-CA"/>
        </w:rPr>
        <w:t>.</w:t>
      </w:r>
    </w:p>
  </w:footnote>
  <w:footnote w:id="19">
    <w:p w14:paraId="06DA927F" w14:textId="151A1684"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lang w:val="fr-CA"/>
        </w:rPr>
      </w:pPr>
      <w:r w:rsidRPr="00360037">
        <w:rPr>
          <w:rStyle w:val="FootnoteReference"/>
          <w:snapToGrid w:val="0"/>
          <w:spacing w:val="-2"/>
          <w:kern w:val="18"/>
          <w:sz w:val="18"/>
          <w:szCs w:val="18"/>
          <w:lang w:val="fr-CA"/>
        </w:rPr>
        <w:footnoteRef/>
      </w:r>
      <w:r w:rsidRPr="00360037">
        <w:rPr>
          <w:snapToGrid w:val="0"/>
          <w:spacing w:val="-2"/>
          <w:kern w:val="18"/>
          <w:szCs w:val="18"/>
          <w:lang w:val="fr-CA"/>
        </w:rPr>
        <w:t xml:space="preserve"> </w:t>
      </w:r>
      <w:r>
        <w:rPr>
          <w:snapToGrid w:val="0"/>
          <w:spacing w:val="-2"/>
          <w:kern w:val="18"/>
          <w:szCs w:val="18"/>
          <w:lang w:val="fr-CA"/>
        </w:rPr>
        <w:t>Le Comité consultatif informel a examiné une évaluation du cadre stratégique du Protocole de Nagoya pour le renforcement des capacités et le développement afin de se munir d’une approche efficace en matière de renforcement des capacités qui s’harmonise au cadre stratégique à long terme</w:t>
      </w:r>
      <w:r w:rsidRPr="00360037">
        <w:rPr>
          <w:snapToGrid w:val="0"/>
          <w:spacing w:val="-2"/>
          <w:kern w:val="18"/>
          <w:szCs w:val="18"/>
          <w:lang w:val="fr-CA"/>
        </w:rPr>
        <w:t>.</w:t>
      </w:r>
    </w:p>
  </w:footnote>
  <w:footnote w:id="20">
    <w:p w14:paraId="2298D470" w14:textId="1929E9C9" w:rsidR="002E39A4" w:rsidRPr="00C80EF9"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360037">
        <w:rPr>
          <w:rStyle w:val="FootnoteReference"/>
          <w:snapToGrid w:val="0"/>
          <w:kern w:val="18"/>
          <w:sz w:val="18"/>
          <w:szCs w:val="18"/>
          <w:lang w:val="fr-CA"/>
        </w:rPr>
        <w:footnoteRef/>
      </w:r>
      <w:r w:rsidRPr="00C80EF9">
        <w:rPr>
          <w:snapToGrid w:val="0"/>
          <w:kern w:val="18"/>
          <w:szCs w:val="18"/>
          <w:lang w:val="fr-CA"/>
        </w:rPr>
        <w:t xml:space="preserve"> https://cbd.int/conferences/post2020/brc-ws </w:t>
      </w:r>
      <w:r w:rsidR="009669E1">
        <w:fldChar w:fldCharType="begin"/>
      </w:r>
      <w:r w:rsidR="009669E1" w:rsidRPr="009669E1">
        <w:rPr>
          <w:lang w:val="fr-CA"/>
        </w:rPr>
        <w:instrText xml:space="preserve"> HYPERLINK "https://www.cbd.int/conferences/post2020/brc-ws" </w:instrText>
      </w:r>
      <w:r w:rsidR="009669E1">
        <w:fldChar w:fldCharType="separate"/>
      </w:r>
      <w:r w:rsidR="009669E1">
        <w:fldChar w:fldCharType="end"/>
      </w:r>
      <w:r w:rsidRPr="00C80EF9">
        <w:rPr>
          <w:snapToGrid w:val="0"/>
          <w:kern w:val="18"/>
          <w:szCs w:val="18"/>
          <w:lang w:val="fr-CA"/>
        </w:rPr>
        <w:t>.</w:t>
      </w:r>
    </w:p>
  </w:footnote>
  <w:footnote w:id="21">
    <w:p w14:paraId="58C2AA7B" w14:textId="3AD090BF"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360037">
        <w:rPr>
          <w:rStyle w:val="FootnoteReference"/>
          <w:snapToGrid w:val="0"/>
          <w:kern w:val="18"/>
          <w:sz w:val="18"/>
          <w:szCs w:val="18"/>
          <w:lang w:val="fr-CA"/>
        </w:rPr>
        <w:footnoteRef/>
      </w:r>
      <w:r w:rsidRPr="00C80EF9">
        <w:rPr>
          <w:snapToGrid w:val="0"/>
          <w:kern w:val="18"/>
          <w:szCs w:val="18"/>
          <w:lang w:val="fr-CA"/>
        </w:rPr>
        <w:t xml:space="preserve"> La consultation a réuni 115 participants (62 femmes et 53 hommes) représentant 58 Parties et 32 </w:t>
      </w:r>
      <w:r>
        <w:rPr>
          <w:snapToGrid w:val="0"/>
          <w:kern w:val="18"/>
          <w:szCs w:val="18"/>
          <w:lang w:val="fr-CA"/>
        </w:rPr>
        <w:t>organisations</w:t>
      </w:r>
      <w:r w:rsidRPr="00C80EF9">
        <w:rPr>
          <w:snapToGrid w:val="0"/>
          <w:kern w:val="18"/>
          <w:szCs w:val="18"/>
          <w:lang w:val="fr-CA"/>
        </w:rPr>
        <w:t xml:space="preserve"> (CB</w:t>
      </w:r>
      <w:r w:rsidRPr="00360037">
        <w:rPr>
          <w:snapToGrid w:val="0"/>
          <w:kern w:val="18"/>
          <w:szCs w:val="18"/>
          <w:lang w:val="fr-CA"/>
        </w:rPr>
        <w:t>D/POST2020/WS/2020/2/4).</w:t>
      </w:r>
    </w:p>
  </w:footnote>
  <w:footnote w:id="22">
    <w:p w14:paraId="3F1322CD" w14:textId="1ECA9F82"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spacing w:val="-2"/>
          <w:kern w:val="18"/>
          <w:szCs w:val="18"/>
          <w:lang w:val="fr-CA"/>
        </w:rPr>
      </w:pPr>
      <w:r w:rsidRPr="00360037">
        <w:rPr>
          <w:rStyle w:val="FootnoteReference"/>
          <w:snapToGrid w:val="0"/>
          <w:spacing w:val="-2"/>
          <w:kern w:val="18"/>
          <w:sz w:val="18"/>
          <w:szCs w:val="18"/>
          <w:lang w:val="fr-CA"/>
        </w:rPr>
        <w:footnoteRef/>
      </w:r>
      <w:r w:rsidRPr="00360037">
        <w:rPr>
          <w:snapToGrid w:val="0"/>
          <w:spacing w:val="-2"/>
          <w:kern w:val="18"/>
          <w:szCs w:val="18"/>
          <w:lang w:val="fr-CA"/>
        </w:rPr>
        <w:t xml:space="preserve"> </w:t>
      </w:r>
      <w:r>
        <w:rPr>
          <w:snapToGrid w:val="0"/>
          <w:spacing w:val="-2"/>
          <w:kern w:val="18"/>
          <w:szCs w:val="18"/>
          <w:lang w:val="fr-CA"/>
        </w:rPr>
        <w:t>Cinquante-trois personnes (29 hommes et 24 femmes) ont participé et 99 messages ont été publiés (https://www.cbd.int/cb/discussion-forum)</w:t>
      </w:r>
      <w:r w:rsidRPr="00360037">
        <w:rPr>
          <w:snapToGrid w:val="0"/>
          <w:spacing w:val="-2"/>
          <w:kern w:val="18"/>
          <w:szCs w:val="18"/>
          <w:lang w:val="fr-CA"/>
        </w:rPr>
        <w:t>.</w:t>
      </w:r>
    </w:p>
  </w:footnote>
  <w:footnote w:id="23">
    <w:p w14:paraId="5C2ADE73" w14:textId="47931B20" w:rsidR="002E39A4" w:rsidRPr="00360037"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360037">
        <w:rPr>
          <w:rStyle w:val="FootnoteReference"/>
          <w:snapToGrid w:val="0"/>
          <w:kern w:val="18"/>
          <w:sz w:val="18"/>
          <w:szCs w:val="18"/>
          <w:lang w:val="fr-CA"/>
        </w:rPr>
        <w:footnoteRef/>
      </w:r>
      <w:r w:rsidRPr="00360037">
        <w:rPr>
          <w:snapToGrid w:val="0"/>
          <w:kern w:val="18"/>
          <w:szCs w:val="18"/>
          <w:lang w:val="fr-CA"/>
        </w:rPr>
        <w:t xml:space="preserve"> </w:t>
      </w:r>
      <w:r>
        <w:rPr>
          <w:snapToGrid w:val="0"/>
          <w:kern w:val="18"/>
          <w:szCs w:val="18"/>
          <w:lang w:val="fr-CA"/>
        </w:rPr>
        <w:t>Une compilation des 27 exposés reçus est publiée sur le site https://www.cbd.int/cb/strategic-framework/.</w:t>
      </w:r>
    </w:p>
  </w:footnote>
  <w:footnote w:id="24">
    <w:p w14:paraId="46CD76CD" w14:textId="668EE4A0" w:rsidR="002E39A4" w:rsidRPr="00C51095" w:rsidRDefault="002E39A4" w:rsidP="0017626F">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C51095">
        <w:rPr>
          <w:snapToGrid w:val="0"/>
          <w:kern w:val="18"/>
          <w:szCs w:val="18"/>
          <w:lang w:val="fr-CA"/>
        </w:rPr>
        <w:t xml:space="preserve"> Conformément aux d</w:t>
      </w:r>
      <w:r>
        <w:rPr>
          <w:snapToGrid w:val="0"/>
          <w:kern w:val="18"/>
          <w:szCs w:val="18"/>
          <w:lang w:val="fr-CA"/>
        </w:rPr>
        <w:t>é</w:t>
      </w:r>
      <w:r w:rsidRPr="00C51095">
        <w:rPr>
          <w:snapToGrid w:val="0"/>
          <w:kern w:val="18"/>
          <w:szCs w:val="18"/>
          <w:lang w:val="fr-CA"/>
        </w:rPr>
        <w:t xml:space="preserve">cisions CP-9/7 et CP-9/3, le plan d’action pour le renforcement des capacités du Protocole de Cartagena a été élaboré en </w:t>
      </w:r>
      <w:r>
        <w:rPr>
          <w:snapToGrid w:val="0"/>
          <w:kern w:val="18"/>
          <w:szCs w:val="18"/>
          <w:lang w:val="fr-CA"/>
        </w:rPr>
        <w:t>concordance</w:t>
      </w:r>
      <w:r w:rsidRPr="00C51095">
        <w:rPr>
          <w:snapToGrid w:val="0"/>
          <w:kern w:val="18"/>
          <w:szCs w:val="18"/>
          <w:lang w:val="fr-CA"/>
        </w:rPr>
        <w:t xml:space="preserve"> avec le plan de mise en </w:t>
      </w:r>
      <w:r>
        <w:rPr>
          <w:snapToGrid w:val="0"/>
          <w:kern w:val="18"/>
          <w:szCs w:val="18"/>
          <w:lang w:val="fr-CA"/>
        </w:rPr>
        <w:t xml:space="preserve">œuvre </w:t>
      </w:r>
      <w:r w:rsidRPr="00C51095">
        <w:rPr>
          <w:snapToGrid w:val="0"/>
          <w:kern w:val="18"/>
          <w:szCs w:val="18"/>
          <w:lang w:val="fr-CA"/>
        </w:rPr>
        <w:t xml:space="preserve">du Protocole, et les deux sont présentés </w:t>
      </w:r>
      <w:r>
        <w:rPr>
          <w:snapToGrid w:val="0"/>
          <w:kern w:val="18"/>
          <w:szCs w:val="18"/>
          <w:lang w:val="fr-CA"/>
        </w:rPr>
        <w:t>parallèlement dans le document CBD/SBI/3/18 afin de démontrer leur complémentarité et d’éviter les dédoublements. L’Organe subsidiaire chargé de l'application, à sa présente réunion, devrait examiner ces plans et présenter une recommandation aux Parties au Protocole de Cartagena à leur dixième réunion</w:t>
      </w:r>
      <w:r w:rsidRPr="00C51095">
        <w:rPr>
          <w:snapToGrid w:val="0"/>
          <w:kern w:val="18"/>
          <w:szCs w:val="18"/>
          <w:lang w:val="fr-CA"/>
        </w:rPr>
        <w:t>.</w:t>
      </w:r>
    </w:p>
  </w:footnote>
  <w:footnote w:id="25">
    <w:p w14:paraId="7CA4A855" w14:textId="085DAC86" w:rsidR="002E39A4" w:rsidRPr="008070CB"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8070CB">
        <w:rPr>
          <w:snapToGrid w:val="0"/>
          <w:kern w:val="18"/>
          <w:szCs w:val="18"/>
          <w:lang w:val="fr-CA"/>
        </w:rPr>
        <w:t xml:space="preserve"> Un rapport complet de l’état d’achèvement de la </w:t>
      </w:r>
      <w:r>
        <w:rPr>
          <w:snapToGrid w:val="0"/>
          <w:kern w:val="18"/>
          <w:szCs w:val="18"/>
          <w:lang w:val="fr-CA"/>
        </w:rPr>
        <w:t>coopé</w:t>
      </w:r>
      <w:r w:rsidRPr="008070CB">
        <w:rPr>
          <w:snapToGrid w:val="0"/>
          <w:kern w:val="18"/>
          <w:szCs w:val="18"/>
          <w:lang w:val="fr-CA"/>
        </w:rPr>
        <w:t xml:space="preserve">ration technique et scientifique et le transfert de technologie est </w:t>
      </w:r>
      <w:r>
        <w:rPr>
          <w:snapToGrid w:val="0"/>
          <w:kern w:val="18"/>
          <w:szCs w:val="18"/>
          <w:lang w:val="fr-CA"/>
        </w:rPr>
        <w:t>présenté</w:t>
      </w:r>
      <w:r w:rsidRPr="008070CB">
        <w:rPr>
          <w:snapToGrid w:val="0"/>
          <w:kern w:val="18"/>
          <w:szCs w:val="18"/>
          <w:lang w:val="fr-CA"/>
        </w:rPr>
        <w:t xml:space="preserve"> dans le document CBD/SBI/3/INF/18.</w:t>
      </w:r>
    </w:p>
  </w:footnote>
  <w:footnote w:id="26">
    <w:p w14:paraId="21BE7254" w14:textId="76D64007" w:rsidR="002E39A4" w:rsidRPr="00030625" w:rsidRDefault="002E39A4" w:rsidP="00AA5D70">
      <w:pPr>
        <w:pStyle w:val="FootnoteText"/>
        <w:suppressLineNumbers/>
        <w:suppressAutoHyphens/>
        <w:kinsoku w:val="0"/>
        <w:overflowPunct w:val="0"/>
        <w:autoSpaceDE w:val="0"/>
        <w:autoSpaceDN w:val="0"/>
        <w:adjustRightInd w:val="0"/>
        <w:snapToGrid w:val="0"/>
        <w:ind w:firstLine="0"/>
        <w:jc w:val="left"/>
        <w:rPr>
          <w:rFonts w:eastAsiaTheme="minorEastAsia"/>
          <w:snapToGrid w:val="0"/>
          <w:kern w:val="18"/>
          <w:szCs w:val="18"/>
          <w:lang w:val="fr-CA" w:eastAsia="ja-JP"/>
        </w:rPr>
      </w:pPr>
      <w:r w:rsidRPr="00AA5D70">
        <w:rPr>
          <w:rStyle w:val="FootnoteReference"/>
          <w:snapToGrid w:val="0"/>
          <w:kern w:val="18"/>
          <w:sz w:val="18"/>
          <w:szCs w:val="18"/>
        </w:rPr>
        <w:footnoteRef/>
      </w:r>
      <w:r w:rsidRPr="00030625">
        <w:rPr>
          <w:snapToGrid w:val="0"/>
          <w:kern w:val="18"/>
          <w:szCs w:val="18"/>
          <w:lang w:val="fr-CA"/>
        </w:rPr>
        <w:t xml:space="preserve"> La Bibliothèque patrimoniale de la biodiversité (https://www.biodiversitylibrary.org/</w:t>
      </w:r>
      <w:r>
        <w:rPr>
          <w:snapToGrid w:val="0"/>
          <w:kern w:val="18"/>
          <w:szCs w:val="18"/>
          <w:lang w:val="fr-CA"/>
        </w:rPr>
        <w:t>)</w:t>
      </w:r>
      <w:r w:rsidRPr="00030625">
        <w:rPr>
          <w:snapToGrid w:val="0"/>
          <w:kern w:val="18"/>
          <w:szCs w:val="18"/>
          <w:lang w:val="fr-CA"/>
        </w:rPr>
        <w:t xml:space="preserve">, les </w:t>
      </w:r>
      <w:r>
        <w:rPr>
          <w:snapToGrid w:val="0"/>
          <w:kern w:val="18"/>
          <w:szCs w:val="18"/>
          <w:lang w:val="fr-CA"/>
        </w:rPr>
        <w:t>systèmes</w:t>
      </w:r>
      <w:r w:rsidRPr="00030625">
        <w:rPr>
          <w:snapToGrid w:val="0"/>
          <w:kern w:val="18"/>
          <w:szCs w:val="18"/>
          <w:lang w:val="fr-CA"/>
        </w:rPr>
        <w:t xml:space="preserve"> de codes à barres des données sur la vie (http://boldsystems.org/</w:t>
      </w:r>
      <w:r>
        <w:rPr>
          <w:snapToGrid w:val="0"/>
          <w:kern w:val="18"/>
          <w:szCs w:val="18"/>
          <w:lang w:val="fr-CA"/>
        </w:rPr>
        <w:t>),</w:t>
      </w:r>
      <w:r w:rsidRPr="00030625">
        <w:rPr>
          <w:snapToGrid w:val="0"/>
          <w:kern w:val="18"/>
          <w:szCs w:val="18"/>
          <w:lang w:val="fr-CA"/>
        </w:rPr>
        <w:t xml:space="preserve"> le Registre mondial des esp</w:t>
      </w:r>
      <w:r>
        <w:rPr>
          <w:snapToGrid w:val="0"/>
          <w:kern w:val="18"/>
          <w:szCs w:val="18"/>
          <w:lang w:val="fr-CA"/>
        </w:rPr>
        <w:t>èces introduites et envahissantes (</w:t>
      </w:r>
      <w:r w:rsidRPr="00030625">
        <w:rPr>
          <w:snapToGrid w:val="0"/>
          <w:kern w:val="18"/>
          <w:szCs w:val="18"/>
          <w:lang w:val="fr-CA"/>
        </w:rPr>
        <w:t>htt</w:t>
      </w:r>
      <w:r>
        <w:rPr>
          <w:snapToGrid w:val="0"/>
          <w:kern w:val="18"/>
          <w:szCs w:val="18"/>
          <w:lang w:val="fr-CA"/>
        </w:rPr>
        <w:t>ps://www.gbif.org/search?q=GRII</w:t>
      </w:r>
      <w:r w:rsidRPr="00030625">
        <w:rPr>
          <w:snapToGrid w:val="0"/>
          <w:kern w:val="18"/>
          <w:szCs w:val="18"/>
          <w:lang w:val="fr-CA"/>
        </w:rPr>
        <w:t>S</w:t>
      </w:r>
      <w:r>
        <w:rPr>
          <w:snapToGrid w:val="0"/>
          <w:kern w:val="18"/>
          <w:szCs w:val="18"/>
          <w:lang w:val="fr-CA"/>
        </w:rPr>
        <w:t xml:space="preserve">).   </w:t>
      </w:r>
    </w:p>
  </w:footnote>
  <w:footnote w:id="27">
    <w:p w14:paraId="2234C1DB" w14:textId="50E4DBEF" w:rsidR="002E39A4" w:rsidRPr="008C0888" w:rsidRDefault="002E39A4" w:rsidP="00AA5D70">
      <w:pPr>
        <w:pStyle w:val="FootnoteText"/>
        <w:suppressLineNumbers/>
        <w:suppressAutoHyphens/>
        <w:kinsoku w:val="0"/>
        <w:overflowPunct w:val="0"/>
        <w:autoSpaceDE w:val="0"/>
        <w:autoSpaceDN w:val="0"/>
        <w:adjustRightInd w:val="0"/>
        <w:snapToGrid w:val="0"/>
        <w:ind w:firstLine="0"/>
        <w:jc w:val="left"/>
        <w:rPr>
          <w:rFonts w:eastAsiaTheme="minorEastAsia"/>
          <w:snapToGrid w:val="0"/>
          <w:kern w:val="18"/>
          <w:szCs w:val="18"/>
          <w:lang w:val="fr-CA" w:eastAsia="ja-JP"/>
        </w:rPr>
      </w:pPr>
      <w:r w:rsidRPr="00AA5D70">
        <w:rPr>
          <w:rStyle w:val="FootnoteReference"/>
          <w:snapToGrid w:val="0"/>
          <w:kern w:val="18"/>
          <w:sz w:val="18"/>
          <w:szCs w:val="18"/>
        </w:rPr>
        <w:footnoteRef/>
      </w:r>
      <w:r w:rsidRPr="008C0888">
        <w:rPr>
          <w:snapToGrid w:val="0"/>
          <w:kern w:val="18"/>
          <w:szCs w:val="18"/>
          <w:lang w:val="fr-CA"/>
        </w:rPr>
        <w:t xml:space="preserve"> https://absch.cbd.int/database/VLR/ABSCH-VLR-SCBD-239199 et https://cetaf.org/services/natural-science-collections-and-access-and</w:t>
      </w:r>
      <w:r>
        <w:rPr>
          <w:snapToGrid w:val="0"/>
          <w:kern w:val="18"/>
          <w:szCs w:val="18"/>
          <w:lang w:val="fr-CA"/>
        </w:rPr>
        <w:t xml:space="preserve">-benefit-sharing </w:t>
      </w:r>
    </w:p>
  </w:footnote>
  <w:footnote w:id="28">
    <w:p w14:paraId="5CFDB105" w14:textId="419171A3" w:rsidR="002E39A4" w:rsidRPr="008C0888" w:rsidRDefault="002E39A4" w:rsidP="00AA5D70">
      <w:pPr>
        <w:pStyle w:val="FootnoteText"/>
        <w:suppressLineNumbers/>
        <w:suppressAutoHyphens/>
        <w:kinsoku w:val="0"/>
        <w:overflowPunct w:val="0"/>
        <w:autoSpaceDE w:val="0"/>
        <w:autoSpaceDN w:val="0"/>
        <w:adjustRightInd w:val="0"/>
        <w:snapToGrid w:val="0"/>
        <w:ind w:firstLine="0"/>
        <w:jc w:val="left"/>
        <w:rPr>
          <w:rFonts w:eastAsiaTheme="minorEastAsia"/>
          <w:snapToGrid w:val="0"/>
          <w:kern w:val="18"/>
          <w:szCs w:val="18"/>
          <w:lang w:val="fr-CA" w:eastAsia="ja-JP"/>
        </w:rPr>
      </w:pPr>
      <w:r w:rsidRPr="00AA5D70">
        <w:rPr>
          <w:rStyle w:val="FootnoteReference"/>
          <w:snapToGrid w:val="0"/>
          <w:kern w:val="18"/>
          <w:sz w:val="18"/>
          <w:szCs w:val="18"/>
        </w:rPr>
        <w:footnoteRef/>
      </w:r>
      <w:r w:rsidRPr="008C0888">
        <w:rPr>
          <w:snapToGrid w:val="0"/>
          <w:kern w:val="18"/>
          <w:szCs w:val="18"/>
          <w:lang w:val="fr-CA"/>
        </w:rPr>
        <w:t xml:space="preserve"> https://www.mdpi.com/2071-1050/11/10/2780  </w:t>
      </w:r>
    </w:p>
  </w:footnote>
  <w:footnote w:id="29">
    <w:p w14:paraId="0B7CEB14" w14:textId="14635571" w:rsidR="002E39A4" w:rsidRPr="008C0888"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8C0888">
        <w:rPr>
          <w:snapToGrid w:val="0"/>
          <w:kern w:val="18"/>
          <w:szCs w:val="18"/>
          <w:lang w:val="fr-CA"/>
        </w:rPr>
        <w:t xml:space="preserve"> Les mandats et rapports finaux de ces projets sont publiés sur le site https://www.</w:t>
      </w:r>
      <w:r>
        <w:rPr>
          <w:snapToGrid w:val="0"/>
          <w:kern w:val="18"/>
          <w:szCs w:val="18"/>
          <w:lang w:val="fr-CA"/>
        </w:rPr>
        <w:t>cbd.int/biobridge/projects/selected</w:t>
      </w:r>
      <w:r w:rsidRPr="008C0888">
        <w:rPr>
          <w:snapToGrid w:val="0"/>
          <w:kern w:val="18"/>
          <w:szCs w:val="18"/>
          <w:lang w:val="fr-CA"/>
        </w:rPr>
        <w:t xml:space="preserve"> </w:t>
      </w:r>
    </w:p>
  </w:footnote>
  <w:footnote w:id="30">
    <w:p w14:paraId="52532512" w14:textId="15589610" w:rsidR="002E39A4" w:rsidRPr="007A7FA4"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7A7FA4">
        <w:rPr>
          <w:snapToGrid w:val="0"/>
          <w:kern w:val="18"/>
          <w:szCs w:val="18"/>
          <w:lang w:val="fr-CA"/>
        </w:rPr>
        <w:t xml:space="preserve"> Notification 2020-042 : https://www.cbd.int/doc/notifications/2020/ntf-2020-042-bbi-en-pdf</w:t>
      </w:r>
    </w:p>
  </w:footnote>
  <w:footnote w:id="31">
    <w:p w14:paraId="5AC21654" w14:textId="27E6203C" w:rsidR="002E39A4" w:rsidRPr="007A7FA4"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7A7FA4">
        <w:rPr>
          <w:snapToGrid w:val="0"/>
          <w:kern w:val="18"/>
          <w:szCs w:val="18"/>
          <w:lang w:val="fr-CA"/>
        </w:rPr>
        <w:t xml:space="preserve"> Le forum sera </w:t>
      </w:r>
      <w:r>
        <w:rPr>
          <w:snapToGrid w:val="0"/>
          <w:kern w:val="18"/>
          <w:szCs w:val="18"/>
          <w:lang w:val="fr-CA"/>
        </w:rPr>
        <w:t>organisé</w:t>
      </w:r>
      <w:r w:rsidRPr="007A7FA4">
        <w:rPr>
          <w:snapToGrid w:val="0"/>
          <w:kern w:val="18"/>
          <w:szCs w:val="18"/>
          <w:lang w:val="fr-CA"/>
        </w:rPr>
        <w:t xml:space="preserve"> en collaboration avec plusieurs partenaires.</w:t>
      </w:r>
    </w:p>
  </w:footnote>
  <w:footnote w:id="32">
    <w:p w14:paraId="62DF78D8" w14:textId="426F58D8" w:rsidR="002E39A4" w:rsidRPr="007A7FA4"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7A7FA4">
        <w:rPr>
          <w:snapToGrid w:val="0"/>
          <w:kern w:val="18"/>
          <w:szCs w:val="18"/>
          <w:lang w:val="fr-CA"/>
        </w:rPr>
        <w:t xml:space="preserve"> </w:t>
      </w:r>
      <w:r>
        <w:rPr>
          <w:snapToGrid w:val="0"/>
          <w:kern w:val="18"/>
          <w:szCs w:val="18"/>
          <w:lang w:val="fr-CA"/>
        </w:rPr>
        <w:t>https://www.cbd.int/conferences/2018/parallel-meetings/innovation-fair</w:t>
      </w:r>
      <w:r w:rsidRPr="007A7FA4">
        <w:rPr>
          <w:snapToGrid w:val="0"/>
          <w:kern w:val="18"/>
          <w:szCs w:val="18"/>
          <w:lang w:val="fr-CA"/>
        </w:rPr>
        <w:t xml:space="preserve"> </w:t>
      </w:r>
    </w:p>
  </w:footnote>
  <w:footnote w:id="33">
    <w:p w14:paraId="322BD8A0" w14:textId="60902D45" w:rsidR="002E39A4" w:rsidRPr="00EA59AB"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7A7FA4">
        <w:rPr>
          <w:snapToGrid w:val="0"/>
          <w:kern w:val="18"/>
          <w:szCs w:val="18"/>
          <w:lang w:val="fr-CA"/>
        </w:rPr>
        <w:t xml:space="preserve"> </w:t>
      </w:r>
      <w:r>
        <w:rPr>
          <w:snapToGrid w:val="0"/>
          <w:kern w:val="18"/>
          <w:szCs w:val="18"/>
          <w:lang w:val="fr-CA"/>
        </w:rPr>
        <w:t xml:space="preserve">https://www.cbd.int/programmes/cross-cutting/technology/search.aspx  </w:t>
      </w:r>
    </w:p>
  </w:footnote>
  <w:footnote w:id="34">
    <w:p w14:paraId="57224A04" w14:textId="7873385D" w:rsidR="002E39A4" w:rsidRPr="0030016B"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Pr>
          <w:snapToGrid w:val="0"/>
          <w:kern w:val="18"/>
          <w:szCs w:val="18"/>
          <w:lang w:val="fr-CA"/>
        </w:rPr>
        <w:t xml:space="preserve"> https://www.cbd.int/restoration/feri</w:t>
      </w:r>
      <w:r>
        <w:rPr>
          <w:rStyle w:val="Hyperlink"/>
          <w:snapToGrid w:val="0"/>
          <w:kern w:val="18"/>
          <w:szCs w:val="18"/>
          <w:u w:val="none"/>
          <w:lang w:val="fr-CA"/>
        </w:rPr>
        <w:t>/</w:t>
      </w:r>
    </w:p>
  </w:footnote>
  <w:footnote w:id="35">
    <w:p w14:paraId="597E57C3" w14:textId="69E134E9" w:rsidR="002E39A4" w:rsidRPr="00327425"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EA59AB">
        <w:rPr>
          <w:snapToGrid w:val="0"/>
          <w:kern w:val="18"/>
          <w:szCs w:val="18"/>
          <w:lang w:val="fr-CA"/>
        </w:rPr>
        <w:t xml:space="preserve"> </w:t>
      </w:r>
      <w:r>
        <w:rPr>
          <w:snapToGrid w:val="0"/>
          <w:kern w:val="18"/>
          <w:szCs w:val="18"/>
          <w:lang w:val="fr-CA"/>
        </w:rPr>
        <w:t xml:space="preserve">https://www.cbd.int/meetings/SOI-OM-2018-01 ; https://www.cbd.int/soi/  </w:t>
      </w:r>
    </w:p>
  </w:footnote>
  <w:footnote w:id="36">
    <w:p w14:paraId="5EF9CBA6" w14:textId="36AFAB08" w:rsidR="002E39A4" w:rsidRPr="00327425"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327425">
        <w:rPr>
          <w:snapToGrid w:val="0"/>
          <w:kern w:val="18"/>
          <w:szCs w:val="18"/>
          <w:lang w:val="fr-CA"/>
        </w:rPr>
        <w:t xml:space="preserve"> </w:t>
      </w:r>
      <w:r>
        <w:rPr>
          <w:snapToGrid w:val="0"/>
          <w:kern w:val="18"/>
          <w:szCs w:val="18"/>
          <w:lang w:val="fr-CA"/>
        </w:rPr>
        <w:t xml:space="preserve">https://www.plants2020.net/news/1556/ </w:t>
      </w:r>
    </w:p>
  </w:footnote>
  <w:footnote w:id="37">
    <w:p w14:paraId="30068A27" w14:textId="08949723" w:rsidR="002E39A4" w:rsidRPr="00327425"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327425">
        <w:rPr>
          <w:snapToGrid w:val="0"/>
          <w:kern w:val="18"/>
          <w:szCs w:val="18"/>
          <w:lang w:val="fr-CA"/>
        </w:rPr>
        <w:t xml:space="preserve"> https://www.fao.org/forestry/wildlife-partnership-en/ </w:t>
      </w:r>
    </w:p>
  </w:footnote>
  <w:footnote w:id="38">
    <w:p w14:paraId="05EED4C3" w14:textId="3B055DAC" w:rsidR="002E39A4" w:rsidRPr="00327425"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327425">
        <w:rPr>
          <w:snapToGrid w:val="0"/>
          <w:kern w:val="18"/>
          <w:szCs w:val="18"/>
          <w:lang w:val="fr-CA"/>
        </w:rPr>
        <w:t xml:space="preserve"> https://www.cbd.int/</w:t>
      </w:r>
      <w:r>
        <w:rPr>
          <w:snapToGrid w:val="0"/>
          <w:kern w:val="18"/>
          <w:szCs w:val="18"/>
          <w:lang w:val="fr-CA"/>
        </w:rPr>
        <w:t xml:space="preserve">invasive/lg/ </w:t>
      </w:r>
      <w:r w:rsidRPr="00327425">
        <w:rPr>
          <w:snapToGrid w:val="0"/>
          <w:kern w:val="18"/>
          <w:szCs w:val="18"/>
          <w:lang w:val="fr-CA"/>
        </w:rPr>
        <w:t xml:space="preserve"> </w:t>
      </w:r>
    </w:p>
  </w:footnote>
  <w:footnote w:id="39">
    <w:p w14:paraId="0B496580" w14:textId="48067F40" w:rsidR="002E39A4" w:rsidRPr="00EE5F30"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EE5F30">
        <w:rPr>
          <w:snapToGrid w:val="0"/>
          <w:kern w:val="18"/>
          <w:szCs w:val="18"/>
          <w:lang w:val="fr-CA"/>
        </w:rPr>
        <w:t xml:space="preserve"> </w:t>
      </w:r>
      <w:r>
        <w:rPr>
          <w:snapToGrid w:val="0"/>
          <w:kern w:val="18"/>
          <w:szCs w:val="18"/>
          <w:lang w:val="fr-CA"/>
        </w:rPr>
        <w:t xml:space="preserve">Neuf Parties (Égypte, Guyana, Iran (République islamique d’), Japon, Mexique, Nigeria, République de Corée, Suriname et Union européenne) et 12 organisations (Groupe ETC, le Centre de la biodiversité de l’ANASE, la Convention des </w:t>
      </w:r>
      <w:proofErr w:type="spellStart"/>
      <w:r>
        <w:rPr>
          <w:snapToGrid w:val="0"/>
          <w:kern w:val="18"/>
          <w:szCs w:val="18"/>
          <w:lang w:val="fr-CA"/>
        </w:rPr>
        <w:t>Capartes</w:t>
      </w:r>
      <w:proofErr w:type="spellEnd"/>
      <w:r>
        <w:rPr>
          <w:snapToGrid w:val="0"/>
          <w:kern w:val="18"/>
          <w:szCs w:val="18"/>
          <w:lang w:val="fr-CA"/>
        </w:rPr>
        <w:t xml:space="preserve">, </w:t>
      </w:r>
      <w:proofErr w:type="spellStart"/>
      <w:r>
        <w:rPr>
          <w:snapToGrid w:val="0"/>
          <w:kern w:val="18"/>
          <w:szCs w:val="18"/>
          <w:lang w:val="fr-CA"/>
        </w:rPr>
        <w:t>EcoNexus</w:t>
      </w:r>
      <w:proofErr w:type="spellEnd"/>
      <w:r>
        <w:rPr>
          <w:snapToGrid w:val="0"/>
          <w:kern w:val="18"/>
          <w:szCs w:val="18"/>
          <w:lang w:val="fr-CA"/>
        </w:rPr>
        <w:t xml:space="preserve">,  Global Commons Alliance, le projet international pour les récifs coralliens, </w:t>
      </w:r>
      <w:proofErr w:type="spellStart"/>
      <w:r>
        <w:rPr>
          <w:snapToGrid w:val="0"/>
          <w:kern w:val="18"/>
          <w:szCs w:val="18"/>
          <w:lang w:val="fr-CA"/>
        </w:rPr>
        <w:t>MedPAN</w:t>
      </w:r>
      <w:proofErr w:type="spellEnd"/>
      <w:r>
        <w:rPr>
          <w:snapToGrid w:val="0"/>
          <w:kern w:val="18"/>
          <w:szCs w:val="18"/>
          <w:lang w:val="fr-CA"/>
        </w:rPr>
        <w:t>, Régions4, Sauvons nos semences, Réseau du tiers monde, Centre mondial de surveillance pour la conservation du Programme des Nations Unies pour l’environnement et l’Université des Nations Unies) ont remis des propositions</w:t>
      </w:r>
      <w:r w:rsidRPr="00EE5F30">
        <w:rPr>
          <w:snapToGrid w:val="0"/>
          <w:kern w:val="18"/>
          <w:szCs w:val="18"/>
          <w:lang w:val="fr-CA"/>
        </w:rPr>
        <w:t>.</w:t>
      </w:r>
    </w:p>
  </w:footnote>
  <w:footnote w:id="40">
    <w:p w14:paraId="19C796F3" w14:textId="24DB3923" w:rsidR="002E39A4" w:rsidRPr="00EE5F30"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EE5F30">
        <w:rPr>
          <w:rStyle w:val="FootnoteReference"/>
          <w:snapToGrid w:val="0"/>
          <w:kern w:val="18"/>
          <w:sz w:val="18"/>
          <w:szCs w:val="18"/>
          <w:lang w:val="fr-CA"/>
        </w:rPr>
        <w:footnoteRef/>
      </w:r>
      <w:r w:rsidRPr="00EE5F30">
        <w:rPr>
          <w:snapToGrid w:val="0"/>
          <w:kern w:val="18"/>
          <w:szCs w:val="18"/>
          <w:lang w:val="fr-CA"/>
        </w:rPr>
        <w:t xml:space="preserve"> </w:t>
      </w:r>
      <w:r>
        <w:rPr>
          <w:snapToGrid w:val="0"/>
          <w:kern w:val="18"/>
          <w:szCs w:val="18"/>
          <w:lang w:val="fr-CA"/>
        </w:rPr>
        <w:t xml:space="preserve">À l’heure actuelle, la plupart des fonctions de soutien à la coopération technique et scientifique sont exécutées par des employés profitant du soutien de l’Initiative Bio-Bridge grâce au soutien financier de la République de Corée. </w:t>
      </w:r>
      <w:proofErr w:type="gramStart"/>
      <w:r>
        <w:rPr>
          <w:snapToGrid w:val="0"/>
          <w:kern w:val="18"/>
          <w:szCs w:val="18"/>
          <w:lang w:val="fr-CA"/>
        </w:rPr>
        <w:t>Le participation financière</w:t>
      </w:r>
      <w:proofErr w:type="gramEnd"/>
      <w:r>
        <w:rPr>
          <w:snapToGrid w:val="0"/>
          <w:kern w:val="18"/>
          <w:szCs w:val="18"/>
          <w:lang w:val="fr-CA"/>
        </w:rPr>
        <w:t xml:space="preserve"> actuelle au projet prendra fin en 2020</w:t>
      </w:r>
      <w:r w:rsidRPr="00EE5F30">
        <w:rPr>
          <w:snapToGrid w:val="0"/>
          <w:kern w:val="18"/>
          <w:szCs w:val="18"/>
          <w:lang w:val="fr-CA"/>
        </w:rPr>
        <w:t>.</w:t>
      </w:r>
    </w:p>
  </w:footnote>
  <w:footnote w:id="41">
    <w:p w14:paraId="18F6ABA4" w14:textId="3EDBF693" w:rsidR="002E39A4" w:rsidRPr="00D45C04"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snapToGrid w:val="0"/>
          <w:kern w:val="18"/>
          <w:szCs w:val="18"/>
          <w:vertAlign w:val="superscript"/>
        </w:rPr>
        <w:footnoteRef/>
      </w:r>
      <w:r w:rsidRPr="00D45C04">
        <w:rPr>
          <w:snapToGrid w:val="0"/>
          <w:kern w:val="18"/>
          <w:szCs w:val="18"/>
          <w:lang w:val="fr-CA"/>
        </w:rPr>
        <w:t xml:space="preserve"> </w:t>
      </w:r>
      <w:r>
        <w:rPr>
          <w:snapToGrid w:val="0"/>
          <w:kern w:val="18"/>
          <w:szCs w:val="18"/>
          <w:lang w:val="fr-CA"/>
        </w:rPr>
        <w:t>Certaines actions chevauchent les conditions de facilitation (dont l’engagement des parties prenantes, les partenariats et la collaboration avec les accords multilatéraux sur l’environnement et autres processus internationaux pertinents) et les mécanismes améliorés d’établissement de rapports, d’évaluation et d’examen de la mise en œuvre</w:t>
      </w:r>
      <w:r w:rsidRPr="00D45C04">
        <w:rPr>
          <w:snapToGrid w:val="0"/>
          <w:kern w:val="18"/>
          <w:szCs w:val="18"/>
          <w:lang w:val="fr-CA"/>
        </w:rPr>
        <w:t>.</w:t>
      </w:r>
    </w:p>
  </w:footnote>
  <w:footnote w:id="42">
    <w:p w14:paraId="4A23715E" w14:textId="46471E24" w:rsidR="002E39A4" w:rsidRPr="00DA46F6"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4F4953">
        <w:rPr>
          <w:rStyle w:val="FootnoteReference"/>
          <w:snapToGrid w:val="0"/>
          <w:kern w:val="18"/>
          <w:sz w:val="18"/>
          <w:szCs w:val="18"/>
        </w:rPr>
        <w:footnoteRef/>
      </w:r>
      <w:r w:rsidRPr="00DA46F6">
        <w:rPr>
          <w:snapToGrid w:val="0"/>
          <w:kern w:val="18"/>
          <w:szCs w:val="18"/>
          <w:lang w:val="fr-CA"/>
        </w:rPr>
        <w:t xml:space="preserve"> </w:t>
      </w:r>
      <w:r>
        <w:rPr>
          <w:snapToGrid w:val="0"/>
          <w:kern w:val="18"/>
          <w:szCs w:val="18"/>
          <w:lang w:val="fr-CA"/>
        </w:rPr>
        <w:t>Le rapport préliminaire est présenté dans le document</w:t>
      </w:r>
      <w:r w:rsidRPr="00DA46F6">
        <w:rPr>
          <w:snapToGrid w:val="0"/>
          <w:kern w:val="18"/>
          <w:szCs w:val="18"/>
          <w:lang w:val="fr-CA"/>
        </w:rPr>
        <w:t xml:space="preserve"> CBD/SBI/3/INF/14; </w:t>
      </w:r>
      <w:r>
        <w:rPr>
          <w:snapToGrid w:val="0"/>
          <w:kern w:val="18"/>
          <w:szCs w:val="18"/>
          <w:lang w:val="fr-CA"/>
        </w:rPr>
        <w:t>le rapport final sera publié en temps et lieu</w:t>
      </w:r>
      <w:r w:rsidRPr="00DA46F6">
        <w:rPr>
          <w:snapToGrid w:val="0"/>
          <w:kern w:val="18"/>
          <w:szCs w:val="18"/>
          <w:lang w:val="fr-CA"/>
        </w:rPr>
        <w:t>.</w:t>
      </w:r>
    </w:p>
  </w:footnote>
  <w:footnote w:id="43">
    <w:p w14:paraId="7D88CAE3" w14:textId="4D821BA6" w:rsidR="002E39A4" w:rsidRPr="00DA46F6"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A46F6">
        <w:rPr>
          <w:rStyle w:val="FootnoteReference"/>
          <w:snapToGrid w:val="0"/>
          <w:kern w:val="18"/>
          <w:sz w:val="18"/>
          <w:szCs w:val="18"/>
          <w:lang w:val="fr-CA"/>
        </w:rPr>
        <w:footnoteRef/>
      </w:r>
      <w:r w:rsidRPr="00DA46F6">
        <w:rPr>
          <w:snapToGrid w:val="0"/>
          <w:kern w:val="18"/>
          <w:szCs w:val="18"/>
          <w:lang w:val="fr-CA"/>
        </w:rPr>
        <w:t xml:space="preserve"> Voir https://www.un.org/pga/</w:t>
      </w:r>
      <w:r>
        <w:rPr>
          <w:snapToGrid w:val="0"/>
          <w:kern w:val="18"/>
          <w:szCs w:val="18"/>
          <w:lang w:val="fr-CA"/>
        </w:rPr>
        <w:t xml:space="preserve">75/united-nations-summit-on-biodiversity-summary </w:t>
      </w:r>
    </w:p>
  </w:footnote>
  <w:footnote w:id="44">
    <w:p w14:paraId="5528761D" w14:textId="1F15D984" w:rsidR="002E39A4" w:rsidRPr="00DA46F6"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A46F6">
        <w:rPr>
          <w:rStyle w:val="FootnoteReference"/>
          <w:snapToGrid w:val="0"/>
          <w:kern w:val="18"/>
          <w:sz w:val="18"/>
          <w:szCs w:val="18"/>
          <w:lang w:val="fr-CA"/>
        </w:rPr>
        <w:footnoteRef/>
      </w:r>
      <w:r w:rsidRPr="0002524D">
        <w:rPr>
          <w:snapToGrid w:val="0"/>
          <w:kern w:val="18"/>
          <w:szCs w:val="18"/>
          <w:lang w:val="fr-CA"/>
        </w:rPr>
        <w:t xml:space="preserve"> Le cadre stratégique </w:t>
      </w:r>
      <w:r>
        <w:rPr>
          <w:snapToGrid w:val="0"/>
          <w:kern w:val="18"/>
          <w:szCs w:val="18"/>
          <w:lang w:val="fr-CA"/>
        </w:rPr>
        <w:t>à long terme est élaboré davantage dans le document CBD/SBI/3/7/Add.1</w:t>
      </w:r>
      <w:r w:rsidRPr="00DA46F6">
        <w:rPr>
          <w:snapToGrid w:val="0"/>
          <w:kern w:val="18"/>
          <w:szCs w:val="18"/>
          <w:lang w:val="fr-CA"/>
        </w:rPr>
        <w:t>.</w:t>
      </w:r>
    </w:p>
  </w:footnote>
  <w:footnote w:id="45">
    <w:p w14:paraId="5A63F3EE" w14:textId="22F89B02" w:rsidR="002E39A4" w:rsidRPr="00DA46F6"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A46F6">
        <w:rPr>
          <w:rStyle w:val="FootnoteReference"/>
          <w:snapToGrid w:val="0"/>
          <w:kern w:val="18"/>
          <w:sz w:val="18"/>
          <w:szCs w:val="18"/>
          <w:lang w:val="fr-CA"/>
        </w:rPr>
        <w:footnoteRef/>
      </w:r>
      <w:r w:rsidRPr="00DA46F6">
        <w:rPr>
          <w:snapToGrid w:val="0"/>
          <w:kern w:val="18"/>
          <w:szCs w:val="18"/>
          <w:lang w:val="fr-CA"/>
        </w:rPr>
        <w:t xml:space="preserve"> </w:t>
      </w:r>
      <w:r>
        <w:rPr>
          <w:snapToGrid w:val="0"/>
          <w:kern w:val="18"/>
          <w:szCs w:val="18"/>
          <w:lang w:val="fr-CA"/>
        </w:rPr>
        <w:t>Voir le document</w:t>
      </w:r>
      <w:r w:rsidRPr="00DA46F6">
        <w:rPr>
          <w:snapToGrid w:val="0"/>
          <w:kern w:val="18"/>
          <w:szCs w:val="18"/>
          <w:lang w:val="fr-CA"/>
        </w:rPr>
        <w:t xml:space="preserve"> CBD/SBI/3/18.</w:t>
      </w:r>
    </w:p>
  </w:footnote>
  <w:footnote w:id="46">
    <w:p w14:paraId="419DC612" w14:textId="074C76BF" w:rsidR="002E39A4" w:rsidRPr="00DA46F6"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DA46F6">
        <w:rPr>
          <w:rStyle w:val="FootnoteReference"/>
          <w:snapToGrid w:val="0"/>
          <w:kern w:val="18"/>
          <w:sz w:val="18"/>
          <w:szCs w:val="18"/>
          <w:lang w:val="fr-CA"/>
        </w:rPr>
        <w:footnoteRef/>
      </w:r>
      <w:r w:rsidRPr="00DA46F6">
        <w:rPr>
          <w:snapToGrid w:val="0"/>
          <w:kern w:val="18"/>
          <w:szCs w:val="18"/>
          <w:lang w:val="fr-CA"/>
        </w:rPr>
        <w:t xml:space="preserve"> </w:t>
      </w:r>
      <w:r>
        <w:rPr>
          <w:snapToGrid w:val="0"/>
          <w:kern w:val="18"/>
          <w:szCs w:val="18"/>
          <w:lang w:val="fr-CA"/>
        </w:rPr>
        <w:t>Voir le document</w:t>
      </w:r>
      <w:r w:rsidRPr="00DA46F6">
        <w:rPr>
          <w:snapToGrid w:val="0"/>
          <w:kern w:val="18"/>
          <w:szCs w:val="18"/>
          <w:lang w:val="fr-CA"/>
        </w:rPr>
        <w:t xml:space="preserve"> CBD/SBI/3/16.</w:t>
      </w:r>
    </w:p>
  </w:footnote>
  <w:footnote w:id="47">
    <w:p w14:paraId="4CC1053B" w14:textId="57C3449D" w:rsidR="002E39A4" w:rsidRPr="00C3205E"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F1045C">
        <w:rPr>
          <w:snapToGrid w:val="0"/>
          <w:kern w:val="18"/>
          <w:szCs w:val="18"/>
          <w:lang w:val="fr-CA"/>
        </w:rPr>
        <w:t> </w:t>
      </w:r>
      <w:r w:rsidRPr="00C3205E">
        <w:rPr>
          <w:snapToGrid w:val="0"/>
          <w:kern w:val="18"/>
          <w:szCs w:val="18"/>
          <w:lang w:val="fr-CA"/>
        </w:rPr>
        <w:t>Voir CEB/2020/1</w:t>
      </w:r>
      <w:r w:rsidR="009669E1">
        <w:fldChar w:fldCharType="begin"/>
      </w:r>
      <w:r w:rsidR="009669E1" w:rsidRPr="009669E1">
        <w:rPr>
          <w:lang w:val="fr-CA"/>
        </w:rPr>
        <w:instrText xml:space="preserve"> HYPERLINK </w:instrText>
      </w:r>
      <w:r w:rsidR="009669E1">
        <w:fldChar w:fldCharType="separate"/>
      </w:r>
      <w:r w:rsidR="009669E1">
        <w:fldChar w:fldCharType="end"/>
      </w:r>
      <w:r w:rsidRPr="00C3205E">
        <w:rPr>
          <w:snapToGrid w:val="0"/>
          <w:kern w:val="18"/>
          <w:szCs w:val="18"/>
          <w:lang w:val="fr-CA"/>
        </w:rPr>
        <w:t>.</w:t>
      </w:r>
    </w:p>
  </w:footnote>
  <w:footnote w:id="48">
    <w:p w14:paraId="5F723D57" w14:textId="7A89E618" w:rsidR="002E39A4" w:rsidRPr="00B73BE5" w:rsidRDefault="002E39A4" w:rsidP="00AA5D70">
      <w:pPr>
        <w:pStyle w:val="FootnoteText"/>
        <w:suppressLineNumbers/>
        <w:suppressAutoHyphens/>
        <w:adjustRightInd w:val="0"/>
        <w:snapToGrid w:val="0"/>
        <w:ind w:firstLine="0"/>
        <w:jc w:val="left"/>
        <w:rPr>
          <w:szCs w:val="18"/>
          <w:lang w:val="fr-CA"/>
        </w:rPr>
      </w:pPr>
      <w:r w:rsidRPr="00AA5D70">
        <w:rPr>
          <w:rStyle w:val="FootnoteReference"/>
          <w:sz w:val="18"/>
          <w:szCs w:val="18"/>
        </w:rPr>
        <w:footnoteRef/>
      </w:r>
      <w:r w:rsidRPr="00F1045C">
        <w:rPr>
          <w:szCs w:val="18"/>
          <w:lang w:val="fr-CA"/>
        </w:rPr>
        <w:t xml:space="preserve"> </w:t>
      </w:r>
      <w:r w:rsidRPr="00B73BE5">
        <w:rPr>
          <w:szCs w:val="18"/>
          <w:lang w:val="fr-CA"/>
        </w:rPr>
        <w:t>CBD/SBI/3/7/Add.2.</w:t>
      </w:r>
    </w:p>
  </w:footnote>
  <w:footnote w:id="49">
    <w:p w14:paraId="54595D97" w14:textId="204D9A8A" w:rsidR="002E39A4" w:rsidRPr="00B73BE5"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B73BE5">
        <w:rPr>
          <w:rStyle w:val="FootnoteReference"/>
          <w:snapToGrid w:val="0"/>
          <w:kern w:val="18"/>
          <w:sz w:val="18"/>
          <w:szCs w:val="18"/>
          <w:lang w:val="fr-CA"/>
        </w:rPr>
        <w:footnoteRef/>
      </w:r>
      <w:r w:rsidRPr="00B73BE5">
        <w:rPr>
          <w:snapToGrid w:val="0"/>
          <w:kern w:val="18"/>
          <w:szCs w:val="18"/>
          <w:lang w:val="fr-CA"/>
        </w:rPr>
        <w:t xml:space="preserve"> Les propositions sont élaborées dans le document CBD/SBI/3/INF/15.</w:t>
      </w:r>
    </w:p>
  </w:footnote>
  <w:footnote w:id="50">
    <w:p w14:paraId="04D93B49" w14:textId="1FBCD0FF" w:rsidR="002E39A4" w:rsidRPr="00B73BE5" w:rsidRDefault="002E39A4" w:rsidP="00AA5D70">
      <w:pPr>
        <w:pStyle w:val="FootnoteText"/>
        <w:suppressLineNumbers/>
        <w:suppressAutoHyphens/>
        <w:adjustRightInd w:val="0"/>
        <w:snapToGrid w:val="0"/>
        <w:ind w:firstLine="0"/>
        <w:jc w:val="left"/>
        <w:rPr>
          <w:szCs w:val="18"/>
          <w:lang w:val="fr-CA"/>
        </w:rPr>
      </w:pPr>
      <w:r w:rsidRPr="00B73BE5">
        <w:rPr>
          <w:rStyle w:val="FootnoteReference"/>
          <w:sz w:val="18"/>
          <w:szCs w:val="18"/>
          <w:lang w:val="fr-CA"/>
        </w:rPr>
        <w:footnoteRef/>
      </w:r>
      <w:r w:rsidRPr="00B73BE5">
        <w:rPr>
          <w:szCs w:val="18"/>
          <w:lang w:val="fr-CA"/>
        </w:rPr>
        <w:t xml:space="preserve"> </w:t>
      </w:r>
      <w:r w:rsidRPr="00B73BE5">
        <w:rPr>
          <w:kern w:val="22"/>
          <w:szCs w:val="18"/>
          <w:lang w:val="fr-CA"/>
        </w:rPr>
        <w:t>CBD/SBI/3/7/Add.2.</w:t>
      </w:r>
    </w:p>
  </w:footnote>
  <w:footnote w:id="51">
    <w:p w14:paraId="52B37DCA" w14:textId="773440EE" w:rsidR="002E39A4" w:rsidRPr="00A0055F"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A0055F">
        <w:rPr>
          <w:snapToGrid w:val="0"/>
          <w:kern w:val="18"/>
          <w:szCs w:val="18"/>
          <w:lang w:val="fr-CA"/>
        </w:rPr>
        <w:t xml:space="preserve"> </w:t>
      </w:r>
      <w:r w:rsidRPr="00F96191">
        <w:rPr>
          <w:snapToGrid w:val="0"/>
          <w:spacing w:val="-8"/>
          <w:kern w:val="18"/>
          <w:szCs w:val="18"/>
          <w:lang w:val="fr-CA"/>
        </w:rPr>
        <w:t xml:space="preserve">Voir la </w:t>
      </w:r>
      <w:r>
        <w:rPr>
          <w:snapToGrid w:val="0"/>
          <w:spacing w:val="-8"/>
          <w:kern w:val="18"/>
          <w:szCs w:val="18"/>
          <w:lang w:val="fr-CA"/>
        </w:rPr>
        <w:t>ré</w:t>
      </w:r>
      <w:r w:rsidRPr="00F96191">
        <w:rPr>
          <w:snapToGrid w:val="0"/>
          <w:spacing w:val="-8"/>
          <w:kern w:val="18"/>
          <w:szCs w:val="18"/>
          <w:lang w:val="fr-CA"/>
        </w:rPr>
        <w:t>solution 70/1 de l’Assemblée générale datée du 25 septembre 2015, intitulée « Transformer notre monde : le Prog</w:t>
      </w:r>
      <w:r>
        <w:rPr>
          <w:snapToGrid w:val="0"/>
          <w:spacing w:val="-8"/>
          <w:kern w:val="18"/>
          <w:szCs w:val="18"/>
          <w:lang w:val="fr-CA"/>
        </w:rPr>
        <w:t>ramme de développement durable à l’horizon 2030 ».</w:t>
      </w:r>
    </w:p>
  </w:footnote>
  <w:footnote w:id="52">
    <w:p w14:paraId="23F2795C" w14:textId="41A5EA38" w:rsidR="002E39A4" w:rsidRPr="00093FBF"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4B7054">
        <w:rPr>
          <w:snapToGrid w:val="0"/>
          <w:kern w:val="18"/>
          <w:szCs w:val="18"/>
          <w:lang w:val="fr-CA"/>
        </w:rPr>
        <w:t xml:space="preserve"> </w:t>
      </w:r>
      <w:r w:rsidRPr="00093FBF">
        <w:rPr>
          <w:snapToGrid w:val="0"/>
          <w:kern w:val="18"/>
          <w:szCs w:val="18"/>
          <w:lang w:val="fr-CA"/>
        </w:rPr>
        <w:t>Dans le contexte de ce cadre, les acteurs gouvernementaux comprennent, selon qu’il convient, les institutions gouvernementales nationales et infranationales. L’expression « acteurs non gouvernementaux », comprend les organisations et programmes des Nations Unies, les accords multilatéraux sur l’environnement, les organisations intergouvernementales, les organisations communautaires, les peuples autochtones et les communautés locales, le milieu universitaire, les groupes spirituels et religieux, les organisations pour les femmes et les jeunes, les organisations non gouvernementales, les médias, la communauté scientifique et les entités du secteur privé telles que les institutions financières privées, les entreprises, les industries, les assureurs, les producteurs et les investisseurs.</w:t>
      </w:r>
    </w:p>
  </w:footnote>
  <w:footnote w:id="53">
    <w:p w14:paraId="2826787E" w14:textId="4E4D0195" w:rsidR="002E39A4" w:rsidRPr="00093FBF"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093FBF">
        <w:rPr>
          <w:rStyle w:val="FootnoteReference"/>
          <w:snapToGrid w:val="0"/>
          <w:kern w:val="18"/>
          <w:sz w:val="18"/>
          <w:szCs w:val="18"/>
          <w:lang w:val="fr-CA"/>
        </w:rPr>
        <w:footnoteRef/>
      </w:r>
      <w:r w:rsidRPr="00093FBF">
        <w:rPr>
          <w:snapToGrid w:val="0"/>
          <w:kern w:val="18"/>
          <w:szCs w:val="18"/>
          <w:lang w:val="fr-CA"/>
        </w:rPr>
        <w:t xml:space="preserve"> Un rapport de l’étude est présenté dans le document d’information CBD/SBI/3/INF/9.</w:t>
      </w:r>
    </w:p>
  </w:footnote>
  <w:footnote w:id="54">
    <w:p w14:paraId="66E94AD8" w14:textId="3EE486F2" w:rsidR="002E39A4" w:rsidRPr="00093FBF"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093FBF">
        <w:rPr>
          <w:rStyle w:val="FootnoteReference"/>
          <w:snapToGrid w:val="0"/>
          <w:kern w:val="18"/>
          <w:sz w:val="18"/>
          <w:szCs w:val="18"/>
          <w:lang w:val="fr-CA"/>
        </w:rPr>
        <w:footnoteRef/>
      </w:r>
      <w:r w:rsidRPr="00093FBF">
        <w:rPr>
          <w:snapToGrid w:val="0"/>
          <w:kern w:val="18"/>
          <w:szCs w:val="18"/>
          <w:lang w:val="fr-CA"/>
        </w:rPr>
        <w:t xml:space="preserve"> Adapté de la définition donnée dans « </w:t>
      </w:r>
      <w:proofErr w:type="spellStart"/>
      <w:r w:rsidRPr="00093FBF">
        <w:rPr>
          <w:snapToGrid w:val="0"/>
          <w:kern w:val="18"/>
          <w:szCs w:val="18"/>
          <w:lang w:val="fr-CA"/>
        </w:rPr>
        <w:t>Capacity</w:t>
      </w:r>
      <w:proofErr w:type="spellEnd"/>
      <w:r w:rsidRPr="00093FBF">
        <w:rPr>
          <w:snapToGrid w:val="0"/>
          <w:kern w:val="18"/>
          <w:szCs w:val="18"/>
          <w:lang w:val="fr-CA"/>
        </w:rPr>
        <w:t xml:space="preserve"> </w:t>
      </w:r>
      <w:proofErr w:type="spellStart"/>
      <w:r w:rsidRPr="00093FBF">
        <w:rPr>
          <w:snapToGrid w:val="0"/>
          <w:kern w:val="18"/>
          <w:szCs w:val="18"/>
          <w:lang w:val="fr-CA"/>
        </w:rPr>
        <w:t>Development</w:t>
      </w:r>
      <w:proofErr w:type="spellEnd"/>
      <w:r w:rsidRPr="00093FBF">
        <w:rPr>
          <w:snapToGrid w:val="0"/>
          <w:kern w:val="18"/>
          <w:szCs w:val="18"/>
          <w:lang w:val="fr-CA"/>
        </w:rPr>
        <w:t xml:space="preserve"> : UNDAF </w:t>
      </w:r>
      <w:proofErr w:type="spellStart"/>
      <w:r w:rsidRPr="00093FBF">
        <w:rPr>
          <w:snapToGrid w:val="0"/>
          <w:kern w:val="18"/>
          <w:szCs w:val="18"/>
          <w:lang w:val="fr-CA"/>
        </w:rPr>
        <w:t>Companion</w:t>
      </w:r>
      <w:proofErr w:type="spellEnd"/>
      <w:r w:rsidRPr="00093FBF">
        <w:rPr>
          <w:snapToGrid w:val="0"/>
          <w:kern w:val="18"/>
          <w:szCs w:val="18"/>
          <w:lang w:val="fr-CA"/>
        </w:rPr>
        <w:t xml:space="preserve"> Guidance » 2017 du GNUD, publié sur le site https://unsdg.un.org/resources/capacity-development-undaf-companion-guidance. </w:t>
      </w:r>
    </w:p>
  </w:footnote>
  <w:footnote w:id="55">
    <w:p w14:paraId="1EE92ED7" w14:textId="4C8F8151" w:rsidR="002E39A4" w:rsidRPr="009D2B22" w:rsidRDefault="002E39A4" w:rsidP="00AA5D70">
      <w:pPr>
        <w:pStyle w:val="FootnoteText"/>
        <w:suppressLineNumbers/>
        <w:suppressAutoHyphens/>
        <w:kinsoku w:val="0"/>
        <w:overflowPunct w:val="0"/>
        <w:autoSpaceDE w:val="0"/>
        <w:autoSpaceDN w:val="0"/>
        <w:adjustRightInd w:val="0"/>
        <w:snapToGrid w:val="0"/>
        <w:ind w:firstLine="0"/>
        <w:jc w:val="left"/>
        <w:rPr>
          <w:snapToGrid w:val="0"/>
          <w:spacing w:val="-4"/>
          <w:kern w:val="18"/>
          <w:szCs w:val="18"/>
          <w:lang w:val="fr-CA"/>
        </w:rPr>
      </w:pPr>
      <w:r w:rsidRPr="00AA5D70">
        <w:rPr>
          <w:rStyle w:val="FootnoteReference"/>
          <w:snapToGrid w:val="0"/>
          <w:spacing w:val="-4"/>
          <w:kern w:val="18"/>
          <w:sz w:val="18"/>
          <w:szCs w:val="18"/>
        </w:rPr>
        <w:footnoteRef/>
      </w:r>
      <w:r w:rsidRPr="002612CF">
        <w:rPr>
          <w:snapToGrid w:val="0"/>
          <w:spacing w:val="-4"/>
          <w:kern w:val="18"/>
          <w:szCs w:val="18"/>
          <w:lang w:val="fr-CA"/>
        </w:rPr>
        <w:t xml:space="preserve"> </w:t>
      </w:r>
      <w:r w:rsidRPr="009D2B22">
        <w:rPr>
          <w:snapToGrid w:val="0"/>
          <w:spacing w:val="-4"/>
          <w:kern w:val="18"/>
          <w:szCs w:val="18"/>
          <w:lang w:val="fr-CA"/>
        </w:rPr>
        <w:t>Une organisation peut devenir une « organisation d’apprentissage » en appliquant les connaissances internes existantes et les leçons et enseignement</w:t>
      </w:r>
      <w:r w:rsidR="00472F03">
        <w:rPr>
          <w:snapToGrid w:val="0"/>
          <w:spacing w:val="-4"/>
          <w:kern w:val="18"/>
          <w:szCs w:val="18"/>
          <w:lang w:val="fr-CA"/>
        </w:rPr>
        <w:t>s</w:t>
      </w:r>
      <w:r w:rsidRPr="009D2B22">
        <w:rPr>
          <w:snapToGrid w:val="0"/>
          <w:spacing w:val="-4"/>
          <w:kern w:val="18"/>
          <w:szCs w:val="18"/>
          <w:lang w:val="fr-CA"/>
        </w:rPr>
        <w:t xml:space="preserve"> tirés des expériences antérieures dans le but d’améliorer son efficacité (p. ex., voir https://warwick.ac.uk/fac/soc/wbs/conf/olkc/archive/olk4/papers/villardi.pdf</w:t>
      </w:r>
    </w:p>
  </w:footnote>
  <w:footnote w:id="56">
    <w:p w14:paraId="72B6B6EF" w14:textId="2156F6F7" w:rsidR="002E39A4" w:rsidRPr="009D2B22"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9D2B22">
        <w:rPr>
          <w:rStyle w:val="FootnoteReference"/>
          <w:snapToGrid w:val="0"/>
          <w:kern w:val="18"/>
          <w:sz w:val="18"/>
          <w:szCs w:val="18"/>
          <w:lang w:val="fr-CA"/>
        </w:rPr>
        <w:footnoteRef/>
      </w:r>
      <w:r w:rsidRPr="009D2B22">
        <w:rPr>
          <w:snapToGrid w:val="0"/>
          <w:kern w:val="18"/>
          <w:szCs w:val="18"/>
          <w:lang w:val="fr-CA"/>
        </w:rPr>
        <w:t xml:space="preserve"> L’élaboration de cette théorie du changement a pris en considération l’orientation technique fournie dans le cadre du processus du Plan-cadre des Nations Unies pour l’aide au développement (https://unsdg.un.org/resources/theory-change-undaf-companion-guidance. </w:t>
      </w:r>
    </w:p>
  </w:footnote>
  <w:footnote w:id="57">
    <w:p w14:paraId="7F12904E" w14:textId="61CE3E65" w:rsidR="002E39A4" w:rsidRPr="0011675B"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11675B">
        <w:rPr>
          <w:snapToGrid w:val="0"/>
          <w:kern w:val="18"/>
          <w:szCs w:val="18"/>
          <w:lang w:val="fr-CA"/>
        </w:rPr>
        <w:t xml:space="preserve"> </w:t>
      </w:r>
      <w:r>
        <w:rPr>
          <w:snapToGrid w:val="0"/>
          <w:kern w:val="18"/>
          <w:szCs w:val="18"/>
          <w:lang w:val="fr-CA"/>
        </w:rPr>
        <w:t xml:space="preserve">Au moins 19 Parties à la Convention sur </w:t>
      </w:r>
      <w:proofErr w:type="gramStart"/>
      <w:r>
        <w:rPr>
          <w:snapToGrid w:val="0"/>
          <w:kern w:val="18"/>
          <w:szCs w:val="18"/>
          <w:lang w:val="fr-CA"/>
        </w:rPr>
        <w:t>le diversité</w:t>
      </w:r>
      <w:proofErr w:type="gramEnd"/>
      <w:r>
        <w:rPr>
          <w:snapToGrid w:val="0"/>
          <w:kern w:val="18"/>
          <w:szCs w:val="18"/>
          <w:lang w:val="fr-CA"/>
        </w:rPr>
        <w:t xml:space="preserve"> biologique ont préparé des stratégies ou plans de renforcement des capacités pour la biodiversité, en tant que chapitre ou de partie de la SPANB ou du document autonome : https://www.cbd.int/cb/plans</w:t>
      </w:r>
      <w:r w:rsidRPr="0011675B">
        <w:rPr>
          <w:snapToGrid w:val="0"/>
          <w:kern w:val="18"/>
          <w:szCs w:val="18"/>
          <w:lang w:val="fr-CA"/>
        </w:rPr>
        <w:t>.</w:t>
      </w:r>
      <w:r w:rsidR="009669E1">
        <w:fldChar w:fldCharType="begin"/>
      </w:r>
      <w:r w:rsidR="009669E1" w:rsidRPr="009669E1">
        <w:rPr>
          <w:lang w:val="fr-CA"/>
        </w:rPr>
        <w:instrText xml:space="preserve"> HYPERLINK </w:instrText>
      </w:r>
      <w:r w:rsidR="009669E1">
        <w:fldChar w:fldCharType="separate"/>
      </w:r>
      <w:r w:rsidR="009669E1">
        <w:fldChar w:fldCharType="end"/>
      </w:r>
    </w:p>
  </w:footnote>
  <w:footnote w:id="58">
    <w:p w14:paraId="78134EC6" w14:textId="395FA773" w:rsidR="002E39A4" w:rsidRPr="005908A9"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5908A9">
        <w:rPr>
          <w:snapToGrid w:val="0"/>
          <w:kern w:val="18"/>
          <w:szCs w:val="18"/>
          <w:lang w:val="fr-CA"/>
        </w:rPr>
        <w:t xml:space="preserve"> </w:t>
      </w:r>
      <w:r>
        <w:rPr>
          <w:snapToGrid w:val="0"/>
          <w:kern w:val="18"/>
          <w:szCs w:val="18"/>
          <w:lang w:val="fr-CA"/>
        </w:rPr>
        <w:t xml:space="preserve">Le renforcement des capacités est l’un des secteurs de résultats de base du Plan-cadre des Nations Unies pour l’aide au développement (PNUAD), renommé Cadre de coopération au développement durable des Nations Unies dans la résolution 72/279 de l’Assemblée générale, et ce dans plusieurs pays, comme le démontre l’exemple du Bhoutan (https://www.unicef.org/evaldatabase/index_70552.html </w:t>
      </w:r>
    </w:p>
  </w:footnote>
  <w:footnote w:id="59">
    <w:p w14:paraId="17C1F52C" w14:textId="6D357FA8" w:rsidR="002E39A4" w:rsidRPr="005908A9" w:rsidRDefault="002E39A4" w:rsidP="00AA5D70">
      <w:pPr>
        <w:keepLines/>
        <w:suppressLineNumbers/>
        <w:suppressAutoHyphens/>
        <w:kinsoku w:val="0"/>
        <w:overflowPunct w:val="0"/>
        <w:autoSpaceDE w:val="0"/>
        <w:autoSpaceDN w:val="0"/>
        <w:adjustRightInd w:val="0"/>
        <w:snapToGrid w:val="0"/>
        <w:spacing w:after="60"/>
        <w:jc w:val="left"/>
        <w:rPr>
          <w:snapToGrid w:val="0"/>
          <w:kern w:val="18"/>
          <w:sz w:val="18"/>
          <w:szCs w:val="18"/>
          <w:lang w:val="fr-CA"/>
        </w:rPr>
      </w:pPr>
      <w:r w:rsidRPr="005908A9">
        <w:rPr>
          <w:rStyle w:val="FootnoteReference"/>
          <w:snapToGrid w:val="0"/>
          <w:kern w:val="18"/>
          <w:sz w:val="18"/>
          <w:szCs w:val="18"/>
          <w:lang w:val="fr-CA"/>
        </w:rPr>
        <w:footnoteRef/>
      </w:r>
      <w:r w:rsidRPr="005908A9">
        <w:rPr>
          <w:snapToGrid w:val="0"/>
          <w:kern w:val="18"/>
          <w:sz w:val="18"/>
          <w:szCs w:val="18"/>
          <w:lang w:val="fr-CA"/>
        </w:rPr>
        <w:t xml:space="preserve"> </w:t>
      </w:r>
      <w:r>
        <w:rPr>
          <w:snapToGrid w:val="0"/>
          <w:kern w:val="18"/>
          <w:sz w:val="18"/>
          <w:szCs w:val="18"/>
          <w:lang w:val="fr-CA"/>
        </w:rPr>
        <w:t xml:space="preserve">Comme cité dans la publication </w:t>
      </w:r>
      <w:proofErr w:type="spellStart"/>
      <w:r>
        <w:rPr>
          <w:snapToGrid w:val="0"/>
          <w:kern w:val="18"/>
          <w:sz w:val="18"/>
          <w:szCs w:val="18"/>
          <w:lang w:val="fr-CA"/>
        </w:rPr>
        <w:t>Incentive</w:t>
      </w:r>
      <w:proofErr w:type="spellEnd"/>
      <w:r>
        <w:rPr>
          <w:snapToGrid w:val="0"/>
          <w:kern w:val="18"/>
          <w:sz w:val="18"/>
          <w:szCs w:val="18"/>
          <w:lang w:val="fr-CA"/>
        </w:rPr>
        <w:t xml:space="preserve"> </w:t>
      </w:r>
      <w:proofErr w:type="spellStart"/>
      <w:r>
        <w:rPr>
          <w:snapToGrid w:val="0"/>
          <w:kern w:val="18"/>
          <w:sz w:val="18"/>
          <w:szCs w:val="18"/>
          <w:lang w:val="fr-CA"/>
        </w:rPr>
        <w:t>Systems</w:t>
      </w:r>
      <w:proofErr w:type="spellEnd"/>
      <w:r>
        <w:rPr>
          <w:snapToGrid w:val="0"/>
          <w:kern w:val="18"/>
          <w:sz w:val="18"/>
          <w:szCs w:val="18"/>
          <w:lang w:val="fr-CA"/>
        </w:rPr>
        <w:t xml:space="preserve">: </w:t>
      </w:r>
      <w:proofErr w:type="spellStart"/>
      <w:r>
        <w:rPr>
          <w:snapToGrid w:val="0"/>
          <w:kern w:val="18"/>
          <w:sz w:val="18"/>
          <w:szCs w:val="18"/>
          <w:lang w:val="fr-CA"/>
        </w:rPr>
        <w:t>Incentives</w:t>
      </w:r>
      <w:proofErr w:type="spellEnd"/>
      <w:r>
        <w:rPr>
          <w:snapToGrid w:val="0"/>
          <w:kern w:val="18"/>
          <w:sz w:val="18"/>
          <w:szCs w:val="18"/>
          <w:lang w:val="fr-CA"/>
        </w:rPr>
        <w:t xml:space="preserve">, motivation and </w:t>
      </w:r>
      <w:proofErr w:type="spellStart"/>
      <w:r>
        <w:rPr>
          <w:snapToGrid w:val="0"/>
          <w:kern w:val="18"/>
          <w:sz w:val="18"/>
          <w:szCs w:val="18"/>
          <w:lang w:val="fr-CA"/>
        </w:rPr>
        <w:t>development</w:t>
      </w:r>
      <w:proofErr w:type="spellEnd"/>
      <w:r>
        <w:rPr>
          <w:snapToGrid w:val="0"/>
          <w:kern w:val="18"/>
          <w:sz w:val="18"/>
          <w:szCs w:val="18"/>
          <w:lang w:val="fr-CA"/>
        </w:rPr>
        <w:t xml:space="preserve"> performance du PNUD</w:t>
      </w:r>
      <w:r w:rsidRPr="005908A9">
        <w:rPr>
          <w:snapToGrid w:val="0"/>
          <w:kern w:val="18"/>
          <w:szCs w:val="18"/>
          <w:lang w:val="fr-CA"/>
        </w:rPr>
        <w:t>.</w:t>
      </w:r>
    </w:p>
  </w:footnote>
  <w:footnote w:id="60">
    <w:p w14:paraId="06E75A8D" w14:textId="3E76C82A" w:rsidR="002E39A4" w:rsidRPr="00A37E7E"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A37E7E">
        <w:rPr>
          <w:snapToGrid w:val="0"/>
          <w:kern w:val="18"/>
          <w:szCs w:val="18"/>
          <w:lang w:val="fr-CA"/>
        </w:rPr>
        <w:t xml:space="preserve"> </w:t>
      </w:r>
      <w:r>
        <w:rPr>
          <w:snapToGrid w:val="0"/>
          <w:kern w:val="18"/>
          <w:szCs w:val="18"/>
          <w:lang w:val="fr-CA"/>
        </w:rPr>
        <w:t>Le comité de soutien à la mise en œuvre pourrait offrir des conseils et une orientation stratégique sur les moyens de mettre en œuvre le cadre mondial de la biodiversité pour l'après-2020, notamment le renforcement des capacités, la coopération technique et scientifique, le transfert de technologie, la gestion des connaissances, la mobilisation des ressources et autres.</w:t>
      </w:r>
    </w:p>
  </w:footnote>
  <w:footnote w:id="61">
    <w:p w14:paraId="74898439" w14:textId="223445D5" w:rsidR="002E39A4" w:rsidRPr="00A37E7E"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37E7E">
        <w:rPr>
          <w:rStyle w:val="FootnoteReference"/>
          <w:snapToGrid w:val="0"/>
          <w:kern w:val="18"/>
          <w:sz w:val="18"/>
          <w:szCs w:val="18"/>
          <w:lang w:val="fr-CA"/>
        </w:rPr>
        <w:footnoteRef/>
      </w:r>
      <w:r w:rsidRPr="00A37E7E">
        <w:rPr>
          <w:snapToGrid w:val="0"/>
          <w:kern w:val="18"/>
          <w:szCs w:val="18"/>
          <w:lang w:val="fr-CA"/>
        </w:rPr>
        <w:t xml:space="preserve"> </w:t>
      </w:r>
      <w:r>
        <w:rPr>
          <w:snapToGrid w:val="0"/>
          <w:kern w:val="18"/>
          <w:szCs w:val="18"/>
          <w:lang w:val="fr-CA"/>
        </w:rPr>
        <w:t>L’équipe spéciale du GGE (https://unemg/org) ou du Groupe de liaison des conventions liées à la diversité biologique (www.cbd.int/blg/) pourrait inclure des représentants des organisations compétentes, des peuples autochtones et des communautés locales, des organisations de la société civile, du secteur privé, des donateurs et du milieu universitaire</w:t>
      </w:r>
      <w:r w:rsidRPr="00A37E7E">
        <w:rPr>
          <w:snapToGrid w:val="0"/>
          <w:kern w:val="18"/>
          <w:szCs w:val="18"/>
          <w:lang w:val="fr-CA"/>
        </w:rPr>
        <w:t>.</w:t>
      </w:r>
    </w:p>
  </w:footnote>
  <w:footnote w:id="62">
    <w:p w14:paraId="00C252D3" w14:textId="110A1EF3" w:rsidR="002E39A4" w:rsidRPr="0084599D" w:rsidRDefault="002E39A4" w:rsidP="00AA5D70">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AA5D70">
        <w:rPr>
          <w:rStyle w:val="FootnoteReference"/>
          <w:snapToGrid w:val="0"/>
          <w:kern w:val="18"/>
          <w:sz w:val="18"/>
          <w:szCs w:val="18"/>
        </w:rPr>
        <w:footnoteRef/>
      </w:r>
      <w:r w:rsidRPr="0084599D">
        <w:rPr>
          <w:snapToGrid w:val="0"/>
          <w:kern w:val="18"/>
          <w:szCs w:val="18"/>
          <w:lang w:val="fr-CA"/>
        </w:rPr>
        <w:t xml:space="preserve"> Une série d’ateliers consisterait en cinq ateliers régionaux et un atelier mondial.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93381937"/>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09701DC" w14:textId="40F19E8B" w:rsidR="002E39A4" w:rsidRPr="00AC4770" w:rsidRDefault="002E39A4" w:rsidP="00AC4770">
        <w:pPr>
          <w:pStyle w:val="Header"/>
          <w:keepLines/>
          <w:suppressLineNumbers/>
          <w:suppressAutoHyphens/>
          <w:jc w:val="left"/>
          <w:rPr>
            <w:noProof/>
            <w:kern w:val="22"/>
          </w:rPr>
        </w:pPr>
        <w:r>
          <w:rPr>
            <w:noProof/>
            <w:kern w:val="22"/>
          </w:rPr>
          <w:t>CBD/SBI/3/7</w:t>
        </w:r>
      </w:p>
    </w:sdtContent>
  </w:sdt>
  <w:p w14:paraId="6C2F58A5" w14:textId="77777777" w:rsidR="002E39A4" w:rsidRPr="00AC4770" w:rsidRDefault="002E39A4" w:rsidP="00AC4770">
    <w:pPr>
      <w:pStyle w:val="Header"/>
      <w:keepLines/>
      <w:suppressLineNumbers/>
      <w:suppressAutoHyphens/>
      <w:jc w:val="left"/>
      <w:rPr>
        <w:noProof/>
        <w:kern w:val="22"/>
      </w:rPr>
    </w:pPr>
    <w:r w:rsidRPr="00AC4770">
      <w:rPr>
        <w:noProof/>
        <w:kern w:val="22"/>
      </w:rPr>
      <w:t xml:space="preserve">Page </w:t>
    </w:r>
    <w:r w:rsidRPr="00AC4770">
      <w:rPr>
        <w:noProof/>
        <w:kern w:val="22"/>
      </w:rPr>
      <w:fldChar w:fldCharType="begin"/>
    </w:r>
    <w:r w:rsidRPr="00AC4770">
      <w:rPr>
        <w:noProof/>
        <w:kern w:val="22"/>
      </w:rPr>
      <w:instrText xml:space="preserve"> PAGE   \* MERGEFORMAT </w:instrText>
    </w:r>
    <w:r w:rsidRPr="00AC4770">
      <w:rPr>
        <w:noProof/>
        <w:kern w:val="22"/>
      </w:rPr>
      <w:fldChar w:fldCharType="separate"/>
    </w:r>
    <w:r w:rsidR="00621C11">
      <w:rPr>
        <w:noProof/>
        <w:kern w:val="22"/>
      </w:rPr>
      <w:t>24</w:t>
    </w:r>
    <w:r w:rsidRPr="00AC4770">
      <w:rPr>
        <w:noProof/>
        <w:kern w:val="22"/>
      </w:rPr>
      <w:fldChar w:fldCharType="end"/>
    </w:r>
  </w:p>
  <w:p w14:paraId="50968D8A" w14:textId="77777777" w:rsidR="002E39A4" w:rsidRPr="00AC4770" w:rsidRDefault="002E39A4" w:rsidP="00AC4770">
    <w:pPr>
      <w:keepLines/>
      <w:suppressLineNumber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15748941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E8D527C" w14:textId="105C0128" w:rsidR="002E39A4" w:rsidRDefault="002E39A4" w:rsidP="00AC4770">
        <w:pPr>
          <w:pStyle w:val="Header"/>
          <w:keepLines/>
          <w:suppressLineNumbers/>
          <w:tabs>
            <w:tab w:val="clear" w:pos="4320"/>
            <w:tab w:val="clear" w:pos="8640"/>
          </w:tabs>
          <w:suppressAutoHyphens/>
          <w:jc w:val="right"/>
          <w:rPr>
            <w:noProof/>
          </w:rPr>
        </w:pPr>
        <w:r>
          <w:rPr>
            <w:noProof/>
          </w:rPr>
          <w:t>CBD/SBI/3/7</w:t>
        </w:r>
      </w:p>
    </w:sdtContent>
  </w:sdt>
  <w:p w14:paraId="5EA22255" w14:textId="77777777" w:rsidR="002E39A4" w:rsidRDefault="002E39A4" w:rsidP="00AC4770">
    <w:pPr>
      <w:pStyle w:val="Header"/>
      <w:keepLines/>
      <w:suppressLineNumbers/>
      <w:tabs>
        <w:tab w:val="clear" w:pos="4320"/>
        <w:tab w:val="clear" w:pos="8640"/>
      </w:tabs>
      <w:suppressAutoHyphens/>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621C11">
      <w:rPr>
        <w:noProof/>
      </w:rPr>
      <w:t>23</w:t>
    </w:r>
    <w:r>
      <w:rPr>
        <w:noProof/>
      </w:rPr>
      <w:fldChar w:fldCharType="end"/>
    </w:r>
  </w:p>
  <w:p w14:paraId="0D0BF511" w14:textId="77777777" w:rsidR="002E39A4" w:rsidRDefault="002E39A4" w:rsidP="00AC4770">
    <w:pPr>
      <w:pStyle w:val="Header"/>
      <w:keepLines/>
      <w:suppressLineNumbers/>
      <w:tabs>
        <w:tab w:val="clear" w:pos="4320"/>
        <w:tab w:val="clear" w:pos="8640"/>
      </w:tabs>
      <w:suppressAutoHyphen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781"/>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323"/>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364BF"/>
    <w:multiLevelType w:val="multilevel"/>
    <w:tmpl w:val="9C68E1E2"/>
    <w:numStyleLink w:val="AnnexLettering"/>
  </w:abstractNum>
  <w:abstractNum w:abstractNumId="4" w15:restartNumberingAfterBreak="0">
    <w:nsid w:val="06CC64D7"/>
    <w:multiLevelType w:val="hybridMultilevel"/>
    <w:tmpl w:val="7C44DA5A"/>
    <w:lvl w:ilvl="0" w:tplc="5B4A940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E91ED2"/>
    <w:multiLevelType w:val="hybridMultilevel"/>
    <w:tmpl w:val="26A25D2A"/>
    <w:lvl w:ilvl="0" w:tplc="E3E6A1D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0352A"/>
    <w:multiLevelType w:val="hybridMultilevel"/>
    <w:tmpl w:val="C952DD68"/>
    <w:lvl w:ilvl="0" w:tplc="A38481F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1076FBC"/>
    <w:multiLevelType w:val="hybridMultilevel"/>
    <w:tmpl w:val="C870F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C71E5"/>
    <w:multiLevelType w:val="hybridMultilevel"/>
    <w:tmpl w:val="C6F2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3C06EE"/>
    <w:multiLevelType w:val="hybridMultilevel"/>
    <w:tmpl w:val="46883D7E"/>
    <w:lvl w:ilvl="0" w:tplc="6ADAB4B2">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C2E1F"/>
    <w:multiLevelType w:val="hybridMultilevel"/>
    <w:tmpl w:val="245681B8"/>
    <w:lvl w:ilvl="0" w:tplc="21E24B5A">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43CDC"/>
    <w:multiLevelType w:val="hybridMultilevel"/>
    <w:tmpl w:val="4FA4B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A2175"/>
    <w:multiLevelType w:val="hybridMultilevel"/>
    <w:tmpl w:val="E0107A06"/>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7033FE"/>
    <w:multiLevelType w:val="hybridMultilevel"/>
    <w:tmpl w:val="BBEE3E60"/>
    <w:lvl w:ilvl="0" w:tplc="69F0887E">
      <w:start w:val="1"/>
      <w:numFmt w:val="lowerLetter"/>
      <w:lvlText w:val="%1."/>
      <w:lvlJc w:val="left"/>
      <w:pPr>
        <w:tabs>
          <w:tab w:val="num" w:pos="720"/>
        </w:tabs>
        <w:ind w:left="720" w:hanging="360"/>
      </w:pPr>
    </w:lvl>
    <w:lvl w:ilvl="1" w:tplc="CBF0480E" w:tentative="1">
      <w:start w:val="1"/>
      <w:numFmt w:val="lowerLetter"/>
      <w:lvlText w:val="%2."/>
      <w:lvlJc w:val="left"/>
      <w:pPr>
        <w:tabs>
          <w:tab w:val="num" w:pos="1440"/>
        </w:tabs>
        <w:ind w:left="1440" w:hanging="360"/>
      </w:pPr>
    </w:lvl>
    <w:lvl w:ilvl="2" w:tplc="CE1C93EC" w:tentative="1">
      <w:start w:val="1"/>
      <w:numFmt w:val="lowerLetter"/>
      <w:lvlText w:val="%3."/>
      <w:lvlJc w:val="left"/>
      <w:pPr>
        <w:tabs>
          <w:tab w:val="num" w:pos="2160"/>
        </w:tabs>
        <w:ind w:left="2160" w:hanging="360"/>
      </w:pPr>
    </w:lvl>
    <w:lvl w:ilvl="3" w:tplc="3EE66CD0" w:tentative="1">
      <w:start w:val="1"/>
      <w:numFmt w:val="lowerLetter"/>
      <w:lvlText w:val="%4."/>
      <w:lvlJc w:val="left"/>
      <w:pPr>
        <w:tabs>
          <w:tab w:val="num" w:pos="2880"/>
        </w:tabs>
        <w:ind w:left="2880" w:hanging="360"/>
      </w:pPr>
    </w:lvl>
    <w:lvl w:ilvl="4" w:tplc="DD662BAE" w:tentative="1">
      <w:start w:val="1"/>
      <w:numFmt w:val="lowerLetter"/>
      <w:lvlText w:val="%5."/>
      <w:lvlJc w:val="left"/>
      <w:pPr>
        <w:tabs>
          <w:tab w:val="num" w:pos="3600"/>
        </w:tabs>
        <w:ind w:left="3600" w:hanging="360"/>
      </w:pPr>
    </w:lvl>
    <w:lvl w:ilvl="5" w:tplc="27EC09DA" w:tentative="1">
      <w:start w:val="1"/>
      <w:numFmt w:val="lowerLetter"/>
      <w:lvlText w:val="%6."/>
      <w:lvlJc w:val="left"/>
      <w:pPr>
        <w:tabs>
          <w:tab w:val="num" w:pos="4320"/>
        </w:tabs>
        <w:ind w:left="4320" w:hanging="360"/>
      </w:pPr>
    </w:lvl>
    <w:lvl w:ilvl="6" w:tplc="55F886E0" w:tentative="1">
      <w:start w:val="1"/>
      <w:numFmt w:val="lowerLetter"/>
      <w:lvlText w:val="%7."/>
      <w:lvlJc w:val="left"/>
      <w:pPr>
        <w:tabs>
          <w:tab w:val="num" w:pos="5040"/>
        </w:tabs>
        <w:ind w:left="5040" w:hanging="360"/>
      </w:pPr>
    </w:lvl>
    <w:lvl w:ilvl="7" w:tplc="EA3A32C2" w:tentative="1">
      <w:start w:val="1"/>
      <w:numFmt w:val="lowerLetter"/>
      <w:lvlText w:val="%8."/>
      <w:lvlJc w:val="left"/>
      <w:pPr>
        <w:tabs>
          <w:tab w:val="num" w:pos="5760"/>
        </w:tabs>
        <w:ind w:left="5760" w:hanging="360"/>
      </w:pPr>
    </w:lvl>
    <w:lvl w:ilvl="8" w:tplc="BA2E3150" w:tentative="1">
      <w:start w:val="1"/>
      <w:numFmt w:val="lowerLetter"/>
      <w:lvlText w:val="%9."/>
      <w:lvlJc w:val="left"/>
      <w:pPr>
        <w:tabs>
          <w:tab w:val="num" w:pos="6480"/>
        </w:tabs>
        <w:ind w:left="6480" w:hanging="360"/>
      </w:pPr>
    </w:lvl>
  </w:abstractNum>
  <w:abstractNum w:abstractNumId="15" w15:restartNumberingAfterBreak="0">
    <w:nsid w:val="191A2B9A"/>
    <w:multiLevelType w:val="hybridMultilevel"/>
    <w:tmpl w:val="AA96D98A"/>
    <w:lvl w:ilvl="0" w:tplc="BF721178">
      <w:start w:val="1"/>
      <w:numFmt w:val="upperRoman"/>
      <w:lvlText w:val="%1."/>
      <w:lvlJc w:val="left"/>
      <w:pPr>
        <w:ind w:left="180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D7B13"/>
    <w:multiLevelType w:val="hybridMultilevel"/>
    <w:tmpl w:val="A684C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66668"/>
    <w:multiLevelType w:val="hybridMultilevel"/>
    <w:tmpl w:val="F0C662E0"/>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D861D3"/>
    <w:multiLevelType w:val="hybridMultilevel"/>
    <w:tmpl w:val="65B8DDF8"/>
    <w:lvl w:ilvl="0" w:tplc="97A03B38">
      <w:start w:val="8"/>
      <w:numFmt w:val="lowerLetter"/>
      <w:lvlText w:val="%1."/>
      <w:lvlJc w:val="left"/>
      <w:pPr>
        <w:tabs>
          <w:tab w:val="num" w:pos="720"/>
        </w:tabs>
        <w:ind w:left="720" w:hanging="360"/>
      </w:pPr>
    </w:lvl>
    <w:lvl w:ilvl="1" w:tplc="2EA00204" w:tentative="1">
      <w:start w:val="1"/>
      <w:numFmt w:val="lowerLetter"/>
      <w:lvlText w:val="%2."/>
      <w:lvlJc w:val="left"/>
      <w:pPr>
        <w:tabs>
          <w:tab w:val="num" w:pos="1440"/>
        </w:tabs>
        <w:ind w:left="1440" w:hanging="360"/>
      </w:pPr>
    </w:lvl>
    <w:lvl w:ilvl="2" w:tplc="AE1048EA" w:tentative="1">
      <w:start w:val="1"/>
      <w:numFmt w:val="lowerLetter"/>
      <w:lvlText w:val="%3."/>
      <w:lvlJc w:val="left"/>
      <w:pPr>
        <w:tabs>
          <w:tab w:val="num" w:pos="2160"/>
        </w:tabs>
        <w:ind w:left="2160" w:hanging="360"/>
      </w:pPr>
    </w:lvl>
    <w:lvl w:ilvl="3" w:tplc="9DE2731A" w:tentative="1">
      <w:start w:val="1"/>
      <w:numFmt w:val="lowerLetter"/>
      <w:lvlText w:val="%4."/>
      <w:lvlJc w:val="left"/>
      <w:pPr>
        <w:tabs>
          <w:tab w:val="num" w:pos="2880"/>
        </w:tabs>
        <w:ind w:left="2880" w:hanging="360"/>
      </w:pPr>
    </w:lvl>
    <w:lvl w:ilvl="4" w:tplc="30EADFDE" w:tentative="1">
      <w:start w:val="1"/>
      <w:numFmt w:val="lowerLetter"/>
      <w:lvlText w:val="%5."/>
      <w:lvlJc w:val="left"/>
      <w:pPr>
        <w:tabs>
          <w:tab w:val="num" w:pos="3600"/>
        </w:tabs>
        <w:ind w:left="3600" w:hanging="360"/>
      </w:pPr>
    </w:lvl>
    <w:lvl w:ilvl="5" w:tplc="0C963D16" w:tentative="1">
      <w:start w:val="1"/>
      <w:numFmt w:val="lowerLetter"/>
      <w:lvlText w:val="%6."/>
      <w:lvlJc w:val="left"/>
      <w:pPr>
        <w:tabs>
          <w:tab w:val="num" w:pos="4320"/>
        </w:tabs>
        <w:ind w:left="4320" w:hanging="360"/>
      </w:pPr>
    </w:lvl>
    <w:lvl w:ilvl="6" w:tplc="D3560994" w:tentative="1">
      <w:start w:val="1"/>
      <w:numFmt w:val="lowerLetter"/>
      <w:lvlText w:val="%7."/>
      <w:lvlJc w:val="left"/>
      <w:pPr>
        <w:tabs>
          <w:tab w:val="num" w:pos="5040"/>
        </w:tabs>
        <w:ind w:left="5040" w:hanging="360"/>
      </w:pPr>
    </w:lvl>
    <w:lvl w:ilvl="7" w:tplc="CE566578" w:tentative="1">
      <w:start w:val="1"/>
      <w:numFmt w:val="lowerLetter"/>
      <w:lvlText w:val="%8."/>
      <w:lvlJc w:val="left"/>
      <w:pPr>
        <w:tabs>
          <w:tab w:val="num" w:pos="5760"/>
        </w:tabs>
        <w:ind w:left="5760" w:hanging="360"/>
      </w:pPr>
    </w:lvl>
    <w:lvl w:ilvl="8" w:tplc="2C1CAA3E" w:tentative="1">
      <w:start w:val="1"/>
      <w:numFmt w:val="lowerLetter"/>
      <w:lvlText w:val="%9."/>
      <w:lvlJc w:val="left"/>
      <w:pPr>
        <w:tabs>
          <w:tab w:val="num" w:pos="6480"/>
        </w:tabs>
        <w:ind w:left="6480" w:hanging="360"/>
      </w:pPr>
    </w:lvl>
  </w:abstractNum>
  <w:abstractNum w:abstractNumId="19" w15:restartNumberingAfterBreak="0">
    <w:nsid w:val="28DF37B3"/>
    <w:multiLevelType w:val="hybridMultilevel"/>
    <w:tmpl w:val="5040157C"/>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58438C"/>
    <w:multiLevelType w:val="hybridMultilevel"/>
    <w:tmpl w:val="34AAD2A8"/>
    <w:lvl w:ilvl="0" w:tplc="A7085ECA">
      <w:start w:val="5"/>
      <w:numFmt w:val="lowerLetter"/>
      <w:lvlText w:val="%1."/>
      <w:lvlJc w:val="left"/>
      <w:pPr>
        <w:tabs>
          <w:tab w:val="num" w:pos="720"/>
        </w:tabs>
        <w:ind w:left="720" w:hanging="360"/>
      </w:pPr>
    </w:lvl>
    <w:lvl w:ilvl="1" w:tplc="C9F2DD06" w:tentative="1">
      <w:start w:val="1"/>
      <w:numFmt w:val="lowerLetter"/>
      <w:lvlText w:val="%2."/>
      <w:lvlJc w:val="left"/>
      <w:pPr>
        <w:tabs>
          <w:tab w:val="num" w:pos="1440"/>
        </w:tabs>
        <w:ind w:left="1440" w:hanging="360"/>
      </w:pPr>
    </w:lvl>
    <w:lvl w:ilvl="2" w:tplc="ADA41C26" w:tentative="1">
      <w:start w:val="1"/>
      <w:numFmt w:val="lowerLetter"/>
      <w:lvlText w:val="%3."/>
      <w:lvlJc w:val="left"/>
      <w:pPr>
        <w:tabs>
          <w:tab w:val="num" w:pos="2160"/>
        </w:tabs>
        <w:ind w:left="2160" w:hanging="360"/>
      </w:pPr>
    </w:lvl>
    <w:lvl w:ilvl="3" w:tplc="54243D4E" w:tentative="1">
      <w:start w:val="1"/>
      <w:numFmt w:val="lowerLetter"/>
      <w:lvlText w:val="%4."/>
      <w:lvlJc w:val="left"/>
      <w:pPr>
        <w:tabs>
          <w:tab w:val="num" w:pos="2880"/>
        </w:tabs>
        <w:ind w:left="2880" w:hanging="360"/>
      </w:pPr>
    </w:lvl>
    <w:lvl w:ilvl="4" w:tplc="302C4C8C" w:tentative="1">
      <w:start w:val="1"/>
      <w:numFmt w:val="lowerLetter"/>
      <w:lvlText w:val="%5."/>
      <w:lvlJc w:val="left"/>
      <w:pPr>
        <w:tabs>
          <w:tab w:val="num" w:pos="3600"/>
        </w:tabs>
        <w:ind w:left="3600" w:hanging="360"/>
      </w:pPr>
    </w:lvl>
    <w:lvl w:ilvl="5" w:tplc="05E47FC8" w:tentative="1">
      <w:start w:val="1"/>
      <w:numFmt w:val="lowerLetter"/>
      <w:lvlText w:val="%6."/>
      <w:lvlJc w:val="left"/>
      <w:pPr>
        <w:tabs>
          <w:tab w:val="num" w:pos="4320"/>
        </w:tabs>
        <w:ind w:left="4320" w:hanging="360"/>
      </w:pPr>
    </w:lvl>
    <w:lvl w:ilvl="6" w:tplc="84484F02" w:tentative="1">
      <w:start w:val="1"/>
      <w:numFmt w:val="lowerLetter"/>
      <w:lvlText w:val="%7."/>
      <w:lvlJc w:val="left"/>
      <w:pPr>
        <w:tabs>
          <w:tab w:val="num" w:pos="5040"/>
        </w:tabs>
        <w:ind w:left="5040" w:hanging="360"/>
      </w:pPr>
    </w:lvl>
    <w:lvl w:ilvl="7" w:tplc="5E101BC2" w:tentative="1">
      <w:start w:val="1"/>
      <w:numFmt w:val="lowerLetter"/>
      <w:lvlText w:val="%8."/>
      <w:lvlJc w:val="left"/>
      <w:pPr>
        <w:tabs>
          <w:tab w:val="num" w:pos="5760"/>
        </w:tabs>
        <w:ind w:left="5760" w:hanging="360"/>
      </w:pPr>
    </w:lvl>
    <w:lvl w:ilvl="8" w:tplc="3B520120" w:tentative="1">
      <w:start w:val="1"/>
      <w:numFmt w:val="lowerLetter"/>
      <w:lvlText w:val="%9."/>
      <w:lvlJc w:val="left"/>
      <w:pPr>
        <w:tabs>
          <w:tab w:val="num" w:pos="6480"/>
        </w:tabs>
        <w:ind w:left="6480" w:hanging="360"/>
      </w:pPr>
    </w:lvl>
  </w:abstractNum>
  <w:abstractNum w:abstractNumId="21" w15:restartNumberingAfterBreak="0">
    <w:nsid w:val="2B947777"/>
    <w:multiLevelType w:val="multilevel"/>
    <w:tmpl w:val="A2C6064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F04485"/>
    <w:multiLevelType w:val="hybridMultilevel"/>
    <w:tmpl w:val="A55C2B4A"/>
    <w:lvl w:ilvl="0" w:tplc="450C6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0420184"/>
    <w:multiLevelType w:val="hybridMultilevel"/>
    <w:tmpl w:val="FB00B632"/>
    <w:lvl w:ilvl="0" w:tplc="ABA44A26">
      <w:start w:val="1"/>
      <w:numFmt w:val="upperLetter"/>
      <w:lvlText w:val="%1."/>
      <w:lvlJc w:val="left"/>
      <w:pPr>
        <w:ind w:left="72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8D43E3"/>
    <w:multiLevelType w:val="hybridMultilevel"/>
    <w:tmpl w:val="75022BF2"/>
    <w:lvl w:ilvl="0" w:tplc="ABA44A26">
      <w:start w:val="1"/>
      <w:numFmt w:val="upperLetter"/>
      <w:lvlText w:val="%1."/>
      <w:lvlJc w:val="left"/>
      <w:pPr>
        <w:ind w:left="720" w:hanging="360"/>
      </w:pPr>
      <w:rPr>
        <w:rFonts w:ascii="Times New Roman" w:hAnsi="Times New Roman" w:cs="Times New Roman" w:hint="default"/>
        <w:b/>
      </w:rPr>
    </w:lvl>
    <w:lvl w:ilvl="1" w:tplc="E3E6A1D4">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1857FA2"/>
    <w:multiLevelType w:val="hybridMultilevel"/>
    <w:tmpl w:val="651417DA"/>
    <w:lvl w:ilvl="0" w:tplc="450C6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F5F92"/>
    <w:multiLevelType w:val="hybridMultilevel"/>
    <w:tmpl w:val="65D057E0"/>
    <w:lvl w:ilvl="0" w:tplc="A64C2B50">
      <w:start w:val="1"/>
      <w:numFmt w:val="decimal"/>
      <w:lvlText w:val="%1."/>
      <w:lvlJc w:val="left"/>
      <w:pPr>
        <w:tabs>
          <w:tab w:val="num" w:pos="720"/>
        </w:tabs>
        <w:ind w:left="0" w:firstLine="0"/>
      </w:pPr>
    </w:lvl>
    <w:lvl w:ilvl="1" w:tplc="7422AAFE">
      <w:start w:val="1"/>
      <w:numFmt w:val="lowerLetter"/>
      <w:lvlText w:val="(%2)"/>
      <w:lvlJc w:val="left"/>
      <w:pPr>
        <w:tabs>
          <w:tab w:val="num" w:pos="1080"/>
        </w:tabs>
        <w:ind w:left="1080" w:hanging="360"/>
      </w:pPr>
      <w:rPr>
        <w:rFonts w:hint="default"/>
      </w:rPr>
    </w:lvl>
    <w:lvl w:ilvl="2" w:tplc="E3E6A1D4">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34F83B1B"/>
    <w:multiLevelType w:val="hybridMultilevel"/>
    <w:tmpl w:val="78CA6066"/>
    <w:lvl w:ilvl="0" w:tplc="031455EA">
      <w:start w:val="4"/>
      <w:numFmt w:val="lowerLetter"/>
      <w:lvlText w:val="%1."/>
      <w:lvlJc w:val="left"/>
      <w:pPr>
        <w:tabs>
          <w:tab w:val="num" w:pos="720"/>
        </w:tabs>
        <w:ind w:left="720" w:hanging="360"/>
      </w:pPr>
    </w:lvl>
    <w:lvl w:ilvl="1" w:tplc="50AEBBCC" w:tentative="1">
      <w:start w:val="1"/>
      <w:numFmt w:val="lowerLetter"/>
      <w:lvlText w:val="%2."/>
      <w:lvlJc w:val="left"/>
      <w:pPr>
        <w:tabs>
          <w:tab w:val="num" w:pos="1440"/>
        </w:tabs>
        <w:ind w:left="1440" w:hanging="360"/>
      </w:pPr>
    </w:lvl>
    <w:lvl w:ilvl="2" w:tplc="3B709846" w:tentative="1">
      <w:start w:val="1"/>
      <w:numFmt w:val="lowerLetter"/>
      <w:lvlText w:val="%3."/>
      <w:lvlJc w:val="left"/>
      <w:pPr>
        <w:tabs>
          <w:tab w:val="num" w:pos="2160"/>
        </w:tabs>
        <w:ind w:left="2160" w:hanging="360"/>
      </w:pPr>
    </w:lvl>
    <w:lvl w:ilvl="3" w:tplc="54EA1082" w:tentative="1">
      <w:start w:val="1"/>
      <w:numFmt w:val="lowerLetter"/>
      <w:lvlText w:val="%4."/>
      <w:lvlJc w:val="left"/>
      <w:pPr>
        <w:tabs>
          <w:tab w:val="num" w:pos="2880"/>
        </w:tabs>
        <w:ind w:left="2880" w:hanging="360"/>
      </w:pPr>
    </w:lvl>
    <w:lvl w:ilvl="4" w:tplc="C298EAA2" w:tentative="1">
      <w:start w:val="1"/>
      <w:numFmt w:val="lowerLetter"/>
      <w:lvlText w:val="%5."/>
      <w:lvlJc w:val="left"/>
      <w:pPr>
        <w:tabs>
          <w:tab w:val="num" w:pos="3600"/>
        </w:tabs>
        <w:ind w:left="3600" w:hanging="360"/>
      </w:pPr>
    </w:lvl>
    <w:lvl w:ilvl="5" w:tplc="F628FB60" w:tentative="1">
      <w:start w:val="1"/>
      <w:numFmt w:val="lowerLetter"/>
      <w:lvlText w:val="%6."/>
      <w:lvlJc w:val="left"/>
      <w:pPr>
        <w:tabs>
          <w:tab w:val="num" w:pos="4320"/>
        </w:tabs>
        <w:ind w:left="4320" w:hanging="360"/>
      </w:pPr>
    </w:lvl>
    <w:lvl w:ilvl="6" w:tplc="296ED0B8" w:tentative="1">
      <w:start w:val="1"/>
      <w:numFmt w:val="lowerLetter"/>
      <w:lvlText w:val="%7."/>
      <w:lvlJc w:val="left"/>
      <w:pPr>
        <w:tabs>
          <w:tab w:val="num" w:pos="5040"/>
        </w:tabs>
        <w:ind w:left="5040" w:hanging="360"/>
      </w:pPr>
    </w:lvl>
    <w:lvl w:ilvl="7" w:tplc="CC0EB25E" w:tentative="1">
      <w:start w:val="1"/>
      <w:numFmt w:val="lowerLetter"/>
      <w:lvlText w:val="%8."/>
      <w:lvlJc w:val="left"/>
      <w:pPr>
        <w:tabs>
          <w:tab w:val="num" w:pos="5760"/>
        </w:tabs>
        <w:ind w:left="5760" w:hanging="360"/>
      </w:pPr>
    </w:lvl>
    <w:lvl w:ilvl="8" w:tplc="6ED09970" w:tentative="1">
      <w:start w:val="1"/>
      <w:numFmt w:val="lowerLetter"/>
      <w:lvlText w:val="%9."/>
      <w:lvlJc w:val="left"/>
      <w:pPr>
        <w:tabs>
          <w:tab w:val="num" w:pos="6480"/>
        </w:tabs>
        <w:ind w:left="6480" w:hanging="360"/>
      </w:pPr>
    </w:lvl>
  </w:abstractNum>
  <w:abstractNum w:abstractNumId="29" w15:restartNumberingAfterBreak="0">
    <w:nsid w:val="3A4B1D97"/>
    <w:multiLevelType w:val="hybridMultilevel"/>
    <w:tmpl w:val="CDB4FF40"/>
    <w:lvl w:ilvl="0" w:tplc="C95EC48C">
      <w:start w:val="3"/>
      <w:numFmt w:val="lowerLetter"/>
      <w:lvlText w:val="%1."/>
      <w:lvlJc w:val="left"/>
      <w:pPr>
        <w:tabs>
          <w:tab w:val="num" w:pos="720"/>
        </w:tabs>
        <w:ind w:left="720" w:hanging="360"/>
      </w:pPr>
    </w:lvl>
    <w:lvl w:ilvl="1" w:tplc="B3126BAC" w:tentative="1">
      <w:start w:val="1"/>
      <w:numFmt w:val="lowerLetter"/>
      <w:lvlText w:val="%2."/>
      <w:lvlJc w:val="left"/>
      <w:pPr>
        <w:tabs>
          <w:tab w:val="num" w:pos="1440"/>
        </w:tabs>
        <w:ind w:left="1440" w:hanging="360"/>
      </w:pPr>
    </w:lvl>
    <w:lvl w:ilvl="2" w:tplc="243207C6" w:tentative="1">
      <w:start w:val="1"/>
      <w:numFmt w:val="lowerLetter"/>
      <w:lvlText w:val="%3."/>
      <w:lvlJc w:val="left"/>
      <w:pPr>
        <w:tabs>
          <w:tab w:val="num" w:pos="2160"/>
        </w:tabs>
        <w:ind w:left="2160" w:hanging="360"/>
      </w:pPr>
    </w:lvl>
    <w:lvl w:ilvl="3" w:tplc="793453D2" w:tentative="1">
      <w:start w:val="1"/>
      <w:numFmt w:val="lowerLetter"/>
      <w:lvlText w:val="%4."/>
      <w:lvlJc w:val="left"/>
      <w:pPr>
        <w:tabs>
          <w:tab w:val="num" w:pos="2880"/>
        </w:tabs>
        <w:ind w:left="2880" w:hanging="360"/>
      </w:pPr>
    </w:lvl>
    <w:lvl w:ilvl="4" w:tplc="FDC4049E" w:tentative="1">
      <w:start w:val="1"/>
      <w:numFmt w:val="lowerLetter"/>
      <w:lvlText w:val="%5."/>
      <w:lvlJc w:val="left"/>
      <w:pPr>
        <w:tabs>
          <w:tab w:val="num" w:pos="3600"/>
        </w:tabs>
        <w:ind w:left="3600" w:hanging="360"/>
      </w:pPr>
    </w:lvl>
    <w:lvl w:ilvl="5" w:tplc="7F963EFC" w:tentative="1">
      <w:start w:val="1"/>
      <w:numFmt w:val="lowerLetter"/>
      <w:lvlText w:val="%6."/>
      <w:lvlJc w:val="left"/>
      <w:pPr>
        <w:tabs>
          <w:tab w:val="num" w:pos="4320"/>
        </w:tabs>
        <w:ind w:left="4320" w:hanging="360"/>
      </w:pPr>
    </w:lvl>
    <w:lvl w:ilvl="6" w:tplc="AED48FD6" w:tentative="1">
      <w:start w:val="1"/>
      <w:numFmt w:val="lowerLetter"/>
      <w:lvlText w:val="%7."/>
      <w:lvlJc w:val="left"/>
      <w:pPr>
        <w:tabs>
          <w:tab w:val="num" w:pos="5040"/>
        </w:tabs>
        <w:ind w:left="5040" w:hanging="360"/>
      </w:pPr>
    </w:lvl>
    <w:lvl w:ilvl="7" w:tplc="8D08DF20" w:tentative="1">
      <w:start w:val="1"/>
      <w:numFmt w:val="lowerLetter"/>
      <w:lvlText w:val="%8."/>
      <w:lvlJc w:val="left"/>
      <w:pPr>
        <w:tabs>
          <w:tab w:val="num" w:pos="5760"/>
        </w:tabs>
        <w:ind w:left="5760" w:hanging="360"/>
      </w:pPr>
    </w:lvl>
    <w:lvl w:ilvl="8" w:tplc="6F8810C6" w:tentative="1">
      <w:start w:val="1"/>
      <w:numFmt w:val="lowerLetter"/>
      <w:lvlText w:val="%9."/>
      <w:lvlJc w:val="left"/>
      <w:pPr>
        <w:tabs>
          <w:tab w:val="num" w:pos="6480"/>
        </w:tabs>
        <w:ind w:left="6480" w:hanging="360"/>
      </w:pPr>
    </w:lvl>
  </w:abstractNum>
  <w:abstractNum w:abstractNumId="30" w15:restartNumberingAfterBreak="0">
    <w:nsid w:val="3C555AA3"/>
    <w:multiLevelType w:val="hybridMultilevel"/>
    <w:tmpl w:val="BE100CE0"/>
    <w:lvl w:ilvl="0" w:tplc="19E25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6107E2"/>
    <w:multiLevelType w:val="hybridMultilevel"/>
    <w:tmpl w:val="3C18F5CE"/>
    <w:lvl w:ilvl="0" w:tplc="0234D878">
      <w:start w:val="6"/>
      <w:numFmt w:val="lowerLetter"/>
      <w:lvlText w:val="%1."/>
      <w:lvlJc w:val="left"/>
      <w:pPr>
        <w:tabs>
          <w:tab w:val="num" w:pos="720"/>
        </w:tabs>
        <w:ind w:left="720" w:hanging="360"/>
      </w:pPr>
    </w:lvl>
    <w:lvl w:ilvl="1" w:tplc="EF90F2A0" w:tentative="1">
      <w:start w:val="1"/>
      <w:numFmt w:val="lowerLetter"/>
      <w:lvlText w:val="%2."/>
      <w:lvlJc w:val="left"/>
      <w:pPr>
        <w:tabs>
          <w:tab w:val="num" w:pos="1440"/>
        </w:tabs>
        <w:ind w:left="1440" w:hanging="360"/>
      </w:pPr>
    </w:lvl>
    <w:lvl w:ilvl="2" w:tplc="6A000F60" w:tentative="1">
      <w:start w:val="1"/>
      <w:numFmt w:val="lowerLetter"/>
      <w:lvlText w:val="%3."/>
      <w:lvlJc w:val="left"/>
      <w:pPr>
        <w:tabs>
          <w:tab w:val="num" w:pos="2160"/>
        </w:tabs>
        <w:ind w:left="2160" w:hanging="360"/>
      </w:pPr>
    </w:lvl>
    <w:lvl w:ilvl="3" w:tplc="46688320" w:tentative="1">
      <w:start w:val="1"/>
      <w:numFmt w:val="lowerLetter"/>
      <w:lvlText w:val="%4."/>
      <w:lvlJc w:val="left"/>
      <w:pPr>
        <w:tabs>
          <w:tab w:val="num" w:pos="2880"/>
        </w:tabs>
        <w:ind w:left="2880" w:hanging="360"/>
      </w:pPr>
    </w:lvl>
    <w:lvl w:ilvl="4" w:tplc="C862CDBA" w:tentative="1">
      <w:start w:val="1"/>
      <w:numFmt w:val="lowerLetter"/>
      <w:lvlText w:val="%5."/>
      <w:lvlJc w:val="left"/>
      <w:pPr>
        <w:tabs>
          <w:tab w:val="num" w:pos="3600"/>
        </w:tabs>
        <w:ind w:left="3600" w:hanging="360"/>
      </w:pPr>
    </w:lvl>
    <w:lvl w:ilvl="5" w:tplc="1318D0D8" w:tentative="1">
      <w:start w:val="1"/>
      <w:numFmt w:val="lowerLetter"/>
      <w:lvlText w:val="%6."/>
      <w:lvlJc w:val="left"/>
      <w:pPr>
        <w:tabs>
          <w:tab w:val="num" w:pos="4320"/>
        </w:tabs>
        <w:ind w:left="4320" w:hanging="360"/>
      </w:pPr>
    </w:lvl>
    <w:lvl w:ilvl="6" w:tplc="852C7CD2" w:tentative="1">
      <w:start w:val="1"/>
      <w:numFmt w:val="lowerLetter"/>
      <w:lvlText w:val="%7."/>
      <w:lvlJc w:val="left"/>
      <w:pPr>
        <w:tabs>
          <w:tab w:val="num" w:pos="5040"/>
        </w:tabs>
        <w:ind w:left="5040" w:hanging="360"/>
      </w:pPr>
    </w:lvl>
    <w:lvl w:ilvl="7" w:tplc="163A22F0" w:tentative="1">
      <w:start w:val="1"/>
      <w:numFmt w:val="lowerLetter"/>
      <w:lvlText w:val="%8."/>
      <w:lvlJc w:val="left"/>
      <w:pPr>
        <w:tabs>
          <w:tab w:val="num" w:pos="5760"/>
        </w:tabs>
        <w:ind w:left="5760" w:hanging="360"/>
      </w:pPr>
    </w:lvl>
    <w:lvl w:ilvl="8" w:tplc="AF700426" w:tentative="1">
      <w:start w:val="1"/>
      <w:numFmt w:val="lowerLetter"/>
      <w:lvlText w:val="%9."/>
      <w:lvlJc w:val="left"/>
      <w:pPr>
        <w:tabs>
          <w:tab w:val="num" w:pos="6480"/>
        </w:tabs>
        <w:ind w:left="6480" w:hanging="360"/>
      </w:pPr>
    </w:lvl>
  </w:abstractNum>
  <w:abstractNum w:abstractNumId="32"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D5D4672"/>
    <w:multiLevelType w:val="hybridMultilevel"/>
    <w:tmpl w:val="1EA26D3C"/>
    <w:lvl w:ilvl="0" w:tplc="179AB9F2">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4AB0AAF"/>
    <w:multiLevelType w:val="multilevel"/>
    <w:tmpl w:val="8068A0F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57276E0"/>
    <w:multiLevelType w:val="hybridMultilevel"/>
    <w:tmpl w:val="C99AAA4C"/>
    <w:lvl w:ilvl="0" w:tplc="72F6D3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919165B"/>
    <w:multiLevelType w:val="hybridMultilevel"/>
    <w:tmpl w:val="A1442580"/>
    <w:lvl w:ilvl="0" w:tplc="BF721178">
      <w:start w:val="1"/>
      <w:numFmt w:val="upperRoman"/>
      <w:lvlText w:val="%1."/>
      <w:lvlJc w:val="left"/>
      <w:pPr>
        <w:ind w:left="180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3F469B"/>
    <w:multiLevelType w:val="hybridMultilevel"/>
    <w:tmpl w:val="559CB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C5779C"/>
    <w:multiLevelType w:val="hybridMultilevel"/>
    <w:tmpl w:val="C6BA4FEC"/>
    <w:lvl w:ilvl="0" w:tplc="BF721178">
      <w:start w:val="1"/>
      <w:numFmt w:val="upperRoman"/>
      <w:lvlText w:val="%1."/>
      <w:lvlJc w:val="left"/>
      <w:pPr>
        <w:ind w:left="720" w:hanging="720"/>
      </w:pPr>
      <w:rPr>
        <w:rFonts w:hint="default"/>
        <w:i w:val="0"/>
        <w:i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4D6144DD"/>
    <w:multiLevelType w:val="hybridMultilevel"/>
    <w:tmpl w:val="FD6A64C8"/>
    <w:lvl w:ilvl="0" w:tplc="157440E2">
      <w:start w:val="1"/>
      <w:numFmt w:val="decimal"/>
      <w:lvlText w:val="%1."/>
      <w:lvlJc w:val="left"/>
      <w:pPr>
        <w:tabs>
          <w:tab w:val="num" w:pos="360"/>
        </w:tabs>
        <w:ind w:left="0" w:firstLine="0"/>
      </w:pPr>
      <w:rPr>
        <w:rFonts w:ascii="Times New Roman" w:hAnsi="Times New Roman" w:cs="Times New Roman" w:hint="default"/>
        <w:b w:val="0"/>
        <w:i w:val="0"/>
        <w:sz w:val="22"/>
      </w:rPr>
    </w:lvl>
    <w:lvl w:ilvl="1" w:tplc="729899A0">
      <w:start w:val="1"/>
      <w:numFmt w:val="lowerLetter"/>
      <w:lvlText w:val="(%2)"/>
      <w:lvlJc w:val="left"/>
      <w:pPr>
        <w:tabs>
          <w:tab w:val="num" w:pos="1440"/>
        </w:tabs>
        <w:ind w:left="0" w:firstLine="720"/>
      </w:pPr>
      <w:rPr>
        <w:b w:val="0"/>
        <w:i w:val="0"/>
      </w:rPr>
    </w:lvl>
    <w:lvl w:ilvl="2" w:tplc="FD900C88">
      <w:start w:val="1"/>
      <w:numFmt w:val="lowerRoman"/>
      <w:lvlText w:val="(%3)"/>
      <w:lvlJc w:val="right"/>
      <w:pPr>
        <w:tabs>
          <w:tab w:val="num" w:pos="1440"/>
        </w:tabs>
        <w:ind w:left="1440" w:hanging="360"/>
      </w:pPr>
    </w:lvl>
    <w:lvl w:ilvl="3" w:tplc="2012A9C8">
      <w:start w:val="1"/>
      <w:numFmt w:val="bullet"/>
      <w:lvlText w:val=""/>
      <w:lvlJc w:val="left"/>
      <w:pPr>
        <w:tabs>
          <w:tab w:val="num" w:pos="2160"/>
        </w:tabs>
        <w:ind w:left="2160" w:hanging="720"/>
      </w:pPr>
      <w:rPr>
        <w:rFonts w:ascii="Symbol" w:hAnsi="Symbol" w:hint="default"/>
        <w:color w:val="auto"/>
        <w:sz w:val="28"/>
      </w:rPr>
    </w:lvl>
    <w:lvl w:ilvl="4" w:tplc="09E62524">
      <w:start w:val="1"/>
      <w:numFmt w:val="lowerLetter"/>
      <w:lvlText w:val="(%5)"/>
      <w:lvlJc w:val="left"/>
      <w:pPr>
        <w:tabs>
          <w:tab w:val="num" w:pos="1800"/>
        </w:tabs>
        <w:ind w:left="1800" w:hanging="360"/>
      </w:pPr>
    </w:lvl>
    <w:lvl w:ilvl="5" w:tplc="30B27BC8">
      <w:start w:val="1"/>
      <w:numFmt w:val="lowerRoman"/>
      <w:lvlText w:val="(%6)"/>
      <w:lvlJc w:val="left"/>
      <w:pPr>
        <w:tabs>
          <w:tab w:val="num" w:pos="2160"/>
        </w:tabs>
        <w:ind w:left="2160" w:hanging="360"/>
      </w:pPr>
    </w:lvl>
    <w:lvl w:ilvl="6" w:tplc="0EB48B68">
      <w:start w:val="1"/>
      <w:numFmt w:val="decimal"/>
      <w:lvlText w:val="%7."/>
      <w:lvlJc w:val="left"/>
      <w:pPr>
        <w:tabs>
          <w:tab w:val="num" w:pos="2520"/>
        </w:tabs>
        <w:ind w:left="2520" w:hanging="360"/>
      </w:pPr>
    </w:lvl>
    <w:lvl w:ilvl="7" w:tplc="7F00B00A">
      <w:start w:val="1"/>
      <w:numFmt w:val="lowerLetter"/>
      <w:lvlText w:val="%8."/>
      <w:lvlJc w:val="left"/>
      <w:pPr>
        <w:tabs>
          <w:tab w:val="num" w:pos="2880"/>
        </w:tabs>
        <w:ind w:left="2880" w:hanging="360"/>
      </w:pPr>
    </w:lvl>
    <w:lvl w:ilvl="8" w:tplc="08E0F31C">
      <w:start w:val="1"/>
      <w:numFmt w:val="lowerRoman"/>
      <w:lvlText w:val="%9."/>
      <w:lvlJc w:val="left"/>
      <w:pPr>
        <w:tabs>
          <w:tab w:val="num" w:pos="3240"/>
        </w:tabs>
        <w:ind w:left="3240" w:hanging="360"/>
      </w:pPr>
    </w:lvl>
  </w:abstractNum>
  <w:abstractNum w:abstractNumId="45" w15:restartNumberingAfterBreak="0">
    <w:nsid w:val="4DC967F8"/>
    <w:multiLevelType w:val="hybridMultilevel"/>
    <w:tmpl w:val="C1929E6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0442B4"/>
    <w:multiLevelType w:val="multilevel"/>
    <w:tmpl w:val="FD64B03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F746AC0"/>
    <w:multiLevelType w:val="hybridMultilevel"/>
    <w:tmpl w:val="BFA482FC"/>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0A74E7D"/>
    <w:multiLevelType w:val="hybridMultilevel"/>
    <w:tmpl w:val="B8C84028"/>
    <w:lvl w:ilvl="0" w:tplc="B2ACEFD0">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CD64C2"/>
    <w:multiLevelType w:val="hybridMultilevel"/>
    <w:tmpl w:val="D6423F00"/>
    <w:lvl w:ilvl="0" w:tplc="6E482212">
      <w:start w:val="1"/>
      <w:numFmt w:val="decimal"/>
      <w:lvlText w:val="%1."/>
      <w:lvlJc w:val="left"/>
      <w:pPr>
        <w:tabs>
          <w:tab w:val="num" w:pos="720"/>
        </w:tabs>
        <w:ind w:left="0" w:firstLine="0"/>
      </w:pPr>
      <w:rPr>
        <w:b w:val="0"/>
      </w:rPr>
    </w:lvl>
    <w:lvl w:ilvl="1" w:tplc="390601D2">
      <w:start w:val="1"/>
      <w:numFmt w:val="lowerLetter"/>
      <w:lvlText w:val="%2)"/>
      <w:lvlJc w:val="left"/>
      <w:pPr>
        <w:tabs>
          <w:tab w:val="num" w:pos="1080"/>
        </w:tabs>
        <w:ind w:left="1080" w:hanging="360"/>
      </w:pPr>
      <w:rPr>
        <w:rFonts w:ascii="Times New Roman" w:eastAsia="Times New Roman" w:hAnsi="Times New Roman" w:cs="Times New Roman"/>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15:restartNumberingAfterBreak="0">
    <w:nsid w:val="56245FA1"/>
    <w:multiLevelType w:val="multilevel"/>
    <w:tmpl w:val="5B0EADB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5A0830D6"/>
    <w:multiLevelType w:val="hybridMultilevel"/>
    <w:tmpl w:val="7C822EB6"/>
    <w:lvl w:ilvl="0" w:tplc="6478DC62">
      <w:start w:val="2"/>
      <w:numFmt w:val="lowerLetter"/>
      <w:lvlText w:val="%1."/>
      <w:lvlJc w:val="left"/>
      <w:pPr>
        <w:tabs>
          <w:tab w:val="num" w:pos="720"/>
        </w:tabs>
        <w:ind w:left="720" w:hanging="360"/>
      </w:pPr>
    </w:lvl>
    <w:lvl w:ilvl="1" w:tplc="4D32CF14" w:tentative="1">
      <w:start w:val="1"/>
      <w:numFmt w:val="lowerLetter"/>
      <w:lvlText w:val="%2."/>
      <w:lvlJc w:val="left"/>
      <w:pPr>
        <w:tabs>
          <w:tab w:val="num" w:pos="1440"/>
        </w:tabs>
        <w:ind w:left="1440" w:hanging="360"/>
      </w:pPr>
    </w:lvl>
    <w:lvl w:ilvl="2" w:tplc="AEE290B0" w:tentative="1">
      <w:start w:val="1"/>
      <w:numFmt w:val="lowerLetter"/>
      <w:lvlText w:val="%3."/>
      <w:lvlJc w:val="left"/>
      <w:pPr>
        <w:tabs>
          <w:tab w:val="num" w:pos="2160"/>
        </w:tabs>
        <w:ind w:left="2160" w:hanging="360"/>
      </w:pPr>
    </w:lvl>
    <w:lvl w:ilvl="3" w:tplc="24D45D6A" w:tentative="1">
      <w:start w:val="1"/>
      <w:numFmt w:val="lowerLetter"/>
      <w:lvlText w:val="%4."/>
      <w:lvlJc w:val="left"/>
      <w:pPr>
        <w:tabs>
          <w:tab w:val="num" w:pos="2880"/>
        </w:tabs>
        <w:ind w:left="2880" w:hanging="360"/>
      </w:pPr>
    </w:lvl>
    <w:lvl w:ilvl="4" w:tplc="00760AD8" w:tentative="1">
      <w:start w:val="1"/>
      <w:numFmt w:val="lowerLetter"/>
      <w:lvlText w:val="%5."/>
      <w:lvlJc w:val="left"/>
      <w:pPr>
        <w:tabs>
          <w:tab w:val="num" w:pos="3600"/>
        </w:tabs>
        <w:ind w:left="3600" w:hanging="360"/>
      </w:pPr>
    </w:lvl>
    <w:lvl w:ilvl="5" w:tplc="7DF0C6C6" w:tentative="1">
      <w:start w:val="1"/>
      <w:numFmt w:val="lowerLetter"/>
      <w:lvlText w:val="%6."/>
      <w:lvlJc w:val="left"/>
      <w:pPr>
        <w:tabs>
          <w:tab w:val="num" w:pos="4320"/>
        </w:tabs>
        <w:ind w:left="4320" w:hanging="360"/>
      </w:pPr>
    </w:lvl>
    <w:lvl w:ilvl="6" w:tplc="4208AE60" w:tentative="1">
      <w:start w:val="1"/>
      <w:numFmt w:val="lowerLetter"/>
      <w:lvlText w:val="%7."/>
      <w:lvlJc w:val="left"/>
      <w:pPr>
        <w:tabs>
          <w:tab w:val="num" w:pos="5040"/>
        </w:tabs>
        <w:ind w:left="5040" w:hanging="360"/>
      </w:pPr>
    </w:lvl>
    <w:lvl w:ilvl="7" w:tplc="17602852" w:tentative="1">
      <w:start w:val="1"/>
      <w:numFmt w:val="lowerLetter"/>
      <w:lvlText w:val="%8."/>
      <w:lvlJc w:val="left"/>
      <w:pPr>
        <w:tabs>
          <w:tab w:val="num" w:pos="5760"/>
        </w:tabs>
        <w:ind w:left="5760" w:hanging="360"/>
      </w:pPr>
    </w:lvl>
    <w:lvl w:ilvl="8" w:tplc="5F18806C" w:tentative="1">
      <w:start w:val="1"/>
      <w:numFmt w:val="lowerLetter"/>
      <w:lvlText w:val="%9."/>
      <w:lvlJc w:val="left"/>
      <w:pPr>
        <w:tabs>
          <w:tab w:val="num" w:pos="6480"/>
        </w:tabs>
        <w:ind w:left="6480" w:hanging="360"/>
      </w:pPr>
    </w:lvl>
  </w:abstractNum>
  <w:abstractNum w:abstractNumId="53" w15:restartNumberingAfterBreak="0">
    <w:nsid w:val="5B8007AB"/>
    <w:multiLevelType w:val="hybridMultilevel"/>
    <w:tmpl w:val="BE822306"/>
    <w:lvl w:ilvl="0" w:tplc="0EEE2E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975246"/>
    <w:multiLevelType w:val="hybridMultilevel"/>
    <w:tmpl w:val="C6BA4FEC"/>
    <w:lvl w:ilvl="0" w:tplc="BF721178">
      <w:start w:val="1"/>
      <w:numFmt w:val="upperRoman"/>
      <w:lvlText w:val="%1."/>
      <w:lvlJc w:val="left"/>
      <w:pPr>
        <w:ind w:left="180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585284"/>
    <w:multiLevelType w:val="hybridMultilevel"/>
    <w:tmpl w:val="B660202E"/>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1362455"/>
    <w:multiLevelType w:val="hybridMultilevel"/>
    <w:tmpl w:val="421EE63C"/>
    <w:lvl w:ilvl="0" w:tplc="04090001">
      <w:start w:val="1"/>
      <w:numFmt w:val="decimal"/>
      <w:pStyle w:val="CBD-Para-1"/>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57" w15:restartNumberingAfterBreak="0">
    <w:nsid w:val="618E3F55"/>
    <w:multiLevelType w:val="hybridMultilevel"/>
    <w:tmpl w:val="AA366F72"/>
    <w:lvl w:ilvl="0" w:tplc="FFFFFFFF">
      <w:start w:val="1"/>
      <w:numFmt w:val="decimal"/>
      <w:lvlText w:val="%1."/>
      <w:lvlJc w:val="left"/>
      <w:pPr>
        <w:ind w:left="0" w:firstLine="0"/>
      </w:pPr>
      <w:rPr>
        <w:b w:val="0"/>
        <w:i w:val="0"/>
        <w:sz w:val="22"/>
        <w:szCs w:val="22"/>
      </w:rPr>
    </w:lvl>
    <w:lvl w:ilvl="1" w:tplc="E4D45816">
      <w:start w:val="1"/>
      <w:numFmt w:val="lowerLetter"/>
      <w:lvlText w:val="%2)"/>
      <w:lvlJc w:val="left"/>
      <w:pPr>
        <w:ind w:left="0" w:firstLine="720"/>
      </w:pPr>
      <w:rPr>
        <w:rFonts w:ascii="Times New Roman" w:eastAsia="Times New Roman" w:hAnsi="Times New Roman" w:cs="Times New Roman"/>
        <w:b w:val="0"/>
        <w:i w:val="0"/>
      </w:rPr>
    </w:lvl>
    <w:lvl w:ilvl="2" w:tplc="84BA54CE">
      <w:start w:val="1"/>
      <w:numFmt w:val="lowerRoman"/>
      <w:lvlText w:val="(%3)"/>
      <w:lvlJc w:val="right"/>
      <w:pPr>
        <w:ind w:left="1353" w:hanging="360"/>
      </w:pPr>
    </w:lvl>
    <w:lvl w:ilvl="3" w:tplc="BB3EE7FE">
      <w:start w:val="1"/>
      <w:numFmt w:val="bullet"/>
      <w:lvlText w:val="●"/>
      <w:lvlJc w:val="left"/>
      <w:pPr>
        <w:ind w:left="2160" w:hanging="720"/>
      </w:pPr>
      <w:rPr>
        <w:rFonts w:ascii="Noto Sans Symbols" w:eastAsia="Noto Sans Symbols" w:hAnsi="Noto Sans Symbols" w:cs="Noto Sans Symbols"/>
        <w:color w:val="000000"/>
        <w:sz w:val="28"/>
        <w:szCs w:val="28"/>
      </w:rPr>
    </w:lvl>
    <w:lvl w:ilvl="4" w:tplc="BC326FE4">
      <w:start w:val="1"/>
      <w:numFmt w:val="lowerLetter"/>
      <w:lvlText w:val="(%5)"/>
      <w:lvlJc w:val="left"/>
      <w:pPr>
        <w:ind w:left="1800" w:hanging="360"/>
      </w:pPr>
    </w:lvl>
    <w:lvl w:ilvl="5" w:tplc="1EAAA47C">
      <w:start w:val="1"/>
      <w:numFmt w:val="lowerRoman"/>
      <w:lvlText w:val="(%6)"/>
      <w:lvlJc w:val="left"/>
      <w:pPr>
        <w:ind w:left="2160" w:hanging="360"/>
      </w:pPr>
    </w:lvl>
    <w:lvl w:ilvl="6" w:tplc="C78A7836">
      <w:start w:val="1"/>
      <w:numFmt w:val="decimal"/>
      <w:lvlText w:val="%7."/>
      <w:lvlJc w:val="left"/>
      <w:pPr>
        <w:ind w:left="2487" w:hanging="360"/>
      </w:pPr>
    </w:lvl>
    <w:lvl w:ilvl="7" w:tplc="1380769C">
      <w:start w:val="1"/>
      <w:numFmt w:val="lowerLetter"/>
      <w:lvlText w:val="%8."/>
      <w:lvlJc w:val="left"/>
      <w:pPr>
        <w:ind w:left="2880" w:hanging="360"/>
      </w:pPr>
    </w:lvl>
    <w:lvl w:ilvl="8" w:tplc="E3109B46">
      <w:start w:val="1"/>
      <w:numFmt w:val="lowerRoman"/>
      <w:lvlText w:val="%9."/>
      <w:lvlJc w:val="left"/>
      <w:pPr>
        <w:ind w:left="3240" w:hanging="360"/>
      </w:pPr>
    </w:lvl>
  </w:abstractNum>
  <w:abstractNum w:abstractNumId="58" w15:restartNumberingAfterBreak="0">
    <w:nsid w:val="64EE46A3"/>
    <w:multiLevelType w:val="hybridMultilevel"/>
    <w:tmpl w:val="2AAC8F54"/>
    <w:lvl w:ilvl="0" w:tplc="FFFFFFFF">
      <w:start w:val="1"/>
      <w:numFmt w:val="decimal"/>
      <w:lvlText w:val="%1."/>
      <w:lvlJc w:val="left"/>
      <w:pPr>
        <w:ind w:left="360" w:hanging="360"/>
      </w:pPr>
      <w:rPr>
        <w:b w:val="0"/>
        <w:i w:val="0"/>
        <w:sz w:val="22"/>
      </w:rPr>
    </w:lvl>
    <w:lvl w:ilvl="1" w:tplc="4BFC5A32">
      <w:start w:val="1"/>
      <w:numFmt w:val="lowerLetter"/>
      <w:lvlText w:val="(%2)"/>
      <w:lvlJc w:val="left"/>
      <w:pPr>
        <w:ind w:left="1440" w:hanging="360"/>
      </w:pPr>
      <w:rPr>
        <w:rFonts w:hint="default"/>
      </w:rPr>
    </w:lvl>
    <w:lvl w:ilvl="2" w:tplc="124A1BC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840969"/>
    <w:multiLevelType w:val="hybridMultilevel"/>
    <w:tmpl w:val="5E5E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C35E43"/>
    <w:multiLevelType w:val="hybridMultilevel"/>
    <w:tmpl w:val="D97E440E"/>
    <w:lvl w:ilvl="0" w:tplc="5F6C064A">
      <w:start w:val="7"/>
      <w:numFmt w:val="lowerLetter"/>
      <w:lvlText w:val="%1."/>
      <w:lvlJc w:val="left"/>
      <w:pPr>
        <w:tabs>
          <w:tab w:val="num" w:pos="720"/>
        </w:tabs>
        <w:ind w:left="720" w:hanging="360"/>
      </w:pPr>
    </w:lvl>
    <w:lvl w:ilvl="1" w:tplc="B2E46BE8" w:tentative="1">
      <w:start w:val="1"/>
      <w:numFmt w:val="lowerLetter"/>
      <w:lvlText w:val="%2."/>
      <w:lvlJc w:val="left"/>
      <w:pPr>
        <w:tabs>
          <w:tab w:val="num" w:pos="1440"/>
        </w:tabs>
        <w:ind w:left="1440" w:hanging="360"/>
      </w:pPr>
    </w:lvl>
    <w:lvl w:ilvl="2" w:tplc="0FC2FAD6" w:tentative="1">
      <w:start w:val="1"/>
      <w:numFmt w:val="lowerLetter"/>
      <w:lvlText w:val="%3."/>
      <w:lvlJc w:val="left"/>
      <w:pPr>
        <w:tabs>
          <w:tab w:val="num" w:pos="2160"/>
        </w:tabs>
        <w:ind w:left="2160" w:hanging="360"/>
      </w:pPr>
    </w:lvl>
    <w:lvl w:ilvl="3" w:tplc="71183CF0" w:tentative="1">
      <w:start w:val="1"/>
      <w:numFmt w:val="lowerLetter"/>
      <w:lvlText w:val="%4."/>
      <w:lvlJc w:val="left"/>
      <w:pPr>
        <w:tabs>
          <w:tab w:val="num" w:pos="2880"/>
        </w:tabs>
        <w:ind w:left="2880" w:hanging="360"/>
      </w:pPr>
    </w:lvl>
    <w:lvl w:ilvl="4" w:tplc="5096246C" w:tentative="1">
      <w:start w:val="1"/>
      <w:numFmt w:val="lowerLetter"/>
      <w:lvlText w:val="%5."/>
      <w:lvlJc w:val="left"/>
      <w:pPr>
        <w:tabs>
          <w:tab w:val="num" w:pos="3600"/>
        </w:tabs>
        <w:ind w:left="3600" w:hanging="360"/>
      </w:pPr>
    </w:lvl>
    <w:lvl w:ilvl="5" w:tplc="8A402624" w:tentative="1">
      <w:start w:val="1"/>
      <w:numFmt w:val="lowerLetter"/>
      <w:lvlText w:val="%6."/>
      <w:lvlJc w:val="left"/>
      <w:pPr>
        <w:tabs>
          <w:tab w:val="num" w:pos="4320"/>
        </w:tabs>
        <w:ind w:left="4320" w:hanging="360"/>
      </w:pPr>
    </w:lvl>
    <w:lvl w:ilvl="6" w:tplc="8DA6B9D4" w:tentative="1">
      <w:start w:val="1"/>
      <w:numFmt w:val="lowerLetter"/>
      <w:lvlText w:val="%7."/>
      <w:lvlJc w:val="left"/>
      <w:pPr>
        <w:tabs>
          <w:tab w:val="num" w:pos="5040"/>
        </w:tabs>
        <w:ind w:left="5040" w:hanging="360"/>
      </w:pPr>
    </w:lvl>
    <w:lvl w:ilvl="7" w:tplc="74FA3514" w:tentative="1">
      <w:start w:val="1"/>
      <w:numFmt w:val="lowerLetter"/>
      <w:lvlText w:val="%8."/>
      <w:lvlJc w:val="left"/>
      <w:pPr>
        <w:tabs>
          <w:tab w:val="num" w:pos="5760"/>
        </w:tabs>
        <w:ind w:left="5760" w:hanging="360"/>
      </w:pPr>
    </w:lvl>
    <w:lvl w:ilvl="8" w:tplc="B4A8367E" w:tentative="1">
      <w:start w:val="1"/>
      <w:numFmt w:val="lowerLetter"/>
      <w:lvlText w:val="%9."/>
      <w:lvlJc w:val="left"/>
      <w:pPr>
        <w:tabs>
          <w:tab w:val="num" w:pos="6480"/>
        </w:tabs>
        <w:ind w:left="6480" w:hanging="360"/>
      </w:pPr>
    </w:lvl>
  </w:abstractNum>
  <w:abstractNum w:abstractNumId="61"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66755B"/>
    <w:multiLevelType w:val="hybridMultilevel"/>
    <w:tmpl w:val="09984FE4"/>
    <w:lvl w:ilvl="0" w:tplc="3926F6CE">
      <w:start w:val="1"/>
      <w:numFmt w:val="decimal"/>
      <w:lvlText w:val="%1."/>
      <w:lvlJc w:val="left"/>
      <w:pPr>
        <w:tabs>
          <w:tab w:val="num" w:pos="360"/>
        </w:tabs>
        <w:ind w:left="0" w:firstLine="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7C5433"/>
    <w:multiLevelType w:val="hybridMultilevel"/>
    <w:tmpl w:val="8180AA20"/>
    <w:lvl w:ilvl="0" w:tplc="07B0625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8337E44"/>
    <w:multiLevelType w:val="hybridMultilevel"/>
    <w:tmpl w:val="559CB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E2C5B"/>
    <w:multiLevelType w:val="multilevel"/>
    <w:tmpl w:val="99B4002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DBC6CDC"/>
    <w:multiLevelType w:val="hybridMultilevel"/>
    <w:tmpl w:val="D996D3B4"/>
    <w:lvl w:ilvl="0" w:tplc="776CFC40">
      <w:start w:val="1"/>
      <w:numFmt w:val="upp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EF96457"/>
    <w:multiLevelType w:val="hybridMultilevel"/>
    <w:tmpl w:val="173E0580"/>
    <w:lvl w:ilvl="0" w:tplc="9FCE52A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FF22C2D"/>
    <w:multiLevelType w:val="hybridMultilevel"/>
    <w:tmpl w:val="AF64FF66"/>
    <w:lvl w:ilvl="0" w:tplc="A660471E">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46"/>
  </w:num>
  <w:num w:numId="3">
    <w:abstractNumId w:val="40"/>
  </w:num>
  <w:num w:numId="4">
    <w:abstractNumId w:val="62"/>
  </w:num>
  <w:num w:numId="5">
    <w:abstractNumId w:val="54"/>
  </w:num>
  <w:num w:numId="6">
    <w:abstractNumId w:val="24"/>
  </w:num>
  <w:num w:numId="7">
    <w:abstractNumId w:val="24"/>
    <w:lvlOverride w:ilvl="0">
      <w:startOverride w:val="1"/>
    </w:lvlOverride>
  </w:num>
  <w:num w:numId="8">
    <w:abstractNumId w:val="5"/>
  </w:num>
  <w:num w:numId="9">
    <w:abstractNumId w:val="3"/>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2"/>
  </w:num>
  <w:num w:numId="13">
    <w:abstractNumId w:val="27"/>
  </w:num>
  <w:num w:numId="14">
    <w:abstractNumId w:val="1"/>
  </w:num>
  <w:num w:numId="15">
    <w:abstractNumId w:val="53"/>
  </w:num>
  <w:num w:numId="16">
    <w:abstractNumId w:val="69"/>
  </w:num>
  <w:num w:numId="17">
    <w:abstractNumId w:val="13"/>
  </w:num>
  <w:num w:numId="18">
    <w:abstractNumId w:val="47"/>
  </w:num>
  <w:num w:numId="19">
    <w:abstractNumId w:val="0"/>
  </w:num>
  <w:num w:numId="20">
    <w:abstractNumId w:val="68"/>
  </w:num>
  <w:num w:numId="21">
    <w:abstractNumId w:val="22"/>
  </w:num>
  <w:num w:numId="22">
    <w:abstractNumId w:val="55"/>
  </w:num>
  <w:num w:numId="23">
    <w:abstractNumId w:val="17"/>
  </w:num>
  <w:num w:numId="24">
    <w:abstractNumId w:val="2"/>
  </w:num>
  <w:num w:numId="25">
    <w:abstractNumId w:val="63"/>
  </w:num>
  <w:num w:numId="26">
    <w:abstractNumId w:val="26"/>
  </w:num>
  <w:num w:numId="27">
    <w:abstractNumId w:val="58"/>
  </w:num>
  <w:num w:numId="28">
    <w:abstractNumId w:val="48"/>
  </w:num>
  <w:num w:numId="29">
    <w:abstractNumId w:val="46"/>
  </w:num>
  <w:num w:numId="30">
    <w:abstractNumId w:val="46"/>
  </w:num>
  <w:num w:numId="31">
    <w:abstractNumId w:val="46"/>
  </w:num>
  <w:num w:numId="32">
    <w:abstractNumId w:val="4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46"/>
  </w:num>
  <w:num w:numId="36">
    <w:abstractNumId w:val="36"/>
    <w:lvlOverride w:ilvl="0">
      <w:startOverride w:val="1"/>
    </w:lvlOverride>
  </w:num>
  <w:num w:numId="37">
    <w:abstractNumId w:val="25"/>
  </w:num>
  <w:num w:numId="38">
    <w:abstractNumId w:val="6"/>
  </w:num>
  <w:num w:numId="39">
    <w:abstractNumId w:val="12"/>
  </w:num>
  <w:num w:numId="40">
    <w:abstractNumId w:val="46"/>
  </w:num>
  <w:num w:numId="41">
    <w:abstractNumId w:val="46"/>
  </w:num>
  <w:num w:numId="42">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67"/>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6"/>
  </w:num>
  <w:num w:numId="49">
    <w:abstractNumId w:val="57"/>
  </w:num>
  <w:num w:numId="50">
    <w:abstractNumId w:val="21"/>
  </w:num>
  <w:num w:numId="51">
    <w:abstractNumId w:val="19"/>
  </w:num>
  <w:num w:numId="52">
    <w:abstractNumId w:val="8"/>
  </w:num>
  <w:num w:numId="53">
    <w:abstractNumId w:val="37"/>
  </w:num>
  <w:num w:numId="54">
    <w:abstractNumId w:val="50"/>
  </w:num>
  <w:num w:numId="55">
    <w:abstractNumId w:val="38"/>
  </w:num>
  <w:num w:numId="56">
    <w:abstractNumId w:val="51"/>
  </w:num>
  <w:num w:numId="57">
    <w:abstractNumId w:val="39"/>
  </w:num>
  <w:num w:numId="58">
    <w:abstractNumId w:val="10"/>
  </w:num>
  <w:num w:numId="59">
    <w:abstractNumId w:val="61"/>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num>
  <w:num w:numId="67">
    <w:abstractNumId w:val="66"/>
  </w:num>
  <w:num w:numId="68">
    <w:abstractNumId w:val="42"/>
  </w:num>
  <w:num w:numId="69">
    <w:abstractNumId w:val="16"/>
  </w:num>
  <w:num w:numId="70">
    <w:abstractNumId w:val="14"/>
  </w:num>
  <w:num w:numId="71">
    <w:abstractNumId w:val="52"/>
  </w:num>
  <w:num w:numId="72">
    <w:abstractNumId w:val="29"/>
  </w:num>
  <w:num w:numId="73">
    <w:abstractNumId w:val="28"/>
  </w:num>
  <w:num w:numId="74">
    <w:abstractNumId w:val="20"/>
  </w:num>
  <w:num w:numId="75">
    <w:abstractNumId w:val="31"/>
  </w:num>
  <w:num w:numId="76">
    <w:abstractNumId w:val="60"/>
  </w:num>
  <w:num w:numId="77">
    <w:abstractNumId w:val="18"/>
  </w:num>
  <w:num w:numId="78">
    <w:abstractNumId w:val="59"/>
  </w:num>
  <w:num w:numId="79">
    <w:abstractNumId w:val="4"/>
  </w:num>
  <w:num w:numId="80">
    <w:abstractNumId w:val="45"/>
  </w:num>
  <w:num w:numId="81">
    <w:abstractNumId w:val="11"/>
  </w:num>
  <w:num w:numId="82">
    <w:abstractNumId w:val="41"/>
  </w:num>
  <w:num w:numId="83">
    <w:abstractNumId w:val="15"/>
  </w:num>
  <w:num w:numId="84">
    <w:abstractNumId w:val="43"/>
  </w:num>
  <w:num w:numId="85">
    <w:abstractNumId w:val="32"/>
  </w:num>
  <w:num w:numId="86">
    <w:abstractNumId w:val="7"/>
  </w:num>
  <w:num w:numId="87">
    <w:abstractNumId w:val="71"/>
  </w:num>
  <w:num w:numId="88">
    <w:abstractNumId w:val="34"/>
  </w:num>
  <w:num w:numId="89">
    <w:abstractNumId w:val="46"/>
  </w:num>
  <w:num w:numId="90">
    <w:abstractNumId w:val="46"/>
  </w:num>
  <w:num w:numId="91">
    <w:abstractNumId w:val="32"/>
    <w:lvlOverride w:ilvl="0">
      <w:startOverride w:val="1"/>
    </w:lvlOverride>
  </w:num>
  <w:num w:numId="92">
    <w:abstractNumId w:val="32"/>
    <w:lvlOverride w:ilvl="0">
      <w:startOverride w:val="1"/>
    </w:lvlOverride>
  </w:num>
  <w:num w:numId="93">
    <w:abstractNumId w:val="46"/>
  </w:num>
  <w:num w:numId="94">
    <w:abstractNumId w:val="46"/>
  </w:num>
  <w:num w:numId="95">
    <w:abstractNumId w:val="35"/>
  </w:num>
  <w:num w:numId="96">
    <w:abstractNumId w:val="35"/>
  </w:num>
  <w:num w:numId="97">
    <w:abstractNumId w:val="3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08F"/>
    <w:rsid w:val="000004B5"/>
    <w:rsid w:val="00000E97"/>
    <w:rsid w:val="0000123D"/>
    <w:rsid w:val="00001951"/>
    <w:rsid w:val="00003466"/>
    <w:rsid w:val="000044E0"/>
    <w:rsid w:val="00004551"/>
    <w:rsid w:val="0000462D"/>
    <w:rsid w:val="00004821"/>
    <w:rsid w:val="000060E7"/>
    <w:rsid w:val="00006218"/>
    <w:rsid w:val="0000649A"/>
    <w:rsid w:val="00006A09"/>
    <w:rsid w:val="00006CE5"/>
    <w:rsid w:val="00006E65"/>
    <w:rsid w:val="00007315"/>
    <w:rsid w:val="00007600"/>
    <w:rsid w:val="00007B48"/>
    <w:rsid w:val="00010B46"/>
    <w:rsid w:val="00010EA3"/>
    <w:rsid w:val="0001224D"/>
    <w:rsid w:val="00012E02"/>
    <w:rsid w:val="0001333A"/>
    <w:rsid w:val="00013486"/>
    <w:rsid w:val="000144E4"/>
    <w:rsid w:val="00015AA1"/>
    <w:rsid w:val="00015FFB"/>
    <w:rsid w:val="00016583"/>
    <w:rsid w:val="000167F4"/>
    <w:rsid w:val="00016EE8"/>
    <w:rsid w:val="000173BB"/>
    <w:rsid w:val="00017967"/>
    <w:rsid w:val="00017F82"/>
    <w:rsid w:val="000203D5"/>
    <w:rsid w:val="00021158"/>
    <w:rsid w:val="00021386"/>
    <w:rsid w:val="00021A87"/>
    <w:rsid w:val="00021C2A"/>
    <w:rsid w:val="00022356"/>
    <w:rsid w:val="000228DB"/>
    <w:rsid w:val="00023E78"/>
    <w:rsid w:val="00023EB7"/>
    <w:rsid w:val="000242C7"/>
    <w:rsid w:val="00024594"/>
    <w:rsid w:val="00024EA2"/>
    <w:rsid w:val="0002524D"/>
    <w:rsid w:val="0002545A"/>
    <w:rsid w:val="00025DD9"/>
    <w:rsid w:val="00026F7B"/>
    <w:rsid w:val="000273F1"/>
    <w:rsid w:val="00027572"/>
    <w:rsid w:val="00027CD4"/>
    <w:rsid w:val="00030056"/>
    <w:rsid w:val="00030582"/>
    <w:rsid w:val="00030625"/>
    <w:rsid w:val="000309CD"/>
    <w:rsid w:val="0003105A"/>
    <w:rsid w:val="00031533"/>
    <w:rsid w:val="00031A52"/>
    <w:rsid w:val="00032468"/>
    <w:rsid w:val="00032815"/>
    <w:rsid w:val="00033C47"/>
    <w:rsid w:val="0003488E"/>
    <w:rsid w:val="000351AE"/>
    <w:rsid w:val="0003544A"/>
    <w:rsid w:val="00035A5A"/>
    <w:rsid w:val="0003641E"/>
    <w:rsid w:val="00036635"/>
    <w:rsid w:val="00036796"/>
    <w:rsid w:val="0003695D"/>
    <w:rsid w:val="00036A4D"/>
    <w:rsid w:val="000370C3"/>
    <w:rsid w:val="0003720B"/>
    <w:rsid w:val="0003727B"/>
    <w:rsid w:val="000378BF"/>
    <w:rsid w:val="00041B66"/>
    <w:rsid w:val="000425F3"/>
    <w:rsid w:val="00043418"/>
    <w:rsid w:val="00043BF0"/>
    <w:rsid w:val="00043C53"/>
    <w:rsid w:val="00043D29"/>
    <w:rsid w:val="000444EB"/>
    <w:rsid w:val="00045EE6"/>
    <w:rsid w:val="0004693D"/>
    <w:rsid w:val="00046D04"/>
    <w:rsid w:val="000506A1"/>
    <w:rsid w:val="00051115"/>
    <w:rsid w:val="000520B7"/>
    <w:rsid w:val="0005221C"/>
    <w:rsid w:val="000523C4"/>
    <w:rsid w:val="00052BF6"/>
    <w:rsid w:val="000537AD"/>
    <w:rsid w:val="00053DBE"/>
    <w:rsid w:val="00054061"/>
    <w:rsid w:val="00054493"/>
    <w:rsid w:val="00054558"/>
    <w:rsid w:val="000546B2"/>
    <w:rsid w:val="00054DA3"/>
    <w:rsid w:val="00055BD9"/>
    <w:rsid w:val="000565E3"/>
    <w:rsid w:val="0005682B"/>
    <w:rsid w:val="00057343"/>
    <w:rsid w:val="00057BF0"/>
    <w:rsid w:val="000602CD"/>
    <w:rsid w:val="000605E9"/>
    <w:rsid w:val="00060C16"/>
    <w:rsid w:val="00062C9C"/>
    <w:rsid w:val="000641ED"/>
    <w:rsid w:val="00064203"/>
    <w:rsid w:val="00064B44"/>
    <w:rsid w:val="00064BB1"/>
    <w:rsid w:val="00065C5B"/>
    <w:rsid w:val="00066573"/>
    <w:rsid w:val="00066725"/>
    <w:rsid w:val="000672A9"/>
    <w:rsid w:val="0006781F"/>
    <w:rsid w:val="00067EFF"/>
    <w:rsid w:val="000701F3"/>
    <w:rsid w:val="000715AB"/>
    <w:rsid w:val="0007172E"/>
    <w:rsid w:val="00071C35"/>
    <w:rsid w:val="00072729"/>
    <w:rsid w:val="00072D03"/>
    <w:rsid w:val="000739DE"/>
    <w:rsid w:val="000745F9"/>
    <w:rsid w:val="00074CAC"/>
    <w:rsid w:val="00074EDA"/>
    <w:rsid w:val="00075C6A"/>
    <w:rsid w:val="000760FE"/>
    <w:rsid w:val="0007735E"/>
    <w:rsid w:val="00077565"/>
    <w:rsid w:val="000777A3"/>
    <w:rsid w:val="000777F9"/>
    <w:rsid w:val="00077F14"/>
    <w:rsid w:val="000801C2"/>
    <w:rsid w:val="000805F7"/>
    <w:rsid w:val="00080BDA"/>
    <w:rsid w:val="00080D1B"/>
    <w:rsid w:val="00080E3C"/>
    <w:rsid w:val="000819EF"/>
    <w:rsid w:val="00081DF5"/>
    <w:rsid w:val="000829DD"/>
    <w:rsid w:val="00082E80"/>
    <w:rsid w:val="00083B21"/>
    <w:rsid w:val="00083D23"/>
    <w:rsid w:val="00083E0A"/>
    <w:rsid w:val="000841A3"/>
    <w:rsid w:val="000851AF"/>
    <w:rsid w:val="0008596E"/>
    <w:rsid w:val="00085AB4"/>
    <w:rsid w:val="000862A2"/>
    <w:rsid w:val="00086319"/>
    <w:rsid w:val="000863E5"/>
    <w:rsid w:val="000863EA"/>
    <w:rsid w:val="000871B5"/>
    <w:rsid w:val="000871C0"/>
    <w:rsid w:val="0009044A"/>
    <w:rsid w:val="00091456"/>
    <w:rsid w:val="00091CAB"/>
    <w:rsid w:val="00092272"/>
    <w:rsid w:val="00093A5D"/>
    <w:rsid w:val="00093FBF"/>
    <w:rsid w:val="0009402C"/>
    <w:rsid w:val="00094545"/>
    <w:rsid w:val="00094BFB"/>
    <w:rsid w:val="0009518E"/>
    <w:rsid w:val="000951E5"/>
    <w:rsid w:val="00095274"/>
    <w:rsid w:val="000957CC"/>
    <w:rsid w:val="000959C9"/>
    <w:rsid w:val="000961BE"/>
    <w:rsid w:val="0009620A"/>
    <w:rsid w:val="00096A2B"/>
    <w:rsid w:val="00096C5D"/>
    <w:rsid w:val="00097089"/>
    <w:rsid w:val="00097348"/>
    <w:rsid w:val="00097B30"/>
    <w:rsid w:val="00097EDE"/>
    <w:rsid w:val="000A02F7"/>
    <w:rsid w:val="000A066E"/>
    <w:rsid w:val="000A096B"/>
    <w:rsid w:val="000A0A27"/>
    <w:rsid w:val="000A1E61"/>
    <w:rsid w:val="000A22CD"/>
    <w:rsid w:val="000A26F9"/>
    <w:rsid w:val="000A27F4"/>
    <w:rsid w:val="000A2A2F"/>
    <w:rsid w:val="000A2C96"/>
    <w:rsid w:val="000A35A2"/>
    <w:rsid w:val="000A4B2A"/>
    <w:rsid w:val="000A552D"/>
    <w:rsid w:val="000A62E9"/>
    <w:rsid w:val="000A689B"/>
    <w:rsid w:val="000A7283"/>
    <w:rsid w:val="000A72C7"/>
    <w:rsid w:val="000A72C8"/>
    <w:rsid w:val="000A7BC7"/>
    <w:rsid w:val="000B04F0"/>
    <w:rsid w:val="000B0B4F"/>
    <w:rsid w:val="000B157A"/>
    <w:rsid w:val="000B1F5A"/>
    <w:rsid w:val="000B2CBB"/>
    <w:rsid w:val="000B2DF5"/>
    <w:rsid w:val="000B2F0E"/>
    <w:rsid w:val="000B3432"/>
    <w:rsid w:val="000B398E"/>
    <w:rsid w:val="000B3EED"/>
    <w:rsid w:val="000B4384"/>
    <w:rsid w:val="000B4639"/>
    <w:rsid w:val="000B516E"/>
    <w:rsid w:val="000B525D"/>
    <w:rsid w:val="000B5592"/>
    <w:rsid w:val="000B5D7E"/>
    <w:rsid w:val="000B65CC"/>
    <w:rsid w:val="000B7608"/>
    <w:rsid w:val="000B7BAD"/>
    <w:rsid w:val="000C0ECF"/>
    <w:rsid w:val="000C13D3"/>
    <w:rsid w:val="000C1FC3"/>
    <w:rsid w:val="000C1FF2"/>
    <w:rsid w:val="000C215E"/>
    <w:rsid w:val="000C2181"/>
    <w:rsid w:val="000C24CF"/>
    <w:rsid w:val="000C2855"/>
    <w:rsid w:val="000C29EC"/>
    <w:rsid w:val="000C38E0"/>
    <w:rsid w:val="000C38F7"/>
    <w:rsid w:val="000C3BC9"/>
    <w:rsid w:val="000C47F0"/>
    <w:rsid w:val="000C4BD2"/>
    <w:rsid w:val="000C4CA4"/>
    <w:rsid w:val="000C4D18"/>
    <w:rsid w:val="000C4E8F"/>
    <w:rsid w:val="000C4FF7"/>
    <w:rsid w:val="000C56EF"/>
    <w:rsid w:val="000C5BCA"/>
    <w:rsid w:val="000C5C4A"/>
    <w:rsid w:val="000C6B94"/>
    <w:rsid w:val="000C760D"/>
    <w:rsid w:val="000C7649"/>
    <w:rsid w:val="000C76E9"/>
    <w:rsid w:val="000C7C1E"/>
    <w:rsid w:val="000D006F"/>
    <w:rsid w:val="000D1127"/>
    <w:rsid w:val="000D160C"/>
    <w:rsid w:val="000D1B87"/>
    <w:rsid w:val="000D1C18"/>
    <w:rsid w:val="000D1DAD"/>
    <w:rsid w:val="000D20BB"/>
    <w:rsid w:val="000D22D6"/>
    <w:rsid w:val="000D3DD8"/>
    <w:rsid w:val="000D3E7E"/>
    <w:rsid w:val="000D43E2"/>
    <w:rsid w:val="000D4E4C"/>
    <w:rsid w:val="000D4FF2"/>
    <w:rsid w:val="000D5268"/>
    <w:rsid w:val="000D563D"/>
    <w:rsid w:val="000D57AD"/>
    <w:rsid w:val="000D5846"/>
    <w:rsid w:val="000D58D5"/>
    <w:rsid w:val="000D62B5"/>
    <w:rsid w:val="000D76B1"/>
    <w:rsid w:val="000E07E0"/>
    <w:rsid w:val="000E175C"/>
    <w:rsid w:val="000E2145"/>
    <w:rsid w:val="000E29CF"/>
    <w:rsid w:val="000E3898"/>
    <w:rsid w:val="000E39C4"/>
    <w:rsid w:val="000E470A"/>
    <w:rsid w:val="000E556A"/>
    <w:rsid w:val="000E5D99"/>
    <w:rsid w:val="000E673A"/>
    <w:rsid w:val="000E7290"/>
    <w:rsid w:val="000F0939"/>
    <w:rsid w:val="000F095D"/>
    <w:rsid w:val="000F0D76"/>
    <w:rsid w:val="000F0F7F"/>
    <w:rsid w:val="000F1529"/>
    <w:rsid w:val="000F311D"/>
    <w:rsid w:val="000F3529"/>
    <w:rsid w:val="000F4B88"/>
    <w:rsid w:val="000F4CDE"/>
    <w:rsid w:val="000F5204"/>
    <w:rsid w:val="000F56CA"/>
    <w:rsid w:val="000F5C72"/>
    <w:rsid w:val="000F6171"/>
    <w:rsid w:val="000F65D5"/>
    <w:rsid w:val="000F6A06"/>
    <w:rsid w:val="000F74F5"/>
    <w:rsid w:val="000F7A7F"/>
    <w:rsid w:val="0010052F"/>
    <w:rsid w:val="00100809"/>
    <w:rsid w:val="0010095A"/>
    <w:rsid w:val="00100CCD"/>
    <w:rsid w:val="00101A46"/>
    <w:rsid w:val="00101AA3"/>
    <w:rsid w:val="00101BFA"/>
    <w:rsid w:val="001022DD"/>
    <w:rsid w:val="001024D6"/>
    <w:rsid w:val="00102787"/>
    <w:rsid w:val="00102813"/>
    <w:rsid w:val="00103CBB"/>
    <w:rsid w:val="00103E1C"/>
    <w:rsid w:val="00104166"/>
    <w:rsid w:val="001044DE"/>
    <w:rsid w:val="00104B69"/>
    <w:rsid w:val="00104C9E"/>
    <w:rsid w:val="001050E2"/>
    <w:rsid w:val="00105372"/>
    <w:rsid w:val="001058D1"/>
    <w:rsid w:val="0010629E"/>
    <w:rsid w:val="001064B4"/>
    <w:rsid w:val="00106EA3"/>
    <w:rsid w:val="00107E3C"/>
    <w:rsid w:val="00110AA7"/>
    <w:rsid w:val="00110F2C"/>
    <w:rsid w:val="001110E3"/>
    <w:rsid w:val="001115F1"/>
    <w:rsid w:val="001119C8"/>
    <w:rsid w:val="00112635"/>
    <w:rsid w:val="00112B70"/>
    <w:rsid w:val="00112D3F"/>
    <w:rsid w:val="0011321E"/>
    <w:rsid w:val="00113364"/>
    <w:rsid w:val="0011375F"/>
    <w:rsid w:val="001137D4"/>
    <w:rsid w:val="001138AE"/>
    <w:rsid w:val="00113C9D"/>
    <w:rsid w:val="00113FA3"/>
    <w:rsid w:val="001140D6"/>
    <w:rsid w:val="001148A4"/>
    <w:rsid w:val="00114BB7"/>
    <w:rsid w:val="00115DB0"/>
    <w:rsid w:val="00115FEE"/>
    <w:rsid w:val="0011675B"/>
    <w:rsid w:val="00116A98"/>
    <w:rsid w:val="00117C05"/>
    <w:rsid w:val="0012028C"/>
    <w:rsid w:val="00120A1D"/>
    <w:rsid w:val="001226C8"/>
    <w:rsid w:val="00122E04"/>
    <w:rsid w:val="00124439"/>
    <w:rsid w:val="0012470B"/>
    <w:rsid w:val="00124962"/>
    <w:rsid w:val="00124CC4"/>
    <w:rsid w:val="00124E33"/>
    <w:rsid w:val="00125047"/>
    <w:rsid w:val="00125C57"/>
    <w:rsid w:val="00126385"/>
    <w:rsid w:val="00126717"/>
    <w:rsid w:val="00127526"/>
    <w:rsid w:val="0013060B"/>
    <w:rsid w:val="00130771"/>
    <w:rsid w:val="00130961"/>
    <w:rsid w:val="00130DDA"/>
    <w:rsid w:val="00130EA2"/>
    <w:rsid w:val="00131C30"/>
    <w:rsid w:val="00131E7A"/>
    <w:rsid w:val="00132445"/>
    <w:rsid w:val="0013251D"/>
    <w:rsid w:val="0013283F"/>
    <w:rsid w:val="00132D24"/>
    <w:rsid w:val="0013396D"/>
    <w:rsid w:val="001341F3"/>
    <w:rsid w:val="00134CAF"/>
    <w:rsid w:val="00134D94"/>
    <w:rsid w:val="00135F7A"/>
    <w:rsid w:val="00136787"/>
    <w:rsid w:val="00136C7B"/>
    <w:rsid w:val="00136CA4"/>
    <w:rsid w:val="00137498"/>
    <w:rsid w:val="00137D17"/>
    <w:rsid w:val="00140180"/>
    <w:rsid w:val="001403D9"/>
    <w:rsid w:val="00141196"/>
    <w:rsid w:val="0014198C"/>
    <w:rsid w:val="00141C04"/>
    <w:rsid w:val="00142163"/>
    <w:rsid w:val="001425DE"/>
    <w:rsid w:val="00142661"/>
    <w:rsid w:val="001429B7"/>
    <w:rsid w:val="00142C49"/>
    <w:rsid w:val="00142FCA"/>
    <w:rsid w:val="00143202"/>
    <w:rsid w:val="0014505D"/>
    <w:rsid w:val="0014587B"/>
    <w:rsid w:val="0014608A"/>
    <w:rsid w:val="00147769"/>
    <w:rsid w:val="00147D4B"/>
    <w:rsid w:val="00150620"/>
    <w:rsid w:val="001506E1"/>
    <w:rsid w:val="00150E38"/>
    <w:rsid w:val="00150E7C"/>
    <w:rsid w:val="001516FC"/>
    <w:rsid w:val="0015280B"/>
    <w:rsid w:val="00152F42"/>
    <w:rsid w:val="00152F57"/>
    <w:rsid w:val="00153371"/>
    <w:rsid w:val="001536B4"/>
    <w:rsid w:val="00153BBB"/>
    <w:rsid w:val="00153E97"/>
    <w:rsid w:val="001540FC"/>
    <w:rsid w:val="00154AB9"/>
    <w:rsid w:val="0015577F"/>
    <w:rsid w:val="001565F0"/>
    <w:rsid w:val="001578C0"/>
    <w:rsid w:val="00157E1E"/>
    <w:rsid w:val="00160C54"/>
    <w:rsid w:val="00161360"/>
    <w:rsid w:val="001616C4"/>
    <w:rsid w:val="00162EDE"/>
    <w:rsid w:val="00163841"/>
    <w:rsid w:val="00164CDA"/>
    <w:rsid w:val="00164FBC"/>
    <w:rsid w:val="00165C42"/>
    <w:rsid w:val="00165E31"/>
    <w:rsid w:val="00165F25"/>
    <w:rsid w:val="00165F89"/>
    <w:rsid w:val="001663FB"/>
    <w:rsid w:val="00167CF2"/>
    <w:rsid w:val="00167D5F"/>
    <w:rsid w:val="00170665"/>
    <w:rsid w:val="00170E1F"/>
    <w:rsid w:val="001713C9"/>
    <w:rsid w:val="00171B7B"/>
    <w:rsid w:val="00171E6D"/>
    <w:rsid w:val="00172AF6"/>
    <w:rsid w:val="00172D5B"/>
    <w:rsid w:val="00173F2E"/>
    <w:rsid w:val="001745E8"/>
    <w:rsid w:val="00175A6D"/>
    <w:rsid w:val="00176147"/>
    <w:rsid w:val="0017626F"/>
    <w:rsid w:val="0017684D"/>
    <w:rsid w:val="00176CEE"/>
    <w:rsid w:val="00177426"/>
    <w:rsid w:val="00177498"/>
    <w:rsid w:val="00181008"/>
    <w:rsid w:val="001825AB"/>
    <w:rsid w:val="001825F9"/>
    <w:rsid w:val="00182BDC"/>
    <w:rsid w:val="0018305C"/>
    <w:rsid w:val="00183393"/>
    <w:rsid w:val="001842EF"/>
    <w:rsid w:val="00184C40"/>
    <w:rsid w:val="00184E3A"/>
    <w:rsid w:val="001855DE"/>
    <w:rsid w:val="00186575"/>
    <w:rsid w:val="00186594"/>
    <w:rsid w:val="00186AB0"/>
    <w:rsid w:val="00186F5E"/>
    <w:rsid w:val="00186FCE"/>
    <w:rsid w:val="001879CA"/>
    <w:rsid w:val="00187AE5"/>
    <w:rsid w:val="00187B2B"/>
    <w:rsid w:val="00187CA5"/>
    <w:rsid w:val="00190906"/>
    <w:rsid w:val="00190D85"/>
    <w:rsid w:val="001915AD"/>
    <w:rsid w:val="00191FB4"/>
    <w:rsid w:val="00192CE1"/>
    <w:rsid w:val="00192FFF"/>
    <w:rsid w:val="001932C6"/>
    <w:rsid w:val="001937FC"/>
    <w:rsid w:val="00193D1B"/>
    <w:rsid w:val="00194802"/>
    <w:rsid w:val="00195B55"/>
    <w:rsid w:val="001A061C"/>
    <w:rsid w:val="001A15A8"/>
    <w:rsid w:val="001A1E2F"/>
    <w:rsid w:val="001A257D"/>
    <w:rsid w:val="001A2AB8"/>
    <w:rsid w:val="001A2D86"/>
    <w:rsid w:val="001A2EE9"/>
    <w:rsid w:val="001A47BC"/>
    <w:rsid w:val="001A5003"/>
    <w:rsid w:val="001A5071"/>
    <w:rsid w:val="001A52A3"/>
    <w:rsid w:val="001A616F"/>
    <w:rsid w:val="001A6268"/>
    <w:rsid w:val="001A686F"/>
    <w:rsid w:val="001A6983"/>
    <w:rsid w:val="001A7B4D"/>
    <w:rsid w:val="001B00D9"/>
    <w:rsid w:val="001B01E5"/>
    <w:rsid w:val="001B0C6D"/>
    <w:rsid w:val="001B2123"/>
    <w:rsid w:val="001B2D51"/>
    <w:rsid w:val="001B35A7"/>
    <w:rsid w:val="001B370C"/>
    <w:rsid w:val="001B38B0"/>
    <w:rsid w:val="001B49BA"/>
    <w:rsid w:val="001B52D5"/>
    <w:rsid w:val="001B54A3"/>
    <w:rsid w:val="001B6B83"/>
    <w:rsid w:val="001B6D8A"/>
    <w:rsid w:val="001B731F"/>
    <w:rsid w:val="001B7A50"/>
    <w:rsid w:val="001B7CDA"/>
    <w:rsid w:val="001C017A"/>
    <w:rsid w:val="001C0478"/>
    <w:rsid w:val="001C0B11"/>
    <w:rsid w:val="001C1546"/>
    <w:rsid w:val="001C1B3B"/>
    <w:rsid w:val="001C21B7"/>
    <w:rsid w:val="001C22D3"/>
    <w:rsid w:val="001C2E44"/>
    <w:rsid w:val="001C3214"/>
    <w:rsid w:val="001C38CD"/>
    <w:rsid w:val="001C412E"/>
    <w:rsid w:val="001C4182"/>
    <w:rsid w:val="001C4F33"/>
    <w:rsid w:val="001C5448"/>
    <w:rsid w:val="001C5AD6"/>
    <w:rsid w:val="001C6851"/>
    <w:rsid w:val="001C6A3A"/>
    <w:rsid w:val="001C6B72"/>
    <w:rsid w:val="001C7348"/>
    <w:rsid w:val="001C74BC"/>
    <w:rsid w:val="001C7664"/>
    <w:rsid w:val="001C771C"/>
    <w:rsid w:val="001C7C53"/>
    <w:rsid w:val="001C7F0C"/>
    <w:rsid w:val="001D0239"/>
    <w:rsid w:val="001D0296"/>
    <w:rsid w:val="001D03B6"/>
    <w:rsid w:val="001D081E"/>
    <w:rsid w:val="001D0954"/>
    <w:rsid w:val="001D0B0C"/>
    <w:rsid w:val="001D19D7"/>
    <w:rsid w:val="001D1D5B"/>
    <w:rsid w:val="001D28B0"/>
    <w:rsid w:val="001D3030"/>
    <w:rsid w:val="001D3306"/>
    <w:rsid w:val="001D41FA"/>
    <w:rsid w:val="001D464B"/>
    <w:rsid w:val="001D4757"/>
    <w:rsid w:val="001D5137"/>
    <w:rsid w:val="001D5248"/>
    <w:rsid w:val="001D6009"/>
    <w:rsid w:val="001D628B"/>
    <w:rsid w:val="001D66AC"/>
    <w:rsid w:val="001D758A"/>
    <w:rsid w:val="001D7AD6"/>
    <w:rsid w:val="001D7C58"/>
    <w:rsid w:val="001D7C6F"/>
    <w:rsid w:val="001E05F8"/>
    <w:rsid w:val="001E06F4"/>
    <w:rsid w:val="001E16DB"/>
    <w:rsid w:val="001E191C"/>
    <w:rsid w:val="001E2411"/>
    <w:rsid w:val="001E2688"/>
    <w:rsid w:val="001E274F"/>
    <w:rsid w:val="001E2C54"/>
    <w:rsid w:val="001E2E5F"/>
    <w:rsid w:val="001E31FB"/>
    <w:rsid w:val="001E3221"/>
    <w:rsid w:val="001E3483"/>
    <w:rsid w:val="001E3D37"/>
    <w:rsid w:val="001E3DC5"/>
    <w:rsid w:val="001E4E02"/>
    <w:rsid w:val="001E5268"/>
    <w:rsid w:val="001E52DE"/>
    <w:rsid w:val="001E54A8"/>
    <w:rsid w:val="001E5869"/>
    <w:rsid w:val="001E60D6"/>
    <w:rsid w:val="001E65F4"/>
    <w:rsid w:val="001E6EFC"/>
    <w:rsid w:val="001E7E63"/>
    <w:rsid w:val="001F02A3"/>
    <w:rsid w:val="001F0337"/>
    <w:rsid w:val="001F09CA"/>
    <w:rsid w:val="001F146F"/>
    <w:rsid w:val="001F1A2C"/>
    <w:rsid w:val="001F1D03"/>
    <w:rsid w:val="001F3378"/>
    <w:rsid w:val="001F3A44"/>
    <w:rsid w:val="001F3B07"/>
    <w:rsid w:val="001F4923"/>
    <w:rsid w:val="001F5B6B"/>
    <w:rsid w:val="001F69BA"/>
    <w:rsid w:val="001F6AA8"/>
    <w:rsid w:val="001F6C36"/>
    <w:rsid w:val="001F7087"/>
    <w:rsid w:val="00200A18"/>
    <w:rsid w:val="00200ADC"/>
    <w:rsid w:val="00200E29"/>
    <w:rsid w:val="00200FA4"/>
    <w:rsid w:val="0020104C"/>
    <w:rsid w:val="00201F84"/>
    <w:rsid w:val="00202AC3"/>
    <w:rsid w:val="00203218"/>
    <w:rsid w:val="002033A6"/>
    <w:rsid w:val="00203566"/>
    <w:rsid w:val="002037D5"/>
    <w:rsid w:val="00203AD0"/>
    <w:rsid w:val="00204314"/>
    <w:rsid w:val="00205D5B"/>
    <w:rsid w:val="00205F20"/>
    <w:rsid w:val="00207CA8"/>
    <w:rsid w:val="00207D3F"/>
    <w:rsid w:val="00210413"/>
    <w:rsid w:val="00210EC3"/>
    <w:rsid w:val="00210F27"/>
    <w:rsid w:val="0021162E"/>
    <w:rsid w:val="00212B49"/>
    <w:rsid w:val="00212CB6"/>
    <w:rsid w:val="00213461"/>
    <w:rsid w:val="00213DF3"/>
    <w:rsid w:val="00214149"/>
    <w:rsid w:val="00214861"/>
    <w:rsid w:val="00214C98"/>
    <w:rsid w:val="00216100"/>
    <w:rsid w:val="002162A7"/>
    <w:rsid w:val="00216C12"/>
    <w:rsid w:val="002172B1"/>
    <w:rsid w:val="002175D3"/>
    <w:rsid w:val="002177BB"/>
    <w:rsid w:val="00217AC5"/>
    <w:rsid w:val="002206E9"/>
    <w:rsid w:val="00220B96"/>
    <w:rsid w:val="00220F4C"/>
    <w:rsid w:val="00221089"/>
    <w:rsid w:val="00221459"/>
    <w:rsid w:val="0022157D"/>
    <w:rsid w:val="002216B0"/>
    <w:rsid w:val="0022217D"/>
    <w:rsid w:val="0022236E"/>
    <w:rsid w:val="002223BA"/>
    <w:rsid w:val="00222818"/>
    <w:rsid w:val="00222D73"/>
    <w:rsid w:val="002232DD"/>
    <w:rsid w:val="002236CC"/>
    <w:rsid w:val="00224149"/>
    <w:rsid w:val="002243DF"/>
    <w:rsid w:val="00224C37"/>
    <w:rsid w:val="002252D3"/>
    <w:rsid w:val="00225D2C"/>
    <w:rsid w:val="002270F4"/>
    <w:rsid w:val="0022775B"/>
    <w:rsid w:val="0023079C"/>
    <w:rsid w:val="00232751"/>
    <w:rsid w:val="00232A5B"/>
    <w:rsid w:val="00232E16"/>
    <w:rsid w:val="00233495"/>
    <w:rsid w:val="0023374A"/>
    <w:rsid w:val="00233F12"/>
    <w:rsid w:val="00233FAA"/>
    <w:rsid w:val="00234555"/>
    <w:rsid w:val="0023460C"/>
    <w:rsid w:val="002349D9"/>
    <w:rsid w:val="00234A1E"/>
    <w:rsid w:val="002358F3"/>
    <w:rsid w:val="00236C22"/>
    <w:rsid w:val="00237A15"/>
    <w:rsid w:val="002404E7"/>
    <w:rsid w:val="002408D2"/>
    <w:rsid w:val="00240C3D"/>
    <w:rsid w:val="0024108A"/>
    <w:rsid w:val="002410A8"/>
    <w:rsid w:val="0024141D"/>
    <w:rsid w:val="002414F1"/>
    <w:rsid w:val="002415BA"/>
    <w:rsid w:val="0024309F"/>
    <w:rsid w:val="00243756"/>
    <w:rsid w:val="00244277"/>
    <w:rsid w:val="002449A3"/>
    <w:rsid w:val="00244A8C"/>
    <w:rsid w:val="00244FF6"/>
    <w:rsid w:val="002453B8"/>
    <w:rsid w:val="002454A2"/>
    <w:rsid w:val="00246437"/>
    <w:rsid w:val="00246E1C"/>
    <w:rsid w:val="0025124E"/>
    <w:rsid w:val="00251EAF"/>
    <w:rsid w:val="002526DB"/>
    <w:rsid w:val="00252F9D"/>
    <w:rsid w:val="0025379A"/>
    <w:rsid w:val="00254A53"/>
    <w:rsid w:val="002561B7"/>
    <w:rsid w:val="002563A8"/>
    <w:rsid w:val="00256519"/>
    <w:rsid w:val="00257764"/>
    <w:rsid w:val="00260E99"/>
    <w:rsid w:val="002612CF"/>
    <w:rsid w:val="00261710"/>
    <w:rsid w:val="00261E5C"/>
    <w:rsid w:val="00261E80"/>
    <w:rsid w:val="00261EDD"/>
    <w:rsid w:val="00262C6F"/>
    <w:rsid w:val="002630A9"/>
    <w:rsid w:val="002630E0"/>
    <w:rsid w:val="00263100"/>
    <w:rsid w:val="002634DC"/>
    <w:rsid w:val="002637C2"/>
    <w:rsid w:val="00263D1B"/>
    <w:rsid w:val="0026403C"/>
    <w:rsid w:val="002640BE"/>
    <w:rsid w:val="0026575C"/>
    <w:rsid w:val="00267162"/>
    <w:rsid w:val="00267377"/>
    <w:rsid w:val="002703A1"/>
    <w:rsid w:val="00270679"/>
    <w:rsid w:val="002708FD"/>
    <w:rsid w:val="002716F3"/>
    <w:rsid w:val="00272409"/>
    <w:rsid w:val="00272DCB"/>
    <w:rsid w:val="002737FE"/>
    <w:rsid w:val="00273D95"/>
    <w:rsid w:val="00274139"/>
    <w:rsid w:val="002749ED"/>
    <w:rsid w:val="00274B12"/>
    <w:rsid w:val="00274BA9"/>
    <w:rsid w:val="00274DB6"/>
    <w:rsid w:val="00275474"/>
    <w:rsid w:val="00275A4D"/>
    <w:rsid w:val="00276579"/>
    <w:rsid w:val="00276A55"/>
    <w:rsid w:val="00276AD7"/>
    <w:rsid w:val="00277B91"/>
    <w:rsid w:val="00280067"/>
    <w:rsid w:val="002802C6"/>
    <w:rsid w:val="00280594"/>
    <w:rsid w:val="0028116C"/>
    <w:rsid w:val="00281895"/>
    <w:rsid w:val="00281A91"/>
    <w:rsid w:val="00281E99"/>
    <w:rsid w:val="00282449"/>
    <w:rsid w:val="00282916"/>
    <w:rsid w:val="00282C83"/>
    <w:rsid w:val="00282C8A"/>
    <w:rsid w:val="002852CD"/>
    <w:rsid w:val="00285DAE"/>
    <w:rsid w:val="002870CC"/>
    <w:rsid w:val="002901E9"/>
    <w:rsid w:val="00291C4F"/>
    <w:rsid w:val="00292868"/>
    <w:rsid w:val="00292964"/>
    <w:rsid w:val="002930D1"/>
    <w:rsid w:val="00293A82"/>
    <w:rsid w:val="00294108"/>
    <w:rsid w:val="00294456"/>
    <w:rsid w:val="00294E35"/>
    <w:rsid w:val="0029566A"/>
    <w:rsid w:val="00296155"/>
    <w:rsid w:val="00296751"/>
    <w:rsid w:val="00296BBE"/>
    <w:rsid w:val="002A0197"/>
    <w:rsid w:val="002A05A8"/>
    <w:rsid w:val="002A0BF6"/>
    <w:rsid w:val="002A0E58"/>
    <w:rsid w:val="002A0FE6"/>
    <w:rsid w:val="002A1031"/>
    <w:rsid w:val="002A15D4"/>
    <w:rsid w:val="002A1BB4"/>
    <w:rsid w:val="002A2096"/>
    <w:rsid w:val="002A23AB"/>
    <w:rsid w:val="002A23C5"/>
    <w:rsid w:val="002A23FA"/>
    <w:rsid w:val="002A2550"/>
    <w:rsid w:val="002A276C"/>
    <w:rsid w:val="002A41E8"/>
    <w:rsid w:val="002A44C3"/>
    <w:rsid w:val="002A46B6"/>
    <w:rsid w:val="002A4B31"/>
    <w:rsid w:val="002A4EB3"/>
    <w:rsid w:val="002A534B"/>
    <w:rsid w:val="002A6C3C"/>
    <w:rsid w:val="002A6EDF"/>
    <w:rsid w:val="002A72FF"/>
    <w:rsid w:val="002A7916"/>
    <w:rsid w:val="002A7939"/>
    <w:rsid w:val="002B0233"/>
    <w:rsid w:val="002B1719"/>
    <w:rsid w:val="002B1764"/>
    <w:rsid w:val="002B2475"/>
    <w:rsid w:val="002B2602"/>
    <w:rsid w:val="002B29F5"/>
    <w:rsid w:val="002B2B4D"/>
    <w:rsid w:val="002B33E6"/>
    <w:rsid w:val="002B36E0"/>
    <w:rsid w:val="002B3A6E"/>
    <w:rsid w:val="002B3E30"/>
    <w:rsid w:val="002B4802"/>
    <w:rsid w:val="002B4909"/>
    <w:rsid w:val="002B4E3C"/>
    <w:rsid w:val="002B52E6"/>
    <w:rsid w:val="002B5724"/>
    <w:rsid w:val="002B6294"/>
    <w:rsid w:val="002B6544"/>
    <w:rsid w:val="002B6870"/>
    <w:rsid w:val="002B6E1B"/>
    <w:rsid w:val="002B7B6C"/>
    <w:rsid w:val="002C155D"/>
    <w:rsid w:val="002C1662"/>
    <w:rsid w:val="002C2156"/>
    <w:rsid w:val="002C23F3"/>
    <w:rsid w:val="002C284F"/>
    <w:rsid w:val="002C2B89"/>
    <w:rsid w:val="002C3071"/>
    <w:rsid w:val="002C33A8"/>
    <w:rsid w:val="002C37BB"/>
    <w:rsid w:val="002C3E14"/>
    <w:rsid w:val="002C4475"/>
    <w:rsid w:val="002C4A1A"/>
    <w:rsid w:val="002C566D"/>
    <w:rsid w:val="002C5724"/>
    <w:rsid w:val="002C576B"/>
    <w:rsid w:val="002C5CA4"/>
    <w:rsid w:val="002C6686"/>
    <w:rsid w:val="002C79D0"/>
    <w:rsid w:val="002D02F9"/>
    <w:rsid w:val="002D13E5"/>
    <w:rsid w:val="002D194D"/>
    <w:rsid w:val="002D2965"/>
    <w:rsid w:val="002D2E39"/>
    <w:rsid w:val="002D3419"/>
    <w:rsid w:val="002D3772"/>
    <w:rsid w:val="002D39E5"/>
    <w:rsid w:val="002D3AF9"/>
    <w:rsid w:val="002D58E2"/>
    <w:rsid w:val="002D5FB1"/>
    <w:rsid w:val="002D6620"/>
    <w:rsid w:val="002D6A99"/>
    <w:rsid w:val="002D6C5C"/>
    <w:rsid w:val="002D6ED0"/>
    <w:rsid w:val="002D7092"/>
    <w:rsid w:val="002D755D"/>
    <w:rsid w:val="002D7572"/>
    <w:rsid w:val="002D7B61"/>
    <w:rsid w:val="002E091F"/>
    <w:rsid w:val="002E0CC5"/>
    <w:rsid w:val="002E0EA4"/>
    <w:rsid w:val="002E156E"/>
    <w:rsid w:val="002E2813"/>
    <w:rsid w:val="002E2903"/>
    <w:rsid w:val="002E39A4"/>
    <w:rsid w:val="002E423B"/>
    <w:rsid w:val="002E4434"/>
    <w:rsid w:val="002E44EF"/>
    <w:rsid w:val="002E4C70"/>
    <w:rsid w:val="002E500F"/>
    <w:rsid w:val="002E5522"/>
    <w:rsid w:val="002E5FF0"/>
    <w:rsid w:val="002E6B54"/>
    <w:rsid w:val="002F0271"/>
    <w:rsid w:val="002F14EB"/>
    <w:rsid w:val="002F285B"/>
    <w:rsid w:val="002F2926"/>
    <w:rsid w:val="002F33D5"/>
    <w:rsid w:val="002F3827"/>
    <w:rsid w:val="002F4A2A"/>
    <w:rsid w:val="002F4B29"/>
    <w:rsid w:val="002F4D04"/>
    <w:rsid w:val="002F56F7"/>
    <w:rsid w:val="002F5734"/>
    <w:rsid w:val="002F5C4B"/>
    <w:rsid w:val="002F6622"/>
    <w:rsid w:val="002F6923"/>
    <w:rsid w:val="002F76A5"/>
    <w:rsid w:val="002F798F"/>
    <w:rsid w:val="0030016B"/>
    <w:rsid w:val="003001A0"/>
    <w:rsid w:val="00300490"/>
    <w:rsid w:val="00300625"/>
    <w:rsid w:val="00300A74"/>
    <w:rsid w:val="00300C7A"/>
    <w:rsid w:val="00301058"/>
    <w:rsid w:val="00301443"/>
    <w:rsid w:val="00303605"/>
    <w:rsid w:val="00303F36"/>
    <w:rsid w:val="00304254"/>
    <w:rsid w:val="003042D4"/>
    <w:rsid w:val="003043F5"/>
    <w:rsid w:val="003067B7"/>
    <w:rsid w:val="003068F8"/>
    <w:rsid w:val="00306AE3"/>
    <w:rsid w:val="00306DDF"/>
    <w:rsid w:val="00306EC8"/>
    <w:rsid w:val="00307469"/>
    <w:rsid w:val="00310811"/>
    <w:rsid w:val="003109DB"/>
    <w:rsid w:val="00310C29"/>
    <w:rsid w:val="003113FB"/>
    <w:rsid w:val="00311425"/>
    <w:rsid w:val="003121B6"/>
    <w:rsid w:val="0031272C"/>
    <w:rsid w:val="0031378B"/>
    <w:rsid w:val="00313CBF"/>
    <w:rsid w:val="00314798"/>
    <w:rsid w:val="003147D0"/>
    <w:rsid w:val="00314EF6"/>
    <w:rsid w:val="00315555"/>
    <w:rsid w:val="003156D9"/>
    <w:rsid w:val="00315905"/>
    <w:rsid w:val="00315D19"/>
    <w:rsid w:val="00315EC2"/>
    <w:rsid w:val="00316971"/>
    <w:rsid w:val="00317363"/>
    <w:rsid w:val="00317449"/>
    <w:rsid w:val="0031782B"/>
    <w:rsid w:val="00320DED"/>
    <w:rsid w:val="00321F6D"/>
    <w:rsid w:val="0032232F"/>
    <w:rsid w:val="003224CD"/>
    <w:rsid w:val="00323DFF"/>
    <w:rsid w:val="00323F25"/>
    <w:rsid w:val="00324349"/>
    <w:rsid w:val="00324E56"/>
    <w:rsid w:val="0032535F"/>
    <w:rsid w:val="00327425"/>
    <w:rsid w:val="00327580"/>
    <w:rsid w:val="00330BEC"/>
    <w:rsid w:val="00330D13"/>
    <w:rsid w:val="00331877"/>
    <w:rsid w:val="003319F3"/>
    <w:rsid w:val="00331CDE"/>
    <w:rsid w:val="003321C5"/>
    <w:rsid w:val="0033234D"/>
    <w:rsid w:val="00332B5E"/>
    <w:rsid w:val="00334117"/>
    <w:rsid w:val="003345D3"/>
    <w:rsid w:val="0033470C"/>
    <w:rsid w:val="00335005"/>
    <w:rsid w:val="00335026"/>
    <w:rsid w:val="00335258"/>
    <w:rsid w:val="00335408"/>
    <w:rsid w:val="003356F1"/>
    <w:rsid w:val="003359AC"/>
    <w:rsid w:val="003360FB"/>
    <w:rsid w:val="0033616D"/>
    <w:rsid w:val="003365EE"/>
    <w:rsid w:val="00337DE4"/>
    <w:rsid w:val="00340155"/>
    <w:rsid w:val="003406CE"/>
    <w:rsid w:val="00340AC0"/>
    <w:rsid w:val="00341457"/>
    <w:rsid w:val="0034195C"/>
    <w:rsid w:val="003429BC"/>
    <w:rsid w:val="00342DC1"/>
    <w:rsid w:val="00343401"/>
    <w:rsid w:val="00343C98"/>
    <w:rsid w:val="00343E2E"/>
    <w:rsid w:val="00343E3F"/>
    <w:rsid w:val="00344A87"/>
    <w:rsid w:val="00345807"/>
    <w:rsid w:val="00345E26"/>
    <w:rsid w:val="003468E3"/>
    <w:rsid w:val="00346BBC"/>
    <w:rsid w:val="00346F6F"/>
    <w:rsid w:val="0035098A"/>
    <w:rsid w:val="00350AAD"/>
    <w:rsid w:val="00350CE9"/>
    <w:rsid w:val="00351470"/>
    <w:rsid w:val="00352E41"/>
    <w:rsid w:val="00353BBD"/>
    <w:rsid w:val="00354102"/>
    <w:rsid w:val="00354343"/>
    <w:rsid w:val="00354387"/>
    <w:rsid w:val="003545BC"/>
    <w:rsid w:val="003548D2"/>
    <w:rsid w:val="0035561F"/>
    <w:rsid w:val="0035584F"/>
    <w:rsid w:val="00356311"/>
    <w:rsid w:val="00356438"/>
    <w:rsid w:val="00356ED0"/>
    <w:rsid w:val="00360037"/>
    <w:rsid w:val="003600F4"/>
    <w:rsid w:val="003605B3"/>
    <w:rsid w:val="00362840"/>
    <w:rsid w:val="00362909"/>
    <w:rsid w:val="00362E21"/>
    <w:rsid w:val="00362E7B"/>
    <w:rsid w:val="003630EE"/>
    <w:rsid w:val="00363775"/>
    <w:rsid w:val="00363BB5"/>
    <w:rsid w:val="003641CB"/>
    <w:rsid w:val="003643F2"/>
    <w:rsid w:val="0036534D"/>
    <w:rsid w:val="0036546C"/>
    <w:rsid w:val="00365C82"/>
    <w:rsid w:val="00365ECF"/>
    <w:rsid w:val="003661CA"/>
    <w:rsid w:val="00366916"/>
    <w:rsid w:val="00366EC2"/>
    <w:rsid w:val="00366F80"/>
    <w:rsid w:val="003671E6"/>
    <w:rsid w:val="00367B42"/>
    <w:rsid w:val="00370F8E"/>
    <w:rsid w:val="003710E0"/>
    <w:rsid w:val="0037112A"/>
    <w:rsid w:val="00371224"/>
    <w:rsid w:val="003712E2"/>
    <w:rsid w:val="00371F01"/>
    <w:rsid w:val="003720B9"/>
    <w:rsid w:val="00372CFF"/>
    <w:rsid w:val="00372F74"/>
    <w:rsid w:val="00373C18"/>
    <w:rsid w:val="00373E70"/>
    <w:rsid w:val="00374808"/>
    <w:rsid w:val="00374919"/>
    <w:rsid w:val="00375343"/>
    <w:rsid w:val="00375926"/>
    <w:rsid w:val="0037744C"/>
    <w:rsid w:val="00377793"/>
    <w:rsid w:val="00377D4C"/>
    <w:rsid w:val="00377FA0"/>
    <w:rsid w:val="00380A74"/>
    <w:rsid w:val="00380D2A"/>
    <w:rsid w:val="0038122E"/>
    <w:rsid w:val="00381D98"/>
    <w:rsid w:val="00382109"/>
    <w:rsid w:val="00382F0C"/>
    <w:rsid w:val="003830D1"/>
    <w:rsid w:val="00383149"/>
    <w:rsid w:val="003838CE"/>
    <w:rsid w:val="00383BE1"/>
    <w:rsid w:val="00385852"/>
    <w:rsid w:val="00385A81"/>
    <w:rsid w:val="00386096"/>
    <w:rsid w:val="003865F6"/>
    <w:rsid w:val="00386832"/>
    <w:rsid w:val="00387896"/>
    <w:rsid w:val="00387ADB"/>
    <w:rsid w:val="003909AB"/>
    <w:rsid w:val="00391766"/>
    <w:rsid w:val="00392199"/>
    <w:rsid w:val="00392BBB"/>
    <w:rsid w:val="00393DDB"/>
    <w:rsid w:val="00394B99"/>
    <w:rsid w:val="00394BAC"/>
    <w:rsid w:val="0039616E"/>
    <w:rsid w:val="003A08A0"/>
    <w:rsid w:val="003A1328"/>
    <w:rsid w:val="003A1447"/>
    <w:rsid w:val="003A1CC9"/>
    <w:rsid w:val="003A22D5"/>
    <w:rsid w:val="003A2C80"/>
    <w:rsid w:val="003A3167"/>
    <w:rsid w:val="003A35F1"/>
    <w:rsid w:val="003A44E2"/>
    <w:rsid w:val="003A48A9"/>
    <w:rsid w:val="003A4DCB"/>
    <w:rsid w:val="003A508E"/>
    <w:rsid w:val="003A530D"/>
    <w:rsid w:val="003A6201"/>
    <w:rsid w:val="003A6A9B"/>
    <w:rsid w:val="003A6E85"/>
    <w:rsid w:val="003A6F46"/>
    <w:rsid w:val="003A7BD3"/>
    <w:rsid w:val="003B0252"/>
    <w:rsid w:val="003B05C2"/>
    <w:rsid w:val="003B0900"/>
    <w:rsid w:val="003B0DD0"/>
    <w:rsid w:val="003B1507"/>
    <w:rsid w:val="003B153A"/>
    <w:rsid w:val="003B24CF"/>
    <w:rsid w:val="003B4F1C"/>
    <w:rsid w:val="003B515E"/>
    <w:rsid w:val="003B68F4"/>
    <w:rsid w:val="003B6C5B"/>
    <w:rsid w:val="003B768A"/>
    <w:rsid w:val="003B78AB"/>
    <w:rsid w:val="003B7FEC"/>
    <w:rsid w:val="003C0035"/>
    <w:rsid w:val="003C095A"/>
    <w:rsid w:val="003C0B44"/>
    <w:rsid w:val="003C0DE6"/>
    <w:rsid w:val="003C162E"/>
    <w:rsid w:val="003C2809"/>
    <w:rsid w:val="003C30CC"/>
    <w:rsid w:val="003C3DBB"/>
    <w:rsid w:val="003C3F17"/>
    <w:rsid w:val="003C4287"/>
    <w:rsid w:val="003C4322"/>
    <w:rsid w:val="003C5227"/>
    <w:rsid w:val="003C5540"/>
    <w:rsid w:val="003C5F3E"/>
    <w:rsid w:val="003C67F7"/>
    <w:rsid w:val="003C6B96"/>
    <w:rsid w:val="003C7A15"/>
    <w:rsid w:val="003D0591"/>
    <w:rsid w:val="003D0AD0"/>
    <w:rsid w:val="003D0C35"/>
    <w:rsid w:val="003D12C7"/>
    <w:rsid w:val="003D1E80"/>
    <w:rsid w:val="003D22A0"/>
    <w:rsid w:val="003D2913"/>
    <w:rsid w:val="003D2AA8"/>
    <w:rsid w:val="003D3101"/>
    <w:rsid w:val="003D3241"/>
    <w:rsid w:val="003D3956"/>
    <w:rsid w:val="003D3C48"/>
    <w:rsid w:val="003D4177"/>
    <w:rsid w:val="003D4541"/>
    <w:rsid w:val="003D48F5"/>
    <w:rsid w:val="003D5240"/>
    <w:rsid w:val="003D583D"/>
    <w:rsid w:val="003D5B4F"/>
    <w:rsid w:val="003D6680"/>
    <w:rsid w:val="003D68AF"/>
    <w:rsid w:val="003D6E76"/>
    <w:rsid w:val="003D6E7F"/>
    <w:rsid w:val="003D7F44"/>
    <w:rsid w:val="003E0962"/>
    <w:rsid w:val="003E1247"/>
    <w:rsid w:val="003E1C69"/>
    <w:rsid w:val="003E1D66"/>
    <w:rsid w:val="003E1EDA"/>
    <w:rsid w:val="003E2349"/>
    <w:rsid w:val="003E2672"/>
    <w:rsid w:val="003E29F8"/>
    <w:rsid w:val="003E2DBE"/>
    <w:rsid w:val="003E346F"/>
    <w:rsid w:val="003E3A92"/>
    <w:rsid w:val="003E40AF"/>
    <w:rsid w:val="003E42AC"/>
    <w:rsid w:val="003E4785"/>
    <w:rsid w:val="003E56FD"/>
    <w:rsid w:val="003E58DE"/>
    <w:rsid w:val="003E6223"/>
    <w:rsid w:val="003E686B"/>
    <w:rsid w:val="003E6CD8"/>
    <w:rsid w:val="003E6FD4"/>
    <w:rsid w:val="003E7837"/>
    <w:rsid w:val="003F0354"/>
    <w:rsid w:val="003F03D2"/>
    <w:rsid w:val="003F1B41"/>
    <w:rsid w:val="003F34F0"/>
    <w:rsid w:val="003F3F7E"/>
    <w:rsid w:val="003F3F89"/>
    <w:rsid w:val="003F400E"/>
    <w:rsid w:val="003F46AE"/>
    <w:rsid w:val="003F5E24"/>
    <w:rsid w:val="003F6225"/>
    <w:rsid w:val="003F683C"/>
    <w:rsid w:val="003F6B8F"/>
    <w:rsid w:val="003F7224"/>
    <w:rsid w:val="00400151"/>
    <w:rsid w:val="0040036B"/>
    <w:rsid w:val="004009B1"/>
    <w:rsid w:val="00400A97"/>
    <w:rsid w:val="00400DB7"/>
    <w:rsid w:val="004019BE"/>
    <w:rsid w:val="004019D5"/>
    <w:rsid w:val="00402686"/>
    <w:rsid w:val="00402C62"/>
    <w:rsid w:val="00402D68"/>
    <w:rsid w:val="0040357F"/>
    <w:rsid w:val="00403D9D"/>
    <w:rsid w:val="004057FC"/>
    <w:rsid w:val="00405ED9"/>
    <w:rsid w:val="00406B60"/>
    <w:rsid w:val="00406CE3"/>
    <w:rsid w:val="0040743A"/>
    <w:rsid w:val="00407BFF"/>
    <w:rsid w:val="00411E09"/>
    <w:rsid w:val="004122B5"/>
    <w:rsid w:val="004128C5"/>
    <w:rsid w:val="00412E49"/>
    <w:rsid w:val="0041361B"/>
    <w:rsid w:val="00413A8B"/>
    <w:rsid w:val="00413D40"/>
    <w:rsid w:val="00414551"/>
    <w:rsid w:val="00414E15"/>
    <w:rsid w:val="00415321"/>
    <w:rsid w:val="00416060"/>
    <w:rsid w:val="0041781C"/>
    <w:rsid w:val="00417C0D"/>
    <w:rsid w:val="00417C7E"/>
    <w:rsid w:val="00417ED5"/>
    <w:rsid w:val="00420B65"/>
    <w:rsid w:val="00420FCE"/>
    <w:rsid w:val="004213DA"/>
    <w:rsid w:val="004214B6"/>
    <w:rsid w:val="00421F44"/>
    <w:rsid w:val="00422499"/>
    <w:rsid w:val="00422EC0"/>
    <w:rsid w:val="00423339"/>
    <w:rsid w:val="00423C8C"/>
    <w:rsid w:val="004244B4"/>
    <w:rsid w:val="004247BF"/>
    <w:rsid w:val="00424837"/>
    <w:rsid w:val="00424923"/>
    <w:rsid w:val="00424A1B"/>
    <w:rsid w:val="00424BB1"/>
    <w:rsid w:val="004257A5"/>
    <w:rsid w:val="00425DFB"/>
    <w:rsid w:val="00426069"/>
    <w:rsid w:val="004267F5"/>
    <w:rsid w:val="00426A01"/>
    <w:rsid w:val="00426BD8"/>
    <w:rsid w:val="00427B05"/>
    <w:rsid w:val="00427D21"/>
    <w:rsid w:val="004301B3"/>
    <w:rsid w:val="00431635"/>
    <w:rsid w:val="00432159"/>
    <w:rsid w:val="00432425"/>
    <w:rsid w:val="004327E3"/>
    <w:rsid w:val="00433514"/>
    <w:rsid w:val="004336B7"/>
    <w:rsid w:val="00433843"/>
    <w:rsid w:val="0043385F"/>
    <w:rsid w:val="00435367"/>
    <w:rsid w:val="00435C45"/>
    <w:rsid w:val="004360D3"/>
    <w:rsid w:val="00436869"/>
    <w:rsid w:val="00437034"/>
    <w:rsid w:val="0043704F"/>
    <w:rsid w:val="0043705A"/>
    <w:rsid w:val="0043758C"/>
    <w:rsid w:val="00437A97"/>
    <w:rsid w:val="00437A98"/>
    <w:rsid w:val="00437E85"/>
    <w:rsid w:val="00437FB1"/>
    <w:rsid w:val="004400A9"/>
    <w:rsid w:val="004409BC"/>
    <w:rsid w:val="004409F7"/>
    <w:rsid w:val="00440EA0"/>
    <w:rsid w:val="00441E81"/>
    <w:rsid w:val="00441F58"/>
    <w:rsid w:val="00441FE0"/>
    <w:rsid w:val="004420B2"/>
    <w:rsid w:val="00442384"/>
    <w:rsid w:val="0044280C"/>
    <w:rsid w:val="004429D5"/>
    <w:rsid w:val="00442D63"/>
    <w:rsid w:val="00443219"/>
    <w:rsid w:val="00443A85"/>
    <w:rsid w:val="00444488"/>
    <w:rsid w:val="00444786"/>
    <w:rsid w:val="00444DF4"/>
    <w:rsid w:val="0044522A"/>
    <w:rsid w:val="00445EE5"/>
    <w:rsid w:val="004466F8"/>
    <w:rsid w:val="00446EB8"/>
    <w:rsid w:val="00447631"/>
    <w:rsid w:val="0044785A"/>
    <w:rsid w:val="00447CE4"/>
    <w:rsid w:val="00447F51"/>
    <w:rsid w:val="004502D8"/>
    <w:rsid w:val="00450EFB"/>
    <w:rsid w:val="00451145"/>
    <w:rsid w:val="00451283"/>
    <w:rsid w:val="004531BD"/>
    <w:rsid w:val="00453BBA"/>
    <w:rsid w:val="00453C01"/>
    <w:rsid w:val="00453CD7"/>
    <w:rsid w:val="00453FB8"/>
    <w:rsid w:val="004541D6"/>
    <w:rsid w:val="004543B8"/>
    <w:rsid w:val="00455DCF"/>
    <w:rsid w:val="00456269"/>
    <w:rsid w:val="004566F6"/>
    <w:rsid w:val="004571B8"/>
    <w:rsid w:val="004574BD"/>
    <w:rsid w:val="00460452"/>
    <w:rsid w:val="0046106A"/>
    <w:rsid w:val="004625E1"/>
    <w:rsid w:val="00462B75"/>
    <w:rsid w:val="00463687"/>
    <w:rsid w:val="00463C92"/>
    <w:rsid w:val="004640C6"/>
    <w:rsid w:val="0046421F"/>
    <w:rsid w:val="004644C2"/>
    <w:rsid w:val="004645B8"/>
    <w:rsid w:val="00465906"/>
    <w:rsid w:val="00465FF2"/>
    <w:rsid w:val="004661E5"/>
    <w:rsid w:val="004669BA"/>
    <w:rsid w:val="00467F9C"/>
    <w:rsid w:val="00470DB0"/>
    <w:rsid w:val="0047145C"/>
    <w:rsid w:val="00471765"/>
    <w:rsid w:val="0047235D"/>
    <w:rsid w:val="00472F03"/>
    <w:rsid w:val="00473EFF"/>
    <w:rsid w:val="00475A0C"/>
    <w:rsid w:val="00475FA3"/>
    <w:rsid w:val="00476DCA"/>
    <w:rsid w:val="00476E5B"/>
    <w:rsid w:val="00476F1B"/>
    <w:rsid w:val="00480141"/>
    <w:rsid w:val="00480898"/>
    <w:rsid w:val="00480D5D"/>
    <w:rsid w:val="004811FF"/>
    <w:rsid w:val="004813B9"/>
    <w:rsid w:val="00481B7F"/>
    <w:rsid w:val="00482BF2"/>
    <w:rsid w:val="00483E52"/>
    <w:rsid w:val="00484148"/>
    <w:rsid w:val="0048440F"/>
    <w:rsid w:val="004849D5"/>
    <w:rsid w:val="0048507B"/>
    <w:rsid w:val="004853CC"/>
    <w:rsid w:val="0048590B"/>
    <w:rsid w:val="0048602C"/>
    <w:rsid w:val="004868EC"/>
    <w:rsid w:val="004873BD"/>
    <w:rsid w:val="00487D5C"/>
    <w:rsid w:val="00490FF6"/>
    <w:rsid w:val="0049112E"/>
    <w:rsid w:val="004935C1"/>
    <w:rsid w:val="0049449A"/>
    <w:rsid w:val="0049490B"/>
    <w:rsid w:val="004952A1"/>
    <w:rsid w:val="004954C6"/>
    <w:rsid w:val="00495786"/>
    <w:rsid w:val="004957EF"/>
    <w:rsid w:val="0049602C"/>
    <w:rsid w:val="004961A3"/>
    <w:rsid w:val="004961EB"/>
    <w:rsid w:val="00497682"/>
    <w:rsid w:val="004976FB"/>
    <w:rsid w:val="004977DF"/>
    <w:rsid w:val="004A02FA"/>
    <w:rsid w:val="004A0EED"/>
    <w:rsid w:val="004A1266"/>
    <w:rsid w:val="004A1999"/>
    <w:rsid w:val="004A1ACF"/>
    <w:rsid w:val="004A1F85"/>
    <w:rsid w:val="004A2392"/>
    <w:rsid w:val="004A3E78"/>
    <w:rsid w:val="004A3E7E"/>
    <w:rsid w:val="004A4814"/>
    <w:rsid w:val="004A4AC5"/>
    <w:rsid w:val="004A4D7A"/>
    <w:rsid w:val="004A5541"/>
    <w:rsid w:val="004A56D6"/>
    <w:rsid w:val="004A56D7"/>
    <w:rsid w:val="004A59C3"/>
    <w:rsid w:val="004A5AFF"/>
    <w:rsid w:val="004A61B0"/>
    <w:rsid w:val="004A664B"/>
    <w:rsid w:val="004A72DA"/>
    <w:rsid w:val="004A7728"/>
    <w:rsid w:val="004A7C96"/>
    <w:rsid w:val="004B0E82"/>
    <w:rsid w:val="004B1441"/>
    <w:rsid w:val="004B16D4"/>
    <w:rsid w:val="004B1DDF"/>
    <w:rsid w:val="004B3066"/>
    <w:rsid w:val="004B35C3"/>
    <w:rsid w:val="004B38C9"/>
    <w:rsid w:val="004B4679"/>
    <w:rsid w:val="004B488A"/>
    <w:rsid w:val="004B523A"/>
    <w:rsid w:val="004B5973"/>
    <w:rsid w:val="004B7054"/>
    <w:rsid w:val="004C12C5"/>
    <w:rsid w:val="004C16C2"/>
    <w:rsid w:val="004C171C"/>
    <w:rsid w:val="004C240B"/>
    <w:rsid w:val="004C2BB3"/>
    <w:rsid w:val="004C3775"/>
    <w:rsid w:val="004C42FD"/>
    <w:rsid w:val="004C49ED"/>
    <w:rsid w:val="004C4EAB"/>
    <w:rsid w:val="004C524A"/>
    <w:rsid w:val="004C52EC"/>
    <w:rsid w:val="004C5745"/>
    <w:rsid w:val="004C58E1"/>
    <w:rsid w:val="004C6426"/>
    <w:rsid w:val="004C660D"/>
    <w:rsid w:val="004C770B"/>
    <w:rsid w:val="004D04F9"/>
    <w:rsid w:val="004D0558"/>
    <w:rsid w:val="004D0F69"/>
    <w:rsid w:val="004D1BBC"/>
    <w:rsid w:val="004D1E37"/>
    <w:rsid w:val="004D23C1"/>
    <w:rsid w:val="004D2935"/>
    <w:rsid w:val="004D2BEC"/>
    <w:rsid w:val="004D3D9B"/>
    <w:rsid w:val="004D4010"/>
    <w:rsid w:val="004D4637"/>
    <w:rsid w:val="004D4EA1"/>
    <w:rsid w:val="004D526A"/>
    <w:rsid w:val="004D53F3"/>
    <w:rsid w:val="004D625F"/>
    <w:rsid w:val="004D680B"/>
    <w:rsid w:val="004D694B"/>
    <w:rsid w:val="004E16C5"/>
    <w:rsid w:val="004E1983"/>
    <w:rsid w:val="004E2366"/>
    <w:rsid w:val="004E27A0"/>
    <w:rsid w:val="004E2942"/>
    <w:rsid w:val="004E2AC2"/>
    <w:rsid w:val="004E33AD"/>
    <w:rsid w:val="004E4817"/>
    <w:rsid w:val="004E4AFB"/>
    <w:rsid w:val="004E507F"/>
    <w:rsid w:val="004E5709"/>
    <w:rsid w:val="004E682C"/>
    <w:rsid w:val="004E772F"/>
    <w:rsid w:val="004E7D51"/>
    <w:rsid w:val="004F0D9B"/>
    <w:rsid w:val="004F18CC"/>
    <w:rsid w:val="004F239A"/>
    <w:rsid w:val="004F2452"/>
    <w:rsid w:val="004F248A"/>
    <w:rsid w:val="004F276E"/>
    <w:rsid w:val="004F2BD5"/>
    <w:rsid w:val="004F3844"/>
    <w:rsid w:val="004F4425"/>
    <w:rsid w:val="004F4594"/>
    <w:rsid w:val="004F4953"/>
    <w:rsid w:val="004F4B9D"/>
    <w:rsid w:val="004F5A25"/>
    <w:rsid w:val="004F5CA6"/>
    <w:rsid w:val="004F5E41"/>
    <w:rsid w:val="004F5F77"/>
    <w:rsid w:val="004F619F"/>
    <w:rsid w:val="004F6845"/>
    <w:rsid w:val="004F73A3"/>
    <w:rsid w:val="005009DC"/>
    <w:rsid w:val="00500A87"/>
    <w:rsid w:val="00500CCF"/>
    <w:rsid w:val="00500D90"/>
    <w:rsid w:val="005012DE"/>
    <w:rsid w:val="0050177F"/>
    <w:rsid w:val="00501BBB"/>
    <w:rsid w:val="0050202D"/>
    <w:rsid w:val="005021FE"/>
    <w:rsid w:val="00502354"/>
    <w:rsid w:val="005024DC"/>
    <w:rsid w:val="00502656"/>
    <w:rsid w:val="005026E7"/>
    <w:rsid w:val="00502988"/>
    <w:rsid w:val="005036BF"/>
    <w:rsid w:val="00503770"/>
    <w:rsid w:val="005037B4"/>
    <w:rsid w:val="00503E70"/>
    <w:rsid w:val="00503F2E"/>
    <w:rsid w:val="005047E1"/>
    <w:rsid w:val="00504BA3"/>
    <w:rsid w:val="00504CB1"/>
    <w:rsid w:val="00504E0D"/>
    <w:rsid w:val="00505437"/>
    <w:rsid w:val="00505D7E"/>
    <w:rsid w:val="00505F13"/>
    <w:rsid w:val="00506026"/>
    <w:rsid w:val="00506519"/>
    <w:rsid w:val="005077E0"/>
    <w:rsid w:val="00510A41"/>
    <w:rsid w:val="00511492"/>
    <w:rsid w:val="00511922"/>
    <w:rsid w:val="005120AA"/>
    <w:rsid w:val="00512275"/>
    <w:rsid w:val="005123B1"/>
    <w:rsid w:val="0051270C"/>
    <w:rsid w:val="005128D2"/>
    <w:rsid w:val="00512AD0"/>
    <w:rsid w:val="00512E56"/>
    <w:rsid w:val="005131B1"/>
    <w:rsid w:val="00513BEF"/>
    <w:rsid w:val="00513CF7"/>
    <w:rsid w:val="005146D4"/>
    <w:rsid w:val="00515723"/>
    <w:rsid w:val="00515BBE"/>
    <w:rsid w:val="00515C53"/>
    <w:rsid w:val="00515C8D"/>
    <w:rsid w:val="00515F52"/>
    <w:rsid w:val="00515F6E"/>
    <w:rsid w:val="00516496"/>
    <w:rsid w:val="00517CF3"/>
    <w:rsid w:val="00520570"/>
    <w:rsid w:val="00520A72"/>
    <w:rsid w:val="00521954"/>
    <w:rsid w:val="005221DA"/>
    <w:rsid w:val="00522944"/>
    <w:rsid w:val="00522CDC"/>
    <w:rsid w:val="00522E82"/>
    <w:rsid w:val="00523051"/>
    <w:rsid w:val="005232FA"/>
    <w:rsid w:val="00523A9F"/>
    <w:rsid w:val="00523EA0"/>
    <w:rsid w:val="005242E8"/>
    <w:rsid w:val="00524EF3"/>
    <w:rsid w:val="005250CE"/>
    <w:rsid w:val="005257CB"/>
    <w:rsid w:val="005260D9"/>
    <w:rsid w:val="00526F19"/>
    <w:rsid w:val="00527096"/>
    <w:rsid w:val="0052795F"/>
    <w:rsid w:val="00527F61"/>
    <w:rsid w:val="00530D16"/>
    <w:rsid w:val="00531121"/>
    <w:rsid w:val="0053134D"/>
    <w:rsid w:val="005315F6"/>
    <w:rsid w:val="00531BFE"/>
    <w:rsid w:val="00531FED"/>
    <w:rsid w:val="0053210F"/>
    <w:rsid w:val="00532166"/>
    <w:rsid w:val="00532361"/>
    <w:rsid w:val="00532EC0"/>
    <w:rsid w:val="005332BA"/>
    <w:rsid w:val="005337DF"/>
    <w:rsid w:val="005339BA"/>
    <w:rsid w:val="00533ECE"/>
    <w:rsid w:val="00533F66"/>
    <w:rsid w:val="005343D0"/>
    <w:rsid w:val="00534681"/>
    <w:rsid w:val="00534747"/>
    <w:rsid w:val="00534DD9"/>
    <w:rsid w:val="00535924"/>
    <w:rsid w:val="00535AD6"/>
    <w:rsid w:val="005360BA"/>
    <w:rsid w:val="00536800"/>
    <w:rsid w:val="00537445"/>
    <w:rsid w:val="00537F21"/>
    <w:rsid w:val="005406C5"/>
    <w:rsid w:val="00540E1A"/>
    <w:rsid w:val="0054189D"/>
    <w:rsid w:val="00543E67"/>
    <w:rsid w:val="0054402A"/>
    <w:rsid w:val="00544281"/>
    <w:rsid w:val="00544E83"/>
    <w:rsid w:val="0054531A"/>
    <w:rsid w:val="00547457"/>
    <w:rsid w:val="005477AF"/>
    <w:rsid w:val="00547A7D"/>
    <w:rsid w:val="00547F01"/>
    <w:rsid w:val="00551728"/>
    <w:rsid w:val="00551E1E"/>
    <w:rsid w:val="00551EE0"/>
    <w:rsid w:val="00552136"/>
    <w:rsid w:val="0055252D"/>
    <w:rsid w:val="005525B0"/>
    <w:rsid w:val="00552ABB"/>
    <w:rsid w:val="00552D7D"/>
    <w:rsid w:val="00552F71"/>
    <w:rsid w:val="005535C2"/>
    <w:rsid w:val="00553D7A"/>
    <w:rsid w:val="005545CC"/>
    <w:rsid w:val="0055470F"/>
    <w:rsid w:val="005550E4"/>
    <w:rsid w:val="0055555C"/>
    <w:rsid w:val="00555738"/>
    <w:rsid w:val="00555F79"/>
    <w:rsid w:val="00556072"/>
    <w:rsid w:val="00556708"/>
    <w:rsid w:val="0055671A"/>
    <w:rsid w:val="005600D5"/>
    <w:rsid w:val="005601F6"/>
    <w:rsid w:val="005603AB"/>
    <w:rsid w:val="00560457"/>
    <w:rsid w:val="00560906"/>
    <w:rsid w:val="00560C6D"/>
    <w:rsid w:val="00560E0B"/>
    <w:rsid w:val="00560E58"/>
    <w:rsid w:val="005611E3"/>
    <w:rsid w:val="00561676"/>
    <w:rsid w:val="005617AF"/>
    <w:rsid w:val="0056191F"/>
    <w:rsid w:val="00561DC1"/>
    <w:rsid w:val="00562045"/>
    <w:rsid w:val="005620BE"/>
    <w:rsid w:val="00562502"/>
    <w:rsid w:val="00562574"/>
    <w:rsid w:val="00562DF8"/>
    <w:rsid w:val="00562E2E"/>
    <w:rsid w:val="00563A0B"/>
    <w:rsid w:val="005644AA"/>
    <w:rsid w:val="00564C04"/>
    <w:rsid w:val="00565DEC"/>
    <w:rsid w:val="00565F06"/>
    <w:rsid w:val="00566469"/>
    <w:rsid w:val="005669CC"/>
    <w:rsid w:val="00566AA8"/>
    <w:rsid w:val="00567060"/>
    <w:rsid w:val="005672A9"/>
    <w:rsid w:val="005672DD"/>
    <w:rsid w:val="0056740E"/>
    <w:rsid w:val="00570E55"/>
    <w:rsid w:val="0057146E"/>
    <w:rsid w:val="005717BA"/>
    <w:rsid w:val="00571A35"/>
    <w:rsid w:val="00571DAF"/>
    <w:rsid w:val="00572346"/>
    <w:rsid w:val="005726EB"/>
    <w:rsid w:val="00572C1F"/>
    <w:rsid w:val="00573174"/>
    <w:rsid w:val="00573FCD"/>
    <w:rsid w:val="00574010"/>
    <w:rsid w:val="0057428A"/>
    <w:rsid w:val="005743EF"/>
    <w:rsid w:val="005757AE"/>
    <w:rsid w:val="005759E1"/>
    <w:rsid w:val="00576760"/>
    <w:rsid w:val="00576C22"/>
    <w:rsid w:val="00577682"/>
    <w:rsid w:val="005779E3"/>
    <w:rsid w:val="00577BD7"/>
    <w:rsid w:val="0058005E"/>
    <w:rsid w:val="005802B9"/>
    <w:rsid w:val="005803D4"/>
    <w:rsid w:val="0058074E"/>
    <w:rsid w:val="005808C9"/>
    <w:rsid w:val="00580A74"/>
    <w:rsid w:val="0058170D"/>
    <w:rsid w:val="005819DB"/>
    <w:rsid w:val="005821F4"/>
    <w:rsid w:val="005826E2"/>
    <w:rsid w:val="005829FF"/>
    <w:rsid w:val="00583644"/>
    <w:rsid w:val="005851DD"/>
    <w:rsid w:val="00585F8E"/>
    <w:rsid w:val="0058610B"/>
    <w:rsid w:val="0058625F"/>
    <w:rsid w:val="0058716D"/>
    <w:rsid w:val="00587F5D"/>
    <w:rsid w:val="005908A9"/>
    <w:rsid w:val="0059132C"/>
    <w:rsid w:val="00592723"/>
    <w:rsid w:val="00595DA4"/>
    <w:rsid w:val="00595EF5"/>
    <w:rsid w:val="00595F2F"/>
    <w:rsid w:val="00596CBB"/>
    <w:rsid w:val="00596E6B"/>
    <w:rsid w:val="0059797D"/>
    <w:rsid w:val="005A0310"/>
    <w:rsid w:val="005A05FE"/>
    <w:rsid w:val="005A097F"/>
    <w:rsid w:val="005A0C57"/>
    <w:rsid w:val="005A0DEB"/>
    <w:rsid w:val="005A1116"/>
    <w:rsid w:val="005A2FC0"/>
    <w:rsid w:val="005A3534"/>
    <w:rsid w:val="005A3B85"/>
    <w:rsid w:val="005A4568"/>
    <w:rsid w:val="005A5473"/>
    <w:rsid w:val="005A6E10"/>
    <w:rsid w:val="005A7B44"/>
    <w:rsid w:val="005B0E56"/>
    <w:rsid w:val="005B181E"/>
    <w:rsid w:val="005B2105"/>
    <w:rsid w:val="005B26B9"/>
    <w:rsid w:val="005B2A5B"/>
    <w:rsid w:val="005B2E4A"/>
    <w:rsid w:val="005B2FDC"/>
    <w:rsid w:val="005B3010"/>
    <w:rsid w:val="005B3976"/>
    <w:rsid w:val="005B3CF9"/>
    <w:rsid w:val="005B486F"/>
    <w:rsid w:val="005B4BAD"/>
    <w:rsid w:val="005B5085"/>
    <w:rsid w:val="005B514C"/>
    <w:rsid w:val="005B52D3"/>
    <w:rsid w:val="005B54EA"/>
    <w:rsid w:val="005B572C"/>
    <w:rsid w:val="005B5B55"/>
    <w:rsid w:val="005B612D"/>
    <w:rsid w:val="005B6249"/>
    <w:rsid w:val="005B7036"/>
    <w:rsid w:val="005B711A"/>
    <w:rsid w:val="005B73B0"/>
    <w:rsid w:val="005B753C"/>
    <w:rsid w:val="005B796F"/>
    <w:rsid w:val="005C01C8"/>
    <w:rsid w:val="005C03C5"/>
    <w:rsid w:val="005C06F2"/>
    <w:rsid w:val="005C09DE"/>
    <w:rsid w:val="005C1C28"/>
    <w:rsid w:val="005C1E01"/>
    <w:rsid w:val="005C2FB8"/>
    <w:rsid w:val="005C4289"/>
    <w:rsid w:val="005C4493"/>
    <w:rsid w:val="005C48B0"/>
    <w:rsid w:val="005C49AC"/>
    <w:rsid w:val="005C5109"/>
    <w:rsid w:val="005C5755"/>
    <w:rsid w:val="005C64E8"/>
    <w:rsid w:val="005C7022"/>
    <w:rsid w:val="005C72BC"/>
    <w:rsid w:val="005C7622"/>
    <w:rsid w:val="005C7693"/>
    <w:rsid w:val="005C7921"/>
    <w:rsid w:val="005D00A0"/>
    <w:rsid w:val="005D0B19"/>
    <w:rsid w:val="005D0FC0"/>
    <w:rsid w:val="005D124F"/>
    <w:rsid w:val="005D1439"/>
    <w:rsid w:val="005D1F82"/>
    <w:rsid w:val="005D2933"/>
    <w:rsid w:val="005D2FCF"/>
    <w:rsid w:val="005D3E2E"/>
    <w:rsid w:val="005D436A"/>
    <w:rsid w:val="005D54BD"/>
    <w:rsid w:val="005D5599"/>
    <w:rsid w:val="005D567D"/>
    <w:rsid w:val="005D62C6"/>
    <w:rsid w:val="005D651B"/>
    <w:rsid w:val="005D6893"/>
    <w:rsid w:val="005E09EA"/>
    <w:rsid w:val="005E10E7"/>
    <w:rsid w:val="005E1139"/>
    <w:rsid w:val="005E1391"/>
    <w:rsid w:val="005E1574"/>
    <w:rsid w:val="005E1E66"/>
    <w:rsid w:val="005E2943"/>
    <w:rsid w:val="005E3241"/>
    <w:rsid w:val="005E356C"/>
    <w:rsid w:val="005E3948"/>
    <w:rsid w:val="005E3D28"/>
    <w:rsid w:val="005E3DA3"/>
    <w:rsid w:val="005E3E6B"/>
    <w:rsid w:val="005E55C2"/>
    <w:rsid w:val="005E5B32"/>
    <w:rsid w:val="005E631E"/>
    <w:rsid w:val="005E67DD"/>
    <w:rsid w:val="005E6FC2"/>
    <w:rsid w:val="005E7332"/>
    <w:rsid w:val="005E7A71"/>
    <w:rsid w:val="005F1129"/>
    <w:rsid w:val="005F157A"/>
    <w:rsid w:val="005F186D"/>
    <w:rsid w:val="005F191C"/>
    <w:rsid w:val="005F19B9"/>
    <w:rsid w:val="005F1F11"/>
    <w:rsid w:val="005F2238"/>
    <w:rsid w:val="005F29DE"/>
    <w:rsid w:val="005F2A31"/>
    <w:rsid w:val="005F35A5"/>
    <w:rsid w:val="005F4A3C"/>
    <w:rsid w:val="005F63CE"/>
    <w:rsid w:val="005F716C"/>
    <w:rsid w:val="005F722E"/>
    <w:rsid w:val="005F794F"/>
    <w:rsid w:val="005F7FD4"/>
    <w:rsid w:val="00600698"/>
    <w:rsid w:val="006009CB"/>
    <w:rsid w:val="006010DA"/>
    <w:rsid w:val="00601A2A"/>
    <w:rsid w:val="0060330F"/>
    <w:rsid w:val="00603976"/>
    <w:rsid w:val="00603C5C"/>
    <w:rsid w:val="00603E45"/>
    <w:rsid w:val="006045A7"/>
    <w:rsid w:val="00604DC6"/>
    <w:rsid w:val="00606AE6"/>
    <w:rsid w:val="00606DAD"/>
    <w:rsid w:val="00606FB1"/>
    <w:rsid w:val="00606FE1"/>
    <w:rsid w:val="00607368"/>
    <w:rsid w:val="00610160"/>
    <w:rsid w:val="006122BA"/>
    <w:rsid w:val="00612384"/>
    <w:rsid w:val="0061284C"/>
    <w:rsid w:val="00612F73"/>
    <w:rsid w:val="006131B3"/>
    <w:rsid w:val="006132AC"/>
    <w:rsid w:val="006135FE"/>
    <w:rsid w:val="0061369B"/>
    <w:rsid w:val="00614CCF"/>
    <w:rsid w:val="00614D8C"/>
    <w:rsid w:val="00615653"/>
    <w:rsid w:val="00615EC4"/>
    <w:rsid w:val="006164D8"/>
    <w:rsid w:val="00616807"/>
    <w:rsid w:val="00617347"/>
    <w:rsid w:val="006173AA"/>
    <w:rsid w:val="006173C2"/>
    <w:rsid w:val="00617998"/>
    <w:rsid w:val="00617CA1"/>
    <w:rsid w:val="00620669"/>
    <w:rsid w:val="00620A77"/>
    <w:rsid w:val="00621167"/>
    <w:rsid w:val="00621976"/>
    <w:rsid w:val="00621AD3"/>
    <w:rsid w:val="00621C11"/>
    <w:rsid w:val="00621C21"/>
    <w:rsid w:val="006237A3"/>
    <w:rsid w:val="006242FD"/>
    <w:rsid w:val="00624FAF"/>
    <w:rsid w:val="00625488"/>
    <w:rsid w:val="00626410"/>
    <w:rsid w:val="00626759"/>
    <w:rsid w:val="00626DFC"/>
    <w:rsid w:val="00627163"/>
    <w:rsid w:val="00627CE1"/>
    <w:rsid w:val="00630792"/>
    <w:rsid w:val="006308AB"/>
    <w:rsid w:val="00630AE9"/>
    <w:rsid w:val="00630E5B"/>
    <w:rsid w:val="00630F99"/>
    <w:rsid w:val="00631881"/>
    <w:rsid w:val="00631F8B"/>
    <w:rsid w:val="006328AB"/>
    <w:rsid w:val="006328D1"/>
    <w:rsid w:val="006333F2"/>
    <w:rsid w:val="00634F45"/>
    <w:rsid w:val="00635450"/>
    <w:rsid w:val="0063590D"/>
    <w:rsid w:val="00635B43"/>
    <w:rsid w:val="0063603B"/>
    <w:rsid w:val="006361A3"/>
    <w:rsid w:val="006363C0"/>
    <w:rsid w:val="00636A1A"/>
    <w:rsid w:val="00636E9B"/>
    <w:rsid w:val="00636F5B"/>
    <w:rsid w:val="00637294"/>
    <w:rsid w:val="006374C7"/>
    <w:rsid w:val="00637C9C"/>
    <w:rsid w:val="00637EE2"/>
    <w:rsid w:val="0064018B"/>
    <w:rsid w:val="00640376"/>
    <w:rsid w:val="00641A4F"/>
    <w:rsid w:val="00642195"/>
    <w:rsid w:val="0064270B"/>
    <w:rsid w:val="0064291D"/>
    <w:rsid w:val="00642D2A"/>
    <w:rsid w:val="006435AA"/>
    <w:rsid w:val="00643D53"/>
    <w:rsid w:val="0064404C"/>
    <w:rsid w:val="00644536"/>
    <w:rsid w:val="00644CE7"/>
    <w:rsid w:val="006454C3"/>
    <w:rsid w:val="00645E0D"/>
    <w:rsid w:val="0064679B"/>
    <w:rsid w:val="006470A1"/>
    <w:rsid w:val="006478B3"/>
    <w:rsid w:val="0064793F"/>
    <w:rsid w:val="00650954"/>
    <w:rsid w:val="00650D35"/>
    <w:rsid w:val="00651839"/>
    <w:rsid w:val="006524AA"/>
    <w:rsid w:val="00652787"/>
    <w:rsid w:val="00652F07"/>
    <w:rsid w:val="006531F0"/>
    <w:rsid w:val="00653269"/>
    <w:rsid w:val="00653751"/>
    <w:rsid w:val="006543B0"/>
    <w:rsid w:val="006547B7"/>
    <w:rsid w:val="0065571B"/>
    <w:rsid w:val="006560B9"/>
    <w:rsid w:val="00656250"/>
    <w:rsid w:val="0065639A"/>
    <w:rsid w:val="00656438"/>
    <w:rsid w:val="006569C2"/>
    <w:rsid w:val="006572D6"/>
    <w:rsid w:val="006579D2"/>
    <w:rsid w:val="00657D2C"/>
    <w:rsid w:val="006603BC"/>
    <w:rsid w:val="0066041E"/>
    <w:rsid w:val="0066182F"/>
    <w:rsid w:val="00661EB3"/>
    <w:rsid w:val="00662283"/>
    <w:rsid w:val="0066251D"/>
    <w:rsid w:val="00663634"/>
    <w:rsid w:val="00663BEE"/>
    <w:rsid w:val="00664502"/>
    <w:rsid w:val="006649E1"/>
    <w:rsid w:val="00664A3A"/>
    <w:rsid w:val="00664EBB"/>
    <w:rsid w:val="00665D4C"/>
    <w:rsid w:val="0066698A"/>
    <w:rsid w:val="00666DFB"/>
    <w:rsid w:val="00667204"/>
    <w:rsid w:val="0066766E"/>
    <w:rsid w:val="00667AE3"/>
    <w:rsid w:val="006709D6"/>
    <w:rsid w:val="0067109A"/>
    <w:rsid w:val="006718EE"/>
    <w:rsid w:val="00671D64"/>
    <w:rsid w:val="00671DCB"/>
    <w:rsid w:val="00671F76"/>
    <w:rsid w:val="006720D4"/>
    <w:rsid w:val="006722BF"/>
    <w:rsid w:val="00672584"/>
    <w:rsid w:val="0067287C"/>
    <w:rsid w:val="00673377"/>
    <w:rsid w:val="006739F1"/>
    <w:rsid w:val="00673BD4"/>
    <w:rsid w:val="006742E9"/>
    <w:rsid w:val="00674307"/>
    <w:rsid w:val="00674444"/>
    <w:rsid w:val="0067493D"/>
    <w:rsid w:val="00674F2D"/>
    <w:rsid w:val="0067564D"/>
    <w:rsid w:val="00675888"/>
    <w:rsid w:val="0067594D"/>
    <w:rsid w:val="00676E32"/>
    <w:rsid w:val="00677024"/>
    <w:rsid w:val="00677219"/>
    <w:rsid w:val="0067736C"/>
    <w:rsid w:val="00677452"/>
    <w:rsid w:val="00677DE7"/>
    <w:rsid w:val="00682573"/>
    <w:rsid w:val="00682C72"/>
    <w:rsid w:val="00682F6E"/>
    <w:rsid w:val="00684C6E"/>
    <w:rsid w:val="00685936"/>
    <w:rsid w:val="00685CF3"/>
    <w:rsid w:val="00687276"/>
    <w:rsid w:val="00687B66"/>
    <w:rsid w:val="0069012E"/>
    <w:rsid w:val="00690F78"/>
    <w:rsid w:val="00691703"/>
    <w:rsid w:val="00691D5F"/>
    <w:rsid w:val="00692507"/>
    <w:rsid w:val="006930D8"/>
    <w:rsid w:val="00693972"/>
    <w:rsid w:val="00693C17"/>
    <w:rsid w:val="00694B28"/>
    <w:rsid w:val="00694CD2"/>
    <w:rsid w:val="00695A48"/>
    <w:rsid w:val="00696038"/>
    <w:rsid w:val="006963EC"/>
    <w:rsid w:val="0069791F"/>
    <w:rsid w:val="006A0113"/>
    <w:rsid w:val="006A0279"/>
    <w:rsid w:val="006A1339"/>
    <w:rsid w:val="006A1741"/>
    <w:rsid w:val="006A31A7"/>
    <w:rsid w:val="006A3F9C"/>
    <w:rsid w:val="006A432B"/>
    <w:rsid w:val="006A443B"/>
    <w:rsid w:val="006A4940"/>
    <w:rsid w:val="006A4E37"/>
    <w:rsid w:val="006A5332"/>
    <w:rsid w:val="006A71FB"/>
    <w:rsid w:val="006A7231"/>
    <w:rsid w:val="006A76D2"/>
    <w:rsid w:val="006B0427"/>
    <w:rsid w:val="006B112D"/>
    <w:rsid w:val="006B1732"/>
    <w:rsid w:val="006B2290"/>
    <w:rsid w:val="006B2406"/>
    <w:rsid w:val="006B2C67"/>
    <w:rsid w:val="006B343B"/>
    <w:rsid w:val="006B3639"/>
    <w:rsid w:val="006B3E31"/>
    <w:rsid w:val="006B400C"/>
    <w:rsid w:val="006B47FE"/>
    <w:rsid w:val="006B4D82"/>
    <w:rsid w:val="006B63DC"/>
    <w:rsid w:val="006B6A00"/>
    <w:rsid w:val="006B6AD0"/>
    <w:rsid w:val="006B6EAD"/>
    <w:rsid w:val="006B739F"/>
    <w:rsid w:val="006B799C"/>
    <w:rsid w:val="006B7A48"/>
    <w:rsid w:val="006B7F67"/>
    <w:rsid w:val="006C1750"/>
    <w:rsid w:val="006C1AE8"/>
    <w:rsid w:val="006C2074"/>
    <w:rsid w:val="006C24DF"/>
    <w:rsid w:val="006C24E8"/>
    <w:rsid w:val="006C295E"/>
    <w:rsid w:val="006C2AA4"/>
    <w:rsid w:val="006C2C91"/>
    <w:rsid w:val="006C433C"/>
    <w:rsid w:val="006C4434"/>
    <w:rsid w:val="006C4634"/>
    <w:rsid w:val="006C4B6F"/>
    <w:rsid w:val="006C524A"/>
    <w:rsid w:val="006C529D"/>
    <w:rsid w:val="006C5806"/>
    <w:rsid w:val="006C5C72"/>
    <w:rsid w:val="006C6278"/>
    <w:rsid w:val="006C704F"/>
    <w:rsid w:val="006C75CA"/>
    <w:rsid w:val="006C7689"/>
    <w:rsid w:val="006C7F6E"/>
    <w:rsid w:val="006D04E8"/>
    <w:rsid w:val="006D2724"/>
    <w:rsid w:val="006D2FE8"/>
    <w:rsid w:val="006D39C6"/>
    <w:rsid w:val="006D4027"/>
    <w:rsid w:val="006D45FE"/>
    <w:rsid w:val="006D4B9B"/>
    <w:rsid w:val="006D51AB"/>
    <w:rsid w:val="006D7243"/>
    <w:rsid w:val="006D7456"/>
    <w:rsid w:val="006D7653"/>
    <w:rsid w:val="006D771A"/>
    <w:rsid w:val="006D78C4"/>
    <w:rsid w:val="006D7E78"/>
    <w:rsid w:val="006E0BDC"/>
    <w:rsid w:val="006E169B"/>
    <w:rsid w:val="006E1E3B"/>
    <w:rsid w:val="006E205B"/>
    <w:rsid w:val="006E3F3D"/>
    <w:rsid w:val="006E3F51"/>
    <w:rsid w:val="006E41C5"/>
    <w:rsid w:val="006E41EA"/>
    <w:rsid w:val="006E460A"/>
    <w:rsid w:val="006E48A1"/>
    <w:rsid w:val="006E48AD"/>
    <w:rsid w:val="006E4FF5"/>
    <w:rsid w:val="006E5E85"/>
    <w:rsid w:val="006E60E9"/>
    <w:rsid w:val="006E7101"/>
    <w:rsid w:val="006E79FD"/>
    <w:rsid w:val="006F1623"/>
    <w:rsid w:val="006F19ED"/>
    <w:rsid w:val="006F1A48"/>
    <w:rsid w:val="006F1F00"/>
    <w:rsid w:val="006F3484"/>
    <w:rsid w:val="006F373A"/>
    <w:rsid w:val="006F42AC"/>
    <w:rsid w:val="006F43FB"/>
    <w:rsid w:val="006F4BBD"/>
    <w:rsid w:val="006F4CFD"/>
    <w:rsid w:val="006F53F9"/>
    <w:rsid w:val="006F5A06"/>
    <w:rsid w:val="006F5F38"/>
    <w:rsid w:val="006F698C"/>
    <w:rsid w:val="006F6E63"/>
    <w:rsid w:val="006F6E9A"/>
    <w:rsid w:val="006F7763"/>
    <w:rsid w:val="006F7E76"/>
    <w:rsid w:val="007005DF"/>
    <w:rsid w:val="00700A2C"/>
    <w:rsid w:val="00700C86"/>
    <w:rsid w:val="00701A4C"/>
    <w:rsid w:val="00701A52"/>
    <w:rsid w:val="00701D68"/>
    <w:rsid w:val="00702231"/>
    <w:rsid w:val="00702260"/>
    <w:rsid w:val="0070252E"/>
    <w:rsid w:val="00702EFB"/>
    <w:rsid w:val="00703356"/>
    <w:rsid w:val="00703DF8"/>
    <w:rsid w:val="007047A8"/>
    <w:rsid w:val="00704FDD"/>
    <w:rsid w:val="0070505B"/>
    <w:rsid w:val="007056E3"/>
    <w:rsid w:val="0070584A"/>
    <w:rsid w:val="00705D3F"/>
    <w:rsid w:val="007061C3"/>
    <w:rsid w:val="0070716E"/>
    <w:rsid w:val="00707514"/>
    <w:rsid w:val="00710798"/>
    <w:rsid w:val="00710DAD"/>
    <w:rsid w:val="0071105D"/>
    <w:rsid w:val="0071199A"/>
    <w:rsid w:val="00711BE1"/>
    <w:rsid w:val="00712CBC"/>
    <w:rsid w:val="0071302A"/>
    <w:rsid w:val="0071351E"/>
    <w:rsid w:val="00716E08"/>
    <w:rsid w:val="00716E19"/>
    <w:rsid w:val="00717564"/>
    <w:rsid w:val="00717D88"/>
    <w:rsid w:val="00720040"/>
    <w:rsid w:val="00720E61"/>
    <w:rsid w:val="00720F3A"/>
    <w:rsid w:val="007211FF"/>
    <w:rsid w:val="00721689"/>
    <w:rsid w:val="00721917"/>
    <w:rsid w:val="00721CFB"/>
    <w:rsid w:val="00721DE8"/>
    <w:rsid w:val="00722996"/>
    <w:rsid w:val="007230D9"/>
    <w:rsid w:val="007232AD"/>
    <w:rsid w:val="007235AC"/>
    <w:rsid w:val="00723E31"/>
    <w:rsid w:val="00724E6E"/>
    <w:rsid w:val="007256EA"/>
    <w:rsid w:val="00725AD9"/>
    <w:rsid w:val="00726D8D"/>
    <w:rsid w:val="00726F02"/>
    <w:rsid w:val="00726FC2"/>
    <w:rsid w:val="007278D6"/>
    <w:rsid w:val="00730675"/>
    <w:rsid w:val="00730AB4"/>
    <w:rsid w:val="00731540"/>
    <w:rsid w:val="00731603"/>
    <w:rsid w:val="00731D2F"/>
    <w:rsid w:val="00731F04"/>
    <w:rsid w:val="007320EB"/>
    <w:rsid w:val="007326A2"/>
    <w:rsid w:val="00732EDD"/>
    <w:rsid w:val="00732F84"/>
    <w:rsid w:val="00733C33"/>
    <w:rsid w:val="00733F6A"/>
    <w:rsid w:val="00733FE3"/>
    <w:rsid w:val="00734015"/>
    <w:rsid w:val="0073415C"/>
    <w:rsid w:val="007362FF"/>
    <w:rsid w:val="00736BBB"/>
    <w:rsid w:val="00736ECC"/>
    <w:rsid w:val="00740B63"/>
    <w:rsid w:val="00740DC1"/>
    <w:rsid w:val="00741B7E"/>
    <w:rsid w:val="00741FA1"/>
    <w:rsid w:val="007429C9"/>
    <w:rsid w:val="00743489"/>
    <w:rsid w:val="00743BF8"/>
    <w:rsid w:val="0074442E"/>
    <w:rsid w:val="0074468A"/>
    <w:rsid w:val="007451A2"/>
    <w:rsid w:val="00745470"/>
    <w:rsid w:val="00745E0C"/>
    <w:rsid w:val="007461FF"/>
    <w:rsid w:val="0074751A"/>
    <w:rsid w:val="0074760E"/>
    <w:rsid w:val="0075018D"/>
    <w:rsid w:val="007501F6"/>
    <w:rsid w:val="00750DC4"/>
    <w:rsid w:val="00750DE4"/>
    <w:rsid w:val="00750FDC"/>
    <w:rsid w:val="00751025"/>
    <w:rsid w:val="007514A0"/>
    <w:rsid w:val="00751776"/>
    <w:rsid w:val="00751787"/>
    <w:rsid w:val="00752628"/>
    <w:rsid w:val="00752CBC"/>
    <w:rsid w:val="00753DCE"/>
    <w:rsid w:val="007540B9"/>
    <w:rsid w:val="00754700"/>
    <w:rsid w:val="00754711"/>
    <w:rsid w:val="0075490E"/>
    <w:rsid w:val="00754FEF"/>
    <w:rsid w:val="00755919"/>
    <w:rsid w:val="00755C62"/>
    <w:rsid w:val="00755E22"/>
    <w:rsid w:val="00756ECE"/>
    <w:rsid w:val="00757204"/>
    <w:rsid w:val="0075738A"/>
    <w:rsid w:val="0075745E"/>
    <w:rsid w:val="00757B5C"/>
    <w:rsid w:val="00760A22"/>
    <w:rsid w:val="0076107F"/>
    <w:rsid w:val="007611B2"/>
    <w:rsid w:val="00761F92"/>
    <w:rsid w:val="007623FF"/>
    <w:rsid w:val="007632B1"/>
    <w:rsid w:val="007642E8"/>
    <w:rsid w:val="0076462B"/>
    <w:rsid w:val="00764E2E"/>
    <w:rsid w:val="007651B6"/>
    <w:rsid w:val="007657F9"/>
    <w:rsid w:val="00766EC8"/>
    <w:rsid w:val="00767A68"/>
    <w:rsid w:val="00767D0C"/>
    <w:rsid w:val="00771D1C"/>
    <w:rsid w:val="00773333"/>
    <w:rsid w:val="00773665"/>
    <w:rsid w:val="00773AF4"/>
    <w:rsid w:val="00774130"/>
    <w:rsid w:val="00774D3D"/>
    <w:rsid w:val="007762AA"/>
    <w:rsid w:val="0077635B"/>
    <w:rsid w:val="00776BDB"/>
    <w:rsid w:val="00777320"/>
    <w:rsid w:val="00777BF4"/>
    <w:rsid w:val="007802EE"/>
    <w:rsid w:val="00780473"/>
    <w:rsid w:val="007806EB"/>
    <w:rsid w:val="00780A72"/>
    <w:rsid w:val="00780E74"/>
    <w:rsid w:val="00781925"/>
    <w:rsid w:val="00781E97"/>
    <w:rsid w:val="007825C0"/>
    <w:rsid w:val="007829C2"/>
    <w:rsid w:val="00783394"/>
    <w:rsid w:val="0078347B"/>
    <w:rsid w:val="0078392F"/>
    <w:rsid w:val="00783F02"/>
    <w:rsid w:val="0078405E"/>
    <w:rsid w:val="007841E0"/>
    <w:rsid w:val="00784241"/>
    <w:rsid w:val="0078497C"/>
    <w:rsid w:val="007850C6"/>
    <w:rsid w:val="0078521F"/>
    <w:rsid w:val="0078545A"/>
    <w:rsid w:val="007863AB"/>
    <w:rsid w:val="007875EA"/>
    <w:rsid w:val="00787CF7"/>
    <w:rsid w:val="00787E4B"/>
    <w:rsid w:val="00790AC2"/>
    <w:rsid w:val="007918CB"/>
    <w:rsid w:val="00791BB6"/>
    <w:rsid w:val="00791C1B"/>
    <w:rsid w:val="00791F44"/>
    <w:rsid w:val="0079217A"/>
    <w:rsid w:val="00792899"/>
    <w:rsid w:val="00792C5E"/>
    <w:rsid w:val="00793700"/>
    <w:rsid w:val="007937A6"/>
    <w:rsid w:val="00793EC5"/>
    <w:rsid w:val="0079419D"/>
    <w:rsid w:val="007942D3"/>
    <w:rsid w:val="00794A36"/>
    <w:rsid w:val="00794EB4"/>
    <w:rsid w:val="00795C9A"/>
    <w:rsid w:val="00796100"/>
    <w:rsid w:val="00796577"/>
    <w:rsid w:val="00796B4F"/>
    <w:rsid w:val="00797487"/>
    <w:rsid w:val="00797AA5"/>
    <w:rsid w:val="00797F05"/>
    <w:rsid w:val="007A00EE"/>
    <w:rsid w:val="007A0A26"/>
    <w:rsid w:val="007A1440"/>
    <w:rsid w:val="007A15C8"/>
    <w:rsid w:val="007A195A"/>
    <w:rsid w:val="007A1D92"/>
    <w:rsid w:val="007A255E"/>
    <w:rsid w:val="007A262B"/>
    <w:rsid w:val="007A26ED"/>
    <w:rsid w:val="007A2DAB"/>
    <w:rsid w:val="007A311C"/>
    <w:rsid w:val="007A4B12"/>
    <w:rsid w:val="007A6397"/>
    <w:rsid w:val="007A7034"/>
    <w:rsid w:val="007A767B"/>
    <w:rsid w:val="007A7B4E"/>
    <w:rsid w:val="007A7F17"/>
    <w:rsid w:val="007A7F2E"/>
    <w:rsid w:val="007A7F67"/>
    <w:rsid w:val="007A7FA4"/>
    <w:rsid w:val="007B13F7"/>
    <w:rsid w:val="007B17B8"/>
    <w:rsid w:val="007B1A8D"/>
    <w:rsid w:val="007B1B69"/>
    <w:rsid w:val="007B1E70"/>
    <w:rsid w:val="007B2059"/>
    <w:rsid w:val="007B2695"/>
    <w:rsid w:val="007B3134"/>
    <w:rsid w:val="007B3167"/>
    <w:rsid w:val="007B36E0"/>
    <w:rsid w:val="007B3E7A"/>
    <w:rsid w:val="007B5621"/>
    <w:rsid w:val="007B5743"/>
    <w:rsid w:val="007B5C27"/>
    <w:rsid w:val="007B60F6"/>
    <w:rsid w:val="007B6699"/>
    <w:rsid w:val="007B66B9"/>
    <w:rsid w:val="007B6C09"/>
    <w:rsid w:val="007B7B56"/>
    <w:rsid w:val="007B7FA9"/>
    <w:rsid w:val="007C054E"/>
    <w:rsid w:val="007C0966"/>
    <w:rsid w:val="007C0DD6"/>
    <w:rsid w:val="007C1319"/>
    <w:rsid w:val="007C1501"/>
    <w:rsid w:val="007C1E6A"/>
    <w:rsid w:val="007C2016"/>
    <w:rsid w:val="007C2691"/>
    <w:rsid w:val="007C4F64"/>
    <w:rsid w:val="007C524D"/>
    <w:rsid w:val="007C59E0"/>
    <w:rsid w:val="007C6452"/>
    <w:rsid w:val="007C6FBE"/>
    <w:rsid w:val="007C760A"/>
    <w:rsid w:val="007C76CE"/>
    <w:rsid w:val="007C7758"/>
    <w:rsid w:val="007D00D2"/>
    <w:rsid w:val="007D1282"/>
    <w:rsid w:val="007D18C5"/>
    <w:rsid w:val="007D1FC9"/>
    <w:rsid w:val="007D2BCB"/>
    <w:rsid w:val="007D35C5"/>
    <w:rsid w:val="007D43AB"/>
    <w:rsid w:val="007D4781"/>
    <w:rsid w:val="007D4E59"/>
    <w:rsid w:val="007D546C"/>
    <w:rsid w:val="007D5E21"/>
    <w:rsid w:val="007D6D60"/>
    <w:rsid w:val="007D6F0B"/>
    <w:rsid w:val="007D6F67"/>
    <w:rsid w:val="007E0951"/>
    <w:rsid w:val="007E09DA"/>
    <w:rsid w:val="007E0D1A"/>
    <w:rsid w:val="007E1033"/>
    <w:rsid w:val="007E1619"/>
    <w:rsid w:val="007E25BC"/>
    <w:rsid w:val="007E3210"/>
    <w:rsid w:val="007E3646"/>
    <w:rsid w:val="007E37E3"/>
    <w:rsid w:val="007E3A84"/>
    <w:rsid w:val="007E3C1A"/>
    <w:rsid w:val="007E3CFD"/>
    <w:rsid w:val="007E3D87"/>
    <w:rsid w:val="007E4F4C"/>
    <w:rsid w:val="007E541B"/>
    <w:rsid w:val="007E58BF"/>
    <w:rsid w:val="007E5CAB"/>
    <w:rsid w:val="007E6221"/>
    <w:rsid w:val="007E6A7E"/>
    <w:rsid w:val="007E6BDA"/>
    <w:rsid w:val="007E7899"/>
    <w:rsid w:val="007E7D44"/>
    <w:rsid w:val="007F0A07"/>
    <w:rsid w:val="007F0DAB"/>
    <w:rsid w:val="007F11AC"/>
    <w:rsid w:val="007F1B0D"/>
    <w:rsid w:val="007F1DEE"/>
    <w:rsid w:val="007F238A"/>
    <w:rsid w:val="007F28D8"/>
    <w:rsid w:val="007F31C3"/>
    <w:rsid w:val="007F3945"/>
    <w:rsid w:val="007F46E2"/>
    <w:rsid w:val="007F4C15"/>
    <w:rsid w:val="007F5768"/>
    <w:rsid w:val="007F628D"/>
    <w:rsid w:val="007F67A9"/>
    <w:rsid w:val="007F683E"/>
    <w:rsid w:val="007F758F"/>
    <w:rsid w:val="007F7869"/>
    <w:rsid w:val="00800027"/>
    <w:rsid w:val="008003B5"/>
    <w:rsid w:val="00800864"/>
    <w:rsid w:val="00800C85"/>
    <w:rsid w:val="0080120C"/>
    <w:rsid w:val="00801293"/>
    <w:rsid w:val="0080215B"/>
    <w:rsid w:val="00802488"/>
    <w:rsid w:val="00802D94"/>
    <w:rsid w:val="0080356B"/>
    <w:rsid w:val="00803755"/>
    <w:rsid w:val="008038BC"/>
    <w:rsid w:val="0080418C"/>
    <w:rsid w:val="008043ED"/>
    <w:rsid w:val="0080491B"/>
    <w:rsid w:val="008055B2"/>
    <w:rsid w:val="0080630F"/>
    <w:rsid w:val="0080635C"/>
    <w:rsid w:val="008070CB"/>
    <w:rsid w:val="0080761D"/>
    <w:rsid w:val="00810FBC"/>
    <w:rsid w:val="008110A8"/>
    <w:rsid w:val="008115AC"/>
    <w:rsid w:val="00811A24"/>
    <w:rsid w:val="00812A02"/>
    <w:rsid w:val="00812CD2"/>
    <w:rsid w:val="008132AE"/>
    <w:rsid w:val="00813F02"/>
    <w:rsid w:val="008157E2"/>
    <w:rsid w:val="0081608E"/>
    <w:rsid w:val="00817420"/>
    <w:rsid w:val="00817644"/>
    <w:rsid w:val="008178B6"/>
    <w:rsid w:val="00817C63"/>
    <w:rsid w:val="008202C1"/>
    <w:rsid w:val="008208F6"/>
    <w:rsid w:val="0082136C"/>
    <w:rsid w:val="00821C11"/>
    <w:rsid w:val="00821D3B"/>
    <w:rsid w:val="00821F51"/>
    <w:rsid w:val="008239C3"/>
    <w:rsid w:val="00823AD8"/>
    <w:rsid w:val="0082484F"/>
    <w:rsid w:val="0082489B"/>
    <w:rsid w:val="00825B57"/>
    <w:rsid w:val="00825E63"/>
    <w:rsid w:val="00827231"/>
    <w:rsid w:val="008272C2"/>
    <w:rsid w:val="00827348"/>
    <w:rsid w:val="008276CE"/>
    <w:rsid w:val="00827806"/>
    <w:rsid w:val="00827A8E"/>
    <w:rsid w:val="00827E09"/>
    <w:rsid w:val="00830BD3"/>
    <w:rsid w:val="008314AC"/>
    <w:rsid w:val="008314FB"/>
    <w:rsid w:val="00831EF8"/>
    <w:rsid w:val="00832CFE"/>
    <w:rsid w:val="0083307C"/>
    <w:rsid w:val="008331D8"/>
    <w:rsid w:val="00833F98"/>
    <w:rsid w:val="00834ACD"/>
    <w:rsid w:val="00834B84"/>
    <w:rsid w:val="00835A92"/>
    <w:rsid w:val="00836473"/>
    <w:rsid w:val="00837245"/>
    <w:rsid w:val="00840B84"/>
    <w:rsid w:val="00840E1A"/>
    <w:rsid w:val="0084123C"/>
    <w:rsid w:val="008412B8"/>
    <w:rsid w:val="0084196A"/>
    <w:rsid w:val="00842E97"/>
    <w:rsid w:val="00843056"/>
    <w:rsid w:val="008435C1"/>
    <w:rsid w:val="008438C8"/>
    <w:rsid w:val="008440E7"/>
    <w:rsid w:val="00844D86"/>
    <w:rsid w:val="00844F7D"/>
    <w:rsid w:val="0084599D"/>
    <w:rsid w:val="00845E0C"/>
    <w:rsid w:val="00845F62"/>
    <w:rsid w:val="00846754"/>
    <w:rsid w:val="00847562"/>
    <w:rsid w:val="0085135D"/>
    <w:rsid w:val="00851743"/>
    <w:rsid w:val="0085183E"/>
    <w:rsid w:val="00853132"/>
    <w:rsid w:val="008538DA"/>
    <w:rsid w:val="008542BA"/>
    <w:rsid w:val="00854F11"/>
    <w:rsid w:val="008562DB"/>
    <w:rsid w:val="00856857"/>
    <w:rsid w:val="0085700B"/>
    <w:rsid w:val="008574B8"/>
    <w:rsid w:val="0086068F"/>
    <w:rsid w:val="00860985"/>
    <w:rsid w:val="00861CB6"/>
    <w:rsid w:val="00861CC8"/>
    <w:rsid w:val="00861E85"/>
    <w:rsid w:val="00862937"/>
    <w:rsid w:val="00863662"/>
    <w:rsid w:val="0086449B"/>
    <w:rsid w:val="00864CBD"/>
    <w:rsid w:val="00865172"/>
    <w:rsid w:val="008653BE"/>
    <w:rsid w:val="00865B74"/>
    <w:rsid w:val="00866177"/>
    <w:rsid w:val="0086678D"/>
    <w:rsid w:val="00866DF3"/>
    <w:rsid w:val="008700E2"/>
    <w:rsid w:val="008704F1"/>
    <w:rsid w:val="00870BAA"/>
    <w:rsid w:val="00870D8C"/>
    <w:rsid w:val="00873430"/>
    <w:rsid w:val="00874430"/>
    <w:rsid w:val="00874B20"/>
    <w:rsid w:val="00874DB0"/>
    <w:rsid w:val="008753DE"/>
    <w:rsid w:val="0087659D"/>
    <w:rsid w:val="0087730F"/>
    <w:rsid w:val="00877960"/>
    <w:rsid w:val="00877E7F"/>
    <w:rsid w:val="00880174"/>
    <w:rsid w:val="0088052C"/>
    <w:rsid w:val="0088088D"/>
    <w:rsid w:val="00880D14"/>
    <w:rsid w:val="00881368"/>
    <w:rsid w:val="0088185D"/>
    <w:rsid w:val="008826D2"/>
    <w:rsid w:val="00882777"/>
    <w:rsid w:val="008827BA"/>
    <w:rsid w:val="00882902"/>
    <w:rsid w:val="00882A65"/>
    <w:rsid w:val="00883B80"/>
    <w:rsid w:val="00883EB5"/>
    <w:rsid w:val="00884E5D"/>
    <w:rsid w:val="008851AD"/>
    <w:rsid w:val="00885464"/>
    <w:rsid w:val="00885BC3"/>
    <w:rsid w:val="0088610D"/>
    <w:rsid w:val="008866B6"/>
    <w:rsid w:val="0088688D"/>
    <w:rsid w:val="00886E83"/>
    <w:rsid w:val="00887A32"/>
    <w:rsid w:val="0089183B"/>
    <w:rsid w:val="008921F5"/>
    <w:rsid w:val="0089262C"/>
    <w:rsid w:val="00893021"/>
    <w:rsid w:val="008930CF"/>
    <w:rsid w:val="008932C0"/>
    <w:rsid w:val="0089386D"/>
    <w:rsid w:val="0089396A"/>
    <w:rsid w:val="00895267"/>
    <w:rsid w:val="008956F9"/>
    <w:rsid w:val="008965C7"/>
    <w:rsid w:val="00897325"/>
    <w:rsid w:val="0089798B"/>
    <w:rsid w:val="008A15D5"/>
    <w:rsid w:val="008A1E6E"/>
    <w:rsid w:val="008A1F0C"/>
    <w:rsid w:val="008A2336"/>
    <w:rsid w:val="008A3299"/>
    <w:rsid w:val="008A350A"/>
    <w:rsid w:val="008A46E4"/>
    <w:rsid w:val="008A51E1"/>
    <w:rsid w:val="008A6012"/>
    <w:rsid w:val="008A6BD1"/>
    <w:rsid w:val="008A6E38"/>
    <w:rsid w:val="008A6E5A"/>
    <w:rsid w:val="008A6EEC"/>
    <w:rsid w:val="008A7080"/>
    <w:rsid w:val="008B1128"/>
    <w:rsid w:val="008B1A1D"/>
    <w:rsid w:val="008B1A4F"/>
    <w:rsid w:val="008B2894"/>
    <w:rsid w:val="008B3654"/>
    <w:rsid w:val="008B377C"/>
    <w:rsid w:val="008B4321"/>
    <w:rsid w:val="008B4789"/>
    <w:rsid w:val="008B56E4"/>
    <w:rsid w:val="008B5806"/>
    <w:rsid w:val="008B6C64"/>
    <w:rsid w:val="008B769C"/>
    <w:rsid w:val="008B7BF3"/>
    <w:rsid w:val="008B7C21"/>
    <w:rsid w:val="008B7D31"/>
    <w:rsid w:val="008C005D"/>
    <w:rsid w:val="008C0888"/>
    <w:rsid w:val="008C1E17"/>
    <w:rsid w:val="008C3942"/>
    <w:rsid w:val="008C450E"/>
    <w:rsid w:val="008C451E"/>
    <w:rsid w:val="008C4674"/>
    <w:rsid w:val="008C6C05"/>
    <w:rsid w:val="008C6C49"/>
    <w:rsid w:val="008C715B"/>
    <w:rsid w:val="008C7BEA"/>
    <w:rsid w:val="008C7F52"/>
    <w:rsid w:val="008C7FF5"/>
    <w:rsid w:val="008D0313"/>
    <w:rsid w:val="008D0688"/>
    <w:rsid w:val="008D1563"/>
    <w:rsid w:val="008D276D"/>
    <w:rsid w:val="008D28EC"/>
    <w:rsid w:val="008D3355"/>
    <w:rsid w:val="008D419B"/>
    <w:rsid w:val="008D5247"/>
    <w:rsid w:val="008D544C"/>
    <w:rsid w:val="008D5561"/>
    <w:rsid w:val="008D57C2"/>
    <w:rsid w:val="008D6414"/>
    <w:rsid w:val="008D6814"/>
    <w:rsid w:val="008D6D16"/>
    <w:rsid w:val="008D7138"/>
    <w:rsid w:val="008D78CE"/>
    <w:rsid w:val="008D7C62"/>
    <w:rsid w:val="008E0C99"/>
    <w:rsid w:val="008E1EF4"/>
    <w:rsid w:val="008E2041"/>
    <w:rsid w:val="008E2BF0"/>
    <w:rsid w:val="008E2D2E"/>
    <w:rsid w:val="008E45A4"/>
    <w:rsid w:val="008E47C4"/>
    <w:rsid w:val="008E49FC"/>
    <w:rsid w:val="008E5072"/>
    <w:rsid w:val="008E69F7"/>
    <w:rsid w:val="008E6B95"/>
    <w:rsid w:val="008E70D8"/>
    <w:rsid w:val="008E7327"/>
    <w:rsid w:val="008E740A"/>
    <w:rsid w:val="008F066C"/>
    <w:rsid w:val="008F0D1D"/>
    <w:rsid w:val="008F112F"/>
    <w:rsid w:val="008F3372"/>
    <w:rsid w:val="008F33E9"/>
    <w:rsid w:val="008F4690"/>
    <w:rsid w:val="008F4A24"/>
    <w:rsid w:val="008F57C4"/>
    <w:rsid w:val="008F5B8B"/>
    <w:rsid w:val="008F603D"/>
    <w:rsid w:val="008F63E8"/>
    <w:rsid w:val="008F6E1C"/>
    <w:rsid w:val="00900432"/>
    <w:rsid w:val="00900AC3"/>
    <w:rsid w:val="00900BF5"/>
    <w:rsid w:val="00900CA1"/>
    <w:rsid w:val="00900D3B"/>
    <w:rsid w:val="009014B1"/>
    <w:rsid w:val="00901933"/>
    <w:rsid w:val="009025E5"/>
    <w:rsid w:val="009033BD"/>
    <w:rsid w:val="00903D63"/>
    <w:rsid w:val="00903F6B"/>
    <w:rsid w:val="0090446F"/>
    <w:rsid w:val="009048A8"/>
    <w:rsid w:val="00905218"/>
    <w:rsid w:val="009054CF"/>
    <w:rsid w:val="009058B6"/>
    <w:rsid w:val="00905BF9"/>
    <w:rsid w:val="00905C3B"/>
    <w:rsid w:val="009067E2"/>
    <w:rsid w:val="0091007A"/>
    <w:rsid w:val="009103BA"/>
    <w:rsid w:val="00910992"/>
    <w:rsid w:val="0091158F"/>
    <w:rsid w:val="00911BFF"/>
    <w:rsid w:val="00912620"/>
    <w:rsid w:val="009126F3"/>
    <w:rsid w:val="00913FDF"/>
    <w:rsid w:val="009141D4"/>
    <w:rsid w:val="0091433E"/>
    <w:rsid w:val="009144C8"/>
    <w:rsid w:val="00914A95"/>
    <w:rsid w:val="00914C52"/>
    <w:rsid w:val="00914FB7"/>
    <w:rsid w:val="00915A00"/>
    <w:rsid w:val="00915BEB"/>
    <w:rsid w:val="009161B3"/>
    <w:rsid w:val="00916AE1"/>
    <w:rsid w:val="009178ED"/>
    <w:rsid w:val="00920418"/>
    <w:rsid w:val="0092109A"/>
    <w:rsid w:val="009215F8"/>
    <w:rsid w:val="00921F9D"/>
    <w:rsid w:val="0092225A"/>
    <w:rsid w:val="00922E73"/>
    <w:rsid w:val="009234A9"/>
    <w:rsid w:val="0092357E"/>
    <w:rsid w:val="0092424F"/>
    <w:rsid w:val="00924579"/>
    <w:rsid w:val="009247DC"/>
    <w:rsid w:val="009254EE"/>
    <w:rsid w:val="00925757"/>
    <w:rsid w:val="00926285"/>
    <w:rsid w:val="009265A6"/>
    <w:rsid w:val="00927FF7"/>
    <w:rsid w:val="00930BA1"/>
    <w:rsid w:val="00930D9A"/>
    <w:rsid w:val="00930EAB"/>
    <w:rsid w:val="0093169E"/>
    <w:rsid w:val="0093178D"/>
    <w:rsid w:val="00931D49"/>
    <w:rsid w:val="00932263"/>
    <w:rsid w:val="00932946"/>
    <w:rsid w:val="00932B39"/>
    <w:rsid w:val="00932BA7"/>
    <w:rsid w:val="009331E9"/>
    <w:rsid w:val="0093393E"/>
    <w:rsid w:val="00934698"/>
    <w:rsid w:val="0093553A"/>
    <w:rsid w:val="00936C0C"/>
    <w:rsid w:val="00937346"/>
    <w:rsid w:val="0093744A"/>
    <w:rsid w:val="00937E18"/>
    <w:rsid w:val="00937EA1"/>
    <w:rsid w:val="0094074F"/>
    <w:rsid w:val="00940EA3"/>
    <w:rsid w:val="00940ECE"/>
    <w:rsid w:val="0094197B"/>
    <w:rsid w:val="009420D5"/>
    <w:rsid w:val="009420EB"/>
    <w:rsid w:val="009422F9"/>
    <w:rsid w:val="009425CE"/>
    <w:rsid w:val="00943343"/>
    <w:rsid w:val="00943701"/>
    <w:rsid w:val="009440B9"/>
    <w:rsid w:val="009442F1"/>
    <w:rsid w:val="00944838"/>
    <w:rsid w:val="009448A3"/>
    <w:rsid w:val="00944DA9"/>
    <w:rsid w:val="00945F6A"/>
    <w:rsid w:val="009505C9"/>
    <w:rsid w:val="00950683"/>
    <w:rsid w:val="00950711"/>
    <w:rsid w:val="00950D9B"/>
    <w:rsid w:val="00951AFA"/>
    <w:rsid w:val="0095204A"/>
    <w:rsid w:val="009524BC"/>
    <w:rsid w:val="00952C7D"/>
    <w:rsid w:val="00952D5F"/>
    <w:rsid w:val="00953199"/>
    <w:rsid w:val="00954373"/>
    <w:rsid w:val="0095476D"/>
    <w:rsid w:val="0095487E"/>
    <w:rsid w:val="00954EAF"/>
    <w:rsid w:val="009557ED"/>
    <w:rsid w:val="00955F2C"/>
    <w:rsid w:val="00956A5C"/>
    <w:rsid w:val="0095771F"/>
    <w:rsid w:val="0095792D"/>
    <w:rsid w:val="0096044B"/>
    <w:rsid w:val="00960643"/>
    <w:rsid w:val="00960B56"/>
    <w:rsid w:val="00960D2C"/>
    <w:rsid w:val="00960FF4"/>
    <w:rsid w:val="0096163A"/>
    <w:rsid w:val="00962625"/>
    <w:rsid w:val="0096383E"/>
    <w:rsid w:val="0096447D"/>
    <w:rsid w:val="00964855"/>
    <w:rsid w:val="00964A8F"/>
    <w:rsid w:val="00964CF5"/>
    <w:rsid w:val="009650D5"/>
    <w:rsid w:val="009656FA"/>
    <w:rsid w:val="00965758"/>
    <w:rsid w:val="0096638D"/>
    <w:rsid w:val="009669E1"/>
    <w:rsid w:val="00966E0A"/>
    <w:rsid w:val="00966EF8"/>
    <w:rsid w:val="0096765B"/>
    <w:rsid w:val="0096769A"/>
    <w:rsid w:val="009712AB"/>
    <w:rsid w:val="00971B1D"/>
    <w:rsid w:val="00971DA8"/>
    <w:rsid w:val="009735A3"/>
    <w:rsid w:val="00973EAF"/>
    <w:rsid w:val="00974322"/>
    <w:rsid w:val="00974944"/>
    <w:rsid w:val="00974D36"/>
    <w:rsid w:val="009757BA"/>
    <w:rsid w:val="00975E52"/>
    <w:rsid w:val="00975F58"/>
    <w:rsid w:val="00975FEC"/>
    <w:rsid w:val="00976B58"/>
    <w:rsid w:val="00977103"/>
    <w:rsid w:val="00977175"/>
    <w:rsid w:val="00977A4D"/>
    <w:rsid w:val="00977E19"/>
    <w:rsid w:val="00977F0A"/>
    <w:rsid w:val="00980639"/>
    <w:rsid w:val="009813AE"/>
    <w:rsid w:val="00982404"/>
    <w:rsid w:val="00982B78"/>
    <w:rsid w:val="009843DE"/>
    <w:rsid w:val="00984BA4"/>
    <w:rsid w:val="0098560E"/>
    <w:rsid w:val="0098571D"/>
    <w:rsid w:val="00986B9B"/>
    <w:rsid w:val="00986F65"/>
    <w:rsid w:val="00987AAB"/>
    <w:rsid w:val="00987C81"/>
    <w:rsid w:val="009904F9"/>
    <w:rsid w:val="00990650"/>
    <w:rsid w:val="00991895"/>
    <w:rsid w:val="0099395A"/>
    <w:rsid w:val="00993F3C"/>
    <w:rsid w:val="00994106"/>
    <w:rsid w:val="0099593C"/>
    <w:rsid w:val="00995A27"/>
    <w:rsid w:val="009968F3"/>
    <w:rsid w:val="00997250"/>
    <w:rsid w:val="0099728B"/>
    <w:rsid w:val="00997368"/>
    <w:rsid w:val="00997442"/>
    <w:rsid w:val="00997611"/>
    <w:rsid w:val="00997B69"/>
    <w:rsid w:val="00997E0A"/>
    <w:rsid w:val="009A09DD"/>
    <w:rsid w:val="009A1115"/>
    <w:rsid w:val="009A15B7"/>
    <w:rsid w:val="009A19DD"/>
    <w:rsid w:val="009A1A8F"/>
    <w:rsid w:val="009A224E"/>
    <w:rsid w:val="009A2A94"/>
    <w:rsid w:val="009A303F"/>
    <w:rsid w:val="009A31A7"/>
    <w:rsid w:val="009A3BA2"/>
    <w:rsid w:val="009A3CE4"/>
    <w:rsid w:val="009A3FDC"/>
    <w:rsid w:val="009A4126"/>
    <w:rsid w:val="009A41D8"/>
    <w:rsid w:val="009A4E08"/>
    <w:rsid w:val="009A4E27"/>
    <w:rsid w:val="009A571D"/>
    <w:rsid w:val="009A6964"/>
    <w:rsid w:val="009A6C9D"/>
    <w:rsid w:val="009A7986"/>
    <w:rsid w:val="009B085E"/>
    <w:rsid w:val="009B159D"/>
    <w:rsid w:val="009B221D"/>
    <w:rsid w:val="009B3C3E"/>
    <w:rsid w:val="009B44A4"/>
    <w:rsid w:val="009B5B39"/>
    <w:rsid w:val="009B7751"/>
    <w:rsid w:val="009C06D1"/>
    <w:rsid w:val="009C0B90"/>
    <w:rsid w:val="009C1568"/>
    <w:rsid w:val="009C16CE"/>
    <w:rsid w:val="009C171A"/>
    <w:rsid w:val="009C1F34"/>
    <w:rsid w:val="009C1FA1"/>
    <w:rsid w:val="009C48D5"/>
    <w:rsid w:val="009C519C"/>
    <w:rsid w:val="009C68F4"/>
    <w:rsid w:val="009C6D9A"/>
    <w:rsid w:val="009C73F7"/>
    <w:rsid w:val="009C75C0"/>
    <w:rsid w:val="009C796D"/>
    <w:rsid w:val="009C7EE7"/>
    <w:rsid w:val="009D0252"/>
    <w:rsid w:val="009D04A3"/>
    <w:rsid w:val="009D0661"/>
    <w:rsid w:val="009D0959"/>
    <w:rsid w:val="009D0D15"/>
    <w:rsid w:val="009D1163"/>
    <w:rsid w:val="009D118A"/>
    <w:rsid w:val="009D22C7"/>
    <w:rsid w:val="009D2B22"/>
    <w:rsid w:val="009D3591"/>
    <w:rsid w:val="009D3596"/>
    <w:rsid w:val="009D4366"/>
    <w:rsid w:val="009D49B2"/>
    <w:rsid w:val="009D4B81"/>
    <w:rsid w:val="009D5080"/>
    <w:rsid w:val="009D509A"/>
    <w:rsid w:val="009D5136"/>
    <w:rsid w:val="009D6238"/>
    <w:rsid w:val="009D6AD4"/>
    <w:rsid w:val="009D6E33"/>
    <w:rsid w:val="009D6F6C"/>
    <w:rsid w:val="009D7026"/>
    <w:rsid w:val="009D7530"/>
    <w:rsid w:val="009E0C2A"/>
    <w:rsid w:val="009E0D67"/>
    <w:rsid w:val="009E0E33"/>
    <w:rsid w:val="009E102D"/>
    <w:rsid w:val="009E1E9A"/>
    <w:rsid w:val="009E2131"/>
    <w:rsid w:val="009E2264"/>
    <w:rsid w:val="009E2E28"/>
    <w:rsid w:val="009E30CB"/>
    <w:rsid w:val="009E43B4"/>
    <w:rsid w:val="009E50B4"/>
    <w:rsid w:val="009E52FC"/>
    <w:rsid w:val="009E53CB"/>
    <w:rsid w:val="009E72D5"/>
    <w:rsid w:val="009E7593"/>
    <w:rsid w:val="009E7895"/>
    <w:rsid w:val="009E7DB5"/>
    <w:rsid w:val="009F0179"/>
    <w:rsid w:val="009F08BB"/>
    <w:rsid w:val="009F0C16"/>
    <w:rsid w:val="009F0F85"/>
    <w:rsid w:val="009F1AD4"/>
    <w:rsid w:val="009F1D87"/>
    <w:rsid w:val="009F26B2"/>
    <w:rsid w:val="009F2A24"/>
    <w:rsid w:val="009F34BA"/>
    <w:rsid w:val="009F372E"/>
    <w:rsid w:val="009F3982"/>
    <w:rsid w:val="009F3A3F"/>
    <w:rsid w:val="009F3AF2"/>
    <w:rsid w:val="009F5178"/>
    <w:rsid w:val="009F5E96"/>
    <w:rsid w:val="009F6327"/>
    <w:rsid w:val="009F70DA"/>
    <w:rsid w:val="00A0055F"/>
    <w:rsid w:val="00A007C6"/>
    <w:rsid w:val="00A00A29"/>
    <w:rsid w:val="00A00F36"/>
    <w:rsid w:val="00A0114A"/>
    <w:rsid w:val="00A02836"/>
    <w:rsid w:val="00A036EE"/>
    <w:rsid w:val="00A037BC"/>
    <w:rsid w:val="00A04B46"/>
    <w:rsid w:val="00A0676B"/>
    <w:rsid w:val="00A068B6"/>
    <w:rsid w:val="00A06C8B"/>
    <w:rsid w:val="00A07225"/>
    <w:rsid w:val="00A072E4"/>
    <w:rsid w:val="00A102DA"/>
    <w:rsid w:val="00A103E9"/>
    <w:rsid w:val="00A110D6"/>
    <w:rsid w:val="00A11DB6"/>
    <w:rsid w:val="00A11E79"/>
    <w:rsid w:val="00A12B71"/>
    <w:rsid w:val="00A13354"/>
    <w:rsid w:val="00A13385"/>
    <w:rsid w:val="00A13472"/>
    <w:rsid w:val="00A13F27"/>
    <w:rsid w:val="00A13FAB"/>
    <w:rsid w:val="00A154B3"/>
    <w:rsid w:val="00A154FE"/>
    <w:rsid w:val="00A159A0"/>
    <w:rsid w:val="00A15A2D"/>
    <w:rsid w:val="00A15DD2"/>
    <w:rsid w:val="00A1601D"/>
    <w:rsid w:val="00A162D7"/>
    <w:rsid w:val="00A179F2"/>
    <w:rsid w:val="00A17C61"/>
    <w:rsid w:val="00A20695"/>
    <w:rsid w:val="00A20945"/>
    <w:rsid w:val="00A20BDA"/>
    <w:rsid w:val="00A212E2"/>
    <w:rsid w:val="00A22280"/>
    <w:rsid w:val="00A22545"/>
    <w:rsid w:val="00A22577"/>
    <w:rsid w:val="00A22787"/>
    <w:rsid w:val="00A23AA8"/>
    <w:rsid w:val="00A23C82"/>
    <w:rsid w:val="00A24516"/>
    <w:rsid w:val="00A24843"/>
    <w:rsid w:val="00A24960"/>
    <w:rsid w:val="00A24C43"/>
    <w:rsid w:val="00A25045"/>
    <w:rsid w:val="00A253FA"/>
    <w:rsid w:val="00A25494"/>
    <w:rsid w:val="00A254FE"/>
    <w:rsid w:val="00A25BFD"/>
    <w:rsid w:val="00A26004"/>
    <w:rsid w:val="00A2673D"/>
    <w:rsid w:val="00A268F3"/>
    <w:rsid w:val="00A277DF"/>
    <w:rsid w:val="00A2796B"/>
    <w:rsid w:val="00A300EA"/>
    <w:rsid w:val="00A3086F"/>
    <w:rsid w:val="00A30964"/>
    <w:rsid w:val="00A3101F"/>
    <w:rsid w:val="00A31499"/>
    <w:rsid w:val="00A31CE9"/>
    <w:rsid w:val="00A3213E"/>
    <w:rsid w:val="00A32140"/>
    <w:rsid w:val="00A324EC"/>
    <w:rsid w:val="00A332CB"/>
    <w:rsid w:val="00A33A36"/>
    <w:rsid w:val="00A34197"/>
    <w:rsid w:val="00A3437B"/>
    <w:rsid w:val="00A3470F"/>
    <w:rsid w:val="00A34E2E"/>
    <w:rsid w:val="00A34E9B"/>
    <w:rsid w:val="00A352E3"/>
    <w:rsid w:val="00A35C7A"/>
    <w:rsid w:val="00A35CF3"/>
    <w:rsid w:val="00A368E0"/>
    <w:rsid w:val="00A36EA4"/>
    <w:rsid w:val="00A36FB1"/>
    <w:rsid w:val="00A37C76"/>
    <w:rsid w:val="00A37E7E"/>
    <w:rsid w:val="00A415DE"/>
    <w:rsid w:val="00A423BA"/>
    <w:rsid w:val="00A4257D"/>
    <w:rsid w:val="00A42891"/>
    <w:rsid w:val="00A42ED8"/>
    <w:rsid w:val="00A43465"/>
    <w:rsid w:val="00A43791"/>
    <w:rsid w:val="00A43F75"/>
    <w:rsid w:val="00A44A33"/>
    <w:rsid w:val="00A45D49"/>
    <w:rsid w:val="00A47407"/>
    <w:rsid w:val="00A47AD2"/>
    <w:rsid w:val="00A5046C"/>
    <w:rsid w:val="00A507AC"/>
    <w:rsid w:val="00A51219"/>
    <w:rsid w:val="00A51A5E"/>
    <w:rsid w:val="00A533B9"/>
    <w:rsid w:val="00A53EE2"/>
    <w:rsid w:val="00A54287"/>
    <w:rsid w:val="00A543C5"/>
    <w:rsid w:val="00A5448F"/>
    <w:rsid w:val="00A54E22"/>
    <w:rsid w:val="00A55649"/>
    <w:rsid w:val="00A55F72"/>
    <w:rsid w:val="00A560B5"/>
    <w:rsid w:val="00A5615D"/>
    <w:rsid w:val="00A56A20"/>
    <w:rsid w:val="00A56BD6"/>
    <w:rsid w:val="00A56C25"/>
    <w:rsid w:val="00A574DE"/>
    <w:rsid w:val="00A57FBD"/>
    <w:rsid w:val="00A60373"/>
    <w:rsid w:val="00A60B37"/>
    <w:rsid w:val="00A60C16"/>
    <w:rsid w:val="00A628CA"/>
    <w:rsid w:val="00A63E0F"/>
    <w:rsid w:val="00A63FF6"/>
    <w:rsid w:val="00A645C8"/>
    <w:rsid w:val="00A65127"/>
    <w:rsid w:val="00A65179"/>
    <w:rsid w:val="00A6585D"/>
    <w:rsid w:val="00A6626D"/>
    <w:rsid w:val="00A66461"/>
    <w:rsid w:val="00A677D8"/>
    <w:rsid w:val="00A67E62"/>
    <w:rsid w:val="00A67F02"/>
    <w:rsid w:val="00A7019E"/>
    <w:rsid w:val="00A7079F"/>
    <w:rsid w:val="00A717EB"/>
    <w:rsid w:val="00A71B97"/>
    <w:rsid w:val="00A71D4A"/>
    <w:rsid w:val="00A731E4"/>
    <w:rsid w:val="00A7385A"/>
    <w:rsid w:val="00A73A28"/>
    <w:rsid w:val="00A74153"/>
    <w:rsid w:val="00A7418D"/>
    <w:rsid w:val="00A7435B"/>
    <w:rsid w:val="00A7452A"/>
    <w:rsid w:val="00A76617"/>
    <w:rsid w:val="00A76B47"/>
    <w:rsid w:val="00A76F02"/>
    <w:rsid w:val="00A80114"/>
    <w:rsid w:val="00A80780"/>
    <w:rsid w:val="00A81A80"/>
    <w:rsid w:val="00A81ADA"/>
    <w:rsid w:val="00A822D4"/>
    <w:rsid w:val="00A82793"/>
    <w:rsid w:val="00A8341E"/>
    <w:rsid w:val="00A83567"/>
    <w:rsid w:val="00A83B8E"/>
    <w:rsid w:val="00A846E1"/>
    <w:rsid w:val="00A85FA8"/>
    <w:rsid w:val="00A8608A"/>
    <w:rsid w:val="00A87654"/>
    <w:rsid w:val="00A906FD"/>
    <w:rsid w:val="00A91226"/>
    <w:rsid w:val="00A91492"/>
    <w:rsid w:val="00A9293C"/>
    <w:rsid w:val="00A947DA"/>
    <w:rsid w:val="00A94AED"/>
    <w:rsid w:val="00A94B7A"/>
    <w:rsid w:val="00A94D5D"/>
    <w:rsid w:val="00A9558B"/>
    <w:rsid w:val="00A95DFD"/>
    <w:rsid w:val="00A96360"/>
    <w:rsid w:val="00A9637E"/>
    <w:rsid w:val="00A976E4"/>
    <w:rsid w:val="00A97FE6"/>
    <w:rsid w:val="00AA0C99"/>
    <w:rsid w:val="00AA1580"/>
    <w:rsid w:val="00AA18C0"/>
    <w:rsid w:val="00AA2250"/>
    <w:rsid w:val="00AA2636"/>
    <w:rsid w:val="00AA2B6D"/>
    <w:rsid w:val="00AA39AA"/>
    <w:rsid w:val="00AA3E8F"/>
    <w:rsid w:val="00AA4996"/>
    <w:rsid w:val="00AA4CBE"/>
    <w:rsid w:val="00AA4DE7"/>
    <w:rsid w:val="00AA5988"/>
    <w:rsid w:val="00AA598B"/>
    <w:rsid w:val="00AA5D70"/>
    <w:rsid w:val="00AA5ECC"/>
    <w:rsid w:val="00AA5EFE"/>
    <w:rsid w:val="00AA6E02"/>
    <w:rsid w:val="00AA74D7"/>
    <w:rsid w:val="00AA76F3"/>
    <w:rsid w:val="00AB0276"/>
    <w:rsid w:val="00AB074A"/>
    <w:rsid w:val="00AB085D"/>
    <w:rsid w:val="00AB12C7"/>
    <w:rsid w:val="00AB15B5"/>
    <w:rsid w:val="00AB25E8"/>
    <w:rsid w:val="00AB2681"/>
    <w:rsid w:val="00AB3296"/>
    <w:rsid w:val="00AB3386"/>
    <w:rsid w:val="00AB34D5"/>
    <w:rsid w:val="00AB3711"/>
    <w:rsid w:val="00AB3769"/>
    <w:rsid w:val="00AB47EA"/>
    <w:rsid w:val="00AB4938"/>
    <w:rsid w:val="00AB494C"/>
    <w:rsid w:val="00AB529D"/>
    <w:rsid w:val="00AB53AF"/>
    <w:rsid w:val="00AB5551"/>
    <w:rsid w:val="00AB5C40"/>
    <w:rsid w:val="00AB6343"/>
    <w:rsid w:val="00AB6D82"/>
    <w:rsid w:val="00AB6E43"/>
    <w:rsid w:val="00AC04CD"/>
    <w:rsid w:val="00AC0656"/>
    <w:rsid w:val="00AC09CC"/>
    <w:rsid w:val="00AC0C11"/>
    <w:rsid w:val="00AC1316"/>
    <w:rsid w:val="00AC1929"/>
    <w:rsid w:val="00AC2160"/>
    <w:rsid w:val="00AC2710"/>
    <w:rsid w:val="00AC2DF6"/>
    <w:rsid w:val="00AC3904"/>
    <w:rsid w:val="00AC401C"/>
    <w:rsid w:val="00AC44F4"/>
    <w:rsid w:val="00AC4770"/>
    <w:rsid w:val="00AC5DB3"/>
    <w:rsid w:val="00AC6146"/>
    <w:rsid w:val="00AD0C12"/>
    <w:rsid w:val="00AD1622"/>
    <w:rsid w:val="00AD1646"/>
    <w:rsid w:val="00AD1D3D"/>
    <w:rsid w:val="00AD1D59"/>
    <w:rsid w:val="00AD1EC7"/>
    <w:rsid w:val="00AD2B7E"/>
    <w:rsid w:val="00AD2D46"/>
    <w:rsid w:val="00AD42EB"/>
    <w:rsid w:val="00AD46CE"/>
    <w:rsid w:val="00AD4DC8"/>
    <w:rsid w:val="00AD5B39"/>
    <w:rsid w:val="00AE06D4"/>
    <w:rsid w:val="00AE0B22"/>
    <w:rsid w:val="00AE205B"/>
    <w:rsid w:val="00AE29E4"/>
    <w:rsid w:val="00AE2C44"/>
    <w:rsid w:val="00AE45F5"/>
    <w:rsid w:val="00AE467A"/>
    <w:rsid w:val="00AE49D1"/>
    <w:rsid w:val="00AE4E61"/>
    <w:rsid w:val="00AE5359"/>
    <w:rsid w:val="00AE539F"/>
    <w:rsid w:val="00AE5580"/>
    <w:rsid w:val="00AE668F"/>
    <w:rsid w:val="00AE66B5"/>
    <w:rsid w:val="00AE7A8C"/>
    <w:rsid w:val="00AE7AF8"/>
    <w:rsid w:val="00AF0CDA"/>
    <w:rsid w:val="00AF12EF"/>
    <w:rsid w:val="00AF1C3A"/>
    <w:rsid w:val="00AF2AE6"/>
    <w:rsid w:val="00AF2F86"/>
    <w:rsid w:val="00AF3211"/>
    <w:rsid w:val="00AF34D2"/>
    <w:rsid w:val="00AF3E1F"/>
    <w:rsid w:val="00AF524A"/>
    <w:rsid w:val="00AF611C"/>
    <w:rsid w:val="00AF6640"/>
    <w:rsid w:val="00AF6CF3"/>
    <w:rsid w:val="00AF6CFB"/>
    <w:rsid w:val="00AF7EEF"/>
    <w:rsid w:val="00B000E6"/>
    <w:rsid w:val="00B001C6"/>
    <w:rsid w:val="00B006CC"/>
    <w:rsid w:val="00B01EDA"/>
    <w:rsid w:val="00B0283E"/>
    <w:rsid w:val="00B03FC6"/>
    <w:rsid w:val="00B04293"/>
    <w:rsid w:val="00B05123"/>
    <w:rsid w:val="00B0520C"/>
    <w:rsid w:val="00B0574D"/>
    <w:rsid w:val="00B057BD"/>
    <w:rsid w:val="00B05BA0"/>
    <w:rsid w:val="00B06CE0"/>
    <w:rsid w:val="00B06FE9"/>
    <w:rsid w:val="00B073CA"/>
    <w:rsid w:val="00B1149F"/>
    <w:rsid w:val="00B11917"/>
    <w:rsid w:val="00B1286D"/>
    <w:rsid w:val="00B132BC"/>
    <w:rsid w:val="00B1347B"/>
    <w:rsid w:val="00B13BCC"/>
    <w:rsid w:val="00B13D66"/>
    <w:rsid w:val="00B15DC4"/>
    <w:rsid w:val="00B21780"/>
    <w:rsid w:val="00B21A36"/>
    <w:rsid w:val="00B220C5"/>
    <w:rsid w:val="00B2222C"/>
    <w:rsid w:val="00B22509"/>
    <w:rsid w:val="00B23D94"/>
    <w:rsid w:val="00B240FE"/>
    <w:rsid w:val="00B24128"/>
    <w:rsid w:val="00B24407"/>
    <w:rsid w:val="00B26EC9"/>
    <w:rsid w:val="00B27145"/>
    <w:rsid w:val="00B276E1"/>
    <w:rsid w:val="00B30DB9"/>
    <w:rsid w:val="00B32D0B"/>
    <w:rsid w:val="00B3369F"/>
    <w:rsid w:val="00B3430B"/>
    <w:rsid w:val="00B349DD"/>
    <w:rsid w:val="00B352F6"/>
    <w:rsid w:val="00B35CE9"/>
    <w:rsid w:val="00B3683D"/>
    <w:rsid w:val="00B36F4D"/>
    <w:rsid w:val="00B370E0"/>
    <w:rsid w:val="00B376F6"/>
    <w:rsid w:val="00B37B42"/>
    <w:rsid w:val="00B37E55"/>
    <w:rsid w:val="00B37F2A"/>
    <w:rsid w:val="00B404B4"/>
    <w:rsid w:val="00B407E6"/>
    <w:rsid w:val="00B40990"/>
    <w:rsid w:val="00B41355"/>
    <w:rsid w:val="00B41877"/>
    <w:rsid w:val="00B422C0"/>
    <w:rsid w:val="00B422F5"/>
    <w:rsid w:val="00B429C1"/>
    <w:rsid w:val="00B42A88"/>
    <w:rsid w:val="00B4300B"/>
    <w:rsid w:val="00B431A2"/>
    <w:rsid w:val="00B436D1"/>
    <w:rsid w:val="00B44BA9"/>
    <w:rsid w:val="00B44E2E"/>
    <w:rsid w:val="00B4522F"/>
    <w:rsid w:val="00B460F1"/>
    <w:rsid w:val="00B461B9"/>
    <w:rsid w:val="00B463A2"/>
    <w:rsid w:val="00B46406"/>
    <w:rsid w:val="00B46CF2"/>
    <w:rsid w:val="00B46DE1"/>
    <w:rsid w:val="00B47FAD"/>
    <w:rsid w:val="00B506CA"/>
    <w:rsid w:val="00B51F18"/>
    <w:rsid w:val="00B521A7"/>
    <w:rsid w:val="00B52352"/>
    <w:rsid w:val="00B52D51"/>
    <w:rsid w:val="00B52FBE"/>
    <w:rsid w:val="00B549BB"/>
    <w:rsid w:val="00B550BF"/>
    <w:rsid w:val="00B55ACF"/>
    <w:rsid w:val="00B56692"/>
    <w:rsid w:val="00B56861"/>
    <w:rsid w:val="00B57931"/>
    <w:rsid w:val="00B57A25"/>
    <w:rsid w:val="00B60235"/>
    <w:rsid w:val="00B608DB"/>
    <w:rsid w:val="00B60F02"/>
    <w:rsid w:val="00B610B8"/>
    <w:rsid w:val="00B617ED"/>
    <w:rsid w:val="00B61C30"/>
    <w:rsid w:val="00B62198"/>
    <w:rsid w:val="00B63261"/>
    <w:rsid w:val="00B6333C"/>
    <w:rsid w:val="00B633FE"/>
    <w:rsid w:val="00B63479"/>
    <w:rsid w:val="00B63CC7"/>
    <w:rsid w:val="00B64DAD"/>
    <w:rsid w:val="00B66654"/>
    <w:rsid w:val="00B66F77"/>
    <w:rsid w:val="00B709CD"/>
    <w:rsid w:val="00B709D7"/>
    <w:rsid w:val="00B70AE7"/>
    <w:rsid w:val="00B70CD9"/>
    <w:rsid w:val="00B70EC0"/>
    <w:rsid w:val="00B721FB"/>
    <w:rsid w:val="00B724C4"/>
    <w:rsid w:val="00B724E7"/>
    <w:rsid w:val="00B726B3"/>
    <w:rsid w:val="00B72B25"/>
    <w:rsid w:val="00B72D17"/>
    <w:rsid w:val="00B72E2A"/>
    <w:rsid w:val="00B7317B"/>
    <w:rsid w:val="00B735EF"/>
    <w:rsid w:val="00B736EB"/>
    <w:rsid w:val="00B73BE5"/>
    <w:rsid w:val="00B74120"/>
    <w:rsid w:val="00B75183"/>
    <w:rsid w:val="00B75697"/>
    <w:rsid w:val="00B757C9"/>
    <w:rsid w:val="00B75CD0"/>
    <w:rsid w:val="00B75CDE"/>
    <w:rsid w:val="00B75DE8"/>
    <w:rsid w:val="00B75EB4"/>
    <w:rsid w:val="00B7631A"/>
    <w:rsid w:val="00B76751"/>
    <w:rsid w:val="00B77710"/>
    <w:rsid w:val="00B77AAE"/>
    <w:rsid w:val="00B77CA7"/>
    <w:rsid w:val="00B77D62"/>
    <w:rsid w:val="00B802B6"/>
    <w:rsid w:val="00B80BD3"/>
    <w:rsid w:val="00B81CB7"/>
    <w:rsid w:val="00B81D6C"/>
    <w:rsid w:val="00B82054"/>
    <w:rsid w:val="00B82427"/>
    <w:rsid w:val="00B82679"/>
    <w:rsid w:val="00B8348E"/>
    <w:rsid w:val="00B83AA2"/>
    <w:rsid w:val="00B83DE6"/>
    <w:rsid w:val="00B84693"/>
    <w:rsid w:val="00B8505C"/>
    <w:rsid w:val="00B852E4"/>
    <w:rsid w:val="00B8566A"/>
    <w:rsid w:val="00B868B6"/>
    <w:rsid w:val="00B86D46"/>
    <w:rsid w:val="00B87A38"/>
    <w:rsid w:val="00B87C22"/>
    <w:rsid w:val="00B87D89"/>
    <w:rsid w:val="00B87DEF"/>
    <w:rsid w:val="00B90C27"/>
    <w:rsid w:val="00B90D22"/>
    <w:rsid w:val="00B91A58"/>
    <w:rsid w:val="00B92090"/>
    <w:rsid w:val="00B92640"/>
    <w:rsid w:val="00B9399F"/>
    <w:rsid w:val="00B93AF8"/>
    <w:rsid w:val="00B93D50"/>
    <w:rsid w:val="00B93E58"/>
    <w:rsid w:val="00B955D0"/>
    <w:rsid w:val="00B9585D"/>
    <w:rsid w:val="00B9598F"/>
    <w:rsid w:val="00B95E78"/>
    <w:rsid w:val="00B961AF"/>
    <w:rsid w:val="00B964FC"/>
    <w:rsid w:val="00B965CC"/>
    <w:rsid w:val="00BA0627"/>
    <w:rsid w:val="00BA159B"/>
    <w:rsid w:val="00BA1F27"/>
    <w:rsid w:val="00BA2054"/>
    <w:rsid w:val="00BA22DD"/>
    <w:rsid w:val="00BA2408"/>
    <w:rsid w:val="00BA2AB2"/>
    <w:rsid w:val="00BA2D0B"/>
    <w:rsid w:val="00BA321A"/>
    <w:rsid w:val="00BA3567"/>
    <w:rsid w:val="00BA361E"/>
    <w:rsid w:val="00BA3FA0"/>
    <w:rsid w:val="00BA4E56"/>
    <w:rsid w:val="00BA5A0B"/>
    <w:rsid w:val="00BA6A0F"/>
    <w:rsid w:val="00BA6DFA"/>
    <w:rsid w:val="00BA7020"/>
    <w:rsid w:val="00BA70E2"/>
    <w:rsid w:val="00BA769C"/>
    <w:rsid w:val="00BA7A81"/>
    <w:rsid w:val="00BA7D53"/>
    <w:rsid w:val="00BA7E8C"/>
    <w:rsid w:val="00BB0044"/>
    <w:rsid w:val="00BB0192"/>
    <w:rsid w:val="00BB0690"/>
    <w:rsid w:val="00BB0805"/>
    <w:rsid w:val="00BB0D75"/>
    <w:rsid w:val="00BB1044"/>
    <w:rsid w:val="00BB17B7"/>
    <w:rsid w:val="00BB1FA3"/>
    <w:rsid w:val="00BB306F"/>
    <w:rsid w:val="00BB39E5"/>
    <w:rsid w:val="00BB4717"/>
    <w:rsid w:val="00BB5193"/>
    <w:rsid w:val="00BB55E7"/>
    <w:rsid w:val="00BB5D65"/>
    <w:rsid w:val="00BB609C"/>
    <w:rsid w:val="00BB61C0"/>
    <w:rsid w:val="00BB6556"/>
    <w:rsid w:val="00BB693A"/>
    <w:rsid w:val="00BB6FB3"/>
    <w:rsid w:val="00BB71ED"/>
    <w:rsid w:val="00BB7520"/>
    <w:rsid w:val="00BB7691"/>
    <w:rsid w:val="00BB7CD4"/>
    <w:rsid w:val="00BC1529"/>
    <w:rsid w:val="00BC181B"/>
    <w:rsid w:val="00BC1E5D"/>
    <w:rsid w:val="00BC22A4"/>
    <w:rsid w:val="00BC2404"/>
    <w:rsid w:val="00BC2796"/>
    <w:rsid w:val="00BC3074"/>
    <w:rsid w:val="00BC30A6"/>
    <w:rsid w:val="00BC31E4"/>
    <w:rsid w:val="00BC3A77"/>
    <w:rsid w:val="00BC3BCF"/>
    <w:rsid w:val="00BC3CFD"/>
    <w:rsid w:val="00BC403F"/>
    <w:rsid w:val="00BC4067"/>
    <w:rsid w:val="00BC410E"/>
    <w:rsid w:val="00BC42CA"/>
    <w:rsid w:val="00BC4980"/>
    <w:rsid w:val="00BC4DEE"/>
    <w:rsid w:val="00BC4EF5"/>
    <w:rsid w:val="00BC53B2"/>
    <w:rsid w:val="00BC6003"/>
    <w:rsid w:val="00BC7592"/>
    <w:rsid w:val="00BC7C86"/>
    <w:rsid w:val="00BC7CF7"/>
    <w:rsid w:val="00BC7D18"/>
    <w:rsid w:val="00BC7D2D"/>
    <w:rsid w:val="00BC7EA3"/>
    <w:rsid w:val="00BD09F0"/>
    <w:rsid w:val="00BD2757"/>
    <w:rsid w:val="00BD3034"/>
    <w:rsid w:val="00BD3613"/>
    <w:rsid w:val="00BD4BC4"/>
    <w:rsid w:val="00BD4D68"/>
    <w:rsid w:val="00BD4E6F"/>
    <w:rsid w:val="00BD4EC2"/>
    <w:rsid w:val="00BD5FC5"/>
    <w:rsid w:val="00BD70F5"/>
    <w:rsid w:val="00BD744D"/>
    <w:rsid w:val="00BD7503"/>
    <w:rsid w:val="00BD7DD8"/>
    <w:rsid w:val="00BD7F4F"/>
    <w:rsid w:val="00BE04C2"/>
    <w:rsid w:val="00BE0DF1"/>
    <w:rsid w:val="00BE1055"/>
    <w:rsid w:val="00BE10DC"/>
    <w:rsid w:val="00BE13AF"/>
    <w:rsid w:val="00BE1FE4"/>
    <w:rsid w:val="00BE29D1"/>
    <w:rsid w:val="00BE3A15"/>
    <w:rsid w:val="00BE3F22"/>
    <w:rsid w:val="00BE3F56"/>
    <w:rsid w:val="00BE4E14"/>
    <w:rsid w:val="00BE5063"/>
    <w:rsid w:val="00BE520E"/>
    <w:rsid w:val="00BE5C66"/>
    <w:rsid w:val="00BE5E78"/>
    <w:rsid w:val="00BE61C0"/>
    <w:rsid w:val="00BE6852"/>
    <w:rsid w:val="00BF024F"/>
    <w:rsid w:val="00BF0AF4"/>
    <w:rsid w:val="00BF0D1D"/>
    <w:rsid w:val="00BF0EAE"/>
    <w:rsid w:val="00BF2685"/>
    <w:rsid w:val="00BF3515"/>
    <w:rsid w:val="00BF46A1"/>
    <w:rsid w:val="00BF4894"/>
    <w:rsid w:val="00BF4D5D"/>
    <w:rsid w:val="00BF4FF7"/>
    <w:rsid w:val="00BF55EC"/>
    <w:rsid w:val="00BF5994"/>
    <w:rsid w:val="00BF64A6"/>
    <w:rsid w:val="00BF6A40"/>
    <w:rsid w:val="00BF6C08"/>
    <w:rsid w:val="00BF7E62"/>
    <w:rsid w:val="00C004D1"/>
    <w:rsid w:val="00C00C5A"/>
    <w:rsid w:val="00C01083"/>
    <w:rsid w:val="00C01D11"/>
    <w:rsid w:val="00C01EBA"/>
    <w:rsid w:val="00C022FC"/>
    <w:rsid w:val="00C032CF"/>
    <w:rsid w:val="00C0481D"/>
    <w:rsid w:val="00C04A92"/>
    <w:rsid w:val="00C050E4"/>
    <w:rsid w:val="00C05A4E"/>
    <w:rsid w:val="00C05CC3"/>
    <w:rsid w:val="00C076AC"/>
    <w:rsid w:val="00C076F0"/>
    <w:rsid w:val="00C07ECA"/>
    <w:rsid w:val="00C07F5E"/>
    <w:rsid w:val="00C102CB"/>
    <w:rsid w:val="00C108B5"/>
    <w:rsid w:val="00C109ED"/>
    <w:rsid w:val="00C11C95"/>
    <w:rsid w:val="00C1264B"/>
    <w:rsid w:val="00C12AD9"/>
    <w:rsid w:val="00C13657"/>
    <w:rsid w:val="00C13A18"/>
    <w:rsid w:val="00C14648"/>
    <w:rsid w:val="00C14C01"/>
    <w:rsid w:val="00C14E54"/>
    <w:rsid w:val="00C15C35"/>
    <w:rsid w:val="00C165CF"/>
    <w:rsid w:val="00C1719A"/>
    <w:rsid w:val="00C2059B"/>
    <w:rsid w:val="00C20CD2"/>
    <w:rsid w:val="00C20FE3"/>
    <w:rsid w:val="00C21B67"/>
    <w:rsid w:val="00C223CF"/>
    <w:rsid w:val="00C22511"/>
    <w:rsid w:val="00C229BA"/>
    <w:rsid w:val="00C233CF"/>
    <w:rsid w:val="00C237E2"/>
    <w:rsid w:val="00C243C4"/>
    <w:rsid w:val="00C25115"/>
    <w:rsid w:val="00C2529E"/>
    <w:rsid w:val="00C252F9"/>
    <w:rsid w:val="00C261E5"/>
    <w:rsid w:val="00C26575"/>
    <w:rsid w:val="00C27305"/>
    <w:rsid w:val="00C276A8"/>
    <w:rsid w:val="00C30202"/>
    <w:rsid w:val="00C3079A"/>
    <w:rsid w:val="00C30B2B"/>
    <w:rsid w:val="00C314EE"/>
    <w:rsid w:val="00C31B01"/>
    <w:rsid w:val="00C3205E"/>
    <w:rsid w:val="00C3214A"/>
    <w:rsid w:val="00C32732"/>
    <w:rsid w:val="00C3298C"/>
    <w:rsid w:val="00C32BA5"/>
    <w:rsid w:val="00C3345D"/>
    <w:rsid w:val="00C339D3"/>
    <w:rsid w:val="00C33B4B"/>
    <w:rsid w:val="00C34BA4"/>
    <w:rsid w:val="00C3511A"/>
    <w:rsid w:val="00C356E2"/>
    <w:rsid w:val="00C35B99"/>
    <w:rsid w:val="00C35F1D"/>
    <w:rsid w:val="00C362F0"/>
    <w:rsid w:val="00C36320"/>
    <w:rsid w:val="00C36A40"/>
    <w:rsid w:val="00C3792A"/>
    <w:rsid w:val="00C40265"/>
    <w:rsid w:val="00C418DA"/>
    <w:rsid w:val="00C41AE3"/>
    <w:rsid w:val="00C42F85"/>
    <w:rsid w:val="00C43FBA"/>
    <w:rsid w:val="00C441D3"/>
    <w:rsid w:val="00C442FB"/>
    <w:rsid w:val="00C449EA"/>
    <w:rsid w:val="00C4529E"/>
    <w:rsid w:val="00C45879"/>
    <w:rsid w:val="00C45E6A"/>
    <w:rsid w:val="00C46630"/>
    <w:rsid w:val="00C46A90"/>
    <w:rsid w:val="00C502ED"/>
    <w:rsid w:val="00C51095"/>
    <w:rsid w:val="00C52007"/>
    <w:rsid w:val="00C52278"/>
    <w:rsid w:val="00C52B4C"/>
    <w:rsid w:val="00C52CCD"/>
    <w:rsid w:val="00C546E7"/>
    <w:rsid w:val="00C54ACC"/>
    <w:rsid w:val="00C55346"/>
    <w:rsid w:val="00C55460"/>
    <w:rsid w:val="00C55534"/>
    <w:rsid w:val="00C556E9"/>
    <w:rsid w:val="00C55B28"/>
    <w:rsid w:val="00C576E2"/>
    <w:rsid w:val="00C578B2"/>
    <w:rsid w:val="00C57A96"/>
    <w:rsid w:val="00C57C29"/>
    <w:rsid w:val="00C57F77"/>
    <w:rsid w:val="00C603A3"/>
    <w:rsid w:val="00C603B0"/>
    <w:rsid w:val="00C6113C"/>
    <w:rsid w:val="00C61648"/>
    <w:rsid w:val="00C6250D"/>
    <w:rsid w:val="00C625CC"/>
    <w:rsid w:val="00C62753"/>
    <w:rsid w:val="00C6350E"/>
    <w:rsid w:val="00C63B4E"/>
    <w:rsid w:val="00C63C4F"/>
    <w:rsid w:val="00C63D4E"/>
    <w:rsid w:val="00C64056"/>
    <w:rsid w:val="00C6406F"/>
    <w:rsid w:val="00C6476D"/>
    <w:rsid w:val="00C65135"/>
    <w:rsid w:val="00C6527A"/>
    <w:rsid w:val="00C654E8"/>
    <w:rsid w:val="00C658C9"/>
    <w:rsid w:val="00C65A3D"/>
    <w:rsid w:val="00C67056"/>
    <w:rsid w:val="00C67FCF"/>
    <w:rsid w:val="00C67FF2"/>
    <w:rsid w:val="00C70389"/>
    <w:rsid w:val="00C70D1E"/>
    <w:rsid w:val="00C7239B"/>
    <w:rsid w:val="00C72489"/>
    <w:rsid w:val="00C72563"/>
    <w:rsid w:val="00C72915"/>
    <w:rsid w:val="00C72E1A"/>
    <w:rsid w:val="00C72FA4"/>
    <w:rsid w:val="00C730C8"/>
    <w:rsid w:val="00C73227"/>
    <w:rsid w:val="00C733CD"/>
    <w:rsid w:val="00C7340D"/>
    <w:rsid w:val="00C74001"/>
    <w:rsid w:val="00C74173"/>
    <w:rsid w:val="00C74E5B"/>
    <w:rsid w:val="00C751CC"/>
    <w:rsid w:val="00C7534B"/>
    <w:rsid w:val="00C7545A"/>
    <w:rsid w:val="00C75620"/>
    <w:rsid w:val="00C75BE4"/>
    <w:rsid w:val="00C75FFA"/>
    <w:rsid w:val="00C7605D"/>
    <w:rsid w:val="00C769AD"/>
    <w:rsid w:val="00C76A25"/>
    <w:rsid w:val="00C76AE1"/>
    <w:rsid w:val="00C775FD"/>
    <w:rsid w:val="00C77E0D"/>
    <w:rsid w:val="00C8024E"/>
    <w:rsid w:val="00C80EF9"/>
    <w:rsid w:val="00C8159C"/>
    <w:rsid w:val="00C819C9"/>
    <w:rsid w:val="00C82D5A"/>
    <w:rsid w:val="00C8355E"/>
    <w:rsid w:val="00C837EE"/>
    <w:rsid w:val="00C843B2"/>
    <w:rsid w:val="00C84D15"/>
    <w:rsid w:val="00C8519F"/>
    <w:rsid w:val="00C852DC"/>
    <w:rsid w:val="00C8565C"/>
    <w:rsid w:val="00C85933"/>
    <w:rsid w:val="00C85F53"/>
    <w:rsid w:val="00C8607B"/>
    <w:rsid w:val="00C8645E"/>
    <w:rsid w:val="00C86CAA"/>
    <w:rsid w:val="00C87834"/>
    <w:rsid w:val="00C9088A"/>
    <w:rsid w:val="00C9161D"/>
    <w:rsid w:val="00C919C1"/>
    <w:rsid w:val="00C93263"/>
    <w:rsid w:val="00C93F1C"/>
    <w:rsid w:val="00C94211"/>
    <w:rsid w:val="00C94683"/>
    <w:rsid w:val="00C94B5C"/>
    <w:rsid w:val="00C95B16"/>
    <w:rsid w:val="00C95D8C"/>
    <w:rsid w:val="00C962A1"/>
    <w:rsid w:val="00C963A5"/>
    <w:rsid w:val="00C971D4"/>
    <w:rsid w:val="00C97398"/>
    <w:rsid w:val="00C97423"/>
    <w:rsid w:val="00C97E79"/>
    <w:rsid w:val="00CA02A5"/>
    <w:rsid w:val="00CA10AB"/>
    <w:rsid w:val="00CA2253"/>
    <w:rsid w:val="00CA2653"/>
    <w:rsid w:val="00CA295A"/>
    <w:rsid w:val="00CA345B"/>
    <w:rsid w:val="00CA37AA"/>
    <w:rsid w:val="00CA4A47"/>
    <w:rsid w:val="00CA51D7"/>
    <w:rsid w:val="00CA51E1"/>
    <w:rsid w:val="00CA65D3"/>
    <w:rsid w:val="00CA6FB6"/>
    <w:rsid w:val="00CA7DE6"/>
    <w:rsid w:val="00CB0365"/>
    <w:rsid w:val="00CB09C4"/>
    <w:rsid w:val="00CB1910"/>
    <w:rsid w:val="00CB1A49"/>
    <w:rsid w:val="00CB24B8"/>
    <w:rsid w:val="00CB323C"/>
    <w:rsid w:val="00CB33DF"/>
    <w:rsid w:val="00CB39CD"/>
    <w:rsid w:val="00CB3C3C"/>
    <w:rsid w:val="00CB4799"/>
    <w:rsid w:val="00CB4CB9"/>
    <w:rsid w:val="00CB57F3"/>
    <w:rsid w:val="00CB5D7A"/>
    <w:rsid w:val="00CB63B2"/>
    <w:rsid w:val="00CC0116"/>
    <w:rsid w:val="00CC05D0"/>
    <w:rsid w:val="00CC1257"/>
    <w:rsid w:val="00CC19ED"/>
    <w:rsid w:val="00CC20A5"/>
    <w:rsid w:val="00CC2708"/>
    <w:rsid w:val="00CC3FED"/>
    <w:rsid w:val="00CC44F2"/>
    <w:rsid w:val="00CC458E"/>
    <w:rsid w:val="00CC481B"/>
    <w:rsid w:val="00CC4C18"/>
    <w:rsid w:val="00CC5005"/>
    <w:rsid w:val="00CC520A"/>
    <w:rsid w:val="00CC534C"/>
    <w:rsid w:val="00CC5F3D"/>
    <w:rsid w:val="00CC62E8"/>
    <w:rsid w:val="00CC64F0"/>
    <w:rsid w:val="00CC64F7"/>
    <w:rsid w:val="00CC7320"/>
    <w:rsid w:val="00CD02A7"/>
    <w:rsid w:val="00CD13C7"/>
    <w:rsid w:val="00CD30A2"/>
    <w:rsid w:val="00CD3839"/>
    <w:rsid w:val="00CD3C71"/>
    <w:rsid w:val="00CD44BE"/>
    <w:rsid w:val="00CD4532"/>
    <w:rsid w:val="00CD4BC9"/>
    <w:rsid w:val="00CD67A7"/>
    <w:rsid w:val="00CD7158"/>
    <w:rsid w:val="00CD7CF9"/>
    <w:rsid w:val="00CD7D22"/>
    <w:rsid w:val="00CD7E61"/>
    <w:rsid w:val="00CE0184"/>
    <w:rsid w:val="00CE0A27"/>
    <w:rsid w:val="00CE13E8"/>
    <w:rsid w:val="00CE16DD"/>
    <w:rsid w:val="00CE1EDF"/>
    <w:rsid w:val="00CE27E0"/>
    <w:rsid w:val="00CE3457"/>
    <w:rsid w:val="00CE45A3"/>
    <w:rsid w:val="00CE48B2"/>
    <w:rsid w:val="00CE5758"/>
    <w:rsid w:val="00CE5D30"/>
    <w:rsid w:val="00CE648D"/>
    <w:rsid w:val="00CF07F2"/>
    <w:rsid w:val="00CF0ADE"/>
    <w:rsid w:val="00CF0B8F"/>
    <w:rsid w:val="00CF11D6"/>
    <w:rsid w:val="00CF17A0"/>
    <w:rsid w:val="00CF1848"/>
    <w:rsid w:val="00CF1F6E"/>
    <w:rsid w:val="00CF2542"/>
    <w:rsid w:val="00CF2A3D"/>
    <w:rsid w:val="00CF3144"/>
    <w:rsid w:val="00CF3687"/>
    <w:rsid w:val="00CF4765"/>
    <w:rsid w:val="00CF4C1E"/>
    <w:rsid w:val="00CF4EDE"/>
    <w:rsid w:val="00CF4F0B"/>
    <w:rsid w:val="00CF576E"/>
    <w:rsid w:val="00CF603A"/>
    <w:rsid w:val="00CF6154"/>
    <w:rsid w:val="00CF6296"/>
    <w:rsid w:val="00CF697D"/>
    <w:rsid w:val="00CF782F"/>
    <w:rsid w:val="00D00616"/>
    <w:rsid w:val="00D00C0E"/>
    <w:rsid w:val="00D00CA0"/>
    <w:rsid w:val="00D00FA4"/>
    <w:rsid w:val="00D0100A"/>
    <w:rsid w:val="00D01304"/>
    <w:rsid w:val="00D037A9"/>
    <w:rsid w:val="00D0383F"/>
    <w:rsid w:val="00D03ACD"/>
    <w:rsid w:val="00D0429C"/>
    <w:rsid w:val="00D04925"/>
    <w:rsid w:val="00D053C5"/>
    <w:rsid w:val="00D05562"/>
    <w:rsid w:val="00D055FD"/>
    <w:rsid w:val="00D064B3"/>
    <w:rsid w:val="00D06893"/>
    <w:rsid w:val="00D0765F"/>
    <w:rsid w:val="00D10C43"/>
    <w:rsid w:val="00D113DD"/>
    <w:rsid w:val="00D12044"/>
    <w:rsid w:val="00D12625"/>
    <w:rsid w:val="00D12B08"/>
    <w:rsid w:val="00D135E7"/>
    <w:rsid w:val="00D13794"/>
    <w:rsid w:val="00D13B9B"/>
    <w:rsid w:val="00D13D00"/>
    <w:rsid w:val="00D13F1E"/>
    <w:rsid w:val="00D13FCF"/>
    <w:rsid w:val="00D1400B"/>
    <w:rsid w:val="00D14145"/>
    <w:rsid w:val="00D14A54"/>
    <w:rsid w:val="00D14A7A"/>
    <w:rsid w:val="00D15035"/>
    <w:rsid w:val="00D15059"/>
    <w:rsid w:val="00D15FD0"/>
    <w:rsid w:val="00D165A2"/>
    <w:rsid w:val="00D16AC1"/>
    <w:rsid w:val="00D16C0D"/>
    <w:rsid w:val="00D170FA"/>
    <w:rsid w:val="00D17F1F"/>
    <w:rsid w:val="00D17FDA"/>
    <w:rsid w:val="00D20C70"/>
    <w:rsid w:val="00D213BB"/>
    <w:rsid w:val="00D218E9"/>
    <w:rsid w:val="00D21A86"/>
    <w:rsid w:val="00D22239"/>
    <w:rsid w:val="00D23495"/>
    <w:rsid w:val="00D246BB"/>
    <w:rsid w:val="00D24B07"/>
    <w:rsid w:val="00D25185"/>
    <w:rsid w:val="00D25AA8"/>
    <w:rsid w:val="00D262DC"/>
    <w:rsid w:val="00D26E1A"/>
    <w:rsid w:val="00D275D6"/>
    <w:rsid w:val="00D305CB"/>
    <w:rsid w:val="00D3094B"/>
    <w:rsid w:val="00D30A53"/>
    <w:rsid w:val="00D31294"/>
    <w:rsid w:val="00D33723"/>
    <w:rsid w:val="00D33FB5"/>
    <w:rsid w:val="00D34026"/>
    <w:rsid w:val="00D34487"/>
    <w:rsid w:val="00D34D96"/>
    <w:rsid w:val="00D36849"/>
    <w:rsid w:val="00D36A12"/>
    <w:rsid w:val="00D37702"/>
    <w:rsid w:val="00D378C1"/>
    <w:rsid w:val="00D37F23"/>
    <w:rsid w:val="00D40661"/>
    <w:rsid w:val="00D407C0"/>
    <w:rsid w:val="00D41374"/>
    <w:rsid w:val="00D41520"/>
    <w:rsid w:val="00D41CA0"/>
    <w:rsid w:val="00D42115"/>
    <w:rsid w:val="00D42B18"/>
    <w:rsid w:val="00D42CCB"/>
    <w:rsid w:val="00D42DA1"/>
    <w:rsid w:val="00D43195"/>
    <w:rsid w:val="00D43292"/>
    <w:rsid w:val="00D43E10"/>
    <w:rsid w:val="00D44BDE"/>
    <w:rsid w:val="00D45C04"/>
    <w:rsid w:val="00D46BF0"/>
    <w:rsid w:val="00D47463"/>
    <w:rsid w:val="00D47DA4"/>
    <w:rsid w:val="00D47DAB"/>
    <w:rsid w:val="00D47DB7"/>
    <w:rsid w:val="00D5024B"/>
    <w:rsid w:val="00D50802"/>
    <w:rsid w:val="00D51248"/>
    <w:rsid w:val="00D515D4"/>
    <w:rsid w:val="00D5368E"/>
    <w:rsid w:val="00D537E4"/>
    <w:rsid w:val="00D53AE9"/>
    <w:rsid w:val="00D53FDA"/>
    <w:rsid w:val="00D54220"/>
    <w:rsid w:val="00D5426F"/>
    <w:rsid w:val="00D55363"/>
    <w:rsid w:val="00D554AB"/>
    <w:rsid w:val="00D55C33"/>
    <w:rsid w:val="00D5631A"/>
    <w:rsid w:val="00D56BA9"/>
    <w:rsid w:val="00D56E03"/>
    <w:rsid w:val="00D57CD4"/>
    <w:rsid w:val="00D57DEB"/>
    <w:rsid w:val="00D57E84"/>
    <w:rsid w:val="00D60023"/>
    <w:rsid w:val="00D61386"/>
    <w:rsid w:val="00D61E2C"/>
    <w:rsid w:val="00D62133"/>
    <w:rsid w:val="00D6285C"/>
    <w:rsid w:val="00D6339D"/>
    <w:rsid w:val="00D63535"/>
    <w:rsid w:val="00D6394E"/>
    <w:rsid w:val="00D63A9F"/>
    <w:rsid w:val="00D64CAC"/>
    <w:rsid w:val="00D65389"/>
    <w:rsid w:val="00D66078"/>
    <w:rsid w:val="00D679F5"/>
    <w:rsid w:val="00D704C9"/>
    <w:rsid w:val="00D71D14"/>
    <w:rsid w:val="00D71EAC"/>
    <w:rsid w:val="00D72D07"/>
    <w:rsid w:val="00D7370A"/>
    <w:rsid w:val="00D742F7"/>
    <w:rsid w:val="00D743B5"/>
    <w:rsid w:val="00D74629"/>
    <w:rsid w:val="00D74677"/>
    <w:rsid w:val="00D750A9"/>
    <w:rsid w:val="00D75844"/>
    <w:rsid w:val="00D76002"/>
    <w:rsid w:val="00D76473"/>
    <w:rsid w:val="00D76A18"/>
    <w:rsid w:val="00D775E6"/>
    <w:rsid w:val="00D775F8"/>
    <w:rsid w:val="00D77837"/>
    <w:rsid w:val="00D77D2E"/>
    <w:rsid w:val="00D80657"/>
    <w:rsid w:val="00D80E45"/>
    <w:rsid w:val="00D819C9"/>
    <w:rsid w:val="00D81A77"/>
    <w:rsid w:val="00D82A57"/>
    <w:rsid w:val="00D8341B"/>
    <w:rsid w:val="00D846F4"/>
    <w:rsid w:val="00D85801"/>
    <w:rsid w:val="00D85978"/>
    <w:rsid w:val="00D85D9C"/>
    <w:rsid w:val="00D8655C"/>
    <w:rsid w:val="00D87ABA"/>
    <w:rsid w:val="00D90691"/>
    <w:rsid w:val="00D90E1D"/>
    <w:rsid w:val="00D91435"/>
    <w:rsid w:val="00D915E9"/>
    <w:rsid w:val="00D9161F"/>
    <w:rsid w:val="00D91980"/>
    <w:rsid w:val="00D91CAB"/>
    <w:rsid w:val="00D91EEE"/>
    <w:rsid w:val="00D91FB2"/>
    <w:rsid w:val="00D9273B"/>
    <w:rsid w:val="00D943D6"/>
    <w:rsid w:val="00D95174"/>
    <w:rsid w:val="00D95590"/>
    <w:rsid w:val="00D956FF"/>
    <w:rsid w:val="00D95B5B"/>
    <w:rsid w:val="00D95B75"/>
    <w:rsid w:val="00D96DE6"/>
    <w:rsid w:val="00D97DCE"/>
    <w:rsid w:val="00DA0695"/>
    <w:rsid w:val="00DA07BE"/>
    <w:rsid w:val="00DA0DD1"/>
    <w:rsid w:val="00DA2B9A"/>
    <w:rsid w:val="00DA3167"/>
    <w:rsid w:val="00DA3458"/>
    <w:rsid w:val="00DA46F6"/>
    <w:rsid w:val="00DA4D17"/>
    <w:rsid w:val="00DA5713"/>
    <w:rsid w:val="00DA62A4"/>
    <w:rsid w:val="00DA6775"/>
    <w:rsid w:val="00DA6D5A"/>
    <w:rsid w:val="00DA6F94"/>
    <w:rsid w:val="00DA759A"/>
    <w:rsid w:val="00DA77A5"/>
    <w:rsid w:val="00DA7E07"/>
    <w:rsid w:val="00DA7EE6"/>
    <w:rsid w:val="00DA7FDD"/>
    <w:rsid w:val="00DB07A1"/>
    <w:rsid w:val="00DB0EDF"/>
    <w:rsid w:val="00DB103B"/>
    <w:rsid w:val="00DB1E4F"/>
    <w:rsid w:val="00DB249D"/>
    <w:rsid w:val="00DB24BF"/>
    <w:rsid w:val="00DB24FB"/>
    <w:rsid w:val="00DB2994"/>
    <w:rsid w:val="00DB2AC2"/>
    <w:rsid w:val="00DB432B"/>
    <w:rsid w:val="00DB434A"/>
    <w:rsid w:val="00DB44F2"/>
    <w:rsid w:val="00DB491C"/>
    <w:rsid w:val="00DB53AE"/>
    <w:rsid w:val="00DB693D"/>
    <w:rsid w:val="00DB7681"/>
    <w:rsid w:val="00DB7B0A"/>
    <w:rsid w:val="00DC0840"/>
    <w:rsid w:val="00DC0972"/>
    <w:rsid w:val="00DC0E9B"/>
    <w:rsid w:val="00DC0FEE"/>
    <w:rsid w:val="00DC12DD"/>
    <w:rsid w:val="00DC12E6"/>
    <w:rsid w:val="00DC22EA"/>
    <w:rsid w:val="00DC304E"/>
    <w:rsid w:val="00DC3B43"/>
    <w:rsid w:val="00DC44AD"/>
    <w:rsid w:val="00DC4775"/>
    <w:rsid w:val="00DC4D7E"/>
    <w:rsid w:val="00DC74FF"/>
    <w:rsid w:val="00DC7E3F"/>
    <w:rsid w:val="00DD02CF"/>
    <w:rsid w:val="00DD0AD0"/>
    <w:rsid w:val="00DD0B47"/>
    <w:rsid w:val="00DD118C"/>
    <w:rsid w:val="00DD1B93"/>
    <w:rsid w:val="00DD22DB"/>
    <w:rsid w:val="00DD299A"/>
    <w:rsid w:val="00DD2EAC"/>
    <w:rsid w:val="00DD35FF"/>
    <w:rsid w:val="00DD366D"/>
    <w:rsid w:val="00DD3FAA"/>
    <w:rsid w:val="00DD44A3"/>
    <w:rsid w:val="00DD542A"/>
    <w:rsid w:val="00DD542E"/>
    <w:rsid w:val="00DD58A2"/>
    <w:rsid w:val="00DD5E2E"/>
    <w:rsid w:val="00DD6A8D"/>
    <w:rsid w:val="00DD6AE4"/>
    <w:rsid w:val="00DD7D1B"/>
    <w:rsid w:val="00DE0334"/>
    <w:rsid w:val="00DE05E8"/>
    <w:rsid w:val="00DE0645"/>
    <w:rsid w:val="00DE06CE"/>
    <w:rsid w:val="00DE09B9"/>
    <w:rsid w:val="00DE0DF1"/>
    <w:rsid w:val="00DE138B"/>
    <w:rsid w:val="00DE1E50"/>
    <w:rsid w:val="00DE27DD"/>
    <w:rsid w:val="00DE2A28"/>
    <w:rsid w:val="00DE3552"/>
    <w:rsid w:val="00DE36B8"/>
    <w:rsid w:val="00DE421D"/>
    <w:rsid w:val="00DE5B97"/>
    <w:rsid w:val="00DE6224"/>
    <w:rsid w:val="00DE6B9E"/>
    <w:rsid w:val="00DE7200"/>
    <w:rsid w:val="00DE726F"/>
    <w:rsid w:val="00DE7B75"/>
    <w:rsid w:val="00DF07EB"/>
    <w:rsid w:val="00DF0D8F"/>
    <w:rsid w:val="00DF1929"/>
    <w:rsid w:val="00DF1A75"/>
    <w:rsid w:val="00DF29A5"/>
    <w:rsid w:val="00DF2C1B"/>
    <w:rsid w:val="00DF2D3E"/>
    <w:rsid w:val="00DF2DBF"/>
    <w:rsid w:val="00DF2E59"/>
    <w:rsid w:val="00DF428B"/>
    <w:rsid w:val="00DF4DAB"/>
    <w:rsid w:val="00DF4F0A"/>
    <w:rsid w:val="00DF50C2"/>
    <w:rsid w:val="00DF552C"/>
    <w:rsid w:val="00DF570D"/>
    <w:rsid w:val="00DF5B8E"/>
    <w:rsid w:val="00DF6BF9"/>
    <w:rsid w:val="00DF7752"/>
    <w:rsid w:val="00DF7CF6"/>
    <w:rsid w:val="00E00226"/>
    <w:rsid w:val="00E00CF8"/>
    <w:rsid w:val="00E00F25"/>
    <w:rsid w:val="00E011D7"/>
    <w:rsid w:val="00E017A9"/>
    <w:rsid w:val="00E020A0"/>
    <w:rsid w:val="00E02201"/>
    <w:rsid w:val="00E02641"/>
    <w:rsid w:val="00E0357C"/>
    <w:rsid w:val="00E0385B"/>
    <w:rsid w:val="00E0401A"/>
    <w:rsid w:val="00E04131"/>
    <w:rsid w:val="00E04A9A"/>
    <w:rsid w:val="00E04BE5"/>
    <w:rsid w:val="00E04DE1"/>
    <w:rsid w:val="00E04E92"/>
    <w:rsid w:val="00E04FCB"/>
    <w:rsid w:val="00E063B3"/>
    <w:rsid w:val="00E0671B"/>
    <w:rsid w:val="00E06FFE"/>
    <w:rsid w:val="00E072B3"/>
    <w:rsid w:val="00E07760"/>
    <w:rsid w:val="00E078D8"/>
    <w:rsid w:val="00E10145"/>
    <w:rsid w:val="00E102F0"/>
    <w:rsid w:val="00E10704"/>
    <w:rsid w:val="00E1081B"/>
    <w:rsid w:val="00E11183"/>
    <w:rsid w:val="00E114A5"/>
    <w:rsid w:val="00E11AC2"/>
    <w:rsid w:val="00E1255B"/>
    <w:rsid w:val="00E12A33"/>
    <w:rsid w:val="00E13226"/>
    <w:rsid w:val="00E13DBF"/>
    <w:rsid w:val="00E1419F"/>
    <w:rsid w:val="00E1470E"/>
    <w:rsid w:val="00E14DFB"/>
    <w:rsid w:val="00E151F2"/>
    <w:rsid w:val="00E154EA"/>
    <w:rsid w:val="00E15F68"/>
    <w:rsid w:val="00E16418"/>
    <w:rsid w:val="00E16D3F"/>
    <w:rsid w:val="00E16FA1"/>
    <w:rsid w:val="00E17FFD"/>
    <w:rsid w:val="00E20DA6"/>
    <w:rsid w:val="00E21D19"/>
    <w:rsid w:val="00E21D43"/>
    <w:rsid w:val="00E22113"/>
    <w:rsid w:val="00E225BE"/>
    <w:rsid w:val="00E226D1"/>
    <w:rsid w:val="00E229B1"/>
    <w:rsid w:val="00E24798"/>
    <w:rsid w:val="00E248BF"/>
    <w:rsid w:val="00E24944"/>
    <w:rsid w:val="00E25E13"/>
    <w:rsid w:val="00E265EB"/>
    <w:rsid w:val="00E2752E"/>
    <w:rsid w:val="00E30793"/>
    <w:rsid w:val="00E309AD"/>
    <w:rsid w:val="00E30CF0"/>
    <w:rsid w:val="00E31A39"/>
    <w:rsid w:val="00E31D33"/>
    <w:rsid w:val="00E31FB5"/>
    <w:rsid w:val="00E32CAD"/>
    <w:rsid w:val="00E32DD6"/>
    <w:rsid w:val="00E33365"/>
    <w:rsid w:val="00E34FBE"/>
    <w:rsid w:val="00E3524F"/>
    <w:rsid w:val="00E35342"/>
    <w:rsid w:val="00E3559F"/>
    <w:rsid w:val="00E36AF4"/>
    <w:rsid w:val="00E37046"/>
    <w:rsid w:val="00E37A5E"/>
    <w:rsid w:val="00E4052C"/>
    <w:rsid w:val="00E40D58"/>
    <w:rsid w:val="00E41066"/>
    <w:rsid w:val="00E41397"/>
    <w:rsid w:val="00E43D68"/>
    <w:rsid w:val="00E445FD"/>
    <w:rsid w:val="00E44BFF"/>
    <w:rsid w:val="00E4552D"/>
    <w:rsid w:val="00E45672"/>
    <w:rsid w:val="00E4592E"/>
    <w:rsid w:val="00E462AA"/>
    <w:rsid w:val="00E464A6"/>
    <w:rsid w:val="00E465D8"/>
    <w:rsid w:val="00E4693C"/>
    <w:rsid w:val="00E474A5"/>
    <w:rsid w:val="00E474DE"/>
    <w:rsid w:val="00E502B6"/>
    <w:rsid w:val="00E50319"/>
    <w:rsid w:val="00E50403"/>
    <w:rsid w:val="00E50476"/>
    <w:rsid w:val="00E50DCF"/>
    <w:rsid w:val="00E50E25"/>
    <w:rsid w:val="00E513CD"/>
    <w:rsid w:val="00E51686"/>
    <w:rsid w:val="00E52054"/>
    <w:rsid w:val="00E52575"/>
    <w:rsid w:val="00E52970"/>
    <w:rsid w:val="00E5305A"/>
    <w:rsid w:val="00E53895"/>
    <w:rsid w:val="00E540CD"/>
    <w:rsid w:val="00E54180"/>
    <w:rsid w:val="00E54F99"/>
    <w:rsid w:val="00E562AF"/>
    <w:rsid w:val="00E569DD"/>
    <w:rsid w:val="00E57DED"/>
    <w:rsid w:val="00E6046B"/>
    <w:rsid w:val="00E60A62"/>
    <w:rsid w:val="00E60FE2"/>
    <w:rsid w:val="00E610A2"/>
    <w:rsid w:val="00E6160A"/>
    <w:rsid w:val="00E6187E"/>
    <w:rsid w:val="00E61BC3"/>
    <w:rsid w:val="00E62F27"/>
    <w:rsid w:val="00E634F5"/>
    <w:rsid w:val="00E63943"/>
    <w:rsid w:val="00E639AA"/>
    <w:rsid w:val="00E6543A"/>
    <w:rsid w:val="00E66235"/>
    <w:rsid w:val="00E66666"/>
    <w:rsid w:val="00E66BE9"/>
    <w:rsid w:val="00E67096"/>
    <w:rsid w:val="00E67790"/>
    <w:rsid w:val="00E67A25"/>
    <w:rsid w:val="00E67A38"/>
    <w:rsid w:val="00E7022C"/>
    <w:rsid w:val="00E70D37"/>
    <w:rsid w:val="00E70E61"/>
    <w:rsid w:val="00E71AB9"/>
    <w:rsid w:val="00E72612"/>
    <w:rsid w:val="00E726F0"/>
    <w:rsid w:val="00E72FB3"/>
    <w:rsid w:val="00E73906"/>
    <w:rsid w:val="00E74773"/>
    <w:rsid w:val="00E74BA1"/>
    <w:rsid w:val="00E754D6"/>
    <w:rsid w:val="00E76265"/>
    <w:rsid w:val="00E765C7"/>
    <w:rsid w:val="00E769D6"/>
    <w:rsid w:val="00E76D17"/>
    <w:rsid w:val="00E76DB1"/>
    <w:rsid w:val="00E76EEE"/>
    <w:rsid w:val="00E77561"/>
    <w:rsid w:val="00E77D36"/>
    <w:rsid w:val="00E80E38"/>
    <w:rsid w:val="00E815AC"/>
    <w:rsid w:val="00E81ABE"/>
    <w:rsid w:val="00E81FA2"/>
    <w:rsid w:val="00E825DC"/>
    <w:rsid w:val="00E82A60"/>
    <w:rsid w:val="00E82E81"/>
    <w:rsid w:val="00E83300"/>
    <w:rsid w:val="00E83628"/>
    <w:rsid w:val="00E8383F"/>
    <w:rsid w:val="00E8392F"/>
    <w:rsid w:val="00E83C24"/>
    <w:rsid w:val="00E83F12"/>
    <w:rsid w:val="00E84E9F"/>
    <w:rsid w:val="00E860A5"/>
    <w:rsid w:val="00E86318"/>
    <w:rsid w:val="00E86475"/>
    <w:rsid w:val="00E86693"/>
    <w:rsid w:val="00E86855"/>
    <w:rsid w:val="00E87AE6"/>
    <w:rsid w:val="00E9010B"/>
    <w:rsid w:val="00E90418"/>
    <w:rsid w:val="00E913B1"/>
    <w:rsid w:val="00E91548"/>
    <w:rsid w:val="00E92F89"/>
    <w:rsid w:val="00E9318D"/>
    <w:rsid w:val="00E93DE6"/>
    <w:rsid w:val="00E94083"/>
    <w:rsid w:val="00E9424A"/>
    <w:rsid w:val="00E944E4"/>
    <w:rsid w:val="00E97ED7"/>
    <w:rsid w:val="00EA11FE"/>
    <w:rsid w:val="00EA174E"/>
    <w:rsid w:val="00EA233B"/>
    <w:rsid w:val="00EA4ADD"/>
    <w:rsid w:val="00EA4B02"/>
    <w:rsid w:val="00EA562B"/>
    <w:rsid w:val="00EA598A"/>
    <w:rsid w:val="00EA59AB"/>
    <w:rsid w:val="00EA5D7B"/>
    <w:rsid w:val="00EA629E"/>
    <w:rsid w:val="00EA7B71"/>
    <w:rsid w:val="00EB0538"/>
    <w:rsid w:val="00EB0963"/>
    <w:rsid w:val="00EB13A0"/>
    <w:rsid w:val="00EB1C9A"/>
    <w:rsid w:val="00EB2081"/>
    <w:rsid w:val="00EB2492"/>
    <w:rsid w:val="00EB3378"/>
    <w:rsid w:val="00EB33FC"/>
    <w:rsid w:val="00EB36FE"/>
    <w:rsid w:val="00EB378D"/>
    <w:rsid w:val="00EB3A5C"/>
    <w:rsid w:val="00EB4333"/>
    <w:rsid w:val="00EB4744"/>
    <w:rsid w:val="00EB499F"/>
    <w:rsid w:val="00EB53E9"/>
    <w:rsid w:val="00EB57D5"/>
    <w:rsid w:val="00EB5FF0"/>
    <w:rsid w:val="00EB64BC"/>
    <w:rsid w:val="00EB69BE"/>
    <w:rsid w:val="00EB6F18"/>
    <w:rsid w:val="00EB7123"/>
    <w:rsid w:val="00EB72CA"/>
    <w:rsid w:val="00EC04C1"/>
    <w:rsid w:val="00EC0503"/>
    <w:rsid w:val="00EC09AB"/>
    <w:rsid w:val="00EC0EFA"/>
    <w:rsid w:val="00EC209B"/>
    <w:rsid w:val="00EC231C"/>
    <w:rsid w:val="00EC2333"/>
    <w:rsid w:val="00EC250C"/>
    <w:rsid w:val="00EC2A68"/>
    <w:rsid w:val="00EC2F1E"/>
    <w:rsid w:val="00EC31C2"/>
    <w:rsid w:val="00EC383A"/>
    <w:rsid w:val="00EC422B"/>
    <w:rsid w:val="00EC523D"/>
    <w:rsid w:val="00EC5D18"/>
    <w:rsid w:val="00EC63EC"/>
    <w:rsid w:val="00EC667F"/>
    <w:rsid w:val="00EC6A1A"/>
    <w:rsid w:val="00EC6A28"/>
    <w:rsid w:val="00EC7581"/>
    <w:rsid w:val="00EC7DC2"/>
    <w:rsid w:val="00EC7EB8"/>
    <w:rsid w:val="00ED0568"/>
    <w:rsid w:val="00ED0A80"/>
    <w:rsid w:val="00ED12A4"/>
    <w:rsid w:val="00ED1943"/>
    <w:rsid w:val="00ED1E33"/>
    <w:rsid w:val="00ED2595"/>
    <w:rsid w:val="00ED2956"/>
    <w:rsid w:val="00ED2EF4"/>
    <w:rsid w:val="00ED3443"/>
    <w:rsid w:val="00ED38B7"/>
    <w:rsid w:val="00ED3B21"/>
    <w:rsid w:val="00ED4AA9"/>
    <w:rsid w:val="00ED4C5A"/>
    <w:rsid w:val="00ED54AB"/>
    <w:rsid w:val="00ED5BE2"/>
    <w:rsid w:val="00ED73F0"/>
    <w:rsid w:val="00ED78CA"/>
    <w:rsid w:val="00ED7EA1"/>
    <w:rsid w:val="00EE052A"/>
    <w:rsid w:val="00EE06DE"/>
    <w:rsid w:val="00EE06FE"/>
    <w:rsid w:val="00EE0889"/>
    <w:rsid w:val="00EE0EB5"/>
    <w:rsid w:val="00EE1F18"/>
    <w:rsid w:val="00EE2ADB"/>
    <w:rsid w:val="00EE2AFD"/>
    <w:rsid w:val="00EE30E1"/>
    <w:rsid w:val="00EE3469"/>
    <w:rsid w:val="00EE3614"/>
    <w:rsid w:val="00EE3664"/>
    <w:rsid w:val="00EE3C5F"/>
    <w:rsid w:val="00EE4235"/>
    <w:rsid w:val="00EE460F"/>
    <w:rsid w:val="00EE477A"/>
    <w:rsid w:val="00EE5581"/>
    <w:rsid w:val="00EE5C71"/>
    <w:rsid w:val="00EE5F30"/>
    <w:rsid w:val="00EE6193"/>
    <w:rsid w:val="00EE69FE"/>
    <w:rsid w:val="00EE6EC2"/>
    <w:rsid w:val="00EF03EF"/>
    <w:rsid w:val="00EF05C5"/>
    <w:rsid w:val="00EF093A"/>
    <w:rsid w:val="00EF0AE8"/>
    <w:rsid w:val="00EF1936"/>
    <w:rsid w:val="00EF1ED5"/>
    <w:rsid w:val="00EF1F85"/>
    <w:rsid w:val="00EF21B7"/>
    <w:rsid w:val="00EF2CE4"/>
    <w:rsid w:val="00EF2DCA"/>
    <w:rsid w:val="00EF3261"/>
    <w:rsid w:val="00EF341D"/>
    <w:rsid w:val="00EF4265"/>
    <w:rsid w:val="00EF43E2"/>
    <w:rsid w:val="00EF4513"/>
    <w:rsid w:val="00EF4CD9"/>
    <w:rsid w:val="00EF4DF5"/>
    <w:rsid w:val="00EF519F"/>
    <w:rsid w:val="00EF5790"/>
    <w:rsid w:val="00EF5CCA"/>
    <w:rsid w:val="00EF6EFA"/>
    <w:rsid w:val="00EF70D3"/>
    <w:rsid w:val="00EF746E"/>
    <w:rsid w:val="00EF75EA"/>
    <w:rsid w:val="00EF78AC"/>
    <w:rsid w:val="00EF79A5"/>
    <w:rsid w:val="00F001AE"/>
    <w:rsid w:val="00F01497"/>
    <w:rsid w:val="00F024C6"/>
    <w:rsid w:val="00F02AA8"/>
    <w:rsid w:val="00F02F9F"/>
    <w:rsid w:val="00F03335"/>
    <w:rsid w:val="00F035C1"/>
    <w:rsid w:val="00F03702"/>
    <w:rsid w:val="00F0386C"/>
    <w:rsid w:val="00F040F8"/>
    <w:rsid w:val="00F04CDF"/>
    <w:rsid w:val="00F05060"/>
    <w:rsid w:val="00F0527F"/>
    <w:rsid w:val="00F05379"/>
    <w:rsid w:val="00F05525"/>
    <w:rsid w:val="00F055C5"/>
    <w:rsid w:val="00F05D0A"/>
    <w:rsid w:val="00F06E01"/>
    <w:rsid w:val="00F06E66"/>
    <w:rsid w:val="00F07183"/>
    <w:rsid w:val="00F07423"/>
    <w:rsid w:val="00F07928"/>
    <w:rsid w:val="00F1004D"/>
    <w:rsid w:val="00F1045C"/>
    <w:rsid w:val="00F10749"/>
    <w:rsid w:val="00F111BA"/>
    <w:rsid w:val="00F11A3E"/>
    <w:rsid w:val="00F11C9C"/>
    <w:rsid w:val="00F12500"/>
    <w:rsid w:val="00F12C8C"/>
    <w:rsid w:val="00F137A1"/>
    <w:rsid w:val="00F13A0E"/>
    <w:rsid w:val="00F13B32"/>
    <w:rsid w:val="00F13EBC"/>
    <w:rsid w:val="00F13FDB"/>
    <w:rsid w:val="00F15EFD"/>
    <w:rsid w:val="00F160E2"/>
    <w:rsid w:val="00F1725E"/>
    <w:rsid w:val="00F17288"/>
    <w:rsid w:val="00F17934"/>
    <w:rsid w:val="00F17ED9"/>
    <w:rsid w:val="00F20EB7"/>
    <w:rsid w:val="00F235B6"/>
    <w:rsid w:val="00F238E7"/>
    <w:rsid w:val="00F23BFD"/>
    <w:rsid w:val="00F23C53"/>
    <w:rsid w:val="00F23EFE"/>
    <w:rsid w:val="00F24176"/>
    <w:rsid w:val="00F254E7"/>
    <w:rsid w:val="00F255B2"/>
    <w:rsid w:val="00F26181"/>
    <w:rsid w:val="00F262AF"/>
    <w:rsid w:val="00F267CD"/>
    <w:rsid w:val="00F26D83"/>
    <w:rsid w:val="00F27890"/>
    <w:rsid w:val="00F27C50"/>
    <w:rsid w:val="00F301CB"/>
    <w:rsid w:val="00F3085C"/>
    <w:rsid w:val="00F309A2"/>
    <w:rsid w:val="00F31D16"/>
    <w:rsid w:val="00F336CC"/>
    <w:rsid w:val="00F33E0A"/>
    <w:rsid w:val="00F342F7"/>
    <w:rsid w:val="00F356D3"/>
    <w:rsid w:val="00F3731B"/>
    <w:rsid w:val="00F379E3"/>
    <w:rsid w:val="00F40F45"/>
    <w:rsid w:val="00F41498"/>
    <w:rsid w:val="00F4270E"/>
    <w:rsid w:val="00F42CD5"/>
    <w:rsid w:val="00F433D0"/>
    <w:rsid w:val="00F43F89"/>
    <w:rsid w:val="00F44038"/>
    <w:rsid w:val="00F44131"/>
    <w:rsid w:val="00F4487C"/>
    <w:rsid w:val="00F44F8B"/>
    <w:rsid w:val="00F44FC5"/>
    <w:rsid w:val="00F45379"/>
    <w:rsid w:val="00F45484"/>
    <w:rsid w:val="00F45533"/>
    <w:rsid w:val="00F45991"/>
    <w:rsid w:val="00F45F63"/>
    <w:rsid w:val="00F4623E"/>
    <w:rsid w:val="00F463D9"/>
    <w:rsid w:val="00F4662A"/>
    <w:rsid w:val="00F46986"/>
    <w:rsid w:val="00F474F2"/>
    <w:rsid w:val="00F479AF"/>
    <w:rsid w:val="00F47D40"/>
    <w:rsid w:val="00F50701"/>
    <w:rsid w:val="00F50863"/>
    <w:rsid w:val="00F50EA1"/>
    <w:rsid w:val="00F51097"/>
    <w:rsid w:val="00F51351"/>
    <w:rsid w:val="00F51DDD"/>
    <w:rsid w:val="00F52B12"/>
    <w:rsid w:val="00F52EF9"/>
    <w:rsid w:val="00F53A53"/>
    <w:rsid w:val="00F53E33"/>
    <w:rsid w:val="00F541FC"/>
    <w:rsid w:val="00F54AB8"/>
    <w:rsid w:val="00F55836"/>
    <w:rsid w:val="00F55C2E"/>
    <w:rsid w:val="00F56C8E"/>
    <w:rsid w:val="00F570D1"/>
    <w:rsid w:val="00F571A2"/>
    <w:rsid w:val="00F578C5"/>
    <w:rsid w:val="00F57A56"/>
    <w:rsid w:val="00F60046"/>
    <w:rsid w:val="00F606C1"/>
    <w:rsid w:val="00F60C99"/>
    <w:rsid w:val="00F61316"/>
    <w:rsid w:val="00F61CA5"/>
    <w:rsid w:val="00F61F67"/>
    <w:rsid w:val="00F62170"/>
    <w:rsid w:val="00F623B7"/>
    <w:rsid w:val="00F64256"/>
    <w:rsid w:val="00F64564"/>
    <w:rsid w:val="00F653CA"/>
    <w:rsid w:val="00F65509"/>
    <w:rsid w:val="00F657AB"/>
    <w:rsid w:val="00F66109"/>
    <w:rsid w:val="00F66506"/>
    <w:rsid w:val="00F668DA"/>
    <w:rsid w:val="00F70ACE"/>
    <w:rsid w:val="00F71106"/>
    <w:rsid w:val="00F72B91"/>
    <w:rsid w:val="00F72E5D"/>
    <w:rsid w:val="00F73782"/>
    <w:rsid w:val="00F73A70"/>
    <w:rsid w:val="00F748C6"/>
    <w:rsid w:val="00F74929"/>
    <w:rsid w:val="00F74C21"/>
    <w:rsid w:val="00F7540A"/>
    <w:rsid w:val="00F7599B"/>
    <w:rsid w:val="00F75CD9"/>
    <w:rsid w:val="00F760F1"/>
    <w:rsid w:val="00F77710"/>
    <w:rsid w:val="00F77D8C"/>
    <w:rsid w:val="00F8037C"/>
    <w:rsid w:val="00F8047B"/>
    <w:rsid w:val="00F80ADB"/>
    <w:rsid w:val="00F80BF5"/>
    <w:rsid w:val="00F81439"/>
    <w:rsid w:val="00F81B4E"/>
    <w:rsid w:val="00F83795"/>
    <w:rsid w:val="00F839AD"/>
    <w:rsid w:val="00F83FE3"/>
    <w:rsid w:val="00F84B42"/>
    <w:rsid w:val="00F84EAA"/>
    <w:rsid w:val="00F84EFC"/>
    <w:rsid w:val="00F86254"/>
    <w:rsid w:val="00F8639E"/>
    <w:rsid w:val="00F90563"/>
    <w:rsid w:val="00F9058B"/>
    <w:rsid w:val="00F90D6A"/>
    <w:rsid w:val="00F90E2F"/>
    <w:rsid w:val="00F91209"/>
    <w:rsid w:val="00F91474"/>
    <w:rsid w:val="00F916D6"/>
    <w:rsid w:val="00F9193E"/>
    <w:rsid w:val="00F91CB5"/>
    <w:rsid w:val="00F92390"/>
    <w:rsid w:val="00F92B4E"/>
    <w:rsid w:val="00F9320B"/>
    <w:rsid w:val="00F938D0"/>
    <w:rsid w:val="00F94062"/>
    <w:rsid w:val="00F94774"/>
    <w:rsid w:val="00F94A03"/>
    <w:rsid w:val="00F95814"/>
    <w:rsid w:val="00F95977"/>
    <w:rsid w:val="00F96191"/>
    <w:rsid w:val="00F9627B"/>
    <w:rsid w:val="00F965AA"/>
    <w:rsid w:val="00F9718A"/>
    <w:rsid w:val="00F973A6"/>
    <w:rsid w:val="00F974E6"/>
    <w:rsid w:val="00F97A40"/>
    <w:rsid w:val="00FA1890"/>
    <w:rsid w:val="00FA1BE5"/>
    <w:rsid w:val="00FA2718"/>
    <w:rsid w:val="00FA3F6E"/>
    <w:rsid w:val="00FA510A"/>
    <w:rsid w:val="00FA5280"/>
    <w:rsid w:val="00FA5508"/>
    <w:rsid w:val="00FA5F10"/>
    <w:rsid w:val="00FA5F40"/>
    <w:rsid w:val="00FA7853"/>
    <w:rsid w:val="00FA7ED2"/>
    <w:rsid w:val="00FB0041"/>
    <w:rsid w:val="00FB05F0"/>
    <w:rsid w:val="00FB0CD6"/>
    <w:rsid w:val="00FB1B69"/>
    <w:rsid w:val="00FB2286"/>
    <w:rsid w:val="00FB274D"/>
    <w:rsid w:val="00FB29E7"/>
    <w:rsid w:val="00FB2BDB"/>
    <w:rsid w:val="00FB2E26"/>
    <w:rsid w:val="00FB2FE7"/>
    <w:rsid w:val="00FB44CD"/>
    <w:rsid w:val="00FB45C6"/>
    <w:rsid w:val="00FB46DF"/>
    <w:rsid w:val="00FB4A70"/>
    <w:rsid w:val="00FB4CB0"/>
    <w:rsid w:val="00FB4EF7"/>
    <w:rsid w:val="00FB51D6"/>
    <w:rsid w:val="00FB5F3A"/>
    <w:rsid w:val="00FB6044"/>
    <w:rsid w:val="00FB7081"/>
    <w:rsid w:val="00FB7774"/>
    <w:rsid w:val="00FB784A"/>
    <w:rsid w:val="00FB7E1E"/>
    <w:rsid w:val="00FB7E27"/>
    <w:rsid w:val="00FC08D4"/>
    <w:rsid w:val="00FC236C"/>
    <w:rsid w:val="00FC385A"/>
    <w:rsid w:val="00FC4DF4"/>
    <w:rsid w:val="00FC50E4"/>
    <w:rsid w:val="00FC53DB"/>
    <w:rsid w:val="00FC5E1F"/>
    <w:rsid w:val="00FC675B"/>
    <w:rsid w:val="00FC7363"/>
    <w:rsid w:val="00FC7B40"/>
    <w:rsid w:val="00FD06E4"/>
    <w:rsid w:val="00FD0CBF"/>
    <w:rsid w:val="00FD143C"/>
    <w:rsid w:val="00FD1F53"/>
    <w:rsid w:val="00FD25F1"/>
    <w:rsid w:val="00FD3109"/>
    <w:rsid w:val="00FD3674"/>
    <w:rsid w:val="00FD3A45"/>
    <w:rsid w:val="00FD3AB3"/>
    <w:rsid w:val="00FD4971"/>
    <w:rsid w:val="00FD4FBD"/>
    <w:rsid w:val="00FD51BF"/>
    <w:rsid w:val="00FD55AF"/>
    <w:rsid w:val="00FD5658"/>
    <w:rsid w:val="00FD585C"/>
    <w:rsid w:val="00FD5894"/>
    <w:rsid w:val="00FD5B7D"/>
    <w:rsid w:val="00FD624D"/>
    <w:rsid w:val="00FD64BD"/>
    <w:rsid w:val="00FD73BE"/>
    <w:rsid w:val="00FD74A5"/>
    <w:rsid w:val="00FD7618"/>
    <w:rsid w:val="00FD76E1"/>
    <w:rsid w:val="00FE0E0C"/>
    <w:rsid w:val="00FE1514"/>
    <w:rsid w:val="00FE18B4"/>
    <w:rsid w:val="00FE2B67"/>
    <w:rsid w:val="00FE3C2B"/>
    <w:rsid w:val="00FE4B2F"/>
    <w:rsid w:val="00FE4FAB"/>
    <w:rsid w:val="00FE51C5"/>
    <w:rsid w:val="00FE569C"/>
    <w:rsid w:val="00FE5837"/>
    <w:rsid w:val="00FE5CD0"/>
    <w:rsid w:val="00FE632A"/>
    <w:rsid w:val="00FE660D"/>
    <w:rsid w:val="00FE69D0"/>
    <w:rsid w:val="00FE6FE0"/>
    <w:rsid w:val="00FE7E1C"/>
    <w:rsid w:val="00FF03BE"/>
    <w:rsid w:val="00FF048D"/>
    <w:rsid w:val="00FF0EAC"/>
    <w:rsid w:val="00FF1767"/>
    <w:rsid w:val="00FF198A"/>
    <w:rsid w:val="00FF1CB5"/>
    <w:rsid w:val="00FF2335"/>
    <w:rsid w:val="00FF3098"/>
    <w:rsid w:val="00FF318E"/>
    <w:rsid w:val="00FF4D55"/>
    <w:rsid w:val="00FF5248"/>
    <w:rsid w:val="00FF61E5"/>
    <w:rsid w:val="00FF6F05"/>
    <w:rsid w:val="00FF72C9"/>
    <w:rsid w:val="00FF72D4"/>
    <w:rsid w:val="00FF7885"/>
    <w:rsid w:val="00FF7F4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DE932C"/>
  <w15:docId w15:val="{E9E457FA-A13E-418D-B0BF-721AF00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D262DC"/>
    <w:pPr>
      <w:numPr>
        <w:numId w:val="95"/>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964A8F"/>
    <w:rPr>
      <w:color w:val="808080"/>
      <w:shd w:val="clear" w:color="auto" w:fill="E6E6E6"/>
    </w:rPr>
  </w:style>
  <w:style w:type="paragraph" w:styleId="Revision">
    <w:name w:val="Revision"/>
    <w:hidden/>
    <w:uiPriority w:val="99"/>
    <w:semiHidden/>
    <w:rsid w:val="00964A8F"/>
    <w:pPr>
      <w:jc w:val="both"/>
    </w:pPr>
    <w:rPr>
      <w:rFonts w:ascii="Times New Roman" w:eastAsia="Times New Roman" w:hAnsi="Times New Roman" w:cs="Times New Roman"/>
      <w:sz w:val="22"/>
      <w:szCs w:val="22"/>
      <w:lang w:val="en-GB" w:eastAsia="en-CA"/>
    </w:rPr>
  </w:style>
  <w:style w:type="character" w:customStyle="1" w:styleId="ListParagraphChar">
    <w:name w:val="List Paragraph Char"/>
    <w:basedOn w:val="DefaultParagraphFont"/>
    <w:link w:val="ListParagraph"/>
    <w:uiPriority w:val="34"/>
    <w:qFormat/>
    <w:locked/>
    <w:rsid w:val="00964A8F"/>
    <w:rPr>
      <w:rFonts w:ascii="Times New Roman" w:eastAsia="Times New Roman" w:hAnsi="Times New Roman" w:cs="Times New Roman"/>
      <w:sz w:val="22"/>
      <w:lang w:val="en-GB"/>
    </w:rPr>
  </w:style>
  <w:style w:type="paragraph" w:customStyle="1" w:styleId="Default">
    <w:name w:val="Default"/>
    <w:rsid w:val="00964A8F"/>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964A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4A8F"/>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964A8F"/>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964A8F"/>
    <w:rPr>
      <w:color w:val="605E5C"/>
      <w:shd w:val="clear" w:color="auto" w:fill="E1DFDD"/>
    </w:rPr>
  </w:style>
  <w:style w:type="character" w:customStyle="1" w:styleId="UnresolvedMention4">
    <w:name w:val="Unresolved Mention4"/>
    <w:basedOn w:val="DefaultParagraphFont"/>
    <w:uiPriority w:val="99"/>
    <w:semiHidden/>
    <w:unhideWhenUsed/>
    <w:rsid w:val="00964A8F"/>
    <w:rPr>
      <w:color w:val="605E5C"/>
      <w:shd w:val="clear" w:color="auto" w:fill="E1DFDD"/>
    </w:rPr>
  </w:style>
  <w:style w:type="character" w:styleId="Strong">
    <w:name w:val="Strong"/>
    <w:basedOn w:val="DefaultParagraphFont"/>
    <w:uiPriority w:val="22"/>
    <w:qFormat/>
    <w:rsid w:val="00964A8F"/>
    <w:rPr>
      <w:b/>
      <w:bCs/>
    </w:rPr>
  </w:style>
  <w:style w:type="paragraph" w:styleId="NormalWeb">
    <w:name w:val="Normal (Web)"/>
    <w:basedOn w:val="Normal"/>
    <w:uiPriority w:val="99"/>
    <w:unhideWhenUsed/>
    <w:rsid w:val="00964A8F"/>
    <w:pPr>
      <w:spacing w:before="100" w:beforeAutospacing="1" w:after="100" w:afterAutospacing="1"/>
      <w:jc w:val="left"/>
    </w:pPr>
    <w:rPr>
      <w:sz w:val="24"/>
      <w:szCs w:val="22"/>
      <w:lang w:val="en-CA" w:eastAsia="en-CA"/>
    </w:rPr>
  </w:style>
  <w:style w:type="table" w:customStyle="1" w:styleId="3">
    <w:name w:val="3"/>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Pr>
  </w:style>
  <w:style w:type="table" w:customStyle="1" w:styleId="2">
    <w:name w:val="2"/>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964A8F"/>
    <w:pPr>
      <w:widowControl w:val="0"/>
      <w:spacing w:line="276" w:lineRule="auto"/>
    </w:pPr>
    <w:rPr>
      <w:rFonts w:ascii="Arial" w:eastAsia="Arial" w:hAnsi="Arial" w:cs="Arial"/>
      <w:color w:val="000000"/>
      <w:sz w:val="22"/>
      <w:szCs w:val="20"/>
      <w:lang w:val="en-CA"/>
    </w:rPr>
  </w:style>
  <w:style w:type="table" w:styleId="PlainTable2">
    <w:name w:val="Plain Table 2"/>
    <w:basedOn w:val="TableNormal"/>
    <w:uiPriority w:val="42"/>
    <w:rsid w:val="00964A8F"/>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4A8F"/>
    <w:pPr>
      <w:jc w:val="both"/>
    </w:pPr>
    <w:rPr>
      <w:rFonts w:ascii="Times New Roman" w:eastAsia="Times New Roman" w:hAnsi="Times New Roman" w:cs="Times New Roman"/>
      <w:sz w:val="22"/>
      <w:szCs w:val="22"/>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964A8F"/>
    <w:pPr>
      <w:jc w:val="both"/>
    </w:pPr>
    <w:rPr>
      <w:rFonts w:ascii="Times New Roman" w:eastAsia="Times New Roman" w:hAnsi="Times New Roman" w:cs="Times New Roman"/>
      <w:sz w:val="22"/>
      <w:szCs w:val="22"/>
      <w:lang w:val="en-GB" w:eastAsia="en-CA"/>
    </w:rPr>
  </w:style>
  <w:style w:type="character" w:customStyle="1" w:styleId="UnresolvedMention5">
    <w:name w:val="Unresolved Mention5"/>
    <w:basedOn w:val="DefaultParagraphFont"/>
    <w:uiPriority w:val="99"/>
    <w:unhideWhenUsed/>
    <w:rsid w:val="00964A8F"/>
    <w:rPr>
      <w:color w:val="605E5C"/>
      <w:shd w:val="clear" w:color="auto" w:fill="E1DFDD"/>
    </w:rPr>
  </w:style>
  <w:style w:type="table" w:styleId="ListTable4-Accent5">
    <w:name w:val="List Table 4 Accent 5"/>
    <w:basedOn w:val="TableNormal"/>
    <w:uiPriority w:val="49"/>
    <w:rsid w:val="00964A8F"/>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1">
    <w:name w:val="Sans interligne1"/>
    <w:uiPriority w:val="1"/>
    <w:qFormat/>
    <w:rsid w:val="00964A8F"/>
    <w:rPr>
      <w:rFonts w:ascii="Calibri" w:eastAsia="Calibri" w:hAnsi="Calibri" w:cs="Times New Roman"/>
      <w:sz w:val="22"/>
      <w:lang w:val="en-GB" w:eastAsia="en-GB"/>
    </w:rPr>
  </w:style>
  <w:style w:type="table" w:styleId="MediumShading2-Accent2">
    <w:name w:val="Medium Shading 2 Accent 2"/>
    <w:basedOn w:val="TableNormal"/>
    <w:uiPriority w:val="64"/>
    <w:rsid w:val="00964A8F"/>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964A8F"/>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964A8F"/>
    <w:pPr>
      <w:keepNext w:val="0"/>
      <w:numPr>
        <w:numId w:val="9"/>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964A8F"/>
    <w:pPr>
      <w:numPr>
        <w:numId w:val="8"/>
      </w:numPr>
    </w:pPr>
  </w:style>
  <w:style w:type="character" w:customStyle="1" w:styleId="StyleFootnoteReferencenumberFootnoteReferenceSuperscript-EF">
    <w:name w:val="Style Footnote ReferencenumberFootnote Reference Superscript-E F..."/>
    <w:basedOn w:val="FootnoteReference"/>
    <w:rsid w:val="00964A8F"/>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BC2404"/>
    <w:pPr>
      <w:spacing w:after="160" w:line="240" w:lineRule="exac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292964"/>
    <w:pPr>
      <w:keepLines/>
      <w:numPr>
        <w:numId w:val="12"/>
      </w:numPr>
      <w:spacing w:before="120" w:after="120"/>
    </w:pPr>
    <w:rPr>
      <w:szCs w:val="22"/>
      <w:lang w:val="en-US"/>
    </w:rPr>
  </w:style>
  <w:style w:type="character" w:customStyle="1" w:styleId="CBD-ParaCharChar">
    <w:name w:val="CBD-Para Char Char"/>
    <w:link w:val="CBD-Para"/>
    <w:uiPriority w:val="99"/>
    <w:rsid w:val="00292964"/>
    <w:rPr>
      <w:rFonts w:ascii="Times New Roman" w:eastAsia="Times New Roman" w:hAnsi="Times New Roman" w:cs="Times New Roman"/>
      <w:sz w:val="22"/>
      <w:szCs w:val="22"/>
      <w:lang w:val="en-US"/>
    </w:rPr>
  </w:style>
  <w:style w:type="paragraph" w:customStyle="1" w:styleId="CBD-Para-a">
    <w:name w:val="CBD-Para-a"/>
    <w:basedOn w:val="CBD-Para"/>
    <w:rsid w:val="00292964"/>
    <w:pPr>
      <w:numPr>
        <w:ilvl w:val="1"/>
      </w:numPr>
      <w:tabs>
        <w:tab w:val="clear" w:pos="1080"/>
        <w:tab w:val="num" w:pos="360"/>
      </w:tabs>
      <w:spacing w:before="60" w:after="60"/>
      <w:ind w:left="0" w:firstLine="0"/>
    </w:pPr>
  </w:style>
  <w:style w:type="character" w:customStyle="1" w:styleId="Heading1longmultilineChar">
    <w:name w:val="Heading 1 (long multiline) Char"/>
    <w:link w:val="Heading1longmultiline"/>
    <w:locked/>
    <w:rsid w:val="000961BE"/>
    <w:rPr>
      <w:rFonts w:ascii="Times New Roman" w:eastAsia="Times New Roman" w:hAnsi="Times New Roman" w:cs="Times New Roman"/>
      <w:b/>
      <w:caps/>
      <w:sz w:val="22"/>
      <w:lang w:val="en-GB"/>
    </w:rPr>
  </w:style>
  <w:style w:type="paragraph" w:customStyle="1" w:styleId="CBD-Para-1">
    <w:name w:val="CBD-Para-1"/>
    <w:basedOn w:val="Normal"/>
    <w:qFormat/>
    <w:rsid w:val="003F6B8F"/>
    <w:pPr>
      <w:keepLines/>
      <w:numPr>
        <w:numId w:val="43"/>
      </w:numPr>
      <w:spacing w:before="120" w:after="120"/>
    </w:pPr>
  </w:style>
  <w:style w:type="character" w:customStyle="1" w:styleId="Para1Char1">
    <w:name w:val="Para1 Char1"/>
    <w:rsid w:val="004A3E7E"/>
    <w:rPr>
      <w:rFonts w:cs="Angsana New"/>
      <w:snapToGrid w:val="0"/>
      <w:sz w:val="22"/>
      <w:szCs w:val="18"/>
      <w:lang w:val="en-GB"/>
    </w:rPr>
  </w:style>
  <w:style w:type="character" w:customStyle="1" w:styleId="Mention1">
    <w:name w:val="Mention1"/>
    <w:basedOn w:val="DefaultParagraphFont"/>
    <w:uiPriority w:val="99"/>
    <w:unhideWhenUsed/>
    <w:rsid w:val="004A3E7E"/>
    <w:rPr>
      <w:color w:val="2B579A"/>
      <w:shd w:val="clear" w:color="auto" w:fill="E6E6E6"/>
    </w:rPr>
  </w:style>
  <w:style w:type="paragraph" w:customStyle="1" w:styleId="paragraph">
    <w:name w:val="paragraph"/>
    <w:basedOn w:val="Normal"/>
    <w:rsid w:val="004A3E7E"/>
    <w:pPr>
      <w:spacing w:before="100" w:beforeAutospacing="1" w:after="100" w:afterAutospacing="1"/>
      <w:jc w:val="left"/>
    </w:pPr>
    <w:rPr>
      <w:sz w:val="24"/>
      <w:lang w:val="en-US" w:eastAsia="zh-CN"/>
    </w:rPr>
  </w:style>
  <w:style w:type="character" w:customStyle="1" w:styleId="normaltextrun">
    <w:name w:val="normaltextrun"/>
    <w:basedOn w:val="DefaultParagraphFont"/>
    <w:rsid w:val="004A3E7E"/>
  </w:style>
  <w:style w:type="character" w:customStyle="1" w:styleId="eop">
    <w:name w:val="eop"/>
    <w:basedOn w:val="DefaultParagraphFont"/>
    <w:rsid w:val="004A3E7E"/>
  </w:style>
  <w:style w:type="character" w:customStyle="1" w:styleId="ng-binding">
    <w:name w:val="ng-binding"/>
    <w:basedOn w:val="DefaultParagraphFont"/>
    <w:rsid w:val="001A686F"/>
  </w:style>
  <w:style w:type="paragraph" w:styleId="TOCHeading">
    <w:name w:val="TOC Heading"/>
    <w:basedOn w:val="Heading1"/>
    <w:next w:val="Normal"/>
    <w:uiPriority w:val="39"/>
    <w:unhideWhenUsed/>
    <w:qFormat/>
    <w:rsid w:val="00043BF0"/>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para10">
    <w:name w:val="para1"/>
    <w:basedOn w:val="Normal"/>
    <w:rsid w:val="005601F6"/>
    <w:pPr>
      <w:snapToGrid w:val="0"/>
      <w:spacing w:before="120" w:after="120"/>
    </w:pPr>
    <w:rPr>
      <w:rFonts w:eastAsiaTheme="minorHAnsi"/>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702">
      <w:bodyDiv w:val="1"/>
      <w:marLeft w:val="0"/>
      <w:marRight w:val="0"/>
      <w:marTop w:val="0"/>
      <w:marBottom w:val="0"/>
      <w:divBdr>
        <w:top w:val="none" w:sz="0" w:space="0" w:color="auto"/>
        <w:left w:val="none" w:sz="0" w:space="0" w:color="auto"/>
        <w:bottom w:val="none" w:sz="0" w:space="0" w:color="auto"/>
        <w:right w:val="none" w:sz="0" w:space="0" w:color="auto"/>
      </w:divBdr>
    </w:div>
    <w:div w:id="483817475">
      <w:bodyDiv w:val="1"/>
      <w:marLeft w:val="0"/>
      <w:marRight w:val="0"/>
      <w:marTop w:val="0"/>
      <w:marBottom w:val="0"/>
      <w:divBdr>
        <w:top w:val="none" w:sz="0" w:space="0" w:color="auto"/>
        <w:left w:val="none" w:sz="0" w:space="0" w:color="auto"/>
        <w:bottom w:val="none" w:sz="0" w:space="0" w:color="auto"/>
        <w:right w:val="none" w:sz="0" w:space="0" w:color="auto"/>
      </w:divBdr>
    </w:div>
    <w:div w:id="500587892">
      <w:bodyDiv w:val="1"/>
      <w:marLeft w:val="0"/>
      <w:marRight w:val="0"/>
      <w:marTop w:val="0"/>
      <w:marBottom w:val="0"/>
      <w:divBdr>
        <w:top w:val="none" w:sz="0" w:space="0" w:color="auto"/>
        <w:left w:val="none" w:sz="0" w:space="0" w:color="auto"/>
        <w:bottom w:val="none" w:sz="0" w:space="0" w:color="auto"/>
        <w:right w:val="none" w:sz="0" w:space="0" w:color="auto"/>
      </w:divBdr>
    </w:div>
    <w:div w:id="583957197">
      <w:bodyDiv w:val="1"/>
      <w:marLeft w:val="0"/>
      <w:marRight w:val="0"/>
      <w:marTop w:val="0"/>
      <w:marBottom w:val="0"/>
      <w:divBdr>
        <w:top w:val="none" w:sz="0" w:space="0" w:color="auto"/>
        <w:left w:val="none" w:sz="0" w:space="0" w:color="auto"/>
        <w:bottom w:val="none" w:sz="0" w:space="0" w:color="auto"/>
        <w:right w:val="none" w:sz="0" w:space="0" w:color="auto"/>
      </w:divBdr>
    </w:div>
    <w:div w:id="674069118">
      <w:bodyDiv w:val="1"/>
      <w:marLeft w:val="0"/>
      <w:marRight w:val="0"/>
      <w:marTop w:val="0"/>
      <w:marBottom w:val="0"/>
      <w:divBdr>
        <w:top w:val="none" w:sz="0" w:space="0" w:color="auto"/>
        <w:left w:val="none" w:sz="0" w:space="0" w:color="auto"/>
        <w:bottom w:val="none" w:sz="0" w:space="0" w:color="auto"/>
        <w:right w:val="none" w:sz="0" w:space="0" w:color="auto"/>
      </w:divBdr>
    </w:div>
    <w:div w:id="765082611">
      <w:bodyDiv w:val="1"/>
      <w:marLeft w:val="0"/>
      <w:marRight w:val="0"/>
      <w:marTop w:val="0"/>
      <w:marBottom w:val="0"/>
      <w:divBdr>
        <w:top w:val="none" w:sz="0" w:space="0" w:color="auto"/>
        <w:left w:val="none" w:sz="0" w:space="0" w:color="auto"/>
        <w:bottom w:val="none" w:sz="0" w:space="0" w:color="auto"/>
        <w:right w:val="none" w:sz="0" w:space="0" w:color="auto"/>
      </w:divBdr>
    </w:div>
    <w:div w:id="850993956">
      <w:bodyDiv w:val="1"/>
      <w:marLeft w:val="0"/>
      <w:marRight w:val="0"/>
      <w:marTop w:val="0"/>
      <w:marBottom w:val="0"/>
      <w:divBdr>
        <w:top w:val="none" w:sz="0" w:space="0" w:color="auto"/>
        <w:left w:val="none" w:sz="0" w:space="0" w:color="auto"/>
        <w:bottom w:val="none" w:sz="0" w:space="0" w:color="auto"/>
        <w:right w:val="none" w:sz="0" w:space="0" w:color="auto"/>
      </w:divBdr>
    </w:div>
    <w:div w:id="946232905">
      <w:bodyDiv w:val="1"/>
      <w:marLeft w:val="0"/>
      <w:marRight w:val="0"/>
      <w:marTop w:val="0"/>
      <w:marBottom w:val="0"/>
      <w:divBdr>
        <w:top w:val="none" w:sz="0" w:space="0" w:color="auto"/>
        <w:left w:val="none" w:sz="0" w:space="0" w:color="auto"/>
        <w:bottom w:val="none" w:sz="0" w:space="0" w:color="auto"/>
        <w:right w:val="none" w:sz="0" w:space="0" w:color="auto"/>
      </w:divBdr>
    </w:div>
    <w:div w:id="1059521984">
      <w:bodyDiv w:val="1"/>
      <w:marLeft w:val="0"/>
      <w:marRight w:val="0"/>
      <w:marTop w:val="0"/>
      <w:marBottom w:val="0"/>
      <w:divBdr>
        <w:top w:val="none" w:sz="0" w:space="0" w:color="auto"/>
        <w:left w:val="none" w:sz="0" w:space="0" w:color="auto"/>
        <w:bottom w:val="none" w:sz="0" w:space="0" w:color="auto"/>
        <w:right w:val="none" w:sz="0" w:space="0" w:color="auto"/>
      </w:divBdr>
    </w:div>
    <w:div w:id="1246064469">
      <w:bodyDiv w:val="1"/>
      <w:marLeft w:val="0"/>
      <w:marRight w:val="0"/>
      <w:marTop w:val="0"/>
      <w:marBottom w:val="0"/>
      <w:divBdr>
        <w:top w:val="none" w:sz="0" w:space="0" w:color="auto"/>
        <w:left w:val="none" w:sz="0" w:space="0" w:color="auto"/>
        <w:bottom w:val="none" w:sz="0" w:space="0" w:color="auto"/>
        <w:right w:val="none" w:sz="0" w:space="0" w:color="auto"/>
      </w:divBdr>
    </w:div>
    <w:div w:id="1253316393">
      <w:bodyDiv w:val="1"/>
      <w:marLeft w:val="0"/>
      <w:marRight w:val="0"/>
      <w:marTop w:val="0"/>
      <w:marBottom w:val="0"/>
      <w:divBdr>
        <w:top w:val="none" w:sz="0" w:space="0" w:color="auto"/>
        <w:left w:val="none" w:sz="0" w:space="0" w:color="auto"/>
        <w:bottom w:val="none" w:sz="0" w:space="0" w:color="auto"/>
        <w:right w:val="none" w:sz="0" w:space="0" w:color="auto"/>
      </w:divBdr>
    </w:div>
    <w:div w:id="1364211714">
      <w:bodyDiv w:val="1"/>
      <w:marLeft w:val="0"/>
      <w:marRight w:val="0"/>
      <w:marTop w:val="0"/>
      <w:marBottom w:val="0"/>
      <w:divBdr>
        <w:top w:val="none" w:sz="0" w:space="0" w:color="auto"/>
        <w:left w:val="none" w:sz="0" w:space="0" w:color="auto"/>
        <w:bottom w:val="none" w:sz="0" w:space="0" w:color="auto"/>
        <w:right w:val="none" w:sz="0" w:space="0" w:color="auto"/>
      </w:divBdr>
    </w:div>
    <w:div w:id="1548906244">
      <w:bodyDiv w:val="1"/>
      <w:marLeft w:val="0"/>
      <w:marRight w:val="0"/>
      <w:marTop w:val="0"/>
      <w:marBottom w:val="0"/>
      <w:divBdr>
        <w:top w:val="none" w:sz="0" w:space="0" w:color="auto"/>
        <w:left w:val="none" w:sz="0" w:space="0" w:color="auto"/>
        <w:bottom w:val="none" w:sz="0" w:space="0" w:color="auto"/>
        <w:right w:val="none" w:sz="0" w:space="0" w:color="auto"/>
      </w:divBdr>
    </w:div>
    <w:div w:id="1610240371">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63531583">
      <w:bodyDiv w:val="1"/>
      <w:marLeft w:val="0"/>
      <w:marRight w:val="0"/>
      <w:marTop w:val="0"/>
      <w:marBottom w:val="0"/>
      <w:divBdr>
        <w:top w:val="none" w:sz="0" w:space="0" w:color="auto"/>
        <w:left w:val="none" w:sz="0" w:space="0" w:color="auto"/>
        <w:bottom w:val="none" w:sz="0" w:space="0" w:color="auto"/>
        <w:right w:val="none" w:sz="0" w:space="0" w:color="auto"/>
      </w:divBdr>
    </w:div>
    <w:div w:id="1788816196">
      <w:bodyDiv w:val="1"/>
      <w:marLeft w:val="0"/>
      <w:marRight w:val="0"/>
      <w:marTop w:val="0"/>
      <w:marBottom w:val="0"/>
      <w:divBdr>
        <w:top w:val="none" w:sz="0" w:space="0" w:color="auto"/>
        <w:left w:val="none" w:sz="0" w:space="0" w:color="auto"/>
        <w:bottom w:val="none" w:sz="0" w:space="0" w:color="auto"/>
        <w:right w:val="none" w:sz="0" w:space="0" w:color="auto"/>
      </w:divBdr>
    </w:div>
    <w:div w:id="1877696204">
      <w:bodyDiv w:val="1"/>
      <w:marLeft w:val="0"/>
      <w:marRight w:val="0"/>
      <w:marTop w:val="0"/>
      <w:marBottom w:val="0"/>
      <w:divBdr>
        <w:top w:val="none" w:sz="0" w:space="0" w:color="auto"/>
        <w:left w:val="none" w:sz="0" w:space="0" w:color="auto"/>
        <w:bottom w:val="none" w:sz="0" w:space="0" w:color="auto"/>
        <w:right w:val="none" w:sz="0" w:space="0" w:color="auto"/>
      </w:divBdr>
    </w:div>
    <w:div w:id="1922569004">
      <w:bodyDiv w:val="1"/>
      <w:marLeft w:val="0"/>
      <w:marRight w:val="0"/>
      <w:marTop w:val="0"/>
      <w:marBottom w:val="0"/>
      <w:divBdr>
        <w:top w:val="none" w:sz="0" w:space="0" w:color="auto"/>
        <w:left w:val="none" w:sz="0" w:space="0" w:color="auto"/>
        <w:bottom w:val="none" w:sz="0" w:space="0" w:color="auto"/>
        <w:right w:val="none" w:sz="0" w:space="0" w:color="auto"/>
      </w:divBdr>
    </w:div>
    <w:div w:id="2105371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3/cop-13-dec-23-fr.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bd.int/doc/decisions/cop-11/cop-11-dec-29-fr.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3/cop-13-dec-24-fr.pdf" TargetMode="External"/><Relationship Id="rId25" Type="http://schemas.openxmlformats.org/officeDocument/2006/relationships/hyperlink" Target="https://www.cbd.int/doc/decisions/cop-14/cop-14-dec-24-fr.pdf" TargetMode="External"/><Relationship Id="rId2" Type="http://schemas.openxmlformats.org/officeDocument/2006/relationships/customXml" Target="../customXml/item2.xml"/><Relationship Id="rId16" Type="http://schemas.openxmlformats.org/officeDocument/2006/relationships/hyperlink" Target="https://www.cbd.int/doc/decisions/cop-14/cop-14-dec-24-fr.pdf" TargetMode="External"/><Relationship Id="rId20" Type="http://schemas.openxmlformats.org/officeDocument/2006/relationships/hyperlink" Target="https://www.cbd.int/doc/decisions/cp-mop-09/cp-mop-09-dec-03-fr.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24-fr.pdf" TargetMode="External"/><Relationship Id="rId5" Type="http://schemas.openxmlformats.org/officeDocument/2006/relationships/customXml" Target="../customXml/item5.xml"/><Relationship Id="rId15" Type="http://schemas.openxmlformats.org/officeDocument/2006/relationships/hyperlink" Target="https://www.cbd.int/doc/decisions/cop-13/cop-13-dec-23-fr.pdf" TargetMode="External"/><Relationship Id="rId23" Type="http://schemas.openxmlformats.org/officeDocument/2006/relationships/hyperlink" Target="https://www.cbd.int/doc/decisions/cop-13/cop-13-dec-23-fr.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bd.int/doc/decisions/cop-14/cop-14-dec-24-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2/cop-12-dec-02-fr.pdf" TargetMode="Externa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EB20ED685304A1C91A992BF91A9937D"/>
        <w:category>
          <w:name w:val="General"/>
          <w:gallery w:val="placeholder"/>
        </w:category>
        <w:types>
          <w:type w:val="bbPlcHdr"/>
        </w:types>
        <w:behaviors>
          <w:behavior w:val="content"/>
        </w:behaviors>
        <w:guid w:val="{D810AD31-C83B-4CA0-AD30-FA99814E1DE6}"/>
      </w:docPartPr>
      <w:docPartBody>
        <w:p w:rsidR="00D34167" w:rsidRDefault="00C21165" w:rsidP="00C21165">
          <w:pPr>
            <w:pStyle w:val="BEB20ED685304A1C91A992BF91A9937D"/>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948"/>
    <w:rsid w:val="00023963"/>
    <w:rsid w:val="00037BC0"/>
    <w:rsid w:val="000D0297"/>
    <w:rsid w:val="000F2679"/>
    <w:rsid w:val="000F5BAC"/>
    <w:rsid w:val="000F6409"/>
    <w:rsid w:val="00117631"/>
    <w:rsid w:val="001B6F83"/>
    <w:rsid w:val="001D1A1F"/>
    <w:rsid w:val="001D6888"/>
    <w:rsid w:val="002012A3"/>
    <w:rsid w:val="00285278"/>
    <w:rsid w:val="0029542F"/>
    <w:rsid w:val="0030091C"/>
    <w:rsid w:val="00303991"/>
    <w:rsid w:val="00333B44"/>
    <w:rsid w:val="00333B95"/>
    <w:rsid w:val="00397CA9"/>
    <w:rsid w:val="003A69E4"/>
    <w:rsid w:val="003B4D59"/>
    <w:rsid w:val="0041163D"/>
    <w:rsid w:val="00440583"/>
    <w:rsid w:val="004467AA"/>
    <w:rsid w:val="004527B7"/>
    <w:rsid w:val="004923F3"/>
    <w:rsid w:val="004D5E28"/>
    <w:rsid w:val="004E15D7"/>
    <w:rsid w:val="00500A2B"/>
    <w:rsid w:val="0058288D"/>
    <w:rsid w:val="005D1605"/>
    <w:rsid w:val="005D4567"/>
    <w:rsid w:val="005E174F"/>
    <w:rsid w:val="005E1873"/>
    <w:rsid w:val="005F4529"/>
    <w:rsid w:val="00616617"/>
    <w:rsid w:val="006801B3"/>
    <w:rsid w:val="006E7EB0"/>
    <w:rsid w:val="006F619D"/>
    <w:rsid w:val="00727E88"/>
    <w:rsid w:val="00747D88"/>
    <w:rsid w:val="00751C45"/>
    <w:rsid w:val="007634AC"/>
    <w:rsid w:val="00776207"/>
    <w:rsid w:val="007D5894"/>
    <w:rsid w:val="00807F12"/>
    <w:rsid w:val="00810A55"/>
    <w:rsid w:val="008116BD"/>
    <w:rsid w:val="0083766C"/>
    <w:rsid w:val="00847667"/>
    <w:rsid w:val="0086239A"/>
    <w:rsid w:val="00865C77"/>
    <w:rsid w:val="00880429"/>
    <w:rsid w:val="008A7BD9"/>
    <w:rsid w:val="008C6619"/>
    <w:rsid w:val="008D420E"/>
    <w:rsid w:val="008D609C"/>
    <w:rsid w:val="00901513"/>
    <w:rsid w:val="00911AAE"/>
    <w:rsid w:val="0092781A"/>
    <w:rsid w:val="00932275"/>
    <w:rsid w:val="00950AEC"/>
    <w:rsid w:val="0098642F"/>
    <w:rsid w:val="009A46D3"/>
    <w:rsid w:val="00A11EDF"/>
    <w:rsid w:val="00A2348B"/>
    <w:rsid w:val="00A4747D"/>
    <w:rsid w:val="00A47E45"/>
    <w:rsid w:val="00A74413"/>
    <w:rsid w:val="00A8033D"/>
    <w:rsid w:val="00A856A1"/>
    <w:rsid w:val="00AA6880"/>
    <w:rsid w:val="00AA7B1C"/>
    <w:rsid w:val="00AD6C05"/>
    <w:rsid w:val="00AE1C04"/>
    <w:rsid w:val="00B065B4"/>
    <w:rsid w:val="00B61CD1"/>
    <w:rsid w:val="00B763F6"/>
    <w:rsid w:val="00C02070"/>
    <w:rsid w:val="00C06562"/>
    <w:rsid w:val="00C2005C"/>
    <w:rsid w:val="00C21165"/>
    <w:rsid w:val="00C259AE"/>
    <w:rsid w:val="00C72AB6"/>
    <w:rsid w:val="00C80416"/>
    <w:rsid w:val="00C809B3"/>
    <w:rsid w:val="00C818B6"/>
    <w:rsid w:val="00C960D0"/>
    <w:rsid w:val="00CA4BAB"/>
    <w:rsid w:val="00D22BEF"/>
    <w:rsid w:val="00D34167"/>
    <w:rsid w:val="00D5736B"/>
    <w:rsid w:val="00D67694"/>
    <w:rsid w:val="00D7246A"/>
    <w:rsid w:val="00D77967"/>
    <w:rsid w:val="00D87A96"/>
    <w:rsid w:val="00D91E36"/>
    <w:rsid w:val="00D922F5"/>
    <w:rsid w:val="00D9364B"/>
    <w:rsid w:val="00DB6CC8"/>
    <w:rsid w:val="00DD77B5"/>
    <w:rsid w:val="00E004C9"/>
    <w:rsid w:val="00E077B8"/>
    <w:rsid w:val="00E25D43"/>
    <w:rsid w:val="00E4791A"/>
    <w:rsid w:val="00EA0AD0"/>
    <w:rsid w:val="00ED3DA8"/>
    <w:rsid w:val="00F1166D"/>
    <w:rsid w:val="00F243B6"/>
    <w:rsid w:val="00F3578B"/>
    <w:rsid w:val="00F35F0D"/>
    <w:rsid w:val="00FA14C1"/>
    <w:rsid w:val="00FA2FF7"/>
    <w:rsid w:val="00FA49BB"/>
    <w:rsid w:val="00FA56CC"/>
    <w:rsid w:val="00FC1C29"/>
    <w:rsid w:val="00FC26E3"/>
    <w:rsid w:val="00FE64DD"/>
    <w:rsid w:val="00FF2E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163D"/>
    <w:rPr>
      <w:color w:val="808080"/>
    </w:rPr>
  </w:style>
  <w:style w:type="paragraph" w:customStyle="1" w:styleId="BEB20ED685304A1C91A992BF91A9937D">
    <w:name w:val="BEB20ED685304A1C91A992BF91A9937D"/>
    <w:rsid w:val="00C21165"/>
    <w:pPr>
      <w:spacing w:after="160" w:line="259" w:lineRule="auto"/>
    </w:pPr>
    <w:rPr>
      <w:lang w:val="en-CA" w:eastAsia="en-CA"/>
    </w:rPr>
  </w:style>
  <w:style w:type="paragraph" w:customStyle="1" w:styleId="36020B6D25CE4D2E83A24962CFCD0053">
    <w:name w:val="36020B6D25CE4D2E83A24962CFCD0053"/>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639EA-90F2-4711-BDF6-BC7B731D9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4670B-CECA-4D06-B73C-CCAF212488F7}">
  <ds:schemaRefs>
    <ds:schemaRef ds:uri="http://schemas.microsoft.com/sharepoint/v3/contenttype/forms"/>
  </ds:schemaRefs>
</ds:datastoreItem>
</file>

<file path=customXml/itemProps4.xml><?xml version="1.0" encoding="utf-8"?>
<ds:datastoreItem xmlns:ds="http://schemas.openxmlformats.org/officeDocument/2006/customXml" ds:itemID="{D9613BCE-3A36-44EE-97E4-4BD1367F74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CF56BE-412A-404E-9AB7-6C23F1F4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26</Pages>
  <Words>13303</Words>
  <Characters>75831</Characters>
  <Application>Microsoft Office Word</Application>
  <DocSecurity>0</DocSecurity>
  <Lines>631</Lines>
  <Paragraphs>177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renforcement des capacités, coopÉration technique et scientifique, et transfert de technologie </vt:lpstr>
      <vt:lpstr>Capacity development, technical and scientific cooperation and technology transfer</vt:lpstr>
    </vt:vector>
  </TitlesOfParts>
  <Company>SCBD</Company>
  <LinksUpToDate>false</LinksUpToDate>
  <CharactersWithSpaces>88957</CharactersWithSpaces>
  <SharedDoc>false</SharedDoc>
  <HLinks>
    <vt:vector size="408" baseType="variant">
      <vt:variant>
        <vt:i4>720968</vt:i4>
      </vt:variant>
      <vt:variant>
        <vt:i4>45</vt:i4>
      </vt:variant>
      <vt:variant>
        <vt:i4>0</vt:i4>
      </vt:variant>
      <vt:variant>
        <vt:i4>5</vt:i4>
      </vt:variant>
      <vt:variant>
        <vt:lpwstr>https://www.cbd.int/doc/decisions/cop-14/cop-14-dec-24-en.pdf</vt:lpwstr>
      </vt:variant>
      <vt:variant>
        <vt:lpwstr/>
      </vt:variant>
      <vt:variant>
        <vt:i4>3080301</vt:i4>
      </vt:variant>
      <vt:variant>
        <vt:i4>42</vt:i4>
      </vt:variant>
      <vt:variant>
        <vt:i4>0</vt:i4>
      </vt:variant>
      <vt:variant>
        <vt:i4>5</vt:i4>
      </vt:variant>
      <vt:variant>
        <vt:lpwstr>https://www.cbd.int/doc/notifications/2020/ntf-2020-001-post2020-en.pdf</vt:lpwstr>
      </vt:variant>
      <vt:variant>
        <vt:lpwstr/>
      </vt:variant>
      <vt:variant>
        <vt:i4>720972</vt:i4>
      </vt:variant>
      <vt:variant>
        <vt:i4>39</vt:i4>
      </vt:variant>
      <vt:variant>
        <vt:i4>0</vt:i4>
      </vt:variant>
      <vt:variant>
        <vt:i4>5</vt:i4>
      </vt:variant>
      <vt:variant>
        <vt:lpwstr>https://www.cbd.int/doc/decisions/cop-12/cop-12-dec-02-en.pdf</vt:lpwstr>
      </vt:variant>
      <vt:variant>
        <vt:lpwstr/>
      </vt:variant>
      <vt:variant>
        <vt:i4>196685</vt:i4>
      </vt:variant>
      <vt:variant>
        <vt:i4>36</vt:i4>
      </vt:variant>
      <vt:variant>
        <vt:i4>0</vt:i4>
      </vt:variant>
      <vt:variant>
        <vt:i4>5</vt:i4>
      </vt:variant>
      <vt:variant>
        <vt:lpwstr>https://www.cbd.int/doc/decisions/cop-11/cop-11-dec-29-en.pdf</vt:lpwstr>
      </vt:variant>
      <vt:variant>
        <vt:lpwstr/>
      </vt:variant>
      <vt:variant>
        <vt:i4>7143472</vt:i4>
      </vt:variant>
      <vt:variant>
        <vt:i4>33</vt:i4>
      </vt:variant>
      <vt:variant>
        <vt:i4>0</vt:i4>
      </vt:variant>
      <vt:variant>
        <vt:i4>5</vt:i4>
      </vt:variant>
      <vt:variant>
        <vt:lpwstr>https://www.cbd.int/doc/c/86da/c63f/5d6fed430f3528446fce1a2a/sbi-03-01-add1-rev2-en.pdf</vt:lpwstr>
      </vt:variant>
      <vt:variant>
        <vt:lpwstr/>
      </vt:variant>
      <vt:variant>
        <vt:i4>7536689</vt:i4>
      </vt:variant>
      <vt:variant>
        <vt:i4>30</vt:i4>
      </vt:variant>
      <vt:variant>
        <vt:i4>0</vt:i4>
      </vt:variant>
      <vt:variant>
        <vt:i4>5</vt:i4>
      </vt:variant>
      <vt:variant>
        <vt:lpwstr>https://www.cbd.int/doc/decisions/cp-mop-09/cp-mop-09-dec-07-en.pdf</vt:lpwstr>
      </vt:variant>
      <vt:variant>
        <vt:lpwstr/>
      </vt:variant>
      <vt:variant>
        <vt:i4>7798833</vt:i4>
      </vt:variant>
      <vt:variant>
        <vt:i4>27</vt:i4>
      </vt:variant>
      <vt:variant>
        <vt:i4>0</vt:i4>
      </vt:variant>
      <vt:variant>
        <vt:i4>5</vt:i4>
      </vt:variant>
      <vt:variant>
        <vt:lpwstr>https://www.cbd.int/doc/decisions/cp-mop-09/cp-mop-09-dec-03-en.pdf</vt:lpwstr>
      </vt:variant>
      <vt:variant>
        <vt:lpwstr/>
      </vt:variant>
      <vt:variant>
        <vt:i4>720968</vt:i4>
      </vt:variant>
      <vt:variant>
        <vt:i4>24</vt:i4>
      </vt:variant>
      <vt:variant>
        <vt:i4>0</vt:i4>
      </vt:variant>
      <vt:variant>
        <vt:i4>5</vt:i4>
      </vt:variant>
      <vt:variant>
        <vt:lpwstr>https://www.cbd.int/doc/decisions/cop-14/cop-14-dec-24-en.pdf</vt:lpwstr>
      </vt:variant>
      <vt:variant>
        <vt:lpwstr/>
      </vt:variant>
      <vt:variant>
        <vt:i4>720975</vt:i4>
      </vt:variant>
      <vt:variant>
        <vt:i4>21</vt:i4>
      </vt:variant>
      <vt:variant>
        <vt:i4>0</vt:i4>
      </vt:variant>
      <vt:variant>
        <vt:i4>5</vt:i4>
      </vt:variant>
      <vt:variant>
        <vt:lpwstr>https://www.cbd.int/doc/decisions/cop-13/cop-13-dec-23-en.pdf</vt:lpwstr>
      </vt:variant>
      <vt:variant>
        <vt:lpwstr/>
      </vt:variant>
      <vt:variant>
        <vt:i4>327767</vt:i4>
      </vt:variant>
      <vt:variant>
        <vt:i4>18</vt:i4>
      </vt:variant>
      <vt:variant>
        <vt:i4>0</vt:i4>
      </vt:variant>
      <vt:variant>
        <vt:i4>5</vt:i4>
      </vt:variant>
      <vt:variant>
        <vt:lpwstr>https://www.cbd.int/doc/c/6ad1/da5a/ddb684c5c9b0491c89d35872/sbstta-23-inf-18-en.pdf</vt:lpwstr>
      </vt:variant>
      <vt:variant>
        <vt:lpwstr/>
      </vt:variant>
      <vt:variant>
        <vt:i4>786511</vt:i4>
      </vt:variant>
      <vt:variant>
        <vt:i4>15</vt:i4>
      </vt:variant>
      <vt:variant>
        <vt:i4>0</vt:i4>
      </vt:variant>
      <vt:variant>
        <vt:i4>5</vt:i4>
      </vt:variant>
      <vt:variant>
        <vt:lpwstr>https://www.cbd.int/doc/decisions/cop-13/cop-13-dec-24-en.pdf</vt:lpwstr>
      </vt:variant>
      <vt:variant>
        <vt:lpwstr/>
      </vt:variant>
      <vt:variant>
        <vt:i4>1441882</vt:i4>
      </vt:variant>
      <vt:variant>
        <vt:i4>9</vt:i4>
      </vt:variant>
      <vt:variant>
        <vt:i4>0</vt:i4>
      </vt:variant>
      <vt:variant>
        <vt:i4>5</vt:i4>
      </vt:variant>
      <vt:variant>
        <vt:lpwstr>https://www.cbd.int/doc/recommendations/sbstta-23/sbstta-23-rec-06-en.pdf</vt:lpwstr>
      </vt:variant>
      <vt:variant>
        <vt:lpwstr/>
      </vt:variant>
      <vt:variant>
        <vt:i4>720968</vt:i4>
      </vt:variant>
      <vt:variant>
        <vt:i4>3</vt:i4>
      </vt:variant>
      <vt:variant>
        <vt:i4>0</vt:i4>
      </vt:variant>
      <vt:variant>
        <vt:i4>5</vt:i4>
      </vt:variant>
      <vt:variant>
        <vt:lpwstr>https://www.cbd.int/doc/decisions/cop-14/cop-14-dec-24-en.pdf</vt:lpwstr>
      </vt:variant>
      <vt:variant>
        <vt:lpwstr/>
      </vt:variant>
      <vt:variant>
        <vt:i4>720975</vt:i4>
      </vt:variant>
      <vt:variant>
        <vt:i4>0</vt:i4>
      </vt:variant>
      <vt:variant>
        <vt:i4>0</vt:i4>
      </vt:variant>
      <vt:variant>
        <vt:i4>5</vt:i4>
      </vt:variant>
      <vt:variant>
        <vt:lpwstr>https://www.cbd.int/doc/decisions/cop-13/cop-13-dec-23-en.pdf</vt:lpwstr>
      </vt:variant>
      <vt:variant>
        <vt:lpwstr/>
      </vt:variant>
      <vt:variant>
        <vt:i4>3407921</vt:i4>
      </vt:variant>
      <vt:variant>
        <vt:i4>150</vt:i4>
      </vt:variant>
      <vt:variant>
        <vt:i4>0</vt:i4>
      </vt:variant>
      <vt:variant>
        <vt:i4>5</vt:i4>
      </vt:variant>
      <vt:variant>
        <vt:lpwstr>http://www.cbd.int/blg/</vt:lpwstr>
      </vt:variant>
      <vt:variant>
        <vt:lpwstr/>
      </vt:variant>
      <vt:variant>
        <vt:i4>6357055</vt:i4>
      </vt:variant>
      <vt:variant>
        <vt:i4>147</vt:i4>
      </vt:variant>
      <vt:variant>
        <vt:i4>0</vt:i4>
      </vt:variant>
      <vt:variant>
        <vt:i4>5</vt:i4>
      </vt:variant>
      <vt:variant>
        <vt:lpwstr>https://unemg.org/</vt:lpwstr>
      </vt:variant>
      <vt:variant>
        <vt:lpwstr/>
      </vt:variant>
      <vt:variant>
        <vt:i4>3211322</vt:i4>
      </vt:variant>
      <vt:variant>
        <vt:i4>144</vt:i4>
      </vt:variant>
      <vt:variant>
        <vt:i4>0</vt:i4>
      </vt:variant>
      <vt:variant>
        <vt:i4>5</vt:i4>
      </vt:variant>
      <vt:variant>
        <vt:lpwstr>https://www.undp.org/content/undp/en/home/librarypage/capacity-building/incentive-systems-incentives-motivation-and-development-performance-.html</vt:lpwstr>
      </vt:variant>
      <vt:variant>
        <vt:lpwstr>:~:text=Incentive%20Systems%3A%20Incentives%2C%20Motivation%2C%20and%20Development%20Performance,-Nov%208%2C%202015&amp;text=It%20is%20possible%20to%20distinguish,environment%22%20of%20any%20given%20system.</vt:lpwstr>
      </vt:variant>
      <vt:variant>
        <vt:i4>6684692</vt:i4>
      </vt:variant>
      <vt:variant>
        <vt:i4>138</vt:i4>
      </vt:variant>
      <vt:variant>
        <vt:i4>0</vt:i4>
      </vt:variant>
      <vt:variant>
        <vt:i4>5</vt:i4>
      </vt:variant>
      <vt:variant>
        <vt:lpwstr>https://www.unicef.org/evaldatabase/index_70552.html</vt:lpwstr>
      </vt:variant>
      <vt:variant>
        <vt:lpwstr/>
      </vt:variant>
      <vt:variant>
        <vt:i4>3014719</vt:i4>
      </vt:variant>
      <vt:variant>
        <vt:i4>135</vt:i4>
      </vt:variant>
      <vt:variant>
        <vt:i4>0</vt:i4>
      </vt:variant>
      <vt:variant>
        <vt:i4>5</vt:i4>
      </vt:variant>
      <vt:variant>
        <vt:lpwstr>https://www.cbd.int/cb/plans.shtml</vt:lpwstr>
      </vt:variant>
      <vt:variant>
        <vt:lpwstr/>
      </vt:variant>
      <vt:variant>
        <vt:i4>589901</vt:i4>
      </vt:variant>
      <vt:variant>
        <vt:i4>132</vt:i4>
      </vt:variant>
      <vt:variant>
        <vt:i4>0</vt:i4>
      </vt:variant>
      <vt:variant>
        <vt:i4>5</vt:i4>
      </vt:variant>
      <vt:variant>
        <vt:lpwstr>https://unsdg.un.org/resources/theory-change-undaf-companion-guidance</vt:lpwstr>
      </vt:variant>
      <vt:variant>
        <vt:lpwstr/>
      </vt:variant>
      <vt:variant>
        <vt:i4>6029400</vt:i4>
      </vt:variant>
      <vt:variant>
        <vt:i4>129</vt:i4>
      </vt:variant>
      <vt:variant>
        <vt:i4>0</vt:i4>
      </vt:variant>
      <vt:variant>
        <vt:i4>5</vt:i4>
      </vt:variant>
      <vt:variant>
        <vt:lpwstr>https://warwick.ac.uk/fac/soc/wbs/conf/olkc/archive/olk4/papers/villardi.pdf</vt:lpwstr>
      </vt:variant>
      <vt:variant>
        <vt:lpwstr/>
      </vt:variant>
      <vt:variant>
        <vt:i4>5505033</vt:i4>
      </vt:variant>
      <vt:variant>
        <vt:i4>126</vt:i4>
      </vt:variant>
      <vt:variant>
        <vt:i4>0</vt:i4>
      </vt:variant>
      <vt:variant>
        <vt:i4>5</vt:i4>
      </vt:variant>
      <vt:variant>
        <vt:lpwstr>https://unsdg.un.org/resources/capacity-development-undaf-companion-guidance</vt:lpwstr>
      </vt:variant>
      <vt:variant>
        <vt:lpwstr/>
      </vt:variant>
      <vt:variant>
        <vt:i4>6029324</vt:i4>
      </vt:variant>
      <vt:variant>
        <vt:i4>123</vt:i4>
      </vt:variant>
      <vt:variant>
        <vt:i4>0</vt:i4>
      </vt:variant>
      <vt:variant>
        <vt:i4>5</vt:i4>
      </vt:variant>
      <vt:variant>
        <vt:lpwstr>https://documents-dds-ny.un.org/doc/UNDOC/GEN/N15/291/89/pdf/N1529189.pdf?OpenElement</vt:lpwstr>
      </vt:variant>
      <vt:variant>
        <vt:lpwstr/>
      </vt:variant>
      <vt:variant>
        <vt:i4>4456535</vt:i4>
      </vt:variant>
      <vt:variant>
        <vt:i4>120</vt:i4>
      </vt:variant>
      <vt:variant>
        <vt:i4>0</vt:i4>
      </vt:variant>
      <vt:variant>
        <vt:i4>5</vt:i4>
      </vt:variant>
      <vt:variant>
        <vt:lpwstr>https://www.un.org/sg/en/content/sg/note-correspondents/2020-05-14/note-correspondents-the-virtual-meeting-of-the-chief-executives-board</vt:lpwstr>
      </vt:variant>
      <vt:variant>
        <vt:lpwstr/>
      </vt:variant>
      <vt:variant>
        <vt:i4>327688</vt:i4>
      </vt:variant>
      <vt:variant>
        <vt:i4>117</vt:i4>
      </vt:variant>
      <vt:variant>
        <vt:i4>0</vt:i4>
      </vt:variant>
      <vt:variant>
        <vt:i4>5</vt:i4>
      </vt:variant>
      <vt:variant>
        <vt:lpwstr>https://www.cbd.int/invasive/lg/</vt:lpwstr>
      </vt:variant>
      <vt:variant>
        <vt:lpwstr/>
      </vt:variant>
      <vt:variant>
        <vt:i4>6094930</vt:i4>
      </vt:variant>
      <vt:variant>
        <vt:i4>114</vt:i4>
      </vt:variant>
      <vt:variant>
        <vt:i4>0</vt:i4>
      </vt:variant>
      <vt:variant>
        <vt:i4>5</vt:i4>
      </vt:variant>
      <vt:variant>
        <vt:lpwstr>http://www.fao.org/forestry/wildlife-partnership/en/</vt:lpwstr>
      </vt:variant>
      <vt:variant>
        <vt:lpwstr/>
      </vt:variant>
      <vt:variant>
        <vt:i4>1441875</vt:i4>
      </vt:variant>
      <vt:variant>
        <vt:i4>111</vt:i4>
      </vt:variant>
      <vt:variant>
        <vt:i4>0</vt:i4>
      </vt:variant>
      <vt:variant>
        <vt:i4>5</vt:i4>
      </vt:variant>
      <vt:variant>
        <vt:lpwstr>https://www.plants2020.net/news/1556/</vt:lpwstr>
      </vt:variant>
      <vt:variant>
        <vt:lpwstr/>
      </vt:variant>
      <vt:variant>
        <vt:i4>327744</vt:i4>
      </vt:variant>
      <vt:variant>
        <vt:i4>108</vt:i4>
      </vt:variant>
      <vt:variant>
        <vt:i4>0</vt:i4>
      </vt:variant>
      <vt:variant>
        <vt:i4>5</vt:i4>
      </vt:variant>
      <vt:variant>
        <vt:lpwstr>https://www.cbd.int/soi/</vt:lpwstr>
      </vt:variant>
      <vt:variant>
        <vt:lpwstr/>
      </vt:variant>
      <vt:variant>
        <vt:i4>1966150</vt:i4>
      </vt:variant>
      <vt:variant>
        <vt:i4>105</vt:i4>
      </vt:variant>
      <vt:variant>
        <vt:i4>0</vt:i4>
      </vt:variant>
      <vt:variant>
        <vt:i4>5</vt:i4>
      </vt:variant>
      <vt:variant>
        <vt:lpwstr>https://www.cbd.int/restoration/feri/</vt:lpwstr>
      </vt:variant>
      <vt:variant>
        <vt:lpwstr/>
      </vt:variant>
      <vt:variant>
        <vt:i4>7995428</vt:i4>
      </vt:variant>
      <vt:variant>
        <vt:i4>102</vt:i4>
      </vt:variant>
      <vt:variant>
        <vt:i4>0</vt:i4>
      </vt:variant>
      <vt:variant>
        <vt:i4>5</vt:i4>
      </vt:variant>
      <vt:variant>
        <vt:lpwstr>https://www.cbd.int/programmes/cross-cutting/technology/search.aspx</vt:lpwstr>
      </vt:variant>
      <vt:variant>
        <vt:lpwstr/>
      </vt:variant>
      <vt:variant>
        <vt:i4>7077930</vt:i4>
      </vt:variant>
      <vt:variant>
        <vt:i4>99</vt:i4>
      </vt:variant>
      <vt:variant>
        <vt:i4>0</vt:i4>
      </vt:variant>
      <vt:variant>
        <vt:i4>5</vt:i4>
      </vt:variant>
      <vt:variant>
        <vt:lpwstr>https://www.cbd.int/conferences/2018/parallel-meetings/innovation-fair</vt:lpwstr>
      </vt:variant>
      <vt:variant>
        <vt:lpwstr/>
      </vt:variant>
      <vt:variant>
        <vt:i4>2621562</vt:i4>
      </vt:variant>
      <vt:variant>
        <vt:i4>96</vt:i4>
      </vt:variant>
      <vt:variant>
        <vt:i4>0</vt:i4>
      </vt:variant>
      <vt:variant>
        <vt:i4>5</vt:i4>
      </vt:variant>
      <vt:variant>
        <vt:lpwstr>https://www.cbd.int/doc/notifications/2020/ntf-2020-042-bbi-en.pdf</vt:lpwstr>
      </vt:variant>
      <vt:variant>
        <vt:lpwstr/>
      </vt:variant>
      <vt:variant>
        <vt:i4>8257649</vt:i4>
      </vt:variant>
      <vt:variant>
        <vt:i4>93</vt:i4>
      </vt:variant>
      <vt:variant>
        <vt:i4>0</vt:i4>
      </vt:variant>
      <vt:variant>
        <vt:i4>5</vt:i4>
      </vt:variant>
      <vt:variant>
        <vt:lpwstr>https://www.cbd.int/biobridge/projects/selected</vt:lpwstr>
      </vt:variant>
      <vt:variant>
        <vt:lpwstr/>
      </vt:variant>
      <vt:variant>
        <vt:i4>4653057</vt:i4>
      </vt:variant>
      <vt:variant>
        <vt:i4>90</vt:i4>
      </vt:variant>
      <vt:variant>
        <vt:i4>0</vt:i4>
      </vt:variant>
      <vt:variant>
        <vt:i4>5</vt:i4>
      </vt:variant>
      <vt:variant>
        <vt:lpwstr>https://www.mdpi.com/2071-1050/11/10/2780</vt:lpwstr>
      </vt:variant>
      <vt:variant>
        <vt:lpwstr/>
      </vt:variant>
      <vt:variant>
        <vt:i4>5767191</vt:i4>
      </vt:variant>
      <vt:variant>
        <vt:i4>87</vt:i4>
      </vt:variant>
      <vt:variant>
        <vt:i4>0</vt:i4>
      </vt:variant>
      <vt:variant>
        <vt:i4>5</vt:i4>
      </vt:variant>
      <vt:variant>
        <vt:lpwstr>https://cetaf.org/services/natural-science-collections-and-access-and-benefit-sharing</vt:lpwstr>
      </vt:variant>
      <vt:variant>
        <vt:lpwstr/>
      </vt:variant>
      <vt:variant>
        <vt:i4>4849685</vt:i4>
      </vt:variant>
      <vt:variant>
        <vt:i4>84</vt:i4>
      </vt:variant>
      <vt:variant>
        <vt:i4>0</vt:i4>
      </vt:variant>
      <vt:variant>
        <vt:i4>5</vt:i4>
      </vt:variant>
      <vt:variant>
        <vt:lpwstr>https://absch.cbd.int/database/VLR/ABSCH-VLR-SCBD-239199</vt:lpwstr>
      </vt:variant>
      <vt:variant>
        <vt:lpwstr/>
      </vt:variant>
      <vt:variant>
        <vt:i4>2883645</vt:i4>
      </vt:variant>
      <vt:variant>
        <vt:i4>81</vt:i4>
      </vt:variant>
      <vt:variant>
        <vt:i4>0</vt:i4>
      </vt:variant>
      <vt:variant>
        <vt:i4>5</vt:i4>
      </vt:variant>
      <vt:variant>
        <vt:lpwstr>https://www.gbif.org/search?q=GRIIS</vt:lpwstr>
      </vt:variant>
      <vt:variant>
        <vt:lpwstr/>
      </vt:variant>
      <vt:variant>
        <vt:i4>3866686</vt:i4>
      </vt:variant>
      <vt:variant>
        <vt:i4>78</vt:i4>
      </vt:variant>
      <vt:variant>
        <vt:i4>0</vt:i4>
      </vt:variant>
      <vt:variant>
        <vt:i4>5</vt:i4>
      </vt:variant>
      <vt:variant>
        <vt:lpwstr>http://boldsystems.org/</vt:lpwstr>
      </vt:variant>
      <vt:variant>
        <vt:lpwstr/>
      </vt:variant>
      <vt:variant>
        <vt:i4>4915288</vt:i4>
      </vt:variant>
      <vt:variant>
        <vt:i4>75</vt:i4>
      </vt:variant>
      <vt:variant>
        <vt:i4>0</vt:i4>
      </vt:variant>
      <vt:variant>
        <vt:i4>5</vt:i4>
      </vt:variant>
      <vt:variant>
        <vt:lpwstr>https://www.biodiversitylibrary.org/</vt:lpwstr>
      </vt:variant>
      <vt:variant>
        <vt:lpwstr/>
      </vt:variant>
      <vt:variant>
        <vt:i4>3145784</vt:i4>
      </vt:variant>
      <vt:variant>
        <vt:i4>72</vt:i4>
      </vt:variant>
      <vt:variant>
        <vt:i4>0</vt:i4>
      </vt:variant>
      <vt:variant>
        <vt:i4>5</vt:i4>
      </vt:variant>
      <vt:variant>
        <vt:lpwstr>https://www.cbd.int/cb/strategic-framework/</vt:lpwstr>
      </vt:variant>
      <vt:variant>
        <vt:lpwstr/>
      </vt:variant>
      <vt:variant>
        <vt:i4>4259857</vt:i4>
      </vt:variant>
      <vt:variant>
        <vt:i4>69</vt:i4>
      </vt:variant>
      <vt:variant>
        <vt:i4>0</vt:i4>
      </vt:variant>
      <vt:variant>
        <vt:i4>5</vt:i4>
      </vt:variant>
      <vt:variant>
        <vt:lpwstr>https://www.cbd.int/cb/discussion-forum/</vt:lpwstr>
      </vt:variant>
      <vt:variant>
        <vt:lpwstr/>
      </vt:variant>
      <vt:variant>
        <vt:i4>3407934</vt:i4>
      </vt:variant>
      <vt:variant>
        <vt:i4>66</vt:i4>
      </vt:variant>
      <vt:variant>
        <vt:i4>0</vt:i4>
      </vt:variant>
      <vt:variant>
        <vt:i4>5</vt:i4>
      </vt:variant>
      <vt:variant>
        <vt:lpwstr>https://www.cbd.int/conferences/post2020/POST2020-WS-2020-02/documents</vt:lpwstr>
      </vt:variant>
      <vt:variant>
        <vt:lpwstr/>
      </vt:variant>
      <vt:variant>
        <vt:i4>7798836</vt:i4>
      </vt:variant>
      <vt:variant>
        <vt:i4>63</vt:i4>
      </vt:variant>
      <vt:variant>
        <vt:i4>0</vt:i4>
      </vt:variant>
      <vt:variant>
        <vt:i4>5</vt:i4>
      </vt:variant>
      <vt:variant>
        <vt:lpwstr>https://www.cbd.int/conferences/post2020/brc-ws</vt:lpwstr>
      </vt:variant>
      <vt:variant>
        <vt:lpwstr/>
      </vt:variant>
      <vt:variant>
        <vt:i4>4784203</vt:i4>
      </vt:variant>
      <vt:variant>
        <vt:i4>60</vt:i4>
      </vt:variant>
      <vt:variant>
        <vt:i4>0</vt:i4>
      </vt:variant>
      <vt:variant>
        <vt:i4>5</vt:i4>
      </vt:variant>
      <vt:variant>
        <vt:lpwstr>https://bch.cbd.int/protocol/post2020/portal/review.shtml</vt:lpwstr>
      </vt:variant>
      <vt:variant>
        <vt:lpwstr/>
      </vt:variant>
      <vt:variant>
        <vt:i4>65604</vt:i4>
      </vt:variant>
      <vt:variant>
        <vt:i4>57</vt:i4>
      </vt:variant>
      <vt:variant>
        <vt:i4>0</vt:i4>
      </vt:variant>
      <vt:variant>
        <vt:i4>5</vt:i4>
      </vt:variant>
      <vt:variant>
        <vt:lpwstr>https://www.cbd.int/conferences/post2020</vt:lpwstr>
      </vt:variant>
      <vt:variant>
        <vt:lpwstr/>
      </vt:variant>
      <vt:variant>
        <vt:i4>7209075</vt:i4>
      </vt:variant>
      <vt:variant>
        <vt:i4>54</vt:i4>
      </vt:variant>
      <vt:variant>
        <vt:i4>0</vt:i4>
      </vt:variant>
      <vt:variant>
        <vt:i4>5</vt:i4>
      </vt:variant>
      <vt:variant>
        <vt:lpwstr>https://ipbes.net/o2-building-capacity</vt:lpwstr>
      </vt:variant>
      <vt:variant>
        <vt:lpwstr/>
      </vt:variant>
      <vt:variant>
        <vt:i4>2359330</vt:i4>
      </vt:variant>
      <vt:variant>
        <vt:i4>51</vt:i4>
      </vt:variant>
      <vt:variant>
        <vt:i4>0</vt:i4>
      </vt:variant>
      <vt:variant>
        <vt:i4>5</vt:i4>
      </vt:variant>
      <vt:variant>
        <vt:lpwstr>https://whc.unesco.org/archive/2011/whc11-35com-9Be.pdf</vt:lpwstr>
      </vt:variant>
      <vt:variant>
        <vt:lpwstr/>
      </vt:variant>
      <vt:variant>
        <vt:i4>5636164</vt:i4>
      </vt:variant>
      <vt:variant>
        <vt:i4>48</vt:i4>
      </vt:variant>
      <vt:variant>
        <vt:i4>0</vt:i4>
      </vt:variant>
      <vt:variant>
        <vt:i4>5</vt:i4>
      </vt:variant>
      <vt:variant>
        <vt:lpwstr>https://www.ramsar.org/sites/default/files/documents/library/cepa_programme_2016_2024_e.pdf</vt:lpwstr>
      </vt:variant>
      <vt:variant>
        <vt:lpwstr/>
      </vt:variant>
      <vt:variant>
        <vt:i4>983048</vt:i4>
      </vt:variant>
      <vt:variant>
        <vt:i4>45</vt:i4>
      </vt:variant>
      <vt:variant>
        <vt:i4>0</vt:i4>
      </vt:variant>
      <vt:variant>
        <vt:i4>5</vt:i4>
      </vt:variant>
      <vt:variant>
        <vt:lpwstr>http://www.fao.org/3/na904en/na904en.pdf</vt:lpwstr>
      </vt:variant>
      <vt:variant>
        <vt:lpwstr/>
      </vt:variant>
      <vt:variant>
        <vt:i4>5570632</vt:i4>
      </vt:variant>
      <vt:variant>
        <vt:i4>42</vt:i4>
      </vt:variant>
      <vt:variant>
        <vt:i4>0</vt:i4>
      </vt:variant>
      <vt:variant>
        <vt:i4>5</vt:i4>
      </vt:variant>
      <vt:variant>
        <vt:lpwstr>https://www.ippc.int/en/core-activities/capacity-development/ippc-capacity-building-strategy/</vt:lpwstr>
      </vt:variant>
      <vt:variant>
        <vt:lpwstr/>
      </vt:variant>
      <vt:variant>
        <vt:i4>3801120</vt:i4>
      </vt:variant>
      <vt:variant>
        <vt:i4>39</vt:i4>
      </vt:variant>
      <vt:variant>
        <vt:i4>0</vt:i4>
      </vt:variant>
      <vt:variant>
        <vt:i4>5</vt:i4>
      </vt:variant>
      <vt:variant>
        <vt:lpwstr>https://www.cms.int/en/document/capacity-building-strategy</vt:lpwstr>
      </vt:variant>
      <vt:variant>
        <vt:lpwstr/>
      </vt:variant>
      <vt:variant>
        <vt:i4>5898349</vt:i4>
      </vt:variant>
      <vt:variant>
        <vt:i4>36</vt:i4>
      </vt:variant>
      <vt:variant>
        <vt:i4>0</vt:i4>
      </vt:variant>
      <vt:variant>
        <vt:i4>5</vt:i4>
      </vt:variant>
      <vt:variant>
        <vt:lpwstr>https://www.cites.org/eng/prog/capacity_building/index.php</vt:lpwstr>
      </vt:variant>
      <vt:variant>
        <vt:lpwstr/>
      </vt:variant>
      <vt:variant>
        <vt:i4>2555961</vt:i4>
      </vt:variant>
      <vt:variant>
        <vt:i4>33</vt:i4>
      </vt:variant>
      <vt:variant>
        <vt:i4>0</vt:i4>
      </vt:variant>
      <vt:variant>
        <vt:i4>5</vt:i4>
      </vt:variant>
      <vt:variant>
        <vt:lpwstr>https://www.cbd.int/cb/</vt:lpwstr>
      </vt:variant>
      <vt:variant>
        <vt:lpwstr/>
      </vt:variant>
      <vt:variant>
        <vt:i4>3407934</vt:i4>
      </vt:variant>
      <vt:variant>
        <vt:i4>30</vt:i4>
      </vt:variant>
      <vt:variant>
        <vt:i4>0</vt:i4>
      </vt:variant>
      <vt:variant>
        <vt:i4>5</vt:i4>
      </vt:variant>
      <vt:variant>
        <vt:lpwstr>https://www.cbd.int/conferences/post2020/POST2020-WS-2020-02/documents</vt:lpwstr>
      </vt:variant>
      <vt:variant>
        <vt:lpwstr/>
      </vt:variant>
      <vt:variant>
        <vt:i4>262165</vt:i4>
      </vt:variant>
      <vt:variant>
        <vt:i4>27</vt:i4>
      </vt:variant>
      <vt:variant>
        <vt:i4>0</vt:i4>
      </vt:variant>
      <vt:variant>
        <vt:i4>5</vt:i4>
      </vt:variant>
      <vt:variant>
        <vt:lpwstr>https://www.cbd.int/doc/c/0ab8/2d14/07d2c32c7c92ee730c6e3e58/sbi-03-inf-09-en.pdf</vt:lpwstr>
      </vt:variant>
      <vt:variant>
        <vt:lpwstr/>
      </vt:variant>
      <vt:variant>
        <vt:i4>5111835</vt:i4>
      </vt:variant>
      <vt:variant>
        <vt:i4>21</vt:i4>
      </vt:variant>
      <vt:variant>
        <vt:i4>0</vt:i4>
      </vt:variant>
      <vt:variant>
        <vt:i4>5</vt:i4>
      </vt:variant>
      <vt:variant>
        <vt:lpwstr>https://www.idlo.int/fr/what-we-do/initiatives/capacity-building-programme-support-implementation-nagoya-protocol</vt:lpwstr>
      </vt:variant>
      <vt:variant>
        <vt:lpwstr/>
      </vt:variant>
      <vt:variant>
        <vt:i4>3539040</vt:i4>
      </vt:variant>
      <vt:variant>
        <vt:i4>18</vt:i4>
      </vt:variant>
      <vt:variant>
        <vt:i4>0</vt:i4>
      </vt:variant>
      <vt:variant>
        <vt:i4>5</vt:i4>
      </vt:variant>
      <vt:variant>
        <vt:lpwstr>http://bch.cbd.int/onlineconferences/portal_detection/lab_network.shtml</vt:lpwstr>
      </vt:variant>
      <vt:variant>
        <vt:lpwstr/>
      </vt:variant>
      <vt:variant>
        <vt:i4>524354</vt:i4>
      </vt:variant>
      <vt:variant>
        <vt:i4>15</vt:i4>
      </vt:variant>
      <vt:variant>
        <vt:i4>0</vt:i4>
      </vt:variant>
      <vt:variant>
        <vt:i4>5</vt:i4>
      </vt:variant>
      <vt:variant>
        <vt:lpwstr>http://www.biodiversityfinance.net/regional-nodes</vt:lpwstr>
      </vt:variant>
      <vt:variant>
        <vt:lpwstr/>
      </vt:variant>
      <vt:variant>
        <vt:i4>524299</vt:i4>
      </vt:variant>
      <vt:variant>
        <vt:i4>12</vt:i4>
      </vt:variant>
      <vt:variant>
        <vt:i4>0</vt:i4>
      </vt:variant>
      <vt:variant>
        <vt:i4>5</vt:i4>
      </vt:variant>
      <vt:variant>
        <vt:lpwstr>https://demo.chm-cbd.net/</vt:lpwstr>
      </vt:variant>
      <vt:variant>
        <vt:lpwstr/>
      </vt:variant>
      <vt:variant>
        <vt:i4>6553708</vt:i4>
      </vt:variant>
      <vt:variant>
        <vt:i4>9</vt:i4>
      </vt:variant>
      <vt:variant>
        <vt:i4>0</vt:i4>
      </vt:variant>
      <vt:variant>
        <vt:i4>5</vt:i4>
      </vt:variant>
      <vt:variant>
        <vt:lpwstr>https://www.cbd.int/cb/BioCAP/</vt:lpwstr>
      </vt:variant>
      <vt:variant>
        <vt:lpwstr/>
      </vt:variant>
      <vt:variant>
        <vt:i4>327767</vt:i4>
      </vt:variant>
      <vt:variant>
        <vt:i4>3</vt:i4>
      </vt:variant>
      <vt:variant>
        <vt:i4>0</vt:i4>
      </vt:variant>
      <vt:variant>
        <vt:i4>5</vt:i4>
      </vt:variant>
      <vt:variant>
        <vt:lpwstr>https://www.cbd.int/doc/c/6ad1/da5a/ddb684c5c9b0491c89d35872/sbstta-23-inf-18-en.pdf</vt:lpwstr>
      </vt:variant>
      <vt:variant>
        <vt:lpwstr/>
      </vt:variant>
      <vt:variant>
        <vt:i4>6029324</vt:i4>
      </vt:variant>
      <vt:variant>
        <vt:i4>0</vt:i4>
      </vt:variant>
      <vt:variant>
        <vt:i4>0</vt:i4>
      </vt:variant>
      <vt:variant>
        <vt:i4>5</vt:i4>
      </vt:variant>
      <vt:variant>
        <vt:lpwstr>https://documents-dds-ny.un.org/doc/UNDOC/GEN/N15/291/89/pdf/N1529189.pdf?OpenElement</vt:lpwstr>
      </vt:variant>
      <vt:variant>
        <vt:lpwstr/>
      </vt:variant>
      <vt:variant>
        <vt:i4>2424950</vt:i4>
      </vt:variant>
      <vt:variant>
        <vt:i4>15</vt:i4>
      </vt:variant>
      <vt:variant>
        <vt:i4>0</vt:i4>
      </vt:variant>
      <vt:variant>
        <vt:i4>5</vt:i4>
      </vt:variant>
      <vt:variant>
        <vt:lpwstr>https://www.lexico.com/</vt:lpwstr>
      </vt:variant>
      <vt:variant>
        <vt:lpwstr/>
      </vt:variant>
      <vt:variant>
        <vt:i4>2687090</vt:i4>
      </vt:variant>
      <vt:variant>
        <vt:i4>12</vt:i4>
      </vt:variant>
      <vt:variant>
        <vt:i4>0</vt:i4>
      </vt:variant>
      <vt:variant>
        <vt:i4>5</vt:i4>
      </vt:variant>
      <vt:variant>
        <vt:lpwstr>https://www.cbd.int/meetings/SOI-OM-2018-01</vt:lpwstr>
      </vt:variant>
      <vt:variant>
        <vt:lpwstr/>
      </vt:variant>
      <vt:variant>
        <vt:i4>5242880</vt:i4>
      </vt:variant>
      <vt:variant>
        <vt:i4>9</vt:i4>
      </vt:variant>
      <vt:variant>
        <vt:i4>0</vt:i4>
      </vt:variant>
      <vt:variant>
        <vt:i4>5</vt:i4>
      </vt:variant>
      <vt:variant>
        <vt:lpwstr>https://www.cbd.int/doc/c/a3e1/53e3/08fc2a8f36e21b2366d03aa9/soi-om-2018-01-02-en.pdf</vt:lpwstr>
      </vt:variant>
      <vt:variant>
        <vt:lpwstr/>
      </vt:variant>
      <vt:variant>
        <vt:i4>720898</vt:i4>
      </vt:variant>
      <vt:variant>
        <vt:i4>6</vt:i4>
      </vt:variant>
      <vt:variant>
        <vt:i4>0</vt:i4>
      </vt:variant>
      <vt:variant>
        <vt:i4>5</vt:i4>
      </vt:variant>
      <vt:variant>
        <vt:lpwstr>https://www.cbd.int/meetings/POST2020-WS-2020-02</vt:lpwstr>
      </vt:variant>
      <vt:variant>
        <vt:lpwstr/>
      </vt:variant>
      <vt:variant>
        <vt:i4>5111835</vt:i4>
      </vt:variant>
      <vt:variant>
        <vt:i4>3</vt:i4>
      </vt:variant>
      <vt:variant>
        <vt:i4>0</vt:i4>
      </vt:variant>
      <vt:variant>
        <vt:i4>5</vt:i4>
      </vt:variant>
      <vt:variant>
        <vt:lpwstr>https://www.idlo.int/fr/what-we-do/initiatives/capacity-building-programme-support-implementation-nagoya-protocol</vt:lpwstr>
      </vt:variant>
      <vt:variant>
        <vt:lpwstr/>
      </vt:variant>
      <vt:variant>
        <vt:i4>5439582</vt:i4>
      </vt:variant>
      <vt:variant>
        <vt:i4>0</vt:i4>
      </vt:variant>
      <vt:variant>
        <vt:i4>0</vt:i4>
      </vt:variant>
      <vt:variant>
        <vt:i4>5</vt:i4>
      </vt:variant>
      <vt:variant>
        <vt:lpwstr>http://www.idlo.int/what-we-do/initiatives/advancing-nagoya-protocol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des capacités, coopÉration technique et scientifique, et transfert de technologie </dc:title>
  <dc:subject>CBD/SBI/3/7</dc:subject>
  <dc:creator>Secretariat of the Convention on Biological Diversity</dc:creator>
  <cp:keywords>Subsidiary Body on Implementation, third meeting, Convention on Biological Diversity</cp:keywords>
  <cp:lastModifiedBy>Xue He Yan</cp:lastModifiedBy>
  <cp:revision>41</cp:revision>
  <cp:lastPrinted>2020-11-27T04:05:00Z</cp:lastPrinted>
  <dcterms:created xsi:type="dcterms:W3CDTF">2020-12-02T15:21:00Z</dcterms:created>
  <dcterms:modified xsi:type="dcterms:W3CDTF">2020-12-10T16:15:00Z</dcterms:modified>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