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131EA6" w14:paraId="07F6750D" w14:textId="77777777" w:rsidTr="009C2DE6">
        <w:trPr>
          <w:trHeight w:val="851"/>
        </w:trPr>
        <w:tc>
          <w:tcPr>
            <w:tcW w:w="976" w:type="dxa"/>
            <w:tcBorders>
              <w:bottom w:val="single" w:sz="12" w:space="0" w:color="auto"/>
            </w:tcBorders>
          </w:tcPr>
          <w:p w14:paraId="1DEFF495" w14:textId="77777777" w:rsidR="00C9161D" w:rsidRPr="00131EA6" w:rsidRDefault="00C9161D" w:rsidP="00B00053">
            <w:pPr>
              <w:suppressLineNumbers/>
              <w:suppressAutoHyphens/>
              <w:kinsoku w:val="0"/>
              <w:overflowPunct w:val="0"/>
              <w:autoSpaceDE w:val="0"/>
              <w:autoSpaceDN w:val="0"/>
              <w:adjustRightInd w:val="0"/>
              <w:snapToGrid w:val="0"/>
              <w:rPr>
                <w:snapToGrid w:val="0"/>
                <w:kern w:val="22"/>
              </w:rPr>
            </w:pPr>
            <w:r w:rsidRPr="00131EA6">
              <w:rPr>
                <w:noProof/>
                <w:snapToGrid w:val="0"/>
                <w:kern w:val="22"/>
                <w:lang w:val="fr-CA" w:eastAsia="fr-CA"/>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6078C84F" w:rsidR="00FA663B" w:rsidRPr="00131EA6" w:rsidRDefault="00131EA6" w:rsidP="00B00053">
            <w:pPr>
              <w:suppressLineNumbers/>
              <w:suppressAutoHyphens/>
              <w:kinsoku w:val="0"/>
              <w:overflowPunct w:val="0"/>
              <w:autoSpaceDE w:val="0"/>
              <w:autoSpaceDN w:val="0"/>
              <w:adjustRightInd w:val="0"/>
              <w:snapToGrid w:val="0"/>
              <w:rPr>
                <w:snapToGrid w:val="0"/>
                <w:kern w:val="22"/>
              </w:rPr>
            </w:pPr>
            <w:r w:rsidRPr="00131EA6">
              <w:rPr>
                <w:noProof/>
                <w:lang w:val="fr-CA" w:eastAsia="fr-CA"/>
              </w:rPr>
              <w:drawing>
                <wp:inline distT="0" distB="0" distL="0" distR="0" wp14:anchorId="14A95FA9" wp14:editId="40C78B85">
                  <wp:extent cx="593090" cy="34036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131EA6" w:rsidRDefault="00C9161D" w:rsidP="00B00053">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131EA6">
              <w:rPr>
                <w:rFonts w:ascii="Arial" w:hAnsi="Arial" w:cs="Arial"/>
                <w:b/>
                <w:snapToGrid w:val="0"/>
                <w:kern w:val="22"/>
                <w:sz w:val="32"/>
                <w:szCs w:val="32"/>
              </w:rPr>
              <w:t>CBD</w:t>
            </w:r>
          </w:p>
        </w:tc>
      </w:tr>
      <w:tr w:rsidR="00C9161D" w:rsidRPr="00131EA6" w14:paraId="6F751905" w14:textId="77777777" w:rsidTr="00CF1848">
        <w:tc>
          <w:tcPr>
            <w:tcW w:w="6117" w:type="dxa"/>
            <w:gridSpan w:val="2"/>
            <w:tcBorders>
              <w:top w:val="single" w:sz="12" w:space="0" w:color="auto"/>
              <w:bottom w:val="single" w:sz="36" w:space="0" w:color="auto"/>
            </w:tcBorders>
            <w:vAlign w:val="center"/>
          </w:tcPr>
          <w:p w14:paraId="14F52A6C" w14:textId="02CB92B9" w:rsidR="00C9161D" w:rsidRPr="00131EA6" w:rsidRDefault="00131EA6" w:rsidP="00B00053">
            <w:pPr>
              <w:suppressLineNumbers/>
              <w:suppressAutoHyphens/>
              <w:kinsoku w:val="0"/>
              <w:overflowPunct w:val="0"/>
              <w:autoSpaceDE w:val="0"/>
              <w:autoSpaceDN w:val="0"/>
              <w:adjustRightInd w:val="0"/>
              <w:snapToGrid w:val="0"/>
              <w:rPr>
                <w:snapToGrid w:val="0"/>
                <w:kern w:val="22"/>
              </w:rPr>
            </w:pPr>
            <w:r w:rsidRPr="00131EA6">
              <w:rPr>
                <w:noProof/>
                <w:szCs w:val="22"/>
                <w:lang w:val="fr-CA" w:eastAsia="fr-CA"/>
              </w:rPr>
              <w:drawing>
                <wp:inline distT="0" distB="0" distL="0" distR="0" wp14:anchorId="56C86500" wp14:editId="60D787C5">
                  <wp:extent cx="2358390" cy="939800"/>
                  <wp:effectExtent l="0" t="0" r="0" b="0"/>
                  <wp:docPr id="3"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131EA6" w:rsidRDefault="00C9161D" w:rsidP="00B00053">
            <w:pPr>
              <w:suppressLineNumbers/>
              <w:suppressAutoHyphens/>
              <w:kinsoku w:val="0"/>
              <w:overflowPunct w:val="0"/>
              <w:autoSpaceDE w:val="0"/>
              <w:autoSpaceDN w:val="0"/>
              <w:adjustRightInd w:val="0"/>
              <w:snapToGrid w:val="0"/>
              <w:ind w:left="1215"/>
              <w:rPr>
                <w:snapToGrid w:val="0"/>
                <w:kern w:val="22"/>
                <w:szCs w:val="22"/>
              </w:rPr>
            </w:pPr>
            <w:r w:rsidRPr="00131EA6">
              <w:rPr>
                <w:snapToGrid w:val="0"/>
                <w:kern w:val="22"/>
                <w:szCs w:val="22"/>
              </w:rPr>
              <w:t>Distr.</w:t>
            </w:r>
          </w:p>
          <w:p w14:paraId="0C21C438" w14:textId="2E7343E4" w:rsidR="00C9161D" w:rsidRPr="00131EA6" w:rsidRDefault="00951946" w:rsidP="00B00053">
            <w:pPr>
              <w:suppressLineNumbers/>
              <w:suppressAutoHyphens/>
              <w:kinsoku w:val="0"/>
              <w:overflowPunct w:val="0"/>
              <w:autoSpaceDE w:val="0"/>
              <w:autoSpaceDN w:val="0"/>
              <w:adjustRightInd w:val="0"/>
              <w:snapToGrid w:val="0"/>
              <w:ind w:left="1215"/>
              <w:rPr>
                <w:snapToGrid w:val="0"/>
                <w:kern w:val="22"/>
                <w:szCs w:val="22"/>
              </w:rPr>
            </w:pPr>
            <w:r w:rsidRPr="00131EA6">
              <w:rPr>
                <w:caps/>
                <w:snapToGrid w:val="0"/>
                <w:kern w:val="22"/>
                <w:szCs w:val="22"/>
              </w:rPr>
              <w:t>LIMITÉE</w:t>
            </w:r>
          </w:p>
          <w:p w14:paraId="06715052" w14:textId="77777777" w:rsidR="00C9161D" w:rsidRPr="00131EA6" w:rsidRDefault="00C9161D" w:rsidP="00B00053">
            <w:pPr>
              <w:suppressLineNumbers/>
              <w:suppressAutoHyphens/>
              <w:kinsoku w:val="0"/>
              <w:overflowPunct w:val="0"/>
              <w:autoSpaceDE w:val="0"/>
              <w:autoSpaceDN w:val="0"/>
              <w:adjustRightInd w:val="0"/>
              <w:snapToGrid w:val="0"/>
              <w:ind w:left="1215"/>
              <w:rPr>
                <w:snapToGrid w:val="0"/>
                <w:kern w:val="22"/>
                <w:szCs w:val="22"/>
              </w:rPr>
            </w:pPr>
          </w:p>
          <w:p w14:paraId="44230134" w14:textId="450E53B7" w:rsidR="00C9161D" w:rsidRPr="00131EA6" w:rsidRDefault="00744C5B" w:rsidP="00B00053">
            <w:pPr>
              <w:suppressLineNumbers/>
              <w:suppressAutoHyphens/>
              <w:kinsoku w:val="0"/>
              <w:overflowPunct w:val="0"/>
              <w:autoSpaceDE w:val="0"/>
              <w:autoSpaceDN w:val="0"/>
              <w:adjustRightInd w:val="0"/>
              <w:snapToGrid w:val="0"/>
              <w:ind w:left="1215"/>
              <w:rPr>
                <w:snapToGrid w:val="0"/>
                <w:kern w:val="22"/>
                <w:szCs w:val="22"/>
              </w:rPr>
            </w:pPr>
            <w:sdt>
              <w:sdtPr>
                <w:rPr>
                  <w:snapToGrid w:val="0"/>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B55FBC" w:rsidRPr="00131EA6">
                  <w:rPr>
                    <w:snapToGrid w:val="0"/>
                    <w:kern w:val="22"/>
                  </w:rPr>
                  <w:t>CBD/COP/15/</w:t>
                </w:r>
                <w:r w:rsidR="00951946" w:rsidRPr="00131EA6">
                  <w:rPr>
                    <w:snapToGrid w:val="0"/>
                    <w:kern w:val="22"/>
                  </w:rPr>
                  <w:t>Part-I/</w:t>
                </w:r>
                <w:r w:rsidR="00D36F85" w:rsidRPr="00131EA6">
                  <w:rPr>
                    <w:snapToGrid w:val="0"/>
                    <w:kern w:val="22"/>
                  </w:rPr>
                  <w:t>L.1</w:t>
                </w:r>
              </w:sdtContent>
            </w:sdt>
          </w:p>
          <w:p w14:paraId="0DF1F033" w14:textId="63607DA7" w:rsidR="00C9161D" w:rsidRPr="00131EA6" w:rsidRDefault="00951946" w:rsidP="00B00053">
            <w:pPr>
              <w:suppressLineNumbers/>
              <w:suppressAutoHyphens/>
              <w:kinsoku w:val="0"/>
              <w:overflowPunct w:val="0"/>
              <w:autoSpaceDE w:val="0"/>
              <w:autoSpaceDN w:val="0"/>
              <w:adjustRightInd w:val="0"/>
              <w:snapToGrid w:val="0"/>
              <w:ind w:left="1215"/>
              <w:rPr>
                <w:snapToGrid w:val="0"/>
                <w:kern w:val="22"/>
                <w:szCs w:val="22"/>
              </w:rPr>
            </w:pPr>
            <w:r w:rsidRPr="00131EA6">
              <w:rPr>
                <w:snapToGrid w:val="0"/>
                <w:kern w:val="22"/>
                <w:szCs w:val="22"/>
              </w:rPr>
              <w:t>11 octobre 2021</w:t>
            </w:r>
          </w:p>
          <w:p w14:paraId="159892DF" w14:textId="77777777" w:rsidR="00C9161D" w:rsidRPr="00131EA6" w:rsidRDefault="00C9161D" w:rsidP="00B00053">
            <w:pPr>
              <w:suppressLineNumbers/>
              <w:suppressAutoHyphens/>
              <w:kinsoku w:val="0"/>
              <w:overflowPunct w:val="0"/>
              <w:autoSpaceDE w:val="0"/>
              <w:autoSpaceDN w:val="0"/>
              <w:adjustRightInd w:val="0"/>
              <w:snapToGrid w:val="0"/>
              <w:ind w:left="1215"/>
              <w:rPr>
                <w:snapToGrid w:val="0"/>
                <w:kern w:val="22"/>
                <w:szCs w:val="22"/>
              </w:rPr>
            </w:pPr>
          </w:p>
          <w:p w14:paraId="19472D49" w14:textId="77777777" w:rsidR="00C9161D" w:rsidRPr="00131EA6" w:rsidRDefault="006B2290" w:rsidP="00B00053">
            <w:pPr>
              <w:suppressLineNumbers/>
              <w:suppressAutoHyphens/>
              <w:kinsoku w:val="0"/>
              <w:overflowPunct w:val="0"/>
              <w:autoSpaceDE w:val="0"/>
              <w:autoSpaceDN w:val="0"/>
              <w:adjustRightInd w:val="0"/>
              <w:snapToGrid w:val="0"/>
              <w:ind w:left="1215"/>
              <w:rPr>
                <w:snapToGrid w:val="0"/>
                <w:kern w:val="22"/>
                <w:szCs w:val="22"/>
              </w:rPr>
            </w:pPr>
            <w:r w:rsidRPr="00131EA6">
              <w:rPr>
                <w:snapToGrid w:val="0"/>
                <w:kern w:val="22"/>
                <w:szCs w:val="22"/>
              </w:rPr>
              <w:t xml:space="preserve">FRANÇAIS </w:t>
            </w:r>
            <w:r w:rsidRPr="00131EA6">
              <w:rPr>
                <w:snapToGrid w:val="0"/>
                <w:kern w:val="22"/>
                <w:szCs w:val="22"/>
              </w:rPr>
              <w:br/>
              <w:t>ORIGINAL : ANGLAIS</w:t>
            </w:r>
          </w:p>
          <w:p w14:paraId="5AA10CCE" w14:textId="77777777" w:rsidR="00C9161D" w:rsidRPr="00131EA6" w:rsidRDefault="00C9161D" w:rsidP="00B00053">
            <w:pPr>
              <w:suppressLineNumbers/>
              <w:suppressAutoHyphens/>
              <w:kinsoku w:val="0"/>
              <w:overflowPunct w:val="0"/>
              <w:autoSpaceDE w:val="0"/>
              <w:autoSpaceDN w:val="0"/>
              <w:adjustRightInd w:val="0"/>
              <w:snapToGrid w:val="0"/>
              <w:rPr>
                <w:snapToGrid w:val="0"/>
                <w:kern w:val="22"/>
              </w:rPr>
            </w:pPr>
          </w:p>
        </w:tc>
      </w:tr>
    </w:tbl>
    <w:p w14:paraId="16E481B9" w14:textId="77777777" w:rsidR="003B44F9" w:rsidRPr="00131EA6" w:rsidRDefault="003B44F9" w:rsidP="00B00053">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rPr>
      </w:pPr>
      <w:r w:rsidRPr="00131EA6">
        <w:rPr>
          <w:snapToGrid w:val="0"/>
          <w:kern w:val="22"/>
        </w:rPr>
        <w:t>CONFÉRENCE DES PARTIES À LA CONVENTION SUR LA DIVERSITÉ BIOLOGIQUE</w:t>
      </w:r>
    </w:p>
    <w:p w14:paraId="57515406" w14:textId="7B4CA310" w:rsidR="003B44F9" w:rsidRPr="00131EA6" w:rsidRDefault="003B44F9" w:rsidP="00B00053">
      <w:pPr>
        <w:pStyle w:val="Cornernotation"/>
        <w:suppressLineNumbers/>
        <w:suppressAutoHyphens/>
        <w:kinsoku w:val="0"/>
        <w:overflowPunct w:val="0"/>
        <w:autoSpaceDE w:val="0"/>
        <w:autoSpaceDN w:val="0"/>
        <w:adjustRightInd w:val="0"/>
        <w:snapToGrid w:val="0"/>
        <w:rPr>
          <w:snapToGrid w:val="0"/>
          <w:kern w:val="22"/>
        </w:rPr>
      </w:pPr>
      <w:r w:rsidRPr="00131EA6">
        <w:rPr>
          <w:snapToGrid w:val="0"/>
          <w:kern w:val="22"/>
        </w:rPr>
        <w:t>Quinzième réunion</w:t>
      </w:r>
      <w:r w:rsidR="000A263A">
        <w:rPr>
          <w:snapToGrid w:val="0"/>
          <w:kern w:val="22"/>
        </w:rPr>
        <w:t xml:space="preserve"> (partie I)</w:t>
      </w:r>
    </w:p>
    <w:p w14:paraId="66113E66" w14:textId="1C4CD6B3" w:rsidR="003B44F9" w:rsidRPr="00131EA6" w:rsidRDefault="000A263A" w:rsidP="00B00053">
      <w:pPr>
        <w:pStyle w:val="Cornernotation"/>
        <w:suppressLineNumbers/>
        <w:suppressAutoHyphens/>
        <w:kinsoku w:val="0"/>
        <w:overflowPunct w:val="0"/>
        <w:autoSpaceDE w:val="0"/>
        <w:autoSpaceDN w:val="0"/>
        <w:adjustRightInd w:val="0"/>
        <w:snapToGrid w:val="0"/>
        <w:ind w:right="4116"/>
        <w:rPr>
          <w:snapToGrid w:val="0"/>
          <w:kern w:val="22"/>
          <w:szCs w:val="22"/>
        </w:rPr>
      </w:pPr>
      <w:bookmarkStart w:id="0" w:name="OLE_LINK1"/>
      <w:bookmarkStart w:id="1" w:name="OLE_LINK2"/>
      <w:r>
        <w:rPr>
          <w:snapToGrid w:val="0"/>
          <w:kern w:val="22"/>
        </w:rPr>
        <w:t>En ligne,</w:t>
      </w:r>
      <w:r w:rsidR="003B44F9" w:rsidRPr="00131EA6">
        <w:rPr>
          <w:snapToGrid w:val="0"/>
          <w:kern w:val="22"/>
        </w:rPr>
        <w:t xml:space="preserve"> 11-15 octobre 202</w:t>
      </w:r>
      <w:bookmarkEnd w:id="0"/>
      <w:bookmarkEnd w:id="1"/>
      <w:r>
        <w:rPr>
          <w:snapToGrid w:val="0"/>
          <w:kern w:val="22"/>
        </w:rPr>
        <w:t>1</w:t>
      </w:r>
    </w:p>
    <w:p w14:paraId="5ECF7635" w14:textId="41B8366D" w:rsidR="00C9161D" w:rsidRPr="00131EA6" w:rsidRDefault="000A263A" w:rsidP="00B00053">
      <w:pPr>
        <w:suppressLineNumbers/>
        <w:suppressAutoHyphens/>
        <w:kinsoku w:val="0"/>
        <w:overflowPunct w:val="0"/>
        <w:autoSpaceDE w:val="0"/>
        <w:autoSpaceDN w:val="0"/>
        <w:adjustRightInd w:val="0"/>
        <w:snapToGrid w:val="0"/>
        <w:rPr>
          <w:snapToGrid w:val="0"/>
          <w:kern w:val="22"/>
        </w:rPr>
      </w:pPr>
      <w:r>
        <w:rPr>
          <w:snapToGrid w:val="0"/>
          <w:kern w:val="22"/>
          <w:szCs w:val="22"/>
        </w:rPr>
        <w:t xml:space="preserve">Point </w:t>
      </w:r>
      <w:r w:rsidR="00744C5B">
        <w:rPr>
          <w:snapToGrid w:val="0"/>
          <w:kern w:val="22"/>
          <w:szCs w:val="22"/>
        </w:rPr>
        <w:t>2</w:t>
      </w:r>
      <w:bookmarkStart w:id="2" w:name="_GoBack"/>
      <w:bookmarkEnd w:id="2"/>
      <w:r>
        <w:rPr>
          <w:snapToGrid w:val="0"/>
          <w:kern w:val="22"/>
          <w:szCs w:val="22"/>
        </w:rPr>
        <w:t>9</w:t>
      </w:r>
      <w:r w:rsidR="00355F0D" w:rsidRPr="00131EA6">
        <w:rPr>
          <w:snapToGrid w:val="0"/>
          <w:kern w:val="22"/>
          <w:szCs w:val="22"/>
        </w:rPr>
        <w:t xml:space="preserve"> de l’ordre du jour</w:t>
      </w:r>
    </w:p>
    <w:p w14:paraId="57F6B7A1" w14:textId="3B8EEDE2" w:rsidR="00C9161D" w:rsidRPr="00131EA6" w:rsidRDefault="00744C5B" w:rsidP="00B00053">
      <w:pPr>
        <w:suppressLineNumbers/>
        <w:suppressAutoHyphens/>
        <w:kinsoku w:val="0"/>
        <w:overflowPunct w:val="0"/>
        <w:autoSpaceDE w:val="0"/>
        <w:autoSpaceDN w:val="0"/>
        <w:adjustRightInd w:val="0"/>
        <w:snapToGrid w:val="0"/>
        <w:spacing w:before="240" w:after="120"/>
        <w:jc w:val="center"/>
        <w:rPr>
          <w:rFonts w:cs="Times New Roman Bold"/>
          <w:b/>
          <w:caps/>
          <w:snapToGrid w:val="0"/>
          <w:kern w:val="22"/>
        </w:rPr>
      </w:pPr>
      <w:sdt>
        <w:sdtPr>
          <w:rPr>
            <w:rFonts w:ascii="Times New Roman Bold" w:hAnsi="Times New Roman Bold" w:cs="Times New Roman Bold"/>
            <w:b/>
            <w:bCs/>
            <w:caps/>
            <w:snapToGrid w:val="0"/>
            <w:kern w:val="22"/>
          </w:rPr>
          <w:alias w:val="Title"/>
          <w:tag w:val=""/>
          <w:id w:val="726039545"/>
          <w:placeholder>
            <w:docPart w:val="5F4EB1BA065E4622B88E069470FC3560"/>
          </w:placeholder>
          <w:dataBinding w:prefixMappings="xmlns:ns0='http://purl.org/dc/elements/1.1/' xmlns:ns1='http://schemas.openxmlformats.org/package/2006/metadata/core-properties' " w:xpath="/ns1:coreProperties[1]/ns0:title[1]" w:storeItemID="{6C3C8BC8-F283-45AE-878A-BAB7291924A1}"/>
          <w:text/>
        </w:sdtPr>
        <w:sdtEndPr/>
        <w:sdtContent>
          <w:r w:rsidR="00FE5ACB" w:rsidRPr="00515982">
            <w:rPr>
              <w:rFonts w:ascii="Times New Roman Bold" w:hAnsi="Times New Roman Bold" w:cs="Times New Roman Bold"/>
              <w:b/>
              <w:bCs/>
              <w:caps/>
              <w:snapToGrid w:val="0"/>
              <w:kern w:val="22"/>
            </w:rPr>
            <w:t xml:space="preserve">PROJET DE RAPPORT </w:t>
          </w:r>
        </w:sdtContent>
      </w:sdt>
      <w:r w:rsidR="00355F0D" w:rsidRPr="00131EA6">
        <w:rPr>
          <w:rFonts w:ascii="Times New Roman Bold" w:hAnsi="Times New Roman Bold" w:cs="Times New Roman Bold"/>
          <w:b/>
          <w:bCs/>
          <w:caps/>
          <w:snapToGrid w:val="0"/>
          <w:kern w:val="22"/>
        </w:rPr>
        <w:t xml:space="preserve"> </w:t>
      </w:r>
    </w:p>
    <w:p w14:paraId="1A9BE3D9" w14:textId="06E8EF31" w:rsidR="00D77560" w:rsidRPr="000A263A" w:rsidRDefault="00951946" w:rsidP="000A263A">
      <w:pPr>
        <w:pStyle w:val="ListParagraph"/>
        <w:keepNext/>
        <w:numPr>
          <w:ilvl w:val="0"/>
          <w:numId w:val="23"/>
        </w:numPr>
        <w:suppressLineNumbers/>
        <w:suppressAutoHyphens/>
        <w:kinsoku w:val="0"/>
        <w:overflowPunct w:val="0"/>
        <w:autoSpaceDE w:val="0"/>
        <w:autoSpaceDN w:val="0"/>
        <w:adjustRightInd w:val="0"/>
        <w:snapToGrid w:val="0"/>
        <w:spacing w:before="120" w:after="120"/>
        <w:jc w:val="center"/>
        <w:outlineLvl w:val="0"/>
        <w:rPr>
          <w:rFonts w:ascii="Times New Roman Bold" w:hAnsi="Times New Roman Bold" w:cs="Times New Roman Bold"/>
          <w:b/>
          <w:snapToGrid w:val="0"/>
          <w:kern w:val="22"/>
          <w:szCs w:val="22"/>
        </w:rPr>
      </w:pPr>
      <w:r w:rsidRPr="000A263A">
        <w:rPr>
          <w:rFonts w:ascii="Times New Roman Bold" w:hAnsi="Times New Roman Bold" w:cs="Times New Roman Bold"/>
          <w:b/>
          <w:snapToGrid w:val="0"/>
          <w:kern w:val="22"/>
          <w:szCs w:val="22"/>
        </w:rPr>
        <w:t>COMPTE-RENDU DE LA RÉUNION</w:t>
      </w:r>
    </w:p>
    <w:p w14:paraId="599EE556" w14:textId="17D7D3AB" w:rsidR="00A57D5E" w:rsidRPr="00131EA6" w:rsidRDefault="00A57D5E" w:rsidP="00B00053">
      <w:pPr>
        <w:keepNext/>
        <w:suppressLineNumbers/>
        <w:suppressAutoHyphens/>
        <w:kinsoku w:val="0"/>
        <w:overflowPunct w:val="0"/>
        <w:autoSpaceDE w:val="0"/>
        <w:autoSpaceDN w:val="0"/>
        <w:adjustRightInd w:val="0"/>
        <w:snapToGrid w:val="0"/>
        <w:spacing w:before="120" w:after="120"/>
        <w:jc w:val="center"/>
        <w:outlineLvl w:val="0"/>
        <w:rPr>
          <w:rFonts w:ascii="Times New Roman Bold" w:hAnsi="Times New Roman Bold" w:cs="Times New Roman Bold"/>
          <w:b/>
          <w:i/>
          <w:iCs/>
          <w:snapToGrid w:val="0"/>
          <w:kern w:val="22"/>
          <w:szCs w:val="22"/>
        </w:rPr>
      </w:pPr>
      <w:r w:rsidRPr="00131EA6">
        <w:rPr>
          <w:rFonts w:ascii="Times New Roman Bold" w:hAnsi="Times New Roman Bold" w:cs="Times New Roman Bold"/>
          <w:b/>
          <w:snapToGrid w:val="0"/>
          <w:kern w:val="22"/>
          <w:szCs w:val="22"/>
        </w:rPr>
        <w:t>Rapporteur :</w:t>
      </w:r>
      <w:r w:rsidRPr="00131EA6">
        <w:rPr>
          <w:rFonts w:ascii="Times New Roman Bold" w:hAnsi="Times New Roman Bold" w:cs="Times New Roman Bold"/>
          <w:b/>
          <w:i/>
          <w:iCs/>
          <w:snapToGrid w:val="0"/>
          <w:kern w:val="22"/>
          <w:szCs w:val="22"/>
        </w:rPr>
        <w:t xml:space="preserve"> </w:t>
      </w:r>
      <w:r w:rsidRPr="00131EA6">
        <w:rPr>
          <w:i/>
          <w:snapToGrid w:val="0"/>
          <w:kern w:val="22"/>
          <w:szCs w:val="22"/>
        </w:rPr>
        <w:t>Mme. Elvana Ramaj (Albanie)</w:t>
      </w:r>
    </w:p>
    <w:p w14:paraId="71CD0AA3" w14:textId="4A930938" w:rsidR="00616CA1" w:rsidRPr="00131EA6" w:rsidRDefault="00616CA1" w:rsidP="00616CA1">
      <w:pPr>
        <w:pStyle w:val="ListParagraph"/>
        <w:keepNext/>
        <w:numPr>
          <w:ilvl w:val="0"/>
          <w:numId w:val="22"/>
        </w:numPr>
        <w:suppressLineNumbers/>
        <w:suppressAutoHyphens/>
        <w:kinsoku w:val="0"/>
        <w:overflowPunct w:val="0"/>
        <w:autoSpaceDE w:val="0"/>
        <w:autoSpaceDN w:val="0"/>
        <w:adjustRightInd w:val="0"/>
        <w:snapToGrid w:val="0"/>
        <w:spacing w:before="120" w:after="120"/>
        <w:jc w:val="center"/>
        <w:outlineLvl w:val="0"/>
        <w:rPr>
          <w:rFonts w:ascii="Times New Roman Bold" w:hAnsi="Times New Roman Bold" w:cs="Times New Roman Bold"/>
          <w:b/>
          <w:snapToGrid w:val="0"/>
          <w:kern w:val="22"/>
          <w:szCs w:val="22"/>
        </w:rPr>
      </w:pPr>
      <w:r w:rsidRPr="00131EA6">
        <w:rPr>
          <w:rFonts w:ascii="Times New Roman Bold" w:hAnsi="Times New Roman Bold" w:cs="Times New Roman Bold"/>
          <w:b/>
          <w:snapToGrid w:val="0"/>
          <w:kern w:val="22"/>
          <w:szCs w:val="22"/>
        </w:rPr>
        <w:t>Informations générales</w:t>
      </w:r>
    </w:p>
    <w:p w14:paraId="6980C410" w14:textId="2027DE15" w:rsidR="00D77560" w:rsidRPr="00131EA6" w:rsidRDefault="00D77560"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 xml:space="preserve">Donnant suite à l’invitation du Gouvernement chinois, et comme décidé par la Conférence des Parties à la Convention sur la diversité biologique dans sa </w:t>
      </w:r>
      <w:hyperlink r:id="rId15" w:history="1">
        <w:r w:rsidRPr="00131EA6">
          <w:rPr>
            <w:snapToGrid w:val="0"/>
            <w:kern w:val="22"/>
            <w:szCs w:val="22"/>
          </w:rPr>
          <w:t>décision </w:t>
        </w:r>
        <w:r w:rsidRPr="00131EA6">
          <w:rPr>
            <w:snapToGrid w:val="0"/>
            <w:color w:val="0000FF"/>
            <w:kern w:val="22"/>
            <w:szCs w:val="22"/>
            <w:u w:val="single"/>
          </w:rPr>
          <w:t>XIII/33</w:t>
        </w:r>
      </w:hyperlink>
      <w:r w:rsidRPr="00131EA6">
        <w:rPr>
          <w:snapToGrid w:val="0"/>
          <w:kern w:val="22"/>
          <w:szCs w:val="22"/>
        </w:rPr>
        <w:t>, il était prévu que la quinzième réunion de la Conférence des Parties se tienne à Kunming (Chine), du 15 au 28 octobre 2020, en même temps que la dixième réunion de la Conférence des Parties siégeant en tant que réunion des Parties au Protocole de Cartagena sur la prévention des risques biotechnologiques et la quatrième réunion de la Conférence des Parties siégeant en tant que réunion des Parties au Protocole de Nagoya sur l’accès aux ressources génétiques et le partage juste et équitable des avantages découlant de leur utilisation. Cependant, du fait de la pandémie en cours de la maladie du coronavirus (COVID-19), les réunions ont été reportées, initialement au mois de mai 2021, puis à nouveau, en raison de la persistance de la pandémie.</w:t>
      </w:r>
    </w:p>
    <w:p w14:paraId="0BEE778D" w14:textId="393B4747" w:rsidR="00D77560" w:rsidRPr="00131EA6" w:rsidRDefault="00D77560"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Après des consultations extensives et compte tenu des difficultés que la pandémie continuait de poser pour tenir des réunions en personne, le Bureau de la Conférence des Parties à la Convention sur la diversité biologique a décidé, à sa réunion tenue le 14 juillet 2021, d’organiser ces réunions en deux parties : la première partie (partie I) aurait lieu en ligne du 11 au 15 octobre 2021, et la deuxième partie (partie II) se tiendrait en personne à Kunming (Chine), du 25 avril au 8 mai 2022. La partie I de la réunion s’est tenue en lig</w:t>
      </w:r>
      <w:r w:rsidR="000A263A">
        <w:rPr>
          <w:snapToGrid w:val="0"/>
          <w:kern w:val="22"/>
          <w:szCs w:val="22"/>
        </w:rPr>
        <w:t>ne</w:t>
      </w:r>
      <w:r w:rsidRPr="00131EA6">
        <w:rPr>
          <w:snapToGrid w:val="0"/>
          <w:kern w:val="22"/>
          <w:szCs w:val="22"/>
        </w:rPr>
        <w:t>.</w:t>
      </w:r>
    </w:p>
    <w:p w14:paraId="2BADFE74" w14:textId="6F247B2C" w:rsidR="00BB468E" w:rsidRPr="00131EA6" w:rsidRDefault="00BB468E" w:rsidP="006137A9">
      <w:pPr>
        <w:pStyle w:val="ListParagraph"/>
        <w:keepNext/>
        <w:numPr>
          <w:ilvl w:val="0"/>
          <w:numId w:val="22"/>
        </w:numPr>
        <w:suppressLineNumbers/>
        <w:suppressAutoHyphens/>
        <w:kinsoku w:val="0"/>
        <w:overflowPunct w:val="0"/>
        <w:autoSpaceDE w:val="0"/>
        <w:autoSpaceDN w:val="0"/>
        <w:adjustRightInd w:val="0"/>
        <w:snapToGrid w:val="0"/>
        <w:spacing w:before="120" w:after="120"/>
        <w:jc w:val="center"/>
        <w:outlineLvl w:val="0"/>
        <w:rPr>
          <w:rFonts w:ascii="Times New Roman Bold" w:hAnsi="Times New Roman Bold" w:cs="Times New Roman Bold"/>
          <w:b/>
          <w:snapToGrid w:val="0"/>
          <w:kern w:val="22"/>
          <w:szCs w:val="22"/>
        </w:rPr>
      </w:pPr>
      <w:r w:rsidRPr="00131EA6">
        <w:rPr>
          <w:rFonts w:ascii="Times New Roman Bold" w:hAnsi="Times New Roman Bold" w:cs="Times New Roman Bold"/>
          <w:b/>
          <w:snapToGrid w:val="0"/>
          <w:kern w:val="22"/>
          <w:szCs w:val="22"/>
        </w:rPr>
        <w:t>Participation</w:t>
      </w:r>
    </w:p>
    <w:p w14:paraId="65962D56" w14:textId="54958A5A" w:rsidR="006137A9" w:rsidRPr="00131EA6" w:rsidRDefault="006137A9" w:rsidP="006137A9">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rFonts w:ascii="Times New Roman Bold" w:hAnsi="Times New Roman Bold" w:cs="Times New Roman Bold"/>
          <w:b/>
          <w:snapToGrid w:val="0"/>
          <w:kern w:val="22"/>
          <w:szCs w:val="22"/>
        </w:rPr>
      </w:pPr>
      <w:r w:rsidRPr="00131EA6">
        <w:rPr>
          <w:snapToGrid w:val="0"/>
          <w:kern w:val="22"/>
          <w:szCs w:val="22"/>
        </w:rPr>
        <w:t>[</w:t>
      </w:r>
      <w:r w:rsidRPr="00131EA6">
        <w:rPr>
          <w:i/>
          <w:iCs/>
          <w:snapToGrid w:val="0"/>
          <w:kern w:val="22"/>
          <w:szCs w:val="22"/>
        </w:rPr>
        <w:t>à compléter</w:t>
      </w:r>
      <w:r w:rsidRPr="00131EA6">
        <w:rPr>
          <w:snapToGrid w:val="0"/>
          <w:kern w:val="22"/>
          <w:szCs w:val="22"/>
        </w:rPr>
        <w:t>].</w:t>
      </w:r>
    </w:p>
    <w:p w14:paraId="3B1C96E2" w14:textId="2BB932C6" w:rsidR="001B74B5" w:rsidRPr="00131EA6" w:rsidRDefault="001B74B5" w:rsidP="001B74B5">
      <w:pPr>
        <w:keepNext/>
        <w:suppressLineNumbers/>
        <w:tabs>
          <w:tab w:val="left" w:pos="810"/>
        </w:tabs>
        <w:suppressAutoHyphens/>
        <w:kinsoku w:val="0"/>
        <w:overflowPunct w:val="0"/>
        <w:autoSpaceDE w:val="0"/>
        <w:autoSpaceDN w:val="0"/>
        <w:adjustRightInd w:val="0"/>
        <w:snapToGrid w:val="0"/>
        <w:spacing w:before="120" w:after="120"/>
        <w:jc w:val="center"/>
        <w:outlineLvl w:val="1"/>
        <w:rPr>
          <w:b/>
          <w:bCs/>
          <w:iCs/>
          <w:snapToGrid w:val="0"/>
          <w:kern w:val="22"/>
          <w:szCs w:val="22"/>
        </w:rPr>
      </w:pPr>
      <w:r w:rsidRPr="00131EA6">
        <w:rPr>
          <w:rFonts w:ascii="Times New Roman Bold" w:hAnsi="Times New Roman Bold" w:cs="Times New Roman Bold"/>
          <w:b/>
          <w:snapToGrid w:val="0"/>
          <w:kern w:val="22"/>
          <w:szCs w:val="22"/>
        </w:rPr>
        <w:t>C.</w:t>
      </w:r>
      <w:r w:rsidRPr="00131EA6">
        <w:rPr>
          <w:rFonts w:ascii="Times New Roman Bold" w:hAnsi="Times New Roman Bold" w:cs="Times New Roman Bold"/>
          <w:b/>
          <w:snapToGrid w:val="0"/>
          <w:kern w:val="22"/>
          <w:szCs w:val="22"/>
        </w:rPr>
        <w:tab/>
        <w:t>Questions d'organisation</w:t>
      </w:r>
      <w:r w:rsidRPr="00131EA6">
        <w:rPr>
          <w:b/>
          <w:bCs/>
          <w:iCs/>
          <w:snapToGrid w:val="0"/>
          <w:kern w:val="22"/>
          <w:szCs w:val="22"/>
        </w:rPr>
        <w:t xml:space="preserve"> </w:t>
      </w:r>
    </w:p>
    <w:p w14:paraId="018415F1" w14:textId="37E823F3" w:rsidR="00D77560" w:rsidRPr="00131EA6" w:rsidRDefault="001B74B5" w:rsidP="001B74B5">
      <w:pPr>
        <w:keepNext/>
        <w:suppressLineNumbers/>
        <w:tabs>
          <w:tab w:val="left" w:pos="810"/>
        </w:tabs>
        <w:suppressAutoHyphens/>
        <w:kinsoku w:val="0"/>
        <w:overflowPunct w:val="0"/>
        <w:autoSpaceDE w:val="0"/>
        <w:autoSpaceDN w:val="0"/>
        <w:adjustRightInd w:val="0"/>
        <w:snapToGrid w:val="0"/>
        <w:spacing w:before="120" w:after="120"/>
        <w:jc w:val="center"/>
        <w:outlineLvl w:val="1"/>
        <w:rPr>
          <w:b/>
          <w:bCs/>
          <w:iCs/>
          <w:snapToGrid w:val="0"/>
          <w:kern w:val="22"/>
          <w:szCs w:val="22"/>
        </w:rPr>
      </w:pPr>
      <w:r w:rsidRPr="00131EA6">
        <w:rPr>
          <w:b/>
          <w:bCs/>
          <w:iCs/>
          <w:snapToGrid w:val="0"/>
          <w:kern w:val="22"/>
          <w:szCs w:val="22"/>
        </w:rPr>
        <w:t>Point 1.</w:t>
      </w:r>
      <w:r w:rsidRPr="00131EA6">
        <w:rPr>
          <w:bCs/>
          <w:iCs/>
          <w:snapToGrid w:val="0"/>
          <w:kern w:val="22"/>
          <w:szCs w:val="22"/>
        </w:rPr>
        <w:tab/>
      </w:r>
      <w:r w:rsidRPr="00131EA6">
        <w:rPr>
          <w:b/>
          <w:bCs/>
          <w:iCs/>
          <w:snapToGrid w:val="0"/>
          <w:kern w:val="22"/>
          <w:szCs w:val="22"/>
        </w:rPr>
        <w:t>Ouverture de la réunion</w:t>
      </w:r>
    </w:p>
    <w:p w14:paraId="3F898B5B" w14:textId="1938412D" w:rsidR="00780350" w:rsidRDefault="00780350" w:rsidP="00955BE0">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bookmarkStart w:id="3" w:name="Item01"/>
      <w:r>
        <w:rPr>
          <w:snapToGrid w:val="0"/>
          <w:kern w:val="22"/>
          <w:szCs w:val="22"/>
        </w:rPr>
        <w:t>Mme Yasmine Fouad, ministre l’Environnement de l’Égypte et présidente de la quatorzième réunion de la Conférence des Parties, a ouvert la réunion à 15 h 15</w:t>
      </w:r>
      <w:r w:rsidR="00354817">
        <w:rPr>
          <w:snapToGrid w:val="0"/>
          <w:kern w:val="22"/>
          <w:szCs w:val="22"/>
        </w:rPr>
        <w:t>,</w:t>
      </w:r>
      <w:r w:rsidRPr="00131EA6">
        <w:rPr>
          <w:rStyle w:val="FootnoteReference"/>
          <w:snapToGrid w:val="0"/>
          <w:kern w:val="22"/>
          <w:szCs w:val="22"/>
        </w:rPr>
        <w:footnoteReference w:id="2"/>
      </w:r>
      <w:r w:rsidRPr="00131EA6">
        <w:rPr>
          <w:snapToGrid w:val="0"/>
          <w:kern w:val="22"/>
          <w:szCs w:val="22"/>
        </w:rPr>
        <w:t xml:space="preserve"> </w:t>
      </w:r>
      <w:r>
        <w:rPr>
          <w:snapToGrid w:val="0"/>
          <w:kern w:val="22"/>
          <w:szCs w:val="22"/>
        </w:rPr>
        <w:t xml:space="preserve">le 11 octobre 2021, et a présenté l’allocution d’ouverture. Dans son allocution, la présidente a </w:t>
      </w:r>
      <w:r w:rsidR="00FE2FEB">
        <w:rPr>
          <w:snapToGrid w:val="0"/>
          <w:kern w:val="22"/>
          <w:szCs w:val="22"/>
        </w:rPr>
        <w:t>rappelé</w:t>
      </w:r>
      <w:r>
        <w:rPr>
          <w:snapToGrid w:val="0"/>
          <w:kern w:val="22"/>
          <w:szCs w:val="22"/>
        </w:rPr>
        <w:t xml:space="preserve"> les principales conclusions de la quatorzième réunion</w:t>
      </w:r>
      <w:r w:rsidR="00FE2FEB">
        <w:rPr>
          <w:snapToGrid w:val="0"/>
          <w:kern w:val="22"/>
          <w:szCs w:val="22"/>
        </w:rPr>
        <w:t>,</w:t>
      </w:r>
      <w:r>
        <w:rPr>
          <w:snapToGrid w:val="0"/>
          <w:kern w:val="22"/>
          <w:szCs w:val="22"/>
        </w:rPr>
        <w:t xml:space="preserve"> ainsi que les travaux de la Convention qui ont suivi</w:t>
      </w:r>
      <w:r w:rsidR="00A22FF8">
        <w:rPr>
          <w:snapToGrid w:val="0"/>
          <w:kern w:val="22"/>
          <w:szCs w:val="22"/>
        </w:rPr>
        <w:t xml:space="preserve"> au cours de la présidence égyptienne. Elle a mentionné les difficultés et les retards causés par la pandémie de la COVID-19, qui ont </w:t>
      </w:r>
      <w:r w:rsidR="00A22FF8">
        <w:rPr>
          <w:snapToGrid w:val="0"/>
          <w:kern w:val="22"/>
          <w:szCs w:val="22"/>
        </w:rPr>
        <w:lastRenderedPageBreak/>
        <w:t>mené à la nécessité de présenter les réunions en ligne. Elle a remercié tous ceux qui contribué à faire en sorte que les processus de la Convention se poursuivent</w:t>
      </w:r>
      <w:r w:rsidR="00354817">
        <w:rPr>
          <w:snapToGrid w:val="0"/>
          <w:kern w:val="22"/>
          <w:szCs w:val="22"/>
        </w:rPr>
        <w:t>,</w:t>
      </w:r>
      <w:r w:rsidR="00A22FF8">
        <w:rPr>
          <w:snapToGrid w:val="0"/>
          <w:kern w:val="22"/>
          <w:szCs w:val="22"/>
        </w:rPr>
        <w:t xml:space="preserve"> en ajoutant qu’elle se réjouissait du développement d’un cadre mondial de la biodiversité pour l'après-2020 efficace.</w:t>
      </w:r>
    </w:p>
    <w:p w14:paraId="744763E4" w14:textId="29C593D5" w:rsidR="00A22FF8" w:rsidRDefault="00A22FF8" w:rsidP="00955BE0">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Pr>
          <w:snapToGrid w:val="0"/>
          <w:kern w:val="22"/>
          <w:szCs w:val="22"/>
        </w:rPr>
        <w:t>L’intervention de Mme Fouad a été suivie d’une présentation vidéo préparée par le gouvernement de la Chine sur l’augmentation et la migration des population d’éléphants d’Asie dans l</w:t>
      </w:r>
      <w:r w:rsidR="00FE2FEB">
        <w:rPr>
          <w:snapToGrid w:val="0"/>
          <w:kern w:val="22"/>
          <w:szCs w:val="22"/>
        </w:rPr>
        <w:t>a</w:t>
      </w:r>
      <w:r>
        <w:rPr>
          <w:snapToGrid w:val="0"/>
          <w:kern w:val="22"/>
          <w:szCs w:val="22"/>
        </w:rPr>
        <w:t xml:space="preserve"> province du Yunnan, et d’une prestation musicale par deux groupes d’artistes autochtones du Yunnan.</w:t>
      </w:r>
    </w:p>
    <w:p w14:paraId="3FCEB391" w14:textId="04465EF8" w:rsidR="00955BE0" w:rsidRPr="00131EA6" w:rsidRDefault="00354817" w:rsidP="00955BE0">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Pr>
          <w:snapToGrid w:val="0"/>
          <w:kern w:val="22"/>
          <w:szCs w:val="22"/>
        </w:rPr>
        <w:t xml:space="preserve">Le transfert de la présidence de la Conférence des Parties a été effectuée par </w:t>
      </w:r>
      <w:r w:rsidR="00DD607A" w:rsidRPr="00131EA6">
        <w:rPr>
          <w:snapToGrid w:val="0"/>
          <w:kern w:val="22"/>
          <w:szCs w:val="22"/>
        </w:rPr>
        <w:t xml:space="preserve">M. Mohammed El Badry, </w:t>
      </w:r>
      <w:r>
        <w:rPr>
          <w:snapToGrid w:val="0"/>
          <w:kern w:val="22"/>
          <w:szCs w:val="22"/>
        </w:rPr>
        <w:t xml:space="preserve">ambassadeur de l’Égypte </w:t>
      </w:r>
      <w:r w:rsidR="00B2503D">
        <w:rPr>
          <w:snapToGrid w:val="0"/>
          <w:kern w:val="22"/>
          <w:szCs w:val="22"/>
        </w:rPr>
        <w:t>en</w:t>
      </w:r>
      <w:r>
        <w:rPr>
          <w:snapToGrid w:val="0"/>
          <w:kern w:val="22"/>
          <w:szCs w:val="22"/>
        </w:rPr>
        <w:t xml:space="preserve"> République populaire de Chine, au nom de Mme Yasmine Fouad.</w:t>
      </w:r>
      <w:r w:rsidR="00B2503D">
        <w:rPr>
          <w:snapToGrid w:val="0"/>
          <w:kern w:val="22"/>
          <w:szCs w:val="22"/>
        </w:rPr>
        <w:t xml:space="preserve"> </w:t>
      </w:r>
      <w:r w:rsidR="00DD607A" w:rsidRPr="00131EA6">
        <w:rPr>
          <w:snapToGrid w:val="0"/>
          <w:kern w:val="22"/>
          <w:szCs w:val="22"/>
        </w:rPr>
        <w:t xml:space="preserve"> M. Runqiu Huang, </w:t>
      </w:r>
      <w:r w:rsidR="005C46E7">
        <w:rPr>
          <w:snapToGrid w:val="0"/>
          <w:kern w:val="22"/>
          <w:szCs w:val="22"/>
        </w:rPr>
        <w:t xml:space="preserve">ministre de </w:t>
      </w:r>
      <w:r w:rsidR="00B2503D">
        <w:rPr>
          <w:snapToGrid w:val="0"/>
          <w:kern w:val="22"/>
          <w:szCs w:val="22"/>
        </w:rPr>
        <w:t xml:space="preserve">l’Écologie et de </w:t>
      </w:r>
      <w:r w:rsidR="005C46E7">
        <w:rPr>
          <w:snapToGrid w:val="0"/>
          <w:kern w:val="22"/>
          <w:szCs w:val="22"/>
        </w:rPr>
        <w:t>l’Environnement</w:t>
      </w:r>
      <w:r w:rsidR="00DD607A" w:rsidRPr="00131EA6">
        <w:rPr>
          <w:snapToGrid w:val="0"/>
          <w:kern w:val="22"/>
          <w:szCs w:val="22"/>
        </w:rPr>
        <w:t xml:space="preserve"> </w:t>
      </w:r>
      <w:r w:rsidR="00B2503D">
        <w:rPr>
          <w:snapToGrid w:val="0"/>
          <w:kern w:val="22"/>
          <w:szCs w:val="22"/>
        </w:rPr>
        <w:t>de la</w:t>
      </w:r>
      <w:r w:rsidR="00DD607A" w:rsidRPr="00131EA6">
        <w:rPr>
          <w:snapToGrid w:val="0"/>
          <w:kern w:val="22"/>
          <w:szCs w:val="22"/>
        </w:rPr>
        <w:t xml:space="preserve"> Chine</w:t>
      </w:r>
      <w:r w:rsidR="00B2503D">
        <w:rPr>
          <w:snapToGrid w:val="0"/>
          <w:kern w:val="22"/>
          <w:szCs w:val="22"/>
        </w:rPr>
        <w:t>, a été élu par acclamation par le Conférence des Parties</w:t>
      </w:r>
      <w:r w:rsidR="00DD607A" w:rsidRPr="00131EA6">
        <w:rPr>
          <w:snapToGrid w:val="0"/>
          <w:kern w:val="22"/>
          <w:szCs w:val="22"/>
        </w:rPr>
        <w:t>.</w:t>
      </w:r>
    </w:p>
    <w:p w14:paraId="3458AA1B" w14:textId="4FDD391C" w:rsidR="00000E29" w:rsidRDefault="00000E29" w:rsidP="0052233E">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 xml:space="preserve">Des déclarations liminaires ont été prononcées par : M. Zheng </w:t>
      </w:r>
      <w:r w:rsidR="00B2503D">
        <w:rPr>
          <w:snapToGrid w:val="0"/>
          <w:kern w:val="22"/>
          <w:szCs w:val="22"/>
        </w:rPr>
        <w:t>Han, Vice-Premier du Conseil d’État </w:t>
      </w:r>
      <w:r w:rsidRPr="00131EA6">
        <w:rPr>
          <w:snapToGrid w:val="0"/>
          <w:kern w:val="22"/>
          <w:szCs w:val="22"/>
        </w:rPr>
        <w:t>; Mme Inger Andersen, Directrice exécutive du Programme des Nations Unies pour l’environnement, au nom de Mme Amina Mohammed, Secrétaire adjointe du Secrétaire général des Nations Unies (par vidéo) ; M. Chengfa Ruan, Secrétaire du Parti communiste de la Province du Yunnan et Mme Elizabeth Maruma Mrema, Secrétaire exécutive de la Convention sur la diversité biologique.</w:t>
      </w:r>
    </w:p>
    <w:p w14:paraId="74E4D850" w14:textId="7B8C56A5" w:rsidR="00B2503D" w:rsidRDefault="00B2503D" w:rsidP="0052233E">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Pr>
          <w:snapToGrid w:val="0"/>
          <w:kern w:val="22"/>
          <w:szCs w:val="22"/>
        </w:rPr>
        <w:t xml:space="preserve">M. </w:t>
      </w:r>
      <w:r w:rsidR="00E60A93">
        <w:rPr>
          <w:snapToGrid w:val="0"/>
          <w:kern w:val="22"/>
          <w:szCs w:val="22"/>
        </w:rPr>
        <w:t>Han</w:t>
      </w:r>
      <w:r>
        <w:rPr>
          <w:snapToGrid w:val="0"/>
          <w:kern w:val="22"/>
          <w:szCs w:val="22"/>
        </w:rPr>
        <w:t xml:space="preserve"> a déclaré (</w:t>
      </w:r>
      <w:r w:rsidRPr="00B2503D">
        <w:rPr>
          <w:i/>
          <w:snapToGrid w:val="0"/>
          <w:kern w:val="22"/>
          <w:szCs w:val="22"/>
        </w:rPr>
        <w:t>à compléter</w:t>
      </w:r>
      <w:r>
        <w:rPr>
          <w:snapToGrid w:val="0"/>
          <w:kern w:val="22"/>
          <w:szCs w:val="22"/>
        </w:rPr>
        <w:t>)</w:t>
      </w:r>
    </w:p>
    <w:p w14:paraId="10A0A798" w14:textId="027F8BA9" w:rsidR="00B2503D" w:rsidRDefault="00B2503D" w:rsidP="0052233E">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Pr>
          <w:snapToGrid w:val="0"/>
          <w:kern w:val="22"/>
          <w:szCs w:val="22"/>
        </w:rPr>
        <w:t>Mme Anderson a demandé</w:t>
      </w:r>
      <w:r w:rsidR="00A24F74">
        <w:rPr>
          <w:snapToGrid w:val="0"/>
          <w:kern w:val="22"/>
          <w:szCs w:val="22"/>
        </w:rPr>
        <w:t xml:space="preserve"> </w:t>
      </w:r>
      <w:r w:rsidR="00FA5FDC">
        <w:rPr>
          <w:snapToGrid w:val="0"/>
          <w:kern w:val="22"/>
          <w:szCs w:val="22"/>
        </w:rPr>
        <w:t xml:space="preserve">des actions ambitieuses </w:t>
      </w:r>
      <w:r w:rsidR="00A24F74">
        <w:rPr>
          <w:snapToGrid w:val="0"/>
          <w:kern w:val="22"/>
          <w:szCs w:val="22"/>
        </w:rPr>
        <w:t xml:space="preserve">pour assurer les progrès </w:t>
      </w:r>
      <w:r w:rsidR="00FA5FDC">
        <w:rPr>
          <w:snapToGrid w:val="0"/>
          <w:kern w:val="22"/>
          <w:szCs w:val="22"/>
        </w:rPr>
        <w:t xml:space="preserve">nécessaires </w:t>
      </w:r>
      <w:r w:rsidR="00A24F74">
        <w:rPr>
          <w:snapToGrid w:val="0"/>
          <w:kern w:val="22"/>
          <w:szCs w:val="22"/>
        </w:rPr>
        <w:t>pour faire la paix avec la nature, ce que le secrétaire général a qualifié de tâche centrale du vingt et unième siècle. Les résulta</w:t>
      </w:r>
      <w:r w:rsidR="00234F5A">
        <w:rPr>
          <w:snapToGrid w:val="0"/>
          <w:kern w:val="22"/>
          <w:szCs w:val="22"/>
        </w:rPr>
        <w:t>t</w:t>
      </w:r>
      <w:r w:rsidR="00A24F74">
        <w:rPr>
          <w:snapToGrid w:val="0"/>
          <w:kern w:val="22"/>
          <w:szCs w:val="22"/>
        </w:rPr>
        <w:t xml:space="preserve">s généraux des mesures, des ambitions et de l’impact des Objectifs d’Aichi pour la biodiversité ont été inadéquats, et le cadre mondial de la biodiversité pour l'après-2020 </w:t>
      </w:r>
      <w:r w:rsidR="00FA5FDC">
        <w:rPr>
          <w:snapToGrid w:val="0"/>
          <w:kern w:val="22"/>
          <w:szCs w:val="22"/>
        </w:rPr>
        <w:t>offre</w:t>
      </w:r>
      <w:r w:rsidR="00A24F74">
        <w:rPr>
          <w:snapToGrid w:val="0"/>
          <w:kern w:val="22"/>
          <w:szCs w:val="22"/>
        </w:rPr>
        <w:t xml:space="preserve"> l’occasion de tracer un </w:t>
      </w:r>
      <w:r w:rsidR="00234F5A">
        <w:rPr>
          <w:snapToGrid w:val="0"/>
          <w:kern w:val="22"/>
          <w:szCs w:val="22"/>
        </w:rPr>
        <w:t>nouveau</w:t>
      </w:r>
      <w:r w:rsidR="00A24F74">
        <w:rPr>
          <w:snapToGrid w:val="0"/>
          <w:kern w:val="22"/>
          <w:szCs w:val="22"/>
        </w:rPr>
        <w:t xml:space="preserve"> chemin. Des </w:t>
      </w:r>
      <w:r w:rsidR="00234F5A">
        <w:rPr>
          <w:snapToGrid w:val="0"/>
          <w:kern w:val="22"/>
          <w:szCs w:val="22"/>
        </w:rPr>
        <w:t>mesures</w:t>
      </w:r>
      <w:r w:rsidR="00A24F74">
        <w:rPr>
          <w:snapToGrid w:val="0"/>
          <w:kern w:val="22"/>
          <w:szCs w:val="22"/>
        </w:rPr>
        <w:t xml:space="preserve"> claires et tangibles s’imposent</w:t>
      </w:r>
      <w:r w:rsidR="00234F5A">
        <w:rPr>
          <w:snapToGrid w:val="0"/>
          <w:kern w:val="22"/>
          <w:szCs w:val="22"/>
        </w:rPr>
        <w:t xml:space="preserve">, et la lancée positive pour la biodiversité </w:t>
      </w:r>
      <w:r w:rsidR="00B713C8">
        <w:rPr>
          <w:snapToGrid w:val="0"/>
          <w:kern w:val="22"/>
          <w:szCs w:val="22"/>
        </w:rPr>
        <w:t xml:space="preserve">qu’a connu le programme </w:t>
      </w:r>
      <w:r w:rsidR="00234F5A">
        <w:rPr>
          <w:snapToGrid w:val="0"/>
          <w:kern w:val="22"/>
          <w:szCs w:val="22"/>
        </w:rPr>
        <w:t xml:space="preserve">au cours de la conférence communiquera aux gouvernements participant à la Conférence des Nations Unies sur les changements climatiques de 2021 le message d’un objectif commun et mondial </w:t>
      </w:r>
      <w:r w:rsidR="00B713C8">
        <w:rPr>
          <w:snapToGrid w:val="0"/>
          <w:kern w:val="22"/>
          <w:szCs w:val="22"/>
        </w:rPr>
        <w:t xml:space="preserve">pour offrir </w:t>
      </w:r>
      <w:r w:rsidR="00234F5A">
        <w:rPr>
          <w:snapToGrid w:val="0"/>
          <w:kern w:val="22"/>
          <w:szCs w:val="22"/>
        </w:rPr>
        <w:t>de</w:t>
      </w:r>
      <w:r w:rsidR="00B713C8">
        <w:rPr>
          <w:snapToGrid w:val="0"/>
          <w:kern w:val="22"/>
          <w:szCs w:val="22"/>
        </w:rPr>
        <w:t>s</w:t>
      </w:r>
      <w:r w:rsidR="00234F5A">
        <w:rPr>
          <w:snapToGrid w:val="0"/>
          <w:kern w:val="22"/>
          <w:szCs w:val="22"/>
        </w:rPr>
        <w:t xml:space="preserve"> résultats pour les populations et la planète</w:t>
      </w:r>
      <w:r w:rsidR="00A24F74">
        <w:rPr>
          <w:snapToGrid w:val="0"/>
          <w:kern w:val="22"/>
          <w:szCs w:val="22"/>
        </w:rPr>
        <w:t xml:space="preserve">. </w:t>
      </w:r>
    </w:p>
    <w:p w14:paraId="333D22E7" w14:textId="4147EFEB" w:rsidR="00BA341E" w:rsidRPr="00131EA6" w:rsidRDefault="00BA341E" w:rsidP="0052233E">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Pr>
          <w:snapToGrid w:val="0"/>
          <w:kern w:val="22"/>
          <w:szCs w:val="22"/>
        </w:rPr>
        <w:t>M. Chengfa a déclaré (</w:t>
      </w:r>
      <w:r w:rsidRPr="00BA341E">
        <w:rPr>
          <w:i/>
          <w:snapToGrid w:val="0"/>
          <w:kern w:val="22"/>
          <w:szCs w:val="22"/>
        </w:rPr>
        <w:t>à compléter</w:t>
      </w:r>
      <w:r>
        <w:rPr>
          <w:snapToGrid w:val="0"/>
          <w:kern w:val="22"/>
          <w:szCs w:val="22"/>
        </w:rPr>
        <w:t>)</w:t>
      </w:r>
    </w:p>
    <w:p w14:paraId="7FCBF225" w14:textId="188B9D6F" w:rsidR="00BA341E" w:rsidRPr="00BA341E" w:rsidRDefault="00BA341E" w:rsidP="00955BE0">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Pr>
          <w:snapToGrid w:val="0"/>
          <w:kern w:val="22"/>
          <w:szCs w:val="22"/>
        </w:rPr>
        <w:t>Mme Mrema a souligné les progrès insuffisants accomplis au cours de la dernière</w:t>
      </w:r>
      <w:r w:rsidR="00FA7548">
        <w:rPr>
          <w:snapToGrid w:val="0"/>
          <w:kern w:val="22"/>
          <w:szCs w:val="22"/>
        </w:rPr>
        <w:t xml:space="preserve"> </w:t>
      </w:r>
      <w:r>
        <w:rPr>
          <w:snapToGrid w:val="0"/>
          <w:kern w:val="22"/>
          <w:szCs w:val="22"/>
        </w:rPr>
        <w:t>décennie, mais s’est réjoui</w:t>
      </w:r>
      <w:r w:rsidR="00B713C8">
        <w:rPr>
          <w:snapToGrid w:val="0"/>
          <w:kern w:val="22"/>
          <w:szCs w:val="22"/>
        </w:rPr>
        <w:t>e</w:t>
      </w:r>
      <w:r>
        <w:rPr>
          <w:snapToGrid w:val="0"/>
          <w:kern w:val="22"/>
          <w:szCs w:val="22"/>
        </w:rPr>
        <w:t xml:space="preserve"> de l’engagement accru des acteurs non-gouvernementaux, qui témoigne d’un profo</w:t>
      </w:r>
      <w:r w:rsidR="00FA7548">
        <w:rPr>
          <w:snapToGrid w:val="0"/>
          <w:kern w:val="22"/>
          <w:szCs w:val="22"/>
        </w:rPr>
        <w:t>nd virage dans la sensibilisati</w:t>
      </w:r>
      <w:r>
        <w:rPr>
          <w:snapToGrid w:val="0"/>
          <w:kern w:val="22"/>
          <w:szCs w:val="22"/>
        </w:rPr>
        <w:t xml:space="preserve">on </w:t>
      </w:r>
      <w:r w:rsidR="00F2472A">
        <w:rPr>
          <w:snapToGrid w:val="0"/>
          <w:kern w:val="22"/>
          <w:szCs w:val="22"/>
        </w:rPr>
        <w:t>aux urgences interdépendantes en matière de biodiversité, de climat et de</w:t>
      </w:r>
      <w:r>
        <w:rPr>
          <w:snapToGrid w:val="0"/>
          <w:kern w:val="22"/>
          <w:szCs w:val="22"/>
        </w:rPr>
        <w:t xml:space="preserve"> santé au</w:t>
      </w:r>
      <w:r w:rsidR="00F2472A">
        <w:rPr>
          <w:snapToGrid w:val="0"/>
          <w:kern w:val="22"/>
          <w:szCs w:val="22"/>
        </w:rPr>
        <w:t>x</w:t>
      </w:r>
      <w:r>
        <w:rPr>
          <w:snapToGrid w:val="0"/>
          <w:kern w:val="22"/>
          <w:szCs w:val="22"/>
        </w:rPr>
        <w:t>quelle</w:t>
      </w:r>
      <w:r w:rsidR="00F2472A">
        <w:rPr>
          <w:snapToGrid w:val="0"/>
          <w:kern w:val="22"/>
          <w:szCs w:val="22"/>
        </w:rPr>
        <w:t>s</w:t>
      </w:r>
      <w:r>
        <w:rPr>
          <w:snapToGrid w:val="0"/>
          <w:kern w:val="22"/>
          <w:szCs w:val="22"/>
        </w:rPr>
        <w:t xml:space="preserve"> le monde est confronté. Les engagements ambitieux des dernières années en réponse au besoin urgent d’agir </w:t>
      </w:r>
      <w:r w:rsidR="00B713C8">
        <w:rPr>
          <w:snapToGrid w:val="0"/>
          <w:kern w:val="22"/>
          <w:szCs w:val="22"/>
        </w:rPr>
        <w:t>ont abouti à</w:t>
      </w:r>
      <w:r w:rsidR="00FA7548">
        <w:rPr>
          <w:snapToGrid w:val="0"/>
          <w:kern w:val="22"/>
          <w:szCs w:val="22"/>
        </w:rPr>
        <w:t xml:space="preserve"> des politiques, des mesures et des résultats. Les participants ont été exhortés de collaborer afin de façonner et </w:t>
      </w:r>
      <w:r w:rsidR="00B713C8">
        <w:rPr>
          <w:snapToGrid w:val="0"/>
          <w:kern w:val="22"/>
          <w:szCs w:val="22"/>
        </w:rPr>
        <w:t>de réaliser</w:t>
      </w:r>
      <w:r w:rsidR="00FA7548">
        <w:rPr>
          <w:snapToGrid w:val="0"/>
          <w:kern w:val="22"/>
          <w:szCs w:val="22"/>
        </w:rPr>
        <w:t xml:space="preserve"> un cadre mondial de la biodiversité pour l'après-2020 audacieux, inclusif et ambitieux qui catalysera les changements nécessaires afin d’atteindre les cibles de 2030 et la vision 2050 et bâtira une civilisation écologique et un avenir commun pour toute vie sur Terre.</w:t>
      </w:r>
    </w:p>
    <w:p w14:paraId="2FE0A4C6" w14:textId="51EAAFAC" w:rsidR="00E673F2" w:rsidRPr="00131EA6" w:rsidRDefault="00E673F2" w:rsidP="00955BE0">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kern w:val="22"/>
        </w:rPr>
        <w:t>Des déclarations générales ont été faites par les représentants de l’Argentine (au nom du Groupe des pays d’Amérique latine et des Caraïbes), de la Géorgie (au nom du Groupe des pays d’Europe centrale et orientale), du Koweït (au nom des pays de la région Asie-Pacifique), de la Nouvelle-Zélande (au nom de l’Australie, du Canada, des États-Unis d’Amérique, de l’Islande, d’Israël, de Monaco, de la Norvège, de la République de Corée, du Royaume-Uni de Grande-Bretagne et d’Irlande du Nord, et de la Suisse), de la République démocratique du Congo (au nom du Groupe des pays d’Afrique), et de la Slovénie (au nom de l’Union européenne et ses États membres).</w:t>
      </w:r>
      <w:r w:rsidR="00F2472A" w:rsidRPr="00927F5A">
        <w:rPr>
          <w:rStyle w:val="FootnoteReference"/>
          <w:szCs w:val="22"/>
        </w:rPr>
        <w:footnoteReference w:id="3"/>
      </w:r>
    </w:p>
    <w:p w14:paraId="1D22D7E5" w14:textId="11F77C4F" w:rsidR="00000E29" w:rsidRPr="00131EA6" w:rsidRDefault="00E673F2" w:rsidP="00E673F2">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kern w:val="22"/>
        </w:rPr>
        <w:t>Le représentant de l’Organisation du traité de coopération amazonienne a pris la parole également.</w:t>
      </w:r>
    </w:p>
    <w:p w14:paraId="1D475A35" w14:textId="186AD22D" w:rsidR="00CD0C13" w:rsidRPr="00FE2FEB" w:rsidRDefault="008156F9" w:rsidP="00FE2FEB">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rPr>
      </w:pPr>
      <w:bookmarkStart w:id="4" w:name="_Hlk84854101"/>
      <w:r w:rsidRPr="00131EA6">
        <w:rPr>
          <w:kern w:val="22"/>
        </w:rPr>
        <w:t xml:space="preserve">D’autres déclarations ont été faites par les représentants du Caucus des femmes de la CDB, du Réseau mondial de jeunes pour la biodiversité (GYBN), du Forum international autochtone pour la biodiversité (IIFB), du Peuple Hani du Yunnan, du Conseil international pour les initiatives </w:t>
      </w:r>
      <w:r w:rsidRPr="00131EA6">
        <w:rPr>
          <w:kern w:val="22"/>
        </w:rPr>
        <w:lastRenderedPageBreak/>
        <w:t xml:space="preserve">environnementales locales (ICLEI) (également au nom du Comité consultatif sur les gouvernements infranationaux </w:t>
      </w:r>
      <w:r w:rsidR="00FE2FEB">
        <w:rPr>
          <w:kern w:val="22"/>
        </w:rPr>
        <w:t xml:space="preserve">et la biodiversité </w:t>
      </w:r>
      <w:r w:rsidRPr="00131EA6">
        <w:rPr>
          <w:kern w:val="22"/>
        </w:rPr>
        <w:t>(coordonné par Régions4 et le Gouvernement du Québec), du Groupe de Gouvernements infranationaux chefs de file dans la réalisation des Objectifs d’Aichi pour la biodiversité (coordonné par la Préfecture d’Aichi), du Comité européen des régions et des partenaires du Processus d’Édimbourg) et de l’Association pour la conservation de la vraie nature (également au nom de Youth of China)</w:t>
      </w:r>
      <w:bookmarkEnd w:id="4"/>
      <w:r w:rsidRPr="00131EA6">
        <w:rPr>
          <w:kern w:val="22"/>
        </w:rPr>
        <w:t>.</w:t>
      </w:r>
    </w:p>
    <w:bookmarkEnd w:id="3"/>
    <w:p w14:paraId="7464EB17" w14:textId="77777777" w:rsidR="00D77560" w:rsidRPr="00131EA6" w:rsidRDefault="00D77560" w:rsidP="00B00053">
      <w:pPr>
        <w:keepNext/>
        <w:suppressLineNumbers/>
        <w:tabs>
          <w:tab w:val="left" w:pos="851"/>
        </w:tabs>
        <w:suppressAutoHyphens/>
        <w:kinsoku w:val="0"/>
        <w:overflowPunct w:val="0"/>
        <w:autoSpaceDE w:val="0"/>
        <w:autoSpaceDN w:val="0"/>
        <w:adjustRightInd w:val="0"/>
        <w:snapToGrid w:val="0"/>
        <w:spacing w:before="120" w:after="120"/>
        <w:jc w:val="center"/>
        <w:outlineLvl w:val="1"/>
        <w:rPr>
          <w:b/>
          <w:bCs/>
          <w:snapToGrid w:val="0"/>
          <w:kern w:val="22"/>
          <w:szCs w:val="22"/>
        </w:rPr>
      </w:pPr>
      <w:r w:rsidRPr="00131EA6">
        <w:rPr>
          <w:b/>
          <w:bCs/>
          <w:snapToGrid w:val="0"/>
          <w:kern w:val="22"/>
          <w:szCs w:val="22"/>
        </w:rPr>
        <w:t>Point 2.</w:t>
      </w:r>
      <w:r w:rsidRPr="00131EA6">
        <w:rPr>
          <w:b/>
          <w:bCs/>
          <w:snapToGrid w:val="0"/>
          <w:kern w:val="22"/>
          <w:szCs w:val="22"/>
        </w:rPr>
        <w:tab/>
        <w:t>Questions d'organisation</w:t>
      </w:r>
    </w:p>
    <w:p w14:paraId="57DF094B" w14:textId="65BDA4F7" w:rsidR="00571983" w:rsidRPr="00131EA6" w:rsidRDefault="00571983" w:rsidP="00681B9E">
      <w:pPr>
        <w:keepNext/>
        <w:suppressLineNumbers/>
        <w:tabs>
          <w:tab w:val="left" w:pos="567"/>
        </w:tabs>
        <w:suppressAutoHyphens/>
        <w:kinsoku w:val="0"/>
        <w:overflowPunct w:val="0"/>
        <w:autoSpaceDE w:val="0"/>
        <w:autoSpaceDN w:val="0"/>
        <w:adjustRightInd w:val="0"/>
        <w:snapToGrid w:val="0"/>
        <w:spacing w:before="120" w:after="120"/>
        <w:jc w:val="center"/>
        <w:outlineLvl w:val="2"/>
        <w:rPr>
          <w:b/>
          <w:bCs/>
          <w:snapToGrid w:val="0"/>
          <w:kern w:val="22"/>
          <w:szCs w:val="22"/>
        </w:rPr>
      </w:pPr>
      <w:r w:rsidRPr="00131EA6">
        <w:rPr>
          <w:b/>
          <w:bCs/>
          <w:snapToGrid w:val="0"/>
          <w:kern w:val="22"/>
          <w:szCs w:val="22"/>
        </w:rPr>
        <w:t>Adoption de l’ordre du jour</w:t>
      </w:r>
    </w:p>
    <w:p w14:paraId="2047B46E" w14:textId="53233DC4" w:rsidR="003043A8" w:rsidRPr="00131EA6" w:rsidRDefault="00181034" w:rsidP="003043A8">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Pr>
          <w:snapToGrid w:val="0"/>
          <w:kern w:val="22"/>
          <w:szCs w:val="22"/>
        </w:rPr>
        <w:t>À</w:t>
      </w:r>
      <w:r w:rsidR="001D28B0" w:rsidRPr="00131EA6">
        <w:rPr>
          <w:snapToGrid w:val="0"/>
          <w:kern w:val="22"/>
          <w:szCs w:val="22"/>
        </w:rPr>
        <w:t xml:space="preserve"> la première séance plénière de la partie I de la réunion, le 11 octobre 2021, la Conférence des Parties a adopté l’ordre du jour ci-après, sur la base de l’ordre du jour provisoire établi par la Secrétaire exécutive en consultation avec le Bureau (CBD/COP/15/1/Rev.1) :</w:t>
      </w:r>
    </w:p>
    <w:p w14:paraId="4846681F" w14:textId="77777777" w:rsidR="003043A8" w:rsidRPr="00131EA6" w:rsidRDefault="003043A8" w:rsidP="005F4DEC">
      <w:pPr>
        <w:spacing w:before="120" w:after="120"/>
        <w:ind w:left="1701" w:hanging="720"/>
        <w:rPr>
          <w:szCs w:val="22"/>
        </w:rPr>
      </w:pPr>
      <w:r w:rsidRPr="00131EA6">
        <w:rPr>
          <w:szCs w:val="22"/>
        </w:rPr>
        <w:t>1.</w:t>
      </w:r>
      <w:r w:rsidRPr="00131EA6">
        <w:rPr>
          <w:szCs w:val="22"/>
        </w:rPr>
        <w:tab/>
        <w:t>Ouverture de la réunion.</w:t>
      </w:r>
    </w:p>
    <w:p w14:paraId="50154334" w14:textId="77777777" w:rsidR="003043A8" w:rsidRPr="00131EA6" w:rsidRDefault="003043A8" w:rsidP="005F4DEC">
      <w:pPr>
        <w:spacing w:before="120" w:after="120"/>
        <w:ind w:left="1701" w:hanging="720"/>
        <w:rPr>
          <w:szCs w:val="22"/>
        </w:rPr>
      </w:pPr>
      <w:r w:rsidRPr="00131EA6">
        <w:rPr>
          <w:szCs w:val="22"/>
        </w:rPr>
        <w:t>2.</w:t>
      </w:r>
      <w:r w:rsidRPr="00131EA6">
        <w:rPr>
          <w:szCs w:val="22"/>
        </w:rPr>
        <w:tab/>
        <w:t>Questions d’organisation.</w:t>
      </w:r>
    </w:p>
    <w:p w14:paraId="5AC008D7" w14:textId="77777777" w:rsidR="003043A8" w:rsidRPr="00131EA6" w:rsidRDefault="003043A8" w:rsidP="005F4DEC">
      <w:pPr>
        <w:spacing w:before="120" w:after="120"/>
        <w:ind w:left="1701" w:hanging="720"/>
        <w:rPr>
          <w:szCs w:val="22"/>
        </w:rPr>
      </w:pPr>
      <w:r w:rsidRPr="00131EA6">
        <w:rPr>
          <w:szCs w:val="22"/>
        </w:rPr>
        <w:t>3.</w:t>
      </w:r>
      <w:r w:rsidRPr="00131EA6">
        <w:rPr>
          <w:szCs w:val="22"/>
        </w:rPr>
        <w:tab/>
        <w:t>Vérification des pouvoirs des représentants à la quinzième réunion de la Conférence des Parties.</w:t>
      </w:r>
    </w:p>
    <w:p w14:paraId="14200FFA" w14:textId="77777777" w:rsidR="003043A8" w:rsidRPr="00131EA6" w:rsidRDefault="003043A8" w:rsidP="005F4DEC">
      <w:pPr>
        <w:spacing w:before="120" w:after="120"/>
        <w:ind w:left="1701" w:hanging="720"/>
        <w:rPr>
          <w:szCs w:val="22"/>
        </w:rPr>
      </w:pPr>
      <w:r w:rsidRPr="00131EA6">
        <w:rPr>
          <w:szCs w:val="22"/>
        </w:rPr>
        <w:t>4.</w:t>
      </w:r>
      <w:r w:rsidRPr="00131EA6">
        <w:rPr>
          <w:szCs w:val="22"/>
        </w:rPr>
        <w:tab/>
        <w:t>Questions en suspens.</w:t>
      </w:r>
    </w:p>
    <w:p w14:paraId="2D11A491" w14:textId="77777777" w:rsidR="003043A8" w:rsidRPr="00131EA6" w:rsidRDefault="003043A8" w:rsidP="005F4DEC">
      <w:pPr>
        <w:spacing w:before="120" w:after="120"/>
        <w:ind w:left="1701" w:hanging="720"/>
        <w:rPr>
          <w:szCs w:val="22"/>
        </w:rPr>
      </w:pPr>
      <w:r w:rsidRPr="00131EA6">
        <w:rPr>
          <w:szCs w:val="22"/>
        </w:rPr>
        <w:t>5.</w:t>
      </w:r>
      <w:r w:rsidRPr="00131EA6">
        <w:rPr>
          <w:szCs w:val="22"/>
        </w:rPr>
        <w:tab/>
        <w:t>Date et lieu des futures réunions de la Conférence des Parties.</w:t>
      </w:r>
    </w:p>
    <w:p w14:paraId="5A2C48F0" w14:textId="77777777" w:rsidR="003043A8" w:rsidRPr="00131EA6" w:rsidRDefault="003043A8" w:rsidP="005F4DEC">
      <w:pPr>
        <w:spacing w:before="120" w:after="120"/>
        <w:ind w:left="1701" w:hanging="720"/>
        <w:rPr>
          <w:szCs w:val="22"/>
        </w:rPr>
      </w:pPr>
      <w:r w:rsidRPr="00131EA6">
        <w:rPr>
          <w:szCs w:val="22"/>
        </w:rPr>
        <w:t>6.</w:t>
      </w:r>
      <w:r w:rsidRPr="00131EA6">
        <w:rPr>
          <w:szCs w:val="22"/>
        </w:rPr>
        <w:tab/>
        <w:t>Rapports des réunions intersessions et des réunions préparatoires régionales.</w:t>
      </w:r>
    </w:p>
    <w:p w14:paraId="7470E889" w14:textId="77777777" w:rsidR="003043A8" w:rsidRPr="00131EA6" w:rsidRDefault="003043A8" w:rsidP="005F4DEC">
      <w:pPr>
        <w:spacing w:before="120" w:after="120"/>
        <w:ind w:left="1701" w:hanging="720"/>
        <w:rPr>
          <w:szCs w:val="22"/>
        </w:rPr>
      </w:pPr>
      <w:r w:rsidRPr="00131EA6">
        <w:rPr>
          <w:szCs w:val="22"/>
        </w:rPr>
        <w:t>7.</w:t>
      </w:r>
      <w:r w:rsidRPr="00131EA6">
        <w:rPr>
          <w:szCs w:val="22"/>
        </w:rPr>
        <w:tab/>
        <w:t xml:space="preserve">Administration de la Convention et budget des Fonds d’affectation spéciale de la Convention. </w:t>
      </w:r>
    </w:p>
    <w:p w14:paraId="4DB1F3B9" w14:textId="77777777" w:rsidR="003043A8" w:rsidRPr="00131EA6" w:rsidRDefault="003043A8" w:rsidP="005F4DEC">
      <w:pPr>
        <w:spacing w:before="120" w:after="120"/>
        <w:ind w:left="1701" w:hanging="720"/>
        <w:rPr>
          <w:szCs w:val="22"/>
        </w:rPr>
      </w:pPr>
      <w:r w:rsidRPr="00131EA6">
        <w:rPr>
          <w:szCs w:val="22"/>
        </w:rPr>
        <w:t>8.</w:t>
      </w:r>
      <w:r w:rsidRPr="00131EA6">
        <w:rPr>
          <w:szCs w:val="22"/>
        </w:rPr>
        <w:tab/>
        <w:t>Examen des progrès accomplis dans la mise en œuvre de la Convention et du Plan stratégique pour la diversité biologique 2011-2020 et la réalisation des Objectifs d’Aichi pour la biodiversité.</w:t>
      </w:r>
    </w:p>
    <w:p w14:paraId="2FBC4D81" w14:textId="77777777" w:rsidR="003043A8" w:rsidRPr="00131EA6" w:rsidRDefault="003043A8" w:rsidP="005F4DEC">
      <w:pPr>
        <w:spacing w:before="120" w:after="120"/>
        <w:ind w:left="1701" w:hanging="720"/>
        <w:rPr>
          <w:szCs w:val="22"/>
        </w:rPr>
      </w:pPr>
      <w:r w:rsidRPr="00131EA6">
        <w:rPr>
          <w:szCs w:val="22"/>
        </w:rPr>
        <w:t>9.</w:t>
      </w:r>
      <w:r w:rsidRPr="00131EA6">
        <w:rPr>
          <w:szCs w:val="22"/>
        </w:rPr>
        <w:tab/>
        <w:t>Le cadre mondial de la biodiversité pour l'après-2020.</w:t>
      </w:r>
    </w:p>
    <w:p w14:paraId="65F60D1A" w14:textId="77777777" w:rsidR="003043A8" w:rsidRPr="00131EA6" w:rsidRDefault="003043A8" w:rsidP="005F4DEC">
      <w:pPr>
        <w:spacing w:before="120" w:after="120"/>
        <w:ind w:left="1701" w:hanging="720"/>
        <w:rPr>
          <w:szCs w:val="22"/>
        </w:rPr>
      </w:pPr>
      <w:r w:rsidRPr="00131EA6">
        <w:rPr>
          <w:szCs w:val="22"/>
        </w:rPr>
        <w:t>10.</w:t>
      </w:r>
      <w:r w:rsidRPr="00131EA6">
        <w:rPr>
          <w:szCs w:val="22"/>
        </w:rPr>
        <w:tab/>
        <w:t>Renforcement de l'intégration concernant les dispositions relatives à l'article 8 j) et aux dispositions connexes.</w:t>
      </w:r>
    </w:p>
    <w:p w14:paraId="2B6183FA" w14:textId="77777777" w:rsidR="003043A8" w:rsidRPr="00131EA6" w:rsidRDefault="003043A8" w:rsidP="005F4DEC">
      <w:pPr>
        <w:spacing w:before="120" w:after="120"/>
        <w:ind w:left="1701" w:hanging="720"/>
        <w:rPr>
          <w:szCs w:val="22"/>
        </w:rPr>
      </w:pPr>
      <w:r w:rsidRPr="00131EA6">
        <w:rPr>
          <w:szCs w:val="22"/>
        </w:rPr>
        <w:t>11.</w:t>
      </w:r>
      <w:r w:rsidRPr="00131EA6">
        <w:rPr>
          <w:szCs w:val="22"/>
        </w:rPr>
        <w:tab/>
        <w:t>Information de séquençage numérique sur les ressources génétiques.</w:t>
      </w:r>
    </w:p>
    <w:p w14:paraId="5710C604" w14:textId="77777777" w:rsidR="003043A8" w:rsidRPr="00131EA6" w:rsidRDefault="003043A8" w:rsidP="005F4DEC">
      <w:pPr>
        <w:spacing w:before="120" w:after="120"/>
        <w:ind w:left="1701" w:hanging="720"/>
        <w:rPr>
          <w:szCs w:val="22"/>
        </w:rPr>
      </w:pPr>
      <w:r w:rsidRPr="00131EA6">
        <w:rPr>
          <w:szCs w:val="22"/>
        </w:rPr>
        <w:t>12.</w:t>
      </w:r>
      <w:r w:rsidRPr="00131EA6">
        <w:rPr>
          <w:szCs w:val="22"/>
        </w:rPr>
        <w:tab/>
        <w:t>Mobilisation des ressources et mécanisme de financement.</w:t>
      </w:r>
    </w:p>
    <w:p w14:paraId="39896A22" w14:textId="77777777" w:rsidR="003043A8" w:rsidRPr="00131EA6" w:rsidRDefault="003043A8" w:rsidP="005F4DEC">
      <w:pPr>
        <w:spacing w:before="120" w:after="120"/>
        <w:ind w:left="1701" w:hanging="720"/>
        <w:rPr>
          <w:szCs w:val="22"/>
        </w:rPr>
      </w:pPr>
      <w:r w:rsidRPr="00131EA6">
        <w:rPr>
          <w:szCs w:val="22"/>
        </w:rPr>
        <w:t>13.</w:t>
      </w:r>
      <w:r w:rsidRPr="00131EA6">
        <w:rPr>
          <w:szCs w:val="22"/>
        </w:rPr>
        <w:tab/>
        <w:t>Renforcement des capacités, coopération technique et scientifique, gestion des connaissances et communication.</w:t>
      </w:r>
    </w:p>
    <w:p w14:paraId="67B97CA8" w14:textId="77777777" w:rsidR="003043A8" w:rsidRPr="00131EA6" w:rsidRDefault="003043A8" w:rsidP="005F4DEC">
      <w:pPr>
        <w:spacing w:before="120" w:after="120"/>
        <w:ind w:left="1701" w:hanging="720"/>
        <w:rPr>
          <w:szCs w:val="22"/>
        </w:rPr>
      </w:pPr>
      <w:r w:rsidRPr="00131EA6">
        <w:rPr>
          <w:szCs w:val="22"/>
        </w:rPr>
        <w:t>14.</w:t>
      </w:r>
      <w:r w:rsidRPr="00131EA6">
        <w:rPr>
          <w:szCs w:val="22"/>
        </w:rPr>
        <w:tab/>
        <w:t>Mécanismes de planification, de suivi, d’établissement des rapports et d'examen.</w:t>
      </w:r>
    </w:p>
    <w:p w14:paraId="51F01EDC" w14:textId="77777777" w:rsidR="003043A8" w:rsidRPr="00131EA6" w:rsidRDefault="003043A8" w:rsidP="005F4DEC">
      <w:pPr>
        <w:spacing w:before="120" w:after="120"/>
        <w:ind w:left="1701" w:hanging="720"/>
        <w:rPr>
          <w:kern w:val="22"/>
          <w:szCs w:val="22"/>
          <w:lang w:eastAsia="ko-KR"/>
        </w:rPr>
      </w:pPr>
      <w:r w:rsidRPr="00131EA6">
        <w:rPr>
          <w:szCs w:val="22"/>
        </w:rPr>
        <w:t>15.</w:t>
      </w:r>
      <w:r w:rsidRPr="00131EA6">
        <w:rPr>
          <w:szCs w:val="22"/>
        </w:rPr>
        <w:tab/>
      </w:r>
      <w:r w:rsidRPr="00131EA6">
        <w:rPr>
          <w:kern w:val="22"/>
          <w:szCs w:val="22"/>
        </w:rPr>
        <w:t>Coopération avec d’autres conventions et organisations internationales.</w:t>
      </w:r>
    </w:p>
    <w:p w14:paraId="03DCB1FF" w14:textId="77777777" w:rsidR="003043A8" w:rsidRPr="00131EA6" w:rsidRDefault="003043A8" w:rsidP="005F4DEC">
      <w:pPr>
        <w:spacing w:before="120" w:after="120"/>
        <w:ind w:left="1701" w:hanging="720"/>
        <w:rPr>
          <w:kern w:val="22"/>
          <w:szCs w:val="22"/>
          <w:lang w:eastAsia="ko-KR"/>
        </w:rPr>
      </w:pPr>
      <w:r w:rsidRPr="00131EA6">
        <w:rPr>
          <w:kern w:val="22"/>
          <w:szCs w:val="22"/>
        </w:rPr>
        <w:t>16.</w:t>
      </w:r>
      <w:r w:rsidRPr="00131EA6">
        <w:rPr>
          <w:kern w:val="22"/>
          <w:szCs w:val="22"/>
        </w:rPr>
        <w:tab/>
      </w:r>
      <w:r w:rsidRPr="00131EA6">
        <w:rPr>
          <w:szCs w:val="22"/>
        </w:rPr>
        <w:t>Intégration de la biodiversité dans les secteurs et entre eux.</w:t>
      </w:r>
    </w:p>
    <w:p w14:paraId="44A52F78" w14:textId="77777777" w:rsidR="003043A8" w:rsidRPr="00131EA6" w:rsidRDefault="003043A8" w:rsidP="005F4DEC">
      <w:pPr>
        <w:spacing w:before="120" w:after="120"/>
        <w:ind w:left="1701" w:hanging="720"/>
        <w:rPr>
          <w:szCs w:val="22"/>
        </w:rPr>
      </w:pPr>
      <w:r w:rsidRPr="00131EA6">
        <w:rPr>
          <w:szCs w:val="22"/>
        </w:rPr>
        <w:t>17.</w:t>
      </w:r>
      <w:r w:rsidRPr="00131EA6">
        <w:rPr>
          <w:szCs w:val="22"/>
        </w:rPr>
        <w:tab/>
        <w:t>Examen de l’efficacité des processus au titre de la Convention et de ses Protocoles.</w:t>
      </w:r>
    </w:p>
    <w:p w14:paraId="101AF267" w14:textId="77777777" w:rsidR="003043A8" w:rsidRPr="00131EA6" w:rsidRDefault="003043A8" w:rsidP="005F4DEC">
      <w:pPr>
        <w:spacing w:before="120" w:after="120"/>
        <w:ind w:left="1701" w:hanging="720"/>
        <w:rPr>
          <w:szCs w:val="22"/>
        </w:rPr>
      </w:pPr>
      <w:r w:rsidRPr="00131EA6">
        <w:rPr>
          <w:szCs w:val="22"/>
        </w:rPr>
        <w:t>18.</w:t>
      </w:r>
      <w:r w:rsidRPr="00131EA6">
        <w:rPr>
          <w:szCs w:val="22"/>
        </w:rPr>
        <w:tab/>
        <w:t>Programme de travail pluriannuel de la Conférence des Parties.</w:t>
      </w:r>
    </w:p>
    <w:p w14:paraId="38F5027C" w14:textId="77777777" w:rsidR="003043A8" w:rsidRPr="00131EA6" w:rsidRDefault="003043A8" w:rsidP="00D405A4">
      <w:pPr>
        <w:spacing w:before="120" w:after="120"/>
        <w:ind w:left="1701" w:hanging="708"/>
        <w:rPr>
          <w:szCs w:val="22"/>
        </w:rPr>
      </w:pPr>
      <w:r w:rsidRPr="00131EA6">
        <w:rPr>
          <w:szCs w:val="22"/>
        </w:rPr>
        <w:t>19.</w:t>
      </w:r>
      <w:r w:rsidRPr="00131EA6">
        <w:rPr>
          <w:szCs w:val="22"/>
        </w:rPr>
        <w:tab/>
        <w:t>Aires protégées et autres mesures efficaces de conservation par zone.</w:t>
      </w:r>
    </w:p>
    <w:p w14:paraId="2A6D28E3" w14:textId="77777777" w:rsidR="003043A8" w:rsidRPr="00131EA6" w:rsidRDefault="003043A8" w:rsidP="00D405A4">
      <w:pPr>
        <w:spacing w:before="120" w:after="120"/>
        <w:ind w:left="1701" w:hanging="708"/>
        <w:rPr>
          <w:szCs w:val="22"/>
        </w:rPr>
      </w:pPr>
      <w:r w:rsidRPr="00131EA6">
        <w:rPr>
          <w:szCs w:val="22"/>
        </w:rPr>
        <w:t>20.</w:t>
      </w:r>
      <w:r w:rsidRPr="00131EA6">
        <w:rPr>
          <w:szCs w:val="22"/>
        </w:rPr>
        <w:tab/>
        <w:t>Diversité biologique marine et côtière.</w:t>
      </w:r>
    </w:p>
    <w:p w14:paraId="38C65E23" w14:textId="77777777" w:rsidR="003043A8" w:rsidRPr="00131EA6" w:rsidRDefault="003043A8" w:rsidP="00D405A4">
      <w:pPr>
        <w:spacing w:before="120" w:after="120"/>
        <w:ind w:left="1701" w:hanging="708"/>
        <w:rPr>
          <w:szCs w:val="22"/>
        </w:rPr>
      </w:pPr>
      <w:r w:rsidRPr="00131EA6">
        <w:rPr>
          <w:szCs w:val="22"/>
        </w:rPr>
        <w:t>21.</w:t>
      </w:r>
      <w:r w:rsidRPr="00131EA6">
        <w:rPr>
          <w:szCs w:val="22"/>
        </w:rPr>
        <w:tab/>
        <w:t>Espèces exotiques envahissantes.</w:t>
      </w:r>
    </w:p>
    <w:p w14:paraId="2D163E1B" w14:textId="77777777" w:rsidR="003043A8" w:rsidRPr="00131EA6" w:rsidRDefault="003043A8" w:rsidP="00D405A4">
      <w:pPr>
        <w:spacing w:before="120" w:after="120"/>
        <w:ind w:left="1701" w:hanging="708"/>
        <w:rPr>
          <w:szCs w:val="22"/>
        </w:rPr>
      </w:pPr>
      <w:r w:rsidRPr="00131EA6">
        <w:rPr>
          <w:szCs w:val="22"/>
        </w:rPr>
        <w:t>22.</w:t>
      </w:r>
      <w:r w:rsidRPr="00131EA6">
        <w:rPr>
          <w:szCs w:val="22"/>
        </w:rPr>
        <w:tab/>
        <w:t>Gestion durable de la faune sauvage.</w:t>
      </w:r>
    </w:p>
    <w:p w14:paraId="49596009" w14:textId="77777777" w:rsidR="003043A8" w:rsidRPr="00131EA6" w:rsidRDefault="003043A8" w:rsidP="00D405A4">
      <w:pPr>
        <w:spacing w:before="120" w:after="120"/>
        <w:ind w:left="1701" w:hanging="708"/>
        <w:rPr>
          <w:szCs w:val="22"/>
        </w:rPr>
      </w:pPr>
      <w:r w:rsidRPr="00131EA6">
        <w:rPr>
          <w:szCs w:val="22"/>
        </w:rPr>
        <w:lastRenderedPageBreak/>
        <w:t>23.</w:t>
      </w:r>
      <w:r w:rsidRPr="00131EA6">
        <w:rPr>
          <w:szCs w:val="22"/>
        </w:rPr>
        <w:tab/>
        <w:t>Diversité biologique et changements climatiques.</w:t>
      </w:r>
    </w:p>
    <w:p w14:paraId="04C60507" w14:textId="77777777" w:rsidR="003043A8" w:rsidRPr="00131EA6" w:rsidRDefault="003043A8" w:rsidP="00D405A4">
      <w:pPr>
        <w:spacing w:before="120" w:after="120"/>
        <w:ind w:left="1701" w:hanging="708"/>
        <w:rPr>
          <w:szCs w:val="22"/>
        </w:rPr>
      </w:pPr>
      <w:r w:rsidRPr="00131EA6">
        <w:rPr>
          <w:szCs w:val="22"/>
        </w:rPr>
        <w:t>24.</w:t>
      </w:r>
      <w:r w:rsidRPr="00131EA6">
        <w:rPr>
          <w:szCs w:val="22"/>
        </w:rPr>
        <w:tab/>
        <w:t>Diversité biologique et agriculture.</w:t>
      </w:r>
    </w:p>
    <w:p w14:paraId="3BBB8328" w14:textId="77777777" w:rsidR="003043A8" w:rsidRPr="00131EA6" w:rsidRDefault="003043A8" w:rsidP="00D405A4">
      <w:pPr>
        <w:spacing w:before="120" w:after="120"/>
        <w:ind w:left="1701" w:hanging="708"/>
        <w:rPr>
          <w:szCs w:val="22"/>
        </w:rPr>
      </w:pPr>
      <w:r w:rsidRPr="00131EA6">
        <w:rPr>
          <w:szCs w:val="22"/>
        </w:rPr>
        <w:t>25.</w:t>
      </w:r>
      <w:r w:rsidRPr="00131EA6">
        <w:rPr>
          <w:szCs w:val="22"/>
        </w:rPr>
        <w:tab/>
        <w:t>Diversité biologique et santé.</w:t>
      </w:r>
    </w:p>
    <w:p w14:paraId="23A3766A" w14:textId="77777777" w:rsidR="003043A8" w:rsidRPr="00131EA6" w:rsidRDefault="003043A8" w:rsidP="00D405A4">
      <w:pPr>
        <w:spacing w:before="120" w:after="120"/>
        <w:ind w:left="1701" w:hanging="708"/>
        <w:rPr>
          <w:szCs w:val="22"/>
        </w:rPr>
      </w:pPr>
      <w:r w:rsidRPr="00131EA6">
        <w:rPr>
          <w:szCs w:val="22"/>
        </w:rPr>
        <w:t>26.</w:t>
      </w:r>
      <w:r w:rsidRPr="00131EA6">
        <w:rPr>
          <w:szCs w:val="22"/>
        </w:rPr>
        <w:tab/>
        <w:t>Nature et culture.</w:t>
      </w:r>
    </w:p>
    <w:p w14:paraId="51029507" w14:textId="77777777" w:rsidR="003043A8" w:rsidRPr="00131EA6" w:rsidRDefault="003043A8" w:rsidP="00D405A4">
      <w:pPr>
        <w:spacing w:before="120" w:after="120"/>
        <w:ind w:left="1701" w:hanging="708"/>
        <w:rPr>
          <w:szCs w:val="22"/>
        </w:rPr>
      </w:pPr>
      <w:r w:rsidRPr="00131EA6">
        <w:rPr>
          <w:szCs w:val="22"/>
        </w:rPr>
        <w:t>27.</w:t>
      </w:r>
      <w:r w:rsidRPr="00131EA6">
        <w:rPr>
          <w:szCs w:val="22"/>
        </w:rPr>
        <w:tab/>
        <w:t>Biologie de synthèse.</w:t>
      </w:r>
    </w:p>
    <w:p w14:paraId="2CB31384" w14:textId="77777777" w:rsidR="003043A8" w:rsidRPr="00131EA6" w:rsidRDefault="003043A8" w:rsidP="00D405A4">
      <w:pPr>
        <w:spacing w:before="120" w:after="120"/>
        <w:ind w:left="1701" w:hanging="708"/>
        <w:rPr>
          <w:szCs w:val="22"/>
        </w:rPr>
      </w:pPr>
      <w:r w:rsidRPr="00131EA6">
        <w:rPr>
          <w:szCs w:val="22"/>
        </w:rPr>
        <w:t>28.</w:t>
      </w:r>
      <w:r w:rsidRPr="00131EA6">
        <w:rPr>
          <w:szCs w:val="22"/>
        </w:rPr>
        <w:tab/>
        <w:t>Questions diverses.</w:t>
      </w:r>
    </w:p>
    <w:p w14:paraId="6D008917" w14:textId="77777777" w:rsidR="003043A8" w:rsidRPr="00131EA6" w:rsidRDefault="003043A8" w:rsidP="00D405A4">
      <w:pPr>
        <w:spacing w:before="120" w:after="120"/>
        <w:ind w:left="1701" w:hanging="708"/>
        <w:rPr>
          <w:szCs w:val="22"/>
        </w:rPr>
      </w:pPr>
      <w:r w:rsidRPr="00131EA6">
        <w:rPr>
          <w:szCs w:val="22"/>
        </w:rPr>
        <w:t>29.</w:t>
      </w:r>
      <w:r w:rsidRPr="00131EA6">
        <w:rPr>
          <w:szCs w:val="22"/>
        </w:rPr>
        <w:tab/>
        <w:t>Adoption du rapport.</w:t>
      </w:r>
    </w:p>
    <w:p w14:paraId="489824E7" w14:textId="77777777" w:rsidR="003043A8" w:rsidRPr="00131EA6" w:rsidRDefault="003043A8" w:rsidP="00D405A4">
      <w:pPr>
        <w:spacing w:before="120" w:after="120"/>
        <w:ind w:left="1701" w:hanging="708"/>
        <w:rPr>
          <w:szCs w:val="22"/>
        </w:rPr>
      </w:pPr>
      <w:r w:rsidRPr="00131EA6">
        <w:rPr>
          <w:szCs w:val="22"/>
        </w:rPr>
        <w:t>30.</w:t>
      </w:r>
      <w:r w:rsidRPr="00131EA6">
        <w:rPr>
          <w:szCs w:val="22"/>
        </w:rPr>
        <w:tab/>
        <w:t>Clôture de la réunion.</w:t>
      </w:r>
    </w:p>
    <w:p w14:paraId="56696643" w14:textId="72C80B9B" w:rsidR="003043A8" w:rsidRPr="00131EA6" w:rsidRDefault="00D405A4" w:rsidP="00D405A4">
      <w:pPr>
        <w:suppressLineNumbers/>
        <w:tabs>
          <w:tab w:val="left" w:pos="720"/>
        </w:tabs>
        <w:suppressAutoHyphens/>
        <w:kinsoku w:val="0"/>
        <w:overflowPunct w:val="0"/>
        <w:autoSpaceDE w:val="0"/>
        <w:autoSpaceDN w:val="0"/>
        <w:adjustRightInd w:val="0"/>
        <w:snapToGrid w:val="0"/>
        <w:spacing w:before="120" w:after="120"/>
        <w:jc w:val="center"/>
        <w:rPr>
          <w:b/>
          <w:bCs/>
          <w:snapToGrid w:val="0"/>
          <w:kern w:val="22"/>
          <w:szCs w:val="22"/>
        </w:rPr>
      </w:pPr>
      <w:r w:rsidRPr="00131EA6">
        <w:rPr>
          <w:b/>
          <w:bCs/>
          <w:snapToGrid w:val="0"/>
          <w:kern w:val="22"/>
          <w:szCs w:val="22"/>
        </w:rPr>
        <w:t>Organisation des travaux</w:t>
      </w:r>
    </w:p>
    <w:p w14:paraId="1B629F5A" w14:textId="32576357" w:rsidR="003043A8" w:rsidRPr="00C700B1" w:rsidRDefault="001627FF" w:rsidP="00C700B1">
      <w:pPr>
        <w:pStyle w:val="ListParagraph"/>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C700B1">
        <w:rPr>
          <w:snapToGrid w:val="0"/>
          <w:kern w:val="22"/>
          <w:szCs w:val="22"/>
        </w:rPr>
        <w:t>À</w:t>
      </w:r>
      <w:r w:rsidR="00570738" w:rsidRPr="00C700B1">
        <w:rPr>
          <w:snapToGrid w:val="0"/>
          <w:kern w:val="22"/>
          <w:szCs w:val="22"/>
        </w:rPr>
        <w:t xml:space="preserve"> la première séance plénière de la réunion, le 11 octobre 2021, la Conférence des Parties a décidé d’examiner les points 1 à 4, 6, 7 et 28 à 30 durant la partie I de la réunion, conformément au calendrier figurant dans l’annexe I à la proposition d’organisation des travaux (CBD/COP/15/1/Add.2). </w:t>
      </w:r>
      <w:r w:rsidR="00570738" w:rsidRPr="00C700B1">
        <w:rPr>
          <w:bCs/>
          <w:snapToGrid w:val="0"/>
          <w:kern w:val="22"/>
          <w:szCs w:val="22"/>
        </w:rPr>
        <w:t>Il était prévu que tous ces points seraient examinés en plénière et que la plupart d’entre eux seraient examinés plus avant durant la partie II de la réunion, au cours de laquelle les points 5 et 8 à 27 de l’ordre du jour seraient aussi examinés, et que la Conférence des Parties pourrait décider de constituer des groupes de travail pour appuyer ses travaux, selon la pratique habituelle.</w:t>
      </w:r>
    </w:p>
    <w:p w14:paraId="6039E310" w14:textId="01A9EBD4" w:rsidR="00D77560" w:rsidRPr="00131EA6" w:rsidRDefault="00EE3F39" w:rsidP="00AC4E0D">
      <w:pPr>
        <w:keepNext/>
        <w:suppressLineNumbers/>
        <w:tabs>
          <w:tab w:val="left" w:pos="567"/>
        </w:tabs>
        <w:suppressAutoHyphens/>
        <w:kinsoku w:val="0"/>
        <w:overflowPunct w:val="0"/>
        <w:autoSpaceDE w:val="0"/>
        <w:autoSpaceDN w:val="0"/>
        <w:adjustRightInd w:val="0"/>
        <w:snapToGrid w:val="0"/>
        <w:spacing w:before="120" w:after="120"/>
        <w:jc w:val="center"/>
        <w:outlineLvl w:val="2"/>
        <w:rPr>
          <w:b/>
          <w:bCs/>
          <w:snapToGrid w:val="0"/>
          <w:kern w:val="22"/>
          <w:szCs w:val="22"/>
        </w:rPr>
      </w:pPr>
      <w:r>
        <w:rPr>
          <w:b/>
          <w:bCs/>
          <w:snapToGrid w:val="0"/>
          <w:kern w:val="22"/>
          <w:szCs w:val="22"/>
        </w:rPr>
        <w:t>É</w:t>
      </w:r>
      <w:r w:rsidR="00373BDC" w:rsidRPr="00BF245D">
        <w:rPr>
          <w:b/>
          <w:bCs/>
          <w:snapToGrid w:val="0"/>
          <w:kern w:val="22"/>
          <w:szCs w:val="22"/>
        </w:rPr>
        <w:t>lection des membres du Bureau</w:t>
      </w:r>
    </w:p>
    <w:p w14:paraId="5504FB95" w14:textId="1D056A29" w:rsidR="001E03FB" w:rsidRPr="00131EA6" w:rsidRDefault="001E03FB" w:rsidP="00B00053">
      <w:pPr>
        <w:keepNext/>
        <w:suppressLineNumbers/>
        <w:tabs>
          <w:tab w:val="left" w:pos="567"/>
        </w:tabs>
        <w:suppressAutoHyphens/>
        <w:kinsoku w:val="0"/>
        <w:overflowPunct w:val="0"/>
        <w:autoSpaceDE w:val="0"/>
        <w:autoSpaceDN w:val="0"/>
        <w:adjustRightInd w:val="0"/>
        <w:snapToGrid w:val="0"/>
        <w:spacing w:before="120" w:after="120"/>
        <w:outlineLvl w:val="2"/>
        <w:rPr>
          <w:i/>
          <w:iCs/>
          <w:snapToGrid w:val="0"/>
          <w:kern w:val="22"/>
          <w:szCs w:val="22"/>
        </w:rPr>
      </w:pPr>
      <w:r w:rsidRPr="00131EA6">
        <w:rPr>
          <w:i/>
          <w:iCs/>
          <w:snapToGrid w:val="0"/>
          <w:kern w:val="22"/>
          <w:szCs w:val="22"/>
        </w:rPr>
        <w:t xml:space="preserve">Élection du </w:t>
      </w:r>
      <w:r w:rsidR="00373BDC">
        <w:rPr>
          <w:i/>
          <w:iCs/>
          <w:snapToGrid w:val="0"/>
          <w:kern w:val="22"/>
          <w:szCs w:val="22"/>
        </w:rPr>
        <w:t>P</w:t>
      </w:r>
      <w:r w:rsidRPr="00131EA6">
        <w:rPr>
          <w:i/>
          <w:iCs/>
          <w:snapToGrid w:val="0"/>
          <w:kern w:val="22"/>
          <w:szCs w:val="22"/>
        </w:rPr>
        <w:t>résident</w:t>
      </w:r>
    </w:p>
    <w:p w14:paraId="0D039ACC" w14:textId="5895D959" w:rsidR="00AC4E0D" w:rsidRPr="00131EA6" w:rsidRDefault="004B4FBC" w:rsidP="00AC4E0D">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b/>
          <w:bCs/>
          <w:snapToGrid w:val="0"/>
          <w:kern w:val="22"/>
          <w:szCs w:val="22"/>
        </w:rPr>
      </w:pPr>
      <w:r w:rsidRPr="00131EA6">
        <w:rPr>
          <w:snapToGrid w:val="0"/>
          <w:kern w:val="22"/>
          <w:szCs w:val="22"/>
        </w:rPr>
        <w:t xml:space="preserve">Conformément à l’article 21 du règlement intérieur, à la séance plénière d’ouverture de la première partie de la réunion, le 11 octobre 2021, la Conférence des Parties a élu, par acclamation, M. Runqiu Huang, </w:t>
      </w:r>
      <w:r w:rsidR="005C46E7" w:rsidRPr="00131EA6">
        <w:rPr>
          <w:snapToGrid w:val="0"/>
          <w:kern w:val="22"/>
          <w:szCs w:val="22"/>
        </w:rPr>
        <w:t xml:space="preserve">ministre de </w:t>
      </w:r>
      <w:r w:rsidR="00C700B1">
        <w:rPr>
          <w:snapToGrid w:val="0"/>
          <w:kern w:val="22"/>
          <w:szCs w:val="22"/>
        </w:rPr>
        <w:t xml:space="preserve">l’écologie et de </w:t>
      </w:r>
      <w:r w:rsidR="005C46E7" w:rsidRPr="00131EA6">
        <w:rPr>
          <w:snapToGrid w:val="0"/>
          <w:kern w:val="22"/>
          <w:szCs w:val="22"/>
        </w:rPr>
        <w:t>l’Environnement</w:t>
      </w:r>
      <w:r w:rsidRPr="00131EA6">
        <w:rPr>
          <w:snapToGrid w:val="0"/>
          <w:kern w:val="22"/>
          <w:szCs w:val="22"/>
        </w:rPr>
        <w:t xml:space="preserve"> </w:t>
      </w:r>
      <w:r w:rsidR="00C700B1">
        <w:rPr>
          <w:snapToGrid w:val="0"/>
          <w:kern w:val="22"/>
          <w:szCs w:val="22"/>
        </w:rPr>
        <w:t>de la</w:t>
      </w:r>
      <w:r w:rsidRPr="00131EA6">
        <w:rPr>
          <w:snapToGrid w:val="0"/>
          <w:kern w:val="22"/>
          <w:szCs w:val="22"/>
        </w:rPr>
        <w:t xml:space="preserve"> Chine, comme Président de sa quinzième réunion.</w:t>
      </w:r>
    </w:p>
    <w:p w14:paraId="2804DB6F" w14:textId="1E1F0248" w:rsidR="00AC4E0D" w:rsidRPr="00131EA6" w:rsidRDefault="00AC4E0D" w:rsidP="00B00053">
      <w:pPr>
        <w:keepNext/>
        <w:suppressLineNumbers/>
        <w:tabs>
          <w:tab w:val="left" w:pos="567"/>
        </w:tabs>
        <w:suppressAutoHyphens/>
        <w:kinsoku w:val="0"/>
        <w:overflowPunct w:val="0"/>
        <w:autoSpaceDE w:val="0"/>
        <w:autoSpaceDN w:val="0"/>
        <w:adjustRightInd w:val="0"/>
        <w:snapToGrid w:val="0"/>
        <w:spacing w:before="120" w:after="120"/>
        <w:outlineLvl w:val="2"/>
        <w:rPr>
          <w:i/>
          <w:iCs/>
          <w:snapToGrid w:val="0"/>
          <w:kern w:val="22"/>
          <w:szCs w:val="22"/>
        </w:rPr>
      </w:pPr>
      <w:r w:rsidRPr="00131EA6">
        <w:rPr>
          <w:i/>
          <w:iCs/>
          <w:snapToGrid w:val="0"/>
          <w:kern w:val="22"/>
          <w:szCs w:val="22"/>
        </w:rPr>
        <w:t xml:space="preserve">Élection des membres autres que le </w:t>
      </w:r>
      <w:r w:rsidR="00DC6160">
        <w:rPr>
          <w:i/>
          <w:iCs/>
          <w:snapToGrid w:val="0"/>
          <w:kern w:val="22"/>
          <w:szCs w:val="22"/>
        </w:rPr>
        <w:t>P</w:t>
      </w:r>
      <w:r w:rsidRPr="00131EA6">
        <w:rPr>
          <w:i/>
          <w:iCs/>
          <w:snapToGrid w:val="0"/>
          <w:kern w:val="22"/>
          <w:szCs w:val="22"/>
        </w:rPr>
        <w:t>résident</w:t>
      </w:r>
    </w:p>
    <w:p w14:paraId="7B7BFF55" w14:textId="70ABBD4E" w:rsidR="00E65DF8" w:rsidRPr="00131EA6" w:rsidRDefault="00D77560"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240"/>
        <w:ind w:left="0"/>
        <w:rPr>
          <w:snapToGrid w:val="0"/>
          <w:kern w:val="22"/>
          <w:szCs w:val="22"/>
        </w:rPr>
      </w:pPr>
      <w:r w:rsidRPr="00131EA6">
        <w:rPr>
          <w:snapToGrid w:val="0"/>
          <w:kern w:val="22"/>
          <w:szCs w:val="22"/>
        </w:rPr>
        <w:t xml:space="preserve">Conformément à l'article 21 du règlement intérieur, dix </w:t>
      </w:r>
      <w:r w:rsidRPr="00131EA6">
        <w:rPr>
          <w:kern w:val="22"/>
        </w:rPr>
        <w:t xml:space="preserve">vice-présidents ont été élus par la Conférence des Parties à sa quatorzième réunion </w:t>
      </w:r>
      <w:r w:rsidRPr="00131EA6">
        <w:rPr>
          <w:snapToGrid w:val="0"/>
          <w:kern w:val="22"/>
          <w:szCs w:val="22"/>
        </w:rPr>
        <w:t>pour siéger jusqu'à la clôture de la quinzième réunion. Ensuite, deux membres du Bureau ont été remplacés par les Parties concernées. Les représentants suivants ont siégé en qualité de vice-présidents à la quinzième réunion de la Conférence des Parties :</w:t>
      </w:r>
    </w:p>
    <w:p w14:paraId="2C9B3CA3" w14:textId="77777777" w:rsidR="00B3230D" w:rsidRPr="000A263A"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lang w:val="en-US"/>
        </w:rPr>
      </w:pPr>
      <w:r w:rsidRPr="000A263A">
        <w:rPr>
          <w:snapToGrid w:val="0"/>
          <w:kern w:val="22"/>
          <w:szCs w:val="22"/>
          <w:lang w:val="en-US"/>
        </w:rPr>
        <w:t>M. Eric Okoree (Ghana)</w:t>
      </w:r>
    </w:p>
    <w:p w14:paraId="5A720B69" w14:textId="77777777" w:rsidR="00B3230D" w:rsidRPr="000A263A"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lang w:val="en-US"/>
        </w:rPr>
      </w:pPr>
      <w:r w:rsidRPr="000A263A">
        <w:rPr>
          <w:snapToGrid w:val="0"/>
          <w:kern w:val="22"/>
          <w:szCs w:val="22"/>
          <w:lang w:val="en-US"/>
        </w:rPr>
        <w:t>M. Melesse Maryo (Éthiopie)</w:t>
      </w:r>
    </w:p>
    <w:p w14:paraId="1EDAA805" w14:textId="305EA45C" w:rsidR="00B3230D" w:rsidRPr="00131EA6" w:rsidRDefault="00041283"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31EA6">
        <w:rPr>
          <w:snapToGrid w:val="0"/>
          <w:kern w:val="22"/>
          <w:szCs w:val="22"/>
        </w:rPr>
        <w:t>M. Vinod Mathur (Inde) (en remplacement de Mme Sujata Arora)</w:t>
      </w:r>
    </w:p>
    <w:p w14:paraId="456C9631" w14:textId="77777777" w:rsidR="00B3230D" w:rsidRPr="00131EA6"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31EA6">
        <w:rPr>
          <w:snapToGrid w:val="0"/>
          <w:kern w:val="22"/>
          <w:szCs w:val="22"/>
        </w:rPr>
        <w:t>Mme Leina El-Awadhi (Koweït)</w:t>
      </w:r>
    </w:p>
    <w:p w14:paraId="71CAAF7D" w14:textId="77777777" w:rsidR="00B3230D" w:rsidRPr="00131EA6"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31EA6">
        <w:rPr>
          <w:snapToGrid w:val="0"/>
          <w:kern w:val="22"/>
          <w:szCs w:val="22"/>
        </w:rPr>
        <w:t>Mme Teona Karchava (Géorgie)</w:t>
      </w:r>
    </w:p>
    <w:p w14:paraId="07BB3883" w14:textId="77777777" w:rsidR="00B3230D" w:rsidRPr="00131EA6"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31EA6">
        <w:rPr>
          <w:snapToGrid w:val="0"/>
          <w:kern w:val="22"/>
          <w:szCs w:val="22"/>
        </w:rPr>
        <w:t>M. Elvana Ramaj (Albanie)</w:t>
      </w:r>
    </w:p>
    <w:p w14:paraId="55EE2966" w14:textId="7926A44A" w:rsidR="00B3230D" w:rsidRPr="00131EA6" w:rsidRDefault="00041283" w:rsidP="00041283">
      <w:pPr>
        <w:suppressLineNumbers/>
        <w:tabs>
          <w:tab w:val="left" w:pos="450"/>
          <w:tab w:val="left" w:pos="720"/>
        </w:tabs>
        <w:suppressAutoHyphens/>
        <w:kinsoku w:val="0"/>
        <w:overflowPunct w:val="0"/>
        <w:autoSpaceDE w:val="0"/>
        <w:autoSpaceDN w:val="0"/>
        <w:adjustRightInd w:val="0"/>
        <w:snapToGrid w:val="0"/>
        <w:ind w:left="2552" w:hanging="397"/>
        <w:rPr>
          <w:snapToGrid w:val="0"/>
          <w:kern w:val="22"/>
          <w:szCs w:val="22"/>
        </w:rPr>
      </w:pPr>
      <w:r w:rsidRPr="00131EA6">
        <w:rPr>
          <w:snapToGrid w:val="0"/>
          <w:kern w:val="22"/>
          <w:szCs w:val="22"/>
        </w:rPr>
        <w:t xml:space="preserve">M. Andrea Meza Murillo (Costa Rica) (en remplacement de Mme Carlos Manuel Rodriguez) </w:t>
      </w:r>
    </w:p>
    <w:p w14:paraId="2CB700DA" w14:textId="77777777" w:rsidR="00B3230D" w:rsidRPr="00131EA6"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31EA6">
        <w:rPr>
          <w:snapToGrid w:val="0"/>
          <w:kern w:val="22"/>
          <w:szCs w:val="22"/>
        </w:rPr>
        <w:t>Mme Helena Jeffery Brown (Antigua-et-Barbuda)</w:t>
      </w:r>
    </w:p>
    <w:p w14:paraId="03A87A06" w14:textId="77777777" w:rsidR="00B3230D" w:rsidRPr="00131EA6"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31EA6">
        <w:rPr>
          <w:snapToGrid w:val="0"/>
          <w:kern w:val="22"/>
          <w:szCs w:val="22"/>
        </w:rPr>
        <w:t>Mme Gabriele Obermayr (Autriche)</w:t>
      </w:r>
    </w:p>
    <w:p w14:paraId="79B0FA57" w14:textId="715DEEF3" w:rsidR="0054438D" w:rsidRPr="00131EA6" w:rsidRDefault="00B3230D" w:rsidP="00041283">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rPr>
      </w:pPr>
      <w:r w:rsidRPr="00131EA6">
        <w:rPr>
          <w:snapToGrid w:val="0"/>
          <w:kern w:val="22"/>
          <w:szCs w:val="22"/>
        </w:rPr>
        <w:t>Mme Rosemary Paterson (Nouvelle-Zélande)</w:t>
      </w:r>
    </w:p>
    <w:p w14:paraId="18641A1E" w14:textId="07C01A01" w:rsidR="003A468D" w:rsidRPr="00131EA6" w:rsidRDefault="003A468D" w:rsidP="0089120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t>Il a été convenu que l'élection des membres du Bureau au point 2 de l'ordre du jour serait examinée plus en détail lors de la deuxième partie de la réunion. Les groupes régionaux ont été invités à soumettre leurs candidatures, de préférence avant la deuxième partie de la réunion, afin de permettre aux membres du Bureau nouvellement élus d'assister, en tant qu'observateurs, aux réunions du Bureau qui se tiendront pendant la deuxième partie de la réunion de la Conférence des Parties et d'assurer une transition harmonieuse entre les membres du Bureau sortants et les nouveaux membres.</w:t>
      </w:r>
    </w:p>
    <w:p w14:paraId="5D0B6101" w14:textId="27B51607" w:rsidR="00882406" w:rsidRPr="00C700B1" w:rsidRDefault="00882406" w:rsidP="00C700B1">
      <w:pPr>
        <w:pStyle w:val="ListParagraph"/>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bookmarkStart w:id="5" w:name="_Hlk84828042"/>
      <w:r w:rsidRPr="00C700B1">
        <w:rPr>
          <w:snapToGrid w:val="0"/>
          <w:kern w:val="22"/>
          <w:szCs w:val="22"/>
        </w:rPr>
        <w:lastRenderedPageBreak/>
        <w:t>Étant donné que certains des travaux confiés par la quatorzième réunion de la Conférence des Parties se poursuivront jusqu'à la clôture de la deuxième partie de la quinzième réunion, M. Hamdallah Zedan (Égypte) a été invité à rester membre du Conseil, ex officio, en tant que représentant de la présidence de la quatorzième réunion</w:t>
      </w:r>
      <w:bookmarkEnd w:id="5"/>
      <w:r w:rsidRPr="00C700B1">
        <w:rPr>
          <w:snapToGrid w:val="0"/>
          <w:kern w:val="22"/>
          <w:szCs w:val="22"/>
        </w:rPr>
        <w:t xml:space="preserve">. </w:t>
      </w:r>
    </w:p>
    <w:p w14:paraId="0E136CC7" w14:textId="23282D0D" w:rsidR="009F226C" w:rsidRPr="00131EA6" w:rsidRDefault="00882406" w:rsidP="0089120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t>À la séance plénière d'ouverture de la première partie de la réunion, le 11 octobre 2021, la Conférence des Parties a décidé d'élire Mme Elvana Ramaj (Albanie) au poste de rapporteur. M. Eric Okoree (Ghana) a été élu représentant du Bureau en charge de la vérification des pouvoirs.</w:t>
      </w:r>
    </w:p>
    <w:p w14:paraId="259FC800" w14:textId="77777777" w:rsidR="00D77560" w:rsidRPr="00131EA6" w:rsidRDefault="00D77560" w:rsidP="00B00053">
      <w:pPr>
        <w:keepNext/>
        <w:suppressLineNumbers/>
        <w:suppressAutoHyphens/>
        <w:kinsoku w:val="0"/>
        <w:overflowPunct w:val="0"/>
        <w:autoSpaceDE w:val="0"/>
        <w:autoSpaceDN w:val="0"/>
        <w:adjustRightInd w:val="0"/>
        <w:snapToGrid w:val="0"/>
        <w:spacing w:before="120" w:after="120"/>
        <w:outlineLvl w:val="2"/>
        <w:rPr>
          <w:i/>
          <w:iCs/>
          <w:snapToGrid w:val="0"/>
          <w:kern w:val="22"/>
          <w:szCs w:val="22"/>
        </w:rPr>
      </w:pPr>
      <w:r w:rsidRPr="00131EA6">
        <w:rPr>
          <w:i/>
          <w:iCs/>
          <w:snapToGrid w:val="0"/>
          <w:kern w:val="22"/>
          <w:szCs w:val="22"/>
        </w:rPr>
        <w:t>Élection des membres des bureaux des organes subsidiaires et d'autres réunions</w:t>
      </w:r>
    </w:p>
    <w:p w14:paraId="0C55B2E2" w14:textId="63AFC371" w:rsidR="00D77560" w:rsidRPr="00131EA6" w:rsidRDefault="00882406" w:rsidP="00DD5D4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t>À la séance plénière d'ouverture de la première partie de la réunion, le 11 octobre 2021, la Conférence des Parties a décidé de reporter l'élection du Président de l'Organe subsidiaire chargé de fournir des avis scientifiques, techniques et technologiques et du Président de l'Organe subsidiaire chargé de l'application à la fin de la deuxième partie de la réunion.</w:t>
      </w:r>
      <w:r w:rsidRPr="00131EA6">
        <w:rPr>
          <w:snapToGrid w:val="0"/>
          <w:kern w:val="22"/>
          <w:szCs w:val="22"/>
        </w:rPr>
        <w:t xml:space="preserve"> La Conférence des Parties a également décidé de maintenir en fonction les coprésidents du Groupe de travail à composition non limitée sur le cadre mondial de la biodiversité pour l'après-2020 jusqu'à la deuxième partie de la réunion.</w:t>
      </w:r>
    </w:p>
    <w:p w14:paraId="740B4800" w14:textId="77777777" w:rsidR="00D77560" w:rsidRPr="00131EA6" w:rsidRDefault="00D77560" w:rsidP="00E228F5">
      <w:pPr>
        <w:keepNext/>
        <w:suppressLineNumbers/>
        <w:suppressAutoHyphens/>
        <w:kinsoku w:val="0"/>
        <w:overflowPunct w:val="0"/>
        <w:autoSpaceDE w:val="0"/>
        <w:autoSpaceDN w:val="0"/>
        <w:adjustRightInd w:val="0"/>
        <w:snapToGrid w:val="0"/>
        <w:spacing w:before="120" w:after="120"/>
        <w:ind w:left="1440" w:hanging="873"/>
        <w:jc w:val="left"/>
        <w:outlineLvl w:val="1"/>
        <w:rPr>
          <w:b/>
          <w:bCs/>
          <w:snapToGrid w:val="0"/>
          <w:kern w:val="22"/>
          <w:szCs w:val="22"/>
        </w:rPr>
      </w:pPr>
      <w:r w:rsidRPr="00131EA6">
        <w:rPr>
          <w:b/>
          <w:bCs/>
          <w:snapToGrid w:val="0"/>
          <w:kern w:val="22"/>
          <w:szCs w:val="22"/>
        </w:rPr>
        <w:t>Point 3.</w:t>
      </w:r>
      <w:r w:rsidRPr="00131EA6">
        <w:rPr>
          <w:b/>
          <w:bCs/>
          <w:snapToGrid w:val="0"/>
          <w:kern w:val="22"/>
          <w:szCs w:val="22"/>
        </w:rPr>
        <w:tab/>
        <w:t>Rapport sur la vérification des pouvoirs des représentants à la quinzième réunion de la Conférence des Parties</w:t>
      </w:r>
    </w:p>
    <w:p w14:paraId="0A0E24CF" w14:textId="40AAEBD4" w:rsidR="007911DD" w:rsidRPr="00131EA6" w:rsidRDefault="008F09CA" w:rsidP="00E023B8">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 xml:space="preserve">Le point 3 de l'ordre du jour a été examiné à la séance plénière d'ouverture de la première partie de la réunion, le 11 octobre 2021. Conformément à l'article 19 du règlement intérieur, le Bureau devait examiner les pouvoirs des délégations et faire rapport sur ceux-ci. </w:t>
      </w:r>
      <w:bookmarkStart w:id="6" w:name="_Hlk84828837"/>
      <w:r w:rsidRPr="00131EA6">
        <w:rPr>
          <w:snapToGrid w:val="0"/>
          <w:kern w:val="22"/>
          <w:szCs w:val="22"/>
        </w:rPr>
        <w:t xml:space="preserve">En conséquence, le Président a informé la </w:t>
      </w:r>
      <w:r w:rsidR="001A00FA">
        <w:rPr>
          <w:snapToGrid w:val="0"/>
          <w:kern w:val="22"/>
          <w:szCs w:val="22"/>
        </w:rPr>
        <w:t>Conférence des Parties</w:t>
      </w:r>
      <w:r w:rsidRPr="00131EA6">
        <w:rPr>
          <w:snapToGrid w:val="0"/>
          <w:kern w:val="22"/>
          <w:szCs w:val="22"/>
        </w:rPr>
        <w:t xml:space="preserve"> que le Bureau avait désigné M. Eric Okoree (Ghana)</w:t>
      </w:r>
      <w:r w:rsidR="001A00FA">
        <w:rPr>
          <w:snapToGrid w:val="0"/>
          <w:kern w:val="22"/>
          <w:szCs w:val="22"/>
        </w:rPr>
        <w:t>, vice-président du Bureau,</w:t>
      </w:r>
      <w:r w:rsidRPr="00131EA6">
        <w:rPr>
          <w:snapToGrid w:val="0"/>
          <w:kern w:val="22"/>
          <w:szCs w:val="22"/>
        </w:rPr>
        <w:t xml:space="preserve"> pour examiner les pouvoirs et faire rapport sur ceux-ci</w:t>
      </w:r>
      <w:bookmarkEnd w:id="6"/>
      <w:r w:rsidRPr="00131EA6">
        <w:rPr>
          <w:snapToGrid w:val="0"/>
          <w:kern w:val="22"/>
          <w:szCs w:val="22"/>
        </w:rPr>
        <w:t>.</w:t>
      </w:r>
    </w:p>
    <w:p w14:paraId="24EDC5D3" w14:textId="1E592916" w:rsidR="00B94745" w:rsidRPr="00131EA6" w:rsidRDefault="008760AD" w:rsidP="00E023B8">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bookmarkStart w:id="7" w:name="_Hlk84854771"/>
      <w:r w:rsidRPr="00131EA6">
        <w:rPr>
          <w:snapToGrid w:val="0"/>
          <w:kern w:val="22"/>
          <w:szCs w:val="22"/>
        </w:rPr>
        <w:t>À la [</w:t>
      </w:r>
      <w:r w:rsidRPr="00131EA6">
        <w:rPr>
          <w:i/>
          <w:iCs/>
          <w:snapToGrid w:val="0"/>
          <w:kern w:val="22"/>
          <w:szCs w:val="22"/>
        </w:rPr>
        <w:t>à compléter</w:t>
      </w:r>
      <w:r w:rsidRPr="00131EA6">
        <w:rPr>
          <w:snapToGrid w:val="0"/>
          <w:kern w:val="22"/>
          <w:szCs w:val="22"/>
        </w:rPr>
        <w:t xml:space="preserve">] séance de la </w:t>
      </w:r>
      <w:r w:rsidR="001A00FA">
        <w:rPr>
          <w:snapToGrid w:val="0"/>
          <w:kern w:val="22"/>
          <w:szCs w:val="22"/>
        </w:rPr>
        <w:t xml:space="preserve">partie I de la </w:t>
      </w:r>
      <w:r w:rsidRPr="00131EA6">
        <w:rPr>
          <w:snapToGrid w:val="0"/>
          <w:kern w:val="22"/>
          <w:szCs w:val="22"/>
        </w:rPr>
        <w:t xml:space="preserve">réunion le </w:t>
      </w:r>
      <w:r w:rsidRPr="00131EA6">
        <w:rPr>
          <w:i/>
          <w:iCs/>
          <w:snapToGrid w:val="0"/>
          <w:kern w:val="22"/>
          <w:szCs w:val="22"/>
        </w:rPr>
        <w:t>[à compléter</w:t>
      </w:r>
      <w:r w:rsidRPr="00131EA6">
        <w:rPr>
          <w:snapToGrid w:val="0"/>
          <w:kern w:val="22"/>
          <w:szCs w:val="22"/>
        </w:rPr>
        <w:t>], [</w:t>
      </w:r>
      <w:r w:rsidRPr="00131EA6">
        <w:rPr>
          <w:i/>
          <w:iCs/>
          <w:snapToGrid w:val="0"/>
          <w:kern w:val="22"/>
          <w:szCs w:val="22"/>
        </w:rPr>
        <w:t>à compléter</w:t>
      </w:r>
      <w:r w:rsidRPr="00131EA6">
        <w:rPr>
          <w:snapToGrid w:val="0"/>
          <w:kern w:val="22"/>
          <w:szCs w:val="22"/>
        </w:rPr>
        <w:t xml:space="preserve">] </w:t>
      </w:r>
      <w:r w:rsidR="001A00FA">
        <w:rPr>
          <w:snapToGrid w:val="0"/>
          <w:kern w:val="22"/>
          <w:szCs w:val="22"/>
        </w:rPr>
        <w:t xml:space="preserve">M. Okeree </w:t>
      </w:r>
      <w:r w:rsidRPr="00131EA6">
        <w:rPr>
          <w:snapToGrid w:val="0"/>
          <w:kern w:val="22"/>
          <w:szCs w:val="22"/>
        </w:rPr>
        <w:t xml:space="preserve">a informé la Conférence des Parties que </w:t>
      </w:r>
      <w:r w:rsidRPr="00131EA6">
        <w:rPr>
          <w:i/>
          <w:iCs/>
          <w:snapToGrid w:val="0"/>
          <w:kern w:val="22"/>
          <w:szCs w:val="22"/>
        </w:rPr>
        <w:t>[à compléter</w:t>
      </w:r>
      <w:r w:rsidRPr="00131EA6">
        <w:rPr>
          <w:snapToGrid w:val="0"/>
          <w:kern w:val="22"/>
          <w:szCs w:val="22"/>
        </w:rPr>
        <w:t>] Parties s'étaient inscrites pour participer à la réunion. Le Bureau avait examiné les pouvoirs des représentants de [</w:t>
      </w:r>
      <w:r w:rsidRPr="00131EA6">
        <w:rPr>
          <w:i/>
          <w:iCs/>
          <w:snapToGrid w:val="0"/>
          <w:kern w:val="22"/>
          <w:szCs w:val="22"/>
        </w:rPr>
        <w:t>à compléter</w:t>
      </w:r>
      <w:r w:rsidRPr="00131EA6">
        <w:rPr>
          <w:snapToGrid w:val="0"/>
          <w:kern w:val="22"/>
          <w:szCs w:val="22"/>
        </w:rPr>
        <w:t>] Parties qui participaient à la réunion</w:t>
      </w:r>
      <w:bookmarkEnd w:id="7"/>
      <w:r w:rsidRPr="00131EA6">
        <w:rPr>
          <w:snapToGrid w:val="0"/>
          <w:kern w:val="22"/>
          <w:szCs w:val="22"/>
        </w:rPr>
        <w:t xml:space="preserve">. </w:t>
      </w:r>
      <w:r w:rsidR="001A00FA">
        <w:rPr>
          <w:snapToGrid w:val="0"/>
          <w:kern w:val="22"/>
          <w:szCs w:val="22"/>
        </w:rPr>
        <w:t>Les pouvoirs de [</w:t>
      </w:r>
      <w:r w:rsidR="001A00FA" w:rsidRPr="00212179">
        <w:rPr>
          <w:i/>
          <w:snapToGrid w:val="0"/>
          <w:kern w:val="22"/>
          <w:szCs w:val="22"/>
        </w:rPr>
        <w:t>à compléter</w:t>
      </w:r>
      <w:r w:rsidR="001A00FA">
        <w:rPr>
          <w:snapToGrid w:val="0"/>
          <w:kern w:val="22"/>
          <w:szCs w:val="22"/>
        </w:rPr>
        <w:t xml:space="preserve">] délégations respectaient à la lettre </w:t>
      </w:r>
      <w:r w:rsidR="00212179">
        <w:rPr>
          <w:snapToGrid w:val="0"/>
          <w:kern w:val="22"/>
          <w:szCs w:val="22"/>
        </w:rPr>
        <w:t>l’article</w:t>
      </w:r>
      <w:r w:rsidR="001A00FA">
        <w:rPr>
          <w:snapToGrid w:val="0"/>
          <w:kern w:val="22"/>
          <w:szCs w:val="22"/>
        </w:rPr>
        <w:t xml:space="preserve"> 18 du règlement intérieur,</w:t>
      </w:r>
      <w:r w:rsidR="00212179">
        <w:rPr>
          <w:snapToGrid w:val="0"/>
          <w:kern w:val="22"/>
          <w:szCs w:val="22"/>
        </w:rPr>
        <w:t xml:space="preserve"> tandis que l</w:t>
      </w:r>
      <w:r w:rsidR="001A00FA">
        <w:rPr>
          <w:snapToGrid w:val="0"/>
          <w:kern w:val="22"/>
          <w:szCs w:val="22"/>
        </w:rPr>
        <w:t>es pouvoirs de [</w:t>
      </w:r>
      <w:r w:rsidR="001A00FA" w:rsidRPr="00212179">
        <w:rPr>
          <w:i/>
          <w:snapToGrid w:val="0"/>
          <w:kern w:val="22"/>
          <w:szCs w:val="22"/>
        </w:rPr>
        <w:t>à compléter</w:t>
      </w:r>
      <w:r w:rsidR="001A00FA">
        <w:rPr>
          <w:snapToGrid w:val="0"/>
          <w:kern w:val="22"/>
          <w:szCs w:val="22"/>
        </w:rPr>
        <w:t xml:space="preserve">] délégations ne correspondaient pas tout à fait à </w:t>
      </w:r>
      <w:r w:rsidR="00212179">
        <w:rPr>
          <w:snapToGrid w:val="0"/>
          <w:kern w:val="22"/>
          <w:szCs w:val="22"/>
        </w:rPr>
        <w:t>l’article 18</w:t>
      </w:r>
      <w:r w:rsidR="001A00FA">
        <w:rPr>
          <w:snapToGrid w:val="0"/>
          <w:kern w:val="22"/>
          <w:szCs w:val="22"/>
        </w:rPr>
        <w:t xml:space="preserve"> et [</w:t>
      </w:r>
      <w:r w:rsidR="001A00FA" w:rsidRPr="00212179">
        <w:rPr>
          <w:i/>
          <w:snapToGrid w:val="0"/>
          <w:kern w:val="22"/>
          <w:szCs w:val="22"/>
        </w:rPr>
        <w:t>à compléter</w:t>
      </w:r>
      <w:r w:rsidR="001A00FA">
        <w:rPr>
          <w:snapToGrid w:val="0"/>
          <w:kern w:val="22"/>
          <w:szCs w:val="22"/>
        </w:rPr>
        <w:t xml:space="preserve">] délégations </w:t>
      </w:r>
      <w:r w:rsidR="00212179">
        <w:rPr>
          <w:snapToGrid w:val="0"/>
          <w:kern w:val="22"/>
          <w:szCs w:val="22"/>
        </w:rPr>
        <w:t>n’avaient</w:t>
      </w:r>
      <w:r w:rsidR="001A00FA">
        <w:rPr>
          <w:snapToGrid w:val="0"/>
          <w:kern w:val="22"/>
          <w:szCs w:val="22"/>
        </w:rPr>
        <w:t xml:space="preserve"> pas e</w:t>
      </w:r>
      <w:r w:rsidR="00212179">
        <w:rPr>
          <w:snapToGrid w:val="0"/>
          <w:kern w:val="22"/>
          <w:szCs w:val="22"/>
        </w:rPr>
        <w:t>n</w:t>
      </w:r>
      <w:r w:rsidR="001A00FA">
        <w:rPr>
          <w:snapToGrid w:val="0"/>
          <w:kern w:val="22"/>
          <w:szCs w:val="22"/>
        </w:rPr>
        <w:t>core communiqué leurs pouvoirs.</w:t>
      </w:r>
    </w:p>
    <w:p w14:paraId="3AA4D078" w14:textId="77777777" w:rsidR="00D77560" w:rsidRPr="00131EA6" w:rsidRDefault="00D77560" w:rsidP="00B00053">
      <w:pPr>
        <w:keepNext/>
        <w:suppressLineNumbers/>
        <w:tabs>
          <w:tab w:val="left" w:pos="851"/>
        </w:tabs>
        <w:suppressAutoHyphens/>
        <w:kinsoku w:val="0"/>
        <w:overflowPunct w:val="0"/>
        <w:autoSpaceDE w:val="0"/>
        <w:autoSpaceDN w:val="0"/>
        <w:adjustRightInd w:val="0"/>
        <w:snapToGrid w:val="0"/>
        <w:spacing w:before="120" w:after="120"/>
        <w:jc w:val="center"/>
        <w:outlineLvl w:val="1"/>
        <w:rPr>
          <w:b/>
          <w:bCs/>
          <w:snapToGrid w:val="0"/>
          <w:kern w:val="22"/>
          <w:szCs w:val="22"/>
        </w:rPr>
      </w:pPr>
      <w:r w:rsidRPr="00131EA6">
        <w:rPr>
          <w:b/>
          <w:bCs/>
          <w:snapToGrid w:val="0"/>
          <w:kern w:val="22"/>
          <w:szCs w:val="22"/>
        </w:rPr>
        <w:t>Point 4.</w:t>
      </w:r>
      <w:r w:rsidRPr="00131EA6">
        <w:rPr>
          <w:b/>
          <w:bCs/>
          <w:snapToGrid w:val="0"/>
          <w:kern w:val="22"/>
          <w:szCs w:val="22"/>
        </w:rPr>
        <w:tab/>
        <w:t>Questions en suspens</w:t>
      </w:r>
    </w:p>
    <w:p w14:paraId="5B0C8D26" w14:textId="37B7B513" w:rsidR="00B94745" w:rsidRPr="00131EA6" w:rsidRDefault="00DE3CA7"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Le point 4 de l'ordre du jour a été examiné lors de la [</w:t>
      </w:r>
      <w:r w:rsidRPr="00131EA6">
        <w:rPr>
          <w:i/>
          <w:iCs/>
          <w:snapToGrid w:val="0"/>
          <w:kern w:val="22"/>
          <w:szCs w:val="22"/>
        </w:rPr>
        <w:t>à compléter</w:t>
      </w:r>
      <w:r w:rsidRPr="00131EA6">
        <w:rPr>
          <w:snapToGrid w:val="0"/>
          <w:kern w:val="22"/>
          <w:szCs w:val="22"/>
        </w:rPr>
        <w:t>] session de la réunion, le [</w:t>
      </w:r>
      <w:r w:rsidRPr="00131EA6">
        <w:rPr>
          <w:i/>
          <w:iCs/>
          <w:snapToGrid w:val="0"/>
          <w:kern w:val="22"/>
          <w:szCs w:val="22"/>
        </w:rPr>
        <w:t>à compléter</w:t>
      </w:r>
      <w:r w:rsidRPr="00131EA6">
        <w:rPr>
          <w:snapToGrid w:val="0"/>
          <w:kern w:val="22"/>
          <w:szCs w:val="22"/>
        </w:rPr>
        <w:t xml:space="preserve">]. La seule question en suspens devant la Conférence des parties concernait le paragraphe 1 de l'article 40 du règlement intérieur et les paragraphes 4 et 16 des règles de gestion financière, qui sont restés entre crochets en raison de l'absence </w:t>
      </w:r>
      <w:r w:rsidR="00212179">
        <w:rPr>
          <w:snapToGrid w:val="0"/>
          <w:kern w:val="22"/>
          <w:szCs w:val="22"/>
        </w:rPr>
        <w:t xml:space="preserve">de consensus entre les Parties concernant la majorité requise pour prendre des décisions sur </w:t>
      </w:r>
      <w:r w:rsidRPr="00131EA6">
        <w:rPr>
          <w:snapToGrid w:val="0"/>
          <w:kern w:val="22"/>
          <w:szCs w:val="22"/>
        </w:rPr>
        <w:t xml:space="preserve">les questions de subsistance. </w:t>
      </w:r>
    </w:p>
    <w:p w14:paraId="02A9E19B" w14:textId="70C5459D" w:rsidR="00DE3CA7" w:rsidRPr="00131EA6" w:rsidRDefault="00561729"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 xml:space="preserve"> </w:t>
      </w:r>
      <w:r w:rsidRPr="00131EA6">
        <w:rPr>
          <w:i/>
          <w:iCs/>
          <w:snapToGrid w:val="0"/>
          <w:kern w:val="22"/>
          <w:szCs w:val="22"/>
        </w:rPr>
        <w:t>[à compléter]</w:t>
      </w:r>
    </w:p>
    <w:p w14:paraId="283E3564" w14:textId="77777777" w:rsidR="00D77560" w:rsidRPr="00131EA6" w:rsidRDefault="00D77560" w:rsidP="00B00053">
      <w:pPr>
        <w:keepNext/>
        <w:suppressLineNumbers/>
        <w:tabs>
          <w:tab w:val="left" w:pos="450"/>
        </w:tabs>
        <w:suppressAutoHyphens/>
        <w:kinsoku w:val="0"/>
        <w:overflowPunct w:val="0"/>
        <w:autoSpaceDE w:val="0"/>
        <w:autoSpaceDN w:val="0"/>
        <w:adjustRightInd w:val="0"/>
        <w:snapToGrid w:val="0"/>
        <w:spacing w:before="120" w:after="120"/>
        <w:jc w:val="center"/>
        <w:outlineLvl w:val="0"/>
        <w:rPr>
          <w:b/>
          <w:bCs/>
          <w:caps/>
          <w:snapToGrid w:val="0"/>
          <w:kern w:val="22"/>
          <w:szCs w:val="22"/>
        </w:rPr>
      </w:pPr>
      <w:r w:rsidRPr="00131EA6">
        <w:rPr>
          <w:b/>
          <w:bCs/>
          <w:caps/>
          <w:snapToGrid w:val="0"/>
          <w:kern w:val="22"/>
          <w:szCs w:val="22"/>
        </w:rPr>
        <w:t>II.</w:t>
      </w:r>
      <w:r w:rsidRPr="00131EA6">
        <w:rPr>
          <w:b/>
          <w:bCs/>
          <w:caps/>
          <w:snapToGrid w:val="0"/>
          <w:kern w:val="22"/>
          <w:szCs w:val="22"/>
        </w:rPr>
        <w:tab/>
        <w:t>RAPPORTS</w:t>
      </w:r>
    </w:p>
    <w:p w14:paraId="7592FCB7" w14:textId="77777777" w:rsidR="00D77560" w:rsidRPr="00131EA6" w:rsidRDefault="00D77560" w:rsidP="00B00053">
      <w:pPr>
        <w:keepNext/>
        <w:suppressLineNumbers/>
        <w:tabs>
          <w:tab w:val="left" w:pos="851"/>
        </w:tabs>
        <w:suppressAutoHyphens/>
        <w:kinsoku w:val="0"/>
        <w:overflowPunct w:val="0"/>
        <w:autoSpaceDE w:val="0"/>
        <w:autoSpaceDN w:val="0"/>
        <w:adjustRightInd w:val="0"/>
        <w:snapToGrid w:val="0"/>
        <w:spacing w:before="120" w:after="120"/>
        <w:jc w:val="center"/>
        <w:rPr>
          <w:b/>
          <w:bCs/>
          <w:snapToGrid w:val="0"/>
          <w:kern w:val="22"/>
          <w:szCs w:val="22"/>
        </w:rPr>
      </w:pPr>
      <w:r w:rsidRPr="00131EA6">
        <w:rPr>
          <w:b/>
          <w:bCs/>
          <w:snapToGrid w:val="0"/>
          <w:kern w:val="22"/>
          <w:szCs w:val="22"/>
        </w:rPr>
        <w:t>Point 6.</w:t>
      </w:r>
      <w:r w:rsidRPr="00131EA6">
        <w:rPr>
          <w:b/>
          <w:bCs/>
          <w:snapToGrid w:val="0"/>
          <w:kern w:val="22"/>
          <w:szCs w:val="22"/>
        </w:rPr>
        <w:tab/>
        <w:t>Rapports des réunions intersessions et des réunions préparatoires régionales</w:t>
      </w:r>
    </w:p>
    <w:p w14:paraId="14100A0C" w14:textId="72AA09F8" w:rsidR="00D77560" w:rsidRPr="00131EA6" w:rsidRDefault="00CE4777" w:rsidP="00B96C1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 xml:space="preserve">Le point 6 de l'ordre du jour a été examiné lors de la </w:t>
      </w:r>
      <w:r w:rsidRPr="00131EA6">
        <w:rPr>
          <w:i/>
          <w:iCs/>
          <w:snapToGrid w:val="0"/>
          <w:kern w:val="22"/>
          <w:szCs w:val="22"/>
        </w:rPr>
        <w:t>[à compléter]</w:t>
      </w:r>
      <w:r w:rsidRPr="00131EA6">
        <w:rPr>
          <w:snapToGrid w:val="0"/>
          <w:kern w:val="22"/>
          <w:szCs w:val="22"/>
        </w:rPr>
        <w:t xml:space="preserve"> sessio</w:t>
      </w:r>
      <w:r w:rsidR="00212179">
        <w:rPr>
          <w:snapToGrid w:val="0"/>
          <w:kern w:val="22"/>
          <w:szCs w:val="22"/>
        </w:rPr>
        <w:t xml:space="preserve">n de la partie I </w:t>
      </w:r>
      <w:r w:rsidRPr="00131EA6">
        <w:rPr>
          <w:snapToGrid w:val="0"/>
          <w:kern w:val="22"/>
          <w:szCs w:val="22"/>
        </w:rPr>
        <w:t xml:space="preserve">de la réunion le </w:t>
      </w:r>
      <w:r w:rsidRPr="00131EA6">
        <w:rPr>
          <w:i/>
          <w:iCs/>
          <w:snapToGrid w:val="0"/>
          <w:kern w:val="22"/>
          <w:szCs w:val="22"/>
        </w:rPr>
        <w:t>[à compléter]</w:t>
      </w:r>
      <w:r w:rsidRPr="00131EA6">
        <w:rPr>
          <w:snapToGrid w:val="0"/>
          <w:kern w:val="22"/>
          <w:szCs w:val="22"/>
        </w:rPr>
        <w:t>. Dans le cadre de l'examen de ce point, la Conférence des Parties a été saisie des rapports de la onzième réunion du Groupe de travail spécial intersessions à composition non limitée sur l'article 8 j) et les dispositions connexes de la Convention sur la diversité biologique (CBD/WG8J/11/7), la vingt-troisième réunion de l'</w:t>
      </w:r>
      <w:bookmarkStart w:id="8" w:name="_Hlk78547125"/>
      <w:r w:rsidRPr="00131EA6">
        <w:rPr>
          <w:snapToGrid w:val="0"/>
          <w:kern w:val="22"/>
          <w:szCs w:val="22"/>
        </w:rPr>
        <w:t>Organe subsidiaire chargé de fournir des avis scientifiques, techniques et technologiques</w:t>
      </w:r>
      <w:bookmarkEnd w:id="8"/>
      <w:r w:rsidRPr="00131EA6">
        <w:rPr>
          <w:snapToGrid w:val="0"/>
          <w:kern w:val="22"/>
          <w:szCs w:val="22"/>
        </w:rPr>
        <w:t xml:space="preserve"> (CBD/SBSTTA/23/9), les première, deuxième et troisième réunions du Groupe de travail à composition non limitée sur le cadre mondial de la biodiversité pour l'après-2020 (</w:t>
      </w:r>
      <w:r w:rsidRPr="00131EA6">
        <w:rPr>
          <w:rStyle w:val="ng-binding"/>
          <w:snapToGrid w:val="0"/>
          <w:kern w:val="22"/>
          <w:szCs w:val="22"/>
        </w:rPr>
        <w:t>CBD/WG2020/1/5, CBD/WG2020/2/4)</w:t>
      </w:r>
      <w:r w:rsidRPr="00131EA6">
        <w:rPr>
          <w:snapToGrid w:val="0"/>
          <w:kern w:val="22"/>
          <w:szCs w:val="22"/>
        </w:rPr>
        <w:t>.</w:t>
      </w:r>
    </w:p>
    <w:p w14:paraId="465BAD34" w14:textId="5C2B037F" w:rsidR="004869B2" w:rsidRPr="00131EA6" w:rsidRDefault="004869B2" w:rsidP="00B96C1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lastRenderedPageBreak/>
        <w:t xml:space="preserve">La Conférence des Parties a pris note des rapports sur les réunions intersessions des organes subsidiaires et a </w:t>
      </w:r>
      <w:r w:rsidR="00791BCE">
        <w:rPr>
          <w:snapToGrid w:val="0"/>
          <w:kern w:val="22"/>
          <w:szCs w:val="22"/>
        </w:rPr>
        <w:t>décidé</w:t>
      </w:r>
      <w:r w:rsidRPr="00131EA6">
        <w:rPr>
          <w:snapToGrid w:val="0"/>
          <w:kern w:val="22"/>
          <w:szCs w:val="22"/>
        </w:rPr>
        <w:t xml:space="preserve"> d'examiner les recommandations figurant dans les rapports au titre des points pertinents de l'ordre du jour lors de l</w:t>
      </w:r>
      <w:r w:rsidR="00791BCE">
        <w:rPr>
          <w:snapToGrid w:val="0"/>
          <w:kern w:val="22"/>
          <w:szCs w:val="22"/>
        </w:rPr>
        <w:t>a deuxième partie de la réunion</w:t>
      </w:r>
      <w:r w:rsidRPr="00131EA6">
        <w:rPr>
          <w:snapToGrid w:val="0"/>
          <w:kern w:val="22"/>
          <w:szCs w:val="22"/>
        </w:rPr>
        <w:t>.</w:t>
      </w:r>
    </w:p>
    <w:p w14:paraId="1D898D12" w14:textId="6E81B2D5" w:rsidR="00802224" w:rsidRPr="00131EA6" w:rsidRDefault="00802224" w:rsidP="00B96C16">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w:t>
      </w:r>
      <w:r w:rsidRPr="00131EA6">
        <w:rPr>
          <w:i/>
          <w:iCs/>
          <w:snapToGrid w:val="0"/>
          <w:kern w:val="22"/>
          <w:szCs w:val="22"/>
        </w:rPr>
        <w:t>à compléter</w:t>
      </w:r>
      <w:r w:rsidRPr="00131EA6">
        <w:rPr>
          <w:snapToGrid w:val="0"/>
          <w:kern w:val="22"/>
          <w:szCs w:val="22"/>
        </w:rPr>
        <w:t>].</w:t>
      </w:r>
    </w:p>
    <w:p w14:paraId="3E0CC71B" w14:textId="0D7F73B2" w:rsidR="00D77560" w:rsidRPr="00131EA6" w:rsidRDefault="00D77560" w:rsidP="00B00053">
      <w:pPr>
        <w:keepNext/>
        <w:suppressLineNumbers/>
        <w:suppressAutoHyphens/>
        <w:kinsoku w:val="0"/>
        <w:overflowPunct w:val="0"/>
        <w:autoSpaceDE w:val="0"/>
        <w:autoSpaceDN w:val="0"/>
        <w:adjustRightInd w:val="0"/>
        <w:snapToGrid w:val="0"/>
        <w:spacing w:before="120" w:after="120"/>
        <w:jc w:val="center"/>
        <w:outlineLvl w:val="0"/>
        <w:rPr>
          <w:b/>
          <w:bCs/>
          <w:snapToGrid w:val="0"/>
          <w:kern w:val="22"/>
          <w:szCs w:val="22"/>
        </w:rPr>
      </w:pPr>
      <w:r w:rsidRPr="00131EA6">
        <w:rPr>
          <w:b/>
          <w:bCs/>
          <w:snapToGrid w:val="0"/>
          <w:kern w:val="22"/>
          <w:szCs w:val="22"/>
        </w:rPr>
        <w:t>III.</w:t>
      </w:r>
      <w:r w:rsidRPr="00131EA6">
        <w:rPr>
          <w:b/>
          <w:bCs/>
          <w:snapToGrid w:val="0"/>
          <w:kern w:val="22"/>
          <w:szCs w:val="22"/>
        </w:rPr>
        <w:tab/>
        <w:t>ADMINISTRATION ET BUDGET</w:t>
      </w:r>
    </w:p>
    <w:p w14:paraId="0B3F190C" w14:textId="6D861AD9" w:rsidR="00D77560" w:rsidRPr="00131EA6" w:rsidRDefault="00D77560" w:rsidP="00B00053">
      <w:pPr>
        <w:keepNext/>
        <w:suppressLineNumbers/>
        <w:tabs>
          <w:tab w:val="left" w:pos="851"/>
        </w:tabs>
        <w:suppressAutoHyphens/>
        <w:kinsoku w:val="0"/>
        <w:overflowPunct w:val="0"/>
        <w:autoSpaceDE w:val="0"/>
        <w:autoSpaceDN w:val="0"/>
        <w:adjustRightInd w:val="0"/>
        <w:snapToGrid w:val="0"/>
        <w:spacing w:before="120" w:after="120"/>
        <w:jc w:val="center"/>
        <w:outlineLvl w:val="1"/>
        <w:rPr>
          <w:b/>
          <w:bCs/>
          <w:snapToGrid w:val="0"/>
          <w:kern w:val="22"/>
          <w:szCs w:val="22"/>
        </w:rPr>
      </w:pPr>
      <w:r w:rsidRPr="00131EA6">
        <w:rPr>
          <w:b/>
          <w:bCs/>
          <w:snapToGrid w:val="0"/>
          <w:kern w:val="22"/>
          <w:szCs w:val="22"/>
        </w:rPr>
        <w:t>Point 7.</w:t>
      </w:r>
      <w:r w:rsidRPr="00131EA6">
        <w:rPr>
          <w:b/>
          <w:bCs/>
          <w:snapToGrid w:val="0"/>
          <w:kern w:val="22"/>
          <w:szCs w:val="22"/>
        </w:rPr>
        <w:tab/>
        <w:t>Administration de la Convention et budget pour les fonds d'affectation spéciale</w:t>
      </w:r>
    </w:p>
    <w:p w14:paraId="428DF8F6" w14:textId="2D8CAAAD" w:rsidR="00430CAE" w:rsidRPr="00131EA6" w:rsidRDefault="00430CAE"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Le point 7 de l'ordre du jour a été abordé à la séance plénière d'ouverture de la première partie de la réunion, le 11 octobre 2021.</w:t>
      </w:r>
    </w:p>
    <w:p w14:paraId="0EB0AAB8" w14:textId="4F016ED2" w:rsidR="00D77560" w:rsidRPr="00131EA6" w:rsidRDefault="001B4336" w:rsidP="00643CEF">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Dans le cadre de l'examen de ce point, la Conférence des Parties a été saisie d'un rapport provisoire de la Secrétaire exécutive sur l'administration de la Convention, y compris le budget pour les fonds d'affectation spéciale de la Convention, pour examen (CBD/COP/15/3).</w:t>
      </w:r>
    </w:p>
    <w:p w14:paraId="219260CA" w14:textId="4DF09C5B" w:rsidR="00AB329F" w:rsidRPr="00131EA6" w:rsidRDefault="00AB329F" w:rsidP="00643CEF">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bookmarkStart w:id="9" w:name="_Hlk84828221"/>
      <w:r w:rsidRPr="00131EA6">
        <w:rPr>
          <w:snapToGrid w:val="0"/>
          <w:kern w:val="22"/>
          <w:szCs w:val="22"/>
        </w:rPr>
        <w:t xml:space="preserve">La Conférence des Parties a </w:t>
      </w:r>
      <w:r w:rsidR="00791BCE">
        <w:rPr>
          <w:snapToGrid w:val="0"/>
          <w:kern w:val="22"/>
          <w:szCs w:val="22"/>
        </w:rPr>
        <w:t>décidé</w:t>
      </w:r>
      <w:r w:rsidRPr="00131EA6">
        <w:rPr>
          <w:snapToGrid w:val="0"/>
          <w:kern w:val="22"/>
          <w:szCs w:val="22"/>
        </w:rPr>
        <w:t xml:space="preserve"> de créer un groupe de contact sur le budget, ayant pour mandat d'examiner la question et d'élaborer un projet de budget pour le programme de travail de l'année 2022, aux fins d'examen par les Parties. Le groupe de contact était présidé par M. Spencer Thomas (Grenade) et était ouvert à toutes les Parties. Il se réunirait de manière informelle à l'invitation du Président, les réunions étant annoncées à l'avance dans le calendrier quotidien des réunions</w:t>
      </w:r>
      <w:bookmarkEnd w:id="9"/>
      <w:r w:rsidRPr="00131EA6">
        <w:rPr>
          <w:snapToGrid w:val="0"/>
          <w:kern w:val="22"/>
          <w:szCs w:val="22"/>
        </w:rPr>
        <w:t>.</w:t>
      </w:r>
    </w:p>
    <w:p w14:paraId="78A4C518" w14:textId="77777777" w:rsidR="00B00FB0" w:rsidRPr="00131EA6" w:rsidRDefault="00DE449A" w:rsidP="00643CEF">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 xml:space="preserve">À la </w:t>
      </w:r>
      <w:r w:rsidRPr="00131EA6">
        <w:rPr>
          <w:i/>
          <w:iCs/>
          <w:snapToGrid w:val="0"/>
          <w:kern w:val="22"/>
          <w:szCs w:val="22"/>
        </w:rPr>
        <w:t>[à compléter</w:t>
      </w:r>
      <w:r w:rsidRPr="00131EA6">
        <w:rPr>
          <w:snapToGrid w:val="0"/>
          <w:kern w:val="22"/>
          <w:szCs w:val="22"/>
        </w:rPr>
        <w:t xml:space="preserve">] séance plénière le </w:t>
      </w:r>
      <w:r w:rsidRPr="00131EA6">
        <w:rPr>
          <w:i/>
          <w:iCs/>
          <w:snapToGrid w:val="0"/>
          <w:kern w:val="22"/>
          <w:szCs w:val="22"/>
        </w:rPr>
        <w:t>[à compléter]</w:t>
      </w:r>
      <w:r w:rsidRPr="00131EA6">
        <w:rPr>
          <w:snapToGrid w:val="0"/>
          <w:kern w:val="22"/>
          <w:szCs w:val="22"/>
        </w:rPr>
        <w:t xml:space="preserve">, la Conférence des Parties a écouté un exposé faisant le point sur les travaux du groupe de contact sur le budget. </w:t>
      </w:r>
    </w:p>
    <w:p w14:paraId="1FE9410C" w14:textId="6777C3F0" w:rsidR="00876806" w:rsidRPr="00131EA6" w:rsidRDefault="00892E38" w:rsidP="00643CEF">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w:t>
      </w:r>
      <w:r w:rsidRPr="00131EA6">
        <w:rPr>
          <w:i/>
          <w:iCs/>
          <w:snapToGrid w:val="0"/>
          <w:kern w:val="22"/>
          <w:szCs w:val="22"/>
        </w:rPr>
        <w:t>à compléter</w:t>
      </w:r>
      <w:r w:rsidRPr="00131EA6">
        <w:rPr>
          <w:snapToGrid w:val="0"/>
          <w:kern w:val="22"/>
          <w:szCs w:val="22"/>
        </w:rPr>
        <w:t>].</w:t>
      </w:r>
    </w:p>
    <w:p w14:paraId="3E562EF9" w14:textId="077B6040" w:rsidR="00D77560" w:rsidRPr="00131EA6" w:rsidRDefault="00963371" w:rsidP="00B00053">
      <w:pPr>
        <w:keepNext/>
        <w:suppressLineNumbers/>
        <w:tabs>
          <w:tab w:val="left" w:pos="540"/>
        </w:tabs>
        <w:suppressAutoHyphens/>
        <w:kinsoku w:val="0"/>
        <w:overflowPunct w:val="0"/>
        <w:autoSpaceDE w:val="0"/>
        <w:autoSpaceDN w:val="0"/>
        <w:adjustRightInd w:val="0"/>
        <w:snapToGrid w:val="0"/>
        <w:spacing w:before="120" w:after="120"/>
        <w:jc w:val="center"/>
        <w:outlineLvl w:val="0"/>
        <w:rPr>
          <w:b/>
          <w:bCs/>
          <w:snapToGrid w:val="0"/>
          <w:kern w:val="22"/>
          <w:szCs w:val="22"/>
        </w:rPr>
      </w:pPr>
      <w:r w:rsidRPr="00131EA6">
        <w:rPr>
          <w:b/>
          <w:bCs/>
          <w:snapToGrid w:val="0"/>
          <w:kern w:val="22"/>
          <w:szCs w:val="22"/>
        </w:rPr>
        <w:t>IV.</w:t>
      </w:r>
      <w:r w:rsidRPr="00131EA6">
        <w:rPr>
          <w:b/>
          <w:bCs/>
          <w:snapToGrid w:val="0"/>
          <w:kern w:val="22"/>
          <w:szCs w:val="22"/>
        </w:rPr>
        <w:tab/>
        <w:t>QUESTIONS FINALES</w:t>
      </w:r>
    </w:p>
    <w:p w14:paraId="0B54CEFE" w14:textId="77777777" w:rsidR="00D77560" w:rsidRPr="00131EA6" w:rsidRDefault="00D77560" w:rsidP="00B00053">
      <w:pPr>
        <w:keepNext/>
        <w:suppressLineNumbers/>
        <w:tabs>
          <w:tab w:val="left" w:pos="900"/>
        </w:tabs>
        <w:suppressAutoHyphens/>
        <w:kinsoku w:val="0"/>
        <w:overflowPunct w:val="0"/>
        <w:autoSpaceDE w:val="0"/>
        <w:autoSpaceDN w:val="0"/>
        <w:adjustRightInd w:val="0"/>
        <w:snapToGrid w:val="0"/>
        <w:spacing w:before="120" w:after="120"/>
        <w:jc w:val="center"/>
        <w:outlineLvl w:val="1"/>
        <w:rPr>
          <w:b/>
          <w:bCs/>
          <w:snapToGrid w:val="0"/>
          <w:kern w:val="22"/>
          <w:szCs w:val="22"/>
        </w:rPr>
      </w:pPr>
      <w:bookmarkStart w:id="10" w:name="_heading=h.30j0zll" w:colFirst="0" w:colLast="0"/>
      <w:bookmarkStart w:id="11" w:name="_heading=h.3znysh7" w:colFirst="0" w:colLast="0"/>
      <w:bookmarkStart w:id="12" w:name="_heading=h.nkgw0ii72cmr" w:colFirst="0" w:colLast="0"/>
      <w:bookmarkStart w:id="13" w:name="_heading=h.gjdgxs" w:colFirst="0" w:colLast="0"/>
      <w:bookmarkStart w:id="14" w:name="_heading=h.xuy1qui6wltd" w:colFirst="0" w:colLast="0"/>
      <w:bookmarkEnd w:id="10"/>
      <w:bookmarkEnd w:id="11"/>
      <w:bookmarkEnd w:id="12"/>
      <w:bookmarkEnd w:id="13"/>
      <w:bookmarkEnd w:id="14"/>
      <w:r w:rsidRPr="00131EA6">
        <w:rPr>
          <w:b/>
          <w:bCs/>
          <w:snapToGrid w:val="0"/>
          <w:kern w:val="22"/>
          <w:szCs w:val="22"/>
        </w:rPr>
        <w:t>Point 28.</w:t>
      </w:r>
      <w:r w:rsidRPr="00131EA6">
        <w:rPr>
          <w:b/>
          <w:bCs/>
          <w:snapToGrid w:val="0"/>
          <w:kern w:val="22"/>
          <w:szCs w:val="22"/>
        </w:rPr>
        <w:tab/>
        <w:t>Questions diverses</w:t>
      </w:r>
    </w:p>
    <w:p w14:paraId="779510F2" w14:textId="6206EFAE" w:rsidR="005D52AE" w:rsidRPr="00131EA6" w:rsidRDefault="005D52AE" w:rsidP="00B0005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 xml:space="preserve">Le point 28 de l'ordre du jour a été examiné lors de la session </w:t>
      </w:r>
      <w:r w:rsidRPr="00131EA6">
        <w:rPr>
          <w:i/>
          <w:iCs/>
          <w:snapToGrid w:val="0"/>
          <w:kern w:val="22"/>
          <w:szCs w:val="22"/>
        </w:rPr>
        <w:t>[à compléter]</w:t>
      </w:r>
      <w:r w:rsidRPr="00131EA6">
        <w:rPr>
          <w:snapToGrid w:val="0"/>
          <w:kern w:val="22"/>
          <w:szCs w:val="22"/>
        </w:rPr>
        <w:t xml:space="preserve"> de la réunion, le </w:t>
      </w:r>
      <w:r w:rsidRPr="00131EA6">
        <w:rPr>
          <w:i/>
          <w:iCs/>
          <w:snapToGrid w:val="0"/>
          <w:kern w:val="22"/>
          <w:szCs w:val="22"/>
        </w:rPr>
        <w:t>[à compléter]</w:t>
      </w:r>
      <w:r w:rsidRPr="00131EA6">
        <w:rPr>
          <w:snapToGrid w:val="0"/>
          <w:kern w:val="22"/>
          <w:szCs w:val="22"/>
        </w:rPr>
        <w:t>.</w:t>
      </w:r>
    </w:p>
    <w:p w14:paraId="52D89E3F" w14:textId="1CD3B8E8" w:rsidR="00D77560" w:rsidRPr="00131EA6" w:rsidRDefault="00D77560" w:rsidP="00B00053">
      <w:pPr>
        <w:keepNext/>
        <w:suppressLineNumbers/>
        <w:tabs>
          <w:tab w:val="left" w:pos="990"/>
        </w:tabs>
        <w:suppressAutoHyphens/>
        <w:kinsoku w:val="0"/>
        <w:overflowPunct w:val="0"/>
        <w:autoSpaceDE w:val="0"/>
        <w:autoSpaceDN w:val="0"/>
        <w:adjustRightInd w:val="0"/>
        <w:snapToGrid w:val="0"/>
        <w:spacing w:before="120" w:after="120"/>
        <w:jc w:val="center"/>
        <w:outlineLvl w:val="1"/>
        <w:rPr>
          <w:b/>
          <w:bCs/>
          <w:snapToGrid w:val="0"/>
          <w:kern w:val="22"/>
          <w:szCs w:val="22"/>
        </w:rPr>
      </w:pPr>
      <w:r w:rsidRPr="00131EA6">
        <w:rPr>
          <w:b/>
          <w:bCs/>
          <w:snapToGrid w:val="0"/>
          <w:kern w:val="22"/>
          <w:szCs w:val="22"/>
        </w:rPr>
        <w:t>Point 29.</w:t>
      </w:r>
      <w:r w:rsidRPr="00131EA6">
        <w:rPr>
          <w:b/>
          <w:bCs/>
          <w:snapToGrid w:val="0"/>
          <w:kern w:val="22"/>
          <w:szCs w:val="22"/>
        </w:rPr>
        <w:tab/>
        <w:t>Adoption du rapport</w:t>
      </w:r>
    </w:p>
    <w:p w14:paraId="1418C0B6" w14:textId="7ECD5050" w:rsidR="00C82DDC" w:rsidRPr="00131EA6" w:rsidRDefault="003672F7" w:rsidP="00BF3013">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 xml:space="preserve">Le présent rapport a été adopté à la session plénière </w:t>
      </w:r>
      <w:r w:rsidRPr="00131EA6">
        <w:rPr>
          <w:i/>
          <w:iCs/>
          <w:snapToGrid w:val="0"/>
          <w:kern w:val="22"/>
          <w:szCs w:val="22"/>
        </w:rPr>
        <w:t>[à compléter]</w:t>
      </w:r>
      <w:r w:rsidRPr="00131EA6">
        <w:rPr>
          <w:snapToGrid w:val="0"/>
          <w:kern w:val="22"/>
          <w:szCs w:val="22"/>
        </w:rPr>
        <w:t xml:space="preserve"> de la réunion, le </w:t>
      </w:r>
      <w:r w:rsidRPr="00131EA6">
        <w:rPr>
          <w:i/>
          <w:iCs/>
          <w:snapToGrid w:val="0"/>
          <w:kern w:val="22"/>
          <w:szCs w:val="22"/>
        </w:rPr>
        <w:t>[à compléter]</w:t>
      </w:r>
      <w:r w:rsidRPr="00131EA6">
        <w:rPr>
          <w:snapToGrid w:val="0"/>
          <w:kern w:val="22"/>
          <w:szCs w:val="22"/>
        </w:rPr>
        <w:t>, sur la base du projet de rapport présenté par le Rapporteur (CBD/COP/15/Part-1-L.1), étant entendu qu'il serait complété pour refléter l'intégralité des travaux de la réunion en cours et que le rapport complet serait examiné et adopté lors de la deuxième partie de la réunion.</w:t>
      </w:r>
    </w:p>
    <w:p w14:paraId="0FF8FE68" w14:textId="7148D59C" w:rsidR="00D77560" w:rsidRPr="00131EA6" w:rsidRDefault="00D77560" w:rsidP="00B00053">
      <w:pPr>
        <w:keepNext/>
        <w:suppressLineNumbers/>
        <w:tabs>
          <w:tab w:val="left" w:pos="990"/>
        </w:tabs>
        <w:suppressAutoHyphens/>
        <w:kinsoku w:val="0"/>
        <w:overflowPunct w:val="0"/>
        <w:autoSpaceDE w:val="0"/>
        <w:autoSpaceDN w:val="0"/>
        <w:adjustRightInd w:val="0"/>
        <w:snapToGrid w:val="0"/>
        <w:spacing w:before="120" w:after="120"/>
        <w:jc w:val="center"/>
        <w:outlineLvl w:val="1"/>
        <w:rPr>
          <w:b/>
          <w:bCs/>
          <w:snapToGrid w:val="0"/>
          <w:kern w:val="22"/>
          <w:szCs w:val="22"/>
        </w:rPr>
      </w:pPr>
      <w:r w:rsidRPr="00131EA6">
        <w:rPr>
          <w:b/>
          <w:bCs/>
          <w:snapToGrid w:val="0"/>
          <w:kern w:val="22"/>
          <w:szCs w:val="22"/>
        </w:rPr>
        <w:t>Point 30.</w:t>
      </w:r>
      <w:r w:rsidRPr="00131EA6">
        <w:rPr>
          <w:b/>
          <w:bCs/>
          <w:snapToGrid w:val="0"/>
          <w:kern w:val="22"/>
          <w:szCs w:val="22"/>
        </w:rPr>
        <w:tab/>
        <w:t>Clôture de la réunion</w:t>
      </w:r>
    </w:p>
    <w:p w14:paraId="7EA308B0" w14:textId="08FDAD89" w:rsidR="00694275" w:rsidRPr="00131EA6" w:rsidRDefault="00B64C04" w:rsidP="008B46F1">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À sa [</w:t>
      </w:r>
      <w:r w:rsidRPr="00131EA6">
        <w:rPr>
          <w:i/>
          <w:iCs/>
          <w:snapToGrid w:val="0"/>
          <w:kern w:val="22"/>
          <w:szCs w:val="22"/>
        </w:rPr>
        <w:t>à compléter</w:t>
      </w:r>
      <w:r w:rsidRPr="00131EA6">
        <w:rPr>
          <w:snapToGrid w:val="0"/>
          <w:kern w:val="22"/>
          <w:szCs w:val="22"/>
        </w:rPr>
        <w:t>] session, le [</w:t>
      </w:r>
      <w:r w:rsidRPr="00131EA6">
        <w:rPr>
          <w:i/>
          <w:iCs/>
          <w:snapToGrid w:val="0"/>
          <w:kern w:val="22"/>
          <w:szCs w:val="22"/>
        </w:rPr>
        <w:t>à compléter</w:t>
      </w:r>
      <w:r w:rsidRPr="00131EA6">
        <w:rPr>
          <w:snapToGrid w:val="0"/>
          <w:kern w:val="22"/>
          <w:szCs w:val="22"/>
        </w:rPr>
        <w:t xml:space="preserve">], la Conférence des Parties a décidé de suspendre sa quinzième réunion et de la reprendre du 25 avril au 8 mai 2022, à Kunming, en Chine. </w:t>
      </w:r>
    </w:p>
    <w:p w14:paraId="5E4498EC" w14:textId="243CCDCF" w:rsidR="00D77560" w:rsidRPr="00131EA6" w:rsidRDefault="00694275" w:rsidP="008B46F1">
      <w:pPr>
        <w:numPr>
          <w:ilvl w:val="0"/>
          <w:numId w:val="21"/>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rPr>
      </w:pPr>
      <w:r w:rsidRPr="00131EA6">
        <w:rPr>
          <w:snapToGrid w:val="0"/>
          <w:kern w:val="22"/>
          <w:szCs w:val="22"/>
        </w:rPr>
        <w:t>Après l'échange des courtoisies d'usage, la première partie de la réunion a été officiellement close à [</w:t>
      </w:r>
      <w:r w:rsidRPr="00131EA6">
        <w:rPr>
          <w:i/>
          <w:iCs/>
          <w:snapToGrid w:val="0"/>
          <w:kern w:val="22"/>
          <w:szCs w:val="22"/>
        </w:rPr>
        <w:t>à compléter</w:t>
      </w:r>
      <w:r w:rsidRPr="00131EA6">
        <w:rPr>
          <w:snapToGrid w:val="0"/>
          <w:kern w:val="22"/>
          <w:szCs w:val="22"/>
        </w:rPr>
        <w:t>] le [</w:t>
      </w:r>
      <w:r w:rsidRPr="00131EA6">
        <w:rPr>
          <w:i/>
          <w:iCs/>
          <w:snapToGrid w:val="0"/>
          <w:kern w:val="22"/>
          <w:szCs w:val="22"/>
        </w:rPr>
        <w:t>à compléter</w:t>
      </w:r>
      <w:r w:rsidRPr="00131EA6">
        <w:rPr>
          <w:snapToGrid w:val="0"/>
          <w:kern w:val="22"/>
          <w:szCs w:val="22"/>
        </w:rPr>
        <w:t>].</w:t>
      </w:r>
    </w:p>
    <w:p w14:paraId="6B7EA98D" w14:textId="0A18FDDC" w:rsidR="00F6586C" w:rsidRPr="00131EA6" w:rsidRDefault="003743D0" w:rsidP="00B00053">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131EA6">
        <w:rPr>
          <w:kern w:val="22"/>
          <w:szCs w:val="22"/>
        </w:rPr>
        <w:t>__________</w:t>
      </w:r>
    </w:p>
    <w:p w14:paraId="3093D971" w14:textId="77777777" w:rsidR="00B3369F" w:rsidRPr="00131EA6" w:rsidRDefault="00B3369F" w:rsidP="00B00053">
      <w:pPr>
        <w:suppressLineNumbers/>
        <w:suppressAutoHyphens/>
        <w:kinsoku w:val="0"/>
        <w:overflowPunct w:val="0"/>
        <w:autoSpaceDE w:val="0"/>
        <w:autoSpaceDN w:val="0"/>
        <w:adjustRightInd w:val="0"/>
        <w:snapToGrid w:val="0"/>
        <w:spacing w:before="120" w:after="120"/>
        <w:rPr>
          <w:snapToGrid w:val="0"/>
          <w:kern w:val="22"/>
          <w:szCs w:val="22"/>
        </w:rPr>
      </w:pPr>
    </w:p>
    <w:sectPr w:rsidR="00B3369F" w:rsidRPr="00131EA6" w:rsidSect="0090075A">
      <w:headerReference w:type="even" r:id="rId16"/>
      <w:headerReference w:type="default" r:id="rId17"/>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7BC92" w14:textId="77777777" w:rsidR="00CF6ED2" w:rsidRDefault="00CF6ED2" w:rsidP="00CF1848">
      <w:r>
        <w:separator/>
      </w:r>
    </w:p>
  </w:endnote>
  <w:endnote w:type="continuationSeparator" w:id="0">
    <w:p w14:paraId="091FB873" w14:textId="77777777" w:rsidR="00CF6ED2" w:rsidRDefault="00CF6ED2" w:rsidP="00CF1848">
      <w:r>
        <w:continuationSeparator/>
      </w:r>
    </w:p>
  </w:endnote>
  <w:endnote w:type="continuationNotice" w:id="1">
    <w:p w14:paraId="424FA45F" w14:textId="77777777" w:rsidR="00CF6ED2" w:rsidRDefault="00CF6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7248A" w14:textId="77777777" w:rsidR="00CF6ED2" w:rsidRDefault="00CF6ED2" w:rsidP="00CF1848">
      <w:r>
        <w:separator/>
      </w:r>
    </w:p>
  </w:footnote>
  <w:footnote w:type="continuationSeparator" w:id="0">
    <w:p w14:paraId="25023C41" w14:textId="77777777" w:rsidR="00CF6ED2" w:rsidRDefault="00CF6ED2" w:rsidP="00CF1848">
      <w:r>
        <w:continuationSeparator/>
      </w:r>
    </w:p>
  </w:footnote>
  <w:footnote w:type="continuationNotice" w:id="1">
    <w:p w14:paraId="4157DE07" w14:textId="77777777" w:rsidR="00CF6ED2" w:rsidRDefault="00CF6ED2"/>
  </w:footnote>
  <w:footnote w:id="2">
    <w:p w14:paraId="70EDDEE1" w14:textId="1CB67699" w:rsidR="00780350" w:rsidRPr="00131EA6" w:rsidRDefault="00780350" w:rsidP="00780350">
      <w:pPr>
        <w:pStyle w:val="FootnoteText"/>
        <w:ind w:firstLine="0"/>
      </w:pPr>
      <w:r>
        <w:rPr>
          <w:rStyle w:val="FootnoteReference"/>
        </w:rPr>
        <w:footnoteRef/>
      </w:r>
      <w:r>
        <w:t xml:space="preserve"> </w:t>
      </w:r>
      <w:r w:rsidR="00354817">
        <w:t>Toutes les heures indiquées</w:t>
      </w:r>
      <w:r>
        <w:t xml:space="preserve"> dans le présent rapport </w:t>
      </w:r>
      <w:r w:rsidR="00354817">
        <w:t>correspondent à</w:t>
      </w:r>
      <w:r>
        <w:t xml:space="preserve"> l’heure </w:t>
      </w:r>
      <w:r w:rsidR="00354817">
        <w:t>normale de la Chine</w:t>
      </w:r>
      <w:r>
        <w:t xml:space="preserve"> </w:t>
      </w:r>
      <w:r w:rsidR="00354817">
        <w:t>(</w:t>
      </w:r>
      <w:r>
        <w:t>UTC+8</w:t>
      </w:r>
      <w:r w:rsidR="00354817">
        <w:t>)</w:t>
      </w:r>
      <w:r>
        <w:t>.</w:t>
      </w:r>
    </w:p>
  </w:footnote>
  <w:footnote w:id="3">
    <w:p w14:paraId="336239FE" w14:textId="1B78C109" w:rsidR="00F2472A" w:rsidRPr="00F2472A" w:rsidRDefault="00F2472A" w:rsidP="00F2472A">
      <w:pPr>
        <w:pStyle w:val="FootnoteText"/>
        <w:ind w:firstLine="0"/>
        <w:jc w:val="left"/>
        <w:rPr>
          <w:kern w:val="18"/>
          <w:szCs w:val="18"/>
          <w:lang w:val="fr-CA"/>
        </w:rPr>
      </w:pPr>
      <w:r w:rsidRPr="00214096">
        <w:rPr>
          <w:rStyle w:val="FootnoteReference"/>
          <w:kern w:val="18"/>
          <w:sz w:val="18"/>
          <w:szCs w:val="18"/>
        </w:rPr>
        <w:footnoteRef/>
      </w:r>
      <w:r w:rsidRPr="00F2472A">
        <w:rPr>
          <w:kern w:val="18"/>
          <w:szCs w:val="18"/>
        </w:rPr>
        <w:t xml:space="preserve"> Les </w:t>
      </w:r>
      <w:r>
        <w:rPr>
          <w:kern w:val="18"/>
          <w:szCs w:val="18"/>
        </w:rPr>
        <w:t>dé</w:t>
      </w:r>
      <w:r w:rsidRPr="00F2472A">
        <w:rPr>
          <w:kern w:val="18"/>
          <w:szCs w:val="18"/>
        </w:rPr>
        <w:t>clarations des représentants fournies par le Secrétariat</w:t>
      </w:r>
      <w:r>
        <w:rPr>
          <w:kern w:val="18"/>
          <w:szCs w:val="18"/>
        </w:rPr>
        <w:t xml:space="preserve"> sont publiées sur le site https://www.cbd.int/conferences</w:t>
      </w:r>
      <w:r w:rsidR="00FE2FEB">
        <w:rPr>
          <w:kern w:val="18"/>
          <w:szCs w:val="18"/>
        </w:rPr>
        <w:t>/</w:t>
      </w:r>
      <w:r>
        <w:rPr>
          <w:kern w:val="18"/>
          <w:szCs w:val="18"/>
        </w:rPr>
        <w:t>2021-2022/cop-15/documents, telles qu’elles ont été reçues des Parties ou observateurs concernés.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lang w:val="en-U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2D37225B" w:rsidR="00534681" w:rsidRPr="00131EA6" w:rsidRDefault="00951946" w:rsidP="00B00053">
        <w:pPr>
          <w:pStyle w:val="Header"/>
          <w:tabs>
            <w:tab w:val="clear" w:pos="4320"/>
            <w:tab w:val="clear" w:pos="8640"/>
          </w:tabs>
          <w:kinsoku w:val="0"/>
          <w:overflowPunct w:val="0"/>
          <w:autoSpaceDE w:val="0"/>
          <w:autoSpaceDN w:val="0"/>
          <w:jc w:val="left"/>
          <w:rPr>
            <w:noProof/>
            <w:lang w:val="en-US"/>
          </w:rPr>
        </w:pPr>
        <w:r w:rsidRPr="00131EA6">
          <w:rPr>
            <w:noProof/>
            <w:lang w:val="en-US"/>
          </w:rPr>
          <w:t>CBD/COP/15/Part-I/L.1</w:t>
        </w:r>
      </w:p>
    </w:sdtContent>
  </w:sdt>
  <w:p w14:paraId="1E0FDE0B" w14:textId="7E4C72AC" w:rsidR="00534681" w:rsidRPr="00B00053" w:rsidRDefault="00534681" w:rsidP="00B00053">
    <w:pPr>
      <w:pStyle w:val="Header"/>
      <w:tabs>
        <w:tab w:val="clear" w:pos="4320"/>
        <w:tab w:val="clear" w:pos="8640"/>
      </w:tabs>
      <w:kinsoku w:val="0"/>
      <w:overflowPunct w:val="0"/>
      <w:autoSpaceDE w:val="0"/>
      <w:autoSpaceDN w:val="0"/>
      <w:jc w:val="left"/>
      <w:rPr>
        <w:noProof/>
      </w:rPr>
    </w:pPr>
    <w:r>
      <w:rPr>
        <w:noProof/>
      </w:rPr>
      <w:t xml:space="preserve">Page </w:t>
    </w:r>
    <w:r>
      <w:rPr>
        <w:noProof/>
      </w:rPr>
      <w:fldChar w:fldCharType="begin"/>
    </w:r>
    <w:r>
      <w:rPr>
        <w:noProof/>
      </w:rPr>
      <w:instrText xml:space="preserve"> PAGE   \* MERGEFORMAT </w:instrText>
    </w:r>
    <w:r>
      <w:fldChar w:fldCharType="separate"/>
    </w:r>
    <w:r w:rsidR="00E60A93">
      <w:rPr>
        <w:noProof/>
      </w:rPr>
      <w:t>4</w:t>
    </w:r>
    <w:r>
      <w:fldChar w:fldCharType="end"/>
    </w:r>
  </w:p>
  <w:p w14:paraId="61C60697" w14:textId="77777777" w:rsidR="00534681" w:rsidRPr="00B00053" w:rsidRDefault="00534681" w:rsidP="00B00053">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lang w:val="en-US"/>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4BC7F8E5" w:rsidR="009505C9" w:rsidRPr="00131EA6" w:rsidRDefault="00951946" w:rsidP="00B00053">
        <w:pPr>
          <w:pStyle w:val="Header"/>
          <w:tabs>
            <w:tab w:val="clear" w:pos="4320"/>
            <w:tab w:val="clear" w:pos="8640"/>
          </w:tabs>
          <w:kinsoku w:val="0"/>
          <w:overflowPunct w:val="0"/>
          <w:autoSpaceDE w:val="0"/>
          <w:autoSpaceDN w:val="0"/>
          <w:jc w:val="right"/>
          <w:rPr>
            <w:noProof/>
            <w:lang w:val="en-US"/>
          </w:rPr>
        </w:pPr>
        <w:r w:rsidRPr="00131EA6">
          <w:rPr>
            <w:noProof/>
            <w:lang w:val="en-US"/>
          </w:rPr>
          <w:t>CBD/COP/15/Part-I/L.1</w:t>
        </w:r>
      </w:p>
    </w:sdtContent>
  </w:sdt>
  <w:p w14:paraId="64AE8439" w14:textId="699E940F" w:rsidR="009505C9" w:rsidRPr="00B00053" w:rsidRDefault="009505C9" w:rsidP="00B00053">
    <w:pPr>
      <w:pStyle w:val="Header"/>
      <w:tabs>
        <w:tab w:val="clear" w:pos="4320"/>
        <w:tab w:val="clear" w:pos="8640"/>
      </w:tabs>
      <w:kinsoku w:val="0"/>
      <w:overflowPunct w:val="0"/>
      <w:autoSpaceDE w:val="0"/>
      <w:autoSpaceDN w:val="0"/>
      <w:jc w:val="right"/>
      <w:rPr>
        <w:noProof/>
      </w:rPr>
    </w:pPr>
    <w:r>
      <w:rPr>
        <w:noProof/>
      </w:rPr>
      <w:t xml:space="preserve">Page </w:t>
    </w:r>
    <w:r>
      <w:rPr>
        <w:noProof/>
      </w:rPr>
      <w:fldChar w:fldCharType="begin"/>
    </w:r>
    <w:r>
      <w:rPr>
        <w:noProof/>
      </w:rPr>
      <w:instrText xml:space="preserve"> PAGE   \* MERGEFORMAT </w:instrText>
    </w:r>
    <w:r>
      <w:fldChar w:fldCharType="separate"/>
    </w:r>
    <w:r w:rsidR="00E60A93">
      <w:rPr>
        <w:noProof/>
      </w:rPr>
      <w:t>3</w:t>
    </w:r>
    <w:r>
      <w:fldChar w:fldCharType="end"/>
    </w:r>
  </w:p>
  <w:p w14:paraId="16137B8A" w14:textId="77777777" w:rsidR="009505C9" w:rsidRPr="00B00053" w:rsidRDefault="009505C9" w:rsidP="00B00053">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83FB3"/>
    <w:multiLevelType w:val="hybridMultilevel"/>
    <w:tmpl w:val="62E6AB1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12C1F74"/>
    <w:multiLevelType w:val="hybridMultilevel"/>
    <w:tmpl w:val="6E24F6D6"/>
    <w:lvl w:ilvl="0" w:tplc="1C6CDE8E">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0D6AEB"/>
    <w:multiLevelType w:val="multilevel"/>
    <w:tmpl w:val="620D6AEB"/>
    <w:lvl w:ilvl="0">
      <w:start w:val="1"/>
      <w:numFmt w:val="decimal"/>
      <w:lvlText w:val="%1."/>
      <w:lvlJc w:val="left"/>
      <w:pPr>
        <w:tabs>
          <w:tab w:val="left"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left" w:pos="1571"/>
        </w:tabs>
        <w:ind w:left="131" w:firstLine="720"/>
      </w:pPr>
      <w:rPr>
        <w:rFonts w:cs="Times New Roman" w:hint="default"/>
        <w:b w:val="0"/>
        <w:i w:val="0"/>
      </w:rPr>
    </w:lvl>
    <w:lvl w:ilvl="2">
      <w:start w:val="1"/>
      <w:numFmt w:val="lowerRoman"/>
      <w:lvlText w:val="(%3)"/>
      <w:lvlJc w:val="right"/>
      <w:pPr>
        <w:tabs>
          <w:tab w:val="left" w:pos="1440"/>
        </w:tabs>
        <w:ind w:left="1440" w:hanging="360"/>
      </w:pPr>
      <w:rPr>
        <w:rFonts w:cs="Times New Roman"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8"/>
  </w:num>
  <w:num w:numId="5">
    <w:abstractNumId w:val="7"/>
  </w:num>
  <w:num w:numId="6">
    <w:abstractNumId w:val="0"/>
  </w:num>
  <w:num w:numId="7">
    <w:abstractNumId w:val="3"/>
  </w:num>
  <w:num w:numId="8">
    <w:abstractNumId w:val="6"/>
    <w:lvlOverride w:ilvl="0">
      <w:startOverride w:val="1"/>
    </w:lvlOverride>
  </w:num>
  <w:num w:numId="9">
    <w:abstractNumId w:val="12"/>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1"/>
  </w:num>
  <w:num w:numId="17">
    <w:abstractNumId w:val="13"/>
  </w:num>
  <w:num w:numId="18">
    <w:abstractNumId w:val="14"/>
  </w:num>
  <w:num w:numId="19">
    <w:abstractNumId w:val="11"/>
    <w:lvlOverride w:ilvl="0">
      <w:startOverride w:val="1"/>
    </w:lvlOverride>
    <w:lvlOverride w:ilvl="1">
      <w:startOverride w:val="1"/>
    </w:lvlOverride>
    <w:lvlOverride w:ilvl="2">
      <w:startOverride w:val="1"/>
    </w:lvlOverride>
  </w:num>
  <w:num w:numId="20">
    <w:abstractNumId w:val="11"/>
  </w:num>
  <w:num w:numId="21">
    <w:abstractNumId w:val="11"/>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E29"/>
    <w:rsid w:val="000037C4"/>
    <w:rsid w:val="00011BF4"/>
    <w:rsid w:val="00037C10"/>
    <w:rsid w:val="00041283"/>
    <w:rsid w:val="00041CFD"/>
    <w:rsid w:val="000435C4"/>
    <w:rsid w:val="0005446A"/>
    <w:rsid w:val="000624A9"/>
    <w:rsid w:val="00062B56"/>
    <w:rsid w:val="00066BA0"/>
    <w:rsid w:val="0007171B"/>
    <w:rsid w:val="0008119D"/>
    <w:rsid w:val="000813FD"/>
    <w:rsid w:val="000927CF"/>
    <w:rsid w:val="000954AB"/>
    <w:rsid w:val="00095897"/>
    <w:rsid w:val="000A19A1"/>
    <w:rsid w:val="000A2008"/>
    <w:rsid w:val="000A263A"/>
    <w:rsid w:val="000A6C61"/>
    <w:rsid w:val="000B46B6"/>
    <w:rsid w:val="000B78EF"/>
    <w:rsid w:val="000B7ABE"/>
    <w:rsid w:val="000C02F7"/>
    <w:rsid w:val="000C19B0"/>
    <w:rsid w:val="000C3EE9"/>
    <w:rsid w:val="000C7188"/>
    <w:rsid w:val="000E673A"/>
    <w:rsid w:val="000F3678"/>
    <w:rsid w:val="000F74F5"/>
    <w:rsid w:val="00102C55"/>
    <w:rsid w:val="00105372"/>
    <w:rsid w:val="0012108C"/>
    <w:rsid w:val="00123DBB"/>
    <w:rsid w:val="001312AD"/>
    <w:rsid w:val="001318DD"/>
    <w:rsid w:val="00131E7A"/>
    <w:rsid w:val="00131EA6"/>
    <w:rsid w:val="00134846"/>
    <w:rsid w:val="00136ACC"/>
    <w:rsid w:val="00142DB4"/>
    <w:rsid w:val="0014691A"/>
    <w:rsid w:val="001548EB"/>
    <w:rsid w:val="001600A2"/>
    <w:rsid w:val="001627FF"/>
    <w:rsid w:val="0016784C"/>
    <w:rsid w:val="00172AF6"/>
    <w:rsid w:val="00174579"/>
    <w:rsid w:val="00175BF5"/>
    <w:rsid w:val="001761E2"/>
    <w:rsid w:val="00176CEE"/>
    <w:rsid w:val="00181034"/>
    <w:rsid w:val="001855FE"/>
    <w:rsid w:val="00186DD8"/>
    <w:rsid w:val="001A00FA"/>
    <w:rsid w:val="001B0221"/>
    <w:rsid w:val="001B13FE"/>
    <w:rsid w:val="001B3A53"/>
    <w:rsid w:val="001B4336"/>
    <w:rsid w:val="001B74B5"/>
    <w:rsid w:val="001C27D5"/>
    <w:rsid w:val="001D11B6"/>
    <w:rsid w:val="001D28B0"/>
    <w:rsid w:val="001E03FB"/>
    <w:rsid w:val="00212179"/>
    <w:rsid w:val="0023104E"/>
    <w:rsid w:val="00234F5A"/>
    <w:rsid w:val="00237688"/>
    <w:rsid w:val="00265106"/>
    <w:rsid w:val="0029069C"/>
    <w:rsid w:val="00294783"/>
    <w:rsid w:val="002977F7"/>
    <w:rsid w:val="002C24C4"/>
    <w:rsid w:val="002C6649"/>
    <w:rsid w:val="002C7C3F"/>
    <w:rsid w:val="002D286B"/>
    <w:rsid w:val="002D4256"/>
    <w:rsid w:val="002E376B"/>
    <w:rsid w:val="002F151E"/>
    <w:rsid w:val="0030169D"/>
    <w:rsid w:val="00301EF0"/>
    <w:rsid w:val="003043A8"/>
    <w:rsid w:val="003060EB"/>
    <w:rsid w:val="003119EF"/>
    <w:rsid w:val="003153EB"/>
    <w:rsid w:val="00316883"/>
    <w:rsid w:val="0032036A"/>
    <w:rsid w:val="00320379"/>
    <w:rsid w:val="00321985"/>
    <w:rsid w:val="00325C33"/>
    <w:rsid w:val="003274C0"/>
    <w:rsid w:val="0033609A"/>
    <w:rsid w:val="003407AD"/>
    <w:rsid w:val="003442E5"/>
    <w:rsid w:val="00351205"/>
    <w:rsid w:val="00354817"/>
    <w:rsid w:val="00355F0D"/>
    <w:rsid w:val="003672F7"/>
    <w:rsid w:val="00371C0E"/>
    <w:rsid w:val="00372F74"/>
    <w:rsid w:val="00373BDC"/>
    <w:rsid w:val="003743D0"/>
    <w:rsid w:val="00382D7C"/>
    <w:rsid w:val="0038397E"/>
    <w:rsid w:val="00387409"/>
    <w:rsid w:val="00396826"/>
    <w:rsid w:val="003A468D"/>
    <w:rsid w:val="003A6DCF"/>
    <w:rsid w:val="003A734A"/>
    <w:rsid w:val="003B3948"/>
    <w:rsid w:val="003B44F9"/>
    <w:rsid w:val="003C2B7A"/>
    <w:rsid w:val="003C31B5"/>
    <w:rsid w:val="003C4EFB"/>
    <w:rsid w:val="003E7A61"/>
    <w:rsid w:val="003E7D82"/>
    <w:rsid w:val="003F264D"/>
    <w:rsid w:val="003F7224"/>
    <w:rsid w:val="003F742C"/>
    <w:rsid w:val="004060FC"/>
    <w:rsid w:val="004069DD"/>
    <w:rsid w:val="004115C8"/>
    <w:rsid w:val="0041623B"/>
    <w:rsid w:val="00417409"/>
    <w:rsid w:val="004201BF"/>
    <w:rsid w:val="004206F9"/>
    <w:rsid w:val="00427D21"/>
    <w:rsid w:val="00430CAE"/>
    <w:rsid w:val="00437EB0"/>
    <w:rsid w:val="00442C94"/>
    <w:rsid w:val="004438DA"/>
    <w:rsid w:val="004500D4"/>
    <w:rsid w:val="0045786E"/>
    <w:rsid w:val="004644C2"/>
    <w:rsid w:val="00467F9C"/>
    <w:rsid w:val="00472C54"/>
    <w:rsid w:val="00475A41"/>
    <w:rsid w:val="004768D9"/>
    <w:rsid w:val="00477F27"/>
    <w:rsid w:val="00480497"/>
    <w:rsid w:val="00484BEB"/>
    <w:rsid w:val="004869B2"/>
    <w:rsid w:val="004A48CE"/>
    <w:rsid w:val="004A56A8"/>
    <w:rsid w:val="004B4FBC"/>
    <w:rsid w:val="004C5B17"/>
    <w:rsid w:val="004C7211"/>
    <w:rsid w:val="004D56DE"/>
    <w:rsid w:val="004E3DB0"/>
    <w:rsid w:val="004F16E7"/>
    <w:rsid w:val="004F1C35"/>
    <w:rsid w:val="004F5513"/>
    <w:rsid w:val="004F7F74"/>
    <w:rsid w:val="00514C15"/>
    <w:rsid w:val="00522079"/>
    <w:rsid w:val="0052233E"/>
    <w:rsid w:val="00527AC7"/>
    <w:rsid w:val="00534681"/>
    <w:rsid w:val="0054438D"/>
    <w:rsid w:val="00561729"/>
    <w:rsid w:val="00563442"/>
    <w:rsid w:val="00565B42"/>
    <w:rsid w:val="00566AD2"/>
    <w:rsid w:val="00570738"/>
    <w:rsid w:val="00571983"/>
    <w:rsid w:val="00573C62"/>
    <w:rsid w:val="00574C43"/>
    <w:rsid w:val="005A07CA"/>
    <w:rsid w:val="005A1EB5"/>
    <w:rsid w:val="005C46E7"/>
    <w:rsid w:val="005C4CE6"/>
    <w:rsid w:val="005D52AE"/>
    <w:rsid w:val="005D6FB4"/>
    <w:rsid w:val="005F4DEC"/>
    <w:rsid w:val="005F5464"/>
    <w:rsid w:val="006122BA"/>
    <w:rsid w:val="00613496"/>
    <w:rsid w:val="006137A9"/>
    <w:rsid w:val="00616164"/>
    <w:rsid w:val="00616CA1"/>
    <w:rsid w:val="006239F2"/>
    <w:rsid w:val="006325A4"/>
    <w:rsid w:val="00640557"/>
    <w:rsid w:val="00641CF8"/>
    <w:rsid w:val="00643CEF"/>
    <w:rsid w:val="00647C0D"/>
    <w:rsid w:val="00666961"/>
    <w:rsid w:val="0067477F"/>
    <w:rsid w:val="00677363"/>
    <w:rsid w:val="0068012A"/>
    <w:rsid w:val="00681B9E"/>
    <w:rsid w:val="00693CD9"/>
    <w:rsid w:val="00694275"/>
    <w:rsid w:val="00694DB6"/>
    <w:rsid w:val="006B2290"/>
    <w:rsid w:val="006B3178"/>
    <w:rsid w:val="006C7184"/>
    <w:rsid w:val="006D36EA"/>
    <w:rsid w:val="006E18EC"/>
    <w:rsid w:val="006E5688"/>
    <w:rsid w:val="006F3F07"/>
    <w:rsid w:val="00717D88"/>
    <w:rsid w:val="00725E29"/>
    <w:rsid w:val="00732E9E"/>
    <w:rsid w:val="00744C5B"/>
    <w:rsid w:val="007518B5"/>
    <w:rsid w:val="007600A1"/>
    <w:rsid w:val="00771EAC"/>
    <w:rsid w:val="0077315C"/>
    <w:rsid w:val="00780350"/>
    <w:rsid w:val="00786056"/>
    <w:rsid w:val="00787196"/>
    <w:rsid w:val="007911DD"/>
    <w:rsid w:val="00791BCE"/>
    <w:rsid w:val="007942D3"/>
    <w:rsid w:val="007A185D"/>
    <w:rsid w:val="007B1ECB"/>
    <w:rsid w:val="007B2099"/>
    <w:rsid w:val="007B62D6"/>
    <w:rsid w:val="007B6C09"/>
    <w:rsid w:val="007B7741"/>
    <w:rsid w:val="007C3366"/>
    <w:rsid w:val="007C79CF"/>
    <w:rsid w:val="007D0676"/>
    <w:rsid w:val="007D250F"/>
    <w:rsid w:val="007D4B87"/>
    <w:rsid w:val="007E008C"/>
    <w:rsid w:val="007E09DA"/>
    <w:rsid w:val="007F0539"/>
    <w:rsid w:val="00800C63"/>
    <w:rsid w:val="00802224"/>
    <w:rsid w:val="00803E64"/>
    <w:rsid w:val="00803FCA"/>
    <w:rsid w:val="00806037"/>
    <w:rsid w:val="008156F9"/>
    <w:rsid w:val="008178B6"/>
    <w:rsid w:val="00821DE4"/>
    <w:rsid w:val="00823A45"/>
    <w:rsid w:val="00827E95"/>
    <w:rsid w:val="00835E06"/>
    <w:rsid w:val="00836CC0"/>
    <w:rsid w:val="0084614A"/>
    <w:rsid w:val="00860236"/>
    <w:rsid w:val="00865B74"/>
    <w:rsid w:val="00866617"/>
    <w:rsid w:val="008760AD"/>
    <w:rsid w:val="00876806"/>
    <w:rsid w:val="00877FF2"/>
    <w:rsid w:val="00880BFC"/>
    <w:rsid w:val="008820E5"/>
    <w:rsid w:val="00882406"/>
    <w:rsid w:val="00884632"/>
    <w:rsid w:val="00891206"/>
    <w:rsid w:val="00892E38"/>
    <w:rsid w:val="0089394D"/>
    <w:rsid w:val="008974F0"/>
    <w:rsid w:val="008A62B5"/>
    <w:rsid w:val="008B012A"/>
    <w:rsid w:val="008B3CFD"/>
    <w:rsid w:val="008B46F1"/>
    <w:rsid w:val="008E789F"/>
    <w:rsid w:val="008F09CA"/>
    <w:rsid w:val="008F4F0F"/>
    <w:rsid w:val="0090075A"/>
    <w:rsid w:val="00901A5F"/>
    <w:rsid w:val="00906E17"/>
    <w:rsid w:val="00916237"/>
    <w:rsid w:val="00924A63"/>
    <w:rsid w:val="00930BA1"/>
    <w:rsid w:val="0093157A"/>
    <w:rsid w:val="0093169E"/>
    <w:rsid w:val="009337CF"/>
    <w:rsid w:val="009363FE"/>
    <w:rsid w:val="00945587"/>
    <w:rsid w:val="009505C9"/>
    <w:rsid w:val="00950752"/>
    <w:rsid w:val="00951946"/>
    <w:rsid w:val="00951B1F"/>
    <w:rsid w:val="0095385B"/>
    <w:rsid w:val="00955BE0"/>
    <w:rsid w:val="00963371"/>
    <w:rsid w:val="00966424"/>
    <w:rsid w:val="009722A4"/>
    <w:rsid w:val="009976E6"/>
    <w:rsid w:val="009B1706"/>
    <w:rsid w:val="009B3DB3"/>
    <w:rsid w:val="009C2DE6"/>
    <w:rsid w:val="009C3025"/>
    <w:rsid w:val="009D1097"/>
    <w:rsid w:val="009D54E8"/>
    <w:rsid w:val="009F226C"/>
    <w:rsid w:val="009F6113"/>
    <w:rsid w:val="009F649B"/>
    <w:rsid w:val="00A01CA8"/>
    <w:rsid w:val="00A22FF8"/>
    <w:rsid w:val="00A24F74"/>
    <w:rsid w:val="00A32B76"/>
    <w:rsid w:val="00A3381A"/>
    <w:rsid w:val="00A418EC"/>
    <w:rsid w:val="00A44A23"/>
    <w:rsid w:val="00A46A4B"/>
    <w:rsid w:val="00A57D5E"/>
    <w:rsid w:val="00A65F3B"/>
    <w:rsid w:val="00A76686"/>
    <w:rsid w:val="00A8716D"/>
    <w:rsid w:val="00A92C71"/>
    <w:rsid w:val="00A95690"/>
    <w:rsid w:val="00A97359"/>
    <w:rsid w:val="00AA1F6A"/>
    <w:rsid w:val="00AA2528"/>
    <w:rsid w:val="00AA4CF3"/>
    <w:rsid w:val="00AA6F92"/>
    <w:rsid w:val="00AA76BC"/>
    <w:rsid w:val="00AB329F"/>
    <w:rsid w:val="00AB6934"/>
    <w:rsid w:val="00AC4E0D"/>
    <w:rsid w:val="00AC597F"/>
    <w:rsid w:val="00AF2F1E"/>
    <w:rsid w:val="00AF42DE"/>
    <w:rsid w:val="00AF46F4"/>
    <w:rsid w:val="00B00053"/>
    <w:rsid w:val="00B00FB0"/>
    <w:rsid w:val="00B0640B"/>
    <w:rsid w:val="00B24909"/>
    <w:rsid w:val="00B2503D"/>
    <w:rsid w:val="00B3230D"/>
    <w:rsid w:val="00B3259C"/>
    <w:rsid w:val="00B3369F"/>
    <w:rsid w:val="00B554B3"/>
    <w:rsid w:val="00B55FBC"/>
    <w:rsid w:val="00B64C04"/>
    <w:rsid w:val="00B713C8"/>
    <w:rsid w:val="00B93D9F"/>
    <w:rsid w:val="00B94745"/>
    <w:rsid w:val="00B94E6C"/>
    <w:rsid w:val="00B9567C"/>
    <w:rsid w:val="00B96C16"/>
    <w:rsid w:val="00BA341E"/>
    <w:rsid w:val="00BA3B8D"/>
    <w:rsid w:val="00BA3F38"/>
    <w:rsid w:val="00BB4606"/>
    <w:rsid w:val="00BB468E"/>
    <w:rsid w:val="00BC215F"/>
    <w:rsid w:val="00BD0F35"/>
    <w:rsid w:val="00BD1E1F"/>
    <w:rsid w:val="00BD37D3"/>
    <w:rsid w:val="00BD4D97"/>
    <w:rsid w:val="00BE7D5E"/>
    <w:rsid w:val="00BF3013"/>
    <w:rsid w:val="00C112A0"/>
    <w:rsid w:val="00C23D2F"/>
    <w:rsid w:val="00C4417F"/>
    <w:rsid w:val="00C443BD"/>
    <w:rsid w:val="00C451C5"/>
    <w:rsid w:val="00C465BC"/>
    <w:rsid w:val="00C52CCE"/>
    <w:rsid w:val="00C56491"/>
    <w:rsid w:val="00C700B1"/>
    <w:rsid w:val="00C75062"/>
    <w:rsid w:val="00C81F68"/>
    <w:rsid w:val="00C82DDC"/>
    <w:rsid w:val="00C85E81"/>
    <w:rsid w:val="00C9161D"/>
    <w:rsid w:val="00C93054"/>
    <w:rsid w:val="00C95353"/>
    <w:rsid w:val="00C97C56"/>
    <w:rsid w:val="00CA0AB1"/>
    <w:rsid w:val="00CA0C1D"/>
    <w:rsid w:val="00CA312C"/>
    <w:rsid w:val="00CA658B"/>
    <w:rsid w:val="00CB2EBD"/>
    <w:rsid w:val="00CB5BBD"/>
    <w:rsid w:val="00CB6497"/>
    <w:rsid w:val="00CB7FE9"/>
    <w:rsid w:val="00CD0C13"/>
    <w:rsid w:val="00CD292B"/>
    <w:rsid w:val="00CE2663"/>
    <w:rsid w:val="00CE4777"/>
    <w:rsid w:val="00CE6AF3"/>
    <w:rsid w:val="00CF1848"/>
    <w:rsid w:val="00CF3FEB"/>
    <w:rsid w:val="00CF4DAC"/>
    <w:rsid w:val="00CF6ED2"/>
    <w:rsid w:val="00CF7A56"/>
    <w:rsid w:val="00D12044"/>
    <w:rsid w:val="00D233DC"/>
    <w:rsid w:val="00D33EFC"/>
    <w:rsid w:val="00D36F85"/>
    <w:rsid w:val="00D405A4"/>
    <w:rsid w:val="00D40DBC"/>
    <w:rsid w:val="00D41886"/>
    <w:rsid w:val="00D429D7"/>
    <w:rsid w:val="00D43907"/>
    <w:rsid w:val="00D44FFA"/>
    <w:rsid w:val="00D54273"/>
    <w:rsid w:val="00D660DB"/>
    <w:rsid w:val="00D76A18"/>
    <w:rsid w:val="00D77560"/>
    <w:rsid w:val="00D80849"/>
    <w:rsid w:val="00D82E8F"/>
    <w:rsid w:val="00D83802"/>
    <w:rsid w:val="00D93488"/>
    <w:rsid w:val="00D952A9"/>
    <w:rsid w:val="00DA7815"/>
    <w:rsid w:val="00DB5BD2"/>
    <w:rsid w:val="00DC6160"/>
    <w:rsid w:val="00DD118C"/>
    <w:rsid w:val="00DD32AF"/>
    <w:rsid w:val="00DD5D46"/>
    <w:rsid w:val="00DD607A"/>
    <w:rsid w:val="00DE1F31"/>
    <w:rsid w:val="00DE3CA7"/>
    <w:rsid w:val="00DE449A"/>
    <w:rsid w:val="00DF0079"/>
    <w:rsid w:val="00DF06D5"/>
    <w:rsid w:val="00E023B8"/>
    <w:rsid w:val="00E03614"/>
    <w:rsid w:val="00E155BF"/>
    <w:rsid w:val="00E17703"/>
    <w:rsid w:val="00E228F5"/>
    <w:rsid w:val="00E30CE6"/>
    <w:rsid w:val="00E30F64"/>
    <w:rsid w:val="00E42551"/>
    <w:rsid w:val="00E50824"/>
    <w:rsid w:val="00E60A93"/>
    <w:rsid w:val="00E65DF8"/>
    <w:rsid w:val="00E66235"/>
    <w:rsid w:val="00E66CB3"/>
    <w:rsid w:val="00E673F2"/>
    <w:rsid w:val="00E718BA"/>
    <w:rsid w:val="00E72E44"/>
    <w:rsid w:val="00E74EED"/>
    <w:rsid w:val="00E83C24"/>
    <w:rsid w:val="00E86AB4"/>
    <w:rsid w:val="00E86DA3"/>
    <w:rsid w:val="00E91804"/>
    <w:rsid w:val="00E9318D"/>
    <w:rsid w:val="00E96A78"/>
    <w:rsid w:val="00EA019D"/>
    <w:rsid w:val="00EA5233"/>
    <w:rsid w:val="00EC4221"/>
    <w:rsid w:val="00EC6B31"/>
    <w:rsid w:val="00EE3F39"/>
    <w:rsid w:val="00EE67E6"/>
    <w:rsid w:val="00EF3D85"/>
    <w:rsid w:val="00EF768C"/>
    <w:rsid w:val="00F04C5C"/>
    <w:rsid w:val="00F2472A"/>
    <w:rsid w:val="00F53193"/>
    <w:rsid w:val="00F5357E"/>
    <w:rsid w:val="00F6586C"/>
    <w:rsid w:val="00F90D83"/>
    <w:rsid w:val="00F94774"/>
    <w:rsid w:val="00FA5383"/>
    <w:rsid w:val="00FA5FDC"/>
    <w:rsid w:val="00FA663B"/>
    <w:rsid w:val="00FA7548"/>
    <w:rsid w:val="00FC19FB"/>
    <w:rsid w:val="00FC3E8D"/>
    <w:rsid w:val="00FC53DB"/>
    <w:rsid w:val="00FD6070"/>
    <w:rsid w:val="00FE2FEB"/>
    <w:rsid w:val="00FE5ACB"/>
    <w:rsid w:val="00FE79A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44B5DE"/>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1"/>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rPr>
  </w:style>
  <w:style w:type="character" w:customStyle="1" w:styleId="Heading7Char">
    <w:name w:val="Heading 7 Char"/>
    <w:basedOn w:val="DefaultParagraphFont"/>
    <w:link w:val="Heading7"/>
    <w:rsid w:val="007E09DA"/>
    <w:rPr>
      <w:rFonts w:ascii="Univers" w:eastAsia="Times New Roman" w:hAnsi="Univers" w:cs="Times New Roman"/>
      <w:b/>
      <w:sz w:val="28"/>
    </w:rPr>
  </w:style>
  <w:style w:type="character" w:customStyle="1" w:styleId="Heading8Char">
    <w:name w:val="Heading 8 Char"/>
    <w:basedOn w:val="DefaultParagraphFont"/>
    <w:link w:val="Heading8"/>
    <w:rsid w:val="007E09DA"/>
    <w:rPr>
      <w:rFonts w:ascii="Univers" w:eastAsia="Times New Roman" w:hAnsi="Univers" w:cs="Times New Roman"/>
      <w:b/>
      <w:sz w:val="32"/>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3/cop-13-dec-33-fr.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5F4EB1BA065E4622B88E069470FC3560"/>
        <w:category>
          <w:name w:val="General"/>
          <w:gallery w:val="placeholder"/>
        </w:category>
        <w:types>
          <w:type w:val="bbPlcHdr"/>
        </w:types>
        <w:behaviors>
          <w:behavior w:val="content"/>
        </w:behaviors>
        <w:guid w:val="{0F430EA7-FB6D-477E-89C4-A5DE53C4823B}"/>
      </w:docPartPr>
      <w:docPartBody>
        <w:p w:rsidR="009F3A76" w:rsidRDefault="00C6793D">
          <w:r w:rsidRPr="00D42FF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A22AD"/>
    <w:rsid w:val="0046422C"/>
    <w:rsid w:val="004760CF"/>
    <w:rsid w:val="00495A9E"/>
    <w:rsid w:val="004E092F"/>
    <w:rsid w:val="00500A2B"/>
    <w:rsid w:val="00527A0B"/>
    <w:rsid w:val="0058288D"/>
    <w:rsid w:val="005C3EA6"/>
    <w:rsid w:val="005F617C"/>
    <w:rsid w:val="0063274F"/>
    <w:rsid w:val="00665C6B"/>
    <w:rsid w:val="006801B3"/>
    <w:rsid w:val="00810A55"/>
    <w:rsid w:val="008C6619"/>
    <w:rsid w:val="008D420E"/>
    <w:rsid w:val="0098642F"/>
    <w:rsid w:val="009F3A76"/>
    <w:rsid w:val="00B90FB0"/>
    <w:rsid w:val="00BB4FD5"/>
    <w:rsid w:val="00C4556D"/>
    <w:rsid w:val="00C530D1"/>
    <w:rsid w:val="00C6793D"/>
    <w:rsid w:val="00C8104B"/>
    <w:rsid w:val="00D31D12"/>
    <w:rsid w:val="00EA554E"/>
    <w:rsid w:val="00ED3823"/>
    <w:rsid w:val="00F930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9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0B1FD2-C3D7-49F8-B42D-7C062F470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44DE621-DA6E-4EC4-963C-12C6E818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2699</Words>
  <Characters>15387</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PROJET DE RAPPORT DE LA PARTIE I DE LA RÉUNION</vt:lpstr>
      <vt:lpstr>DRAFT REPORT OF PART I OF THE MEETING</vt:lpstr>
    </vt:vector>
  </TitlesOfParts>
  <Company>United Nations</Company>
  <LinksUpToDate>false</LinksUpToDate>
  <CharactersWithSpaces>18050</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RAPPORT </dc:title>
  <dc:subject>CBD/COP/15/Part-I/L.1</dc:subject>
  <dc:creator>SCBD</dc:creator>
  <cp:keywords>Convention on Biological Diversity, Conference of the Parties, fifteenth meeting, Kunming, China, 11-15 October 2021 and 25 April-8 May 2022</cp:keywords>
  <cp:lastModifiedBy>Angela Xuehe Yan</cp:lastModifiedBy>
  <cp:revision>6</cp:revision>
  <cp:lastPrinted>2020-01-21T19:56:00Z</cp:lastPrinted>
  <dcterms:created xsi:type="dcterms:W3CDTF">2021-10-13T20:09:00Z</dcterms:created>
  <dcterms:modified xsi:type="dcterms:W3CDTF">2021-10-14T12:07:00Z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