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F45C6" w:rsidTr="00CF1848">
        <w:trPr>
          <w:trHeight w:val="709"/>
        </w:trPr>
        <w:tc>
          <w:tcPr>
            <w:tcW w:w="976" w:type="dxa"/>
            <w:tcBorders>
              <w:bottom w:val="single" w:sz="12" w:space="0" w:color="auto"/>
            </w:tcBorders>
          </w:tcPr>
          <w:p w:rsidR="00C9161D" w:rsidRPr="007F45C6" w:rsidRDefault="00C9161D" w:rsidP="007F45C6">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6BD823EA" wp14:editId="5DE6BD1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7F45C6" w:rsidRDefault="00C9161D" w:rsidP="007F45C6">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0AC3608A" wp14:editId="045B4A6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7F45C6" w:rsidRDefault="00C9161D" w:rsidP="007F45C6">
            <w:pPr>
              <w:kinsoku w:val="0"/>
              <w:overflowPunct w:val="0"/>
              <w:autoSpaceDE w:val="0"/>
              <w:autoSpaceDN w:val="0"/>
              <w:jc w:val="right"/>
              <w:rPr>
                <w:rFonts w:ascii="Arial" w:hAnsi="Arial" w:cs="Arial"/>
                <w:b/>
                <w:snapToGrid w:val="0"/>
                <w:kern w:val="22"/>
                <w:sz w:val="32"/>
                <w:szCs w:val="32"/>
              </w:rPr>
            </w:pPr>
            <w:r w:rsidRPr="007F45C6">
              <w:rPr>
                <w:rFonts w:ascii="Arial" w:hAnsi="Arial" w:cs="Arial"/>
                <w:b/>
                <w:snapToGrid w:val="0"/>
                <w:kern w:val="22"/>
                <w:sz w:val="32"/>
                <w:szCs w:val="32"/>
              </w:rPr>
              <w:t>CBD</w:t>
            </w:r>
          </w:p>
        </w:tc>
      </w:tr>
      <w:tr w:rsidR="00C9161D" w:rsidRPr="007F45C6" w:rsidTr="00CF1848">
        <w:tc>
          <w:tcPr>
            <w:tcW w:w="6117" w:type="dxa"/>
            <w:gridSpan w:val="2"/>
            <w:tcBorders>
              <w:top w:val="single" w:sz="12" w:space="0" w:color="auto"/>
              <w:bottom w:val="single" w:sz="36" w:space="0" w:color="auto"/>
            </w:tcBorders>
            <w:vAlign w:val="center"/>
          </w:tcPr>
          <w:p w:rsidR="00C9161D" w:rsidRPr="007F45C6" w:rsidRDefault="00C9161D" w:rsidP="007F45C6">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6493028D" wp14:editId="76D5BB3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7F45C6" w:rsidRDefault="00C9161D" w:rsidP="007F45C6">
            <w:pPr>
              <w:kinsoku w:val="0"/>
              <w:overflowPunct w:val="0"/>
              <w:autoSpaceDE w:val="0"/>
              <w:autoSpaceDN w:val="0"/>
              <w:ind w:left="1470"/>
              <w:rPr>
                <w:snapToGrid w:val="0"/>
                <w:kern w:val="22"/>
                <w:szCs w:val="22"/>
              </w:rPr>
            </w:pPr>
            <w:r w:rsidRPr="007F45C6">
              <w:rPr>
                <w:snapToGrid w:val="0"/>
                <w:kern w:val="22"/>
                <w:szCs w:val="22"/>
              </w:rPr>
              <w:t>Distr.</w:t>
            </w:r>
          </w:p>
          <w:p w:rsidR="00C9161D" w:rsidRPr="007F45C6" w:rsidRDefault="002F24D7" w:rsidP="007F45C6">
            <w:pPr>
              <w:kinsoku w:val="0"/>
              <w:overflowPunct w:val="0"/>
              <w:autoSpaceDE w:val="0"/>
              <w:autoSpaceDN w:val="0"/>
              <w:ind w:left="1470"/>
              <w:rPr>
                <w:snapToGrid w:val="0"/>
                <w:kern w:val="22"/>
                <w:szCs w:val="22"/>
              </w:rPr>
            </w:pPr>
            <w:sdt>
              <w:sdtPr>
                <w:rPr>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7F45C6">
                  <w:rPr>
                    <w:snapToGrid w:val="0"/>
                    <w:kern w:val="22"/>
                    <w:szCs w:val="22"/>
                  </w:rPr>
                  <w:t>GENERAL</w:t>
                </w:r>
              </w:sdtContent>
            </w:sdt>
          </w:p>
          <w:p w:rsidR="00C9161D" w:rsidRPr="007F45C6" w:rsidRDefault="00C9161D" w:rsidP="007F45C6">
            <w:pPr>
              <w:kinsoku w:val="0"/>
              <w:overflowPunct w:val="0"/>
              <w:autoSpaceDE w:val="0"/>
              <w:autoSpaceDN w:val="0"/>
              <w:ind w:left="1470"/>
              <w:rPr>
                <w:snapToGrid w:val="0"/>
                <w:kern w:val="22"/>
                <w:szCs w:val="22"/>
              </w:rPr>
            </w:pPr>
          </w:p>
          <w:p w:rsidR="00C9161D" w:rsidRPr="007F45C6" w:rsidRDefault="002F24D7" w:rsidP="007F45C6">
            <w:pPr>
              <w:kinsoku w:val="0"/>
              <w:overflowPunct w:val="0"/>
              <w:autoSpaceDE w:val="0"/>
              <w:autoSpaceDN w:val="0"/>
              <w:ind w:left="1470"/>
              <w:rPr>
                <w:snapToGrid w:val="0"/>
                <w:kern w:val="22"/>
                <w:szCs w:val="22"/>
              </w:rPr>
            </w:pPr>
            <w:sdt>
              <w:sdtPr>
                <w:rPr>
                  <w:snapToGrid w:val="0"/>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7F45C6">
                  <w:rPr>
                    <w:snapToGrid w:val="0"/>
                    <w:kern w:val="22"/>
                    <w:lang w:val="en-US"/>
                  </w:rPr>
                  <w:t>CBD/</w:t>
                </w:r>
                <w:r w:rsidR="00C13C6B" w:rsidRPr="007F45C6">
                  <w:rPr>
                    <w:snapToGrid w:val="0"/>
                    <w:kern w:val="22"/>
                    <w:lang w:val="en-US"/>
                  </w:rPr>
                  <w:t>NP/MOP/3/</w:t>
                </w:r>
                <w:r w:rsidR="003B2F3E">
                  <w:rPr>
                    <w:snapToGrid w:val="0"/>
                    <w:kern w:val="22"/>
                    <w:lang w:val="en-US"/>
                  </w:rPr>
                  <w:t>INF/4</w:t>
                </w:r>
              </w:sdtContent>
            </w:sdt>
          </w:p>
          <w:p w:rsidR="00C9161D" w:rsidRPr="007F45C6" w:rsidRDefault="002F24D7" w:rsidP="007F45C6">
            <w:pPr>
              <w:kinsoku w:val="0"/>
              <w:overflowPunct w:val="0"/>
              <w:autoSpaceDE w:val="0"/>
              <w:autoSpaceDN w:val="0"/>
              <w:ind w:left="1470"/>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9-24T00:00:00Z">
                  <w:dateFormat w:val="d MMMM yyyy"/>
                  <w:lid w:val="en-US"/>
                  <w:storeMappedDataAs w:val="dateTime"/>
                  <w:calendar w:val="gregorian"/>
                </w:date>
              </w:sdtPr>
              <w:sdtEndPr/>
              <w:sdtContent>
                <w:r w:rsidR="003B2F3E">
                  <w:rPr>
                    <w:snapToGrid w:val="0"/>
                    <w:kern w:val="22"/>
                    <w:szCs w:val="22"/>
                    <w:lang w:val="en-US"/>
                  </w:rPr>
                  <w:t>24 September 2018</w:t>
                </w:r>
              </w:sdtContent>
            </w:sdt>
          </w:p>
          <w:p w:rsidR="00C9161D" w:rsidRPr="007F45C6" w:rsidRDefault="00C9161D" w:rsidP="007F45C6">
            <w:pPr>
              <w:kinsoku w:val="0"/>
              <w:overflowPunct w:val="0"/>
              <w:autoSpaceDE w:val="0"/>
              <w:autoSpaceDN w:val="0"/>
              <w:ind w:left="1470"/>
              <w:rPr>
                <w:snapToGrid w:val="0"/>
                <w:kern w:val="22"/>
                <w:szCs w:val="22"/>
              </w:rPr>
            </w:pPr>
          </w:p>
          <w:p w:rsidR="00C9161D" w:rsidRPr="007F45C6" w:rsidRDefault="00C9161D" w:rsidP="007F45C6">
            <w:pPr>
              <w:kinsoku w:val="0"/>
              <w:overflowPunct w:val="0"/>
              <w:autoSpaceDE w:val="0"/>
              <w:autoSpaceDN w:val="0"/>
              <w:ind w:left="1470"/>
              <w:rPr>
                <w:snapToGrid w:val="0"/>
                <w:kern w:val="22"/>
                <w:szCs w:val="22"/>
              </w:rPr>
            </w:pPr>
            <w:r w:rsidRPr="007039A9">
              <w:rPr>
                <w:snapToGrid w:val="0"/>
                <w:kern w:val="22"/>
                <w:szCs w:val="22"/>
              </w:rPr>
              <w:t>ENGLISH</w:t>
            </w:r>
            <w:r w:rsidR="00EB63A1">
              <w:rPr>
                <w:snapToGrid w:val="0"/>
                <w:kern w:val="22"/>
                <w:szCs w:val="22"/>
              </w:rPr>
              <w:t xml:space="preserve"> ONLY</w:t>
            </w:r>
          </w:p>
          <w:p w:rsidR="00C9161D" w:rsidRPr="007F45C6" w:rsidRDefault="00C9161D" w:rsidP="007F45C6">
            <w:pPr>
              <w:kinsoku w:val="0"/>
              <w:overflowPunct w:val="0"/>
              <w:autoSpaceDE w:val="0"/>
              <w:autoSpaceDN w:val="0"/>
              <w:rPr>
                <w:snapToGrid w:val="0"/>
                <w:kern w:val="22"/>
              </w:rPr>
            </w:pPr>
          </w:p>
        </w:tc>
      </w:tr>
    </w:tbl>
    <w:p w:rsidR="00172AF6" w:rsidRPr="007F45C6" w:rsidRDefault="00520912" w:rsidP="007F45C6">
      <w:pPr>
        <w:pStyle w:val="Cornernotation"/>
        <w:kinsoku w:val="0"/>
        <w:overflowPunct w:val="0"/>
        <w:autoSpaceDE w:val="0"/>
        <w:autoSpaceDN w:val="0"/>
        <w:ind w:right="3860"/>
        <w:rPr>
          <w:snapToGrid w:val="0"/>
          <w:color w:val="000000"/>
          <w:kern w:val="22"/>
          <w:shd w:val="clear" w:color="auto" w:fill="FFFFFF"/>
        </w:rPr>
      </w:pPr>
      <w:r w:rsidRPr="007F45C6">
        <w:rPr>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rsidR="00C13C6B" w:rsidRPr="007F45C6" w:rsidRDefault="00C13C6B" w:rsidP="007F45C6">
      <w:pPr>
        <w:pStyle w:val="Cornernotation"/>
        <w:kinsoku w:val="0"/>
        <w:overflowPunct w:val="0"/>
        <w:autoSpaceDE w:val="0"/>
        <w:autoSpaceDN w:val="0"/>
        <w:ind w:right="3973"/>
        <w:rPr>
          <w:snapToGrid w:val="0"/>
          <w:color w:val="000000"/>
          <w:kern w:val="22"/>
        </w:rPr>
      </w:pPr>
      <w:r w:rsidRPr="007F45C6">
        <w:rPr>
          <w:snapToGrid w:val="0"/>
          <w:color w:val="000000"/>
          <w:kern w:val="22"/>
        </w:rPr>
        <w:t>Third meeting</w:t>
      </w:r>
    </w:p>
    <w:p w:rsidR="00172AF6" w:rsidRDefault="00C13C6B" w:rsidP="007F45C6">
      <w:pPr>
        <w:pStyle w:val="Cornernotation"/>
        <w:kinsoku w:val="0"/>
        <w:overflowPunct w:val="0"/>
        <w:autoSpaceDE w:val="0"/>
        <w:autoSpaceDN w:val="0"/>
        <w:ind w:right="3973"/>
        <w:rPr>
          <w:snapToGrid w:val="0"/>
          <w:color w:val="000000"/>
          <w:kern w:val="22"/>
        </w:rPr>
      </w:pPr>
      <w:r w:rsidRPr="00320EB1">
        <w:rPr>
          <w:snapToGrid w:val="0"/>
          <w:kern w:val="22"/>
          <w:szCs w:val="22"/>
          <w:lang w:eastAsia="nb-NO"/>
        </w:rPr>
        <w:t>Sharm El-Sheikh, Egypt</w:t>
      </w:r>
      <w:r w:rsidR="00172AF6" w:rsidRPr="007F45C6">
        <w:rPr>
          <w:snapToGrid w:val="0"/>
          <w:color w:val="000000"/>
          <w:kern w:val="22"/>
        </w:rPr>
        <w:t xml:space="preserve">, </w:t>
      </w:r>
      <w:r w:rsidRPr="007F45C6">
        <w:rPr>
          <w:snapToGrid w:val="0"/>
          <w:color w:val="000000"/>
          <w:kern w:val="22"/>
        </w:rPr>
        <w:t>1</w:t>
      </w:r>
      <w:r w:rsidR="00633F34">
        <w:rPr>
          <w:snapToGrid w:val="0"/>
          <w:color w:val="000000"/>
          <w:kern w:val="22"/>
        </w:rPr>
        <w:t>7</w:t>
      </w:r>
      <w:r w:rsidRPr="007F45C6">
        <w:rPr>
          <w:snapToGrid w:val="0"/>
          <w:color w:val="000000"/>
          <w:kern w:val="22"/>
        </w:rPr>
        <w:t>-2</w:t>
      </w:r>
      <w:r w:rsidR="00633F34">
        <w:rPr>
          <w:snapToGrid w:val="0"/>
          <w:color w:val="000000"/>
          <w:kern w:val="22"/>
        </w:rPr>
        <w:t>9</w:t>
      </w:r>
      <w:r w:rsidRPr="007F45C6">
        <w:rPr>
          <w:snapToGrid w:val="0"/>
          <w:color w:val="000000"/>
          <w:kern w:val="22"/>
        </w:rPr>
        <w:t xml:space="preserve"> November 2018</w:t>
      </w:r>
    </w:p>
    <w:p w:rsidR="00C9161D" w:rsidRPr="00B23E96" w:rsidRDefault="009770CF" w:rsidP="00B23E96">
      <w:pPr>
        <w:pStyle w:val="Cornernotation"/>
        <w:kinsoku w:val="0"/>
        <w:overflowPunct w:val="0"/>
        <w:autoSpaceDE w:val="0"/>
        <w:autoSpaceDN w:val="0"/>
        <w:ind w:right="3973"/>
        <w:rPr>
          <w:snapToGrid w:val="0"/>
          <w:kern w:val="22"/>
          <w:lang w:val="en-US"/>
        </w:rPr>
      </w:pPr>
      <w:r>
        <w:rPr>
          <w:snapToGrid w:val="0"/>
          <w:kern w:val="22"/>
          <w:szCs w:val="22"/>
          <w:lang w:eastAsia="nb-NO"/>
        </w:rPr>
        <w:t>Item 14 of the provisional agenda</w:t>
      </w:r>
      <w:r w:rsidR="00B23E96" w:rsidRPr="00EB63A1">
        <w:rPr>
          <w:rStyle w:val="FootnoteReference"/>
          <w:snapToGrid w:val="0"/>
          <w:kern w:val="22"/>
          <w:szCs w:val="22"/>
          <w:u w:val="none"/>
          <w:lang w:eastAsia="nb-NO"/>
        </w:rPr>
        <w:footnoteReference w:customMarkFollows="1" w:id="1"/>
        <w:t>*</w:t>
      </w:r>
    </w:p>
    <w:p w:rsidR="00C9161D" w:rsidRPr="007F45C6" w:rsidRDefault="002F24D7" w:rsidP="004D7F93">
      <w:pPr>
        <w:kinsoku w:val="0"/>
        <w:overflowPunct w:val="0"/>
        <w:autoSpaceDE w:val="0"/>
        <w:autoSpaceDN w:val="0"/>
        <w:spacing w:before="240" w:after="240"/>
        <w:jc w:val="center"/>
        <w:rPr>
          <w:rFonts w:ascii="Times New Roman Bold" w:hAnsi="Times New Roman Bold" w:cs="Times New Roman Bold"/>
          <w:b/>
          <w:bCs/>
          <w:caps/>
          <w:snapToGrid w:val="0"/>
          <w:kern w:val="22"/>
        </w:rPr>
      </w:pPr>
      <w:sdt>
        <w:sdtPr>
          <w:rPr>
            <w:rFonts w:ascii="Times New Roman Bold" w:hAnsi="Times New Roman Bold" w:cs="Times New Roman Bold"/>
            <w:b/>
            <w:bCs/>
            <w:caps/>
            <w:snapToGrid w:val="0"/>
            <w:kern w:val="22"/>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5258B" w:rsidRPr="004D7F93">
            <w:rPr>
              <w:rFonts w:ascii="Times New Roman Bold" w:hAnsi="Times New Roman Bold" w:cs="Times New Roman Bold"/>
              <w:b/>
              <w:bCs/>
              <w:caps/>
              <w:snapToGrid w:val="0"/>
              <w:kern w:val="22"/>
              <w:lang w:val="en-US"/>
            </w:rPr>
            <w:t>INFORMATION PROVIDED BY PARTIES TO THE NAGOYA PROTOCOL ON THE</w:t>
          </w:r>
          <w:r w:rsidR="0075258B">
            <w:rPr>
              <w:rFonts w:ascii="Times New Roman Bold" w:hAnsi="Times New Roman Bold" w:cs="Times New Roman Bold"/>
              <w:b/>
              <w:bCs/>
              <w:caps/>
              <w:snapToGrid w:val="0"/>
              <w:kern w:val="22"/>
              <w:lang w:val="en-US"/>
            </w:rPr>
            <w:t xml:space="preserve"> </w:t>
          </w:r>
          <w:r w:rsidR="0075258B" w:rsidRPr="004D7F93">
            <w:rPr>
              <w:rFonts w:ascii="Times New Roman Bold" w:hAnsi="Times New Roman Bold" w:cs="Times New Roman Bold"/>
              <w:b/>
              <w:bCs/>
              <w:caps/>
              <w:snapToGrid w:val="0"/>
              <w:kern w:val="22"/>
              <w:lang w:val="en-US"/>
            </w:rPr>
            <w:t>NATIONAL IMPLEMENTATION OF ARTICLE 8(b) AND OTHER RELEVANT PROVISIONS</w:t>
          </w:r>
          <w:r w:rsidR="000336E4">
            <w:rPr>
              <w:rFonts w:ascii="Times New Roman Bold" w:hAnsi="Times New Roman Bold" w:cs="Times New Roman Bold"/>
              <w:b/>
              <w:bCs/>
              <w:caps/>
              <w:snapToGrid w:val="0"/>
              <w:kern w:val="22"/>
              <w:lang w:val="en-US"/>
            </w:rPr>
            <w:t xml:space="preserve"> </w:t>
          </w:r>
          <w:r w:rsidR="0075258B" w:rsidRPr="004D7F93">
            <w:rPr>
              <w:rFonts w:ascii="Times New Roman Bold" w:hAnsi="Times New Roman Bold" w:cs="Times New Roman Bold"/>
              <w:b/>
              <w:bCs/>
              <w:caps/>
              <w:snapToGrid w:val="0"/>
              <w:kern w:val="22"/>
              <w:lang w:val="en-US"/>
            </w:rPr>
            <w:t>OF THE PROTOCOL</w:t>
          </w:r>
        </w:sdtContent>
      </w:sdt>
      <w:r w:rsidR="00105372" w:rsidRPr="007F45C6">
        <w:rPr>
          <w:rFonts w:ascii="Times New Roman Bold" w:hAnsi="Times New Roman Bold" w:cs="Times New Roman Bold"/>
          <w:b/>
          <w:bCs/>
          <w:caps/>
          <w:snapToGrid w:val="0"/>
          <w:kern w:val="22"/>
        </w:rPr>
        <w:t xml:space="preserve"> </w:t>
      </w:r>
    </w:p>
    <w:p w:rsidR="00DD2722" w:rsidRPr="00D52F3B" w:rsidRDefault="000336E4" w:rsidP="00D52F3B">
      <w:pPr>
        <w:pStyle w:val="Para1"/>
        <w:numPr>
          <w:ilvl w:val="0"/>
          <w:numId w:val="18"/>
        </w:numPr>
        <w:suppressLineNumbers/>
        <w:suppressAutoHyphens/>
        <w:kinsoku w:val="0"/>
        <w:overflowPunct w:val="0"/>
        <w:autoSpaceDE w:val="0"/>
        <w:autoSpaceDN w:val="0"/>
        <w:ind w:left="0" w:firstLine="0"/>
        <w:rPr>
          <w:rFonts w:eastAsia="Malgun Gothic"/>
          <w:kern w:val="22"/>
          <w:lang w:eastAsia="x-none"/>
        </w:rPr>
      </w:pPr>
      <w:r>
        <w:t>In decision NP-2/5 on cooperation with other international organizations, conventions and initiatives, the Conference of the Parties serving as the meeting of the Parties to the Nagoya Protocol requested the Executive Secretary to share with the World Health Organization (WHO) relevant information provided by Parties in their interim national reports on the implementation of the Protocol, including its Article 8(b)</w:t>
      </w:r>
      <w:r w:rsidR="00EB63A1">
        <w:t>.</w:t>
      </w:r>
      <w:r w:rsidRPr="002F24D7">
        <w:rPr>
          <w:rStyle w:val="FootnoteReference"/>
          <w:sz w:val="22"/>
          <w:szCs w:val="22"/>
          <w:u w:val="none"/>
          <w:vertAlign w:val="superscript"/>
        </w:rPr>
        <w:footnoteReference w:id="2"/>
      </w:r>
    </w:p>
    <w:p w:rsidR="005809C4" w:rsidRDefault="004D7F93" w:rsidP="00D52F3B">
      <w:pPr>
        <w:pStyle w:val="Para1"/>
        <w:numPr>
          <w:ilvl w:val="0"/>
          <w:numId w:val="18"/>
        </w:numPr>
        <w:suppressLineNumbers/>
        <w:suppressAutoHyphens/>
        <w:kinsoku w:val="0"/>
        <w:overflowPunct w:val="0"/>
        <w:autoSpaceDE w:val="0"/>
        <w:autoSpaceDN w:val="0"/>
        <w:ind w:left="0" w:firstLine="0"/>
        <w:rPr>
          <w:rFonts w:eastAsia="Malgun Gothic"/>
          <w:kern w:val="22"/>
          <w:lang w:eastAsia="x-none"/>
        </w:rPr>
      </w:pPr>
      <w:r w:rsidRPr="00D52F3B">
        <w:rPr>
          <w:rFonts w:eastAsia="Malgun Gothic"/>
          <w:kern w:val="22"/>
          <w:lang w:eastAsia="x-none"/>
        </w:rPr>
        <w:t>A</w:t>
      </w:r>
      <w:r w:rsidR="00C75E3A" w:rsidRPr="00D52F3B">
        <w:rPr>
          <w:rFonts w:eastAsia="Malgun Gothic"/>
          <w:kern w:val="22"/>
          <w:lang w:eastAsia="x-none"/>
        </w:rPr>
        <w:t xml:space="preserve"> note by the Executive Secretary with relevant information provided by Parties in their national reports on national implementation of the Nagoya Protocol, including its Article 8(b), was </w:t>
      </w:r>
      <w:r w:rsidRPr="00D52F3B">
        <w:rPr>
          <w:rFonts w:eastAsia="Malgun Gothic"/>
          <w:kern w:val="22"/>
          <w:lang w:eastAsia="x-none"/>
        </w:rPr>
        <w:t xml:space="preserve">thus </w:t>
      </w:r>
      <w:r w:rsidR="0075258B">
        <w:rPr>
          <w:rFonts w:eastAsia="Malgun Gothic"/>
          <w:kern w:val="22"/>
          <w:lang w:eastAsia="x-none"/>
        </w:rPr>
        <w:t xml:space="preserve">prepared and </w:t>
      </w:r>
      <w:r w:rsidR="00C75E3A" w:rsidRPr="00D52F3B">
        <w:rPr>
          <w:rFonts w:eastAsia="Malgun Gothic"/>
          <w:kern w:val="22"/>
          <w:lang w:eastAsia="x-none"/>
        </w:rPr>
        <w:t>shared with WHO</w:t>
      </w:r>
      <w:r w:rsidR="00D52F3B">
        <w:rPr>
          <w:rFonts w:eastAsia="Malgun Gothic"/>
          <w:kern w:val="22"/>
          <w:lang w:eastAsia="x-none"/>
        </w:rPr>
        <w:t xml:space="preserve"> and published on their website</w:t>
      </w:r>
      <w:r w:rsidR="00EB63A1">
        <w:rPr>
          <w:rFonts w:eastAsia="Malgun Gothic"/>
          <w:kern w:val="22"/>
          <w:lang w:eastAsia="x-none"/>
        </w:rPr>
        <w:t>.</w:t>
      </w:r>
      <w:r w:rsidR="00D52F3B" w:rsidRPr="002F24D7">
        <w:rPr>
          <w:rStyle w:val="FootnoteReference"/>
          <w:rFonts w:eastAsia="Malgun Gothic"/>
          <w:kern w:val="22"/>
          <w:sz w:val="22"/>
          <w:szCs w:val="22"/>
          <w:u w:val="none"/>
          <w:vertAlign w:val="superscript"/>
          <w:lang w:eastAsia="x-none"/>
        </w:rPr>
        <w:footnoteReference w:id="3"/>
      </w:r>
      <w:r w:rsidR="0075258B">
        <w:rPr>
          <w:rFonts w:eastAsia="Malgun Gothic"/>
          <w:kern w:val="22"/>
          <w:lang w:eastAsia="x-none"/>
        </w:rPr>
        <w:t xml:space="preserve"> This report</w:t>
      </w:r>
      <w:r w:rsidR="005809C4" w:rsidRPr="00D52F3B">
        <w:rPr>
          <w:rFonts w:eastAsia="Malgun Gothic"/>
          <w:kern w:val="22"/>
          <w:lang w:eastAsia="x-none"/>
        </w:rPr>
        <w:t xml:space="preserve"> is made available</w:t>
      </w:r>
      <w:r w:rsidR="0075258B">
        <w:rPr>
          <w:rFonts w:eastAsia="Malgun Gothic"/>
          <w:kern w:val="22"/>
          <w:lang w:eastAsia="x-none"/>
        </w:rPr>
        <w:t xml:space="preserve"> in the</w:t>
      </w:r>
      <w:r w:rsidR="009770CF">
        <w:rPr>
          <w:rFonts w:eastAsia="Malgun Gothic"/>
          <w:kern w:val="22"/>
          <w:lang w:eastAsia="x-none"/>
        </w:rPr>
        <w:t xml:space="preserve"> annex to the</w:t>
      </w:r>
      <w:r w:rsidR="0075258B">
        <w:rPr>
          <w:rFonts w:eastAsia="Malgun Gothic"/>
          <w:kern w:val="22"/>
          <w:lang w:eastAsia="x-none"/>
        </w:rPr>
        <w:t xml:space="preserve"> present document</w:t>
      </w:r>
      <w:r w:rsidR="005809C4" w:rsidRPr="00D52F3B">
        <w:rPr>
          <w:rFonts w:eastAsia="Malgun Gothic"/>
          <w:kern w:val="22"/>
          <w:lang w:eastAsia="x-none"/>
        </w:rPr>
        <w:t xml:space="preserve"> for the information of participants in the third meeting of the Conference of the Parties serving as the meeting of the Parties to the Nagoya Protocol.</w:t>
      </w:r>
    </w:p>
    <w:p w:rsidR="009770CF" w:rsidRDefault="009770CF">
      <w:pPr>
        <w:jc w:val="left"/>
        <w:rPr>
          <w:rFonts w:eastAsia="Malgun Gothic"/>
          <w:snapToGrid w:val="0"/>
          <w:kern w:val="22"/>
          <w:szCs w:val="18"/>
          <w:lang w:eastAsia="x-none"/>
        </w:rPr>
      </w:pPr>
      <w:r>
        <w:rPr>
          <w:rFonts w:eastAsia="Malgun Gothic"/>
          <w:kern w:val="22"/>
          <w:lang w:eastAsia="x-none"/>
        </w:rPr>
        <w:br w:type="page"/>
      </w:r>
    </w:p>
    <w:p w:rsidR="009770CF" w:rsidRPr="009770CF" w:rsidRDefault="009770CF" w:rsidP="009770CF">
      <w:pPr>
        <w:pStyle w:val="Para1"/>
        <w:suppressLineNumbers/>
        <w:suppressAutoHyphens/>
        <w:kinsoku w:val="0"/>
        <w:overflowPunct w:val="0"/>
        <w:autoSpaceDE w:val="0"/>
        <w:autoSpaceDN w:val="0"/>
        <w:jc w:val="center"/>
        <w:rPr>
          <w:rFonts w:eastAsia="Malgun Gothic"/>
          <w:i/>
          <w:kern w:val="22"/>
          <w:lang w:eastAsia="x-none"/>
        </w:rPr>
      </w:pPr>
      <w:r>
        <w:rPr>
          <w:rFonts w:eastAsia="Malgun Gothic"/>
          <w:i/>
          <w:kern w:val="22"/>
          <w:lang w:eastAsia="x-none"/>
        </w:rPr>
        <w:lastRenderedPageBreak/>
        <w:t>Annex</w:t>
      </w:r>
    </w:p>
    <w:p w:rsidR="009770CF" w:rsidRDefault="000336E4" w:rsidP="00EB63A1">
      <w:pPr>
        <w:pStyle w:val="Heading1"/>
      </w:pPr>
      <w:r>
        <w:rPr>
          <w:snapToGrid w:val="0"/>
          <w:lang w:val="en-US"/>
        </w:rPr>
        <w:t>INFORMATION PROVIDED BY PARTIES TO THE NAGOYA PROTOCOL ON THE NATIONAL IMPLEMENTATION OF ARTICL</w:t>
      </w:r>
      <w:bookmarkStart w:id="0" w:name="_GoBack"/>
      <w:bookmarkEnd w:id="0"/>
      <w:r>
        <w:rPr>
          <w:snapToGrid w:val="0"/>
          <w:lang w:val="en-US"/>
        </w:rPr>
        <w:t>E 8(b) AND OTHER RELEVANT PROVISIONS OF THE PROTOCOL</w:t>
      </w:r>
    </w:p>
    <w:p w:rsidR="00D52F3B" w:rsidRPr="0051513C" w:rsidRDefault="00D52F3B" w:rsidP="00D52F3B">
      <w:pPr>
        <w:pStyle w:val="HEADING"/>
        <w:numPr>
          <w:ilvl w:val="0"/>
          <w:numId w:val="19"/>
        </w:numPr>
      </w:pPr>
      <w:r>
        <w:t>BACKGROUND</w:t>
      </w:r>
    </w:p>
    <w:p w:rsidR="00D52F3B" w:rsidRPr="005D2BD9" w:rsidRDefault="00D52F3B" w:rsidP="009770CF">
      <w:pPr>
        <w:pStyle w:val="Para1"/>
        <w:numPr>
          <w:ilvl w:val="0"/>
          <w:numId w:val="2"/>
        </w:numPr>
        <w:tabs>
          <w:tab w:val="clear" w:pos="360"/>
        </w:tabs>
        <w:rPr>
          <w:szCs w:val="22"/>
        </w:rPr>
      </w:pPr>
      <w:r w:rsidRPr="005D2BD9">
        <w:rPr>
          <w:szCs w:val="22"/>
        </w:rPr>
        <w:t xml:space="preserve">The Nagoya Protocol is a supplementary agreement to the Convention on Biological Diversity adopted in Nagoya, Japan, on 29 October 2010. Its objective is also one of the objectives of the Convention: the fair and equitable sharing of benefits arising from the utilization of genetic resources, including by appropriate access to genetic resources. The Nagoya Protocol creates a global framework on access and benefit-sharing (ABS) for genetic resources and traditional knowledge associated with genetic resources, </w:t>
      </w:r>
      <w:r>
        <w:rPr>
          <w:szCs w:val="22"/>
        </w:rPr>
        <w:t>thereby</w:t>
      </w:r>
      <w:r w:rsidRPr="005D2BD9">
        <w:rPr>
          <w:szCs w:val="22"/>
        </w:rPr>
        <w:t xml:space="preserve"> contributing to the conservation of biological diversity and the sustainable use of its components</w:t>
      </w:r>
      <w:r w:rsidRPr="005D2BD9">
        <w:rPr>
          <w:rStyle w:val="FootnoteReference"/>
          <w:rFonts w:eastAsiaTheme="majorEastAsia"/>
          <w:sz w:val="22"/>
          <w:szCs w:val="22"/>
        </w:rPr>
        <w:footnoteReference w:id="4"/>
      </w:r>
      <w:r w:rsidRPr="005D2BD9">
        <w:rPr>
          <w:szCs w:val="22"/>
        </w:rPr>
        <w:t>. The Nagoya Protocol entered into force on 12 October 2014</w:t>
      </w:r>
      <w:r>
        <w:rPr>
          <w:szCs w:val="22"/>
        </w:rPr>
        <w:t xml:space="preserve">. As of 31 May 2018, it </w:t>
      </w:r>
      <w:r w:rsidRPr="005D2BD9">
        <w:rPr>
          <w:szCs w:val="22"/>
        </w:rPr>
        <w:t xml:space="preserve">has </w:t>
      </w:r>
      <w:r w:rsidRPr="001043E0">
        <w:rPr>
          <w:szCs w:val="22"/>
        </w:rPr>
        <w:t>105</w:t>
      </w:r>
      <w:r>
        <w:rPr>
          <w:szCs w:val="22"/>
        </w:rPr>
        <w:t xml:space="preserve">. </w:t>
      </w:r>
    </w:p>
    <w:p w:rsidR="00D52F3B" w:rsidRPr="0051513C" w:rsidRDefault="00D52F3B" w:rsidP="00D52F3B">
      <w:pPr>
        <w:pStyle w:val="Para1"/>
        <w:numPr>
          <w:ilvl w:val="0"/>
          <w:numId w:val="2"/>
        </w:numPr>
        <w:tabs>
          <w:tab w:val="clear" w:pos="360"/>
        </w:tabs>
      </w:pPr>
      <w:r w:rsidRPr="00FC0EE3">
        <w:rPr>
          <w:szCs w:val="22"/>
        </w:rPr>
        <w:t xml:space="preserve">In accordance with Article 29 of the Nagoya Protocol, Parties to the Protocol are required to monitor the implementation of their obligations </w:t>
      </w:r>
      <w:r w:rsidRPr="0051513C">
        <w:t xml:space="preserve">and to report to the </w:t>
      </w:r>
      <w:r>
        <w:t xml:space="preserve">governing body – the </w:t>
      </w:r>
      <w:r w:rsidRPr="00FC0EE3">
        <w:rPr>
          <w:szCs w:val="22"/>
        </w:rPr>
        <w:t>Conference</w:t>
      </w:r>
      <w:r w:rsidRPr="0051513C">
        <w:t xml:space="preserve"> of the Parties </w:t>
      </w:r>
      <w:r>
        <w:t xml:space="preserve">to the Convention </w:t>
      </w:r>
      <w:r w:rsidRPr="0051513C">
        <w:t xml:space="preserve">serving as the meeting of the Parties </w:t>
      </w:r>
      <w:r>
        <w:t xml:space="preserve">to the Protocol (COP-MOP) – </w:t>
      </w:r>
      <w:r w:rsidRPr="0051513C">
        <w:t>on measures t</w:t>
      </w:r>
      <w:r>
        <w:t>aken to implement the Protocol. In decision NP-1/3, the COP-MOP requested</w:t>
      </w:r>
      <w:r w:rsidRPr="0051513C">
        <w:t xml:space="preserve"> Parties to submit </w:t>
      </w:r>
      <w:r>
        <w:t>an</w:t>
      </w:r>
      <w:r w:rsidRPr="0051513C">
        <w:t xml:space="preserve"> interim national report</w:t>
      </w:r>
      <w:r>
        <w:t xml:space="preserve"> on the implementation of the Nagoya Protocol.</w:t>
      </w:r>
      <w:r w:rsidRPr="0051513C">
        <w:t xml:space="preserve"> </w:t>
      </w:r>
      <w:r>
        <w:t>The interim national reports were to be submitted</w:t>
      </w:r>
      <w:r w:rsidRPr="0051513C">
        <w:t xml:space="preserve"> through the Access and Benefit-sharing Clearing-House</w:t>
      </w:r>
      <w:r w:rsidRPr="0051513C">
        <w:rPr>
          <w:rStyle w:val="FootnoteReference"/>
          <w:rFonts w:eastAsiaTheme="majorEastAsia"/>
        </w:rPr>
        <w:footnoteReference w:id="5"/>
      </w:r>
      <w:r>
        <w:t xml:space="preserve"> and were due by 1 November 2017</w:t>
      </w:r>
      <w:r w:rsidRPr="0051513C">
        <w:t xml:space="preserve">. </w:t>
      </w:r>
      <w:r>
        <w:t>Reports</w:t>
      </w:r>
      <w:r w:rsidRPr="0051513C">
        <w:t xml:space="preserve"> </w:t>
      </w:r>
      <w:r>
        <w:t xml:space="preserve">were also welcomed from </w:t>
      </w:r>
      <w:r w:rsidRPr="0051513C">
        <w:t>non-Parties to the Protocol.</w:t>
      </w:r>
      <w:r>
        <w:t xml:space="preserve"> </w:t>
      </w:r>
    </w:p>
    <w:p w:rsidR="00D52F3B" w:rsidRPr="005D2BD9" w:rsidRDefault="00D52F3B" w:rsidP="00D52F3B">
      <w:pPr>
        <w:pStyle w:val="Para1"/>
        <w:numPr>
          <w:ilvl w:val="0"/>
          <w:numId w:val="2"/>
        </w:numPr>
        <w:tabs>
          <w:tab w:val="clear" w:pos="360"/>
        </w:tabs>
        <w:rPr>
          <w:szCs w:val="22"/>
        </w:rPr>
      </w:pPr>
      <w:r w:rsidRPr="005D2BD9">
        <w:rPr>
          <w:szCs w:val="22"/>
        </w:rPr>
        <w:t xml:space="preserve">The preamble of the Nagoya Protocol notes the International Health Regulations (2005) of the </w:t>
      </w:r>
      <w:r>
        <w:rPr>
          <w:szCs w:val="22"/>
        </w:rPr>
        <w:t>World Health Organization (</w:t>
      </w:r>
      <w:r w:rsidRPr="005D2BD9">
        <w:rPr>
          <w:szCs w:val="22"/>
        </w:rPr>
        <w:t>WHO</w:t>
      </w:r>
      <w:r>
        <w:rPr>
          <w:szCs w:val="22"/>
        </w:rPr>
        <w:t>)</w:t>
      </w:r>
      <w:r w:rsidRPr="005D2BD9">
        <w:rPr>
          <w:szCs w:val="22"/>
        </w:rPr>
        <w:t xml:space="preserve"> and the importance of ensuring access to human pathogens for public health preparedness and response purposes. Furthermore, Article 8(b) of the Nagoya Protocol provides that in the development and implementation of its access and benefit-sharing legislation or regulatory </w:t>
      </w:r>
      <w:r>
        <w:rPr>
          <w:szCs w:val="22"/>
        </w:rPr>
        <w:t>requirements, each Party shall “p</w:t>
      </w:r>
      <w:r w:rsidRPr="005D2BD9">
        <w:rPr>
          <w:szCs w:val="22"/>
        </w:rPr>
        <w:t>ay due regard to cases of present or imminent emergencies that threaten or damage human, animal or plant health, as determined nationally or internationally. Parties may take into consideration the need for expeditious access to genetic resources and expeditious fair and equitable sharing of benefits arising out of the use of such genetic resources, including access to affordable treatments by those in need, especially in developing countries”.</w:t>
      </w:r>
    </w:p>
    <w:p w:rsidR="00D52F3B" w:rsidRDefault="00D52F3B" w:rsidP="00D52F3B">
      <w:pPr>
        <w:pStyle w:val="Para1"/>
        <w:numPr>
          <w:ilvl w:val="0"/>
          <w:numId w:val="2"/>
        </w:numPr>
        <w:tabs>
          <w:tab w:val="clear" w:pos="360"/>
        </w:tabs>
      </w:pPr>
      <w:r>
        <w:t xml:space="preserve">Considering the linkages between the Nagoya Protocol and public health, the COP-MOP included, in its decision NP-2/5 on cooperation with other international organizations, conventions and initiatives, a request for </w:t>
      </w:r>
      <w:r w:rsidRPr="0051513C">
        <w:t>the Executive Secretary of the C</w:t>
      </w:r>
      <w:r>
        <w:t>onvention</w:t>
      </w:r>
      <w:r w:rsidRPr="0051513C">
        <w:t xml:space="preserve"> to share with the </w:t>
      </w:r>
      <w:r>
        <w:t>WHO</w:t>
      </w:r>
      <w:r w:rsidRPr="0051513C">
        <w:t xml:space="preserve"> relevant information provided by Parties in their interim</w:t>
      </w:r>
      <w:r>
        <w:t xml:space="preserve"> national reports</w:t>
      </w:r>
      <w:r w:rsidRPr="0051513C">
        <w:t xml:space="preserve"> on the implementation </w:t>
      </w:r>
      <w:r>
        <w:t xml:space="preserve">of </w:t>
      </w:r>
      <w:r w:rsidRPr="0051513C">
        <w:t>the Nagoya Protocol</w:t>
      </w:r>
      <w:r>
        <w:t>, including its Article 8(b)</w:t>
      </w:r>
      <w:r w:rsidRPr="0051513C">
        <w:rPr>
          <w:rStyle w:val="FootnoteReference"/>
          <w:rFonts w:eastAsiaTheme="majorEastAsia"/>
        </w:rPr>
        <w:footnoteReference w:id="6"/>
      </w:r>
      <w:r w:rsidRPr="0051513C">
        <w:t>.</w:t>
      </w:r>
      <w:r>
        <w:t xml:space="preserve"> </w:t>
      </w:r>
    </w:p>
    <w:p w:rsidR="00D52F3B" w:rsidRPr="00B66E8E" w:rsidRDefault="00D52F3B" w:rsidP="00D52F3B">
      <w:pPr>
        <w:pStyle w:val="Para1"/>
        <w:numPr>
          <w:ilvl w:val="0"/>
          <w:numId w:val="2"/>
        </w:numPr>
        <w:tabs>
          <w:tab w:val="clear" w:pos="360"/>
        </w:tabs>
      </w:pPr>
      <w:r w:rsidRPr="0051513C">
        <w:t>This document</w:t>
      </w:r>
      <w:r>
        <w:t xml:space="preserve"> has been prepared in response to this request. It is structured as follows: section II contains</w:t>
      </w:r>
      <w:r w:rsidRPr="0051513C">
        <w:t xml:space="preserve"> </w:t>
      </w:r>
      <w:r>
        <w:t>notes on the sources of information used for assessing national implementation of the Nagoya Protocol; section</w:t>
      </w:r>
      <w:r w:rsidRPr="0051513C">
        <w:t xml:space="preserve"> III contain</w:t>
      </w:r>
      <w:r>
        <w:t>s</w:t>
      </w:r>
      <w:r w:rsidRPr="0051513C">
        <w:t xml:space="preserve"> a synthesis of relevant </w:t>
      </w:r>
      <w:r w:rsidRPr="00540015">
        <w:t>information provided by Parties and non-Parties in their</w:t>
      </w:r>
      <w:r w:rsidRPr="0051513C">
        <w:t xml:space="preserve"> interim national reports, including on the national implementation of Article 8(b) of the Nagoya Protocol</w:t>
      </w:r>
      <w:r>
        <w:t>; and</w:t>
      </w:r>
      <w:r w:rsidRPr="0051513C">
        <w:t xml:space="preserve"> </w:t>
      </w:r>
      <w:r>
        <w:t>s</w:t>
      </w:r>
      <w:r w:rsidRPr="00EB291E">
        <w:t xml:space="preserve">ection </w:t>
      </w:r>
      <w:r>
        <w:t xml:space="preserve">IV draws attention to key points from the </w:t>
      </w:r>
      <w:r w:rsidRPr="00B66E8E">
        <w:t>analysis of interim national reports which may be of interest to the WHO and its Member States.</w:t>
      </w:r>
    </w:p>
    <w:p w:rsidR="00D52F3B" w:rsidRDefault="00D52F3B" w:rsidP="00D52F3B">
      <w:pPr>
        <w:pStyle w:val="HEADING"/>
        <w:numPr>
          <w:ilvl w:val="0"/>
          <w:numId w:val="19"/>
        </w:numPr>
      </w:pPr>
      <w:r>
        <w:lastRenderedPageBreak/>
        <w:t>SOURCES OF INFORMATION</w:t>
      </w:r>
    </w:p>
    <w:p w:rsidR="00D52F3B" w:rsidRPr="001043E0" w:rsidRDefault="00D52F3B" w:rsidP="00D52F3B">
      <w:pPr>
        <w:pStyle w:val="Para1"/>
        <w:numPr>
          <w:ilvl w:val="0"/>
          <w:numId w:val="2"/>
        </w:numPr>
        <w:tabs>
          <w:tab w:val="clear" w:pos="360"/>
        </w:tabs>
      </w:pPr>
      <w:r>
        <w:t xml:space="preserve">As of 31 May 2018, a total of 80 interim national reports have been submitted. </w:t>
      </w:r>
      <w:proofErr w:type="gramStart"/>
      <w:r>
        <w:t>However</w:t>
      </w:r>
      <w:proofErr w:type="gramEnd"/>
      <w:r>
        <w:t xml:space="preserve"> the analysis is based on the 75 interim national reports</w:t>
      </w:r>
      <w:r>
        <w:rPr>
          <w:rStyle w:val="FootnoteReference"/>
          <w:rFonts w:eastAsiaTheme="majorEastAsia"/>
        </w:rPr>
        <w:footnoteReference w:id="7"/>
      </w:r>
      <w:r>
        <w:t xml:space="preserve"> submitted a</w:t>
      </w:r>
      <w:r w:rsidRPr="001043E0">
        <w:t xml:space="preserve">s of 22 of </w:t>
      </w:r>
      <w:r>
        <w:t xml:space="preserve">February </w:t>
      </w:r>
      <w:r w:rsidRPr="001043E0">
        <w:t>2018</w:t>
      </w:r>
      <w:r>
        <w:t>.</w:t>
      </w:r>
      <w:r w:rsidRPr="001043E0">
        <w:t xml:space="preserve">   </w:t>
      </w:r>
    </w:p>
    <w:p w:rsidR="00D52F3B" w:rsidRDefault="00D52F3B" w:rsidP="00F15663">
      <w:pPr>
        <w:pStyle w:val="Para1"/>
        <w:numPr>
          <w:ilvl w:val="0"/>
          <w:numId w:val="2"/>
        </w:numPr>
        <w:tabs>
          <w:tab w:val="clear" w:pos="360"/>
          <w:tab w:val="num" w:pos="709"/>
        </w:tabs>
      </w:pPr>
      <w:r w:rsidRPr="00DC7AD0">
        <w:rPr>
          <w:rFonts w:eastAsia="Arial Unicode MS"/>
          <w:snapToGrid/>
          <w:u w:color="000000"/>
          <w:bdr w:val="nil"/>
        </w:rPr>
        <w:t>All interim national reports received are available online on the ABS Clearing-House</w:t>
      </w:r>
      <w:r w:rsidR="00F15663">
        <w:rPr>
          <w:rFonts w:eastAsia="Arial Unicode MS"/>
          <w:snapToGrid/>
          <w:u w:color="000000"/>
          <w:bdr w:val="nil"/>
        </w:rPr>
        <w:t xml:space="preserve"> </w:t>
      </w:r>
      <w:r w:rsidRPr="00DC7AD0">
        <w:rPr>
          <w:rFonts w:eastAsia="Arial Unicode MS"/>
          <w:snapToGrid/>
          <w:u w:color="000000"/>
          <w:bdr w:val="nil"/>
        </w:rPr>
        <w:t xml:space="preserve">at the following link: </w:t>
      </w:r>
      <w:hyperlink r:id="rId12" w:history="1">
        <w:r w:rsidRPr="00F15663">
          <w:rPr>
            <w:rStyle w:val="Hyperlink"/>
            <w:rFonts w:eastAsia="Arial Unicode MS"/>
            <w:snapToGrid/>
            <w:sz w:val="22"/>
            <w:szCs w:val="22"/>
            <w:u w:color="000000"/>
            <w:bdr w:val="nil"/>
          </w:rPr>
          <w:t>https://absch.cbd.int/reports</w:t>
        </w:r>
      </w:hyperlink>
      <w:r w:rsidRPr="00DC7AD0">
        <w:rPr>
          <w:rFonts w:eastAsia="Arial Unicode MS"/>
          <w:snapToGrid/>
          <w:u w:color="000000"/>
          <w:bdr w:val="nil"/>
        </w:rPr>
        <w:t xml:space="preserve"> with the exception of </w:t>
      </w:r>
      <w:r>
        <w:rPr>
          <w:rFonts w:eastAsia="Arial Unicode MS"/>
          <w:snapToGrid/>
          <w:u w:color="000000"/>
          <w:bdr w:val="nil"/>
        </w:rPr>
        <w:t xml:space="preserve">two </w:t>
      </w:r>
      <w:r w:rsidRPr="00DC7AD0">
        <w:rPr>
          <w:rFonts w:eastAsia="Arial Unicode MS"/>
          <w:snapToGrid/>
          <w:u w:color="000000"/>
          <w:bdr w:val="nil"/>
        </w:rPr>
        <w:t>report</w:t>
      </w:r>
      <w:r>
        <w:rPr>
          <w:rFonts w:eastAsia="Arial Unicode MS"/>
          <w:snapToGrid/>
          <w:u w:color="000000"/>
          <w:bdr w:val="nil"/>
        </w:rPr>
        <w:t>s</w:t>
      </w:r>
      <w:r w:rsidRPr="00DC7AD0">
        <w:rPr>
          <w:rFonts w:eastAsia="Arial Unicode MS"/>
          <w:snapToGrid/>
          <w:u w:color="000000"/>
          <w:bdr w:val="nil"/>
        </w:rPr>
        <w:t xml:space="preserve"> that w</w:t>
      </w:r>
      <w:r>
        <w:rPr>
          <w:rFonts w:eastAsia="Arial Unicode MS"/>
          <w:snapToGrid/>
          <w:u w:color="000000"/>
          <w:bdr w:val="nil"/>
        </w:rPr>
        <w:t>ere</w:t>
      </w:r>
      <w:r w:rsidRPr="00DC7AD0">
        <w:rPr>
          <w:rFonts w:eastAsia="Arial Unicode MS"/>
          <w:snapToGrid/>
          <w:u w:color="000000"/>
          <w:bdr w:val="nil"/>
        </w:rPr>
        <w:t xml:space="preserve"> submitted offline. The ABS Clearing-House also hosts a report analyser tool that enables the analysis of information contained in the interim national report by question, country/</w:t>
      </w:r>
      <w:proofErr w:type="spellStart"/>
      <w:r w:rsidRPr="00DC7AD0">
        <w:rPr>
          <w:rFonts w:eastAsia="Arial Unicode MS"/>
          <w:snapToGrid/>
          <w:u w:color="000000"/>
          <w:bdr w:val="nil"/>
        </w:rPr>
        <w:t>ies</w:t>
      </w:r>
      <w:proofErr w:type="spellEnd"/>
      <w:r w:rsidRPr="00DC7AD0">
        <w:rPr>
          <w:rFonts w:eastAsia="Arial Unicode MS"/>
          <w:snapToGrid/>
          <w:u w:color="000000"/>
          <w:bdr w:val="nil"/>
        </w:rPr>
        <w:t xml:space="preserve"> or region</w:t>
      </w:r>
      <w:r w:rsidRPr="00C46645">
        <w:t xml:space="preserve">. </w:t>
      </w:r>
    </w:p>
    <w:p w:rsidR="00D52F3B" w:rsidRPr="00DC7AD0" w:rsidRDefault="00D52F3B" w:rsidP="00F15663">
      <w:pPr>
        <w:pStyle w:val="Para1"/>
        <w:numPr>
          <w:ilvl w:val="0"/>
          <w:numId w:val="2"/>
        </w:numPr>
        <w:tabs>
          <w:tab w:val="clear" w:pos="360"/>
          <w:tab w:val="num" w:pos="709"/>
        </w:tabs>
      </w:pPr>
      <w:r>
        <w:rPr>
          <w:snapToGrid/>
          <w:kern w:val="22"/>
          <w:szCs w:val="22"/>
        </w:rPr>
        <w:t xml:space="preserve">The </w:t>
      </w:r>
      <w:r w:rsidRPr="00DA77C1">
        <w:rPr>
          <w:snapToGrid/>
          <w:kern w:val="22"/>
          <w:szCs w:val="22"/>
        </w:rPr>
        <w:t xml:space="preserve">analysis </w:t>
      </w:r>
      <w:r>
        <w:rPr>
          <w:snapToGrid/>
          <w:kern w:val="22"/>
          <w:szCs w:val="22"/>
        </w:rPr>
        <w:t xml:space="preserve">provided in section III below is based on the </w:t>
      </w:r>
      <w:r w:rsidRPr="00DA77C1">
        <w:rPr>
          <w:snapToGrid/>
          <w:kern w:val="22"/>
          <w:szCs w:val="22"/>
        </w:rPr>
        <w:t>information contained in the interim national reports and the ABS Clearing-House as of 22 February 2018</w:t>
      </w:r>
      <w:r>
        <w:rPr>
          <w:snapToGrid/>
          <w:kern w:val="22"/>
          <w:szCs w:val="22"/>
        </w:rPr>
        <w:t>.</w:t>
      </w:r>
      <w:r w:rsidRPr="00DA77C1">
        <w:t xml:space="preserve"> </w:t>
      </w:r>
      <w:r>
        <w:t xml:space="preserve">Relevant </w:t>
      </w:r>
      <w:r w:rsidRPr="00DA77C1">
        <w:t>information provided through national biodiversity strategies and action plans</w:t>
      </w:r>
      <w:r>
        <w:t xml:space="preserve"> (NBSAPs) </w:t>
      </w:r>
      <w:r w:rsidRPr="00DA77C1">
        <w:t>and the fifth national reports on the implementation of the Convention was also considere</w:t>
      </w:r>
      <w:r>
        <w:t>d to fill gaps in the case of</w:t>
      </w:r>
      <w:r w:rsidRPr="00DA77C1">
        <w:t xml:space="preserve"> those Parties that did not submit an interim national report</w:t>
      </w:r>
      <w:r>
        <w:t>.</w:t>
      </w:r>
    </w:p>
    <w:p w:rsidR="00D52F3B" w:rsidRDefault="00D52F3B" w:rsidP="00D52F3B">
      <w:pPr>
        <w:pStyle w:val="HEADING"/>
        <w:numPr>
          <w:ilvl w:val="0"/>
          <w:numId w:val="19"/>
        </w:numPr>
      </w:pPr>
      <w:r>
        <w:t xml:space="preserve">Assessment of progress IN IMPLEMENTING </w:t>
      </w:r>
      <w:r w:rsidRPr="0051513C">
        <w:t>the nagoya protocol</w:t>
      </w:r>
    </w:p>
    <w:p w:rsidR="00D52F3B" w:rsidRDefault="00D52F3B" w:rsidP="00D52F3B">
      <w:pPr>
        <w:pStyle w:val="Para1"/>
        <w:numPr>
          <w:ilvl w:val="0"/>
          <w:numId w:val="2"/>
        </w:numPr>
        <w:tabs>
          <w:tab w:val="clear" w:pos="360"/>
        </w:tabs>
      </w:pPr>
      <w:proofErr w:type="gramStart"/>
      <w:r>
        <w:rPr>
          <w:kern w:val="22"/>
        </w:rPr>
        <w:t>A</w:t>
      </w:r>
      <w:r w:rsidRPr="00D73BB3">
        <w:rPr>
          <w:kern w:val="22"/>
        </w:rPr>
        <w:t xml:space="preserve"> number of</w:t>
      </w:r>
      <w:proofErr w:type="gramEnd"/>
      <w:r w:rsidRPr="00D73BB3">
        <w:rPr>
          <w:kern w:val="22"/>
        </w:rPr>
        <w:t xml:space="preserve"> steps are to be taken by Parties to the Nagoya Protocol to </w:t>
      </w:r>
      <w:r>
        <w:rPr>
          <w:kern w:val="22"/>
        </w:rPr>
        <w:t>operationalize the Protocol</w:t>
      </w:r>
      <w:r w:rsidRPr="00D73BB3">
        <w:rPr>
          <w:kern w:val="22"/>
        </w:rPr>
        <w:t>. Specifically, Parties to the Protocol are to</w:t>
      </w:r>
      <w:r>
        <w:rPr>
          <w:kern w:val="22"/>
        </w:rPr>
        <w:t>:</w:t>
      </w:r>
      <w:r w:rsidRPr="00D73BB3">
        <w:rPr>
          <w:kern w:val="22"/>
        </w:rPr>
        <w:t xml:space="preserve"> (a) establish institutional structur</w:t>
      </w:r>
      <w:r>
        <w:rPr>
          <w:kern w:val="22"/>
        </w:rPr>
        <w:t>es;</w:t>
      </w:r>
      <w:r w:rsidRPr="00D73BB3">
        <w:rPr>
          <w:kern w:val="22"/>
        </w:rPr>
        <w:t xml:space="preserve"> and (b) develop or revise legislative, administrative or policy measures on ABS to implement the Protocol. </w:t>
      </w:r>
      <w:r>
        <w:t xml:space="preserve">Furthermore, Parties to the Protocol are also required, via Article 14, to provide relevant information to the ABS Clearing-House. </w:t>
      </w:r>
    </w:p>
    <w:p w:rsidR="00D52F3B" w:rsidRPr="00315C1C" w:rsidRDefault="00D52F3B" w:rsidP="00D52F3B">
      <w:pPr>
        <w:pStyle w:val="Para1"/>
        <w:numPr>
          <w:ilvl w:val="0"/>
          <w:numId w:val="22"/>
        </w:numPr>
        <w:rPr>
          <w:b/>
        </w:rPr>
      </w:pPr>
      <w:r w:rsidRPr="00315C1C">
        <w:rPr>
          <w:b/>
        </w:rPr>
        <w:t>Institutional structures</w:t>
      </w:r>
    </w:p>
    <w:p w:rsidR="00D52F3B" w:rsidRPr="00EA7826" w:rsidRDefault="00D52F3B" w:rsidP="00D52F3B">
      <w:pPr>
        <w:pStyle w:val="Para1"/>
        <w:numPr>
          <w:ilvl w:val="0"/>
          <w:numId w:val="2"/>
        </w:numPr>
        <w:tabs>
          <w:tab w:val="clear" w:pos="360"/>
        </w:tabs>
      </w:pPr>
      <w:r w:rsidRPr="00EA7826">
        <w:rPr>
          <w:kern w:val="22"/>
        </w:rPr>
        <w:t xml:space="preserve">The Nagoya Protocol requires Parties to establish institutional structures to administer their ABS systems and </w:t>
      </w:r>
      <w:r>
        <w:rPr>
          <w:kern w:val="22"/>
        </w:rPr>
        <w:t xml:space="preserve">support </w:t>
      </w:r>
      <w:r w:rsidRPr="00EA7826">
        <w:rPr>
          <w:kern w:val="22"/>
        </w:rPr>
        <w:t>the implementation of the Protocol at the national level. These include:</w:t>
      </w:r>
    </w:p>
    <w:p w:rsidR="00D52F3B" w:rsidRPr="00EA7826" w:rsidRDefault="00D52F3B" w:rsidP="00D52F3B">
      <w:pPr>
        <w:pStyle w:val="Para1"/>
        <w:numPr>
          <w:ilvl w:val="1"/>
          <w:numId w:val="2"/>
        </w:numPr>
      </w:pPr>
      <w:r w:rsidRPr="00EA7826">
        <w:rPr>
          <w:kern w:val="22"/>
        </w:rPr>
        <w:t>A national focal point, responsible for liaising with the Secretariat and making information available on procedures for accessing genetic resources and establishing mutually agreed terms, including information on competent national authorities, relevant indigenous and local communities and relevant stakeholders</w:t>
      </w:r>
      <w:r>
        <w:rPr>
          <w:kern w:val="22"/>
        </w:rPr>
        <w:t xml:space="preserve"> (Article 13(1))</w:t>
      </w:r>
      <w:r w:rsidRPr="00EA7826">
        <w:rPr>
          <w:kern w:val="22"/>
        </w:rPr>
        <w:t>;</w:t>
      </w:r>
    </w:p>
    <w:p w:rsidR="00D52F3B" w:rsidRPr="00EA7826" w:rsidRDefault="00D52F3B" w:rsidP="00D52F3B">
      <w:pPr>
        <w:pStyle w:val="Para1"/>
        <w:numPr>
          <w:ilvl w:val="1"/>
          <w:numId w:val="2"/>
        </w:numPr>
      </w:pPr>
      <w:r w:rsidRPr="00EA7826">
        <w:rPr>
          <w:kern w:val="22"/>
        </w:rPr>
        <w:t xml:space="preserve">At least one competent national authority, responsible for granting access or, as applicable, issuing written evidence that access requirements have been met and be responsible for advising on applicable procedures and requirements for obtaining prior informed consent and </w:t>
      </w:r>
      <w:proofErr w:type="gramStart"/>
      <w:r w:rsidRPr="00EA7826">
        <w:rPr>
          <w:kern w:val="22"/>
        </w:rPr>
        <w:t>entering into</w:t>
      </w:r>
      <w:proofErr w:type="gramEnd"/>
      <w:r w:rsidRPr="00EA7826">
        <w:rPr>
          <w:kern w:val="22"/>
        </w:rPr>
        <w:t xml:space="preserve"> mutually agreed terms</w:t>
      </w:r>
      <w:r>
        <w:rPr>
          <w:kern w:val="22"/>
        </w:rPr>
        <w:t xml:space="preserve"> (Article 13(2))</w:t>
      </w:r>
      <w:r w:rsidRPr="00EA7826">
        <w:rPr>
          <w:kern w:val="22"/>
        </w:rPr>
        <w:t>;</w:t>
      </w:r>
    </w:p>
    <w:p w:rsidR="00D52F3B" w:rsidRPr="00EC677B" w:rsidRDefault="00D52F3B" w:rsidP="00D52F3B">
      <w:pPr>
        <w:pStyle w:val="Para1"/>
        <w:numPr>
          <w:ilvl w:val="1"/>
          <w:numId w:val="2"/>
        </w:numPr>
      </w:pPr>
      <w:r w:rsidRPr="00EA7826">
        <w:rPr>
          <w:kern w:val="22"/>
        </w:rPr>
        <w:t>At least one checkpoint, responsible for monitoring by collecting or receiving</w:t>
      </w:r>
      <w:r w:rsidRPr="00EA7826">
        <w:t xml:space="preserve"> </w:t>
      </w:r>
      <w:r w:rsidRPr="00EA7826">
        <w:rPr>
          <w:kern w:val="22"/>
        </w:rPr>
        <w:t xml:space="preserve">relevant information related to prior informed consent, to the source of the genetic resource, to the establishment of </w:t>
      </w:r>
      <w:r w:rsidRPr="00EC677B">
        <w:rPr>
          <w:kern w:val="22"/>
        </w:rPr>
        <w:t>mutually agreed terms and/or to the utilization of genetic resources, as appropriate</w:t>
      </w:r>
      <w:r>
        <w:rPr>
          <w:kern w:val="22"/>
        </w:rPr>
        <w:t xml:space="preserve"> (Article 17(1)(a))</w:t>
      </w:r>
      <w:r w:rsidRPr="00EC677B">
        <w:rPr>
          <w:kern w:val="22"/>
        </w:rPr>
        <w:t>.</w:t>
      </w:r>
    </w:p>
    <w:p w:rsidR="00D52F3B" w:rsidRPr="00EC677B" w:rsidRDefault="00D52F3B" w:rsidP="00D52F3B">
      <w:pPr>
        <w:pStyle w:val="Para1"/>
        <w:numPr>
          <w:ilvl w:val="0"/>
          <w:numId w:val="2"/>
        </w:numPr>
        <w:tabs>
          <w:tab w:val="clear" w:pos="360"/>
        </w:tabs>
      </w:pPr>
      <w:r w:rsidRPr="00EC677B">
        <w:t xml:space="preserve">As of 22 </w:t>
      </w:r>
      <w:r>
        <w:t xml:space="preserve">February </w:t>
      </w:r>
      <w:r w:rsidRPr="00EC677B">
        <w:t>2018, information from the ABS Clearing-House and interim national reports indicate that:</w:t>
      </w:r>
    </w:p>
    <w:p w:rsidR="00D52F3B" w:rsidRPr="00EC677B" w:rsidRDefault="00D52F3B" w:rsidP="00D52F3B">
      <w:pPr>
        <w:pStyle w:val="Para1"/>
        <w:numPr>
          <w:ilvl w:val="1"/>
          <w:numId w:val="2"/>
        </w:numPr>
      </w:pPr>
      <w:r>
        <w:t xml:space="preserve">170 </w:t>
      </w:r>
      <w:r w:rsidRPr="00EC677B">
        <w:t>have designated a national focal point on ABS</w:t>
      </w:r>
      <w:r>
        <w:t xml:space="preserve">:  This is </w:t>
      </w:r>
      <w:r w:rsidRPr="00EC677B">
        <w:t>103 Parties (98% of Parties) and 67 non-Parties</w:t>
      </w:r>
      <w:r>
        <w:t>;</w:t>
      </w:r>
      <w:r w:rsidRPr="00EC677B">
        <w:t xml:space="preserve"> </w:t>
      </w:r>
    </w:p>
    <w:p w:rsidR="00D52F3B" w:rsidRPr="00EC677B" w:rsidRDefault="00D52F3B" w:rsidP="00D52F3B">
      <w:pPr>
        <w:pStyle w:val="Para1"/>
        <w:numPr>
          <w:ilvl w:val="1"/>
          <w:numId w:val="2"/>
        </w:numPr>
        <w:rPr>
          <w:rFonts w:eastAsia="Arial Unicode MS" w:cs="Arial Unicode MS"/>
          <w:kern w:val="22"/>
          <w:szCs w:val="22"/>
          <w:u w:color="000000"/>
          <w:bdr w:val="nil"/>
        </w:rPr>
      </w:pPr>
      <w:r>
        <w:rPr>
          <w:rFonts w:eastAsia="Arial Unicode MS" w:cs="Arial Unicode MS"/>
          <w:kern w:val="22"/>
          <w:szCs w:val="22"/>
          <w:u w:color="000000"/>
          <w:bdr w:val="nil"/>
        </w:rPr>
        <w:t>65</w:t>
      </w:r>
      <w:r w:rsidRPr="00EC677B">
        <w:rPr>
          <w:rFonts w:eastAsia="Arial Unicode MS" w:cs="Arial Unicode MS"/>
          <w:kern w:val="22"/>
          <w:szCs w:val="22"/>
          <w:u w:color="000000"/>
          <w:bdr w:val="nil"/>
        </w:rPr>
        <w:t xml:space="preserve"> countries </w:t>
      </w:r>
      <w:r>
        <w:rPr>
          <w:rFonts w:eastAsia="Arial Unicode MS" w:cs="Arial Unicode MS"/>
          <w:kern w:val="22"/>
          <w:szCs w:val="22"/>
          <w:u w:color="000000"/>
          <w:bdr w:val="nil"/>
        </w:rPr>
        <w:t>(</w:t>
      </w:r>
      <w:r>
        <w:t>57 Parties and 8</w:t>
      </w:r>
      <w:r w:rsidRPr="00EC677B">
        <w:t xml:space="preserve"> non-Parties</w:t>
      </w:r>
      <w:r>
        <w:t>)</w:t>
      </w:r>
      <w:r w:rsidRPr="00EC677B">
        <w:t xml:space="preserve"> </w:t>
      </w:r>
      <w:r w:rsidRPr="00EC677B">
        <w:rPr>
          <w:rFonts w:eastAsia="Arial Unicode MS" w:cs="Arial Unicode MS"/>
          <w:kern w:val="22"/>
          <w:szCs w:val="22"/>
          <w:u w:color="000000"/>
          <w:bdr w:val="nil"/>
        </w:rPr>
        <w:t>have established one or more competent national authorities</w:t>
      </w:r>
      <w:r>
        <w:rPr>
          <w:rFonts w:eastAsia="Arial Unicode MS" w:cs="Arial Unicode MS"/>
          <w:kern w:val="22"/>
          <w:szCs w:val="22"/>
          <w:u w:color="000000"/>
          <w:bdr w:val="nil"/>
        </w:rPr>
        <w:t>;</w:t>
      </w:r>
      <w:r w:rsidRPr="00EC677B">
        <w:rPr>
          <w:rFonts w:eastAsia="Arial Unicode MS" w:cs="Arial Unicode MS"/>
          <w:kern w:val="22"/>
          <w:szCs w:val="22"/>
          <w:u w:color="000000"/>
          <w:bdr w:val="nil"/>
        </w:rPr>
        <w:t xml:space="preserve"> </w:t>
      </w:r>
      <w:r>
        <w:rPr>
          <w:rFonts w:eastAsia="Arial Unicode MS" w:cs="Arial Unicode MS"/>
          <w:kern w:val="22"/>
          <w:szCs w:val="22"/>
          <w:u w:color="000000"/>
          <w:bdr w:val="nil"/>
        </w:rPr>
        <w:t>and</w:t>
      </w:r>
    </w:p>
    <w:p w:rsidR="00D52F3B" w:rsidRDefault="00D52F3B" w:rsidP="00D52F3B">
      <w:pPr>
        <w:pStyle w:val="Para1"/>
        <w:numPr>
          <w:ilvl w:val="1"/>
          <w:numId w:val="2"/>
        </w:numPr>
        <w:rPr>
          <w:rFonts w:eastAsia="Arial Unicode MS" w:cs="Arial Unicode MS"/>
          <w:kern w:val="22"/>
          <w:szCs w:val="22"/>
          <w:u w:color="000000"/>
          <w:bdr w:val="nil"/>
        </w:rPr>
      </w:pPr>
      <w:r>
        <w:rPr>
          <w:rFonts w:eastAsia="Arial Unicode MS" w:cs="Arial Unicode MS"/>
          <w:kern w:val="22"/>
          <w:szCs w:val="22"/>
          <w:u w:color="000000"/>
          <w:bdr w:val="nil"/>
        </w:rPr>
        <w:t>30</w:t>
      </w:r>
      <w:r w:rsidRPr="00EC677B">
        <w:rPr>
          <w:rFonts w:eastAsia="Arial Unicode MS" w:cs="Arial Unicode MS"/>
          <w:kern w:val="22"/>
          <w:szCs w:val="22"/>
          <w:u w:color="000000"/>
          <w:bdr w:val="nil"/>
        </w:rPr>
        <w:t xml:space="preserve"> </w:t>
      </w:r>
      <w:r>
        <w:rPr>
          <w:rFonts w:eastAsia="Arial Unicode MS" w:cs="Arial Unicode MS"/>
          <w:kern w:val="22"/>
          <w:szCs w:val="22"/>
          <w:u w:color="000000"/>
          <w:bdr w:val="nil"/>
        </w:rPr>
        <w:t>countries (29</w:t>
      </w:r>
      <w:r w:rsidRPr="00EC677B">
        <w:rPr>
          <w:rFonts w:eastAsia="Arial Unicode MS" w:cs="Arial Unicode MS"/>
          <w:kern w:val="22"/>
          <w:szCs w:val="22"/>
          <w:u w:color="000000"/>
          <w:bdr w:val="nil"/>
        </w:rPr>
        <w:t xml:space="preserve"> Parties and 1 non-Party) have designated at least one checkpoint</w:t>
      </w:r>
      <w:r>
        <w:rPr>
          <w:rFonts w:eastAsia="Arial Unicode MS" w:cs="Arial Unicode MS"/>
          <w:kern w:val="22"/>
          <w:szCs w:val="22"/>
          <w:u w:color="000000"/>
          <w:bdr w:val="nil"/>
        </w:rPr>
        <w:t>.</w:t>
      </w:r>
      <w:r w:rsidRPr="00EC677B">
        <w:rPr>
          <w:rFonts w:eastAsia="Arial Unicode MS" w:cs="Arial Unicode MS"/>
          <w:kern w:val="22"/>
          <w:szCs w:val="22"/>
          <w:u w:color="000000"/>
          <w:bdr w:val="nil"/>
        </w:rPr>
        <w:t xml:space="preserve"> </w:t>
      </w:r>
    </w:p>
    <w:p w:rsidR="00D52F3B" w:rsidRPr="00EC677B" w:rsidRDefault="00D52F3B" w:rsidP="00D52F3B">
      <w:pPr>
        <w:pStyle w:val="Para1"/>
        <w:numPr>
          <w:ilvl w:val="0"/>
          <w:numId w:val="2"/>
        </w:numPr>
        <w:tabs>
          <w:tab w:val="clear" w:pos="360"/>
        </w:tabs>
        <w:rPr>
          <w:rFonts w:eastAsia="Arial Unicode MS" w:cs="Arial Unicode MS"/>
          <w:kern w:val="22"/>
          <w:szCs w:val="22"/>
          <w:u w:color="000000"/>
          <w:bdr w:val="nil"/>
        </w:rPr>
      </w:pPr>
      <w:r>
        <w:rPr>
          <w:rFonts w:eastAsia="Arial Unicode MS" w:cs="Arial Unicode MS"/>
          <w:kern w:val="22"/>
          <w:szCs w:val="22"/>
          <w:u w:color="000000"/>
          <w:bdr w:val="nil"/>
        </w:rPr>
        <w:t>Some of this information has not yet been made available to the ABS Clearing-House and the Secretariat is engaging with countries concerned to encourage the submission of information.</w:t>
      </w:r>
    </w:p>
    <w:p w:rsidR="00D52F3B" w:rsidRPr="008111CC" w:rsidRDefault="00D52F3B" w:rsidP="00D52F3B">
      <w:pPr>
        <w:pStyle w:val="ListParagraph"/>
        <w:numPr>
          <w:ilvl w:val="0"/>
          <w:numId w:val="22"/>
        </w:numPr>
        <w:rPr>
          <w:b/>
          <w:snapToGrid w:val="0"/>
          <w:szCs w:val="18"/>
        </w:rPr>
      </w:pPr>
      <w:r w:rsidRPr="008111CC">
        <w:rPr>
          <w:b/>
          <w:snapToGrid w:val="0"/>
          <w:szCs w:val="18"/>
        </w:rPr>
        <w:t>Legislative, administrative or policy measures on ABS (ABS measures)</w:t>
      </w:r>
    </w:p>
    <w:p w:rsidR="00D52F3B" w:rsidRDefault="00D52F3B" w:rsidP="00F15663">
      <w:pPr>
        <w:pStyle w:val="Para1"/>
        <w:numPr>
          <w:ilvl w:val="0"/>
          <w:numId w:val="2"/>
        </w:numPr>
        <w:tabs>
          <w:tab w:val="clear" w:pos="360"/>
          <w:tab w:val="num" w:pos="709"/>
        </w:tabs>
      </w:pPr>
      <w:r w:rsidRPr="008078CE">
        <w:lastRenderedPageBreak/>
        <w:t xml:space="preserve">The Nagoya Protocol sets out core obligations for its contracting Parties to take measures in relation to access to </w:t>
      </w:r>
      <w:r w:rsidRPr="00F30B24">
        <w:rPr>
          <w:rFonts w:eastAsia="Arial Unicode MS" w:cs="Arial Unicode MS"/>
          <w:kern w:val="22"/>
          <w:szCs w:val="22"/>
          <w:u w:color="000000"/>
          <w:bdr w:val="nil"/>
        </w:rPr>
        <w:t>genetic</w:t>
      </w:r>
      <w:r w:rsidRPr="008078CE">
        <w:t xml:space="preserve"> resources,</w:t>
      </w:r>
      <w:r>
        <w:t xml:space="preserve"> benefit-sharing and compliance. </w:t>
      </w:r>
    </w:p>
    <w:p w:rsidR="00D52F3B" w:rsidRDefault="00D52F3B" w:rsidP="00F15663">
      <w:pPr>
        <w:pStyle w:val="Para1"/>
        <w:numPr>
          <w:ilvl w:val="0"/>
          <w:numId w:val="2"/>
        </w:numPr>
        <w:tabs>
          <w:tab w:val="clear" w:pos="360"/>
          <w:tab w:val="num" w:pos="709"/>
        </w:tabs>
      </w:pPr>
      <w:r>
        <w:t>According to information available, as of 22 February 2018, 75 Parties and 30 non-Parties had published measures in the ABS Clearing-House or reported having established some ABS measures. Out of these 75 Parties, 44 indicated that they are currently revising existing or developing new ABS measures to implement the Protocol and 10 Parties are planning to develop additional ABS measures.</w:t>
      </w:r>
    </w:p>
    <w:p w:rsidR="00D52F3B" w:rsidRDefault="00D52F3B" w:rsidP="00F15663">
      <w:pPr>
        <w:pStyle w:val="Para1"/>
        <w:numPr>
          <w:ilvl w:val="0"/>
          <w:numId w:val="2"/>
        </w:numPr>
        <w:tabs>
          <w:tab w:val="clear" w:pos="360"/>
          <w:tab w:val="num" w:pos="709"/>
        </w:tabs>
      </w:pPr>
      <w:r>
        <w:t>A total of 25 Parties reported not having ABS measures in place and did not have measures published in the ABS Clearing-House. Based on the available information, two of these Parties are currently developing measures and 13 Parties are planning to develop such measures.</w:t>
      </w:r>
    </w:p>
    <w:p w:rsidR="00D52F3B" w:rsidRDefault="00D52F3B" w:rsidP="00F15663">
      <w:pPr>
        <w:pStyle w:val="Para1"/>
        <w:numPr>
          <w:ilvl w:val="0"/>
          <w:numId w:val="2"/>
        </w:numPr>
        <w:tabs>
          <w:tab w:val="clear" w:pos="360"/>
          <w:tab w:val="num" w:pos="709"/>
        </w:tabs>
      </w:pPr>
      <w:r>
        <w:t xml:space="preserve">Interim national reports provide additional information on the implementation of ABS measures. </w:t>
      </w:r>
      <w:proofErr w:type="gramStart"/>
      <w:r>
        <w:t>In particular, it</w:t>
      </w:r>
      <w:proofErr w:type="gramEnd"/>
      <w:r>
        <w:t xml:space="preserve"> can be noted that:</w:t>
      </w:r>
    </w:p>
    <w:p w:rsidR="00D52F3B" w:rsidRPr="00227155" w:rsidRDefault="00D52F3B" w:rsidP="00D52F3B">
      <w:pPr>
        <w:pStyle w:val="Para1"/>
        <w:numPr>
          <w:ilvl w:val="1"/>
          <w:numId w:val="2"/>
        </w:numPr>
      </w:pPr>
      <w:r w:rsidRPr="00A64A89">
        <w:t>Under the Nagoya Protocol, access to genetic resources for their utilization</w:t>
      </w:r>
      <w:r w:rsidRPr="00A64A89">
        <w:rPr>
          <w:rStyle w:val="FootnoteReference"/>
          <w:rFonts w:eastAsiaTheme="majorEastAsia"/>
        </w:rPr>
        <w:footnoteReference w:id="8"/>
      </w:r>
      <w:r w:rsidRPr="00A64A89">
        <w:t xml:space="preserve"> is subject to the prior informed consent of the Party providing such resources, unless otherwise determined by that Party. </w:t>
      </w:r>
      <w:r w:rsidRPr="00227155">
        <w:t xml:space="preserve">According to </w:t>
      </w:r>
      <w:r>
        <w:t xml:space="preserve">the </w:t>
      </w:r>
      <w:r w:rsidRPr="00227155">
        <w:t>interim national reports, access to genetic resources is subject to prior informed consent in 3</w:t>
      </w:r>
      <w:r>
        <w:t xml:space="preserve">7 Parties and two non-Parties (out of </w:t>
      </w:r>
      <w:r w:rsidRPr="00227155">
        <w:t>75 countries</w:t>
      </w:r>
      <w:r>
        <w:t xml:space="preserve"> that submitted their report</w:t>
      </w:r>
      <w:r w:rsidRPr="00227155">
        <w:t>)</w:t>
      </w:r>
      <w:r>
        <w:rPr>
          <w:rStyle w:val="FootnoteReference"/>
          <w:rFonts w:eastAsiaTheme="majorEastAsia"/>
        </w:rPr>
        <w:footnoteReference w:id="9"/>
      </w:r>
      <w:r>
        <w:t xml:space="preserve">. Additional countries reported that they are planning to establish procedures for prior informed consent as part of their national ABS framework. Other countries have taken a formal decision not to require prior informed consent for </w:t>
      </w:r>
      <w:r w:rsidRPr="00227155">
        <w:t>access</w:t>
      </w:r>
      <w:r>
        <w:t>.</w:t>
      </w:r>
    </w:p>
    <w:p w:rsidR="00D52F3B" w:rsidRPr="009433CC" w:rsidRDefault="00D52F3B" w:rsidP="00D52F3B">
      <w:pPr>
        <w:pStyle w:val="Para1"/>
        <w:numPr>
          <w:ilvl w:val="1"/>
          <w:numId w:val="2"/>
        </w:numPr>
      </w:pPr>
      <w:r w:rsidRPr="00A64A89">
        <w:t>The Nagoya Protocol also provides that benefits arising from the utilization of genetic resources as well as subsequent applications and commercialization shall be shared in a fair and equitable way with the Party providing such resources. In their interim national reports</w:t>
      </w:r>
      <w:r w:rsidRPr="009433CC">
        <w:t xml:space="preserve">, </w:t>
      </w:r>
      <w:r>
        <w:t xml:space="preserve">46 Parties and four non-Parties out of a total of </w:t>
      </w:r>
      <w:r w:rsidRPr="009433CC">
        <w:t>75</w:t>
      </w:r>
      <w:r>
        <w:t xml:space="preserve"> countries reported having taken legislative, administrative </w:t>
      </w:r>
      <w:r w:rsidRPr="00F55F1D">
        <w:t xml:space="preserve">or policy measures to </w:t>
      </w:r>
      <w:r>
        <w:t xml:space="preserve">ensure </w:t>
      </w:r>
      <w:r w:rsidRPr="00F55F1D">
        <w:t xml:space="preserve">that benefits arising from the utilization of genetic resources are shared with the </w:t>
      </w:r>
      <w:r>
        <w:t xml:space="preserve">country </w:t>
      </w:r>
      <w:r w:rsidRPr="00F55F1D">
        <w:t>Party providing such resources</w:t>
      </w:r>
      <w:r>
        <w:rPr>
          <w:rStyle w:val="FootnoteReference"/>
          <w:rFonts w:eastAsiaTheme="majorEastAsia"/>
        </w:rPr>
        <w:footnoteReference w:id="10"/>
      </w:r>
      <w:r>
        <w:t>. Several countries expressed that benefit-sharing provisions would be included in an ABS framework currently under development.</w:t>
      </w:r>
    </w:p>
    <w:p w:rsidR="00D52F3B" w:rsidRPr="003226F5" w:rsidRDefault="00D52F3B" w:rsidP="00D52F3B">
      <w:pPr>
        <w:pStyle w:val="Para1"/>
        <w:numPr>
          <w:ilvl w:val="1"/>
          <w:numId w:val="2"/>
        </w:numPr>
        <w:rPr>
          <w:b/>
          <w:lang w:val="en-US"/>
        </w:rPr>
      </w:pPr>
      <w:r w:rsidRPr="00A64A89">
        <w:t xml:space="preserve">The Nagoya Protocol also features compliance provisions, </w:t>
      </w:r>
      <w:proofErr w:type="gramStart"/>
      <w:r w:rsidRPr="00A64A89">
        <w:t>in order to</w:t>
      </w:r>
      <w:proofErr w:type="gramEnd"/>
      <w:r w:rsidRPr="00A64A89">
        <w:t xml:space="preserve"> ensure that ABS requirements </w:t>
      </w:r>
      <w:r>
        <w:t xml:space="preserve">are respected </w:t>
      </w:r>
      <w:r w:rsidRPr="00A64A89">
        <w:t>when genetic resources leave the Party providing such resources. With regards to compliance with domestic legislation or regulatory requirements on ABS</w:t>
      </w:r>
      <w:r w:rsidRPr="009433CC">
        <w:t xml:space="preserve">, </w:t>
      </w:r>
      <w:r>
        <w:t>36 Parties and four non-Parties</w:t>
      </w:r>
      <w:r w:rsidRPr="009433CC">
        <w:t xml:space="preserve"> out of 75</w:t>
      </w:r>
      <w:r>
        <w:t xml:space="preserve"> that submitted their report,</w:t>
      </w:r>
      <w:r w:rsidRPr="009433CC">
        <w:t xml:space="preserve"> indicated having taken measures to ensure that users of genetic resources in th</w:t>
      </w:r>
      <w:r>
        <w:t>eir jurisdiction comply with ABS requirements of other Parties</w:t>
      </w:r>
      <w:r>
        <w:rPr>
          <w:rStyle w:val="FootnoteReference"/>
          <w:rFonts w:eastAsiaTheme="majorEastAsia"/>
        </w:rPr>
        <w:footnoteReference w:id="11"/>
      </w:r>
      <w:r>
        <w:t xml:space="preserve">. Measures reported which address non-compliance include: fines, sanctions, notices, penalties and seizures, among others. Many countries expressed that compliance with ABS requirements of other Parties would be </w:t>
      </w:r>
      <w:proofErr w:type="gramStart"/>
      <w:r>
        <w:t>taken into account</w:t>
      </w:r>
      <w:proofErr w:type="gramEnd"/>
      <w:r>
        <w:t xml:space="preserve"> in the ABS framework currently under development</w:t>
      </w:r>
      <w:r w:rsidRPr="009433CC">
        <w:rPr>
          <w:lang w:val="en-US"/>
        </w:rPr>
        <w:t xml:space="preserve">. </w:t>
      </w:r>
    </w:p>
    <w:p w:rsidR="00D52F3B" w:rsidRPr="003226F5" w:rsidRDefault="00D52F3B" w:rsidP="00D52F3B">
      <w:pPr>
        <w:pStyle w:val="Para1"/>
        <w:numPr>
          <w:ilvl w:val="0"/>
          <w:numId w:val="2"/>
        </w:numPr>
        <w:rPr>
          <w:lang w:val="en-US"/>
        </w:rPr>
      </w:pPr>
      <w:r>
        <w:rPr>
          <w:lang w:val="en-US"/>
        </w:rPr>
        <w:tab/>
        <w:t>Some of the ABS measures</w:t>
      </w:r>
      <w:r w:rsidRPr="003226F5">
        <w:rPr>
          <w:lang w:val="en-US"/>
        </w:rPr>
        <w:t xml:space="preserve"> </w:t>
      </w:r>
      <w:r>
        <w:rPr>
          <w:lang w:val="en-US"/>
        </w:rPr>
        <w:t xml:space="preserve">adopted by some countries </w:t>
      </w:r>
      <w:r w:rsidRPr="003226F5">
        <w:rPr>
          <w:lang w:val="en-US"/>
        </w:rPr>
        <w:t xml:space="preserve">have not yet been made available to the ABS Clearing-House and the Secretariat is engaging with </w:t>
      </w:r>
      <w:r>
        <w:rPr>
          <w:lang w:val="en-US"/>
        </w:rPr>
        <w:t xml:space="preserve">the concerned </w:t>
      </w:r>
      <w:r w:rsidRPr="003226F5">
        <w:rPr>
          <w:lang w:val="en-US"/>
        </w:rPr>
        <w:t xml:space="preserve">countries to encourage the submission of </w:t>
      </w:r>
      <w:r>
        <w:rPr>
          <w:lang w:val="en-US"/>
        </w:rPr>
        <w:t xml:space="preserve">this </w:t>
      </w:r>
      <w:r w:rsidRPr="003226F5">
        <w:rPr>
          <w:lang w:val="en-US"/>
        </w:rPr>
        <w:t>information</w:t>
      </w:r>
      <w:r>
        <w:rPr>
          <w:lang w:val="en-US"/>
        </w:rPr>
        <w:t>.</w:t>
      </w:r>
    </w:p>
    <w:p w:rsidR="00D52F3B" w:rsidRPr="009433CC" w:rsidRDefault="00D52F3B" w:rsidP="00D52F3B">
      <w:pPr>
        <w:pStyle w:val="Para1"/>
        <w:ind w:left="720"/>
        <w:rPr>
          <w:b/>
          <w:lang w:val="en-US"/>
        </w:rPr>
      </w:pPr>
    </w:p>
    <w:p w:rsidR="00D52F3B" w:rsidRPr="003226F5" w:rsidRDefault="00D52F3B" w:rsidP="00D52F3B">
      <w:pPr>
        <w:pStyle w:val="Para1"/>
        <w:numPr>
          <w:ilvl w:val="0"/>
          <w:numId w:val="22"/>
        </w:numPr>
        <w:rPr>
          <w:b/>
        </w:rPr>
      </w:pPr>
      <w:r w:rsidRPr="003226F5">
        <w:rPr>
          <w:b/>
        </w:rPr>
        <w:t>SPECIAL CONSIDERATIONS (ARTICLE 8 (</w:t>
      </w:r>
      <w:r>
        <w:rPr>
          <w:b/>
        </w:rPr>
        <w:t>b</w:t>
      </w:r>
      <w:r w:rsidRPr="003226F5">
        <w:rPr>
          <w:b/>
        </w:rPr>
        <w:t>) OF THE NAGOYA PROTOCOL)</w:t>
      </w:r>
    </w:p>
    <w:p w:rsidR="00D52F3B" w:rsidRDefault="00D52F3B" w:rsidP="00D52F3B">
      <w:pPr>
        <w:pStyle w:val="Para1"/>
        <w:numPr>
          <w:ilvl w:val="0"/>
          <w:numId w:val="2"/>
        </w:numPr>
        <w:tabs>
          <w:tab w:val="clear" w:pos="360"/>
        </w:tabs>
      </w:pPr>
      <w:r w:rsidRPr="00A64A89">
        <w:t xml:space="preserve">With regards to </w:t>
      </w:r>
      <w:r>
        <w:t>Article 8,</w:t>
      </w:r>
      <w:r w:rsidRPr="00A64A89">
        <w:t xml:space="preserve"> paragraph (b)</w:t>
      </w:r>
      <w:r>
        <w:t>,</w:t>
      </w:r>
      <w:r w:rsidRPr="00A64A89">
        <w:t xml:space="preserve"> which addresses health emergencies, </w:t>
      </w:r>
      <w:r w:rsidRPr="0051513C">
        <w:t>the format of the interim national report</w:t>
      </w:r>
      <w:r>
        <w:t xml:space="preserve"> (question 35) </w:t>
      </w:r>
      <w:r w:rsidRPr="0051513C">
        <w:t>included two mandatory sub-questions</w:t>
      </w:r>
      <w:r>
        <w:t>.  The following provides an overview of the responses to these questions.</w:t>
      </w:r>
    </w:p>
    <w:p w:rsidR="00D52F3B" w:rsidRPr="008111CC" w:rsidRDefault="00D52F3B" w:rsidP="00D52F3B">
      <w:pPr>
        <w:pStyle w:val="ListParagraph"/>
        <w:numPr>
          <w:ilvl w:val="0"/>
          <w:numId w:val="20"/>
        </w:numPr>
        <w:pBdr>
          <w:top w:val="nil"/>
          <w:left w:val="nil"/>
          <w:bottom w:val="nil"/>
          <w:right w:val="nil"/>
          <w:between w:val="nil"/>
          <w:bar w:val="nil"/>
        </w:pBdr>
        <w:spacing w:before="120" w:after="120" w:line="228" w:lineRule="auto"/>
        <w:rPr>
          <w:rFonts w:eastAsia="Calibri"/>
          <w:b/>
          <w:snapToGrid w:val="0"/>
          <w:kern w:val="22"/>
          <w:szCs w:val="22"/>
          <w:u w:color="000000"/>
        </w:rPr>
      </w:pPr>
      <w:r w:rsidRPr="008111CC">
        <w:rPr>
          <w:rFonts w:eastAsia="Calibri"/>
          <w:b/>
          <w:snapToGrid w:val="0"/>
          <w:kern w:val="22"/>
          <w:szCs w:val="22"/>
          <w:u w:color="000000"/>
        </w:rPr>
        <w:lastRenderedPageBreak/>
        <w:t xml:space="preserve">In the development and implementation of ABS legislation or regulatory requirements has your country </w:t>
      </w:r>
      <w:proofErr w:type="gramStart"/>
      <w:r w:rsidRPr="008111CC">
        <w:rPr>
          <w:rFonts w:eastAsia="Calibri"/>
          <w:b/>
          <w:snapToGrid w:val="0"/>
          <w:kern w:val="22"/>
          <w:szCs w:val="22"/>
          <w:u w:color="000000"/>
        </w:rPr>
        <w:t>paid  due</w:t>
      </w:r>
      <w:proofErr w:type="gramEnd"/>
      <w:r w:rsidRPr="008111CC">
        <w:rPr>
          <w:rFonts w:eastAsia="Calibri"/>
          <w:b/>
          <w:snapToGrid w:val="0"/>
          <w:kern w:val="22"/>
          <w:szCs w:val="22"/>
          <w:u w:color="000000"/>
        </w:rPr>
        <w:t xml:space="preserve"> regard to cases of present or imminent emergencies that threaten or damage human, animal or plant health as provided in Article 8(b) </w:t>
      </w:r>
    </w:p>
    <w:p w:rsidR="00D52F3B" w:rsidRPr="00315C1C" w:rsidRDefault="00D52F3B" w:rsidP="00D52F3B">
      <w:pPr>
        <w:pStyle w:val="Para1"/>
        <w:numPr>
          <w:ilvl w:val="0"/>
          <w:numId w:val="2"/>
        </w:numPr>
        <w:tabs>
          <w:tab w:val="clear" w:pos="360"/>
        </w:tabs>
        <w:rPr>
          <w:rFonts w:eastAsia="Calibri"/>
          <w:kern w:val="22"/>
          <w:szCs w:val="22"/>
          <w:u w:color="000000"/>
        </w:rPr>
      </w:pPr>
      <w:r>
        <w:rPr>
          <w:rFonts w:eastAsia="Calibri"/>
          <w:kern w:val="22"/>
          <w:szCs w:val="22"/>
          <w:u w:color="000000"/>
        </w:rPr>
        <w:t xml:space="preserve">Out of the 75 countries that submitted a report, 39 </w:t>
      </w:r>
      <w:r w:rsidRPr="00315C1C">
        <w:rPr>
          <w:rFonts w:eastAsia="Calibri"/>
          <w:kern w:val="22"/>
          <w:szCs w:val="22"/>
          <w:u w:color="000000"/>
        </w:rPr>
        <w:t xml:space="preserve">Parties and </w:t>
      </w:r>
      <w:r>
        <w:rPr>
          <w:rFonts w:eastAsia="Calibri"/>
          <w:kern w:val="22"/>
          <w:szCs w:val="22"/>
          <w:u w:color="000000"/>
        </w:rPr>
        <w:t xml:space="preserve">3 </w:t>
      </w:r>
      <w:r w:rsidRPr="00315C1C">
        <w:rPr>
          <w:rFonts w:eastAsia="Calibri"/>
          <w:kern w:val="22"/>
          <w:szCs w:val="22"/>
          <w:u w:color="000000"/>
        </w:rPr>
        <w:t xml:space="preserve">non-Parties reported having </w:t>
      </w:r>
      <w:r w:rsidRPr="00315C1C">
        <w:rPr>
          <w:rFonts w:eastAsia="Calibri" w:cs="Arial Unicode MS"/>
          <w:noProof/>
          <w:kern w:val="22"/>
          <w:szCs w:val="22"/>
          <w:u w:color="000000"/>
        </w:rPr>
        <w:t xml:space="preserve">paid due regard to cases of present or </w:t>
      </w:r>
      <w:r w:rsidRPr="00315C1C">
        <w:t>imminent</w:t>
      </w:r>
      <w:r w:rsidRPr="00315C1C">
        <w:rPr>
          <w:rFonts w:eastAsia="Calibri" w:cs="Arial Unicode MS"/>
          <w:noProof/>
          <w:kern w:val="22"/>
          <w:szCs w:val="22"/>
          <w:u w:color="000000"/>
        </w:rPr>
        <w:t xml:space="preserve"> emergencies that threaten or damage human, animal or plant health, while </w:t>
      </w:r>
      <w:r>
        <w:rPr>
          <w:rFonts w:eastAsia="Calibri" w:cs="Arial Unicode MS"/>
          <w:noProof/>
          <w:kern w:val="22"/>
          <w:szCs w:val="22"/>
          <w:u w:color="000000"/>
        </w:rPr>
        <w:t xml:space="preserve">30 </w:t>
      </w:r>
      <w:r w:rsidRPr="00315C1C">
        <w:rPr>
          <w:rFonts w:eastAsia="Calibri" w:cs="Arial Unicode MS"/>
          <w:noProof/>
          <w:kern w:val="22"/>
          <w:szCs w:val="22"/>
          <w:u w:color="000000"/>
        </w:rPr>
        <w:t xml:space="preserve">Parties and </w:t>
      </w:r>
      <w:r>
        <w:rPr>
          <w:rFonts w:eastAsia="Calibri" w:cs="Arial Unicode MS"/>
          <w:noProof/>
          <w:kern w:val="22"/>
          <w:szCs w:val="22"/>
          <w:u w:color="000000"/>
        </w:rPr>
        <w:t xml:space="preserve">3 </w:t>
      </w:r>
      <w:r w:rsidRPr="00315C1C">
        <w:rPr>
          <w:rFonts w:eastAsia="Calibri" w:cs="Arial Unicode MS"/>
          <w:noProof/>
          <w:kern w:val="22"/>
          <w:szCs w:val="22"/>
          <w:u w:color="000000"/>
        </w:rPr>
        <w:t>non-Parties reported not having done so.</w:t>
      </w:r>
    </w:p>
    <w:p w:rsidR="00D52F3B" w:rsidRPr="00315C1C" w:rsidRDefault="00D52F3B" w:rsidP="00D52F3B">
      <w:pPr>
        <w:keepNext/>
        <w:keepLines/>
        <w:pBdr>
          <w:top w:val="nil"/>
          <w:left w:val="nil"/>
          <w:bottom w:val="nil"/>
          <w:right w:val="nil"/>
          <w:between w:val="nil"/>
          <w:bar w:val="nil"/>
        </w:pBdr>
        <w:spacing w:after="200"/>
        <w:jc w:val="center"/>
        <w:rPr>
          <w:rFonts w:eastAsia="Arial Unicode MS" w:hAnsi="Arial Unicode MS" w:cs="Arial Unicode MS"/>
          <w:bCs/>
          <w:i/>
          <w:snapToGrid w:val="0"/>
          <w:szCs w:val="18"/>
          <w:u w:color="000000"/>
        </w:rPr>
      </w:pPr>
      <w:r w:rsidRPr="00315C1C">
        <w:rPr>
          <w:rFonts w:eastAsia="Arial Unicode MS" w:hAnsi="Arial Unicode MS" w:cs="Arial Unicode MS"/>
          <w:bCs/>
          <w:i/>
          <w:szCs w:val="18"/>
          <w:u w:color="000000"/>
          <w:bdr w:val="nil"/>
        </w:rPr>
        <w:t>Graph</w:t>
      </w:r>
      <w:r w:rsidRPr="008111CC">
        <w:rPr>
          <w:rFonts w:eastAsia="Arial Unicode MS" w:hAnsi="Arial Unicode MS" w:cs="Arial Unicode MS"/>
          <w:bCs/>
          <w:i/>
          <w:szCs w:val="18"/>
          <w:u w:color="000000"/>
          <w:bdr w:val="nil"/>
        </w:rPr>
        <w:t xml:space="preserve"> 1</w:t>
      </w:r>
      <w:r w:rsidRPr="00315C1C">
        <w:rPr>
          <w:rFonts w:eastAsia="Arial Unicode MS" w:hAnsi="Arial Unicode MS" w:cs="Arial Unicode MS"/>
          <w:bCs/>
          <w:i/>
          <w:snapToGrid w:val="0"/>
          <w:szCs w:val="18"/>
          <w:u w:color="000000"/>
        </w:rPr>
        <w:t>: Due regard to cases of present or imminent emergencies that threaten or damage human, animal or plant health (percentage of countries)</w:t>
      </w:r>
    </w:p>
    <w:p w:rsidR="00D52F3B" w:rsidRPr="00315C1C" w:rsidRDefault="00D52F3B" w:rsidP="00D52F3B">
      <w:pPr>
        <w:pBdr>
          <w:top w:val="nil"/>
          <w:left w:val="nil"/>
          <w:bottom w:val="nil"/>
          <w:right w:val="nil"/>
          <w:between w:val="nil"/>
          <w:bar w:val="nil"/>
        </w:pBdr>
        <w:jc w:val="center"/>
        <w:rPr>
          <w:rFonts w:eastAsia="Calibri"/>
          <w:snapToGrid w:val="0"/>
          <w:kern w:val="22"/>
          <w:szCs w:val="22"/>
          <w:u w:color="000000"/>
        </w:rPr>
      </w:pPr>
      <w:r>
        <w:rPr>
          <w:noProof/>
          <w:lang w:val="en-CA" w:eastAsia="en-CA"/>
        </w:rPr>
        <w:drawing>
          <wp:inline distT="0" distB="0" distL="0" distR="0" wp14:anchorId="34EF2100" wp14:editId="54D1DA23">
            <wp:extent cx="4324350" cy="233362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2F3B" w:rsidRPr="00315C1C" w:rsidRDefault="00D52F3B" w:rsidP="00D52F3B">
      <w:pPr>
        <w:pBdr>
          <w:top w:val="nil"/>
          <w:left w:val="nil"/>
          <w:bottom w:val="nil"/>
          <w:right w:val="nil"/>
          <w:between w:val="nil"/>
          <w:bar w:val="nil"/>
        </w:pBdr>
        <w:rPr>
          <w:rFonts w:eastAsia="Calibri"/>
          <w:snapToGrid w:val="0"/>
          <w:kern w:val="22"/>
          <w:szCs w:val="22"/>
          <w:u w:color="000000"/>
        </w:rPr>
      </w:pPr>
    </w:p>
    <w:p w:rsidR="00D52F3B" w:rsidRPr="00315C1C" w:rsidRDefault="00D52F3B" w:rsidP="00D52F3B">
      <w:pPr>
        <w:pBdr>
          <w:top w:val="nil"/>
          <w:left w:val="nil"/>
          <w:bottom w:val="nil"/>
          <w:right w:val="nil"/>
          <w:between w:val="nil"/>
          <w:bar w:val="nil"/>
        </w:pBdr>
        <w:rPr>
          <w:rFonts w:eastAsia="Calibri"/>
          <w:b/>
          <w:i/>
          <w:snapToGrid w:val="0"/>
          <w:kern w:val="22"/>
          <w:szCs w:val="22"/>
          <w:u w:color="000000"/>
        </w:rPr>
      </w:pPr>
      <w:r w:rsidRPr="00315C1C">
        <w:rPr>
          <w:rFonts w:eastAsia="Calibri"/>
          <w:b/>
          <w:i/>
          <w:snapToGrid w:val="0"/>
          <w:kern w:val="22"/>
          <w:szCs w:val="22"/>
          <w:u w:color="000000"/>
        </w:rPr>
        <w:t>(a)</w:t>
      </w:r>
      <w:r w:rsidRPr="00315C1C">
        <w:rPr>
          <w:rFonts w:eastAsia="Calibri"/>
          <w:b/>
          <w:i/>
          <w:snapToGrid w:val="0"/>
          <w:kern w:val="22"/>
          <w:szCs w:val="22"/>
          <w:u w:color="000000"/>
        </w:rPr>
        <w:tab/>
        <w:t>Countries that answered “yes”</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noProof/>
          <w:snapToGrid w:val="0"/>
          <w:kern w:val="22"/>
          <w:szCs w:val="22"/>
          <w:u w:color="000000"/>
        </w:rPr>
      </w:pPr>
      <w:r w:rsidRPr="00315C1C">
        <w:rPr>
          <w:rFonts w:eastAsia="Calibri"/>
          <w:snapToGrid w:val="0"/>
          <w:kern w:val="22"/>
          <w:szCs w:val="22"/>
          <w:u w:color="000000"/>
        </w:rPr>
        <w:t>Some countries referred to existing ABS measures addressing this issue</w:t>
      </w:r>
      <w:r w:rsidRPr="00315C1C">
        <w:rPr>
          <w:rFonts w:eastAsia="Calibri"/>
          <w:snapToGrid w:val="0"/>
          <w:kern w:val="22"/>
          <w:szCs w:val="22"/>
          <w:u w:color="000000"/>
          <w:vertAlign w:val="superscript"/>
        </w:rPr>
        <w:footnoteReference w:id="12"/>
      </w:r>
      <w:r w:rsidR="00F15663">
        <w:rPr>
          <w:rFonts w:eastAsia="Calibri"/>
          <w:snapToGrid w:val="0"/>
          <w:kern w:val="22"/>
          <w:szCs w:val="22"/>
          <w:u w:color="000000"/>
        </w:rPr>
        <w:t xml:space="preserve"> </w:t>
      </w:r>
      <w:r w:rsidRPr="00315C1C">
        <w:rPr>
          <w:rFonts w:eastAsia="Calibri"/>
          <w:snapToGrid w:val="0"/>
          <w:kern w:val="22"/>
          <w:szCs w:val="22"/>
          <w:u w:color="000000"/>
        </w:rPr>
        <w:t>or to draft measures under development or approval</w:t>
      </w:r>
      <w:r w:rsidRPr="00315C1C">
        <w:rPr>
          <w:rFonts w:eastAsia="Calibri"/>
          <w:snapToGrid w:val="0"/>
          <w:kern w:val="22"/>
          <w:szCs w:val="22"/>
          <w:u w:color="000000"/>
          <w:vertAlign w:val="superscript"/>
        </w:rPr>
        <w:footnoteReference w:id="13"/>
      </w:r>
      <w:r w:rsidRPr="00315C1C">
        <w:rPr>
          <w:rFonts w:eastAsia="Calibri"/>
          <w:noProof/>
          <w:snapToGrid w:val="0"/>
          <w:kern w:val="22"/>
          <w:szCs w:val="22"/>
          <w:u w:color="000000"/>
        </w:rPr>
        <w:t>. Other countries indicated that they had some relevant mechanisms in place to address such emergencies</w:t>
      </w:r>
      <w:r w:rsidRPr="00315C1C">
        <w:rPr>
          <w:rFonts w:eastAsia="Calibri"/>
          <w:noProof/>
          <w:snapToGrid w:val="0"/>
          <w:kern w:val="22"/>
          <w:szCs w:val="22"/>
          <w:u w:color="000000"/>
          <w:vertAlign w:val="superscript"/>
        </w:rPr>
        <w:footnoteReference w:id="14"/>
      </w:r>
      <w:r>
        <w:rPr>
          <w:rFonts w:eastAsia="Calibri"/>
          <w:noProof/>
          <w:snapToGrid w:val="0"/>
          <w:kern w:val="22"/>
          <w:szCs w:val="22"/>
          <w:u w:color="000000"/>
        </w:rPr>
        <w:t xml:space="preserve"> and one Party stated that even though they had such mechanisms in place, </w:t>
      </w:r>
      <w:r w:rsidRPr="00315C1C">
        <w:rPr>
          <w:rFonts w:eastAsia="Calibri"/>
          <w:noProof/>
          <w:snapToGrid w:val="0"/>
          <w:kern w:val="22"/>
          <w:szCs w:val="22"/>
          <w:u w:color="000000"/>
        </w:rPr>
        <w:t>Article 8(b) would be given due consideration in the development/review of their ABS measures</w:t>
      </w:r>
      <w:r w:rsidRPr="00315C1C">
        <w:rPr>
          <w:rFonts w:eastAsia="Calibri"/>
          <w:noProof/>
          <w:snapToGrid w:val="0"/>
          <w:kern w:val="22"/>
          <w:szCs w:val="22"/>
          <w:u w:color="000000"/>
          <w:vertAlign w:val="superscript"/>
        </w:rPr>
        <w:footnoteReference w:id="15"/>
      </w:r>
      <w:r w:rsidRPr="00315C1C">
        <w:rPr>
          <w:rFonts w:eastAsia="Calibri"/>
          <w:noProof/>
          <w:snapToGrid w:val="0"/>
          <w:kern w:val="22"/>
          <w:szCs w:val="22"/>
          <w:u w:color="000000"/>
        </w:rPr>
        <w:t>.</w:t>
      </w:r>
      <w:r w:rsidRPr="00315C1C">
        <w:rPr>
          <w:rFonts w:eastAsia="Calibri"/>
          <w:noProof/>
          <w:snapToGrid w:val="0"/>
          <w:kern w:val="22"/>
          <w:szCs w:val="22"/>
          <w:u w:color="000000"/>
          <w:vertAlign w:val="superscript"/>
        </w:rPr>
        <w:t xml:space="preserve"> </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snapToGrid w:val="0"/>
          <w:kern w:val="22"/>
          <w:szCs w:val="22"/>
          <w:u w:color="000000"/>
        </w:rPr>
      </w:pPr>
      <w:r w:rsidRPr="00315C1C">
        <w:rPr>
          <w:rFonts w:eastAsia="Calibri"/>
          <w:snapToGrid w:val="0"/>
          <w:kern w:val="22"/>
          <w:szCs w:val="22"/>
          <w:u w:color="000000"/>
        </w:rPr>
        <w:t>Several countries</w:t>
      </w:r>
      <w:r w:rsidRPr="00315C1C">
        <w:rPr>
          <w:rFonts w:eastAsia="Calibri"/>
          <w:snapToGrid w:val="0"/>
          <w:kern w:val="22"/>
          <w:szCs w:val="22"/>
          <w:u w:color="000000"/>
          <w:vertAlign w:val="superscript"/>
        </w:rPr>
        <w:footnoteReference w:id="16"/>
      </w:r>
      <w:r w:rsidRPr="00315C1C">
        <w:rPr>
          <w:rFonts w:eastAsia="Calibri"/>
          <w:snapToGrid w:val="0"/>
          <w:kern w:val="22"/>
          <w:szCs w:val="22"/>
          <w:u w:color="000000"/>
        </w:rPr>
        <w:t xml:space="preserve"> provided general information on measures taken and progress made to prevent threats to human health, as part of their efforts to implement the International Health Regulations (2005) and the Pandemic Influenza Preparedness (PIP) Framework of the World Health Organization. </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hAnsi="Arial Unicode MS"/>
          <w:noProof/>
          <w:snapToGrid w:val="0"/>
          <w:color w:val="000000"/>
          <w:kern w:val="22"/>
          <w:szCs w:val="22"/>
          <w:u w:color="000000"/>
          <w:bdr w:val="nil"/>
        </w:rPr>
      </w:pPr>
      <w:r w:rsidRPr="00315C1C">
        <w:rPr>
          <w:rFonts w:eastAsia="Calibri"/>
          <w:noProof/>
          <w:snapToGrid w:val="0"/>
          <w:kern w:val="22"/>
          <w:szCs w:val="22"/>
          <w:u w:color="000000"/>
        </w:rPr>
        <w:t>The</w:t>
      </w:r>
      <w:r w:rsidRPr="00315C1C">
        <w:rPr>
          <w:rFonts w:eastAsia="Calibri" w:hAnsi="Arial Unicode MS" w:cs="Arial Unicode MS"/>
          <w:snapToGrid w:val="0"/>
          <w:color w:val="000000"/>
          <w:kern w:val="22"/>
          <w:szCs w:val="22"/>
          <w:u w:color="000000"/>
          <w:bdr w:val="nil"/>
        </w:rPr>
        <w:t xml:space="preserve"> European Union explained that there is no access legislation at EU level hence there are also no measures on expeditious access to genetic resources for that purpose.</w:t>
      </w:r>
      <w:r w:rsidRPr="00315C1C">
        <w:rPr>
          <w:rFonts w:eastAsia="Calibri" w:hAnsi="Arial Unicode MS" w:cs="Arial Unicode MS"/>
          <w:snapToGrid w:val="0"/>
          <w:color w:val="000000"/>
          <w:kern w:val="22"/>
          <w:szCs w:val="22"/>
          <w:u w:color="000000"/>
          <w:bdr w:val="nil"/>
          <w:vertAlign w:val="superscript"/>
        </w:rPr>
        <w:footnoteReference w:id="17"/>
      </w:r>
      <w:r w:rsidRPr="00315C1C">
        <w:rPr>
          <w:rFonts w:eastAsia="Calibri" w:hAnsi="Arial Unicode MS" w:cs="Arial Unicode MS"/>
          <w:snapToGrid w:val="0"/>
          <w:color w:val="000000"/>
          <w:kern w:val="22"/>
          <w:szCs w:val="22"/>
          <w:u w:color="000000"/>
          <w:bdr w:val="nil"/>
        </w:rPr>
        <w:t xml:space="preserve"> Article 4(8) of </w:t>
      </w:r>
      <w:r w:rsidRPr="00045EDD">
        <w:rPr>
          <w:rFonts w:eastAsia="Calibri" w:hAnsi="Arial Unicode MS" w:cs="Arial Unicode MS"/>
          <w:snapToGrid w:val="0"/>
          <w:color w:val="000000"/>
          <w:kern w:val="22"/>
          <w:szCs w:val="22"/>
          <w:u w:color="000000"/>
          <w:bdr w:val="nil"/>
        </w:rPr>
        <w:t>Regulation 511/2014</w:t>
      </w:r>
      <w:r>
        <w:rPr>
          <w:rStyle w:val="FootnoteReference"/>
          <w:rFonts w:eastAsia="Calibri" w:hAnsi="Arial Unicode MS" w:cs="Arial Unicode MS"/>
          <w:snapToGrid w:val="0"/>
          <w:color w:val="000000"/>
          <w:kern w:val="22"/>
          <w:szCs w:val="22"/>
          <w:u w:color="000000"/>
          <w:bdr w:val="nil"/>
        </w:rPr>
        <w:footnoteReference w:id="18"/>
      </w:r>
      <w:r>
        <w:rPr>
          <w:rFonts w:eastAsia="Calibri" w:hAnsi="Arial Unicode MS" w:cs="Arial Unicode MS"/>
          <w:snapToGrid w:val="0"/>
          <w:color w:val="000000"/>
          <w:kern w:val="22"/>
          <w:szCs w:val="22"/>
          <w:u w:color="000000"/>
          <w:bdr w:val="nil"/>
        </w:rPr>
        <w:t xml:space="preserve"> </w:t>
      </w:r>
      <w:r w:rsidRPr="00315C1C">
        <w:rPr>
          <w:rFonts w:eastAsia="Calibri" w:hAnsi="Arial Unicode MS" w:cs="Arial Unicode MS"/>
          <w:snapToGrid w:val="0"/>
          <w:color w:val="000000"/>
          <w:kern w:val="22"/>
          <w:szCs w:val="22"/>
          <w:u w:color="000000"/>
          <w:bdr w:val="nil"/>
        </w:rPr>
        <w:t>provides for a short temporal derogation from obligations contained in its Articles 4(3) and 4(5) for users acquiring a genetic resource that is determined to be, or is determined as likely to be, the causing pathogen of a present or imminent public health emergency of international concern</w:t>
      </w:r>
      <w:r w:rsidRPr="00315C1C">
        <w:rPr>
          <w:rFonts w:eastAsia="Calibri" w:hAnsi="Arial Unicode MS"/>
          <w:noProof/>
          <w:snapToGrid w:val="0"/>
          <w:color w:val="000000"/>
          <w:kern w:val="22"/>
          <w:szCs w:val="22"/>
          <w:u w:color="000000"/>
          <w:bdr w:val="nil"/>
        </w:rPr>
        <w:t xml:space="preserve">. </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noProof/>
          <w:snapToGrid w:val="0"/>
          <w:kern w:val="22"/>
          <w:szCs w:val="22"/>
          <w:u w:color="000000"/>
        </w:rPr>
      </w:pPr>
      <w:r w:rsidRPr="00315C1C">
        <w:rPr>
          <w:rFonts w:eastAsia="Calibri"/>
          <w:snapToGrid w:val="0"/>
          <w:kern w:val="22"/>
          <w:szCs w:val="22"/>
          <w:u w:color="000000"/>
        </w:rPr>
        <w:lastRenderedPageBreak/>
        <w:t>In</w:t>
      </w:r>
      <w:r w:rsidRPr="00315C1C">
        <w:rPr>
          <w:rFonts w:eastAsia="Calibri"/>
          <w:noProof/>
          <w:snapToGrid w:val="0"/>
          <w:kern w:val="22"/>
          <w:szCs w:val="22"/>
          <w:u w:color="000000"/>
        </w:rPr>
        <w:t xml:space="preserve"> addition to Regulation (EU) No 511/2014, several Parties which are also Member States of the European Union reported on other measures taken at the national level to </w:t>
      </w:r>
      <w:r>
        <w:rPr>
          <w:rFonts w:eastAsia="Calibri"/>
          <w:noProof/>
          <w:snapToGrid w:val="0"/>
          <w:kern w:val="22"/>
          <w:szCs w:val="22"/>
          <w:u w:color="000000"/>
        </w:rPr>
        <w:t>address</w:t>
      </w:r>
      <w:r w:rsidRPr="00315C1C">
        <w:rPr>
          <w:rFonts w:eastAsia="Calibri"/>
          <w:noProof/>
          <w:snapToGrid w:val="0"/>
          <w:kern w:val="22"/>
          <w:szCs w:val="22"/>
          <w:u w:color="000000"/>
        </w:rPr>
        <w:t xml:space="preserve"> cases of present or imminent health emergencies:</w:t>
      </w:r>
    </w:p>
    <w:p w:rsidR="00D52F3B" w:rsidRPr="00315C1C" w:rsidRDefault="00D52F3B" w:rsidP="00D52F3B">
      <w:pPr>
        <w:pStyle w:val="ListParagraph"/>
        <w:numPr>
          <w:ilvl w:val="0"/>
          <w:numId w:val="21"/>
        </w:numPr>
        <w:tabs>
          <w:tab w:val="num" w:pos="1440"/>
        </w:tabs>
        <w:spacing w:before="120" w:after="120"/>
        <w:ind w:left="0" w:firstLine="720"/>
        <w:contextualSpacing w:val="0"/>
        <w:rPr>
          <w:snapToGrid w:val="0"/>
          <w:szCs w:val="18"/>
          <w:u w:color="000000"/>
        </w:rPr>
      </w:pPr>
      <w:r w:rsidRPr="00315C1C">
        <w:rPr>
          <w:snapToGrid w:val="0"/>
          <w:szCs w:val="18"/>
          <w:u w:color="000000"/>
        </w:rPr>
        <w:t>Bulgaria reported that Article 66 (4) of the Biological Diversity Act</w:t>
      </w:r>
      <w:r>
        <w:rPr>
          <w:rStyle w:val="FootnoteReference"/>
          <w:rFonts w:eastAsiaTheme="majorEastAsia"/>
          <w:snapToGrid w:val="0"/>
          <w:szCs w:val="18"/>
          <w:u w:color="000000"/>
        </w:rPr>
        <w:footnoteReference w:id="19"/>
      </w:r>
      <w:r w:rsidRPr="00315C1C">
        <w:rPr>
          <w:snapToGrid w:val="0"/>
          <w:szCs w:val="18"/>
          <w:u w:color="000000"/>
        </w:rPr>
        <w:t xml:space="preserve"> provides for gratuitous provision of genetic resources if the resources are intended for non-commercial purposes, including scientific research, education, conservation of biological diversity, or public health;</w:t>
      </w:r>
    </w:p>
    <w:p w:rsidR="00D52F3B" w:rsidRPr="00315C1C" w:rsidRDefault="00D52F3B" w:rsidP="00D52F3B">
      <w:pPr>
        <w:pStyle w:val="ListParagraph"/>
        <w:numPr>
          <w:ilvl w:val="0"/>
          <w:numId w:val="21"/>
        </w:numPr>
        <w:tabs>
          <w:tab w:val="num" w:pos="1440"/>
        </w:tabs>
        <w:spacing w:before="120" w:after="120"/>
        <w:ind w:left="0" w:firstLine="720"/>
        <w:contextualSpacing w:val="0"/>
        <w:rPr>
          <w:snapToGrid w:val="0"/>
          <w:szCs w:val="18"/>
          <w:u w:color="000000"/>
        </w:rPr>
      </w:pPr>
      <w:r w:rsidRPr="00315C1C">
        <w:rPr>
          <w:snapToGrid w:val="0"/>
          <w:szCs w:val="18"/>
          <w:u w:color="000000"/>
        </w:rPr>
        <w:t>France indicated that the French law on biodiversity foresees a simplified procedure (declaration) for access to this type of genetic resources when the urgency of the situation is justified;</w:t>
      </w:r>
    </w:p>
    <w:p w:rsidR="00D52F3B" w:rsidRPr="00315C1C" w:rsidRDefault="00D52F3B" w:rsidP="00D52F3B">
      <w:pPr>
        <w:pStyle w:val="ListParagraph"/>
        <w:numPr>
          <w:ilvl w:val="0"/>
          <w:numId w:val="21"/>
        </w:numPr>
        <w:tabs>
          <w:tab w:val="num" w:pos="1440"/>
        </w:tabs>
        <w:spacing w:before="120" w:after="120"/>
        <w:ind w:left="0" w:firstLine="720"/>
        <w:contextualSpacing w:val="0"/>
        <w:rPr>
          <w:snapToGrid w:val="0"/>
          <w:szCs w:val="18"/>
          <w:u w:color="000000"/>
        </w:rPr>
      </w:pPr>
      <w:r w:rsidRPr="00315C1C">
        <w:rPr>
          <w:snapToGrid w:val="0"/>
          <w:szCs w:val="18"/>
          <w:u w:color="000000"/>
        </w:rPr>
        <w:t>Malta reported that Regulation 23 of S.L. 549.111 of the Laws of Malta</w:t>
      </w:r>
      <w:r>
        <w:rPr>
          <w:rStyle w:val="FootnoteReference"/>
          <w:rFonts w:eastAsiaTheme="majorEastAsia"/>
          <w:snapToGrid w:val="0"/>
          <w:szCs w:val="18"/>
          <w:u w:color="000000"/>
        </w:rPr>
        <w:footnoteReference w:id="20"/>
      </w:r>
      <w:r w:rsidRPr="00315C1C">
        <w:rPr>
          <w:snapToGrid w:val="0"/>
          <w:szCs w:val="18"/>
          <w:u w:color="000000"/>
        </w:rPr>
        <w:t xml:space="preserve"> enables the national competent authority to adopt interim measures in case of imminent threats to human, animal or plant health; and</w:t>
      </w:r>
    </w:p>
    <w:p w:rsidR="00D52F3B" w:rsidRPr="00315C1C" w:rsidRDefault="00D52F3B" w:rsidP="00D52F3B">
      <w:pPr>
        <w:pStyle w:val="ListParagraph"/>
        <w:numPr>
          <w:ilvl w:val="0"/>
          <w:numId w:val="21"/>
        </w:numPr>
        <w:tabs>
          <w:tab w:val="num" w:pos="1440"/>
        </w:tabs>
        <w:spacing w:before="120" w:after="120"/>
        <w:ind w:left="0" w:firstLine="720"/>
        <w:contextualSpacing w:val="0"/>
        <w:rPr>
          <w:snapToGrid w:val="0"/>
          <w:szCs w:val="18"/>
          <w:u w:color="000000"/>
        </w:rPr>
      </w:pPr>
      <w:r w:rsidRPr="00315C1C">
        <w:rPr>
          <w:snapToGrid w:val="0"/>
          <w:szCs w:val="18"/>
          <w:u w:color="000000"/>
        </w:rPr>
        <w:t>Spain reported that Article 8 of its ABS Decree</w:t>
      </w:r>
      <w:r>
        <w:rPr>
          <w:rStyle w:val="FootnoteReference"/>
          <w:rFonts w:eastAsiaTheme="majorEastAsia"/>
          <w:snapToGrid w:val="0"/>
          <w:szCs w:val="18"/>
          <w:u w:color="000000"/>
        </w:rPr>
        <w:footnoteReference w:id="21"/>
      </w:r>
      <w:r w:rsidRPr="00315C1C">
        <w:rPr>
          <w:snapToGrid w:val="0"/>
          <w:szCs w:val="18"/>
          <w:u w:color="000000"/>
        </w:rPr>
        <w:t xml:space="preserve"> addresses access to genetic resources in emergency situations and provides that declaration of an emergency could justify an exceptional, provisional and immediate authorization for access to a genetic resource. Authorization is, however, granted on the condition that mutually agreed terms are established </w:t>
      </w:r>
      <w:proofErr w:type="gramStart"/>
      <w:r w:rsidRPr="00315C1C">
        <w:rPr>
          <w:snapToGrid w:val="0"/>
          <w:szCs w:val="18"/>
          <w:u w:color="000000"/>
        </w:rPr>
        <w:t>later on</w:t>
      </w:r>
      <w:proofErr w:type="gramEnd"/>
      <w:r w:rsidRPr="00315C1C">
        <w:rPr>
          <w:snapToGrid w:val="0"/>
          <w:szCs w:val="18"/>
          <w:u w:color="000000"/>
        </w:rPr>
        <w:t xml:space="preserve">, and that a definitive authorization is granted within a period of six months. </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noProof/>
          <w:snapToGrid w:val="0"/>
          <w:kern w:val="22"/>
          <w:szCs w:val="22"/>
          <w:u w:color="000000"/>
        </w:rPr>
      </w:pPr>
      <w:r w:rsidRPr="00315C1C">
        <w:rPr>
          <w:rFonts w:eastAsia="Calibri"/>
          <w:noProof/>
          <w:snapToGrid w:val="0"/>
          <w:kern w:val="22"/>
          <w:szCs w:val="22"/>
          <w:u w:color="000000"/>
        </w:rPr>
        <w:t xml:space="preserve">Other countries reported on different approaches to access and benefit-sharing with regards to health emergencies: </w:t>
      </w:r>
    </w:p>
    <w:p w:rsidR="00D52F3B" w:rsidRPr="00315C1C" w:rsidRDefault="00D52F3B" w:rsidP="00D52F3B">
      <w:pPr>
        <w:pStyle w:val="ListParagraph"/>
        <w:numPr>
          <w:ilvl w:val="0"/>
          <w:numId w:val="24"/>
        </w:numPr>
        <w:tabs>
          <w:tab w:val="num" w:pos="1440"/>
        </w:tabs>
        <w:spacing w:before="120" w:after="120"/>
        <w:ind w:left="0" w:firstLine="720"/>
        <w:contextualSpacing w:val="0"/>
        <w:rPr>
          <w:snapToGrid w:val="0"/>
          <w:szCs w:val="18"/>
          <w:u w:color="000000"/>
        </w:rPr>
      </w:pPr>
      <w:r w:rsidRPr="00315C1C">
        <w:rPr>
          <w:snapToGrid w:val="0"/>
          <w:szCs w:val="18"/>
          <w:u w:color="000000"/>
        </w:rPr>
        <w:t>Article 16 of Benin’s national ABS directives provides for simplified procedural documents for authorization requests made to the competent national authority for access to genetic resources and associated traditional knowledge in the case of emergencies pertaining to human, animal or plant health</w:t>
      </w:r>
      <w:r>
        <w:rPr>
          <w:snapToGrid w:val="0"/>
          <w:szCs w:val="18"/>
          <w:u w:color="000000"/>
        </w:rPr>
        <w:t>;</w:t>
      </w:r>
    </w:p>
    <w:p w:rsidR="00D52F3B" w:rsidRPr="00315C1C" w:rsidRDefault="00D52F3B" w:rsidP="00D52F3B">
      <w:pPr>
        <w:pStyle w:val="ListParagraph"/>
        <w:numPr>
          <w:ilvl w:val="0"/>
          <w:numId w:val="24"/>
        </w:numPr>
        <w:tabs>
          <w:tab w:val="num" w:pos="1440"/>
        </w:tabs>
        <w:spacing w:before="120" w:after="120"/>
        <w:ind w:left="0" w:firstLine="720"/>
        <w:contextualSpacing w:val="0"/>
        <w:rPr>
          <w:snapToGrid w:val="0"/>
          <w:szCs w:val="18"/>
          <w:u w:color="000000"/>
        </w:rPr>
      </w:pPr>
      <w:r w:rsidRPr="00315C1C">
        <w:rPr>
          <w:snapToGrid w:val="0"/>
          <w:szCs w:val="18"/>
          <w:u w:color="000000"/>
        </w:rPr>
        <w:t>The Biodiversity Bill of Bhutan, under Chapter 4 clause 30, provides for exemptions to be granted from procedural requirements or a fee waiver</w:t>
      </w:r>
      <w:r>
        <w:rPr>
          <w:snapToGrid w:val="0"/>
          <w:szCs w:val="18"/>
          <w:u w:color="000000"/>
        </w:rPr>
        <w:t>;</w:t>
      </w:r>
    </w:p>
    <w:p w:rsidR="00D52F3B" w:rsidRPr="00315C1C" w:rsidRDefault="00D52F3B" w:rsidP="00D52F3B">
      <w:pPr>
        <w:pStyle w:val="ListParagraph"/>
        <w:numPr>
          <w:ilvl w:val="0"/>
          <w:numId w:val="24"/>
        </w:numPr>
        <w:tabs>
          <w:tab w:val="num" w:pos="1440"/>
        </w:tabs>
        <w:spacing w:before="120" w:after="120"/>
        <w:ind w:left="0" w:firstLine="720"/>
        <w:contextualSpacing w:val="0"/>
        <w:rPr>
          <w:snapToGrid w:val="0"/>
          <w:szCs w:val="18"/>
          <w:u w:color="000000"/>
        </w:rPr>
      </w:pPr>
      <w:r w:rsidRPr="00315C1C">
        <w:rPr>
          <w:snapToGrid w:val="0"/>
          <w:szCs w:val="18"/>
          <w:u w:color="000000"/>
        </w:rPr>
        <w:t>Regulation 13 of India’s</w:t>
      </w:r>
      <w:r w:rsidRPr="00871814">
        <w:t xml:space="preserve"> </w:t>
      </w:r>
      <w:r w:rsidRPr="00871814">
        <w:rPr>
          <w:snapToGrid w:val="0"/>
          <w:szCs w:val="18"/>
          <w:u w:color="000000"/>
        </w:rPr>
        <w:t>Guidelines on Access to Biological Resources and Associated Knowledge and Benefits Sharing Regulations, 2014</w:t>
      </w:r>
      <w:r>
        <w:rPr>
          <w:rStyle w:val="FootnoteReference"/>
          <w:rFonts w:eastAsiaTheme="majorEastAsia"/>
          <w:snapToGrid w:val="0"/>
          <w:szCs w:val="18"/>
          <w:u w:color="000000"/>
        </w:rPr>
        <w:footnoteReference w:id="22"/>
      </w:r>
      <w:r w:rsidRPr="00315C1C">
        <w:rPr>
          <w:snapToGrid w:val="0"/>
          <w:szCs w:val="18"/>
          <w:u w:color="000000"/>
        </w:rPr>
        <w:t>, through Form B, facilitates the transfer of biological resources by governmental institutions in India to carry out urgent studies to avert emergencies like epidemics etc., through an expeditious and simplified process</w:t>
      </w:r>
      <w:r>
        <w:rPr>
          <w:snapToGrid w:val="0"/>
          <w:szCs w:val="18"/>
          <w:u w:color="000000"/>
        </w:rPr>
        <w:t>;</w:t>
      </w:r>
    </w:p>
    <w:p w:rsidR="00D52F3B" w:rsidRPr="00315C1C" w:rsidRDefault="00D52F3B" w:rsidP="00D52F3B">
      <w:pPr>
        <w:pStyle w:val="ListParagraph"/>
        <w:numPr>
          <w:ilvl w:val="0"/>
          <w:numId w:val="24"/>
        </w:numPr>
        <w:tabs>
          <w:tab w:val="num" w:pos="1440"/>
        </w:tabs>
        <w:spacing w:before="120" w:after="120"/>
        <w:ind w:left="0" w:firstLine="720"/>
        <w:contextualSpacing w:val="0"/>
        <w:rPr>
          <w:snapToGrid w:val="0"/>
          <w:szCs w:val="18"/>
          <w:u w:color="000000"/>
        </w:rPr>
      </w:pPr>
      <w:r w:rsidRPr="00315C1C">
        <w:rPr>
          <w:snapToGrid w:val="0"/>
          <w:szCs w:val="18"/>
          <w:u w:color="000000"/>
        </w:rPr>
        <w:t>Article 3, paragraph 4, of Switzerland’s Nagoya Ordinance</w:t>
      </w:r>
      <w:r>
        <w:rPr>
          <w:rStyle w:val="FootnoteReference"/>
          <w:rFonts w:eastAsiaTheme="majorEastAsia"/>
          <w:snapToGrid w:val="0"/>
          <w:szCs w:val="18"/>
          <w:u w:color="000000"/>
        </w:rPr>
        <w:footnoteReference w:id="23"/>
      </w:r>
      <w:r w:rsidRPr="00315C1C">
        <w:rPr>
          <w:snapToGrid w:val="0"/>
          <w:szCs w:val="18"/>
          <w:u w:color="000000"/>
        </w:rPr>
        <w:t xml:space="preserve"> provides that, in an internationally or nationally recognised emergency that threatens the health of humans, animals or plants or the environment, it suffices if the due diligence requirement for the utilization of genetic resources that are pathogenic or harmful organisms is fully met at the time of the commercialisation of products developed on the basis of the utilized genetic resources.</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snapToGrid w:val="0"/>
          <w:kern w:val="22"/>
          <w:szCs w:val="22"/>
          <w:u w:color="000000"/>
        </w:rPr>
      </w:pPr>
      <w:r w:rsidRPr="00315C1C">
        <w:rPr>
          <w:rFonts w:eastAsia="Calibri"/>
          <w:snapToGrid w:val="0"/>
          <w:kern w:val="22"/>
          <w:szCs w:val="22"/>
          <w:u w:color="000000"/>
        </w:rPr>
        <w:t>Some countries provided further information on the content of their draft measures:</w:t>
      </w:r>
    </w:p>
    <w:p w:rsidR="00D52F3B" w:rsidRPr="00315C1C" w:rsidRDefault="00D52F3B" w:rsidP="00D52F3B">
      <w:pPr>
        <w:pStyle w:val="ListParagraph"/>
        <w:numPr>
          <w:ilvl w:val="0"/>
          <w:numId w:val="25"/>
        </w:numPr>
        <w:tabs>
          <w:tab w:val="num" w:pos="1440"/>
        </w:tabs>
        <w:spacing w:before="120" w:after="120"/>
        <w:ind w:left="0" w:firstLine="720"/>
        <w:contextualSpacing w:val="0"/>
        <w:rPr>
          <w:snapToGrid w:val="0"/>
          <w:szCs w:val="18"/>
          <w:u w:color="000000"/>
        </w:rPr>
      </w:pPr>
      <w:r w:rsidRPr="00315C1C">
        <w:rPr>
          <w:snapToGrid w:val="0"/>
          <w:szCs w:val="18"/>
          <w:u w:color="000000"/>
        </w:rPr>
        <w:t>China stated that procedures and measures will be simplified for access to genetic resources and benefit-sharing for emergency responses</w:t>
      </w:r>
      <w:r>
        <w:rPr>
          <w:snapToGrid w:val="0"/>
          <w:szCs w:val="18"/>
          <w:u w:color="000000"/>
        </w:rPr>
        <w:t>;</w:t>
      </w:r>
      <w:r w:rsidRPr="00315C1C">
        <w:rPr>
          <w:snapToGrid w:val="0"/>
          <w:szCs w:val="18"/>
          <w:u w:color="000000"/>
        </w:rPr>
        <w:t xml:space="preserve"> </w:t>
      </w:r>
    </w:p>
    <w:p w:rsidR="00D52F3B" w:rsidRPr="00315C1C" w:rsidRDefault="00D52F3B" w:rsidP="00D52F3B">
      <w:pPr>
        <w:pStyle w:val="ListParagraph"/>
        <w:numPr>
          <w:ilvl w:val="0"/>
          <w:numId w:val="25"/>
        </w:numPr>
        <w:tabs>
          <w:tab w:val="num" w:pos="1440"/>
        </w:tabs>
        <w:spacing w:before="120" w:after="120"/>
        <w:ind w:left="0" w:firstLine="720"/>
        <w:contextualSpacing w:val="0"/>
        <w:rPr>
          <w:snapToGrid w:val="0"/>
          <w:szCs w:val="18"/>
          <w:u w:color="000000"/>
        </w:rPr>
      </w:pPr>
      <w:r w:rsidRPr="00315C1C">
        <w:rPr>
          <w:snapToGrid w:val="0"/>
          <w:szCs w:val="18"/>
          <w:u w:color="000000"/>
        </w:rPr>
        <w:t>Article 5 of Morocco’s draft law 56-17 on ABS</w:t>
      </w:r>
      <w:r>
        <w:rPr>
          <w:rStyle w:val="FootnoteReference"/>
          <w:rFonts w:eastAsiaTheme="majorEastAsia"/>
          <w:snapToGrid w:val="0"/>
          <w:szCs w:val="18"/>
          <w:u w:color="000000"/>
        </w:rPr>
        <w:footnoteReference w:id="24"/>
      </w:r>
      <w:r w:rsidRPr="00315C1C">
        <w:rPr>
          <w:snapToGrid w:val="0"/>
          <w:szCs w:val="18"/>
          <w:u w:color="000000"/>
        </w:rPr>
        <w:t xml:space="preserve"> states that the provisions of the law do not apply when genetic resources are collected according to special measures to protect animals and plants from hea</w:t>
      </w:r>
      <w:r>
        <w:rPr>
          <w:snapToGrid w:val="0"/>
          <w:szCs w:val="18"/>
          <w:u w:color="000000"/>
        </w:rPr>
        <w:t>l</w:t>
      </w:r>
      <w:r w:rsidRPr="00315C1C">
        <w:rPr>
          <w:snapToGrid w:val="0"/>
          <w:szCs w:val="18"/>
          <w:u w:color="000000"/>
        </w:rPr>
        <w:t xml:space="preserve">th dangers. Furthermore, Article 15 contains a procedure for urgent requests to access genetic resources used to fight the spread of diseases or epidemics that constitute a real or imminent danger to public </w:t>
      </w:r>
      <w:r w:rsidRPr="00315C1C">
        <w:rPr>
          <w:snapToGrid w:val="0"/>
          <w:szCs w:val="18"/>
          <w:u w:color="000000"/>
        </w:rPr>
        <w:lastRenderedPageBreak/>
        <w:t xml:space="preserve">health at the national or international level. The modalities of this emergency procedure will be established by regulation. </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snapToGrid w:val="0"/>
          <w:kern w:val="22"/>
          <w:szCs w:val="22"/>
          <w:u w:color="000000"/>
        </w:rPr>
      </w:pPr>
      <w:r w:rsidRPr="00315C1C">
        <w:rPr>
          <w:rFonts w:eastAsia="Calibri"/>
          <w:snapToGrid w:val="0"/>
          <w:kern w:val="22"/>
          <w:szCs w:val="22"/>
          <w:u w:color="000000"/>
        </w:rPr>
        <w:t>Peru provided information on the most relevant pathogens for their national context</w:t>
      </w:r>
      <w:r>
        <w:rPr>
          <w:rFonts w:eastAsia="Calibri"/>
          <w:snapToGrid w:val="0"/>
          <w:kern w:val="22"/>
          <w:szCs w:val="22"/>
          <w:u w:color="000000"/>
        </w:rPr>
        <w:t xml:space="preserve"> and indicated existing </w:t>
      </w:r>
      <w:r w:rsidRPr="00315C1C">
        <w:rPr>
          <w:rFonts w:eastAsia="Calibri"/>
          <w:snapToGrid w:val="0"/>
          <w:kern w:val="22"/>
          <w:szCs w:val="22"/>
          <w:u w:color="000000"/>
        </w:rPr>
        <w:t>research groups working on pathogens</w:t>
      </w:r>
      <w:r>
        <w:rPr>
          <w:rFonts w:eastAsia="Calibri"/>
          <w:snapToGrid w:val="0"/>
          <w:kern w:val="22"/>
          <w:szCs w:val="22"/>
          <w:u w:color="000000"/>
        </w:rPr>
        <w:t xml:space="preserve"> in their country</w:t>
      </w:r>
      <w:r w:rsidRPr="00315C1C">
        <w:rPr>
          <w:rFonts w:eastAsia="Calibri"/>
          <w:snapToGrid w:val="0"/>
          <w:kern w:val="22"/>
          <w:szCs w:val="22"/>
          <w:u w:color="000000"/>
        </w:rPr>
        <w:t xml:space="preserve">. </w:t>
      </w:r>
      <w:r>
        <w:rPr>
          <w:rFonts w:eastAsia="Calibri"/>
          <w:snapToGrid w:val="0"/>
          <w:kern w:val="22"/>
          <w:szCs w:val="22"/>
          <w:u w:color="000000"/>
        </w:rPr>
        <w:t xml:space="preserve">They </w:t>
      </w:r>
      <w:r w:rsidRPr="00315C1C">
        <w:rPr>
          <w:rFonts w:eastAsia="Calibri"/>
          <w:snapToGrid w:val="0"/>
          <w:kern w:val="22"/>
          <w:szCs w:val="22"/>
          <w:u w:color="000000"/>
        </w:rPr>
        <w:t>also emphasised the importance of strengthening the research and development capacities of th</w:t>
      </w:r>
      <w:r>
        <w:rPr>
          <w:rFonts w:eastAsia="Calibri"/>
          <w:snapToGrid w:val="0"/>
          <w:kern w:val="22"/>
          <w:szCs w:val="22"/>
          <w:u w:color="000000"/>
        </w:rPr>
        <w:t xml:space="preserve">ose </w:t>
      </w:r>
      <w:r w:rsidRPr="00315C1C">
        <w:rPr>
          <w:rFonts w:eastAsia="Calibri"/>
          <w:snapToGrid w:val="0"/>
          <w:kern w:val="22"/>
          <w:szCs w:val="22"/>
          <w:u w:color="000000"/>
        </w:rPr>
        <w:t xml:space="preserve">institutions through cooperation and collaboration among countries. </w:t>
      </w:r>
    </w:p>
    <w:p w:rsidR="00D52F3B" w:rsidRPr="00315C1C" w:rsidRDefault="00D52F3B" w:rsidP="00D52F3B">
      <w:pPr>
        <w:pBdr>
          <w:top w:val="nil"/>
          <w:left w:val="nil"/>
          <w:bottom w:val="nil"/>
          <w:right w:val="nil"/>
          <w:between w:val="nil"/>
          <w:bar w:val="nil"/>
        </w:pBdr>
        <w:spacing w:before="120" w:after="120"/>
        <w:rPr>
          <w:rFonts w:eastAsia="Calibri"/>
          <w:b/>
          <w:i/>
          <w:snapToGrid w:val="0"/>
          <w:kern w:val="22"/>
          <w:szCs w:val="22"/>
          <w:u w:color="000000"/>
        </w:rPr>
      </w:pPr>
      <w:r w:rsidRPr="00315C1C">
        <w:rPr>
          <w:rFonts w:eastAsia="Calibri"/>
          <w:b/>
          <w:i/>
          <w:snapToGrid w:val="0"/>
          <w:kern w:val="22"/>
          <w:szCs w:val="22"/>
          <w:u w:color="000000"/>
        </w:rPr>
        <w:t>(b)</w:t>
      </w:r>
      <w:r w:rsidRPr="00315C1C">
        <w:rPr>
          <w:rFonts w:eastAsia="Calibri"/>
          <w:b/>
          <w:i/>
          <w:snapToGrid w:val="0"/>
          <w:kern w:val="22"/>
          <w:szCs w:val="22"/>
          <w:u w:color="000000"/>
        </w:rPr>
        <w:tab/>
        <w:t>Countries that answered “no”</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snapToGrid w:val="0"/>
          <w:kern w:val="22"/>
          <w:szCs w:val="22"/>
          <w:u w:color="000000"/>
        </w:rPr>
      </w:pPr>
      <w:r>
        <w:rPr>
          <w:rFonts w:eastAsia="Calibri"/>
          <w:snapToGrid w:val="0"/>
          <w:kern w:val="22"/>
          <w:szCs w:val="22"/>
          <w:u w:color="000000"/>
        </w:rPr>
        <w:t>Many countries</w:t>
      </w:r>
      <w:r w:rsidRPr="00315C1C">
        <w:rPr>
          <w:rFonts w:eastAsia="Calibri"/>
          <w:snapToGrid w:val="0"/>
          <w:kern w:val="22"/>
          <w:szCs w:val="22"/>
          <w:u w:color="000000"/>
          <w:vertAlign w:val="superscript"/>
        </w:rPr>
        <w:footnoteReference w:id="25"/>
      </w:r>
      <w:r w:rsidRPr="00315C1C">
        <w:rPr>
          <w:rFonts w:eastAsia="Calibri"/>
          <w:snapToGrid w:val="0"/>
          <w:kern w:val="22"/>
          <w:szCs w:val="22"/>
          <w:u w:color="000000"/>
        </w:rPr>
        <w:t xml:space="preserve"> stated that due regard would be paid to cases of present or imminent emergencies that threaten or damage human, animal or plant health in future development or revision of ABS legislation or regulatory requirements. Two countries</w:t>
      </w:r>
      <w:r w:rsidRPr="00315C1C">
        <w:rPr>
          <w:rFonts w:eastAsia="Calibri"/>
          <w:snapToGrid w:val="0"/>
          <w:kern w:val="22"/>
          <w:szCs w:val="22"/>
          <w:u w:color="000000"/>
          <w:vertAlign w:val="superscript"/>
        </w:rPr>
        <w:footnoteReference w:id="26"/>
      </w:r>
      <w:r w:rsidRPr="00315C1C">
        <w:rPr>
          <w:rFonts w:eastAsia="Calibri"/>
          <w:snapToGrid w:val="0"/>
          <w:kern w:val="22"/>
          <w:szCs w:val="22"/>
          <w:u w:color="000000"/>
        </w:rPr>
        <w:t xml:space="preserve"> explained that they have not yet done so due to the lack of ABS measures and another two countries</w:t>
      </w:r>
      <w:r w:rsidRPr="00315C1C">
        <w:rPr>
          <w:rFonts w:eastAsia="Calibri"/>
          <w:snapToGrid w:val="0"/>
          <w:kern w:val="22"/>
          <w:szCs w:val="22"/>
          <w:u w:color="000000"/>
          <w:vertAlign w:val="superscript"/>
        </w:rPr>
        <w:footnoteReference w:id="27"/>
      </w:r>
      <w:r w:rsidRPr="00315C1C">
        <w:rPr>
          <w:rFonts w:eastAsia="Calibri"/>
          <w:snapToGrid w:val="0"/>
          <w:kern w:val="22"/>
          <w:szCs w:val="22"/>
          <w:u w:color="000000"/>
        </w:rPr>
        <w:t xml:space="preserve"> indicated that the question was not applicable as they did not ha</w:t>
      </w:r>
      <w:r>
        <w:rPr>
          <w:rFonts w:eastAsia="Calibri"/>
          <w:snapToGrid w:val="0"/>
          <w:kern w:val="22"/>
          <w:szCs w:val="22"/>
          <w:u w:color="000000"/>
        </w:rPr>
        <w:t>ve</w:t>
      </w:r>
      <w:r w:rsidRPr="00315C1C">
        <w:rPr>
          <w:rFonts w:eastAsia="Calibri"/>
          <w:snapToGrid w:val="0"/>
          <w:kern w:val="22"/>
          <w:szCs w:val="22"/>
          <w:u w:color="000000"/>
        </w:rPr>
        <w:t xml:space="preserve"> access requirements in place. Some countries also noted that there had not been any relevant cases so far. </w:t>
      </w:r>
      <w:r w:rsidRPr="00315C1C">
        <w:rPr>
          <w:rFonts w:eastAsia="Calibri"/>
          <w:snapToGrid w:val="0"/>
          <w:kern w:val="22"/>
          <w:szCs w:val="22"/>
          <w:u w:color="000000"/>
          <w:vertAlign w:val="superscript"/>
        </w:rPr>
        <w:footnoteReference w:id="28"/>
      </w:r>
    </w:p>
    <w:p w:rsidR="00D52F3B" w:rsidRPr="008111CC" w:rsidRDefault="00D52F3B" w:rsidP="00D52F3B">
      <w:pPr>
        <w:pStyle w:val="ListParagraph"/>
        <w:numPr>
          <w:ilvl w:val="0"/>
          <w:numId w:val="20"/>
        </w:numPr>
        <w:pBdr>
          <w:top w:val="nil"/>
          <w:left w:val="nil"/>
          <w:bottom w:val="nil"/>
          <w:right w:val="nil"/>
          <w:between w:val="nil"/>
          <w:bar w:val="nil"/>
        </w:pBdr>
        <w:spacing w:before="120" w:after="120" w:line="228" w:lineRule="auto"/>
        <w:rPr>
          <w:rFonts w:eastAsia="Calibri"/>
          <w:b/>
          <w:i/>
          <w:snapToGrid w:val="0"/>
          <w:kern w:val="22"/>
          <w:szCs w:val="22"/>
          <w:u w:color="000000"/>
        </w:rPr>
      </w:pPr>
      <w:r w:rsidRPr="008111CC">
        <w:rPr>
          <w:rFonts w:eastAsia="Calibri"/>
          <w:b/>
          <w:i/>
          <w:snapToGrid w:val="0"/>
          <w:kern w:val="22"/>
          <w:szCs w:val="22"/>
          <w:u w:color="000000"/>
        </w:rPr>
        <w:t xml:space="preserve"> </w:t>
      </w:r>
      <w:r w:rsidRPr="008111CC">
        <w:rPr>
          <w:rFonts w:eastAsia="Calibri" w:cs="Arial Unicode MS"/>
          <w:b/>
          <w:i/>
          <w:snapToGrid w:val="0"/>
          <w:kern w:val="22"/>
          <w:szCs w:val="22"/>
          <w:u w:color="000000"/>
        </w:rPr>
        <w:t xml:space="preserve">In the development and implementation of ABS legislation or regulatory requirements has your country taken into consideration the need for expeditious access to genetic resources and expeditious fair and equitable sharing of benefits arising out of the use of such genetic resources, including access to affordable treatments by those in need, especially, in developing countries as provided in Article 8(b) </w:t>
      </w:r>
    </w:p>
    <w:p w:rsidR="00D52F3B" w:rsidRPr="00315C1C" w:rsidRDefault="00D52F3B" w:rsidP="00D52F3B">
      <w:pPr>
        <w:numPr>
          <w:ilvl w:val="0"/>
          <w:numId w:val="23"/>
        </w:numPr>
        <w:pBdr>
          <w:top w:val="nil"/>
          <w:left w:val="nil"/>
          <w:bottom w:val="nil"/>
          <w:right w:val="nil"/>
          <w:between w:val="nil"/>
          <w:bar w:val="nil"/>
        </w:pBdr>
        <w:spacing w:before="120" w:after="120"/>
        <w:rPr>
          <w:snapToGrid w:val="0"/>
          <w:szCs w:val="18"/>
          <w:u w:color="000000"/>
        </w:rPr>
      </w:pPr>
      <w:r>
        <w:rPr>
          <w:snapToGrid w:val="0"/>
          <w:szCs w:val="18"/>
          <w:u w:color="000000"/>
        </w:rPr>
        <w:t xml:space="preserve">Out of 75 countries, 26 </w:t>
      </w:r>
      <w:r w:rsidRPr="00315C1C">
        <w:rPr>
          <w:snapToGrid w:val="0"/>
          <w:szCs w:val="18"/>
          <w:u w:color="000000"/>
        </w:rPr>
        <w:t xml:space="preserve">Parties and one non-Party stated that they had taken into consideration the need for expeditious access and expeditious benefit-sharing in the development and implementation of ABS legislation or regulatory requirements, while </w:t>
      </w:r>
      <w:r>
        <w:rPr>
          <w:snapToGrid w:val="0"/>
          <w:szCs w:val="18"/>
          <w:u w:color="000000"/>
        </w:rPr>
        <w:t xml:space="preserve">43 </w:t>
      </w:r>
      <w:r w:rsidRPr="00315C1C">
        <w:rPr>
          <w:snapToGrid w:val="0"/>
          <w:szCs w:val="18"/>
          <w:u w:color="000000"/>
        </w:rPr>
        <w:t xml:space="preserve">Parties and </w:t>
      </w:r>
      <w:r>
        <w:rPr>
          <w:snapToGrid w:val="0"/>
          <w:szCs w:val="18"/>
          <w:u w:color="000000"/>
        </w:rPr>
        <w:t xml:space="preserve">5 </w:t>
      </w:r>
      <w:r w:rsidRPr="00315C1C">
        <w:rPr>
          <w:snapToGrid w:val="0"/>
          <w:szCs w:val="18"/>
          <w:u w:color="000000"/>
        </w:rPr>
        <w:t xml:space="preserve">non-Parties reported not having taken such </w:t>
      </w:r>
      <w:r>
        <w:rPr>
          <w:snapToGrid w:val="0"/>
          <w:szCs w:val="18"/>
          <w:u w:color="000000"/>
        </w:rPr>
        <w:t xml:space="preserve">a need into </w:t>
      </w:r>
      <w:r w:rsidRPr="00315C1C">
        <w:rPr>
          <w:snapToGrid w:val="0"/>
          <w:szCs w:val="18"/>
          <w:u w:color="000000"/>
        </w:rPr>
        <w:t xml:space="preserve">consideration.  </w:t>
      </w:r>
    </w:p>
    <w:p w:rsidR="00D52F3B" w:rsidRPr="00315C1C" w:rsidRDefault="00D52F3B" w:rsidP="00D52F3B">
      <w:pPr>
        <w:keepNext/>
        <w:keepLines/>
        <w:pBdr>
          <w:top w:val="nil"/>
          <w:left w:val="nil"/>
          <w:bottom w:val="nil"/>
          <w:right w:val="nil"/>
          <w:between w:val="nil"/>
          <w:bar w:val="nil"/>
        </w:pBdr>
        <w:spacing w:after="200"/>
        <w:jc w:val="center"/>
        <w:rPr>
          <w:rFonts w:eastAsia="Calibri" w:hAnsi="Arial Unicode MS"/>
          <w:bCs/>
          <w:i/>
          <w:snapToGrid w:val="0"/>
          <w:kern w:val="22"/>
          <w:szCs w:val="18"/>
          <w:u w:color="000000"/>
        </w:rPr>
      </w:pPr>
      <w:r w:rsidRPr="00315C1C">
        <w:rPr>
          <w:rFonts w:eastAsia="Arial Unicode MS" w:hAnsi="Arial Unicode MS" w:cs="Arial Unicode MS"/>
          <w:bCs/>
          <w:i/>
          <w:szCs w:val="18"/>
          <w:u w:color="000000"/>
          <w:bdr w:val="nil"/>
        </w:rPr>
        <w:t xml:space="preserve">Graph </w:t>
      </w:r>
      <w:r w:rsidRPr="00315C1C">
        <w:rPr>
          <w:rFonts w:eastAsia="Arial Unicode MS" w:hAnsi="Arial Unicode MS" w:cs="Arial Unicode MS"/>
          <w:bCs/>
          <w:i/>
          <w:szCs w:val="18"/>
          <w:u w:color="000000"/>
          <w:bdr w:val="nil"/>
        </w:rPr>
        <w:fldChar w:fldCharType="begin"/>
      </w:r>
      <w:r w:rsidRPr="00315C1C">
        <w:rPr>
          <w:rFonts w:eastAsia="Arial Unicode MS" w:hAnsi="Arial Unicode MS" w:cs="Arial Unicode MS"/>
          <w:bCs/>
          <w:i/>
          <w:szCs w:val="18"/>
          <w:u w:color="000000"/>
          <w:bdr w:val="nil"/>
        </w:rPr>
        <w:instrText xml:space="preserve"> SEQ Graph \* ARABIC </w:instrText>
      </w:r>
      <w:r w:rsidRPr="00315C1C">
        <w:rPr>
          <w:rFonts w:eastAsia="Arial Unicode MS" w:hAnsi="Arial Unicode MS" w:cs="Arial Unicode MS"/>
          <w:bCs/>
          <w:i/>
          <w:szCs w:val="18"/>
          <w:u w:color="000000"/>
          <w:bdr w:val="nil"/>
        </w:rPr>
        <w:fldChar w:fldCharType="separate"/>
      </w:r>
      <w:r w:rsidR="00EB63A1">
        <w:rPr>
          <w:rFonts w:eastAsia="Arial Unicode MS" w:hAnsi="Arial Unicode MS" w:cs="Arial Unicode MS"/>
          <w:bCs/>
          <w:i/>
          <w:noProof/>
          <w:szCs w:val="18"/>
          <w:u w:color="000000"/>
          <w:bdr w:val="nil"/>
        </w:rPr>
        <w:t>1</w:t>
      </w:r>
      <w:r w:rsidRPr="00315C1C">
        <w:rPr>
          <w:rFonts w:eastAsia="Arial Unicode MS" w:hAnsi="Arial Unicode MS" w:cs="Arial Unicode MS"/>
          <w:bCs/>
          <w:i/>
          <w:szCs w:val="18"/>
          <w:u w:color="000000"/>
          <w:bdr w:val="nil"/>
        </w:rPr>
        <w:fldChar w:fldCharType="end"/>
      </w:r>
      <w:r w:rsidRPr="00315C1C">
        <w:rPr>
          <w:rFonts w:eastAsia="Calibri" w:hAnsi="Arial Unicode MS"/>
          <w:bCs/>
          <w:i/>
          <w:snapToGrid w:val="0"/>
          <w:kern w:val="22"/>
          <w:szCs w:val="18"/>
          <w:u w:color="000000"/>
        </w:rPr>
        <w:t xml:space="preserve">: Consideration of the </w:t>
      </w:r>
      <w:r w:rsidRPr="00315C1C">
        <w:rPr>
          <w:rFonts w:eastAsia="Arial Unicode MS" w:hAnsi="Arial Unicode MS" w:cs="Arial Unicode MS"/>
          <w:bCs/>
          <w:i/>
          <w:snapToGrid w:val="0"/>
          <w:szCs w:val="18"/>
          <w:u w:color="000000"/>
        </w:rPr>
        <w:t>need for expeditious access and expeditious benefit-sharing</w:t>
      </w:r>
      <w:r w:rsidRPr="00315C1C">
        <w:rPr>
          <w:rFonts w:eastAsia="Calibri" w:hAnsi="Arial Unicode MS"/>
          <w:bCs/>
          <w:i/>
          <w:snapToGrid w:val="0"/>
          <w:kern w:val="22"/>
          <w:szCs w:val="18"/>
          <w:u w:color="000000"/>
        </w:rPr>
        <w:t xml:space="preserve"> (percentage of countries)</w:t>
      </w:r>
    </w:p>
    <w:p w:rsidR="00D52F3B" w:rsidRDefault="00D52F3B" w:rsidP="00D52F3B">
      <w:pPr>
        <w:pBdr>
          <w:top w:val="nil"/>
          <w:left w:val="nil"/>
          <w:bottom w:val="nil"/>
          <w:right w:val="nil"/>
          <w:between w:val="nil"/>
          <w:bar w:val="nil"/>
        </w:pBdr>
        <w:spacing w:before="120" w:after="120"/>
        <w:jc w:val="center"/>
        <w:rPr>
          <w:rFonts w:eastAsia="Arial Unicode MS" w:hAnsi="Arial Unicode MS"/>
          <w:noProof/>
          <w:szCs w:val="22"/>
          <w:u w:color="000000"/>
          <w:bdr w:val="nil"/>
          <w:lang w:val="en-US"/>
        </w:rPr>
      </w:pPr>
      <w:r>
        <w:rPr>
          <w:noProof/>
          <w:lang w:val="en-CA" w:eastAsia="en-CA"/>
        </w:rPr>
        <w:drawing>
          <wp:inline distT="0" distB="0" distL="0" distR="0" wp14:anchorId="2FF29DFE" wp14:editId="09A3DF69">
            <wp:extent cx="4267200" cy="2276475"/>
            <wp:effectExtent l="0" t="0" r="1905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315C1C" w:rsidDel="004D4524">
        <w:rPr>
          <w:rFonts w:eastAsia="Arial Unicode MS" w:hAnsi="Arial Unicode MS"/>
          <w:noProof/>
          <w:szCs w:val="22"/>
          <w:u w:color="000000"/>
          <w:bdr w:val="nil"/>
          <w:lang w:val="en-US"/>
        </w:rPr>
        <w:t xml:space="preserve"> </w:t>
      </w:r>
    </w:p>
    <w:p w:rsidR="00D52F3B" w:rsidRPr="00315C1C" w:rsidRDefault="00D52F3B" w:rsidP="00D52F3B">
      <w:pPr>
        <w:pBdr>
          <w:top w:val="nil"/>
          <w:left w:val="nil"/>
          <w:bottom w:val="nil"/>
          <w:right w:val="nil"/>
          <w:between w:val="nil"/>
          <w:bar w:val="nil"/>
        </w:pBdr>
        <w:spacing w:before="120" w:after="120"/>
        <w:jc w:val="center"/>
        <w:rPr>
          <w:snapToGrid w:val="0"/>
          <w:szCs w:val="18"/>
          <w:u w:color="000000"/>
        </w:rPr>
      </w:pPr>
    </w:p>
    <w:p w:rsidR="00D52F3B" w:rsidRPr="00315C1C" w:rsidRDefault="00D52F3B" w:rsidP="00D52F3B">
      <w:pPr>
        <w:pBdr>
          <w:top w:val="nil"/>
          <w:left w:val="nil"/>
          <w:bottom w:val="nil"/>
          <w:right w:val="nil"/>
          <w:between w:val="nil"/>
          <w:bar w:val="nil"/>
        </w:pBdr>
        <w:rPr>
          <w:rFonts w:eastAsia="Calibri"/>
          <w:b/>
          <w:i/>
          <w:snapToGrid w:val="0"/>
          <w:kern w:val="22"/>
          <w:szCs w:val="22"/>
          <w:u w:color="000000"/>
        </w:rPr>
      </w:pPr>
      <w:r w:rsidRPr="00315C1C">
        <w:rPr>
          <w:rFonts w:eastAsia="Calibri"/>
          <w:b/>
          <w:i/>
          <w:snapToGrid w:val="0"/>
          <w:kern w:val="22"/>
          <w:szCs w:val="22"/>
          <w:u w:color="000000"/>
        </w:rPr>
        <w:t>(a)</w:t>
      </w:r>
      <w:r w:rsidRPr="00315C1C">
        <w:rPr>
          <w:rFonts w:eastAsia="Calibri"/>
          <w:b/>
          <w:i/>
          <w:snapToGrid w:val="0"/>
          <w:kern w:val="22"/>
          <w:szCs w:val="22"/>
          <w:u w:color="000000"/>
        </w:rPr>
        <w:tab/>
        <w:t>Countries that answered “yes”</w:t>
      </w:r>
    </w:p>
    <w:p w:rsidR="00D52F3B" w:rsidRPr="00315C1C" w:rsidRDefault="00D52F3B" w:rsidP="00D52F3B">
      <w:pPr>
        <w:numPr>
          <w:ilvl w:val="0"/>
          <w:numId w:val="23"/>
        </w:numPr>
        <w:pBdr>
          <w:top w:val="nil"/>
          <w:left w:val="nil"/>
          <w:bottom w:val="nil"/>
          <w:right w:val="nil"/>
          <w:between w:val="nil"/>
          <w:bar w:val="nil"/>
        </w:pBdr>
        <w:spacing w:before="120" w:after="120"/>
        <w:rPr>
          <w:rFonts w:eastAsia="Calibri"/>
          <w:noProof/>
          <w:snapToGrid w:val="0"/>
          <w:kern w:val="22"/>
          <w:szCs w:val="22"/>
          <w:u w:color="000000"/>
        </w:rPr>
      </w:pPr>
      <w:r w:rsidRPr="00315C1C">
        <w:rPr>
          <w:rFonts w:eastAsia="Calibri"/>
          <w:snapToGrid w:val="0"/>
          <w:kern w:val="22"/>
          <w:szCs w:val="22"/>
          <w:u w:color="000000"/>
        </w:rPr>
        <w:lastRenderedPageBreak/>
        <w:t>Some countries referred to existing ABS measures</w:t>
      </w:r>
      <w:r w:rsidRPr="00315C1C">
        <w:rPr>
          <w:rFonts w:eastAsia="Calibri"/>
          <w:snapToGrid w:val="0"/>
          <w:kern w:val="22"/>
          <w:szCs w:val="22"/>
          <w:u w:color="000000"/>
          <w:vertAlign w:val="superscript"/>
        </w:rPr>
        <w:footnoteReference w:id="29"/>
      </w:r>
      <w:r w:rsidRPr="00315C1C">
        <w:rPr>
          <w:rFonts w:eastAsia="Calibri"/>
          <w:snapToGrid w:val="0"/>
          <w:kern w:val="22"/>
          <w:szCs w:val="22"/>
          <w:u w:color="000000"/>
        </w:rPr>
        <w:t xml:space="preserve"> addressing this issue or to draft measures under development or approval</w:t>
      </w:r>
      <w:r w:rsidRPr="00315C1C">
        <w:rPr>
          <w:rFonts w:eastAsia="Calibri"/>
          <w:snapToGrid w:val="0"/>
          <w:kern w:val="22"/>
          <w:szCs w:val="22"/>
          <w:u w:color="000000"/>
          <w:vertAlign w:val="superscript"/>
        </w:rPr>
        <w:footnoteReference w:id="30"/>
      </w:r>
      <w:r w:rsidRPr="00315C1C">
        <w:rPr>
          <w:rFonts w:eastAsia="Calibri"/>
          <w:noProof/>
          <w:snapToGrid w:val="0"/>
          <w:kern w:val="22"/>
          <w:szCs w:val="22"/>
          <w:u w:color="000000"/>
        </w:rPr>
        <w:t>. Some countries</w:t>
      </w:r>
      <w:r w:rsidRPr="00315C1C">
        <w:rPr>
          <w:rFonts w:eastAsia="Calibri"/>
          <w:noProof/>
          <w:snapToGrid w:val="0"/>
          <w:kern w:val="22"/>
          <w:szCs w:val="22"/>
          <w:u w:color="000000"/>
          <w:vertAlign w:val="superscript"/>
        </w:rPr>
        <w:footnoteReference w:id="31"/>
      </w:r>
      <w:r w:rsidRPr="00315C1C">
        <w:rPr>
          <w:rFonts w:eastAsia="Calibri"/>
          <w:noProof/>
          <w:snapToGrid w:val="0"/>
          <w:kern w:val="22"/>
          <w:szCs w:val="22"/>
          <w:u w:color="000000"/>
        </w:rPr>
        <w:t xml:space="preserve"> reported having relevant mechanisms in place to address</w:t>
      </w:r>
      <w:r w:rsidRPr="00315C1C">
        <w:rPr>
          <w:rFonts w:eastAsia="Calibri"/>
          <w:noProof/>
          <w:snapToGrid w:val="0"/>
          <w:color w:val="FF0000"/>
          <w:kern w:val="22"/>
          <w:szCs w:val="22"/>
          <w:u w:color="000000"/>
        </w:rPr>
        <w:t xml:space="preserve"> </w:t>
      </w:r>
      <w:r w:rsidRPr="00315C1C">
        <w:rPr>
          <w:rFonts w:eastAsia="Calibri"/>
          <w:noProof/>
          <w:snapToGrid w:val="0"/>
          <w:kern w:val="22"/>
          <w:szCs w:val="22"/>
          <w:u w:color="000000"/>
        </w:rPr>
        <w:t>expeditious access and expeditious benefit-sharing</w:t>
      </w:r>
      <w:r>
        <w:rPr>
          <w:rFonts w:eastAsia="Calibri"/>
          <w:noProof/>
          <w:snapToGrid w:val="0"/>
          <w:kern w:val="22"/>
          <w:szCs w:val="22"/>
          <w:u w:color="000000"/>
        </w:rPr>
        <w:t>,</w:t>
      </w:r>
      <w:r w:rsidRPr="00315C1C">
        <w:rPr>
          <w:rFonts w:eastAsia="Calibri"/>
          <w:noProof/>
          <w:snapToGrid w:val="0"/>
          <w:kern w:val="22"/>
          <w:szCs w:val="22"/>
          <w:u w:color="000000"/>
        </w:rPr>
        <w:t xml:space="preserve"> </w:t>
      </w:r>
      <w:r>
        <w:rPr>
          <w:rFonts w:eastAsia="Calibri"/>
          <w:noProof/>
          <w:snapToGrid w:val="0"/>
          <w:kern w:val="22"/>
          <w:szCs w:val="22"/>
          <w:u w:color="000000"/>
        </w:rPr>
        <w:t>including</w:t>
      </w:r>
      <w:r w:rsidRPr="00AE51B8">
        <w:rPr>
          <w:rFonts w:eastAsia="Calibri"/>
          <w:noProof/>
          <w:snapToGrid w:val="0"/>
          <w:kern w:val="22"/>
          <w:szCs w:val="22"/>
          <w:u w:color="000000"/>
        </w:rPr>
        <w:t xml:space="preserve"> one Party</w:t>
      </w:r>
      <w:r w:rsidRPr="00315C1C">
        <w:rPr>
          <w:rFonts w:eastAsia="Calibri"/>
          <w:noProof/>
          <w:snapToGrid w:val="0"/>
          <w:kern w:val="22"/>
          <w:szCs w:val="22"/>
          <w:u w:color="000000"/>
          <w:vertAlign w:val="superscript"/>
        </w:rPr>
        <w:footnoteReference w:id="32"/>
      </w:r>
      <w:r w:rsidRPr="00AE51B8">
        <w:rPr>
          <w:rFonts w:eastAsia="Calibri"/>
          <w:noProof/>
          <w:snapToGrid w:val="0"/>
          <w:kern w:val="22"/>
          <w:szCs w:val="22"/>
          <w:u w:color="000000"/>
        </w:rPr>
        <w:t xml:space="preserve"> </w:t>
      </w:r>
      <w:r>
        <w:rPr>
          <w:rFonts w:eastAsia="Calibri"/>
          <w:noProof/>
          <w:snapToGrid w:val="0"/>
          <w:kern w:val="22"/>
          <w:szCs w:val="22"/>
          <w:u w:color="000000"/>
        </w:rPr>
        <w:t xml:space="preserve">who </w:t>
      </w:r>
      <w:r w:rsidRPr="00AE51B8">
        <w:rPr>
          <w:rFonts w:eastAsia="Calibri"/>
          <w:noProof/>
          <w:snapToGrid w:val="0"/>
          <w:kern w:val="22"/>
          <w:szCs w:val="22"/>
          <w:u w:color="000000"/>
        </w:rPr>
        <w:t xml:space="preserve">stated that even though they had such mechanisms in place, </w:t>
      </w:r>
      <w:r w:rsidRPr="00315C1C">
        <w:rPr>
          <w:rFonts w:eastAsia="Calibri"/>
          <w:noProof/>
          <w:snapToGrid w:val="0"/>
          <w:kern w:val="22"/>
          <w:szCs w:val="22"/>
          <w:u w:color="000000"/>
        </w:rPr>
        <w:t>Article 8(b) would be given du</w:t>
      </w:r>
      <w:r>
        <w:rPr>
          <w:rFonts w:eastAsia="Calibri"/>
          <w:noProof/>
          <w:snapToGrid w:val="0"/>
          <w:kern w:val="22"/>
          <w:szCs w:val="22"/>
          <w:u w:color="000000"/>
        </w:rPr>
        <w:t>e</w:t>
      </w:r>
      <w:r w:rsidRPr="00315C1C">
        <w:rPr>
          <w:rFonts w:eastAsia="Calibri"/>
          <w:noProof/>
          <w:snapToGrid w:val="0"/>
          <w:kern w:val="22"/>
          <w:szCs w:val="22"/>
          <w:u w:color="000000"/>
        </w:rPr>
        <w:t xml:space="preserve"> consideration in the development/review of their ABS measures.</w:t>
      </w:r>
      <w:r w:rsidRPr="00315C1C">
        <w:rPr>
          <w:rFonts w:eastAsia="Calibri"/>
          <w:noProof/>
          <w:snapToGrid w:val="0"/>
          <w:kern w:val="22"/>
          <w:szCs w:val="22"/>
          <w:u w:color="000000"/>
          <w:vertAlign w:val="superscript"/>
        </w:rPr>
        <w:t xml:space="preserve"> </w:t>
      </w:r>
      <w:r w:rsidRPr="00315C1C">
        <w:rPr>
          <w:rFonts w:eastAsia="Calibri"/>
          <w:noProof/>
          <w:snapToGrid w:val="0"/>
          <w:kern w:val="22"/>
          <w:szCs w:val="22"/>
          <w:u w:color="000000"/>
        </w:rPr>
        <w:t xml:space="preserve"> A country</w:t>
      </w:r>
      <w:r w:rsidRPr="00315C1C">
        <w:rPr>
          <w:rFonts w:eastAsia="Calibri"/>
          <w:noProof/>
          <w:snapToGrid w:val="0"/>
          <w:kern w:val="22"/>
          <w:szCs w:val="22"/>
          <w:u w:color="000000"/>
          <w:vertAlign w:val="superscript"/>
        </w:rPr>
        <w:footnoteReference w:id="33"/>
      </w:r>
      <w:r w:rsidRPr="00315C1C">
        <w:rPr>
          <w:rFonts w:eastAsia="Calibri"/>
          <w:noProof/>
          <w:snapToGrid w:val="0"/>
          <w:kern w:val="22"/>
          <w:szCs w:val="22"/>
          <w:u w:color="000000"/>
        </w:rPr>
        <w:t xml:space="preserve"> answered “yes” to this question on the basis of not requiring access authorization in their country. </w:t>
      </w:r>
    </w:p>
    <w:p w:rsidR="00D52F3B" w:rsidRPr="00315C1C" w:rsidRDefault="00D52F3B" w:rsidP="00D52F3B">
      <w:pPr>
        <w:numPr>
          <w:ilvl w:val="0"/>
          <w:numId w:val="23"/>
        </w:numPr>
        <w:pBdr>
          <w:top w:val="nil"/>
          <w:left w:val="nil"/>
          <w:bottom w:val="nil"/>
          <w:right w:val="nil"/>
          <w:between w:val="nil"/>
          <w:bar w:val="nil"/>
        </w:pBdr>
        <w:spacing w:before="120" w:after="120"/>
        <w:rPr>
          <w:snapToGrid w:val="0"/>
          <w:szCs w:val="18"/>
          <w:u w:color="000000"/>
        </w:rPr>
      </w:pPr>
      <w:r w:rsidRPr="00315C1C">
        <w:rPr>
          <w:snapToGrid w:val="0"/>
          <w:szCs w:val="18"/>
          <w:u w:color="000000"/>
        </w:rPr>
        <w:t xml:space="preserve">Answers provided were </w:t>
      </w:r>
      <w:proofErr w:type="gramStart"/>
      <w:r w:rsidRPr="00315C1C">
        <w:rPr>
          <w:snapToGrid w:val="0"/>
          <w:szCs w:val="18"/>
          <w:u w:color="000000"/>
        </w:rPr>
        <w:t>similar to</w:t>
      </w:r>
      <w:proofErr w:type="gramEnd"/>
      <w:r w:rsidRPr="00315C1C">
        <w:rPr>
          <w:snapToGrid w:val="0"/>
          <w:szCs w:val="18"/>
          <w:u w:color="000000"/>
        </w:rPr>
        <w:t xml:space="preserve"> those </w:t>
      </w:r>
      <w:r>
        <w:rPr>
          <w:snapToGrid w:val="0"/>
          <w:szCs w:val="18"/>
          <w:u w:color="000000"/>
        </w:rPr>
        <w:t xml:space="preserve">provided to the </w:t>
      </w:r>
      <w:r w:rsidRPr="00315C1C">
        <w:rPr>
          <w:snapToGrid w:val="0"/>
          <w:szCs w:val="18"/>
          <w:u w:color="000000"/>
        </w:rPr>
        <w:t xml:space="preserve">question above (due regard to cases of present or imminent emergencies). Additional information provided by countries include the following: </w:t>
      </w:r>
    </w:p>
    <w:p w:rsidR="00D52F3B" w:rsidRPr="00315C1C" w:rsidRDefault="00F15663" w:rsidP="00D52F3B">
      <w:pPr>
        <w:numPr>
          <w:ilvl w:val="1"/>
          <w:numId w:val="2"/>
        </w:numPr>
        <w:pBdr>
          <w:top w:val="nil"/>
          <w:left w:val="nil"/>
          <w:bottom w:val="nil"/>
          <w:right w:val="nil"/>
          <w:between w:val="nil"/>
          <w:bar w:val="nil"/>
        </w:pBdr>
        <w:spacing w:before="120" w:after="120"/>
        <w:rPr>
          <w:rFonts w:cs="Arial Unicode MS"/>
          <w:snapToGrid w:val="0"/>
          <w:szCs w:val="18"/>
          <w:u w:color="000000"/>
        </w:rPr>
      </w:pPr>
      <w:r>
        <w:rPr>
          <w:snapToGrid w:val="0"/>
          <w:szCs w:val="18"/>
          <w:u w:color="000000"/>
        </w:rPr>
        <w:t>C</w:t>
      </w:r>
      <w:r w:rsidR="00D52F3B" w:rsidRPr="00315C1C">
        <w:rPr>
          <w:rFonts w:eastAsia="Calibri" w:cs="Arial Unicode MS"/>
          <w:snapToGrid w:val="0"/>
          <w:kern w:val="22"/>
          <w:szCs w:val="22"/>
          <w:u w:color="000000"/>
        </w:rPr>
        <w:t>hina</w:t>
      </w:r>
      <w:r w:rsidR="00D52F3B" w:rsidRPr="00315C1C">
        <w:rPr>
          <w:rFonts w:cs="Arial Unicode MS"/>
          <w:snapToGrid w:val="0"/>
          <w:szCs w:val="18"/>
          <w:u w:color="000000"/>
        </w:rPr>
        <w:t xml:space="preserve"> reported that in accordance with the International Health Regulations (2005) the country reports in a timely manner to the World Health Organization and the World Organisation for Animal Health about confirmed cases and publishes updated data on epidemics, shares relevant information with relevant organizations and their members, and reports on China’s progress in preventing and controlling epidemics. China explained that </w:t>
      </w:r>
      <w:r w:rsidR="00D52F3B">
        <w:rPr>
          <w:rFonts w:cs="Arial Unicode MS"/>
          <w:snapToGrid w:val="0"/>
          <w:szCs w:val="18"/>
          <w:u w:color="000000"/>
        </w:rPr>
        <w:t>its</w:t>
      </w:r>
      <w:r w:rsidR="00D52F3B" w:rsidRPr="00315C1C">
        <w:rPr>
          <w:rFonts w:cs="Arial Unicode MS"/>
          <w:snapToGrid w:val="0"/>
          <w:szCs w:val="18"/>
          <w:u w:color="000000"/>
        </w:rPr>
        <w:t xml:space="preserve"> draft </w:t>
      </w:r>
      <w:r w:rsidR="00D52F3B" w:rsidRPr="00315C1C">
        <w:rPr>
          <w:snapToGrid w:val="0"/>
          <w:szCs w:val="18"/>
          <w:u w:color="000000"/>
        </w:rPr>
        <w:t>ABS</w:t>
      </w:r>
      <w:r w:rsidR="00D52F3B" w:rsidRPr="00315C1C">
        <w:rPr>
          <w:rFonts w:cs="Arial Unicode MS"/>
          <w:snapToGrid w:val="0"/>
          <w:szCs w:val="18"/>
          <w:u w:color="000000"/>
        </w:rPr>
        <w:t xml:space="preserve"> regulation will be consistent with and mutually supportive </w:t>
      </w:r>
      <w:r w:rsidR="00D52F3B">
        <w:rPr>
          <w:rFonts w:cs="Arial Unicode MS"/>
          <w:snapToGrid w:val="0"/>
          <w:szCs w:val="18"/>
          <w:u w:color="000000"/>
        </w:rPr>
        <w:t>of</w:t>
      </w:r>
      <w:r w:rsidR="00D52F3B" w:rsidRPr="00315C1C">
        <w:rPr>
          <w:rFonts w:cs="Arial Unicode MS"/>
          <w:snapToGrid w:val="0"/>
          <w:szCs w:val="18"/>
          <w:u w:color="000000"/>
        </w:rPr>
        <w:t xml:space="preserve"> those international treaties and conventions </w:t>
      </w:r>
      <w:r w:rsidR="00D52F3B">
        <w:rPr>
          <w:rFonts w:cs="Arial Unicode MS"/>
          <w:snapToGrid w:val="0"/>
          <w:szCs w:val="18"/>
          <w:u w:color="000000"/>
        </w:rPr>
        <w:t>the country</w:t>
      </w:r>
      <w:r w:rsidR="00D52F3B" w:rsidRPr="00315C1C">
        <w:rPr>
          <w:rFonts w:cs="Arial Unicode MS"/>
          <w:snapToGrid w:val="0"/>
          <w:szCs w:val="18"/>
          <w:u w:color="000000"/>
        </w:rPr>
        <w:t xml:space="preserve"> has ratified or acceded to, with adequate consideration given to existing mechanisms.</w:t>
      </w:r>
    </w:p>
    <w:p w:rsidR="00F15663" w:rsidRDefault="00D52F3B" w:rsidP="00D52F3B">
      <w:pPr>
        <w:numPr>
          <w:ilvl w:val="1"/>
          <w:numId w:val="2"/>
        </w:numPr>
        <w:pBdr>
          <w:top w:val="nil"/>
          <w:left w:val="nil"/>
          <w:bottom w:val="nil"/>
          <w:right w:val="nil"/>
          <w:between w:val="nil"/>
          <w:bar w:val="nil"/>
        </w:pBdr>
        <w:spacing w:before="120" w:after="120"/>
        <w:rPr>
          <w:rFonts w:cs="Arial Unicode MS"/>
          <w:snapToGrid w:val="0"/>
          <w:szCs w:val="18"/>
          <w:u w:color="000000"/>
        </w:rPr>
      </w:pPr>
      <w:r w:rsidRPr="00315C1C">
        <w:rPr>
          <w:rFonts w:cs="Arial Unicode MS"/>
          <w:snapToGrid w:val="0"/>
          <w:szCs w:val="18"/>
          <w:u w:color="000000"/>
        </w:rPr>
        <w:t xml:space="preserve">Peru emphasised the importance of expeditious benefit-sharing in exchange for access to pathogens and in that </w:t>
      </w:r>
      <w:proofErr w:type="gramStart"/>
      <w:r w:rsidRPr="00315C1C">
        <w:rPr>
          <w:rFonts w:cs="Arial Unicode MS"/>
          <w:snapToGrid w:val="0"/>
          <w:szCs w:val="18"/>
          <w:u w:color="000000"/>
        </w:rPr>
        <w:t>regard</w:t>
      </w:r>
      <w:proofErr w:type="gramEnd"/>
      <w:r w:rsidRPr="00315C1C">
        <w:rPr>
          <w:rFonts w:cs="Arial Unicode MS"/>
          <w:snapToGrid w:val="0"/>
          <w:szCs w:val="18"/>
          <w:u w:color="000000"/>
        </w:rPr>
        <w:t xml:space="preserve"> they consider: (a) establishing expeditious procedures for access without undermining the need for PIC and MAT; (b) the confidential nature of information on pathogens accessed; </w:t>
      </w:r>
    </w:p>
    <w:p w:rsidR="00D52F3B" w:rsidRPr="00315C1C" w:rsidRDefault="00D52F3B" w:rsidP="00D52F3B">
      <w:pPr>
        <w:numPr>
          <w:ilvl w:val="1"/>
          <w:numId w:val="2"/>
        </w:numPr>
        <w:pBdr>
          <w:top w:val="nil"/>
          <w:left w:val="nil"/>
          <w:bottom w:val="nil"/>
          <w:right w:val="nil"/>
          <w:between w:val="nil"/>
          <w:bar w:val="nil"/>
        </w:pBdr>
        <w:spacing w:before="120" w:after="120"/>
        <w:rPr>
          <w:rFonts w:cs="Arial Unicode MS"/>
          <w:snapToGrid w:val="0"/>
          <w:szCs w:val="18"/>
          <w:u w:color="000000"/>
        </w:rPr>
      </w:pPr>
      <w:r w:rsidRPr="00315C1C">
        <w:rPr>
          <w:rFonts w:cs="Arial Unicode MS"/>
          <w:snapToGrid w:val="0"/>
          <w:szCs w:val="18"/>
          <w:u w:color="000000"/>
        </w:rPr>
        <w:t>(c) the interest of the country to benefit from access to vaccines and to freely distribute them among public entities and affected communities; and (d) the interest of the country to benefit from cooperation mechanisms with other countries to enhance the capacities and infrastructure of national research institutions.</w:t>
      </w:r>
    </w:p>
    <w:p w:rsidR="00D52F3B" w:rsidRPr="00315C1C" w:rsidRDefault="00D52F3B" w:rsidP="00D52F3B">
      <w:pPr>
        <w:pBdr>
          <w:top w:val="nil"/>
          <w:left w:val="nil"/>
          <w:bottom w:val="nil"/>
          <w:right w:val="nil"/>
          <w:between w:val="nil"/>
          <w:bar w:val="nil"/>
        </w:pBdr>
        <w:spacing w:before="120" w:after="120"/>
        <w:rPr>
          <w:b/>
          <w:i/>
          <w:snapToGrid w:val="0"/>
          <w:szCs w:val="18"/>
          <w:u w:color="000000"/>
        </w:rPr>
      </w:pPr>
      <w:r w:rsidRPr="00315C1C">
        <w:rPr>
          <w:b/>
          <w:i/>
          <w:snapToGrid w:val="0"/>
          <w:szCs w:val="18"/>
          <w:u w:color="000000"/>
        </w:rPr>
        <w:t>(b)</w:t>
      </w:r>
      <w:r w:rsidRPr="00315C1C">
        <w:rPr>
          <w:b/>
          <w:i/>
          <w:snapToGrid w:val="0"/>
          <w:szCs w:val="18"/>
          <w:u w:color="000000"/>
        </w:rPr>
        <w:tab/>
        <w:t>Countries that answered “no”</w:t>
      </w:r>
    </w:p>
    <w:p w:rsidR="00D52F3B" w:rsidRPr="00315C1C" w:rsidRDefault="00D52F3B" w:rsidP="00D52F3B">
      <w:pPr>
        <w:numPr>
          <w:ilvl w:val="0"/>
          <w:numId w:val="23"/>
        </w:numPr>
        <w:pBdr>
          <w:top w:val="nil"/>
          <w:left w:val="nil"/>
          <w:bottom w:val="nil"/>
          <w:right w:val="nil"/>
          <w:between w:val="nil"/>
          <w:bar w:val="nil"/>
        </w:pBdr>
        <w:spacing w:before="120" w:after="120"/>
        <w:rPr>
          <w:snapToGrid w:val="0"/>
          <w:szCs w:val="18"/>
          <w:u w:color="000000"/>
        </w:rPr>
      </w:pPr>
      <w:r w:rsidRPr="00315C1C">
        <w:rPr>
          <w:snapToGrid w:val="0"/>
          <w:szCs w:val="18"/>
          <w:u w:color="000000"/>
        </w:rPr>
        <w:t>Many countries</w:t>
      </w:r>
      <w:r w:rsidRPr="00315C1C">
        <w:rPr>
          <w:snapToGrid w:val="0"/>
          <w:szCs w:val="18"/>
          <w:u w:color="000000"/>
          <w:vertAlign w:val="superscript"/>
        </w:rPr>
        <w:footnoteReference w:id="34"/>
      </w:r>
      <w:r w:rsidRPr="00315C1C">
        <w:rPr>
          <w:snapToGrid w:val="0"/>
          <w:szCs w:val="18"/>
          <w:u w:color="000000"/>
        </w:rPr>
        <w:t xml:space="preserve"> stated that they will consider this issue in the future development or revision of ABS legislation or regulatory requirements. </w:t>
      </w:r>
      <w:proofErr w:type="gramStart"/>
      <w:r w:rsidRPr="00315C1C">
        <w:rPr>
          <w:snapToGrid w:val="0"/>
          <w:szCs w:val="18"/>
          <w:u w:color="000000"/>
        </w:rPr>
        <w:t>A number of</w:t>
      </w:r>
      <w:proofErr w:type="gramEnd"/>
      <w:r w:rsidRPr="00315C1C">
        <w:rPr>
          <w:snapToGrid w:val="0"/>
          <w:szCs w:val="18"/>
          <w:u w:color="000000"/>
        </w:rPr>
        <w:t xml:space="preserve"> countries indicated that there were no access rules, and hence no specific measures for expeditious access</w:t>
      </w:r>
      <w:r w:rsidRPr="00315C1C">
        <w:rPr>
          <w:snapToGrid w:val="0"/>
          <w:szCs w:val="18"/>
          <w:u w:color="000000"/>
          <w:vertAlign w:val="superscript"/>
        </w:rPr>
        <w:footnoteReference w:id="35"/>
      </w:r>
      <w:r w:rsidRPr="00315C1C">
        <w:rPr>
          <w:snapToGrid w:val="0"/>
          <w:szCs w:val="18"/>
          <w:u w:color="000000"/>
        </w:rPr>
        <w:t xml:space="preserve"> and expeditious benefit-sharing</w:t>
      </w:r>
      <w:r w:rsidRPr="00315C1C">
        <w:rPr>
          <w:snapToGrid w:val="0"/>
          <w:szCs w:val="18"/>
          <w:u w:color="000000"/>
          <w:vertAlign w:val="superscript"/>
        </w:rPr>
        <w:footnoteReference w:id="36"/>
      </w:r>
      <w:r w:rsidRPr="00315C1C">
        <w:rPr>
          <w:snapToGrid w:val="0"/>
          <w:szCs w:val="18"/>
          <w:u w:color="000000"/>
        </w:rPr>
        <w:t>. Two countries explained that they have not yet done so due to the lack of ABS measures</w:t>
      </w:r>
      <w:r w:rsidRPr="00315C1C">
        <w:rPr>
          <w:snapToGrid w:val="0"/>
          <w:szCs w:val="18"/>
          <w:u w:color="000000"/>
          <w:vertAlign w:val="superscript"/>
        </w:rPr>
        <w:footnoteReference w:id="37"/>
      </w:r>
      <w:r w:rsidRPr="00315C1C">
        <w:rPr>
          <w:snapToGrid w:val="0"/>
          <w:szCs w:val="18"/>
          <w:u w:color="000000"/>
        </w:rPr>
        <w:t xml:space="preserve"> and one country</w:t>
      </w:r>
      <w:r w:rsidRPr="00315C1C">
        <w:rPr>
          <w:snapToGrid w:val="0"/>
          <w:szCs w:val="18"/>
          <w:u w:color="000000"/>
          <w:vertAlign w:val="superscript"/>
        </w:rPr>
        <w:footnoteReference w:id="38"/>
      </w:r>
      <w:r w:rsidRPr="00315C1C">
        <w:rPr>
          <w:snapToGrid w:val="0"/>
          <w:szCs w:val="18"/>
          <w:u w:color="000000"/>
        </w:rPr>
        <w:t xml:space="preserve"> noted that there have not been any relevant cases so far.  </w:t>
      </w:r>
    </w:p>
    <w:p w:rsidR="00D52F3B" w:rsidRPr="00315C1C" w:rsidRDefault="00D52F3B" w:rsidP="00D52F3B">
      <w:pPr>
        <w:numPr>
          <w:ilvl w:val="0"/>
          <w:numId w:val="23"/>
        </w:numPr>
        <w:pBdr>
          <w:top w:val="nil"/>
          <w:left w:val="nil"/>
          <w:bottom w:val="nil"/>
          <w:right w:val="nil"/>
          <w:between w:val="nil"/>
          <w:bar w:val="nil"/>
        </w:pBdr>
        <w:spacing w:before="120" w:after="120"/>
        <w:rPr>
          <w:snapToGrid w:val="0"/>
          <w:szCs w:val="18"/>
          <w:u w:color="000000"/>
        </w:rPr>
      </w:pPr>
      <w:r w:rsidRPr="00315C1C">
        <w:rPr>
          <w:snapToGrid w:val="0"/>
          <w:szCs w:val="18"/>
          <w:u w:color="000000"/>
        </w:rPr>
        <w:t>Japan indicated that</w:t>
      </w:r>
      <w:r>
        <w:rPr>
          <w:snapToGrid w:val="0"/>
          <w:szCs w:val="18"/>
          <w:u w:color="000000"/>
        </w:rPr>
        <w:t xml:space="preserve"> the</w:t>
      </w:r>
      <w:r w:rsidRPr="00315C1C">
        <w:rPr>
          <w:snapToGrid w:val="0"/>
          <w:szCs w:val="18"/>
          <w:u w:color="000000"/>
        </w:rPr>
        <w:t xml:space="preserve"> </w:t>
      </w:r>
      <w:r w:rsidRPr="000E42E5">
        <w:rPr>
          <w:snapToGrid w:val="0"/>
          <w:szCs w:val="18"/>
          <w:u w:color="000000"/>
        </w:rPr>
        <w:t>Guidelines on Access to Genetic Resources and the Fair and Equitable Sharing of Benefits Arising from Their Utilization</w:t>
      </w:r>
      <w:r>
        <w:rPr>
          <w:rStyle w:val="FootnoteReference"/>
          <w:rFonts w:eastAsiaTheme="majorEastAsia"/>
          <w:snapToGrid w:val="0"/>
          <w:szCs w:val="18"/>
          <w:u w:color="000000"/>
        </w:rPr>
        <w:footnoteReference w:id="39"/>
      </w:r>
      <w:r w:rsidRPr="00315C1C">
        <w:rPr>
          <w:snapToGrid w:val="0"/>
          <w:szCs w:val="18"/>
          <w:u w:color="000000"/>
        </w:rPr>
        <w:t xml:space="preserve"> specify that the procedural requirements in domestic measures based on Articles 15 and 16</w:t>
      </w:r>
      <w:r>
        <w:rPr>
          <w:snapToGrid w:val="0"/>
          <w:szCs w:val="18"/>
          <w:u w:color="000000"/>
        </w:rPr>
        <w:t xml:space="preserve"> of the Nagoya Protocol</w:t>
      </w:r>
      <w:r w:rsidRPr="00315C1C">
        <w:rPr>
          <w:snapToGrid w:val="0"/>
          <w:szCs w:val="18"/>
          <w:u w:color="000000"/>
        </w:rPr>
        <w:t xml:space="preserve"> are relaxed in situations that are deemed emergencies, in accordance with the International Health Regulations of the World Health Organization, or domestic legislation (e.g. Infectious Disease Act) or regulatory requirements. In those cases, the acquirer is to submit a report to prove lawful access within six months of the date on which the terms for deeming that the emergency has been settled are fulfilled.</w:t>
      </w:r>
    </w:p>
    <w:p w:rsidR="00D52F3B" w:rsidRPr="0051513C" w:rsidRDefault="00D52F3B" w:rsidP="00D52F3B">
      <w:pPr>
        <w:pStyle w:val="HEADING"/>
        <w:numPr>
          <w:ilvl w:val="0"/>
          <w:numId w:val="22"/>
        </w:numPr>
      </w:pPr>
      <w:r>
        <w:lastRenderedPageBreak/>
        <w:t>KEY HIGHLIGHTS</w:t>
      </w:r>
    </w:p>
    <w:p w:rsidR="00D52F3B" w:rsidRPr="00F91BD3" w:rsidRDefault="00D52F3B" w:rsidP="00D52F3B">
      <w:pPr>
        <w:pStyle w:val="Para1"/>
        <w:numPr>
          <w:ilvl w:val="0"/>
          <w:numId w:val="2"/>
        </w:numPr>
        <w:tabs>
          <w:tab w:val="clear" w:pos="360"/>
        </w:tabs>
      </w:pPr>
      <w:r>
        <w:t xml:space="preserve">The implementation of the </w:t>
      </w:r>
      <w:r w:rsidRPr="00DE2F43">
        <w:t xml:space="preserve">Nagoya Protocol </w:t>
      </w:r>
      <w:r>
        <w:t xml:space="preserve">is </w:t>
      </w:r>
      <w:r w:rsidRPr="00DE2F43">
        <w:t>a</w:t>
      </w:r>
      <w:r>
        <w:t xml:space="preserve">t a relatively early stage. </w:t>
      </w:r>
      <w:proofErr w:type="gramStart"/>
      <w:r>
        <w:t>A number of</w:t>
      </w:r>
      <w:proofErr w:type="gramEnd"/>
      <w:r>
        <w:t xml:space="preserve"> Parties to the Convention are still ratifying or acceding to the Protocol</w:t>
      </w:r>
      <w:r w:rsidRPr="00F91BD3">
        <w:t xml:space="preserve">.  </w:t>
      </w:r>
    </w:p>
    <w:p w:rsidR="00D52F3B" w:rsidRPr="00F91BD3" w:rsidRDefault="00D52F3B" w:rsidP="00D52F3B">
      <w:pPr>
        <w:pStyle w:val="Para1"/>
        <w:numPr>
          <w:ilvl w:val="0"/>
          <w:numId w:val="2"/>
        </w:numPr>
        <w:tabs>
          <w:tab w:val="clear" w:pos="360"/>
        </w:tabs>
      </w:pPr>
      <w:r w:rsidRPr="00F91BD3">
        <w:t xml:space="preserve">The implementation and operationalization of ABS and the Nagoya Protocol at the national level requires several actions to be taken by Parties, including the establishment or designation of the appropriate institutional structures, and the development or revision of access and benefit-sharing legislative, administrative and policy measures aligned with the requirements of the Nagoya Protocol. For many Parties, this process takes long and can be challenging due to the cross-cutting nature of access and benefit-sharing which is relevant to various sectors and stakeholders. </w:t>
      </w:r>
    </w:p>
    <w:p w:rsidR="00D52F3B" w:rsidRDefault="00D52F3B" w:rsidP="00D52F3B">
      <w:pPr>
        <w:pStyle w:val="Para1"/>
        <w:numPr>
          <w:ilvl w:val="0"/>
          <w:numId w:val="2"/>
        </w:numPr>
        <w:tabs>
          <w:tab w:val="clear" w:pos="360"/>
        </w:tabs>
      </w:pPr>
      <w:r>
        <w:t>Parties, as well as non-Parties, are making progress in implementing the Protocol. Most of the Parties (75 of them) have some measures in place. The i</w:t>
      </w:r>
      <w:r w:rsidRPr="00EA6C11">
        <w:t xml:space="preserve">nformation provided through the interim national reports </w:t>
      </w:r>
      <w:r>
        <w:t xml:space="preserve">indicate </w:t>
      </w:r>
      <w:r w:rsidRPr="00EA6C11">
        <w:t xml:space="preserve">that </w:t>
      </w:r>
      <w:proofErr w:type="gramStart"/>
      <w:r w:rsidRPr="00EA6C11">
        <w:t>a number of</w:t>
      </w:r>
      <w:proofErr w:type="gramEnd"/>
      <w:r w:rsidRPr="00EA6C11">
        <w:t xml:space="preserve"> countries are </w:t>
      </w:r>
      <w:r>
        <w:t xml:space="preserve">also advancing towards implementing </w:t>
      </w:r>
      <w:r w:rsidRPr="00EA6C11">
        <w:t>Article 8(b)</w:t>
      </w:r>
      <w:r>
        <w:t>.</w:t>
      </w:r>
    </w:p>
    <w:p w:rsidR="00D52F3B" w:rsidRDefault="00D52F3B" w:rsidP="00D52F3B">
      <w:pPr>
        <w:pStyle w:val="Para1"/>
        <w:numPr>
          <w:ilvl w:val="0"/>
          <w:numId w:val="2"/>
        </w:numPr>
        <w:tabs>
          <w:tab w:val="clear" w:pos="360"/>
        </w:tabs>
      </w:pPr>
      <w:r>
        <w:t xml:space="preserve">However, </w:t>
      </w:r>
      <w:proofErr w:type="gramStart"/>
      <w:r>
        <w:t>a number of</w:t>
      </w:r>
      <w:proofErr w:type="gramEnd"/>
      <w:r>
        <w:t xml:space="preserve"> </w:t>
      </w:r>
      <w:r w:rsidRPr="00ED58BC">
        <w:t>Parties are still in the process of revising or developing their ABS frameworks</w:t>
      </w:r>
      <w:r>
        <w:t xml:space="preserve">. According to information available, </w:t>
      </w:r>
      <w:r w:rsidRPr="00745464">
        <w:t xml:space="preserve">54 Parties are </w:t>
      </w:r>
      <w:r>
        <w:t xml:space="preserve">currently working on the adoption of </w:t>
      </w:r>
      <w:r w:rsidRPr="00745464">
        <w:t>ABS measures</w:t>
      </w:r>
      <w:r>
        <w:t xml:space="preserve"> and another 23 Parties</w:t>
      </w:r>
      <w:r w:rsidRPr="00745464">
        <w:t xml:space="preserve"> </w:t>
      </w:r>
      <w:r>
        <w:t>reported about their plans to develop ABS measures.</w:t>
      </w:r>
      <w:r w:rsidRPr="007C36F5">
        <w:rPr>
          <w:rStyle w:val="FootnoteReference"/>
          <w:rFonts w:eastAsiaTheme="majorEastAsia"/>
          <w:u w:color="000000"/>
        </w:rPr>
        <w:footnoteReference w:id="40"/>
      </w:r>
      <w:r w:rsidRPr="007C36F5">
        <w:rPr>
          <w:rStyle w:val="FootnoteReference"/>
          <w:rFonts w:eastAsiaTheme="majorEastAsia"/>
          <w:u w:color="000000"/>
        </w:rPr>
        <w:t xml:space="preserve"> </w:t>
      </w:r>
      <w:r>
        <w:t xml:space="preserve">Many of those Parties </w:t>
      </w:r>
      <w:r w:rsidRPr="00ED58BC">
        <w:t>have not yet addressed health emergencies in the context of the Nagoya Protocol.</w:t>
      </w:r>
    </w:p>
    <w:p w:rsidR="00D52F3B" w:rsidRDefault="00D52F3B" w:rsidP="00D52F3B">
      <w:pPr>
        <w:pStyle w:val="Para1"/>
        <w:numPr>
          <w:ilvl w:val="0"/>
          <w:numId w:val="2"/>
        </w:numPr>
        <w:tabs>
          <w:tab w:val="clear" w:pos="360"/>
        </w:tabs>
      </w:pPr>
      <w:r>
        <w:t>Non-Parties are also working towards ratification and implementation of the Nagoya Protocol and taking the necessary steps to make it operational at the national level.</w:t>
      </w:r>
    </w:p>
    <w:p w:rsidR="00C75E3A" w:rsidRPr="00D54755" w:rsidRDefault="00D52F3B" w:rsidP="00D54755">
      <w:pPr>
        <w:pStyle w:val="Para1"/>
        <w:numPr>
          <w:ilvl w:val="0"/>
          <w:numId w:val="2"/>
        </w:numPr>
        <w:tabs>
          <w:tab w:val="clear" w:pos="360"/>
        </w:tabs>
        <w:rPr>
          <w:b/>
          <w:sz w:val="28"/>
        </w:rPr>
      </w:pPr>
      <w:r>
        <w:t xml:space="preserve">As countries are advancing with the implementation of the Nagoya Protocol, national coordination amongst ministries and institutions working on ABS-related issues and on issues related to human, animal and plant health can contribute to ensuring that ABS measures </w:t>
      </w:r>
      <w:proofErr w:type="gramStart"/>
      <w:r>
        <w:t>take into account</w:t>
      </w:r>
      <w:proofErr w:type="gramEnd"/>
      <w:r>
        <w:t xml:space="preserve"> public health considerations.</w:t>
      </w:r>
    </w:p>
    <w:sectPr w:rsidR="00C75E3A" w:rsidRPr="00D54755" w:rsidSect="007F45C6">
      <w:headerReference w:type="even" r:id="rId15"/>
      <w:headerReference w:type="default" r:id="rId16"/>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3EDF" w:rsidRDefault="00923EDF" w:rsidP="00CF1848">
      <w:r>
        <w:separator/>
      </w:r>
    </w:p>
  </w:endnote>
  <w:endnote w:type="continuationSeparator" w:id="0">
    <w:p w:rsidR="00923EDF" w:rsidRDefault="00923ED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3EDF" w:rsidRDefault="00923EDF" w:rsidP="00CF1848">
      <w:r>
        <w:separator/>
      </w:r>
    </w:p>
  </w:footnote>
  <w:footnote w:type="continuationSeparator" w:id="0">
    <w:p w:rsidR="00923EDF" w:rsidRDefault="00923EDF" w:rsidP="00CF1848">
      <w:r>
        <w:continuationSeparator/>
      </w:r>
    </w:p>
  </w:footnote>
  <w:footnote w:id="1">
    <w:p w:rsidR="00B23E96" w:rsidRPr="00B23E96" w:rsidRDefault="00B23E96" w:rsidP="00725A4E">
      <w:pPr>
        <w:pStyle w:val="FootnoteText"/>
        <w:ind w:firstLine="0"/>
        <w:rPr>
          <w:lang w:val="en-CA"/>
        </w:rPr>
      </w:pPr>
      <w:r w:rsidRPr="00725A4E">
        <w:rPr>
          <w:rStyle w:val="FootnoteReference"/>
          <w:u w:val="none"/>
        </w:rPr>
        <w:t>*</w:t>
      </w:r>
      <w:r>
        <w:t xml:space="preserve"> </w:t>
      </w:r>
      <w:r w:rsidR="00725A4E">
        <w:rPr>
          <w:lang w:val="en-CA"/>
        </w:rPr>
        <w:t>CBD/NP/MOP/3/1.</w:t>
      </w:r>
    </w:p>
  </w:footnote>
  <w:footnote w:id="2">
    <w:p w:rsidR="000336E4" w:rsidRPr="00151153" w:rsidRDefault="000336E4" w:rsidP="00725A4E">
      <w:pPr>
        <w:pStyle w:val="FootnoteText"/>
        <w:ind w:firstLine="0"/>
        <w:rPr>
          <w:lang w:val="en-CA"/>
        </w:rPr>
      </w:pPr>
      <w:r w:rsidRPr="002F24D7">
        <w:rPr>
          <w:rStyle w:val="FootnoteReference"/>
          <w:sz w:val="22"/>
          <w:szCs w:val="22"/>
          <w:u w:val="none"/>
          <w:vertAlign w:val="superscript"/>
        </w:rPr>
        <w:footnoteRef/>
      </w:r>
      <w:r>
        <w:t xml:space="preserve"> </w:t>
      </w:r>
      <w:r w:rsidRPr="00151153">
        <w:rPr>
          <w:lang w:val="en-CA"/>
        </w:rPr>
        <w:t>Decision NP-2/5, paragraph 2.</w:t>
      </w:r>
    </w:p>
  </w:footnote>
  <w:footnote w:id="3">
    <w:p w:rsidR="00D52F3B" w:rsidRPr="00D52F3B" w:rsidRDefault="00D52F3B" w:rsidP="00F15663">
      <w:pPr>
        <w:pStyle w:val="FootnoteText"/>
        <w:ind w:firstLine="0"/>
        <w:rPr>
          <w:lang w:val="en-CA"/>
        </w:rPr>
      </w:pPr>
      <w:r w:rsidRPr="002F24D7">
        <w:rPr>
          <w:rStyle w:val="FootnoteReference"/>
          <w:sz w:val="22"/>
          <w:szCs w:val="22"/>
          <w:u w:val="none"/>
          <w:vertAlign w:val="superscript"/>
        </w:rPr>
        <w:footnoteRef/>
      </w:r>
      <w:r>
        <w:t xml:space="preserve"> </w:t>
      </w:r>
      <w:hyperlink r:id="rId1" w:history="1">
        <w:r w:rsidRPr="00A91556">
          <w:rPr>
            <w:rStyle w:val="Hyperlink"/>
          </w:rPr>
          <w:t>http://www.who.int/un-collaboration/partners/UNCBD/en/</w:t>
        </w:r>
      </w:hyperlink>
      <w:r>
        <w:t xml:space="preserve">. </w:t>
      </w:r>
    </w:p>
  </w:footnote>
  <w:footnote w:id="4">
    <w:p w:rsidR="00D52F3B" w:rsidRPr="00E20FD3" w:rsidRDefault="00D52F3B" w:rsidP="00D52F3B">
      <w:pPr>
        <w:pStyle w:val="FootnoteText"/>
        <w:keepLines w:val="0"/>
        <w:ind w:firstLine="0"/>
        <w:jc w:val="left"/>
        <w:rPr>
          <w:kern w:val="18"/>
          <w:szCs w:val="18"/>
          <w:lang w:val="en-US"/>
        </w:rPr>
      </w:pPr>
      <w:r>
        <w:rPr>
          <w:rStyle w:val="FootnoteReference"/>
          <w:rFonts w:eastAsiaTheme="majorEastAsia"/>
        </w:rPr>
        <w:footnoteRef/>
      </w:r>
      <w:r>
        <w:t xml:space="preserve"> </w:t>
      </w:r>
      <w:r>
        <w:rPr>
          <w:lang w:val="en-US"/>
        </w:rPr>
        <w:t xml:space="preserve">The text of the Nagoya Protocol is available is available at: </w:t>
      </w:r>
      <w:hyperlink r:id="rId2" w:history="1">
        <w:r w:rsidRPr="00E025B1">
          <w:rPr>
            <w:rStyle w:val="Hyperlink"/>
            <w:lang w:val="en-US"/>
          </w:rPr>
          <w:t>https://www.cbd.int/abs/text/</w:t>
        </w:r>
      </w:hyperlink>
      <w:r>
        <w:rPr>
          <w:lang w:val="en-US"/>
        </w:rPr>
        <w:t xml:space="preserve"> </w:t>
      </w:r>
    </w:p>
  </w:footnote>
  <w:footnote w:id="5">
    <w:p w:rsidR="00D52F3B" w:rsidRPr="005607E7" w:rsidRDefault="00D52F3B" w:rsidP="00D52F3B">
      <w:pPr>
        <w:pStyle w:val="FootnoteText"/>
        <w:ind w:firstLine="0"/>
        <w:rPr>
          <w:lang w:val="en-US"/>
        </w:rPr>
      </w:pPr>
      <w:r>
        <w:rPr>
          <w:rStyle w:val="FootnoteReference"/>
          <w:rFonts w:eastAsiaTheme="majorEastAsia"/>
        </w:rPr>
        <w:footnoteRef/>
      </w:r>
      <w:r>
        <w:t xml:space="preserve"> </w:t>
      </w:r>
      <w:r w:rsidRPr="005607E7">
        <w:t>The Access and Benefit-sharing Clearing-House (ABS Clearing-House</w:t>
      </w:r>
      <w:r>
        <w:t xml:space="preserve">) </w:t>
      </w:r>
      <w:r w:rsidRPr="005607E7">
        <w:t>is a platform for exchanging information on access and benefit-sharing established by Article 14 of the Nagoya Protocol, as part of clearing-house mechanism under Article 18, paragraph 3 of the Convention.</w:t>
      </w:r>
      <w:r>
        <w:t xml:space="preserve"> It is available at: </w:t>
      </w:r>
      <w:hyperlink r:id="rId3" w:history="1">
        <w:r w:rsidRPr="00E025B1">
          <w:rPr>
            <w:rStyle w:val="Hyperlink"/>
          </w:rPr>
          <w:t>https://absch.cbd.int/</w:t>
        </w:r>
      </w:hyperlink>
      <w:r>
        <w:t xml:space="preserve">. </w:t>
      </w:r>
    </w:p>
  </w:footnote>
  <w:footnote w:id="6">
    <w:p w:rsidR="00D52F3B" w:rsidRPr="00BA3C71" w:rsidRDefault="00D52F3B" w:rsidP="00D52F3B">
      <w:pPr>
        <w:pStyle w:val="FootnoteText"/>
        <w:keepLines w:val="0"/>
        <w:ind w:firstLine="0"/>
        <w:jc w:val="left"/>
        <w:rPr>
          <w:lang w:val="en-US"/>
        </w:rPr>
      </w:pPr>
      <w:r>
        <w:rPr>
          <w:rStyle w:val="FootnoteReference"/>
          <w:rFonts w:eastAsiaTheme="majorEastAsia"/>
        </w:rPr>
        <w:footnoteRef/>
      </w:r>
      <w:r>
        <w:t xml:space="preserve"> </w:t>
      </w:r>
      <w:r>
        <w:rPr>
          <w:lang w:val="en-US"/>
        </w:rPr>
        <w:t xml:space="preserve">The text of decision NP-2/5 is available at: </w:t>
      </w:r>
      <w:hyperlink r:id="rId4" w:history="1">
        <w:r w:rsidRPr="00E025B1">
          <w:rPr>
            <w:rStyle w:val="Hyperlink"/>
            <w:lang w:val="en-US"/>
          </w:rPr>
          <w:t>https://www.cbd.int/doc/decisions/np-mop-02/np-mop-02-dec-05-en.pdf</w:t>
        </w:r>
      </w:hyperlink>
      <w:r>
        <w:rPr>
          <w:lang w:val="en-US"/>
        </w:rPr>
        <w:t xml:space="preserve"> </w:t>
      </w:r>
    </w:p>
  </w:footnote>
  <w:footnote w:id="7">
    <w:p w:rsidR="00D52F3B" w:rsidRPr="007C36F5" w:rsidRDefault="00D52F3B" w:rsidP="00D52F3B">
      <w:pPr>
        <w:pStyle w:val="FootnoteText"/>
        <w:ind w:firstLine="0"/>
        <w:rPr>
          <w:lang w:val="en-US"/>
        </w:rPr>
      </w:pPr>
      <w:r>
        <w:rPr>
          <w:rStyle w:val="FootnoteReference"/>
          <w:rFonts w:eastAsiaTheme="majorEastAsia"/>
        </w:rPr>
        <w:footnoteRef/>
      </w:r>
      <w:r>
        <w:t xml:space="preserve"> </w:t>
      </w:r>
      <w:r w:rsidRPr="001043E0">
        <w:t>69 from Parties to the Protocol and 6 from non-Parties</w:t>
      </w:r>
    </w:p>
  </w:footnote>
  <w:footnote w:id="8">
    <w:p w:rsidR="00D52F3B" w:rsidRPr="001A389F" w:rsidRDefault="00D52F3B" w:rsidP="00D52F3B">
      <w:pPr>
        <w:pStyle w:val="FootnoteText"/>
        <w:ind w:firstLine="0"/>
        <w:rPr>
          <w:lang w:val="en-US"/>
        </w:rPr>
      </w:pPr>
      <w:r>
        <w:rPr>
          <w:rStyle w:val="FootnoteReference"/>
          <w:rFonts w:eastAsiaTheme="majorEastAsia"/>
        </w:rPr>
        <w:footnoteRef/>
      </w:r>
      <w:r>
        <w:t xml:space="preserve"> </w:t>
      </w:r>
      <w:r>
        <w:rPr>
          <w:lang w:val="en-US"/>
        </w:rPr>
        <w:t>Where “utilization of genetic resources” means to conduct research and development on the genetic and/or biochemical composition of genetic resources, including through the application of biotechnology as defined in Article 2 of the Convention. Nagoya Protocol, Article 2.</w:t>
      </w:r>
    </w:p>
  </w:footnote>
  <w:footnote w:id="9">
    <w:p w:rsidR="00D52F3B" w:rsidRPr="00227155" w:rsidRDefault="00D52F3B" w:rsidP="00D52F3B">
      <w:pPr>
        <w:pStyle w:val="FootnoteText"/>
        <w:ind w:firstLine="0"/>
        <w:rPr>
          <w:lang w:val="en-US"/>
        </w:rPr>
      </w:pPr>
      <w:r>
        <w:rPr>
          <w:rStyle w:val="FootnoteReference"/>
          <w:rFonts w:eastAsiaTheme="majorEastAsia"/>
        </w:rPr>
        <w:footnoteRef/>
      </w:r>
      <w:r>
        <w:t xml:space="preserve"> Answers to question 11 of the report.</w:t>
      </w:r>
    </w:p>
  </w:footnote>
  <w:footnote w:id="10">
    <w:p w:rsidR="00D52F3B" w:rsidRPr="009433CC" w:rsidRDefault="00D52F3B" w:rsidP="00D52F3B">
      <w:pPr>
        <w:pStyle w:val="FootnoteText"/>
        <w:ind w:firstLine="0"/>
        <w:rPr>
          <w:lang w:val="en-US"/>
        </w:rPr>
      </w:pPr>
      <w:r>
        <w:rPr>
          <w:rStyle w:val="FootnoteReference"/>
          <w:rFonts w:eastAsiaTheme="majorEastAsia"/>
        </w:rPr>
        <w:footnoteRef/>
      </w:r>
      <w:r>
        <w:t xml:space="preserve">Answers to question 20 of the report. </w:t>
      </w:r>
    </w:p>
  </w:footnote>
  <w:footnote w:id="11">
    <w:p w:rsidR="00D52F3B" w:rsidRPr="009433CC" w:rsidRDefault="00D52F3B" w:rsidP="00D52F3B">
      <w:pPr>
        <w:pStyle w:val="FootnoteText"/>
        <w:ind w:firstLine="0"/>
        <w:rPr>
          <w:lang w:val="en-US"/>
        </w:rPr>
      </w:pPr>
      <w:r>
        <w:rPr>
          <w:rStyle w:val="FootnoteReference"/>
          <w:rFonts w:eastAsiaTheme="majorEastAsia"/>
        </w:rPr>
        <w:footnoteRef/>
      </w:r>
      <w:r>
        <w:t xml:space="preserve">Answers to question 24 of the report. </w:t>
      </w:r>
    </w:p>
  </w:footnote>
  <w:footnote w:id="12">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Benin, </w:t>
      </w:r>
      <w:r w:rsidRPr="00DF02C5">
        <w:rPr>
          <w:rFonts w:eastAsia="Calibri"/>
          <w:noProof/>
          <w:snapToGrid w:val="0"/>
          <w:kern w:val="22"/>
        </w:rPr>
        <w:t xml:space="preserve">Belgium, Bhutan, Czech Republic, Denmark, Finland, France, Germany, Hungary, India, </w:t>
      </w:r>
      <w:r w:rsidRPr="00DF02C5">
        <w:t xml:space="preserve">Kenya, </w:t>
      </w:r>
      <w:r w:rsidRPr="00DF02C5">
        <w:rPr>
          <w:rFonts w:eastAsia="Calibri"/>
          <w:noProof/>
          <w:snapToGrid w:val="0"/>
          <w:kern w:val="22"/>
        </w:rPr>
        <w:t xml:space="preserve">Malta, </w:t>
      </w:r>
      <w:proofErr w:type="gramStart"/>
      <w:r w:rsidRPr="00DF02C5">
        <w:t xml:space="preserve">Mongolia,  </w:t>
      </w:r>
      <w:r w:rsidRPr="00DF02C5">
        <w:rPr>
          <w:rFonts w:eastAsia="Calibri"/>
          <w:noProof/>
          <w:snapToGrid w:val="0"/>
          <w:kern w:val="22"/>
        </w:rPr>
        <w:t>Netherlands</w:t>
      </w:r>
      <w:proofErr w:type="gramEnd"/>
      <w:r w:rsidRPr="00DF02C5">
        <w:rPr>
          <w:rFonts w:eastAsia="Calibri"/>
          <w:noProof/>
          <w:snapToGrid w:val="0"/>
          <w:kern w:val="22"/>
        </w:rPr>
        <w:t>, Slovakia, Spain, Sweden, United Kingdom of Great Britain and Northern Ireland, Viet Nam</w:t>
      </w:r>
    </w:p>
  </w:footnote>
  <w:footnote w:id="13">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w:t>
      </w:r>
      <w:r w:rsidRPr="00DF02C5">
        <w:rPr>
          <w:rFonts w:eastAsia="Calibri"/>
          <w:noProof/>
          <w:snapToGrid w:val="0"/>
          <w:kern w:val="22"/>
        </w:rPr>
        <w:t>China, Norway, Morocco, Togo</w:t>
      </w:r>
    </w:p>
  </w:footnote>
  <w:footnote w:id="14">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Kenya, Niger, Peru, Senegal</w:t>
      </w:r>
    </w:p>
  </w:footnote>
  <w:footnote w:id="15">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Kenya </w:t>
      </w:r>
    </w:p>
  </w:footnote>
  <w:footnote w:id="16">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w:t>
      </w:r>
      <w:r w:rsidRPr="00DF02C5">
        <w:rPr>
          <w:rFonts w:eastAsia="Calibri"/>
          <w:snapToGrid w:val="0"/>
          <w:kern w:val="22"/>
        </w:rPr>
        <w:t>China, Lao People’s Democratic Republic, Mexico</w:t>
      </w:r>
    </w:p>
  </w:footnote>
  <w:footnote w:id="17">
    <w:p w:rsidR="00D52F3B" w:rsidRPr="00DF02C5" w:rsidRDefault="00D52F3B" w:rsidP="00D52F3B">
      <w:pPr>
        <w:pStyle w:val="FootnoteText"/>
        <w:ind w:firstLine="0"/>
      </w:pPr>
      <w:r w:rsidRPr="00DF02C5">
        <w:rPr>
          <w:rStyle w:val="FootnoteReference"/>
          <w:rFonts w:eastAsiaTheme="majorEastAsia"/>
        </w:rPr>
        <w:footnoteRef/>
      </w:r>
      <w:r w:rsidRPr="00DF02C5">
        <w:t xml:space="preserve"> The same information was provided by the EU Member States in their reports.</w:t>
      </w:r>
    </w:p>
  </w:footnote>
  <w:footnote w:id="18">
    <w:p w:rsidR="00D52F3B" w:rsidRPr="007C36F5" w:rsidRDefault="00D52F3B" w:rsidP="00D52F3B">
      <w:pPr>
        <w:pStyle w:val="FootnoteText"/>
        <w:ind w:firstLine="0"/>
        <w:rPr>
          <w:lang w:val="en-US"/>
        </w:rPr>
      </w:pPr>
      <w:r>
        <w:rPr>
          <w:rStyle w:val="FootnoteReference"/>
          <w:rFonts w:eastAsiaTheme="majorEastAsia"/>
        </w:rPr>
        <w:footnoteRef/>
      </w:r>
      <w:r>
        <w:t xml:space="preserve"> Regulation</w:t>
      </w:r>
      <w:r w:rsidRPr="00045EDD">
        <w:t xml:space="preserve"> (EU) No 511/2014 </w:t>
      </w:r>
      <w:r>
        <w:t xml:space="preserve">of the European Parliament and of the Council </w:t>
      </w:r>
      <w:r w:rsidRPr="00045EDD">
        <w:t>of 16 April 2014 on compliance measures for users from the Nagoya Protocol on Access to Genetic Resources and the Fair and Equitable Sharing of Benefits Arising from their Utilization in the Union</w:t>
      </w:r>
      <w:r>
        <w:t xml:space="preserve">. Available at: </w:t>
      </w:r>
      <w:r w:rsidRPr="00045EDD">
        <w:t>https://absch.cbd.int/database/record/ABSCH-MSR-BG-201808</w:t>
      </w:r>
    </w:p>
  </w:footnote>
  <w:footnote w:id="19">
    <w:p w:rsidR="00D52F3B" w:rsidRPr="007C36F5" w:rsidRDefault="00D52F3B" w:rsidP="00D52F3B">
      <w:pPr>
        <w:pStyle w:val="FootnoteText"/>
        <w:ind w:firstLine="0"/>
        <w:rPr>
          <w:lang w:val="en-US"/>
        </w:rPr>
      </w:pPr>
      <w:r>
        <w:rPr>
          <w:rStyle w:val="FootnoteReference"/>
          <w:rFonts w:eastAsiaTheme="majorEastAsia"/>
        </w:rPr>
        <w:footnoteRef/>
      </w:r>
      <w:r>
        <w:t xml:space="preserve"> Available at: </w:t>
      </w:r>
      <w:r w:rsidRPr="00045EDD">
        <w:t>https://absch.cbd.int/database/record/ABSCH-MSR-BG-208570</w:t>
      </w:r>
    </w:p>
  </w:footnote>
  <w:footnote w:id="20">
    <w:p w:rsidR="00D52F3B" w:rsidRPr="007C36F5" w:rsidRDefault="00D52F3B" w:rsidP="00D52F3B">
      <w:pPr>
        <w:pStyle w:val="FootnoteText"/>
        <w:ind w:firstLine="0"/>
        <w:rPr>
          <w:lang w:val="en-US"/>
        </w:rPr>
      </w:pPr>
      <w:r>
        <w:rPr>
          <w:rStyle w:val="FootnoteReference"/>
          <w:rFonts w:eastAsiaTheme="majorEastAsia"/>
        </w:rPr>
        <w:footnoteRef/>
      </w:r>
      <w:r>
        <w:t xml:space="preserve"> Available at:  </w:t>
      </w:r>
      <w:r w:rsidRPr="00871814">
        <w:t>https://absch.cbd.int/database/record/ABSCH-MSR-MT-208508</w:t>
      </w:r>
    </w:p>
  </w:footnote>
  <w:footnote w:id="21">
    <w:p w:rsidR="00D52F3B" w:rsidRPr="007C36F5" w:rsidRDefault="00D52F3B" w:rsidP="00D52F3B">
      <w:pPr>
        <w:pStyle w:val="FootnoteText"/>
        <w:ind w:firstLine="0"/>
        <w:rPr>
          <w:lang w:val="en-US"/>
        </w:rPr>
      </w:pPr>
      <w:r>
        <w:rPr>
          <w:rStyle w:val="FootnoteReference"/>
          <w:rFonts w:eastAsiaTheme="majorEastAsia"/>
        </w:rPr>
        <w:footnoteRef/>
      </w:r>
      <w:r>
        <w:t xml:space="preserve"> Available at:  </w:t>
      </w:r>
      <w:r w:rsidRPr="00871814">
        <w:t>https://absch.cbd.int/database/record/ABSCH-MSR-ES-208924</w:t>
      </w:r>
    </w:p>
  </w:footnote>
  <w:footnote w:id="22">
    <w:p w:rsidR="00D52F3B" w:rsidRPr="007C36F5" w:rsidRDefault="00D52F3B" w:rsidP="00D52F3B">
      <w:pPr>
        <w:pStyle w:val="FootnoteText"/>
        <w:ind w:firstLine="0"/>
        <w:rPr>
          <w:lang w:val="en-US"/>
        </w:rPr>
      </w:pPr>
      <w:r>
        <w:rPr>
          <w:rStyle w:val="FootnoteReference"/>
          <w:rFonts w:eastAsiaTheme="majorEastAsia"/>
        </w:rPr>
        <w:footnoteRef/>
      </w:r>
      <w:r>
        <w:t xml:space="preserve"> Available at: </w:t>
      </w:r>
      <w:r w:rsidRPr="00871814">
        <w:t>https://absch.cbd.int/database/record/ABSCH-MSR-IN-208214</w:t>
      </w:r>
    </w:p>
  </w:footnote>
  <w:footnote w:id="23">
    <w:p w:rsidR="00D52F3B" w:rsidRPr="007C36F5" w:rsidRDefault="00D52F3B" w:rsidP="00D52F3B">
      <w:pPr>
        <w:pStyle w:val="FootnoteText"/>
        <w:ind w:firstLine="0"/>
        <w:rPr>
          <w:lang w:val="en-US"/>
        </w:rPr>
      </w:pPr>
      <w:r>
        <w:rPr>
          <w:rStyle w:val="FootnoteReference"/>
          <w:rFonts w:eastAsiaTheme="majorEastAsia"/>
        </w:rPr>
        <w:footnoteRef/>
      </w:r>
      <w:r>
        <w:t xml:space="preserve"> Available at: </w:t>
      </w:r>
      <w:r w:rsidRPr="00871814">
        <w:t>https://absch.cbd.int/database/record/ABSCH-MSR-CH-207346</w:t>
      </w:r>
    </w:p>
  </w:footnote>
  <w:footnote w:id="24">
    <w:p w:rsidR="00D52F3B" w:rsidRPr="007C36F5" w:rsidRDefault="00D52F3B" w:rsidP="00D52F3B">
      <w:pPr>
        <w:pStyle w:val="FootnoteText"/>
        <w:ind w:firstLine="0"/>
        <w:rPr>
          <w:lang w:val="en-US"/>
        </w:rPr>
      </w:pPr>
      <w:r>
        <w:rPr>
          <w:rStyle w:val="FootnoteReference"/>
          <w:rFonts w:eastAsiaTheme="majorEastAsia"/>
        </w:rPr>
        <w:footnoteRef/>
      </w:r>
      <w:r>
        <w:t xml:space="preserve">Available at:  </w:t>
      </w:r>
      <w:r w:rsidRPr="00871814">
        <w:t>https://absch.cbd.int/database/record/ABSCH-MSR-MA-238754</w:t>
      </w:r>
    </w:p>
  </w:footnote>
  <w:footnote w:id="25">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w:t>
      </w:r>
      <w:r w:rsidRPr="00DF02C5">
        <w:rPr>
          <w:rFonts w:eastAsia="Calibri"/>
          <w:noProof/>
          <w:snapToGrid w:val="0"/>
          <w:kern w:val="22"/>
        </w:rPr>
        <w:t>Antigua and Barbuda, Belarus, Botswana, Comoros, Côte d’Ivoire, Democratic Republic of Congo, Ethiopia, Madagascar, Malawi, Mexico, South Africa, Sudan, Uruguay</w:t>
      </w:r>
    </w:p>
  </w:footnote>
  <w:footnote w:id="26">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Congo, Guinea Bissau</w:t>
      </w:r>
    </w:p>
  </w:footnote>
  <w:footnote w:id="27">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w:t>
      </w:r>
      <w:r w:rsidRPr="00C81B15">
        <w:rPr>
          <w:rFonts w:eastAsia="Calibri"/>
          <w:noProof/>
          <w:snapToGrid w:val="0"/>
          <w:kern w:val="22"/>
          <w:lang w:val="es-AR"/>
        </w:rPr>
        <w:t xml:space="preserve">Japan, Poland  </w:t>
      </w:r>
    </w:p>
  </w:footnote>
  <w:footnote w:id="28">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w:t>
      </w:r>
      <w:proofErr w:type="spellStart"/>
      <w:r w:rsidRPr="00C81B15">
        <w:rPr>
          <w:lang w:val="es-AR"/>
        </w:rPr>
        <w:t>E.g</w:t>
      </w:r>
      <w:proofErr w:type="spellEnd"/>
      <w:r w:rsidRPr="00C81B15">
        <w:rPr>
          <w:lang w:val="es-AR"/>
        </w:rPr>
        <w:t xml:space="preserve">. Cuba, </w:t>
      </w:r>
      <w:proofErr w:type="spellStart"/>
      <w:r w:rsidRPr="00C81B15">
        <w:rPr>
          <w:lang w:val="es-AR"/>
        </w:rPr>
        <w:t>Mexico</w:t>
      </w:r>
      <w:proofErr w:type="spellEnd"/>
      <w:r w:rsidRPr="00C81B15">
        <w:rPr>
          <w:lang w:val="es-AR"/>
        </w:rPr>
        <w:t xml:space="preserve"> </w:t>
      </w:r>
    </w:p>
  </w:footnote>
  <w:footnote w:id="29">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w:t>
      </w:r>
      <w:proofErr w:type="spellStart"/>
      <w:r w:rsidRPr="00C81B15">
        <w:rPr>
          <w:lang w:val="es-AR"/>
        </w:rPr>
        <w:t>E.g</w:t>
      </w:r>
      <w:proofErr w:type="spellEnd"/>
      <w:r w:rsidRPr="00C81B15">
        <w:rPr>
          <w:lang w:val="es-AR"/>
        </w:rPr>
        <w:t xml:space="preserve">. </w:t>
      </w:r>
      <w:proofErr w:type="spellStart"/>
      <w:r w:rsidRPr="00C81B15">
        <w:rPr>
          <w:lang w:val="es-AR"/>
        </w:rPr>
        <w:t>Bhutan</w:t>
      </w:r>
      <w:proofErr w:type="spellEnd"/>
      <w:r w:rsidRPr="00C81B15">
        <w:rPr>
          <w:lang w:val="es-AR"/>
        </w:rPr>
        <w:t xml:space="preserve">, Malta, </w:t>
      </w:r>
      <w:proofErr w:type="spellStart"/>
      <w:r w:rsidRPr="00C81B15">
        <w:rPr>
          <w:lang w:val="es-AR"/>
        </w:rPr>
        <w:t>Spain</w:t>
      </w:r>
      <w:proofErr w:type="spellEnd"/>
    </w:p>
  </w:footnote>
  <w:footnote w:id="30">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w:t>
      </w:r>
      <w:proofErr w:type="spellStart"/>
      <w:r w:rsidRPr="00C81B15">
        <w:rPr>
          <w:lang w:val="es-AR"/>
        </w:rPr>
        <w:t>E.g</w:t>
      </w:r>
      <w:proofErr w:type="spellEnd"/>
      <w:r w:rsidRPr="00C81B15">
        <w:rPr>
          <w:lang w:val="es-AR"/>
        </w:rPr>
        <w:t xml:space="preserve">. </w:t>
      </w:r>
      <w:r w:rsidRPr="00C81B15">
        <w:rPr>
          <w:rFonts w:eastAsia="Calibri"/>
          <w:noProof/>
          <w:snapToGrid w:val="0"/>
          <w:kern w:val="22"/>
          <w:lang w:val="es-AR"/>
        </w:rPr>
        <w:t>China, Mexico, Niger, Norway, Uganda</w:t>
      </w:r>
    </w:p>
  </w:footnote>
  <w:footnote w:id="31">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Benin, Kenya,</w:t>
      </w:r>
    </w:p>
  </w:footnote>
  <w:footnote w:id="32">
    <w:p w:rsidR="00D52F3B" w:rsidRPr="00DF02C5" w:rsidRDefault="00D52F3B" w:rsidP="00D52F3B">
      <w:pPr>
        <w:pStyle w:val="FootnoteText"/>
        <w:ind w:firstLine="0"/>
      </w:pPr>
      <w:r w:rsidRPr="00DF02C5">
        <w:rPr>
          <w:rStyle w:val="FootnoteReference"/>
          <w:rFonts w:eastAsiaTheme="majorEastAsia"/>
        </w:rPr>
        <w:footnoteRef/>
      </w:r>
      <w:r w:rsidRPr="00DF02C5">
        <w:t xml:space="preserve"> Kenya </w:t>
      </w:r>
    </w:p>
  </w:footnote>
  <w:footnote w:id="33">
    <w:p w:rsidR="00D52F3B" w:rsidRPr="00DF02C5" w:rsidRDefault="00D52F3B" w:rsidP="00D52F3B">
      <w:pPr>
        <w:pStyle w:val="FootnoteText"/>
        <w:ind w:firstLine="0"/>
      </w:pPr>
      <w:r w:rsidRPr="00DF02C5">
        <w:rPr>
          <w:rStyle w:val="FootnoteReference"/>
          <w:rFonts w:eastAsiaTheme="majorEastAsia"/>
        </w:rPr>
        <w:footnoteRef/>
      </w:r>
      <w:r w:rsidRPr="00DF02C5">
        <w:t xml:space="preserve"> Netherlands </w:t>
      </w:r>
    </w:p>
  </w:footnote>
  <w:footnote w:id="34">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Antigua and Barbuda, </w:t>
      </w:r>
      <w:proofErr w:type="gramStart"/>
      <w:r w:rsidRPr="00DF02C5">
        <w:t>Botswana,  Comoros</w:t>
      </w:r>
      <w:proofErr w:type="gramEnd"/>
      <w:r w:rsidRPr="00DF02C5">
        <w:t>, Côte d’Ivoire, Kenya, Malawi, Mongolia, South Africa, Sudan, Uruguay</w:t>
      </w:r>
    </w:p>
  </w:footnote>
  <w:footnote w:id="35">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Belgium, </w:t>
      </w:r>
      <w:proofErr w:type="gramStart"/>
      <w:r w:rsidRPr="00DF02C5">
        <w:t>Estonia,  European</w:t>
      </w:r>
      <w:proofErr w:type="gramEnd"/>
      <w:r w:rsidRPr="00DF02C5">
        <w:t xml:space="preserve"> Union, Finland, Germany, Japan, Poland, Slovakia, Sweden, </w:t>
      </w:r>
      <w:r w:rsidRPr="00DF02C5">
        <w:rPr>
          <w:rFonts w:eastAsia="Calibri"/>
          <w:noProof/>
          <w:snapToGrid w:val="0"/>
          <w:kern w:val="22"/>
        </w:rPr>
        <w:t>United Kingdom of Great Britain and Northern Ireland</w:t>
      </w:r>
    </w:p>
  </w:footnote>
  <w:footnote w:id="36">
    <w:p w:rsidR="00D52F3B" w:rsidRPr="00DF02C5" w:rsidRDefault="00D52F3B" w:rsidP="00D52F3B">
      <w:pPr>
        <w:pStyle w:val="FootnoteText"/>
        <w:ind w:firstLine="0"/>
      </w:pPr>
      <w:r w:rsidRPr="00DF02C5">
        <w:rPr>
          <w:rStyle w:val="FootnoteReference"/>
          <w:rFonts w:eastAsiaTheme="majorEastAsia"/>
        </w:rPr>
        <w:footnoteRef/>
      </w:r>
      <w:r w:rsidRPr="00DF02C5">
        <w:t xml:space="preserve"> E.g. Belgium, Estonia, European Union, Finland, Poland, Slovakia, Sweden,</w:t>
      </w:r>
      <w:r w:rsidRPr="00DF02C5">
        <w:rPr>
          <w:rFonts w:eastAsia="Calibri"/>
          <w:noProof/>
          <w:snapToGrid w:val="0"/>
          <w:kern w:val="22"/>
        </w:rPr>
        <w:t xml:space="preserve"> United Kingdom of Great Britain and Northern Ireland</w:t>
      </w:r>
    </w:p>
  </w:footnote>
  <w:footnote w:id="37">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Congo, Guinea Bissau</w:t>
      </w:r>
    </w:p>
  </w:footnote>
  <w:footnote w:id="38">
    <w:p w:rsidR="00D52F3B" w:rsidRPr="00C81B15" w:rsidRDefault="00D52F3B" w:rsidP="00D52F3B">
      <w:pPr>
        <w:pStyle w:val="FootnoteText"/>
        <w:ind w:firstLine="0"/>
        <w:rPr>
          <w:lang w:val="es-AR"/>
        </w:rPr>
      </w:pPr>
      <w:r w:rsidRPr="00DF02C5">
        <w:rPr>
          <w:rStyle w:val="FootnoteReference"/>
          <w:rFonts w:eastAsiaTheme="majorEastAsia"/>
        </w:rPr>
        <w:footnoteRef/>
      </w:r>
      <w:r w:rsidRPr="00C81B15">
        <w:rPr>
          <w:lang w:val="es-AR"/>
        </w:rPr>
        <w:t xml:space="preserve"> Antigua and Barbuda</w:t>
      </w:r>
      <w:r w:rsidRPr="00C81B15">
        <w:rPr>
          <w:rFonts w:eastAsia="Calibri"/>
          <w:noProof/>
          <w:snapToGrid w:val="0"/>
          <w:kern w:val="22"/>
          <w:lang w:val="es-AR"/>
        </w:rPr>
        <w:t xml:space="preserve"> </w:t>
      </w:r>
    </w:p>
  </w:footnote>
  <w:footnote w:id="39">
    <w:p w:rsidR="00D52F3B" w:rsidRPr="007C36F5" w:rsidRDefault="00D52F3B" w:rsidP="00D52F3B">
      <w:pPr>
        <w:pStyle w:val="FootnoteText"/>
        <w:ind w:firstLine="0"/>
        <w:rPr>
          <w:lang w:val="en-US"/>
        </w:rPr>
      </w:pPr>
      <w:r>
        <w:rPr>
          <w:rStyle w:val="FootnoteReference"/>
          <w:rFonts w:eastAsiaTheme="majorEastAsia"/>
        </w:rPr>
        <w:footnoteRef/>
      </w:r>
      <w:r>
        <w:t xml:space="preserve"> Available at:  </w:t>
      </w:r>
      <w:r w:rsidRPr="000E42E5">
        <w:t>https://absch.cbd.int/database/record/ABSCH-MSR-JP-238074</w:t>
      </w:r>
    </w:p>
  </w:footnote>
  <w:footnote w:id="40">
    <w:p w:rsidR="00D52F3B" w:rsidRPr="007C36F5" w:rsidRDefault="00D52F3B" w:rsidP="00D52F3B">
      <w:pPr>
        <w:pStyle w:val="FootnoteText"/>
        <w:ind w:firstLine="0"/>
        <w:rPr>
          <w:lang w:val="en-US"/>
        </w:rPr>
      </w:pPr>
      <w:r>
        <w:rPr>
          <w:rStyle w:val="FootnoteReference"/>
          <w:rFonts w:eastAsiaTheme="majorEastAsia"/>
        </w:rPr>
        <w:footnoteRef/>
      </w:r>
      <w:r>
        <w:t xml:space="preserve"> Some of those Parties already have some ABS measures in place and are working on the development of additional 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3B2F3E" w:rsidP="00534681">
        <w:pPr>
          <w:pStyle w:val="Header"/>
        </w:pPr>
        <w:r>
          <w:t>CBD/NP/MOP/3/INF/4</w:t>
        </w:r>
      </w:p>
    </w:sdtContent>
  </w:sdt>
  <w:p w:rsidR="00534681" w:rsidRDefault="00534681" w:rsidP="00534681">
    <w:pPr>
      <w:pStyle w:val="Header"/>
    </w:pPr>
    <w:r>
      <w:t xml:space="preserve">Page </w:t>
    </w:r>
    <w:r w:rsidR="0056275D">
      <w:fldChar w:fldCharType="begin"/>
    </w:r>
    <w:r>
      <w:instrText xml:space="preserve"> PAGE   \* MERGEFORMAT </w:instrText>
    </w:r>
    <w:r w:rsidR="0056275D">
      <w:fldChar w:fldCharType="separate"/>
    </w:r>
    <w:r w:rsidR="009770CF">
      <w:rPr>
        <w:noProof/>
      </w:rPr>
      <w:t>2</w:t>
    </w:r>
    <w:r w:rsidR="0056275D">
      <w:rPr>
        <w:noProof/>
      </w:rPr>
      <w:fldChar w:fldCharType="end"/>
    </w:r>
  </w:p>
  <w:p w:rsidR="00534681" w:rsidRDefault="00534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3B2F3E" w:rsidP="009505C9">
        <w:pPr>
          <w:pStyle w:val="Header"/>
          <w:jc w:val="right"/>
        </w:pPr>
        <w:r>
          <w:t>CBD/NP/MOP/3/INF/4</w:t>
        </w:r>
      </w:p>
    </w:sdtContent>
  </w:sdt>
  <w:p w:rsidR="009505C9" w:rsidRDefault="009505C9" w:rsidP="009505C9">
    <w:pPr>
      <w:pStyle w:val="Header"/>
      <w:jc w:val="right"/>
    </w:pPr>
    <w:r>
      <w:t xml:space="preserve">Page </w:t>
    </w:r>
    <w:r w:rsidR="0056275D">
      <w:fldChar w:fldCharType="begin"/>
    </w:r>
    <w:r>
      <w:instrText xml:space="preserve"> PAGE   \* MERGEFORMAT </w:instrText>
    </w:r>
    <w:r w:rsidR="0056275D">
      <w:fldChar w:fldCharType="separate"/>
    </w:r>
    <w:r w:rsidR="009770CF">
      <w:rPr>
        <w:noProof/>
      </w:rPr>
      <w:t>3</w:t>
    </w:r>
    <w:r w:rsidR="0056275D">
      <w:rPr>
        <w:noProof/>
      </w:rPr>
      <w:fldChar w:fldCharType="end"/>
    </w:r>
  </w:p>
  <w:p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6B44AB9"/>
    <w:multiLevelType w:val="hybridMultilevel"/>
    <w:tmpl w:val="E4F087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D492D22"/>
    <w:multiLevelType w:val="multilevel"/>
    <w:tmpl w:val="8D289E14"/>
    <w:lvl w:ilvl="0">
      <w:start w:val="1"/>
      <w:numFmt w:val="decimal"/>
      <w:lvlText w:val="%1."/>
      <w:lvlJc w:val="left"/>
      <w:rPr>
        <w:b/>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4E0442B4"/>
    <w:multiLevelType w:val="multilevel"/>
    <w:tmpl w:val="43D0FA2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FC7177"/>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E642F4"/>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11" w15:restartNumberingAfterBreak="0">
    <w:nsid w:val="5A6C32AE"/>
    <w:multiLevelType w:val="hybridMultilevel"/>
    <w:tmpl w:val="70F86D94"/>
    <w:lvl w:ilvl="0" w:tplc="ACEA111A">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D293086"/>
    <w:multiLevelType w:val="hybridMultilevel"/>
    <w:tmpl w:val="5BB0F4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4A6157"/>
    <w:multiLevelType w:val="multilevel"/>
    <w:tmpl w:val="5352F4AA"/>
    <w:lvl w:ilvl="0">
      <w:start w:val="20"/>
      <w:numFmt w:val="decimal"/>
      <w:lvlText w:val="%1."/>
      <w:lvlJc w:val="left"/>
      <w:pPr>
        <w:ind w:left="0" w:firstLine="0"/>
      </w:pPr>
      <w:rPr>
        <w:rFonts w:hint="default"/>
        <w:b w:val="0"/>
        <w:i w:val="0"/>
        <w:color w:val="000000"/>
        <w:position w:val="0"/>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4" w15:restartNumberingAfterBreak="0">
    <w:nsid w:val="6AE2204F"/>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41B1037"/>
    <w:multiLevelType w:val="hybridMultilevel"/>
    <w:tmpl w:val="AF108E9C"/>
    <w:lvl w:ilvl="0" w:tplc="AFF019A0">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2"/>
  </w:num>
  <w:num w:numId="2">
    <w:abstractNumId w:val="7"/>
  </w:num>
  <w:num w:numId="3">
    <w:abstractNumId w:val="4"/>
  </w:num>
  <w:num w:numId="4">
    <w:abstractNumId w:val="7"/>
  </w:num>
  <w:num w:numId="5">
    <w:abstractNumId w:val="5"/>
  </w:num>
  <w:num w:numId="6">
    <w:abstractNumId w:val="0"/>
  </w:num>
  <w:num w:numId="7">
    <w:abstractNumId w:val="1"/>
  </w:num>
  <w:num w:numId="8">
    <w:abstractNumId w:val="4"/>
    <w:lvlOverride w:ilvl="0">
      <w:startOverride w:val="1"/>
    </w:lvlOverride>
  </w:num>
  <w:num w:numId="9">
    <w:abstractNumId w:val="16"/>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15"/>
  </w:num>
  <w:num w:numId="15">
    <w:abstractNumId w:val="10"/>
    <w:lvlOverride w:ilvl="0">
      <w:startOverride w:val="1"/>
    </w:lvlOverride>
    <w:lvlOverride w:ilvl="1"/>
    <w:lvlOverride w:ilvl="2"/>
    <w:lvlOverride w:ilvl="3"/>
    <w:lvlOverride w:ilvl="4"/>
    <w:lvlOverride w:ilvl="5"/>
    <w:lvlOverride w:ilvl="6"/>
    <w:lvlOverride w:ilvl="7"/>
    <w:lvlOverride w:ilvl="8"/>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7">
    <w:abstractNumId w:val="11"/>
  </w:num>
  <w:num w:numId="18">
    <w:abstractNumId w:val="3"/>
  </w:num>
  <w:num w:numId="19">
    <w:abstractNumId w:val="17"/>
  </w:num>
  <w:num w:numId="20">
    <w:abstractNumId w:val="6"/>
  </w:num>
  <w:num w:numId="21">
    <w:abstractNumId w:val="8"/>
  </w:num>
  <w:num w:numId="22">
    <w:abstractNumId w:val="12"/>
  </w:num>
  <w:num w:numId="23">
    <w:abstractNumId w:val="13"/>
  </w:num>
  <w:num w:numId="24">
    <w:abstractNumId w:val="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336E4"/>
    <w:rsid w:val="00042727"/>
    <w:rsid w:val="000D637E"/>
    <w:rsid w:val="000E673A"/>
    <w:rsid w:val="000F74F5"/>
    <w:rsid w:val="00105372"/>
    <w:rsid w:val="001163AD"/>
    <w:rsid w:val="00131E7A"/>
    <w:rsid w:val="00151153"/>
    <w:rsid w:val="00172AF6"/>
    <w:rsid w:val="00176CEE"/>
    <w:rsid w:val="001E29FB"/>
    <w:rsid w:val="00202B90"/>
    <w:rsid w:val="0021209B"/>
    <w:rsid w:val="00216AFA"/>
    <w:rsid w:val="00272719"/>
    <w:rsid w:val="00283B3E"/>
    <w:rsid w:val="002B10ED"/>
    <w:rsid w:val="002E2CF5"/>
    <w:rsid w:val="002F24D7"/>
    <w:rsid w:val="00320EB1"/>
    <w:rsid w:val="00354A59"/>
    <w:rsid w:val="00372F74"/>
    <w:rsid w:val="003B2F3E"/>
    <w:rsid w:val="003D6765"/>
    <w:rsid w:val="003E09FA"/>
    <w:rsid w:val="00443D44"/>
    <w:rsid w:val="004446E9"/>
    <w:rsid w:val="004622FA"/>
    <w:rsid w:val="004644C2"/>
    <w:rsid w:val="004935F9"/>
    <w:rsid w:val="004D2B8D"/>
    <w:rsid w:val="004D7F93"/>
    <w:rsid w:val="00520912"/>
    <w:rsid w:val="00532DAA"/>
    <w:rsid w:val="00534681"/>
    <w:rsid w:val="0055303E"/>
    <w:rsid w:val="0056275D"/>
    <w:rsid w:val="005629CA"/>
    <w:rsid w:val="005743F8"/>
    <w:rsid w:val="00575FC7"/>
    <w:rsid w:val="005809C4"/>
    <w:rsid w:val="00582527"/>
    <w:rsid w:val="005F1612"/>
    <w:rsid w:val="005F26F5"/>
    <w:rsid w:val="00613E3C"/>
    <w:rsid w:val="00633F34"/>
    <w:rsid w:val="006B2290"/>
    <w:rsid w:val="007039A9"/>
    <w:rsid w:val="00706958"/>
    <w:rsid w:val="00717D88"/>
    <w:rsid w:val="00725A4E"/>
    <w:rsid w:val="0075258B"/>
    <w:rsid w:val="007730ED"/>
    <w:rsid w:val="007746A6"/>
    <w:rsid w:val="007942D3"/>
    <w:rsid w:val="007A2262"/>
    <w:rsid w:val="007B6C09"/>
    <w:rsid w:val="007E09DA"/>
    <w:rsid w:val="007F45C6"/>
    <w:rsid w:val="008178B6"/>
    <w:rsid w:val="008245E1"/>
    <w:rsid w:val="00846691"/>
    <w:rsid w:val="00865B74"/>
    <w:rsid w:val="00874E6A"/>
    <w:rsid w:val="008A2567"/>
    <w:rsid w:val="008D0FBB"/>
    <w:rsid w:val="00901D06"/>
    <w:rsid w:val="00923EDF"/>
    <w:rsid w:val="009505C9"/>
    <w:rsid w:val="009770CF"/>
    <w:rsid w:val="009D4BF5"/>
    <w:rsid w:val="009D6D56"/>
    <w:rsid w:val="00A81F96"/>
    <w:rsid w:val="00AB73E1"/>
    <w:rsid w:val="00AC3A00"/>
    <w:rsid w:val="00B13689"/>
    <w:rsid w:val="00B23E96"/>
    <w:rsid w:val="00B3369F"/>
    <w:rsid w:val="00BB3AC8"/>
    <w:rsid w:val="00BE33AD"/>
    <w:rsid w:val="00C1270F"/>
    <w:rsid w:val="00C13C6B"/>
    <w:rsid w:val="00C32AD7"/>
    <w:rsid w:val="00C50EE9"/>
    <w:rsid w:val="00C531A4"/>
    <w:rsid w:val="00C602D1"/>
    <w:rsid w:val="00C75E3A"/>
    <w:rsid w:val="00C902EB"/>
    <w:rsid w:val="00C9161D"/>
    <w:rsid w:val="00C93CEB"/>
    <w:rsid w:val="00CA0206"/>
    <w:rsid w:val="00CB0A28"/>
    <w:rsid w:val="00CE4A5F"/>
    <w:rsid w:val="00CF1848"/>
    <w:rsid w:val="00D176D1"/>
    <w:rsid w:val="00D52F3B"/>
    <w:rsid w:val="00D54755"/>
    <w:rsid w:val="00D76A18"/>
    <w:rsid w:val="00DD118C"/>
    <w:rsid w:val="00DD2722"/>
    <w:rsid w:val="00DF45EA"/>
    <w:rsid w:val="00E24795"/>
    <w:rsid w:val="00E53957"/>
    <w:rsid w:val="00E5424D"/>
    <w:rsid w:val="00E66235"/>
    <w:rsid w:val="00E83C24"/>
    <w:rsid w:val="00EB63A1"/>
    <w:rsid w:val="00F15663"/>
    <w:rsid w:val="00F34B35"/>
    <w:rsid w:val="00F3741A"/>
    <w:rsid w:val="00F4428C"/>
    <w:rsid w:val="00F94774"/>
    <w:rsid w:val="00FC53DB"/>
    <w:rsid w:val="00FC7CCE"/>
    <w:rsid w:val="00FE61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5:docId w15:val="{1C5D9D4A-1BB4-4525-AB23-11A22A9D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ListParagraph">
    <w:name w:val="List Paragraph"/>
    <w:basedOn w:val="Normal"/>
    <w:uiPriority w:val="34"/>
    <w:qFormat/>
    <w:rsid w:val="00F4428C"/>
    <w:pPr>
      <w:ind w:left="720"/>
      <w:contextualSpacing/>
    </w:pPr>
  </w:style>
  <w:style w:type="paragraph" w:styleId="CommentSubject">
    <w:name w:val="annotation subject"/>
    <w:basedOn w:val="CommentText"/>
    <w:next w:val="CommentText"/>
    <w:link w:val="CommentSubjectChar"/>
    <w:uiPriority w:val="99"/>
    <w:semiHidden/>
    <w:unhideWhenUsed/>
    <w:rsid w:val="00D52F3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D52F3B"/>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bsch.cbd.int/repor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chart" Target="charts/chart2.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 TargetMode="External"/><Relationship Id="rId2" Type="http://schemas.openxmlformats.org/officeDocument/2006/relationships/hyperlink" Target="https://www.cbd.int/abs/text/" TargetMode="External"/><Relationship Id="rId1" Type="http://schemas.openxmlformats.org/officeDocument/2006/relationships/hyperlink" Target="http://www.who.int/un-collaboration/partners/UNCBD/en/" TargetMode="External"/><Relationship Id="rId4" Type="http://schemas.openxmlformats.org/officeDocument/2006/relationships/hyperlink" Target="https://www.cbd.int/doc/decisions/np-mop-02/np-mop-02-dec-05-en.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Sheet2!$K$30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Sheet2!$L$29:$Q$29</c:f>
              <c:strCache>
                <c:ptCount val="6"/>
                <c:pt idx="0">
                  <c:v>    Total </c:v>
                </c:pt>
                <c:pt idx="1">
                  <c:v>Africa</c:v>
                </c:pt>
                <c:pt idx="2">
                  <c:v>Asia and the Pacific</c:v>
                </c:pt>
                <c:pt idx="3">
                  <c:v>Central and Eastern Europe</c:v>
                </c:pt>
                <c:pt idx="4">
                  <c:v>Latin Americ and the Caribbean</c:v>
                </c:pt>
                <c:pt idx="5">
                  <c:v>Western Europe and others</c:v>
                </c:pt>
              </c:strCache>
            </c:strRef>
          </c:cat>
          <c:val>
            <c:numRef>
              <c:f>Sheet2!$L$30:$Q$30</c:f>
              <c:numCache>
                <c:formatCode>0%</c:formatCode>
                <c:ptCount val="6"/>
                <c:pt idx="0">
                  <c:v>0.56000000000000005</c:v>
                </c:pt>
                <c:pt idx="1">
                  <c:v>0.35714285714285715</c:v>
                </c:pt>
                <c:pt idx="2">
                  <c:v>0.84615384615384615</c:v>
                </c:pt>
                <c:pt idx="3">
                  <c:v>0.55555555555555558</c:v>
                </c:pt>
                <c:pt idx="4">
                  <c:v>0.2</c:v>
                </c:pt>
                <c:pt idx="5">
                  <c:v>0.93333333333333335</c:v>
                </c:pt>
              </c:numCache>
            </c:numRef>
          </c:val>
          <c:extLst>
            <c:ext xmlns:c16="http://schemas.microsoft.com/office/drawing/2014/chart" uri="{C3380CC4-5D6E-409C-BE32-E72D297353CC}">
              <c16:uniqueId val="{00000000-8F27-41F0-8995-A1D718890CF5}"/>
            </c:ext>
          </c:extLst>
        </c:ser>
        <c:ser>
          <c:idx val="1"/>
          <c:order val="1"/>
          <c:tx>
            <c:strRef>
              <c:f>Sheet2!$K$31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Sheet2!$L$29:$Q$29</c:f>
              <c:strCache>
                <c:ptCount val="6"/>
                <c:pt idx="0">
                  <c:v>    Total </c:v>
                </c:pt>
                <c:pt idx="1">
                  <c:v>Africa</c:v>
                </c:pt>
                <c:pt idx="2">
                  <c:v>Asia and the Pacific</c:v>
                </c:pt>
                <c:pt idx="3">
                  <c:v>Central and Eastern Europe</c:v>
                </c:pt>
                <c:pt idx="4">
                  <c:v>Latin Americ and the Caribbean</c:v>
                </c:pt>
                <c:pt idx="5">
                  <c:v>Western Europe and others</c:v>
                </c:pt>
              </c:strCache>
            </c:strRef>
          </c:cat>
          <c:val>
            <c:numRef>
              <c:f>Sheet2!$L$31:$Q$31</c:f>
              <c:numCache>
                <c:formatCode>0%</c:formatCode>
                <c:ptCount val="6"/>
                <c:pt idx="0">
                  <c:v>0.44</c:v>
                </c:pt>
                <c:pt idx="1">
                  <c:v>0.6428571428571429</c:v>
                </c:pt>
                <c:pt idx="2">
                  <c:v>0.15384615384615385</c:v>
                </c:pt>
                <c:pt idx="3">
                  <c:v>0.44444444444444442</c:v>
                </c:pt>
                <c:pt idx="4">
                  <c:v>0.8</c:v>
                </c:pt>
                <c:pt idx="5">
                  <c:v>6.6666666666666666E-2</c:v>
                </c:pt>
              </c:numCache>
            </c:numRef>
          </c:val>
          <c:extLst>
            <c:ext xmlns:c16="http://schemas.microsoft.com/office/drawing/2014/chart" uri="{C3380CC4-5D6E-409C-BE32-E72D297353CC}">
              <c16:uniqueId val="{00000001-8F27-41F0-8995-A1D718890CF5}"/>
            </c:ext>
          </c:extLst>
        </c:ser>
        <c:dLbls>
          <c:dLblPos val="outEnd"/>
          <c:showLegendKey val="0"/>
          <c:showVal val="1"/>
          <c:showCatName val="0"/>
          <c:showSerName val="0"/>
          <c:showPercent val="0"/>
          <c:showBubbleSize val="0"/>
        </c:dLbls>
        <c:gapWidth val="219"/>
        <c:overlap val="-27"/>
        <c:axId val="161358592"/>
        <c:axId val="161360896"/>
      </c:barChart>
      <c:catAx>
        <c:axId val="16135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360896"/>
        <c:crosses val="autoZero"/>
        <c:auto val="1"/>
        <c:lblAlgn val="ctr"/>
        <c:lblOffset val="100"/>
        <c:noMultiLvlLbl val="0"/>
      </c:catAx>
      <c:valAx>
        <c:axId val="161360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35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Sheet2!$K$48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Sheet2!$L$47:$Q$47</c:f>
              <c:strCache>
                <c:ptCount val="6"/>
                <c:pt idx="0">
                  <c:v>    Total </c:v>
                </c:pt>
                <c:pt idx="1">
                  <c:v>Africa</c:v>
                </c:pt>
                <c:pt idx="2">
                  <c:v>Asia and the Pacific</c:v>
                </c:pt>
                <c:pt idx="3">
                  <c:v>Central and Eastern Europe</c:v>
                </c:pt>
                <c:pt idx="4">
                  <c:v>Latin Americ and the Caribbean</c:v>
                </c:pt>
                <c:pt idx="5">
                  <c:v>Western Europe and others</c:v>
                </c:pt>
              </c:strCache>
            </c:strRef>
          </c:cat>
          <c:val>
            <c:numRef>
              <c:f>Sheet2!$L$48:$Q$48</c:f>
              <c:numCache>
                <c:formatCode>0%</c:formatCode>
                <c:ptCount val="6"/>
                <c:pt idx="0">
                  <c:v>0.36</c:v>
                </c:pt>
                <c:pt idx="1">
                  <c:v>0.32142857142857145</c:v>
                </c:pt>
                <c:pt idx="2">
                  <c:v>0.46153846153846156</c:v>
                </c:pt>
                <c:pt idx="3">
                  <c:v>0.1111111111111111</c:v>
                </c:pt>
                <c:pt idx="4">
                  <c:v>0.3</c:v>
                </c:pt>
                <c:pt idx="5">
                  <c:v>0.53333333333333333</c:v>
                </c:pt>
              </c:numCache>
            </c:numRef>
          </c:val>
          <c:extLst>
            <c:ext xmlns:c16="http://schemas.microsoft.com/office/drawing/2014/chart" uri="{C3380CC4-5D6E-409C-BE32-E72D297353CC}">
              <c16:uniqueId val="{00000000-4AA8-4FF7-9F11-A84ED6BC2D0B}"/>
            </c:ext>
          </c:extLst>
        </c:ser>
        <c:ser>
          <c:idx val="1"/>
          <c:order val="1"/>
          <c:tx>
            <c:strRef>
              <c:f>Sheet2!$K$49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Sheet2!$L$47:$Q$47</c:f>
              <c:strCache>
                <c:ptCount val="6"/>
                <c:pt idx="0">
                  <c:v>    Total </c:v>
                </c:pt>
                <c:pt idx="1">
                  <c:v>Africa</c:v>
                </c:pt>
                <c:pt idx="2">
                  <c:v>Asia and the Pacific</c:v>
                </c:pt>
                <c:pt idx="3">
                  <c:v>Central and Eastern Europe</c:v>
                </c:pt>
                <c:pt idx="4">
                  <c:v>Latin Americ and the Caribbean</c:v>
                </c:pt>
                <c:pt idx="5">
                  <c:v>Western Europe and others</c:v>
                </c:pt>
              </c:strCache>
            </c:strRef>
          </c:cat>
          <c:val>
            <c:numRef>
              <c:f>Sheet2!$L$49:$Q$49</c:f>
              <c:numCache>
                <c:formatCode>0%</c:formatCode>
                <c:ptCount val="6"/>
                <c:pt idx="0">
                  <c:v>0.64</c:v>
                </c:pt>
                <c:pt idx="1">
                  <c:v>0.6785714285714286</c:v>
                </c:pt>
                <c:pt idx="2">
                  <c:v>0.53846153846153844</c:v>
                </c:pt>
                <c:pt idx="3">
                  <c:v>0.88888888888888884</c:v>
                </c:pt>
                <c:pt idx="4">
                  <c:v>0.7</c:v>
                </c:pt>
                <c:pt idx="5">
                  <c:v>0.46666666666666667</c:v>
                </c:pt>
              </c:numCache>
            </c:numRef>
          </c:val>
          <c:extLst>
            <c:ext xmlns:c16="http://schemas.microsoft.com/office/drawing/2014/chart" uri="{C3380CC4-5D6E-409C-BE32-E72D297353CC}">
              <c16:uniqueId val="{00000001-4AA8-4FF7-9F11-A84ED6BC2D0B}"/>
            </c:ext>
          </c:extLst>
        </c:ser>
        <c:dLbls>
          <c:dLblPos val="outEnd"/>
          <c:showLegendKey val="0"/>
          <c:showVal val="1"/>
          <c:showCatName val="0"/>
          <c:showSerName val="0"/>
          <c:showPercent val="0"/>
          <c:showBubbleSize val="0"/>
        </c:dLbls>
        <c:gapWidth val="219"/>
        <c:overlap val="-27"/>
        <c:axId val="159610752"/>
        <c:axId val="159612288"/>
      </c:barChart>
      <c:catAx>
        <c:axId val="15961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12288"/>
        <c:crosses val="autoZero"/>
        <c:auto val="1"/>
        <c:lblAlgn val="ctr"/>
        <c:lblOffset val="100"/>
        <c:noMultiLvlLbl val="0"/>
      </c:catAx>
      <c:valAx>
        <c:axId val="159612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10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E0E13"/>
    <w:rsid w:val="0029702C"/>
    <w:rsid w:val="004C77B2"/>
    <w:rsid w:val="00500A2B"/>
    <w:rsid w:val="00574224"/>
    <w:rsid w:val="0058288D"/>
    <w:rsid w:val="006801B3"/>
    <w:rsid w:val="007F066B"/>
    <w:rsid w:val="00810A55"/>
    <w:rsid w:val="008A7D55"/>
    <w:rsid w:val="008C6619"/>
    <w:rsid w:val="008D420E"/>
    <w:rsid w:val="00903084"/>
    <w:rsid w:val="0098642F"/>
    <w:rsid w:val="00A22723"/>
    <w:rsid w:val="00AC0871"/>
    <w:rsid w:val="00B912B6"/>
    <w:rsid w:val="00BE5E53"/>
    <w:rsid w:val="00C73345"/>
    <w:rsid w:val="00CA4DD1"/>
    <w:rsid w:val="00DA495F"/>
    <w:rsid w:val="00E1591B"/>
    <w:rsid w:val="00F02A0A"/>
    <w:rsid w:val="00F71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7D55"/>
    <w:rPr>
      <w:color w:val="808080"/>
    </w:rPr>
  </w:style>
  <w:style w:type="paragraph" w:customStyle="1" w:styleId="2EE56913CC774A498EEE70A588BAA68B">
    <w:name w:val="2EE56913CC774A498EEE70A588BAA68B"/>
    <w:rsid w:val="008A7D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0FA463-E9B3-4263-896B-BAE130368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2534</TotalTime>
  <Pages>9</Pages>
  <Words>3601</Words>
  <Characters>20532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INFORMATION PROVIDED BY PARTIES TO THE NAGOYA PROTOCOL ON THE NATIONAL IMPLEMENTATION OF ARTICLE 8(b) AND OTHER RELEVANT PROVISIONS OF THE PROTOCOL</vt:lpstr>
    </vt:vector>
  </TitlesOfParts>
  <Company>SCBD</Company>
  <LinksUpToDate>false</LinksUpToDate>
  <CharactersWithSpaces>24085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PROVIDED BY PARTIES TO THE NAGOYA PROTOCOL ON THE NATIONAL IMPLEMENTATION OF ARTICLE 8(b) AND OTHER RELEVANT PROVISIONS OF THE PROTOCOL</dc:title>
  <dc:subject>CBD/NP/MOP/3/INF/4</dc:subject>
  <dc:creator>SCBD</dc:creator>
  <cp:lastModifiedBy>Veronique Lefebvre</cp:lastModifiedBy>
  <cp:revision>5</cp:revision>
  <cp:lastPrinted>2018-10-16T20:30:00Z</cp:lastPrinted>
  <dcterms:created xsi:type="dcterms:W3CDTF">2018-10-04T18:02:00Z</dcterms:created>
  <dcterms:modified xsi:type="dcterms:W3CDTF">2018-10-16T20:51:00Z</dcterms:modified>
  <cp:contentStatus>GENERAL</cp:contentStatus>
</cp:coreProperties>
</file>