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38458F" w14:paraId="41D56E08" w14:textId="77777777" w:rsidTr="00A7232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50576B6" w14:textId="77777777" w:rsidR="00207A6E" w:rsidRPr="0038458F" w:rsidRDefault="00207A6E" w:rsidP="00D0542E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38458F">
              <w:rPr>
                <w:noProof/>
                <w:lang w:val="en-US"/>
              </w:rPr>
              <w:drawing>
                <wp:inline distT="0" distB="0" distL="0" distR="0" wp14:anchorId="630904E9" wp14:editId="6C0E3F4D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5DA7F530" w14:textId="77777777" w:rsidR="00207A6E" w:rsidRPr="0038458F" w:rsidRDefault="00207A6E" w:rsidP="00D0542E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38458F">
              <w:rPr>
                <w:noProof/>
                <w:lang w:val="en-US"/>
              </w:rPr>
              <w:drawing>
                <wp:inline distT="0" distB="0" distL="0" distR="0" wp14:anchorId="799F52F2" wp14:editId="703E165B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F7620CF" w14:textId="77777777" w:rsidR="00207A6E" w:rsidRPr="0038458F" w:rsidRDefault="00207A6E" w:rsidP="00D0542E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38458F"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38458F" w14:paraId="0EF3099F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2B2B68C5" w14:textId="586E6E91" w:rsidR="00F16F02" w:rsidRPr="0038458F" w:rsidRDefault="0038458F" w:rsidP="00D0542E">
            <w:pPr>
              <w:suppressLineNumbers/>
              <w:suppressAutoHyphens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kern w:val="22"/>
                <w:lang w:val="en-US"/>
              </w:rPr>
              <w:drawing>
                <wp:inline distT="0" distB="0" distL="0" distR="0" wp14:anchorId="1F949F46" wp14:editId="23AEF7CE">
                  <wp:extent cx="2880000" cy="1060065"/>
                  <wp:effectExtent l="0" t="0" r="0" b="6985"/>
                  <wp:docPr id="3" name="Picture 3" descr="U:\Working Folders\Logos\CBD-official\logo-cbd-es\cbd-logo-print-black-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Working Folders\Logos\CBD-official\logo-cbd-es\cbd-logo-print-black-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0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B5F131A" w14:textId="77777777" w:rsidR="00F16F02" w:rsidRPr="0038458F" w:rsidRDefault="00F16F02" w:rsidP="00D0542E">
            <w:pPr>
              <w:pStyle w:val="Encabezado"/>
              <w:suppressLineNumbers/>
              <w:tabs>
                <w:tab w:val="clear" w:pos="4320"/>
                <w:tab w:val="clear" w:pos="8640"/>
              </w:tabs>
              <w:suppressAutoHyphens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496C9580" w14:textId="77777777" w:rsidR="00F16F02" w:rsidRPr="0038458F" w:rsidRDefault="00F16F02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38458F">
              <w:rPr>
                <w:snapToGrid w:val="0"/>
                <w:szCs w:val="22"/>
              </w:rPr>
              <w:t>Distr.</w:t>
            </w:r>
          </w:p>
          <w:p w14:paraId="65B02D29" w14:textId="1AFC4448" w:rsidR="00F16F02" w:rsidRPr="0038458F" w:rsidRDefault="0067228A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38458F">
              <w:rPr>
                <w:snapToGrid w:val="0"/>
                <w:szCs w:val="22"/>
              </w:rPr>
              <w:t>GENERAL</w:t>
            </w:r>
          </w:p>
          <w:p w14:paraId="32C159AF" w14:textId="77777777" w:rsidR="00F16F02" w:rsidRPr="0038458F" w:rsidRDefault="00F16F02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</w:rPr>
              <w:alias w:val="Asunto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E9A559B" w14:textId="7E65530D" w:rsidR="00F16F02" w:rsidRPr="0038458F" w:rsidRDefault="00B21FFE" w:rsidP="00D0542E">
                <w:pPr>
                  <w:suppressLineNumbers/>
                  <w:suppressAutoHyphens/>
                  <w:adjustRightInd w:val="0"/>
                  <w:snapToGrid w:val="0"/>
                  <w:ind w:left="63"/>
                  <w:jc w:val="left"/>
                  <w:rPr>
                    <w:snapToGrid w:val="0"/>
                    <w:kern w:val="22"/>
                    <w:szCs w:val="22"/>
                  </w:rPr>
                </w:pPr>
                <w:r w:rsidRPr="0038458F">
                  <w:rPr>
                    <w:kern w:val="22"/>
                    <w:szCs w:val="22"/>
                  </w:rPr>
                  <w:t>CBD/WG2020/2/2</w:t>
                </w:r>
              </w:p>
            </w:sdtContent>
          </w:sdt>
          <w:p w14:paraId="3F0DB6BA" w14:textId="77777777" w:rsidR="00220DF2" w:rsidRPr="00FD7BC1" w:rsidRDefault="00B55AFC" w:rsidP="00220DF2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551405">
              <w:rPr>
                <w:snapToGrid w:val="0"/>
                <w:szCs w:val="22"/>
              </w:rPr>
              <w:t>11 de enero de 2020</w:t>
            </w:r>
            <w:r w:rsidR="00220DF2" w:rsidRPr="006650E6">
              <w:rPr>
                <w:rStyle w:val="Refdenotaalpie"/>
                <w:snapToGrid w:val="0"/>
                <w:kern w:val="22"/>
                <w:szCs w:val="22"/>
                <w:u w:val="none"/>
                <w:vertAlign w:val="superscript"/>
              </w:rPr>
              <w:footnoteReference w:customMarkFollows="1" w:id="1"/>
              <w:t>*</w:t>
            </w:r>
          </w:p>
          <w:p w14:paraId="5632F78B" w14:textId="36FD5877" w:rsidR="00F16F02" w:rsidRPr="0038458F" w:rsidRDefault="00F16F02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</w:p>
          <w:p w14:paraId="3037A114" w14:textId="101EB025" w:rsidR="00EE1B26" w:rsidRPr="0038458F" w:rsidRDefault="00EE1B26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38458F">
              <w:rPr>
                <w:snapToGrid w:val="0"/>
                <w:kern w:val="22"/>
                <w:szCs w:val="22"/>
              </w:rPr>
              <w:t>ESPAÑOL</w:t>
            </w:r>
          </w:p>
          <w:p w14:paraId="7C4F72C6" w14:textId="77777777" w:rsidR="00F16F02" w:rsidRPr="0038458F" w:rsidRDefault="00F16F02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color w:val="FF0000"/>
                <w:kern w:val="22"/>
                <w:szCs w:val="22"/>
                <w:u w:val="single"/>
              </w:rPr>
            </w:pPr>
            <w:r w:rsidRPr="0038458F">
              <w:rPr>
                <w:snapToGrid w:val="0"/>
                <w:szCs w:val="22"/>
              </w:rPr>
              <w:t>ORIGINAL:  INGLÉS</w:t>
            </w:r>
          </w:p>
        </w:tc>
      </w:tr>
    </w:tbl>
    <w:bookmarkStart w:id="1" w:name="Meeting"/>
    <w:p w14:paraId="1CC4DDA0" w14:textId="77777777" w:rsidR="00D97C40" w:rsidRPr="0038458F" w:rsidRDefault="00AD0610" w:rsidP="00D0542E">
      <w:pPr>
        <w:pStyle w:val="meetingname"/>
        <w:suppressLineNumbers/>
        <w:suppressAutoHyphens/>
        <w:adjustRightInd w:val="0"/>
        <w:snapToGrid w:val="0"/>
        <w:ind w:right="5816"/>
        <w:rPr>
          <w:kern w:val="22"/>
          <w:szCs w:val="22"/>
        </w:rPr>
      </w:pPr>
      <w:sdt>
        <w:sdtPr>
          <w:rPr>
            <w:kern w:val="22"/>
            <w:szCs w:val="22"/>
          </w:rPr>
          <w:alias w:val="Reunión"/>
          <w:tag w:val="Meeting"/>
          <w:id w:val="1412045910"/>
          <w:placeholder>
            <w:docPart w:val="719BEB6F4B05438B95E20987EC1D04FC"/>
          </w:placeholder>
          <w:text/>
        </w:sdtPr>
        <w:sdtEndPr/>
        <w:sdtContent>
          <w:r w:rsidR="001E5BE4" w:rsidRPr="0038458F">
            <w:t>Grupo de Trabajo de Composición Abierta sobre el Marco Mundial de la Diversidad Biológica Posterior a 2020</w:t>
          </w:r>
        </w:sdtContent>
      </w:sdt>
      <w:bookmarkEnd w:id="1"/>
    </w:p>
    <w:p w14:paraId="4776F3D4" w14:textId="07F5D315" w:rsidR="00D97C40" w:rsidRPr="0038458F" w:rsidRDefault="00B55AFC" w:rsidP="00D0542E">
      <w:pPr>
        <w:suppressLineNumbers/>
        <w:suppressAutoHyphens/>
        <w:adjustRightInd w:val="0"/>
        <w:snapToGrid w:val="0"/>
        <w:rPr>
          <w:snapToGrid w:val="0"/>
          <w:kern w:val="22"/>
          <w:szCs w:val="22"/>
        </w:rPr>
      </w:pPr>
      <w:r w:rsidRPr="0038458F">
        <w:rPr>
          <w:snapToGrid w:val="0"/>
          <w:szCs w:val="22"/>
        </w:rPr>
        <w:t>Segunda reunión</w:t>
      </w:r>
    </w:p>
    <w:p w14:paraId="3974E867" w14:textId="074548DE" w:rsidR="005B6A66" w:rsidRPr="0038458F" w:rsidRDefault="00B9639B" w:rsidP="00D0542E">
      <w:pPr>
        <w:suppressLineNumbers/>
        <w:suppressAutoHyphens/>
        <w:adjustRightInd w:val="0"/>
        <w:snapToGrid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Roma,</w:t>
      </w:r>
      <w:r w:rsidR="00B55AFC" w:rsidRPr="0038458F">
        <w:rPr>
          <w:snapToGrid w:val="0"/>
          <w:szCs w:val="22"/>
        </w:rPr>
        <w:t xml:space="preserve"> 24 al 29 de febrero de 2020</w:t>
      </w:r>
    </w:p>
    <w:p w14:paraId="1A1C1E8B" w14:textId="38942A4D" w:rsidR="0067228A" w:rsidRPr="0038458F" w:rsidRDefault="0067228A" w:rsidP="00D0542E">
      <w:pPr>
        <w:suppressLineNumbers/>
        <w:suppressAutoHyphens/>
        <w:adjustRightInd w:val="0"/>
        <w:snapToGrid w:val="0"/>
        <w:rPr>
          <w:snapToGrid w:val="0"/>
          <w:kern w:val="22"/>
          <w:szCs w:val="22"/>
        </w:rPr>
      </w:pPr>
      <w:r w:rsidRPr="0038458F">
        <w:rPr>
          <w:snapToGrid w:val="0"/>
          <w:szCs w:val="22"/>
        </w:rPr>
        <w:t>Tema 3 del programa provisional</w:t>
      </w:r>
      <w:r w:rsidRPr="0038458F">
        <w:rPr>
          <w:rStyle w:val="Refdenotaalpie"/>
          <w:snapToGrid w:val="0"/>
          <w:kern w:val="22"/>
          <w:sz w:val="22"/>
          <w:szCs w:val="22"/>
          <w:u w:val="none"/>
          <w:vertAlign w:val="superscript"/>
          <w:lang w:eastAsia="nb-NO"/>
        </w:rPr>
        <w:footnoteReference w:customMarkFollows="1" w:id="2"/>
        <w:t>*</w:t>
      </w:r>
    </w:p>
    <w:sdt>
      <w:sdtPr>
        <w:rPr>
          <w:b/>
          <w:caps/>
          <w:snapToGrid/>
          <w:kern w:val="22"/>
          <w:szCs w:val="22"/>
        </w:rPr>
        <w:alias w:val="Título"/>
        <w:tag w:val=""/>
        <w:id w:val="1132532128"/>
        <w:placeholder>
          <w:docPart w:val="B5D93EE96593482F81D6B232F2EE53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5048FD5" w14:textId="265BD83F" w:rsidR="00EC2A40" w:rsidRPr="0038458F" w:rsidRDefault="00044448" w:rsidP="00D0542E">
          <w:pPr>
            <w:pStyle w:val="Para1"/>
            <w:numPr>
              <w:ilvl w:val="0"/>
              <w:numId w:val="0"/>
            </w:numPr>
            <w:suppressLineNumbers/>
            <w:suppressAutoHyphens/>
            <w:adjustRightInd w:val="0"/>
            <w:snapToGrid w:val="0"/>
            <w:spacing w:before="240"/>
            <w:jc w:val="center"/>
            <w:rPr>
              <w:b/>
              <w:caps/>
              <w:snapToGrid/>
              <w:kern w:val="22"/>
              <w:szCs w:val="22"/>
            </w:rPr>
          </w:pPr>
          <w:r>
            <w:rPr>
              <w:b/>
              <w:caps/>
              <w:snapToGrid/>
              <w:kern w:val="22"/>
              <w:szCs w:val="22"/>
            </w:rPr>
            <w:t>PANORAMA GENERAL DE LOS RESULTADOS DE LAS CONSULTAS REALIZADAS Y OTRAS CONTRIBUCIONES RECIBIDAS EN RELACIÓN CON LA PREPARACIÓN DEL MARCO MUNDIAL DE LA DIVERSIDAD BIOLÓGICA  POSTERIOR A 2020 DESDE LA PRIMERA REUNIÓN DEL GRUPO DE TRABAJO</w:t>
          </w:r>
        </w:p>
      </w:sdtContent>
    </w:sdt>
    <w:p w14:paraId="248EB64F" w14:textId="4A8EFEC0" w:rsidR="00E92039" w:rsidRPr="0038458F" w:rsidRDefault="00E92039" w:rsidP="00D0542E">
      <w:pPr>
        <w:pStyle w:val="Ttulo1"/>
        <w:suppressLineNumbers/>
        <w:tabs>
          <w:tab w:val="clear" w:pos="720"/>
        </w:tabs>
        <w:suppressAutoHyphens/>
        <w:adjustRightInd w:val="0"/>
        <w:snapToGrid w:val="0"/>
        <w:spacing w:before="120"/>
        <w:rPr>
          <w:b w:val="0"/>
          <w:i/>
          <w:snapToGrid w:val="0"/>
          <w:kern w:val="22"/>
          <w:szCs w:val="22"/>
        </w:rPr>
      </w:pPr>
      <w:r w:rsidRPr="0038458F">
        <w:rPr>
          <w:b w:val="0"/>
          <w:i/>
          <w:caps w:val="0"/>
          <w:snapToGrid w:val="0"/>
          <w:szCs w:val="22"/>
        </w:rPr>
        <w:t>Nota de la Secretaria Ejecutiva</w:t>
      </w:r>
    </w:p>
    <w:p w14:paraId="2B0EC51B" w14:textId="5612C82B" w:rsidR="00EC2A40" w:rsidRPr="0038458F" w:rsidRDefault="00D97C40" w:rsidP="00D0542E">
      <w:pPr>
        <w:pStyle w:val="Ttulo1"/>
        <w:numPr>
          <w:ilvl w:val="0"/>
          <w:numId w:val="9"/>
        </w:numPr>
        <w:suppressLineNumbers/>
        <w:suppressAutoHyphens/>
        <w:adjustRightInd w:val="0"/>
        <w:snapToGrid w:val="0"/>
        <w:spacing w:before="120"/>
        <w:ind w:left="1077"/>
        <w:rPr>
          <w:snapToGrid w:val="0"/>
          <w:kern w:val="22"/>
          <w:szCs w:val="22"/>
        </w:rPr>
      </w:pPr>
      <w:r w:rsidRPr="0038458F">
        <w:rPr>
          <w:snapToGrid w:val="0"/>
          <w:szCs w:val="22"/>
        </w:rPr>
        <w:t>INTRODUCCIÓN</w:t>
      </w:r>
    </w:p>
    <w:p w14:paraId="1F5CEA54" w14:textId="69B4D7C0" w:rsidR="007F1F91" w:rsidRPr="0038458F" w:rsidRDefault="00627629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 xml:space="preserve">En su decisión </w:t>
      </w:r>
      <w:hyperlink r:id="rId14" w:history="1">
        <w:r w:rsidRPr="0038458F">
          <w:rPr>
            <w:rStyle w:val="Hipervnculo"/>
          </w:rPr>
          <w:t>14/34</w:t>
        </w:r>
      </w:hyperlink>
      <w:r w:rsidRPr="0038458F">
        <w:t>, la Conferencia de las Partes estableció el proceso para la creación del marco mundial de la diversidad biológica posterior a 2020. Dicho proceso requiere consultas que incluyen</w:t>
      </w:r>
      <w:r w:rsidR="00000FE6" w:rsidRPr="0038458F">
        <w:t xml:space="preserve">, entre otras cosas, </w:t>
      </w:r>
      <w:r w:rsidRPr="0038458F">
        <w:t xml:space="preserve">foros de debate en línea y talleres mundiales, regionales y temáticos. De conformidad con esta decisión, se han emprendido o iniciado varios procesos de consulta. Además, la Secretaría ha creado un sitio web para todas las actividades relativas a la preparación del marco mundial de la diversidad biológica posterior a 2020, incluido un calendario de eventos clave y una página dedicada a los Copresidentes del Grupo de Trabajo de Composición Abierta sobre el Marco Mundial de la Diversidad Biológica </w:t>
      </w:r>
      <w:r w:rsidR="00044448">
        <w:t>p</w:t>
      </w:r>
      <w:r w:rsidRPr="0038458F">
        <w:t>osterior a 2020</w:t>
      </w:r>
      <w:r w:rsidR="002212FB" w:rsidRPr="0038458F">
        <w:rPr>
          <w:kern w:val="22"/>
          <w:szCs w:val="22"/>
          <w:vertAlign w:val="superscript"/>
        </w:rPr>
        <w:footnoteReference w:id="3"/>
      </w:r>
      <w:bookmarkStart w:id="2" w:name="_Hlk13048434"/>
      <w:r w:rsidR="009A1854" w:rsidRPr="0038458F">
        <w:t>.</w:t>
      </w:r>
    </w:p>
    <w:p w14:paraId="6719016F" w14:textId="1AA71F67" w:rsidR="007F1F91" w:rsidRPr="0038458F" w:rsidRDefault="001E6E1A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 xml:space="preserve">El proceso de consulta emprendido hasta la fecha se ha beneficiado del apoyo de </w:t>
      </w:r>
      <w:r w:rsidR="00B3065E" w:rsidRPr="0038458F">
        <w:t>numerosas</w:t>
      </w:r>
      <w:r w:rsidRPr="0038458F">
        <w:t xml:space="preserve"> Partes y organizaciones, entre ellas Alemania, Austria, Australia, el Brasil, el Canadá, la Unión Europea, Finlandia, Francia, el Japón, Noruega, Nueva Zelandia, el Reino Unido de Gran Bretaña e Irlanda del Norte, Serbia, Sudáfrica, Suecia, Suiza y el Uruguay, así como la Unión Africana, la Secretaría de la Plataforma Intergubernamental Científico-</w:t>
      </w:r>
      <w:r w:rsidR="004E5D09" w:rsidRPr="0038458F">
        <w:t>N</w:t>
      </w:r>
      <w:r w:rsidRPr="0038458F">
        <w:t>ormativa sobre Diversidad Biológica y Servicios de los Ecosistemas, el Programa de las Naciones Unidas para el Desarrollo, el Programa de las Naciones Unidas para el Medio Ambiente y ONU</w:t>
      </w:r>
      <w:r w:rsidR="00544893" w:rsidRPr="0038458F">
        <w:t>-</w:t>
      </w:r>
      <w:r w:rsidRPr="0038458F">
        <w:t>Mujeres.</w:t>
      </w:r>
    </w:p>
    <w:bookmarkEnd w:id="2"/>
    <w:p w14:paraId="237BAE0A" w14:textId="0DF9F431" w:rsidR="00B241DC" w:rsidRPr="0038458F" w:rsidRDefault="008755E5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>El presente documento, preparado con la orientación de los Copresidentes del Grupo de Trabajo, ofrece un</w:t>
      </w:r>
      <w:r w:rsidR="00F76B30" w:rsidRPr="0038458F">
        <w:t>a</w:t>
      </w:r>
      <w:r w:rsidRPr="0038458F">
        <w:t xml:space="preserve"> </w:t>
      </w:r>
      <w:r w:rsidR="00F76B30" w:rsidRPr="0038458F">
        <w:t>sinopsis</w:t>
      </w:r>
      <w:r w:rsidRPr="0038458F">
        <w:t xml:space="preserve"> de los procesos de consulta </w:t>
      </w:r>
      <w:r w:rsidR="00F26680" w:rsidRPr="0038458F">
        <w:t>realizados</w:t>
      </w:r>
      <w:r w:rsidRPr="0038458F">
        <w:t xml:space="preserve"> desde la primera reunión del Grupo de Trabajo. En la sección II se ofrece información sobre el examen del marco mundial de la diversidad biológica posterior a 2020 por los órganos subsidiarios del Convenio. La sección III contiene información sobre las </w:t>
      </w:r>
      <w:r w:rsidR="00934AB3" w:rsidRPr="0038458F">
        <w:t>comunicaciones</w:t>
      </w:r>
      <w:r w:rsidRPr="0038458F">
        <w:t xml:space="preserve"> escritas recibidas en respuesta a dos notificaciones. En la sección IV se proporciona información sobre las reuniones de consulta y otras actividades organizadas por la Secretaría y sus asociados. La sección V ofrece información sobre los próximos procesos de consulta que están organizando </w:t>
      </w:r>
      <w:r w:rsidRPr="0038458F">
        <w:lastRenderedPageBreak/>
        <w:t>la Secretaría y sus asociados. La sección VI contiene información sobre reuniones pertinentes organizadas por otras organizaciones.</w:t>
      </w:r>
    </w:p>
    <w:p w14:paraId="0FD94167" w14:textId="328F349F" w:rsidR="00EB1B31" w:rsidRPr="0038458F" w:rsidRDefault="002646ED" w:rsidP="00D0542E">
      <w:pPr>
        <w:pStyle w:val="Ttulo1"/>
        <w:suppressLineNumbers/>
        <w:tabs>
          <w:tab w:val="clear" w:pos="720"/>
          <w:tab w:val="left" w:pos="567"/>
        </w:tabs>
        <w:suppressAutoHyphens/>
        <w:adjustRightInd w:val="0"/>
        <w:snapToGrid w:val="0"/>
        <w:spacing w:before="120"/>
        <w:rPr>
          <w:snapToGrid w:val="0"/>
          <w:kern w:val="22"/>
          <w:szCs w:val="22"/>
        </w:rPr>
      </w:pPr>
      <w:r w:rsidRPr="0038458F">
        <w:rPr>
          <w:snapToGrid w:val="0"/>
          <w:szCs w:val="22"/>
        </w:rPr>
        <w:t>II.</w:t>
      </w:r>
      <w:r w:rsidRPr="0038458F">
        <w:rPr>
          <w:snapToGrid w:val="0"/>
          <w:szCs w:val="22"/>
        </w:rPr>
        <w:tab/>
        <w:t>Examen realizado por los Órganos Subsidiarios del Convenio</w:t>
      </w:r>
    </w:p>
    <w:p w14:paraId="445C4BA8" w14:textId="7F73510D" w:rsidR="00800893" w:rsidRPr="0038458F" w:rsidRDefault="00EB1B31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 xml:space="preserve">En </w:t>
      </w:r>
      <w:r w:rsidR="00B76F1E">
        <w:t>la</w:t>
      </w:r>
      <w:r w:rsidRPr="0038458F">
        <w:t xml:space="preserve"> decisión 14/34, la Conferencia de las Partes pidió al Órgano Subsidiario de Asesoramiento Científico, Técnico y Tecnológico que, en sus reuniones 23ª y 24ª, contribuyera a la elaboración del marco mundial de la diversidad biológica posterior a 2020 y apoyara la labor del Grupo de Trabajo de Composición Abierta. Además, el Grupo de Trabajo de </w:t>
      </w:r>
      <w:r w:rsidR="00BF557E" w:rsidRPr="0038458F">
        <w:t>Composición Abierta</w:t>
      </w:r>
      <w:r w:rsidRPr="0038458F">
        <w:t xml:space="preserve">, en su primera reunión, en agosto de 2019, invitó al Órgano Subsidiario de Asesoramiento Científico, Técnico y Tecnológico, </w:t>
      </w:r>
      <w:r w:rsidR="00E31224">
        <w:t>en lo que refiere</w:t>
      </w:r>
      <w:r w:rsidRPr="0038458F">
        <w:t xml:space="preserve"> a las conclusiones del informe de evaluación mundial de la Plataforma Intergubernamental Científico-</w:t>
      </w:r>
      <w:r w:rsidR="00FF7DDE" w:rsidRPr="0038458F">
        <w:t>N</w:t>
      </w:r>
      <w:r w:rsidRPr="0038458F">
        <w:t xml:space="preserve">ormativa sobre Diversidad Biológica y Servicios de los Ecosistemas (IPBES), a que proporcionara elementos </w:t>
      </w:r>
      <w:r w:rsidR="00D82117">
        <w:t>de</w:t>
      </w:r>
      <w:r w:rsidRPr="0038458F">
        <w:t xml:space="preserve"> orientación sobre objetivos específicos, metas SMART, indicadores, bases de referencia y marcos de vigilancia </w:t>
      </w:r>
      <w:r w:rsidR="00D85BAF">
        <w:t>relativos a</w:t>
      </w:r>
      <w:r w:rsidRPr="0038458F">
        <w:t xml:space="preserve"> los </w:t>
      </w:r>
      <w:r w:rsidR="002570FA" w:rsidRPr="0038458F">
        <w:t>impulsores</w:t>
      </w:r>
      <w:r w:rsidRPr="0038458F">
        <w:t xml:space="preserve"> de la pérdida de diversidad biológica, </w:t>
      </w:r>
      <w:r w:rsidR="00030E45" w:rsidRPr="0038458F">
        <w:t>con miras a</w:t>
      </w:r>
      <w:r w:rsidRPr="0038458F">
        <w:t xml:space="preserve"> lograr un cambio transformador en el ámbito de los tres objetivos del Convenio</w:t>
      </w:r>
      <w:r w:rsidRPr="0038458F">
        <w:rPr>
          <w:kern w:val="22"/>
          <w:szCs w:val="22"/>
          <w:vertAlign w:val="superscript"/>
        </w:rPr>
        <w:footnoteReference w:id="4"/>
      </w:r>
      <w:r w:rsidR="008469D7" w:rsidRPr="0038458F">
        <w:t>.</w:t>
      </w:r>
      <w:r w:rsidRPr="0038458F">
        <w:t xml:space="preserve"> En respuesta a estas solicitudes, el Órgano Subsidiario de Asesoramiento Científico, Técnico y Tecnológico, en su 23ª reunión, identificó elementos de orientación científica y técnica para el marco mundial de la diversidad biológica posterior a 2020. La orientación elaborada por el Órgano Subsidiario figura en el anexo a la recomendación </w:t>
      </w:r>
      <w:hyperlink r:id="rId15" w:history="1">
        <w:r w:rsidR="00AF4BDB" w:rsidRPr="00AF4BDB">
          <w:rPr>
            <w:rStyle w:val="Hipervnculo"/>
            <w:lang w:val="es-MX"/>
          </w:rPr>
          <w:t>23/1</w:t>
        </w:r>
      </w:hyperlink>
      <w:r w:rsidRPr="0038458F">
        <w:t>.</w:t>
      </w:r>
    </w:p>
    <w:p w14:paraId="70A41CFD" w14:textId="21EFC403" w:rsidR="00EA4A50" w:rsidRPr="0038458F" w:rsidRDefault="006C1F1E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>En la decisión 14/34, la Conferencia de las Partes también pide al Grupo de Trabajo Especial de Composición Abierta sobre el Artículo 8 j) y Disposiciones Conexas que, en su 11</w:t>
      </w:r>
      <w:r w:rsidRPr="0038458F">
        <w:rPr>
          <w:vertAlign w:val="superscript"/>
        </w:rPr>
        <w:t>a</w:t>
      </w:r>
      <w:r w:rsidRPr="0038458F">
        <w:t xml:space="preserve"> reunión, formule recomendaciones relativas a</w:t>
      </w:r>
      <w:r w:rsidR="001D56D5" w:rsidRPr="0038458F">
        <w:t xml:space="preserve"> </w:t>
      </w:r>
      <w:r w:rsidRPr="0038458F">
        <w:t>l</w:t>
      </w:r>
      <w:r w:rsidR="001D56D5" w:rsidRPr="0038458F">
        <w:t>a</w:t>
      </w:r>
      <w:r w:rsidRPr="0038458F">
        <w:t xml:space="preserve"> posible </w:t>
      </w:r>
      <w:r w:rsidR="001D56D5" w:rsidRPr="0038458F">
        <w:t>función</w:t>
      </w:r>
      <w:r w:rsidRPr="0038458F">
        <w:t xml:space="preserve"> de los conocimientos tradicionales, la utilización consuetudinaria sostenible y la contribución de las acciones colectivas de los pueblos indígenas y las comunidades locales al marco mundial de la diversidad biológica posterior a 2020. Asimismo, el Grupo de Trabajo de Composición Abierta sobre el Marco Mundial de la Diversidad Biológica </w:t>
      </w:r>
      <w:r w:rsidR="00044448">
        <w:t>p</w:t>
      </w:r>
      <w:r w:rsidRPr="0038458F">
        <w:t xml:space="preserve">osterior a 2020, en su primera reunión, en agosto de 2019, invitó al Grupo de Trabajo Especial de Composición Abierta sobre el Artículo 8 j) y Disposiciones Conexas a asesorar al Grupo de Trabajo sobre el Marco Mundial de la Diversidad Biológica </w:t>
      </w:r>
      <w:r w:rsidR="00044448">
        <w:t>p</w:t>
      </w:r>
      <w:r w:rsidRPr="0038458F">
        <w:t xml:space="preserve">osterior a 2020 en su segunda reunión, </w:t>
      </w:r>
      <w:r w:rsidR="00A921D1" w:rsidRPr="0038458F">
        <w:t>con respecto a</w:t>
      </w:r>
      <w:r w:rsidR="00E31DCA" w:rsidRPr="0038458F">
        <w:t xml:space="preserve"> </w:t>
      </w:r>
      <w:r w:rsidRPr="0038458F">
        <w:t>l</w:t>
      </w:r>
      <w:r w:rsidR="00E31DCA" w:rsidRPr="0038458F">
        <w:t>a</w:t>
      </w:r>
      <w:r w:rsidRPr="0038458F">
        <w:t xml:space="preserve"> posible </w:t>
      </w:r>
      <w:r w:rsidR="00E31DCA" w:rsidRPr="0038458F">
        <w:t>función</w:t>
      </w:r>
      <w:r w:rsidRPr="0038458F">
        <w:t xml:space="preserve"> de los conocimientos tradicionales, la utilización </w:t>
      </w:r>
      <w:r w:rsidR="00117EA2" w:rsidRPr="0038458F">
        <w:t xml:space="preserve">consuetudinaria </w:t>
      </w:r>
      <w:r w:rsidRPr="0038458F">
        <w:t>sostenible y la contribución de las acciones colectivas de los pueblos indígenas y las comunidades locales al marco mundial de la diversidad biológica posterior a 2020, y a considerar aspectos pertinentes en la elaboración de su futuro programa de trabajo. En respuesta a estas solicitudes, el Grupo de Trabajo Especial de Composición Abierta sobre el Artículo 8 j) y Disposiciones Conexas, en su 11</w:t>
      </w:r>
      <w:r w:rsidRPr="0038458F">
        <w:rPr>
          <w:vertAlign w:val="superscript"/>
        </w:rPr>
        <w:t>a</w:t>
      </w:r>
      <w:r w:rsidRPr="0038458F">
        <w:t xml:space="preserve"> reunión, elaboró opciones para posibles elementos de trabajo </w:t>
      </w:r>
      <w:r w:rsidR="00E5594B" w:rsidRPr="0038458F">
        <w:t>orientados</w:t>
      </w:r>
      <w:r w:rsidRPr="0038458F">
        <w:t xml:space="preserve"> a la integración de la naturaleza y la cultura en el marco </w:t>
      </w:r>
      <w:r w:rsidR="001261B6" w:rsidRPr="0038458F">
        <w:t xml:space="preserve">mundial </w:t>
      </w:r>
      <w:r w:rsidRPr="0038458F">
        <w:t>de la diversidad biológica posterior a 2020. Estas opciones figuran en el anexo a la recomendación 11/3. El Grupo de Trabajo Especial de Composición Abierta sobre el Artículo 8</w:t>
      </w:r>
      <w:r w:rsidR="0062432A" w:rsidRPr="0038458F">
        <w:t xml:space="preserve"> </w:t>
      </w:r>
      <w:r w:rsidRPr="0038458F">
        <w:t xml:space="preserve">j) y Disposiciones Conexas también invitó a los Copresidentes del Grupo de Trabajo de Composición Abierta sobre el Marco Mundial de la Diversidad Biológica </w:t>
      </w:r>
      <w:r w:rsidR="00CA2BA3" w:rsidRPr="0038458F">
        <w:t>p</w:t>
      </w:r>
      <w:r w:rsidRPr="0038458F">
        <w:t xml:space="preserve">osterior a 2020 a tomar nota de los resultados del Diálogo Temático Mundial para los Pueblos Indígenas y </w:t>
      </w:r>
      <w:r w:rsidR="00AD4206" w:rsidRPr="0038458F">
        <w:t xml:space="preserve">las </w:t>
      </w:r>
      <w:r w:rsidRPr="0038458F">
        <w:t xml:space="preserve">Comunidades Locales sobre el Marco Mundial de la Diversidad Biológica </w:t>
      </w:r>
      <w:r w:rsidR="00CA2BA3" w:rsidRPr="0038458F">
        <w:t>p</w:t>
      </w:r>
      <w:r w:rsidRPr="0038458F">
        <w:t>osterior a 2020 en el desarrollo de</w:t>
      </w:r>
      <w:r w:rsidR="009C68EB" w:rsidRPr="0038458F">
        <w:t xml:space="preserve"> dicho</w:t>
      </w:r>
      <w:r w:rsidRPr="0038458F">
        <w:t xml:space="preserve"> marco mundial</w:t>
      </w:r>
      <w:r w:rsidR="00800893" w:rsidRPr="0038458F">
        <w:rPr>
          <w:rStyle w:val="Refdenotaalpie"/>
          <w:kern w:val="22"/>
          <w:sz w:val="22"/>
          <w:szCs w:val="22"/>
          <w:u w:val="none"/>
          <w:vertAlign w:val="superscript"/>
        </w:rPr>
        <w:footnoteReference w:id="5"/>
      </w:r>
      <w:r w:rsidR="0062432A" w:rsidRPr="0038458F">
        <w:t>.</w:t>
      </w:r>
    </w:p>
    <w:p w14:paraId="353A457A" w14:textId="45B04BB1" w:rsidR="000D1B78" w:rsidRPr="0038458F" w:rsidRDefault="0003705A" w:rsidP="0003705A">
      <w:pPr>
        <w:pStyle w:val="Para1"/>
        <w:ind w:left="0"/>
        <w:rPr>
          <w:kern w:val="22"/>
          <w:szCs w:val="22"/>
        </w:rPr>
      </w:pPr>
      <w:r w:rsidRPr="0038458F">
        <w:rPr>
          <w:snapToGrid/>
          <w:kern w:val="22"/>
          <w:szCs w:val="22"/>
        </w:rPr>
        <w:t xml:space="preserve">De conformidad con las peticiones señaladas anteriormente, el Órgano Subsidiario de Asesoramiento Científico, Técnico y Tecnológico en su 24ª reunión y el Órgano Subsidiario </w:t>
      </w:r>
      <w:r w:rsidR="00993AC7" w:rsidRPr="0038458F">
        <w:rPr>
          <w:snapToGrid/>
          <w:kern w:val="22"/>
          <w:szCs w:val="22"/>
        </w:rPr>
        <w:t>sobre la Aplica</w:t>
      </w:r>
      <w:r w:rsidRPr="0038458F">
        <w:rPr>
          <w:snapToGrid/>
          <w:kern w:val="22"/>
          <w:szCs w:val="22"/>
        </w:rPr>
        <w:t xml:space="preserve">ción en su tercera reunión examinarán las cuestiones pertinentes al marco </w:t>
      </w:r>
      <w:r w:rsidR="00804FD3" w:rsidRPr="0038458F">
        <w:rPr>
          <w:snapToGrid/>
          <w:kern w:val="22"/>
          <w:szCs w:val="22"/>
        </w:rPr>
        <w:t>mundial de</w:t>
      </w:r>
      <w:r w:rsidRPr="0038458F">
        <w:rPr>
          <w:snapToGrid/>
          <w:kern w:val="22"/>
          <w:szCs w:val="22"/>
        </w:rPr>
        <w:t xml:space="preserve"> la diversidad biológica posterior a 2020 desde la perspectiva de sus respectivos mandatos. En los programas de ambas reuniones se tiene en cuenta este aspecto</w:t>
      </w:r>
      <w:r w:rsidR="000D1B78" w:rsidRPr="0038458F">
        <w:rPr>
          <w:snapToGrid/>
          <w:kern w:val="22"/>
          <w:sz w:val="18"/>
          <w:szCs w:val="22"/>
          <w:vertAlign w:val="superscript"/>
        </w:rPr>
        <w:footnoteReference w:id="6"/>
      </w:r>
      <w:r w:rsidR="000D1B78" w:rsidRPr="0038458F">
        <w:rPr>
          <w:snapToGrid/>
          <w:kern w:val="22"/>
          <w:szCs w:val="22"/>
        </w:rPr>
        <w:t>.</w:t>
      </w:r>
    </w:p>
    <w:p w14:paraId="0A8ACFC2" w14:textId="2F8505B2" w:rsidR="00D97C40" w:rsidRPr="0038458F" w:rsidRDefault="002646ED" w:rsidP="00D0542E">
      <w:pPr>
        <w:pStyle w:val="Ttulo1"/>
        <w:suppressLineNumbers/>
        <w:tabs>
          <w:tab w:val="clear" w:pos="720"/>
          <w:tab w:val="left" w:pos="567"/>
        </w:tabs>
        <w:suppressAutoHyphens/>
        <w:adjustRightInd w:val="0"/>
        <w:snapToGrid w:val="0"/>
        <w:spacing w:before="120"/>
        <w:rPr>
          <w:snapToGrid w:val="0"/>
          <w:kern w:val="22"/>
          <w:szCs w:val="22"/>
        </w:rPr>
      </w:pPr>
      <w:r w:rsidRPr="0038458F">
        <w:rPr>
          <w:snapToGrid w:val="0"/>
          <w:szCs w:val="22"/>
        </w:rPr>
        <w:t>III.</w:t>
      </w:r>
      <w:r w:rsidRPr="0038458F">
        <w:rPr>
          <w:snapToGrid w:val="0"/>
          <w:szCs w:val="22"/>
        </w:rPr>
        <w:tab/>
        <w:t>Aportes de opiniones</w:t>
      </w:r>
    </w:p>
    <w:p w14:paraId="76279824" w14:textId="1F6E34CA" w:rsidR="00D97C40" w:rsidRPr="0038458F" w:rsidRDefault="000B7BF9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 xml:space="preserve">En su primera reunión, el Grupo de Trabajo invitó a las Partes, otros Gobiernos, organizaciones pertinentes e interesados directos a que presentaran a la Secretaria Ejecutiva propuestas sobre la estructura </w:t>
      </w:r>
      <w:r w:rsidRPr="0038458F">
        <w:lastRenderedPageBreak/>
        <w:t xml:space="preserve">del marco mundial de la diversidad biológica posterior a 2020 </w:t>
      </w:r>
      <w:r w:rsidR="006A6375" w:rsidRPr="0038458F">
        <w:t xml:space="preserve">a más tardar </w:t>
      </w:r>
      <w:r w:rsidRPr="0038458F">
        <w:t>el 15 de septiembre de 2019</w:t>
      </w:r>
      <w:r w:rsidR="007D6148" w:rsidRPr="0038458F">
        <w:rPr>
          <w:rStyle w:val="Refdenotaalpie"/>
          <w:kern w:val="22"/>
          <w:sz w:val="22"/>
          <w:szCs w:val="22"/>
          <w:u w:val="none"/>
          <w:vertAlign w:val="superscript"/>
        </w:rPr>
        <w:footnoteReference w:id="7"/>
      </w:r>
      <w:r w:rsidR="00E902A2" w:rsidRPr="0038458F">
        <w:t>.</w:t>
      </w:r>
      <w:r w:rsidRPr="0038458F">
        <w:t xml:space="preserve"> Además, el Órgano Subsidiario de Asesoramiento Científico, Técnico y Tecnológico, en su recomendación 23/1, pidió a la Secretaria Ejecutiva que invitara a las Partes y otros a que presentaran por escrito sus opiniones, en particular sobre las posibles metas, indicadores y bases de referencia </w:t>
      </w:r>
      <w:r w:rsidR="005848D0" w:rsidRPr="0038458F">
        <w:t>en relación</w:t>
      </w:r>
      <w:r w:rsidRPr="0038458F">
        <w:t xml:space="preserve"> con los impulsores de la pérdida de diversidad biológica, así como sobre la conservación de las especies y la integración de la diversidad biológica en todos los sectores. Las </w:t>
      </w:r>
      <w:r w:rsidR="00A56D9D" w:rsidRPr="0038458F">
        <w:t>comunicaciones</w:t>
      </w:r>
      <w:r w:rsidRPr="0038458F">
        <w:t xml:space="preserve"> recibidas en respuesta a ambas invitaciones se encuentran recopiladas en </w:t>
      </w:r>
      <w:hyperlink r:id="rId16" w:history="1">
        <w:r w:rsidR="004074AE" w:rsidRPr="004074AE">
          <w:rPr>
            <w:rStyle w:val="Hipervnculo"/>
            <w:lang w:val="es-MX"/>
          </w:rPr>
          <w:t>https://www.cbd.int/conferences/post2020/submissions</w:t>
        </w:r>
      </w:hyperlink>
      <w:r w:rsidR="00650B91" w:rsidRPr="0038458F">
        <w:t xml:space="preserve"> </w:t>
      </w:r>
      <w:r w:rsidRPr="0038458F">
        <w:rPr>
          <w:rStyle w:val="Hipervnculo"/>
          <w:szCs w:val="22"/>
        </w:rPr>
        <w:t xml:space="preserve"> </w:t>
      </w:r>
      <w:r w:rsidRPr="0038458F">
        <w:t xml:space="preserve"> junto con </w:t>
      </w:r>
      <w:r w:rsidR="00C208F8" w:rsidRPr="0038458F">
        <w:t>otras comunicaciones</w:t>
      </w:r>
      <w:r w:rsidRPr="0038458F">
        <w:t xml:space="preserve"> recibidas anteriormente.</w:t>
      </w:r>
    </w:p>
    <w:p w14:paraId="1545A138" w14:textId="731D731A" w:rsidR="00ED48A2" w:rsidRPr="0038458F" w:rsidRDefault="00606852" w:rsidP="00D0542E">
      <w:pPr>
        <w:pStyle w:val="Ttulo1"/>
        <w:suppressLineNumbers/>
        <w:tabs>
          <w:tab w:val="clear" w:pos="720"/>
          <w:tab w:val="left" w:pos="567"/>
        </w:tabs>
        <w:suppressAutoHyphens/>
        <w:adjustRightInd w:val="0"/>
        <w:snapToGrid w:val="0"/>
        <w:spacing w:before="120"/>
        <w:ind w:left="1276" w:hanging="567"/>
        <w:jc w:val="left"/>
        <w:rPr>
          <w:b w:val="0"/>
          <w:snapToGrid w:val="0"/>
          <w:kern w:val="22"/>
          <w:szCs w:val="22"/>
        </w:rPr>
      </w:pPr>
      <w:r w:rsidRPr="0038458F">
        <w:rPr>
          <w:snapToGrid w:val="0"/>
          <w:szCs w:val="22"/>
        </w:rPr>
        <w:t>IV.</w:t>
      </w:r>
      <w:r w:rsidRPr="0038458F">
        <w:rPr>
          <w:snapToGrid w:val="0"/>
          <w:szCs w:val="22"/>
        </w:rPr>
        <w:tab/>
        <w:t>REUNIONES DE CONSULTA Y OTRAS ACTIVIDADES ORGANIZADAS POR LA SECRETARÍA Y SUS ASOCIADOS</w:t>
      </w:r>
    </w:p>
    <w:p w14:paraId="66941792" w14:textId="6D1275DE" w:rsidR="00184D1B" w:rsidRPr="0038458F" w:rsidRDefault="00FE342E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 xml:space="preserve">En el período </w:t>
      </w:r>
      <w:r w:rsidR="008C490A" w:rsidRPr="0038458F">
        <w:t>entre</w:t>
      </w:r>
      <w:r w:rsidRPr="0038458F">
        <w:t xml:space="preserve"> la primera reunión del Grupo de Trabajo y el 31 de diciembre de 2019, la Secretaría, en colaboración con sus asociados y bajo la orientación de los Copresidentes, organizó varias reuniones relativas al marco mundial de la diversidad biológica posterior a 2020. Esas reuniones son las siguientes:</w:t>
      </w:r>
    </w:p>
    <w:p w14:paraId="5CD53906" w14:textId="1D9F9410" w:rsidR="00ED48A2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</w:t>
      </w:r>
      <w:r w:rsidR="009600E6" w:rsidRPr="0038458F">
        <w:t xml:space="preserve">Temático </w:t>
      </w:r>
      <w:r w:rsidR="00010DC5" w:rsidRPr="0038458F">
        <w:t xml:space="preserve">sobre </w:t>
      </w:r>
      <w:r w:rsidR="009600E6" w:rsidRPr="0038458F">
        <w:t xml:space="preserve">Restauración </w:t>
      </w:r>
      <w:r w:rsidR="00010DC5" w:rsidRPr="0038458F">
        <w:t xml:space="preserve">de </w:t>
      </w:r>
      <w:r w:rsidR="009600E6" w:rsidRPr="0038458F">
        <w:t xml:space="preserve">Ecosistemas </w:t>
      </w:r>
      <w:r w:rsidRPr="0038458F">
        <w:t xml:space="preserve">para el Marco Mundial de la </w:t>
      </w:r>
      <w:r w:rsidR="00E67336" w:rsidRPr="0038458F">
        <w:t>D</w:t>
      </w:r>
      <w:r w:rsidRPr="0038458F">
        <w:t xml:space="preserve">iversidad </w:t>
      </w:r>
      <w:r w:rsidR="00E67336" w:rsidRPr="0038458F">
        <w:t xml:space="preserve">Biológica </w:t>
      </w:r>
      <w:r w:rsidR="00044448">
        <w:t>p</w:t>
      </w:r>
      <w:r w:rsidRPr="0038458F">
        <w:t>osterior a 2020, Río de Janeiro, Brasil, 6 al 8 de noviembre de 2019</w:t>
      </w:r>
      <w:r w:rsidR="00831453" w:rsidRPr="0038458F">
        <w:rPr>
          <w:rFonts w:eastAsia="Malgun Gothic"/>
          <w:kern w:val="22"/>
          <w:szCs w:val="22"/>
          <w:vertAlign w:val="superscript"/>
        </w:rPr>
        <w:footnoteReference w:id="8"/>
      </w:r>
      <w:r w:rsidR="0037062E" w:rsidRPr="0038458F">
        <w:t>;</w:t>
      </w:r>
    </w:p>
    <w:p w14:paraId="6D5C3AA6" w14:textId="497C5118" w:rsidR="00ED48A2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</w:t>
      </w:r>
      <w:r w:rsidR="009600E6" w:rsidRPr="0038458F">
        <w:t xml:space="preserve">Temático </w:t>
      </w:r>
      <w:r w:rsidR="00010DC5" w:rsidRPr="0038458F">
        <w:t xml:space="preserve">sobre la </w:t>
      </w:r>
      <w:r w:rsidR="009600E6" w:rsidRPr="0038458F">
        <w:t xml:space="preserve">Diversidad Biológica Marina </w:t>
      </w:r>
      <w:r w:rsidR="00010DC5" w:rsidRPr="0038458F">
        <w:t xml:space="preserve">y </w:t>
      </w:r>
      <w:r w:rsidR="009600E6" w:rsidRPr="0038458F">
        <w:t xml:space="preserve">Costera </w:t>
      </w:r>
      <w:r w:rsidRPr="0038458F">
        <w:t xml:space="preserve">para el Marco Mundial de la Diversidad Biológica </w:t>
      </w:r>
      <w:r w:rsidR="00044448">
        <w:t>p</w:t>
      </w:r>
      <w:r w:rsidRPr="0038458F">
        <w:t>osterior a 2020, Montreal (Canadá), 13 al 15 de noviembre de 2019</w:t>
      </w:r>
      <w:r w:rsidR="00831453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9"/>
      </w:r>
      <w:r w:rsidR="0037062E" w:rsidRPr="0038458F">
        <w:t>;</w:t>
      </w:r>
    </w:p>
    <w:p w14:paraId="524C9082" w14:textId="60D50EB7" w:rsidR="00ED48A2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Diálogo Temático Mundial para los Pueblos Indígenas y las Comunidades Locales sobre el Marco Mundial de la Diversidad Biológica </w:t>
      </w:r>
      <w:r w:rsidR="00044448">
        <w:t>p</w:t>
      </w:r>
      <w:r w:rsidRPr="0038458F">
        <w:t>osterior a 2020, Montreal (Canadá), 17 y 18 de noviembre de 2019</w:t>
      </w:r>
      <w:r w:rsidR="00831453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0"/>
      </w:r>
      <w:r w:rsidR="0037062E" w:rsidRPr="0038458F">
        <w:t>;</w:t>
      </w:r>
    </w:p>
    <w:p w14:paraId="2A70F55C" w14:textId="2156918D" w:rsidR="00ED48A2" w:rsidRPr="0038458F" w:rsidRDefault="00225C4A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>Taller de Expertos sobre la Estrategia de Comunicaciones para 2020, Montreal (Canadá), 21 y 22 de noviembre de 2019</w:t>
      </w:r>
      <w:r w:rsidR="002A4787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1"/>
      </w:r>
      <w:r w:rsidR="00C32216" w:rsidRPr="0038458F">
        <w:t>;</w:t>
      </w:r>
    </w:p>
    <w:p w14:paraId="5BB9DA3B" w14:textId="5972C81C" w:rsidR="00831453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sobre la Base de </w:t>
      </w:r>
      <w:r w:rsidR="005355D6" w:rsidRPr="0038458F">
        <w:t>Evidencia</w:t>
      </w:r>
      <w:r w:rsidRPr="0038458F">
        <w:t xml:space="preserve"> para el Marco Mundial de la Diversidad Biológica </w:t>
      </w:r>
      <w:r w:rsidR="002141D2">
        <w:t>p</w:t>
      </w:r>
      <w:r w:rsidRPr="0038458F">
        <w:t>osterior a 2020: Quinta edición de la Perspectiva Mundial sobre la Diversidad Biológica y Evaluación Mundial de la Plataforma IPBES, Montreal (Canadá), 23 de noviembre de 2019</w:t>
      </w:r>
      <w:r w:rsidR="00831453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2"/>
      </w:r>
      <w:r w:rsidR="00C32216" w:rsidRPr="0038458F">
        <w:t>;</w:t>
      </w:r>
    </w:p>
    <w:p w14:paraId="07A08EB1" w14:textId="3946CAAB" w:rsidR="00831453" w:rsidRPr="0038458F" w:rsidRDefault="00105E66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>Sesión</w:t>
      </w:r>
      <w:r w:rsidR="00ED48A2" w:rsidRPr="0038458F">
        <w:t xml:space="preserve"> </w:t>
      </w:r>
      <w:r w:rsidR="009600E6" w:rsidRPr="0038458F">
        <w:t xml:space="preserve">Informativa Oficiosa </w:t>
      </w:r>
      <w:r w:rsidR="00ED48A2" w:rsidRPr="0038458F">
        <w:t xml:space="preserve">de los Copresidentes sobre el </w:t>
      </w:r>
      <w:r w:rsidR="00010DC5" w:rsidRPr="0038458F">
        <w:t xml:space="preserve">Marco Mundial </w:t>
      </w:r>
      <w:r w:rsidR="00ED48A2" w:rsidRPr="0038458F">
        <w:t xml:space="preserve">de la </w:t>
      </w:r>
      <w:r w:rsidR="00010DC5" w:rsidRPr="0038458F">
        <w:t xml:space="preserve">Diversidad Biológica </w:t>
      </w:r>
      <w:r w:rsidR="00ED48A2" w:rsidRPr="0038458F">
        <w:t>posterior a 2020, Montreal (Canadá), 24 de noviembre de 2019</w:t>
      </w:r>
      <w:r w:rsidR="00831453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3"/>
      </w:r>
      <w:r w:rsidR="009E550C" w:rsidRPr="0038458F">
        <w:t>;</w:t>
      </w:r>
    </w:p>
    <w:p w14:paraId="65B69D75" w14:textId="4DF4401E" w:rsidR="00225C4A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>Taller Temático sobre Medidas de Conservación Basada en Áreas, Montreal (Canadá), 1 al 3 de diciembre de 2019</w:t>
      </w:r>
      <w:r w:rsidR="00225C4A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4"/>
      </w:r>
      <w:r w:rsidR="003D54B0" w:rsidRPr="0038458F">
        <w:t>.</w:t>
      </w:r>
    </w:p>
    <w:p w14:paraId="4C3E72EF" w14:textId="7007DC4B" w:rsidR="00B21FFE" w:rsidRPr="0038458F" w:rsidRDefault="008903BC" w:rsidP="00D0542E">
      <w:pPr>
        <w:pStyle w:val="Ttulo1"/>
        <w:suppressLineNumbers/>
        <w:suppressAutoHyphens/>
        <w:adjustRightInd w:val="0"/>
        <w:snapToGrid w:val="0"/>
        <w:spacing w:before="120"/>
        <w:ind w:left="1134" w:hanging="567"/>
        <w:jc w:val="left"/>
        <w:rPr>
          <w:b w:val="0"/>
          <w:snapToGrid w:val="0"/>
          <w:kern w:val="22"/>
          <w:szCs w:val="22"/>
        </w:rPr>
      </w:pPr>
      <w:r w:rsidRPr="0038458F">
        <w:rPr>
          <w:snapToGrid w:val="0"/>
          <w:szCs w:val="22"/>
        </w:rPr>
        <w:t>V.</w:t>
      </w:r>
      <w:r w:rsidRPr="0038458F">
        <w:rPr>
          <w:snapToGrid w:val="0"/>
          <w:szCs w:val="22"/>
        </w:rPr>
        <w:tab/>
        <w:t>PRÓXIMAS REUNIONES DE CONSULTA Y OTRAS ACTIVIDADES ORGANIZADAS POR LA SECRETARÍA Y SUS ASOCIADOS</w:t>
      </w:r>
    </w:p>
    <w:p w14:paraId="706F9E98" w14:textId="3EB39D3F" w:rsidR="00B21FFE" w:rsidRPr="0038458F" w:rsidRDefault="00AB6F18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rFonts w:eastAsia="Malgun Gothic"/>
          <w:kern w:val="22"/>
          <w:szCs w:val="22"/>
        </w:rPr>
      </w:pPr>
      <w:r w:rsidRPr="0038458F">
        <w:t>En colaboración con sus asociados y bajo la orientación de los Copresidentes, la Secretaría está organizando distintas reuniones relacionadas con el marco mundial de la diversidad biológica posterior a 2020 a lo largo de ese mismo año. Las reuniones que actualmente están planificadas son las siguientes:</w:t>
      </w:r>
    </w:p>
    <w:p w14:paraId="4D52C141" w14:textId="4B9F5703" w:rsidR="00ED48A2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lastRenderedPageBreak/>
        <w:t xml:space="preserve">Taller Temático sobre </w:t>
      </w:r>
      <w:r w:rsidR="008F0655" w:rsidRPr="0038458F">
        <w:t xml:space="preserve">movilización de recursos </w:t>
      </w:r>
      <w:r w:rsidRPr="0038458F">
        <w:t xml:space="preserve">para el Marco Mundial de la Diversidad Biológica  </w:t>
      </w:r>
      <w:r w:rsidR="00600480">
        <w:t>p</w:t>
      </w:r>
      <w:r w:rsidRPr="0038458F">
        <w:t>osterior a 2020, Berlín, 14 al 16 de enero de 2020</w:t>
      </w:r>
      <w:r w:rsidR="00B21FFE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5"/>
      </w:r>
      <w:r w:rsidR="0006578A" w:rsidRPr="0038458F">
        <w:t>;</w:t>
      </w:r>
    </w:p>
    <w:p w14:paraId="66789FD7" w14:textId="36BC0FE7" w:rsidR="00B55AFC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Consulta </w:t>
      </w:r>
      <w:r w:rsidR="00580498" w:rsidRPr="0038458F">
        <w:t xml:space="preserve">Temática </w:t>
      </w:r>
      <w:r w:rsidRPr="0038458F">
        <w:t xml:space="preserve">sobre aplicación, seguimiento, presentación de informes y examen transparentes del Marco Mundial de la Diversidad Biológica posterior a 2020, </w:t>
      </w:r>
      <w:r w:rsidR="00B9639B">
        <w:t>Roma</w:t>
      </w:r>
      <w:r w:rsidRPr="0038458F">
        <w:t>, 20 al 22 de febrero de 2020</w:t>
      </w:r>
      <w:r w:rsidR="00B21FFE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6"/>
      </w:r>
      <w:r w:rsidR="00580498" w:rsidRPr="0038458F">
        <w:t>;</w:t>
      </w:r>
    </w:p>
    <w:p w14:paraId="14D7F021" w14:textId="09C6FAE7" w:rsidR="00FE342E" w:rsidRPr="0038458F" w:rsidRDefault="00ED48A2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Consulta </w:t>
      </w:r>
      <w:r w:rsidR="00553F20" w:rsidRPr="0038458F">
        <w:t xml:space="preserve">Temática </w:t>
      </w:r>
      <w:r w:rsidRPr="0038458F">
        <w:t xml:space="preserve">sobre la creación de capacidad y la cooperación técnica y científica para el </w:t>
      </w:r>
      <w:r w:rsidR="00553F20" w:rsidRPr="0038458F">
        <w:t xml:space="preserve">Marco Mundial </w:t>
      </w:r>
      <w:r w:rsidRPr="0038458F">
        <w:t xml:space="preserve">de la </w:t>
      </w:r>
      <w:r w:rsidR="00553F20" w:rsidRPr="0038458F">
        <w:t xml:space="preserve">Diversidad Biológica </w:t>
      </w:r>
      <w:r w:rsidRPr="0038458F">
        <w:t xml:space="preserve">posterior a 2020, </w:t>
      </w:r>
      <w:r w:rsidR="00B9639B">
        <w:t>Roma</w:t>
      </w:r>
      <w:r w:rsidRPr="0038458F">
        <w:t>, 1 y 2 de marzo de 2020</w:t>
      </w:r>
      <w:r w:rsidR="00F404FC"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7"/>
      </w:r>
      <w:r w:rsidR="00553F20" w:rsidRPr="0038458F">
        <w:t>;</w:t>
      </w:r>
    </w:p>
    <w:p w14:paraId="243206DD" w14:textId="21A60751" w:rsidR="00ED48A2" w:rsidRPr="0038458F" w:rsidRDefault="00FE342E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de </w:t>
      </w:r>
      <w:r w:rsidR="00D7669A">
        <w:t>E</w:t>
      </w:r>
      <w:r w:rsidRPr="0038458F">
        <w:t>xpertos sobre aplicación, seguimiento, presentación de informes y examen transparentes, Montreal (Canadá), 17 al 19 de marzo de 2020 (fechas por confirmar).</w:t>
      </w:r>
    </w:p>
    <w:p w14:paraId="1101BE01" w14:textId="511ED8F8" w:rsidR="004875F9" w:rsidRPr="0038458F" w:rsidRDefault="004875F9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>Además de estas reuniones planificadas, se están buscando activamente recursos para convocar reuniones relacionadas con el uso sostenible de la diversidad biológica y sobre el acceso y la participación en los beneficios.</w:t>
      </w:r>
    </w:p>
    <w:p w14:paraId="3400F878" w14:textId="27767AA9" w:rsidR="00BB051D" w:rsidRPr="0038458F" w:rsidRDefault="00FC1561" w:rsidP="00D0542E">
      <w:pPr>
        <w:keepNext/>
        <w:suppressLineNumbers/>
        <w:tabs>
          <w:tab w:val="left" w:pos="426"/>
        </w:tabs>
        <w:suppressAutoHyphens/>
        <w:adjustRightInd w:val="0"/>
        <w:snapToGrid w:val="0"/>
        <w:spacing w:before="120" w:after="120"/>
        <w:jc w:val="center"/>
        <w:outlineLvl w:val="0"/>
        <w:rPr>
          <w:b/>
          <w:iCs/>
          <w:snapToGrid w:val="0"/>
          <w:kern w:val="22"/>
          <w:szCs w:val="22"/>
        </w:rPr>
      </w:pPr>
      <w:r w:rsidRPr="0038458F">
        <w:rPr>
          <w:b/>
          <w:iCs/>
          <w:snapToGrid w:val="0"/>
          <w:szCs w:val="22"/>
        </w:rPr>
        <w:t>VI.</w:t>
      </w:r>
      <w:r w:rsidRPr="0038458F">
        <w:rPr>
          <w:b/>
          <w:iCs/>
          <w:snapToGrid w:val="0"/>
          <w:szCs w:val="22"/>
        </w:rPr>
        <w:tab/>
        <w:t>CONSULTAS Y REUNIONES FACILITADAS POR LAS PARTES Y OTROS</w:t>
      </w:r>
    </w:p>
    <w:p w14:paraId="3D88D04A" w14:textId="461B405D" w:rsidR="00F2457A" w:rsidRPr="0038458F" w:rsidRDefault="00A72329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 w:rsidRPr="0038458F">
        <w:t>En la decisión 14/34, se alentó a las Partes y otros a que facilitaran los diálogos sobre el marco mundial de la diversidad biológica posterior a 2020 y a que publicaran los resultados de esos diálogos por conducto del mecanismo de facilitación del Convenio y otros medios apropiados. Las reuniones convenidas y planificadas son las siguientes:</w:t>
      </w:r>
    </w:p>
    <w:p w14:paraId="1892FC92" w14:textId="1B81F9E0" w:rsidR="00F2457A" w:rsidRPr="0038458F" w:rsidRDefault="00F2457A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</w:t>
      </w:r>
      <w:r w:rsidR="0060302D" w:rsidRPr="0038458F">
        <w:t>T</w:t>
      </w:r>
      <w:r w:rsidRPr="0038458F">
        <w:t xml:space="preserve">emático de expertos sobre enfoques basados en el paisaje para el </w:t>
      </w:r>
      <w:r w:rsidR="00FE7DF7" w:rsidRPr="0038458F">
        <w:t xml:space="preserve">Marco Mundial </w:t>
      </w:r>
      <w:r w:rsidRPr="0038458F">
        <w:t xml:space="preserve">de la </w:t>
      </w:r>
      <w:r w:rsidR="00FE7DF7" w:rsidRPr="0038458F">
        <w:t xml:space="preserve">Diversidad Biológica </w:t>
      </w:r>
      <w:r w:rsidRPr="0038458F">
        <w:t>posterior a 2020 y Octava Conferencia Mundial de la Alianza Internacional para la Iniciativa Satoyama, Kumamoto (Japón), 3 al 6 de septiembre de 2019</w:t>
      </w:r>
      <w:r w:rsidRPr="0038458F">
        <w:rPr>
          <w:rStyle w:val="Refdenotaalpie"/>
          <w:rFonts w:eastAsia="Malgun Gothic"/>
          <w:kern w:val="22"/>
          <w:sz w:val="22"/>
          <w:szCs w:val="22"/>
          <w:u w:val="none"/>
          <w:vertAlign w:val="superscript"/>
        </w:rPr>
        <w:footnoteReference w:id="18"/>
      </w:r>
      <w:r w:rsidR="00FE7DF7" w:rsidRPr="0038458F">
        <w:t>;</w:t>
      </w:r>
    </w:p>
    <w:p w14:paraId="0CCF5D76" w14:textId="5953DD9F" w:rsidR="00B55AFC" w:rsidRPr="0038458F" w:rsidRDefault="00F2457A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</w:t>
      </w:r>
      <w:r w:rsidR="0060302D" w:rsidRPr="0038458F">
        <w:t xml:space="preserve">Temático </w:t>
      </w:r>
      <w:r w:rsidRPr="0038458F">
        <w:t xml:space="preserve">sobre los </w:t>
      </w:r>
      <w:r w:rsidR="008C0998" w:rsidRPr="0038458F">
        <w:t xml:space="preserve">derechos humanos </w:t>
      </w:r>
      <w:r w:rsidRPr="0038458F">
        <w:t xml:space="preserve">como condición propicia en el </w:t>
      </w:r>
      <w:r w:rsidR="0060302D" w:rsidRPr="0038458F">
        <w:t xml:space="preserve">Marco Mundial </w:t>
      </w:r>
      <w:r w:rsidRPr="0038458F">
        <w:t xml:space="preserve">de la </w:t>
      </w:r>
      <w:r w:rsidR="0060302D" w:rsidRPr="0038458F">
        <w:t xml:space="preserve">Diversidad Biológica </w:t>
      </w:r>
      <w:r w:rsidRPr="0038458F">
        <w:t>posterior a 2020, Chiang Mai (Tailandia), 18 al 20 de febrero de 2020;</w:t>
      </w:r>
    </w:p>
    <w:p w14:paraId="1AE80D1F" w14:textId="287CFE0A" w:rsidR="004A7DA6" w:rsidRPr="0038458F" w:rsidRDefault="004875F9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de los </w:t>
      </w:r>
      <w:r w:rsidR="008C0998" w:rsidRPr="0038458F">
        <w:t>gobiernos subnacionales</w:t>
      </w:r>
      <w:r w:rsidRPr="0038458F">
        <w:t xml:space="preserve">, </w:t>
      </w:r>
      <w:r w:rsidR="008C0998" w:rsidRPr="0038458F">
        <w:t xml:space="preserve">regionales </w:t>
      </w:r>
      <w:r w:rsidRPr="0038458F">
        <w:t xml:space="preserve">y </w:t>
      </w:r>
      <w:r w:rsidR="008C0998" w:rsidRPr="0038458F">
        <w:t xml:space="preserve">locales </w:t>
      </w:r>
      <w:r w:rsidRPr="0038458F">
        <w:t xml:space="preserve">sobre el </w:t>
      </w:r>
      <w:r w:rsidR="00653DF3" w:rsidRPr="0038458F">
        <w:t xml:space="preserve">Marco Mundial </w:t>
      </w:r>
      <w:r w:rsidRPr="0038458F">
        <w:t xml:space="preserve">de la </w:t>
      </w:r>
      <w:r w:rsidR="00653DF3" w:rsidRPr="0038458F">
        <w:t xml:space="preserve">Diversidad Biológica </w:t>
      </w:r>
      <w:r w:rsidRPr="0038458F">
        <w:t>posterior a 2020, Edimburgo, Escocia (Reino Unido), 1 al 3 de abril de 2020;</w:t>
      </w:r>
    </w:p>
    <w:p w14:paraId="0B26043A" w14:textId="5432607D" w:rsidR="00F2457A" w:rsidRPr="0038458F" w:rsidRDefault="004875F9" w:rsidP="00D0542E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rPr>
          <w:rFonts w:eastAsia="Malgun Gothic"/>
          <w:kern w:val="22"/>
          <w:szCs w:val="22"/>
        </w:rPr>
      </w:pPr>
      <w:r w:rsidRPr="0038458F">
        <w:t xml:space="preserve">Taller de los Convenios </w:t>
      </w:r>
      <w:r w:rsidR="00D516FB" w:rsidRPr="0038458F">
        <w:t xml:space="preserve">Relacionados </w:t>
      </w:r>
      <w:r w:rsidRPr="0038458F">
        <w:t xml:space="preserve">con la </w:t>
      </w:r>
      <w:r w:rsidR="00D516FB" w:rsidRPr="0038458F">
        <w:t xml:space="preserve">Diversidad Biológica </w:t>
      </w:r>
      <w:r w:rsidRPr="0038458F">
        <w:t xml:space="preserve">sobre el </w:t>
      </w:r>
      <w:r w:rsidR="00D516FB" w:rsidRPr="0038458F">
        <w:t xml:space="preserve">Marco Mundial </w:t>
      </w:r>
      <w:r w:rsidRPr="0038458F">
        <w:t xml:space="preserve">de la </w:t>
      </w:r>
      <w:r w:rsidR="00D516FB" w:rsidRPr="0038458F">
        <w:t xml:space="preserve">Diversidad Biológica </w:t>
      </w:r>
      <w:r w:rsidR="00600480">
        <w:t>p</w:t>
      </w:r>
      <w:r w:rsidR="00D516FB" w:rsidRPr="0038458F">
        <w:t xml:space="preserve">osterior </w:t>
      </w:r>
      <w:r w:rsidRPr="0038458F">
        <w:t>a 2020 (Berna II), Berna, 25 al 27 de marzo de 2020.</w:t>
      </w:r>
    </w:p>
    <w:p w14:paraId="0B2395E6" w14:textId="77777777" w:rsidR="00F2457A" w:rsidRPr="0038458F" w:rsidRDefault="00F2457A" w:rsidP="00D0542E">
      <w:pPr>
        <w:pStyle w:val="Para1"/>
        <w:numPr>
          <w:ilvl w:val="0"/>
          <w:numId w:val="0"/>
        </w:numPr>
        <w:suppressLineNumbers/>
        <w:suppressAutoHyphens/>
        <w:adjustRightInd w:val="0"/>
        <w:snapToGrid w:val="0"/>
        <w:spacing w:before="0" w:after="0"/>
        <w:rPr>
          <w:kern w:val="22"/>
          <w:szCs w:val="22"/>
        </w:rPr>
      </w:pPr>
    </w:p>
    <w:p w14:paraId="3F19FCEE" w14:textId="7EF39CCD" w:rsidR="005A2987" w:rsidRPr="0038458F" w:rsidRDefault="00BB7CDF" w:rsidP="00D0542E">
      <w:pPr>
        <w:pStyle w:val="Para1"/>
        <w:numPr>
          <w:ilvl w:val="0"/>
          <w:numId w:val="0"/>
        </w:numPr>
        <w:suppressLineNumbers/>
        <w:suppressAutoHyphens/>
        <w:adjustRightInd w:val="0"/>
        <w:snapToGrid w:val="0"/>
        <w:spacing w:before="0" w:after="0"/>
        <w:jc w:val="center"/>
        <w:rPr>
          <w:rFonts w:eastAsia="Malgun Gothic"/>
          <w:kern w:val="22"/>
          <w:szCs w:val="22"/>
        </w:rPr>
      </w:pPr>
      <w:r w:rsidRPr="0038458F">
        <w:t>__________</w:t>
      </w:r>
    </w:p>
    <w:sectPr w:rsidR="005A2987" w:rsidRPr="0038458F" w:rsidSect="00CA1572">
      <w:headerReference w:type="even" r:id="rId17"/>
      <w:headerReference w:type="default" r:id="rId1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D659" w14:textId="77777777" w:rsidR="00AD0610" w:rsidRDefault="00AD0610">
      <w:r>
        <w:separator/>
      </w:r>
    </w:p>
  </w:endnote>
  <w:endnote w:type="continuationSeparator" w:id="0">
    <w:p w14:paraId="471939B9" w14:textId="77777777" w:rsidR="00AD0610" w:rsidRDefault="00AD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C6E9" w14:textId="77777777" w:rsidR="00AD0610" w:rsidRDefault="00AD0610">
      <w:r>
        <w:separator/>
      </w:r>
    </w:p>
  </w:footnote>
  <w:footnote w:type="continuationSeparator" w:id="0">
    <w:p w14:paraId="4EB6D067" w14:textId="77777777" w:rsidR="00AD0610" w:rsidRDefault="00AD0610">
      <w:r>
        <w:continuationSeparator/>
      </w:r>
    </w:p>
  </w:footnote>
  <w:footnote w:id="1">
    <w:p w14:paraId="0C27E054" w14:textId="63730C72" w:rsidR="00220DF2" w:rsidRPr="006650E6" w:rsidRDefault="00220DF2" w:rsidP="00220DF2">
      <w:pPr>
        <w:pStyle w:val="Textonotapie"/>
        <w:ind w:firstLine="0"/>
        <w:rPr>
          <w:lang w:val="en-CA"/>
        </w:rPr>
      </w:pPr>
      <w:r w:rsidRPr="006650E6">
        <w:rPr>
          <w:rStyle w:val="Refdenotaalpie"/>
          <w:u w:val="none"/>
          <w:vertAlign w:val="superscript"/>
        </w:rPr>
        <w:t>*</w:t>
      </w:r>
      <w:r>
        <w:t xml:space="preserve"> </w:t>
      </w:r>
      <w:r w:rsidR="008E65EF">
        <w:rPr>
          <w:lang w:val="en-CA"/>
        </w:rPr>
        <w:t>Publicado nuevamente</w:t>
      </w:r>
      <w:r>
        <w:rPr>
          <w:lang w:val="en-CA"/>
        </w:rPr>
        <w:t xml:space="preserve"> el 13</w:t>
      </w:r>
      <w:r w:rsidR="006557B4">
        <w:rPr>
          <w:lang w:val="en-CA"/>
        </w:rPr>
        <w:t> </w:t>
      </w:r>
      <w:r>
        <w:rPr>
          <w:lang w:val="en-CA"/>
        </w:rPr>
        <w:t>de enero de 2020 por raz</w:t>
      </w:r>
      <w:bookmarkStart w:id="0" w:name="_GoBack"/>
      <w:bookmarkEnd w:id="0"/>
      <w:r>
        <w:rPr>
          <w:lang w:val="en-CA"/>
        </w:rPr>
        <w:t>ones técnicas.</w:t>
      </w:r>
    </w:p>
  </w:footnote>
  <w:footnote w:id="2">
    <w:p w14:paraId="27279AB9" w14:textId="05DF97CD" w:rsidR="0067228A" w:rsidRPr="00044448" w:rsidRDefault="0067228A" w:rsidP="00D0542E">
      <w:pPr>
        <w:pStyle w:val="Textonotapie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044448">
        <w:rPr>
          <w:rStyle w:val="Refdenotaalpie"/>
          <w:szCs w:val="18"/>
          <w:u w:val="none"/>
          <w:vertAlign w:val="superscript"/>
          <w:lang w:val="en-US"/>
        </w:rPr>
        <w:t>*</w:t>
      </w:r>
      <w:r w:rsidRPr="00044448">
        <w:rPr>
          <w:lang w:val="en-US"/>
        </w:rPr>
        <w:t xml:space="preserve"> </w:t>
      </w:r>
      <w:hyperlink r:id="rId1" w:history="1">
        <w:r w:rsidRPr="00044448">
          <w:rPr>
            <w:rStyle w:val="Hipervnculo"/>
            <w:lang w:val="en-US"/>
          </w:rPr>
          <w:t>CBD/WG2020/1/1</w:t>
        </w:r>
      </w:hyperlink>
      <w:r w:rsidRPr="00044448">
        <w:rPr>
          <w:lang w:val="en-US"/>
        </w:rPr>
        <w:t>.</w:t>
      </w:r>
    </w:p>
  </w:footnote>
  <w:footnote w:id="3">
    <w:p w14:paraId="0B835D92" w14:textId="3DB6C47B" w:rsidR="004B01F8" w:rsidRPr="00044448" w:rsidRDefault="004B01F8" w:rsidP="00D0542E">
      <w:pPr>
        <w:pStyle w:val="Textonotapie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6C0E68">
        <w:rPr>
          <w:rStyle w:val="Refdenotaalpie"/>
          <w:kern w:val="18"/>
          <w:szCs w:val="18"/>
          <w:u w:val="none"/>
          <w:vertAlign w:val="superscript"/>
        </w:rPr>
        <w:footnoteRef/>
      </w:r>
      <w:r w:rsidRPr="00044448">
        <w:rPr>
          <w:lang w:val="en-US"/>
        </w:rPr>
        <w:t xml:space="preserve"> </w:t>
      </w:r>
      <w:hyperlink r:id="rId2" w:history="1">
        <w:r w:rsidRPr="00044448">
          <w:rPr>
            <w:rStyle w:val="Hipervnculo"/>
            <w:lang w:val="en-US"/>
          </w:rPr>
          <w:t>https://www.cbd.int/conferences/post2020</w:t>
        </w:r>
      </w:hyperlink>
      <w:r w:rsidRPr="00044448">
        <w:rPr>
          <w:rStyle w:val="Hipervnculo"/>
          <w:szCs w:val="18"/>
          <w:lang w:val="en-US"/>
        </w:rPr>
        <w:t>.</w:t>
      </w:r>
    </w:p>
  </w:footnote>
  <w:footnote w:id="4">
    <w:p w14:paraId="31DC3A0B" w14:textId="6BB03887" w:rsidR="00EB1B31" w:rsidRPr="006C0E68" w:rsidRDefault="00EB1B31" w:rsidP="00D0542E">
      <w:pPr>
        <w:pStyle w:val="Textonotapie"/>
        <w:suppressLineNumbers/>
        <w:suppressAutoHyphens/>
        <w:ind w:firstLine="0"/>
        <w:jc w:val="left"/>
        <w:rPr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t xml:space="preserve"> CBD/WG2020/1/5. Véase el párrafo 7 de las conclusiones.</w:t>
      </w:r>
    </w:p>
  </w:footnote>
  <w:footnote w:id="5">
    <w:p w14:paraId="219EB0FC" w14:textId="0BA926C4" w:rsidR="00800893" w:rsidRPr="00044448" w:rsidRDefault="00800893" w:rsidP="00D0542E">
      <w:pPr>
        <w:pStyle w:val="Para1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lang w:val="en-US"/>
        </w:rPr>
      </w:pPr>
      <w:r w:rsidRPr="006C0E68">
        <w:rPr>
          <w:rStyle w:val="Refdenotaalpie"/>
          <w:u w:val="none"/>
          <w:vertAlign w:val="superscript"/>
        </w:rPr>
        <w:footnoteRef/>
      </w:r>
      <w:r w:rsidRPr="00044448">
        <w:rPr>
          <w:sz w:val="18"/>
          <w:lang w:val="en-US"/>
        </w:rPr>
        <w:t xml:space="preserve"> Véase CBD/POST2020/WS/2019/12/2, anexos I y II.</w:t>
      </w:r>
    </w:p>
  </w:footnote>
  <w:footnote w:id="6">
    <w:p w14:paraId="7F3528BA" w14:textId="7F58AA78" w:rsidR="000D1B78" w:rsidRPr="00044448" w:rsidRDefault="000D1B78" w:rsidP="000D1B78">
      <w:pPr>
        <w:pStyle w:val="Textonotapie"/>
        <w:ind w:firstLine="0"/>
        <w:rPr>
          <w:lang w:val="en-US"/>
        </w:rPr>
      </w:pPr>
      <w:r w:rsidRPr="006C0E68">
        <w:rPr>
          <w:rStyle w:val="Refdenotaalpie"/>
          <w:u w:val="none"/>
          <w:vertAlign w:val="superscript"/>
        </w:rPr>
        <w:footnoteRef/>
      </w:r>
      <w:r w:rsidRPr="00044448">
        <w:rPr>
          <w:lang w:val="en-US"/>
        </w:rPr>
        <w:t xml:space="preserve"> </w:t>
      </w:r>
      <w:r w:rsidR="001904A0" w:rsidRPr="00044448">
        <w:rPr>
          <w:lang w:val="en-US"/>
        </w:rPr>
        <w:t>Véa</w:t>
      </w:r>
      <w:r w:rsidR="00B5131F" w:rsidRPr="00044448">
        <w:rPr>
          <w:lang w:val="en-US"/>
        </w:rPr>
        <w:t>n</w:t>
      </w:r>
      <w:r w:rsidR="001904A0" w:rsidRPr="00044448">
        <w:rPr>
          <w:lang w:val="en-US"/>
        </w:rPr>
        <w:t>se</w:t>
      </w:r>
      <w:r w:rsidRPr="00044448">
        <w:rPr>
          <w:lang w:val="en-US"/>
        </w:rPr>
        <w:t xml:space="preserve"> CBD/SBSTTA/24/1, CBD/SBI/3/1 </w:t>
      </w:r>
      <w:r w:rsidR="001904A0" w:rsidRPr="00044448">
        <w:rPr>
          <w:lang w:val="en-US"/>
        </w:rPr>
        <w:t>y</w:t>
      </w:r>
      <w:r w:rsidRPr="00044448">
        <w:rPr>
          <w:lang w:val="en-US"/>
        </w:rPr>
        <w:t xml:space="preserve"> CBD/SBI/3/1/Add.1</w:t>
      </w:r>
    </w:p>
  </w:footnote>
  <w:footnote w:id="7">
    <w:p w14:paraId="61174FDC" w14:textId="7340F2E2" w:rsidR="007D6148" w:rsidRPr="006C0E68" w:rsidRDefault="007D6148" w:rsidP="00D0542E">
      <w:pPr>
        <w:pStyle w:val="Textonotapie"/>
        <w:suppressLineNumbers/>
        <w:suppressAutoHyphens/>
        <w:ind w:firstLine="0"/>
        <w:jc w:val="left"/>
        <w:rPr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t xml:space="preserve"> Las presentaciones recibidas se resumen en el documento CBD/POST2020/PREP/1/INF/3.</w:t>
      </w:r>
    </w:p>
  </w:footnote>
  <w:footnote w:id="8">
    <w:p w14:paraId="7959D53A" w14:textId="09485904" w:rsidR="00831453" w:rsidRPr="006C0E68" w:rsidRDefault="0083145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3" w:history="1">
        <w:r w:rsidRPr="006C0E68">
          <w:rPr>
            <w:rStyle w:val="Hipervnculo"/>
            <w:sz w:val="18"/>
            <w:szCs w:val="18"/>
          </w:rPr>
          <w:t>https://www.cbd.int/meetings/POST2020-WS-2019-11</w:t>
        </w:r>
      </w:hyperlink>
    </w:p>
  </w:footnote>
  <w:footnote w:id="9">
    <w:p w14:paraId="4E2FCAA1" w14:textId="5AA7CDAD" w:rsidR="00831453" w:rsidRPr="006C0E68" w:rsidRDefault="00831453" w:rsidP="00D0542E">
      <w:pPr>
        <w:pStyle w:val="Textonotapie"/>
        <w:suppressLineNumbers/>
        <w:suppressAutoHyphens/>
        <w:ind w:firstLine="0"/>
        <w:jc w:val="left"/>
        <w:rPr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t xml:space="preserve"> </w:t>
      </w:r>
      <w:hyperlink r:id="rId4" w:history="1">
        <w:r w:rsidRPr="006C0E68">
          <w:rPr>
            <w:rStyle w:val="Hipervnculo"/>
          </w:rPr>
          <w:t>https://www.cbd.int/meetings/POST2020-WS-2019-10</w:t>
        </w:r>
      </w:hyperlink>
    </w:p>
  </w:footnote>
  <w:footnote w:id="10">
    <w:p w14:paraId="19F0D51E" w14:textId="7B55228D" w:rsidR="00831453" w:rsidRPr="006C0E68" w:rsidRDefault="0083145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5" w:history="1">
        <w:r w:rsidRPr="006C0E68">
          <w:rPr>
            <w:rStyle w:val="Hipervnculo"/>
            <w:sz w:val="18"/>
            <w:szCs w:val="18"/>
          </w:rPr>
          <w:t>https://www.cbd.int/meetings/POST2020-WS-2019-12</w:t>
        </w:r>
      </w:hyperlink>
    </w:p>
  </w:footnote>
  <w:footnote w:id="11">
    <w:p w14:paraId="53175D88" w14:textId="2827E25A" w:rsidR="002A4787" w:rsidRPr="006C0E68" w:rsidRDefault="002A4787" w:rsidP="00D0542E">
      <w:pPr>
        <w:pStyle w:val="Textonotapie"/>
        <w:suppressLineNumbers/>
        <w:suppressAutoHyphens/>
        <w:ind w:firstLine="0"/>
        <w:jc w:val="left"/>
        <w:rPr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t xml:space="preserve"> </w:t>
      </w:r>
      <w:hyperlink r:id="rId6" w:history="1">
        <w:r w:rsidRPr="006C0E68">
          <w:rPr>
            <w:rStyle w:val="Hipervnculo"/>
          </w:rPr>
          <w:t>https://www.cbd.int/meetings/POST2020-WS-2019-13</w:t>
        </w:r>
      </w:hyperlink>
    </w:p>
  </w:footnote>
  <w:footnote w:id="12">
    <w:p w14:paraId="6F45569F" w14:textId="69C0BEC7" w:rsidR="00831453" w:rsidRPr="006C0E68" w:rsidRDefault="0083145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7" w:history="1">
        <w:r w:rsidRPr="006C0E68">
          <w:rPr>
            <w:rStyle w:val="Hipervnculo"/>
            <w:sz w:val="18"/>
            <w:szCs w:val="18"/>
          </w:rPr>
          <w:t>https://www.cbd.int/meetings/POST2020-WS-2019-14</w:t>
        </w:r>
      </w:hyperlink>
    </w:p>
  </w:footnote>
  <w:footnote w:id="13">
    <w:p w14:paraId="40D9372A" w14:textId="52374947" w:rsidR="00831453" w:rsidRPr="006C0E68" w:rsidRDefault="0083145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8" w:history="1">
        <w:r w:rsidRPr="006C0E68">
          <w:rPr>
            <w:rStyle w:val="Hipervnculo"/>
            <w:sz w:val="18"/>
            <w:szCs w:val="18"/>
          </w:rPr>
          <w:t>https://www.cbd.int/meetings/POST2020-INFORMAL-2019-01</w:t>
        </w:r>
      </w:hyperlink>
    </w:p>
  </w:footnote>
  <w:footnote w:id="14">
    <w:p w14:paraId="39A4676B" w14:textId="340B7A62" w:rsidR="00225C4A" w:rsidRPr="006C0E68" w:rsidRDefault="00225C4A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9" w:history="1">
        <w:r w:rsidRPr="006C0E68">
          <w:rPr>
            <w:rStyle w:val="Hipervnculo"/>
            <w:sz w:val="18"/>
            <w:szCs w:val="18"/>
          </w:rPr>
          <w:t>https://www.cbd.int/meetings/POST2020-WS-2019-09</w:t>
        </w:r>
      </w:hyperlink>
    </w:p>
  </w:footnote>
  <w:footnote w:id="15">
    <w:p w14:paraId="4B7DD6EB" w14:textId="32BA31DF" w:rsidR="00B21FFE" w:rsidRPr="006C0E68" w:rsidRDefault="00B21FFE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10" w:history="1">
        <w:r w:rsidRPr="006C0E68">
          <w:rPr>
            <w:rStyle w:val="Hipervnculo"/>
            <w:sz w:val="18"/>
            <w:szCs w:val="18"/>
          </w:rPr>
          <w:t>https://www.cbd.int/meetings/POST2020-WS-2020-03</w:t>
        </w:r>
      </w:hyperlink>
    </w:p>
  </w:footnote>
  <w:footnote w:id="16">
    <w:p w14:paraId="7AB4D757" w14:textId="364A46C0" w:rsidR="00B21FFE" w:rsidRPr="006C0E68" w:rsidRDefault="00B21FFE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11" w:history="1">
        <w:r w:rsidRPr="006C0E68">
          <w:rPr>
            <w:rStyle w:val="Hipervnculo"/>
            <w:sz w:val="18"/>
            <w:szCs w:val="18"/>
          </w:rPr>
          <w:t>https://www.cbd.int/meetings/POST2020-WS-2020-01</w:t>
        </w:r>
      </w:hyperlink>
    </w:p>
  </w:footnote>
  <w:footnote w:id="17">
    <w:p w14:paraId="3A87D274" w14:textId="08EC57EE" w:rsidR="00F404FC" w:rsidRPr="006C0E68" w:rsidRDefault="00F404FC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rPr>
          <w:sz w:val="18"/>
          <w:szCs w:val="18"/>
        </w:rPr>
        <w:t xml:space="preserve"> </w:t>
      </w:r>
      <w:hyperlink r:id="rId12" w:history="1">
        <w:r w:rsidRPr="006C0E68">
          <w:rPr>
            <w:rStyle w:val="Hipervnculo"/>
            <w:sz w:val="18"/>
            <w:szCs w:val="18"/>
          </w:rPr>
          <w:t>https://www.cbd.int/meetings/POST2020-WS-2020-02</w:t>
        </w:r>
      </w:hyperlink>
    </w:p>
  </w:footnote>
  <w:footnote w:id="18">
    <w:p w14:paraId="095F17E3" w14:textId="3EF90480" w:rsidR="00F2457A" w:rsidRPr="006C0E68" w:rsidRDefault="00F2457A" w:rsidP="00D0542E">
      <w:pPr>
        <w:pStyle w:val="Textonotapie"/>
        <w:suppressLineNumbers/>
        <w:suppressAutoHyphens/>
        <w:ind w:firstLine="0"/>
        <w:jc w:val="left"/>
        <w:rPr>
          <w:szCs w:val="18"/>
        </w:rPr>
      </w:pPr>
      <w:r w:rsidRPr="006C0E68">
        <w:rPr>
          <w:rStyle w:val="Refdenotaalpie"/>
          <w:szCs w:val="18"/>
          <w:u w:val="none"/>
          <w:vertAlign w:val="superscript"/>
        </w:rPr>
        <w:footnoteRef/>
      </w:r>
      <w:r w:rsidRPr="006C0E68">
        <w:t xml:space="preserve"> </w:t>
      </w:r>
      <w:hyperlink r:id="rId13" w:history="1">
        <w:r w:rsidRPr="006C0E68">
          <w:rPr>
            <w:rStyle w:val="Hipervnculo"/>
          </w:rPr>
          <w:t>https://ias.unu.edu/en/news/news/ipsi-8-global-conference-workshop-focus-on-next-global-biodiversity-framework.html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Asunto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980524C" w14:textId="714CD19E" w:rsidR="004B01F8" w:rsidRDefault="00B21FFE" w:rsidP="005440A6">
        <w:pPr>
          <w:pStyle w:val="Encabezado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CBD/WG2020/2/2</w:t>
        </w:r>
      </w:p>
    </w:sdtContent>
  </w:sdt>
  <w:p w14:paraId="0AE20E6C" w14:textId="0B9ED08D" w:rsidR="004B01F8" w:rsidRPr="005440A6" w:rsidRDefault="004B01F8" w:rsidP="005440A6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  <w:r>
      <w:t xml:space="preserve">Página </w:t>
    </w:r>
    <w:r w:rsidRPr="005440A6">
      <w:fldChar w:fldCharType="begin"/>
    </w:r>
    <w:r w:rsidRPr="005440A6">
      <w:instrText xml:space="preserve"> PAGE   \* MERGEFORMAT </w:instrText>
    </w:r>
    <w:r w:rsidRPr="005440A6">
      <w:fldChar w:fldCharType="separate"/>
    </w:r>
    <w:r w:rsidR="00195283">
      <w:rPr>
        <w:noProof/>
      </w:rPr>
      <w:t>4</w:t>
    </w:r>
    <w:r w:rsidRPr="005440A6">
      <w:fldChar w:fldCharType="end"/>
    </w:r>
  </w:p>
  <w:p w14:paraId="1D4FEC6D" w14:textId="77777777" w:rsidR="004B01F8" w:rsidRPr="005440A6" w:rsidRDefault="004B01F8" w:rsidP="005440A6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Asunto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CEB5BB4" w14:textId="11E71851" w:rsidR="004B01F8" w:rsidRPr="005440A6" w:rsidRDefault="00B21FFE" w:rsidP="00BE45DE">
        <w:pPr>
          <w:pStyle w:val="Encabezado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CBD/WG2020/2/2</w:t>
        </w:r>
      </w:p>
    </w:sdtContent>
  </w:sdt>
  <w:p w14:paraId="4C29E5E7" w14:textId="00F018CD" w:rsidR="004B01F8" w:rsidRPr="005440A6" w:rsidRDefault="004B01F8" w:rsidP="005440A6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  <w:r>
      <w:t xml:space="preserve">Página </w:t>
    </w:r>
    <w:r w:rsidRPr="005440A6">
      <w:fldChar w:fldCharType="begin"/>
    </w:r>
    <w:r w:rsidRPr="005440A6">
      <w:instrText xml:space="preserve"> PAGE   \* MERGEFORMAT </w:instrText>
    </w:r>
    <w:r w:rsidRPr="005440A6">
      <w:fldChar w:fldCharType="separate"/>
    </w:r>
    <w:r w:rsidR="00376FB3">
      <w:rPr>
        <w:noProof/>
      </w:rPr>
      <w:t>3</w:t>
    </w:r>
    <w:r w:rsidRPr="005440A6">
      <w:fldChar w:fldCharType="end"/>
    </w:r>
  </w:p>
  <w:p w14:paraId="7E659CC4" w14:textId="77777777" w:rsidR="004B01F8" w:rsidRPr="005440A6" w:rsidRDefault="004B01F8" w:rsidP="005440A6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77A9"/>
    <w:multiLevelType w:val="hybridMultilevel"/>
    <w:tmpl w:val="96BC23D6"/>
    <w:lvl w:ilvl="0" w:tplc="A9128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0442B4"/>
    <w:multiLevelType w:val="multilevel"/>
    <w:tmpl w:val="59B28626"/>
    <w:lvl w:ilvl="0">
      <w:start w:val="1"/>
      <w:numFmt w:val="decimal"/>
      <w:pStyle w:val="Para1"/>
      <w:lvlText w:val="%1."/>
      <w:lvlJc w:val="left"/>
      <w:pPr>
        <w:tabs>
          <w:tab w:val="num" w:pos="630"/>
        </w:tabs>
        <w:ind w:left="2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39334C"/>
    <w:multiLevelType w:val="hybridMultilevel"/>
    <w:tmpl w:val="912E1B70"/>
    <w:lvl w:ilvl="0" w:tplc="86701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3B"/>
    <w:rsid w:val="00000FE6"/>
    <w:rsid w:val="0000310A"/>
    <w:rsid w:val="00006AB1"/>
    <w:rsid w:val="00010DC5"/>
    <w:rsid w:val="0001208E"/>
    <w:rsid w:val="0001318B"/>
    <w:rsid w:val="000160F7"/>
    <w:rsid w:val="0002075A"/>
    <w:rsid w:val="000219AC"/>
    <w:rsid w:val="00024739"/>
    <w:rsid w:val="00025C80"/>
    <w:rsid w:val="00030E45"/>
    <w:rsid w:val="00031D24"/>
    <w:rsid w:val="0003705A"/>
    <w:rsid w:val="00037873"/>
    <w:rsid w:val="00040CD4"/>
    <w:rsid w:val="000417D6"/>
    <w:rsid w:val="00044448"/>
    <w:rsid w:val="00045396"/>
    <w:rsid w:val="000458C3"/>
    <w:rsid w:val="0004782B"/>
    <w:rsid w:val="0005339D"/>
    <w:rsid w:val="0005393A"/>
    <w:rsid w:val="00054381"/>
    <w:rsid w:val="00054818"/>
    <w:rsid w:val="00060194"/>
    <w:rsid w:val="00060B3E"/>
    <w:rsid w:val="00061EFB"/>
    <w:rsid w:val="00062C7B"/>
    <w:rsid w:val="00064908"/>
    <w:rsid w:val="0006578A"/>
    <w:rsid w:val="000711E1"/>
    <w:rsid w:val="00072A57"/>
    <w:rsid w:val="00073708"/>
    <w:rsid w:val="000835A2"/>
    <w:rsid w:val="0008593B"/>
    <w:rsid w:val="00091BA3"/>
    <w:rsid w:val="0009253B"/>
    <w:rsid w:val="0009426C"/>
    <w:rsid w:val="000A11E3"/>
    <w:rsid w:val="000A1EB0"/>
    <w:rsid w:val="000B1970"/>
    <w:rsid w:val="000B25ED"/>
    <w:rsid w:val="000B5AB9"/>
    <w:rsid w:val="000B7BF9"/>
    <w:rsid w:val="000C37AF"/>
    <w:rsid w:val="000C3BF3"/>
    <w:rsid w:val="000C5D2B"/>
    <w:rsid w:val="000D1B78"/>
    <w:rsid w:val="000D2ACB"/>
    <w:rsid w:val="000D36EF"/>
    <w:rsid w:val="000D4BAC"/>
    <w:rsid w:val="000D58FE"/>
    <w:rsid w:val="000D7381"/>
    <w:rsid w:val="000E3119"/>
    <w:rsid w:val="000E637D"/>
    <w:rsid w:val="000E7E6A"/>
    <w:rsid w:val="000F13EF"/>
    <w:rsid w:val="000F1BBC"/>
    <w:rsid w:val="000F49F1"/>
    <w:rsid w:val="000F63AB"/>
    <w:rsid w:val="000F74B8"/>
    <w:rsid w:val="00101D6A"/>
    <w:rsid w:val="0010207E"/>
    <w:rsid w:val="00105E66"/>
    <w:rsid w:val="00116245"/>
    <w:rsid w:val="00117EA2"/>
    <w:rsid w:val="0012079A"/>
    <w:rsid w:val="0012214B"/>
    <w:rsid w:val="00123107"/>
    <w:rsid w:val="00126159"/>
    <w:rsid w:val="001261B6"/>
    <w:rsid w:val="00135F6D"/>
    <w:rsid w:val="00137545"/>
    <w:rsid w:val="001408E0"/>
    <w:rsid w:val="00154440"/>
    <w:rsid w:val="00166367"/>
    <w:rsid w:val="001770A6"/>
    <w:rsid w:val="001776E0"/>
    <w:rsid w:val="00183241"/>
    <w:rsid w:val="00184D1B"/>
    <w:rsid w:val="00186564"/>
    <w:rsid w:val="00186C84"/>
    <w:rsid w:val="00190360"/>
    <w:rsid w:val="001904A0"/>
    <w:rsid w:val="00192E06"/>
    <w:rsid w:val="00193760"/>
    <w:rsid w:val="00195019"/>
    <w:rsid w:val="00195283"/>
    <w:rsid w:val="00195754"/>
    <w:rsid w:val="001A0108"/>
    <w:rsid w:val="001A4C1C"/>
    <w:rsid w:val="001A5072"/>
    <w:rsid w:val="001A6231"/>
    <w:rsid w:val="001D325E"/>
    <w:rsid w:val="001D56D5"/>
    <w:rsid w:val="001E3B29"/>
    <w:rsid w:val="001E5BE4"/>
    <w:rsid w:val="001E6E1A"/>
    <w:rsid w:val="001E764C"/>
    <w:rsid w:val="001F2400"/>
    <w:rsid w:val="001F6379"/>
    <w:rsid w:val="001F69FA"/>
    <w:rsid w:val="00204415"/>
    <w:rsid w:val="00207A6E"/>
    <w:rsid w:val="00211822"/>
    <w:rsid w:val="002126BC"/>
    <w:rsid w:val="002129E3"/>
    <w:rsid w:val="00214049"/>
    <w:rsid w:val="002141D2"/>
    <w:rsid w:val="00220DF2"/>
    <w:rsid w:val="002212FB"/>
    <w:rsid w:val="002218DD"/>
    <w:rsid w:val="00224B92"/>
    <w:rsid w:val="00225C4A"/>
    <w:rsid w:val="002317BF"/>
    <w:rsid w:val="002328EA"/>
    <w:rsid w:val="00233B69"/>
    <w:rsid w:val="002357E1"/>
    <w:rsid w:val="002460D5"/>
    <w:rsid w:val="00252897"/>
    <w:rsid w:val="002570FA"/>
    <w:rsid w:val="00261457"/>
    <w:rsid w:val="002646ED"/>
    <w:rsid w:val="0027288C"/>
    <w:rsid w:val="00274581"/>
    <w:rsid w:val="00274EC2"/>
    <w:rsid w:val="00276D3C"/>
    <w:rsid w:val="002841B3"/>
    <w:rsid w:val="002854B0"/>
    <w:rsid w:val="002903AD"/>
    <w:rsid w:val="00293752"/>
    <w:rsid w:val="002970BD"/>
    <w:rsid w:val="002A12DB"/>
    <w:rsid w:val="002A21B8"/>
    <w:rsid w:val="002A4787"/>
    <w:rsid w:val="002B0803"/>
    <w:rsid w:val="002B0942"/>
    <w:rsid w:val="002B7AF0"/>
    <w:rsid w:val="002C0A0C"/>
    <w:rsid w:val="002C1CAD"/>
    <w:rsid w:val="002C4BDB"/>
    <w:rsid w:val="002D264E"/>
    <w:rsid w:val="002E0627"/>
    <w:rsid w:val="002E30A0"/>
    <w:rsid w:val="002E391B"/>
    <w:rsid w:val="002E43DF"/>
    <w:rsid w:val="002E62D8"/>
    <w:rsid w:val="002E7F40"/>
    <w:rsid w:val="002F2852"/>
    <w:rsid w:val="002F2E22"/>
    <w:rsid w:val="00303D74"/>
    <w:rsid w:val="003058A9"/>
    <w:rsid w:val="003151BD"/>
    <w:rsid w:val="00315DDD"/>
    <w:rsid w:val="003210FF"/>
    <w:rsid w:val="00324BE1"/>
    <w:rsid w:val="00325DE3"/>
    <w:rsid w:val="00327F17"/>
    <w:rsid w:val="00327F61"/>
    <w:rsid w:val="00330149"/>
    <w:rsid w:val="00336766"/>
    <w:rsid w:val="003432B2"/>
    <w:rsid w:val="00344BD6"/>
    <w:rsid w:val="00347CC4"/>
    <w:rsid w:val="00360492"/>
    <w:rsid w:val="0037062E"/>
    <w:rsid w:val="003715AE"/>
    <w:rsid w:val="00372E7C"/>
    <w:rsid w:val="00376FB3"/>
    <w:rsid w:val="00380049"/>
    <w:rsid w:val="0038458F"/>
    <w:rsid w:val="003866DD"/>
    <w:rsid w:val="00391BE8"/>
    <w:rsid w:val="00395484"/>
    <w:rsid w:val="003B10B9"/>
    <w:rsid w:val="003B2616"/>
    <w:rsid w:val="003B7FBA"/>
    <w:rsid w:val="003C113F"/>
    <w:rsid w:val="003C1E5E"/>
    <w:rsid w:val="003C4C38"/>
    <w:rsid w:val="003D2A4C"/>
    <w:rsid w:val="003D34BD"/>
    <w:rsid w:val="003D4F39"/>
    <w:rsid w:val="003D54B0"/>
    <w:rsid w:val="003D5A3D"/>
    <w:rsid w:val="003D5B5F"/>
    <w:rsid w:val="003D638E"/>
    <w:rsid w:val="003D700D"/>
    <w:rsid w:val="003E1258"/>
    <w:rsid w:val="003E2DAE"/>
    <w:rsid w:val="003E3F32"/>
    <w:rsid w:val="003F6E44"/>
    <w:rsid w:val="003F77AF"/>
    <w:rsid w:val="003F7818"/>
    <w:rsid w:val="00403D7B"/>
    <w:rsid w:val="00404D19"/>
    <w:rsid w:val="00406BC6"/>
    <w:rsid w:val="004074AE"/>
    <w:rsid w:val="00411A4B"/>
    <w:rsid w:val="004276DD"/>
    <w:rsid w:val="004369E6"/>
    <w:rsid w:val="0044424E"/>
    <w:rsid w:val="004452CA"/>
    <w:rsid w:val="0045239D"/>
    <w:rsid w:val="0046046E"/>
    <w:rsid w:val="00462D4F"/>
    <w:rsid w:val="00463051"/>
    <w:rsid w:val="004646D1"/>
    <w:rsid w:val="00465BD7"/>
    <w:rsid w:val="00471728"/>
    <w:rsid w:val="0048429B"/>
    <w:rsid w:val="004875F9"/>
    <w:rsid w:val="00495C39"/>
    <w:rsid w:val="00496917"/>
    <w:rsid w:val="00497A3E"/>
    <w:rsid w:val="004A65CE"/>
    <w:rsid w:val="004A7DA6"/>
    <w:rsid w:val="004B01F8"/>
    <w:rsid w:val="004B54DA"/>
    <w:rsid w:val="004B597A"/>
    <w:rsid w:val="004B64EB"/>
    <w:rsid w:val="004B6559"/>
    <w:rsid w:val="004C0946"/>
    <w:rsid w:val="004C45FF"/>
    <w:rsid w:val="004C6B2A"/>
    <w:rsid w:val="004C724B"/>
    <w:rsid w:val="004C74CD"/>
    <w:rsid w:val="004D1FED"/>
    <w:rsid w:val="004D273D"/>
    <w:rsid w:val="004D35A0"/>
    <w:rsid w:val="004D5321"/>
    <w:rsid w:val="004E31E0"/>
    <w:rsid w:val="004E5D09"/>
    <w:rsid w:val="004F0575"/>
    <w:rsid w:val="005002D5"/>
    <w:rsid w:val="00500530"/>
    <w:rsid w:val="005032C9"/>
    <w:rsid w:val="00507A9F"/>
    <w:rsid w:val="00513FEF"/>
    <w:rsid w:val="00516C26"/>
    <w:rsid w:val="00522F32"/>
    <w:rsid w:val="00527193"/>
    <w:rsid w:val="00530B86"/>
    <w:rsid w:val="00531181"/>
    <w:rsid w:val="00532653"/>
    <w:rsid w:val="00532EC7"/>
    <w:rsid w:val="005352B7"/>
    <w:rsid w:val="005355D6"/>
    <w:rsid w:val="00535BD1"/>
    <w:rsid w:val="00541E17"/>
    <w:rsid w:val="005440A6"/>
    <w:rsid w:val="00544213"/>
    <w:rsid w:val="00544893"/>
    <w:rsid w:val="005461C5"/>
    <w:rsid w:val="00551405"/>
    <w:rsid w:val="00553F20"/>
    <w:rsid w:val="00555FDE"/>
    <w:rsid w:val="005565DA"/>
    <w:rsid w:val="0055754D"/>
    <w:rsid w:val="00560CC0"/>
    <w:rsid w:val="00562FDA"/>
    <w:rsid w:val="005647CE"/>
    <w:rsid w:val="00567F6C"/>
    <w:rsid w:val="00570AA8"/>
    <w:rsid w:val="00571A77"/>
    <w:rsid w:val="0057311C"/>
    <w:rsid w:val="00576737"/>
    <w:rsid w:val="00577500"/>
    <w:rsid w:val="00580498"/>
    <w:rsid w:val="005848D0"/>
    <w:rsid w:val="005955D2"/>
    <w:rsid w:val="00595BEE"/>
    <w:rsid w:val="005A25BB"/>
    <w:rsid w:val="005A2987"/>
    <w:rsid w:val="005A3389"/>
    <w:rsid w:val="005A4284"/>
    <w:rsid w:val="005A507F"/>
    <w:rsid w:val="005A5FF3"/>
    <w:rsid w:val="005A6185"/>
    <w:rsid w:val="005B6A66"/>
    <w:rsid w:val="005C1D09"/>
    <w:rsid w:val="005C60AC"/>
    <w:rsid w:val="005D139C"/>
    <w:rsid w:val="005D797E"/>
    <w:rsid w:val="005E025C"/>
    <w:rsid w:val="005E3A9C"/>
    <w:rsid w:val="005F4C74"/>
    <w:rsid w:val="005F67B3"/>
    <w:rsid w:val="00600480"/>
    <w:rsid w:val="006015EE"/>
    <w:rsid w:val="0060302D"/>
    <w:rsid w:val="00604828"/>
    <w:rsid w:val="00604879"/>
    <w:rsid w:val="00606852"/>
    <w:rsid w:val="00612862"/>
    <w:rsid w:val="00615B82"/>
    <w:rsid w:val="00616047"/>
    <w:rsid w:val="00617E68"/>
    <w:rsid w:val="0062432A"/>
    <w:rsid w:val="00624B78"/>
    <w:rsid w:val="006260D5"/>
    <w:rsid w:val="00627629"/>
    <w:rsid w:val="00630186"/>
    <w:rsid w:val="00635ED9"/>
    <w:rsid w:val="0064287B"/>
    <w:rsid w:val="006507F2"/>
    <w:rsid w:val="00650B91"/>
    <w:rsid w:val="00653DF3"/>
    <w:rsid w:val="006557B4"/>
    <w:rsid w:val="006660FD"/>
    <w:rsid w:val="00667146"/>
    <w:rsid w:val="00670719"/>
    <w:rsid w:val="0067228A"/>
    <w:rsid w:val="00673102"/>
    <w:rsid w:val="006743ED"/>
    <w:rsid w:val="00676908"/>
    <w:rsid w:val="00676CF1"/>
    <w:rsid w:val="00677843"/>
    <w:rsid w:val="006778E1"/>
    <w:rsid w:val="00681497"/>
    <w:rsid w:val="0068560C"/>
    <w:rsid w:val="00685B53"/>
    <w:rsid w:val="0069002F"/>
    <w:rsid w:val="0069044D"/>
    <w:rsid w:val="00690847"/>
    <w:rsid w:val="006A6375"/>
    <w:rsid w:val="006B074E"/>
    <w:rsid w:val="006B1869"/>
    <w:rsid w:val="006B2BD5"/>
    <w:rsid w:val="006B2E32"/>
    <w:rsid w:val="006C0E68"/>
    <w:rsid w:val="006C1F1E"/>
    <w:rsid w:val="006C2C9A"/>
    <w:rsid w:val="006C2E22"/>
    <w:rsid w:val="006C3349"/>
    <w:rsid w:val="006C6ABF"/>
    <w:rsid w:val="006D0E3D"/>
    <w:rsid w:val="006D3295"/>
    <w:rsid w:val="006D45F8"/>
    <w:rsid w:val="006E2A78"/>
    <w:rsid w:val="006F284C"/>
    <w:rsid w:val="006F7227"/>
    <w:rsid w:val="00701321"/>
    <w:rsid w:val="00702366"/>
    <w:rsid w:val="0070554C"/>
    <w:rsid w:val="00706BBB"/>
    <w:rsid w:val="007116B7"/>
    <w:rsid w:val="007146A4"/>
    <w:rsid w:val="007163BC"/>
    <w:rsid w:val="007207BA"/>
    <w:rsid w:val="007252A4"/>
    <w:rsid w:val="00726C3C"/>
    <w:rsid w:val="007276A9"/>
    <w:rsid w:val="00730AE3"/>
    <w:rsid w:val="00731F0B"/>
    <w:rsid w:val="007326EE"/>
    <w:rsid w:val="007334DA"/>
    <w:rsid w:val="00736BC2"/>
    <w:rsid w:val="007402C3"/>
    <w:rsid w:val="00740B50"/>
    <w:rsid w:val="00751D85"/>
    <w:rsid w:val="00752A9A"/>
    <w:rsid w:val="00757360"/>
    <w:rsid w:val="007616B7"/>
    <w:rsid w:val="00761AC4"/>
    <w:rsid w:val="00765F25"/>
    <w:rsid w:val="0077504B"/>
    <w:rsid w:val="00786655"/>
    <w:rsid w:val="00791B7A"/>
    <w:rsid w:val="0079325E"/>
    <w:rsid w:val="007970C4"/>
    <w:rsid w:val="0079778B"/>
    <w:rsid w:val="007A3F5E"/>
    <w:rsid w:val="007B1587"/>
    <w:rsid w:val="007B4F93"/>
    <w:rsid w:val="007B62CF"/>
    <w:rsid w:val="007C126E"/>
    <w:rsid w:val="007C5285"/>
    <w:rsid w:val="007C633B"/>
    <w:rsid w:val="007D3182"/>
    <w:rsid w:val="007D6148"/>
    <w:rsid w:val="007E4604"/>
    <w:rsid w:val="007E4BF4"/>
    <w:rsid w:val="007F1F91"/>
    <w:rsid w:val="007F370D"/>
    <w:rsid w:val="007F479C"/>
    <w:rsid w:val="007F7039"/>
    <w:rsid w:val="007F79BD"/>
    <w:rsid w:val="00800893"/>
    <w:rsid w:val="00804846"/>
    <w:rsid w:val="00804FD3"/>
    <w:rsid w:val="00807608"/>
    <w:rsid w:val="00812A2B"/>
    <w:rsid w:val="00813DC0"/>
    <w:rsid w:val="00820013"/>
    <w:rsid w:val="0082101F"/>
    <w:rsid w:val="00825524"/>
    <w:rsid w:val="0082572D"/>
    <w:rsid w:val="00825C62"/>
    <w:rsid w:val="00827B90"/>
    <w:rsid w:val="00830543"/>
    <w:rsid w:val="00831453"/>
    <w:rsid w:val="0083211E"/>
    <w:rsid w:val="00832876"/>
    <w:rsid w:val="00835D2A"/>
    <w:rsid w:val="008370B7"/>
    <w:rsid w:val="008436D3"/>
    <w:rsid w:val="00843FF1"/>
    <w:rsid w:val="008469D7"/>
    <w:rsid w:val="00846CCC"/>
    <w:rsid w:val="00857213"/>
    <w:rsid w:val="00857244"/>
    <w:rsid w:val="00857D3B"/>
    <w:rsid w:val="00861C3F"/>
    <w:rsid w:val="00864722"/>
    <w:rsid w:val="00866817"/>
    <w:rsid w:val="00870D40"/>
    <w:rsid w:val="00871A80"/>
    <w:rsid w:val="0087238A"/>
    <w:rsid w:val="008755E5"/>
    <w:rsid w:val="00883459"/>
    <w:rsid w:val="008865E9"/>
    <w:rsid w:val="008903BC"/>
    <w:rsid w:val="00890C7C"/>
    <w:rsid w:val="00894AFE"/>
    <w:rsid w:val="00895F31"/>
    <w:rsid w:val="0089640E"/>
    <w:rsid w:val="008975AB"/>
    <w:rsid w:val="008A0EA4"/>
    <w:rsid w:val="008A33C1"/>
    <w:rsid w:val="008B0C12"/>
    <w:rsid w:val="008B0FF9"/>
    <w:rsid w:val="008B4F2D"/>
    <w:rsid w:val="008C013C"/>
    <w:rsid w:val="008C0998"/>
    <w:rsid w:val="008C1E35"/>
    <w:rsid w:val="008C490A"/>
    <w:rsid w:val="008C5B14"/>
    <w:rsid w:val="008D3BC3"/>
    <w:rsid w:val="008D567A"/>
    <w:rsid w:val="008D5AA2"/>
    <w:rsid w:val="008E1B93"/>
    <w:rsid w:val="008E5F84"/>
    <w:rsid w:val="008E65EF"/>
    <w:rsid w:val="008E6F9A"/>
    <w:rsid w:val="008E7500"/>
    <w:rsid w:val="008F0655"/>
    <w:rsid w:val="008F13FA"/>
    <w:rsid w:val="008F5809"/>
    <w:rsid w:val="008F59A1"/>
    <w:rsid w:val="008F5EDA"/>
    <w:rsid w:val="00900F93"/>
    <w:rsid w:val="009010BA"/>
    <w:rsid w:val="00901DDD"/>
    <w:rsid w:val="0090419C"/>
    <w:rsid w:val="0090453C"/>
    <w:rsid w:val="009067F8"/>
    <w:rsid w:val="009151DA"/>
    <w:rsid w:val="0091622B"/>
    <w:rsid w:val="00922EAD"/>
    <w:rsid w:val="00926167"/>
    <w:rsid w:val="0092794B"/>
    <w:rsid w:val="00932A57"/>
    <w:rsid w:val="00933841"/>
    <w:rsid w:val="0093498B"/>
    <w:rsid w:val="00934AB3"/>
    <w:rsid w:val="009372DB"/>
    <w:rsid w:val="009442AE"/>
    <w:rsid w:val="00953856"/>
    <w:rsid w:val="00953857"/>
    <w:rsid w:val="009554D5"/>
    <w:rsid w:val="009600E6"/>
    <w:rsid w:val="00962CE5"/>
    <w:rsid w:val="0096605A"/>
    <w:rsid w:val="00971B2F"/>
    <w:rsid w:val="00977D72"/>
    <w:rsid w:val="0098587E"/>
    <w:rsid w:val="00993AC7"/>
    <w:rsid w:val="00994164"/>
    <w:rsid w:val="00997E1C"/>
    <w:rsid w:val="009A1854"/>
    <w:rsid w:val="009A4234"/>
    <w:rsid w:val="009B0B23"/>
    <w:rsid w:val="009B4302"/>
    <w:rsid w:val="009B5E1D"/>
    <w:rsid w:val="009B6508"/>
    <w:rsid w:val="009C1166"/>
    <w:rsid w:val="009C32EB"/>
    <w:rsid w:val="009C3C04"/>
    <w:rsid w:val="009C68EB"/>
    <w:rsid w:val="009D0F5C"/>
    <w:rsid w:val="009D2F92"/>
    <w:rsid w:val="009E1E16"/>
    <w:rsid w:val="009E2B79"/>
    <w:rsid w:val="009E4DED"/>
    <w:rsid w:val="009E550C"/>
    <w:rsid w:val="009E5B1D"/>
    <w:rsid w:val="009E7CD4"/>
    <w:rsid w:val="009F5917"/>
    <w:rsid w:val="00A0211E"/>
    <w:rsid w:val="00A03B89"/>
    <w:rsid w:val="00A0738F"/>
    <w:rsid w:val="00A10051"/>
    <w:rsid w:val="00A1095C"/>
    <w:rsid w:val="00A11929"/>
    <w:rsid w:val="00A16A83"/>
    <w:rsid w:val="00A20F36"/>
    <w:rsid w:val="00A2464B"/>
    <w:rsid w:val="00A24673"/>
    <w:rsid w:val="00A269D3"/>
    <w:rsid w:val="00A30DAD"/>
    <w:rsid w:val="00A34916"/>
    <w:rsid w:val="00A36FA5"/>
    <w:rsid w:val="00A427A8"/>
    <w:rsid w:val="00A53696"/>
    <w:rsid w:val="00A56D9D"/>
    <w:rsid w:val="00A66B1E"/>
    <w:rsid w:val="00A72329"/>
    <w:rsid w:val="00A732F4"/>
    <w:rsid w:val="00A753E6"/>
    <w:rsid w:val="00A7631B"/>
    <w:rsid w:val="00A8000B"/>
    <w:rsid w:val="00A86060"/>
    <w:rsid w:val="00A872F3"/>
    <w:rsid w:val="00A921D1"/>
    <w:rsid w:val="00A92C53"/>
    <w:rsid w:val="00AA014E"/>
    <w:rsid w:val="00AA18E6"/>
    <w:rsid w:val="00AA23B6"/>
    <w:rsid w:val="00AA3037"/>
    <w:rsid w:val="00AA41D7"/>
    <w:rsid w:val="00AA42CB"/>
    <w:rsid w:val="00AA4A91"/>
    <w:rsid w:val="00AA64A9"/>
    <w:rsid w:val="00AB1651"/>
    <w:rsid w:val="00AB1730"/>
    <w:rsid w:val="00AB357E"/>
    <w:rsid w:val="00AB6F18"/>
    <w:rsid w:val="00AB75BF"/>
    <w:rsid w:val="00AC1E69"/>
    <w:rsid w:val="00AC40B6"/>
    <w:rsid w:val="00AD0610"/>
    <w:rsid w:val="00AD4206"/>
    <w:rsid w:val="00AF36AD"/>
    <w:rsid w:val="00AF4BDB"/>
    <w:rsid w:val="00B00948"/>
    <w:rsid w:val="00B01ECD"/>
    <w:rsid w:val="00B0464C"/>
    <w:rsid w:val="00B07C12"/>
    <w:rsid w:val="00B12620"/>
    <w:rsid w:val="00B13266"/>
    <w:rsid w:val="00B14D4B"/>
    <w:rsid w:val="00B16E05"/>
    <w:rsid w:val="00B21FFE"/>
    <w:rsid w:val="00B22000"/>
    <w:rsid w:val="00B22D89"/>
    <w:rsid w:val="00B23889"/>
    <w:rsid w:val="00B241DC"/>
    <w:rsid w:val="00B26F31"/>
    <w:rsid w:val="00B271A0"/>
    <w:rsid w:val="00B3065E"/>
    <w:rsid w:val="00B3299A"/>
    <w:rsid w:val="00B37A6C"/>
    <w:rsid w:val="00B37B27"/>
    <w:rsid w:val="00B51304"/>
    <w:rsid w:val="00B5131F"/>
    <w:rsid w:val="00B55AFC"/>
    <w:rsid w:val="00B56B11"/>
    <w:rsid w:val="00B63B91"/>
    <w:rsid w:val="00B6487F"/>
    <w:rsid w:val="00B64E86"/>
    <w:rsid w:val="00B76F1E"/>
    <w:rsid w:val="00B81FC6"/>
    <w:rsid w:val="00B8280C"/>
    <w:rsid w:val="00B85F9B"/>
    <w:rsid w:val="00B87047"/>
    <w:rsid w:val="00B9639B"/>
    <w:rsid w:val="00B9682F"/>
    <w:rsid w:val="00BA1498"/>
    <w:rsid w:val="00BA3233"/>
    <w:rsid w:val="00BA47B5"/>
    <w:rsid w:val="00BB051D"/>
    <w:rsid w:val="00BB1C37"/>
    <w:rsid w:val="00BB7CDF"/>
    <w:rsid w:val="00BD327A"/>
    <w:rsid w:val="00BE0C74"/>
    <w:rsid w:val="00BE1C15"/>
    <w:rsid w:val="00BE37A4"/>
    <w:rsid w:val="00BE45DE"/>
    <w:rsid w:val="00BE65C4"/>
    <w:rsid w:val="00BE7DE7"/>
    <w:rsid w:val="00BF4745"/>
    <w:rsid w:val="00BF557E"/>
    <w:rsid w:val="00BF780A"/>
    <w:rsid w:val="00C05456"/>
    <w:rsid w:val="00C062DA"/>
    <w:rsid w:val="00C076A9"/>
    <w:rsid w:val="00C15BBB"/>
    <w:rsid w:val="00C17D9F"/>
    <w:rsid w:val="00C208F8"/>
    <w:rsid w:val="00C31FC0"/>
    <w:rsid w:val="00C32216"/>
    <w:rsid w:val="00C37FF1"/>
    <w:rsid w:val="00C429B3"/>
    <w:rsid w:val="00C507CD"/>
    <w:rsid w:val="00C557B9"/>
    <w:rsid w:val="00C628EF"/>
    <w:rsid w:val="00C62A1B"/>
    <w:rsid w:val="00C62A74"/>
    <w:rsid w:val="00C65823"/>
    <w:rsid w:val="00C65F24"/>
    <w:rsid w:val="00C700A8"/>
    <w:rsid w:val="00C81383"/>
    <w:rsid w:val="00C85EA4"/>
    <w:rsid w:val="00C9081D"/>
    <w:rsid w:val="00C912FE"/>
    <w:rsid w:val="00C91F33"/>
    <w:rsid w:val="00C96424"/>
    <w:rsid w:val="00C96E12"/>
    <w:rsid w:val="00CA0B94"/>
    <w:rsid w:val="00CA1572"/>
    <w:rsid w:val="00CA2BA3"/>
    <w:rsid w:val="00CA5D41"/>
    <w:rsid w:val="00CA6B87"/>
    <w:rsid w:val="00CA7887"/>
    <w:rsid w:val="00CB353B"/>
    <w:rsid w:val="00CB6406"/>
    <w:rsid w:val="00CC0909"/>
    <w:rsid w:val="00CC2031"/>
    <w:rsid w:val="00CC2A35"/>
    <w:rsid w:val="00CC457A"/>
    <w:rsid w:val="00CC48DB"/>
    <w:rsid w:val="00CC5643"/>
    <w:rsid w:val="00CD1A6A"/>
    <w:rsid w:val="00CD289D"/>
    <w:rsid w:val="00CD5DB6"/>
    <w:rsid w:val="00CD71A8"/>
    <w:rsid w:val="00CD7BAF"/>
    <w:rsid w:val="00CE0372"/>
    <w:rsid w:val="00CE1FC9"/>
    <w:rsid w:val="00CE51C3"/>
    <w:rsid w:val="00CF0DD2"/>
    <w:rsid w:val="00CF45B7"/>
    <w:rsid w:val="00CF4F69"/>
    <w:rsid w:val="00CF75A0"/>
    <w:rsid w:val="00D0542E"/>
    <w:rsid w:val="00D07FDF"/>
    <w:rsid w:val="00D14293"/>
    <w:rsid w:val="00D15589"/>
    <w:rsid w:val="00D16E2C"/>
    <w:rsid w:val="00D20D45"/>
    <w:rsid w:val="00D22AE8"/>
    <w:rsid w:val="00D27168"/>
    <w:rsid w:val="00D30C33"/>
    <w:rsid w:val="00D33AFD"/>
    <w:rsid w:val="00D34134"/>
    <w:rsid w:val="00D4290D"/>
    <w:rsid w:val="00D432AD"/>
    <w:rsid w:val="00D466D8"/>
    <w:rsid w:val="00D50104"/>
    <w:rsid w:val="00D51069"/>
    <w:rsid w:val="00D516CB"/>
    <w:rsid w:val="00D516FB"/>
    <w:rsid w:val="00D523F7"/>
    <w:rsid w:val="00D52819"/>
    <w:rsid w:val="00D53BEB"/>
    <w:rsid w:val="00D5513F"/>
    <w:rsid w:val="00D72037"/>
    <w:rsid w:val="00D7669A"/>
    <w:rsid w:val="00D77F37"/>
    <w:rsid w:val="00D82117"/>
    <w:rsid w:val="00D82332"/>
    <w:rsid w:val="00D845F1"/>
    <w:rsid w:val="00D84D6B"/>
    <w:rsid w:val="00D851C0"/>
    <w:rsid w:val="00D85BAF"/>
    <w:rsid w:val="00D8700F"/>
    <w:rsid w:val="00D94A37"/>
    <w:rsid w:val="00D9537D"/>
    <w:rsid w:val="00D97B91"/>
    <w:rsid w:val="00D97C40"/>
    <w:rsid w:val="00DA273E"/>
    <w:rsid w:val="00DA4164"/>
    <w:rsid w:val="00DA5B30"/>
    <w:rsid w:val="00DB23DB"/>
    <w:rsid w:val="00DB7552"/>
    <w:rsid w:val="00DC72ED"/>
    <w:rsid w:val="00DD1164"/>
    <w:rsid w:val="00DD2BF8"/>
    <w:rsid w:val="00DD2F0C"/>
    <w:rsid w:val="00DD52CC"/>
    <w:rsid w:val="00DD5DE2"/>
    <w:rsid w:val="00DD6CC4"/>
    <w:rsid w:val="00DD6F28"/>
    <w:rsid w:val="00DE308B"/>
    <w:rsid w:val="00DE3FCC"/>
    <w:rsid w:val="00DF1328"/>
    <w:rsid w:val="00DF2BBE"/>
    <w:rsid w:val="00DF2CAE"/>
    <w:rsid w:val="00DF2F95"/>
    <w:rsid w:val="00DF41C0"/>
    <w:rsid w:val="00E021BC"/>
    <w:rsid w:val="00E03C20"/>
    <w:rsid w:val="00E200B1"/>
    <w:rsid w:val="00E20EA6"/>
    <w:rsid w:val="00E21A5F"/>
    <w:rsid w:val="00E21D30"/>
    <w:rsid w:val="00E225F5"/>
    <w:rsid w:val="00E31224"/>
    <w:rsid w:val="00E31DCA"/>
    <w:rsid w:val="00E36DF8"/>
    <w:rsid w:val="00E370FD"/>
    <w:rsid w:val="00E37A7A"/>
    <w:rsid w:val="00E41BA3"/>
    <w:rsid w:val="00E47630"/>
    <w:rsid w:val="00E55058"/>
    <w:rsid w:val="00E55806"/>
    <w:rsid w:val="00E5594B"/>
    <w:rsid w:val="00E55B3B"/>
    <w:rsid w:val="00E55E91"/>
    <w:rsid w:val="00E56717"/>
    <w:rsid w:val="00E603B3"/>
    <w:rsid w:val="00E60B0B"/>
    <w:rsid w:val="00E60CD4"/>
    <w:rsid w:val="00E640E5"/>
    <w:rsid w:val="00E66114"/>
    <w:rsid w:val="00E67336"/>
    <w:rsid w:val="00E732B5"/>
    <w:rsid w:val="00E73836"/>
    <w:rsid w:val="00E902A2"/>
    <w:rsid w:val="00E92039"/>
    <w:rsid w:val="00E92629"/>
    <w:rsid w:val="00EA3399"/>
    <w:rsid w:val="00EA4A50"/>
    <w:rsid w:val="00EA7525"/>
    <w:rsid w:val="00EA7EE0"/>
    <w:rsid w:val="00EB1B31"/>
    <w:rsid w:val="00EB5F63"/>
    <w:rsid w:val="00EC0891"/>
    <w:rsid w:val="00EC17FE"/>
    <w:rsid w:val="00EC2A40"/>
    <w:rsid w:val="00EC4AD7"/>
    <w:rsid w:val="00EC4F03"/>
    <w:rsid w:val="00ED01D8"/>
    <w:rsid w:val="00ED48A2"/>
    <w:rsid w:val="00ED5225"/>
    <w:rsid w:val="00ED6574"/>
    <w:rsid w:val="00EE0F5F"/>
    <w:rsid w:val="00EE1B26"/>
    <w:rsid w:val="00EE3B2E"/>
    <w:rsid w:val="00EE51DB"/>
    <w:rsid w:val="00F00060"/>
    <w:rsid w:val="00F04BE5"/>
    <w:rsid w:val="00F060CD"/>
    <w:rsid w:val="00F079DF"/>
    <w:rsid w:val="00F137CF"/>
    <w:rsid w:val="00F13DC0"/>
    <w:rsid w:val="00F13FBA"/>
    <w:rsid w:val="00F14485"/>
    <w:rsid w:val="00F163E0"/>
    <w:rsid w:val="00F16E4D"/>
    <w:rsid w:val="00F16F02"/>
    <w:rsid w:val="00F17B0E"/>
    <w:rsid w:val="00F2457A"/>
    <w:rsid w:val="00F26680"/>
    <w:rsid w:val="00F26A60"/>
    <w:rsid w:val="00F26BE8"/>
    <w:rsid w:val="00F37B32"/>
    <w:rsid w:val="00F404FC"/>
    <w:rsid w:val="00F41939"/>
    <w:rsid w:val="00F45326"/>
    <w:rsid w:val="00F4588E"/>
    <w:rsid w:val="00F465B6"/>
    <w:rsid w:val="00F5146F"/>
    <w:rsid w:val="00F52483"/>
    <w:rsid w:val="00F5674C"/>
    <w:rsid w:val="00F60318"/>
    <w:rsid w:val="00F6280C"/>
    <w:rsid w:val="00F64CB9"/>
    <w:rsid w:val="00F67181"/>
    <w:rsid w:val="00F73A62"/>
    <w:rsid w:val="00F75D60"/>
    <w:rsid w:val="00F76B30"/>
    <w:rsid w:val="00F77628"/>
    <w:rsid w:val="00F838DD"/>
    <w:rsid w:val="00F87ADE"/>
    <w:rsid w:val="00F90E90"/>
    <w:rsid w:val="00F93833"/>
    <w:rsid w:val="00FA5DCF"/>
    <w:rsid w:val="00FB0297"/>
    <w:rsid w:val="00FB2587"/>
    <w:rsid w:val="00FB2714"/>
    <w:rsid w:val="00FB3B70"/>
    <w:rsid w:val="00FB4B18"/>
    <w:rsid w:val="00FC1561"/>
    <w:rsid w:val="00FC3D2F"/>
    <w:rsid w:val="00FC4E57"/>
    <w:rsid w:val="00FC6159"/>
    <w:rsid w:val="00FD061C"/>
    <w:rsid w:val="00FD3F21"/>
    <w:rsid w:val="00FD7BC1"/>
    <w:rsid w:val="00FE0697"/>
    <w:rsid w:val="00FE342E"/>
    <w:rsid w:val="00FE7DF7"/>
    <w:rsid w:val="00FF5272"/>
    <w:rsid w:val="00FF6CC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A19C"/>
  <w15:docId w15:val="{49FC54B1-B490-A34A-BB7E-EC89636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tulo1">
    <w:name w:val="heading 1"/>
    <w:basedOn w:val="Normal"/>
    <w:next w:val="Ttulo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5"/>
      </w:numPr>
      <w:spacing w:before="120" w:after="120"/>
    </w:pPr>
    <w:rPr>
      <w:snapToGrid w:val="0"/>
      <w:szCs w:val="18"/>
    </w:rPr>
  </w:style>
  <w:style w:type="paragraph" w:styleId="Textonotapi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TextonotapieCar"/>
    <w:uiPriority w:val="99"/>
    <w:qFormat/>
    <w:pPr>
      <w:keepLines/>
      <w:spacing w:after="60"/>
      <w:ind w:firstLine="720"/>
    </w:pPr>
    <w:rPr>
      <w:sz w:val="18"/>
    </w:rPr>
  </w:style>
  <w:style w:type="paragraph" w:styleId="Textoindependiente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6507F2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pPr>
      <w:spacing w:after="120" w:line="240" w:lineRule="exact"/>
    </w:pPr>
  </w:style>
  <w:style w:type="character" w:styleId="Refdenotaalpi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Sangradetextonormal">
    <w:name w:val="Body Text Indent"/>
    <w:basedOn w:val="Normal"/>
    <w:pPr>
      <w:spacing w:before="120" w:after="120"/>
      <w:ind w:left="1440" w:hanging="720"/>
      <w:jc w:val="left"/>
    </w:pPr>
  </w:style>
  <w:style w:type="character" w:styleId="Nmerodepgina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3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tulo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tulo2"/>
    <w:qFormat/>
    <w:rsid w:val="000F63AB"/>
    <w:pPr>
      <w:jc w:val="left"/>
      <w:outlineLvl w:val="9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D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D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pPr>
      <w:ind w:left="2160" w:hanging="720"/>
    </w:pPr>
  </w:style>
  <w:style w:type="paragraph" w:styleId="TD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tulo9"/>
    <w:qFormat/>
    <w:rsid w:val="000F63AB"/>
    <w:rPr>
      <w:i w:val="0"/>
      <w:sz w:val="18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tyle1">
    <w:name w:val="Style1"/>
    <w:basedOn w:val="Ttulo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2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ipervnculo">
    <w:name w:val="Hyperlink"/>
    <w:uiPriority w:val="99"/>
    <w:unhideWhenUsed/>
    <w:rsid w:val="00406BC6"/>
    <w:rPr>
      <w:color w:val="0000FF"/>
      <w:u w:val="single"/>
    </w:rPr>
  </w:style>
  <w:style w:type="character" w:styleId="Refdenotaalfinal">
    <w:name w:val="endnote reference"/>
    <w:semiHidden/>
    <w:rPr>
      <w:vertAlign w:val="superscript"/>
    </w:rPr>
  </w:style>
  <w:style w:type="paragraph" w:styleId="Textonotaalfinal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tulo1"/>
    <w:pPr>
      <w:ind w:left="1843" w:hanging="1134"/>
      <w:jc w:val="left"/>
    </w:pPr>
  </w:style>
  <w:style w:type="paragraph" w:customStyle="1" w:styleId="Heading1multiline">
    <w:name w:val="Heading 1 (multiline)"/>
    <w:basedOn w:val="Ttulo1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tulo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tulo3"/>
    <w:rsid w:val="00A71706"/>
  </w:style>
  <w:style w:type="paragraph" w:customStyle="1" w:styleId="HEADINGNOTFORTOC">
    <w:name w:val="HEADING (NOT FOR TOC)"/>
    <w:basedOn w:val="Ttulo1"/>
    <w:next w:val="Ttulo2"/>
    <w:rsid w:val="00BB5903"/>
  </w:style>
  <w:style w:type="character" w:customStyle="1" w:styleId="TextonotapieCar">
    <w:name w:val="Texto nota pie Car"/>
    <w:aliases w:val="Geneva 9 Car,Font: Geneva 9 Car,Boston 10 Car,f Car,ft Car,Fotnotstext Char Car,ft Char Car,single space Car,footnote text Car,FOOTNOTES Car,ADB Car,single space1 Car,footnote text1 Car,FOOTNOTES1 Car,fn1 Car,ADB1 Car,FOOTNOTES2 Car"/>
    <w:link w:val="Textonotapie"/>
    <w:uiPriority w:val="99"/>
    <w:rsid w:val="00406BC6"/>
    <w:rPr>
      <w:sz w:val="18"/>
      <w:szCs w:val="24"/>
      <w:lang w:val="es-UY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6BC6"/>
    <w:rPr>
      <w:rFonts w:ascii="Tahoma" w:hAnsi="Tahoma" w:cs="Tahoma"/>
      <w:sz w:val="16"/>
      <w:szCs w:val="16"/>
      <w:lang w:val="es-UY" w:eastAsia="en-US"/>
    </w:rPr>
  </w:style>
  <w:style w:type="character" w:customStyle="1" w:styleId="apple-converted-space">
    <w:name w:val="apple-converted-space"/>
    <w:rsid w:val="00CF4F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D9537D"/>
    <w:rPr>
      <w:sz w:val="22"/>
      <w:szCs w:val="24"/>
      <w:lang w:val="es-UY"/>
    </w:rPr>
  </w:style>
  <w:style w:type="character" w:customStyle="1" w:styleId="AsuntodelcomentarioCar">
    <w:name w:val="Asunto del comentario Car"/>
    <w:link w:val="Asuntodelcomentario"/>
    <w:uiPriority w:val="99"/>
    <w:semiHidden/>
    <w:rsid w:val="00D9537D"/>
    <w:rPr>
      <w:b/>
      <w:bCs/>
      <w:sz w:val="22"/>
      <w:szCs w:val="24"/>
      <w:lang w:val="es-UY"/>
    </w:rPr>
  </w:style>
  <w:style w:type="paragraph" w:styleId="Revisin">
    <w:name w:val="Revision"/>
    <w:hidden/>
    <w:uiPriority w:val="99"/>
    <w:semiHidden/>
    <w:rsid w:val="00D9537D"/>
    <w:rPr>
      <w:sz w:val="22"/>
      <w:szCs w:val="24"/>
    </w:rPr>
  </w:style>
  <w:style w:type="character" w:styleId="Textodelmarcadordeposicin">
    <w:name w:val="Placeholder Text"/>
    <w:basedOn w:val="Fuentedeprrafopredeter"/>
    <w:uiPriority w:val="67"/>
    <w:rsid w:val="00073708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aconcuadrcula">
    <w:name w:val="Table Grid"/>
    <w:basedOn w:val="Tabla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604828"/>
    <w:rPr>
      <w:snapToGrid w:val="0"/>
      <w:sz w:val="22"/>
      <w:szCs w:val="18"/>
      <w:lang w:val="es-UY"/>
    </w:rPr>
  </w:style>
  <w:style w:type="character" w:customStyle="1" w:styleId="EncabezadoCar">
    <w:name w:val="Encabezado Car"/>
    <w:link w:val="Encabezado"/>
    <w:rsid w:val="00F60318"/>
    <w:rPr>
      <w:sz w:val="22"/>
      <w:szCs w:val="24"/>
      <w:lang w:val="es-UY"/>
    </w:rPr>
  </w:style>
  <w:style w:type="character" w:customStyle="1" w:styleId="PiedepginaCar">
    <w:name w:val="Pie de página Car"/>
    <w:link w:val="Piedepgina"/>
    <w:rsid w:val="00F60318"/>
    <w:rPr>
      <w:sz w:val="22"/>
      <w:szCs w:val="24"/>
      <w:lang w:val="es-UY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EC2A40"/>
    <w:rPr>
      <w:sz w:val="22"/>
      <w:szCs w:val="24"/>
      <w:lang w:val="es-UY"/>
    </w:rPr>
  </w:style>
  <w:style w:type="character" w:styleId="Textoennegrita">
    <w:name w:val="Strong"/>
    <w:basedOn w:val="Fuentedeprrafopredeter"/>
    <w:uiPriority w:val="22"/>
    <w:qFormat/>
    <w:rsid w:val="003D34B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C1C"/>
    <w:rPr>
      <w:color w:val="605E5C"/>
      <w:shd w:val="clear" w:color="auto" w:fill="E1DFDD"/>
    </w:rPr>
  </w:style>
  <w:style w:type="character" w:customStyle="1" w:styleId="ng-binding">
    <w:name w:val="ng-binding"/>
    <w:basedOn w:val="Fuentedeprrafopredeter"/>
    <w:rsid w:val="00B2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conferences/post2020/submission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recommendations/sbstta-23/sbstta-23-rec-01-en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34-es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meetings/POST2020-INFORMAL-2019-01" TargetMode="External"/><Relationship Id="rId13" Type="http://schemas.openxmlformats.org/officeDocument/2006/relationships/hyperlink" Target="https://ias.unu.edu/en/news/news/ipsi-8-global-conference-workshop-focus-on-next-global-biodiversity-framework.html" TargetMode="External"/><Relationship Id="rId3" Type="http://schemas.openxmlformats.org/officeDocument/2006/relationships/hyperlink" Target="https://www.cbd.int/meetings/POST2020-WS-2019-11" TargetMode="External"/><Relationship Id="rId7" Type="http://schemas.openxmlformats.org/officeDocument/2006/relationships/hyperlink" Target="https://www.cbd.int/meetings/POST2020-WS-2019-14" TargetMode="External"/><Relationship Id="rId12" Type="http://schemas.openxmlformats.org/officeDocument/2006/relationships/hyperlink" Target="https://www.cbd.int/meetings/POST2020-WS-2020-02" TargetMode="External"/><Relationship Id="rId2" Type="http://schemas.openxmlformats.org/officeDocument/2006/relationships/hyperlink" Target="https://www.cbd.int/conferences/post2020" TargetMode="External"/><Relationship Id="rId1" Type="http://schemas.openxmlformats.org/officeDocument/2006/relationships/hyperlink" Target="https://www.cbd.int/doc/c/36fd/bd65/66a84b1e9f1220fc34b909ec/wg2020-01-01-es.pdf" TargetMode="External"/><Relationship Id="rId6" Type="http://schemas.openxmlformats.org/officeDocument/2006/relationships/hyperlink" Target="https://www.cbd.int/meetings/POST2020-WS-2019-13" TargetMode="External"/><Relationship Id="rId11" Type="http://schemas.openxmlformats.org/officeDocument/2006/relationships/hyperlink" Target="https://www.cbd.int/meetings/POST2020-WS-2020-01" TargetMode="External"/><Relationship Id="rId5" Type="http://schemas.openxmlformats.org/officeDocument/2006/relationships/hyperlink" Target="https://www.cbd.int/meetings/POST2020-WS-2019-12" TargetMode="External"/><Relationship Id="rId10" Type="http://schemas.openxmlformats.org/officeDocument/2006/relationships/hyperlink" Target="https://www.cbd.int/meetings/POST2020-WS-2020-03" TargetMode="External"/><Relationship Id="rId4" Type="http://schemas.openxmlformats.org/officeDocument/2006/relationships/hyperlink" Target="https://www.cbd.int/meetings/POST2020-WS-2019-10" TargetMode="External"/><Relationship Id="rId9" Type="http://schemas.openxmlformats.org/officeDocument/2006/relationships/hyperlink" Target="https://www.cbd.int/meetings/POST2020-WS-2019-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719BEB6F4B05438B95E20987EC1D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A8EE-9910-4C5F-BF6F-EEC61445777C}"/>
      </w:docPartPr>
      <w:docPartBody>
        <w:p w:rsidR="003D4D71" w:rsidRDefault="00DF1135" w:rsidP="00DF1135">
          <w:pPr>
            <w:pStyle w:val="719BEB6F4B05438B95E20987EC1D04F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5D93EE96593482F81D6B232F2EE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C0A5-8E43-4B9A-AC2C-61359C185196}"/>
      </w:docPartPr>
      <w:docPartBody>
        <w:p w:rsidR="00B32D3A" w:rsidRDefault="00FD7EB2">
          <w:r w:rsidRPr="00545DA1">
            <w:rPr>
              <w:rStyle w:val="Textodelmarcadordeposicin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01F61"/>
    <w:rsid w:val="00015BC6"/>
    <w:rsid w:val="00025084"/>
    <w:rsid w:val="000C5D46"/>
    <w:rsid w:val="000F5725"/>
    <w:rsid w:val="00124B41"/>
    <w:rsid w:val="00156EAA"/>
    <w:rsid w:val="001845FE"/>
    <w:rsid w:val="001B29AF"/>
    <w:rsid w:val="001E12E4"/>
    <w:rsid w:val="001F496B"/>
    <w:rsid w:val="00225E77"/>
    <w:rsid w:val="002E2480"/>
    <w:rsid w:val="0033079A"/>
    <w:rsid w:val="0033246E"/>
    <w:rsid w:val="00367C4F"/>
    <w:rsid w:val="0037757D"/>
    <w:rsid w:val="003C199E"/>
    <w:rsid w:val="003D4D71"/>
    <w:rsid w:val="003E43CC"/>
    <w:rsid w:val="0040648F"/>
    <w:rsid w:val="00473CA4"/>
    <w:rsid w:val="00486AEA"/>
    <w:rsid w:val="00492DA1"/>
    <w:rsid w:val="004975F0"/>
    <w:rsid w:val="004A69EC"/>
    <w:rsid w:val="004C5B3D"/>
    <w:rsid w:val="004C5F72"/>
    <w:rsid w:val="004F7D69"/>
    <w:rsid w:val="005029FE"/>
    <w:rsid w:val="005240F7"/>
    <w:rsid w:val="0054335D"/>
    <w:rsid w:val="005A660E"/>
    <w:rsid w:val="00655A58"/>
    <w:rsid w:val="00697C4F"/>
    <w:rsid w:val="006D457F"/>
    <w:rsid w:val="006E2695"/>
    <w:rsid w:val="0070062A"/>
    <w:rsid w:val="00785364"/>
    <w:rsid w:val="007C472E"/>
    <w:rsid w:val="007E501A"/>
    <w:rsid w:val="00824F6C"/>
    <w:rsid w:val="0083264A"/>
    <w:rsid w:val="00841311"/>
    <w:rsid w:val="00873A90"/>
    <w:rsid w:val="00883352"/>
    <w:rsid w:val="009B07AB"/>
    <w:rsid w:val="009D3440"/>
    <w:rsid w:val="00A27574"/>
    <w:rsid w:val="00A2763D"/>
    <w:rsid w:val="00A60E91"/>
    <w:rsid w:val="00B32D3A"/>
    <w:rsid w:val="00B36C7B"/>
    <w:rsid w:val="00B775B2"/>
    <w:rsid w:val="00BB2CFE"/>
    <w:rsid w:val="00C44F4E"/>
    <w:rsid w:val="00C63E2E"/>
    <w:rsid w:val="00CB61E8"/>
    <w:rsid w:val="00D1182F"/>
    <w:rsid w:val="00D1413F"/>
    <w:rsid w:val="00D5481D"/>
    <w:rsid w:val="00D65465"/>
    <w:rsid w:val="00D70961"/>
    <w:rsid w:val="00D72DBB"/>
    <w:rsid w:val="00D75DE4"/>
    <w:rsid w:val="00DC19A7"/>
    <w:rsid w:val="00DF1135"/>
    <w:rsid w:val="00EC17B5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D70961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719BEB6F4B05438B95E20987EC1D04FC">
    <w:name w:val="719BEB6F4B05438B95E20987EC1D04FC"/>
    <w:rsid w:val="00DF1135"/>
    <w:pPr>
      <w:spacing w:after="160" w:line="259" w:lineRule="auto"/>
    </w:pPr>
    <w:rPr>
      <w:lang w:val="en-CA" w:eastAsia="en-CA"/>
    </w:rPr>
  </w:style>
  <w:style w:type="paragraph" w:customStyle="1" w:styleId="2383B3D8B1DA4C168B7990550548FA1A">
    <w:name w:val="2383B3D8B1DA4C168B7990550548FA1A"/>
    <w:rsid w:val="00D70961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9" ma:contentTypeDescription="Create a new document." ma:contentTypeScope="" ma:versionID="d308c73b14b0abaf1f74ac920d332d08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ca12460ba3920ae3dbd757a04d776388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9AB7E-7C21-46D6-86D0-117ABB8E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93A2C-EE51-4219-B82D-CE92447A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FCD87-8E13-43CF-96CD-8C04BE752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BFD18-0CAD-47DC-9AC3-1711204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1866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outcomes of the consultations conducted and other contributions received regarding the preparation of the post-2020 global biodiversity framework since the first meeting of the Working Group</vt:lpstr>
    </vt:vector>
  </TitlesOfParts>
  <Manager/>
  <Company>United Nations</Company>
  <LinksUpToDate>false</LinksUpToDate>
  <CharactersWithSpaces>12106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PANORAMA GENERAL DE LOS RESULTADOS DE LAS CONSULTAS REALIZADAS Y OTRAS CONTRIBUCIONES RECIBIDAS EN RELACIÓN CON LA PREPARACIÓN DEL MARCO MUNDIAL DE LA DIVERSIDAD BIOLÓGICA  POSTERIOR A 2020 DESDE LA PRIMERA REUNIÓN DEL GRUPO DE TRABAJO</dc:title>
  <dc:subject>CBD/WG2020/2/2</dc:subject>
  <dc:creator>SCBD</dc:creator>
  <cp:keywords>Open-ended Working Group on the Post-2020 Global Biodiversity Framework, second meeting, Kuning, China, 24-29 February 2020, Convention on Biological Diversity</cp:keywords>
  <dc:description/>
  <cp:lastModifiedBy>Maria Troitino</cp:lastModifiedBy>
  <cp:revision>110</cp:revision>
  <cp:lastPrinted>2019-05-21T16:47:00Z</cp:lastPrinted>
  <dcterms:created xsi:type="dcterms:W3CDTF">2020-01-13T14:20:00Z</dcterms:created>
  <dcterms:modified xsi:type="dcterms:W3CDTF">2020-01-31T17:57:00Z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Grupo de Trabajo de Composición Abierta sobre el Marco Mundial de la Diversidad Biológica Posterior a 2020</vt:lpwstr>
  </property>
  <property fmtid="{D5CDD505-2E9C-101B-9397-08002B2CF9AE}" pid="4" name="ContentTypeId">
    <vt:lpwstr>0x01010069BFACF6D92CD24AA50050CE23F68F74</vt:lpwstr>
  </property>
</Properties>
</file>