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6514F" w14:paraId="373618C0" w14:textId="77777777" w:rsidTr="008A1499">
        <w:trPr>
          <w:trHeight w:val="850"/>
        </w:trPr>
        <w:tc>
          <w:tcPr>
            <w:tcW w:w="975" w:type="dxa"/>
            <w:vAlign w:val="bottom"/>
          </w:tcPr>
          <w:p w14:paraId="56C3F9E7" w14:textId="77777777" w:rsidR="008A1499" w:rsidRPr="00EF3151" w:rsidRDefault="008A1499" w:rsidP="008A1499">
            <w:pPr>
              <w:pStyle w:val="AASmallLogo"/>
            </w:pPr>
            <w:r w:rsidRPr="00EF3151">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F3151">
              <w:t xml:space="preserve"> </w:t>
            </w:r>
          </w:p>
          <w:p w14:paraId="3756EAA9" w14:textId="77777777" w:rsidR="008A1499" w:rsidRPr="00EF3151" w:rsidRDefault="008A1499" w:rsidP="008A1499">
            <w:pPr>
              <w:pStyle w:val="AASmallLogo"/>
            </w:pPr>
          </w:p>
        </w:tc>
        <w:tc>
          <w:tcPr>
            <w:tcW w:w="1434" w:type="dxa"/>
            <w:noWrap/>
            <w:vAlign w:val="bottom"/>
          </w:tcPr>
          <w:p w14:paraId="1C7523C6" w14:textId="73D3AC58" w:rsidR="008A1499" w:rsidRPr="00EF3151" w:rsidRDefault="003C2D62" w:rsidP="008A1499">
            <w:pPr>
              <w:pStyle w:val="AASmallLogo"/>
            </w:pPr>
            <w:r w:rsidRPr="00EF3151">
              <w:rPr>
                <w:noProof/>
              </w:rPr>
              <w:drawing>
                <wp:inline distT="0" distB="0" distL="0" distR="0" wp14:anchorId="1A8799F7" wp14:editId="5F2A6515">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F3151">
              <w:t xml:space="preserve"> </w:t>
            </w:r>
          </w:p>
          <w:p w14:paraId="54EA1641" w14:textId="77777777" w:rsidR="008A1499" w:rsidRPr="00EF3151" w:rsidRDefault="008A1499" w:rsidP="008A1499">
            <w:pPr>
              <w:pStyle w:val="AASmallLogo"/>
            </w:pPr>
          </w:p>
        </w:tc>
        <w:tc>
          <w:tcPr>
            <w:tcW w:w="8073" w:type="dxa"/>
            <w:vAlign w:val="bottom"/>
          </w:tcPr>
          <w:p w14:paraId="3364A5B6" w14:textId="75F168AC" w:rsidR="008A1499" w:rsidRPr="00E6514F" w:rsidRDefault="008A1499" w:rsidP="003F1A75">
            <w:pPr>
              <w:pStyle w:val="ABSymbol"/>
              <w:rPr>
                <w:lang w:val="en-CA"/>
              </w:rPr>
            </w:pPr>
            <w:r w:rsidRPr="00E6514F">
              <w:rPr>
                <w:sz w:val="40"/>
                <w:lang w:val="en-CA"/>
              </w:rPr>
              <w:t>CBD</w:t>
            </w:r>
            <w:r w:rsidRPr="00E6514F">
              <w:rPr>
                <w:lang w:val="en-CA"/>
              </w:rPr>
              <w:t>/</w:t>
            </w:r>
            <w:r w:rsidR="00240EE6" w:rsidRPr="00E6514F">
              <w:rPr>
                <w:lang w:val="en-CA"/>
              </w:rPr>
              <w:t>COP</w:t>
            </w:r>
            <w:r w:rsidRPr="00E6514F">
              <w:rPr>
                <w:lang w:val="en-CA"/>
              </w:rPr>
              <w:t>/</w:t>
            </w:r>
            <w:r w:rsidR="00240EE6" w:rsidRPr="00E6514F">
              <w:rPr>
                <w:lang w:val="en-CA"/>
              </w:rPr>
              <w:t>17/</w:t>
            </w:r>
            <w:r w:rsidR="00FE23CF">
              <w:rPr>
                <w:lang w:val="en-CA"/>
              </w:rPr>
              <w:t>L.22</w:t>
            </w:r>
          </w:p>
        </w:tc>
      </w:tr>
    </w:tbl>
    <w:p w14:paraId="31604B3A" w14:textId="77777777" w:rsidR="008A1499" w:rsidRPr="00E6514F"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F3151" w14:paraId="3E90D1AF" w14:textId="77777777" w:rsidTr="008A1499">
        <w:trPr>
          <w:trHeight w:val="1814"/>
        </w:trPr>
        <w:tc>
          <w:tcPr>
            <w:tcW w:w="7370" w:type="dxa"/>
          </w:tcPr>
          <w:p w14:paraId="5632C2DD" w14:textId="5B542503" w:rsidR="008A1499" w:rsidRPr="00EF3151" w:rsidRDefault="003C2D62" w:rsidP="008A1499">
            <w:pPr>
              <w:pStyle w:val="ACLargeLogo"/>
            </w:pPr>
            <w:r w:rsidRPr="00EF3151">
              <w:rPr>
                <w:noProof/>
              </w:rPr>
              <w:drawing>
                <wp:inline distT="0" distB="0" distL="0" distR="0" wp14:anchorId="461CBE4E" wp14:editId="57BD847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F3151">
              <w:t xml:space="preserve"> </w:t>
            </w:r>
          </w:p>
          <w:p w14:paraId="746A8D78" w14:textId="77777777" w:rsidR="008A1499" w:rsidRPr="00EF3151" w:rsidRDefault="008A1499" w:rsidP="008A1499">
            <w:pPr>
              <w:pStyle w:val="ACLargeLogo"/>
            </w:pPr>
          </w:p>
        </w:tc>
        <w:tc>
          <w:tcPr>
            <w:tcW w:w="3112" w:type="dxa"/>
          </w:tcPr>
          <w:p w14:paraId="36C23818" w14:textId="65815CD0" w:rsidR="008A1499" w:rsidRPr="00EF3151" w:rsidRDefault="008A1499" w:rsidP="008A1499">
            <w:pPr>
              <w:pStyle w:val="AEDistrNormal"/>
            </w:pPr>
            <w:r w:rsidRPr="00EF3151">
              <w:rPr>
                <w:noProof/>
              </w:rPr>
              <w:t>Distr.</w:t>
            </w:r>
            <w:r w:rsidR="003C2D62" w:rsidRPr="00EF3151">
              <w:rPr>
                <w:noProof/>
              </w:rPr>
              <w:t> : Limit</w:t>
            </w:r>
            <w:r w:rsidR="003C2D62" w:rsidRPr="00EF3151">
              <w:t>ée</w:t>
            </w:r>
            <w:r w:rsidRPr="00EF3151">
              <w:t xml:space="preserve"> </w:t>
            </w:r>
          </w:p>
          <w:p w14:paraId="53EEC22A" w14:textId="3B7261FD" w:rsidR="008A1499" w:rsidRPr="00EF3151" w:rsidRDefault="00FE23CF" w:rsidP="008A1499">
            <w:pPr>
              <w:pStyle w:val="AEDistrNormal"/>
            </w:pPr>
            <w:r>
              <w:t>30</w:t>
            </w:r>
            <w:r w:rsidR="003C2D62" w:rsidRPr="00EF3151">
              <w:t> o</w:t>
            </w:r>
            <w:r w:rsidR="000B3A7A" w:rsidRPr="00EF3151">
              <w:t>ctob</w:t>
            </w:r>
            <w:r w:rsidR="003C2D62" w:rsidRPr="00EF3151">
              <w:t>re </w:t>
            </w:r>
            <w:r w:rsidR="000B3A7A" w:rsidRPr="00EF3151">
              <w:t>2026</w:t>
            </w:r>
          </w:p>
          <w:p w14:paraId="7038E8CB" w14:textId="77777777" w:rsidR="003C2D62" w:rsidRPr="00EF3151" w:rsidRDefault="003C2D62" w:rsidP="003C2D62">
            <w:pPr>
              <w:pStyle w:val="AEDistrNormal"/>
            </w:pPr>
            <w:r w:rsidRPr="00EF3151">
              <w:t>Français</w:t>
            </w:r>
          </w:p>
          <w:p w14:paraId="099BB01C" w14:textId="1B60FFDE" w:rsidR="008A1499" w:rsidRPr="00EF3151" w:rsidRDefault="003C2D62" w:rsidP="003C2D62">
            <w:pPr>
              <w:pStyle w:val="AEDistrNormal"/>
            </w:pPr>
            <w:r w:rsidRPr="00EF3151">
              <w:t>Original : Anglais</w:t>
            </w:r>
          </w:p>
          <w:p w14:paraId="34BFD666" w14:textId="77777777" w:rsidR="008A1499" w:rsidRPr="00EF3151" w:rsidRDefault="008A1499" w:rsidP="008A1499">
            <w:pPr>
              <w:pStyle w:val="AEDistrNormal6pt"/>
            </w:pPr>
          </w:p>
        </w:tc>
      </w:tr>
    </w:tbl>
    <w:p w14:paraId="54C8FD1E" w14:textId="77777777" w:rsidR="008A1499" w:rsidRPr="00EF3151"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F3151" w14:paraId="1DDC337D" w14:textId="77777777" w:rsidTr="008A1499">
        <w:trPr>
          <w:trHeight w:val="57"/>
        </w:trPr>
        <w:tc>
          <w:tcPr>
            <w:tcW w:w="6094" w:type="dxa"/>
          </w:tcPr>
          <w:p w14:paraId="4A20A3C7" w14:textId="77777777" w:rsidR="003C2D62" w:rsidRPr="00EF3151" w:rsidRDefault="003C2D62" w:rsidP="003C2D62">
            <w:pPr>
              <w:pStyle w:val="AFCorN12Bold"/>
            </w:pPr>
            <w:r w:rsidRPr="00EF3151">
              <w:t xml:space="preserve">Conférence des Parties à la Convention </w:t>
            </w:r>
          </w:p>
          <w:p w14:paraId="6137DD10" w14:textId="77777777" w:rsidR="003C2D62" w:rsidRPr="00EF3151" w:rsidRDefault="003C2D62" w:rsidP="003C2D62">
            <w:pPr>
              <w:pStyle w:val="AFCorN12Bold"/>
            </w:pPr>
            <w:proofErr w:type="gramStart"/>
            <w:r w:rsidRPr="00EF3151">
              <w:t>sur</w:t>
            </w:r>
            <w:proofErr w:type="gramEnd"/>
            <w:r w:rsidRPr="00EF3151">
              <w:t xml:space="preserve"> la diversité biologique</w:t>
            </w:r>
          </w:p>
          <w:p w14:paraId="39EFEEE9" w14:textId="7B4D6B67" w:rsidR="008A1499" w:rsidRPr="00EF3151" w:rsidRDefault="003C2D62" w:rsidP="003C2D62">
            <w:pPr>
              <w:pStyle w:val="AFCorNBold"/>
            </w:pPr>
            <w:r w:rsidRPr="00EF3151">
              <w:t>Dix</w:t>
            </w:r>
            <w:r w:rsidR="003B175A" w:rsidRPr="00EF3151">
              <w:noBreakHyphen/>
            </w:r>
            <w:r w:rsidRPr="00EF3151">
              <w:t>septième réunion</w:t>
            </w:r>
          </w:p>
          <w:p w14:paraId="44AD44C0" w14:textId="2F4DDDB9" w:rsidR="008A1499" w:rsidRPr="00EF3151" w:rsidRDefault="003C2D62" w:rsidP="008A1499">
            <w:pPr>
              <w:pStyle w:val="AFCorNNormal"/>
            </w:pPr>
            <w:r w:rsidRPr="00EF3151">
              <w:t>E</w:t>
            </w:r>
            <w:r w:rsidR="00240EE6" w:rsidRPr="00EF3151">
              <w:t>revan</w:t>
            </w:r>
            <w:r w:rsidR="008A1499" w:rsidRPr="00EF3151">
              <w:t xml:space="preserve">, </w:t>
            </w:r>
            <w:r w:rsidR="00240EE6" w:rsidRPr="00EF3151">
              <w:rPr>
                <w:snapToGrid w:val="0"/>
                <w:kern w:val="22"/>
              </w:rPr>
              <w:t>19</w:t>
            </w:r>
            <w:r w:rsidR="008A1499" w:rsidRPr="00EF3151">
              <w:rPr>
                <w:snapToGrid w:val="0"/>
                <w:kern w:val="22"/>
              </w:rPr>
              <w:t>–</w:t>
            </w:r>
            <w:r w:rsidR="00240EE6" w:rsidRPr="00EF3151">
              <w:rPr>
                <w:snapToGrid w:val="0"/>
                <w:kern w:val="22"/>
              </w:rPr>
              <w:t>30</w:t>
            </w:r>
            <w:r w:rsidRPr="00EF3151">
              <w:rPr>
                <w:snapToGrid w:val="0"/>
                <w:kern w:val="22"/>
              </w:rPr>
              <w:t> o</w:t>
            </w:r>
            <w:r w:rsidR="00240EE6" w:rsidRPr="00EF3151">
              <w:rPr>
                <w:snapToGrid w:val="0"/>
                <w:kern w:val="22"/>
              </w:rPr>
              <w:t>ctob</w:t>
            </w:r>
            <w:r w:rsidRPr="00EF3151">
              <w:rPr>
                <w:snapToGrid w:val="0"/>
                <w:kern w:val="22"/>
              </w:rPr>
              <w:t>re </w:t>
            </w:r>
            <w:r w:rsidR="00240EE6" w:rsidRPr="00EF3151">
              <w:rPr>
                <w:snapToGrid w:val="0"/>
                <w:kern w:val="22"/>
              </w:rPr>
              <w:t>2026</w:t>
            </w:r>
          </w:p>
          <w:p w14:paraId="46334700" w14:textId="488976AC" w:rsidR="00137278" w:rsidRPr="00EF3151" w:rsidRDefault="003C2D62" w:rsidP="00137278">
            <w:pPr>
              <w:pStyle w:val="AFCorNNormal"/>
            </w:pPr>
            <w:r w:rsidRPr="00EF3151">
              <w:t>Point </w:t>
            </w:r>
            <w:r w:rsidR="00063F74" w:rsidRPr="00EF3151">
              <w:t>2</w:t>
            </w:r>
            <w:r w:rsidRPr="00EF3151">
              <w:t>0 de l’ordre du jour</w:t>
            </w:r>
          </w:p>
          <w:p w14:paraId="3837AF41" w14:textId="57DE57F9" w:rsidR="008A1499" w:rsidRPr="00EF3151" w:rsidRDefault="003C2D62" w:rsidP="00FE23CF">
            <w:pPr>
              <w:pStyle w:val="AFCorNNormal"/>
              <w:rPr>
                <w:b/>
                <w:bCs/>
              </w:rPr>
            </w:pPr>
            <w:r w:rsidRPr="00EF3151">
              <w:rPr>
                <w:b/>
                <w:bCs/>
              </w:rPr>
              <w:t>Programme de travail pluriannuel de la Conférence des Parties</w:t>
            </w:r>
          </w:p>
        </w:tc>
        <w:tc>
          <w:tcPr>
            <w:tcW w:w="4388" w:type="dxa"/>
          </w:tcPr>
          <w:p w14:paraId="4B4B2BCD" w14:textId="77777777" w:rsidR="008A1499" w:rsidRPr="00EF3151" w:rsidRDefault="008A1499" w:rsidP="008A1499">
            <w:pPr>
              <w:pStyle w:val="CBDNormal"/>
              <w:jc w:val="left"/>
              <w:rPr>
                <w:lang w:val="fr-CA"/>
              </w:rPr>
            </w:pPr>
          </w:p>
        </w:tc>
      </w:tr>
    </w:tbl>
    <w:p w14:paraId="23AFF7FC" w14:textId="51320B2F" w:rsidR="00C9161D" w:rsidRPr="00EF3151" w:rsidRDefault="003C2D62" w:rsidP="008B63B7">
      <w:pPr>
        <w:pStyle w:val="CBDTitle"/>
        <w:rPr>
          <w:caps/>
          <w:szCs w:val="28"/>
          <w:lang w:val="fr-CA"/>
        </w:rPr>
      </w:pPr>
      <w:r w:rsidRPr="00EF3151">
        <w:rPr>
          <w:szCs w:val="28"/>
          <w:lang w:val="fr-CA"/>
        </w:rPr>
        <w:t>Programme de travail pluriannuel de la Conférence des Parties</w:t>
      </w:r>
      <w:r w:rsidR="00105372" w:rsidRPr="00EF3151">
        <w:rPr>
          <w:caps/>
          <w:szCs w:val="28"/>
          <w:lang w:val="fr-CA"/>
        </w:rPr>
        <w:t xml:space="preserve"> </w:t>
      </w:r>
    </w:p>
    <w:p w14:paraId="5148D064" w14:textId="5D53DD90" w:rsidR="00137278" w:rsidRPr="00EF3151" w:rsidRDefault="003C2D62" w:rsidP="00E51951">
      <w:pPr>
        <w:pStyle w:val="CBDSubTitle"/>
        <w:rPr>
          <w:lang w:val="fr-CA"/>
        </w:rPr>
      </w:pPr>
      <w:r w:rsidRPr="00EF3151">
        <w:rPr>
          <w:lang w:val="fr-CA"/>
        </w:rPr>
        <w:t>Projet de décision soumis par le président du Groupe de travail I</w:t>
      </w:r>
    </w:p>
    <w:p w14:paraId="453A43F2" w14:textId="40D3786E" w:rsidR="00C31211" w:rsidRPr="00EF3151" w:rsidRDefault="003C2D62" w:rsidP="00C31211">
      <w:pPr>
        <w:pStyle w:val="CBDNormalNumber"/>
        <w:keepNext/>
        <w:numPr>
          <w:ilvl w:val="0"/>
          <w:numId w:val="0"/>
        </w:numPr>
        <w:ind w:left="567" w:firstLine="567"/>
        <w:rPr>
          <w:i/>
          <w:iCs/>
          <w:lang w:val="fr-CA"/>
        </w:rPr>
      </w:pPr>
      <w:r w:rsidRPr="00EF3151">
        <w:rPr>
          <w:i/>
          <w:iCs/>
          <w:lang w:val="fr-CA"/>
        </w:rPr>
        <w:t>La Conférence des Parties,</w:t>
      </w:r>
    </w:p>
    <w:p w14:paraId="674D8130" w14:textId="45163D32" w:rsidR="00C31211" w:rsidRPr="00EF3151" w:rsidRDefault="00717199" w:rsidP="00C31211">
      <w:pPr>
        <w:pStyle w:val="CBDNormalNumber"/>
        <w:numPr>
          <w:ilvl w:val="0"/>
          <w:numId w:val="0"/>
        </w:numPr>
        <w:ind w:left="567" w:firstLine="567"/>
        <w:rPr>
          <w:lang w:val="fr-CA"/>
        </w:rPr>
      </w:pPr>
      <w:r w:rsidRPr="00EF3151">
        <w:rPr>
          <w:i/>
          <w:iCs/>
          <w:lang w:val="fr-CA"/>
        </w:rPr>
        <w:t>Rappelant</w:t>
      </w:r>
      <w:r w:rsidRPr="00EF3151">
        <w:rPr>
          <w:lang w:val="fr-CA"/>
        </w:rPr>
        <w:t xml:space="preserve"> sa décision </w:t>
      </w:r>
      <w:hyperlink r:id="rId15">
        <w:r w:rsidRPr="00EF3151">
          <w:rPr>
            <w:rStyle w:val="Hyperlink"/>
            <w:lang w:val="fr-CA"/>
          </w:rPr>
          <w:t>16/36</w:t>
        </w:r>
      </w:hyperlink>
      <w:r w:rsidRPr="00EF3151">
        <w:rPr>
          <w:lang w:val="fr-CA"/>
        </w:rPr>
        <w:t xml:space="preserve"> du 27 février 2025, dans laquelle elle a décidé d’examiner et de mettre à jour le programme de travail pluriannuel jusqu’en 2030 au cours de la présente réunion,</w:t>
      </w:r>
    </w:p>
    <w:p w14:paraId="62CEE15E" w14:textId="0C7F1551" w:rsidR="008D29B5" w:rsidRPr="00EF3151" w:rsidRDefault="00717199" w:rsidP="00FE23CF">
      <w:pPr>
        <w:pStyle w:val="CBDNormalNoNumber"/>
        <w:numPr>
          <w:ilvl w:val="0"/>
          <w:numId w:val="10"/>
        </w:numPr>
        <w:ind w:left="567" w:firstLine="564"/>
        <w:rPr>
          <w:lang w:val="fr-CA"/>
        </w:rPr>
      </w:pPr>
      <w:r w:rsidRPr="00EF3151">
        <w:rPr>
          <w:i/>
          <w:iCs/>
          <w:lang w:val="fr-CA"/>
        </w:rPr>
        <w:t>Décide</w:t>
      </w:r>
      <w:r w:rsidRPr="00EF3151">
        <w:rPr>
          <w:lang w:val="fr-CA"/>
        </w:rPr>
        <w:t xml:space="preserve"> d’adopter son programme de travail pluriannuel jusqu’en 2030, comme décrit dans l’annexe à la présente décision</w:t>
      </w:r>
      <w:r w:rsidR="00C31211" w:rsidRPr="00EF3151">
        <w:rPr>
          <w:lang w:val="fr-CA"/>
        </w:rPr>
        <w:t>;</w:t>
      </w:r>
    </w:p>
    <w:p w14:paraId="037F5F43" w14:textId="781BFECF" w:rsidR="00C31211" w:rsidRPr="00EF3151" w:rsidRDefault="00C31211" w:rsidP="00C31211">
      <w:pPr>
        <w:pStyle w:val="CBDDecisionText"/>
        <w:rPr>
          <w:lang w:val="fr-CA"/>
        </w:rPr>
      </w:pPr>
      <w:r w:rsidRPr="00EF3151">
        <w:rPr>
          <w:lang w:val="fr-CA"/>
        </w:rPr>
        <w:t>2.</w:t>
      </w:r>
      <w:r w:rsidRPr="00EF3151">
        <w:rPr>
          <w:lang w:val="fr-CA"/>
        </w:rPr>
        <w:tab/>
      </w:r>
      <w:r w:rsidR="00717199" w:rsidRPr="00EF3151">
        <w:rPr>
          <w:i/>
          <w:iCs/>
          <w:lang w:val="fr-CA"/>
        </w:rPr>
        <w:t>Prie</w:t>
      </w:r>
      <w:r w:rsidR="00717199" w:rsidRPr="00EF3151">
        <w:rPr>
          <w:color w:val="000000"/>
          <w:szCs w:val="24"/>
          <w:lang w:val="fr-CA"/>
        </w:rPr>
        <w:t xml:space="preserve"> </w:t>
      </w:r>
      <w:r w:rsidR="00717199" w:rsidRPr="00EF3151">
        <w:rPr>
          <w:lang w:val="fr-CA"/>
        </w:rPr>
        <w:t>la Secrétaire exécutive, sous la direction de son Bureau et tenant compte des points de vue présentés par les Parties, d’établir la liste des questions relatives au programme de travail pluriannuel de la Conférence des Parties pour la période allant au</w:t>
      </w:r>
      <w:r w:rsidR="003B175A" w:rsidRPr="00EF3151">
        <w:rPr>
          <w:lang w:val="fr-CA"/>
        </w:rPr>
        <w:noBreakHyphen/>
      </w:r>
      <w:r w:rsidR="00717199" w:rsidRPr="00EF3151">
        <w:rPr>
          <w:lang w:val="fr-CA"/>
        </w:rPr>
        <w:t>delà de 2030, pour examen par la Conférence des Parties à sa dix</w:t>
      </w:r>
      <w:r w:rsidR="003B175A" w:rsidRPr="00EF3151">
        <w:rPr>
          <w:lang w:val="fr-CA"/>
        </w:rPr>
        <w:noBreakHyphen/>
      </w:r>
      <w:r w:rsidR="00717199" w:rsidRPr="00EF3151">
        <w:rPr>
          <w:lang w:val="fr-CA"/>
        </w:rPr>
        <w:t>neuvième réunion.</w:t>
      </w:r>
    </w:p>
    <w:p w14:paraId="76F0744E" w14:textId="77777777" w:rsidR="00A64996" w:rsidRPr="00EF3151" w:rsidRDefault="00A64996">
      <w:pPr>
        <w:tabs>
          <w:tab w:val="clear" w:pos="567"/>
          <w:tab w:val="clear" w:pos="1134"/>
          <w:tab w:val="clear" w:pos="1701"/>
          <w:tab w:val="clear" w:pos="2268"/>
        </w:tabs>
        <w:jc w:val="left"/>
        <w:rPr>
          <w:rFonts w:cs="Times New Roman Bold"/>
          <w:b/>
          <w:bCs/>
          <w:sz w:val="24"/>
        </w:rPr>
      </w:pPr>
      <w:r w:rsidRPr="00EF3151">
        <w:br w:type="page"/>
      </w:r>
    </w:p>
    <w:p w14:paraId="347F7F4B" w14:textId="6D9AA01E" w:rsidR="00C31211" w:rsidRPr="00EF3151" w:rsidRDefault="00C31211" w:rsidP="00730D96">
      <w:pPr>
        <w:pStyle w:val="CBDDesicionAnnex"/>
        <w:keepLines w:val="0"/>
        <w:spacing w:after="0"/>
        <w:rPr>
          <w:lang w:val="fr-CA"/>
        </w:rPr>
      </w:pPr>
      <w:r w:rsidRPr="00EF3151">
        <w:rPr>
          <w:lang w:val="fr-CA"/>
        </w:rPr>
        <w:lastRenderedPageBreak/>
        <w:t>Annex</w:t>
      </w:r>
      <w:r w:rsidR="00E328E6" w:rsidRPr="00EF3151">
        <w:rPr>
          <w:lang w:val="fr-CA"/>
        </w:rPr>
        <w:t>e</w:t>
      </w:r>
      <w:r w:rsidRPr="00EF3151">
        <w:rPr>
          <w:lang w:val="fr-CA"/>
        </w:rPr>
        <w:br/>
      </w:r>
      <w:r w:rsidR="00E328E6" w:rsidRPr="00EF3151">
        <w:rPr>
          <w:lang w:val="fr-CA"/>
        </w:rPr>
        <w:t>Questions relatives au programme de travail pluriannuel de la Conférence des Parties à aborder lors de ses dix</w:t>
      </w:r>
      <w:r w:rsidR="003B175A" w:rsidRPr="00EF3151">
        <w:rPr>
          <w:lang w:val="fr-CA"/>
        </w:rPr>
        <w:noBreakHyphen/>
      </w:r>
      <w:r w:rsidR="00E328E6" w:rsidRPr="00EF3151">
        <w:rPr>
          <w:lang w:val="fr-CA"/>
        </w:rPr>
        <w:t>huitième et dix</w:t>
      </w:r>
      <w:r w:rsidR="003B175A" w:rsidRPr="00EF3151">
        <w:rPr>
          <w:lang w:val="fr-CA"/>
        </w:rPr>
        <w:noBreakHyphen/>
      </w:r>
      <w:proofErr w:type="gramStart"/>
      <w:r w:rsidR="00E328E6" w:rsidRPr="00EF3151">
        <w:rPr>
          <w:lang w:val="fr-CA"/>
        </w:rPr>
        <w:t>neuvième réunions</w:t>
      </w:r>
      <w:proofErr w:type="gramEnd"/>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E328E6" w:rsidRPr="00EF3151" w14:paraId="74F9D8BB" w14:textId="77777777" w:rsidTr="725EDA2E">
        <w:trPr>
          <w:cantSplit/>
          <w:tblHeader/>
        </w:trPr>
        <w:tc>
          <w:tcPr>
            <w:tcW w:w="1514" w:type="dxa"/>
            <w:tcBorders>
              <w:bottom w:val="single" w:sz="4" w:space="0" w:color="auto"/>
            </w:tcBorders>
            <w:vAlign w:val="bottom"/>
            <w:hideMark/>
          </w:tcPr>
          <w:p w14:paraId="7D75EE84" w14:textId="7B891596" w:rsidR="00E328E6" w:rsidRPr="00EF3151" w:rsidRDefault="00E328E6" w:rsidP="00E328E6">
            <w:pPr>
              <w:keepNext/>
              <w:spacing w:before="40" w:after="40"/>
              <w:jc w:val="left"/>
              <w:rPr>
                <w:bCs/>
                <w:i/>
                <w:iCs/>
                <w:sz w:val="20"/>
                <w:szCs w:val="20"/>
              </w:rPr>
            </w:pPr>
            <w:r w:rsidRPr="00EF3151">
              <w:rPr>
                <w:bCs/>
                <w:i/>
                <w:iCs/>
                <w:sz w:val="20"/>
                <w:szCs w:val="20"/>
              </w:rPr>
              <w:t>Réunion</w:t>
            </w:r>
          </w:p>
        </w:tc>
        <w:tc>
          <w:tcPr>
            <w:tcW w:w="7836" w:type="dxa"/>
            <w:tcBorders>
              <w:bottom w:val="single" w:sz="4" w:space="0" w:color="auto"/>
            </w:tcBorders>
            <w:vAlign w:val="bottom"/>
            <w:hideMark/>
          </w:tcPr>
          <w:p w14:paraId="304C2A27" w14:textId="19ADE8F6" w:rsidR="00E328E6" w:rsidRPr="00EF3151" w:rsidRDefault="00E328E6" w:rsidP="00E328E6">
            <w:pPr>
              <w:keepNext/>
              <w:spacing w:before="40" w:after="40"/>
              <w:jc w:val="left"/>
              <w:rPr>
                <w:i/>
                <w:sz w:val="20"/>
                <w:szCs w:val="20"/>
              </w:rPr>
            </w:pPr>
            <w:r w:rsidRPr="00EF3151">
              <w:rPr>
                <w:i/>
                <w:sz w:val="20"/>
                <w:szCs w:val="20"/>
              </w:rPr>
              <w:t>Questions résumées sous forme de points à l’ordre du jour</w:t>
            </w:r>
          </w:p>
        </w:tc>
      </w:tr>
      <w:tr w:rsidR="00E328E6" w:rsidRPr="00EF3151" w14:paraId="18715BF2" w14:textId="77777777" w:rsidTr="725EDA2E">
        <w:tc>
          <w:tcPr>
            <w:tcW w:w="1514" w:type="dxa"/>
            <w:tcBorders>
              <w:bottom w:val="nil"/>
            </w:tcBorders>
          </w:tcPr>
          <w:p w14:paraId="2FFC7179" w14:textId="1CA5BE9C" w:rsidR="00E328E6" w:rsidRPr="00EF3151" w:rsidRDefault="00E328E6" w:rsidP="00E328E6">
            <w:pPr>
              <w:keepNext/>
              <w:spacing w:before="40" w:after="40"/>
              <w:jc w:val="left"/>
              <w:rPr>
                <w:sz w:val="20"/>
                <w:szCs w:val="20"/>
              </w:rPr>
            </w:pPr>
            <w:r w:rsidRPr="00EF3151">
              <w:rPr>
                <w:sz w:val="20"/>
                <w:szCs w:val="20"/>
              </w:rPr>
              <w:t>Dix</w:t>
            </w:r>
            <w:r w:rsidR="003B175A" w:rsidRPr="00EF3151">
              <w:rPr>
                <w:sz w:val="20"/>
                <w:szCs w:val="20"/>
              </w:rPr>
              <w:noBreakHyphen/>
            </w:r>
            <w:r w:rsidRPr="00EF3151">
              <w:rPr>
                <w:sz w:val="20"/>
                <w:szCs w:val="20"/>
              </w:rPr>
              <w:t>huitième réunion (2028)</w:t>
            </w:r>
          </w:p>
        </w:tc>
        <w:tc>
          <w:tcPr>
            <w:tcW w:w="7836" w:type="dxa"/>
            <w:tcBorders>
              <w:bottom w:val="nil"/>
            </w:tcBorders>
          </w:tcPr>
          <w:p w14:paraId="029A0C66" w14:textId="2970DDDC" w:rsidR="00E328E6" w:rsidRPr="00EF3151" w:rsidRDefault="00F30226" w:rsidP="00E328E6">
            <w:pPr>
              <w:keepNext/>
              <w:tabs>
                <w:tab w:val="clear" w:pos="567"/>
                <w:tab w:val="clear" w:pos="1134"/>
                <w:tab w:val="clear" w:pos="1701"/>
                <w:tab w:val="clear" w:pos="2268"/>
              </w:tabs>
              <w:jc w:val="left"/>
              <w:rPr>
                <w:b/>
                <w:bCs/>
                <w:sz w:val="20"/>
                <w:szCs w:val="20"/>
              </w:rPr>
            </w:pPr>
            <w:r w:rsidRPr="00EF3151">
              <w:rPr>
                <w:b/>
                <w:bCs/>
                <w:sz w:val="20"/>
                <w:szCs w:val="20"/>
              </w:rPr>
              <w:t>Questions en lien avec les mécanismes d’appui à la mise en œuvre de la Convention sur la diversité biologique</w:t>
            </w:r>
            <w:r w:rsidR="003B175A" w:rsidRPr="00EF3151">
              <w:rPr>
                <w:rStyle w:val="FootnoteReference"/>
                <w:b/>
                <w:bCs/>
                <w:i/>
                <w:iCs/>
                <w:sz w:val="20"/>
                <w:szCs w:val="20"/>
                <w:lang w:val="fr-CA"/>
              </w:rPr>
              <w:footnoteReference w:id="1"/>
            </w:r>
            <w:r w:rsidR="003B175A" w:rsidRPr="00EF3151">
              <w:rPr>
                <w:b/>
                <w:bCs/>
                <w:sz w:val="20"/>
                <w:szCs w:val="20"/>
              </w:rPr>
              <w:t xml:space="preserve"> </w:t>
            </w:r>
            <w:r w:rsidRPr="00EF3151">
              <w:rPr>
                <w:b/>
                <w:bCs/>
                <w:sz w:val="20"/>
                <w:szCs w:val="20"/>
              </w:rPr>
              <w:t>et du Cadre mondial de la biodiversité de Kunming</w:t>
            </w:r>
            <w:r w:rsidR="003B175A" w:rsidRPr="00EF3151">
              <w:rPr>
                <w:b/>
                <w:bCs/>
                <w:sz w:val="20"/>
                <w:szCs w:val="20"/>
              </w:rPr>
              <w:noBreakHyphen/>
            </w:r>
            <w:r w:rsidRPr="00EF3151">
              <w:rPr>
                <w:b/>
                <w:bCs/>
                <w:sz w:val="20"/>
                <w:szCs w:val="20"/>
              </w:rPr>
              <w:t>Montréal</w:t>
            </w:r>
            <w:r w:rsidR="00E328E6" w:rsidRPr="00EF3151">
              <w:rPr>
                <w:rStyle w:val="FootnoteReference"/>
                <w:b/>
                <w:bCs/>
                <w:i/>
                <w:iCs/>
                <w:sz w:val="20"/>
                <w:szCs w:val="20"/>
                <w:lang w:val="fr-CA"/>
              </w:rPr>
              <w:footnoteReference w:id="2"/>
            </w:r>
          </w:p>
          <w:p w14:paraId="6ADA4592" w14:textId="4EAD961A"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Planification, suivi, établissement de rapports et examen, y compris le processus d’élaboration de tout plan stratégique pour l’après</w:t>
            </w:r>
            <w:r w:rsidR="003B175A" w:rsidRPr="00EF3151">
              <w:rPr>
                <w:sz w:val="20"/>
                <w:szCs w:val="20"/>
              </w:rPr>
              <w:noBreakHyphen/>
            </w:r>
            <w:r w:rsidRPr="00EF3151">
              <w:rPr>
                <w:sz w:val="20"/>
                <w:szCs w:val="20"/>
              </w:rPr>
              <w:t>2030</w:t>
            </w:r>
          </w:p>
          <w:p w14:paraId="19D09029" w14:textId="46CBF175"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Amélioration de l’établissement des rapports nationaux dans le contexte du Cadre mondial de la biodiversité de Kunming</w:t>
            </w:r>
            <w:r w:rsidR="003B175A" w:rsidRPr="00EF3151">
              <w:rPr>
                <w:sz w:val="20"/>
                <w:szCs w:val="20"/>
              </w:rPr>
              <w:noBreakHyphen/>
            </w:r>
            <w:r w:rsidRPr="00EF3151">
              <w:rPr>
                <w:sz w:val="20"/>
                <w:szCs w:val="20"/>
              </w:rPr>
              <w:t>Montréal</w:t>
            </w:r>
          </w:p>
          <w:p w14:paraId="659715C0" w14:textId="6B83AE3F"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Poursuite de l’opérationnalisation du cadre de suivi du Cadre mondial de la biodiversité de Kunming</w:t>
            </w:r>
            <w:r w:rsidR="003B175A" w:rsidRPr="00EF3151">
              <w:rPr>
                <w:sz w:val="20"/>
                <w:szCs w:val="20"/>
              </w:rPr>
              <w:noBreakHyphen/>
            </w:r>
            <w:r w:rsidRPr="00EF3151">
              <w:rPr>
                <w:sz w:val="20"/>
                <w:szCs w:val="20"/>
              </w:rPr>
              <w:t>Montréal</w:t>
            </w:r>
            <w:r w:rsidRPr="00EF3151">
              <w:rPr>
                <w:rStyle w:val="FootnoteReference"/>
                <w:sz w:val="20"/>
                <w:szCs w:val="20"/>
                <w:lang w:val="fr-CA"/>
              </w:rPr>
              <w:footnoteReference w:id="3"/>
            </w:r>
          </w:p>
          <w:p w14:paraId="1141D7A9" w14:textId="33431CBB"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Préparatifs du deuxième examen mondial des progrès collectifs accomplis dans la mise en œuvre du Cadre</w:t>
            </w:r>
          </w:p>
          <w:p w14:paraId="52ABEBCD" w14:textId="4A91AD68" w:rsidR="00E328E6" w:rsidRPr="00EF3151" w:rsidRDefault="002774B9"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Mobilisation des ressources et mécanisme de financement :</w:t>
            </w:r>
          </w:p>
          <w:p w14:paraId="1F5ECE79" w14:textId="4952B471" w:rsidR="00E328E6" w:rsidRPr="00EF3151" w:rsidRDefault="002774B9"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Mobilisation des ressources</w:t>
            </w:r>
          </w:p>
          <w:p w14:paraId="651015B5" w14:textId="46BEA4EB" w:rsidR="00E328E6" w:rsidRPr="00EF3151" w:rsidRDefault="002774B9"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Mécanisme de financement</w:t>
            </w:r>
          </w:p>
          <w:p w14:paraId="01C265CE" w14:textId="0946E23D" w:rsidR="00E328E6" w:rsidRPr="00EF3151" w:rsidRDefault="00977B58" w:rsidP="00E328E6">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EF3151">
              <w:rPr>
                <w:sz w:val="20"/>
                <w:szCs w:val="20"/>
              </w:rPr>
              <w:t>Information de séquençage numérique sur les ressources génétiques, y compris un examen de l’efficacité du mécanisme multilatéral de partage juste et équitable des avantages découlant de l’utilisation de l’information de séquençage numérique sur les ressources génétiques, notamment le Fonds de Cali</w:t>
            </w:r>
          </w:p>
          <w:p w14:paraId="1ABA6B42" w14:textId="5F54CB7C" w:rsidR="00E328E6" w:rsidRPr="00EF3151" w:rsidRDefault="009F60BA" w:rsidP="00E328E6">
            <w:pPr>
              <w:pStyle w:val="ListParagraph"/>
              <w:keepNext/>
              <w:numPr>
                <w:ilvl w:val="0"/>
                <w:numId w:val="8"/>
              </w:numPr>
              <w:tabs>
                <w:tab w:val="clear" w:pos="567"/>
                <w:tab w:val="clear" w:pos="1134"/>
                <w:tab w:val="clear" w:pos="1701"/>
                <w:tab w:val="clear" w:pos="2268"/>
                <w:tab w:val="left" w:pos="719"/>
              </w:tabs>
              <w:jc w:val="left"/>
              <w:rPr>
                <w:sz w:val="20"/>
                <w:szCs w:val="20"/>
              </w:rPr>
            </w:pPr>
            <w:r w:rsidRPr="00EF3151">
              <w:rPr>
                <w:sz w:val="20"/>
                <w:szCs w:val="20"/>
              </w:rPr>
              <w:t>Questions relatives à l’article 8 j) et d’autres dispositions de la Convention sur la diversité biologique relatives aux peuples autochtones et communautés locales :</w:t>
            </w:r>
          </w:p>
          <w:p w14:paraId="2F7E8229" w14:textId="406EB0B0" w:rsidR="00E328E6" w:rsidRPr="00EF3151" w:rsidRDefault="009F60B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Examen et mise à jour du Glossaire facultatif des principaux termes et concepts utilisés dans le contexte de l’article 8 j) et des dispositions connexes de la Convention</w:t>
            </w:r>
            <w:r w:rsidRPr="00EF3151">
              <w:rPr>
                <w:rStyle w:val="FootnoteReference"/>
                <w:sz w:val="20"/>
                <w:szCs w:val="20"/>
                <w:lang w:val="fr-CA"/>
              </w:rPr>
              <w:footnoteReference w:id="4"/>
            </w:r>
          </w:p>
          <w:p w14:paraId="301A74FC" w14:textId="65DA163D" w:rsidR="00E328E6" w:rsidRPr="00EF3151" w:rsidRDefault="009F60B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Autres questions relatives à l’application de l’article 8 j) et des autres dispositions de la Convention concernant les peuples autochtones et les communautés locales</w:t>
            </w:r>
          </w:p>
          <w:p w14:paraId="7CB171CE" w14:textId="0B0DE9CF"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Création et renforcement des capacités et coopération technique et scientifique</w:t>
            </w:r>
          </w:p>
          <w:p w14:paraId="6062DD05" w14:textId="5B5CCC3C"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Intégration et mobilisation au niveau infranational</w:t>
            </w:r>
          </w:p>
          <w:p w14:paraId="3BD4F4A7" w14:textId="3685EA84"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Communication, éducation et sensibilisation du public</w:t>
            </w:r>
          </w:p>
          <w:p w14:paraId="15A2CFB8" w14:textId="2DBA69CD" w:rsidR="00E328E6" w:rsidRPr="00EF3151" w:rsidRDefault="009F60B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Coopération avec d’autres conventions et organisations internationales</w:t>
            </w:r>
          </w:p>
          <w:p w14:paraId="2F4FBF4C" w14:textId="3692A03F" w:rsidR="00E328E6" w:rsidRPr="00EF3151" w:rsidRDefault="00A1592A" w:rsidP="005121D0">
            <w:pPr>
              <w:pStyle w:val="CBDSubTitle"/>
              <w:spacing w:before="100" w:after="0"/>
              <w:ind w:left="0"/>
              <w:rPr>
                <w:sz w:val="20"/>
                <w:szCs w:val="20"/>
                <w:lang w:val="fr-CA"/>
              </w:rPr>
            </w:pPr>
            <w:r w:rsidRPr="00EF3151">
              <w:rPr>
                <w:sz w:val="20"/>
                <w:szCs w:val="20"/>
                <w:lang w:val="fr-CA"/>
              </w:rPr>
              <w:t>Besoins scientifiques et techniques en vue d’appuyer la mise en œuvre du Cadre mondial de la biodiversité de Kunming</w:t>
            </w:r>
            <w:r w:rsidR="003B175A" w:rsidRPr="00EF3151">
              <w:rPr>
                <w:sz w:val="20"/>
                <w:szCs w:val="20"/>
                <w:lang w:val="fr-CA"/>
              </w:rPr>
              <w:noBreakHyphen/>
            </w:r>
            <w:r w:rsidRPr="00EF3151">
              <w:rPr>
                <w:sz w:val="20"/>
                <w:szCs w:val="20"/>
                <w:lang w:val="fr-CA"/>
              </w:rPr>
              <w:t>Montréal</w:t>
            </w:r>
          </w:p>
          <w:p w14:paraId="216A8687" w14:textId="15837C8C"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Examen et analyse stratégiques du programme de travail</w:t>
            </w:r>
          </w:p>
          <w:p w14:paraId="10EC4121" w14:textId="36BE37B4"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Domaines de travail futurs possibles</w:t>
            </w:r>
          </w:p>
          <w:p w14:paraId="0EB79A33" w14:textId="518838EB"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Biologie de synthèse</w:t>
            </w:r>
          </w:p>
          <w:p w14:paraId="5D96FB61" w14:textId="1B12AEFA"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Planification spatiale intégrant la biodiversité</w:t>
            </w:r>
          </w:p>
          <w:p w14:paraId="73C8D1BE" w14:textId="08D4F38D"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Utilisation durable :</w:t>
            </w:r>
          </w:p>
          <w:p w14:paraId="5AAC01E0" w14:textId="755E27F5" w:rsidR="00E328E6" w:rsidRPr="00EF3151" w:rsidRDefault="00A1592A" w:rsidP="00E328E6">
            <w:pPr>
              <w:pStyle w:val="ListParagraph"/>
              <w:keepNext/>
              <w:numPr>
                <w:ilvl w:val="1"/>
                <w:numId w:val="8"/>
              </w:numPr>
              <w:tabs>
                <w:tab w:val="clear" w:pos="567"/>
                <w:tab w:val="clear" w:pos="1134"/>
                <w:tab w:val="clear" w:pos="1701"/>
                <w:tab w:val="clear" w:pos="2268"/>
                <w:tab w:val="left" w:pos="719"/>
              </w:tabs>
              <w:ind w:left="1072"/>
              <w:jc w:val="left"/>
              <w:rPr>
                <w:sz w:val="20"/>
                <w:szCs w:val="20"/>
              </w:rPr>
            </w:pPr>
            <w:r w:rsidRPr="00EF3151">
              <w:rPr>
                <w:sz w:val="20"/>
                <w:szCs w:val="20"/>
              </w:rPr>
              <w:t>Gestion durable des espèces sauvages</w:t>
            </w:r>
          </w:p>
          <w:p w14:paraId="0436AD48" w14:textId="405A0D87"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Activités, produits et services durables fondés sur la biodiversité qui contribuent à l’amélioration de la biodiversité</w:t>
            </w:r>
          </w:p>
          <w:p w14:paraId="268C5F61" w14:textId="539CCF74"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marine et côtière</w:t>
            </w:r>
          </w:p>
          <w:p w14:paraId="46F82706" w14:textId="31BBAF30"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des forêts</w:t>
            </w:r>
          </w:p>
          <w:p w14:paraId="696C7BE9" w14:textId="1A6F1A93" w:rsidR="00E328E6" w:rsidRPr="00EF3151" w:rsidRDefault="00A1592A" w:rsidP="00E328E6">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pPr>
            <w:r w:rsidRPr="00EF3151">
              <w:rPr>
                <w:sz w:val="20"/>
                <w:szCs w:val="20"/>
              </w:rPr>
              <w:t>Espèces exotiques envahissantes</w:t>
            </w:r>
          </w:p>
          <w:p w14:paraId="01DA85EC" w14:textId="533FDB87" w:rsidR="00E328E6" w:rsidRPr="00EF3151" w:rsidRDefault="00A1592A" w:rsidP="00E328E6">
            <w:pPr>
              <w:pStyle w:val="ListParagraph"/>
              <w:keepNext/>
              <w:numPr>
                <w:ilvl w:val="0"/>
                <w:numId w:val="8"/>
              </w:numPr>
              <w:tabs>
                <w:tab w:val="clear" w:pos="567"/>
                <w:tab w:val="clear" w:pos="1134"/>
                <w:tab w:val="clear" w:pos="1701"/>
                <w:tab w:val="clear" w:pos="2268"/>
              </w:tabs>
              <w:jc w:val="left"/>
              <w:rPr>
                <w:sz w:val="20"/>
                <w:szCs w:val="20"/>
              </w:rPr>
            </w:pPr>
            <w:r w:rsidRPr="00EF3151">
              <w:rPr>
                <w:sz w:val="20"/>
                <w:szCs w:val="20"/>
              </w:rPr>
              <w:t>Biodiversité et santé</w:t>
            </w:r>
          </w:p>
          <w:p w14:paraId="37504DE8" w14:textId="0D97580B" w:rsidR="00E328E6" w:rsidRPr="00EF3151" w:rsidRDefault="00002001" w:rsidP="00E328E6">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Pr>
                <w:color w:val="000000" w:themeColor="text1"/>
                <w:sz w:val="20"/>
                <w:szCs w:val="20"/>
              </w:rPr>
              <w:t>[</w:t>
            </w:r>
            <w:r w:rsidR="00A1592A" w:rsidRPr="00EF3151">
              <w:rPr>
                <w:color w:val="000000" w:themeColor="text1"/>
                <w:sz w:val="20"/>
                <w:szCs w:val="20"/>
              </w:rPr>
              <w:t>Examen de la responsabilité et de la réparation dans le contexte de l’article 14 de la Convention</w:t>
            </w:r>
            <w:r>
              <w:rPr>
                <w:color w:val="000000" w:themeColor="text1"/>
                <w:sz w:val="20"/>
                <w:szCs w:val="20"/>
              </w:rPr>
              <w:t>]</w:t>
            </w:r>
          </w:p>
          <w:p w14:paraId="4804C014" w14:textId="72A152C5" w:rsidR="00E328E6" w:rsidRPr="00002001" w:rsidRDefault="00A1592A" w:rsidP="00002001">
            <w:pPr>
              <w:pStyle w:val="ListParagraph"/>
              <w:keepNext/>
              <w:numPr>
                <w:ilvl w:val="0"/>
                <w:numId w:val="8"/>
              </w:numPr>
              <w:tabs>
                <w:tab w:val="clear" w:pos="567"/>
                <w:tab w:val="clear" w:pos="1134"/>
                <w:tab w:val="clear" w:pos="1701"/>
                <w:tab w:val="clear" w:pos="2268"/>
              </w:tabs>
              <w:jc w:val="left"/>
              <w:rPr>
                <w:color w:val="000000" w:themeColor="text1"/>
                <w:sz w:val="20"/>
                <w:szCs w:val="20"/>
              </w:rPr>
            </w:pPr>
            <w:r w:rsidRPr="00EF3151">
              <w:rPr>
                <w:color w:val="000000" w:themeColor="text1"/>
                <w:sz w:val="20"/>
                <w:szCs w:val="20"/>
              </w:rPr>
              <w:t>Programme de travail sur les aires protégées</w:t>
            </w:r>
          </w:p>
          <w:p w14:paraId="1EC98657" w14:textId="30D0A759" w:rsidR="00E328E6" w:rsidRPr="00EF3151" w:rsidRDefault="00A1592A" w:rsidP="00E328E6">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rPr>
            </w:pPr>
            <w:r w:rsidRPr="00EF3151">
              <w:rPr>
                <w:bCs/>
                <w:sz w:val="20"/>
                <w:szCs w:val="20"/>
              </w:rPr>
              <w:lastRenderedPageBreak/>
              <w:t>Incidences des évaluations suivantes de la Plateforme intergouvernementale scientifique et politique sur la biodiversité et les services écosystémiques sur les travaux de la Convention :</w:t>
            </w:r>
          </w:p>
          <w:p w14:paraId="343385E8" w14:textId="7653CD7D"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Évaluation méthodologique du suivi de la biodiversité et des contributions de la nature aux populations</w:t>
            </w:r>
          </w:p>
          <w:p w14:paraId="37A4E801" w14:textId="4702A790" w:rsidR="00E328E6" w:rsidRPr="00EF3151" w:rsidRDefault="00A1592A" w:rsidP="00E328E6">
            <w:pPr>
              <w:pStyle w:val="ListParagraph"/>
              <w:keepNext/>
              <w:numPr>
                <w:ilvl w:val="1"/>
                <w:numId w:val="8"/>
              </w:numPr>
              <w:tabs>
                <w:tab w:val="clear" w:pos="567"/>
                <w:tab w:val="clear" w:pos="1134"/>
                <w:tab w:val="clear" w:pos="1701"/>
                <w:tab w:val="clear" w:pos="2268"/>
              </w:tabs>
              <w:ind w:left="1072"/>
              <w:jc w:val="left"/>
              <w:rPr>
                <w:sz w:val="20"/>
                <w:szCs w:val="20"/>
              </w:rPr>
            </w:pPr>
            <w:r w:rsidRPr="00EF3151">
              <w:rPr>
                <w:sz w:val="20"/>
                <w:szCs w:val="20"/>
              </w:rPr>
              <w:t>Évaluation méthodologique de la planification spatiale intégrée tenant compte de la biodiversité et de la connectivité écologique</w:t>
            </w:r>
          </w:p>
          <w:p w14:paraId="4C653638" w14:textId="37B3F340" w:rsidR="00E328E6" w:rsidRPr="00EF3151" w:rsidRDefault="00A1592A" w:rsidP="00E328E6">
            <w:pPr>
              <w:keepNext/>
              <w:keepLines/>
              <w:spacing w:before="120" w:after="40"/>
              <w:ind w:left="357" w:hanging="357"/>
              <w:jc w:val="left"/>
              <w:rPr>
                <w:sz w:val="20"/>
                <w:szCs w:val="20"/>
              </w:rPr>
            </w:pPr>
            <w:r w:rsidRPr="00EF3151">
              <w:rPr>
                <w:b/>
                <w:bCs/>
                <w:sz w:val="20"/>
                <w:szCs w:val="20"/>
              </w:rPr>
              <w:t>Processus au titre de la Convention et de ses protocoles</w:t>
            </w:r>
          </w:p>
          <w:p w14:paraId="61DDE399" w14:textId="6F3EB52E" w:rsidR="00E328E6" w:rsidRPr="00EF3151" w:rsidRDefault="00A1592A" w:rsidP="00E328E6">
            <w:pPr>
              <w:keepNext/>
              <w:tabs>
                <w:tab w:val="clear" w:pos="567"/>
                <w:tab w:val="clear" w:pos="1134"/>
                <w:tab w:val="clear" w:pos="1701"/>
                <w:tab w:val="clear" w:pos="2268"/>
              </w:tabs>
              <w:jc w:val="left"/>
              <w:rPr>
                <w:sz w:val="20"/>
                <w:szCs w:val="20"/>
              </w:rPr>
            </w:pPr>
            <w:r w:rsidRPr="00EF3151">
              <w:rPr>
                <w:sz w:val="20"/>
                <w:szCs w:val="20"/>
              </w:rPr>
              <w:t>Questions relatives à l’efficacité des processus de la Convention et ses protocoles</w:t>
            </w:r>
          </w:p>
        </w:tc>
      </w:tr>
      <w:tr w:rsidR="00E328E6" w:rsidRPr="00EF3151" w14:paraId="3E73E36A" w14:textId="77777777" w:rsidTr="00D147F4">
        <w:trPr>
          <w:cantSplit/>
        </w:trPr>
        <w:tc>
          <w:tcPr>
            <w:tcW w:w="1514" w:type="dxa"/>
            <w:tcBorders>
              <w:top w:val="nil"/>
              <w:bottom w:val="nil"/>
            </w:tcBorders>
          </w:tcPr>
          <w:p w14:paraId="4FE113F4" w14:textId="3A6ED3E4" w:rsidR="00E328E6" w:rsidRPr="00EF3151" w:rsidRDefault="00A1592A" w:rsidP="00E328E6">
            <w:pPr>
              <w:keepNext/>
              <w:tabs>
                <w:tab w:val="clear" w:pos="2268"/>
                <w:tab w:val="left" w:pos="1289"/>
              </w:tabs>
              <w:spacing w:before="120" w:after="40"/>
              <w:jc w:val="left"/>
              <w:rPr>
                <w:sz w:val="20"/>
                <w:szCs w:val="20"/>
              </w:rPr>
            </w:pPr>
            <w:r w:rsidRPr="00EF3151">
              <w:rPr>
                <w:sz w:val="20"/>
                <w:szCs w:val="20"/>
              </w:rPr>
              <w:lastRenderedPageBreak/>
              <w:t>Dix</w:t>
            </w:r>
            <w:r w:rsidR="003B175A" w:rsidRPr="00EF3151">
              <w:rPr>
                <w:sz w:val="20"/>
                <w:szCs w:val="20"/>
              </w:rPr>
              <w:noBreakHyphen/>
            </w:r>
            <w:r w:rsidRPr="00EF3151">
              <w:rPr>
                <w:sz w:val="20"/>
                <w:szCs w:val="20"/>
              </w:rPr>
              <w:t>neuvième réunion (2030)</w:t>
            </w:r>
          </w:p>
        </w:tc>
        <w:tc>
          <w:tcPr>
            <w:tcW w:w="7836" w:type="dxa"/>
            <w:tcBorders>
              <w:top w:val="nil"/>
              <w:bottom w:val="nil"/>
            </w:tcBorders>
          </w:tcPr>
          <w:p w14:paraId="08C74498" w14:textId="12E31039" w:rsidR="00E328E6" w:rsidRPr="00EF3151" w:rsidRDefault="00A1592A" w:rsidP="005121D0">
            <w:pPr>
              <w:keepNext/>
              <w:tabs>
                <w:tab w:val="clear" w:pos="567"/>
                <w:tab w:val="clear" w:pos="1134"/>
                <w:tab w:val="clear" w:pos="1701"/>
                <w:tab w:val="clear" w:pos="2268"/>
              </w:tabs>
              <w:spacing w:before="100" w:after="40"/>
              <w:jc w:val="left"/>
              <w:rPr>
                <w:b/>
                <w:bCs/>
                <w:sz w:val="20"/>
                <w:szCs w:val="20"/>
              </w:rPr>
            </w:pPr>
            <w:r w:rsidRPr="00EF3151">
              <w:rPr>
                <w:b/>
                <w:bCs/>
                <w:sz w:val="20"/>
                <w:szCs w:val="20"/>
              </w:rPr>
              <w:t>Questions en lien avec les mécanismes d’appui à la mise en œuvre de la Convention sur la diversité biologique et du Cadre mondial de la biodiversité de Kunming</w:t>
            </w:r>
            <w:r w:rsidR="003B175A" w:rsidRPr="00EF3151">
              <w:rPr>
                <w:b/>
                <w:bCs/>
                <w:sz w:val="20"/>
                <w:szCs w:val="20"/>
              </w:rPr>
              <w:noBreakHyphen/>
            </w:r>
            <w:r w:rsidRPr="00EF3151">
              <w:rPr>
                <w:b/>
                <w:bCs/>
                <w:sz w:val="20"/>
                <w:szCs w:val="20"/>
              </w:rPr>
              <w:t>Montréal</w:t>
            </w:r>
          </w:p>
          <w:p w14:paraId="5F9F4399" w14:textId="009E0CAC"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Deuxième examen mondial des progrès collectifs accomplis dans la mise en œuvre du Cadre mondial de la biodiversité de Kunming</w:t>
            </w:r>
            <w:r w:rsidR="003B175A" w:rsidRPr="00EF3151">
              <w:rPr>
                <w:sz w:val="20"/>
                <w:szCs w:val="20"/>
              </w:rPr>
              <w:noBreakHyphen/>
            </w:r>
            <w:r w:rsidRPr="00EF3151">
              <w:rPr>
                <w:sz w:val="20"/>
                <w:szCs w:val="20"/>
              </w:rPr>
              <w:t>Montréal</w:t>
            </w:r>
          </w:p>
          <w:p w14:paraId="7BF13040" w14:textId="4CBBF40D"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Suivi de la mission et des cibles du Cadre pour l’après</w:t>
            </w:r>
            <w:r w:rsidR="003B175A" w:rsidRPr="00EF3151">
              <w:rPr>
                <w:sz w:val="20"/>
                <w:szCs w:val="20"/>
              </w:rPr>
              <w:noBreakHyphen/>
            </w:r>
            <w:r w:rsidRPr="00EF3151">
              <w:rPr>
                <w:sz w:val="20"/>
                <w:szCs w:val="20"/>
              </w:rPr>
              <w:t>2030</w:t>
            </w:r>
          </w:p>
          <w:p w14:paraId="6ED50820" w14:textId="342CDE49"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Mobilisation des ressources et mécanisme de financement :</w:t>
            </w:r>
          </w:p>
          <w:p w14:paraId="6372690A" w14:textId="1F7B386C" w:rsidR="00E328E6" w:rsidRPr="00EF3151" w:rsidRDefault="002A4DF5" w:rsidP="00E328E6">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00EF3151">
              <w:rPr>
                <w:sz w:val="20"/>
                <w:szCs w:val="20"/>
              </w:rPr>
              <w:t>Mobilisation des ressources</w:t>
            </w:r>
          </w:p>
          <w:p w14:paraId="2DD77471" w14:textId="357CF099" w:rsidR="00E328E6" w:rsidRPr="00EF3151" w:rsidRDefault="002A4DF5" w:rsidP="00E328E6">
            <w:pPr>
              <w:pStyle w:val="ListParagraph"/>
              <w:keepNext/>
              <w:numPr>
                <w:ilvl w:val="1"/>
                <w:numId w:val="9"/>
              </w:numPr>
              <w:tabs>
                <w:tab w:val="clear" w:pos="567"/>
                <w:tab w:val="clear" w:pos="1134"/>
                <w:tab w:val="clear" w:pos="1701"/>
                <w:tab w:val="clear" w:pos="2268"/>
              </w:tabs>
              <w:spacing w:before="40" w:after="40"/>
              <w:ind w:left="1072"/>
              <w:jc w:val="left"/>
              <w:rPr>
                <w:sz w:val="20"/>
                <w:szCs w:val="20"/>
              </w:rPr>
            </w:pPr>
            <w:r w:rsidRPr="00EF3151">
              <w:rPr>
                <w:sz w:val="20"/>
                <w:szCs w:val="20"/>
              </w:rPr>
              <w:t>Mécanisme de financement</w:t>
            </w:r>
          </w:p>
          <w:p w14:paraId="7DA59DA5" w14:textId="2F79DE2F" w:rsidR="00E328E6" w:rsidRPr="00EF3151" w:rsidRDefault="002A4DF5"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Informations de séquences numériques sur les ressources génétiques</w:t>
            </w:r>
          </w:p>
          <w:p w14:paraId="559DC40B" w14:textId="6C78B0A7" w:rsidR="00E328E6" w:rsidRPr="00EF3151" w:rsidRDefault="006C3312" w:rsidP="00E328E6">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F3151">
              <w:rPr>
                <w:rFonts w:eastAsia="Times New Roman"/>
                <w:snapToGrid w:val="0"/>
                <w:sz w:val="20"/>
                <w:szCs w:val="20"/>
              </w:rPr>
              <w:t>Examen final et suivi du Plan d’action pour l’égalité des sexes (2023</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5"/>
            </w:r>
            <w:r w:rsidRPr="00EF3151">
              <w:rPr>
                <w:rFonts w:eastAsia="Times New Roman"/>
                <w:snapToGrid w:val="0"/>
                <w:sz w:val="20"/>
                <w:szCs w:val="20"/>
              </w:rPr>
              <w:t xml:space="preserve"> de la stratégie de mobilisation des ressources pour la période 2025</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6"/>
            </w:r>
            <w:r w:rsidRPr="00EF3151">
              <w:rPr>
                <w:rFonts w:eastAsia="Times New Roman"/>
                <w:snapToGrid w:val="0"/>
                <w:sz w:val="20"/>
                <w:szCs w:val="20"/>
              </w:rPr>
              <w:t xml:space="preserve"> du cadre stratégique à long terme pour la création et le renforcement des capacités,</w:t>
            </w:r>
            <w:r w:rsidRPr="00EF3151">
              <w:rPr>
                <w:rStyle w:val="FootnoteReference"/>
                <w:rFonts w:eastAsia="Times New Roman"/>
                <w:sz w:val="20"/>
                <w:szCs w:val="20"/>
                <w:lang w:val="fr-CA"/>
              </w:rPr>
              <w:footnoteReference w:id="7"/>
            </w:r>
            <w:r w:rsidRPr="00EF3151">
              <w:rPr>
                <w:rFonts w:eastAsia="Times New Roman"/>
                <w:snapToGrid w:val="0"/>
                <w:sz w:val="20"/>
                <w:szCs w:val="20"/>
              </w:rPr>
              <w:t xml:space="preserve"> de l’évaluation indépendante du mécanisme de coopération technique et scientifique et du programme de travail du mécanisme d’échange pour la période 2024</w:t>
            </w:r>
            <w:r w:rsidR="003B175A" w:rsidRPr="00EF3151">
              <w:rPr>
                <w:rFonts w:eastAsia="Times New Roman"/>
                <w:snapToGrid w:val="0"/>
                <w:sz w:val="20"/>
                <w:szCs w:val="20"/>
              </w:rPr>
              <w:noBreakHyphen/>
            </w:r>
            <w:r w:rsidRPr="00EF3151">
              <w:rPr>
                <w:rFonts w:eastAsia="Times New Roman"/>
                <w:snapToGrid w:val="0"/>
                <w:sz w:val="20"/>
                <w:szCs w:val="20"/>
              </w:rPr>
              <w:t>2030</w:t>
            </w:r>
            <w:r w:rsidRPr="00EF3151">
              <w:rPr>
                <w:rStyle w:val="FootnoteReference"/>
                <w:rFonts w:eastAsia="Times New Roman"/>
                <w:i/>
                <w:iCs/>
                <w:sz w:val="20"/>
                <w:szCs w:val="20"/>
                <w:lang w:val="fr-CA"/>
              </w:rPr>
              <w:footnoteReference w:id="8"/>
            </w:r>
          </w:p>
          <w:p w14:paraId="2076B2A3" w14:textId="284F42A1" w:rsidR="00E328E6" w:rsidRPr="00EF3151" w:rsidRDefault="006C3312" w:rsidP="00E328E6">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rPr>
            </w:pPr>
            <w:r w:rsidRPr="00EF3151">
              <w:rPr>
                <w:sz w:val="20"/>
                <w:szCs w:val="20"/>
              </w:rPr>
              <w:t>Mise à jour sur les autres questions relatives aux mécanismes d’appui à la mise en œuvre</w:t>
            </w:r>
          </w:p>
          <w:p w14:paraId="29F3D53D" w14:textId="2F5B745E"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Questions relatives à l’article 8 j) et d’autres dispositions de la Convention sur la diversité biologique relatives aux peuples autochtones et communautés locales, y compris l’examen, la révision et la mise à jour du programme de travail, pour la période au</w:t>
            </w:r>
            <w:r w:rsidR="003B175A" w:rsidRPr="00EF3151">
              <w:rPr>
                <w:sz w:val="20"/>
                <w:szCs w:val="20"/>
              </w:rPr>
              <w:noBreakHyphen/>
            </w:r>
            <w:r w:rsidRPr="00EF3151">
              <w:rPr>
                <w:sz w:val="20"/>
                <w:szCs w:val="20"/>
              </w:rPr>
              <w:t>delà de</w:t>
            </w:r>
            <w:r w:rsidR="003B175A" w:rsidRPr="00EF3151">
              <w:rPr>
                <w:sz w:val="20"/>
                <w:szCs w:val="20"/>
              </w:rPr>
              <w:t> </w:t>
            </w:r>
            <w:r w:rsidRPr="00EF3151">
              <w:rPr>
                <w:sz w:val="20"/>
                <w:szCs w:val="20"/>
              </w:rPr>
              <w:t>2030</w:t>
            </w:r>
          </w:p>
          <w:p w14:paraId="45A5969D" w14:textId="29F48C86"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Communication, éducation et sensibilisation du public</w:t>
            </w:r>
          </w:p>
          <w:p w14:paraId="23DCBA2F" w14:textId="73E57A89" w:rsidR="00E328E6" w:rsidRPr="00EF3151" w:rsidRDefault="006C3312"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Autres points à déterminer à la dix</w:t>
            </w:r>
            <w:r w:rsidR="003B175A" w:rsidRPr="00EF3151">
              <w:rPr>
                <w:sz w:val="20"/>
                <w:szCs w:val="20"/>
              </w:rPr>
              <w:noBreakHyphen/>
            </w:r>
            <w:r w:rsidRPr="00EF3151">
              <w:rPr>
                <w:sz w:val="20"/>
                <w:szCs w:val="20"/>
              </w:rPr>
              <w:t>huitième réunion de la Conférence des Parties</w:t>
            </w:r>
          </w:p>
          <w:p w14:paraId="419AEB89" w14:textId="5F3BE78D" w:rsidR="00E328E6" w:rsidRPr="00EF3151" w:rsidRDefault="00BD1413" w:rsidP="005121D0">
            <w:pPr>
              <w:keepNext/>
              <w:spacing w:before="100" w:after="40"/>
              <w:jc w:val="left"/>
              <w:rPr>
                <w:b/>
                <w:bCs/>
                <w:sz w:val="20"/>
                <w:szCs w:val="20"/>
              </w:rPr>
            </w:pPr>
            <w:r w:rsidRPr="00EF3151">
              <w:rPr>
                <w:b/>
                <w:bCs/>
                <w:sz w:val="20"/>
                <w:szCs w:val="20"/>
              </w:rPr>
              <w:t>Besoins scientifiques et techniques en vue d’appuyer la mise en œuvre du Cadre mondial de la biodiversité de Kunming</w:t>
            </w:r>
            <w:r w:rsidR="003B175A" w:rsidRPr="00EF3151">
              <w:rPr>
                <w:b/>
                <w:bCs/>
                <w:sz w:val="20"/>
                <w:szCs w:val="20"/>
              </w:rPr>
              <w:noBreakHyphen/>
            </w:r>
            <w:r w:rsidRPr="00EF3151">
              <w:rPr>
                <w:b/>
                <w:bCs/>
                <w:sz w:val="20"/>
                <w:szCs w:val="20"/>
              </w:rPr>
              <w:t>Montréal</w:t>
            </w:r>
          </w:p>
          <w:p w14:paraId="6F4AC481" w14:textId="0B3E14BE"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Examen et analyse stratégiques du programme de travail</w:t>
            </w:r>
          </w:p>
          <w:p w14:paraId="22616B9F" w14:textId="498EA59E" w:rsidR="00E328E6" w:rsidRPr="00EF3151" w:rsidRDefault="00B8057B" w:rsidP="00E328E6">
            <w:pPr>
              <w:pStyle w:val="ListParagraph"/>
              <w:keepNext/>
              <w:numPr>
                <w:ilvl w:val="0"/>
                <w:numId w:val="9"/>
              </w:numPr>
              <w:tabs>
                <w:tab w:val="clear" w:pos="567"/>
                <w:tab w:val="left" w:pos="789"/>
              </w:tabs>
              <w:spacing w:before="40" w:after="40"/>
              <w:jc w:val="left"/>
              <w:rPr>
                <w:sz w:val="20"/>
                <w:szCs w:val="20"/>
              </w:rPr>
            </w:pPr>
            <w:r w:rsidRPr="00EF3151">
              <w:rPr>
                <w:sz w:val="20"/>
                <w:szCs w:val="20"/>
              </w:rPr>
              <w:t>Examen de la deuxième évaluation mondiale de la biodiversité et des services écosystémiques de la Plateforme intergouvernementale scientifique et politique sur la biodiversité et les services écosystémiques</w:t>
            </w:r>
          </w:p>
          <w:p w14:paraId="0E6A75D3" w14:textId="3877B3F6"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Biologie de synthèse</w:t>
            </w:r>
          </w:p>
          <w:p w14:paraId="2536E8EF" w14:textId="423B54DB"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Gestion durable de la faune sauvage</w:t>
            </w:r>
          </w:p>
          <w:p w14:paraId="4692E507" w14:textId="2D696D26" w:rsidR="00E328E6" w:rsidRPr="00EF3151" w:rsidRDefault="00B8057B" w:rsidP="00E328E6">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sidRPr="00EF3151">
              <w:rPr>
                <w:sz w:val="20"/>
                <w:szCs w:val="20"/>
              </w:rPr>
              <w:t>Biodiversité et changements climatiques</w:t>
            </w:r>
          </w:p>
          <w:p w14:paraId="3A392CE4" w14:textId="561D0393" w:rsidR="00E328E6" w:rsidRPr="00EF3151" w:rsidRDefault="00B8057B" w:rsidP="00E328E6">
            <w:pPr>
              <w:pStyle w:val="ListParagraph"/>
              <w:keepNext/>
              <w:numPr>
                <w:ilvl w:val="0"/>
                <w:numId w:val="9"/>
              </w:numPr>
              <w:tabs>
                <w:tab w:val="clear" w:pos="567"/>
                <w:tab w:val="clear" w:pos="1134"/>
                <w:tab w:val="clear" w:pos="1701"/>
                <w:tab w:val="clear" w:pos="2268"/>
              </w:tabs>
              <w:spacing w:before="40" w:after="40"/>
              <w:jc w:val="left"/>
              <w:rPr>
                <w:sz w:val="20"/>
                <w:szCs w:val="20"/>
              </w:rPr>
            </w:pPr>
            <w:r w:rsidRPr="00EF3151">
              <w:rPr>
                <w:sz w:val="20"/>
                <w:szCs w:val="20"/>
              </w:rPr>
              <w:t>Biodiversité marine et côtière et biodiversité des îles</w:t>
            </w:r>
          </w:p>
          <w:p w14:paraId="35234E40" w14:textId="5E1389CA" w:rsidR="00E328E6" w:rsidRPr="00EF3151" w:rsidRDefault="00B8057B" w:rsidP="00E328E6">
            <w:pPr>
              <w:pStyle w:val="ListParagraph"/>
              <w:keepNext/>
              <w:numPr>
                <w:ilvl w:val="0"/>
                <w:numId w:val="9"/>
              </w:numPr>
              <w:tabs>
                <w:tab w:val="clear" w:pos="567"/>
                <w:tab w:val="clear" w:pos="1134"/>
                <w:tab w:val="clear" w:pos="1701"/>
                <w:tab w:val="clear" w:pos="2268"/>
              </w:tabs>
              <w:suppressAutoHyphens/>
              <w:autoSpaceDN w:val="0"/>
              <w:spacing w:before="40" w:after="40"/>
              <w:contextualSpacing w:val="0"/>
              <w:jc w:val="left"/>
              <w:textAlignment w:val="baseline"/>
            </w:pPr>
            <w:r w:rsidRPr="00EF3151">
              <w:rPr>
                <w:sz w:val="20"/>
                <w:szCs w:val="20"/>
              </w:rPr>
              <w:t>Biodiversité et agriculture</w:t>
            </w:r>
          </w:p>
          <w:p w14:paraId="2C321E91" w14:textId="5DDD3BB6" w:rsidR="00E328E6" w:rsidRPr="00EF3151" w:rsidRDefault="00B8057B" w:rsidP="00E328E6">
            <w:pPr>
              <w:pStyle w:val="ListParagraph"/>
              <w:keepNext/>
              <w:numPr>
                <w:ilvl w:val="0"/>
                <w:numId w:val="9"/>
              </w:numPr>
              <w:tabs>
                <w:tab w:val="clear" w:pos="567"/>
                <w:tab w:val="clear" w:pos="1134"/>
                <w:tab w:val="clear" w:pos="1701"/>
                <w:tab w:val="clear" w:pos="2268"/>
              </w:tabs>
              <w:jc w:val="left"/>
              <w:rPr>
                <w:sz w:val="20"/>
                <w:szCs w:val="20"/>
              </w:rPr>
            </w:pPr>
            <w:r w:rsidRPr="00EF3151">
              <w:rPr>
                <w:sz w:val="20"/>
                <w:szCs w:val="20"/>
              </w:rPr>
              <w:t>Autres points à déterminer à la dix</w:t>
            </w:r>
            <w:r w:rsidR="003B175A" w:rsidRPr="00EF3151">
              <w:rPr>
                <w:sz w:val="20"/>
                <w:szCs w:val="20"/>
              </w:rPr>
              <w:noBreakHyphen/>
            </w:r>
            <w:r w:rsidRPr="00EF3151">
              <w:rPr>
                <w:sz w:val="20"/>
                <w:szCs w:val="20"/>
              </w:rPr>
              <w:t>huitième réunion de la Conférence des Parties</w:t>
            </w:r>
          </w:p>
          <w:p w14:paraId="267DC405" w14:textId="0A4762F3" w:rsidR="00E328E6" w:rsidRPr="00EF3151" w:rsidRDefault="003B175A" w:rsidP="005121D0">
            <w:pPr>
              <w:keepNext/>
              <w:keepLines/>
              <w:spacing w:before="100" w:after="40"/>
              <w:ind w:left="357" w:hanging="357"/>
              <w:jc w:val="left"/>
              <w:rPr>
                <w:sz w:val="20"/>
                <w:szCs w:val="20"/>
              </w:rPr>
            </w:pPr>
            <w:r w:rsidRPr="00EF3151">
              <w:rPr>
                <w:b/>
                <w:bCs/>
                <w:sz w:val="20"/>
                <w:szCs w:val="20"/>
              </w:rPr>
              <w:t>Processus au titre de la Convention et de ses protocoles</w:t>
            </w:r>
          </w:p>
          <w:p w14:paraId="41D5B454" w14:textId="6A91A6E3" w:rsidR="00E328E6" w:rsidRPr="00EF3151" w:rsidRDefault="003B175A" w:rsidP="00E328E6">
            <w:pPr>
              <w:pStyle w:val="ListParagraph"/>
              <w:keepNext/>
              <w:numPr>
                <w:ilvl w:val="0"/>
                <w:numId w:val="9"/>
              </w:numPr>
              <w:tabs>
                <w:tab w:val="clear" w:pos="567"/>
                <w:tab w:val="left" w:pos="647"/>
              </w:tabs>
              <w:spacing w:before="40" w:after="40"/>
              <w:jc w:val="left"/>
              <w:rPr>
                <w:sz w:val="20"/>
                <w:szCs w:val="20"/>
              </w:rPr>
            </w:pPr>
            <w:r w:rsidRPr="00EF3151">
              <w:rPr>
                <w:sz w:val="20"/>
                <w:szCs w:val="20"/>
              </w:rPr>
              <w:t>Questions relatives à l’efficacité des processus de la Convention et ses protocoles</w:t>
            </w:r>
          </w:p>
        </w:tc>
      </w:tr>
    </w:tbl>
    <w:p w14:paraId="2EBB9B59" w14:textId="785614C6" w:rsidR="00C31211" w:rsidRPr="00EF3151" w:rsidRDefault="003B175A" w:rsidP="00730D96">
      <w:pPr>
        <w:pStyle w:val="CBDNormalNoNumber"/>
        <w:spacing w:before="60" w:after="0"/>
        <w:rPr>
          <w:sz w:val="18"/>
          <w:szCs w:val="18"/>
          <w:highlight w:val="yellow"/>
          <w:lang w:val="fr-CA"/>
        </w:rPr>
      </w:pPr>
      <w:r w:rsidRPr="00EF3151">
        <w:rPr>
          <w:bCs/>
          <w:i/>
          <w:iCs/>
          <w:sz w:val="18"/>
          <w:szCs w:val="18"/>
          <w:lang w:val="fr-CA"/>
        </w:rPr>
        <w:t>Note </w:t>
      </w:r>
      <w:r w:rsidRPr="00EF3151">
        <w:rPr>
          <w:bCs/>
          <w:sz w:val="18"/>
          <w:szCs w:val="18"/>
          <w:lang w:val="fr-CA"/>
        </w:rPr>
        <w:t>: Se reporter à l’annexe du document CBD/COP/17/8 pour voir un résumé des décisions et recommandations pertinentes</w:t>
      </w:r>
      <w:r w:rsidR="00DB778F" w:rsidRPr="00EF3151">
        <w:rPr>
          <w:bCs/>
          <w:sz w:val="18"/>
          <w:szCs w:val="18"/>
          <w:lang w:val="fr-CA"/>
        </w:rPr>
        <w:t>.</w:t>
      </w:r>
    </w:p>
    <w:p w14:paraId="1D897584" w14:textId="33C8828A" w:rsidR="00A111D1" w:rsidRPr="00EF3151" w:rsidRDefault="00A111D1" w:rsidP="00730D96">
      <w:pPr>
        <w:pStyle w:val="Para1"/>
        <w:numPr>
          <w:ilvl w:val="0"/>
          <w:numId w:val="0"/>
        </w:numPr>
        <w:spacing w:before="0" w:after="0"/>
        <w:ind w:left="567"/>
        <w:jc w:val="center"/>
      </w:pPr>
      <w:r w:rsidRPr="00EF3151">
        <w:t>__________</w:t>
      </w:r>
    </w:p>
    <w:sectPr w:rsidR="00A111D1" w:rsidRPr="00EF3151" w:rsidSect="008837EB">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E57E" w14:textId="77777777" w:rsidR="00924F54" w:rsidRPr="00EF3151" w:rsidRDefault="00924F54" w:rsidP="00CF1848">
      <w:r w:rsidRPr="00EF3151">
        <w:separator/>
      </w:r>
    </w:p>
  </w:endnote>
  <w:endnote w:type="continuationSeparator" w:id="0">
    <w:p w14:paraId="57D4BD84" w14:textId="77777777" w:rsidR="00924F54" w:rsidRPr="00EF3151" w:rsidRDefault="00924F54" w:rsidP="00CF1848">
      <w:r w:rsidRPr="00EF3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EF3151" w:rsidRDefault="00D75CA6" w:rsidP="00D75CA6">
            <w:pPr>
              <w:pStyle w:val="Footer"/>
              <w:jc w:val="left"/>
            </w:pPr>
            <w:r w:rsidRPr="00EF3151">
              <w:rPr>
                <w:szCs w:val="20"/>
              </w:rPr>
              <w:fldChar w:fldCharType="begin"/>
            </w:r>
            <w:r w:rsidRPr="00EF3151">
              <w:rPr>
                <w:szCs w:val="20"/>
              </w:rPr>
              <w:instrText xml:space="preserve"> PAGE </w:instrText>
            </w:r>
            <w:r w:rsidRPr="00EF3151">
              <w:rPr>
                <w:szCs w:val="20"/>
              </w:rPr>
              <w:fldChar w:fldCharType="separate"/>
            </w:r>
            <w:r w:rsidRPr="00EF3151">
              <w:rPr>
                <w:szCs w:val="20"/>
              </w:rPr>
              <w:t>2</w:t>
            </w:r>
            <w:r w:rsidRPr="00EF3151">
              <w:rPr>
                <w:szCs w:val="20"/>
              </w:rPr>
              <w:fldChar w:fldCharType="end"/>
            </w:r>
            <w:r w:rsidRPr="00EF3151">
              <w:rPr>
                <w:szCs w:val="20"/>
              </w:rPr>
              <w:t>/</w:t>
            </w:r>
            <w:r w:rsidRPr="00EF3151">
              <w:rPr>
                <w:szCs w:val="20"/>
              </w:rPr>
              <w:fldChar w:fldCharType="begin"/>
            </w:r>
            <w:r w:rsidRPr="00EF3151">
              <w:rPr>
                <w:szCs w:val="20"/>
              </w:rPr>
              <w:instrText xml:space="preserve"> NUMPAGES  </w:instrText>
            </w:r>
            <w:r w:rsidRPr="00EF3151">
              <w:rPr>
                <w:szCs w:val="20"/>
              </w:rPr>
              <w:fldChar w:fldCharType="separate"/>
            </w:r>
            <w:r w:rsidRPr="00EF3151">
              <w:rPr>
                <w:szCs w:val="20"/>
              </w:rPr>
              <w:t>2</w:t>
            </w:r>
            <w:r w:rsidRPr="00EF31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EF3151" w:rsidRDefault="00D75CA6" w:rsidP="00F64143">
        <w:pPr>
          <w:pStyle w:val="Footer"/>
          <w:jc w:val="right"/>
        </w:pPr>
        <w:r w:rsidRPr="00EF3151">
          <w:rPr>
            <w:szCs w:val="20"/>
          </w:rPr>
          <w:fldChar w:fldCharType="begin"/>
        </w:r>
        <w:r w:rsidRPr="00EF3151">
          <w:rPr>
            <w:szCs w:val="20"/>
          </w:rPr>
          <w:instrText xml:space="preserve"> PAGE </w:instrText>
        </w:r>
        <w:r w:rsidRPr="00EF3151">
          <w:rPr>
            <w:szCs w:val="20"/>
          </w:rPr>
          <w:fldChar w:fldCharType="separate"/>
        </w:r>
        <w:r w:rsidRPr="00EF3151">
          <w:rPr>
            <w:szCs w:val="20"/>
          </w:rPr>
          <w:t>2</w:t>
        </w:r>
        <w:r w:rsidRPr="00EF3151">
          <w:rPr>
            <w:szCs w:val="20"/>
          </w:rPr>
          <w:fldChar w:fldCharType="end"/>
        </w:r>
        <w:r w:rsidRPr="00EF3151">
          <w:rPr>
            <w:szCs w:val="20"/>
          </w:rPr>
          <w:t>/</w:t>
        </w:r>
        <w:r w:rsidRPr="00EF3151">
          <w:rPr>
            <w:szCs w:val="20"/>
          </w:rPr>
          <w:fldChar w:fldCharType="begin"/>
        </w:r>
        <w:r w:rsidRPr="00EF3151">
          <w:rPr>
            <w:szCs w:val="20"/>
          </w:rPr>
          <w:instrText xml:space="preserve"> NUMPAGES  </w:instrText>
        </w:r>
        <w:r w:rsidRPr="00EF3151">
          <w:rPr>
            <w:szCs w:val="20"/>
          </w:rPr>
          <w:fldChar w:fldCharType="separate"/>
        </w:r>
        <w:r w:rsidRPr="00EF3151">
          <w:rPr>
            <w:szCs w:val="20"/>
          </w:rPr>
          <w:t>3</w:t>
        </w:r>
        <w:r w:rsidRPr="00EF315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F8408" w14:textId="77777777" w:rsidR="00924F54" w:rsidRPr="00EF3151" w:rsidRDefault="00924F54" w:rsidP="00CF1848">
      <w:r w:rsidRPr="00EF3151">
        <w:separator/>
      </w:r>
    </w:p>
  </w:footnote>
  <w:footnote w:type="continuationSeparator" w:id="0">
    <w:p w14:paraId="71C5254E" w14:textId="77777777" w:rsidR="00924F54" w:rsidRPr="00EF3151" w:rsidRDefault="00924F54" w:rsidP="00CF1848">
      <w:r w:rsidRPr="00EF3151">
        <w:continuationSeparator/>
      </w:r>
    </w:p>
  </w:footnote>
  <w:footnote w:id="1">
    <w:p w14:paraId="2E66FD40" w14:textId="538BDD68" w:rsidR="003B175A" w:rsidRPr="00EF3151" w:rsidRDefault="003B175A" w:rsidP="003B175A">
      <w:pPr>
        <w:pStyle w:val="FootnoteText"/>
      </w:pPr>
      <w:r w:rsidRPr="00EF3151">
        <w:rPr>
          <w:rStyle w:val="FootnoteReference"/>
          <w:lang w:val="fr-CA"/>
        </w:rPr>
        <w:footnoteRef/>
      </w:r>
      <w:r w:rsidRPr="00EF3151">
        <w:t xml:space="preserve"> </w:t>
      </w:r>
      <w:r w:rsidR="00434BB4" w:rsidRPr="00EF3151">
        <w:rPr>
          <w:color w:val="000000"/>
          <w:szCs w:val="18"/>
        </w:rPr>
        <w:t xml:space="preserve">Nations Unies, </w:t>
      </w:r>
      <w:r w:rsidR="00434BB4" w:rsidRPr="00EF3151">
        <w:rPr>
          <w:i/>
          <w:iCs/>
          <w:color w:val="000000"/>
          <w:szCs w:val="18"/>
        </w:rPr>
        <w:t>Recueil des Traités</w:t>
      </w:r>
      <w:r w:rsidR="00434BB4" w:rsidRPr="00EF3151">
        <w:rPr>
          <w:color w:val="000000"/>
          <w:szCs w:val="18"/>
        </w:rPr>
        <w:t>, vol. 1760, nᵒ 30619</w:t>
      </w:r>
      <w:r w:rsidRPr="00EF3151">
        <w:rPr>
          <w:szCs w:val="18"/>
        </w:rPr>
        <w:t>.</w:t>
      </w:r>
    </w:p>
  </w:footnote>
  <w:footnote w:id="2">
    <w:p w14:paraId="643BBD60" w14:textId="2CCDAF1B" w:rsidR="00E328E6" w:rsidRPr="00EF3151" w:rsidRDefault="00E328E6" w:rsidP="00C31211">
      <w:pPr>
        <w:pStyle w:val="FootnoteText"/>
      </w:pPr>
      <w:r w:rsidRPr="00EF3151">
        <w:rPr>
          <w:rStyle w:val="FootnoteReference"/>
          <w:lang w:val="fr-CA"/>
        </w:rPr>
        <w:footnoteRef/>
      </w:r>
      <w:r w:rsidRPr="00EF3151">
        <w:t xml:space="preserve"> D</w:t>
      </w:r>
      <w:r w:rsidR="00F30226" w:rsidRPr="00EF3151">
        <w:t>é</w:t>
      </w:r>
      <w:r w:rsidRPr="00EF3151">
        <w:t xml:space="preserve">cision </w:t>
      </w:r>
      <w:hyperlink r:id="rId1" w:history="1">
        <w:r w:rsidRPr="00EF3151">
          <w:rPr>
            <w:rStyle w:val="Hyperlink"/>
            <w:lang w:val="fr-CA"/>
          </w:rPr>
          <w:t>15/4</w:t>
        </w:r>
      </w:hyperlink>
      <w:r w:rsidRPr="00EF3151">
        <w:t>, annex</w:t>
      </w:r>
      <w:r w:rsidR="00F30226" w:rsidRPr="00EF3151">
        <w:t>e</w:t>
      </w:r>
      <w:r w:rsidRPr="00EF3151">
        <w:t>.</w:t>
      </w:r>
    </w:p>
  </w:footnote>
  <w:footnote w:id="3">
    <w:p w14:paraId="6DFF88E0" w14:textId="4DD73F14" w:rsidR="002774B9" w:rsidRPr="00EF3151" w:rsidRDefault="002774B9" w:rsidP="002774B9">
      <w:pPr>
        <w:pStyle w:val="FootnoteText"/>
      </w:pPr>
      <w:r w:rsidRPr="00EF3151">
        <w:rPr>
          <w:rStyle w:val="FootnoteReference"/>
          <w:lang w:val="fr-CA"/>
        </w:rPr>
        <w:footnoteRef/>
      </w:r>
      <w:r w:rsidRPr="00EF3151">
        <w:t xml:space="preserve"> D</w:t>
      </w:r>
      <w:r w:rsidR="00185AF1" w:rsidRPr="00EF3151">
        <w:t>é</w:t>
      </w:r>
      <w:r w:rsidRPr="00EF3151">
        <w:t xml:space="preserve">cision </w:t>
      </w:r>
      <w:hyperlink r:id="rId2" w:history="1">
        <w:r w:rsidRPr="00EF3151">
          <w:rPr>
            <w:rStyle w:val="Hyperlink"/>
            <w:lang w:val="fr-CA"/>
          </w:rPr>
          <w:t>15/5</w:t>
        </w:r>
      </w:hyperlink>
      <w:r w:rsidRPr="00EF3151">
        <w:t>, annexe I.</w:t>
      </w:r>
    </w:p>
  </w:footnote>
  <w:footnote w:id="4">
    <w:p w14:paraId="42CE158C" w14:textId="77777777" w:rsidR="009F60BA" w:rsidRPr="00EF3151" w:rsidRDefault="009F60BA" w:rsidP="009F60BA">
      <w:pPr>
        <w:pStyle w:val="FootnoteText"/>
      </w:pPr>
      <w:r w:rsidRPr="00EF3151">
        <w:rPr>
          <w:rStyle w:val="FootnoteReference"/>
          <w:lang w:val="fr-CA"/>
        </w:rPr>
        <w:footnoteRef/>
      </w:r>
      <w:r w:rsidRPr="00EF3151">
        <w:t xml:space="preserve"> Décision </w:t>
      </w:r>
      <w:hyperlink r:id="rId3" w:history="1">
        <w:r w:rsidRPr="00EF3151">
          <w:rPr>
            <w:rStyle w:val="Hyperlink"/>
            <w:lang w:val="fr-CA"/>
          </w:rPr>
          <w:t>14/13</w:t>
        </w:r>
      </w:hyperlink>
      <w:r w:rsidRPr="00EF3151">
        <w:t>, annexe.</w:t>
      </w:r>
    </w:p>
  </w:footnote>
  <w:footnote w:id="5">
    <w:p w14:paraId="09A7877D" w14:textId="73F64587" w:rsidR="006C3312" w:rsidRPr="00EF3151" w:rsidRDefault="006C3312" w:rsidP="006C3312">
      <w:pPr>
        <w:pStyle w:val="FootnoteText"/>
      </w:pPr>
      <w:r w:rsidRPr="00EF3151">
        <w:rPr>
          <w:rStyle w:val="FootnoteReference"/>
          <w:i/>
          <w:iCs/>
          <w:lang w:val="fr-CA"/>
        </w:rPr>
        <w:footnoteRef/>
      </w:r>
      <w:r w:rsidRPr="00EF3151">
        <w:t xml:space="preserve"> Décision </w:t>
      </w:r>
      <w:hyperlink r:id="rId4" w:history="1">
        <w:r w:rsidRPr="00EF3151">
          <w:rPr>
            <w:rStyle w:val="Hyperlink"/>
            <w:lang w:val="fr-CA"/>
          </w:rPr>
          <w:t>15/11</w:t>
        </w:r>
      </w:hyperlink>
      <w:r w:rsidRPr="00EF3151">
        <w:t>, annexe.</w:t>
      </w:r>
    </w:p>
  </w:footnote>
  <w:footnote w:id="6">
    <w:p w14:paraId="13C50EA0" w14:textId="0B706475" w:rsidR="006C3312" w:rsidRPr="00EF3151" w:rsidRDefault="006C3312" w:rsidP="006C3312">
      <w:pPr>
        <w:pStyle w:val="FootnoteText"/>
      </w:pPr>
      <w:r w:rsidRPr="00EF3151">
        <w:rPr>
          <w:rStyle w:val="FootnoteReference"/>
          <w:lang w:val="fr-CA"/>
        </w:rPr>
        <w:footnoteRef/>
      </w:r>
      <w:r w:rsidRPr="00EF3151">
        <w:t xml:space="preserve"> Décision </w:t>
      </w:r>
      <w:hyperlink r:id="rId5" w:history="1">
        <w:r w:rsidRPr="00EF3151">
          <w:rPr>
            <w:rStyle w:val="Hyperlink"/>
            <w:lang w:val="fr-CA"/>
          </w:rPr>
          <w:t>16/34</w:t>
        </w:r>
      </w:hyperlink>
      <w:r w:rsidRPr="00EF3151">
        <w:t>, annexe I.</w:t>
      </w:r>
    </w:p>
  </w:footnote>
  <w:footnote w:id="7">
    <w:p w14:paraId="39CD6811" w14:textId="4E93EBE8" w:rsidR="006C3312" w:rsidRPr="00EF3151" w:rsidRDefault="006C3312" w:rsidP="006C3312">
      <w:pPr>
        <w:pStyle w:val="FootnoteText"/>
      </w:pPr>
      <w:r w:rsidRPr="00EF3151">
        <w:rPr>
          <w:rStyle w:val="FootnoteReference"/>
          <w:i/>
          <w:iCs/>
          <w:lang w:val="fr-CA"/>
        </w:rPr>
        <w:footnoteRef/>
      </w:r>
      <w:r w:rsidRPr="00EF3151">
        <w:t xml:space="preserve"> Décision </w:t>
      </w:r>
      <w:hyperlink r:id="rId6" w:history="1">
        <w:r w:rsidRPr="00EF3151">
          <w:rPr>
            <w:rStyle w:val="Hyperlink"/>
            <w:lang w:val="fr-CA"/>
          </w:rPr>
          <w:t>15/8</w:t>
        </w:r>
      </w:hyperlink>
      <w:r w:rsidRPr="00EF3151">
        <w:t>, annexe I.</w:t>
      </w:r>
    </w:p>
  </w:footnote>
  <w:footnote w:id="8">
    <w:p w14:paraId="0A833783" w14:textId="254B7099" w:rsidR="006C3312" w:rsidRPr="00FE23CF" w:rsidRDefault="006C3312" w:rsidP="006C3312">
      <w:pPr>
        <w:pStyle w:val="FootnoteText"/>
        <w:rPr>
          <w:lang w:val="fr-FR"/>
        </w:rPr>
      </w:pPr>
      <w:r w:rsidRPr="00EF3151">
        <w:rPr>
          <w:rStyle w:val="FootnoteReference"/>
          <w:i/>
          <w:iCs/>
          <w:lang w:val="fr-CA"/>
        </w:rPr>
        <w:footnoteRef/>
      </w:r>
      <w:r w:rsidRPr="00EF3151">
        <w:t xml:space="preserve"> Décision </w:t>
      </w:r>
      <w:hyperlink r:id="rId7" w:history="1">
        <w:r w:rsidRPr="00EF3151">
          <w:rPr>
            <w:rStyle w:val="Hyperlink"/>
            <w:lang w:val="fr-CA"/>
          </w:rPr>
          <w:t>16/9 A</w:t>
        </w:r>
      </w:hyperlink>
      <w:r w:rsidRPr="00EF3151">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4589A4C" w:rsidR="00534681" w:rsidRPr="00EF3151" w:rsidRDefault="00D46FA1" w:rsidP="007C4951">
        <w:pPr>
          <w:pStyle w:val="Header"/>
          <w:spacing w:after="240"/>
          <w:rPr>
            <w:szCs w:val="20"/>
          </w:rPr>
        </w:pPr>
        <w:r w:rsidRPr="00EF3151">
          <w:rPr>
            <w:szCs w:val="20"/>
          </w:rPr>
          <w:t>CBD/COP/17/</w:t>
        </w:r>
        <w:r w:rsidR="00FE23CF">
          <w:rPr>
            <w:szCs w:val="20"/>
          </w:rPr>
          <w:t>L.22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884A2B4" w:rsidR="009505C9" w:rsidRPr="00EF3151" w:rsidRDefault="00FE23CF" w:rsidP="007C4951">
        <w:pPr>
          <w:pStyle w:val="Header"/>
          <w:spacing w:after="240"/>
          <w:jc w:val="right"/>
        </w:pPr>
        <w:r>
          <w:t>CBD/COP/17/L.22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DA243B32"/>
    <w:lvl w:ilvl="0" w:tplc="A4ACDDCC">
      <w:start w:val="1"/>
      <w:numFmt w:val="bullet"/>
      <w:lvlText w:val=""/>
      <w:lvlJc w:val="left"/>
      <w:pPr>
        <w:ind w:left="720" w:hanging="360"/>
      </w:pPr>
      <w:rPr>
        <w:rFonts w:ascii="Symbol" w:hAnsi="Symbol" w:hint="default"/>
        <w:sz w:val="20"/>
        <w:szCs w:val="20"/>
      </w:rPr>
    </w:lvl>
    <w:lvl w:ilvl="1" w:tplc="10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AC7257"/>
    <w:multiLevelType w:val="hybridMultilevel"/>
    <w:tmpl w:val="F38871EC"/>
    <w:lvl w:ilvl="0" w:tplc="4704BF1C">
      <w:start w:val="1"/>
      <w:numFmt w:val="bullet"/>
      <w:lvlText w:val=""/>
      <w:lvlJc w:val="left"/>
      <w:pPr>
        <w:ind w:left="720" w:hanging="360"/>
      </w:pPr>
      <w:rPr>
        <w:rFonts w:ascii="Symbol" w:hAnsi="Symbol" w:hint="default"/>
        <w:sz w:val="20"/>
        <w:szCs w:val="20"/>
      </w:rPr>
    </w:lvl>
    <w:lvl w:ilvl="1" w:tplc="10090017">
      <w:start w:val="1"/>
      <w:numFmt w:val="lowerLetter"/>
      <w:lvlText w:val="%2)"/>
      <w:lvlJc w:val="left"/>
      <w:pPr>
        <w:ind w:left="144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1"/>
  </w:num>
  <w:num w:numId="5" w16cid:durableId="960385107">
    <w:abstractNumId w:val="4"/>
  </w:num>
  <w:num w:numId="6" w16cid:durableId="893932166">
    <w:abstractNumId w:val="7"/>
  </w:num>
  <w:num w:numId="7" w16cid:durableId="323945383">
    <w:abstractNumId w:val="6"/>
  </w:num>
  <w:num w:numId="8" w16cid:durableId="289365504">
    <w:abstractNumId w:val="12"/>
  </w:num>
  <w:num w:numId="9" w16cid:durableId="1878353819">
    <w:abstractNumId w:val="1"/>
  </w:num>
  <w:num w:numId="10" w16cid:durableId="943221245">
    <w:abstractNumId w:val="2"/>
  </w:num>
  <w:num w:numId="11" w16cid:durableId="194999339">
    <w:abstractNumId w:val="8"/>
  </w:num>
  <w:num w:numId="12" w16cid:durableId="1809471037">
    <w:abstractNumId w:val="0"/>
  </w:num>
  <w:num w:numId="13" w16cid:durableId="17723826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2001"/>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875A3"/>
    <w:rsid w:val="000925E1"/>
    <w:rsid w:val="00096F55"/>
    <w:rsid w:val="000A46BA"/>
    <w:rsid w:val="000B1446"/>
    <w:rsid w:val="000B3A7A"/>
    <w:rsid w:val="000C40E3"/>
    <w:rsid w:val="000D0F68"/>
    <w:rsid w:val="000E377B"/>
    <w:rsid w:val="000E673A"/>
    <w:rsid w:val="000F0B25"/>
    <w:rsid w:val="000F3BED"/>
    <w:rsid w:val="000F6945"/>
    <w:rsid w:val="000F74F5"/>
    <w:rsid w:val="000F78FC"/>
    <w:rsid w:val="001031DF"/>
    <w:rsid w:val="00105372"/>
    <w:rsid w:val="001054A6"/>
    <w:rsid w:val="001078A1"/>
    <w:rsid w:val="00113EF4"/>
    <w:rsid w:val="00115A5C"/>
    <w:rsid w:val="001312AD"/>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5AF1"/>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149A"/>
    <w:rsid w:val="00205277"/>
    <w:rsid w:val="00220A0F"/>
    <w:rsid w:val="002264A5"/>
    <w:rsid w:val="00226654"/>
    <w:rsid w:val="002277BB"/>
    <w:rsid w:val="00227D0F"/>
    <w:rsid w:val="00240EE6"/>
    <w:rsid w:val="00250C43"/>
    <w:rsid w:val="00253245"/>
    <w:rsid w:val="00254296"/>
    <w:rsid w:val="00254EB5"/>
    <w:rsid w:val="002774B9"/>
    <w:rsid w:val="0028192D"/>
    <w:rsid w:val="00282669"/>
    <w:rsid w:val="00283C99"/>
    <w:rsid w:val="002866CC"/>
    <w:rsid w:val="0029015E"/>
    <w:rsid w:val="00290B45"/>
    <w:rsid w:val="002A4DF5"/>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0FB6"/>
    <w:rsid w:val="00372F74"/>
    <w:rsid w:val="00373A6A"/>
    <w:rsid w:val="00374C87"/>
    <w:rsid w:val="003864C5"/>
    <w:rsid w:val="003B0AA9"/>
    <w:rsid w:val="003B175A"/>
    <w:rsid w:val="003C0515"/>
    <w:rsid w:val="003C2D62"/>
    <w:rsid w:val="003C42D1"/>
    <w:rsid w:val="003D2615"/>
    <w:rsid w:val="003D70DC"/>
    <w:rsid w:val="003F1A75"/>
    <w:rsid w:val="003F2FF4"/>
    <w:rsid w:val="003F7224"/>
    <w:rsid w:val="004019C4"/>
    <w:rsid w:val="00413D58"/>
    <w:rsid w:val="004203B4"/>
    <w:rsid w:val="00420D31"/>
    <w:rsid w:val="00427D21"/>
    <w:rsid w:val="00434BB4"/>
    <w:rsid w:val="0044662B"/>
    <w:rsid w:val="00447F4A"/>
    <w:rsid w:val="004505E0"/>
    <w:rsid w:val="00456F67"/>
    <w:rsid w:val="00463BE3"/>
    <w:rsid w:val="004644C2"/>
    <w:rsid w:val="004651A3"/>
    <w:rsid w:val="00465BB2"/>
    <w:rsid w:val="00467F9C"/>
    <w:rsid w:val="004711A5"/>
    <w:rsid w:val="00494F75"/>
    <w:rsid w:val="004B35AE"/>
    <w:rsid w:val="004C3E5F"/>
    <w:rsid w:val="004D2055"/>
    <w:rsid w:val="004D2A8C"/>
    <w:rsid w:val="004D3505"/>
    <w:rsid w:val="004E32DD"/>
    <w:rsid w:val="004F5171"/>
    <w:rsid w:val="00506302"/>
    <w:rsid w:val="005067C9"/>
    <w:rsid w:val="0051005F"/>
    <w:rsid w:val="0051006C"/>
    <w:rsid w:val="005120D5"/>
    <w:rsid w:val="005121D0"/>
    <w:rsid w:val="00515728"/>
    <w:rsid w:val="00517A2C"/>
    <w:rsid w:val="005309CF"/>
    <w:rsid w:val="00534681"/>
    <w:rsid w:val="00535D84"/>
    <w:rsid w:val="00545475"/>
    <w:rsid w:val="00546AD4"/>
    <w:rsid w:val="005500C8"/>
    <w:rsid w:val="0055329F"/>
    <w:rsid w:val="0056068E"/>
    <w:rsid w:val="00563442"/>
    <w:rsid w:val="0056348E"/>
    <w:rsid w:val="00565B42"/>
    <w:rsid w:val="00584426"/>
    <w:rsid w:val="005B1493"/>
    <w:rsid w:val="005B26BB"/>
    <w:rsid w:val="005B327A"/>
    <w:rsid w:val="005B35E2"/>
    <w:rsid w:val="005C4CE6"/>
    <w:rsid w:val="005C7AFE"/>
    <w:rsid w:val="005D190F"/>
    <w:rsid w:val="005E1034"/>
    <w:rsid w:val="005E4259"/>
    <w:rsid w:val="005E6C0F"/>
    <w:rsid w:val="00606B72"/>
    <w:rsid w:val="006122BA"/>
    <w:rsid w:val="00621853"/>
    <w:rsid w:val="00627BBE"/>
    <w:rsid w:val="00630058"/>
    <w:rsid w:val="00634B02"/>
    <w:rsid w:val="006468BA"/>
    <w:rsid w:val="006475CE"/>
    <w:rsid w:val="006478BF"/>
    <w:rsid w:val="0067099F"/>
    <w:rsid w:val="00680D4A"/>
    <w:rsid w:val="006940E0"/>
    <w:rsid w:val="006A128C"/>
    <w:rsid w:val="006A2C59"/>
    <w:rsid w:val="006A32EC"/>
    <w:rsid w:val="006A5E62"/>
    <w:rsid w:val="006A6AB3"/>
    <w:rsid w:val="006A73C1"/>
    <w:rsid w:val="006B2290"/>
    <w:rsid w:val="006C2922"/>
    <w:rsid w:val="006C331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199"/>
    <w:rsid w:val="00717D88"/>
    <w:rsid w:val="00720C33"/>
    <w:rsid w:val="00722C37"/>
    <w:rsid w:val="00726A43"/>
    <w:rsid w:val="00730D96"/>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24874"/>
    <w:rsid w:val="008511A2"/>
    <w:rsid w:val="0085586B"/>
    <w:rsid w:val="008559B6"/>
    <w:rsid w:val="00864D88"/>
    <w:rsid w:val="00865B74"/>
    <w:rsid w:val="00866063"/>
    <w:rsid w:val="008705AD"/>
    <w:rsid w:val="0087169D"/>
    <w:rsid w:val="008721D1"/>
    <w:rsid w:val="00872696"/>
    <w:rsid w:val="00872AE1"/>
    <w:rsid w:val="00872EF1"/>
    <w:rsid w:val="008732C5"/>
    <w:rsid w:val="00876E87"/>
    <w:rsid w:val="008837EB"/>
    <w:rsid w:val="008858C0"/>
    <w:rsid w:val="00894F9D"/>
    <w:rsid w:val="008974F0"/>
    <w:rsid w:val="008A07E2"/>
    <w:rsid w:val="008A1499"/>
    <w:rsid w:val="008A4572"/>
    <w:rsid w:val="008A5DA1"/>
    <w:rsid w:val="008B012A"/>
    <w:rsid w:val="008B3CF9"/>
    <w:rsid w:val="008B63B7"/>
    <w:rsid w:val="008C5994"/>
    <w:rsid w:val="008C751D"/>
    <w:rsid w:val="008D0CDC"/>
    <w:rsid w:val="008D29B5"/>
    <w:rsid w:val="008E2DBA"/>
    <w:rsid w:val="008E4BDA"/>
    <w:rsid w:val="009064CD"/>
    <w:rsid w:val="00906E17"/>
    <w:rsid w:val="009077A9"/>
    <w:rsid w:val="00914CA2"/>
    <w:rsid w:val="0092275B"/>
    <w:rsid w:val="0092334D"/>
    <w:rsid w:val="00924F54"/>
    <w:rsid w:val="00930BA1"/>
    <w:rsid w:val="0093169E"/>
    <w:rsid w:val="00934AE2"/>
    <w:rsid w:val="00937E77"/>
    <w:rsid w:val="00946439"/>
    <w:rsid w:val="009474E9"/>
    <w:rsid w:val="0095024A"/>
    <w:rsid w:val="009505C9"/>
    <w:rsid w:val="00950752"/>
    <w:rsid w:val="00953C88"/>
    <w:rsid w:val="00966424"/>
    <w:rsid w:val="0097090A"/>
    <w:rsid w:val="00970F0C"/>
    <w:rsid w:val="009742E4"/>
    <w:rsid w:val="00975BD8"/>
    <w:rsid w:val="00977B58"/>
    <w:rsid w:val="00982FB6"/>
    <w:rsid w:val="00993D5C"/>
    <w:rsid w:val="009A5423"/>
    <w:rsid w:val="009A7780"/>
    <w:rsid w:val="009B36DD"/>
    <w:rsid w:val="009B40AD"/>
    <w:rsid w:val="009B6874"/>
    <w:rsid w:val="009C2DE6"/>
    <w:rsid w:val="009C3487"/>
    <w:rsid w:val="009D0374"/>
    <w:rsid w:val="009D3997"/>
    <w:rsid w:val="009F60BA"/>
    <w:rsid w:val="00A02E2B"/>
    <w:rsid w:val="00A0406F"/>
    <w:rsid w:val="00A111D1"/>
    <w:rsid w:val="00A146BC"/>
    <w:rsid w:val="00A1592A"/>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B159DD"/>
    <w:rsid w:val="00B26692"/>
    <w:rsid w:val="00B3369F"/>
    <w:rsid w:val="00B33732"/>
    <w:rsid w:val="00B3640E"/>
    <w:rsid w:val="00B40B35"/>
    <w:rsid w:val="00B45BD6"/>
    <w:rsid w:val="00B51FC6"/>
    <w:rsid w:val="00B52112"/>
    <w:rsid w:val="00B54B17"/>
    <w:rsid w:val="00B60D7D"/>
    <w:rsid w:val="00B63642"/>
    <w:rsid w:val="00B7407D"/>
    <w:rsid w:val="00B8057B"/>
    <w:rsid w:val="00B831CC"/>
    <w:rsid w:val="00B92FE8"/>
    <w:rsid w:val="00B94E6C"/>
    <w:rsid w:val="00BA1492"/>
    <w:rsid w:val="00BB4606"/>
    <w:rsid w:val="00BC33BC"/>
    <w:rsid w:val="00BD05D1"/>
    <w:rsid w:val="00BD0704"/>
    <w:rsid w:val="00BD1413"/>
    <w:rsid w:val="00BD4249"/>
    <w:rsid w:val="00BD4C8E"/>
    <w:rsid w:val="00BD5EC0"/>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A03E9"/>
    <w:rsid w:val="00CA0C1D"/>
    <w:rsid w:val="00CA1681"/>
    <w:rsid w:val="00CA3749"/>
    <w:rsid w:val="00CB048A"/>
    <w:rsid w:val="00CB3888"/>
    <w:rsid w:val="00CB4B29"/>
    <w:rsid w:val="00CC4ACD"/>
    <w:rsid w:val="00CC5B99"/>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95A56"/>
    <w:rsid w:val="00D95BB6"/>
    <w:rsid w:val="00D97CE9"/>
    <w:rsid w:val="00DB3D5B"/>
    <w:rsid w:val="00DB553F"/>
    <w:rsid w:val="00DB5E0F"/>
    <w:rsid w:val="00DB778F"/>
    <w:rsid w:val="00DC4560"/>
    <w:rsid w:val="00DC54C9"/>
    <w:rsid w:val="00DC5BBE"/>
    <w:rsid w:val="00DD0C07"/>
    <w:rsid w:val="00DD118C"/>
    <w:rsid w:val="00DD171F"/>
    <w:rsid w:val="00DD1E79"/>
    <w:rsid w:val="00DD6138"/>
    <w:rsid w:val="00DE765C"/>
    <w:rsid w:val="00E061FA"/>
    <w:rsid w:val="00E104A9"/>
    <w:rsid w:val="00E17923"/>
    <w:rsid w:val="00E20BBE"/>
    <w:rsid w:val="00E27662"/>
    <w:rsid w:val="00E2B738"/>
    <w:rsid w:val="00E328E6"/>
    <w:rsid w:val="00E347B8"/>
    <w:rsid w:val="00E51640"/>
    <w:rsid w:val="00E51951"/>
    <w:rsid w:val="00E551AF"/>
    <w:rsid w:val="00E5726A"/>
    <w:rsid w:val="00E6514F"/>
    <w:rsid w:val="00E66235"/>
    <w:rsid w:val="00E6704E"/>
    <w:rsid w:val="00E77510"/>
    <w:rsid w:val="00E83C24"/>
    <w:rsid w:val="00E9318D"/>
    <w:rsid w:val="00E93F3E"/>
    <w:rsid w:val="00EA2DB9"/>
    <w:rsid w:val="00EC011D"/>
    <w:rsid w:val="00EC1C76"/>
    <w:rsid w:val="00EC5AB9"/>
    <w:rsid w:val="00EC73F4"/>
    <w:rsid w:val="00ED09F3"/>
    <w:rsid w:val="00EF1D55"/>
    <w:rsid w:val="00EF3151"/>
    <w:rsid w:val="00EF4C17"/>
    <w:rsid w:val="00F05C85"/>
    <w:rsid w:val="00F063C2"/>
    <w:rsid w:val="00F30226"/>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70AE"/>
    <w:rsid w:val="00FE12A8"/>
    <w:rsid w:val="00FE1F73"/>
    <w:rsid w:val="00FE23CF"/>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BDEFBE-A30A-4689-BD1B-AAA71F8C6672}"/>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7</TotalTime>
  <Pages>3</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6909</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CBD/COP/17/L.22</dc:subject>
  <dc:creator>Veronique Lefebvre</dc:creator>
  <cp:keywords>Convention on Biological Diversity</cp:keywords>
  <cp:lastModifiedBy>Veronique Lefebvre</cp:lastModifiedBy>
  <cp:revision>7</cp:revision>
  <cp:lastPrinted>2020-01-22T16:56:00Z</cp:lastPrinted>
  <dcterms:created xsi:type="dcterms:W3CDTF">2026-11-05T19:14:00Z</dcterms:created>
  <dcterms:modified xsi:type="dcterms:W3CDTF">2026-11-05T19:19:00Z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