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6718E" w:rsidRPr="00EF524D" w14:paraId="305084C6" w14:textId="77777777" w:rsidTr="00EB2EEB">
        <w:trPr>
          <w:trHeight w:val="851"/>
        </w:trPr>
        <w:tc>
          <w:tcPr>
            <w:tcW w:w="976" w:type="dxa"/>
            <w:tcBorders>
              <w:bottom w:val="single" w:sz="12" w:space="0" w:color="auto"/>
            </w:tcBorders>
          </w:tcPr>
          <w:p w14:paraId="03D27032" w14:textId="77777777" w:rsidR="0036718E" w:rsidRPr="00EF524D" w:rsidRDefault="0036718E" w:rsidP="0036718E">
            <w:pPr>
              <w:jc w:val="left"/>
            </w:pPr>
            <w:r w:rsidRPr="00EF524D">
              <w:drawing>
                <wp:inline distT="0" distB="0" distL="0" distR="0" wp14:anchorId="6A4A946E" wp14:editId="4A2D1D9F">
                  <wp:extent cx="476494" cy="403200"/>
                  <wp:effectExtent l="0" t="0" r="6350" b="3810"/>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B26F0A0" w14:textId="5C27976A" w:rsidR="0036718E" w:rsidRPr="00EF524D" w:rsidRDefault="002C3225" w:rsidP="0036718E">
            <w:pPr>
              <w:jc w:val="left"/>
            </w:pPr>
            <w:r w:rsidRPr="00EF524D">
              <w:drawing>
                <wp:anchor distT="0" distB="0" distL="114300" distR="114300" simplePos="0" relativeHeight="251659264" behindDoc="0" locked="0" layoutInCell="1" allowOverlap="1" wp14:anchorId="75E8B670" wp14:editId="7B676D29">
                  <wp:simplePos x="0" y="0"/>
                  <wp:positionH relativeFrom="column">
                    <wp:posOffset>1270</wp:posOffset>
                  </wp:positionH>
                  <wp:positionV relativeFrom="paragraph">
                    <wp:posOffset>6350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5FEA0862" w14:textId="77777777" w:rsidR="0036718E" w:rsidRPr="00EF524D" w:rsidRDefault="0036718E" w:rsidP="00465EC7">
            <w:pPr>
              <w:jc w:val="right"/>
              <w:rPr>
                <w:rFonts w:asciiTheme="minorBidi" w:hAnsiTheme="minorBidi" w:cstheme="minorBidi"/>
                <w:b/>
                <w:sz w:val="32"/>
                <w:szCs w:val="32"/>
              </w:rPr>
            </w:pPr>
            <w:proofErr w:type="spellStart"/>
            <w:r w:rsidRPr="00EF524D">
              <w:rPr>
                <w:rFonts w:asciiTheme="minorBidi" w:hAnsiTheme="minorBidi"/>
                <w:b/>
                <w:sz w:val="32"/>
                <w:szCs w:val="32"/>
              </w:rPr>
              <w:t>CBD</w:t>
            </w:r>
            <w:proofErr w:type="spellEnd"/>
          </w:p>
        </w:tc>
      </w:tr>
      <w:tr w:rsidR="0036718E" w:rsidRPr="00EF524D" w14:paraId="307418F9" w14:textId="77777777" w:rsidTr="00EB2EEB">
        <w:tc>
          <w:tcPr>
            <w:tcW w:w="6117" w:type="dxa"/>
            <w:gridSpan w:val="2"/>
            <w:tcBorders>
              <w:top w:val="single" w:sz="12" w:space="0" w:color="auto"/>
              <w:bottom w:val="single" w:sz="36" w:space="0" w:color="auto"/>
            </w:tcBorders>
            <w:vAlign w:val="center"/>
          </w:tcPr>
          <w:p w14:paraId="1C026C5C" w14:textId="0397E520" w:rsidR="0036718E" w:rsidRPr="00EF524D" w:rsidRDefault="0078456F" w:rsidP="0036718E">
            <w:pPr>
              <w:jc w:val="left"/>
            </w:pPr>
            <w:r w:rsidRPr="00EF524D">
              <w:rPr>
                <w:kern w:val="22"/>
              </w:rPr>
              <w:drawing>
                <wp:inline distT="0" distB="0" distL="0" distR="0" wp14:anchorId="753DBE8F" wp14:editId="5CC46E2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403C364" w14:textId="77777777" w:rsidR="0036718E" w:rsidRPr="00EF524D" w:rsidRDefault="0036718E" w:rsidP="006D1A5F">
            <w:pPr>
              <w:ind w:left="1036"/>
              <w:jc w:val="left"/>
            </w:pPr>
            <w:proofErr w:type="spellStart"/>
            <w:r w:rsidRPr="00EF524D">
              <w:t>Distr</w:t>
            </w:r>
            <w:proofErr w:type="spellEnd"/>
            <w:r w:rsidRPr="00EF524D">
              <w:t>.</w:t>
            </w:r>
          </w:p>
          <w:p w14:paraId="3F6B8F1F" w14:textId="77777777" w:rsidR="0036718E" w:rsidRPr="00EF524D" w:rsidRDefault="0036718E" w:rsidP="006D1A5F">
            <w:pPr>
              <w:ind w:left="1036"/>
              <w:jc w:val="left"/>
            </w:pPr>
            <w:r w:rsidRPr="00EF524D">
              <w:t>GENERAL</w:t>
            </w:r>
          </w:p>
          <w:p w14:paraId="1C5E7028" w14:textId="77777777" w:rsidR="0036718E" w:rsidRPr="00EF524D" w:rsidRDefault="0036718E" w:rsidP="006D1A5F">
            <w:pPr>
              <w:ind w:left="1036"/>
              <w:jc w:val="left"/>
              <w:rPr>
                <w:lang w:eastAsia="en-CA"/>
              </w:rPr>
            </w:pPr>
          </w:p>
          <w:p w14:paraId="6E01647A" w14:textId="4FD58C16" w:rsidR="0036718E" w:rsidRPr="00EF524D" w:rsidRDefault="00DE4473" w:rsidP="006D1A5F">
            <w:pPr>
              <w:ind w:left="1036"/>
              <w:jc w:val="left"/>
            </w:pPr>
            <w:sdt>
              <w:sdtPr>
                <w:alias w:val="Subject"/>
                <w:tag w:val=""/>
                <w:id w:val="2137136483"/>
                <w:placeholder>
                  <w:docPart w:val="D95C4351E09249E3B2650D0ACD552D89"/>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FB2DDA" w:rsidRPr="00EF524D">
                  <w:rPr>
                    <w:lang w:eastAsia="en-CA"/>
                  </w:rPr>
                  <w:t>CBD</w:t>
                </w:r>
                <w:proofErr w:type="spellEnd"/>
                <w:r w:rsidR="00FB2DDA" w:rsidRPr="00EF524D">
                  <w:rPr>
                    <w:lang w:eastAsia="en-CA"/>
                  </w:rPr>
                  <w:t>/WG2020/5/4</w:t>
                </w:r>
              </w:sdtContent>
            </w:sdt>
          </w:p>
          <w:p w14:paraId="46789421" w14:textId="39B1D093" w:rsidR="0036718E" w:rsidRPr="00EF524D" w:rsidRDefault="00FB2DDA" w:rsidP="006D1A5F">
            <w:pPr>
              <w:ind w:left="1036"/>
              <w:jc w:val="left"/>
            </w:pPr>
            <w:r w:rsidRPr="00EF524D">
              <w:t>25 de noviembre de 20</w:t>
            </w:r>
            <w:r w:rsidR="00D747F6" w:rsidRPr="00EF524D">
              <w:t>22</w:t>
            </w:r>
          </w:p>
          <w:p w14:paraId="1AD7A0EA" w14:textId="77777777" w:rsidR="0036718E" w:rsidRPr="00EF524D" w:rsidRDefault="0036718E" w:rsidP="006D1A5F">
            <w:pPr>
              <w:ind w:left="1036"/>
              <w:jc w:val="left"/>
              <w:rPr>
                <w:lang w:eastAsia="en-CA"/>
              </w:rPr>
            </w:pPr>
          </w:p>
          <w:p w14:paraId="5D44EC33" w14:textId="77777777" w:rsidR="0036718E" w:rsidRPr="00EF524D" w:rsidRDefault="0036718E" w:rsidP="006D1A5F">
            <w:pPr>
              <w:ind w:left="1036"/>
              <w:jc w:val="left"/>
            </w:pPr>
            <w:r w:rsidRPr="00EF524D">
              <w:t>ESPAÑOL</w:t>
            </w:r>
            <w:r w:rsidRPr="00EF524D">
              <w:br/>
              <w:t>ORIGINAL: INGLÉS</w:t>
            </w:r>
          </w:p>
          <w:p w14:paraId="38264D66" w14:textId="77777777" w:rsidR="0036718E" w:rsidRPr="00EF524D" w:rsidRDefault="0036718E" w:rsidP="006D1A5F">
            <w:pPr>
              <w:ind w:left="1036"/>
              <w:jc w:val="left"/>
              <w:rPr>
                <w:lang w:eastAsia="en-CA"/>
              </w:rPr>
            </w:pPr>
          </w:p>
        </w:tc>
      </w:tr>
    </w:tbl>
    <w:p w14:paraId="70EED6E7" w14:textId="28E85968" w:rsidR="0036718E" w:rsidRPr="00EF524D" w:rsidRDefault="0036718E" w:rsidP="00410FC9">
      <w:pPr>
        <w:ind w:left="142" w:right="5249" w:hanging="142"/>
        <w:jc w:val="left"/>
      </w:pPr>
      <w:r w:rsidRPr="00EF524D">
        <w:t xml:space="preserve">GRUPO </w:t>
      </w:r>
      <w:r w:rsidR="00C72962" w:rsidRPr="00EF524D">
        <w:t>DE TRABAJO</w:t>
      </w:r>
      <w:r w:rsidRPr="00EF524D">
        <w:t xml:space="preserve"> DE </w:t>
      </w:r>
      <w:r w:rsidR="00410FC9" w:rsidRPr="00EF524D">
        <w:br/>
      </w:r>
      <w:r w:rsidRPr="00EF524D">
        <w:t>COMPOSICIÓN ABIERTA</w:t>
      </w:r>
      <w:r w:rsidR="00410FC9" w:rsidRPr="00EF524D">
        <w:t xml:space="preserve"> </w:t>
      </w:r>
      <w:r w:rsidRPr="00EF524D">
        <w:t xml:space="preserve">SOBRE EL MARCO MUNDIAL DE LA DIVERSIDAD BIOLÓGICA </w:t>
      </w:r>
      <w:r w:rsidR="00410FC9" w:rsidRPr="00EF524D">
        <w:br/>
      </w:r>
      <w:r w:rsidRPr="00EF524D">
        <w:t>POSTERIOR A 2020</w:t>
      </w:r>
    </w:p>
    <w:p w14:paraId="15B762F1" w14:textId="62BE42A0" w:rsidR="0036718E" w:rsidRPr="00EF524D" w:rsidRDefault="0036718E" w:rsidP="006D1A5F">
      <w:pPr>
        <w:ind w:left="142" w:right="5249" w:hanging="142"/>
        <w:jc w:val="left"/>
      </w:pPr>
      <w:r w:rsidRPr="00EF524D">
        <w:t>Quinta reunión</w:t>
      </w:r>
    </w:p>
    <w:p w14:paraId="375B7751" w14:textId="219EC3F3" w:rsidR="0036718E" w:rsidRPr="00EF524D" w:rsidRDefault="0036718E" w:rsidP="006D1A5F">
      <w:pPr>
        <w:ind w:left="142" w:right="5249" w:hanging="142"/>
        <w:jc w:val="left"/>
      </w:pPr>
      <w:r w:rsidRPr="00EF524D">
        <w:t>Montreal, 3 al 5 de diciembre de 2022</w:t>
      </w:r>
    </w:p>
    <w:p w14:paraId="4AFD2801" w14:textId="338BBB4E" w:rsidR="0036718E" w:rsidRPr="00EF524D" w:rsidRDefault="0036718E" w:rsidP="006D1A5F">
      <w:pPr>
        <w:ind w:left="142" w:right="5249" w:hanging="142"/>
        <w:jc w:val="left"/>
      </w:pPr>
      <w:r w:rsidRPr="00EF524D">
        <w:t>Tema 4 del programa provisional</w:t>
      </w:r>
      <w:r w:rsidRPr="00EF524D">
        <w:rPr>
          <w:rStyle w:val="FootnoteReference"/>
          <w:lang w:eastAsia="en-CA"/>
        </w:rPr>
        <w:footnoteReference w:customMarkFollows="1" w:id="2"/>
        <w:t>*</w:t>
      </w:r>
    </w:p>
    <w:p w14:paraId="2C9A34B3" w14:textId="77777777" w:rsidR="00781211" w:rsidRPr="00EF524D" w:rsidRDefault="00781211" w:rsidP="0036718E">
      <w:pPr>
        <w:jc w:val="left"/>
        <w:rPr>
          <w:lang w:eastAsia="en-CA"/>
        </w:rPr>
      </w:pPr>
    </w:p>
    <w:p w14:paraId="6CF49670" w14:textId="71415A0F" w:rsidR="0036718E" w:rsidRPr="00EF524D" w:rsidRDefault="00DE4473" w:rsidP="00542C37">
      <w:pPr>
        <w:jc w:val="center"/>
        <w:rPr>
          <w:b/>
        </w:rPr>
      </w:pPr>
      <w:sdt>
        <w:sdtPr>
          <w:rPr>
            <w:rFonts w:ascii="Times New Roman Bold" w:hAnsi="Times New Roman Bold" w:cs="Times New Roman Bold"/>
            <w:b/>
            <w:bCs/>
            <w:snapToGrid w:val="0"/>
            <w:spacing w:val="-8"/>
            <w:kern w:val="22"/>
            <w:szCs w:val="22"/>
          </w:rPr>
          <w:alias w:val="Title"/>
          <w:tag w:val=""/>
          <w:id w:val="772832786"/>
          <w:placeholder>
            <w:docPart w:val="9763D49CB5554CD699A048821A630D2B"/>
          </w:placeholder>
          <w:dataBinding w:prefixMappings="xmlns:ns0='http://purl.org/dc/elements/1.1/' xmlns:ns1='http://schemas.openxmlformats.org/package/2006/metadata/core-properties' " w:xpath="/ns1:coreProperties[1]/ns0:title[1]" w:storeItemID="{6C3C8BC8-F283-45AE-878A-BAB7291924A1}"/>
          <w:text/>
        </w:sdtPr>
        <w:sdtEndPr/>
        <w:sdtContent>
          <w:r w:rsidR="00C22F10" w:rsidRPr="00EF524D">
            <w:rPr>
              <w:rFonts w:ascii="Times New Roman Bold" w:hAnsi="Times New Roman Bold" w:cs="Times New Roman Bold"/>
              <w:b/>
              <w:bCs/>
              <w:snapToGrid w:val="0"/>
              <w:spacing w:val="-8"/>
              <w:kern w:val="22"/>
              <w:szCs w:val="22"/>
            </w:rPr>
            <w:t>GLOSARIO ACTUALIZADO PARA EL PROYECTO DE MARCO MUNDIAL DE LA DIVERSIDAD BIOLÓGICA POSTERIOR A 2020</w:t>
          </w:r>
        </w:sdtContent>
      </w:sdt>
    </w:p>
    <w:p w14:paraId="0185D524" w14:textId="77777777" w:rsidR="00781211" w:rsidRPr="00EF524D" w:rsidRDefault="00781211" w:rsidP="0036718E">
      <w:pPr>
        <w:jc w:val="left"/>
        <w:rPr>
          <w:bCs/>
          <w:i/>
          <w:iCs/>
          <w:lang w:eastAsia="en-CA"/>
        </w:rPr>
      </w:pPr>
    </w:p>
    <w:p w14:paraId="41CB7756" w14:textId="5A6DD3EF" w:rsidR="00781211" w:rsidRPr="00EF524D" w:rsidRDefault="0036718E" w:rsidP="006D1A5F">
      <w:pPr>
        <w:jc w:val="center"/>
        <w:rPr>
          <w:b/>
        </w:rPr>
      </w:pPr>
      <w:r w:rsidRPr="00EF524D">
        <w:rPr>
          <w:bCs/>
          <w:i/>
          <w:iCs/>
        </w:rPr>
        <w:t>Nota de la Secretaria Ejecutiva</w:t>
      </w:r>
    </w:p>
    <w:p w14:paraId="7F807E5D" w14:textId="3E173556" w:rsidR="00A40DCA" w:rsidRPr="00EF524D" w:rsidRDefault="00A40DCA" w:rsidP="006D1A5F">
      <w:pPr>
        <w:pStyle w:val="Para1"/>
        <w:numPr>
          <w:ilvl w:val="0"/>
          <w:numId w:val="19"/>
        </w:numPr>
        <w:tabs>
          <w:tab w:val="clear" w:pos="360"/>
          <w:tab w:val="num" w:pos="709"/>
        </w:tabs>
        <w:rPr>
          <w:snapToGrid/>
          <w:szCs w:val="24"/>
        </w:rPr>
      </w:pPr>
      <w:r w:rsidRPr="00EF524D">
        <w:rPr>
          <w:snapToGrid/>
          <w:szCs w:val="24"/>
        </w:rPr>
        <w:t xml:space="preserve">El presente documento ha sido elaborado por los copresidentes del Grupo de Trabajo de Composición Abierta sobre el Marco Mundial de la Diversidad Biológica posterior a 2020 y proporciona información de referencia para asistir a los participantes en la quinta reunión del Grupo de Trabajo en su examen de los objetivos y metas del proyecto de marco mundial de la diversidad biológica posterior a 2020. Sustituye al glosario para el primer proyecto de marco mundial de la diversidad biológica posterior a 2020 que figura en el documento </w:t>
      </w:r>
      <w:proofErr w:type="spellStart"/>
      <w:r w:rsidRPr="00EF524D">
        <w:rPr>
          <w:snapToGrid/>
          <w:szCs w:val="24"/>
        </w:rPr>
        <w:t>CBD</w:t>
      </w:r>
      <w:proofErr w:type="spellEnd"/>
      <w:r w:rsidRPr="00EF524D">
        <w:rPr>
          <w:snapToGrid/>
          <w:szCs w:val="24"/>
        </w:rPr>
        <w:t>/WG2020/4/2.</w:t>
      </w:r>
    </w:p>
    <w:p w14:paraId="166C4125" w14:textId="520C1469" w:rsidR="00A40DCA" w:rsidRPr="00EF524D" w:rsidRDefault="00A40DCA" w:rsidP="006D1A5F">
      <w:pPr>
        <w:pStyle w:val="Para1"/>
        <w:numPr>
          <w:ilvl w:val="0"/>
          <w:numId w:val="19"/>
        </w:numPr>
        <w:tabs>
          <w:tab w:val="clear" w:pos="360"/>
          <w:tab w:val="num" w:pos="709"/>
        </w:tabs>
      </w:pPr>
      <w:r w:rsidRPr="00EF524D">
        <w:rPr>
          <w:snapToGrid/>
          <w:szCs w:val="24"/>
        </w:rPr>
        <w:t>El documento contiene una lista anotada de términos y conceptos</w:t>
      </w:r>
      <w:r w:rsidR="0036399B">
        <w:rPr>
          <w:snapToGrid/>
          <w:szCs w:val="24"/>
        </w:rPr>
        <w:t xml:space="preserve">, con </w:t>
      </w:r>
      <w:r w:rsidRPr="00EF524D">
        <w:rPr>
          <w:snapToGrid/>
          <w:szCs w:val="24"/>
        </w:rPr>
        <w:t xml:space="preserve">explicaciones y ejemplos </w:t>
      </w:r>
      <w:r w:rsidR="00C93935" w:rsidRPr="00EF524D">
        <w:rPr>
          <w:snapToGrid/>
          <w:szCs w:val="24"/>
        </w:rPr>
        <w:t>relativos a</w:t>
      </w:r>
      <w:r w:rsidRPr="00EF524D">
        <w:rPr>
          <w:snapToGrid/>
          <w:szCs w:val="24"/>
        </w:rPr>
        <w:t xml:space="preserve"> los términos y conceptos </w:t>
      </w:r>
      <w:r w:rsidR="00151AFE" w:rsidRPr="00EF524D">
        <w:rPr>
          <w:snapToGrid/>
          <w:szCs w:val="24"/>
        </w:rPr>
        <w:t>empleados</w:t>
      </w:r>
      <w:r w:rsidRPr="00EF524D">
        <w:rPr>
          <w:snapToGrid/>
          <w:szCs w:val="24"/>
        </w:rPr>
        <w:t xml:space="preserve"> en el proyecto de marco mundial de la diversidad biológica posterior a 2020 (</w:t>
      </w:r>
      <w:proofErr w:type="spellStart"/>
      <w:r w:rsidRPr="00EF524D">
        <w:rPr>
          <w:snapToGrid/>
          <w:szCs w:val="24"/>
        </w:rPr>
        <w:t>CBD</w:t>
      </w:r>
      <w:proofErr w:type="spellEnd"/>
      <w:r w:rsidRPr="00EF524D">
        <w:rPr>
          <w:snapToGrid/>
          <w:szCs w:val="24"/>
        </w:rPr>
        <w:t>/WG2020/4/4)</w:t>
      </w:r>
      <w:r w:rsidR="00997B9B">
        <w:rPr>
          <w:snapToGrid/>
          <w:szCs w:val="24"/>
        </w:rPr>
        <w:t xml:space="preserve"> y </w:t>
      </w:r>
      <w:r w:rsidRPr="00EF524D">
        <w:rPr>
          <w:snapToGrid/>
          <w:szCs w:val="24"/>
        </w:rPr>
        <w:t>en el proyecto de marco de seguimiento (</w:t>
      </w:r>
      <w:proofErr w:type="spellStart"/>
      <w:r w:rsidRPr="00EF524D">
        <w:rPr>
          <w:snapToGrid/>
          <w:szCs w:val="24"/>
        </w:rPr>
        <w:t>CBD</w:t>
      </w:r>
      <w:proofErr w:type="spellEnd"/>
      <w:r w:rsidRPr="00EF524D">
        <w:rPr>
          <w:snapToGrid/>
          <w:szCs w:val="24"/>
        </w:rPr>
        <w:t>/COP/15/2).</w:t>
      </w:r>
      <w:bookmarkStart w:id="0" w:name="_GoBack"/>
      <w:bookmarkEnd w:id="0"/>
    </w:p>
    <w:p w14:paraId="04867CB0" w14:textId="1281EA41" w:rsidR="005D6E0B" w:rsidRPr="00EF524D" w:rsidRDefault="005D6E0B" w:rsidP="00542C37">
      <w:pPr>
        <w:keepNext/>
        <w:jc w:val="center"/>
        <w:rPr>
          <w:kern w:val="22"/>
        </w:rPr>
      </w:pPr>
      <w:r w:rsidRPr="00EF524D">
        <w:br w:type="page"/>
      </w:r>
      <w:r w:rsidRPr="00EF524D">
        <w:rPr>
          <w:b/>
          <w:bCs/>
          <w:szCs w:val="22"/>
        </w:rPr>
        <w:lastRenderedPageBreak/>
        <w:t>Glosario actualizado</w:t>
      </w:r>
    </w:p>
    <w:p w14:paraId="011EA178" w14:textId="77777777" w:rsidR="00525AF7" w:rsidRPr="00EF524D" w:rsidRDefault="00525AF7" w:rsidP="0012663D">
      <w:pPr>
        <w:keepNext/>
        <w:rPr>
          <w:kern w:val="22"/>
        </w:rPr>
      </w:pPr>
    </w:p>
    <w:tbl>
      <w:tblPr>
        <w:tblStyle w:val="TableGrid"/>
        <w:tblpPr w:leftFromText="180" w:rightFromText="180" w:vertAnchor="text" w:tblpXSpec="center" w:tblpY="1"/>
        <w:tblOverlap w:val="never"/>
        <w:tblW w:w="9625" w:type="dxa"/>
        <w:tblLayout w:type="fixed"/>
        <w:tblLook w:val="04A0" w:firstRow="1" w:lastRow="0" w:firstColumn="1" w:lastColumn="0" w:noHBand="0" w:noVBand="1"/>
      </w:tblPr>
      <w:tblGrid>
        <w:gridCol w:w="2137"/>
        <w:gridCol w:w="5958"/>
        <w:gridCol w:w="1530"/>
      </w:tblGrid>
      <w:tr w:rsidR="005D6E0B" w:rsidRPr="00EF524D" w14:paraId="6DBD80F4" w14:textId="77777777" w:rsidTr="00434B1E">
        <w:trPr>
          <w:tblHeader/>
        </w:trPr>
        <w:tc>
          <w:tcPr>
            <w:tcW w:w="2137" w:type="dxa"/>
            <w:shd w:val="clear" w:color="auto" w:fill="F2F2F2" w:themeFill="background1" w:themeFillShade="F2"/>
          </w:tcPr>
          <w:p w14:paraId="366A1D78" w14:textId="77777777" w:rsidR="005D6E0B" w:rsidRPr="00EF524D" w:rsidRDefault="005D6E0B" w:rsidP="00434B1E">
            <w:pPr>
              <w:adjustRightInd w:val="0"/>
              <w:snapToGrid w:val="0"/>
              <w:spacing w:before="60" w:after="60"/>
              <w:jc w:val="center"/>
              <w:rPr>
                <w:b/>
                <w:kern w:val="22"/>
                <w:szCs w:val="22"/>
              </w:rPr>
            </w:pPr>
            <w:r w:rsidRPr="00EF524D">
              <w:rPr>
                <w:b/>
                <w:szCs w:val="22"/>
              </w:rPr>
              <w:t>Concepto/término</w:t>
            </w:r>
          </w:p>
        </w:tc>
        <w:tc>
          <w:tcPr>
            <w:tcW w:w="5958" w:type="dxa"/>
            <w:shd w:val="clear" w:color="auto" w:fill="F2F2F2" w:themeFill="background1" w:themeFillShade="F2"/>
          </w:tcPr>
          <w:p w14:paraId="1FF9460B" w14:textId="77777777" w:rsidR="005D6E0B" w:rsidRPr="00EF524D" w:rsidRDefault="005D6E0B" w:rsidP="00434B1E">
            <w:pPr>
              <w:adjustRightInd w:val="0"/>
              <w:snapToGrid w:val="0"/>
              <w:spacing w:before="60" w:after="60"/>
              <w:jc w:val="center"/>
              <w:rPr>
                <w:b/>
                <w:kern w:val="22"/>
                <w:szCs w:val="22"/>
              </w:rPr>
            </w:pPr>
            <w:r w:rsidRPr="00EF524D">
              <w:rPr>
                <w:b/>
                <w:szCs w:val="22"/>
              </w:rPr>
              <w:t>Anotación</w:t>
            </w:r>
          </w:p>
        </w:tc>
        <w:tc>
          <w:tcPr>
            <w:tcW w:w="1530" w:type="dxa"/>
            <w:shd w:val="clear" w:color="auto" w:fill="F2F2F2" w:themeFill="background1" w:themeFillShade="F2"/>
          </w:tcPr>
          <w:p w14:paraId="3900C620" w14:textId="5909E5F6" w:rsidR="005D6E0B" w:rsidRPr="00EF524D" w:rsidRDefault="005D6E0B" w:rsidP="00434B1E">
            <w:pPr>
              <w:adjustRightInd w:val="0"/>
              <w:snapToGrid w:val="0"/>
              <w:spacing w:before="60" w:after="60"/>
              <w:jc w:val="center"/>
              <w:rPr>
                <w:b/>
                <w:kern w:val="22"/>
                <w:szCs w:val="22"/>
              </w:rPr>
            </w:pPr>
            <w:r w:rsidRPr="00EF524D">
              <w:rPr>
                <w:b/>
                <w:szCs w:val="22"/>
              </w:rPr>
              <w:t>Objetivo/</w:t>
            </w:r>
            <w:r w:rsidR="00E621E9" w:rsidRPr="00EF524D">
              <w:rPr>
                <w:b/>
                <w:szCs w:val="22"/>
              </w:rPr>
              <w:br/>
            </w:r>
            <w:r w:rsidRPr="00EF524D">
              <w:rPr>
                <w:b/>
                <w:szCs w:val="22"/>
              </w:rPr>
              <w:t>Meta</w:t>
            </w:r>
          </w:p>
        </w:tc>
      </w:tr>
      <w:tr w:rsidR="005D6E0B" w:rsidRPr="00EF524D" w14:paraId="48ACA07C" w14:textId="77777777" w:rsidTr="00434B1E">
        <w:tc>
          <w:tcPr>
            <w:tcW w:w="2137" w:type="dxa"/>
          </w:tcPr>
          <w:p w14:paraId="1A090DD9" w14:textId="77777777" w:rsidR="005D6E0B" w:rsidRPr="00EF524D" w:rsidRDefault="005D6E0B" w:rsidP="00434B1E">
            <w:pPr>
              <w:adjustRightInd w:val="0"/>
              <w:snapToGrid w:val="0"/>
              <w:spacing w:before="60" w:after="60"/>
              <w:jc w:val="left"/>
              <w:rPr>
                <w:kern w:val="22"/>
                <w:szCs w:val="22"/>
              </w:rPr>
            </w:pPr>
            <w:r w:rsidRPr="00EF524D">
              <w:t>Poblaciones saludables y resilientes</w:t>
            </w:r>
          </w:p>
        </w:tc>
        <w:tc>
          <w:tcPr>
            <w:tcW w:w="5958" w:type="dxa"/>
          </w:tcPr>
          <w:p w14:paraId="68650563" w14:textId="77777777" w:rsidR="005D6E0B" w:rsidRPr="00EF524D" w:rsidRDefault="005D6E0B" w:rsidP="00434B1E">
            <w:pPr>
              <w:adjustRightInd w:val="0"/>
              <w:snapToGrid w:val="0"/>
              <w:spacing w:before="60" w:after="60"/>
              <w:rPr>
                <w:kern w:val="22"/>
                <w:szCs w:val="22"/>
              </w:rPr>
            </w:pPr>
            <w:r w:rsidRPr="00EF524D">
              <w:t>Demográfica y genéticamente viables, lo que permite su supervivencia y adaptabilidad a largo plazo.</w:t>
            </w:r>
          </w:p>
          <w:p w14:paraId="068C92B7" w14:textId="39499687" w:rsidR="005D6E0B" w:rsidRPr="00EF524D" w:rsidRDefault="005D6E0B" w:rsidP="00962224">
            <w:pPr>
              <w:adjustRightInd w:val="0"/>
              <w:snapToGrid w:val="0"/>
              <w:spacing w:before="60" w:after="60"/>
              <w:rPr>
                <w:kern w:val="22"/>
                <w:szCs w:val="22"/>
              </w:rPr>
            </w:pPr>
            <w:r w:rsidRPr="00EF524D">
              <w:t>(</w:t>
            </w:r>
            <w:proofErr w:type="spellStart"/>
            <w:r w:rsidR="001A1CB2" w:rsidRPr="00EF524D">
              <w:fldChar w:fldCharType="begin"/>
            </w:r>
            <w:r w:rsidR="001A1CB2" w:rsidRPr="00EF524D">
              <w:instrText xml:space="preserve"> HYPERLINK "https://www.cbd.int/doc/c/e84f/0c78/ba6891ab46342d7ae6f59816/sbstta-24-03-add2-rev1-es.pdf" </w:instrText>
            </w:r>
            <w:r w:rsidR="001A1CB2" w:rsidRPr="00EF524D">
              <w:fldChar w:fldCharType="separate"/>
            </w:r>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/24/3/Add.2/Rev.1</w:t>
            </w:r>
            <w:r w:rsidR="001A1CB2" w:rsidRPr="00EF524D">
              <w:rPr>
                <w:rStyle w:val="Hyperlink"/>
                <w:sz w:val="22"/>
                <w:szCs w:val="22"/>
              </w:rPr>
              <w:fldChar w:fldCharType="end"/>
            </w:r>
            <w:r w:rsidRPr="00EF524D">
              <w:t xml:space="preserve">, </w:t>
            </w:r>
            <w:r w:rsidR="00962224" w:rsidRPr="00EF524D">
              <w:t>párr.</w:t>
            </w:r>
            <w:r w:rsidRPr="00EF524D">
              <w:t xml:space="preserve"> 25)</w:t>
            </w:r>
          </w:p>
        </w:tc>
        <w:tc>
          <w:tcPr>
            <w:tcW w:w="1530" w:type="dxa"/>
          </w:tcPr>
          <w:p w14:paraId="59E53199"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37D8D7EE" w14:textId="77777777" w:rsidTr="00434B1E">
        <w:tc>
          <w:tcPr>
            <w:tcW w:w="2137" w:type="dxa"/>
          </w:tcPr>
          <w:p w14:paraId="21959016" w14:textId="77777777" w:rsidR="005D6E0B" w:rsidRPr="00EF524D" w:rsidRDefault="005D6E0B" w:rsidP="00434B1E">
            <w:pPr>
              <w:adjustRightInd w:val="0"/>
              <w:snapToGrid w:val="0"/>
              <w:spacing w:before="60" w:after="60"/>
              <w:jc w:val="left"/>
              <w:rPr>
                <w:kern w:val="22"/>
                <w:szCs w:val="22"/>
              </w:rPr>
            </w:pPr>
            <w:r w:rsidRPr="00EF524D">
              <w:t>Necesidades de las personas</w:t>
            </w:r>
          </w:p>
        </w:tc>
        <w:tc>
          <w:tcPr>
            <w:tcW w:w="5958" w:type="dxa"/>
          </w:tcPr>
          <w:p w14:paraId="01C56A12" w14:textId="77777777" w:rsidR="005D6E0B" w:rsidRPr="00EF524D" w:rsidRDefault="005D6E0B" w:rsidP="00434B1E">
            <w:pPr>
              <w:adjustRightInd w:val="0"/>
              <w:snapToGrid w:val="0"/>
              <w:spacing w:before="60" w:after="60"/>
              <w:rPr>
                <w:kern w:val="22"/>
                <w:szCs w:val="22"/>
              </w:rPr>
            </w:pPr>
            <w:r w:rsidRPr="00EF524D">
              <w:t>Las necesidades de las personas incluyen aire limpio, agua, alimentos, fibras, refugio, un clima seguro, seguridad energética (por ejemplo, para combustible, para cocinar, para la calefacción), medios de vida seguros, y salud y bienestar espiritual.</w:t>
            </w:r>
          </w:p>
          <w:p w14:paraId="0D82F25C" w14:textId="77777777" w:rsidR="005D6E0B" w:rsidRPr="00EF524D" w:rsidRDefault="005D6E0B" w:rsidP="00434B1E">
            <w:pPr>
              <w:adjustRightInd w:val="0"/>
              <w:snapToGrid w:val="0"/>
              <w:spacing w:before="60" w:after="60"/>
              <w:rPr>
                <w:kern w:val="22"/>
                <w:szCs w:val="22"/>
              </w:rPr>
            </w:pPr>
            <w:r w:rsidRPr="00EF524D">
              <w:t xml:space="preserve">(Basado en la </w:t>
            </w:r>
            <w:r w:rsidRPr="00EF524D">
              <w:rPr>
                <w:i/>
                <w:iCs/>
                <w:szCs w:val="22"/>
              </w:rPr>
              <w:t xml:space="preserve">Evaluación Mundial </w:t>
            </w:r>
            <w:r w:rsidRPr="00EF524D">
              <w:t>de la IPBES, 2019)</w:t>
            </w:r>
          </w:p>
        </w:tc>
        <w:tc>
          <w:tcPr>
            <w:tcW w:w="1530" w:type="dxa"/>
          </w:tcPr>
          <w:p w14:paraId="73986147" w14:textId="546AEA6B" w:rsidR="005D6E0B" w:rsidRPr="00EF524D" w:rsidRDefault="005D6E0B" w:rsidP="00434B1E">
            <w:pPr>
              <w:adjustRightInd w:val="0"/>
              <w:snapToGrid w:val="0"/>
              <w:spacing w:before="60" w:after="60"/>
              <w:jc w:val="left"/>
              <w:rPr>
                <w:kern w:val="22"/>
                <w:szCs w:val="22"/>
              </w:rPr>
            </w:pPr>
            <w:r w:rsidRPr="00EF524D">
              <w:t xml:space="preserve">Teoría del cambio, </w:t>
            </w:r>
            <w:r w:rsidR="00792EE1" w:rsidRPr="00EF524D">
              <w:br/>
            </w:r>
            <w:r w:rsidRPr="00EF524D">
              <w:t>Metas 9 a 13</w:t>
            </w:r>
          </w:p>
        </w:tc>
      </w:tr>
      <w:tr w:rsidR="005D6E0B" w:rsidRPr="00EF524D" w14:paraId="579D9423" w14:textId="77777777" w:rsidTr="00434B1E">
        <w:tc>
          <w:tcPr>
            <w:tcW w:w="2137" w:type="dxa"/>
          </w:tcPr>
          <w:p w14:paraId="14E0981C" w14:textId="77777777" w:rsidR="005D6E0B" w:rsidRPr="00EF524D" w:rsidRDefault="005D6E0B" w:rsidP="00434B1E">
            <w:pPr>
              <w:adjustRightInd w:val="0"/>
              <w:snapToGrid w:val="0"/>
              <w:spacing w:before="60" w:after="60"/>
              <w:jc w:val="left"/>
              <w:rPr>
                <w:kern w:val="22"/>
                <w:szCs w:val="22"/>
              </w:rPr>
            </w:pPr>
            <w:r w:rsidRPr="00EF524D">
              <w:t>Conectividad de los ecosistemas</w:t>
            </w:r>
          </w:p>
        </w:tc>
        <w:tc>
          <w:tcPr>
            <w:tcW w:w="5958" w:type="dxa"/>
          </w:tcPr>
          <w:p w14:paraId="07382B10" w14:textId="77777777" w:rsidR="005D6E0B" w:rsidRPr="00EF524D" w:rsidRDefault="005D6E0B" w:rsidP="00434B1E">
            <w:pPr>
              <w:adjustRightInd w:val="0"/>
              <w:snapToGrid w:val="0"/>
              <w:spacing w:before="60" w:after="60"/>
              <w:rPr>
                <w:iCs/>
                <w:kern w:val="22"/>
                <w:szCs w:val="22"/>
              </w:rPr>
            </w:pPr>
            <w:r w:rsidRPr="00EF524D">
              <w:t>La conectividad (es decir, la conectividad ecológica) es el movimiento sin restricciones de las especies y el flujo de los procesos naturales que sustentan la vida sobre la Tierra. Por lo tanto, también puede referirse a ecosistemas continuos a menudo conectados a través de corredores ecológicos. Hay dos tipos de conectividad: estructural (en la que se identifica la continuidad entre ecosistemas) y funcional (en la que se verifica el movimiento de especies o procesos).</w:t>
            </w:r>
          </w:p>
          <w:p w14:paraId="10D8C3D5" w14:textId="2D98D870" w:rsidR="005D6E0B" w:rsidRPr="00EF524D" w:rsidRDefault="005D6E0B" w:rsidP="00792EE1">
            <w:pPr>
              <w:adjustRightInd w:val="0"/>
              <w:snapToGrid w:val="0"/>
              <w:spacing w:before="60" w:after="60"/>
              <w:rPr>
                <w:i/>
                <w:kern w:val="22"/>
                <w:szCs w:val="22"/>
              </w:rPr>
            </w:pPr>
            <w:r w:rsidRPr="00EF524D">
              <w:t>(</w:t>
            </w:r>
            <w:proofErr w:type="spellStart"/>
            <w:r w:rsidR="001A1CB2" w:rsidRPr="00EF524D">
              <w:fldChar w:fldCharType="begin"/>
            </w:r>
            <w:r w:rsidR="001A1CB2" w:rsidRPr="00EF524D">
              <w:instrText xml:space="preserve"> HYPERLINK "mailto:https://www.cms.int/sites/default/files/document/cms_cop13_res.12.26_rev.cop13_s.pdfhttps://www.cms.int/sites/default/files/document/cms_cop13_res.12.26_rev.cop13_s.pdf" </w:instrText>
            </w:r>
            <w:r w:rsidR="001A1CB2" w:rsidRPr="00EF524D">
              <w:fldChar w:fldCharType="separate"/>
            </w:r>
            <w:r w:rsidRPr="00EF524D">
              <w:rPr>
                <w:rStyle w:val="Hyperlink"/>
                <w:sz w:val="22"/>
                <w:szCs w:val="22"/>
              </w:rPr>
              <w:t>UNEP</w:t>
            </w:r>
            <w:proofErr w:type="spellEnd"/>
            <w:r w:rsidRPr="00EF524D">
              <w:rPr>
                <w:rStyle w:val="Hyperlink"/>
                <w:sz w:val="22"/>
                <w:szCs w:val="22"/>
              </w:rPr>
              <w:t>/</w:t>
            </w:r>
            <w:proofErr w:type="spellStart"/>
            <w:r w:rsidRPr="00EF524D">
              <w:rPr>
                <w:rStyle w:val="Hyperlink"/>
                <w:sz w:val="22"/>
                <w:szCs w:val="22"/>
              </w:rPr>
              <w:t>CMS</w:t>
            </w:r>
            <w:proofErr w:type="spellEnd"/>
            <w:r w:rsidRPr="00EF524D">
              <w:rPr>
                <w:rStyle w:val="Hyperlink"/>
                <w:sz w:val="22"/>
                <w:szCs w:val="22"/>
              </w:rPr>
              <w:t>/Resolu</w:t>
            </w:r>
            <w:r w:rsidR="00792EE1" w:rsidRPr="00EF524D">
              <w:rPr>
                <w:rStyle w:val="Hyperlink"/>
                <w:sz w:val="22"/>
                <w:szCs w:val="22"/>
              </w:rPr>
              <w:t>ció</w:t>
            </w:r>
            <w:r w:rsidRPr="00EF524D">
              <w:rPr>
                <w:rStyle w:val="Hyperlink"/>
                <w:sz w:val="22"/>
                <w:szCs w:val="22"/>
              </w:rPr>
              <w:t>n 12.26 (Rev.COP13)</w:t>
            </w:r>
            <w:r w:rsidR="001A1CB2" w:rsidRPr="00EF524D">
              <w:rPr>
                <w:rStyle w:val="Hyperlink"/>
                <w:sz w:val="22"/>
                <w:szCs w:val="22"/>
              </w:rPr>
              <w:fldChar w:fldCharType="end"/>
            </w:r>
            <w:r w:rsidRPr="00EF524D">
              <w:t>)</w:t>
            </w:r>
          </w:p>
        </w:tc>
        <w:tc>
          <w:tcPr>
            <w:tcW w:w="1530" w:type="dxa"/>
          </w:tcPr>
          <w:p w14:paraId="66DD6CA3"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117157D5" w14:textId="77777777" w:rsidTr="00434B1E">
        <w:tc>
          <w:tcPr>
            <w:tcW w:w="2137" w:type="dxa"/>
          </w:tcPr>
          <w:p w14:paraId="5348E445" w14:textId="77777777" w:rsidR="005D6E0B" w:rsidRPr="00EF524D" w:rsidRDefault="005D6E0B" w:rsidP="00434B1E">
            <w:pPr>
              <w:adjustRightInd w:val="0"/>
              <w:snapToGrid w:val="0"/>
              <w:spacing w:before="60" w:after="60"/>
              <w:jc w:val="left"/>
              <w:rPr>
                <w:kern w:val="22"/>
                <w:szCs w:val="22"/>
              </w:rPr>
            </w:pPr>
            <w:r w:rsidRPr="00EF524D">
              <w:t>Integridad de los ecosistemas</w:t>
            </w:r>
          </w:p>
        </w:tc>
        <w:tc>
          <w:tcPr>
            <w:tcW w:w="5958" w:type="dxa"/>
          </w:tcPr>
          <w:p w14:paraId="2E6A17F0" w14:textId="666C1A53" w:rsidR="005D6E0B" w:rsidRPr="00EF524D" w:rsidRDefault="005D6E0B" w:rsidP="00434B1E">
            <w:pPr>
              <w:adjustRightInd w:val="0"/>
              <w:snapToGrid w:val="0"/>
              <w:spacing w:before="60" w:after="60"/>
              <w:rPr>
                <w:kern w:val="22"/>
                <w:szCs w:val="22"/>
              </w:rPr>
            </w:pPr>
            <w:r w:rsidRPr="00EF524D">
              <w:t>“En términos generales, se entiende que un sistema cuenta con integridad cuan</w:t>
            </w:r>
            <w:r w:rsidR="00691686">
              <w:t>d</w:t>
            </w:r>
            <w:r w:rsidRPr="00EF524D">
              <w:t>o sus características ecológicas dominantes (por ejemplo, elementos de la composición, estructura, función y procesos ecológicos) se presentan dentro de sus intervalos de variación naturales y pueden soportar la mayoría de las perturbaciones y recuperarse de estas” (</w:t>
            </w:r>
            <w:proofErr w:type="spellStart"/>
            <w:r w:rsidR="001A1CB2" w:rsidRPr="00EF524D">
              <w:fldChar w:fldCharType="begin"/>
            </w:r>
            <w:r w:rsidR="001A1CB2" w:rsidRPr="00EF524D">
              <w:instrText xml:space="preserve"> HYPERLINK "https://www.cbd.int/doc/c/e84f/0c78/ba6891ab46342d7ae6f59816/sbstta-24-03-add2-rev1-es.pdf" </w:instrText>
            </w:r>
            <w:r w:rsidR="001A1CB2" w:rsidRPr="00EF524D">
              <w:fldChar w:fldCharType="separate"/>
            </w:r>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/24/3/Add.2/Rev.1</w:t>
            </w:r>
            <w:r w:rsidR="001A1CB2" w:rsidRPr="00EF524D">
              <w:rPr>
                <w:rStyle w:val="Hyperlink"/>
                <w:sz w:val="22"/>
                <w:szCs w:val="22"/>
              </w:rPr>
              <w:fldChar w:fldCharType="end"/>
            </w:r>
            <w:r w:rsidRPr="00EF524D">
              <w:t>, párr. 18). Además, en el documento Add.2 se menciona “lo que incluye la diversidad y abundancia de especies y las comunidades de especies que interactúan dentro de los ecosistemas” (párr. 21).</w:t>
            </w:r>
          </w:p>
          <w:p w14:paraId="3725291B" w14:textId="77777777" w:rsidR="005D6E0B" w:rsidRPr="00EF524D" w:rsidRDefault="005D6E0B" w:rsidP="00434B1E">
            <w:pPr>
              <w:adjustRightInd w:val="0"/>
              <w:snapToGrid w:val="0"/>
              <w:spacing w:before="60" w:after="60"/>
              <w:rPr>
                <w:kern w:val="22"/>
                <w:szCs w:val="22"/>
              </w:rPr>
            </w:pPr>
            <w:r w:rsidRPr="00EF524D">
              <w:t>Los indicadores de la integridad de los ecosistemas pueden incluir “la estructura, función y composición de un ecosistema en relación con el intervalo de variación preindustrial de estas características”.</w:t>
            </w:r>
          </w:p>
          <w:p w14:paraId="27A6BF43" w14:textId="001E09D2" w:rsidR="005D6E0B" w:rsidRPr="00EF524D" w:rsidRDefault="005D6E0B" w:rsidP="007447A1">
            <w:pPr>
              <w:adjustRightInd w:val="0"/>
              <w:snapToGrid w:val="0"/>
              <w:spacing w:before="60" w:after="60"/>
              <w:jc w:val="left"/>
              <w:rPr>
                <w:color w:val="000000"/>
                <w:kern w:val="22"/>
                <w:szCs w:val="22"/>
              </w:rPr>
            </w:pPr>
            <w:r w:rsidRPr="00EF524D">
              <w:t xml:space="preserve">(Hansen </w:t>
            </w:r>
            <w:r w:rsidRPr="00EF524D">
              <w:rPr>
                <w:i/>
              </w:rPr>
              <w:t>et al</w:t>
            </w:r>
            <w:r w:rsidRPr="00EF524D">
              <w:t xml:space="preserve">., (2021). </w:t>
            </w:r>
            <w:r w:rsidR="00BB2E51" w:rsidRPr="00EF524D">
              <w:t>“</w:t>
            </w:r>
            <w:proofErr w:type="spellStart"/>
            <w:r w:rsidRPr="00EF524D">
              <w:t>Towards</w:t>
            </w:r>
            <w:proofErr w:type="spellEnd"/>
            <w:r w:rsidRPr="00EF524D">
              <w:t xml:space="preserve"> </w:t>
            </w:r>
            <w:proofErr w:type="spellStart"/>
            <w:r w:rsidRPr="00EF524D">
              <w:t>monitoring</w:t>
            </w:r>
            <w:proofErr w:type="spellEnd"/>
            <w:r w:rsidRPr="00EF524D">
              <w:t xml:space="preserve"> </w:t>
            </w:r>
            <w:proofErr w:type="spellStart"/>
            <w:r w:rsidRPr="00EF524D">
              <w:t>ecosystem</w:t>
            </w:r>
            <w:proofErr w:type="spellEnd"/>
            <w:r w:rsidRPr="00EF524D">
              <w:t xml:space="preserve"> </w:t>
            </w:r>
            <w:proofErr w:type="spellStart"/>
            <w:r w:rsidRPr="00EF524D">
              <w:t>integrity</w:t>
            </w:r>
            <w:proofErr w:type="spellEnd"/>
            <w:r w:rsidRPr="00EF524D">
              <w:t xml:space="preserve"> </w:t>
            </w:r>
            <w:proofErr w:type="spellStart"/>
            <w:r w:rsidRPr="00EF524D">
              <w:t>within</w:t>
            </w:r>
            <w:proofErr w:type="spellEnd"/>
            <w:r w:rsidRPr="00EF524D">
              <w:t xml:space="preserve"> </w:t>
            </w:r>
            <w:proofErr w:type="spellStart"/>
            <w:r w:rsidRPr="00EF524D">
              <w:t>the</w:t>
            </w:r>
            <w:proofErr w:type="spellEnd"/>
            <w:r w:rsidRPr="00EF524D">
              <w:t xml:space="preserve"> Post-2020 Global </w:t>
            </w:r>
            <w:proofErr w:type="spellStart"/>
            <w:r w:rsidRPr="00EF524D">
              <w:t>Biodiversity</w:t>
            </w:r>
            <w:proofErr w:type="spellEnd"/>
            <w:r w:rsidRPr="00EF524D">
              <w:t xml:space="preserve"> Framework</w:t>
            </w:r>
            <w:r w:rsidR="00BB2E51" w:rsidRPr="00EF524D">
              <w:t>”</w:t>
            </w:r>
            <w:r w:rsidRPr="00EF524D">
              <w:t xml:space="preserve">, </w:t>
            </w:r>
            <w:hyperlink r:id="rId15" w:history="1">
              <w:r w:rsidRPr="00EF524D">
                <w:rPr>
                  <w:rStyle w:val="Hyperlink"/>
                  <w:sz w:val="22"/>
                  <w:szCs w:val="22"/>
                </w:rPr>
                <w:t>https://doi.org/10.32942/osf.io/eyqw5</w:t>
              </w:r>
            </w:hyperlink>
            <w:r w:rsidRPr="00EF524D">
              <w:t>)</w:t>
            </w:r>
          </w:p>
        </w:tc>
        <w:tc>
          <w:tcPr>
            <w:tcW w:w="1530" w:type="dxa"/>
          </w:tcPr>
          <w:p w14:paraId="430427A2"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6AD95AC9" w14:textId="77777777" w:rsidTr="00434B1E">
        <w:tc>
          <w:tcPr>
            <w:tcW w:w="2137" w:type="dxa"/>
          </w:tcPr>
          <w:p w14:paraId="44434206" w14:textId="77777777" w:rsidR="005D6E0B" w:rsidRPr="00EF524D" w:rsidRDefault="005D6E0B" w:rsidP="00434B1E">
            <w:pPr>
              <w:adjustRightInd w:val="0"/>
              <w:snapToGrid w:val="0"/>
              <w:spacing w:before="60" w:after="60"/>
              <w:jc w:val="left"/>
              <w:rPr>
                <w:kern w:val="22"/>
                <w:szCs w:val="22"/>
              </w:rPr>
            </w:pPr>
            <w:r w:rsidRPr="00EF524D">
              <w:t>Ecosistemas naturales (hábitats)</w:t>
            </w:r>
          </w:p>
        </w:tc>
        <w:tc>
          <w:tcPr>
            <w:tcW w:w="5958" w:type="dxa"/>
          </w:tcPr>
          <w:p w14:paraId="6348AA22" w14:textId="77777777" w:rsidR="005D6E0B" w:rsidRPr="00EF524D" w:rsidRDefault="005D6E0B" w:rsidP="00434B1E">
            <w:pPr>
              <w:adjustRightInd w:val="0"/>
              <w:snapToGrid w:val="0"/>
              <w:spacing w:before="60" w:after="60"/>
              <w:rPr>
                <w:kern w:val="22"/>
                <w:szCs w:val="22"/>
              </w:rPr>
            </w:pPr>
            <w:r w:rsidRPr="00EF524D">
              <w:t>Áreas conformadas por conjuntos viables de plantas o especies animales de origen en gran parte nativo, o áreas en las que la actividad humana no ha modificado esencialmente las funciones ecológicas primarias y la composición de especies de un área.</w:t>
            </w:r>
          </w:p>
          <w:p w14:paraId="75B3BEE7" w14:textId="532B9060" w:rsidR="005D6E0B" w:rsidRPr="00EF524D" w:rsidRDefault="005D6E0B" w:rsidP="00434B1E">
            <w:pPr>
              <w:adjustRightInd w:val="0"/>
              <w:snapToGrid w:val="0"/>
              <w:spacing w:before="60" w:after="60"/>
              <w:rPr>
                <w:kern w:val="22"/>
                <w:szCs w:val="22"/>
              </w:rPr>
            </w:pPr>
            <w:r w:rsidRPr="00EF524D">
              <w:t xml:space="preserve">(Basado en la definición de hábitats naturales del </w:t>
            </w:r>
            <w:proofErr w:type="spellStart"/>
            <w:r w:rsidRPr="00EF524D">
              <w:t>CMVC</w:t>
            </w:r>
            <w:proofErr w:type="spellEnd"/>
            <w:r w:rsidRPr="00EF524D">
              <w:t xml:space="preserve">-PNUMA, </w:t>
            </w:r>
            <w:hyperlink r:id="rId16" w:history="1">
              <w:r w:rsidRPr="00EF524D">
                <w:rPr>
                  <w:rStyle w:val="Hyperlink"/>
                  <w:sz w:val="22"/>
                  <w:szCs w:val="22"/>
                </w:rPr>
                <w:t>https://www.biodiversitya-z.org/content/natural-habitats</w:t>
              </w:r>
            </w:hyperlink>
            <w:r w:rsidRPr="00EF524D">
              <w:t>)</w:t>
            </w:r>
          </w:p>
        </w:tc>
        <w:tc>
          <w:tcPr>
            <w:tcW w:w="1530" w:type="dxa"/>
          </w:tcPr>
          <w:p w14:paraId="0BAF9AFC"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1D749E7D" w14:textId="77777777" w:rsidTr="00434B1E">
        <w:tc>
          <w:tcPr>
            <w:tcW w:w="2137" w:type="dxa"/>
          </w:tcPr>
          <w:p w14:paraId="2F7CB56D" w14:textId="77777777" w:rsidR="005D6E0B" w:rsidRPr="00EF524D" w:rsidRDefault="005D6E0B" w:rsidP="00434B1E">
            <w:pPr>
              <w:adjustRightInd w:val="0"/>
              <w:snapToGrid w:val="0"/>
              <w:spacing w:before="60" w:after="60"/>
              <w:jc w:val="left"/>
              <w:rPr>
                <w:kern w:val="22"/>
                <w:szCs w:val="22"/>
              </w:rPr>
            </w:pPr>
            <w:r w:rsidRPr="00EF524D">
              <w:t>Tasa de extinción</w:t>
            </w:r>
          </w:p>
        </w:tc>
        <w:tc>
          <w:tcPr>
            <w:tcW w:w="5958" w:type="dxa"/>
          </w:tcPr>
          <w:p w14:paraId="5E48D95B" w14:textId="77777777" w:rsidR="005D6E0B" w:rsidRPr="00EF524D" w:rsidRDefault="005D6E0B" w:rsidP="00434B1E">
            <w:pPr>
              <w:adjustRightInd w:val="0"/>
              <w:snapToGrid w:val="0"/>
              <w:spacing w:before="60" w:after="60"/>
              <w:rPr>
                <w:kern w:val="22"/>
                <w:szCs w:val="22"/>
              </w:rPr>
            </w:pPr>
            <w:r w:rsidRPr="00EF524D">
              <w:t>El número de especies que se extinguen en determinado período.</w:t>
            </w:r>
          </w:p>
        </w:tc>
        <w:tc>
          <w:tcPr>
            <w:tcW w:w="1530" w:type="dxa"/>
          </w:tcPr>
          <w:p w14:paraId="2BC77231"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3986539C" w14:textId="77777777" w:rsidTr="00434B1E">
        <w:tc>
          <w:tcPr>
            <w:tcW w:w="2137" w:type="dxa"/>
          </w:tcPr>
          <w:p w14:paraId="1DF0EF57" w14:textId="77777777" w:rsidR="005D6E0B" w:rsidRPr="00EF524D" w:rsidRDefault="005D6E0B" w:rsidP="00434B1E">
            <w:pPr>
              <w:adjustRightInd w:val="0"/>
              <w:snapToGrid w:val="0"/>
              <w:spacing w:before="60" w:after="60"/>
              <w:jc w:val="left"/>
              <w:rPr>
                <w:kern w:val="22"/>
                <w:szCs w:val="22"/>
              </w:rPr>
            </w:pPr>
            <w:r w:rsidRPr="00EF524D">
              <w:lastRenderedPageBreak/>
              <w:t>Riesgo de extinción</w:t>
            </w:r>
          </w:p>
        </w:tc>
        <w:tc>
          <w:tcPr>
            <w:tcW w:w="5958" w:type="dxa"/>
          </w:tcPr>
          <w:p w14:paraId="3F1A8C7C" w14:textId="77777777" w:rsidR="005D6E0B" w:rsidRPr="00EF524D" w:rsidRDefault="005D6E0B" w:rsidP="00434B1E">
            <w:pPr>
              <w:adjustRightInd w:val="0"/>
              <w:snapToGrid w:val="0"/>
              <w:spacing w:before="60" w:after="60"/>
              <w:rPr>
                <w:kern w:val="22"/>
                <w:szCs w:val="22"/>
              </w:rPr>
            </w:pPr>
            <w:r w:rsidRPr="00EF524D">
              <w:t>La probabilidad de que una especie se extinga en determinado período.</w:t>
            </w:r>
          </w:p>
        </w:tc>
        <w:tc>
          <w:tcPr>
            <w:tcW w:w="1530" w:type="dxa"/>
          </w:tcPr>
          <w:p w14:paraId="788C4D81" w14:textId="77777777" w:rsidR="005D6E0B" w:rsidRPr="00EF524D" w:rsidRDefault="005D6E0B" w:rsidP="00434B1E">
            <w:pPr>
              <w:adjustRightInd w:val="0"/>
              <w:snapToGrid w:val="0"/>
              <w:spacing w:before="60" w:after="60"/>
              <w:jc w:val="left"/>
              <w:rPr>
                <w:kern w:val="22"/>
                <w:szCs w:val="22"/>
              </w:rPr>
            </w:pPr>
            <w:r w:rsidRPr="00EF524D">
              <w:t>Objetivo A</w:t>
            </w:r>
          </w:p>
        </w:tc>
      </w:tr>
      <w:tr w:rsidR="005D6E0B" w:rsidRPr="00EF524D" w14:paraId="14C4E531" w14:textId="77777777" w:rsidTr="00434B1E">
        <w:tc>
          <w:tcPr>
            <w:tcW w:w="2137" w:type="dxa"/>
          </w:tcPr>
          <w:p w14:paraId="71426A5A" w14:textId="77777777" w:rsidR="005D6E0B" w:rsidRPr="00EF524D" w:rsidRDefault="005D6E0B" w:rsidP="00434B1E">
            <w:pPr>
              <w:adjustRightInd w:val="0"/>
              <w:snapToGrid w:val="0"/>
              <w:spacing w:before="60" w:after="60"/>
              <w:jc w:val="left"/>
              <w:rPr>
                <w:kern w:val="22"/>
                <w:szCs w:val="22"/>
              </w:rPr>
            </w:pPr>
            <w:r w:rsidRPr="00EF524D">
              <w:t>Contribuciones de la naturaleza a las personas</w:t>
            </w:r>
          </w:p>
        </w:tc>
        <w:tc>
          <w:tcPr>
            <w:tcW w:w="5958" w:type="dxa"/>
          </w:tcPr>
          <w:p w14:paraId="1BF6E101" w14:textId="77777777" w:rsidR="005D6E0B" w:rsidRPr="00EF524D" w:rsidRDefault="005D6E0B" w:rsidP="00434B1E">
            <w:pPr>
              <w:adjustRightInd w:val="0"/>
              <w:snapToGrid w:val="0"/>
              <w:spacing w:before="60" w:after="60"/>
              <w:rPr>
                <w:kern w:val="22"/>
                <w:szCs w:val="22"/>
              </w:rPr>
            </w:pPr>
            <w:r w:rsidRPr="00EF524D">
              <w:t>Las contribuciones de la naturaleza a las personas (un concepto similar a los servicios de los ecosistemas y que los incluye) se refiere a todas las contribuciones de la diversidad biológica al bienestar o la calidad de vida de las personas. Entre estas se incluyen a) contribuciones materiales, como la producción de alimentos, piensos, fibras, medicamentos y energía, b) servicios de regulación como la regulación de la calidad del aire y del agua, la regulación del clima, la polinización, la regulación de plagas y enfermedades y la provisión de hábitats, y c) otras contribuciones inmateriales, como aprendizaje, inspiración, salud, experiencias físicas, psicológicas y espirituales y de bienestar y apoyo a identidades y culturas, así como el mantenimiento de opciones para las generaciones futuras.</w:t>
            </w:r>
          </w:p>
          <w:p w14:paraId="6922A2D3" w14:textId="4BB13C22" w:rsidR="005D6E0B" w:rsidRPr="00EF524D" w:rsidRDefault="005D6E0B" w:rsidP="00434B1E">
            <w:pPr>
              <w:adjustRightInd w:val="0"/>
              <w:snapToGrid w:val="0"/>
              <w:spacing w:before="60" w:after="60"/>
              <w:rPr>
                <w:kern w:val="22"/>
                <w:szCs w:val="22"/>
              </w:rPr>
            </w:pPr>
            <w:r w:rsidRPr="00EF524D">
              <w:t>(</w:t>
            </w:r>
            <w:proofErr w:type="spellStart"/>
            <w:r w:rsidR="001A1CB2" w:rsidRPr="00EF524D">
              <w:fldChar w:fldCharType="begin"/>
            </w:r>
            <w:r w:rsidR="001A1CB2" w:rsidRPr="00EF524D">
              <w:instrText xml:space="preserve"> HYPERLINK "https://www.cbd.int/doc/c/e84f/0c78/ba6891ab46342d7ae6f59816/sbstta-24-03-add2-rev1-es.pdf" </w:instrText>
            </w:r>
            <w:r w:rsidR="001A1CB2" w:rsidRPr="00EF524D">
              <w:fldChar w:fldCharType="separate"/>
            </w:r>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/24/3/Add.2/Rev.1</w:t>
            </w:r>
            <w:r w:rsidR="001A1CB2" w:rsidRPr="00EF524D">
              <w:rPr>
                <w:rStyle w:val="Hyperlink"/>
                <w:sz w:val="22"/>
                <w:szCs w:val="22"/>
              </w:rPr>
              <w:fldChar w:fldCharType="end"/>
            </w:r>
            <w:r w:rsidRPr="00EF524D">
              <w:t>, párr. 35)</w:t>
            </w:r>
          </w:p>
        </w:tc>
        <w:tc>
          <w:tcPr>
            <w:tcW w:w="1530" w:type="dxa"/>
          </w:tcPr>
          <w:p w14:paraId="456ED4CE" w14:textId="67FFB0AF" w:rsidR="00565A85" w:rsidRPr="00EF524D" w:rsidRDefault="005D6E0B" w:rsidP="00434B1E">
            <w:pPr>
              <w:adjustRightInd w:val="0"/>
              <w:snapToGrid w:val="0"/>
              <w:spacing w:before="60" w:after="60"/>
              <w:jc w:val="left"/>
              <w:rPr>
                <w:kern w:val="22"/>
                <w:szCs w:val="22"/>
              </w:rPr>
            </w:pPr>
            <w:r w:rsidRPr="00EF524D">
              <w:t>Objetivo B</w:t>
            </w:r>
            <w:r w:rsidR="000C7677" w:rsidRPr="00EF524D">
              <w:t>,</w:t>
            </w:r>
            <w:r w:rsidRPr="00EF524D">
              <w:t xml:space="preserve"> </w:t>
            </w:r>
          </w:p>
          <w:p w14:paraId="70CD7315" w14:textId="695CC1C9" w:rsidR="005D6E0B" w:rsidRPr="00EF524D" w:rsidRDefault="005D6E0B" w:rsidP="00434B1E">
            <w:pPr>
              <w:adjustRightInd w:val="0"/>
              <w:snapToGrid w:val="0"/>
              <w:spacing w:before="60" w:after="60"/>
              <w:jc w:val="left"/>
              <w:rPr>
                <w:kern w:val="22"/>
                <w:szCs w:val="22"/>
              </w:rPr>
            </w:pPr>
            <w:r w:rsidRPr="00EF524D">
              <w:t>Meta 11</w:t>
            </w:r>
          </w:p>
        </w:tc>
      </w:tr>
      <w:tr w:rsidR="005D6E0B" w:rsidRPr="00EF524D" w14:paraId="7142B0FA" w14:textId="77777777" w:rsidTr="00434B1E">
        <w:tc>
          <w:tcPr>
            <w:tcW w:w="2137" w:type="dxa"/>
          </w:tcPr>
          <w:p w14:paraId="60994651" w14:textId="77777777" w:rsidR="005D6E0B" w:rsidRPr="00EF524D" w:rsidRDefault="005D6E0B" w:rsidP="00434B1E">
            <w:pPr>
              <w:adjustRightInd w:val="0"/>
              <w:snapToGrid w:val="0"/>
              <w:spacing w:before="60" w:after="60"/>
              <w:jc w:val="left"/>
              <w:rPr>
                <w:kern w:val="22"/>
                <w:szCs w:val="22"/>
              </w:rPr>
            </w:pPr>
            <w:r w:rsidRPr="00EF524D">
              <w:t>Ganancia neta</w:t>
            </w:r>
          </w:p>
        </w:tc>
        <w:tc>
          <w:tcPr>
            <w:tcW w:w="5958" w:type="dxa"/>
          </w:tcPr>
          <w:p w14:paraId="732B7022" w14:textId="77777777" w:rsidR="005D6E0B" w:rsidRPr="00EF524D" w:rsidRDefault="005D6E0B" w:rsidP="00434B1E">
            <w:pPr>
              <w:adjustRightInd w:val="0"/>
              <w:snapToGrid w:val="0"/>
              <w:spacing w:before="60" w:after="60"/>
              <w:rPr>
                <w:kern w:val="22"/>
                <w:szCs w:val="22"/>
              </w:rPr>
            </w:pPr>
            <w:r w:rsidRPr="00EF524D">
              <w:t xml:space="preserve">Normalmente se establece un objetivo de </w:t>
            </w:r>
            <w:proofErr w:type="gramStart"/>
            <w:r w:rsidRPr="00EF524D">
              <w:rPr>
                <w:i/>
                <w:iCs/>
                <w:szCs w:val="22"/>
              </w:rPr>
              <w:t>cero pérdida neta</w:t>
            </w:r>
            <w:proofErr w:type="gramEnd"/>
            <w:r w:rsidRPr="00EF524D">
              <w:t xml:space="preserve"> o de </w:t>
            </w:r>
            <w:r w:rsidRPr="00EF524D">
              <w:rPr>
                <w:i/>
                <w:iCs/>
                <w:szCs w:val="22"/>
              </w:rPr>
              <w:t>ganancia neta</w:t>
            </w:r>
            <w:r w:rsidRPr="00EF524D">
              <w:t xml:space="preserve"> de diversidad biológica (también denominados </w:t>
            </w:r>
            <w:r w:rsidRPr="00EF524D">
              <w:rPr>
                <w:i/>
                <w:iCs/>
                <w:szCs w:val="22"/>
              </w:rPr>
              <w:t>objetivos</w:t>
            </w:r>
            <w:r w:rsidRPr="00EF524D">
              <w:t xml:space="preserve"> </w:t>
            </w:r>
            <w:r w:rsidRPr="00EF524D">
              <w:rPr>
                <w:i/>
                <w:iCs/>
                <w:szCs w:val="22"/>
              </w:rPr>
              <w:t>de neutralidad neta</w:t>
            </w:r>
            <w:r w:rsidRPr="00EF524D">
              <w:t xml:space="preserve"> y </w:t>
            </w:r>
            <w:r w:rsidRPr="00EF524D">
              <w:rPr>
                <w:i/>
                <w:iCs/>
              </w:rPr>
              <w:t>objetivos netos positivos</w:t>
            </w:r>
            <w:r w:rsidRPr="00EF524D">
              <w:t>, respectivamente) en relación con un valor de referencia predeterminado. El proceso se lleva a cabo a través de los procesos de planificación nacional y las negociaciones entre los organismos gubernamentales, los agentes de la conservación y los promotores, con elementos del proceso a menudo formalizados en una evaluación del impacto ambiental y social. La jerarquía de mitigación comprende cuatro grandes pasos que se pretende implementar de forma secuencial: 1) evitar, 2) minimizar, 3) remediar y 4) compensar.</w:t>
            </w:r>
          </w:p>
          <w:p w14:paraId="6479B8F8" w14:textId="4D5E8FE0" w:rsidR="005D6E0B" w:rsidRPr="00EF524D" w:rsidRDefault="005D6E0B" w:rsidP="00434B1E">
            <w:pPr>
              <w:adjustRightInd w:val="0"/>
              <w:snapToGrid w:val="0"/>
              <w:spacing w:before="60" w:after="60"/>
              <w:rPr>
                <w:kern w:val="22"/>
                <w:szCs w:val="22"/>
              </w:rPr>
            </w:pPr>
            <w:r w:rsidRPr="00EF524D">
              <w:t xml:space="preserve">(Véase </w:t>
            </w:r>
            <w:proofErr w:type="spellStart"/>
            <w:r w:rsidRPr="00EF524D">
              <w:t>Arlidge</w:t>
            </w:r>
            <w:proofErr w:type="spellEnd"/>
            <w:r w:rsidRPr="00EF524D">
              <w:t xml:space="preserve"> </w:t>
            </w:r>
            <w:r w:rsidRPr="00EF524D">
              <w:rPr>
                <w:i/>
                <w:iCs/>
                <w:szCs w:val="22"/>
              </w:rPr>
              <w:t>et al.</w:t>
            </w:r>
            <w:r w:rsidRPr="00EF524D">
              <w:t xml:space="preserve">, “A Global </w:t>
            </w:r>
            <w:proofErr w:type="spellStart"/>
            <w:r w:rsidRPr="00EF524D">
              <w:t>Mitigation</w:t>
            </w:r>
            <w:proofErr w:type="spellEnd"/>
            <w:r w:rsidRPr="00EF524D">
              <w:t xml:space="preserve"> </w:t>
            </w:r>
            <w:proofErr w:type="spellStart"/>
            <w:r w:rsidRPr="00EF524D">
              <w:t>Hierarchy</w:t>
            </w:r>
            <w:proofErr w:type="spellEnd"/>
            <w:r w:rsidRPr="00EF524D">
              <w:t xml:space="preserve"> </w:t>
            </w:r>
            <w:proofErr w:type="spellStart"/>
            <w:r w:rsidRPr="00EF524D">
              <w:t>for</w:t>
            </w:r>
            <w:proofErr w:type="spellEnd"/>
            <w:r w:rsidRPr="00EF524D">
              <w:t xml:space="preserve"> </w:t>
            </w:r>
            <w:proofErr w:type="spellStart"/>
            <w:r w:rsidRPr="00EF524D">
              <w:t>Nature</w:t>
            </w:r>
            <w:proofErr w:type="spellEnd"/>
            <w:r w:rsidRPr="00EF524D">
              <w:t xml:space="preserve"> </w:t>
            </w:r>
            <w:proofErr w:type="spellStart"/>
            <w:r w:rsidRPr="00EF524D">
              <w:t>Conservation</w:t>
            </w:r>
            <w:proofErr w:type="spellEnd"/>
            <w:r w:rsidRPr="00EF524D">
              <w:t xml:space="preserve">”, </w:t>
            </w:r>
            <w:proofErr w:type="spellStart"/>
            <w:r w:rsidRPr="00EF524D">
              <w:rPr>
                <w:i/>
                <w:iCs/>
              </w:rPr>
              <w:t>BioScience</w:t>
            </w:r>
            <w:proofErr w:type="spellEnd"/>
            <w:r w:rsidRPr="00EF524D">
              <w:t xml:space="preserve">, vol. 68, nº 5, mayo 2018, págs. 336-347, </w:t>
            </w:r>
            <w:hyperlink r:id="rId17" w:history="1">
              <w:r w:rsidRPr="00EF524D">
                <w:rPr>
                  <w:rStyle w:val="Hyperlink"/>
                  <w:sz w:val="22"/>
                  <w:szCs w:val="22"/>
                </w:rPr>
                <w:t>https://doi.org/10.1093/biosci/biy029</w:t>
              </w:r>
            </w:hyperlink>
            <w:r w:rsidRPr="00EF524D">
              <w:t xml:space="preserve">; Programa de Negocios y Compensaciones por Pérdida de Biodiversidad, (2012) “Estándar sobre compensaciones por pérdida de biodiversidad”; y </w:t>
            </w:r>
            <w:proofErr w:type="spellStart"/>
            <w:r w:rsidRPr="00EF524D">
              <w:t>Maron</w:t>
            </w:r>
            <w:proofErr w:type="spellEnd"/>
            <w:r w:rsidRPr="00EF524D">
              <w:t xml:space="preserve"> </w:t>
            </w:r>
            <w:r w:rsidRPr="00EF524D">
              <w:rPr>
                <w:i/>
                <w:iCs/>
              </w:rPr>
              <w:t>et al</w:t>
            </w:r>
            <w:r w:rsidRPr="00EF524D">
              <w:t>. 2018, “</w:t>
            </w:r>
            <w:proofErr w:type="spellStart"/>
            <w:r w:rsidRPr="00EF524D">
              <w:t>The</w:t>
            </w:r>
            <w:proofErr w:type="spellEnd"/>
            <w:r w:rsidRPr="00EF524D">
              <w:t xml:space="preserve"> </w:t>
            </w:r>
            <w:proofErr w:type="spellStart"/>
            <w:r w:rsidRPr="00EF524D">
              <w:t>many</w:t>
            </w:r>
            <w:proofErr w:type="spellEnd"/>
            <w:r w:rsidRPr="00EF524D">
              <w:t xml:space="preserve"> </w:t>
            </w:r>
            <w:proofErr w:type="spellStart"/>
            <w:r w:rsidRPr="00EF524D">
              <w:t>meanings</w:t>
            </w:r>
            <w:proofErr w:type="spellEnd"/>
            <w:r w:rsidRPr="00EF524D">
              <w:t xml:space="preserve"> of no net </w:t>
            </w:r>
            <w:proofErr w:type="spellStart"/>
            <w:r w:rsidRPr="00EF524D">
              <w:t>loss</w:t>
            </w:r>
            <w:proofErr w:type="spellEnd"/>
            <w:r w:rsidRPr="00EF524D">
              <w:t xml:space="preserve"> in </w:t>
            </w:r>
            <w:proofErr w:type="spellStart"/>
            <w:r w:rsidRPr="00EF524D">
              <w:t>environmental</w:t>
            </w:r>
            <w:proofErr w:type="spellEnd"/>
            <w:r w:rsidRPr="00EF524D">
              <w:t xml:space="preserve"> </w:t>
            </w:r>
            <w:proofErr w:type="spellStart"/>
            <w:r w:rsidRPr="00EF524D">
              <w:t>policy</w:t>
            </w:r>
            <w:proofErr w:type="spellEnd"/>
            <w:r w:rsidRPr="00EF524D">
              <w:t>”,</w:t>
            </w:r>
            <w:r w:rsidRPr="00EF524D">
              <w:rPr>
                <w:color w:val="222222"/>
                <w:shd w:val="clear" w:color="auto" w:fill="FFFFFF"/>
              </w:rPr>
              <w:t xml:space="preserve"> </w:t>
            </w:r>
            <w:proofErr w:type="spellStart"/>
            <w:r w:rsidRPr="00EF524D">
              <w:rPr>
                <w:i/>
                <w:iCs/>
              </w:rPr>
              <w:t>Nature</w:t>
            </w:r>
            <w:proofErr w:type="spellEnd"/>
            <w:r w:rsidRPr="00EF524D">
              <w:rPr>
                <w:i/>
                <w:iCs/>
              </w:rPr>
              <w:t xml:space="preserve"> </w:t>
            </w:r>
            <w:proofErr w:type="spellStart"/>
            <w:r w:rsidRPr="00EF524D">
              <w:rPr>
                <w:i/>
                <w:iCs/>
              </w:rPr>
              <w:t>Sustainability</w:t>
            </w:r>
            <w:proofErr w:type="spellEnd"/>
            <w:r w:rsidRPr="00EF524D">
              <w:t> 1,</w:t>
            </w:r>
            <w:r w:rsidRPr="00EF524D">
              <w:rPr>
                <w:b/>
                <w:bCs/>
                <w:szCs w:val="22"/>
              </w:rPr>
              <w:t> </w:t>
            </w:r>
            <w:r w:rsidRPr="00EF524D">
              <w:t xml:space="preserve">19-27 (2018) </w:t>
            </w:r>
            <w:hyperlink r:id="rId18" w:history="1">
              <w:r w:rsidRPr="00EF524D">
                <w:rPr>
                  <w:rStyle w:val="Hyperlink"/>
                  <w:sz w:val="22"/>
                  <w:szCs w:val="22"/>
                </w:rPr>
                <w:t>https://www.nature.com/articles/s41893-017-0007-7</w:t>
              </w:r>
            </w:hyperlink>
            <w:r w:rsidRPr="00EF524D">
              <w:t>).</w:t>
            </w:r>
          </w:p>
        </w:tc>
        <w:tc>
          <w:tcPr>
            <w:tcW w:w="1530" w:type="dxa"/>
          </w:tcPr>
          <w:p w14:paraId="2CB9DC3C" w14:textId="114BCF8A" w:rsidR="005D6E0B" w:rsidRPr="00EF524D" w:rsidRDefault="00F0005F" w:rsidP="00434B1E">
            <w:pPr>
              <w:adjustRightInd w:val="0"/>
              <w:snapToGrid w:val="0"/>
              <w:spacing w:before="60" w:after="60"/>
              <w:rPr>
                <w:kern w:val="22"/>
                <w:szCs w:val="22"/>
              </w:rPr>
            </w:pPr>
            <w:r w:rsidRPr="00EF524D">
              <w:t>Objetivo A</w:t>
            </w:r>
          </w:p>
        </w:tc>
      </w:tr>
      <w:tr w:rsidR="005D6E0B" w:rsidRPr="00EF524D" w14:paraId="516D8439" w14:textId="77777777" w:rsidTr="00434B1E">
        <w:tc>
          <w:tcPr>
            <w:tcW w:w="2137" w:type="dxa"/>
          </w:tcPr>
          <w:p w14:paraId="268C5617" w14:textId="77777777" w:rsidR="005D6E0B" w:rsidRPr="00EF524D" w:rsidRDefault="005D6E0B" w:rsidP="00434B1E">
            <w:pPr>
              <w:adjustRightInd w:val="0"/>
              <w:snapToGrid w:val="0"/>
              <w:spacing w:before="60" w:after="60"/>
              <w:jc w:val="left"/>
              <w:rPr>
                <w:kern w:val="22"/>
                <w:szCs w:val="22"/>
              </w:rPr>
            </w:pPr>
            <w:r w:rsidRPr="00EF524D">
              <w:t>Déficit financiero</w:t>
            </w:r>
          </w:p>
        </w:tc>
        <w:tc>
          <w:tcPr>
            <w:tcW w:w="5958" w:type="dxa"/>
          </w:tcPr>
          <w:p w14:paraId="70CF8027" w14:textId="77777777" w:rsidR="005D6E0B" w:rsidRPr="00EF524D" w:rsidRDefault="005D6E0B" w:rsidP="00434B1E">
            <w:pPr>
              <w:adjustRightInd w:val="0"/>
              <w:snapToGrid w:val="0"/>
              <w:spacing w:before="60" w:after="60"/>
              <w:rPr>
                <w:kern w:val="22"/>
                <w:szCs w:val="22"/>
              </w:rPr>
            </w:pPr>
            <w:r w:rsidRPr="00EF524D">
              <w:t xml:space="preserve">El déficit entre el actual flujo total de capital anual hacia la conservación de la diversidad biológica mundial y la cantidad total de fondos necesarios para gestionar la diversidad biológica de forma sostenible y mantener la integridad de los ecosistemas. </w:t>
            </w:r>
          </w:p>
          <w:p w14:paraId="6374432A" w14:textId="025AEDF3" w:rsidR="005D6E0B" w:rsidRPr="00EF524D" w:rsidRDefault="005D6E0B" w:rsidP="000F7AF5">
            <w:pPr>
              <w:adjustRightInd w:val="0"/>
              <w:snapToGrid w:val="0"/>
              <w:spacing w:before="60" w:after="60"/>
              <w:rPr>
                <w:kern w:val="22"/>
                <w:szCs w:val="22"/>
              </w:rPr>
            </w:pPr>
            <w:r w:rsidRPr="00EF524D">
              <w:t>(</w:t>
            </w:r>
            <w:proofErr w:type="spellStart"/>
            <w:r w:rsidRPr="00EF524D">
              <w:t>Deutz</w:t>
            </w:r>
            <w:proofErr w:type="spellEnd"/>
            <w:r w:rsidRPr="00EF524D">
              <w:t xml:space="preserve"> </w:t>
            </w:r>
            <w:r w:rsidRPr="00EF524D">
              <w:rPr>
                <w:i/>
                <w:iCs/>
              </w:rPr>
              <w:t>et al</w:t>
            </w:r>
            <w:r w:rsidRPr="00EF524D">
              <w:t xml:space="preserve"> (2020). </w:t>
            </w:r>
            <w:proofErr w:type="spellStart"/>
            <w:r w:rsidRPr="00EF524D">
              <w:t>Financing</w:t>
            </w:r>
            <w:proofErr w:type="spellEnd"/>
            <w:r w:rsidRPr="00EF524D">
              <w:t xml:space="preserve"> </w:t>
            </w:r>
            <w:proofErr w:type="spellStart"/>
            <w:r w:rsidRPr="00EF524D">
              <w:t>Nature</w:t>
            </w:r>
            <w:proofErr w:type="spellEnd"/>
            <w:r w:rsidRPr="00EF524D">
              <w:t xml:space="preserve">: </w:t>
            </w:r>
            <w:proofErr w:type="spellStart"/>
            <w:r w:rsidRPr="00EF524D">
              <w:t>Closing</w:t>
            </w:r>
            <w:proofErr w:type="spellEnd"/>
            <w:r w:rsidRPr="00EF524D">
              <w:t xml:space="preserve"> </w:t>
            </w:r>
            <w:proofErr w:type="spellStart"/>
            <w:r w:rsidRPr="00EF524D">
              <w:t>the</w:t>
            </w:r>
            <w:proofErr w:type="spellEnd"/>
            <w:r w:rsidRPr="00EF524D">
              <w:t xml:space="preserve"> Global </w:t>
            </w:r>
            <w:proofErr w:type="spellStart"/>
            <w:r w:rsidRPr="00EF524D">
              <w:t>Biodiversity</w:t>
            </w:r>
            <w:proofErr w:type="spellEnd"/>
            <w:r w:rsidRPr="00EF524D">
              <w:t xml:space="preserve"> </w:t>
            </w:r>
            <w:proofErr w:type="spellStart"/>
            <w:r w:rsidRPr="00EF524D">
              <w:t>Financing</w:t>
            </w:r>
            <w:proofErr w:type="spellEnd"/>
            <w:r w:rsidRPr="00EF524D">
              <w:t xml:space="preserve"> Gap. </w:t>
            </w:r>
            <w:proofErr w:type="spellStart"/>
            <w:r w:rsidRPr="00EF524D">
              <w:t>The</w:t>
            </w:r>
            <w:proofErr w:type="spellEnd"/>
            <w:r w:rsidRPr="00EF524D">
              <w:t xml:space="preserve"> </w:t>
            </w:r>
            <w:proofErr w:type="spellStart"/>
            <w:r w:rsidRPr="00EF524D">
              <w:t>Paulson</w:t>
            </w:r>
            <w:proofErr w:type="spellEnd"/>
            <w:r w:rsidRPr="00EF524D">
              <w:t xml:space="preserve"> </w:t>
            </w:r>
            <w:proofErr w:type="spellStart"/>
            <w:r w:rsidRPr="00EF524D">
              <w:t>Institute</w:t>
            </w:r>
            <w:proofErr w:type="spellEnd"/>
            <w:r w:rsidRPr="00EF524D">
              <w:t xml:space="preserve">, </w:t>
            </w:r>
            <w:proofErr w:type="spellStart"/>
            <w:r w:rsidRPr="00EF524D">
              <w:t>The</w:t>
            </w:r>
            <w:proofErr w:type="spellEnd"/>
            <w:r w:rsidRPr="00EF524D">
              <w:t xml:space="preserve"> </w:t>
            </w:r>
            <w:proofErr w:type="spellStart"/>
            <w:r w:rsidRPr="00EF524D">
              <w:t>Nature</w:t>
            </w:r>
            <w:proofErr w:type="spellEnd"/>
            <w:r w:rsidRPr="00EF524D">
              <w:t xml:space="preserve"> </w:t>
            </w:r>
            <w:proofErr w:type="spellStart"/>
            <w:r w:rsidRPr="00EF524D">
              <w:t>Conservancy</w:t>
            </w:r>
            <w:proofErr w:type="spellEnd"/>
            <w:r w:rsidRPr="00EF524D">
              <w:t xml:space="preserve"> y </w:t>
            </w:r>
            <w:proofErr w:type="spellStart"/>
            <w:r w:rsidRPr="00EF524D">
              <w:t>Cornell</w:t>
            </w:r>
            <w:proofErr w:type="spellEnd"/>
            <w:r w:rsidRPr="00EF524D">
              <w:t xml:space="preserve"> </w:t>
            </w:r>
            <w:proofErr w:type="spellStart"/>
            <w:r w:rsidRPr="00EF524D">
              <w:t>Atkinson</w:t>
            </w:r>
            <w:proofErr w:type="spellEnd"/>
            <w:r w:rsidRPr="00EF524D">
              <w:t xml:space="preserve"> Center </w:t>
            </w:r>
            <w:proofErr w:type="spellStart"/>
            <w:r w:rsidRPr="00EF524D">
              <w:t>for</w:t>
            </w:r>
            <w:proofErr w:type="spellEnd"/>
            <w:r w:rsidRPr="00EF524D">
              <w:t xml:space="preserve"> </w:t>
            </w:r>
            <w:proofErr w:type="spellStart"/>
            <w:r w:rsidRPr="00EF524D">
              <w:t>Sustainability</w:t>
            </w:r>
            <w:proofErr w:type="spellEnd"/>
            <w:r w:rsidRPr="00EF524D">
              <w:t xml:space="preserve">, </w:t>
            </w:r>
            <w:hyperlink r:id="rId19" w:history="1">
              <w:r w:rsidRPr="00EF524D">
                <w:rPr>
                  <w:rStyle w:val="Hyperlink"/>
                  <w:sz w:val="22"/>
                  <w:szCs w:val="22"/>
                </w:rPr>
                <w:t>https://www.paulsoninstitute.org/conservation/financing-nature-report/</w:t>
              </w:r>
            </w:hyperlink>
            <w:r w:rsidRPr="00EF524D">
              <w:t>)</w:t>
            </w:r>
          </w:p>
        </w:tc>
        <w:tc>
          <w:tcPr>
            <w:tcW w:w="1530" w:type="dxa"/>
          </w:tcPr>
          <w:p w14:paraId="33760368" w14:textId="6CAC0FC8" w:rsidR="00F0005F" w:rsidRPr="00EF524D" w:rsidRDefault="00F0005F" w:rsidP="00434B1E">
            <w:pPr>
              <w:adjustRightInd w:val="0"/>
              <w:snapToGrid w:val="0"/>
              <w:spacing w:before="60" w:after="60"/>
              <w:rPr>
                <w:kern w:val="22"/>
                <w:szCs w:val="22"/>
              </w:rPr>
            </w:pPr>
            <w:r w:rsidRPr="00EF524D">
              <w:t>Objetivo D</w:t>
            </w:r>
          </w:p>
        </w:tc>
      </w:tr>
      <w:tr w:rsidR="005D6E0B" w:rsidRPr="00EF524D" w14:paraId="6F2E6716" w14:textId="77777777" w:rsidTr="00434B1E">
        <w:tc>
          <w:tcPr>
            <w:tcW w:w="2137" w:type="dxa"/>
          </w:tcPr>
          <w:p w14:paraId="71765792" w14:textId="77777777" w:rsidR="005D6E0B" w:rsidRPr="00EF524D" w:rsidRDefault="005D6E0B" w:rsidP="00434B1E">
            <w:pPr>
              <w:adjustRightInd w:val="0"/>
              <w:snapToGrid w:val="0"/>
              <w:spacing w:before="60" w:after="60"/>
              <w:jc w:val="left"/>
              <w:rPr>
                <w:kern w:val="22"/>
                <w:szCs w:val="22"/>
              </w:rPr>
            </w:pPr>
            <w:r w:rsidRPr="00EF524D">
              <w:t>Planificación espacial</w:t>
            </w:r>
          </w:p>
        </w:tc>
        <w:tc>
          <w:tcPr>
            <w:tcW w:w="5958" w:type="dxa"/>
          </w:tcPr>
          <w:p w14:paraId="640A6636" w14:textId="77777777" w:rsidR="005D6E0B" w:rsidRPr="00EF524D" w:rsidRDefault="005D6E0B" w:rsidP="00434B1E">
            <w:pPr>
              <w:adjustRightInd w:val="0"/>
              <w:snapToGrid w:val="0"/>
              <w:spacing w:before="60" w:after="60"/>
              <w:rPr>
                <w:kern w:val="22"/>
                <w:szCs w:val="22"/>
              </w:rPr>
            </w:pPr>
            <w:r w:rsidRPr="00EF524D">
              <w:t xml:space="preserve">Por planificación espacial se entiende generalmente un método o proceso público para analizar y asignar la distribución espacial y temporal de las actividades en un entorno determinado con el fin de alcanzar diversos objetivos, incluidos objetivos sociales, económicos y ecológicos (como la diversidad biológica), que se </w:t>
            </w:r>
            <w:r w:rsidRPr="00EF524D">
              <w:lastRenderedPageBreak/>
              <w:t>han especificado mediante un proceso político. La planificación espacial incluye la planificación del uso de la tierra, la planificación espacial marina, etc.</w:t>
            </w:r>
          </w:p>
          <w:p w14:paraId="7E000E4A" w14:textId="2B329797" w:rsidR="005D6E0B" w:rsidRPr="00EF524D" w:rsidRDefault="005D6E0B" w:rsidP="00D01A74">
            <w:pPr>
              <w:adjustRightInd w:val="0"/>
              <w:snapToGrid w:val="0"/>
              <w:spacing w:before="60" w:after="60"/>
              <w:jc w:val="left"/>
              <w:rPr>
                <w:kern w:val="22"/>
                <w:szCs w:val="22"/>
              </w:rPr>
            </w:pPr>
            <w:r w:rsidRPr="00EF524D">
              <w:t xml:space="preserve">(Véase </w:t>
            </w:r>
            <w:proofErr w:type="spellStart"/>
            <w:r w:rsidRPr="00EF524D">
              <w:t>Metternicht</w:t>
            </w:r>
            <w:proofErr w:type="spellEnd"/>
            <w:r w:rsidRPr="00EF524D">
              <w:t xml:space="preserve"> (2017). </w:t>
            </w:r>
            <w:proofErr w:type="spellStart"/>
            <w:r w:rsidRPr="00EF524D">
              <w:rPr>
                <w:i/>
                <w:iCs/>
                <w:szCs w:val="22"/>
              </w:rPr>
              <w:t>Land</w:t>
            </w:r>
            <w:proofErr w:type="spellEnd"/>
            <w:r w:rsidRPr="00EF524D">
              <w:rPr>
                <w:i/>
                <w:iCs/>
                <w:szCs w:val="22"/>
              </w:rPr>
              <w:t xml:space="preserve"> Use and </w:t>
            </w:r>
            <w:proofErr w:type="spellStart"/>
            <w:r w:rsidRPr="00EF524D">
              <w:rPr>
                <w:i/>
                <w:iCs/>
                <w:szCs w:val="22"/>
              </w:rPr>
              <w:t>Spatial</w:t>
            </w:r>
            <w:proofErr w:type="spellEnd"/>
            <w:r w:rsidRPr="00EF524D">
              <w:rPr>
                <w:i/>
                <w:iCs/>
                <w:szCs w:val="22"/>
              </w:rPr>
              <w:t xml:space="preserve"> </w:t>
            </w:r>
            <w:proofErr w:type="spellStart"/>
            <w:r w:rsidRPr="00EF524D">
              <w:rPr>
                <w:i/>
                <w:iCs/>
                <w:szCs w:val="22"/>
              </w:rPr>
              <w:t>Planning</w:t>
            </w:r>
            <w:proofErr w:type="spellEnd"/>
            <w:r w:rsidRPr="00EF524D">
              <w:rPr>
                <w:i/>
                <w:iCs/>
                <w:szCs w:val="22"/>
              </w:rPr>
              <w:t xml:space="preserve">: </w:t>
            </w:r>
            <w:proofErr w:type="spellStart"/>
            <w:r w:rsidRPr="00EF524D">
              <w:rPr>
                <w:i/>
                <w:iCs/>
                <w:szCs w:val="22"/>
              </w:rPr>
              <w:t>Enabling</w:t>
            </w:r>
            <w:proofErr w:type="spellEnd"/>
            <w:r w:rsidRPr="00EF524D">
              <w:rPr>
                <w:i/>
                <w:iCs/>
                <w:szCs w:val="22"/>
              </w:rPr>
              <w:t xml:space="preserve"> </w:t>
            </w:r>
            <w:proofErr w:type="spellStart"/>
            <w:r w:rsidRPr="00EF524D">
              <w:rPr>
                <w:i/>
                <w:iCs/>
                <w:szCs w:val="22"/>
              </w:rPr>
              <w:t>Sustainable</w:t>
            </w:r>
            <w:proofErr w:type="spellEnd"/>
            <w:r w:rsidRPr="00EF524D">
              <w:rPr>
                <w:i/>
                <w:iCs/>
                <w:szCs w:val="22"/>
              </w:rPr>
              <w:t xml:space="preserve"> Management of </w:t>
            </w:r>
            <w:proofErr w:type="spellStart"/>
            <w:r w:rsidRPr="00EF524D">
              <w:rPr>
                <w:i/>
                <w:iCs/>
                <w:szCs w:val="22"/>
              </w:rPr>
              <w:t>Land</w:t>
            </w:r>
            <w:proofErr w:type="spellEnd"/>
            <w:r w:rsidRPr="00EF524D">
              <w:rPr>
                <w:i/>
                <w:iCs/>
                <w:szCs w:val="22"/>
              </w:rPr>
              <w:t xml:space="preserve"> </w:t>
            </w:r>
            <w:proofErr w:type="spellStart"/>
            <w:r w:rsidRPr="00EF524D">
              <w:rPr>
                <w:i/>
                <w:iCs/>
                <w:szCs w:val="22"/>
              </w:rPr>
              <w:t>Resources</w:t>
            </w:r>
            <w:proofErr w:type="spellEnd"/>
            <w:r w:rsidRPr="00EF524D">
              <w:t xml:space="preserve">. </w:t>
            </w:r>
            <w:proofErr w:type="spellStart"/>
            <w:r w:rsidRPr="00EF524D">
              <w:t>SpringerBriefs</w:t>
            </w:r>
            <w:proofErr w:type="spellEnd"/>
            <w:r w:rsidRPr="00EF524D">
              <w:t xml:space="preserve"> in </w:t>
            </w:r>
            <w:proofErr w:type="spellStart"/>
            <w:r w:rsidRPr="00EF524D">
              <w:t>Earth</w:t>
            </w:r>
            <w:proofErr w:type="spellEnd"/>
            <w:r w:rsidRPr="00EF524D">
              <w:t xml:space="preserve"> </w:t>
            </w:r>
            <w:proofErr w:type="spellStart"/>
            <w:r w:rsidRPr="00EF524D">
              <w:t>Sciences</w:t>
            </w:r>
            <w:proofErr w:type="spellEnd"/>
            <w:r w:rsidRPr="00EF524D">
              <w:t>.</w:t>
            </w:r>
            <w:r w:rsidRPr="00EF524D">
              <w:br/>
            </w:r>
            <w:hyperlink r:id="rId20" w:history="1">
              <w:r w:rsidRPr="00EF524D">
                <w:rPr>
                  <w:rStyle w:val="Hyperlink"/>
                  <w:sz w:val="22"/>
                  <w:szCs w:val="22"/>
                </w:rPr>
                <w:t>https://www.springer.com/gp/book/9783319718606</w:t>
              </w:r>
            </w:hyperlink>
            <w:r w:rsidRPr="00EF524D">
              <w:t>)</w:t>
            </w:r>
          </w:p>
        </w:tc>
        <w:tc>
          <w:tcPr>
            <w:tcW w:w="1530" w:type="dxa"/>
          </w:tcPr>
          <w:p w14:paraId="63312391" w14:textId="77777777" w:rsidR="005D6E0B" w:rsidRPr="00EF524D" w:rsidRDefault="005D6E0B" w:rsidP="00434B1E">
            <w:pPr>
              <w:adjustRightInd w:val="0"/>
              <w:snapToGrid w:val="0"/>
              <w:spacing w:before="60" w:after="60"/>
              <w:jc w:val="left"/>
              <w:rPr>
                <w:kern w:val="22"/>
                <w:szCs w:val="22"/>
              </w:rPr>
            </w:pPr>
            <w:r w:rsidRPr="00EF524D">
              <w:lastRenderedPageBreak/>
              <w:t>Meta 1</w:t>
            </w:r>
          </w:p>
        </w:tc>
      </w:tr>
      <w:tr w:rsidR="005D6E0B" w:rsidRPr="00EF524D" w14:paraId="7BC47D08" w14:textId="77777777" w:rsidTr="00434B1E">
        <w:tc>
          <w:tcPr>
            <w:tcW w:w="2137" w:type="dxa"/>
          </w:tcPr>
          <w:p w14:paraId="6235A908" w14:textId="77777777" w:rsidR="005D6E0B" w:rsidRPr="00EF524D" w:rsidRDefault="005D6E0B" w:rsidP="00434B1E">
            <w:pPr>
              <w:adjustRightInd w:val="0"/>
              <w:snapToGrid w:val="0"/>
              <w:spacing w:before="60" w:after="60"/>
              <w:jc w:val="left"/>
              <w:rPr>
                <w:kern w:val="22"/>
                <w:szCs w:val="22"/>
              </w:rPr>
            </w:pPr>
            <w:r w:rsidRPr="00EF524D">
              <w:t>Superficie terrestre y marina</w:t>
            </w:r>
          </w:p>
        </w:tc>
        <w:tc>
          <w:tcPr>
            <w:tcW w:w="5958" w:type="dxa"/>
          </w:tcPr>
          <w:p w14:paraId="3FA2836E" w14:textId="77777777" w:rsidR="005D6E0B" w:rsidRPr="00EF524D" w:rsidRDefault="005D6E0B" w:rsidP="00434B1E">
            <w:pPr>
              <w:adjustRightInd w:val="0"/>
              <w:snapToGrid w:val="0"/>
              <w:spacing w:before="60" w:after="60"/>
              <w:rPr>
                <w:kern w:val="22"/>
                <w:szCs w:val="22"/>
              </w:rPr>
            </w:pPr>
            <w:r w:rsidRPr="00EF524D">
              <w:t>Se entiende que la superficie terrestre y marina incluye todos los ecosistemas terrestres y acuáticos, incluidos los biomas de agua dulce.</w:t>
            </w:r>
          </w:p>
        </w:tc>
        <w:tc>
          <w:tcPr>
            <w:tcW w:w="1530" w:type="dxa"/>
          </w:tcPr>
          <w:p w14:paraId="5898DF89" w14:textId="77777777" w:rsidR="005D6E0B" w:rsidRPr="00EF524D" w:rsidDel="00AB4CB3" w:rsidRDefault="005D6E0B" w:rsidP="00434B1E">
            <w:pPr>
              <w:adjustRightInd w:val="0"/>
              <w:snapToGrid w:val="0"/>
              <w:spacing w:before="60" w:after="60"/>
              <w:jc w:val="left"/>
              <w:rPr>
                <w:kern w:val="22"/>
                <w:szCs w:val="22"/>
              </w:rPr>
            </w:pPr>
            <w:r w:rsidRPr="00EF524D">
              <w:t>Meta 1, 3</w:t>
            </w:r>
          </w:p>
        </w:tc>
      </w:tr>
      <w:tr w:rsidR="005D6E0B" w:rsidRPr="00EF524D" w14:paraId="5C50DCED" w14:textId="77777777" w:rsidTr="00434B1E">
        <w:tc>
          <w:tcPr>
            <w:tcW w:w="2137" w:type="dxa"/>
          </w:tcPr>
          <w:p w14:paraId="3BFD9C2F" w14:textId="77777777" w:rsidR="005D6E0B" w:rsidRPr="00EF524D" w:rsidRDefault="005D6E0B" w:rsidP="00434B1E">
            <w:pPr>
              <w:adjustRightInd w:val="0"/>
              <w:snapToGrid w:val="0"/>
              <w:spacing w:before="60" w:after="60"/>
              <w:jc w:val="left"/>
              <w:rPr>
                <w:kern w:val="22"/>
                <w:szCs w:val="22"/>
              </w:rPr>
            </w:pPr>
            <w:r w:rsidRPr="00EF524D">
              <w:t>Cambio en el uso de la tierra</w:t>
            </w:r>
          </w:p>
        </w:tc>
        <w:tc>
          <w:tcPr>
            <w:tcW w:w="5958" w:type="dxa"/>
          </w:tcPr>
          <w:p w14:paraId="0B5D8FB8" w14:textId="77777777" w:rsidR="005D6E0B" w:rsidRPr="00EF524D" w:rsidRDefault="005D6E0B" w:rsidP="00434B1E">
            <w:pPr>
              <w:adjustRightInd w:val="0"/>
              <w:snapToGrid w:val="0"/>
              <w:spacing w:before="60" w:after="60"/>
              <w:rPr>
                <w:kern w:val="22"/>
                <w:szCs w:val="22"/>
              </w:rPr>
            </w:pPr>
            <w:r w:rsidRPr="00EF524D">
              <w:t xml:space="preserve">El cambio en el uso de la tierra incluye la conversión de la cobertura terrestre (por ejemplo, la deforestación o la minería), los cambios en la gestión del ecosistema o del </w:t>
            </w:r>
            <w:proofErr w:type="spellStart"/>
            <w:r w:rsidRPr="00EF524D">
              <w:t>agroecosistema</w:t>
            </w:r>
            <w:proofErr w:type="spellEnd"/>
            <w:r w:rsidRPr="00EF524D">
              <w:t xml:space="preserve"> (por ejemplo, mediante la intensificación de la gestión agrícola o la explotación forestal) o los cambios en la configuración espacial del paisaje (por ejemplo, la fragmentación de los hábitats).</w:t>
            </w:r>
          </w:p>
          <w:p w14:paraId="1F5F34C0" w14:textId="215E8707" w:rsidR="005D6E0B" w:rsidRPr="00EF524D" w:rsidDel="00AB4CB3" w:rsidRDefault="005D6E0B" w:rsidP="00434B1E">
            <w:pPr>
              <w:adjustRightInd w:val="0"/>
              <w:snapToGrid w:val="0"/>
              <w:spacing w:before="60" w:after="60"/>
              <w:rPr>
                <w:kern w:val="22"/>
                <w:szCs w:val="22"/>
              </w:rPr>
            </w:pPr>
            <w:r w:rsidRPr="00EF524D">
              <w:t>(</w:t>
            </w:r>
            <w:hyperlink r:id="rId21" w:history="1">
              <w:r w:rsidRPr="00EF524D">
                <w:rPr>
                  <w:rStyle w:val="Hyperlink"/>
                  <w:sz w:val="22"/>
                  <w:szCs w:val="22"/>
                </w:rPr>
                <w:t>https://ipbes.net/models-drivers-biodiversity-ecosystem-change</w:t>
              </w:r>
            </w:hyperlink>
            <w:r w:rsidRPr="00EF524D">
              <w:t>)</w:t>
            </w:r>
          </w:p>
        </w:tc>
        <w:tc>
          <w:tcPr>
            <w:tcW w:w="1530" w:type="dxa"/>
          </w:tcPr>
          <w:p w14:paraId="2277785A" w14:textId="77777777" w:rsidR="005D6E0B" w:rsidRPr="00EF524D" w:rsidRDefault="005D6E0B" w:rsidP="00434B1E">
            <w:pPr>
              <w:adjustRightInd w:val="0"/>
              <w:snapToGrid w:val="0"/>
              <w:spacing w:before="60" w:after="60"/>
              <w:jc w:val="left"/>
              <w:rPr>
                <w:kern w:val="22"/>
                <w:szCs w:val="22"/>
              </w:rPr>
            </w:pPr>
            <w:r w:rsidRPr="00EF524D">
              <w:t>Meta 1</w:t>
            </w:r>
          </w:p>
        </w:tc>
      </w:tr>
      <w:tr w:rsidR="005D6E0B" w:rsidRPr="00EF524D" w14:paraId="665A77E8" w14:textId="77777777" w:rsidTr="00434B1E">
        <w:tc>
          <w:tcPr>
            <w:tcW w:w="2137" w:type="dxa"/>
          </w:tcPr>
          <w:p w14:paraId="25384DD6" w14:textId="77777777" w:rsidR="005D6E0B" w:rsidRPr="00EF524D" w:rsidRDefault="005D6E0B" w:rsidP="00434B1E">
            <w:pPr>
              <w:adjustRightInd w:val="0"/>
              <w:snapToGrid w:val="0"/>
              <w:spacing w:before="60" w:after="60"/>
              <w:jc w:val="left"/>
              <w:rPr>
                <w:kern w:val="22"/>
                <w:szCs w:val="22"/>
              </w:rPr>
            </w:pPr>
            <w:r w:rsidRPr="00EF524D">
              <w:t>Cambio en el uso de los océanos</w:t>
            </w:r>
          </w:p>
        </w:tc>
        <w:tc>
          <w:tcPr>
            <w:tcW w:w="5958" w:type="dxa"/>
          </w:tcPr>
          <w:p w14:paraId="7C0EC722" w14:textId="77777777" w:rsidR="005D6E0B" w:rsidRPr="00EF524D" w:rsidRDefault="005D6E0B" w:rsidP="00434B1E">
            <w:pPr>
              <w:adjustRightInd w:val="0"/>
              <w:snapToGrid w:val="0"/>
              <w:spacing w:before="60" w:after="60"/>
              <w:rPr>
                <w:kern w:val="22"/>
                <w:szCs w:val="22"/>
              </w:rPr>
            </w:pPr>
            <w:r w:rsidRPr="00EF524D">
              <w:t>Del mismo modo, el cambio en el uso de los océanos se refiere a las medidas y actividades que alteran el uso de las áreas marinas, por ejemplo, el desarrollo costero, la acuicultura en alta mar, la maricultura, la exploración de petróleo y gas, y la pesca de arrastre de fondo.</w:t>
            </w:r>
          </w:p>
        </w:tc>
        <w:tc>
          <w:tcPr>
            <w:tcW w:w="1530" w:type="dxa"/>
          </w:tcPr>
          <w:p w14:paraId="5DFA4CA0" w14:textId="77777777" w:rsidR="005D6E0B" w:rsidRPr="00EF524D" w:rsidRDefault="005D6E0B" w:rsidP="00434B1E">
            <w:pPr>
              <w:adjustRightInd w:val="0"/>
              <w:snapToGrid w:val="0"/>
              <w:spacing w:before="60" w:after="60"/>
              <w:jc w:val="left"/>
              <w:rPr>
                <w:kern w:val="22"/>
                <w:szCs w:val="22"/>
              </w:rPr>
            </w:pPr>
            <w:r w:rsidRPr="00EF524D">
              <w:t>Meta 1</w:t>
            </w:r>
          </w:p>
        </w:tc>
      </w:tr>
      <w:tr w:rsidR="005D6E0B" w:rsidRPr="00EF524D" w14:paraId="548E747F" w14:textId="77777777" w:rsidTr="00434B1E">
        <w:tc>
          <w:tcPr>
            <w:tcW w:w="2137" w:type="dxa"/>
          </w:tcPr>
          <w:p w14:paraId="37B6DAB2" w14:textId="77777777" w:rsidR="005D6E0B" w:rsidRPr="00EF524D" w:rsidRDefault="005D6E0B" w:rsidP="00434B1E">
            <w:pPr>
              <w:adjustRightInd w:val="0"/>
              <w:snapToGrid w:val="0"/>
              <w:spacing w:before="60" w:after="60"/>
              <w:jc w:val="left"/>
              <w:rPr>
                <w:kern w:val="22"/>
                <w:szCs w:val="22"/>
              </w:rPr>
            </w:pPr>
            <w:r w:rsidRPr="00EF524D">
              <w:t>Zonas intactas y de naturaleza virgen</w:t>
            </w:r>
          </w:p>
        </w:tc>
        <w:tc>
          <w:tcPr>
            <w:tcW w:w="5958" w:type="dxa"/>
          </w:tcPr>
          <w:p w14:paraId="7CF0A937" w14:textId="77777777" w:rsidR="005D6E0B" w:rsidRPr="00EF524D" w:rsidRDefault="005D6E0B" w:rsidP="00434B1E">
            <w:pPr>
              <w:adjustRightInd w:val="0"/>
              <w:snapToGrid w:val="0"/>
              <w:spacing w:before="60" w:after="60"/>
              <w:rPr>
                <w:kern w:val="22"/>
                <w:szCs w:val="22"/>
              </w:rPr>
            </w:pPr>
            <w:r w:rsidRPr="00EF524D">
              <w:t>La expresión “naturaleza virgen” se utiliza para describir paisajes terrestres y marítimos en buena medida intactos desde el punto de vista biológico y ecológico, con una baja densidad de población humana y que en su mayoría están libres de infraestructura industrial. Por tanto, la expresión “naturaleza virgen” no es exclusiva de las personas, sino más bien de los usos humanos que producen importantes perturbaciones biofísicas. A raíz de ello, a menudo la calidad de la naturaleza virgen se define en función de la lejanía de los asentamientos urbanos e infraestructura moderna y el grado de los impactos ecológicos derivados de la actividad industrial. Sin embargo, la expresión no pretende sugerir que una zona deba ser completamente “prístina” o “intacta”, ya que quedan muy pocos lugares en la Tierra que cumplen ese criterio. Además, se debe reconocer que las expresiones “intacto” e “integridad” se miden como una progresión y no son binarios.</w:t>
            </w:r>
          </w:p>
          <w:p w14:paraId="379898EB" w14:textId="0188C0F7" w:rsidR="005D6E0B" w:rsidRPr="00EF524D" w:rsidRDefault="005D6E0B" w:rsidP="00434B1E">
            <w:pPr>
              <w:adjustRightInd w:val="0"/>
              <w:snapToGrid w:val="0"/>
              <w:spacing w:before="60" w:after="60"/>
              <w:rPr>
                <w:kern w:val="22"/>
                <w:szCs w:val="22"/>
              </w:rPr>
            </w:pPr>
            <w:r w:rsidRPr="00EF524D">
              <w:t>(</w:t>
            </w:r>
            <w:proofErr w:type="spellStart"/>
            <w:r w:rsidRPr="00EF524D">
              <w:t>Cyril</w:t>
            </w:r>
            <w:proofErr w:type="spellEnd"/>
            <w:r w:rsidRPr="00EF524D">
              <w:t xml:space="preserve"> F. </w:t>
            </w:r>
            <w:proofErr w:type="spellStart"/>
            <w:r w:rsidRPr="00EF524D">
              <w:t>Kormos</w:t>
            </w:r>
            <w:proofErr w:type="spellEnd"/>
            <w:r w:rsidRPr="00EF524D">
              <w:t xml:space="preserve">, Tim </w:t>
            </w:r>
            <w:proofErr w:type="spellStart"/>
            <w:r w:rsidRPr="00EF524D">
              <w:t>Badman</w:t>
            </w:r>
            <w:proofErr w:type="spellEnd"/>
            <w:r w:rsidRPr="00EF524D">
              <w:t xml:space="preserve">, </w:t>
            </w:r>
            <w:proofErr w:type="spellStart"/>
            <w:r w:rsidRPr="00EF524D">
              <w:t>Tilman</w:t>
            </w:r>
            <w:proofErr w:type="spellEnd"/>
            <w:r w:rsidRPr="00EF524D">
              <w:t xml:space="preserve"> </w:t>
            </w:r>
            <w:proofErr w:type="spellStart"/>
            <w:r w:rsidRPr="00EF524D">
              <w:t>Jaeger</w:t>
            </w:r>
            <w:proofErr w:type="spellEnd"/>
            <w:r w:rsidRPr="00EF524D">
              <w:t xml:space="preserve">, </w:t>
            </w:r>
            <w:proofErr w:type="spellStart"/>
            <w:r w:rsidRPr="00EF524D">
              <w:t>Bastian</w:t>
            </w:r>
            <w:proofErr w:type="spellEnd"/>
            <w:r w:rsidRPr="00EF524D">
              <w:t xml:space="preserve"> </w:t>
            </w:r>
            <w:proofErr w:type="spellStart"/>
            <w:r w:rsidRPr="00EF524D">
              <w:t>Bertzky</w:t>
            </w:r>
            <w:proofErr w:type="spellEnd"/>
            <w:r w:rsidRPr="00EF524D">
              <w:t xml:space="preserve">, </w:t>
            </w:r>
            <w:proofErr w:type="spellStart"/>
            <w:r w:rsidRPr="00EF524D">
              <w:t>Remco</w:t>
            </w:r>
            <w:proofErr w:type="spellEnd"/>
            <w:r w:rsidRPr="00EF524D">
              <w:t xml:space="preserve"> van </w:t>
            </w:r>
            <w:proofErr w:type="spellStart"/>
            <w:r w:rsidRPr="00EF524D">
              <w:t>Merm</w:t>
            </w:r>
            <w:proofErr w:type="spellEnd"/>
            <w:r w:rsidRPr="00EF524D">
              <w:t xml:space="preserve">, Elena </w:t>
            </w:r>
            <w:proofErr w:type="spellStart"/>
            <w:r w:rsidRPr="00EF524D">
              <w:t>Osipova</w:t>
            </w:r>
            <w:proofErr w:type="spellEnd"/>
            <w:r w:rsidRPr="00EF524D">
              <w:t xml:space="preserve">, </w:t>
            </w:r>
            <w:proofErr w:type="spellStart"/>
            <w:r w:rsidRPr="00EF524D">
              <w:t>Yichuan</w:t>
            </w:r>
            <w:proofErr w:type="spellEnd"/>
            <w:r w:rsidRPr="00EF524D">
              <w:t xml:space="preserve"> </w:t>
            </w:r>
            <w:proofErr w:type="spellStart"/>
            <w:r w:rsidRPr="00EF524D">
              <w:t>Shi</w:t>
            </w:r>
            <w:proofErr w:type="spellEnd"/>
            <w:r w:rsidRPr="00EF524D">
              <w:t xml:space="preserve">, Peter </w:t>
            </w:r>
            <w:proofErr w:type="spellStart"/>
            <w:r w:rsidRPr="00EF524D">
              <w:t>Bille</w:t>
            </w:r>
            <w:proofErr w:type="spellEnd"/>
            <w:r w:rsidRPr="00EF524D">
              <w:t xml:space="preserve"> </w:t>
            </w:r>
            <w:proofErr w:type="spellStart"/>
            <w:r w:rsidRPr="00EF524D">
              <w:t>Larsen</w:t>
            </w:r>
            <w:proofErr w:type="spellEnd"/>
            <w:r w:rsidRPr="00EF524D">
              <w:t xml:space="preserve"> (2017). </w:t>
            </w:r>
            <w:proofErr w:type="spellStart"/>
            <w:r w:rsidRPr="00EF524D">
              <w:t>World</w:t>
            </w:r>
            <w:proofErr w:type="spellEnd"/>
            <w:r w:rsidRPr="00EF524D">
              <w:t xml:space="preserve"> </w:t>
            </w:r>
            <w:proofErr w:type="spellStart"/>
            <w:r w:rsidRPr="00EF524D">
              <w:t>Heritage</w:t>
            </w:r>
            <w:proofErr w:type="spellEnd"/>
            <w:r w:rsidRPr="00EF524D">
              <w:t xml:space="preserve">, </w:t>
            </w:r>
            <w:proofErr w:type="spellStart"/>
            <w:r w:rsidRPr="00EF524D">
              <w:t>Wilderness</w:t>
            </w:r>
            <w:proofErr w:type="spellEnd"/>
            <w:r w:rsidRPr="00EF524D">
              <w:t xml:space="preserve"> and </w:t>
            </w:r>
            <w:proofErr w:type="spellStart"/>
            <w:r w:rsidRPr="00EF524D">
              <w:t>Large</w:t>
            </w:r>
            <w:proofErr w:type="spellEnd"/>
            <w:r w:rsidRPr="00EF524D">
              <w:t xml:space="preserve"> </w:t>
            </w:r>
            <w:proofErr w:type="spellStart"/>
            <w:r w:rsidRPr="00EF524D">
              <w:t>Landscapes</w:t>
            </w:r>
            <w:proofErr w:type="spellEnd"/>
            <w:r w:rsidRPr="00EF524D">
              <w:t xml:space="preserve"> and </w:t>
            </w:r>
            <w:proofErr w:type="spellStart"/>
            <w:r w:rsidRPr="00EF524D">
              <w:t>Seascapes</w:t>
            </w:r>
            <w:proofErr w:type="spellEnd"/>
            <w:r w:rsidRPr="00EF524D">
              <w:t xml:space="preserve">. </w:t>
            </w:r>
            <w:proofErr w:type="spellStart"/>
            <w:r w:rsidRPr="00EF524D">
              <w:t>Gland</w:t>
            </w:r>
            <w:proofErr w:type="spellEnd"/>
            <w:r w:rsidRPr="00EF524D">
              <w:t xml:space="preserve"> (Suiza): </w:t>
            </w:r>
            <w:proofErr w:type="spellStart"/>
            <w:r w:rsidRPr="00EF524D">
              <w:t>UICN</w:t>
            </w:r>
            <w:proofErr w:type="spellEnd"/>
            <w:r w:rsidRPr="00EF524D">
              <w:t xml:space="preserve">. viii + 70 </w:t>
            </w:r>
            <w:r w:rsidR="00D01A74" w:rsidRPr="00EF524D">
              <w:t>págs.</w:t>
            </w:r>
            <w:r w:rsidRPr="00EF524D">
              <w:t xml:space="preserve">, </w:t>
            </w:r>
            <w:hyperlink r:id="rId22" w:history="1">
              <w:r w:rsidRPr="00EF524D">
                <w:rPr>
                  <w:rStyle w:val="Hyperlink"/>
                  <w:sz w:val="22"/>
                  <w:szCs w:val="22"/>
                </w:rPr>
                <w:t>https://portals.iucn.org/library/sites/library/files/documents/2017-028.pdf</w:t>
              </w:r>
            </w:hyperlink>
            <w:r w:rsidRPr="00EF524D">
              <w:t>)</w:t>
            </w:r>
          </w:p>
        </w:tc>
        <w:tc>
          <w:tcPr>
            <w:tcW w:w="1530" w:type="dxa"/>
          </w:tcPr>
          <w:p w14:paraId="742F459C" w14:textId="77777777" w:rsidR="005D6E0B" w:rsidRPr="00EF524D" w:rsidRDefault="005D6E0B" w:rsidP="00434B1E">
            <w:pPr>
              <w:adjustRightInd w:val="0"/>
              <w:snapToGrid w:val="0"/>
              <w:spacing w:before="60" w:after="60"/>
              <w:jc w:val="left"/>
              <w:rPr>
                <w:kern w:val="22"/>
                <w:szCs w:val="22"/>
              </w:rPr>
            </w:pPr>
            <w:r w:rsidRPr="00EF524D">
              <w:t>Meta 1</w:t>
            </w:r>
          </w:p>
        </w:tc>
      </w:tr>
      <w:tr w:rsidR="005D6E0B" w:rsidRPr="00EF524D" w14:paraId="3EE3527D" w14:textId="77777777" w:rsidTr="00434B1E">
        <w:tc>
          <w:tcPr>
            <w:tcW w:w="2137" w:type="dxa"/>
          </w:tcPr>
          <w:p w14:paraId="78180BAB" w14:textId="77777777" w:rsidR="005D6E0B" w:rsidRPr="00EF524D" w:rsidRDefault="005D6E0B" w:rsidP="00434B1E">
            <w:pPr>
              <w:adjustRightInd w:val="0"/>
              <w:snapToGrid w:val="0"/>
              <w:spacing w:before="60" w:after="60"/>
              <w:jc w:val="left"/>
              <w:rPr>
                <w:kern w:val="22"/>
                <w:szCs w:val="22"/>
              </w:rPr>
            </w:pPr>
            <w:r w:rsidRPr="00EF524D">
              <w:t>Restauración</w:t>
            </w:r>
          </w:p>
        </w:tc>
        <w:tc>
          <w:tcPr>
            <w:tcW w:w="5958" w:type="dxa"/>
          </w:tcPr>
          <w:p w14:paraId="5ED41239" w14:textId="77777777" w:rsidR="00B8056B" w:rsidRDefault="005D6E0B" w:rsidP="00434B1E">
            <w:pPr>
              <w:adjustRightInd w:val="0"/>
              <w:snapToGrid w:val="0"/>
              <w:spacing w:before="60" w:after="60"/>
            </w:pPr>
            <w:r w:rsidRPr="00EF524D">
              <w:t xml:space="preserve">Según la definición de la IPBES, se entiende por restauración “toda actividad intencional que inicie o acelere la recuperación de un ecosistema que esté en estado de degradación” (2019). Esta definición abarca todas las formas e intensidades del estado de degradación y, en este sentido, incluye la definición adoptada por la </w:t>
            </w:r>
            <w:proofErr w:type="spellStart"/>
            <w:r w:rsidRPr="00EF524D">
              <w:t>Society</w:t>
            </w:r>
            <w:proofErr w:type="spellEnd"/>
            <w:r w:rsidRPr="00EF524D">
              <w:t xml:space="preserve"> </w:t>
            </w:r>
            <w:proofErr w:type="spellStart"/>
            <w:r w:rsidRPr="00EF524D">
              <w:t>for</w:t>
            </w:r>
            <w:proofErr w:type="spellEnd"/>
            <w:r w:rsidRPr="00EF524D">
              <w:t xml:space="preserve"> </w:t>
            </w:r>
            <w:proofErr w:type="spellStart"/>
            <w:r w:rsidRPr="00EF524D">
              <w:t>Ecological</w:t>
            </w:r>
            <w:proofErr w:type="spellEnd"/>
            <w:r w:rsidRPr="00EF524D">
              <w:t xml:space="preserve"> </w:t>
            </w:r>
            <w:proofErr w:type="spellStart"/>
            <w:r w:rsidRPr="00EF524D">
              <w:t>Restoration</w:t>
            </w:r>
            <w:proofErr w:type="spellEnd"/>
            <w:r w:rsidRPr="00EF524D">
              <w:t>.</w:t>
            </w:r>
          </w:p>
          <w:p w14:paraId="4D848FAA" w14:textId="63E2D8DA" w:rsidR="005D6E0B" w:rsidRPr="00EF524D" w:rsidRDefault="005D6E0B" w:rsidP="00434B1E">
            <w:pPr>
              <w:adjustRightInd w:val="0"/>
              <w:snapToGrid w:val="0"/>
              <w:spacing w:before="60" w:after="60"/>
              <w:rPr>
                <w:kern w:val="22"/>
                <w:szCs w:val="22"/>
              </w:rPr>
            </w:pPr>
            <w:r w:rsidRPr="00EF524D">
              <w:lastRenderedPageBreak/>
              <w:t>(</w:t>
            </w:r>
            <w:hyperlink r:id="rId23" w:history="1">
              <w:r w:rsidRPr="00EF524D">
                <w:rPr>
                  <w:rStyle w:val="Hyperlink"/>
                  <w:sz w:val="22"/>
                  <w:szCs w:val="22"/>
                </w:rPr>
                <w:t>https://www.cbd.int/doc/c/fcd6/bfba/38ebc826221543e322173507/post2020-ws-2019-11-03-en.pdf</w:t>
              </w:r>
            </w:hyperlink>
            <w:r w:rsidRPr="00EF524D">
              <w:rPr>
                <w:rStyle w:val="Hyperlink"/>
                <w:sz w:val="22"/>
                <w:szCs w:val="22"/>
              </w:rPr>
              <w:t>, véase también Restauración de los ecosistemas: plan de acción a corto plazo -</w:t>
            </w:r>
            <w:r w:rsidRPr="00EF524D">
              <w:t xml:space="preserve"> </w:t>
            </w:r>
            <w:hyperlink r:id="rId24" w:history="1">
              <w:proofErr w:type="spellStart"/>
              <w:r w:rsidRPr="00EF524D">
                <w:rPr>
                  <w:rStyle w:val="Hyperlink"/>
                  <w:sz w:val="22"/>
                  <w:szCs w:val="22"/>
                </w:rPr>
                <w:t>CBD</w:t>
              </w:r>
              <w:proofErr w:type="spellEnd"/>
              <w:r w:rsidRPr="00EF524D">
                <w:rPr>
                  <w:rStyle w:val="Hyperlink"/>
                  <w:sz w:val="22"/>
                  <w:szCs w:val="22"/>
                </w:rPr>
                <w:t>/COP/DEC/XIII/5</w:t>
              </w:r>
            </w:hyperlink>
            <w:r w:rsidRPr="00EF524D">
              <w:t>)</w:t>
            </w:r>
          </w:p>
          <w:p w14:paraId="71884000" w14:textId="77777777" w:rsidR="005D6E0B" w:rsidRPr="00EF524D" w:rsidRDefault="005D6E0B" w:rsidP="00434B1E">
            <w:pPr>
              <w:adjustRightInd w:val="0"/>
              <w:snapToGrid w:val="0"/>
              <w:spacing w:before="60" w:after="60"/>
              <w:rPr>
                <w:kern w:val="22"/>
                <w:szCs w:val="22"/>
              </w:rPr>
            </w:pPr>
            <w:r w:rsidRPr="00EF524D">
              <w:t>Restaurar los ecosistemas significa “favorecer la recuperación de aquellos ecosistemas que hayan sido degradados o destruidos, así como conservar los que todavía siguen intactos”. La restauración puede producirse de varias formas entre las que se cuentan, por ejemplo, plantar de forma activa o eliminar las presiones que afectan a la naturaleza para que pueda recuperarse por sí sola. Devolver un ecosistema a su estado original no siempre es posible o deseable.</w:t>
            </w:r>
          </w:p>
          <w:p w14:paraId="130C38A3" w14:textId="09CF6AF8" w:rsidR="005D6E0B" w:rsidRPr="00EF524D" w:rsidDel="00AB4CB3" w:rsidRDefault="005D6E0B" w:rsidP="00434B1E">
            <w:pPr>
              <w:adjustRightInd w:val="0"/>
              <w:snapToGrid w:val="0"/>
              <w:spacing w:before="60" w:after="60"/>
              <w:jc w:val="left"/>
              <w:rPr>
                <w:kern w:val="22"/>
                <w:szCs w:val="22"/>
              </w:rPr>
            </w:pPr>
            <w:r w:rsidRPr="00EF524D">
              <w:t xml:space="preserve">(Decenio de las Naciones Unidas sobre la Restauración de los Ecosistemas, </w:t>
            </w:r>
            <w:hyperlink r:id="rId25" w:history="1">
              <w:r w:rsidRPr="00EF524D">
                <w:rPr>
                  <w:rStyle w:val="Hyperlink"/>
                  <w:sz w:val="22"/>
                  <w:szCs w:val="22"/>
                </w:rPr>
                <w:t>https://www.decadeonrestoration.org/es/en-que-consiste-la-restauracion-de-los-ecosistemas</w:t>
              </w:r>
            </w:hyperlink>
            <w:r w:rsidRPr="00EF524D">
              <w:t>)</w:t>
            </w:r>
          </w:p>
        </w:tc>
        <w:tc>
          <w:tcPr>
            <w:tcW w:w="1530" w:type="dxa"/>
          </w:tcPr>
          <w:p w14:paraId="56E589C6" w14:textId="77777777" w:rsidR="005D6E0B" w:rsidRPr="00EF524D" w:rsidRDefault="005D6E0B" w:rsidP="00434B1E">
            <w:pPr>
              <w:adjustRightInd w:val="0"/>
              <w:snapToGrid w:val="0"/>
              <w:spacing w:before="60" w:after="60"/>
              <w:jc w:val="left"/>
              <w:rPr>
                <w:kern w:val="22"/>
                <w:szCs w:val="22"/>
              </w:rPr>
            </w:pPr>
            <w:r w:rsidRPr="00EF524D">
              <w:lastRenderedPageBreak/>
              <w:t>Meta 2</w:t>
            </w:r>
          </w:p>
        </w:tc>
      </w:tr>
      <w:tr w:rsidR="005D6E0B" w:rsidRPr="00EF524D" w14:paraId="5677B564" w14:textId="77777777" w:rsidTr="00434B1E">
        <w:tc>
          <w:tcPr>
            <w:tcW w:w="2137" w:type="dxa"/>
          </w:tcPr>
          <w:p w14:paraId="31E04BEB" w14:textId="77777777" w:rsidR="005D6E0B" w:rsidRPr="00EF524D" w:rsidRDefault="005D6E0B" w:rsidP="00434B1E">
            <w:pPr>
              <w:adjustRightInd w:val="0"/>
              <w:snapToGrid w:val="0"/>
              <w:spacing w:before="60" w:after="60"/>
              <w:jc w:val="left"/>
              <w:rPr>
                <w:kern w:val="22"/>
                <w:szCs w:val="22"/>
              </w:rPr>
            </w:pPr>
            <w:r w:rsidRPr="00EF524D">
              <w:t>Ecosistemas degradados</w:t>
            </w:r>
          </w:p>
        </w:tc>
        <w:tc>
          <w:tcPr>
            <w:tcW w:w="5958" w:type="dxa"/>
          </w:tcPr>
          <w:p w14:paraId="04CD4D4B" w14:textId="77777777" w:rsidR="005D6E0B" w:rsidRPr="00EF524D" w:rsidRDefault="005D6E0B" w:rsidP="00434B1E">
            <w:pPr>
              <w:adjustRightInd w:val="0"/>
              <w:snapToGrid w:val="0"/>
              <w:spacing w:before="60" w:after="60"/>
              <w:rPr>
                <w:kern w:val="22"/>
                <w:szCs w:val="22"/>
              </w:rPr>
            </w:pPr>
            <w:r w:rsidRPr="00EF524D">
              <w:t>La degradación de las tierras puede producirse por la pérdida de diversidad biológica o de funciones o servicios de los ecosistemas. Desde una perspectiva ecológica, la degradación de las tierras puede incluir una transformación completa en la clase o el uso del ecosistema, como la conversión de un pastizal natural en un campo de cultivo, que proporciona un espectro diferente de beneficios, pero también la degradación del sistema “natural” o “transformado”. Los ecosistemas naturales suelen estar degradados antes de ser transformados. El ecosistema transformado que resulta de esta conversión puede, a su vez, degradarse y ver reducida la prestación de sus nuevas funciones (por ejemplo, un campo agrícola en el que la degradación del suelo y la reducción de la fertilidad de este provocan una disminución de las cosechas).</w:t>
            </w:r>
          </w:p>
          <w:p w14:paraId="531ADE55" w14:textId="77777777" w:rsidR="005D6E0B" w:rsidRPr="00EF524D" w:rsidRDefault="005D6E0B" w:rsidP="00434B1E">
            <w:pPr>
              <w:adjustRightInd w:val="0"/>
              <w:snapToGrid w:val="0"/>
              <w:spacing w:before="60" w:after="60"/>
              <w:rPr>
                <w:kern w:val="22"/>
                <w:szCs w:val="22"/>
              </w:rPr>
            </w:pPr>
            <w:r w:rsidRPr="00EF524D">
              <w:t>Los mismos conceptos se aplican a la degradación de los ecosistemas marinos y de agua dulce. Puede adoptar la forma de un cambio en las estructuras tróficas de una comunidad marina (a través de la presión pesquera y la eliminación selectiva de especies), la transformación del bentos blando y duro (a través de barridos repetitivos de artes de contacto, como las redes de arrastre) o la construcción de arrecifes artificiales, por citar solo algunos ejemplos. En el caso de los ecosistemas acuáticos de agua dulce, la construcción de presas y embalses sobre los cursos de los ríos o la conversión de humedales naturales en arrozales son ejemplos de transformación de los ecosistemas.</w:t>
            </w:r>
          </w:p>
          <w:p w14:paraId="48D04389" w14:textId="4C8C4855" w:rsidR="005D6E0B" w:rsidRPr="00EF524D" w:rsidDel="00AB4CB3" w:rsidRDefault="005D6E0B" w:rsidP="00434B1E">
            <w:pPr>
              <w:adjustRightInd w:val="0"/>
              <w:snapToGrid w:val="0"/>
              <w:spacing w:before="60" w:after="60"/>
              <w:rPr>
                <w:kern w:val="22"/>
                <w:szCs w:val="22"/>
              </w:rPr>
            </w:pPr>
            <w:r w:rsidRPr="00EF524D">
              <w:t>(</w:t>
            </w:r>
            <w:proofErr w:type="spellStart"/>
            <w:r w:rsidR="001A1CB2" w:rsidRPr="00EF524D">
              <w:fldChar w:fldCharType="begin"/>
            </w:r>
            <w:r w:rsidR="001A1CB2" w:rsidRPr="00EF524D">
              <w:instrText xml:space="preserve"> HYPERLINK "https://www.cbd.int/doc/c/fcd6/bfba/38ebc826221543e322173507/post2020-ws-2019-11-03-en.pdf" </w:instrText>
            </w:r>
            <w:r w:rsidR="001A1CB2" w:rsidRPr="00EF524D">
              <w:fldChar w:fldCharType="separate"/>
            </w:r>
            <w:r w:rsidRPr="00EF524D">
              <w:rPr>
                <w:rStyle w:val="Hyperlink"/>
                <w:sz w:val="22"/>
                <w:szCs w:val="22"/>
              </w:rPr>
              <w:t>CBD</w:t>
            </w:r>
            <w:proofErr w:type="spellEnd"/>
            <w:r w:rsidRPr="00EF524D">
              <w:rPr>
                <w:rStyle w:val="Hyperlink"/>
                <w:sz w:val="22"/>
                <w:szCs w:val="22"/>
              </w:rPr>
              <w:t>/POST2020/</w:t>
            </w:r>
            <w:proofErr w:type="spellStart"/>
            <w:r w:rsidRPr="00EF524D">
              <w:rPr>
                <w:rStyle w:val="Hyperlink"/>
                <w:sz w:val="22"/>
                <w:szCs w:val="22"/>
              </w:rPr>
              <w:t>WS</w:t>
            </w:r>
            <w:proofErr w:type="spellEnd"/>
            <w:r w:rsidRPr="00EF524D">
              <w:rPr>
                <w:rStyle w:val="Hyperlink"/>
                <w:sz w:val="22"/>
                <w:szCs w:val="22"/>
              </w:rPr>
              <w:t>/2019/11/3</w:t>
            </w:r>
            <w:r w:rsidR="001A1CB2" w:rsidRPr="00EF524D">
              <w:rPr>
                <w:rStyle w:val="Hyperlink"/>
                <w:sz w:val="22"/>
                <w:szCs w:val="22"/>
              </w:rPr>
              <w:fldChar w:fldCharType="end"/>
            </w:r>
            <w:r w:rsidRPr="00EF524D">
              <w:t>)</w:t>
            </w:r>
          </w:p>
        </w:tc>
        <w:tc>
          <w:tcPr>
            <w:tcW w:w="1530" w:type="dxa"/>
          </w:tcPr>
          <w:p w14:paraId="78BBC4BE" w14:textId="77777777" w:rsidR="005D6E0B" w:rsidRPr="00EF524D" w:rsidRDefault="005D6E0B" w:rsidP="00434B1E">
            <w:pPr>
              <w:adjustRightInd w:val="0"/>
              <w:snapToGrid w:val="0"/>
              <w:spacing w:before="60" w:after="60"/>
              <w:jc w:val="left"/>
              <w:rPr>
                <w:kern w:val="22"/>
                <w:szCs w:val="22"/>
              </w:rPr>
            </w:pPr>
            <w:r w:rsidRPr="00EF524D">
              <w:t>Meta 2</w:t>
            </w:r>
          </w:p>
        </w:tc>
      </w:tr>
      <w:tr w:rsidR="005D6E0B" w:rsidRPr="00EF524D" w14:paraId="3CE2E9C8" w14:textId="77777777" w:rsidTr="00434B1E">
        <w:tc>
          <w:tcPr>
            <w:tcW w:w="2137" w:type="dxa"/>
          </w:tcPr>
          <w:p w14:paraId="4976ADA5" w14:textId="77777777" w:rsidR="005D6E0B" w:rsidRPr="00EF524D" w:rsidRDefault="005D6E0B" w:rsidP="00434B1E">
            <w:pPr>
              <w:adjustRightInd w:val="0"/>
              <w:snapToGrid w:val="0"/>
              <w:spacing w:before="60" w:after="60"/>
              <w:jc w:val="left"/>
              <w:rPr>
                <w:kern w:val="22"/>
                <w:szCs w:val="22"/>
              </w:rPr>
            </w:pPr>
            <w:r w:rsidRPr="00EF524D">
              <w:t>Área protegida</w:t>
            </w:r>
          </w:p>
        </w:tc>
        <w:tc>
          <w:tcPr>
            <w:tcW w:w="5958" w:type="dxa"/>
          </w:tcPr>
          <w:p w14:paraId="68F0777E" w14:textId="25AACBFF" w:rsidR="00B64A3F" w:rsidRPr="00EF524D" w:rsidRDefault="00B64A3F" w:rsidP="00434B1E">
            <w:pPr>
              <w:adjustRightInd w:val="0"/>
              <w:snapToGrid w:val="0"/>
              <w:spacing w:before="60" w:after="60"/>
              <w:rPr>
                <w:kern w:val="22"/>
                <w:szCs w:val="22"/>
              </w:rPr>
            </w:pPr>
            <w:r w:rsidRPr="00EF524D">
              <w:t>Por “área protegida” se entiende un área definida geográficamente que haya sido designada o regulada y administrada a fin de alcanzar objetivos específicos de conservación. (</w:t>
            </w:r>
            <w:hyperlink r:id="rId26" w:history="1">
              <w:r w:rsidRPr="00EF524D">
                <w:rPr>
                  <w:rStyle w:val="Hyperlink"/>
                  <w:sz w:val="22"/>
                  <w:szCs w:val="22"/>
                </w:rPr>
                <w:t>Convenio</w:t>
              </w:r>
            </w:hyperlink>
            <w:r w:rsidRPr="00EF524D">
              <w:rPr>
                <w:rStyle w:val="Hyperlink"/>
                <w:sz w:val="22"/>
                <w:szCs w:val="22"/>
              </w:rPr>
              <w:t>,</w:t>
            </w:r>
            <w:r w:rsidRPr="00EF524D">
              <w:t xml:space="preserve"> </w:t>
            </w:r>
            <w:r w:rsidRPr="00EF524D">
              <w:rPr>
                <w:rStyle w:val="Hyperlink"/>
                <w:sz w:val="22"/>
                <w:szCs w:val="22"/>
              </w:rPr>
              <w:t>Artículo 2</w:t>
            </w:r>
            <w:r w:rsidRPr="00EF524D">
              <w:t xml:space="preserve">) </w:t>
            </w:r>
          </w:p>
          <w:p w14:paraId="6C2513D5" w14:textId="77777777" w:rsidR="00B64A3F" w:rsidRPr="00EF524D" w:rsidRDefault="00B64A3F" w:rsidP="00434B1E">
            <w:pPr>
              <w:adjustRightInd w:val="0"/>
              <w:snapToGrid w:val="0"/>
              <w:spacing w:before="60" w:after="60"/>
              <w:rPr>
                <w:kern w:val="22"/>
                <w:szCs w:val="22"/>
              </w:rPr>
            </w:pPr>
          </w:p>
          <w:p w14:paraId="6576C445" w14:textId="667698B2" w:rsidR="005D6E0B" w:rsidRPr="00EF524D" w:rsidRDefault="005D6E0B" w:rsidP="00434B1E">
            <w:pPr>
              <w:adjustRightInd w:val="0"/>
              <w:snapToGrid w:val="0"/>
              <w:spacing w:before="60" w:after="60"/>
              <w:rPr>
                <w:kern w:val="22"/>
                <w:szCs w:val="22"/>
              </w:rPr>
            </w:pPr>
            <w:r w:rsidRPr="00EF524D">
              <w:t xml:space="preserve">Un </w:t>
            </w:r>
            <w:r w:rsidR="007B73A6" w:rsidRPr="00EF524D">
              <w:t xml:space="preserve">área protegida es un </w:t>
            </w:r>
            <w:r w:rsidRPr="00EF524D">
              <w:t xml:space="preserve">espacio geográfico claramente definido, reconocido, dedicado y gestionado por medios legales u otros medios eficaces para lograr la conservación a largo plazo de la </w:t>
            </w:r>
            <w:r w:rsidRPr="00EF524D">
              <w:lastRenderedPageBreak/>
              <w:t>naturaleza y de los valores culturales y los servicios de los ecosistemas asociados.</w:t>
            </w:r>
          </w:p>
          <w:p w14:paraId="18546881" w14:textId="6DE195FF" w:rsidR="005D6E0B" w:rsidRPr="00EF524D" w:rsidRDefault="005D6E0B" w:rsidP="00434B1E">
            <w:pPr>
              <w:adjustRightInd w:val="0"/>
              <w:snapToGrid w:val="0"/>
              <w:spacing w:before="60" w:after="60"/>
              <w:jc w:val="left"/>
              <w:rPr>
                <w:kern w:val="22"/>
                <w:szCs w:val="22"/>
              </w:rPr>
            </w:pPr>
            <w:r w:rsidRPr="00EF524D">
              <w:t>(</w:t>
            </w:r>
            <w:proofErr w:type="spellStart"/>
            <w:r w:rsidRPr="00EF524D">
              <w:t>Dudley</w:t>
            </w:r>
            <w:proofErr w:type="spellEnd"/>
            <w:r w:rsidRPr="00EF524D">
              <w:t xml:space="preserve">, N. (Editor) (2008). </w:t>
            </w:r>
            <w:proofErr w:type="spellStart"/>
            <w:r w:rsidRPr="00EF524D">
              <w:t>Guidelines</w:t>
            </w:r>
            <w:proofErr w:type="spellEnd"/>
            <w:r w:rsidRPr="00EF524D">
              <w:t xml:space="preserve"> </w:t>
            </w:r>
            <w:proofErr w:type="spellStart"/>
            <w:r w:rsidRPr="00EF524D">
              <w:t>for</w:t>
            </w:r>
            <w:proofErr w:type="spellEnd"/>
            <w:r w:rsidRPr="00EF524D">
              <w:t xml:space="preserve"> </w:t>
            </w:r>
            <w:proofErr w:type="spellStart"/>
            <w:r w:rsidRPr="00EF524D">
              <w:t>Applying</w:t>
            </w:r>
            <w:proofErr w:type="spellEnd"/>
            <w:r w:rsidRPr="00EF524D">
              <w:t xml:space="preserve"> </w:t>
            </w:r>
            <w:proofErr w:type="spellStart"/>
            <w:r w:rsidRPr="00EF524D">
              <w:t>Protected</w:t>
            </w:r>
            <w:proofErr w:type="spellEnd"/>
            <w:r w:rsidRPr="00EF524D">
              <w:t xml:space="preserve"> </w:t>
            </w:r>
            <w:proofErr w:type="spellStart"/>
            <w:r w:rsidRPr="00EF524D">
              <w:t>Area</w:t>
            </w:r>
            <w:proofErr w:type="spellEnd"/>
            <w:r w:rsidRPr="00EF524D">
              <w:t xml:space="preserve"> Management </w:t>
            </w:r>
            <w:proofErr w:type="spellStart"/>
            <w:r w:rsidRPr="00EF524D">
              <w:t>Categories</w:t>
            </w:r>
            <w:proofErr w:type="spellEnd"/>
            <w:r w:rsidRPr="00EF524D">
              <w:t xml:space="preserve">. </w:t>
            </w:r>
            <w:proofErr w:type="spellStart"/>
            <w:r w:rsidRPr="00EF524D">
              <w:t>Gland</w:t>
            </w:r>
            <w:proofErr w:type="spellEnd"/>
            <w:r w:rsidRPr="00EF524D">
              <w:t xml:space="preserve"> (Suiza): </w:t>
            </w:r>
            <w:proofErr w:type="spellStart"/>
            <w:r w:rsidRPr="00EF524D">
              <w:t>UICN</w:t>
            </w:r>
            <w:proofErr w:type="spellEnd"/>
            <w:r w:rsidRPr="00EF524D">
              <w:t xml:space="preserve">. x + 86 págs. </w:t>
            </w:r>
            <w:proofErr w:type="spellStart"/>
            <w:r w:rsidRPr="00EF524D">
              <w:t>WITH</w:t>
            </w:r>
            <w:proofErr w:type="spellEnd"/>
            <w:r w:rsidRPr="00EF524D">
              <w:t xml:space="preserve"> </w:t>
            </w:r>
            <w:proofErr w:type="spellStart"/>
            <w:r w:rsidRPr="00EF524D">
              <w:t>Stolton</w:t>
            </w:r>
            <w:proofErr w:type="spellEnd"/>
            <w:r w:rsidRPr="00EF524D">
              <w:t xml:space="preserve">, S., P. </w:t>
            </w:r>
            <w:proofErr w:type="spellStart"/>
            <w:r w:rsidRPr="00EF524D">
              <w:t>Shadie</w:t>
            </w:r>
            <w:proofErr w:type="spellEnd"/>
            <w:r w:rsidRPr="00EF524D">
              <w:t xml:space="preserve"> y N. </w:t>
            </w:r>
            <w:proofErr w:type="spellStart"/>
            <w:r w:rsidRPr="00EF524D">
              <w:t>Dudley</w:t>
            </w:r>
            <w:proofErr w:type="spellEnd"/>
            <w:r w:rsidRPr="00EF524D">
              <w:t xml:space="preserve"> (2013). </w:t>
            </w:r>
            <w:proofErr w:type="spellStart"/>
            <w:r w:rsidRPr="00EF524D">
              <w:t>UICN</w:t>
            </w:r>
            <w:proofErr w:type="spellEnd"/>
            <w:r w:rsidRPr="00EF524D">
              <w:t xml:space="preserve"> </w:t>
            </w:r>
            <w:proofErr w:type="spellStart"/>
            <w:r w:rsidRPr="00EF524D">
              <w:t>WCPA</w:t>
            </w:r>
            <w:proofErr w:type="spellEnd"/>
            <w:r w:rsidRPr="00EF524D">
              <w:t xml:space="preserve"> </w:t>
            </w:r>
            <w:proofErr w:type="spellStart"/>
            <w:r w:rsidRPr="00EF524D">
              <w:t>Best</w:t>
            </w:r>
            <w:proofErr w:type="spellEnd"/>
            <w:r w:rsidRPr="00EF524D">
              <w:t xml:space="preserve"> </w:t>
            </w:r>
            <w:proofErr w:type="spellStart"/>
            <w:r w:rsidRPr="00EF524D">
              <w:t>Practice</w:t>
            </w:r>
            <w:proofErr w:type="spellEnd"/>
            <w:r w:rsidRPr="00EF524D">
              <w:t xml:space="preserve"> </w:t>
            </w:r>
            <w:proofErr w:type="spellStart"/>
            <w:r w:rsidRPr="00EF524D">
              <w:t>Guidance</w:t>
            </w:r>
            <w:proofErr w:type="spellEnd"/>
            <w:r w:rsidRPr="00EF524D">
              <w:t xml:space="preserve"> </w:t>
            </w:r>
            <w:proofErr w:type="spellStart"/>
            <w:r w:rsidRPr="00EF524D">
              <w:t>on</w:t>
            </w:r>
            <w:proofErr w:type="spellEnd"/>
            <w:r w:rsidRPr="00EF524D">
              <w:t xml:space="preserve"> </w:t>
            </w:r>
            <w:proofErr w:type="spellStart"/>
            <w:r w:rsidRPr="00EF524D">
              <w:t>Recognising</w:t>
            </w:r>
            <w:proofErr w:type="spellEnd"/>
            <w:r w:rsidRPr="00EF524D">
              <w:t xml:space="preserve"> </w:t>
            </w:r>
            <w:proofErr w:type="spellStart"/>
            <w:r w:rsidRPr="00EF524D">
              <w:t>Protected</w:t>
            </w:r>
            <w:proofErr w:type="spellEnd"/>
            <w:r w:rsidRPr="00EF524D">
              <w:t xml:space="preserve"> </w:t>
            </w:r>
            <w:proofErr w:type="spellStart"/>
            <w:r w:rsidRPr="00EF524D">
              <w:t>Areas</w:t>
            </w:r>
            <w:proofErr w:type="spellEnd"/>
            <w:r w:rsidRPr="00EF524D">
              <w:t xml:space="preserve"> and </w:t>
            </w:r>
            <w:proofErr w:type="spellStart"/>
            <w:r w:rsidRPr="00EF524D">
              <w:t>Assigning</w:t>
            </w:r>
            <w:proofErr w:type="spellEnd"/>
            <w:r w:rsidRPr="00EF524D">
              <w:t xml:space="preserve"> Management </w:t>
            </w:r>
            <w:proofErr w:type="spellStart"/>
            <w:r w:rsidRPr="00EF524D">
              <w:t>Categories</w:t>
            </w:r>
            <w:proofErr w:type="spellEnd"/>
            <w:r w:rsidRPr="00EF524D">
              <w:t xml:space="preserve"> and </w:t>
            </w:r>
            <w:proofErr w:type="spellStart"/>
            <w:r w:rsidRPr="00EF524D">
              <w:t>Governance</w:t>
            </w:r>
            <w:proofErr w:type="spellEnd"/>
            <w:r w:rsidRPr="00EF524D">
              <w:t xml:space="preserve"> </w:t>
            </w:r>
            <w:proofErr w:type="spellStart"/>
            <w:r w:rsidRPr="00EF524D">
              <w:t>Types</w:t>
            </w:r>
            <w:proofErr w:type="spellEnd"/>
            <w:r w:rsidRPr="00EF524D">
              <w:t xml:space="preserve">, </w:t>
            </w:r>
            <w:proofErr w:type="spellStart"/>
            <w:r w:rsidRPr="00EF524D">
              <w:t>Best</w:t>
            </w:r>
            <w:proofErr w:type="spellEnd"/>
            <w:r w:rsidRPr="00EF524D">
              <w:t xml:space="preserve"> </w:t>
            </w:r>
            <w:proofErr w:type="spellStart"/>
            <w:r w:rsidRPr="00EF524D">
              <w:t>Practice</w:t>
            </w:r>
            <w:proofErr w:type="spellEnd"/>
            <w:r w:rsidRPr="00EF524D">
              <w:t xml:space="preserve"> </w:t>
            </w:r>
            <w:proofErr w:type="spellStart"/>
            <w:r w:rsidRPr="00EF524D">
              <w:t>Protected</w:t>
            </w:r>
            <w:proofErr w:type="spellEnd"/>
            <w:r w:rsidRPr="00EF524D">
              <w:t xml:space="preserve"> </w:t>
            </w:r>
            <w:proofErr w:type="spellStart"/>
            <w:r w:rsidRPr="00EF524D">
              <w:t>Area</w:t>
            </w:r>
            <w:proofErr w:type="spellEnd"/>
            <w:r w:rsidRPr="00EF524D">
              <w:t xml:space="preserve"> </w:t>
            </w:r>
            <w:proofErr w:type="spellStart"/>
            <w:r w:rsidRPr="00EF524D">
              <w:t>Guidelines</w:t>
            </w:r>
            <w:proofErr w:type="spellEnd"/>
            <w:r w:rsidRPr="00EF524D">
              <w:t xml:space="preserve"> Series Nº 21, </w:t>
            </w:r>
            <w:proofErr w:type="spellStart"/>
            <w:r w:rsidRPr="00EF524D">
              <w:t>Gland</w:t>
            </w:r>
            <w:proofErr w:type="spellEnd"/>
            <w:r w:rsidRPr="00EF524D">
              <w:t xml:space="preserve"> (Suiza):</w:t>
            </w:r>
            <w:r w:rsidRPr="00EF524D">
              <w:br/>
            </w:r>
            <w:proofErr w:type="spellStart"/>
            <w:r w:rsidRPr="00EF524D">
              <w:t>UICN</w:t>
            </w:r>
            <w:proofErr w:type="spellEnd"/>
            <w:r w:rsidRPr="00EF524D">
              <w:t>. xx </w:t>
            </w:r>
            <w:proofErr w:type="spellStart"/>
            <w:r w:rsidRPr="00EF524D">
              <w:t>págs</w:t>
            </w:r>
            <w:proofErr w:type="spellEnd"/>
            <w:r w:rsidRPr="00EF524D">
              <w:t xml:space="preserve">, </w:t>
            </w:r>
            <w:hyperlink r:id="rId27" w:history="1">
              <w:r w:rsidRPr="00EF524D">
                <w:rPr>
                  <w:rStyle w:val="Hyperlink"/>
                  <w:sz w:val="22"/>
                  <w:szCs w:val="22"/>
                </w:rPr>
                <w:t>https://portals.iucn.org/library/sites/library/files/documents/2017--021.pdf</w:t>
              </w:r>
            </w:hyperlink>
            <w:r w:rsidRPr="00EF524D">
              <w:t>)</w:t>
            </w:r>
          </w:p>
        </w:tc>
        <w:tc>
          <w:tcPr>
            <w:tcW w:w="1530" w:type="dxa"/>
          </w:tcPr>
          <w:p w14:paraId="7939E3BE" w14:textId="77777777" w:rsidR="005D6E0B" w:rsidRPr="00EF524D" w:rsidRDefault="005D6E0B" w:rsidP="00434B1E">
            <w:pPr>
              <w:adjustRightInd w:val="0"/>
              <w:snapToGrid w:val="0"/>
              <w:spacing w:before="60" w:after="60"/>
              <w:jc w:val="left"/>
              <w:rPr>
                <w:kern w:val="22"/>
                <w:szCs w:val="22"/>
              </w:rPr>
            </w:pPr>
            <w:r w:rsidRPr="00EF524D">
              <w:lastRenderedPageBreak/>
              <w:t>Meta 3</w:t>
            </w:r>
          </w:p>
        </w:tc>
      </w:tr>
      <w:tr w:rsidR="005D6E0B" w:rsidRPr="00EF524D" w14:paraId="19915B95" w14:textId="77777777" w:rsidTr="00434B1E">
        <w:tc>
          <w:tcPr>
            <w:tcW w:w="2137" w:type="dxa"/>
          </w:tcPr>
          <w:p w14:paraId="682F7DF0" w14:textId="77777777" w:rsidR="005D6E0B" w:rsidRPr="00EF524D" w:rsidRDefault="005D6E0B" w:rsidP="00434B1E">
            <w:pPr>
              <w:adjustRightInd w:val="0"/>
              <w:snapToGrid w:val="0"/>
              <w:spacing w:before="60" w:after="60"/>
              <w:jc w:val="left"/>
              <w:rPr>
                <w:kern w:val="22"/>
                <w:szCs w:val="22"/>
              </w:rPr>
            </w:pPr>
            <w:r w:rsidRPr="00EF524D">
              <w:t>Otras medidas eficaces de conservación basadas en áreas</w:t>
            </w:r>
          </w:p>
        </w:tc>
        <w:tc>
          <w:tcPr>
            <w:tcW w:w="5958" w:type="dxa"/>
          </w:tcPr>
          <w:p w14:paraId="00FF49B1" w14:textId="77777777" w:rsidR="005D6E0B" w:rsidRPr="00EF524D" w:rsidRDefault="005D6E0B" w:rsidP="00434B1E">
            <w:pPr>
              <w:adjustRightInd w:val="0"/>
              <w:snapToGrid w:val="0"/>
              <w:spacing w:before="60" w:after="60"/>
              <w:rPr>
                <w:kern w:val="22"/>
                <w:szCs w:val="22"/>
              </w:rPr>
            </w:pPr>
            <w:r w:rsidRPr="00EF524D">
              <w:t xml:space="preserve">Una zona delimitada geográficamente que no sea un área protegida y que esté gobernada y gestionada de manera tal de lograr en forma sostenida resultados positivos y duraderos para la conservación de la diversidad biológica </w:t>
            </w:r>
            <w:r w:rsidRPr="00EF524D">
              <w:rPr>
                <w:i/>
                <w:iCs/>
              </w:rPr>
              <w:t>in situ</w:t>
            </w:r>
            <w:r w:rsidRPr="00EF524D">
              <w:t>, con funciones y servicios asociados de los ecosistemas y, donde proceda, valores culturales, espirituales, socioeconómicos y otros valores pertinentes a nivel local.</w:t>
            </w:r>
          </w:p>
          <w:p w14:paraId="5CBAB52F" w14:textId="123B4CD2" w:rsidR="005D6E0B" w:rsidRPr="00EF524D" w:rsidRDefault="005D6E0B" w:rsidP="00434B1E">
            <w:pPr>
              <w:adjustRightInd w:val="0"/>
              <w:snapToGrid w:val="0"/>
              <w:spacing w:before="60" w:after="60"/>
              <w:rPr>
                <w:kern w:val="22"/>
                <w:szCs w:val="22"/>
              </w:rPr>
            </w:pPr>
            <w:r w:rsidRPr="00EF524D">
              <w:t>(</w:t>
            </w:r>
            <w:proofErr w:type="spellStart"/>
            <w:r w:rsidR="001A1CB2" w:rsidRPr="00EF524D">
              <w:fldChar w:fldCharType="begin"/>
            </w:r>
            <w:r w:rsidR="001A1CB2" w:rsidRPr="00EF524D">
              <w:instrText xml:space="preserve"> HYPERLINK "https://www.cbd.int/doc/decisions/cop-14/cop-14-dec-08-es.pdf" </w:instrText>
            </w:r>
            <w:r w:rsidR="001A1CB2" w:rsidRPr="00EF524D">
              <w:fldChar w:fldCharType="separate"/>
            </w:r>
            <w:r w:rsidRPr="00EF524D">
              <w:rPr>
                <w:rStyle w:val="Hyperlink"/>
                <w:sz w:val="22"/>
                <w:szCs w:val="22"/>
              </w:rPr>
              <w:t>CBD</w:t>
            </w:r>
            <w:proofErr w:type="spellEnd"/>
            <w:r w:rsidRPr="00EF524D">
              <w:rPr>
                <w:rStyle w:val="Hyperlink"/>
                <w:sz w:val="22"/>
                <w:szCs w:val="22"/>
              </w:rPr>
              <w:t>/COP/DEC/14/8</w:t>
            </w:r>
            <w:r w:rsidR="001A1CB2" w:rsidRPr="00EF524D">
              <w:rPr>
                <w:rStyle w:val="Hyperlink"/>
                <w:sz w:val="22"/>
                <w:szCs w:val="22"/>
              </w:rPr>
              <w:fldChar w:fldCharType="end"/>
            </w:r>
            <w:r w:rsidRPr="00EF524D">
              <w:t>)</w:t>
            </w:r>
          </w:p>
        </w:tc>
        <w:tc>
          <w:tcPr>
            <w:tcW w:w="1530" w:type="dxa"/>
          </w:tcPr>
          <w:p w14:paraId="01C5BA86" w14:textId="77777777" w:rsidR="005D6E0B" w:rsidRPr="00EF524D" w:rsidRDefault="005D6E0B" w:rsidP="00434B1E">
            <w:pPr>
              <w:adjustRightInd w:val="0"/>
              <w:snapToGrid w:val="0"/>
              <w:spacing w:before="60" w:after="60"/>
              <w:jc w:val="left"/>
              <w:rPr>
                <w:kern w:val="22"/>
                <w:szCs w:val="22"/>
              </w:rPr>
            </w:pPr>
            <w:r w:rsidRPr="00EF524D">
              <w:t>Meta 3</w:t>
            </w:r>
          </w:p>
        </w:tc>
      </w:tr>
      <w:tr w:rsidR="005D6E0B" w:rsidRPr="00EF524D" w14:paraId="020C9977" w14:textId="77777777" w:rsidTr="00434B1E">
        <w:tc>
          <w:tcPr>
            <w:tcW w:w="2137" w:type="dxa"/>
          </w:tcPr>
          <w:p w14:paraId="78731FBF" w14:textId="77777777" w:rsidR="005D6E0B" w:rsidRPr="00EF524D" w:rsidRDefault="005D6E0B" w:rsidP="00434B1E">
            <w:pPr>
              <w:adjustRightInd w:val="0"/>
              <w:snapToGrid w:val="0"/>
              <w:spacing w:before="60" w:after="60"/>
              <w:jc w:val="left"/>
              <w:rPr>
                <w:kern w:val="22"/>
                <w:szCs w:val="22"/>
              </w:rPr>
            </w:pPr>
            <w:r w:rsidRPr="00EF524D">
              <w:t>Paisajes terrestres y marinos más amplios</w:t>
            </w:r>
          </w:p>
        </w:tc>
        <w:tc>
          <w:tcPr>
            <w:tcW w:w="5958" w:type="dxa"/>
          </w:tcPr>
          <w:p w14:paraId="7395D134" w14:textId="4F2977D0" w:rsidR="005D6E0B" w:rsidRPr="00EF524D" w:rsidRDefault="00C22F10" w:rsidP="00434B1E">
            <w:pPr>
              <w:adjustRightInd w:val="0"/>
              <w:snapToGrid w:val="0"/>
              <w:spacing w:before="60" w:after="60"/>
              <w:rPr>
                <w:kern w:val="22"/>
                <w:szCs w:val="22"/>
              </w:rPr>
            </w:pPr>
            <w:r w:rsidRPr="00EF524D">
              <w:t>M</w:t>
            </w:r>
            <w:r w:rsidR="005D6E0B" w:rsidRPr="00EF524D">
              <w:t>osaico geográfico compuesto por ecosistemas que interactúan como respuesta a la influencia de la interacción de los suelos, el clima, la geología, la topografía, la biota y las influencias humanas en un área determinada.</w:t>
            </w:r>
          </w:p>
          <w:p w14:paraId="5587AA9B" w14:textId="77777777" w:rsidR="005D6E0B" w:rsidRPr="00EF524D" w:rsidRDefault="005D6E0B" w:rsidP="00434B1E">
            <w:pPr>
              <w:adjustRightInd w:val="0"/>
              <w:snapToGrid w:val="0"/>
              <w:spacing w:before="60" w:after="60"/>
              <w:rPr>
                <w:kern w:val="22"/>
                <w:szCs w:val="22"/>
              </w:rPr>
            </w:pPr>
            <w:r w:rsidRPr="00EF524D">
              <w:t>Análogamente, un paisaje marino es una región marina espacialmente heterogénea que puede ser delimitada a diversas escalas y que incluye los aspectos físicos, geológicos y químicos del océano.</w:t>
            </w:r>
          </w:p>
          <w:p w14:paraId="50A8D9BE" w14:textId="7D8F4D6A" w:rsidR="005D6E0B" w:rsidRPr="00EF524D" w:rsidRDefault="005D6E0B" w:rsidP="00434B1E">
            <w:pPr>
              <w:adjustRightInd w:val="0"/>
              <w:snapToGrid w:val="0"/>
              <w:spacing w:before="60" w:after="60"/>
              <w:rPr>
                <w:spacing w:val="-5"/>
                <w:kern w:val="22"/>
                <w:szCs w:val="22"/>
              </w:rPr>
            </w:pPr>
            <w:r w:rsidRPr="00EF524D">
              <w:t>(</w:t>
            </w:r>
            <w:proofErr w:type="spellStart"/>
            <w:r w:rsidRPr="00EF524D">
              <w:t>UICN</w:t>
            </w:r>
            <w:proofErr w:type="spellEnd"/>
            <w:r w:rsidRPr="00EF524D">
              <w:t xml:space="preserve">, </w:t>
            </w:r>
            <w:hyperlink r:id="rId28" w:history="1">
              <w:r w:rsidRPr="00EF524D">
                <w:rPr>
                  <w:rStyle w:val="Hyperlink"/>
                  <w:sz w:val="22"/>
                  <w:szCs w:val="22"/>
                </w:rPr>
                <w:t>https://www.iucn.org/downloads/en_iucn__glossary_definitions.pdf</w:t>
              </w:r>
            </w:hyperlink>
            <w:r w:rsidRPr="00EF524D">
              <w:t>)</w:t>
            </w:r>
          </w:p>
        </w:tc>
        <w:tc>
          <w:tcPr>
            <w:tcW w:w="1530" w:type="dxa"/>
          </w:tcPr>
          <w:p w14:paraId="78B63B44" w14:textId="77777777" w:rsidR="005D6E0B" w:rsidRPr="00EF524D" w:rsidRDefault="005D6E0B" w:rsidP="00434B1E">
            <w:pPr>
              <w:adjustRightInd w:val="0"/>
              <w:snapToGrid w:val="0"/>
              <w:spacing w:before="60" w:after="60"/>
              <w:jc w:val="left"/>
              <w:rPr>
                <w:kern w:val="22"/>
                <w:szCs w:val="22"/>
              </w:rPr>
            </w:pPr>
            <w:r w:rsidRPr="00EF524D">
              <w:t>Meta 3</w:t>
            </w:r>
          </w:p>
        </w:tc>
      </w:tr>
      <w:tr w:rsidR="005D6E0B" w:rsidRPr="00EF524D" w14:paraId="5EAFA1DE" w14:textId="77777777" w:rsidTr="00434B1E">
        <w:tc>
          <w:tcPr>
            <w:tcW w:w="2137" w:type="dxa"/>
          </w:tcPr>
          <w:p w14:paraId="38682427" w14:textId="77777777" w:rsidR="005D6E0B" w:rsidRPr="00EF524D" w:rsidRDefault="005D6E0B" w:rsidP="00434B1E">
            <w:pPr>
              <w:adjustRightInd w:val="0"/>
              <w:snapToGrid w:val="0"/>
              <w:spacing w:before="60" w:after="60"/>
              <w:jc w:val="left"/>
              <w:rPr>
                <w:kern w:val="22"/>
                <w:szCs w:val="22"/>
              </w:rPr>
            </w:pPr>
            <w:r w:rsidRPr="00EF524D">
              <w:t>Especies silvestres y domesticadas</w:t>
            </w:r>
          </w:p>
        </w:tc>
        <w:tc>
          <w:tcPr>
            <w:tcW w:w="5958" w:type="dxa"/>
          </w:tcPr>
          <w:p w14:paraId="0E3FAF4F" w14:textId="77777777" w:rsidR="005D6E0B" w:rsidRPr="00EF524D" w:rsidRDefault="005D6E0B" w:rsidP="00434B1E">
            <w:pPr>
              <w:adjustRightInd w:val="0"/>
              <w:snapToGrid w:val="0"/>
              <w:spacing w:before="60" w:after="60"/>
              <w:rPr>
                <w:kern w:val="22"/>
                <w:szCs w:val="22"/>
              </w:rPr>
            </w:pPr>
            <w:r w:rsidRPr="00EF524D">
              <w:t>Todos los organismos vivos, incluidos la fauna, la flora, los hongos y las bacterias.</w:t>
            </w:r>
          </w:p>
        </w:tc>
        <w:tc>
          <w:tcPr>
            <w:tcW w:w="1530" w:type="dxa"/>
          </w:tcPr>
          <w:p w14:paraId="58F34619" w14:textId="50649D79" w:rsidR="00565A85" w:rsidRPr="00EF524D" w:rsidRDefault="005D6E0B" w:rsidP="00434B1E">
            <w:pPr>
              <w:adjustRightInd w:val="0"/>
              <w:snapToGrid w:val="0"/>
              <w:spacing w:before="60" w:after="60"/>
              <w:jc w:val="left"/>
              <w:rPr>
                <w:kern w:val="22"/>
                <w:szCs w:val="22"/>
              </w:rPr>
            </w:pPr>
            <w:r w:rsidRPr="00EF524D">
              <w:t>Objetivo A</w:t>
            </w:r>
            <w:r w:rsidR="00DD7724" w:rsidRPr="00EF524D">
              <w:t>,</w:t>
            </w:r>
            <w:r w:rsidRPr="00EF524D">
              <w:t xml:space="preserve"> </w:t>
            </w:r>
          </w:p>
          <w:p w14:paraId="3C352A96" w14:textId="7D99E4EC" w:rsidR="005D6E0B" w:rsidRPr="00EF524D" w:rsidRDefault="005D6E0B" w:rsidP="00434B1E">
            <w:pPr>
              <w:adjustRightInd w:val="0"/>
              <w:snapToGrid w:val="0"/>
              <w:spacing w:before="60" w:after="60"/>
              <w:jc w:val="left"/>
              <w:rPr>
                <w:kern w:val="22"/>
                <w:szCs w:val="22"/>
              </w:rPr>
            </w:pPr>
            <w:r w:rsidRPr="00EF524D">
              <w:t>Meta 4</w:t>
            </w:r>
          </w:p>
        </w:tc>
      </w:tr>
      <w:tr w:rsidR="005D6E0B" w:rsidRPr="00EF524D" w14:paraId="77225B9C" w14:textId="77777777" w:rsidTr="00434B1E">
        <w:tc>
          <w:tcPr>
            <w:tcW w:w="2137" w:type="dxa"/>
          </w:tcPr>
          <w:p w14:paraId="12E1B8A3" w14:textId="77777777" w:rsidR="005D6E0B" w:rsidRPr="00EF524D" w:rsidRDefault="005D6E0B" w:rsidP="00434B1E">
            <w:pPr>
              <w:adjustRightInd w:val="0"/>
              <w:snapToGrid w:val="0"/>
              <w:spacing w:before="60" w:after="60"/>
              <w:jc w:val="left"/>
              <w:rPr>
                <w:kern w:val="22"/>
                <w:szCs w:val="22"/>
              </w:rPr>
            </w:pPr>
            <w:r w:rsidRPr="00EF524D">
              <w:t>Recuperación</w:t>
            </w:r>
          </w:p>
        </w:tc>
        <w:tc>
          <w:tcPr>
            <w:tcW w:w="5958" w:type="dxa"/>
          </w:tcPr>
          <w:p w14:paraId="787509C5" w14:textId="77777777" w:rsidR="005D6E0B" w:rsidRPr="00EF524D" w:rsidRDefault="005D6E0B" w:rsidP="00434B1E">
            <w:pPr>
              <w:adjustRightInd w:val="0"/>
              <w:snapToGrid w:val="0"/>
              <w:spacing w:before="60" w:after="60"/>
              <w:rPr>
                <w:kern w:val="22"/>
                <w:szCs w:val="22"/>
              </w:rPr>
            </w:pPr>
            <w:r w:rsidRPr="00EF524D">
              <w:t>El restablecimiento de los procesos naturales y de los parámetros genéticos, demográficos o ecológicos de una población o especie, con referencia a su estado al iniciar las actividades de recuperación. También se refiere a su abundancia local, estructura y dinámica en el pasado, para retornar a cumplir con su papel ecológico y evolutivo con la consecuente mejoría en la calidad del hábitat.</w:t>
            </w:r>
          </w:p>
          <w:p w14:paraId="3D04D27D" w14:textId="77777777" w:rsidR="005D6E0B" w:rsidRPr="00EF524D" w:rsidRDefault="005D6E0B" w:rsidP="00434B1E">
            <w:pPr>
              <w:adjustRightInd w:val="0"/>
              <w:snapToGrid w:val="0"/>
              <w:spacing w:before="60" w:after="60"/>
              <w:rPr>
                <w:kern w:val="22"/>
                <w:szCs w:val="22"/>
              </w:rPr>
            </w:pPr>
            <w:r w:rsidRPr="00EF524D">
              <w:t>La Lista Verde evalúa las especies en función de tres facetas de recuperación fundamentales:</w:t>
            </w:r>
          </w:p>
          <w:p w14:paraId="7D0BCC10" w14:textId="77777777" w:rsidR="005D6E0B" w:rsidRPr="00EF524D" w:rsidRDefault="005D6E0B" w:rsidP="00434B1E">
            <w:pPr>
              <w:numPr>
                <w:ilvl w:val="0"/>
                <w:numId w:val="21"/>
              </w:numPr>
              <w:adjustRightInd w:val="0"/>
              <w:snapToGrid w:val="0"/>
              <w:spacing w:before="60" w:after="60"/>
              <w:ind w:left="288" w:hanging="144"/>
              <w:rPr>
                <w:kern w:val="22"/>
                <w:szCs w:val="22"/>
              </w:rPr>
            </w:pPr>
            <w:r w:rsidRPr="00EF524D">
              <w:t>Una especie está plenamente recuperada si está presente en toda su área de distribución, incluso en aquellas que ya no están ocupadas, pero que estuvieron ocupadas antes de un importante impacto o perturbación humana;</w:t>
            </w:r>
          </w:p>
          <w:p w14:paraId="48A08D07" w14:textId="77777777" w:rsidR="005D6E0B" w:rsidRPr="00EF524D" w:rsidRDefault="005D6E0B" w:rsidP="00434B1E">
            <w:pPr>
              <w:numPr>
                <w:ilvl w:val="0"/>
                <w:numId w:val="21"/>
              </w:numPr>
              <w:adjustRightInd w:val="0"/>
              <w:snapToGrid w:val="0"/>
              <w:spacing w:before="60" w:after="60"/>
              <w:ind w:left="288" w:hanging="144"/>
              <w:rPr>
                <w:kern w:val="22"/>
                <w:szCs w:val="22"/>
              </w:rPr>
            </w:pPr>
            <w:r w:rsidRPr="00EF524D">
              <w:t>Es viable (es decir, no amenazada con su extinción) en toda su área de distribución;</w:t>
            </w:r>
          </w:p>
          <w:p w14:paraId="524F3243" w14:textId="77777777" w:rsidR="005D6E0B" w:rsidRPr="00EF524D" w:rsidRDefault="005D6E0B" w:rsidP="00434B1E">
            <w:pPr>
              <w:numPr>
                <w:ilvl w:val="0"/>
                <w:numId w:val="21"/>
              </w:numPr>
              <w:adjustRightInd w:val="0"/>
              <w:snapToGrid w:val="0"/>
              <w:spacing w:before="60" w:after="60"/>
              <w:ind w:left="288" w:hanging="144"/>
              <w:rPr>
                <w:kern w:val="22"/>
                <w:szCs w:val="22"/>
              </w:rPr>
            </w:pPr>
            <w:r w:rsidRPr="00EF524D">
              <w:lastRenderedPageBreak/>
              <w:t>Desempeña sus funciones ecológicas en toda su área de distribución.</w:t>
            </w:r>
          </w:p>
          <w:p w14:paraId="434823AF" w14:textId="017C0D25" w:rsidR="005D6E0B" w:rsidRPr="00EF524D" w:rsidRDefault="005D6E0B" w:rsidP="00434B1E">
            <w:pPr>
              <w:adjustRightInd w:val="0"/>
              <w:snapToGrid w:val="0"/>
              <w:spacing w:before="60" w:after="60"/>
              <w:rPr>
                <w:kern w:val="22"/>
                <w:szCs w:val="22"/>
              </w:rPr>
            </w:pPr>
            <w:r w:rsidRPr="00EF524D">
              <w:t>(</w:t>
            </w:r>
            <w:proofErr w:type="spellStart"/>
            <w:r w:rsidRPr="00EF524D">
              <w:t>UICN</w:t>
            </w:r>
            <w:proofErr w:type="spellEnd"/>
            <w:r w:rsidRPr="00EF524D">
              <w:t xml:space="preserve">, </w:t>
            </w:r>
            <w:hyperlink r:id="rId29" w:history="1">
              <w:r w:rsidRPr="00EF524D">
                <w:rPr>
                  <w:rStyle w:val="Hyperlink"/>
                  <w:sz w:val="22"/>
                  <w:szCs w:val="22"/>
                </w:rPr>
                <w:t>https://www.iucn.org/downloads/en_iucn__glossary_definitions.pdf</w:t>
              </w:r>
            </w:hyperlink>
            <w:r w:rsidRPr="00EF524D">
              <w:t xml:space="preserve">; </w:t>
            </w:r>
            <w:proofErr w:type="spellStart"/>
            <w:r w:rsidRPr="00EF524D">
              <w:t>Akçakaya</w:t>
            </w:r>
            <w:proofErr w:type="spellEnd"/>
            <w:r w:rsidRPr="00EF524D">
              <w:t xml:space="preserve"> </w:t>
            </w:r>
            <w:proofErr w:type="spellStart"/>
            <w:r w:rsidRPr="00EF524D">
              <w:t>HR</w:t>
            </w:r>
            <w:proofErr w:type="spellEnd"/>
            <w:r w:rsidRPr="00EF524D">
              <w:t xml:space="preserve">, </w:t>
            </w:r>
            <w:proofErr w:type="spellStart"/>
            <w:r w:rsidRPr="00EF524D">
              <w:t>Ferson</w:t>
            </w:r>
            <w:proofErr w:type="spellEnd"/>
            <w:r w:rsidRPr="00EF524D">
              <w:t xml:space="preserve"> S, </w:t>
            </w:r>
            <w:proofErr w:type="spellStart"/>
            <w:r w:rsidRPr="00EF524D">
              <w:t>Burgman</w:t>
            </w:r>
            <w:proofErr w:type="spellEnd"/>
            <w:r w:rsidRPr="00EF524D">
              <w:t xml:space="preserve"> </w:t>
            </w:r>
            <w:proofErr w:type="spellStart"/>
            <w:r w:rsidRPr="00EF524D">
              <w:t>MA</w:t>
            </w:r>
            <w:proofErr w:type="spellEnd"/>
            <w:r w:rsidRPr="00EF524D">
              <w:t xml:space="preserve">, Keith DA, Mace GM, </w:t>
            </w:r>
            <w:proofErr w:type="spellStart"/>
            <w:r w:rsidRPr="00EF524D">
              <w:t>Todd</w:t>
            </w:r>
            <w:proofErr w:type="spellEnd"/>
            <w:r w:rsidRPr="00EF524D">
              <w:t xml:space="preserve"> CR. 2000. “</w:t>
            </w:r>
            <w:proofErr w:type="spellStart"/>
            <w:r w:rsidRPr="00EF524D">
              <w:t>Making</w:t>
            </w:r>
            <w:proofErr w:type="spellEnd"/>
            <w:r w:rsidRPr="00EF524D">
              <w:t xml:space="preserve"> </w:t>
            </w:r>
            <w:proofErr w:type="spellStart"/>
            <w:r w:rsidRPr="00EF524D">
              <w:t>consistent</w:t>
            </w:r>
            <w:proofErr w:type="spellEnd"/>
            <w:r w:rsidRPr="00EF524D">
              <w:t xml:space="preserve"> </w:t>
            </w:r>
            <w:proofErr w:type="spellStart"/>
            <w:r w:rsidRPr="00EF524D">
              <w:t>IUCN</w:t>
            </w:r>
            <w:proofErr w:type="spellEnd"/>
            <w:r w:rsidRPr="00EF524D">
              <w:t xml:space="preserve"> </w:t>
            </w:r>
            <w:proofErr w:type="spellStart"/>
            <w:r w:rsidRPr="00EF524D">
              <w:t>classifications</w:t>
            </w:r>
            <w:proofErr w:type="spellEnd"/>
            <w:r w:rsidRPr="00EF524D">
              <w:t xml:space="preserve"> </w:t>
            </w:r>
            <w:proofErr w:type="spellStart"/>
            <w:r w:rsidRPr="00EF524D">
              <w:t>under</w:t>
            </w:r>
            <w:proofErr w:type="spellEnd"/>
            <w:r w:rsidRPr="00EF524D">
              <w:t xml:space="preserve"> </w:t>
            </w:r>
            <w:proofErr w:type="spellStart"/>
            <w:r w:rsidRPr="00EF524D">
              <w:t>uncertainty</w:t>
            </w:r>
            <w:proofErr w:type="spellEnd"/>
            <w:r w:rsidRPr="00EF524D">
              <w:t xml:space="preserve">”. </w:t>
            </w:r>
            <w:proofErr w:type="spellStart"/>
            <w:r w:rsidRPr="00EF524D">
              <w:t>Conservation</w:t>
            </w:r>
            <w:proofErr w:type="spellEnd"/>
            <w:r w:rsidRPr="00EF524D">
              <w:t xml:space="preserve"> </w:t>
            </w:r>
            <w:proofErr w:type="spellStart"/>
            <w:r w:rsidRPr="00EF524D">
              <w:t>Biology</w:t>
            </w:r>
            <w:proofErr w:type="spellEnd"/>
            <w:r w:rsidRPr="00EF524D">
              <w:t xml:space="preserve"> 14:1001–1013.)</w:t>
            </w:r>
          </w:p>
        </w:tc>
        <w:tc>
          <w:tcPr>
            <w:tcW w:w="1530" w:type="dxa"/>
          </w:tcPr>
          <w:p w14:paraId="418DC744" w14:textId="77777777" w:rsidR="005D6E0B" w:rsidRPr="00EF524D" w:rsidRDefault="005D6E0B" w:rsidP="00434B1E">
            <w:pPr>
              <w:adjustRightInd w:val="0"/>
              <w:snapToGrid w:val="0"/>
              <w:spacing w:before="60" w:after="60"/>
              <w:jc w:val="left"/>
              <w:rPr>
                <w:kern w:val="22"/>
                <w:szCs w:val="22"/>
              </w:rPr>
            </w:pPr>
            <w:r w:rsidRPr="00EF524D">
              <w:lastRenderedPageBreak/>
              <w:t>Meta 4</w:t>
            </w:r>
          </w:p>
        </w:tc>
      </w:tr>
      <w:tr w:rsidR="005D6E0B" w:rsidRPr="00EF524D" w14:paraId="39D480D4" w14:textId="77777777" w:rsidTr="00434B1E">
        <w:tc>
          <w:tcPr>
            <w:tcW w:w="2137" w:type="dxa"/>
          </w:tcPr>
          <w:p w14:paraId="7C215CB0" w14:textId="77777777" w:rsidR="005D6E0B" w:rsidRPr="00EF524D" w:rsidRDefault="005D6E0B" w:rsidP="00434B1E">
            <w:pPr>
              <w:adjustRightInd w:val="0"/>
              <w:snapToGrid w:val="0"/>
              <w:spacing w:before="60" w:after="60"/>
              <w:jc w:val="left"/>
              <w:rPr>
                <w:kern w:val="22"/>
                <w:szCs w:val="22"/>
              </w:rPr>
            </w:pPr>
            <w:r w:rsidRPr="00EF524D">
              <w:t>Conflictos entre los seres humanos y la fauna y flora silvestres</w:t>
            </w:r>
          </w:p>
        </w:tc>
        <w:tc>
          <w:tcPr>
            <w:tcW w:w="5958" w:type="dxa"/>
          </w:tcPr>
          <w:p w14:paraId="26EDD73B" w14:textId="67A4E8E7" w:rsidR="005D6E0B" w:rsidRPr="00EF524D" w:rsidRDefault="005D6E0B" w:rsidP="00DC12B3">
            <w:pPr>
              <w:adjustRightInd w:val="0"/>
              <w:snapToGrid w:val="0"/>
              <w:spacing w:before="60" w:after="60"/>
              <w:rPr>
                <w:iCs/>
                <w:kern w:val="22"/>
                <w:szCs w:val="22"/>
              </w:rPr>
            </w:pPr>
            <w:r w:rsidRPr="00EF524D">
              <w:t>Los conflictos entre los seres humanos y la fauna y flora silvestres se describen generalmente como conflictos que ocurren entre las personas y las especies silvestres que tienen un efecto adverso en la vida, la salud, el bienestar o los medios de vida de los seres humanos. Como consecuencia de esas acciones y amenazas, los seres humanos pued</w:t>
            </w:r>
            <w:r w:rsidR="00DC12B3" w:rsidRPr="00EF524D">
              <w:t>e</w:t>
            </w:r>
            <w:r w:rsidRPr="00EF524D">
              <w:t>n dañar o eliminar las especies silvestres. Estas respuestas pueden ser tanto intencionales como no intencionales. (</w:t>
            </w:r>
            <w:proofErr w:type="spellStart"/>
            <w:r w:rsidR="001A1CB2" w:rsidRPr="00EF524D">
              <w:fldChar w:fldCharType="begin"/>
            </w:r>
            <w:r w:rsidR="001A1CB2" w:rsidRPr="00EF524D">
              <w:instrText xml:space="preserve"> HYPERLINK "https://www.cbd.int/doc/c/e84f/0c78/ba6891ab46342d7ae6f59816/sbstta-24-03-add2-rev1-es.pdf" </w:instrText>
            </w:r>
            <w:r w:rsidR="001A1CB2" w:rsidRPr="00EF524D">
              <w:fldChar w:fldCharType="separate"/>
            </w:r>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/24/3/Add.2/Rev.1</w:t>
            </w:r>
            <w:r w:rsidR="001A1CB2" w:rsidRPr="00EF524D">
              <w:rPr>
                <w:rStyle w:val="Hyperlink"/>
                <w:sz w:val="22"/>
                <w:szCs w:val="22"/>
              </w:rPr>
              <w:fldChar w:fldCharType="end"/>
            </w:r>
            <w:r w:rsidRPr="00EF524D">
              <w:t>, párr. 65)</w:t>
            </w:r>
          </w:p>
        </w:tc>
        <w:tc>
          <w:tcPr>
            <w:tcW w:w="1530" w:type="dxa"/>
          </w:tcPr>
          <w:p w14:paraId="0D66BFB0" w14:textId="77777777" w:rsidR="005D6E0B" w:rsidRPr="00EF524D" w:rsidRDefault="005D6E0B" w:rsidP="00434B1E">
            <w:pPr>
              <w:adjustRightInd w:val="0"/>
              <w:snapToGrid w:val="0"/>
              <w:spacing w:before="60" w:after="60"/>
              <w:jc w:val="left"/>
              <w:rPr>
                <w:kern w:val="22"/>
                <w:szCs w:val="22"/>
              </w:rPr>
            </w:pPr>
            <w:r w:rsidRPr="00EF524D">
              <w:t>Meta 4</w:t>
            </w:r>
          </w:p>
        </w:tc>
      </w:tr>
      <w:tr w:rsidR="005D6E0B" w:rsidRPr="00EF524D" w14:paraId="5E029187" w14:textId="77777777" w:rsidTr="00434B1E">
        <w:tc>
          <w:tcPr>
            <w:tcW w:w="2137" w:type="dxa"/>
          </w:tcPr>
          <w:p w14:paraId="285F2035" w14:textId="77777777" w:rsidR="005D6E0B" w:rsidRPr="00EF524D" w:rsidRDefault="005D6E0B" w:rsidP="00434B1E">
            <w:pPr>
              <w:adjustRightInd w:val="0"/>
              <w:snapToGrid w:val="0"/>
              <w:spacing w:before="60" w:after="60"/>
              <w:jc w:val="left"/>
              <w:rPr>
                <w:kern w:val="22"/>
                <w:szCs w:val="22"/>
              </w:rPr>
            </w:pPr>
            <w:r w:rsidRPr="00EF524D">
              <w:t>Sostenibles, legales y seguras para la salud humana</w:t>
            </w:r>
          </w:p>
        </w:tc>
        <w:tc>
          <w:tcPr>
            <w:tcW w:w="5958" w:type="dxa"/>
          </w:tcPr>
          <w:p w14:paraId="646346E7" w14:textId="6DBBE9B1" w:rsidR="005D6E0B" w:rsidRPr="00EF524D" w:rsidRDefault="005D6E0B" w:rsidP="00F27EDC">
            <w:pPr>
              <w:adjustRightInd w:val="0"/>
              <w:snapToGrid w:val="0"/>
              <w:spacing w:before="60" w:after="60"/>
              <w:rPr>
                <w:kern w:val="22"/>
                <w:szCs w:val="22"/>
              </w:rPr>
            </w:pPr>
            <w:r w:rsidRPr="00EF524D">
              <w:t xml:space="preserve">Implica la recolección, el comercio y </w:t>
            </w:r>
            <w:r w:rsidR="00F27EDC" w:rsidRPr="00EF524D">
              <w:t>la utilización</w:t>
            </w:r>
            <w:r w:rsidRPr="00EF524D">
              <w:t xml:space="preserve"> </w:t>
            </w:r>
            <w:r w:rsidR="00F27EDC" w:rsidRPr="00EF524D">
              <w:t>de un modo y a un ritmo que no ocasione la disminución a largo plazo de la diversidad biológica, con lo cual se mantienen las posibilidades de ésta de satisfacer las necesidades y las aspiraciones de las generaciones actuales y futuras</w:t>
            </w:r>
            <w:r w:rsidRPr="00EF524D">
              <w:t xml:space="preserve"> (</w:t>
            </w:r>
            <w:hyperlink r:id="rId30" w:history="1">
              <w:r w:rsidRPr="00EF524D">
                <w:rPr>
                  <w:rStyle w:val="Hyperlink"/>
                  <w:sz w:val="22"/>
                  <w:szCs w:val="22"/>
                </w:rPr>
                <w:t>Convenio</w:t>
              </w:r>
            </w:hyperlink>
            <w:r w:rsidRPr="00EF524D">
              <w:rPr>
                <w:rStyle w:val="Hyperlink"/>
                <w:sz w:val="22"/>
                <w:szCs w:val="22"/>
              </w:rPr>
              <w:t>,</w:t>
            </w:r>
            <w:r w:rsidRPr="00EF524D">
              <w:t xml:space="preserve"> </w:t>
            </w:r>
            <w:r w:rsidRPr="00EF524D">
              <w:rPr>
                <w:rStyle w:val="Hyperlink"/>
                <w:sz w:val="22"/>
                <w:szCs w:val="22"/>
              </w:rPr>
              <w:t>Artículo 2</w:t>
            </w:r>
            <w:r w:rsidRPr="00EF524D">
              <w:t>), que respetan las leyes internacionales y nacionales, son seguros para la salud humana, la sanidad animal y el medio ambiente (por ejemplo, no contribuyen a la propagación de patógenos o especies invasoras).</w:t>
            </w:r>
          </w:p>
        </w:tc>
        <w:tc>
          <w:tcPr>
            <w:tcW w:w="1530" w:type="dxa"/>
          </w:tcPr>
          <w:p w14:paraId="4FA3E7DB" w14:textId="77777777" w:rsidR="005D6E0B" w:rsidRPr="00EF524D" w:rsidRDefault="005D6E0B" w:rsidP="00434B1E">
            <w:pPr>
              <w:adjustRightInd w:val="0"/>
              <w:snapToGrid w:val="0"/>
              <w:spacing w:before="60" w:after="60"/>
              <w:jc w:val="left"/>
              <w:rPr>
                <w:kern w:val="22"/>
                <w:szCs w:val="22"/>
              </w:rPr>
            </w:pPr>
            <w:r w:rsidRPr="00EF524D">
              <w:t>Meta 5</w:t>
            </w:r>
          </w:p>
        </w:tc>
      </w:tr>
      <w:tr w:rsidR="005D6E0B" w:rsidRPr="00EF524D" w14:paraId="4BDD72FC" w14:textId="77777777" w:rsidTr="00434B1E">
        <w:tc>
          <w:tcPr>
            <w:tcW w:w="2137" w:type="dxa"/>
          </w:tcPr>
          <w:p w14:paraId="2395C123" w14:textId="77777777" w:rsidR="005D6E0B" w:rsidRPr="00EF524D" w:rsidRDefault="005D6E0B" w:rsidP="00434B1E">
            <w:pPr>
              <w:adjustRightInd w:val="0"/>
              <w:snapToGrid w:val="0"/>
              <w:spacing w:before="60" w:after="60"/>
              <w:jc w:val="left"/>
              <w:rPr>
                <w:kern w:val="22"/>
                <w:szCs w:val="22"/>
              </w:rPr>
            </w:pPr>
            <w:r w:rsidRPr="00EF524D">
              <w:t>Recolección</w:t>
            </w:r>
          </w:p>
        </w:tc>
        <w:tc>
          <w:tcPr>
            <w:tcW w:w="5958" w:type="dxa"/>
          </w:tcPr>
          <w:p w14:paraId="431F0E11" w14:textId="77777777" w:rsidR="005D6E0B" w:rsidRPr="00EF524D" w:rsidRDefault="005D6E0B" w:rsidP="00434B1E">
            <w:pPr>
              <w:adjustRightInd w:val="0"/>
              <w:snapToGrid w:val="0"/>
              <w:spacing w:before="60" w:after="60"/>
              <w:rPr>
                <w:kern w:val="22"/>
                <w:szCs w:val="22"/>
              </w:rPr>
            </w:pPr>
            <w:r w:rsidRPr="00EF524D">
              <w:t>Consiste en la extracción, captura o caza de especies silvestres para usos humanos.</w:t>
            </w:r>
          </w:p>
        </w:tc>
        <w:tc>
          <w:tcPr>
            <w:tcW w:w="1530" w:type="dxa"/>
          </w:tcPr>
          <w:p w14:paraId="196B7E6A" w14:textId="77777777" w:rsidR="005D6E0B" w:rsidRPr="00EF524D" w:rsidRDefault="005D6E0B" w:rsidP="00434B1E">
            <w:pPr>
              <w:adjustRightInd w:val="0"/>
              <w:snapToGrid w:val="0"/>
              <w:spacing w:before="60" w:after="60"/>
              <w:jc w:val="left"/>
              <w:rPr>
                <w:kern w:val="22"/>
                <w:szCs w:val="22"/>
              </w:rPr>
            </w:pPr>
            <w:r w:rsidRPr="00EF524D">
              <w:t>Meta 5</w:t>
            </w:r>
          </w:p>
        </w:tc>
      </w:tr>
      <w:tr w:rsidR="005D6E0B" w:rsidRPr="00EF524D" w14:paraId="307111B7" w14:textId="77777777" w:rsidTr="00434B1E">
        <w:tc>
          <w:tcPr>
            <w:tcW w:w="2137" w:type="dxa"/>
          </w:tcPr>
          <w:p w14:paraId="09911C85" w14:textId="77777777" w:rsidR="005D6E0B" w:rsidRPr="00EF524D" w:rsidRDefault="005D6E0B" w:rsidP="00434B1E">
            <w:pPr>
              <w:adjustRightInd w:val="0"/>
              <w:snapToGrid w:val="0"/>
              <w:spacing w:before="60" w:after="60"/>
              <w:jc w:val="left"/>
              <w:rPr>
                <w:kern w:val="22"/>
                <w:szCs w:val="22"/>
              </w:rPr>
            </w:pPr>
            <w:r w:rsidRPr="00EF524D">
              <w:t>Comercio y utilización</w:t>
            </w:r>
          </w:p>
        </w:tc>
        <w:tc>
          <w:tcPr>
            <w:tcW w:w="5958" w:type="dxa"/>
          </w:tcPr>
          <w:p w14:paraId="1EFFCE2B" w14:textId="46EF9841" w:rsidR="005D6E0B" w:rsidRPr="00EF524D" w:rsidDel="006624D1" w:rsidRDefault="005D6E0B" w:rsidP="00430813">
            <w:pPr>
              <w:adjustRightInd w:val="0"/>
              <w:snapToGrid w:val="0"/>
              <w:spacing w:before="60" w:after="60"/>
              <w:rPr>
                <w:kern w:val="22"/>
                <w:szCs w:val="22"/>
              </w:rPr>
            </w:pPr>
            <w:r w:rsidRPr="00EF524D">
              <w:t>Incluye la utilización de especies silvestres con fines alimentarios y no alimentarios, como por ejemplo para vestimenta, usos medicinales, culturales, científicos, recreativos y laborales, así como para la venta o el comercio (es decir, la venta de ejemplares de fauna y flora silvestres muertos o vivos o de productos derivados de ellos).</w:t>
            </w:r>
          </w:p>
        </w:tc>
        <w:tc>
          <w:tcPr>
            <w:tcW w:w="1530" w:type="dxa"/>
          </w:tcPr>
          <w:p w14:paraId="569515C5" w14:textId="77777777" w:rsidR="005D6E0B" w:rsidRPr="00EF524D" w:rsidRDefault="005D6E0B" w:rsidP="00434B1E">
            <w:pPr>
              <w:adjustRightInd w:val="0"/>
              <w:snapToGrid w:val="0"/>
              <w:spacing w:before="60" w:after="60"/>
              <w:jc w:val="left"/>
              <w:rPr>
                <w:kern w:val="22"/>
                <w:szCs w:val="22"/>
              </w:rPr>
            </w:pPr>
            <w:r w:rsidRPr="00EF524D">
              <w:t>Meta 5</w:t>
            </w:r>
          </w:p>
        </w:tc>
      </w:tr>
      <w:tr w:rsidR="00A13279" w:rsidRPr="00EF524D" w14:paraId="76C60ECE" w14:textId="77777777" w:rsidTr="00320361">
        <w:tc>
          <w:tcPr>
            <w:tcW w:w="2137" w:type="dxa"/>
          </w:tcPr>
          <w:p w14:paraId="6F901B80" w14:textId="77777777" w:rsidR="00A13279" w:rsidRPr="00EF524D" w:rsidRDefault="00A13279" w:rsidP="00A13279">
            <w:pPr>
              <w:adjustRightInd w:val="0"/>
              <w:snapToGrid w:val="0"/>
              <w:spacing w:before="60" w:after="60"/>
              <w:jc w:val="left"/>
              <w:rPr>
                <w:kern w:val="22"/>
                <w:szCs w:val="22"/>
              </w:rPr>
            </w:pPr>
            <w:r w:rsidRPr="00EF524D">
              <w:t>Especies silvestres</w:t>
            </w:r>
          </w:p>
        </w:tc>
        <w:tc>
          <w:tcPr>
            <w:tcW w:w="5958" w:type="dxa"/>
          </w:tcPr>
          <w:p w14:paraId="067BDFBC" w14:textId="63D627EE" w:rsidR="00A13279" w:rsidRPr="00EF524D" w:rsidRDefault="00A13279" w:rsidP="00763D3A">
            <w:pPr>
              <w:adjustRightInd w:val="0"/>
              <w:snapToGrid w:val="0"/>
              <w:spacing w:before="60" w:after="60"/>
              <w:jc w:val="left"/>
              <w:rPr>
                <w:kern w:val="22"/>
                <w:szCs w:val="22"/>
              </w:rPr>
            </w:pPr>
            <w:r w:rsidRPr="00EF524D">
              <w:t>Organismos cautivos o que viven en el medio silvestre, en cuyo proceso evolutivo no ha influido el ser humano. (</w:t>
            </w:r>
            <w:r w:rsidR="00763D3A" w:rsidRPr="00EF524D">
              <w:t>E</w:t>
            </w:r>
            <w:r w:rsidRPr="00EF524D">
              <w:t xml:space="preserve">n contraste con la definición de especie domesticada del CDB, </w:t>
            </w:r>
            <w:hyperlink r:id="rId31" w:history="1">
              <w:r w:rsidRPr="00EF524D">
                <w:rPr>
                  <w:rStyle w:val="Hyperlink"/>
                  <w:sz w:val="22"/>
                  <w:szCs w:val="22"/>
                </w:rPr>
                <w:t>Convenio</w:t>
              </w:r>
            </w:hyperlink>
            <w:r w:rsidRPr="00EF524D">
              <w:t>, artículo 2)</w:t>
            </w:r>
          </w:p>
        </w:tc>
        <w:tc>
          <w:tcPr>
            <w:tcW w:w="1530" w:type="dxa"/>
          </w:tcPr>
          <w:p w14:paraId="5942E7DE" w14:textId="77777777" w:rsidR="00A13279" w:rsidRPr="00EF524D" w:rsidRDefault="00A13279" w:rsidP="00A13279">
            <w:pPr>
              <w:adjustRightInd w:val="0"/>
              <w:snapToGrid w:val="0"/>
              <w:spacing w:before="60" w:after="60"/>
              <w:jc w:val="left"/>
              <w:rPr>
                <w:kern w:val="22"/>
                <w:szCs w:val="22"/>
              </w:rPr>
            </w:pPr>
            <w:r w:rsidRPr="00EF524D">
              <w:t>Meta 5</w:t>
            </w:r>
          </w:p>
        </w:tc>
      </w:tr>
      <w:tr w:rsidR="005D6E0B" w:rsidRPr="00EF524D" w14:paraId="497A572C" w14:textId="77777777" w:rsidTr="00434B1E">
        <w:tc>
          <w:tcPr>
            <w:tcW w:w="2137" w:type="dxa"/>
          </w:tcPr>
          <w:p w14:paraId="7CC16993" w14:textId="77777777" w:rsidR="005D6E0B" w:rsidRPr="00EF524D" w:rsidRDefault="005D6E0B" w:rsidP="00434B1E">
            <w:pPr>
              <w:adjustRightInd w:val="0"/>
              <w:snapToGrid w:val="0"/>
              <w:spacing w:before="60" w:after="60"/>
              <w:jc w:val="left"/>
              <w:rPr>
                <w:kern w:val="22"/>
                <w:szCs w:val="22"/>
              </w:rPr>
            </w:pPr>
            <w:r w:rsidRPr="00EF524D">
              <w:t xml:space="preserve">Vías </w:t>
            </w:r>
            <w:r w:rsidRPr="00EF524D">
              <w:br/>
              <w:t>(para la introducción de especies exóticas invasoras)</w:t>
            </w:r>
          </w:p>
        </w:tc>
        <w:tc>
          <w:tcPr>
            <w:tcW w:w="5958" w:type="dxa"/>
          </w:tcPr>
          <w:p w14:paraId="22FC3346" w14:textId="77777777" w:rsidR="005D6E0B" w:rsidRPr="00EF524D" w:rsidRDefault="005D6E0B" w:rsidP="00434B1E">
            <w:pPr>
              <w:adjustRightInd w:val="0"/>
              <w:snapToGrid w:val="0"/>
              <w:spacing w:before="60" w:after="60"/>
              <w:rPr>
                <w:kern w:val="22"/>
                <w:szCs w:val="22"/>
              </w:rPr>
            </w:pPr>
            <w:r w:rsidRPr="00EF524D">
              <w:t>Las vías, también denominadas vectores, son los medios por los que las especies exóticas se introducen en nuevos entornos. Según el ecosistema, es probable que haya diferentes vías de introducción de especies exóticas. Las vías más comunes son el transporte marítimo (agua de lastre, cascos de buques y contenedores de transporte), la introducción accidental o intencional de especies procedentes de actividades agrícolas o acuícolas y el escape de especies introducidas en un nuevo entorno. Las vías variarán según los países y será necesario identificarlas para poder abordarlas con eficacia.</w:t>
            </w:r>
          </w:p>
          <w:p w14:paraId="4047DC79" w14:textId="1B4B91A2" w:rsidR="005D6E0B" w:rsidRPr="00EF524D" w:rsidRDefault="005D6E0B" w:rsidP="00434B1E">
            <w:pPr>
              <w:adjustRightInd w:val="0"/>
              <w:snapToGrid w:val="0"/>
              <w:spacing w:before="60" w:after="60"/>
              <w:jc w:val="left"/>
              <w:rPr>
                <w:kern w:val="22"/>
                <w:szCs w:val="22"/>
              </w:rPr>
            </w:pPr>
            <w:r w:rsidRPr="00EF524D">
              <w:t xml:space="preserve">(Basado en la guía rápida de la Meta 9 de Aichi, </w:t>
            </w:r>
            <w:hyperlink r:id="rId32" w:history="1">
              <w:r w:rsidRPr="00EF524D">
                <w:rPr>
                  <w:rStyle w:val="Hyperlink"/>
                  <w:sz w:val="22"/>
                  <w:szCs w:val="22"/>
                </w:rPr>
                <w:t>https://www.cbd.int/doc/strategic-plan/targets/T9-quick-guide-en.pdf</w:t>
              </w:r>
            </w:hyperlink>
            <w:r w:rsidRPr="00EF524D">
              <w:t>)</w:t>
            </w:r>
          </w:p>
          <w:p w14:paraId="1FE1D1D8" w14:textId="77777777" w:rsidR="005D6E0B" w:rsidRPr="00EF524D" w:rsidRDefault="005D6E0B" w:rsidP="00434B1E">
            <w:pPr>
              <w:adjustRightInd w:val="0"/>
              <w:snapToGrid w:val="0"/>
              <w:spacing w:before="60" w:after="60"/>
              <w:jc w:val="left"/>
              <w:rPr>
                <w:kern w:val="22"/>
                <w:szCs w:val="22"/>
              </w:rPr>
            </w:pPr>
            <w:r w:rsidRPr="00EF524D">
              <w:lastRenderedPageBreak/>
              <w:t>Las vías se clasifican según la clasificación reconocida por el Convenio sobre la Diversidad Biológica, que comprende las categorías de liberación, fuga, contaminantes, polizones, pasillo y autónoma.</w:t>
            </w:r>
          </w:p>
          <w:p w14:paraId="353C14AD" w14:textId="7DD5F812" w:rsidR="005D6E0B" w:rsidRPr="00EF524D" w:rsidRDefault="005D6E0B" w:rsidP="00434B1E">
            <w:pPr>
              <w:adjustRightInd w:val="0"/>
              <w:snapToGrid w:val="0"/>
              <w:spacing w:before="60" w:after="60"/>
              <w:jc w:val="left"/>
              <w:rPr>
                <w:i/>
                <w:kern w:val="22"/>
                <w:szCs w:val="22"/>
              </w:rPr>
            </w:pPr>
            <w:r w:rsidRPr="00EF524D">
              <w:t xml:space="preserve">(Véase </w:t>
            </w:r>
            <w:hyperlink r:id="rId33" w:history="1">
              <w:r w:rsidRPr="00EF524D">
                <w:rPr>
                  <w:rStyle w:val="Hyperlink"/>
                  <w:sz w:val="22"/>
                  <w:szCs w:val="22"/>
                </w:rPr>
                <w:t>CBD/SBSTTA/18/9/Add.1</w:t>
              </w:r>
            </w:hyperlink>
            <w:r w:rsidRPr="00EF524D">
              <w:t xml:space="preserve">, párr. 12, basado en </w:t>
            </w:r>
            <w:proofErr w:type="spellStart"/>
            <w:r w:rsidRPr="00EF524D">
              <w:t>Hulme</w:t>
            </w:r>
            <w:proofErr w:type="spellEnd"/>
            <w:r w:rsidRPr="00EF524D">
              <w:rPr>
                <w:i/>
                <w:iCs/>
              </w:rPr>
              <w:t xml:space="preserve"> et al</w:t>
            </w:r>
            <w:r w:rsidRPr="00EF524D">
              <w:t xml:space="preserve">. 2008, </w:t>
            </w:r>
            <w:proofErr w:type="spellStart"/>
            <w:r w:rsidRPr="00EF524D">
              <w:rPr>
                <w:i/>
                <w:iCs/>
                <w:szCs w:val="22"/>
              </w:rPr>
              <w:t>Journal</w:t>
            </w:r>
            <w:proofErr w:type="spellEnd"/>
            <w:r w:rsidRPr="00EF524D">
              <w:rPr>
                <w:i/>
                <w:iCs/>
                <w:szCs w:val="22"/>
              </w:rPr>
              <w:t xml:space="preserve"> of </w:t>
            </w:r>
            <w:proofErr w:type="spellStart"/>
            <w:r w:rsidRPr="00EF524D">
              <w:rPr>
                <w:i/>
                <w:iCs/>
                <w:szCs w:val="22"/>
              </w:rPr>
              <w:t>Applied</w:t>
            </w:r>
            <w:proofErr w:type="spellEnd"/>
            <w:r w:rsidRPr="00EF524D">
              <w:rPr>
                <w:i/>
                <w:iCs/>
                <w:szCs w:val="22"/>
              </w:rPr>
              <w:t xml:space="preserve"> </w:t>
            </w:r>
            <w:proofErr w:type="spellStart"/>
            <w:r w:rsidRPr="00EF524D">
              <w:rPr>
                <w:i/>
                <w:iCs/>
                <w:szCs w:val="22"/>
              </w:rPr>
              <w:t>Ecology</w:t>
            </w:r>
            <w:proofErr w:type="spellEnd"/>
            <w:r w:rsidRPr="00EF524D">
              <w:t xml:space="preserve">); véase también: Faulkner </w:t>
            </w:r>
            <w:r w:rsidRPr="00EF524D">
              <w:rPr>
                <w:i/>
              </w:rPr>
              <w:t>et al</w:t>
            </w:r>
            <w:r w:rsidRPr="00EF524D">
              <w:t>. 2020, “</w:t>
            </w:r>
            <w:proofErr w:type="spellStart"/>
            <w:r w:rsidRPr="00EF524D">
              <w:t>Classifying</w:t>
            </w:r>
            <w:proofErr w:type="spellEnd"/>
            <w:r w:rsidRPr="00EF524D">
              <w:t xml:space="preserve"> </w:t>
            </w:r>
            <w:proofErr w:type="spellStart"/>
            <w:r w:rsidRPr="00EF524D">
              <w:t>the</w:t>
            </w:r>
            <w:proofErr w:type="spellEnd"/>
            <w:r w:rsidRPr="00EF524D">
              <w:t xml:space="preserve"> </w:t>
            </w:r>
            <w:proofErr w:type="spellStart"/>
            <w:r w:rsidRPr="00EF524D">
              <w:t>introduction</w:t>
            </w:r>
            <w:proofErr w:type="spellEnd"/>
            <w:r w:rsidRPr="00EF524D">
              <w:t xml:space="preserve"> </w:t>
            </w:r>
            <w:proofErr w:type="spellStart"/>
            <w:r w:rsidRPr="00EF524D">
              <w:t>pathways</w:t>
            </w:r>
            <w:proofErr w:type="spellEnd"/>
            <w:r w:rsidRPr="00EF524D">
              <w:t xml:space="preserve"> of </w:t>
            </w:r>
            <w:proofErr w:type="spellStart"/>
            <w:r w:rsidRPr="00EF524D">
              <w:t>alien</w:t>
            </w:r>
            <w:proofErr w:type="spellEnd"/>
            <w:r w:rsidRPr="00EF524D">
              <w:t xml:space="preserve"> </w:t>
            </w:r>
            <w:proofErr w:type="spellStart"/>
            <w:r w:rsidRPr="00EF524D">
              <w:t>species</w:t>
            </w:r>
            <w:proofErr w:type="spellEnd"/>
            <w:r w:rsidRPr="00EF524D">
              <w:t xml:space="preserve">: are </w:t>
            </w:r>
            <w:proofErr w:type="spellStart"/>
            <w:r w:rsidRPr="00EF524D">
              <w:t>we</w:t>
            </w:r>
            <w:proofErr w:type="spellEnd"/>
            <w:r w:rsidRPr="00EF524D">
              <w:t xml:space="preserve"> </w:t>
            </w:r>
            <w:proofErr w:type="spellStart"/>
            <w:r w:rsidRPr="00EF524D">
              <w:t>moving</w:t>
            </w:r>
            <w:proofErr w:type="spellEnd"/>
            <w:r w:rsidRPr="00EF524D">
              <w:t xml:space="preserve"> in </w:t>
            </w:r>
            <w:proofErr w:type="spellStart"/>
            <w:r w:rsidRPr="00EF524D">
              <w:t>the</w:t>
            </w:r>
            <w:proofErr w:type="spellEnd"/>
            <w:r w:rsidRPr="00EF524D">
              <w:t xml:space="preserve"> </w:t>
            </w:r>
            <w:proofErr w:type="spellStart"/>
            <w:r w:rsidRPr="00EF524D">
              <w:t>right</w:t>
            </w:r>
            <w:proofErr w:type="spellEnd"/>
            <w:r w:rsidRPr="00EF524D">
              <w:t xml:space="preserve"> </w:t>
            </w:r>
            <w:proofErr w:type="spellStart"/>
            <w:r w:rsidRPr="00EF524D">
              <w:t>direction</w:t>
            </w:r>
            <w:proofErr w:type="spellEnd"/>
            <w:r w:rsidRPr="00EF524D">
              <w:t xml:space="preserve">?” </w:t>
            </w:r>
            <w:proofErr w:type="spellStart"/>
            <w:r w:rsidRPr="00EF524D">
              <w:rPr>
                <w:i/>
                <w:iCs/>
                <w:szCs w:val="22"/>
              </w:rPr>
              <w:t>NeoBiota</w:t>
            </w:r>
            <w:proofErr w:type="spellEnd"/>
            <w:r w:rsidRPr="00EF524D">
              <w:t xml:space="preserve"> 62: 143-159, </w:t>
            </w:r>
            <w:hyperlink r:id="rId34" w:history="1">
              <w:r w:rsidRPr="00EF524D">
                <w:rPr>
                  <w:rStyle w:val="Hyperlink"/>
                  <w:sz w:val="22"/>
                  <w:szCs w:val="22"/>
                </w:rPr>
                <w:t>https://neobiota.pensoft.net/article/53543/</w:t>
              </w:r>
            </w:hyperlink>
            <w:r w:rsidRPr="00EF524D">
              <w:t>)</w:t>
            </w:r>
          </w:p>
        </w:tc>
        <w:tc>
          <w:tcPr>
            <w:tcW w:w="1530" w:type="dxa"/>
          </w:tcPr>
          <w:p w14:paraId="5CF1F614" w14:textId="77777777" w:rsidR="005D6E0B" w:rsidRPr="00EF524D" w:rsidRDefault="005D6E0B" w:rsidP="00434B1E">
            <w:pPr>
              <w:adjustRightInd w:val="0"/>
              <w:snapToGrid w:val="0"/>
              <w:spacing w:before="60" w:after="60"/>
              <w:jc w:val="left"/>
              <w:rPr>
                <w:kern w:val="22"/>
                <w:szCs w:val="22"/>
              </w:rPr>
            </w:pPr>
            <w:r w:rsidRPr="00EF524D">
              <w:lastRenderedPageBreak/>
              <w:t>Meta 6</w:t>
            </w:r>
          </w:p>
        </w:tc>
      </w:tr>
      <w:tr w:rsidR="005D6E0B" w:rsidRPr="00EF524D" w14:paraId="6C9112D8" w14:textId="77777777" w:rsidTr="00434B1E">
        <w:tc>
          <w:tcPr>
            <w:tcW w:w="2137" w:type="dxa"/>
          </w:tcPr>
          <w:p w14:paraId="756F2120" w14:textId="77777777" w:rsidR="005D6E0B" w:rsidRPr="00EF524D" w:rsidRDefault="005D6E0B" w:rsidP="00434B1E">
            <w:pPr>
              <w:adjustRightInd w:val="0"/>
              <w:snapToGrid w:val="0"/>
              <w:spacing w:before="60" w:after="60"/>
              <w:jc w:val="left"/>
              <w:rPr>
                <w:kern w:val="22"/>
                <w:szCs w:val="22"/>
              </w:rPr>
            </w:pPr>
            <w:r w:rsidRPr="00EF524D">
              <w:t>Sitios prioritarios</w:t>
            </w:r>
            <w:r w:rsidRPr="00EF524D">
              <w:br/>
              <w:t>(en relación con el impacto de las especies exóticas invasoras)</w:t>
            </w:r>
          </w:p>
        </w:tc>
        <w:tc>
          <w:tcPr>
            <w:tcW w:w="5958" w:type="dxa"/>
          </w:tcPr>
          <w:p w14:paraId="4356C947" w14:textId="77777777" w:rsidR="005D6E0B" w:rsidRPr="00EF524D" w:rsidRDefault="005D6E0B" w:rsidP="00434B1E">
            <w:pPr>
              <w:adjustRightInd w:val="0"/>
              <w:snapToGrid w:val="0"/>
              <w:spacing w:before="60" w:after="60"/>
              <w:rPr>
                <w:kern w:val="22"/>
                <w:szCs w:val="22"/>
              </w:rPr>
            </w:pPr>
            <w:r w:rsidRPr="00EF524D">
              <w:t>Ecosistemas y hábitats que son sensibles y susceptibles a las invasiones biológicas y zonas en las que los impactos de las especies exóticas invasoras sobre los componentes nativos de la diversidad biológica, así como sobre los valores sociales, económicos o culturales, son elevados. Los sitios prioritarios pueden incluir ecosistemas insulares, áreas protegidas, sitios prioritarios para la restauración de los ecosistemas, zonas con especies endémicas, zonas con agricultura y acuicultura intensivas y sitios de especial importancia para la diversidad biológica. Los sitios prioritarios pueden ser designados a nivel internacional o nacional en función de sus condiciones y circunstancias.</w:t>
            </w:r>
          </w:p>
          <w:p w14:paraId="73747DFC" w14:textId="78D53B99" w:rsidR="005D6E0B" w:rsidRPr="00EF524D" w:rsidRDefault="005D6E0B" w:rsidP="00434B1E">
            <w:pPr>
              <w:adjustRightInd w:val="0"/>
              <w:snapToGrid w:val="0"/>
              <w:spacing w:before="60" w:after="60"/>
              <w:rPr>
                <w:i/>
                <w:kern w:val="22"/>
                <w:szCs w:val="22"/>
              </w:rPr>
            </w:pPr>
            <w:r w:rsidRPr="00EF524D">
              <w:t xml:space="preserve">(Véase también </w:t>
            </w:r>
            <w:hyperlink r:id="rId35" w:history="1">
              <w:proofErr w:type="spellStart"/>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/24/3/Add.2/Rev.1</w:t>
              </w:r>
            </w:hyperlink>
            <w:r w:rsidRPr="00EF524D">
              <w:t>, párr. 76)</w:t>
            </w:r>
          </w:p>
        </w:tc>
        <w:tc>
          <w:tcPr>
            <w:tcW w:w="1530" w:type="dxa"/>
          </w:tcPr>
          <w:p w14:paraId="57121A8A" w14:textId="77777777" w:rsidR="005D6E0B" w:rsidRPr="00EF524D" w:rsidRDefault="005D6E0B" w:rsidP="00434B1E">
            <w:pPr>
              <w:adjustRightInd w:val="0"/>
              <w:snapToGrid w:val="0"/>
              <w:spacing w:before="60" w:after="60"/>
              <w:jc w:val="left"/>
              <w:rPr>
                <w:kern w:val="22"/>
                <w:szCs w:val="22"/>
              </w:rPr>
            </w:pPr>
            <w:r w:rsidRPr="00EF524D">
              <w:t>Meta 6</w:t>
            </w:r>
          </w:p>
        </w:tc>
      </w:tr>
      <w:tr w:rsidR="005D6E0B" w:rsidRPr="00EF524D" w14:paraId="62A1619C" w14:textId="77777777" w:rsidTr="00434B1E">
        <w:tc>
          <w:tcPr>
            <w:tcW w:w="2137" w:type="dxa"/>
          </w:tcPr>
          <w:p w14:paraId="148CEC32" w14:textId="77777777" w:rsidR="005D6E0B" w:rsidRPr="00EF524D" w:rsidRDefault="005D6E0B" w:rsidP="00434B1E">
            <w:pPr>
              <w:adjustRightInd w:val="0"/>
              <w:snapToGrid w:val="0"/>
              <w:spacing w:before="60" w:after="60"/>
              <w:jc w:val="left"/>
              <w:rPr>
                <w:kern w:val="22"/>
                <w:szCs w:val="22"/>
              </w:rPr>
            </w:pPr>
            <w:r w:rsidRPr="00EF524D">
              <w:t>Contaminación (de todas las fuentes)</w:t>
            </w:r>
          </w:p>
        </w:tc>
        <w:tc>
          <w:tcPr>
            <w:tcW w:w="5958" w:type="dxa"/>
          </w:tcPr>
          <w:p w14:paraId="7D4DFA39" w14:textId="77777777" w:rsidR="005D6E0B" w:rsidRPr="00EF524D" w:rsidRDefault="005D6E0B" w:rsidP="00434B1E">
            <w:pPr>
              <w:adjustRightInd w:val="0"/>
              <w:snapToGrid w:val="0"/>
              <w:spacing w:before="60" w:after="60"/>
              <w:rPr>
                <w:kern w:val="22"/>
                <w:szCs w:val="22"/>
              </w:rPr>
            </w:pPr>
            <w:r w:rsidRPr="00EF524D">
              <w:t>La alteración directa o indirecta de las propiedades físicas, químicas, térmicas, biológicas o radiactivas en una parte del ambiente de manera que se genere un peligro, o potencial peligro, para la conservación, auxilio o prosperidad de cualquier especie viva.</w:t>
            </w:r>
          </w:p>
          <w:p w14:paraId="33856886" w14:textId="1F2D0BC3" w:rsidR="005D6E0B" w:rsidRPr="00EF524D" w:rsidRDefault="005D6E0B" w:rsidP="00434B1E">
            <w:pPr>
              <w:adjustRightInd w:val="0"/>
              <w:snapToGrid w:val="0"/>
              <w:spacing w:before="60" w:after="60"/>
              <w:jc w:val="left"/>
              <w:rPr>
                <w:kern w:val="22"/>
                <w:szCs w:val="22"/>
              </w:rPr>
            </w:pPr>
            <w:r w:rsidRPr="00EF524D">
              <w:t xml:space="preserve">(PNUMA, </w:t>
            </w:r>
            <w:proofErr w:type="spellStart"/>
            <w:r w:rsidRPr="00EF524D">
              <w:t>LEAP</w:t>
            </w:r>
            <w:proofErr w:type="spellEnd"/>
            <w:r w:rsidRPr="00EF524D">
              <w:t xml:space="preserve">, </w:t>
            </w:r>
            <w:hyperlink r:id="rId36" w:history="1">
              <w:r w:rsidRPr="00EF524D">
                <w:rPr>
                  <w:rStyle w:val="Hyperlink"/>
                  <w:sz w:val="22"/>
                  <w:szCs w:val="22"/>
                </w:rPr>
                <w:t>https://leap.unep.org/knowledge/glossary/pollution</w:t>
              </w:r>
            </w:hyperlink>
            <w:r w:rsidRPr="00EF524D">
              <w:t>)</w:t>
            </w:r>
          </w:p>
        </w:tc>
        <w:tc>
          <w:tcPr>
            <w:tcW w:w="1530" w:type="dxa"/>
          </w:tcPr>
          <w:p w14:paraId="2007B46C" w14:textId="77777777" w:rsidR="005D6E0B" w:rsidRPr="00EF524D" w:rsidRDefault="00D438A8" w:rsidP="00434B1E">
            <w:pPr>
              <w:adjustRightInd w:val="0"/>
              <w:snapToGrid w:val="0"/>
              <w:spacing w:before="60" w:after="60"/>
              <w:jc w:val="left"/>
              <w:rPr>
                <w:kern w:val="22"/>
                <w:szCs w:val="22"/>
              </w:rPr>
            </w:pPr>
            <w:r w:rsidRPr="00EF524D">
              <w:t>Meta 7</w:t>
            </w:r>
          </w:p>
        </w:tc>
      </w:tr>
      <w:tr w:rsidR="005D6E0B" w:rsidRPr="00EF524D" w14:paraId="16C048C2" w14:textId="77777777" w:rsidTr="00434B1E">
        <w:tc>
          <w:tcPr>
            <w:tcW w:w="2137" w:type="dxa"/>
          </w:tcPr>
          <w:p w14:paraId="642A775C" w14:textId="77777777" w:rsidR="005D6E0B" w:rsidRPr="00EF524D" w:rsidRDefault="005D6E0B" w:rsidP="00434B1E">
            <w:pPr>
              <w:adjustRightInd w:val="0"/>
              <w:snapToGrid w:val="0"/>
              <w:spacing w:before="60" w:after="60"/>
              <w:jc w:val="left"/>
              <w:rPr>
                <w:kern w:val="22"/>
                <w:szCs w:val="22"/>
              </w:rPr>
            </w:pPr>
            <w:r w:rsidRPr="00EF524D">
              <w:t>No nocivo (para la diversidad biológica y la función de los ecosistemas)</w:t>
            </w:r>
          </w:p>
        </w:tc>
        <w:tc>
          <w:tcPr>
            <w:tcW w:w="5958" w:type="dxa"/>
          </w:tcPr>
          <w:p w14:paraId="4C31EE85" w14:textId="77777777" w:rsidR="005D6E0B" w:rsidRPr="00EF524D" w:rsidRDefault="005D6E0B" w:rsidP="00434B1E">
            <w:pPr>
              <w:adjustRightInd w:val="0"/>
              <w:snapToGrid w:val="0"/>
              <w:spacing w:before="60" w:after="60"/>
              <w:rPr>
                <w:kern w:val="22"/>
                <w:szCs w:val="22"/>
              </w:rPr>
            </w:pPr>
            <w:r w:rsidRPr="00EF524D">
              <w:t>Se necesitarán distintos criterios de medición para distintos tipos de contaminación. Sin embargo, por “no nocivo” debería entenderse que no tiene un impacto negativo en alguno o ninguno de los tres componentes de la diversidad biológica, es decir, en la diversidad genética, de las especies y de los ecosistemas.</w:t>
            </w:r>
          </w:p>
        </w:tc>
        <w:tc>
          <w:tcPr>
            <w:tcW w:w="1530" w:type="dxa"/>
          </w:tcPr>
          <w:p w14:paraId="329845F3" w14:textId="77777777" w:rsidR="005D6E0B" w:rsidRPr="00EF524D" w:rsidRDefault="005D6E0B" w:rsidP="00434B1E">
            <w:pPr>
              <w:adjustRightInd w:val="0"/>
              <w:snapToGrid w:val="0"/>
              <w:spacing w:before="60" w:after="60"/>
              <w:jc w:val="left"/>
              <w:rPr>
                <w:kern w:val="22"/>
                <w:szCs w:val="22"/>
              </w:rPr>
            </w:pPr>
            <w:r w:rsidRPr="00EF524D">
              <w:t>Meta 7</w:t>
            </w:r>
          </w:p>
        </w:tc>
      </w:tr>
      <w:tr w:rsidR="00A13279" w:rsidRPr="00EF524D" w14:paraId="506AC244" w14:textId="77777777" w:rsidTr="00320361">
        <w:tc>
          <w:tcPr>
            <w:tcW w:w="2137" w:type="dxa"/>
          </w:tcPr>
          <w:p w14:paraId="40525907" w14:textId="77777777" w:rsidR="00A13279" w:rsidRPr="00EF524D" w:rsidRDefault="00A13279" w:rsidP="00A13279">
            <w:pPr>
              <w:adjustRightInd w:val="0"/>
              <w:snapToGrid w:val="0"/>
              <w:spacing w:before="60" w:after="60"/>
              <w:jc w:val="left"/>
              <w:rPr>
                <w:kern w:val="22"/>
                <w:szCs w:val="22"/>
              </w:rPr>
            </w:pPr>
            <w:r w:rsidRPr="00EF524D">
              <w:t>Plaguicidas</w:t>
            </w:r>
          </w:p>
        </w:tc>
        <w:tc>
          <w:tcPr>
            <w:tcW w:w="5958" w:type="dxa"/>
          </w:tcPr>
          <w:p w14:paraId="322E34A4" w14:textId="77777777" w:rsidR="00A13279" w:rsidRPr="00EF524D" w:rsidRDefault="00A13279" w:rsidP="00A13279">
            <w:pPr>
              <w:adjustRightInd w:val="0"/>
              <w:snapToGrid w:val="0"/>
              <w:spacing w:before="60" w:after="60"/>
              <w:jc w:val="left"/>
              <w:rPr>
                <w:kern w:val="22"/>
                <w:szCs w:val="22"/>
              </w:rPr>
            </w:pPr>
            <w:r w:rsidRPr="00EF524D">
              <w:t>Plaguicida se refiere a cualquier sustancia o mezcla de sustancias con ingredientes químicos o biológicos destinados a repeler, destruir o controlar cualquier plaga o a regular el crecimiento de las plantas.</w:t>
            </w:r>
          </w:p>
          <w:p w14:paraId="31A63BEA" w14:textId="48BB38BD" w:rsidR="00A13279" w:rsidRPr="00EF524D" w:rsidRDefault="00A13279" w:rsidP="00A13279">
            <w:pPr>
              <w:adjustRightInd w:val="0"/>
              <w:snapToGrid w:val="0"/>
              <w:spacing w:before="60" w:after="60"/>
              <w:jc w:val="left"/>
              <w:rPr>
                <w:kern w:val="22"/>
                <w:szCs w:val="22"/>
              </w:rPr>
            </w:pPr>
            <w:r w:rsidRPr="00EF524D">
              <w:t xml:space="preserve">(Código Internacional de Conducta para la Gestión de Plaguicidas, </w:t>
            </w:r>
            <w:hyperlink r:id="rId37" w:tgtFrame="_blank" w:tooltip="https://www.fao.org/fileadmin/templates/agphome/documents/pests_pesticides/code/code_eng_2017updated.pdf" w:history="1">
              <w:r w:rsidR="00FE4F40" w:rsidRPr="00EF524D">
                <w:rPr>
                  <w:rStyle w:val="Hyperlink"/>
                  <w:sz w:val="22"/>
                  <w:szCs w:val="22"/>
                </w:rPr>
                <w:t>https://www.fao.org/3/I3604S/i3604s.pdf</w:t>
              </w:r>
            </w:hyperlink>
            <w:r w:rsidRPr="00EF524D">
              <w:t>)</w:t>
            </w:r>
          </w:p>
        </w:tc>
        <w:tc>
          <w:tcPr>
            <w:tcW w:w="1530" w:type="dxa"/>
          </w:tcPr>
          <w:p w14:paraId="51554CA9" w14:textId="77777777" w:rsidR="00A13279" w:rsidRPr="00EF524D" w:rsidRDefault="00A13279" w:rsidP="00A13279">
            <w:pPr>
              <w:adjustRightInd w:val="0"/>
              <w:snapToGrid w:val="0"/>
              <w:spacing w:before="60" w:after="60"/>
              <w:jc w:val="left"/>
              <w:rPr>
                <w:kern w:val="22"/>
                <w:szCs w:val="22"/>
              </w:rPr>
            </w:pPr>
            <w:r w:rsidRPr="00EF524D">
              <w:t>Meta 7</w:t>
            </w:r>
          </w:p>
        </w:tc>
      </w:tr>
      <w:tr w:rsidR="005D6E0B" w:rsidRPr="00EF524D" w14:paraId="7FB4E03C" w14:textId="77777777" w:rsidTr="00434B1E">
        <w:tc>
          <w:tcPr>
            <w:tcW w:w="2137" w:type="dxa"/>
          </w:tcPr>
          <w:p w14:paraId="75FF9E6E" w14:textId="2DC0D389" w:rsidR="005D6E0B" w:rsidRPr="00EF524D" w:rsidRDefault="005D6E0B" w:rsidP="002F130A">
            <w:pPr>
              <w:adjustRightInd w:val="0"/>
              <w:snapToGrid w:val="0"/>
              <w:spacing w:before="60" w:after="60"/>
              <w:jc w:val="left"/>
              <w:rPr>
                <w:kern w:val="22"/>
                <w:szCs w:val="22"/>
              </w:rPr>
            </w:pPr>
            <w:r w:rsidRPr="00EF524D">
              <w:t>Enfoques basados en los ecosistemas para la adaptación al cambio climático (</w:t>
            </w:r>
            <w:proofErr w:type="spellStart"/>
            <w:r w:rsidRPr="00EF524D">
              <w:t>A</w:t>
            </w:r>
            <w:r w:rsidR="002F130A" w:rsidRPr="00EF524D">
              <w:t>b</w:t>
            </w:r>
            <w:r w:rsidRPr="00EF524D">
              <w:t>E</w:t>
            </w:r>
            <w:proofErr w:type="spellEnd"/>
            <w:r w:rsidRPr="00EF524D">
              <w:t>)</w:t>
            </w:r>
          </w:p>
        </w:tc>
        <w:tc>
          <w:tcPr>
            <w:tcW w:w="5958" w:type="dxa"/>
          </w:tcPr>
          <w:p w14:paraId="6A6DCA7C" w14:textId="037A401A" w:rsidR="005D6E0B" w:rsidRPr="00EF524D" w:rsidRDefault="005D6E0B" w:rsidP="00434B1E">
            <w:pPr>
              <w:adjustRightInd w:val="0"/>
              <w:snapToGrid w:val="0"/>
              <w:spacing w:before="60" w:after="60"/>
              <w:rPr>
                <w:iCs/>
                <w:kern w:val="22"/>
                <w:szCs w:val="22"/>
              </w:rPr>
            </w:pPr>
            <w:r w:rsidRPr="00EF524D">
              <w:t>Se define como el uso de la diversidad biológica y las funciones y servicios de los ecosistemas como parte de una estrategia global de adaptación para ayudar a las personas a adaptarse a los efectos adversos del cambio climático. Este término puede referirse a una amplia gama de actividades de gestión de los ecosistemas para aumentar la resiliencia y reducir la vulnerabilidad de las personas y el medio ambiente, incluso ante el cambio climático y los desastres.</w:t>
            </w:r>
          </w:p>
          <w:p w14:paraId="639D89AD" w14:textId="4A3E6753" w:rsidR="00FB4366" w:rsidRPr="00EF524D" w:rsidRDefault="005D6E0B" w:rsidP="00FB4366">
            <w:pPr>
              <w:autoSpaceDE w:val="0"/>
              <w:autoSpaceDN w:val="0"/>
              <w:adjustRightInd w:val="0"/>
              <w:jc w:val="left"/>
              <w:rPr>
                <w:rFonts w:eastAsiaTheme="minorEastAsia"/>
                <w:szCs w:val="22"/>
              </w:rPr>
            </w:pPr>
            <w:r w:rsidRPr="00EF524D">
              <w:lastRenderedPageBreak/>
              <w:t>(</w:t>
            </w:r>
            <w:r w:rsidRPr="00EF524D">
              <w:rPr>
                <w:i/>
                <w:szCs w:val="22"/>
              </w:rPr>
              <w:t>Serie Técnica del CDB Núm. 41</w:t>
            </w:r>
            <w:r w:rsidRPr="00EF524D">
              <w:t xml:space="preserve">, Secretaría del Convenio sobre Diversidad Biológica. (2009). </w:t>
            </w:r>
            <w:proofErr w:type="spellStart"/>
            <w:r w:rsidRPr="00EF524D">
              <w:t>Connecting</w:t>
            </w:r>
            <w:proofErr w:type="spellEnd"/>
            <w:r w:rsidRPr="00EF524D">
              <w:t xml:space="preserve"> </w:t>
            </w:r>
            <w:proofErr w:type="spellStart"/>
            <w:r w:rsidRPr="00EF524D">
              <w:t>Biodiversity</w:t>
            </w:r>
            <w:proofErr w:type="spellEnd"/>
            <w:r w:rsidRPr="00EF524D">
              <w:t xml:space="preserve"> and </w:t>
            </w:r>
            <w:proofErr w:type="spellStart"/>
            <w:r w:rsidRPr="00EF524D">
              <w:t>Climate</w:t>
            </w:r>
            <w:proofErr w:type="spellEnd"/>
            <w:r w:rsidRPr="00EF524D">
              <w:t xml:space="preserve"> </w:t>
            </w:r>
            <w:proofErr w:type="spellStart"/>
            <w:r w:rsidRPr="00EF524D">
              <w:t>Change</w:t>
            </w:r>
            <w:proofErr w:type="spellEnd"/>
            <w:r w:rsidRPr="00EF524D">
              <w:t xml:space="preserve"> </w:t>
            </w:r>
            <w:proofErr w:type="spellStart"/>
            <w:r w:rsidRPr="00EF524D">
              <w:t>Mitigation</w:t>
            </w:r>
            <w:proofErr w:type="spellEnd"/>
            <w:r w:rsidRPr="00EF524D">
              <w:t xml:space="preserve"> and </w:t>
            </w:r>
            <w:proofErr w:type="spellStart"/>
            <w:r w:rsidRPr="00EF524D">
              <w:t>Adaptation</w:t>
            </w:r>
            <w:proofErr w:type="spellEnd"/>
            <w:r w:rsidR="00D73CC7" w:rsidRPr="00EF524D">
              <w:t>,</w:t>
            </w:r>
            <w:r w:rsidRPr="00EF524D">
              <w:t xml:space="preserve"> Informe del segundo Grupo especial de expertos técnicos sobre diversidad biológica y cambio climático. Montreal, pág. 41.)</w:t>
            </w:r>
          </w:p>
          <w:p w14:paraId="10FDDFE0" w14:textId="17B65568" w:rsidR="005D6E0B" w:rsidRPr="00EF524D" w:rsidRDefault="004F1ACB" w:rsidP="00542C37">
            <w:pPr>
              <w:autoSpaceDE w:val="0"/>
              <w:autoSpaceDN w:val="0"/>
              <w:adjustRightInd w:val="0"/>
              <w:jc w:val="left"/>
              <w:rPr>
                <w:i/>
                <w:kern w:val="22"/>
                <w:szCs w:val="22"/>
              </w:rPr>
            </w:pPr>
            <w:r w:rsidRPr="00EF524D">
              <w:t>El párrafo 8 j) de la decisión X/33 de la Conferencia de las Partes invita a las Partes y otros Gobiernos a “aplicar según proceda enfoques de adaptación basados en los ecosistemas, que pueden incluir ordenación sostenible, conservación y restauración de los ecosistemas, como parte de una estrategia de adaptación general que tome en consideración los beneficios colaterales sociales, económicos y culturales múltiples para las comunidades locales”.</w:t>
            </w:r>
          </w:p>
        </w:tc>
        <w:tc>
          <w:tcPr>
            <w:tcW w:w="1530" w:type="dxa"/>
          </w:tcPr>
          <w:p w14:paraId="76824C45" w14:textId="77777777" w:rsidR="005D6E0B" w:rsidRPr="00EF524D" w:rsidRDefault="005D6E0B" w:rsidP="00434B1E">
            <w:pPr>
              <w:adjustRightInd w:val="0"/>
              <w:snapToGrid w:val="0"/>
              <w:spacing w:before="60" w:after="60"/>
              <w:jc w:val="left"/>
              <w:rPr>
                <w:i/>
                <w:kern w:val="22"/>
                <w:szCs w:val="22"/>
              </w:rPr>
            </w:pPr>
            <w:r w:rsidRPr="00EF524D">
              <w:lastRenderedPageBreak/>
              <w:t>Meta 8</w:t>
            </w:r>
          </w:p>
        </w:tc>
      </w:tr>
      <w:tr w:rsidR="00A13279" w:rsidRPr="00EF524D" w14:paraId="5CDDC5C2" w14:textId="77777777" w:rsidTr="00320361">
        <w:tc>
          <w:tcPr>
            <w:tcW w:w="2137" w:type="dxa"/>
          </w:tcPr>
          <w:p w14:paraId="5FE2F962" w14:textId="77777777" w:rsidR="00A13279" w:rsidRPr="00EF524D" w:rsidRDefault="00A13279" w:rsidP="00A13279">
            <w:pPr>
              <w:adjustRightInd w:val="0"/>
              <w:snapToGrid w:val="0"/>
              <w:spacing w:before="60" w:after="60"/>
              <w:jc w:val="left"/>
              <w:rPr>
                <w:kern w:val="22"/>
                <w:szCs w:val="22"/>
              </w:rPr>
            </w:pPr>
            <w:r w:rsidRPr="00EF524D">
              <w:t>Soluciones basadas en la naturaleza</w:t>
            </w:r>
          </w:p>
        </w:tc>
        <w:tc>
          <w:tcPr>
            <w:tcW w:w="5958" w:type="dxa"/>
          </w:tcPr>
          <w:p w14:paraId="21860D45" w14:textId="5D8519BC" w:rsidR="00A13279" w:rsidRPr="00EF524D" w:rsidRDefault="00A13279" w:rsidP="00A13279">
            <w:pPr>
              <w:adjustRightInd w:val="0"/>
              <w:snapToGrid w:val="0"/>
              <w:spacing w:before="60" w:after="60"/>
              <w:jc w:val="left"/>
              <w:rPr>
                <w:kern w:val="22"/>
                <w:szCs w:val="22"/>
              </w:rPr>
            </w:pPr>
            <w:r w:rsidRPr="00EF524D">
              <w:t xml:space="preserve">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w:t>
            </w:r>
            <w:proofErr w:type="spellStart"/>
            <w:r w:rsidRPr="00EF524D">
              <w:t>ecosistémicos</w:t>
            </w:r>
            <w:proofErr w:type="spellEnd"/>
            <w:r w:rsidRPr="00EF524D">
              <w:t>, resiliencia y beneficios para la biodiversidad. (</w:t>
            </w:r>
            <w:proofErr w:type="spellStart"/>
            <w:r w:rsidRPr="00EF524D">
              <w:t>UNEP</w:t>
            </w:r>
            <w:proofErr w:type="spellEnd"/>
            <w:r w:rsidRPr="00EF524D">
              <w:t xml:space="preserve">/EA.5/Res.5,  </w:t>
            </w:r>
            <w:hyperlink r:id="rId38" w:history="1">
              <w:r w:rsidR="00D73CC7" w:rsidRPr="00EF524D">
                <w:rPr>
                  <w:rStyle w:val="Hyperlink"/>
                  <w:sz w:val="22"/>
                  <w:szCs w:val="22"/>
                </w:rPr>
                <w:t>https://wedocs.unep.org/bitstream/handle/20.500.11822/39867/NATURE-BASED%20SOLUTIONS%20FOR%20SUPPORTING%20SUSTAINABLE%20DEVELOPMENT.Spanish.pdf?sequence=1&amp;isAllowed=y%20</w:t>
              </w:r>
            </w:hyperlink>
            <w:r w:rsidRPr="00EF524D">
              <w:t>)</w:t>
            </w:r>
          </w:p>
        </w:tc>
        <w:tc>
          <w:tcPr>
            <w:tcW w:w="1530" w:type="dxa"/>
          </w:tcPr>
          <w:p w14:paraId="2EB7D11B" w14:textId="77777777" w:rsidR="00A13279" w:rsidRPr="00EF524D" w:rsidRDefault="00A13279" w:rsidP="00A13279">
            <w:pPr>
              <w:adjustRightInd w:val="0"/>
              <w:snapToGrid w:val="0"/>
              <w:spacing w:before="60" w:after="60"/>
              <w:jc w:val="left"/>
              <w:rPr>
                <w:kern w:val="22"/>
                <w:szCs w:val="22"/>
              </w:rPr>
            </w:pPr>
            <w:r w:rsidRPr="00EF524D">
              <w:t>Meta 8</w:t>
            </w:r>
          </w:p>
        </w:tc>
      </w:tr>
      <w:tr w:rsidR="005D6E0B" w:rsidRPr="00EF524D" w14:paraId="0CE49D39" w14:textId="77777777" w:rsidTr="00434B1E">
        <w:tc>
          <w:tcPr>
            <w:tcW w:w="2137" w:type="dxa"/>
          </w:tcPr>
          <w:p w14:paraId="590B50A9" w14:textId="77777777" w:rsidR="005D6E0B" w:rsidRPr="00EF524D" w:rsidRDefault="005D6E0B" w:rsidP="00434B1E">
            <w:pPr>
              <w:adjustRightInd w:val="0"/>
              <w:snapToGrid w:val="0"/>
              <w:spacing w:before="60" w:after="60"/>
              <w:jc w:val="left"/>
              <w:rPr>
                <w:kern w:val="22"/>
                <w:szCs w:val="22"/>
              </w:rPr>
            </w:pPr>
            <w:r w:rsidRPr="00EF524D">
              <w:t>Utilización consuetudinaria sostenible</w:t>
            </w:r>
          </w:p>
        </w:tc>
        <w:tc>
          <w:tcPr>
            <w:tcW w:w="5958" w:type="dxa"/>
          </w:tcPr>
          <w:p w14:paraId="22224EC5" w14:textId="77777777" w:rsidR="005D6E0B" w:rsidRPr="00EF524D" w:rsidRDefault="005D6E0B" w:rsidP="00434B1E">
            <w:pPr>
              <w:adjustRightInd w:val="0"/>
              <w:snapToGrid w:val="0"/>
              <w:spacing w:before="60" w:after="60"/>
              <w:rPr>
                <w:kern w:val="22"/>
                <w:szCs w:val="22"/>
              </w:rPr>
            </w:pPr>
            <w:r w:rsidRPr="00EF524D">
              <w:t>La utilización de los recursos biológicos, de conformidad con las prácticas culturales tradicionales que sean compatibles con los requisitos de la conservación o del uso sostenible.</w:t>
            </w:r>
          </w:p>
          <w:p w14:paraId="19349A36" w14:textId="29EB2BE4" w:rsidR="005D6E0B" w:rsidRPr="00EF524D" w:rsidRDefault="005D6E0B" w:rsidP="00434B1E">
            <w:pPr>
              <w:adjustRightInd w:val="0"/>
              <w:snapToGrid w:val="0"/>
              <w:spacing w:before="60" w:after="60"/>
              <w:rPr>
                <w:kern w:val="22"/>
                <w:szCs w:val="22"/>
              </w:rPr>
            </w:pPr>
            <w:r w:rsidRPr="00EF524D">
              <w:t>(</w:t>
            </w:r>
            <w:proofErr w:type="spellStart"/>
            <w:r w:rsidRPr="00EF524D">
              <w:t>CBD</w:t>
            </w:r>
            <w:proofErr w:type="spellEnd"/>
            <w:r w:rsidRPr="00EF524D">
              <w:t xml:space="preserve">, </w:t>
            </w:r>
            <w:hyperlink r:id="rId39" w:history="1">
              <w:r w:rsidRPr="00EF524D">
                <w:rPr>
                  <w:rStyle w:val="Hyperlink"/>
                  <w:sz w:val="22"/>
                  <w:szCs w:val="22"/>
                </w:rPr>
                <w:t>https://www.cbd.int/traditional/what.shtml</w:t>
              </w:r>
            </w:hyperlink>
            <w:r w:rsidRPr="00EF524D">
              <w:t>)</w:t>
            </w:r>
          </w:p>
        </w:tc>
        <w:tc>
          <w:tcPr>
            <w:tcW w:w="1530" w:type="dxa"/>
          </w:tcPr>
          <w:p w14:paraId="120CB767" w14:textId="77777777" w:rsidR="005D6E0B" w:rsidRPr="00EF524D" w:rsidRDefault="005D6E0B" w:rsidP="00434B1E">
            <w:pPr>
              <w:adjustRightInd w:val="0"/>
              <w:snapToGrid w:val="0"/>
              <w:spacing w:before="60" w:after="60"/>
              <w:jc w:val="left"/>
              <w:rPr>
                <w:kern w:val="22"/>
                <w:szCs w:val="22"/>
              </w:rPr>
            </w:pPr>
            <w:r w:rsidRPr="00EF524D">
              <w:t>Meta 9</w:t>
            </w:r>
          </w:p>
        </w:tc>
      </w:tr>
      <w:tr w:rsidR="005D6E0B" w:rsidRPr="00EF524D" w14:paraId="1C03F401" w14:textId="77777777" w:rsidTr="00434B1E">
        <w:tc>
          <w:tcPr>
            <w:tcW w:w="2137" w:type="dxa"/>
          </w:tcPr>
          <w:p w14:paraId="39704D07" w14:textId="77777777" w:rsidR="005D6E0B" w:rsidRPr="00EF524D" w:rsidRDefault="005D6E0B" w:rsidP="00434B1E">
            <w:pPr>
              <w:adjustRightInd w:val="0"/>
              <w:snapToGrid w:val="0"/>
              <w:spacing w:before="60" w:after="60"/>
              <w:jc w:val="left"/>
              <w:rPr>
                <w:kern w:val="22"/>
                <w:szCs w:val="22"/>
              </w:rPr>
            </w:pPr>
            <w:r w:rsidRPr="00EF524D">
              <w:t>Agricultura y acuicultura sostenible</w:t>
            </w:r>
          </w:p>
        </w:tc>
        <w:tc>
          <w:tcPr>
            <w:tcW w:w="5958" w:type="dxa"/>
          </w:tcPr>
          <w:p w14:paraId="2447DDA9" w14:textId="77777777" w:rsidR="005D6E0B" w:rsidRPr="00EF524D" w:rsidRDefault="005D6E0B" w:rsidP="00434B1E">
            <w:pPr>
              <w:adjustRightInd w:val="0"/>
              <w:snapToGrid w:val="0"/>
              <w:spacing w:before="60" w:after="60"/>
              <w:rPr>
                <w:kern w:val="22"/>
                <w:szCs w:val="22"/>
              </w:rPr>
            </w:pPr>
            <w:r w:rsidRPr="00EF524D">
              <w:t>La visión de la Organización de las Naciones Unidas para la Alimentación y la Agricultura en favor de una alimentación y una agricultura sostenibles se basa en que los alimentos son nutritivos y accesibles para todos y en que los recursos naturales se gestionan de tal forma que se preservan las funciones de los ecosistemas para responder a las necesidades humanas del presente y el futuro.</w:t>
            </w:r>
          </w:p>
          <w:p w14:paraId="740F673F" w14:textId="7DC98ACE" w:rsidR="005D6E0B" w:rsidRPr="00EF524D" w:rsidRDefault="005D6E0B" w:rsidP="00434B1E">
            <w:pPr>
              <w:adjustRightInd w:val="0"/>
              <w:snapToGrid w:val="0"/>
              <w:spacing w:before="60" w:after="60"/>
              <w:rPr>
                <w:kern w:val="22"/>
                <w:szCs w:val="22"/>
              </w:rPr>
            </w:pPr>
            <w:r w:rsidRPr="00EF524D">
              <w:t xml:space="preserve">(FAO, </w:t>
            </w:r>
            <w:hyperlink r:id="rId40" w:history="1">
              <w:r w:rsidRPr="00EF524D">
                <w:rPr>
                  <w:rStyle w:val="Hyperlink"/>
                  <w:sz w:val="22"/>
                  <w:szCs w:val="22"/>
                </w:rPr>
                <w:t>http://www.fao.org/sustainability/background/es/</w:t>
              </w:r>
            </w:hyperlink>
            <w:r w:rsidRPr="00EF524D">
              <w:t>)</w:t>
            </w:r>
          </w:p>
        </w:tc>
        <w:tc>
          <w:tcPr>
            <w:tcW w:w="1530" w:type="dxa"/>
          </w:tcPr>
          <w:p w14:paraId="0DF8C756" w14:textId="77777777" w:rsidR="005D6E0B" w:rsidRPr="00EF524D" w:rsidRDefault="005D6E0B" w:rsidP="00434B1E">
            <w:pPr>
              <w:adjustRightInd w:val="0"/>
              <w:snapToGrid w:val="0"/>
              <w:spacing w:before="60" w:after="60"/>
              <w:jc w:val="left"/>
              <w:rPr>
                <w:kern w:val="22"/>
                <w:szCs w:val="22"/>
              </w:rPr>
            </w:pPr>
            <w:r w:rsidRPr="00EF524D">
              <w:t xml:space="preserve">Meta 10 </w:t>
            </w:r>
          </w:p>
        </w:tc>
      </w:tr>
      <w:tr w:rsidR="005D6E0B" w:rsidRPr="00EF524D" w14:paraId="4B3ED185" w14:textId="77777777" w:rsidTr="00434B1E">
        <w:tc>
          <w:tcPr>
            <w:tcW w:w="2137" w:type="dxa"/>
          </w:tcPr>
          <w:p w14:paraId="5EB481F5" w14:textId="77777777" w:rsidR="005D6E0B" w:rsidRPr="00EF524D" w:rsidRDefault="005D6E0B" w:rsidP="00434B1E">
            <w:pPr>
              <w:adjustRightInd w:val="0"/>
              <w:snapToGrid w:val="0"/>
              <w:spacing w:before="60" w:after="60"/>
              <w:jc w:val="left"/>
              <w:rPr>
                <w:kern w:val="22"/>
                <w:szCs w:val="22"/>
              </w:rPr>
            </w:pPr>
            <w:r w:rsidRPr="00EF524D">
              <w:t xml:space="preserve">Silvicultura sostenible (gestión) </w:t>
            </w:r>
          </w:p>
        </w:tc>
        <w:tc>
          <w:tcPr>
            <w:tcW w:w="5958" w:type="dxa"/>
          </w:tcPr>
          <w:p w14:paraId="4DEA8BAA" w14:textId="77777777" w:rsidR="005D6E0B" w:rsidRPr="00EF524D" w:rsidRDefault="005D6E0B" w:rsidP="00434B1E">
            <w:pPr>
              <w:adjustRightInd w:val="0"/>
              <w:snapToGrid w:val="0"/>
              <w:spacing w:before="60" w:after="60"/>
              <w:rPr>
                <w:kern w:val="22"/>
                <w:szCs w:val="22"/>
              </w:rPr>
            </w:pPr>
            <w:r w:rsidRPr="00EF524D">
              <w:t xml:space="preserve">En su sentido más amplio, la gestión forestal sostenible abarca los aspectos administrativos, jurídicos, técnicos, económicos, sociales y ambientales del uso y conservación de los bosques. Implica diversos grados de intervención humana, que van desde acciones destinadas a salvaguardar y mantener los ecosistemas forestales y sus funciones hasta medidas que favorecen a determinadas especies o grupos de especies de valor social o económico para mejorar la producción de bienes y servicios.  Además de los productos forestales (que comprenden tanto bienes forestales madereros como no madereros), los bosques gestionados de forma sostenible proporcionan importantes servicios </w:t>
            </w:r>
            <w:proofErr w:type="spellStart"/>
            <w:r w:rsidRPr="00EF524D">
              <w:t>ecosistémicos</w:t>
            </w:r>
            <w:proofErr w:type="spellEnd"/>
            <w:r w:rsidRPr="00EF524D">
              <w:t xml:space="preserve">, como la captura del carbono, la </w:t>
            </w:r>
            <w:r w:rsidRPr="00EF524D">
              <w:lastRenderedPageBreak/>
              <w:t>conservación de la biodiversidad y la protección de los recursos hídricos.</w:t>
            </w:r>
          </w:p>
          <w:p w14:paraId="39FCD5AB" w14:textId="01A7B6E8" w:rsidR="005D6E0B" w:rsidRPr="00EF524D" w:rsidRDefault="005D6E0B" w:rsidP="00434B1E">
            <w:pPr>
              <w:adjustRightInd w:val="0"/>
              <w:snapToGrid w:val="0"/>
              <w:spacing w:before="60" w:after="60"/>
              <w:rPr>
                <w:kern w:val="22"/>
                <w:szCs w:val="22"/>
              </w:rPr>
            </w:pPr>
            <w:r w:rsidRPr="00EF524D">
              <w:t xml:space="preserve">(FAO, </w:t>
            </w:r>
            <w:hyperlink r:id="rId41" w:history="1">
              <w:r w:rsidRPr="00EF524D">
                <w:rPr>
                  <w:rStyle w:val="Hyperlink"/>
                  <w:sz w:val="22"/>
                  <w:szCs w:val="22"/>
                </w:rPr>
                <w:t>https://www.fao.org/sustainable-forests-management/es/</w:t>
              </w:r>
            </w:hyperlink>
            <w:r w:rsidRPr="00EF524D">
              <w:t>)</w:t>
            </w:r>
          </w:p>
        </w:tc>
        <w:tc>
          <w:tcPr>
            <w:tcW w:w="1530" w:type="dxa"/>
          </w:tcPr>
          <w:p w14:paraId="339DE3F4" w14:textId="77777777" w:rsidR="005D6E0B" w:rsidRPr="00EF524D" w:rsidRDefault="005D6E0B" w:rsidP="00434B1E">
            <w:pPr>
              <w:adjustRightInd w:val="0"/>
              <w:snapToGrid w:val="0"/>
              <w:spacing w:before="60" w:after="60"/>
              <w:jc w:val="left"/>
              <w:rPr>
                <w:kern w:val="22"/>
                <w:szCs w:val="22"/>
              </w:rPr>
            </w:pPr>
            <w:r w:rsidRPr="00EF524D">
              <w:lastRenderedPageBreak/>
              <w:t>Meta 10</w:t>
            </w:r>
          </w:p>
        </w:tc>
      </w:tr>
      <w:tr w:rsidR="005D6E0B" w:rsidRPr="00EF524D" w14:paraId="4C6FAF85" w14:textId="77777777" w:rsidTr="00434B1E">
        <w:tc>
          <w:tcPr>
            <w:tcW w:w="2137" w:type="dxa"/>
          </w:tcPr>
          <w:p w14:paraId="43F8B8E7" w14:textId="77777777" w:rsidR="005D6E0B" w:rsidRPr="00EF524D" w:rsidRDefault="005D6E0B" w:rsidP="00434B1E">
            <w:pPr>
              <w:adjustRightInd w:val="0"/>
              <w:snapToGrid w:val="0"/>
              <w:spacing w:before="60" w:after="60"/>
              <w:jc w:val="left"/>
              <w:rPr>
                <w:kern w:val="22"/>
                <w:szCs w:val="22"/>
              </w:rPr>
            </w:pPr>
            <w:r w:rsidRPr="00EF524D">
              <w:t>Espacios verdes y azules</w:t>
            </w:r>
          </w:p>
        </w:tc>
        <w:tc>
          <w:tcPr>
            <w:tcW w:w="5958" w:type="dxa"/>
          </w:tcPr>
          <w:p w14:paraId="37DA4ABD" w14:textId="77777777" w:rsidR="005D6E0B" w:rsidRPr="00EF524D" w:rsidRDefault="005D6E0B" w:rsidP="00434B1E">
            <w:pPr>
              <w:adjustRightInd w:val="0"/>
              <w:snapToGrid w:val="0"/>
              <w:spacing w:before="60" w:after="60"/>
              <w:rPr>
                <w:kern w:val="22"/>
                <w:szCs w:val="22"/>
              </w:rPr>
            </w:pPr>
            <w:r w:rsidRPr="00EF524D">
              <w:t>Zonas de vegetación, aguas interiores y costeras, que por lo general se encuentran en zonas urbanas o cerca de estas, en particular techos y paredes verdes, y otro tipo de infraestructura verde. Dichos espacios pueden ofrecer una serie de efectos positivos en el bienestar físico y mental humano y brindar oportunidades para volver a conectarse con la naturaleza. Los espacios verdes y azules ofrecen también importantes hábitats para las especies, mejoran la conectividad en los hábitats, aportan servicios de los ecosistemas y ayudan a mediar en fenómenos extremos, si se gestionan con dichos objetivos en mente.</w:t>
            </w:r>
          </w:p>
        </w:tc>
        <w:tc>
          <w:tcPr>
            <w:tcW w:w="1530" w:type="dxa"/>
          </w:tcPr>
          <w:p w14:paraId="4C71FFD0" w14:textId="77777777" w:rsidR="005D6E0B" w:rsidRPr="00EF524D" w:rsidRDefault="005D6E0B" w:rsidP="00434B1E">
            <w:pPr>
              <w:adjustRightInd w:val="0"/>
              <w:snapToGrid w:val="0"/>
              <w:spacing w:before="60" w:after="60"/>
              <w:jc w:val="left"/>
              <w:rPr>
                <w:kern w:val="22"/>
                <w:szCs w:val="22"/>
              </w:rPr>
            </w:pPr>
            <w:r w:rsidRPr="00EF524D">
              <w:t>Meta 12</w:t>
            </w:r>
          </w:p>
        </w:tc>
      </w:tr>
      <w:tr w:rsidR="005D6E0B" w:rsidRPr="00EF524D" w14:paraId="1B5B5479" w14:textId="77777777" w:rsidTr="00434B1E">
        <w:tc>
          <w:tcPr>
            <w:tcW w:w="2137" w:type="dxa"/>
          </w:tcPr>
          <w:p w14:paraId="73AD5CCD" w14:textId="77777777" w:rsidR="005D6E0B" w:rsidRPr="00EF524D" w:rsidRDefault="005D6E0B" w:rsidP="00434B1E">
            <w:pPr>
              <w:adjustRightInd w:val="0"/>
              <w:snapToGrid w:val="0"/>
              <w:spacing w:before="60" w:after="60"/>
              <w:jc w:val="left"/>
              <w:rPr>
                <w:kern w:val="22"/>
                <w:szCs w:val="22"/>
              </w:rPr>
            </w:pPr>
            <w:r w:rsidRPr="00EF524D">
              <w:t>Flujos financieros armonizados con los valores de la diversidad biológica</w:t>
            </w:r>
          </w:p>
        </w:tc>
        <w:tc>
          <w:tcPr>
            <w:tcW w:w="5958" w:type="dxa"/>
          </w:tcPr>
          <w:p w14:paraId="5CCE1C5B" w14:textId="77777777" w:rsidR="005D6E0B" w:rsidRPr="00EF524D" w:rsidRDefault="005D6E0B" w:rsidP="00434B1E">
            <w:pPr>
              <w:adjustRightInd w:val="0"/>
              <w:snapToGrid w:val="0"/>
              <w:spacing w:before="60" w:after="60"/>
              <w:rPr>
                <w:kern w:val="22"/>
                <w:szCs w:val="22"/>
              </w:rPr>
            </w:pPr>
            <w:r w:rsidRPr="00EF524D">
              <w:t>“Armonizar los flujos” significa encauzar las inversiones financieras, tanto públicas como privadas, hacia las actividades económicas que mejoran las existencias de activos naturales y estimulan el consumo y la utilización sostenible.</w:t>
            </w:r>
          </w:p>
          <w:p w14:paraId="6A22C0DF" w14:textId="55034C2C" w:rsidR="005D6E0B" w:rsidRPr="00EF524D" w:rsidRDefault="005D6E0B" w:rsidP="00434B1E">
            <w:pPr>
              <w:adjustRightInd w:val="0"/>
              <w:snapToGrid w:val="0"/>
              <w:spacing w:before="60" w:after="60"/>
              <w:rPr>
                <w:kern w:val="22"/>
                <w:szCs w:val="22"/>
              </w:rPr>
            </w:pPr>
            <w:r w:rsidRPr="00EF524D">
              <w:t>(</w:t>
            </w:r>
            <w:proofErr w:type="spellStart"/>
            <w:r w:rsidRPr="00EF524D">
              <w:t>CBD</w:t>
            </w:r>
            <w:proofErr w:type="spellEnd"/>
            <w:r w:rsidRPr="00EF524D">
              <w:t xml:space="preserve">, </w:t>
            </w:r>
            <w:hyperlink r:id="rId42" w:history="1">
              <w:r w:rsidRPr="00EF524D">
                <w:rPr>
                  <w:rStyle w:val="Hyperlink"/>
                  <w:sz w:val="22"/>
                  <w:szCs w:val="22"/>
                </w:rPr>
                <w:t>https://www.cbd.int/doc/c/a6f8/8ccb/a7cb2a88bd13e86cfc59901a/roundtable-b-finance-en.pdf</w:t>
              </w:r>
            </w:hyperlink>
            <w:r w:rsidRPr="00EF524D">
              <w:t>)</w:t>
            </w:r>
          </w:p>
        </w:tc>
        <w:tc>
          <w:tcPr>
            <w:tcW w:w="1530" w:type="dxa"/>
          </w:tcPr>
          <w:p w14:paraId="524E27D7" w14:textId="77777777" w:rsidR="005D6E0B" w:rsidRPr="00EF524D" w:rsidRDefault="005D6E0B" w:rsidP="00434B1E">
            <w:pPr>
              <w:adjustRightInd w:val="0"/>
              <w:snapToGrid w:val="0"/>
              <w:spacing w:before="60" w:after="60"/>
              <w:rPr>
                <w:kern w:val="22"/>
                <w:szCs w:val="22"/>
              </w:rPr>
            </w:pPr>
            <w:r w:rsidRPr="00EF524D">
              <w:t>Meta 14</w:t>
            </w:r>
          </w:p>
        </w:tc>
      </w:tr>
      <w:tr w:rsidR="005D6E0B" w:rsidRPr="00EF524D" w14:paraId="13DE9823" w14:textId="77777777" w:rsidTr="00434B1E">
        <w:tc>
          <w:tcPr>
            <w:tcW w:w="2137" w:type="dxa"/>
          </w:tcPr>
          <w:p w14:paraId="19C478FB" w14:textId="77777777" w:rsidR="005D6E0B" w:rsidRPr="00EF524D" w:rsidRDefault="005D6E0B" w:rsidP="00434B1E">
            <w:pPr>
              <w:adjustRightInd w:val="0"/>
              <w:snapToGrid w:val="0"/>
              <w:spacing w:before="60" w:after="60"/>
              <w:jc w:val="left"/>
              <w:rPr>
                <w:kern w:val="22"/>
                <w:szCs w:val="22"/>
              </w:rPr>
            </w:pPr>
            <w:r w:rsidRPr="00EF524D">
              <w:t>Valores de diversidad biológica</w:t>
            </w:r>
          </w:p>
        </w:tc>
        <w:tc>
          <w:tcPr>
            <w:tcW w:w="5958" w:type="dxa"/>
          </w:tcPr>
          <w:p w14:paraId="72C59BA8" w14:textId="77777777" w:rsidR="005D6E0B" w:rsidRPr="00EF524D" w:rsidRDefault="005D6E0B" w:rsidP="00434B1E">
            <w:pPr>
              <w:adjustRightInd w:val="0"/>
              <w:snapToGrid w:val="0"/>
              <w:spacing w:before="60" w:after="60"/>
              <w:rPr>
                <w:kern w:val="22"/>
                <w:szCs w:val="22"/>
              </w:rPr>
            </w:pPr>
            <w:r w:rsidRPr="00EF524D">
              <w:t>Los valores de diversidad biológica incluyen diversas consideraciones desde una perspectiva ecológica, genética, económica, cultural, social, científica, educativa, recreativa, estética e intrínseca. La valoración y los valores de diversidad biológica requieren el reconocimiento de un amplio abanico de visiones del mundo y de dimensiones de valor plurales en cuanto al significado y la importancia de la naturaleza asociados a la calidad de la vida humana y su interdependencia en función de perspectivas biofísicas, socioculturales, económicas, sanitarias u holísticas.</w:t>
            </w:r>
          </w:p>
          <w:p w14:paraId="2161F28D" w14:textId="393B212A" w:rsidR="000D2350" w:rsidRPr="00EF524D" w:rsidRDefault="000D2350" w:rsidP="0012663D">
            <w:pPr>
              <w:adjustRightInd w:val="0"/>
              <w:snapToGrid w:val="0"/>
              <w:spacing w:before="60" w:after="60"/>
              <w:jc w:val="left"/>
              <w:rPr>
                <w:kern w:val="22"/>
                <w:szCs w:val="22"/>
              </w:rPr>
            </w:pPr>
            <w:r w:rsidRPr="00EF524D">
              <w:t>(para una definición de sistemas de valores, véase el Glosario de la IPBES, https://zenodo.org/record/5657079#.Yz8p-bYpBZU)</w:t>
            </w:r>
          </w:p>
        </w:tc>
        <w:tc>
          <w:tcPr>
            <w:tcW w:w="1530" w:type="dxa"/>
          </w:tcPr>
          <w:p w14:paraId="45A2DBFF" w14:textId="77777777" w:rsidR="005D6E0B" w:rsidRPr="00EF524D" w:rsidRDefault="005D6E0B" w:rsidP="00434B1E">
            <w:pPr>
              <w:adjustRightInd w:val="0"/>
              <w:snapToGrid w:val="0"/>
              <w:spacing w:before="60" w:after="60"/>
              <w:jc w:val="left"/>
              <w:rPr>
                <w:kern w:val="22"/>
                <w:szCs w:val="22"/>
              </w:rPr>
            </w:pPr>
            <w:r w:rsidRPr="00EF524D">
              <w:t>Meta 14</w:t>
            </w:r>
          </w:p>
        </w:tc>
      </w:tr>
      <w:tr w:rsidR="00D72F03" w:rsidRPr="00EF524D" w14:paraId="40081619" w14:textId="77777777" w:rsidTr="00434B1E">
        <w:tc>
          <w:tcPr>
            <w:tcW w:w="2137" w:type="dxa"/>
          </w:tcPr>
          <w:p w14:paraId="5D7F29AA" w14:textId="77777777" w:rsidR="00D72F03" w:rsidRPr="00EF524D" w:rsidRDefault="00D72F03" w:rsidP="00434B1E">
            <w:pPr>
              <w:adjustRightInd w:val="0"/>
              <w:snapToGrid w:val="0"/>
              <w:spacing w:before="60" w:after="60"/>
              <w:jc w:val="left"/>
              <w:rPr>
                <w:kern w:val="22"/>
                <w:szCs w:val="22"/>
              </w:rPr>
            </w:pPr>
            <w:r w:rsidRPr="00EF524D">
              <w:t>Dependencias e impactos en la diversidad biológica</w:t>
            </w:r>
          </w:p>
        </w:tc>
        <w:tc>
          <w:tcPr>
            <w:tcW w:w="5958" w:type="dxa"/>
          </w:tcPr>
          <w:p w14:paraId="726E4C60" w14:textId="77777777" w:rsidR="00C51D16" w:rsidRPr="00EF524D" w:rsidRDefault="00C51D16" w:rsidP="00434B1E">
            <w:pPr>
              <w:adjustRightInd w:val="0"/>
              <w:snapToGrid w:val="0"/>
              <w:spacing w:before="60" w:after="60"/>
              <w:rPr>
                <w:kern w:val="22"/>
                <w:szCs w:val="22"/>
              </w:rPr>
            </w:pPr>
            <w:r w:rsidRPr="00EF524D">
              <w:t>Impactos en la diversidad biológica: contribuciones positivas o negativas de una empresa u otro agente hacia el estado de la naturaleza, en particular la contaminación del aire, el agua, la tierra; la fragmentación o perturbación de los ecosistemas y hábitats para las especies [humanas y] no humanas; la alteración de los regímenes de los ecosistemas.</w:t>
            </w:r>
          </w:p>
          <w:p w14:paraId="7DEC2549" w14:textId="368B169F" w:rsidR="00C51D16" w:rsidRPr="00EF524D" w:rsidRDefault="00C51D16" w:rsidP="006A41E5">
            <w:pPr>
              <w:adjustRightInd w:val="0"/>
              <w:snapToGrid w:val="0"/>
              <w:spacing w:before="60"/>
              <w:rPr>
                <w:kern w:val="22"/>
                <w:szCs w:val="22"/>
              </w:rPr>
            </w:pPr>
            <w:r w:rsidRPr="00EF524D">
              <w:t xml:space="preserve">Dependencias de la diversidad biológica: aspectos de las contribuciones de la naturaleza a las personas [servicios de los ecosistemas] de las que una persona u organización depende para su funcionamiento, entre otras cosas el flujo hídrico y la regulación de la calidad; la regulación relativa a posibles peligros, </w:t>
            </w:r>
            <w:r w:rsidR="003B6816" w:rsidRPr="00EF524D">
              <w:t>como</w:t>
            </w:r>
            <w:r w:rsidRPr="00EF524D">
              <w:t xml:space="preserve"> incendios e inundaciones; la polinización; el secuestro de carbono.</w:t>
            </w:r>
          </w:p>
          <w:p w14:paraId="675F53DC" w14:textId="1C43F5A1" w:rsidR="00D72F03" w:rsidRPr="00EF524D" w:rsidRDefault="00C51D16" w:rsidP="00434B1E">
            <w:pPr>
              <w:adjustRightInd w:val="0"/>
              <w:snapToGrid w:val="0"/>
              <w:spacing w:after="60"/>
              <w:jc w:val="left"/>
              <w:rPr>
                <w:kern w:val="22"/>
                <w:szCs w:val="22"/>
              </w:rPr>
            </w:pPr>
            <w:r w:rsidRPr="00EF524D">
              <w:t>(</w:t>
            </w:r>
            <w:proofErr w:type="spellStart"/>
            <w:r w:rsidRPr="00EF524D">
              <w:rPr>
                <w:i/>
                <w:iCs/>
                <w:szCs w:val="22"/>
              </w:rPr>
              <w:t>Science-based</w:t>
            </w:r>
            <w:proofErr w:type="spellEnd"/>
            <w:r w:rsidRPr="00EF524D">
              <w:rPr>
                <w:i/>
                <w:iCs/>
                <w:szCs w:val="22"/>
              </w:rPr>
              <w:t xml:space="preserve"> Targets </w:t>
            </w:r>
            <w:proofErr w:type="spellStart"/>
            <w:r w:rsidRPr="00EF524D">
              <w:rPr>
                <w:i/>
                <w:iCs/>
                <w:szCs w:val="22"/>
              </w:rPr>
              <w:t>for</w:t>
            </w:r>
            <w:proofErr w:type="spellEnd"/>
            <w:r w:rsidRPr="00EF524D">
              <w:rPr>
                <w:i/>
                <w:iCs/>
                <w:szCs w:val="22"/>
              </w:rPr>
              <w:t xml:space="preserve"> </w:t>
            </w:r>
            <w:proofErr w:type="spellStart"/>
            <w:r w:rsidRPr="00EF524D">
              <w:rPr>
                <w:i/>
                <w:iCs/>
                <w:szCs w:val="22"/>
              </w:rPr>
              <w:t>Nature</w:t>
            </w:r>
            <w:proofErr w:type="spellEnd"/>
            <w:r w:rsidRPr="00EF524D">
              <w:t xml:space="preserve"> (2020): </w:t>
            </w:r>
            <w:proofErr w:type="spellStart"/>
            <w:r w:rsidRPr="00EF524D">
              <w:rPr>
                <w:i/>
                <w:iCs/>
                <w:szCs w:val="22"/>
              </w:rPr>
              <w:t>Initial</w:t>
            </w:r>
            <w:proofErr w:type="spellEnd"/>
            <w:r w:rsidRPr="00EF524D">
              <w:rPr>
                <w:i/>
                <w:iCs/>
                <w:szCs w:val="22"/>
              </w:rPr>
              <w:t xml:space="preserve"> </w:t>
            </w:r>
            <w:proofErr w:type="spellStart"/>
            <w:r w:rsidRPr="00EF524D">
              <w:rPr>
                <w:i/>
                <w:iCs/>
                <w:szCs w:val="22"/>
              </w:rPr>
              <w:t>Guidance</w:t>
            </w:r>
            <w:proofErr w:type="spellEnd"/>
            <w:r w:rsidRPr="00EF524D">
              <w:rPr>
                <w:i/>
                <w:iCs/>
                <w:szCs w:val="22"/>
              </w:rPr>
              <w:t xml:space="preserve"> </w:t>
            </w:r>
            <w:proofErr w:type="spellStart"/>
            <w:r w:rsidRPr="00EF524D">
              <w:rPr>
                <w:i/>
                <w:iCs/>
                <w:szCs w:val="22"/>
              </w:rPr>
              <w:t>for</w:t>
            </w:r>
            <w:proofErr w:type="spellEnd"/>
            <w:r w:rsidRPr="00EF524D">
              <w:rPr>
                <w:i/>
                <w:iCs/>
                <w:szCs w:val="22"/>
              </w:rPr>
              <w:t xml:space="preserve"> Business</w:t>
            </w:r>
            <w:r w:rsidRPr="00EF524D">
              <w:t>,</w:t>
            </w:r>
            <w:r w:rsidRPr="00EF524D">
              <w:br/>
            </w:r>
            <w:hyperlink r:id="rId43" w:history="1">
              <w:r w:rsidRPr="00EF524D">
                <w:rPr>
                  <w:rStyle w:val="Hyperlink"/>
                  <w:sz w:val="22"/>
                  <w:szCs w:val="22"/>
                </w:rPr>
                <w:t>https://sciencebasedtargetsnetwork.org/wp-content/uploads/2020/09/SBTN-initial-guidance-for-business.pdf</w:t>
              </w:r>
            </w:hyperlink>
            <w:r w:rsidRPr="00EF524D">
              <w:t>)</w:t>
            </w:r>
          </w:p>
        </w:tc>
        <w:tc>
          <w:tcPr>
            <w:tcW w:w="1530" w:type="dxa"/>
          </w:tcPr>
          <w:p w14:paraId="4F20FFF4" w14:textId="77777777" w:rsidR="00D72F03" w:rsidRPr="00EF524D" w:rsidRDefault="00D72F03" w:rsidP="00434B1E">
            <w:pPr>
              <w:adjustRightInd w:val="0"/>
              <w:snapToGrid w:val="0"/>
              <w:spacing w:before="60" w:after="60"/>
              <w:jc w:val="left"/>
              <w:rPr>
                <w:kern w:val="22"/>
                <w:szCs w:val="22"/>
              </w:rPr>
            </w:pPr>
            <w:r w:rsidRPr="00EF524D">
              <w:t>Meta 15</w:t>
            </w:r>
          </w:p>
        </w:tc>
      </w:tr>
      <w:tr w:rsidR="00A13279" w:rsidRPr="00EF524D" w14:paraId="166BA030" w14:textId="77777777" w:rsidTr="00320361">
        <w:tc>
          <w:tcPr>
            <w:tcW w:w="2137" w:type="dxa"/>
          </w:tcPr>
          <w:p w14:paraId="4FF5420A" w14:textId="77777777" w:rsidR="00A13279" w:rsidRPr="00EF524D" w:rsidRDefault="00A13279" w:rsidP="00A13279">
            <w:pPr>
              <w:adjustRightInd w:val="0"/>
              <w:snapToGrid w:val="0"/>
              <w:spacing w:before="60" w:after="60"/>
              <w:jc w:val="left"/>
              <w:rPr>
                <w:kern w:val="22"/>
                <w:szCs w:val="22"/>
              </w:rPr>
            </w:pPr>
            <w:r w:rsidRPr="00EF524D">
              <w:lastRenderedPageBreak/>
              <w:t>Evaluación del impacto ambiental</w:t>
            </w:r>
          </w:p>
        </w:tc>
        <w:tc>
          <w:tcPr>
            <w:tcW w:w="5958" w:type="dxa"/>
          </w:tcPr>
          <w:p w14:paraId="0EF36515" w14:textId="58A84CEC" w:rsidR="00A13279" w:rsidRPr="00EF524D" w:rsidRDefault="00A13279" w:rsidP="0012663D">
            <w:pPr>
              <w:adjustRightInd w:val="0"/>
              <w:snapToGrid w:val="0"/>
              <w:spacing w:before="60" w:after="60"/>
              <w:jc w:val="left"/>
              <w:rPr>
                <w:kern w:val="22"/>
                <w:szCs w:val="22"/>
              </w:rPr>
            </w:pPr>
            <w:r w:rsidRPr="00EF524D">
              <w:t>La evaluación del impacto ambiental es un proceso de evaluación de los posibles impactos ambientales de un proyecto o desarrollo propuesto, teniendo en cuenta los efectos socioeconómicos culturales y en la salud humana interrelacionados, tanto beneficiosos como perjudiciales. (</w:t>
            </w:r>
            <w:r w:rsidR="00DA27C6" w:rsidRPr="00EF524D">
              <w:t>CDB</w:t>
            </w:r>
            <w:r w:rsidRPr="00EF524D">
              <w:t xml:space="preserve">, </w:t>
            </w:r>
            <w:hyperlink r:id="rId44" w:history="1">
              <w:r w:rsidRPr="00EF524D">
                <w:rPr>
                  <w:rStyle w:val="Hyperlink"/>
                  <w:sz w:val="22"/>
                  <w:szCs w:val="22"/>
                </w:rPr>
                <w:t>https://www.cbd.int/decision/cop/?id=7181</w:t>
              </w:r>
            </w:hyperlink>
            <w:r w:rsidRPr="00EF524D">
              <w:t>)</w:t>
            </w:r>
          </w:p>
        </w:tc>
        <w:tc>
          <w:tcPr>
            <w:tcW w:w="1530" w:type="dxa"/>
          </w:tcPr>
          <w:p w14:paraId="2A799C3D" w14:textId="77777777" w:rsidR="00A13279" w:rsidRPr="00EF524D" w:rsidRDefault="00A13279" w:rsidP="00A13279">
            <w:pPr>
              <w:adjustRightInd w:val="0"/>
              <w:snapToGrid w:val="0"/>
              <w:spacing w:before="60" w:after="60"/>
              <w:jc w:val="left"/>
              <w:rPr>
                <w:kern w:val="22"/>
                <w:szCs w:val="22"/>
              </w:rPr>
            </w:pPr>
            <w:r w:rsidRPr="00EF524D">
              <w:t>Meta 15</w:t>
            </w:r>
          </w:p>
        </w:tc>
      </w:tr>
      <w:tr w:rsidR="00A13279" w:rsidRPr="00EF524D" w14:paraId="1B51E35D" w14:textId="77777777" w:rsidTr="00320361">
        <w:tc>
          <w:tcPr>
            <w:tcW w:w="2137" w:type="dxa"/>
          </w:tcPr>
          <w:p w14:paraId="39ED049D" w14:textId="77777777" w:rsidR="00A13279" w:rsidRPr="00EF524D" w:rsidRDefault="00A13279" w:rsidP="00A13279">
            <w:pPr>
              <w:adjustRightInd w:val="0"/>
              <w:snapToGrid w:val="0"/>
              <w:spacing w:before="60" w:after="60"/>
              <w:jc w:val="left"/>
              <w:rPr>
                <w:kern w:val="22"/>
                <w:szCs w:val="22"/>
              </w:rPr>
            </w:pPr>
            <w:r w:rsidRPr="00EF524D">
              <w:t>Evaluación ambiental estratégica</w:t>
            </w:r>
          </w:p>
        </w:tc>
        <w:tc>
          <w:tcPr>
            <w:tcW w:w="5958" w:type="dxa"/>
          </w:tcPr>
          <w:p w14:paraId="54D6D732" w14:textId="777FE8E4" w:rsidR="00A13279" w:rsidRPr="00EF524D" w:rsidRDefault="00A13279" w:rsidP="00A13279">
            <w:pPr>
              <w:adjustRightInd w:val="0"/>
              <w:snapToGrid w:val="0"/>
              <w:spacing w:before="60" w:after="60"/>
              <w:jc w:val="left"/>
              <w:rPr>
                <w:kern w:val="22"/>
                <w:szCs w:val="22"/>
              </w:rPr>
            </w:pPr>
            <w:r w:rsidRPr="00EF524D">
              <w:t>La evaluación ambiental estratégica es un proceso formalizado, sistemático y amplio para determinar y evaluar las consecuencias ambientales de las políticas, planes o programas propuestos para asegurar que se incorporen plenamente y se aborden adecuadamente en la etapa más temprana posible de la adopción de decisiones, simultáneamente con consideraciones económicas y sociales. La evaluación ambiental estratégica por su propia naturaleza abarca una gama de actividades o una esfera más amplias, y frecuentemente por un período de tiempo más prolongado que la evaluación del impacto ambiental correspondiente a un proyecto. La evaluación ambiental estratégica puede aplicarse a la totalidad de un sector (por ejemplo, la política nacional sobre energía) o a una zona geográfica (por ejemplo, en el contexto de un plan de desarrollo regional). (</w:t>
            </w:r>
            <w:r w:rsidR="00DA27C6" w:rsidRPr="00EF524D">
              <w:t>CDB</w:t>
            </w:r>
            <w:r w:rsidRPr="00EF524D">
              <w:t xml:space="preserve">, </w:t>
            </w:r>
            <w:hyperlink r:id="rId45" w:history="1">
              <w:r w:rsidRPr="00EF524D">
                <w:rPr>
                  <w:rStyle w:val="Hyperlink"/>
                  <w:sz w:val="22"/>
                  <w:szCs w:val="22"/>
                </w:rPr>
                <w:t>https://www.cbd.int/decision/cop/?id=7181</w:t>
              </w:r>
            </w:hyperlink>
            <w:r w:rsidRPr="00EF524D">
              <w:t>)</w:t>
            </w:r>
          </w:p>
        </w:tc>
        <w:tc>
          <w:tcPr>
            <w:tcW w:w="1530" w:type="dxa"/>
          </w:tcPr>
          <w:p w14:paraId="510A8309" w14:textId="77777777" w:rsidR="00A13279" w:rsidRPr="00EF524D" w:rsidRDefault="00A13279" w:rsidP="00A13279">
            <w:pPr>
              <w:adjustRightInd w:val="0"/>
              <w:snapToGrid w:val="0"/>
              <w:spacing w:before="60" w:after="60"/>
              <w:jc w:val="left"/>
              <w:rPr>
                <w:kern w:val="22"/>
                <w:szCs w:val="22"/>
              </w:rPr>
            </w:pPr>
            <w:r w:rsidRPr="00EF524D">
              <w:t>Meta 15</w:t>
            </w:r>
          </w:p>
        </w:tc>
      </w:tr>
      <w:tr w:rsidR="00D72F03" w:rsidRPr="00EF524D" w14:paraId="13748C8E" w14:textId="77777777" w:rsidTr="00434B1E">
        <w:tc>
          <w:tcPr>
            <w:tcW w:w="2137" w:type="dxa"/>
          </w:tcPr>
          <w:p w14:paraId="11448A7C" w14:textId="77777777" w:rsidR="00D72F03" w:rsidRPr="00EF524D" w:rsidRDefault="00D72F03" w:rsidP="00434B1E">
            <w:pPr>
              <w:adjustRightInd w:val="0"/>
              <w:snapToGrid w:val="0"/>
              <w:spacing w:before="60" w:after="60"/>
              <w:jc w:val="left"/>
              <w:rPr>
                <w:kern w:val="22"/>
                <w:szCs w:val="22"/>
              </w:rPr>
            </w:pPr>
            <w:r w:rsidRPr="00EF524D">
              <w:t>Decisiones responsables</w:t>
            </w:r>
          </w:p>
        </w:tc>
        <w:tc>
          <w:tcPr>
            <w:tcW w:w="5958" w:type="dxa"/>
          </w:tcPr>
          <w:p w14:paraId="0D8182E1" w14:textId="77777777" w:rsidR="00D72F03" w:rsidRPr="00EF524D" w:rsidRDefault="00D72F03" w:rsidP="00434B1E">
            <w:pPr>
              <w:adjustRightInd w:val="0"/>
              <w:snapToGrid w:val="0"/>
              <w:spacing w:before="60" w:after="60"/>
              <w:rPr>
                <w:kern w:val="22"/>
                <w:szCs w:val="22"/>
              </w:rPr>
            </w:pPr>
            <w:r w:rsidRPr="00EF524D">
              <w:t>Las decisiones responsables son fundamentales para eliminar las modalidades de consumo insostenibles, y empiezan por garantizar que las personas de todo el mundo comprendan y aprecien el valor de la diversidad biológica.</w:t>
            </w:r>
          </w:p>
        </w:tc>
        <w:tc>
          <w:tcPr>
            <w:tcW w:w="1530" w:type="dxa"/>
          </w:tcPr>
          <w:p w14:paraId="3C869E52" w14:textId="77777777" w:rsidR="00D72F03" w:rsidRPr="00EF524D" w:rsidRDefault="00D72F03" w:rsidP="00434B1E">
            <w:pPr>
              <w:adjustRightInd w:val="0"/>
              <w:snapToGrid w:val="0"/>
              <w:spacing w:before="60" w:after="60"/>
              <w:jc w:val="left"/>
              <w:rPr>
                <w:kern w:val="22"/>
                <w:szCs w:val="22"/>
              </w:rPr>
            </w:pPr>
            <w:r w:rsidRPr="00EF524D">
              <w:t>Meta 16</w:t>
            </w:r>
          </w:p>
        </w:tc>
      </w:tr>
      <w:tr w:rsidR="00D72F03" w:rsidRPr="00EF524D" w14:paraId="04F94189" w14:textId="77777777" w:rsidTr="00434B1E">
        <w:tc>
          <w:tcPr>
            <w:tcW w:w="2137" w:type="dxa"/>
          </w:tcPr>
          <w:p w14:paraId="7940D21D" w14:textId="77777777" w:rsidR="00D72F03" w:rsidRPr="00EF524D" w:rsidRDefault="00D72F03" w:rsidP="00434B1E">
            <w:pPr>
              <w:adjustRightInd w:val="0"/>
              <w:snapToGrid w:val="0"/>
              <w:spacing w:before="60" w:after="60"/>
              <w:jc w:val="left"/>
              <w:rPr>
                <w:kern w:val="22"/>
                <w:szCs w:val="22"/>
              </w:rPr>
            </w:pPr>
            <w:r w:rsidRPr="00EF524D">
              <w:t>Biotecnología</w:t>
            </w:r>
          </w:p>
        </w:tc>
        <w:tc>
          <w:tcPr>
            <w:tcW w:w="5958" w:type="dxa"/>
          </w:tcPr>
          <w:p w14:paraId="46C99B05" w14:textId="2569C8AF" w:rsidR="00D72F03" w:rsidRPr="00EF524D" w:rsidRDefault="00D72F03" w:rsidP="00434B1E">
            <w:pPr>
              <w:adjustRightInd w:val="0"/>
              <w:snapToGrid w:val="0"/>
              <w:spacing w:before="60" w:after="60"/>
              <w:rPr>
                <w:kern w:val="22"/>
                <w:szCs w:val="22"/>
              </w:rPr>
            </w:pPr>
            <w:r w:rsidRPr="00EF524D">
              <w:t>En virtud del Convenio, por “biotecnología” se entiende toda aplicación tecnológica que utilice sistemas biológicos y organismos vivos o sus derivados para la creación o modificación de productos o procesos para usos específicos (</w:t>
            </w:r>
            <w:hyperlink r:id="rId46" w:history="1">
              <w:r w:rsidRPr="00EF524D">
                <w:rPr>
                  <w:rStyle w:val="Hyperlink"/>
                  <w:sz w:val="22"/>
                  <w:szCs w:val="22"/>
                </w:rPr>
                <w:t>Convenio</w:t>
              </w:r>
            </w:hyperlink>
            <w:r w:rsidRPr="00EF524D">
              <w:rPr>
                <w:rStyle w:val="Hyperlink"/>
                <w:sz w:val="22"/>
                <w:szCs w:val="22"/>
              </w:rPr>
              <w:t>,</w:t>
            </w:r>
            <w:r w:rsidRPr="00EF524D">
              <w:t xml:space="preserve"> </w:t>
            </w:r>
            <w:r w:rsidRPr="00EF524D">
              <w:rPr>
                <w:rStyle w:val="Hyperlink"/>
                <w:sz w:val="22"/>
                <w:szCs w:val="22"/>
              </w:rPr>
              <w:t>Artículo 2</w:t>
            </w:r>
            <w:r w:rsidRPr="00EF524D">
              <w:t>). En virtud del Protocolo de Cartagena, por “biotecnología moderna” se entiende la aplicación de técnicas in vitro de ácido nucleico, incluidos el ácido desoxirribonucleico (ADN) recombinante y la inyección directa de ácido nucleico en células u orgánulos o la fusión de células más allá de la familia taxonómica, que superan las barreras fisiológicas naturales de la reproducción o de la recombinación y que no son técnicas utilizadas en la reproducción y selección tradicional. (</w:t>
            </w:r>
            <w:hyperlink r:id="rId47" w:history="1">
              <w:r w:rsidRPr="00EF524D">
                <w:rPr>
                  <w:rStyle w:val="Hyperlink"/>
                  <w:sz w:val="22"/>
                  <w:szCs w:val="22"/>
                </w:rPr>
                <w:t>Protocolo de Cartagena, artículo 3 i)</w:t>
              </w:r>
            </w:hyperlink>
            <w:r w:rsidRPr="00EF524D">
              <w:t>).</w:t>
            </w:r>
          </w:p>
        </w:tc>
        <w:tc>
          <w:tcPr>
            <w:tcW w:w="1530" w:type="dxa"/>
          </w:tcPr>
          <w:p w14:paraId="3F4CEBA7" w14:textId="77777777" w:rsidR="00D72F03" w:rsidRPr="00EF524D" w:rsidRDefault="00D72F03" w:rsidP="00434B1E">
            <w:pPr>
              <w:adjustRightInd w:val="0"/>
              <w:snapToGrid w:val="0"/>
              <w:spacing w:before="60" w:after="60"/>
              <w:jc w:val="left"/>
              <w:rPr>
                <w:kern w:val="22"/>
                <w:szCs w:val="22"/>
              </w:rPr>
            </w:pPr>
            <w:r w:rsidRPr="00EF524D">
              <w:t>Meta 17</w:t>
            </w:r>
          </w:p>
        </w:tc>
      </w:tr>
      <w:tr w:rsidR="00D72F03" w:rsidRPr="00EF524D" w14:paraId="3D83DFDA" w14:textId="77777777" w:rsidTr="00434B1E">
        <w:tc>
          <w:tcPr>
            <w:tcW w:w="2137" w:type="dxa"/>
          </w:tcPr>
          <w:p w14:paraId="6953CC68" w14:textId="3CA7D598" w:rsidR="00D72F03" w:rsidRPr="00EF524D" w:rsidRDefault="00D72F03" w:rsidP="00C14682">
            <w:pPr>
              <w:adjustRightInd w:val="0"/>
              <w:snapToGrid w:val="0"/>
              <w:spacing w:before="60" w:after="60"/>
              <w:jc w:val="left"/>
              <w:rPr>
                <w:kern w:val="22"/>
                <w:szCs w:val="22"/>
              </w:rPr>
            </w:pPr>
            <w:r w:rsidRPr="00EF524D">
              <w:t xml:space="preserve"> Sub</w:t>
            </w:r>
            <w:r w:rsidR="00C14682" w:rsidRPr="00EF524D">
              <w:t>sidio</w:t>
            </w:r>
            <w:r w:rsidRPr="00EF524D">
              <w:t>s</w:t>
            </w:r>
          </w:p>
        </w:tc>
        <w:tc>
          <w:tcPr>
            <w:tcW w:w="5958" w:type="dxa"/>
          </w:tcPr>
          <w:p w14:paraId="5F68F4A4" w14:textId="2B480835" w:rsidR="00291F57" w:rsidRPr="00EF524D" w:rsidRDefault="00291F57" w:rsidP="00434B1E">
            <w:pPr>
              <w:adjustRightInd w:val="0"/>
              <w:snapToGrid w:val="0"/>
              <w:spacing w:before="60" w:after="60"/>
              <w:jc w:val="left"/>
              <w:rPr>
                <w:kern w:val="22"/>
                <w:szCs w:val="22"/>
              </w:rPr>
            </w:pPr>
            <w:r w:rsidRPr="00EF524D">
              <w:t xml:space="preserve">La definición de </w:t>
            </w:r>
            <w:r w:rsidR="001D60BD" w:rsidRPr="00EF524D">
              <w:t>subsidios</w:t>
            </w:r>
            <w:r w:rsidRPr="00EF524D">
              <w:t xml:space="preserve"> incluye tres elementos básicos: i) una contribución financiera, ii) de un gobierno o de cualquier organismo público en el territorio de un Miembro y iii) que otorgue un beneficio. Para que exista </w:t>
            </w:r>
            <w:r w:rsidR="00E55A64" w:rsidRPr="00EF524D">
              <w:t>un subsidio</w:t>
            </w:r>
            <w:r w:rsidRPr="00EF524D">
              <w:t xml:space="preserve">, deben reunirse los tres elementos (OMC, </w:t>
            </w:r>
            <w:hyperlink r:id="rId48" w:history="1">
              <w:r w:rsidR="00D134B0" w:rsidRPr="00EF524D">
                <w:rPr>
                  <w:rStyle w:val="Hyperlink"/>
                  <w:sz w:val="22"/>
                </w:rPr>
                <w:t>https://www.wto.org/spanish/tratop_s/scm_s/subs_s.htm</w:t>
              </w:r>
            </w:hyperlink>
            <w:r w:rsidRPr="00EF524D">
              <w:t>)</w:t>
            </w:r>
          </w:p>
          <w:p w14:paraId="083CFA19" w14:textId="77777777" w:rsidR="00291F57" w:rsidRPr="00EF524D" w:rsidRDefault="00291F57" w:rsidP="00434B1E">
            <w:pPr>
              <w:adjustRightInd w:val="0"/>
              <w:snapToGrid w:val="0"/>
              <w:spacing w:before="60" w:after="60"/>
              <w:jc w:val="left"/>
              <w:rPr>
                <w:kern w:val="22"/>
                <w:szCs w:val="22"/>
              </w:rPr>
            </w:pPr>
          </w:p>
          <w:p w14:paraId="0C952CCC" w14:textId="39DF2429" w:rsidR="00D72F03" w:rsidRPr="00EF524D" w:rsidRDefault="001122BC" w:rsidP="00EB054A">
            <w:pPr>
              <w:adjustRightInd w:val="0"/>
              <w:snapToGrid w:val="0"/>
              <w:spacing w:before="60" w:after="60"/>
              <w:jc w:val="left"/>
              <w:rPr>
                <w:kern w:val="22"/>
                <w:szCs w:val="22"/>
              </w:rPr>
            </w:pPr>
            <w:r w:rsidRPr="00EF524D">
              <w:t xml:space="preserve">En general, </w:t>
            </w:r>
            <w:r w:rsidR="00EB054A" w:rsidRPr="00EF524D">
              <w:t>los subsidios</w:t>
            </w:r>
            <w:r w:rsidRPr="00EF524D">
              <w:t xml:space="preserve"> perjudiciales son el resultado de transferencias presupuestarias del gobierno que confieren una ventaja a los consumidores o a los productores, con el fin de complementar sus ingresos o reducir sus costos, pero que, al hacerlo, tienen inadvertidamente efectos adversos sobre el medio </w:t>
            </w:r>
            <w:r w:rsidRPr="00EF524D">
              <w:lastRenderedPageBreak/>
              <w:t xml:space="preserve">ambiente. </w:t>
            </w:r>
            <w:r w:rsidR="00024FDB" w:rsidRPr="00EF524D">
              <w:t>(</w:t>
            </w:r>
            <w:r w:rsidRPr="00EF524D">
              <w:t xml:space="preserve">Adaptado de OCDE, </w:t>
            </w:r>
            <w:hyperlink r:id="rId49" w:history="1">
              <w:r w:rsidRPr="00EF524D">
                <w:rPr>
                  <w:rStyle w:val="Hyperlink"/>
                  <w:sz w:val="22"/>
                  <w:szCs w:val="22"/>
                </w:rPr>
                <w:t>https://www.oecd-ilibrary.org/agriculture-and-food/environmentally-harmful-subsidies_9789264012059-en</w:t>
              </w:r>
            </w:hyperlink>
            <w:r w:rsidRPr="00EF524D">
              <w:t xml:space="preserve">) </w:t>
            </w:r>
          </w:p>
        </w:tc>
        <w:tc>
          <w:tcPr>
            <w:tcW w:w="1530" w:type="dxa"/>
          </w:tcPr>
          <w:p w14:paraId="51E446FB" w14:textId="77777777" w:rsidR="00D72F03" w:rsidRPr="00EF524D" w:rsidRDefault="00D72F03" w:rsidP="00434B1E">
            <w:pPr>
              <w:adjustRightInd w:val="0"/>
              <w:snapToGrid w:val="0"/>
              <w:spacing w:before="60" w:after="60"/>
              <w:jc w:val="left"/>
              <w:rPr>
                <w:kern w:val="22"/>
                <w:szCs w:val="22"/>
              </w:rPr>
            </w:pPr>
            <w:r w:rsidRPr="00EF524D">
              <w:lastRenderedPageBreak/>
              <w:t xml:space="preserve">Meta 18 </w:t>
            </w:r>
          </w:p>
        </w:tc>
      </w:tr>
      <w:tr w:rsidR="00A13279" w:rsidRPr="00EF524D" w14:paraId="571CAE23" w14:textId="77777777" w:rsidTr="00320361">
        <w:tc>
          <w:tcPr>
            <w:tcW w:w="2137" w:type="dxa"/>
          </w:tcPr>
          <w:p w14:paraId="0F0523C6" w14:textId="77777777" w:rsidR="00A13279" w:rsidRPr="00EF524D" w:rsidRDefault="00A13279" w:rsidP="00A13279">
            <w:pPr>
              <w:adjustRightInd w:val="0"/>
              <w:snapToGrid w:val="0"/>
              <w:spacing w:before="60" w:after="60"/>
              <w:jc w:val="left"/>
              <w:rPr>
                <w:kern w:val="22"/>
                <w:szCs w:val="22"/>
              </w:rPr>
            </w:pPr>
            <w:r w:rsidRPr="00EF524D">
              <w:t>Servicios de los ecosistemas</w:t>
            </w:r>
          </w:p>
        </w:tc>
        <w:tc>
          <w:tcPr>
            <w:tcW w:w="5958" w:type="dxa"/>
          </w:tcPr>
          <w:p w14:paraId="769CE3E6" w14:textId="66B27513" w:rsidR="00A13279" w:rsidRPr="00EF524D" w:rsidRDefault="00A13279" w:rsidP="003E10E9">
            <w:pPr>
              <w:adjustRightInd w:val="0"/>
              <w:snapToGrid w:val="0"/>
              <w:spacing w:before="60" w:after="60"/>
              <w:jc w:val="left"/>
              <w:rPr>
                <w:kern w:val="22"/>
                <w:szCs w:val="22"/>
              </w:rPr>
            </w:pPr>
            <w:r w:rsidRPr="00EF524D">
              <w:t xml:space="preserve">Beneficios que las personas obtienen de los ecosistemas. Según la </w:t>
            </w:r>
            <w:r w:rsidR="00C7473F" w:rsidRPr="00EF524D">
              <w:t>formulación</w:t>
            </w:r>
            <w:r w:rsidRPr="00EF524D">
              <w:t xml:space="preserve"> original que figuraba en la Evaluación de los Ecosistemas del Milenio, los servicios de los ecosistemas se dividían en servicios de apoyo, de regulación, de</w:t>
            </w:r>
            <w:r w:rsidR="00AE5D55" w:rsidRPr="00EF524D">
              <w:t xml:space="preserve"> </w:t>
            </w:r>
            <w:r w:rsidRPr="00EF524D">
              <w:t xml:space="preserve">aprovisionamiento y culturales. (Glosario de la IPBES - Informe de </w:t>
            </w:r>
            <w:r w:rsidR="003E10E9" w:rsidRPr="00EF524D">
              <w:t>evaluación mundial sobre la diversidad biológica y los servicios de los ecosistemas</w:t>
            </w:r>
            <w:r w:rsidRPr="00EF524D">
              <w:t xml:space="preserve">, </w:t>
            </w:r>
            <w:hyperlink r:id="rId50" w:history="1">
              <w:r w:rsidRPr="00EF524D">
                <w:rPr>
                  <w:rStyle w:val="Hyperlink"/>
                  <w:sz w:val="22"/>
                  <w:szCs w:val="22"/>
                </w:rPr>
                <w:t>https://zenodo.org/record/5657079#.YnQy2O3MJZU</w:t>
              </w:r>
              <w:r w:rsidRPr="00EF524D">
                <w:rPr>
                  <w:rStyle w:val="Hyperlink"/>
                  <w:color w:val="auto"/>
                  <w:sz w:val="22"/>
                  <w:szCs w:val="22"/>
                  <w:u w:val="none"/>
                </w:rPr>
                <w:t>)</w:t>
              </w:r>
            </w:hyperlink>
            <w:r w:rsidRPr="00EF524D">
              <w:t xml:space="preserve"> </w:t>
            </w:r>
          </w:p>
        </w:tc>
        <w:tc>
          <w:tcPr>
            <w:tcW w:w="1530" w:type="dxa"/>
          </w:tcPr>
          <w:p w14:paraId="7BDFE337" w14:textId="77777777" w:rsidR="00A13279" w:rsidRPr="00EF524D" w:rsidRDefault="00A13279" w:rsidP="00A13279">
            <w:pPr>
              <w:adjustRightInd w:val="0"/>
              <w:snapToGrid w:val="0"/>
              <w:spacing w:before="60" w:after="60"/>
              <w:jc w:val="left"/>
              <w:rPr>
                <w:kern w:val="22"/>
                <w:szCs w:val="22"/>
              </w:rPr>
            </w:pPr>
          </w:p>
        </w:tc>
      </w:tr>
      <w:tr w:rsidR="00A13279" w:rsidRPr="00EF524D" w14:paraId="05477595" w14:textId="77777777" w:rsidTr="00320361">
        <w:tc>
          <w:tcPr>
            <w:tcW w:w="2137" w:type="dxa"/>
          </w:tcPr>
          <w:p w14:paraId="025169FB" w14:textId="77777777" w:rsidR="00A13279" w:rsidRPr="00EF524D" w:rsidRDefault="00A13279" w:rsidP="00A13279">
            <w:pPr>
              <w:adjustRightInd w:val="0"/>
              <w:snapToGrid w:val="0"/>
              <w:spacing w:before="60" w:after="60"/>
              <w:jc w:val="left"/>
              <w:rPr>
                <w:kern w:val="22"/>
                <w:szCs w:val="22"/>
              </w:rPr>
            </w:pPr>
            <w:r w:rsidRPr="00EF524D">
              <w:t>Enfoque por ecosistemas</w:t>
            </w:r>
          </w:p>
        </w:tc>
        <w:tc>
          <w:tcPr>
            <w:tcW w:w="5958" w:type="dxa"/>
          </w:tcPr>
          <w:p w14:paraId="085B7FEE" w14:textId="4D96CAC6" w:rsidR="00A13279" w:rsidRPr="00EF524D" w:rsidRDefault="00A13279" w:rsidP="0012619C">
            <w:pPr>
              <w:adjustRightInd w:val="0"/>
              <w:snapToGrid w:val="0"/>
              <w:spacing w:before="60" w:after="60"/>
              <w:jc w:val="left"/>
              <w:rPr>
                <w:kern w:val="22"/>
                <w:szCs w:val="22"/>
              </w:rPr>
            </w:pPr>
            <w:r w:rsidRPr="00EF524D">
              <w:t>Una estrategia para la gestión integrada de la tierra, el agua y los recursos vivos que promueve la conservación y el uso sostenible de la diversidad biológica en forma equitativa. Un enfoque por ecosistemas se basa en la aplicación de metodologías científicas apropiadas que se concentran en niveles de organización</w:t>
            </w:r>
            <w:r w:rsidR="0012619C" w:rsidRPr="00EF524D">
              <w:t xml:space="preserve"> </w:t>
            </w:r>
            <w:r w:rsidRPr="00EF524D">
              <w:t>biológica que abarcan los procesos esenciales, las funciones y las interacciones entre los organismos y su medio ambiente. Reconoce que los seres humanos, con su diversidad cultural, son un componente integral de los ecosistemas. (</w:t>
            </w:r>
            <w:r w:rsidR="00F72D10" w:rsidRPr="00EF524D">
              <w:t>CDB</w:t>
            </w:r>
            <w:r w:rsidRPr="00EF524D">
              <w:t xml:space="preserve">, </w:t>
            </w:r>
            <w:hyperlink r:id="rId51" w:history="1">
              <w:r w:rsidRPr="00EF524D">
                <w:rPr>
                  <w:rStyle w:val="Hyperlink"/>
                  <w:sz w:val="22"/>
                  <w:szCs w:val="22"/>
                </w:rPr>
                <w:t>https://www.cbd.int/ecosystem/description.shtml</w:t>
              </w:r>
            </w:hyperlink>
            <w:r w:rsidRPr="00EF524D">
              <w:t>)</w:t>
            </w:r>
          </w:p>
        </w:tc>
        <w:tc>
          <w:tcPr>
            <w:tcW w:w="1530" w:type="dxa"/>
          </w:tcPr>
          <w:p w14:paraId="3947745A" w14:textId="77777777" w:rsidR="00A13279" w:rsidRPr="00EF524D" w:rsidRDefault="00A13279" w:rsidP="00A13279">
            <w:pPr>
              <w:adjustRightInd w:val="0"/>
              <w:snapToGrid w:val="0"/>
              <w:spacing w:before="60" w:after="60"/>
              <w:jc w:val="left"/>
              <w:rPr>
                <w:kern w:val="22"/>
                <w:szCs w:val="22"/>
              </w:rPr>
            </w:pPr>
          </w:p>
        </w:tc>
      </w:tr>
      <w:tr w:rsidR="00D72F03" w:rsidRPr="00EF524D" w14:paraId="548DA622" w14:textId="77777777" w:rsidTr="00434B1E">
        <w:tc>
          <w:tcPr>
            <w:tcW w:w="2137" w:type="dxa"/>
            <w:tcBorders>
              <w:top w:val="double" w:sz="4" w:space="0" w:color="auto"/>
            </w:tcBorders>
          </w:tcPr>
          <w:p w14:paraId="072F91C7" w14:textId="6A00D573" w:rsidR="00D72F03" w:rsidRPr="00EF524D" w:rsidRDefault="00D72F03" w:rsidP="00434B1E">
            <w:pPr>
              <w:adjustRightInd w:val="0"/>
              <w:snapToGrid w:val="0"/>
              <w:spacing w:before="60" w:after="60"/>
              <w:jc w:val="left"/>
              <w:rPr>
                <w:kern w:val="22"/>
                <w:szCs w:val="22"/>
              </w:rPr>
            </w:pPr>
            <w:r w:rsidRPr="00EF524D">
              <w:t>Valor de referencia</w:t>
            </w:r>
          </w:p>
        </w:tc>
        <w:tc>
          <w:tcPr>
            <w:tcW w:w="5958" w:type="dxa"/>
            <w:tcBorders>
              <w:top w:val="double" w:sz="4" w:space="0" w:color="auto"/>
            </w:tcBorders>
          </w:tcPr>
          <w:p w14:paraId="46F84221" w14:textId="77777777" w:rsidR="00D72F03" w:rsidRPr="00EF524D" w:rsidRDefault="00D72F03" w:rsidP="00434B1E">
            <w:pPr>
              <w:adjustRightInd w:val="0"/>
              <w:snapToGrid w:val="0"/>
              <w:spacing w:before="60" w:after="60"/>
              <w:rPr>
                <w:kern w:val="22"/>
                <w:szCs w:val="22"/>
              </w:rPr>
            </w:pPr>
            <w:r w:rsidRPr="00EF524D">
              <w:t>Un punto de referencia fijo que se utiliza a efectos de comparación.</w:t>
            </w:r>
          </w:p>
        </w:tc>
        <w:tc>
          <w:tcPr>
            <w:tcW w:w="1530" w:type="dxa"/>
            <w:tcBorders>
              <w:top w:val="double" w:sz="4" w:space="0" w:color="auto"/>
            </w:tcBorders>
          </w:tcPr>
          <w:p w14:paraId="3D0DC6BA" w14:textId="77777777" w:rsidR="00D72F03" w:rsidRPr="00EF524D" w:rsidRDefault="00D72F03" w:rsidP="00434B1E">
            <w:pPr>
              <w:adjustRightInd w:val="0"/>
              <w:snapToGrid w:val="0"/>
              <w:spacing w:before="60" w:after="60"/>
              <w:jc w:val="left"/>
              <w:rPr>
                <w:kern w:val="22"/>
                <w:szCs w:val="22"/>
              </w:rPr>
            </w:pPr>
            <w:r w:rsidRPr="00EF524D">
              <w:t>Marco de seguimiento</w:t>
            </w:r>
          </w:p>
        </w:tc>
      </w:tr>
      <w:tr w:rsidR="00D72F03" w:rsidRPr="00EF524D" w14:paraId="2F46ED39" w14:textId="77777777" w:rsidTr="00434B1E">
        <w:tc>
          <w:tcPr>
            <w:tcW w:w="2137" w:type="dxa"/>
          </w:tcPr>
          <w:p w14:paraId="592B5B04" w14:textId="77777777" w:rsidR="00D72F03" w:rsidRPr="00EF524D" w:rsidRDefault="00D72F03" w:rsidP="00434B1E">
            <w:pPr>
              <w:adjustRightInd w:val="0"/>
              <w:snapToGrid w:val="0"/>
              <w:spacing w:before="60" w:after="60"/>
              <w:jc w:val="left"/>
              <w:rPr>
                <w:kern w:val="22"/>
                <w:szCs w:val="22"/>
              </w:rPr>
            </w:pPr>
            <w:r w:rsidRPr="00EF524D">
              <w:t>Condición de referencia</w:t>
            </w:r>
          </w:p>
        </w:tc>
        <w:tc>
          <w:tcPr>
            <w:tcW w:w="5958" w:type="dxa"/>
          </w:tcPr>
          <w:p w14:paraId="6F4F7B2C" w14:textId="77777777" w:rsidR="00D72F03" w:rsidRPr="00EF524D" w:rsidRDefault="00D72F03" w:rsidP="00434B1E">
            <w:pPr>
              <w:adjustRightInd w:val="0"/>
              <w:snapToGrid w:val="0"/>
              <w:spacing w:before="60" w:after="60"/>
              <w:rPr>
                <w:kern w:val="22"/>
                <w:szCs w:val="22"/>
              </w:rPr>
            </w:pPr>
            <w:r w:rsidRPr="00EF524D">
              <w:t>Un punto de referencia para la condición ecológica, económica o social que describe el estado del sistema en cuestión. La condición de referencia puede estar asociada a un estado histórico en el pasado, o a un estado contemporáneo observado en una ubicación geográfica pertinente.</w:t>
            </w:r>
          </w:p>
        </w:tc>
        <w:tc>
          <w:tcPr>
            <w:tcW w:w="1530" w:type="dxa"/>
          </w:tcPr>
          <w:p w14:paraId="57353534" w14:textId="77777777" w:rsidR="00D72F03" w:rsidRPr="00EF524D" w:rsidRDefault="00D72F03" w:rsidP="00434B1E">
            <w:pPr>
              <w:adjustRightInd w:val="0"/>
              <w:snapToGrid w:val="0"/>
              <w:spacing w:before="60" w:after="60"/>
              <w:jc w:val="left"/>
              <w:rPr>
                <w:strike/>
                <w:kern w:val="22"/>
                <w:szCs w:val="22"/>
              </w:rPr>
            </w:pPr>
            <w:r w:rsidRPr="00EF524D">
              <w:t>Marco de seguimiento</w:t>
            </w:r>
          </w:p>
        </w:tc>
      </w:tr>
      <w:tr w:rsidR="00D72F03" w:rsidRPr="00EF524D" w14:paraId="73583A43" w14:textId="77777777" w:rsidTr="00434B1E">
        <w:tc>
          <w:tcPr>
            <w:tcW w:w="2137" w:type="dxa"/>
          </w:tcPr>
          <w:p w14:paraId="4F077BAC" w14:textId="77777777" w:rsidR="00D72F03" w:rsidRPr="00EF524D" w:rsidRDefault="00D72F03" w:rsidP="00434B1E">
            <w:pPr>
              <w:adjustRightInd w:val="0"/>
              <w:snapToGrid w:val="0"/>
              <w:spacing w:before="60" w:after="60"/>
              <w:jc w:val="left"/>
              <w:rPr>
                <w:kern w:val="22"/>
                <w:szCs w:val="22"/>
              </w:rPr>
            </w:pPr>
            <w:r w:rsidRPr="00EF524D">
              <w:t>Período de referencia</w:t>
            </w:r>
          </w:p>
        </w:tc>
        <w:tc>
          <w:tcPr>
            <w:tcW w:w="5958" w:type="dxa"/>
          </w:tcPr>
          <w:p w14:paraId="6D2058C3" w14:textId="77777777" w:rsidR="00D72F03" w:rsidRPr="00EF524D" w:rsidRDefault="00D72F03" w:rsidP="00434B1E">
            <w:pPr>
              <w:adjustRightInd w:val="0"/>
              <w:snapToGrid w:val="0"/>
              <w:spacing w:before="60" w:after="60"/>
              <w:rPr>
                <w:kern w:val="22"/>
                <w:szCs w:val="22"/>
              </w:rPr>
            </w:pPr>
            <w:r w:rsidRPr="00EF524D">
              <w:t>Un período histórico utilizado para identificar una condición de referencia específica.</w:t>
            </w:r>
          </w:p>
        </w:tc>
        <w:tc>
          <w:tcPr>
            <w:tcW w:w="1530" w:type="dxa"/>
          </w:tcPr>
          <w:p w14:paraId="0CFA2488" w14:textId="77777777" w:rsidR="00D72F03" w:rsidRPr="00EF524D" w:rsidRDefault="00D72F03" w:rsidP="00434B1E">
            <w:pPr>
              <w:adjustRightInd w:val="0"/>
              <w:snapToGrid w:val="0"/>
              <w:spacing w:before="60" w:after="60"/>
              <w:jc w:val="left"/>
              <w:rPr>
                <w:strike/>
                <w:kern w:val="22"/>
                <w:szCs w:val="22"/>
              </w:rPr>
            </w:pPr>
            <w:r w:rsidRPr="00EF524D">
              <w:t>Marco de seguimiento</w:t>
            </w:r>
          </w:p>
        </w:tc>
      </w:tr>
      <w:tr w:rsidR="00D72F03" w:rsidRPr="00EF524D" w14:paraId="5F509E98" w14:textId="77777777" w:rsidTr="00434B1E">
        <w:tc>
          <w:tcPr>
            <w:tcW w:w="2137" w:type="dxa"/>
          </w:tcPr>
          <w:p w14:paraId="1AC019C6" w14:textId="77777777" w:rsidR="00D72F03" w:rsidRPr="00EF524D" w:rsidRDefault="00D72F03" w:rsidP="00434B1E">
            <w:pPr>
              <w:adjustRightInd w:val="0"/>
              <w:snapToGrid w:val="0"/>
              <w:spacing w:before="60" w:after="60"/>
              <w:jc w:val="left"/>
              <w:rPr>
                <w:kern w:val="22"/>
                <w:szCs w:val="22"/>
              </w:rPr>
            </w:pPr>
            <w:r w:rsidRPr="00EF524D">
              <w:t>Período de presentación de informes de referencia</w:t>
            </w:r>
          </w:p>
        </w:tc>
        <w:tc>
          <w:tcPr>
            <w:tcW w:w="5958" w:type="dxa"/>
          </w:tcPr>
          <w:p w14:paraId="56A9771A" w14:textId="77777777" w:rsidR="00D72F03" w:rsidRPr="00EF524D" w:rsidRDefault="00D72F03" w:rsidP="00434B1E">
            <w:pPr>
              <w:adjustRightInd w:val="0"/>
              <w:snapToGrid w:val="0"/>
              <w:spacing w:before="60" w:after="60"/>
              <w:rPr>
                <w:kern w:val="22"/>
                <w:szCs w:val="22"/>
              </w:rPr>
            </w:pPr>
            <w:r w:rsidRPr="00EF524D">
              <w:t>Período utilizado como punto de partida para informar sobre los progresos en las metas y objetivos.</w:t>
            </w:r>
          </w:p>
        </w:tc>
        <w:tc>
          <w:tcPr>
            <w:tcW w:w="1530" w:type="dxa"/>
          </w:tcPr>
          <w:p w14:paraId="3E4B06CC" w14:textId="77777777" w:rsidR="00D72F03" w:rsidRPr="00EF524D" w:rsidRDefault="00D72F03" w:rsidP="00F72D10">
            <w:pPr>
              <w:adjustRightInd w:val="0"/>
              <w:snapToGrid w:val="0"/>
              <w:spacing w:before="60" w:after="60"/>
              <w:jc w:val="left"/>
              <w:rPr>
                <w:kern w:val="22"/>
                <w:szCs w:val="22"/>
              </w:rPr>
            </w:pPr>
            <w:r w:rsidRPr="00EF524D">
              <w:t>Marco de seguimiento</w:t>
            </w:r>
          </w:p>
        </w:tc>
      </w:tr>
      <w:tr w:rsidR="00D72F03" w:rsidRPr="00EF524D" w14:paraId="79E6EC1C" w14:textId="77777777" w:rsidTr="00434B1E">
        <w:tc>
          <w:tcPr>
            <w:tcW w:w="2137" w:type="dxa"/>
          </w:tcPr>
          <w:p w14:paraId="32E108EF" w14:textId="77777777" w:rsidR="00D72F03" w:rsidRPr="00EF524D" w:rsidRDefault="00D72F03" w:rsidP="00434B1E">
            <w:pPr>
              <w:adjustRightInd w:val="0"/>
              <w:snapToGrid w:val="0"/>
              <w:spacing w:before="60" w:after="60"/>
              <w:jc w:val="left"/>
              <w:rPr>
                <w:kern w:val="22"/>
                <w:szCs w:val="22"/>
              </w:rPr>
            </w:pPr>
            <w:r w:rsidRPr="00EF524D">
              <w:t>Indicadores de cabecera</w:t>
            </w:r>
          </w:p>
        </w:tc>
        <w:tc>
          <w:tcPr>
            <w:tcW w:w="5958" w:type="dxa"/>
          </w:tcPr>
          <w:p w14:paraId="7E2078E2" w14:textId="79134B50" w:rsidR="00D72F03" w:rsidRPr="00EF524D" w:rsidRDefault="00D72F03" w:rsidP="00B31E6F">
            <w:pPr>
              <w:adjustRightInd w:val="0"/>
              <w:snapToGrid w:val="0"/>
              <w:spacing w:before="60" w:after="60"/>
              <w:rPr>
                <w:kern w:val="22"/>
                <w:szCs w:val="22"/>
              </w:rPr>
            </w:pPr>
            <w:r w:rsidRPr="00EF524D">
              <w:t xml:space="preserve">Un conjunto mínimo de indicadores de alto nivel que reflejan el alcance general de los objetivos y metas del marco mundial de la diversidad biológica posterior a 2020 y que pueden utilizarse para la planificación y el seguimiento de los progresos, como se establece en la decisión 15/--. Son indicadores pertinentes en los planos nacional, regional y mundial [validados por las Partes]. Estos indicadores también podrían utilizarse con fines de comunicación. </w:t>
            </w:r>
          </w:p>
        </w:tc>
        <w:tc>
          <w:tcPr>
            <w:tcW w:w="1530" w:type="dxa"/>
          </w:tcPr>
          <w:p w14:paraId="3ECA81EB" w14:textId="77777777" w:rsidR="00D72F03" w:rsidRPr="00EF524D" w:rsidRDefault="00D72F03" w:rsidP="00434B1E">
            <w:pPr>
              <w:adjustRightInd w:val="0"/>
              <w:snapToGrid w:val="0"/>
              <w:spacing w:before="60" w:after="60"/>
              <w:jc w:val="left"/>
              <w:rPr>
                <w:strike/>
                <w:kern w:val="22"/>
                <w:szCs w:val="22"/>
              </w:rPr>
            </w:pPr>
            <w:r w:rsidRPr="00EF524D">
              <w:t>Marco de seguimiento</w:t>
            </w:r>
          </w:p>
        </w:tc>
      </w:tr>
      <w:tr w:rsidR="00D72F03" w:rsidRPr="00EF524D" w14:paraId="2469C83C" w14:textId="77777777" w:rsidTr="00434B1E">
        <w:tc>
          <w:tcPr>
            <w:tcW w:w="2137" w:type="dxa"/>
          </w:tcPr>
          <w:p w14:paraId="2AFCE2E9" w14:textId="77777777" w:rsidR="00D72F03" w:rsidRPr="00EF524D" w:rsidRDefault="00D72F03" w:rsidP="00434B1E">
            <w:pPr>
              <w:adjustRightInd w:val="0"/>
              <w:snapToGrid w:val="0"/>
              <w:spacing w:before="60" w:after="60"/>
              <w:jc w:val="left"/>
              <w:rPr>
                <w:kern w:val="22"/>
                <w:szCs w:val="22"/>
              </w:rPr>
            </w:pPr>
            <w:r w:rsidRPr="00EF524D">
              <w:t>Indicadores de componentes</w:t>
            </w:r>
          </w:p>
        </w:tc>
        <w:tc>
          <w:tcPr>
            <w:tcW w:w="5958" w:type="dxa"/>
          </w:tcPr>
          <w:p w14:paraId="4299DE7C" w14:textId="4C635B29" w:rsidR="00D72F03" w:rsidRPr="00EF524D" w:rsidRDefault="00D72F03" w:rsidP="005B2106">
            <w:pPr>
              <w:adjustRightInd w:val="0"/>
              <w:snapToGrid w:val="0"/>
              <w:spacing w:before="60" w:after="60"/>
              <w:rPr>
                <w:kern w:val="22"/>
                <w:szCs w:val="22"/>
              </w:rPr>
            </w:pPr>
            <w:r w:rsidRPr="00EF524D">
              <w:t>Una lista de indicadores opcionales [y multidimensionales] que junto con los indicadores de cabecera cubrirían todos los componentes de los objetivos y metas del marco mundial de la diversidad biológica posterior a 2020 a nivel mundial, regional, nacional y [subnacional] .</w:t>
            </w:r>
          </w:p>
        </w:tc>
        <w:tc>
          <w:tcPr>
            <w:tcW w:w="1530" w:type="dxa"/>
          </w:tcPr>
          <w:p w14:paraId="23F90CB9" w14:textId="77777777" w:rsidR="00D72F03" w:rsidRPr="00EF524D" w:rsidRDefault="00D72F03" w:rsidP="00434B1E">
            <w:pPr>
              <w:adjustRightInd w:val="0"/>
              <w:snapToGrid w:val="0"/>
              <w:spacing w:before="60" w:after="60"/>
              <w:jc w:val="left"/>
              <w:rPr>
                <w:strike/>
                <w:kern w:val="22"/>
                <w:szCs w:val="22"/>
              </w:rPr>
            </w:pPr>
            <w:r w:rsidRPr="00EF524D">
              <w:t>Marco de seguimiento</w:t>
            </w:r>
          </w:p>
        </w:tc>
      </w:tr>
      <w:tr w:rsidR="00D72F03" w:rsidRPr="00EF524D" w14:paraId="180A825C" w14:textId="77777777" w:rsidTr="00434B1E">
        <w:tc>
          <w:tcPr>
            <w:tcW w:w="2137" w:type="dxa"/>
            <w:tcBorders>
              <w:bottom w:val="double" w:sz="4" w:space="0" w:color="808080" w:themeColor="background1" w:themeShade="80"/>
            </w:tcBorders>
          </w:tcPr>
          <w:p w14:paraId="09337407" w14:textId="77777777" w:rsidR="00D72F03" w:rsidRPr="00EF524D" w:rsidRDefault="00D72F03" w:rsidP="00434B1E">
            <w:pPr>
              <w:adjustRightInd w:val="0"/>
              <w:snapToGrid w:val="0"/>
              <w:spacing w:before="60" w:after="60"/>
              <w:jc w:val="left"/>
              <w:rPr>
                <w:kern w:val="22"/>
                <w:szCs w:val="22"/>
              </w:rPr>
            </w:pPr>
            <w:r w:rsidRPr="00EF524D">
              <w:lastRenderedPageBreak/>
              <w:t>Indicador complementario</w:t>
            </w:r>
          </w:p>
        </w:tc>
        <w:tc>
          <w:tcPr>
            <w:tcW w:w="5958" w:type="dxa"/>
            <w:tcBorders>
              <w:bottom w:val="double" w:sz="4" w:space="0" w:color="808080" w:themeColor="background1" w:themeShade="80"/>
            </w:tcBorders>
          </w:tcPr>
          <w:p w14:paraId="15F6D5EF" w14:textId="152575C5" w:rsidR="00D72F03" w:rsidRPr="00EF524D" w:rsidRDefault="00D72F03" w:rsidP="00A9136C">
            <w:pPr>
              <w:adjustRightInd w:val="0"/>
              <w:snapToGrid w:val="0"/>
              <w:spacing w:before="60" w:after="60"/>
              <w:rPr>
                <w:kern w:val="22"/>
                <w:szCs w:val="22"/>
              </w:rPr>
            </w:pPr>
            <w:r w:rsidRPr="00EF524D">
              <w:t>Una lista de indicadores opcionales [y multidimensionales] para el análisis temático o en profundidad de cada objetivo y meta que sea aplicable a nivel mundial, regional, nacional y [subnacional].</w:t>
            </w:r>
          </w:p>
        </w:tc>
        <w:tc>
          <w:tcPr>
            <w:tcW w:w="1530" w:type="dxa"/>
            <w:tcBorders>
              <w:bottom w:val="double" w:sz="4" w:space="0" w:color="808080" w:themeColor="background1" w:themeShade="80"/>
            </w:tcBorders>
          </w:tcPr>
          <w:p w14:paraId="3979FDCD" w14:textId="77777777" w:rsidR="00D72F03" w:rsidRPr="00EF524D" w:rsidRDefault="00D72F03" w:rsidP="00434B1E">
            <w:pPr>
              <w:adjustRightInd w:val="0"/>
              <w:snapToGrid w:val="0"/>
              <w:spacing w:before="60" w:after="60"/>
              <w:jc w:val="left"/>
              <w:rPr>
                <w:strike/>
                <w:kern w:val="22"/>
                <w:szCs w:val="22"/>
              </w:rPr>
            </w:pPr>
            <w:r w:rsidRPr="00EF524D">
              <w:t>Marco de seguimiento</w:t>
            </w:r>
          </w:p>
        </w:tc>
      </w:tr>
      <w:tr w:rsidR="00C92C78" w:rsidRPr="00EF524D" w14:paraId="798F3FB2" w14:textId="77777777" w:rsidTr="00434B1E">
        <w:tc>
          <w:tcPr>
            <w:tcW w:w="2137" w:type="dxa"/>
            <w:tcBorders>
              <w:top w:val="double" w:sz="4" w:space="0" w:color="808080" w:themeColor="background1" w:themeShade="80"/>
            </w:tcBorders>
          </w:tcPr>
          <w:p w14:paraId="6637B193" w14:textId="77777777" w:rsidR="00C92C78" w:rsidRPr="00EF524D" w:rsidRDefault="00C92C78" w:rsidP="00434B1E">
            <w:pPr>
              <w:adjustRightInd w:val="0"/>
              <w:snapToGrid w:val="0"/>
              <w:spacing w:before="60" w:after="60"/>
              <w:jc w:val="left"/>
              <w:rPr>
                <w:kern w:val="22"/>
                <w:szCs w:val="22"/>
              </w:rPr>
            </w:pPr>
          </w:p>
        </w:tc>
        <w:tc>
          <w:tcPr>
            <w:tcW w:w="5958" w:type="dxa"/>
            <w:tcBorders>
              <w:top w:val="double" w:sz="4" w:space="0" w:color="808080" w:themeColor="background1" w:themeShade="80"/>
            </w:tcBorders>
          </w:tcPr>
          <w:p w14:paraId="01A4506A" w14:textId="05C8EB77" w:rsidR="00C92C78" w:rsidRPr="00EF524D" w:rsidRDefault="00CE73C5" w:rsidP="00434B1E">
            <w:pPr>
              <w:adjustRightInd w:val="0"/>
              <w:snapToGrid w:val="0"/>
              <w:spacing w:before="60" w:after="60"/>
              <w:rPr>
                <w:b/>
                <w:kern w:val="22"/>
                <w:szCs w:val="22"/>
              </w:rPr>
            </w:pPr>
            <w:r w:rsidRPr="00EF524D">
              <w:rPr>
                <w:b/>
                <w:szCs w:val="22"/>
              </w:rPr>
              <w:t>Actualización de noviembre de 2022</w:t>
            </w:r>
          </w:p>
        </w:tc>
        <w:tc>
          <w:tcPr>
            <w:tcW w:w="1530" w:type="dxa"/>
            <w:tcBorders>
              <w:top w:val="double" w:sz="4" w:space="0" w:color="808080" w:themeColor="background1" w:themeShade="80"/>
            </w:tcBorders>
          </w:tcPr>
          <w:p w14:paraId="17AD973A" w14:textId="77777777" w:rsidR="00C92C78" w:rsidRPr="00EF524D" w:rsidRDefault="00C92C78" w:rsidP="00434B1E">
            <w:pPr>
              <w:adjustRightInd w:val="0"/>
              <w:snapToGrid w:val="0"/>
              <w:spacing w:before="60" w:after="60"/>
              <w:jc w:val="left"/>
              <w:rPr>
                <w:kern w:val="22"/>
                <w:szCs w:val="22"/>
              </w:rPr>
            </w:pPr>
          </w:p>
        </w:tc>
      </w:tr>
      <w:tr w:rsidR="00E76BEA" w:rsidRPr="00EF524D" w:rsidDel="00A13279" w14:paraId="502979D9" w14:textId="77777777" w:rsidTr="00320361">
        <w:tc>
          <w:tcPr>
            <w:tcW w:w="2137" w:type="dxa"/>
          </w:tcPr>
          <w:p w14:paraId="185569C0" w14:textId="5149D78A" w:rsidR="00E76BEA" w:rsidRPr="00EF524D" w:rsidRDefault="00E76BEA" w:rsidP="00E76BEA">
            <w:pPr>
              <w:pStyle w:val="Default"/>
              <w:rPr>
                <w:sz w:val="22"/>
                <w:szCs w:val="22"/>
              </w:rPr>
            </w:pPr>
            <w:r w:rsidRPr="00EF524D">
              <w:rPr>
                <w:sz w:val="22"/>
                <w:szCs w:val="22"/>
              </w:rPr>
              <w:t xml:space="preserve">“Consentimiento previo y fundamentado” o “consentimiento libre, previo y fundamentado” o “aprobación y participación” </w:t>
            </w:r>
          </w:p>
        </w:tc>
        <w:tc>
          <w:tcPr>
            <w:tcW w:w="5958" w:type="dxa"/>
          </w:tcPr>
          <w:p w14:paraId="26EFADEC" w14:textId="77777777" w:rsidR="00E76BEA" w:rsidRPr="00EF524D" w:rsidRDefault="00E76BEA" w:rsidP="00E76BEA">
            <w:pPr>
              <w:pStyle w:val="Default"/>
              <w:rPr>
                <w:sz w:val="22"/>
                <w:szCs w:val="22"/>
              </w:rPr>
            </w:pPr>
            <w:r w:rsidRPr="00EF524D">
              <w:rPr>
                <w:sz w:val="22"/>
                <w:szCs w:val="22"/>
              </w:rPr>
              <w:t xml:space="preserve">Libre significa que los pueblos indígenas y las comunidades locales no son presionados, intimidados, manipulados, o indebidamente influenciados, y que dan su consentimiento sin coerción; </w:t>
            </w:r>
          </w:p>
          <w:p w14:paraId="53EFED82" w14:textId="278DB8B4" w:rsidR="00E76BEA" w:rsidRPr="00EF524D" w:rsidRDefault="00E76BEA" w:rsidP="00E76BEA">
            <w:pPr>
              <w:pStyle w:val="Default"/>
              <w:rPr>
                <w:sz w:val="22"/>
                <w:szCs w:val="22"/>
              </w:rPr>
            </w:pPr>
            <w:r w:rsidRPr="00EF524D">
              <w:rPr>
                <w:sz w:val="22"/>
                <w:szCs w:val="22"/>
              </w:rPr>
              <w:t xml:space="preserve">Previo significa que se solicita el consentimiento o la aprobación con suficiente antelación </w:t>
            </w:r>
            <w:r w:rsidR="00A7338C" w:rsidRPr="00EF524D">
              <w:rPr>
                <w:sz w:val="22"/>
                <w:szCs w:val="22"/>
              </w:rPr>
              <w:t>a</w:t>
            </w:r>
            <w:r w:rsidRPr="00EF524D">
              <w:rPr>
                <w:sz w:val="22"/>
                <w:szCs w:val="22"/>
              </w:rPr>
              <w:t xml:space="preserve"> cualquier autorización para acceder a los conocimientos tradicionales, respetando los procesos consuetudinarios de adopción de decisiones de conformidad con la legislación nacional y los plazos requeridos por los pueblos indígenas y las comunidades locales; </w:t>
            </w:r>
          </w:p>
          <w:p w14:paraId="5F903E8F" w14:textId="77777777" w:rsidR="00DE0A0B" w:rsidRPr="00EF524D" w:rsidRDefault="00DE0A0B" w:rsidP="00E76BEA">
            <w:pPr>
              <w:pStyle w:val="Default"/>
              <w:rPr>
                <w:sz w:val="22"/>
                <w:szCs w:val="22"/>
              </w:rPr>
            </w:pPr>
          </w:p>
          <w:p w14:paraId="36776599" w14:textId="2D148944" w:rsidR="00E76BEA" w:rsidRPr="00EF524D" w:rsidRDefault="00E76BEA" w:rsidP="00E76BEA">
            <w:pPr>
              <w:pStyle w:val="Default"/>
              <w:rPr>
                <w:sz w:val="22"/>
                <w:szCs w:val="22"/>
              </w:rPr>
            </w:pPr>
            <w:r w:rsidRPr="00EF524D">
              <w:rPr>
                <w:sz w:val="22"/>
                <w:szCs w:val="22"/>
              </w:rPr>
              <w:t xml:space="preserve">Fundamentado significa que se proporciona información que cubre aspectos pertinentes tales como: la finalidad prevista del acceso; su duración y ámbito; una evaluación preliminar de los efectos económicos, sociales, culturales y ambientales probables, incluidos los posibles riesgos; el personal que podría participar en la ejecución del acceso; los procedimientos que podría conllevar el acceso y acuerdos de participación en los beneficios; </w:t>
            </w:r>
          </w:p>
          <w:p w14:paraId="07E2C0EF" w14:textId="77777777" w:rsidR="00DE0A0B" w:rsidRPr="00EF524D" w:rsidRDefault="00DE0A0B" w:rsidP="00E76BEA">
            <w:pPr>
              <w:pStyle w:val="Default"/>
              <w:rPr>
                <w:sz w:val="22"/>
                <w:szCs w:val="22"/>
              </w:rPr>
            </w:pPr>
          </w:p>
          <w:p w14:paraId="1D818277" w14:textId="6A76F408" w:rsidR="00E76BEA" w:rsidRPr="00EF524D" w:rsidRDefault="00E76BEA" w:rsidP="00E76BEA">
            <w:pPr>
              <w:pStyle w:val="Default"/>
              <w:rPr>
                <w:sz w:val="22"/>
                <w:szCs w:val="22"/>
              </w:rPr>
            </w:pPr>
            <w:r w:rsidRPr="00EF524D">
              <w:rPr>
                <w:sz w:val="22"/>
                <w:szCs w:val="22"/>
              </w:rPr>
              <w:t xml:space="preserve">El consentimiento o la aprobación significa que los pueblos indígenas y las comunidades locales que son los poseedores de los conocimientos tradicionales o las autoridades competentes de dichos pueblos indígenas y comunidades locales, según proceda, acuerdan dar a un posible usuario acceso a sus conocimientos tradicionales, e incluye el derecho a no dar su consentimiento o aprobación; </w:t>
            </w:r>
          </w:p>
          <w:p w14:paraId="707CC473" w14:textId="77777777" w:rsidR="00DE0A0B" w:rsidRPr="00EF524D" w:rsidRDefault="00DE0A0B" w:rsidP="00E76BEA">
            <w:pPr>
              <w:pStyle w:val="Default"/>
              <w:rPr>
                <w:sz w:val="22"/>
                <w:szCs w:val="22"/>
              </w:rPr>
            </w:pPr>
          </w:p>
          <w:p w14:paraId="5AF04146" w14:textId="388A5F40" w:rsidR="00E76BEA" w:rsidRPr="00EF524D" w:rsidRDefault="00E76BEA" w:rsidP="00E76BEA">
            <w:pPr>
              <w:adjustRightInd w:val="0"/>
              <w:snapToGrid w:val="0"/>
              <w:spacing w:before="60" w:after="60"/>
              <w:jc w:val="left"/>
            </w:pPr>
            <w:r w:rsidRPr="00EF524D">
              <w:t>La participación se refiere a la participación plena y efectiva de los pueblos indígenas y las comunidades locales en los procesos de adopción de decisiones relacionadas con el acceso a sus conocimientos tradicionales. Las consultas y la participación plena y efectiva de los pueblos indígenas y las comunidades locales son componentes fundamentales de un proceso de consentimiento o aprobación</w:t>
            </w:r>
            <w:r w:rsidR="009E64C4" w:rsidRPr="00EF524D">
              <w:t>.</w:t>
            </w:r>
          </w:p>
          <w:p w14:paraId="2F74EA33" w14:textId="77777777" w:rsidR="00881A70" w:rsidRPr="00EF524D" w:rsidRDefault="00881A70" w:rsidP="00E76BEA">
            <w:pPr>
              <w:adjustRightInd w:val="0"/>
              <w:snapToGrid w:val="0"/>
              <w:spacing w:before="60" w:after="60"/>
              <w:jc w:val="left"/>
              <w:rPr>
                <w:szCs w:val="22"/>
              </w:rPr>
            </w:pPr>
          </w:p>
          <w:p w14:paraId="1FC69922" w14:textId="1321495A" w:rsidR="003A53B6" w:rsidRPr="00EF524D" w:rsidRDefault="003A53B6" w:rsidP="00E76BEA">
            <w:pPr>
              <w:adjustRightInd w:val="0"/>
              <w:snapToGrid w:val="0"/>
              <w:spacing w:before="60" w:after="60"/>
              <w:jc w:val="left"/>
              <w:rPr>
                <w:kern w:val="22"/>
                <w:szCs w:val="22"/>
              </w:rPr>
            </w:pPr>
            <w:r w:rsidRPr="00EF524D">
              <w:t>(</w:t>
            </w:r>
            <w:r w:rsidR="009E64C4" w:rsidRPr="00EF524D">
              <w:t>CDB</w:t>
            </w:r>
            <w:r w:rsidRPr="00EF524D">
              <w:t xml:space="preserve">,  </w:t>
            </w:r>
            <w:hyperlink r:id="rId52" w:history="1">
              <w:proofErr w:type="spellStart"/>
              <w:r w:rsidRPr="00EF524D">
                <w:rPr>
                  <w:rStyle w:val="Hyperlink"/>
                  <w:sz w:val="22"/>
                  <w:szCs w:val="22"/>
                </w:rPr>
                <w:t>CBD</w:t>
              </w:r>
              <w:proofErr w:type="spellEnd"/>
              <w:r w:rsidRPr="00EF524D">
                <w:rPr>
                  <w:rStyle w:val="Hyperlink"/>
                  <w:sz w:val="22"/>
                  <w:szCs w:val="22"/>
                </w:rPr>
                <w:t>/COP/DEC/14/13</w:t>
              </w:r>
            </w:hyperlink>
            <w:r w:rsidRPr="00EF524D">
              <w:t>)</w:t>
            </w:r>
          </w:p>
        </w:tc>
        <w:tc>
          <w:tcPr>
            <w:tcW w:w="1530" w:type="dxa"/>
          </w:tcPr>
          <w:p w14:paraId="20ED718A" w14:textId="73FB1195" w:rsidR="00E76BEA" w:rsidRPr="00EF524D" w:rsidRDefault="00E76BEA" w:rsidP="00551BF8">
            <w:pPr>
              <w:adjustRightInd w:val="0"/>
              <w:snapToGrid w:val="0"/>
              <w:spacing w:before="60" w:after="60"/>
              <w:jc w:val="left"/>
              <w:rPr>
                <w:kern w:val="22"/>
                <w:szCs w:val="22"/>
              </w:rPr>
            </w:pPr>
            <w:r w:rsidRPr="00EF524D">
              <w:t xml:space="preserve">Sección </w:t>
            </w:r>
            <w:proofErr w:type="spellStart"/>
            <w:r w:rsidRPr="00EF524D">
              <w:t>B.bis</w:t>
            </w:r>
            <w:proofErr w:type="spellEnd"/>
          </w:p>
        </w:tc>
      </w:tr>
      <w:tr w:rsidR="005E0A71" w:rsidRPr="00EF524D" w:rsidDel="00A13279" w14:paraId="1353FE38" w14:textId="77777777" w:rsidTr="00320361">
        <w:tc>
          <w:tcPr>
            <w:tcW w:w="2137" w:type="dxa"/>
          </w:tcPr>
          <w:p w14:paraId="7832FA4C" w14:textId="62A9AF7A" w:rsidR="005E0A71" w:rsidRPr="00EF524D" w:rsidRDefault="005E0A71" w:rsidP="00E851B2">
            <w:pPr>
              <w:adjustRightInd w:val="0"/>
              <w:snapToGrid w:val="0"/>
              <w:spacing w:before="60" w:after="60"/>
              <w:jc w:val="left"/>
              <w:rPr>
                <w:kern w:val="22"/>
                <w:szCs w:val="22"/>
              </w:rPr>
            </w:pPr>
            <w:r w:rsidRPr="00EF524D">
              <w:t>Instrumentos internacionales</w:t>
            </w:r>
          </w:p>
        </w:tc>
        <w:tc>
          <w:tcPr>
            <w:tcW w:w="5958" w:type="dxa"/>
          </w:tcPr>
          <w:p w14:paraId="56B937C2" w14:textId="23F70A55" w:rsidR="00B271DB" w:rsidRPr="00EF524D" w:rsidRDefault="00A30234" w:rsidP="005F6AFE">
            <w:pPr>
              <w:adjustRightInd w:val="0"/>
              <w:snapToGrid w:val="0"/>
              <w:spacing w:before="60" w:after="120"/>
              <w:jc w:val="left"/>
              <w:rPr>
                <w:kern w:val="22"/>
                <w:szCs w:val="22"/>
              </w:rPr>
            </w:pPr>
            <w:r w:rsidRPr="00EF524D">
              <w:t>El término es amplio, refiriéndose a todos los documentos diplomáticos escritos establecidos por personas autorizadas que constituyen un acto internacional y definen su contenido. Esto podría incluir las decisiones adoptadas por las Partes bajo los auspicios de un acuerdo internacional o una organización internacional que no pueden considerarse como un tratado.  (</w:t>
            </w:r>
            <w:proofErr w:type="spellStart"/>
            <w:r w:rsidRPr="00EF524D">
              <w:t>UICN</w:t>
            </w:r>
            <w:proofErr w:type="spellEnd"/>
            <w:r w:rsidRPr="00EF524D">
              <w:t>, Guía explicativa del Protocolo de Nagoya</w:t>
            </w:r>
            <w:r w:rsidR="005F6AFE" w:rsidRPr="00EF524D">
              <w:t xml:space="preserve"> s</w:t>
            </w:r>
            <w:r w:rsidRPr="00EF524D">
              <w:t>obre Acceso y Participación en los Beneficios,</w:t>
            </w:r>
            <w:r w:rsidR="005F6AFE" w:rsidRPr="00EF524D">
              <w:t xml:space="preserve"> </w:t>
            </w:r>
            <w:hyperlink r:id="rId53" w:history="1">
              <w:r w:rsidRPr="00EF524D">
                <w:rPr>
                  <w:rStyle w:val="Hyperlink"/>
                  <w:sz w:val="22"/>
                  <w:szCs w:val="22"/>
                </w:rPr>
                <w:t>https://portals.iucn.org/library/sites/library/files/documents/EPLP-083-Es.pdf</w:t>
              </w:r>
            </w:hyperlink>
            <w:r w:rsidRPr="00EF524D">
              <w:t>)</w:t>
            </w:r>
          </w:p>
        </w:tc>
        <w:tc>
          <w:tcPr>
            <w:tcW w:w="1530" w:type="dxa"/>
          </w:tcPr>
          <w:p w14:paraId="1A9CFAF3" w14:textId="63B6CF4D" w:rsidR="005E0A71" w:rsidRPr="00EF524D" w:rsidRDefault="005E0A71" w:rsidP="00551BF8">
            <w:pPr>
              <w:adjustRightInd w:val="0"/>
              <w:snapToGrid w:val="0"/>
              <w:spacing w:before="60" w:after="60"/>
              <w:jc w:val="left"/>
              <w:rPr>
                <w:kern w:val="22"/>
                <w:szCs w:val="22"/>
              </w:rPr>
            </w:pPr>
            <w:r w:rsidRPr="00EF524D">
              <w:t xml:space="preserve">Sección </w:t>
            </w:r>
            <w:proofErr w:type="spellStart"/>
            <w:r w:rsidRPr="00EF524D">
              <w:t>B.bis</w:t>
            </w:r>
            <w:proofErr w:type="spellEnd"/>
          </w:p>
        </w:tc>
      </w:tr>
      <w:tr w:rsidR="00E851B2" w:rsidRPr="00EF524D" w:rsidDel="00A13279" w14:paraId="14307184" w14:textId="77777777" w:rsidTr="00320361">
        <w:tc>
          <w:tcPr>
            <w:tcW w:w="2137" w:type="dxa"/>
          </w:tcPr>
          <w:p w14:paraId="03BEDB59" w14:textId="77777777" w:rsidR="00E851B2" w:rsidRPr="00EF524D" w:rsidRDefault="00E851B2" w:rsidP="00E851B2">
            <w:pPr>
              <w:adjustRightInd w:val="0"/>
              <w:snapToGrid w:val="0"/>
              <w:spacing w:before="60" w:after="60"/>
              <w:jc w:val="left"/>
              <w:rPr>
                <w:kern w:val="22"/>
                <w:szCs w:val="22"/>
              </w:rPr>
            </w:pPr>
            <w:r w:rsidRPr="00EF524D">
              <w:lastRenderedPageBreak/>
              <w:t>Ecosistema</w:t>
            </w:r>
          </w:p>
          <w:p w14:paraId="6109D28A" w14:textId="77777777" w:rsidR="00E851B2" w:rsidRPr="00EF524D" w:rsidRDefault="00E851B2" w:rsidP="00551BF8">
            <w:pPr>
              <w:adjustRightInd w:val="0"/>
              <w:snapToGrid w:val="0"/>
              <w:spacing w:before="60" w:after="60"/>
              <w:jc w:val="left"/>
              <w:rPr>
                <w:kern w:val="22"/>
                <w:szCs w:val="22"/>
              </w:rPr>
            </w:pPr>
          </w:p>
        </w:tc>
        <w:tc>
          <w:tcPr>
            <w:tcW w:w="5958" w:type="dxa"/>
          </w:tcPr>
          <w:p w14:paraId="50DEE5C1" w14:textId="78E2DFBE" w:rsidR="00E851B2" w:rsidRPr="00EF524D" w:rsidRDefault="00E851B2" w:rsidP="00270C29">
            <w:pPr>
              <w:adjustRightInd w:val="0"/>
              <w:snapToGrid w:val="0"/>
              <w:spacing w:before="60" w:after="60"/>
              <w:jc w:val="left"/>
              <w:rPr>
                <w:kern w:val="22"/>
                <w:szCs w:val="22"/>
              </w:rPr>
            </w:pPr>
            <w:r w:rsidRPr="00EF524D">
              <w:t>Un complejo dinámico de comunidades vegetales, animales y de microorganismos y su medio no viviente que interactúan como una</w:t>
            </w:r>
            <w:r w:rsidR="00270C29" w:rsidRPr="00EF524D">
              <w:t xml:space="preserve"> </w:t>
            </w:r>
            <w:r w:rsidRPr="00EF524D">
              <w:t>unidad funcional (Convenio sobre la Diversidad Biológica, 1992).</w:t>
            </w:r>
          </w:p>
        </w:tc>
        <w:tc>
          <w:tcPr>
            <w:tcW w:w="1530" w:type="dxa"/>
          </w:tcPr>
          <w:p w14:paraId="1220ECFD" w14:textId="6E4D9BDD" w:rsidR="00E851B2" w:rsidRPr="00EF524D" w:rsidRDefault="00E851B2" w:rsidP="00551BF8">
            <w:pPr>
              <w:adjustRightInd w:val="0"/>
              <w:snapToGrid w:val="0"/>
              <w:spacing w:before="60" w:after="60"/>
              <w:jc w:val="left"/>
              <w:rPr>
                <w:kern w:val="22"/>
                <w:szCs w:val="22"/>
              </w:rPr>
            </w:pPr>
            <w:r w:rsidRPr="00EF524D">
              <w:t>Objetivo A</w:t>
            </w:r>
          </w:p>
        </w:tc>
      </w:tr>
      <w:tr w:rsidR="00AD646F" w:rsidRPr="00EF524D" w:rsidDel="00A13279" w14:paraId="7E83A534" w14:textId="77777777" w:rsidTr="00320361">
        <w:tc>
          <w:tcPr>
            <w:tcW w:w="2137" w:type="dxa"/>
          </w:tcPr>
          <w:p w14:paraId="584E2FC3" w14:textId="502D5AC5" w:rsidR="00AD646F" w:rsidRPr="00EF524D" w:rsidRDefault="00F66168" w:rsidP="00551BF8">
            <w:pPr>
              <w:adjustRightInd w:val="0"/>
              <w:snapToGrid w:val="0"/>
              <w:spacing w:before="60" w:after="60"/>
              <w:jc w:val="left"/>
              <w:rPr>
                <w:kern w:val="22"/>
                <w:szCs w:val="22"/>
              </w:rPr>
            </w:pPr>
            <w:r w:rsidRPr="00EF524D">
              <w:t xml:space="preserve">Resiliencia </w:t>
            </w:r>
          </w:p>
        </w:tc>
        <w:tc>
          <w:tcPr>
            <w:tcW w:w="5958" w:type="dxa"/>
          </w:tcPr>
          <w:p w14:paraId="1ABE974A" w14:textId="4CDDB46B" w:rsidR="00AD646F" w:rsidRPr="00EF524D" w:rsidRDefault="00BC559D" w:rsidP="00BC559D">
            <w:pPr>
              <w:adjustRightInd w:val="0"/>
              <w:snapToGrid w:val="0"/>
              <w:spacing w:before="60" w:after="60"/>
              <w:jc w:val="left"/>
              <w:rPr>
                <w:kern w:val="22"/>
                <w:szCs w:val="22"/>
              </w:rPr>
            </w:pPr>
            <w:r w:rsidRPr="00EF524D">
              <w:t xml:space="preserve">La capacidad de un sistema para absorber las perturbaciones y reorganizarse mientras experimenta cambios, </w:t>
            </w:r>
            <w:r w:rsidR="003E4F9C" w:rsidRPr="00EF524D">
              <w:t>con el fin de conservar</w:t>
            </w:r>
            <w:r w:rsidRPr="00EF524D">
              <w:t xml:space="preserve"> esencialmente la misma función, estructura, identidad y retroalimentación (Walker </w:t>
            </w:r>
            <w:r w:rsidRPr="00EF524D">
              <w:rPr>
                <w:i/>
              </w:rPr>
              <w:t>et al</w:t>
            </w:r>
            <w:r w:rsidRPr="00EF524D">
              <w:t>., 2004).</w:t>
            </w:r>
            <w:r w:rsidRPr="00EF524D">
              <w:br/>
              <w:t xml:space="preserve">Es un concepto desarrollado y aplicado inicialmente en la ecología, que progresivamente </w:t>
            </w:r>
            <w:r w:rsidR="00D458F2" w:rsidRPr="00EF524D">
              <w:t xml:space="preserve">se fue adoptando </w:t>
            </w:r>
            <w:r w:rsidRPr="00EF524D">
              <w:t>en las ciencias sociales y ambientales.</w:t>
            </w:r>
          </w:p>
          <w:p w14:paraId="7C666F7E" w14:textId="77777777" w:rsidR="00BC559D" w:rsidRPr="00EF524D" w:rsidRDefault="00BC559D" w:rsidP="00BC559D">
            <w:pPr>
              <w:adjustRightInd w:val="0"/>
              <w:snapToGrid w:val="0"/>
              <w:spacing w:before="60" w:after="60"/>
              <w:jc w:val="left"/>
              <w:rPr>
                <w:kern w:val="22"/>
                <w:szCs w:val="22"/>
              </w:rPr>
            </w:pPr>
          </w:p>
          <w:p w14:paraId="4A8B3F3B" w14:textId="756B331E" w:rsidR="00BC559D" w:rsidRPr="00EF524D" w:rsidRDefault="00BC559D" w:rsidP="00BC559D">
            <w:pPr>
              <w:adjustRightInd w:val="0"/>
              <w:snapToGrid w:val="0"/>
              <w:spacing w:before="60" w:after="60"/>
              <w:jc w:val="left"/>
              <w:rPr>
                <w:kern w:val="22"/>
                <w:szCs w:val="22"/>
              </w:rPr>
            </w:pPr>
            <w:r w:rsidRPr="00EF524D">
              <w:t xml:space="preserve">(IPBES, </w:t>
            </w:r>
            <w:hyperlink r:id="rId54" w:anchor=".Y2p22nbMI2w" w:tgtFrame="_blank" w:tooltip="https://zenodo.org/record/5657079#.Y2p22nbMI2w" w:history="1">
              <w:r w:rsidRPr="00EF524D">
                <w:rPr>
                  <w:rStyle w:val="Hyperlink"/>
                  <w:sz w:val="22"/>
                  <w:szCs w:val="22"/>
                </w:rPr>
                <w:t>https://zenodo.org/record/5657079#.Y2p22nbMI2w</w:t>
              </w:r>
            </w:hyperlink>
            <w:r w:rsidRPr="00EF524D">
              <w:t>)</w:t>
            </w:r>
          </w:p>
        </w:tc>
        <w:tc>
          <w:tcPr>
            <w:tcW w:w="1530" w:type="dxa"/>
          </w:tcPr>
          <w:p w14:paraId="5B0589C8" w14:textId="4DFE93CD" w:rsidR="00AD646F" w:rsidRPr="00EF524D" w:rsidRDefault="00F66168" w:rsidP="00551BF8">
            <w:pPr>
              <w:adjustRightInd w:val="0"/>
              <w:snapToGrid w:val="0"/>
              <w:spacing w:before="60" w:after="60"/>
              <w:jc w:val="left"/>
              <w:rPr>
                <w:kern w:val="22"/>
                <w:szCs w:val="22"/>
              </w:rPr>
            </w:pPr>
            <w:r w:rsidRPr="00EF524D">
              <w:t>Objetivo A</w:t>
            </w:r>
          </w:p>
        </w:tc>
      </w:tr>
      <w:tr w:rsidR="00D16DAA" w:rsidRPr="00EF524D" w:rsidDel="00A13279" w14:paraId="2194D7CB" w14:textId="77777777" w:rsidTr="00320361">
        <w:tc>
          <w:tcPr>
            <w:tcW w:w="2137" w:type="dxa"/>
          </w:tcPr>
          <w:p w14:paraId="5390D7E4" w14:textId="044EF01F" w:rsidR="00D16DAA" w:rsidRPr="00EF524D" w:rsidDel="00A13279" w:rsidRDefault="00D16DAA" w:rsidP="00D16DAA">
            <w:pPr>
              <w:adjustRightInd w:val="0"/>
              <w:snapToGrid w:val="0"/>
              <w:spacing w:before="60" w:after="60"/>
              <w:jc w:val="left"/>
              <w:rPr>
                <w:kern w:val="22"/>
                <w:szCs w:val="22"/>
              </w:rPr>
            </w:pPr>
            <w:r w:rsidRPr="00EF524D">
              <w:t>Situación vulnerable</w:t>
            </w:r>
          </w:p>
        </w:tc>
        <w:tc>
          <w:tcPr>
            <w:tcW w:w="5958" w:type="dxa"/>
          </w:tcPr>
          <w:p w14:paraId="76B72BA7" w14:textId="02C32B11" w:rsidR="00D16DAA" w:rsidRPr="00EF524D" w:rsidDel="00A13279" w:rsidRDefault="00D16DAA" w:rsidP="00D16DAA">
            <w:pPr>
              <w:adjustRightInd w:val="0"/>
              <w:snapToGrid w:val="0"/>
              <w:spacing w:before="60" w:after="60"/>
              <w:jc w:val="left"/>
              <w:rPr>
                <w:kern w:val="22"/>
                <w:szCs w:val="22"/>
              </w:rPr>
            </w:pPr>
            <w:r w:rsidRPr="00EF524D">
              <w:t>Vulnerabilidad - Las condiciones determinadas por factores o procesos físicos, sociales, económicos y ambientales que aumentan la susceptibilidad de una persona, una comunidad, bienes o sistemas a los impactos de las amenazas</w:t>
            </w:r>
            <w:r w:rsidR="002B3F41" w:rsidRPr="00EF524D">
              <w:t>.</w:t>
            </w:r>
            <w:r w:rsidRPr="00EF524D">
              <w:t xml:space="preserve"> (</w:t>
            </w:r>
            <w:proofErr w:type="spellStart"/>
            <w:r w:rsidRPr="00EF524D">
              <w:t>UNDRR</w:t>
            </w:r>
            <w:proofErr w:type="spellEnd"/>
            <w:r w:rsidRPr="00EF524D">
              <w:t xml:space="preserve">,  </w:t>
            </w:r>
            <w:hyperlink r:id="rId55" w:history="1">
              <w:r w:rsidRPr="00EF524D">
                <w:rPr>
                  <w:rStyle w:val="Hyperlink"/>
                  <w:sz w:val="22"/>
                  <w:szCs w:val="22"/>
                </w:rPr>
                <w:t>https://www.undrr.org/terminology/vulnerability</w:t>
              </w:r>
            </w:hyperlink>
            <w:r w:rsidRPr="00EF524D">
              <w:t>)</w:t>
            </w:r>
          </w:p>
        </w:tc>
        <w:tc>
          <w:tcPr>
            <w:tcW w:w="1530" w:type="dxa"/>
          </w:tcPr>
          <w:p w14:paraId="6C12A019" w14:textId="4D6FD1ED" w:rsidR="00D16DAA" w:rsidRPr="00EF524D" w:rsidDel="00A13279" w:rsidRDefault="00D16DAA" w:rsidP="00D16DAA">
            <w:pPr>
              <w:adjustRightInd w:val="0"/>
              <w:snapToGrid w:val="0"/>
              <w:spacing w:before="60" w:after="60"/>
              <w:jc w:val="left"/>
              <w:rPr>
                <w:kern w:val="22"/>
                <w:szCs w:val="22"/>
              </w:rPr>
            </w:pPr>
            <w:r w:rsidRPr="00EF524D">
              <w:t>Meta 9</w:t>
            </w:r>
          </w:p>
        </w:tc>
      </w:tr>
      <w:tr w:rsidR="00260493" w:rsidRPr="00EF524D" w:rsidDel="00A13279" w14:paraId="1878BAEF" w14:textId="77777777" w:rsidTr="00320361">
        <w:tc>
          <w:tcPr>
            <w:tcW w:w="2137" w:type="dxa"/>
          </w:tcPr>
          <w:p w14:paraId="606B7B13" w14:textId="6C1D0CAC" w:rsidR="00260493" w:rsidRPr="00EF524D" w:rsidRDefault="00260493" w:rsidP="00D16DAA">
            <w:pPr>
              <w:adjustRightInd w:val="0"/>
              <w:snapToGrid w:val="0"/>
              <w:spacing w:before="60" w:after="60"/>
              <w:jc w:val="left"/>
              <w:rPr>
                <w:kern w:val="22"/>
                <w:szCs w:val="22"/>
              </w:rPr>
            </w:pPr>
            <w:r w:rsidRPr="00EF524D">
              <w:t>Productos basados en la diversidad biológica</w:t>
            </w:r>
          </w:p>
        </w:tc>
        <w:tc>
          <w:tcPr>
            <w:tcW w:w="5958" w:type="dxa"/>
          </w:tcPr>
          <w:p w14:paraId="2BE36255" w14:textId="7EF9732D" w:rsidR="00260493" w:rsidRPr="00EF524D" w:rsidRDefault="00260493" w:rsidP="00D16DAA">
            <w:pPr>
              <w:adjustRightInd w:val="0"/>
              <w:snapToGrid w:val="0"/>
              <w:spacing w:before="60" w:after="60"/>
              <w:jc w:val="left"/>
              <w:rPr>
                <w:kern w:val="22"/>
                <w:szCs w:val="22"/>
              </w:rPr>
            </w:pPr>
            <w:r w:rsidRPr="00EF524D">
              <w:t>Los productos basados en la diversidad biológica son el resultado de la recolección, producción o transformación de recursos biológicos. Se encuentran en industrias tan variadas como las de alimentos y bebidas, cosméticos, productos farmacéuticos, papel, textiles, energía y artesanías. Los servicios basados en la diversidad biológica son los que obtienen valor de los recursos genéticos, las especies y los ecosistemas, como el turismo basado en la naturaleza, la polinización y el tratamiento del agua. La producción, la utilización y el comercio sostenibles de productos y servicios derivados de la diversidad biológica ofrecen a los países en desarrollo valiosas oportunidades para la conservación de la diversidad biológica, la reducción de la pobreza, la diversificación económica, la adición de valor, la mejora de los medios de vida y el empoderamiento de grupos vulnerables, como las mujeres y las minorías étnicas.</w:t>
            </w:r>
          </w:p>
          <w:p w14:paraId="5AE8E80F" w14:textId="77777777" w:rsidR="00260493" w:rsidRPr="00EF524D" w:rsidRDefault="00260493" w:rsidP="00D16DAA">
            <w:pPr>
              <w:adjustRightInd w:val="0"/>
              <w:snapToGrid w:val="0"/>
              <w:spacing w:before="60" w:after="60"/>
              <w:jc w:val="left"/>
              <w:rPr>
                <w:kern w:val="22"/>
                <w:szCs w:val="22"/>
              </w:rPr>
            </w:pPr>
          </w:p>
          <w:p w14:paraId="165D65F1" w14:textId="0DB4457B" w:rsidR="00260493" w:rsidRPr="00EF524D" w:rsidRDefault="00260493" w:rsidP="00260493">
            <w:pPr>
              <w:adjustRightInd w:val="0"/>
              <w:snapToGrid w:val="0"/>
              <w:spacing w:before="60" w:after="60"/>
              <w:jc w:val="left"/>
              <w:rPr>
                <w:kern w:val="22"/>
                <w:szCs w:val="22"/>
              </w:rPr>
            </w:pPr>
            <w:r w:rsidRPr="00EF524D">
              <w:t xml:space="preserve">(Naciones Unidas, </w:t>
            </w:r>
            <w:proofErr w:type="spellStart"/>
            <w:r w:rsidRPr="00EF524D">
              <w:t>Implications</w:t>
            </w:r>
            <w:proofErr w:type="spellEnd"/>
            <w:r w:rsidRPr="00EF524D">
              <w:t xml:space="preserve"> of COVID-19 </w:t>
            </w:r>
            <w:proofErr w:type="spellStart"/>
            <w:r w:rsidRPr="00EF524D">
              <w:t>for</w:t>
            </w:r>
            <w:proofErr w:type="spellEnd"/>
            <w:r w:rsidRPr="00EF524D">
              <w:t xml:space="preserve"> </w:t>
            </w:r>
            <w:proofErr w:type="spellStart"/>
            <w:r w:rsidRPr="00EF524D">
              <w:t>Biodiversity-based</w:t>
            </w:r>
            <w:proofErr w:type="spellEnd"/>
            <w:r w:rsidRPr="00EF524D">
              <w:t xml:space="preserve"> </w:t>
            </w:r>
            <w:proofErr w:type="spellStart"/>
            <w:r w:rsidRPr="00EF524D">
              <w:t>Products</w:t>
            </w:r>
            <w:proofErr w:type="spellEnd"/>
            <w:r w:rsidRPr="00EF524D">
              <w:t xml:space="preserve"> and </w:t>
            </w:r>
            <w:proofErr w:type="spellStart"/>
            <w:r w:rsidRPr="00EF524D">
              <w:t>Services</w:t>
            </w:r>
            <w:proofErr w:type="spellEnd"/>
            <w:r w:rsidRPr="00EF524D">
              <w:t xml:space="preserve">, </w:t>
            </w:r>
            <w:proofErr w:type="spellStart"/>
            <w:r w:rsidRPr="00EF524D">
              <w:t>including</w:t>
            </w:r>
            <w:proofErr w:type="spellEnd"/>
            <w:r w:rsidRPr="00EF524D">
              <w:t xml:space="preserve"> </w:t>
            </w:r>
            <w:proofErr w:type="spellStart"/>
            <w:r w:rsidRPr="00EF524D">
              <w:t>BioTrade</w:t>
            </w:r>
            <w:proofErr w:type="spellEnd"/>
            <w:r w:rsidRPr="00EF524D">
              <w:t>,  https://www.google.com/url?sa=t&amp;rct=j&amp;q=&amp;esrc=s&amp;source=web&amp;cd=&amp;cad=rja&amp;uact=8&amp;ved=2ahUKEwjC49X5q6T7AhXrjYkEHeH7CxwQFnoECA8QAQ&amp;url=https%3A%2F%2Functad.org%2Fsystem%2Ffiles%2Fofficial-document%2Fditcted2022d2_en.pdf&amp;usg=AOvVaw2Z61cftauN5rrtQuAfwpN5)</w:t>
            </w:r>
          </w:p>
        </w:tc>
        <w:tc>
          <w:tcPr>
            <w:tcW w:w="1530" w:type="dxa"/>
          </w:tcPr>
          <w:p w14:paraId="181C8075" w14:textId="70C8CF01" w:rsidR="00260493" w:rsidRPr="00EF524D" w:rsidRDefault="00260493" w:rsidP="00D16DAA">
            <w:pPr>
              <w:adjustRightInd w:val="0"/>
              <w:snapToGrid w:val="0"/>
              <w:spacing w:before="60" w:after="60"/>
              <w:jc w:val="left"/>
              <w:rPr>
                <w:kern w:val="22"/>
                <w:szCs w:val="22"/>
              </w:rPr>
            </w:pPr>
            <w:r w:rsidRPr="00EF524D">
              <w:t>Meta 9</w:t>
            </w:r>
          </w:p>
        </w:tc>
      </w:tr>
      <w:tr w:rsidR="00D16DAA" w:rsidRPr="00EF524D" w:rsidDel="00A13279" w14:paraId="437AC4CC" w14:textId="77777777" w:rsidTr="00320361">
        <w:tc>
          <w:tcPr>
            <w:tcW w:w="2137" w:type="dxa"/>
          </w:tcPr>
          <w:p w14:paraId="236FB356" w14:textId="766955D5" w:rsidR="00D16DAA" w:rsidRPr="00EF524D" w:rsidDel="00A13279" w:rsidRDefault="00D16DAA" w:rsidP="00D16DAA">
            <w:pPr>
              <w:adjustRightInd w:val="0"/>
              <w:snapToGrid w:val="0"/>
              <w:spacing w:before="60" w:after="60"/>
              <w:jc w:val="left"/>
              <w:rPr>
                <w:kern w:val="22"/>
                <w:szCs w:val="22"/>
              </w:rPr>
            </w:pPr>
            <w:r w:rsidRPr="00EF524D">
              <w:t>Pesca</w:t>
            </w:r>
          </w:p>
        </w:tc>
        <w:tc>
          <w:tcPr>
            <w:tcW w:w="5958" w:type="dxa"/>
          </w:tcPr>
          <w:p w14:paraId="0F3FA2E4" w14:textId="12EAE994" w:rsidR="00D16DAA" w:rsidRPr="00EF524D" w:rsidDel="00A13279" w:rsidRDefault="00D16DAA" w:rsidP="009A197B">
            <w:pPr>
              <w:adjustRightInd w:val="0"/>
              <w:snapToGrid w:val="0"/>
              <w:spacing w:before="60" w:after="60"/>
              <w:jc w:val="left"/>
              <w:rPr>
                <w:kern w:val="22"/>
                <w:szCs w:val="22"/>
              </w:rPr>
            </w:pPr>
            <w:r w:rsidRPr="00EF524D">
              <w:t xml:space="preserve">En general, por pesca se entiende una actividad orientada a la captura de peces. Puede consistir en la captura de peces silvestres o en la cría de peces mediante la acuicultura. (FAO, </w:t>
            </w:r>
            <w:hyperlink r:id="rId56" w:history="1">
              <w:r w:rsidR="009A197B" w:rsidRPr="00EF524D">
                <w:rPr>
                  <w:rStyle w:val="Hyperlink"/>
                  <w:sz w:val="22"/>
                </w:rPr>
                <w:t>https://www.fao.org/faoterm/viewentry/es/?entryId=98327</w:t>
              </w:r>
            </w:hyperlink>
            <w:r w:rsidRPr="00EF524D">
              <w:t xml:space="preserve">) </w:t>
            </w:r>
          </w:p>
        </w:tc>
        <w:tc>
          <w:tcPr>
            <w:tcW w:w="1530" w:type="dxa"/>
          </w:tcPr>
          <w:p w14:paraId="1758C498" w14:textId="72E0E0E1" w:rsidR="00D16DAA" w:rsidRPr="00EF524D" w:rsidDel="00A13279" w:rsidRDefault="00D16DAA" w:rsidP="00D16DAA">
            <w:pPr>
              <w:adjustRightInd w:val="0"/>
              <w:snapToGrid w:val="0"/>
              <w:spacing w:before="60" w:after="60"/>
              <w:jc w:val="left"/>
              <w:rPr>
                <w:kern w:val="22"/>
                <w:szCs w:val="22"/>
              </w:rPr>
            </w:pPr>
            <w:r w:rsidRPr="00EF524D">
              <w:t xml:space="preserve">Metas 10 y 11 </w:t>
            </w:r>
          </w:p>
        </w:tc>
      </w:tr>
      <w:tr w:rsidR="00D16DAA" w:rsidRPr="00EF524D" w:rsidDel="00A13279" w14:paraId="1640C35A" w14:textId="77777777" w:rsidTr="00320361">
        <w:tc>
          <w:tcPr>
            <w:tcW w:w="2137" w:type="dxa"/>
          </w:tcPr>
          <w:p w14:paraId="78D3BE98" w14:textId="427A084A" w:rsidR="00D16DAA" w:rsidRPr="00EF524D" w:rsidRDefault="00D16DAA" w:rsidP="00D16DAA">
            <w:pPr>
              <w:adjustRightInd w:val="0"/>
              <w:snapToGrid w:val="0"/>
              <w:spacing w:before="60" w:after="60"/>
              <w:jc w:val="left"/>
              <w:rPr>
                <w:kern w:val="22"/>
                <w:szCs w:val="22"/>
              </w:rPr>
            </w:pPr>
            <w:r w:rsidRPr="00EF524D">
              <w:t>Salud del suelo</w:t>
            </w:r>
          </w:p>
        </w:tc>
        <w:tc>
          <w:tcPr>
            <w:tcW w:w="5958" w:type="dxa"/>
          </w:tcPr>
          <w:p w14:paraId="6E43D0F1" w14:textId="746B8DE3" w:rsidR="00D16DAA" w:rsidRPr="00EF524D" w:rsidRDefault="00D16DAA" w:rsidP="00813FE5">
            <w:pPr>
              <w:adjustRightInd w:val="0"/>
              <w:snapToGrid w:val="0"/>
              <w:spacing w:before="60" w:after="60"/>
              <w:jc w:val="left"/>
              <w:rPr>
                <w:kern w:val="22"/>
                <w:szCs w:val="22"/>
              </w:rPr>
            </w:pPr>
            <w:r w:rsidRPr="00EF524D">
              <w:t xml:space="preserve">La salud del suelo se ha definido como “la capacidad del suelo para mantener la productividad, la diversidad y los servicios ambientales de los ecosistemas terrestres” (Grupo Técnico </w:t>
            </w:r>
            <w:r w:rsidRPr="00EF524D">
              <w:lastRenderedPageBreak/>
              <w:t>Intergubernamental sobre Suelos, https://www.fao.org/3/cb1110en/cb1110en.pdf).</w:t>
            </w:r>
          </w:p>
        </w:tc>
        <w:tc>
          <w:tcPr>
            <w:tcW w:w="1530" w:type="dxa"/>
          </w:tcPr>
          <w:p w14:paraId="3AB393FA" w14:textId="5BAB4723" w:rsidR="00D16DAA" w:rsidRPr="00EF524D" w:rsidRDefault="00C91A50" w:rsidP="00D16DAA">
            <w:pPr>
              <w:adjustRightInd w:val="0"/>
              <w:snapToGrid w:val="0"/>
              <w:spacing w:before="60" w:after="60"/>
              <w:jc w:val="left"/>
              <w:rPr>
                <w:kern w:val="22"/>
                <w:szCs w:val="22"/>
              </w:rPr>
            </w:pPr>
            <w:r w:rsidRPr="00EF524D">
              <w:lastRenderedPageBreak/>
              <w:t>Meta 11</w:t>
            </w:r>
          </w:p>
        </w:tc>
      </w:tr>
      <w:tr w:rsidR="00C91A50" w:rsidRPr="00EF524D" w:rsidDel="00A13279" w14:paraId="53CB929D" w14:textId="77777777" w:rsidTr="00CD31B7">
        <w:tc>
          <w:tcPr>
            <w:tcW w:w="2137" w:type="dxa"/>
          </w:tcPr>
          <w:p w14:paraId="61CEADC9" w14:textId="77777777" w:rsidR="00C91A50" w:rsidRPr="00EF524D" w:rsidRDefault="00C91A50" w:rsidP="00C91A50">
            <w:pPr>
              <w:adjustRightInd w:val="0"/>
              <w:snapToGrid w:val="0"/>
              <w:spacing w:before="60" w:after="60"/>
              <w:jc w:val="left"/>
              <w:rPr>
                <w:kern w:val="22"/>
                <w:szCs w:val="22"/>
              </w:rPr>
            </w:pPr>
            <w:r w:rsidRPr="00EF524D">
              <w:t>Recursos genéticos</w:t>
            </w:r>
          </w:p>
        </w:tc>
        <w:tc>
          <w:tcPr>
            <w:tcW w:w="5958" w:type="dxa"/>
          </w:tcPr>
          <w:p w14:paraId="52530BA8" w14:textId="36EBE331" w:rsidR="00C91A50" w:rsidRPr="00EF524D" w:rsidRDefault="00C91A50" w:rsidP="00C91A50">
            <w:pPr>
              <w:adjustRightInd w:val="0"/>
              <w:snapToGrid w:val="0"/>
              <w:spacing w:before="60" w:after="60"/>
              <w:jc w:val="left"/>
              <w:rPr>
                <w:kern w:val="22"/>
                <w:szCs w:val="22"/>
              </w:rPr>
            </w:pPr>
            <w:r w:rsidRPr="00EF524D">
              <w:t>Por “recursos genéticos” se entiende el material genético de valor real o potencial. (</w:t>
            </w:r>
            <w:r w:rsidR="00C8304E" w:rsidRPr="00EF524D">
              <w:t>CDB</w:t>
            </w:r>
            <w:r w:rsidRPr="00EF524D">
              <w:t xml:space="preserve">, </w:t>
            </w:r>
            <w:hyperlink r:id="rId57" w:history="1">
              <w:r w:rsidRPr="00EF524D">
                <w:rPr>
                  <w:rStyle w:val="Hyperlink"/>
                  <w:sz w:val="22"/>
                  <w:szCs w:val="22"/>
                </w:rPr>
                <w:t>Artículo 2</w:t>
              </w:r>
            </w:hyperlink>
            <w:r w:rsidRPr="00EF524D">
              <w:t>)</w:t>
            </w:r>
          </w:p>
          <w:p w14:paraId="46123837" w14:textId="08C6ED61" w:rsidR="00C91A50" w:rsidRPr="00EF524D" w:rsidRDefault="00C91A50" w:rsidP="00C8304E">
            <w:pPr>
              <w:adjustRightInd w:val="0"/>
              <w:snapToGrid w:val="0"/>
              <w:spacing w:before="60" w:after="60"/>
              <w:jc w:val="left"/>
              <w:rPr>
                <w:kern w:val="22"/>
                <w:szCs w:val="22"/>
              </w:rPr>
            </w:pPr>
            <w:r w:rsidRPr="00EF524D">
              <w:t>Por “material genético” se entiende todo material de origen vegetal, animal, microbiano o de otro tipo que contenga unidades funcionales de la herencia. (</w:t>
            </w:r>
            <w:r w:rsidR="00C8304E" w:rsidRPr="00EF524D">
              <w:t>CDB</w:t>
            </w:r>
            <w:r w:rsidRPr="00EF524D">
              <w:t xml:space="preserve">, </w:t>
            </w:r>
            <w:hyperlink r:id="rId58" w:history="1">
              <w:r w:rsidRPr="00EF524D">
                <w:rPr>
                  <w:rStyle w:val="Hyperlink"/>
                  <w:sz w:val="22"/>
                  <w:szCs w:val="22"/>
                </w:rPr>
                <w:t>Artículo 2</w:t>
              </w:r>
            </w:hyperlink>
            <w:r w:rsidRPr="00EF524D">
              <w:t>)</w:t>
            </w:r>
          </w:p>
        </w:tc>
        <w:tc>
          <w:tcPr>
            <w:tcW w:w="1530" w:type="dxa"/>
          </w:tcPr>
          <w:p w14:paraId="440375D0" w14:textId="77777777" w:rsidR="00C91A50" w:rsidRPr="00EF524D" w:rsidRDefault="00C91A50" w:rsidP="00C91A50">
            <w:pPr>
              <w:adjustRightInd w:val="0"/>
              <w:snapToGrid w:val="0"/>
              <w:spacing w:before="60" w:after="60"/>
              <w:jc w:val="left"/>
              <w:rPr>
                <w:kern w:val="22"/>
                <w:szCs w:val="22"/>
              </w:rPr>
            </w:pPr>
            <w:r w:rsidRPr="00EF524D">
              <w:t>Meta 13</w:t>
            </w:r>
          </w:p>
        </w:tc>
      </w:tr>
      <w:tr w:rsidR="00D16DAA" w:rsidRPr="00EF524D" w:rsidDel="00A13279" w14:paraId="3DF4E1FF" w14:textId="77777777" w:rsidTr="00320361">
        <w:tc>
          <w:tcPr>
            <w:tcW w:w="2137" w:type="dxa"/>
          </w:tcPr>
          <w:p w14:paraId="74D745D8" w14:textId="779D02F4" w:rsidR="00D16DAA" w:rsidRPr="00EF524D" w:rsidDel="00A13279" w:rsidRDefault="00D16DAA" w:rsidP="00D16DAA">
            <w:pPr>
              <w:adjustRightInd w:val="0"/>
              <w:snapToGrid w:val="0"/>
              <w:spacing w:before="60" w:after="60"/>
              <w:jc w:val="left"/>
              <w:rPr>
                <w:kern w:val="22"/>
                <w:szCs w:val="22"/>
              </w:rPr>
            </w:pPr>
            <w:r w:rsidRPr="00EF524D">
              <w:t>Sectores productivos</w:t>
            </w:r>
          </w:p>
        </w:tc>
        <w:tc>
          <w:tcPr>
            <w:tcW w:w="5958" w:type="dxa"/>
          </w:tcPr>
          <w:p w14:paraId="019F6975" w14:textId="40FC3C59" w:rsidR="00D16DAA" w:rsidRPr="00EF524D" w:rsidDel="00A13279" w:rsidRDefault="00D16DAA" w:rsidP="00D16DAA">
            <w:pPr>
              <w:adjustRightInd w:val="0"/>
              <w:snapToGrid w:val="0"/>
              <w:spacing w:before="60" w:after="60"/>
              <w:jc w:val="left"/>
              <w:rPr>
                <w:kern w:val="22"/>
                <w:szCs w:val="22"/>
              </w:rPr>
            </w:pPr>
            <w:r w:rsidRPr="00EF524D">
              <w:t xml:space="preserve">Incluyen, entre otros, la agricultura, la silvicultura, la pesca y el turismo, los sectores de la salud, la infraestructura, la energía y la minería, la manufactura y el procesamiento, y el sector financiero. (Basado en la </w:t>
            </w:r>
            <w:hyperlink r:id="rId59" w:history="1">
              <w:r w:rsidRPr="00EF524D">
                <w:rPr>
                  <w:rStyle w:val="Hyperlink"/>
                  <w:sz w:val="22"/>
                  <w:szCs w:val="22"/>
                </w:rPr>
                <w:t>Decisión 14/34</w:t>
              </w:r>
            </w:hyperlink>
            <w:r w:rsidRPr="00EF524D">
              <w:t>)</w:t>
            </w:r>
          </w:p>
        </w:tc>
        <w:tc>
          <w:tcPr>
            <w:tcW w:w="1530" w:type="dxa"/>
          </w:tcPr>
          <w:p w14:paraId="5B9D55E4" w14:textId="27659999" w:rsidR="00D16DAA" w:rsidRPr="00EF524D" w:rsidDel="00A13279" w:rsidRDefault="00D16DAA" w:rsidP="00D16DAA">
            <w:pPr>
              <w:adjustRightInd w:val="0"/>
              <w:snapToGrid w:val="0"/>
              <w:spacing w:before="60" w:after="60"/>
              <w:jc w:val="left"/>
              <w:rPr>
                <w:kern w:val="22"/>
                <w:szCs w:val="22"/>
              </w:rPr>
            </w:pPr>
            <w:r w:rsidRPr="00EF524D">
              <w:t>Meta 14</w:t>
            </w:r>
          </w:p>
        </w:tc>
      </w:tr>
      <w:tr w:rsidR="00D16DAA" w:rsidRPr="00EF524D" w:rsidDel="00A13279" w14:paraId="6E819351" w14:textId="77777777" w:rsidTr="00320361">
        <w:tc>
          <w:tcPr>
            <w:tcW w:w="2137" w:type="dxa"/>
          </w:tcPr>
          <w:p w14:paraId="2328ED41" w14:textId="42A713AF" w:rsidR="00D16DAA" w:rsidRPr="00EF524D" w:rsidDel="00A13279" w:rsidRDefault="002F3A80" w:rsidP="002F3A80">
            <w:pPr>
              <w:adjustRightInd w:val="0"/>
              <w:snapToGrid w:val="0"/>
              <w:spacing w:before="60" w:after="60"/>
              <w:jc w:val="left"/>
              <w:rPr>
                <w:kern w:val="22"/>
                <w:szCs w:val="22"/>
              </w:rPr>
            </w:pPr>
            <w:r w:rsidRPr="00EF524D">
              <w:t>Presentación de i</w:t>
            </w:r>
            <w:r w:rsidR="00D16DAA" w:rsidRPr="00EF524D">
              <w:t>nforme</w:t>
            </w:r>
            <w:r w:rsidRPr="00EF524D">
              <w:t>s</w:t>
            </w:r>
            <w:r w:rsidR="00D16DAA" w:rsidRPr="00EF524D">
              <w:t xml:space="preserve"> </w:t>
            </w:r>
          </w:p>
        </w:tc>
        <w:tc>
          <w:tcPr>
            <w:tcW w:w="5958" w:type="dxa"/>
          </w:tcPr>
          <w:p w14:paraId="7422AA15" w14:textId="153E1E48" w:rsidR="00D16DAA" w:rsidRPr="00EF524D" w:rsidDel="00A13279" w:rsidRDefault="00D16DAA" w:rsidP="00A661D7">
            <w:pPr>
              <w:adjustRightInd w:val="0"/>
              <w:snapToGrid w:val="0"/>
              <w:spacing w:before="60" w:after="60"/>
              <w:jc w:val="left"/>
              <w:rPr>
                <w:kern w:val="22"/>
                <w:szCs w:val="22"/>
              </w:rPr>
            </w:pPr>
            <w:r w:rsidRPr="00EF524D">
              <w:t xml:space="preserve">El acto de transmitir información a una entidad, organismo o repositorio conocido que puede ser interno o externo. La presentación de informes también puede ser un formato </w:t>
            </w:r>
            <w:r w:rsidR="00A661D7" w:rsidRPr="00EF524D">
              <w:t>adoptado por</w:t>
            </w:r>
            <w:r w:rsidRPr="00EF524D">
              <w:t xml:space="preserve"> la divulgación cuando se pone a disposición del público. </w:t>
            </w:r>
          </w:p>
        </w:tc>
        <w:tc>
          <w:tcPr>
            <w:tcW w:w="1530" w:type="dxa"/>
          </w:tcPr>
          <w:p w14:paraId="70E3CECD" w14:textId="2A284027" w:rsidR="00D16DAA" w:rsidRPr="00EF524D" w:rsidDel="00A13279" w:rsidRDefault="00D16DAA" w:rsidP="00D16DAA">
            <w:pPr>
              <w:adjustRightInd w:val="0"/>
              <w:snapToGrid w:val="0"/>
              <w:spacing w:before="60" w:after="60"/>
              <w:jc w:val="left"/>
              <w:rPr>
                <w:kern w:val="22"/>
                <w:szCs w:val="22"/>
              </w:rPr>
            </w:pPr>
            <w:r w:rsidRPr="00EF524D">
              <w:t>Meta 15</w:t>
            </w:r>
          </w:p>
        </w:tc>
      </w:tr>
      <w:tr w:rsidR="00D16DAA" w:rsidRPr="00EF524D" w:rsidDel="00A13279" w14:paraId="28AE85CF" w14:textId="77777777" w:rsidTr="00320361">
        <w:tc>
          <w:tcPr>
            <w:tcW w:w="2137" w:type="dxa"/>
          </w:tcPr>
          <w:p w14:paraId="2187EADC" w14:textId="3352F0AE" w:rsidR="00D16DAA" w:rsidRPr="00EF524D" w:rsidDel="00A13279" w:rsidRDefault="00D16DAA" w:rsidP="00D16DAA">
            <w:pPr>
              <w:adjustRightInd w:val="0"/>
              <w:snapToGrid w:val="0"/>
              <w:spacing w:before="60" w:after="60"/>
              <w:jc w:val="left"/>
              <w:rPr>
                <w:kern w:val="22"/>
                <w:szCs w:val="22"/>
              </w:rPr>
            </w:pPr>
            <w:r w:rsidRPr="00EF524D">
              <w:t>Divulgación</w:t>
            </w:r>
          </w:p>
        </w:tc>
        <w:tc>
          <w:tcPr>
            <w:tcW w:w="5958" w:type="dxa"/>
          </w:tcPr>
          <w:p w14:paraId="7649BB42" w14:textId="6EEC5D3A" w:rsidR="00D16DAA" w:rsidRPr="00EF524D" w:rsidDel="00A13279" w:rsidRDefault="00D16DAA" w:rsidP="00377F5B">
            <w:pPr>
              <w:adjustRightInd w:val="0"/>
              <w:snapToGrid w:val="0"/>
              <w:spacing w:before="60" w:after="60"/>
              <w:jc w:val="left"/>
              <w:rPr>
                <w:kern w:val="22"/>
                <w:szCs w:val="22"/>
              </w:rPr>
            </w:pPr>
            <w:r w:rsidRPr="00EF524D">
              <w:t xml:space="preserve">El acto de hacer pública la información. En este contexto, significa poner a disposición del público los impactos y dependencias de una organización </w:t>
            </w:r>
            <w:r w:rsidR="00377F5B" w:rsidRPr="00EF524D">
              <w:t>respecto a</w:t>
            </w:r>
            <w:r w:rsidRPr="00EF524D">
              <w:t xml:space="preserve"> la diversidad biológica.</w:t>
            </w:r>
          </w:p>
        </w:tc>
        <w:tc>
          <w:tcPr>
            <w:tcW w:w="1530" w:type="dxa"/>
          </w:tcPr>
          <w:p w14:paraId="05A1BBCE" w14:textId="7A257862" w:rsidR="00D16DAA" w:rsidRPr="00EF524D" w:rsidDel="00A13279" w:rsidRDefault="00D16DAA" w:rsidP="00D16DAA">
            <w:pPr>
              <w:adjustRightInd w:val="0"/>
              <w:snapToGrid w:val="0"/>
              <w:spacing w:before="60" w:after="60"/>
              <w:jc w:val="left"/>
              <w:rPr>
                <w:kern w:val="22"/>
                <w:szCs w:val="22"/>
              </w:rPr>
            </w:pPr>
            <w:r w:rsidRPr="00EF524D">
              <w:t>Meta 15</w:t>
            </w:r>
          </w:p>
        </w:tc>
      </w:tr>
      <w:tr w:rsidR="00D16DAA" w:rsidRPr="00EF524D" w:rsidDel="00A13279" w14:paraId="01B359FF" w14:textId="77777777" w:rsidTr="00320361">
        <w:tc>
          <w:tcPr>
            <w:tcW w:w="2137" w:type="dxa"/>
          </w:tcPr>
          <w:p w14:paraId="420B9046" w14:textId="511E9289" w:rsidR="00D16DAA" w:rsidRPr="00EF524D" w:rsidRDefault="00D16DAA" w:rsidP="00D16DAA">
            <w:pPr>
              <w:adjustRightInd w:val="0"/>
              <w:snapToGrid w:val="0"/>
              <w:spacing w:before="60" w:after="60"/>
              <w:jc w:val="left"/>
              <w:rPr>
                <w:kern w:val="22"/>
                <w:szCs w:val="22"/>
              </w:rPr>
            </w:pPr>
            <w:r w:rsidRPr="00EF524D">
              <w:t xml:space="preserve">Análisis prospectivos, seguimiento y evaluación de la biología sintética </w:t>
            </w:r>
          </w:p>
        </w:tc>
        <w:tc>
          <w:tcPr>
            <w:tcW w:w="5958" w:type="dxa"/>
          </w:tcPr>
          <w:p w14:paraId="50AAB2F5" w14:textId="0AB87C65" w:rsidR="00D16DAA" w:rsidRPr="00EF524D" w:rsidRDefault="00CD31B7" w:rsidP="00E56CFC">
            <w:pPr>
              <w:adjustRightInd w:val="0"/>
              <w:snapToGrid w:val="0"/>
              <w:spacing w:before="60" w:after="60"/>
              <w:jc w:val="left"/>
              <w:rPr>
                <w:kern w:val="22"/>
                <w:szCs w:val="22"/>
              </w:rPr>
            </w:pPr>
            <w:r w:rsidRPr="00EF524D">
              <w:t xml:space="preserve">En el contexto de la decisión 14.19, los análisis prospectivos, el seguimiento y la evaluación de los adelantos tecnológicos más recientes </w:t>
            </w:r>
            <w:r w:rsidR="007E7A30" w:rsidRPr="00EF524D">
              <w:t>constituyen</w:t>
            </w:r>
            <w:r w:rsidRPr="00EF524D">
              <w:t xml:space="preserve"> un proceso orientado a examinar la información nueva respecto a los posibles efectos positivos y negativos de la biología sintética en relación con los tres objetivos del Convenio</w:t>
            </w:r>
            <w:r w:rsidR="00AF3936" w:rsidRPr="00EF524D">
              <w:t xml:space="preserve"> </w:t>
            </w:r>
            <w:r w:rsidRPr="00EF524D">
              <w:t>y aquellos del Protocolo de Cartagena y el Protocolo de Nagoya acordados por las partes en virtud de</w:t>
            </w:r>
            <w:r w:rsidR="00AF3936" w:rsidRPr="00EF524D">
              <w:t xml:space="preserve"> la decisión</w:t>
            </w:r>
            <w:r w:rsidRPr="00EF524D">
              <w:t xml:space="preserve"> </w:t>
            </w:r>
            <w:hyperlink r:id="rId60" w:history="1">
              <w:proofErr w:type="spellStart"/>
              <w:r w:rsidRPr="00EF524D">
                <w:rPr>
                  <w:rStyle w:val="Hyperlink"/>
                  <w:sz w:val="22"/>
                  <w:szCs w:val="22"/>
                </w:rPr>
                <w:t>CBD</w:t>
              </w:r>
              <w:proofErr w:type="spellEnd"/>
              <w:r w:rsidRPr="00EF524D">
                <w:rPr>
                  <w:rStyle w:val="Hyperlink"/>
                  <w:sz w:val="22"/>
                  <w:szCs w:val="22"/>
                </w:rPr>
                <w:t>/COP/DEC/14/19</w:t>
              </w:r>
            </w:hyperlink>
            <w:r w:rsidRPr="00EF524D">
              <w:t xml:space="preserve">. Además, el proceso de análisis prospectivos amplios y periódicos, </w:t>
            </w:r>
            <w:r w:rsidR="00AB37BB" w:rsidRPr="00EF524D">
              <w:t xml:space="preserve">el </w:t>
            </w:r>
            <w:r w:rsidRPr="00EF524D">
              <w:t xml:space="preserve">seguimiento y </w:t>
            </w:r>
            <w:r w:rsidR="00AB37BB" w:rsidRPr="00EF524D">
              <w:t>la</w:t>
            </w:r>
            <w:r w:rsidR="00021E2F" w:rsidRPr="00EF524D">
              <w:t xml:space="preserve"> </w:t>
            </w:r>
            <w:r w:rsidRPr="00EF524D">
              <w:t xml:space="preserve">evaluación se describe en la sección A, anexo II del documento </w:t>
            </w:r>
            <w:hyperlink r:id="rId61" w:history="1">
              <w:proofErr w:type="spellStart"/>
              <w:r w:rsidRPr="00EF524D">
                <w:rPr>
                  <w:rStyle w:val="Hyperlink"/>
                  <w:sz w:val="22"/>
                  <w:szCs w:val="22"/>
                </w:rPr>
                <w:t>CBD</w:t>
              </w:r>
              <w:proofErr w:type="spellEnd"/>
              <w:r w:rsidRPr="00EF524D">
                <w:rPr>
                  <w:rStyle w:val="Hyperlink"/>
                  <w:sz w:val="22"/>
                  <w:szCs w:val="22"/>
                </w:rPr>
                <w:t>/</w:t>
              </w:r>
              <w:proofErr w:type="spellStart"/>
              <w:r w:rsidRPr="00EF524D">
                <w:rPr>
                  <w:rStyle w:val="Hyperlink"/>
                  <w:sz w:val="22"/>
                  <w:szCs w:val="22"/>
                </w:rPr>
                <w:t>SBSTTA</w:t>
              </w:r>
              <w:proofErr w:type="spellEnd"/>
              <w:r w:rsidRPr="00EF524D">
                <w:rPr>
                  <w:rStyle w:val="Hyperlink"/>
                  <w:sz w:val="22"/>
                  <w:szCs w:val="22"/>
                </w:rPr>
                <w:t>/24/4</w:t>
              </w:r>
            </w:hyperlink>
            <w:r w:rsidRPr="00EF524D">
              <w:t>.</w:t>
            </w:r>
          </w:p>
        </w:tc>
        <w:tc>
          <w:tcPr>
            <w:tcW w:w="1530" w:type="dxa"/>
          </w:tcPr>
          <w:p w14:paraId="3FA03F90" w14:textId="4D92248D" w:rsidR="00D16DAA" w:rsidRPr="00EF524D" w:rsidRDefault="00D16DAA" w:rsidP="00D16DAA">
            <w:pPr>
              <w:adjustRightInd w:val="0"/>
              <w:snapToGrid w:val="0"/>
              <w:spacing w:before="60" w:after="60"/>
              <w:jc w:val="left"/>
              <w:rPr>
                <w:kern w:val="22"/>
                <w:szCs w:val="22"/>
              </w:rPr>
            </w:pPr>
            <w:r w:rsidRPr="00EF524D">
              <w:t>Meta 17</w:t>
            </w:r>
          </w:p>
        </w:tc>
      </w:tr>
      <w:tr w:rsidR="00D16DAA" w:rsidRPr="00EF524D" w:rsidDel="00A13279" w14:paraId="3FB273CE" w14:textId="77777777" w:rsidTr="00320361">
        <w:tc>
          <w:tcPr>
            <w:tcW w:w="2137" w:type="dxa"/>
          </w:tcPr>
          <w:p w14:paraId="43FABCD0" w14:textId="7F163CFA" w:rsidR="00D16DAA" w:rsidRPr="00EF524D" w:rsidRDefault="00D16DAA" w:rsidP="00D16DAA">
            <w:pPr>
              <w:adjustRightInd w:val="0"/>
              <w:snapToGrid w:val="0"/>
              <w:spacing w:before="60" w:after="60"/>
              <w:jc w:val="left"/>
              <w:rPr>
                <w:kern w:val="22"/>
                <w:szCs w:val="22"/>
              </w:rPr>
            </w:pPr>
            <w:r w:rsidRPr="00EF524D">
              <w:t>Incentivos perjudiciales (para el medio ambiente)</w:t>
            </w:r>
          </w:p>
        </w:tc>
        <w:tc>
          <w:tcPr>
            <w:tcW w:w="5958" w:type="dxa"/>
          </w:tcPr>
          <w:p w14:paraId="052A4A83" w14:textId="70416795" w:rsidR="00D16DAA" w:rsidRPr="00EF524D" w:rsidDel="00A13279" w:rsidRDefault="00D16DAA" w:rsidP="00D3264B">
            <w:pPr>
              <w:adjustRightInd w:val="0"/>
              <w:snapToGrid w:val="0"/>
              <w:spacing w:before="60" w:after="60"/>
              <w:jc w:val="left"/>
              <w:rPr>
                <w:kern w:val="22"/>
                <w:szCs w:val="22"/>
              </w:rPr>
            </w:pPr>
            <w:r w:rsidRPr="00EF524D">
              <w:t>En general, son el resultado de acciones gubernamentales (que abarcan las medidas de política y las transferencias presupuestarias) que confieren una ventaja a los consumidores o a los productores con el fin de complementar sus ingresos o reducir sus costos, pero que in</w:t>
            </w:r>
            <w:r w:rsidR="0055593F" w:rsidRPr="00EF524D">
              <w:t>voluntari</w:t>
            </w:r>
            <w:r w:rsidRPr="00EF524D">
              <w:t xml:space="preserve">amente </w:t>
            </w:r>
            <w:r w:rsidR="00B449BD" w:rsidRPr="00EF524D">
              <w:t>provocan</w:t>
            </w:r>
            <w:r w:rsidR="00682A44" w:rsidRPr="00EF524D">
              <w:t xml:space="preserve"> </w:t>
            </w:r>
            <w:r w:rsidRPr="00EF524D">
              <w:t xml:space="preserve">efectos adversos </w:t>
            </w:r>
            <w:r w:rsidR="00474503" w:rsidRPr="00EF524D">
              <w:t>en</w:t>
            </w:r>
            <w:r w:rsidRPr="00EF524D">
              <w:t xml:space="preserve"> el medio ambiente. Obsérvese que los incentivos son más amplios que </w:t>
            </w:r>
            <w:r w:rsidR="0072555D" w:rsidRPr="00EF524D">
              <w:t>los subsidios</w:t>
            </w:r>
            <w:r w:rsidRPr="00EF524D">
              <w:t xml:space="preserve">, que incluyen transferencias presupuestarias, pero no incluyen otras medidas de política que pueden dar lugar a un complemento de los ingresos o a una reducción de los costos para los consumidores o los productores. (Adaptado de </w:t>
            </w:r>
            <w:hyperlink r:id="rId62" w:history="1">
              <w:r w:rsidRPr="00EF524D">
                <w:rPr>
                  <w:rStyle w:val="Hyperlink"/>
                  <w:sz w:val="22"/>
                  <w:szCs w:val="22"/>
                </w:rPr>
                <w:t>OCDE 2005</w:t>
              </w:r>
            </w:hyperlink>
            <w:r w:rsidRPr="00EF524D">
              <w:t>)</w:t>
            </w:r>
          </w:p>
        </w:tc>
        <w:tc>
          <w:tcPr>
            <w:tcW w:w="1530" w:type="dxa"/>
          </w:tcPr>
          <w:p w14:paraId="427939FD" w14:textId="00F50364" w:rsidR="00D16DAA" w:rsidRPr="00EF524D" w:rsidDel="00A13279" w:rsidRDefault="00D16DAA" w:rsidP="00D16DAA">
            <w:pPr>
              <w:adjustRightInd w:val="0"/>
              <w:snapToGrid w:val="0"/>
              <w:spacing w:before="60" w:after="60"/>
              <w:jc w:val="left"/>
              <w:rPr>
                <w:kern w:val="22"/>
                <w:szCs w:val="22"/>
              </w:rPr>
            </w:pPr>
            <w:r w:rsidRPr="00EF524D">
              <w:t>Meta 18</w:t>
            </w:r>
          </w:p>
        </w:tc>
      </w:tr>
      <w:tr w:rsidR="00D16DAA" w:rsidRPr="00EF524D" w:rsidDel="00A13279" w14:paraId="407D13C7" w14:textId="77777777" w:rsidTr="00320361">
        <w:tc>
          <w:tcPr>
            <w:tcW w:w="2137" w:type="dxa"/>
          </w:tcPr>
          <w:p w14:paraId="7AA0D080" w14:textId="4F197A96" w:rsidR="00D16DAA" w:rsidRPr="00EF524D" w:rsidRDefault="00D16DAA" w:rsidP="00D16DAA">
            <w:pPr>
              <w:adjustRightInd w:val="0"/>
              <w:snapToGrid w:val="0"/>
              <w:spacing w:before="60" w:after="60"/>
              <w:jc w:val="left"/>
              <w:rPr>
                <w:kern w:val="22"/>
                <w:szCs w:val="22"/>
              </w:rPr>
            </w:pPr>
            <w:r w:rsidRPr="00EF524D">
              <w:t>Incentivos positivos (para el medio ambiente/la diversidad biológica)</w:t>
            </w:r>
          </w:p>
        </w:tc>
        <w:tc>
          <w:tcPr>
            <w:tcW w:w="5958" w:type="dxa"/>
          </w:tcPr>
          <w:p w14:paraId="066BBAE3" w14:textId="3D789120" w:rsidR="00D16DAA" w:rsidRPr="00EF524D" w:rsidRDefault="00D16DAA" w:rsidP="00DD5107">
            <w:pPr>
              <w:adjustRightInd w:val="0"/>
              <w:snapToGrid w:val="0"/>
              <w:spacing w:before="60" w:after="60"/>
              <w:jc w:val="left"/>
              <w:rPr>
                <w:kern w:val="22"/>
                <w:szCs w:val="22"/>
              </w:rPr>
            </w:pPr>
            <w:r w:rsidRPr="00EF524D">
              <w:t>En general, abarca</w:t>
            </w:r>
            <w:r w:rsidR="00D57973" w:rsidRPr="00EF524D">
              <w:t>n</w:t>
            </w:r>
            <w:r w:rsidRPr="00EF524D">
              <w:t xml:space="preserve"> el conjunto de incentivos económicos que proporcionan señales </w:t>
            </w:r>
            <w:r w:rsidR="00E91DD9" w:rsidRPr="00EF524D">
              <w:t>en el</w:t>
            </w:r>
            <w:r w:rsidRPr="00EF524D">
              <w:t xml:space="preserve"> mercado (tanto a los productores como a los consumidores) </w:t>
            </w:r>
            <w:r w:rsidR="00924187" w:rsidRPr="00EF524D">
              <w:t>con el fin de</w:t>
            </w:r>
            <w:r w:rsidRPr="00EF524D">
              <w:t xml:space="preserve"> promover la conservación y la utilización sostenible de la diversidad biológica. Entre ellos se encuentran los impuestos, las tasas y los </w:t>
            </w:r>
            <w:r w:rsidR="001D41C7" w:rsidRPr="00EF524D">
              <w:t>cargos</w:t>
            </w:r>
            <w:r w:rsidRPr="00EF524D">
              <w:t xml:space="preserve"> relacionados con el medio ambiente, los </w:t>
            </w:r>
            <w:r w:rsidR="001D41C7" w:rsidRPr="00EF524D">
              <w:t>sistemas</w:t>
            </w:r>
            <w:r w:rsidRPr="00EF524D">
              <w:t xml:space="preserve"> de permisos negociables, los subsidios </w:t>
            </w:r>
            <w:r w:rsidR="00DD5107" w:rsidRPr="00EF524D">
              <w:t>de carácter</w:t>
            </w:r>
            <w:r w:rsidRPr="00EF524D">
              <w:t xml:space="preserve"> ambient</w:t>
            </w:r>
            <w:r w:rsidR="00DD5107" w:rsidRPr="00EF524D">
              <w:t>al</w:t>
            </w:r>
            <w:r w:rsidRPr="00EF524D">
              <w:t xml:space="preserve">, los </w:t>
            </w:r>
            <w:r w:rsidRPr="00EF524D">
              <w:lastRenderedPageBreak/>
              <w:t xml:space="preserve">pagos por servicios de los ecosistemas y las compensaciones de diversidad biológica. Las definiciones más amplias también pueden incluir instrumentos reguladores (de mando y control) y enfoques voluntarios, aunque estas categorías se suelen incluir en la clasificación más amplia de instrumentos de política para la conservación y la utilización sostenible de la diversidad biológica. (Adaptado de </w:t>
            </w:r>
            <w:hyperlink r:id="rId63" w:history="1">
              <w:r w:rsidRPr="00EF524D">
                <w:rPr>
                  <w:rStyle w:val="Hyperlink"/>
                  <w:sz w:val="22"/>
                  <w:szCs w:val="22"/>
                </w:rPr>
                <w:t>OCDE 2021</w:t>
              </w:r>
            </w:hyperlink>
            <w:r w:rsidRPr="00EF524D">
              <w:t xml:space="preserve">) </w:t>
            </w:r>
          </w:p>
        </w:tc>
        <w:tc>
          <w:tcPr>
            <w:tcW w:w="1530" w:type="dxa"/>
          </w:tcPr>
          <w:p w14:paraId="6DED37A8" w14:textId="09DCF861" w:rsidR="00D16DAA" w:rsidRPr="00EF524D" w:rsidRDefault="00260493" w:rsidP="00D16DAA">
            <w:pPr>
              <w:adjustRightInd w:val="0"/>
              <w:snapToGrid w:val="0"/>
              <w:spacing w:before="60" w:after="60"/>
              <w:jc w:val="left"/>
              <w:rPr>
                <w:kern w:val="22"/>
                <w:szCs w:val="22"/>
              </w:rPr>
            </w:pPr>
            <w:r w:rsidRPr="00EF524D">
              <w:lastRenderedPageBreak/>
              <w:t>Meta 18</w:t>
            </w:r>
          </w:p>
        </w:tc>
      </w:tr>
      <w:tr w:rsidR="00D16DAA" w:rsidRPr="00EF524D" w:rsidDel="00A13279" w14:paraId="41453192" w14:textId="77777777" w:rsidTr="00320361">
        <w:tc>
          <w:tcPr>
            <w:tcW w:w="2137" w:type="dxa"/>
          </w:tcPr>
          <w:p w14:paraId="6BE9EAB9" w14:textId="173F0F1A" w:rsidR="00D16DAA" w:rsidRPr="00EF524D" w:rsidRDefault="00D16DAA" w:rsidP="00D16DAA">
            <w:pPr>
              <w:adjustRightInd w:val="0"/>
              <w:snapToGrid w:val="0"/>
              <w:spacing w:before="60" w:after="60"/>
              <w:jc w:val="left"/>
              <w:rPr>
                <w:kern w:val="22"/>
                <w:szCs w:val="22"/>
              </w:rPr>
            </w:pPr>
            <w:r w:rsidRPr="00EF524D">
              <w:t>Recursos financieros de todas las fuentes</w:t>
            </w:r>
          </w:p>
        </w:tc>
        <w:tc>
          <w:tcPr>
            <w:tcW w:w="5958" w:type="dxa"/>
          </w:tcPr>
          <w:p w14:paraId="07DEA54F" w14:textId="05A4827D" w:rsidR="00D16DAA" w:rsidRPr="00EF524D" w:rsidDel="00A13279" w:rsidRDefault="00D16DAA" w:rsidP="006378AF">
            <w:pPr>
              <w:adjustRightInd w:val="0"/>
              <w:snapToGrid w:val="0"/>
              <w:spacing w:before="60" w:after="60"/>
              <w:jc w:val="left"/>
              <w:rPr>
                <w:kern w:val="22"/>
                <w:szCs w:val="22"/>
              </w:rPr>
            </w:pPr>
            <w:r w:rsidRPr="00EF524D">
              <w:t>En el contexto de los recursos financieros de todas las fuentes: i) internacionales y nacionales; ii) públic</w:t>
            </w:r>
            <w:r w:rsidR="006378AF" w:rsidRPr="00EF524D">
              <w:t>a</w:t>
            </w:r>
            <w:r w:rsidRPr="00EF524D">
              <w:t>s y privad</w:t>
            </w:r>
            <w:r w:rsidR="006378AF" w:rsidRPr="00EF524D">
              <w:t>a</w:t>
            </w:r>
            <w:r w:rsidRPr="00EF524D">
              <w:t>s; iii) tradicionales e innovador</w:t>
            </w:r>
            <w:r w:rsidR="006378AF" w:rsidRPr="00EF524D">
              <w:t>a</w:t>
            </w:r>
            <w:r w:rsidRPr="00EF524D">
              <w:t>s. (Basado en</w:t>
            </w:r>
            <w:r w:rsidR="00D1555F" w:rsidRPr="00EF524D">
              <w:t xml:space="preserve"> la</w:t>
            </w:r>
            <w:r w:rsidRPr="00EF524D">
              <w:t xml:space="preserve"> </w:t>
            </w:r>
            <w:hyperlink r:id="rId64" w:history="1">
              <w:r w:rsidR="00D1555F" w:rsidRPr="00EF524D">
                <w:rPr>
                  <w:rStyle w:val="Hyperlink"/>
                  <w:sz w:val="22"/>
                  <w:szCs w:val="22"/>
                </w:rPr>
                <w:t>Decisión XI/4 del CDB</w:t>
              </w:r>
            </w:hyperlink>
            <w:r w:rsidRPr="00EF524D">
              <w:t xml:space="preserve"> y </w:t>
            </w:r>
            <w:hyperlink r:id="rId65" w:history="1">
              <w:r w:rsidRPr="00EF524D">
                <w:rPr>
                  <w:rStyle w:val="Hyperlink"/>
                  <w:sz w:val="22"/>
                  <w:szCs w:val="22"/>
                </w:rPr>
                <w:t>OCDE, 2020 p</w:t>
              </w:r>
              <w:r w:rsidR="00D1555F" w:rsidRPr="00EF524D">
                <w:rPr>
                  <w:rStyle w:val="Hyperlink"/>
                  <w:sz w:val="22"/>
                  <w:szCs w:val="22"/>
                </w:rPr>
                <w:t>ág</w:t>
              </w:r>
              <w:r w:rsidRPr="00EF524D">
                <w:rPr>
                  <w:rStyle w:val="Hyperlink"/>
                  <w:sz w:val="22"/>
                  <w:szCs w:val="22"/>
                </w:rPr>
                <w:t>.</w:t>
              </w:r>
              <w:r w:rsidR="00D1555F" w:rsidRPr="00EF524D">
                <w:rPr>
                  <w:rStyle w:val="Hyperlink"/>
                  <w:sz w:val="22"/>
                  <w:szCs w:val="22"/>
                </w:rPr>
                <w:t xml:space="preserve"> </w:t>
              </w:r>
              <w:r w:rsidRPr="00EF524D">
                <w:rPr>
                  <w:rStyle w:val="Hyperlink"/>
                  <w:sz w:val="22"/>
                  <w:szCs w:val="22"/>
                </w:rPr>
                <w:t>8</w:t>
              </w:r>
            </w:hyperlink>
            <w:r w:rsidRPr="00EF524D">
              <w:t>)</w:t>
            </w:r>
          </w:p>
        </w:tc>
        <w:tc>
          <w:tcPr>
            <w:tcW w:w="1530" w:type="dxa"/>
          </w:tcPr>
          <w:p w14:paraId="037882F9" w14:textId="53CCDB39" w:rsidR="00D16DAA" w:rsidRPr="00EF524D" w:rsidDel="00A13279" w:rsidRDefault="00D16DAA" w:rsidP="00D16DAA">
            <w:pPr>
              <w:adjustRightInd w:val="0"/>
              <w:snapToGrid w:val="0"/>
              <w:spacing w:before="60" w:after="60"/>
              <w:jc w:val="left"/>
              <w:rPr>
                <w:kern w:val="22"/>
                <w:szCs w:val="22"/>
              </w:rPr>
            </w:pPr>
            <w:r w:rsidRPr="00EF524D">
              <w:t>Meta 19.1</w:t>
            </w:r>
          </w:p>
        </w:tc>
      </w:tr>
      <w:tr w:rsidR="00D16DAA" w:rsidRPr="00EF524D" w:rsidDel="00A13279" w14:paraId="0AED5094" w14:textId="77777777" w:rsidTr="007336C5">
        <w:tc>
          <w:tcPr>
            <w:tcW w:w="2137" w:type="dxa"/>
          </w:tcPr>
          <w:p w14:paraId="711E77CB" w14:textId="3D1F39F6" w:rsidR="00D16DAA" w:rsidRPr="00EF524D" w:rsidRDefault="00D16DAA" w:rsidP="00D16DAA">
            <w:pPr>
              <w:adjustRightInd w:val="0"/>
              <w:snapToGrid w:val="0"/>
              <w:spacing w:before="60" w:after="60"/>
              <w:jc w:val="left"/>
              <w:rPr>
                <w:kern w:val="22"/>
                <w:szCs w:val="22"/>
              </w:rPr>
            </w:pPr>
            <w:r w:rsidRPr="00EF524D">
              <w:t>Pago por servicios de los ecosistemas</w:t>
            </w:r>
          </w:p>
        </w:tc>
        <w:tc>
          <w:tcPr>
            <w:tcW w:w="5958" w:type="dxa"/>
          </w:tcPr>
          <w:p w14:paraId="3FD84ADE" w14:textId="09BEC8F0" w:rsidR="00D615F8" w:rsidRPr="00EF524D" w:rsidRDefault="00D615F8" w:rsidP="00D615F8">
            <w:pPr>
              <w:adjustRightInd w:val="0"/>
              <w:snapToGrid w:val="0"/>
              <w:spacing w:before="60" w:after="60"/>
              <w:jc w:val="left"/>
              <w:rPr>
                <w:kern w:val="22"/>
                <w:szCs w:val="22"/>
              </w:rPr>
            </w:pPr>
            <w:r w:rsidRPr="00EF524D">
              <w:t>Los pagos por servicios de los ecosistemas se definen como:</w:t>
            </w:r>
          </w:p>
          <w:p w14:paraId="5883902F" w14:textId="7721F13B" w:rsidR="00D615F8" w:rsidRPr="00EF524D" w:rsidRDefault="00D615F8" w:rsidP="00D615F8">
            <w:pPr>
              <w:pStyle w:val="ListParagraph"/>
              <w:numPr>
                <w:ilvl w:val="0"/>
                <w:numId w:val="24"/>
              </w:numPr>
              <w:adjustRightInd w:val="0"/>
              <w:snapToGrid w:val="0"/>
              <w:spacing w:before="60" w:after="60"/>
              <w:jc w:val="left"/>
              <w:rPr>
                <w:kern w:val="22"/>
                <w:szCs w:val="22"/>
              </w:rPr>
            </w:pPr>
            <w:r w:rsidRPr="00EF524D">
              <w:t>una transacción de carácter voluntario en la que</w:t>
            </w:r>
          </w:p>
          <w:p w14:paraId="791F612C" w14:textId="5D9E2E1F" w:rsidR="00D615F8" w:rsidRPr="00EF524D" w:rsidRDefault="00D615F8" w:rsidP="00D615F8">
            <w:pPr>
              <w:pStyle w:val="ListParagraph"/>
              <w:numPr>
                <w:ilvl w:val="0"/>
                <w:numId w:val="24"/>
              </w:numPr>
              <w:adjustRightInd w:val="0"/>
              <w:snapToGrid w:val="0"/>
              <w:spacing w:before="60" w:after="60"/>
              <w:jc w:val="left"/>
              <w:rPr>
                <w:kern w:val="22"/>
                <w:szCs w:val="22"/>
              </w:rPr>
            </w:pPr>
            <w:r w:rsidRPr="00EF524D">
              <w:t>un servicio ambiental específico (o un uso territorial tendiente a obtener tal servicio)</w:t>
            </w:r>
          </w:p>
          <w:p w14:paraId="7C10EF0B" w14:textId="337BFEF6" w:rsidR="00D615F8" w:rsidRPr="00EF524D" w:rsidRDefault="00D615F8" w:rsidP="00D615F8">
            <w:pPr>
              <w:pStyle w:val="ListParagraph"/>
              <w:numPr>
                <w:ilvl w:val="0"/>
                <w:numId w:val="24"/>
              </w:numPr>
              <w:adjustRightInd w:val="0"/>
              <w:snapToGrid w:val="0"/>
              <w:spacing w:before="60" w:after="60"/>
              <w:jc w:val="left"/>
              <w:rPr>
                <w:kern w:val="22"/>
                <w:szCs w:val="22"/>
              </w:rPr>
            </w:pPr>
            <w:r w:rsidRPr="00EF524D">
              <w:t>es “adquirido” por (al menos) un comprador de servicios ambientales</w:t>
            </w:r>
          </w:p>
          <w:p w14:paraId="57E5FE8B" w14:textId="1639D6DA" w:rsidR="00D615F8" w:rsidRPr="00EF524D" w:rsidRDefault="00813FE5" w:rsidP="00D615F8">
            <w:pPr>
              <w:pStyle w:val="ListParagraph"/>
              <w:numPr>
                <w:ilvl w:val="0"/>
                <w:numId w:val="24"/>
              </w:numPr>
              <w:adjustRightInd w:val="0"/>
              <w:snapToGrid w:val="0"/>
              <w:spacing w:before="60" w:after="60"/>
              <w:jc w:val="left"/>
              <w:rPr>
                <w:kern w:val="22"/>
                <w:szCs w:val="22"/>
              </w:rPr>
            </w:pPr>
            <w:r w:rsidRPr="00EF524D">
              <w:t>de (al menos) un prestador de servicios ambientales</w:t>
            </w:r>
          </w:p>
          <w:p w14:paraId="17C070EA" w14:textId="1AFA4C92" w:rsidR="00D16DAA" w:rsidRPr="00EF524D" w:rsidRDefault="00D615F8" w:rsidP="00D615F8">
            <w:pPr>
              <w:pStyle w:val="ListParagraph"/>
              <w:numPr>
                <w:ilvl w:val="0"/>
                <w:numId w:val="24"/>
              </w:numPr>
              <w:adjustRightInd w:val="0"/>
              <w:snapToGrid w:val="0"/>
              <w:spacing w:before="60" w:after="60"/>
              <w:jc w:val="left"/>
              <w:rPr>
                <w:kern w:val="22"/>
                <w:szCs w:val="22"/>
              </w:rPr>
            </w:pPr>
            <w:r w:rsidRPr="00EF524D">
              <w:t>con la condición de que el prestador de servicios ambientales garantice la prestación del servicio ambiental.</w:t>
            </w:r>
          </w:p>
          <w:p w14:paraId="38E69FFB" w14:textId="071ED046" w:rsidR="00D615F8" w:rsidRPr="00EF524D" w:rsidRDefault="00D615F8" w:rsidP="00D615F8">
            <w:pPr>
              <w:adjustRightInd w:val="0"/>
              <w:snapToGrid w:val="0"/>
              <w:spacing w:before="60" w:after="60"/>
              <w:jc w:val="left"/>
              <w:rPr>
                <w:kern w:val="22"/>
                <w:szCs w:val="22"/>
              </w:rPr>
            </w:pPr>
            <w:r w:rsidRPr="00EF524D">
              <w:t>(</w:t>
            </w:r>
            <w:proofErr w:type="spellStart"/>
            <w:r w:rsidRPr="00EF524D">
              <w:t>Wunder</w:t>
            </w:r>
            <w:proofErr w:type="spellEnd"/>
            <w:r w:rsidRPr="00EF524D">
              <w:t xml:space="preserve">, S. 2005. </w:t>
            </w:r>
            <w:proofErr w:type="spellStart"/>
            <w:r w:rsidRPr="00EF524D">
              <w:rPr>
                <w:iCs/>
              </w:rPr>
              <w:t>Payments</w:t>
            </w:r>
            <w:proofErr w:type="spellEnd"/>
            <w:r w:rsidRPr="00EF524D">
              <w:rPr>
                <w:iCs/>
              </w:rPr>
              <w:t xml:space="preserve"> </w:t>
            </w:r>
            <w:proofErr w:type="spellStart"/>
            <w:r w:rsidRPr="00EF524D">
              <w:rPr>
                <w:iCs/>
              </w:rPr>
              <w:t>for</w:t>
            </w:r>
            <w:proofErr w:type="spellEnd"/>
            <w:r w:rsidRPr="00EF524D">
              <w:rPr>
                <w:iCs/>
              </w:rPr>
              <w:t xml:space="preserve"> </w:t>
            </w:r>
            <w:proofErr w:type="spellStart"/>
            <w:r w:rsidRPr="00EF524D">
              <w:rPr>
                <w:iCs/>
              </w:rPr>
              <w:t>Environmental</w:t>
            </w:r>
            <w:proofErr w:type="spellEnd"/>
            <w:r w:rsidRPr="00EF524D">
              <w:rPr>
                <w:iCs/>
              </w:rPr>
              <w:t xml:space="preserve"> </w:t>
            </w:r>
            <w:proofErr w:type="spellStart"/>
            <w:r w:rsidRPr="00EF524D">
              <w:rPr>
                <w:iCs/>
              </w:rPr>
              <w:t>Services</w:t>
            </w:r>
            <w:proofErr w:type="spellEnd"/>
            <w:r w:rsidRPr="00EF524D">
              <w:rPr>
                <w:iCs/>
              </w:rPr>
              <w:t>:</w:t>
            </w:r>
            <w:r w:rsidRPr="00EF524D">
              <w:t xml:space="preserve"> </w:t>
            </w:r>
            <w:proofErr w:type="spellStart"/>
            <w:r w:rsidRPr="00EF524D">
              <w:rPr>
                <w:iCs/>
              </w:rPr>
              <w:t>Some</w:t>
            </w:r>
            <w:proofErr w:type="spellEnd"/>
            <w:r w:rsidRPr="00EF524D">
              <w:rPr>
                <w:iCs/>
              </w:rPr>
              <w:t xml:space="preserve"> </w:t>
            </w:r>
            <w:proofErr w:type="spellStart"/>
            <w:r w:rsidRPr="00EF524D">
              <w:rPr>
                <w:iCs/>
              </w:rPr>
              <w:t>Nuts</w:t>
            </w:r>
            <w:proofErr w:type="spellEnd"/>
            <w:r w:rsidRPr="00EF524D">
              <w:rPr>
                <w:iCs/>
              </w:rPr>
              <w:t xml:space="preserve"> and </w:t>
            </w:r>
            <w:proofErr w:type="spellStart"/>
            <w:r w:rsidRPr="00EF524D">
              <w:rPr>
                <w:iCs/>
              </w:rPr>
              <w:t>Bolts</w:t>
            </w:r>
            <w:proofErr w:type="spellEnd"/>
            <w:r w:rsidRPr="00EF524D">
              <w:rPr>
                <w:i/>
                <w:iCs/>
              </w:rPr>
              <w:t>.</w:t>
            </w:r>
            <w:r w:rsidRPr="00EF524D">
              <w:t xml:space="preserve"> </w:t>
            </w:r>
            <w:proofErr w:type="spellStart"/>
            <w:r w:rsidRPr="00EF524D">
              <w:t>CIFOR</w:t>
            </w:r>
            <w:proofErr w:type="spellEnd"/>
            <w:r w:rsidRPr="00EF524D">
              <w:t>, Documento ocasional Nro. 42,  https://www.jstor.org/stable/resrep01829#metadata_info_tab_contents)</w:t>
            </w:r>
          </w:p>
        </w:tc>
        <w:tc>
          <w:tcPr>
            <w:tcW w:w="1530" w:type="dxa"/>
          </w:tcPr>
          <w:p w14:paraId="02943621" w14:textId="0CAA41C6" w:rsidR="00D16DAA" w:rsidRPr="00EF524D" w:rsidRDefault="00D16DAA" w:rsidP="00D16DAA">
            <w:pPr>
              <w:adjustRightInd w:val="0"/>
              <w:snapToGrid w:val="0"/>
              <w:spacing w:before="60" w:after="60"/>
              <w:jc w:val="left"/>
              <w:rPr>
                <w:kern w:val="22"/>
                <w:szCs w:val="22"/>
              </w:rPr>
            </w:pPr>
            <w:r w:rsidRPr="00EF524D">
              <w:t>Meta 19.1</w:t>
            </w:r>
          </w:p>
        </w:tc>
      </w:tr>
      <w:tr w:rsidR="00D16DAA" w:rsidRPr="00EF524D" w:rsidDel="00A13279" w14:paraId="36973760" w14:textId="77777777" w:rsidTr="007336C5">
        <w:tc>
          <w:tcPr>
            <w:tcW w:w="2137" w:type="dxa"/>
          </w:tcPr>
          <w:p w14:paraId="5F014EF7" w14:textId="76607DA3" w:rsidR="00D16DAA" w:rsidRPr="00EF524D" w:rsidRDefault="00D16DAA" w:rsidP="00D16DAA">
            <w:pPr>
              <w:adjustRightInd w:val="0"/>
              <w:snapToGrid w:val="0"/>
              <w:spacing w:before="60" w:after="60"/>
              <w:jc w:val="left"/>
              <w:rPr>
                <w:kern w:val="22"/>
                <w:szCs w:val="22"/>
              </w:rPr>
            </w:pPr>
            <w:r w:rsidRPr="00EF524D">
              <w:t>Acciones centradas en la Madre Tierra</w:t>
            </w:r>
          </w:p>
        </w:tc>
        <w:tc>
          <w:tcPr>
            <w:tcW w:w="5958" w:type="dxa"/>
          </w:tcPr>
          <w:p w14:paraId="503F40AE" w14:textId="659795D1" w:rsidR="00D16DAA" w:rsidRPr="00EF524D" w:rsidDel="00A13279" w:rsidRDefault="00D16DAA" w:rsidP="009D2250">
            <w:pPr>
              <w:adjustRightInd w:val="0"/>
              <w:snapToGrid w:val="0"/>
              <w:spacing w:before="60" w:after="60"/>
              <w:jc w:val="left"/>
              <w:rPr>
                <w:kern w:val="22"/>
                <w:szCs w:val="22"/>
              </w:rPr>
            </w:pPr>
            <w:r w:rsidRPr="00EF524D">
              <w:t xml:space="preserve">Enfoque </w:t>
            </w:r>
            <w:proofErr w:type="spellStart"/>
            <w:r w:rsidRPr="00EF524D">
              <w:t>ecocéntrico</w:t>
            </w:r>
            <w:proofErr w:type="spellEnd"/>
            <w:r w:rsidRPr="00EF524D">
              <w:t xml:space="preserve"> y basado en derechos que </w:t>
            </w:r>
            <w:r w:rsidR="00095FD5" w:rsidRPr="00EF524D">
              <w:t>posibilita</w:t>
            </w:r>
            <w:r w:rsidRPr="00EF524D">
              <w:t xml:space="preserve"> la implementación de acciones tendientes a </w:t>
            </w:r>
            <w:r w:rsidR="005A787D" w:rsidRPr="00EF524D">
              <w:t>lograr relaciones armónicas</w:t>
            </w:r>
            <w:r w:rsidRPr="00EF524D">
              <w:t xml:space="preserve"> y complementaria</w:t>
            </w:r>
            <w:r w:rsidR="005A787D" w:rsidRPr="00EF524D">
              <w:t>s</w:t>
            </w:r>
            <w:r w:rsidRPr="00EF524D">
              <w:t xml:space="preserve"> entre </w:t>
            </w:r>
            <w:r w:rsidR="00AC7DA6" w:rsidRPr="00EF524D">
              <w:t>las personas</w:t>
            </w:r>
            <w:r w:rsidRPr="00EF524D">
              <w:t xml:space="preserve"> y la naturaleza, promoviendo la continuidad de todos los seres vivos y sus comunidades y </w:t>
            </w:r>
            <w:r w:rsidR="009D2250" w:rsidRPr="00EF524D">
              <w:t>garantizando</w:t>
            </w:r>
            <w:r w:rsidRPr="00EF524D">
              <w:t xml:space="preserve"> la no mercantilización de las funciones ambientales de la Madre Tierra.</w:t>
            </w:r>
          </w:p>
        </w:tc>
        <w:tc>
          <w:tcPr>
            <w:tcW w:w="1530" w:type="dxa"/>
          </w:tcPr>
          <w:p w14:paraId="25A14315" w14:textId="0706CA79" w:rsidR="00D16DAA" w:rsidRPr="00EF524D" w:rsidDel="00A13279" w:rsidRDefault="00D16DAA" w:rsidP="00D16DAA">
            <w:pPr>
              <w:adjustRightInd w:val="0"/>
              <w:snapToGrid w:val="0"/>
              <w:spacing w:before="60" w:after="60"/>
              <w:jc w:val="left"/>
              <w:rPr>
                <w:kern w:val="22"/>
                <w:szCs w:val="22"/>
              </w:rPr>
            </w:pPr>
            <w:r w:rsidRPr="00EF524D">
              <w:t>Meta 19.1</w:t>
            </w:r>
          </w:p>
        </w:tc>
      </w:tr>
      <w:tr w:rsidR="00D16DAA" w:rsidRPr="00EF524D" w:rsidDel="00A13279" w14:paraId="4E4B30DA" w14:textId="77777777" w:rsidTr="007336C5">
        <w:tc>
          <w:tcPr>
            <w:tcW w:w="2137" w:type="dxa"/>
          </w:tcPr>
          <w:p w14:paraId="2A11E182" w14:textId="1A8F32BB" w:rsidR="00D16DAA" w:rsidRPr="00EF524D" w:rsidRDefault="00D16DAA" w:rsidP="00D16DAA">
            <w:pPr>
              <w:adjustRightInd w:val="0"/>
              <w:snapToGrid w:val="0"/>
              <w:spacing w:before="60" w:after="60"/>
              <w:jc w:val="left"/>
              <w:rPr>
                <w:kern w:val="22"/>
                <w:szCs w:val="22"/>
              </w:rPr>
            </w:pPr>
            <w:r w:rsidRPr="00EF524D">
              <w:t>Defensores de los derechos humanos relacionados con el medio ambiente</w:t>
            </w:r>
          </w:p>
        </w:tc>
        <w:tc>
          <w:tcPr>
            <w:tcW w:w="5958" w:type="dxa"/>
          </w:tcPr>
          <w:p w14:paraId="0B04FDC3" w14:textId="57ECC2A8" w:rsidR="00D16DAA" w:rsidRPr="00EF524D" w:rsidDel="00A13279" w:rsidRDefault="00D16DAA" w:rsidP="0015311F">
            <w:pPr>
              <w:adjustRightInd w:val="0"/>
              <w:snapToGrid w:val="0"/>
              <w:spacing w:before="60" w:after="60"/>
              <w:jc w:val="left"/>
              <w:rPr>
                <w:kern w:val="22"/>
                <w:szCs w:val="22"/>
              </w:rPr>
            </w:pPr>
            <w:r w:rsidRPr="00EF524D">
              <w:t xml:space="preserve">Personas y grupos que, a título personal o profesional y de forma pacífica, se esfuerzan por proteger y promover los derechos humanos relacionados con el medio ambiente, en </w:t>
            </w:r>
            <w:r w:rsidR="004B155E" w:rsidRPr="00EF524D">
              <w:t>particular</w:t>
            </w:r>
            <w:r w:rsidRPr="00EF524D">
              <w:t xml:space="preserve"> el agua, el aire, la tierra, la flora y la fauna</w:t>
            </w:r>
            <w:r w:rsidR="008F480E" w:rsidRPr="00EF524D">
              <w:t>.</w:t>
            </w:r>
            <w:r w:rsidRPr="00EF524D">
              <w:t xml:space="preserve"> (</w:t>
            </w:r>
            <w:hyperlink r:id="rId66" w:history="1">
              <w:r w:rsidR="00025BC7" w:rsidRPr="00EF524D">
                <w:rPr>
                  <w:rStyle w:val="Hyperlink"/>
                  <w:sz w:val="22"/>
                  <w:szCs w:val="22"/>
                </w:rPr>
                <w:t>PNUM</w:t>
              </w:r>
              <w:r w:rsidR="0015311F" w:rsidRPr="00EF524D">
                <w:rPr>
                  <w:rStyle w:val="Hyperlink"/>
                  <w:sz w:val="22"/>
                  <w:szCs w:val="22"/>
                </w:rPr>
                <w:t>A</w:t>
              </w:r>
            </w:hyperlink>
            <w:r w:rsidRPr="00EF524D">
              <w:t>)</w:t>
            </w:r>
          </w:p>
        </w:tc>
        <w:tc>
          <w:tcPr>
            <w:tcW w:w="1530" w:type="dxa"/>
          </w:tcPr>
          <w:p w14:paraId="5987EAE5" w14:textId="6EFD2EF2" w:rsidR="00D16DAA" w:rsidRPr="00EF524D" w:rsidDel="00A13279" w:rsidRDefault="00D16DAA" w:rsidP="00D16DAA">
            <w:pPr>
              <w:adjustRightInd w:val="0"/>
              <w:snapToGrid w:val="0"/>
              <w:spacing w:before="60" w:after="60"/>
              <w:jc w:val="left"/>
              <w:rPr>
                <w:kern w:val="22"/>
                <w:szCs w:val="22"/>
              </w:rPr>
            </w:pPr>
            <w:r w:rsidRPr="00EF524D">
              <w:t>Meta 21</w:t>
            </w:r>
          </w:p>
        </w:tc>
      </w:tr>
      <w:tr w:rsidR="00D16DAA" w:rsidRPr="00EF524D" w:rsidDel="00A13279" w14:paraId="402564E4" w14:textId="77777777" w:rsidTr="00434B1E">
        <w:tc>
          <w:tcPr>
            <w:tcW w:w="2137" w:type="dxa"/>
          </w:tcPr>
          <w:p w14:paraId="75AF3ECD" w14:textId="0CF7B288" w:rsidR="00D16DAA" w:rsidRPr="00EF524D" w:rsidRDefault="00D16DAA" w:rsidP="00D37E66">
            <w:pPr>
              <w:adjustRightInd w:val="0"/>
              <w:snapToGrid w:val="0"/>
              <w:spacing w:before="60" w:after="60"/>
              <w:jc w:val="left"/>
              <w:rPr>
                <w:kern w:val="22"/>
                <w:szCs w:val="22"/>
              </w:rPr>
            </w:pPr>
            <w:r w:rsidRPr="00EF524D">
              <w:t xml:space="preserve">Enfoque </w:t>
            </w:r>
            <w:r w:rsidR="00D37E66" w:rsidRPr="00EF524D">
              <w:t>con perspectiva</w:t>
            </w:r>
            <w:r w:rsidRPr="00EF524D">
              <w:t xml:space="preserve"> de género</w:t>
            </w:r>
          </w:p>
        </w:tc>
        <w:tc>
          <w:tcPr>
            <w:tcW w:w="5958" w:type="dxa"/>
          </w:tcPr>
          <w:p w14:paraId="19D45FAD" w14:textId="45473784" w:rsidR="00D16DAA" w:rsidRPr="00EF524D" w:rsidRDefault="00D16DAA" w:rsidP="00D16DAA">
            <w:pPr>
              <w:adjustRightInd w:val="0"/>
              <w:snapToGrid w:val="0"/>
              <w:spacing w:before="60" w:after="60"/>
              <w:jc w:val="left"/>
              <w:rPr>
                <w:kern w:val="22"/>
                <w:szCs w:val="22"/>
              </w:rPr>
            </w:pPr>
            <w:r w:rsidRPr="00EF524D">
              <w:t xml:space="preserve">Un enfoque </w:t>
            </w:r>
            <w:r w:rsidR="002D6AE8" w:rsidRPr="00EF524D">
              <w:t>con perspectiva</w:t>
            </w:r>
            <w:r w:rsidRPr="00EF524D">
              <w:t xml:space="preserve"> de género es aquel que va más allá de “no hacer daño” para “</w:t>
            </w:r>
            <w:r w:rsidR="002907D0" w:rsidRPr="00EF524D">
              <w:t>mejorar</w:t>
            </w:r>
            <w:r w:rsidRPr="00EF524D">
              <w:t xml:space="preserve">”, con el fin de cambiar las normas de género, así como los roles y el acceso a los recursos. La </w:t>
            </w:r>
            <w:r w:rsidR="00646897" w:rsidRPr="00EF524D">
              <w:t>perspectiva</w:t>
            </w:r>
            <w:r w:rsidRPr="00EF524D">
              <w:t xml:space="preserve"> de género se refiere a los procesos y resultados que reflejan una comprensión de la dinámica, los roles y las desigualdades de género en una sociedad determinada y los tienen en cuenta, y que fomentan la </w:t>
            </w:r>
            <w:r w:rsidR="002A30D4" w:rsidRPr="00EF524D">
              <w:t xml:space="preserve">equidad y la </w:t>
            </w:r>
            <w:r w:rsidRPr="00EF524D">
              <w:t xml:space="preserve">participación justa en los beneficios. Los enfoques </w:t>
            </w:r>
            <w:r w:rsidR="002D6AE8" w:rsidRPr="00EF524D">
              <w:t>con perspectiva</w:t>
            </w:r>
            <w:r w:rsidRPr="00EF524D">
              <w:t xml:space="preserve"> de género se basan en análisis de género para comprender las normas y expectativas respecto a las mujeres y las niñas y los hombres y los niños en los contextos pertinentes, con el fin de fundamentar el diseño de intervenciones adecuadas.</w:t>
            </w:r>
          </w:p>
          <w:p w14:paraId="5F093DC6" w14:textId="2165D980" w:rsidR="00D16DAA" w:rsidRPr="00EF524D" w:rsidDel="00A13279" w:rsidRDefault="00D16DAA" w:rsidP="00C94AE7">
            <w:pPr>
              <w:adjustRightInd w:val="0"/>
              <w:snapToGrid w:val="0"/>
              <w:spacing w:before="60" w:after="60"/>
              <w:jc w:val="left"/>
              <w:rPr>
                <w:kern w:val="22"/>
                <w:szCs w:val="22"/>
              </w:rPr>
            </w:pPr>
            <w:r w:rsidRPr="00EF524D">
              <w:lastRenderedPageBreak/>
              <w:t>(CD</w:t>
            </w:r>
            <w:r w:rsidR="00C94AE7" w:rsidRPr="00EF524D">
              <w:t>B</w:t>
            </w:r>
            <w:r w:rsidRPr="00EF524D">
              <w:t xml:space="preserve">, SBI3, </w:t>
            </w:r>
            <w:hyperlink r:id="rId67" w:history="1">
              <w:r w:rsidRPr="00EF524D">
                <w:rPr>
                  <w:rStyle w:val="Hyperlink"/>
                  <w:sz w:val="22"/>
                  <w:szCs w:val="22"/>
                </w:rPr>
                <w:t>https://www.cbd.int/doc/c/444a/f794/c4ff3e8f037180bb33fa0afc/sbi-03-inf-41-en.pdf</w:t>
              </w:r>
            </w:hyperlink>
            <w:r w:rsidRPr="00EF524D">
              <w:t>)</w:t>
            </w:r>
          </w:p>
        </w:tc>
        <w:tc>
          <w:tcPr>
            <w:tcW w:w="1530" w:type="dxa"/>
          </w:tcPr>
          <w:p w14:paraId="0093C627" w14:textId="4EEEFE63" w:rsidR="00D16DAA" w:rsidRPr="00EF524D" w:rsidDel="00A13279" w:rsidRDefault="00D16DAA" w:rsidP="00D16DAA">
            <w:pPr>
              <w:adjustRightInd w:val="0"/>
              <w:snapToGrid w:val="0"/>
              <w:spacing w:before="60" w:after="60"/>
              <w:jc w:val="left"/>
              <w:rPr>
                <w:kern w:val="22"/>
                <w:szCs w:val="22"/>
              </w:rPr>
            </w:pPr>
            <w:r w:rsidRPr="00EF524D">
              <w:lastRenderedPageBreak/>
              <w:t>Meta 22</w:t>
            </w:r>
          </w:p>
        </w:tc>
      </w:tr>
      <w:tr w:rsidR="00D16DAA" w:rsidRPr="00EF524D" w:rsidDel="00A13279" w14:paraId="0AFC7037" w14:textId="77777777" w:rsidTr="00434B1E">
        <w:tc>
          <w:tcPr>
            <w:tcW w:w="2137" w:type="dxa"/>
          </w:tcPr>
          <w:p w14:paraId="7D79D338" w14:textId="403F3C12" w:rsidR="00D16DAA" w:rsidRPr="00EF524D" w:rsidDel="00A13279" w:rsidRDefault="00D16DAA" w:rsidP="00D16DAA">
            <w:pPr>
              <w:adjustRightInd w:val="0"/>
              <w:snapToGrid w:val="0"/>
              <w:spacing w:before="60" w:after="60"/>
              <w:jc w:val="left"/>
              <w:rPr>
                <w:kern w:val="22"/>
                <w:szCs w:val="22"/>
              </w:rPr>
            </w:pPr>
            <w:r w:rsidRPr="00EF524D">
              <w:t>Medios de implementación</w:t>
            </w:r>
          </w:p>
        </w:tc>
        <w:tc>
          <w:tcPr>
            <w:tcW w:w="5958" w:type="dxa"/>
          </w:tcPr>
          <w:p w14:paraId="45A91091" w14:textId="6BACC9D8" w:rsidR="00D16DAA" w:rsidRPr="00EF524D" w:rsidDel="00A13279" w:rsidRDefault="00D16DAA" w:rsidP="00D677F2">
            <w:pPr>
              <w:adjustRightInd w:val="0"/>
              <w:snapToGrid w:val="0"/>
              <w:spacing w:before="60" w:after="60"/>
              <w:jc w:val="left"/>
              <w:rPr>
                <w:kern w:val="22"/>
                <w:szCs w:val="22"/>
              </w:rPr>
            </w:pPr>
            <w:r w:rsidRPr="00EF524D">
              <w:t>Una combinación interdependiente de recursos financieros, capacidad, tecnología, conocimientos</w:t>
            </w:r>
            <w:r w:rsidR="00D677F2" w:rsidRPr="00EF524D">
              <w:t xml:space="preserve"> y</w:t>
            </w:r>
            <w:r w:rsidRPr="00EF524D">
              <w:t xml:space="preserve"> asociaciones, </w:t>
            </w:r>
            <w:r w:rsidR="00C94AE7" w:rsidRPr="00EF524D">
              <w:t>además d</w:t>
            </w:r>
            <w:r w:rsidRPr="00EF524D">
              <w:t>el entorno de implementación, que son necesarios para implementar el marco, especialmente en los países en desarrollo.</w:t>
            </w:r>
          </w:p>
        </w:tc>
        <w:tc>
          <w:tcPr>
            <w:tcW w:w="1530" w:type="dxa"/>
          </w:tcPr>
          <w:p w14:paraId="01ED6305" w14:textId="77777777" w:rsidR="00D16DAA" w:rsidRPr="00EF524D" w:rsidDel="00A13279" w:rsidRDefault="00D16DAA" w:rsidP="00D16DAA">
            <w:pPr>
              <w:adjustRightInd w:val="0"/>
              <w:snapToGrid w:val="0"/>
              <w:spacing w:before="60" w:after="60"/>
              <w:jc w:val="left"/>
              <w:rPr>
                <w:kern w:val="22"/>
                <w:szCs w:val="22"/>
              </w:rPr>
            </w:pPr>
          </w:p>
        </w:tc>
      </w:tr>
    </w:tbl>
    <w:p w14:paraId="14C3AE46" w14:textId="25A27E0A" w:rsidR="00C9161D" w:rsidRPr="00EF524D" w:rsidRDefault="00E84DA4" w:rsidP="0012663D">
      <w:pPr>
        <w:jc w:val="center"/>
        <w:rPr>
          <w:kern w:val="22"/>
          <w:szCs w:val="22"/>
        </w:rPr>
      </w:pPr>
      <w:r w:rsidRPr="00EF524D">
        <w:rPr>
          <w:snapToGrid w:val="0"/>
          <w:szCs w:val="22"/>
        </w:rPr>
        <w:t>__________</w:t>
      </w:r>
    </w:p>
    <w:sectPr w:rsidR="00C9161D" w:rsidRPr="00EF524D" w:rsidSect="00F51E9A">
      <w:headerReference w:type="even" r:id="rId68"/>
      <w:headerReference w:type="default" r:id="rId69"/>
      <w:footerReference w:type="even" r:id="rId70"/>
      <w:footerReference w:type="default" r:id="rId71"/>
      <w:headerReference w:type="first" r:id="rId72"/>
      <w:pgSz w:w="12240" w:h="15840" w:code="1"/>
      <w:pgMar w:top="360"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EBAAD" w14:textId="77777777" w:rsidR="00DE4473" w:rsidRDefault="00DE4473" w:rsidP="00CF1848">
      <w:r>
        <w:separator/>
      </w:r>
    </w:p>
  </w:endnote>
  <w:endnote w:type="continuationSeparator" w:id="0">
    <w:p w14:paraId="79540D8F" w14:textId="77777777" w:rsidR="00DE4473" w:rsidRDefault="00DE4473" w:rsidP="00CF1848">
      <w:r>
        <w:continuationSeparator/>
      </w:r>
    </w:p>
  </w:endnote>
  <w:endnote w:type="continuationNotice" w:id="1">
    <w:p w14:paraId="15A55EBF" w14:textId="77777777" w:rsidR="00DE4473" w:rsidRDefault="00DE4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94329790"/>
      <w:docPartObj>
        <w:docPartGallery w:val="Page Numbers (Bottom of Page)"/>
        <w:docPartUnique/>
      </w:docPartObj>
    </w:sdtPr>
    <w:sdtEndPr>
      <w:rPr>
        <w:rStyle w:val="PageNumber"/>
      </w:rPr>
    </w:sdtEndPr>
    <w:sdtContent>
      <w:p w14:paraId="4CEBD02A" w14:textId="7D93E2D2" w:rsidR="00CD31B7" w:rsidRDefault="00CD31B7" w:rsidP="00E22E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6086F">
          <w:rPr>
            <w:rStyle w:val="PageNumber"/>
            <w:noProof/>
          </w:rPr>
          <w:t>4</w:t>
        </w:r>
        <w:r>
          <w:rPr>
            <w:rStyle w:val="PageNumber"/>
          </w:rPr>
          <w:fldChar w:fldCharType="end"/>
        </w:r>
      </w:p>
    </w:sdtContent>
  </w:sdt>
  <w:p w14:paraId="10090F05" w14:textId="77777777" w:rsidR="00CD31B7" w:rsidRDefault="00CD31B7" w:rsidP="00863139">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38834373"/>
      <w:docPartObj>
        <w:docPartGallery w:val="Page Numbers (Bottom of Page)"/>
        <w:docPartUnique/>
      </w:docPartObj>
    </w:sdtPr>
    <w:sdtEndPr>
      <w:rPr>
        <w:rStyle w:val="PageNumber"/>
      </w:rPr>
    </w:sdtEndPr>
    <w:sdtContent>
      <w:p w14:paraId="04D86F3E" w14:textId="4D11FD1A" w:rsidR="00CD31B7" w:rsidRDefault="00CD31B7" w:rsidP="00E22EB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6086F">
          <w:rPr>
            <w:rStyle w:val="PageNumber"/>
            <w:noProof/>
          </w:rPr>
          <w:t>3</w:t>
        </w:r>
        <w:r>
          <w:rPr>
            <w:rStyle w:val="PageNumber"/>
          </w:rPr>
          <w:fldChar w:fldCharType="end"/>
        </w:r>
      </w:p>
    </w:sdtContent>
  </w:sdt>
  <w:p w14:paraId="23B57F11" w14:textId="77777777" w:rsidR="00CD31B7" w:rsidRDefault="00CD3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A94F3" w14:textId="77777777" w:rsidR="00DE4473" w:rsidRDefault="00DE4473" w:rsidP="00CF1848">
      <w:r>
        <w:separator/>
      </w:r>
    </w:p>
  </w:footnote>
  <w:footnote w:type="continuationSeparator" w:id="0">
    <w:p w14:paraId="4187AA9A" w14:textId="77777777" w:rsidR="00DE4473" w:rsidRDefault="00DE4473" w:rsidP="00CF1848">
      <w:r>
        <w:continuationSeparator/>
      </w:r>
    </w:p>
  </w:footnote>
  <w:footnote w:type="continuationNotice" w:id="1">
    <w:p w14:paraId="40A5AA16" w14:textId="77777777" w:rsidR="00DE4473" w:rsidRDefault="00DE4473"/>
  </w:footnote>
  <w:footnote w:id="2">
    <w:p w14:paraId="2015298F" w14:textId="7E53C5FA" w:rsidR="00FB2DDA" w:rsidRPr="006D1A5F" w:rsidRDefault="00FB2DDA" w:rsidP="006D1A5F">
      <w:pPr>
        <w:pStyle w:val="FootnoteText"/>
        <w:ind w:firstLine="0"/>
      </w:pPr>
      <w:r>
        <w:rPr>
          <w:rStyle w:val="FootnoteReference"/>
        </w:rPr>
        <w:t>*</w:t>
      </w:r>
      <w:r>
        <w:t xml:space="preserve"> </w:t>
      </w:r>
      <w:proofErr w:type="spellStart"/>
      <w:r>
        <w:t>CBD</w:t>
      </w:r>
      <w:proofErr w:type="spellEnd"/>
      <w:r>
        <w:t>/WG2020/5/1.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A3AAC" w14:textId="3E6550AB" w:rsidR="00CD31B7" w:rsidRDefault="000D7248" w:rsidP="00863139">
    <w:pPr>
      <w:pStyle w:val="Header"/>
      <w:tabs>
        <w:tab w:val="clear" w:pos="4320"/>
        <w:tab w:val="clear" w:pos="8640"/>
      </w:tabs>
      <w:rPr>
        <w:noProof/>
      </w:rPr>
    </w:pPr>
    <w:proofErr w:type="spellStart"/>
    <w:r>
      <w:t>CBD</w:t>
    </w:r>
    <w:proofErr w:type="spellEnd"/>
    <w:r>
      <w:t>/WG2020/5/4</w:t>
    </w:r>
  </w:p>
  <w:p w14:paraId="67511249" w14:textId="05D8A6A8" w:rsidR="000D7248" w:rsidRPr="00863139" w:rsidRDefault="000D7248" w:rsidP="006D1A5F">
    <w:pPr>
      <w:pStyle w:val="Header"/>
      <w:tabs>
        <w:tab w:val="clear" w:pos="4320"/>
        <w:tab w:val="clear" w:pos="8640"/>
      </w:tabs>
      <w:spacing w:after="240"/>
      <w:rPr>
        <w:noProof/>
      </w:rPr>
    </w:pPr>
    <w:r>
      <w:t xml:space="preserve">Página </w:t>
    </w:r>
    <w:r>
      <w:fldChar w:fldCharType="begin"/>
    </w:r>
    <w:r>
      <w:instrText xml:space="preserve"> PAGE   \* MERGEFORMAT </w:instrText>
    </w:r>
    <w:r>
      <w:fldChar w:fldCharType="separate"/>
    </w:r>
    <w:r w:rsidR="0026086F">
      <w:rP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70539" w14:textId="77777777" w:rsidR="000D7248" w:rsidRDefault="000D7248" w:rsidP="006D1A5F">
    <w:pPr>
      <w:pStyle w:val="Header"/>
      <w:tabs>
        <w:tab w:val="clear" w:pos="4320"/>
        <w:tab w:val="clear" w:pos="8640"/>
      </w:tabs>
      <w:jc w:val="right"/>
      <w:rPr>
        <w:noProof/>
      </w:rPr>
    </w:pPr>
    <w:proofErr w:type="spellStart"/>
    <w:r>
      <w:t>CBD</w:t>
    </w:r>
    <w:proofErr w:type="spellEnd"/>
    <w:r>
      <w:t>/WG2020/5/4</w:t>
    </w:r>
  </w:p>
  <w:p w14:paraId="34714F2B" w14:textId="02C695B3" w:rsidR="00CD31B7" w:rsidRPr="00863139" w:rsidRDefault="000D7248" w:rsidP="006D1A5F">
    <w:pPr>
      <w:pStyle w:val="Header"/>
      <w:tabs>
        <w:tab w:val="clear" w:pos="4320"/>
        <w:tab w:val="clear" w:pos="8640"/>
      </w:tabs>
      <w:spacing w:after="240"/>
      <w:jc w:val="right"/>
      <w:rPr>
        <w:noProof/>
      </w:rPr>
    </w:pPr>
    <w:r>
      <w:t xml:space="preserve">Página </w:t>
    </w:r>
    <w:r>
      <w:fldChar w:fldCharType="begin"/>
    </w:r>
    <w:r>
      <w:instrText xml:space="preserve"> PAGE   \* MERGEFORMAT </w:instrText>
    </w:r>
    <w:r>
      <w:fldChar w:fldCharType="separate"/>
    </w:r>
    <w:r w:rsidR="0026086F">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E5C82" w14:textId="77777777" w:rsidR="00CD31B7" w:rsidRPr="0069048A" w:rsidRDefault="00CD31B7" w:rsidP="00C87096">
    <w:pPr>
      <w:pStyle w:val="Header"/>
      <w:jc w:val="center"/>
      <w:rPr>
        <w:color w:val="FF0000"/>
      </w:rPr>
    </w:pPr>
  </w:p>
  <w:p w14:paraId="0CC3CC4C" w14:textId="77777777" w:rsidR="00CD31B7" w:rsidRDefault="00CD3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AF634E"/>
    <w:multiLevelType w:val="hybridMultilevel"/>
    <w:tmpl w:val="F766B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2F169A"/>
    <w:multiLevelType w:val="hybridMultilevel"/>
    <w:tmpl w:val="621C435A"/>
    <w:lvl w:ilvl="0" w:tplc="A37A22DA">
      <w:start w:val="1"/>
      <w:numFmt w:val="lowerLetter"/>
      <w:lvlText w:val="%1."/>
      <w:lvlJc w:val="left"/>
      <w:pPr>
        <w:ind w:left="900" w:hanging="54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FF4E37"/>
    <w:multiLevelType w:val="hybridMultilevel"/>
    <w:tmpl w:val="B8807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9"/>
  </w:num>
  <w:num w:numId="22">
    <w:abstractNumId w:val="17"/>
  </w:num>
  <w:num w:numId="23">
    <w:abstractNumId w:val="14"/>
  </w:num>
  <w:num w:numId="24">
    <w:abstractNumId w:val="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ctiveWritingStyle w:appName="MSWord" w:lang="es-ES"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fr-CA" w:vendorID="64" w:dllVersion="0" w:nlCheck="1" w:checkStyle="0"/>
  <w:activeWritingStyle w:appName="MSWord" w:lang="es-UY" w:vendorID="64" w:dllVersion="131078" w:nlCheck="1" w:checkStyle="0"/>
  <w:activeWritingStyle w:appName="MSWord" w:lang="en-US" w:vendorID="64" w:dllVersion="131078" w:nlCheck="1" w:checkStyle="1"/>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2CD5"/>
    <w:rsid w:val="0001263A"/>
    <w:rsid w:val="000172DE"/>
    <w:rsid w:val="00021E2F"/>
    <w:rsid w:val="00021EC4"/>
    <w:rsid w:val="00024FDB"/>
    <w:rsid w:val="00025BC7"/>
    <w:rsid w:val="00026816"/>
    <w:rsid w:val="000315DC"/>
    <w:rsid w:val="00035F88"/>
    <w:rsid w:val="000361EB"/>
    <w:rsid w:val="000401DB"/>
    <w:rsid w:val="0004449E"/>
    <w:rsid w:val="000460E3"/>
    <w:rsid w:val="0005296E"/>
    <w:rsid w:val="00055488"/>
    <w:rsid w:val="00056635"/>
    <w:rsid w:val="0005745C"/>
    <w:rsid w:val="00063F2A"/>
    <w:rsid w:val="0007171B"/>
    <w:rsid w:val="000736FB"/>
    <w:rsid w:val="00073F93"/>
    <w:rsid w:val="00081533"/>
    <w:rsid w:val="000925A9"/>
    <w:rsid w:val="00095FD5"/>
    <w:rsid w:val="000C161E"/>
    <w:rsid w:val="000C1AA2"/>
    <w:rsid w:val="000C7677"/>
    <w:rsid w:val="000D04D7"/>
    <w:rsid w:val="000D2350"/>
    <w:rsid w:val="000D7248"/>
    <w:rsid w:val="000E41B2"/>
    <w:rsid w:val="000E673A"/>
    <w:rsid w:val="000E7901"/>
    <w:rsid w:val="000F0053"/>
    <w:rsid w:val="000F00EA"/>
    <w:rsid w:val="000F0903"/>
    <w:rsid w:val="000F316A"/>
    <w:rsid w:val="000F74F5"/>
    <w:rsid w:val="000F755C"/>
    <w:rsid w:val="000F7AF5"/>
    <w:rsid w:val="00100199"/>
    <w:rsid w:val="001034C3"/>
    <w:rsid w:val="00105372"/>
    <w:rsid w:val="001108BB"/>
    <w:rsid w:val="001122BC"/>
    <w:rsid w:val="001202DE"/>
    <w:rsid w:val="00124C79"/>
    <w:rsid w:val="0012619C"/>
    <w:rsid w:val="0012663D"/>
    <w:rsid w:val="001312AD"/>
    <w:rsid w:val="00131E7A"/>
    <w:rsid w:val="00134846"/>
    <w:rsid w:val="0013640D"/>
    <w:rsid w:val="00151AFE"/>
    <w:rsid w:val="0015311F"/>
    <w:rsid w:val="001579FA"/>
    <w:rsid w:val="00166E0F"/>
    <w:rsid w:val="00172AF6"/>
    <w:rsid w:val="00172CBB"/>
    <w:rsid w:val="00173AE5"/>
    <w:rsid w:val="00175747"/>
    <w:rsid w:val="00176CEE"/>
    <w:rsid w:val="00180BF6"/>
    <w:rsid w:val="0018565E"/>
    <w:rsid w:val="00186DD8"/>
    <w:rsid w:val="001A1CB2"/>
    <w:rsid w:val="001A3891"/>
    <w:rsid w:val="001A7A11"/>
    <w:rsid w:val="001B13FE"/>
    <w:rsid w:val="001B306C"/>
    <w:rsid w:val="001B79C9"/>
    <w:rsid w:val="001D117A"/>
    <w:rsid w:val="001D41C7"/>
    <w:rsid w:val="001D60BD"/>
    <w:rsid w:val="001D68E9"/>
    <w:rsid w:val="001D6B5F"/>
    <w:rsid w:val="001E1179"/>
    <w:rsid w:val="001E53E9"/>
    <w:rsid w:val="001F205D"/>
    <w:rsid w:val="001F5DB7"/>
    <w:rsid w:val="002032AB"/>
    <w:rsid w:val="00206C4B"/>
    <w:rsid w:val="00214696"/>
    <w:rsid w:val="00221552"/>
    <w:rsid w:val="00222E8E"/>
    <w:rsid w:val="002258EF"/>
    <w:rsid w:val="00227090"/>
    <w:rsid w:val="00231947"/>
    <w:rsid w:val="0023513B"/>
    <w:rsid w:val="0024284C"/>
    <w:rsid w:val="00244068"/>
    <w:rsid w:val="00247809"/>
    <w:rsid w:val="00260493"/>
    <w:rsid w:val="0026086F"/>
    <w:rsid w:val="00262005"/>
    <w:rsid w:val="00263C83"/>
    <w:rsid w:val="002662E9"/>
    <w:rsid w:val="002672FF"/>
    <w:rsid w:val="00267993"/>
    <w:rsid w:val="00270C29"/>
    <w:rsid w:val="002760E9"/>
    <w:rsid w:val="00276DC8"/>
    <w:rsid w:val="00284172"/>
    <w:rsid w:val="002907D0"/>
    <w:rsid w:val="00290D93"/>
    <w:rsid w:val="00290E1A"/>
    <w:rsid w:val="00291F57"/>
    <w:rsid w:val="00292340"/>
    <w:rsid w:val="00292CBC"/>
    <w:rsid w:val="002930DE"/>
    <w:rsid w:val="0029337F"/>
    <w:rsid w:val="002939EE"/>
    <w:rsid w:val="002A30D4"/>
    <w:rsid w:val="002A3584"/>
    <w:rsid w:val="002B0E91"/>
    <w:rsid w:val="002B39C1"/>
    <w:rsid w:val="002B3F41"/>
    <w:rsid w:val="002B7263"/>
    <w:rsid w:val="002C3225"/>
    <w:rsid w:val="002C7859"/>
    <w:rsid w:val="002D19F9"/>
    <w:rsid w:val="002D2AF9"/>
    <w:rsid w:val="002D6AE8"/>
    <w:rsid w:val="002E0260"/>
    <w:rsid w:val="002E2AEC"/>
    <w:rsid w:val="002E619C"/>
    <w:rsid w:val="002F1020"/>
    <w:rsid w:val="002F130A"/>
    <w:rsid w:val="002F3A80"/>
    <w:rsid w:val="0030169D"/>
    <w:rsid w:val="00305D2E"/>
    <w:rsid w:val="003060EB"/>
    <w:rsid w:val="003125B3"/>
    <w:rsid w:val="00313E56"/>
    <w:rsid w:val="00314DF7"/>
    <w:rsid w:val="003153EB"/>
    <w:rsid w:val="00315A8B"/>
    <w:rsid w:val="00317495"/>
    <w:rsid w:val="00320329"/>
    <w:rsid w:val="00320361"/>
    <w:rsid w:val="00321985"/>
    <w:rsid w:val="003278D6"/>
    <w:rsid w:val="00335854"/>
    <w:rsid w:val="0033768F"/>
    <w:rsid w:val="003454EF"/>
    <w:rsid w:val="00351205"/>
    <w:rsid w:val="0036084B"/>
    <w:rsid w:val="00360CDE"/>
    <w:rsid w:val="00361886"/>
    <w:rsid w:val="0036399B"/>
    <w:rsid w:val="0036718E"/>
    <w:rsid w:val="0037003E"/>
    <w:rsid w:val="00372F74"/>
    <w:rsid w:val="0037582A"/>
    <w:rsid w:val="00377F5B"/>
    <w:rsid w:val="00387879"/>
    <w:rsid w:val="00392732"/>
    <w:rsid w:val="0039629A"/>
    <w:rsid w:val="003A53B6"/>
    <w:rsid w:val="003B12F1"/>
    <w:rsid w:val="003B4506"/>
    <w:rsid w:val="003B5B0D"/>
    <w:rsid w:val="003B6816"/>
    <w:rsid w:val="003C1A8F"/>
    <w:rsid w:val="003C3F54"/>
    <w:rsid w:val="003C4DCB"/>
    <w:rsid w:val="003D2220"/>
    <w:rsid w:val="003D5359"/>
    <w:rsid w:val="003D58DF"/>
    <w:rsid w:val="003E10E9"/>
    <w:rsid w:val="003E11B7"/>
    <w:rsid w:val="003E3DC0"/>
    <w:rsid w:val="003E4F9C"/>
    <w:rsid w:val="003F5A44"/>
    <w:rsid w:val="003F68DE"/>
    <w:rsid w:val="003F68E5"/>
    <w:rsid w:val="003F7224"/>
    <w:rsid w:val="004025C8"/>
    <w:rsid w:val="00402E45"/>
    <w:rsid w:val="0040763C"/>
    <w:rsid w:val="00410FC9"/>
    <w:rsid w:val="00413D63"/>
    <w:rsid w:val="004268DD"/>
    <w:rsid w:val="004273CD"/>
    <w:rsid w:val="00427D21"/>
    <w:rsid w:val="004304ED"/>
    <w:rsid w:val="00430813"/>
    <w:rsid w:val="004329A9"/>
    <w:rsid w:val="00432CEF"/>
    <w:rsid w:val="004347A9"/>
    <w:rsid w:val="00434B1E"/>
    <w:rsid w:val="00450DFD"/>
    <w:rsid w:val="0045280E"/>
    <w:rsid w:val="00453FC9"/>
    <w:rsid w:val="0045767A"/>
    <w:rsid w:val="00461AC9"/>
    <w:rsid w:val="004644C2"/>
    <w:rsid w:val="00465303"/>
    <w:rsid w:val="00465EC7"/>
    <w:rsid w:val="00467E32"/>
    <w:rsid w:val="00467F9C"/>
    <w:rsid w:val="00474503"/>
    <w:rsid w:val="00475C0A"/>
    <w:rsid w:val="00481916"/>
    <w:rsid w:val="00483A0D"/>
    <w:rsid w:val="00486CBE"/>
    <w:rsid w:val="00497208"/>
    <w:rsid w:val="00497BF3"/>
    <w:rsid w:val="004A2855"/>
    <w:rsid w:val="004A2CE9"/>
    <w:rsid w:val="004A6382"/>
    <w:rsid w:val="004A66CB"/>
    <w:rsid w:val="004A6FE6"/>
    <w:rsid w:val="004B155E"/>
    <w:rsid w:val="004C01DA"/>
    <w:rsid w:val="004D66A5"/>
    <w:rsid w:val="004E48A2"/>
    <w:rsid w:val="004E7076"/>
    <w:rsid w:val="004F1ACB"/>
    <w:rsid w:val="00501650"/>
    <w:rsid w:val="00506C72"/>
    <w:rsid w:val="00516AEB"/>
    <w:rsid w:val="00525AF7"/>
    <w:rsid w:val="00533B97"/>
    <w:rsid w:val="005343EC"/>
    <w:rsid w:val="00534681"/>
    <w:rsid w:val="00537D24"/>
    <w:rsid w:val="0054117C"/>
    <w:rsid w:val="00541647"/>
    <w:rsid w:val="0054183B"/>
    <w:rsid w:val="00542C37"/>
    <w:rsid w:val="00551BF8"/>
    <w:rsid w:val="00554E30"/>
    <w:rsid w:val="0055593F"/>
    <w:rsid w:val="005631EA"/>
    <w:rsid w:val="00563442"/>
    <w:rsid w:val="00563EC5"/>
    <w:rsid w:val="00565A85"/>
    <w:rsid w:val="00565B42"/>
    <w:rsid w:val="00565F57"/>
    <w:rsid w:val="00570D9B"/>
    <w:rsid w:val="005774B9"/>
    <w:rsid w:val="00577C7A"/>
    <w:rsid w:val="00581F7F"/>
    <w:rsid w:val="0059608A"/>
    <w:rsid w:val="00597EEB"/>
    <w:rsid w:val="005A035C"/>
    <w:rsid w:val="005A27F2"/>
    <w:rsid w:val="005A4700"/>
    <w:rsid w:val="005A76CE"/>
    <w:rsid w:val="005A787D"/>
    <w:rsid w:val="005B2106"/>
    <w:rsid w:val="005C4601"/>
    <w:rsid w:val="005C4CE6"/>
    <w:rsid w:val="005C541F"/>
    <w:rsid w:val="005C6415"/>
    <w:rsid w:val="005D6E0B"/>
    <w:rsid w:val="005E0A71"/>
    <w:rsid w:val="005E0F1F"/>
    <w:rsid w:val="005E330C"/>
    <w:rsid w:val="005E5A5D"/>
    <w:rsid w:val="005E6BEA"/>
    <w:rsid w:val="005F48F4"/>
    <w:rsid w:val="005F6AFE"/>
    <w:rsid w:val="006019A1"/>
    <w:rsid w:val="00606946"/>
    <w:rsid w:val="006122BA"/>
    <w:rsid w:val="00623DEC"/>
    <w:rsid w:val="00626547"/>
    <w:rsid w:val="006378AF"/>
    <w:rsid w:val="00644694"/>
    <w:rsid w:val="006467B1"/>
    <w:rsid w:val="00646897"/>
    <w:rsid w:val="0065296C"/>
    <w:rsid w:val="00663B37"/>
    <w:rsid w:val="0067167D"/>
    <w:rsid w:val="00675D25"/>
    <w:rsid w:val="00680632"/>
    <w:rsid w:val="00680B49"/>
    <w:rsid w:val="00682A44"/>
    <w:rsid w:val="00683A80"/>
    <w:rsid w:val="00691686"/>
    <w:rsid w:val="0069317E"/>
    <w:rsid w:val="006A415B"/>
    <w:rsid w:val="006A41E5"/>
    <w:rsid w:val="006A62BE"/>
    <w:rsid w:val="006B2290"/>
    <w:rsid w:val="006B4C01"/>
    <w:rsid w:val="006B70CA"/>
    <w:rsid w:val="006C2AE4"/>
    <w:rsid w:val="006C3B62"/>
    <w:rsid w:val="006C5D8B"/>
    <w:rsid w:val="006C7000"/>
    <w:rsid w:val="006D15F3"/>
    <w:rsid w:val="006D1A5F"/>
    <w:rsid w:val="006D58E9"/>
    <w:rsid w:val="006D72C1"/>
    <w:rsid w:val="006E1842"/>
    <w:rsid w:val="006E1A67"/>
    <w:rsid w:val="006E2C3A"/>
    <w:rsid w:val="006F00F5"/>
    <w:rsid w:val="006F52FD"/>
    <w:rsid w:val="00702401"/>
    <w:rsid w:val="00704B25"/>
    <w:rsid w:val="00710A79"/>
    <w:rsid w:val="00710B80"/>
    <w:rsid w:val="00717D88"/>
    <w:rsid w:val="0072555D"/>
    <w:rsid w:val="007336C5"/>
    <w:rsid w:val="00742D1C"/>
    <w:rsid w:val="007447A1"/>
    <w:rsid w:val="0074530F"/>
    <w:rsid w:val="00752B8C"/>
    <w:rsid w:val="007546EE"/>
    <w:rsid w:val="007573D0"/>
    <w:rsid w:val="00763188"/>
    <w:rsid w:val="00763D3A"/>
    <w:rsid w:val="007650FE"/>
    <w:rsid w:val="00767B55"/>
    <w:rsid w:val="007713D0"/>
    <w:rsid w:val="00776A48"/>
    <w:rsid w:val="00781211"/>
    <w:rsid w:val="0078456F"/>
    <w:rsid w:val="00785A59"/>
    <w:rsid w:val="00786056"/>
    <w:rsid w:val="007926E8"/>
    <w:rsid w:val="00792EE1"/>
    <w:rsid w:val="007942D3"/>
    <w:rsid w:val="0079684F"/>
    <w:rsid w:val="007970E9"/>
    <w:rsid w:val="007B2029"/>
    <w:rsid w:val="007B2099"/>
    <w:rsid w:val="007B3D90"/>
    <w:rsid w:val="007B6C09"/>
    <w:rsid w:val="007B73A6"/>
    <w:rsid w:val="007B7741"/>
    <w:rsid w:val="007C18F9"/>
    <w:rsid w:val="007C30EA"/>
    <w:rsid w:val="007D2F29"/>
    <w:rsid w:val="007D595F"/>
    <w:rsid w:val="007E09DA"/>
    <w:rsid w:val="007E6E36"/>
    <w:rsid w:val="007E7A30"/>
    <w:rsid w:val="007F305C"/>
    <w:rsid w:val="007F77EA"/>
    <w:rsid w:val="00801D6A"/>
    <w:rsid w:val="008026B7"/>
    <w:rsid w:val="00802C86"/>
    <w:rsid w:val="008051A5"/>
    <w:rsid w:val="00807286"/>
    <w:rsid w:val="00810720"/>
    <w:rsid w:val="00810911"/>
    <w:rsid w:val="00813FE5"/>
    <w:rsid w:val="00815BF1"/>
    <w:rsid w:val="008178B6"/>
    <w:rsid w:val="00817C12"/>
    <w:rsid w:val="0082258B"/>
    <w:rsid w:val="00826BE0"/>
    <w:rsid w:val="00836857"/>
    <w:rsid w:val="00836D08"/>
    <w:rsid w:val="00842F6E"/>
    <w:rsid w:val="00845C42"/>
    <w:rsid w:val="00850E1E"/>
    <w:rsid w:val="0086251A"/>
    <w:rsid w:val="00863139"/>
    <w:rsid w:val="008654A6"/>
    <w:rsid w:val="00865B74"/>
    <w:rsid w:val="008764CB"/>
    <w:rsid w:val="00881A70"/>
    <w:rsid w:val="00890EB5"/>
    <w:rsid w:val="00892AA5"/>
    <w:rsid w:val="008953D8"/>
    <w:rsid w:val="008974F0"/>
    <w:rsid w:val="008A4747"/>
    <w:rsid w:val="008B012A"/>
    <w:rsid w:val="008B361E"/>
    <w:rsid w:val="008C264A"/>
    <w:rsid w:val="008C5C5C"/>
    <w:rsid w:val="008C68C0"/>
    <w:rsid w:val="008D41DA"/>
    <w:rsid w:val="008E1A93"/>
    <w:rsid w:val="008E6238"/>
    <w:rsid w:val="008F13B5"/>
    <w:rsid w:val="008F480E"/>
    <w:rsid w:val="0090084A"/>
    <w:rsid w:val="00902AE6"/>
    <w:rsid w:val="00906E17"/>
    <w:rsid w:val="00907BFC"/>
    <w:rsid w:val="009104EB"/>
    <w:rsid w:val="00912BCD"/>
    <w:rsid w:val="00914843"/>
    <w:rsid w:val="0091604B"/>
    <w:rsid w:val="00920CE9"/>
    <w:rsid w:val="00924187"/>
    <w:rsid w:val="00930BA1"/>
    <w:rsid w:val="0093169E"/>
    <w:rsid w:val="0093735B"/>
    <w:rsid w:val="00946187"/>
    <w:rsid w:val="009505C9"/>
    <w:rsid w:val="00950752"/>
    <w:rsid w:val="00957480"/>
    <w:rsid w:val="00962224"/>
    <w:rsid w:val="00965169"/>
    <w:rsid w:val="00966424"/>
    <w:rsid w:val="00970BD8"/>
    <w:rsid w:val="009731D5"/>
    <w:rsid w:val="009762E7"/>
    <w:rsid w:val="0098032D"/>
    <w:rsid w:val="009806A4"/>
    <w:rsid w:val="009842A3"/>
    <w:rsid w:val="0098456F"/>
    <w:rsid w:val="00985AA9"/>
    <w:rsid w:val="00992F81"/>
    <w:rsid w:val="009947C6"/>
    <w:rsid w:val="009949AF"/>
    <w:rsid w:val="00997B9B"/>
    <w:rsid w:val="00997DD6"/>
    <w:rsid w:val="009A197B"/>
    <w:rsid w:val="009A2156"/>
    <w:rsid w:val="009A2AF3"/>
    <w:rsid w:val="009A48D2"/>
    <w:rsid w:val="009B2C7F"/>
    <w:rsid w:val="009B6339"/>
    <w:rsid w:val="009B6DA3"/>
    <w:rsid w:val="009C2DE6"/>
    <w:rsid w:val="009C489B"/>
    <w:rsid w:val="009C6BF3"/>
    <w:rsid w:val="009D2250"/>
    <w:rsid w:val="009D586E"/>
    <w:rsid w:val="009E1E36"/>
    <w:rsid w:val="009E523C"/>
    <w:rsid w:val="009E64C4"/>
    <w:rsid w:val="009F0B34"/>
    <w:rsid w:val="009F4781"/>
    <w:rsid w:val="00A0732B"/>
    <w:rsid w:val="00A13279"/>
    <w:rsid w:val="00A27839"/>
    <w:rsid w:val="00A30234"/>
    <w:rsid w:val="00A34C2A"/>
    <w:rsid w:val="00A3593B"/>
    <w:rsid w:val="00A40DCA"/>
    <w:rsid w:val="00A507E4"/>
    <w:rsid w:val="00A51203"/>
    <w:rsid w:val="00A536B6"/>
    <w:rsid w:val="00A56727"/>
    <w:rsid w:val="00A56BCC"/>
    <w:rsid w:val="00A6075E"/>
    <w:rsid w:val="00A661D7"/>
    <w:rsid w:val="00A732DC"/>
    <w:rsid w:val="00A7338C"/>
    <w:rsid w:val="00A80B8A"/>
    <w:rsid w:val="00A83CA0"/>
    <w:rsid w:val="00A87F1A"/>
    <w:rsid w:val="00A9136C"/>
    <w:rsid w:val="00A95361"/>
    <w:rsid w:val="00A95C77"/>
    <w:rsid w:val="00A97B18"/>
    <w:rsid w:val="00AA0DF4"/>
    <w:rsid w:val="00AA50D8"/>
    <w:rsid w:val="00AA6F92"/>
    <w:rsid w:val="00AA7BE9"/>
    <w:rsid w:val="00AB37BB"/>
    <w:rsid w:val="00AB6934"/>
    <w:rsid w:val="00AC58CC"/>
    <w:rsid w:val="00AC7DA6"/>
    <w:rsid w:val="00AC7E89"/>
    <w:rsid w:val="00AD0C3E"/>
    <w:rsid w:val="00AD17E7"/>
    <w:rsid w:val="00AD6259"/>
    <w:rsid w:val="00AD646F"/>
    <w:rsid w:val="00AE19E7"/>
    <w:rsid w:val="00AE5D55"/>
    <w:rsid w:val="00AF3936"/>
    <w:rsid w:val="00AF42DE"/>
    <w:rsid w:val="00AF6676"/>
    <w:rsid w:val="00B11633"/>
    <w:rsid w:val="00B168F5"/>
    <w:rsid w:val="00B26159"/>
    <w:rsid w:val="00B271DB"/>
    <w:rsid w:val="00B2753F"/>
    <w:rsid w:val="00B31E6F"/>
    <w:rsid w:val="00B3369F"/>
    <w:rsid w:val="00B35BDD"/>
    <w:rsid w:val="00B376DB"/>
    <w:rsid w:val="00B449BD"/>
    <w:rsid w:val="00B54AD1"/>
    <w:rsid w:val="00B5795A"/>
    <w:rsid w:val="00B62396"/>
    <w:rsid w:val="00B6296A"/>
    <w:rsid w:val="00B64143"/>
    <w:rsid w:val="00B64A3F"/>
    <w:rsid w:val="00B717D9"/>
    <w:rsid w:val="00B770D9"/>
    <w:rsid w:val="00B8056B"/>
    <w:rsid w:val="00B901EB"/>
    <w:rsid w:val="00B94E6C"/>
    <w:rsid w:val="00B960E5"/>
    <w:rsid w:val="00BB0323"/>
    <w:rsid w:val="00BB132A"/>
    <w:rsid w:val="00BB2A9F"/>
    <w:rsid w:val="00BB2E51"/>
    <w:rsid w:val="00BB4606"/>
    <w:rsid w:val="00BB5692"/>
    <w:rsid w:val="00BB69FB"/>
    <w:rsid w:val="00BC15D6"/>
    <w:rsid w:val="00BC559D"/>
    <w:rsid w:val="00BC6281"/>
    <w:rsid w:val="00BD0332"/>
    <w:rsid w:val="00BD179F"/>
    <w:rsid w:val="00BD70B4"/>
    <w:rsid w:val="00BD7E0B"/>
    <w:rsid w:val="00BE0AE5"/>
    <w:rsid w:val="00BE51C5"/>
    <w:rsid w:val="00BF068C"/>
    <w:rsid w:val="00C001E7"/>
    <w:rsid w:val="00C01BC8"/>
    <w:rsid w:val="00C044E4"/>
    <w:rsid w:val="00C121D1"/>
    <w:rsid w:val="00C14682"/>
    <w:rsid w:val="00C17833"/>
    <w:rsid w:val="00C22EBC"/>
    <w:rsid w:val="00C22F10"/>
    <w:rsid w:val="00C23D2F"/>
    <w:rsid w:val="00C37A34"/>
    <w:rsid w:val="00C426A0"/>
    <w:rsid w:val="00C43B8E"/>
    <w:rsid w:val="00C443BD"/>
    <w:rsid w:val="00C451C5"/>
    <w:rsid w:val="00C462BE"/>
    <w:rsid w:val="00C475F9"/>
    <w:rsid w:val="00C51D16"/>
    <w:rsid w:val="00C53010"/>
    <w:rsid w:val="00C575AB"/>
    <w:rsid w:val="00C57B12"/>
    <w:rsid w:val="00C65D8E"/>
    <w:rsid w:val="00C70B1F"/>
    <w:rsid w:val="00C72962"/>
    <w:rsid w:val="00C7473F"/>
    <w:rsid w:val="00C7539F"/>
    <w:rsid w:val="00C77323"/>
    <w:rsid w:val="00C81012"/>
    <w:rsid w:val="00C8139E"/>
    <w:rsid w:val="00C822A1"/>
    <w:rsid w:val="00C8304E"/>
    <w:rsid w:val="00C87096"/>
    <w:rsid w:val="00C87F5C"/>
    <w:rsid w:val="00C9161D"/>
    <w:rsid w:val="00C91A50"/>
    <w:rsid w:val="00C92C78"/>
    <w:rsid w:val="00C93935"/>
    <w:rsid w:val="00C94AE7"/>
    <w:rsid w:val="00CA0A92"/>
    <w:rsid w:val="00CA0C1D"/>
    <w:rsid w:val="00CA2174"/>
    <w:rsid w:val="00CB2748"/>
    <w:rsid w:val="00CB5EBE"/>
    <w:rsid w:val="00CC3CD7"/>
    <w:rsid w:val="00CC5F30"/>
    <w:rsid w:val="00CD31B7"/>
    <w:rsid w:val="00CD725B"/>
    <w:rsid w:val="00CE17CE"/>
    <w:rsid w:val="00CE4BC5"/>
    <w:rsid w:val="00CE4E57"/>
    <w:rsid w:val="00CE4F06"/>
    <w:rsid w:val="00CE73C5"/>
    <w:rsid w:val="00CE7401"/>
    <w:rsid w:val="00CF1848"/>
    <w:rsid w:val="00CF1E89"/>
    <w:rsid w:val="00CF25C4"/>
    <w:rsid w:val="00CF423E"/>
    <w:rsid w:val="00CF7631"/>
    <w:rsid w:val="00D01A74"/>
    <w:rsid w:val="00D11589"/>
    <w:rsid w:val="00D12044"/>
    <w:rsid w:val="00D134B0"/>
    <w:rsid w:val="00D1555F"/>
    <w:rsid w:val="00D16DAA"/>
    <w:rsid w:val="00D24A7B"/>
    <w:rsid w:val="00D26D22"/>
    <w:rsid w:val="00D3264B"/>
    <w:rsid w:val="00D33EFC"/>
    <w:rsid w:val="00D34390"/>
    <w:rsid w:val="00D365F1"/>
    <w:rsid w:val="00D37E66"/>
    <w:rsid w:val="00D40DBC"/>
    <w:rsid w:val="00D438A8"/>
    <w:rsid w:val="00D458F2"/>
    <w:rsid w:val="00D46C8A"/>
    <w:rsid w:val="00D506BE"/>
    <w:rsid w:val="00D57973"/>
    <w:rsid w:val="00D57B64"/>
    <w:rsid w:val="00D615F8"/>
    <w:rsid w:val="00D677F2"/>
    <w:rsid w:val="00D72F03"/>
    <w:rsid w:val="00D73CC7"/>
    <w:rsid w:val="00D73E76"/>
    <w:rsid w:val="00D747F6"/>
    <w:rsid w:val="00D76A18"/>
    <w:rsid w:val="00D77856"/>
    <w:rsid w:val="00D804F8"/>
    <w:rsid w:val="00D80849"/>
    <w:rsid w:val="00D822E8"/>
    <w:rsid w:val="00D82E8F"/>
    <w:rsid w:val="00D84CE1"/>
    <w:rsid w:val="00D92193"/>
    <w:rsid w:val="00DA05CC"/>
    <w:rsid w:val="00DA27C6"/>
    <w:rsid w:val="00DA612F"/>
    <w:rsid w:val="00DB021D"/>
    <w:rsid w:val="00DB11EB"/>
    <w:rsid w:val="00DB73B5"/>
    <w:rsid w:val="00DB78A8"/>
    <w:rsid w:val="00DC12B3"/>
    <w:rsid w:val="00DC271D"/>
    <w:rsid w:val="00DD10D4"/>
    <w:rsid w:val="00DD118C"/>
    <w:rsid w:val="00DD5107"/>
    <w:rsid w:val="00DD7724"/>
    <w:rsid w:val="00DE0A0B"/>
    <w:rsid w:val="00DE16F7"/>
    <w:rsid w:val="00DE25D3"/>
    <w:rsid w:val="00DE4473"/>
    <w:rsid w:val="00DE7A11"/>
    <w:rsid w:val="00DF0C4F"/>
    <w:rsid w:val="00DF2059"/>
    <w:rsid w:val="00DF4ED7"/>
    <w:rsid w:val="00DF65CC"/>
    <w:rsid w:val="00E01474"/>
    <w:rsid w:val="00E05077"/>
    <w:rsid w:val="00E06533"/>
    <w:rsid w:val="00E10DB4"/>
    <w:rsid w:val="00E11D65"/>
    <w:rsid w:val="00E22EB4"/>
    <w:rsid w:val="00E312CF"/>
    <w:rsid w:val="00E34E1C"/>
    <w:rsid w:val="00E34F69"/>
    <w:rsid w:val="00E4156A"/>
    <w:rsid w:val="00E43C30"/>
    <w:rsid w:val="00E509A0"/>
    <w:rsid w:val="00E5466A"/>
    <w:rsid w:val="00E55A64"/>
    <w:rsid w:val="00E56CFC"/>
    <w:rsid w:val="00E60F12"/>
    <w:rsid w:val="00E621E9"/>
    <w:rsid w:val="00E6583E"/>
    <w:rsid w:val="00E66235"/>
    <w:rsid w:val="00E72A74"/>
    <w:rsid w:val="00E72C49"/>
    <w:rsid w:val="00E750D9"/>
    <w:rsid w:val="00E75B00"/>
    <w:rsid w:val="00E76BEA"/>
    <w:rsid w:val="00E77154"/>
    <w:rsid w:val="00E8259B"/>
    <w:rsid w:val="00E83C24"/>
    <w:rsid w:val="00E848D7"/>
    <w:rsid w:val="00E84DA4"/>
    <w:rsid w:val="00E851B2"/>
    <w:rsid w:val="00E9193D"/>
    <w:rsid w:val="00E91DD9"/>
    <w:rsid w:val="00E9318D"/>
    <w:rsid w:val="00E93666"/>
    <w:rsid w:val="00E94B35"/>
    <w:rsid w:val="00E97A79"/>
    <w:rsid w:val="00EA04F4"/>
    <w:rsid w:val="00EA2926"/>
    <w:rsid w:val="00EA69C9"/>
    <w:rsid w:val="00EB054A"/>
    <w:rsid w:val="00EC0426"/>
    <w:rsid w:val="00ED6307"/>
    <w:rsid w:val="00EE2303"/>
    <w:rsid w:val="00EE26DC"/>
    <w:rsid w:val="00EE46D7"/>
    <w:rsid w:val="00EF110B"/>
    <w:rsid w:val="00EF524D"/>
    <w:rsid w:val="00EF6FD4"/>
    <w:rsid w:val="00F0005F"/>
    <w:rsid w:val="00F00FCB"/>
    <w:rsid w:val="00F0559A"/>
    <w:rsid w:val="00F13AF8"/>
    <w:rsid w:val="00F267B3"/>
    <w:rsid w:val="00F27EDC"/>
    <w:rsid w:val="00F35B99"/>
    <w:rsid w:val="00F35C7A"/>
    <w:rsid w:val="00F37E61"/>
    <w:rsid w:val="00F416E2"/>
    <w:rsid w:val="00F42625"/>
    <w:rsid w:val="00F4296C"/>
    <w:rsid w:val="00F51687"/>
    <w:rsid w:val="00F51E9A"/>
    <w:rsid w:val="00F53193"/>
    <w:rsid w:val="00F5357E"/>
    <w:rsid w:val="00F6309A"/>
    <w:rsid w:val="00F64270"/>
    <w:rsid w:val="00F6586C"/>
    <w:rsid w:val="00F66168"/>
    <w:rsid w:val="00F66623"/>
    <w:rsid w:val="00F72D10"/>
    <w:rsid w:val="00F76146"/>
    <w:rsid w:val="00F77794"/>
    <w:rsid w:val="00F77928"/>
    <w:rsid w:val="00F81119"/>
    <w:rsid w:val="00F8322D"/>
    <w:rsid w:val="00F9020A"/>
    <w:rsid w:val="00F94774"/>
    <w:rsid w:val="00FA1A2D"/>
    <w:rsid w:val="00FA663B"/>
    <w:rsid w:val="00FA6F7F"/>
    <w:rsid w:val="00FA75C4"/>
    <w:rsid w:val="00FB05A6"/>
    <w:rsid w:val="00FB2DDA"/>
    <w:rsid w:val="00FB4366"/>
    <w:rsid w:val="00FB769B"/>
    <w:rsid w:val="00FC1431"/>
    <w:rsid w:val="00FC53DB"/>
    <w:rsid w:val="00FD1FC6"/>
    <w:rsid w:val="00FD2590"/>
    <w:rsid w:val="00FE03B8"/>
    <w:rsid w:val="00FE352E"/>
    <w:rsid w:val="00FE4F40"/>
    <w:rsid w:val="00FE5960"/>
    <w:rsid w:val="00FE5F25"/>
    <w:rsid w:val="00FF0369"/>
    <w:rsid w:val="00FF4C70"/>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536237"/>
  <w15:docId w15:val="{CFEBC2AE-9DD2-4839-9820-BF859A03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104EB"/>
    <w:pPr>
      <w:spacing w:after="160" w:line="240" w:lineRule="exact"/>
      <w:jc w:val="left"/>
    </w:pPr>
    <w:rPr>
      <w:rFonts w:asciiTheme="minorHAnsi" w:eastAsiaTheme="minorEastAsia" w:hAnsiTheme="minorHAnsi" w:cstheme="minorBidi"/>
      <w:vertAlign w:val="superscript"/>
    </w:rPr>
  </w:style>
  <w:style w:type="paragraph" w:styleId="CommentSubject">
    <w:name w:val="annotation subject"/>
    <w:basedOn w:val="CommentText"/>
    <w:next w:val="CommentText"/>
    <w:link w:val="CommentSubjectChar"/>
    <w:uiPriority w:val="99"/>
    <w:semiHidden/>
    <w:unhideWhenUsed/>
    <w:rsid w:val="007C18F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C18F9"/>
    <w:rPr>
      <w:rFonts w:ascii="Times New Roman" w:eastAsia="Times New Roman" w:hAnsi="Times New Roman" w:cs="Times New Roman"/>
      <w:b/>
      <w:bCs/>
      <w:sz w:val="20"/>
      <w:szCs w:val="20"/>
      <w:lang w:val="es-UY"/>
    </w:rPr>
  </w:style>
  <w:style w:type="character" w:customStyle="1" w:styleId="UnresolvedMention1">
    <w:name w:val="Unresolved Mention1"/>
    <w:basedOn w:val="DefaultParagraphFont"/>
    <w:uiPriority w:val="99"/>
    <w:semiHidden/>
    <w:unhideWhenUsed/>
    <w:rsid w:val="00E75B00"/>
    <w:rPr>
      <w:color w:val="605E5C"/>
      <w:shd w:val="clear" w:color="auto" w:fill="E1DFDD"/>
    </w:rPr>
  </w:style>
  <w:style w:type="paragraph" w:styleId="Revision">
    <w:name w:val="Revision"/>
    <w:hidden/>
    <w:uiPriority w:val="99"/>
    <w:semiHidden/>
    <w:rsid w:val="00F76146"/>
    <w:rPr>
      <w:rFonts w:ascii="Times New Roman" w:eastAsia="Times New Roman" w:hAnsi="Times New Roman" w:cs="Times New Roman"/>
      <w:sz w:val="22"/>
    </w:rPr>
  </w:style>
  <w:style w:type="character" w:customStyle="1" w:styleId="UnresolvedMention2">
    <w:name w:val="Unresolved Mention2"/>
    <w:basedOn w:val="DefaultParagraphFont"/>
    <w:uiPriority w:val="99"/>
    <w:semiHidden/>
    <w:unhideWhenUsed/>
    <w:rsid w:val="00221552"/>
    <w:rPr>
      <w:color w:val="605E5C"/>
      <w:shd w:val="clear" w:color="auto" w:fill="E1DFDD"/>
    </w:rPr>
  </w:style>
  <w:style w:type="character" w:customStyle="1" w:styleId="UnresolvedMention3">
    <w:name w:val="Unresolved Mention3"/>
    <w:basedOn w:val="DefaultParagraphFont"/>
    <w:uiPriority w:val="99"/>
    <w:semiHidden/>
    <w:unhideWhenUsed/>
    <w:rsid w:val="00CB2748"/>
    <w:rPr>
      <w:color w:val="605E5C"/>
      <w:shd w:val="clear" w:color="auto" w:fill="E1DFDD"/>
    </w:rPr>
  </w:style>
  <w:style w:type="paragraph" w:customStyle="1" w:styleId="Default">
    <w:name w:val="Default"/>
    <w:rsid w:val="00E76BEA"/>
    <w:pPr>
      <w:autoSpaceDE w:val="0"/>
      <w:autoSpaceDN w:val="0"/>
      <w:adjustRightInd w:val="0"/>
    </w:pPr>
    <w:rPr>
      <w:rFonts w:ascii="Times New Roman" w:hAnsi="Times New Roman" w:cs="Times New Roman"/>
      <w:color w:val="000000"/>
    </w:rPr>
  </w:style>
  <w:style w:type="character" w:customStyle="1" w:styleId="UnresolvedMention">
    <w:name w:val="Unresolved Mention"/>
    <w:basedOn w:val="DefaultParagraphFont"/>
    <w:uiPriority w:val="99"/>
    <w:semiHidden/>
    <w:unhideWhenUsed/>
    <w:rsid w:val="00BB6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0945">
      <w:bodyDiv w:val="1"/>
      <w:marLeft w:val="0"/>
      <w:marRight w:val="0"/>
      <w:marTop w:val="0"/>
      <w:marBottom w:val="0"/>
      <w:divBdr>
        <w:top w:val="none" w:sz="0" w:space="0" w:color="auto"/>
        <w:left w:val="none" w:sz="0" w:space="0" w:color="auto"/>
        <w:bottom w:val="none" w:sz="0" w:space="0" w:color="auto"/>
        <w:right w:val="none" w:sz="0" w:space="0" w:color="auto"/>
      </w:divBdr>
    </w:div>
    <w:div w:id="28800565">
      <w:bodyDiv w:val="1"/>
      <w:marLeft w:val="0"/>
      <w:marRight w:val="0"/>
      <w:marTop w:val="0"/>
      <w:marBottom w:val="0"/>
      <w:divBdr>
        <w:top w:val="none" w:sz="0" w:space="0" w:color="auto"/>
        <w:left w:val="none" w:sz="0" w:space="0" w:color="auto"/>
        <w:bottom w:val="none" w:sz="0" w:space="0" w:color="auto"/>
        <w:right w:val="none" w:sz="0" w:space="0" w:color="auto"/>
      </w:divBdr>
    </w:div>
    <w:div w:id="71900539">
      <w:bodyDiv w:val="1"/>
      <w:marLeft w:val="0"/>
      <w:marRight w:val="0"/>
      <w:marTop w:val="0"/>
      <w:marBottom w:val="0"/>
      <w:divBdr>
        <w:top w:val="none" w:sz="0" w:space="0" w:color="auto"/>
        <w:left w:val="none" w:sz="0" w:space="0" w:color="auto"/>
        <w:bottom w:val="none" w:sz="0" w:space="0" w:color="auto"/>
        <w:right w:val="none" w:sz="0" w:space="0" w:color="auto"/>
      </w:divBdr>
    </w:div>
    <w:div w:id="189683547">
      <w:bodyDiv w:val="1"/>
      <w:marLeft w:val="0"/>
      <w:marRight w:val="0"/>
      <w:marTop w:val="0"/>
      <w:marBottom w:val="0"/>
      <w:divBdr>
        <w:top w:val="none" w:sz="0" w:space="0" w:color="auto"/>
        <w:left w:val="none" w:sz="0" w:space="0" w:color="auto"/>
        <w:bottom w:val="none" w:sz="0" w:space="0" w:color="auto"/>
        <w:right w:val="none" w:sz="0" w:space="0" w:color="auto"/>
      </w:divBdr>
    </w:div>
    <w:div w:id="214585840">
      <w:bodyDiv w:val="1"/>
      <w:marLeft w:val="0"/>
      <w:marRight w:val="0"/>
      <w:marTop w:val="0"/>
      <w:marBottom w:val="0"/>
      <w:divBdr>
        <w:top w:val="none" w:sz="0" w:space="0" w:color="auto"/>
        <w:left w:val="none" w:sz="0" w:space="0" w:color="auto"/>
        <w:bottom w:val="none" w:sz="0" w:space="0" w:color="auto"/>
        <w:right w:val="none" w:sz="0" w:space="0" w:color="auto"/>
      </w:divBdr>
      <w:divsChild>
        <w:div w:id="1396244773">
          <w:marLeft w:val="0"/>
          <w:marRight w:val="0"/>
          <w:marTop w:val="0"/>
          <w:marBottom w:val="0"/>
          <w:divBdr>
            <w:top w:val="none" w:sz="0" w:space="0" w:color="auto"/>
            <w:left w:val="none" w:sz="0" w:space="0" w:color="auto"/>
            <w:bottom w:val="none" w:sz="0" w:space="0" w:color="auto"/>
            <w:right w:val="none" w:sz="0" w:space="0" w:color="auto"/>
          </w:divBdr>
        </w:div>
        <w:div w:id="35472555">
          <w:marLeft w:val="0"/>
          <w:marRight w:val="0"/>
          <w:marTop w:val="0"/>
          <w:marBottom w:val="0"/>
          <w:divBdr>
            <w:top w:val="none" w:sz="0" w:space="0" w:color="auto"/>
            <w:left w:val="none" w:sz="0" w:space="0" w:color="auto"/>
            <w:bottom w:val="none" w:sz="0" w:space="0" w:color="auto"/>
            <w:right w:val="none" w:sz="0" w:space="0" w:color="auto"/>
          </w:divBdr>
        </w:div>
        <w:div w:id="1688632919">
          <w:marLeft w:val="0"/>
          <w:marRight w:val="0"/>
          <w:marTop w:val="0"/>
          <w:marBottom w:val="0"/>
          <w:divBdr>
            <w:top w:val="none" w:sz="0" w:space="0" w:color="auto"/>
            <w:left w:val="none" w:sz="0" w:space="0" w:color="auto"/>
            <w:bottom w:val="none" w:sz="0" w:space="0" w:color="auto"/>
            <w:right w:val="none" w:sz="0" w:space="0" w:color="auto"/>
          </w:divBdr>
        </w:div>
        <w:div w:id="1903983803">
          <w:marLeft w:val="0"/>
          <w:marRight w:val="0"/>
          <w:marTop w:val="0"/>
          <w:marBottom w:val="0"/>
          <w:divBdr>
            <w:top w:val="none" w:sz="0" w:space="0" w:color="auto"/>
            <w:left w:val="none" w:sz="0" w:space="0" w:color="auto"/>
            <w:bottom w:val="none" w:sz="0" w:space="0" w:color="auto"/>
            <w:right w:val="none" w:sz="0" w:space="0" w:color="auto"/>
          </w:divBdr>
        </w:div>
        <w:div w:id="1051030066">
          <w:marLeft w:val="0"/>
          <w:marRight w:val="0"/>
          <w:marTop w:val="0"/>
          <w:marBottom w:val="0"/>
          <w:divBdr>
            <w:top w:val="none" w:sz="0" w:space="0" w:color="auto"/>
            <w:left w:val="none" w:sz="0" w:space="0" w:color="auto"/>
            <w:bottom w:val="none" w:sz="0" w:space="0" w:color="auto"/>
            <w:right w:val="none" w:sz="0" w:space="0" w:color="auto"/>
          </w:divBdr>
        </w:div>
        <w:div w:id="114714069">
          <w:marLeft w:val="0"/>
          <w:marRight w:val="0"/>
          <w:marTop w:val="0"/>
          <w:marBottom w:val="0"/>
          <w:divBdr>
            <w:top w:val="none" w:sz="0" w:space="0" w:color="auto"/>
            <w:left w:val="none" w:sz="0" w:space="0" w:color="auto"/>
            <w:bottom w:val="none" w:sz="0" w:space="0" w:color="auto"/>
            <w:right w:val="none" w:sz="0" w:space="0" w:color="auto"/>
          </w:divBdr>
        </w:div>
        <w:div w:id="925769635">
          <w:marLeft w:val="0"/>
          <w:marRight w:val="0"/>
          <w:marTop w:val="0"/>
          <w:marBottom w:val="0"/>
          <w:divBdr>
            <w:top w:val="none" w:sz="0" w:space="0" w:color="auto"/>
            <w:left w:val="none" w:sz="0" w:space="0" w:color="auto"/>
            <w:bottom w:val="none" w:sz="0" w:space="0" w:color="auto"/>
            <w:right w:val="none" w:sz="0" w:space="0" w:color="auto"/>
          </w:divBdr>
        </w:div>
        <w:div w:id="1290087047">
          <w:marLeft w:val="0"/>
          <w:marRight w:val="0"/>
          <w:marTop w:val="0"/>
          <w:marBottom w:val="0"/>
          <w:divBdr>
            <w:top w:val="none" w:sz="0" w:space="0" w:color="auto"/>
            <w:left w:val="none" w:sz="0" w:space="0" w:color="auto"/>
            <w:bottom w:val="none" w:sz="0" w:space="0" w:color="auto"/>
            <w:right w:val="none" w:sz="0" w:space="0" w:color="auto"/>
          </w:divBdr>
        </w:div>
      </w:divsChild>
    </w:div>
    <w:div w:id="215894852">
      <w:bodyDiv w:val="1"/>
      <w:marLeft w:val="0"/>
      <w:marRight w:val="0"/>
      <w:marTop w:val="0"/>
      <w:marBottom w:val="0"/>
      <w:divBdr>
        <w:top w:val="none" w:sz="0" w:space="0" w:color="auto"/>
        <w:left w:val="none" w:sz="0" w:space="0" w:color="auto"/>
        <w:bottom w:val="none" w:sz="0" w:space="0" w:color="auto"/>
        <w:right w:val="none" w:sz="0" w:space="0" w:color="auto"/>
      </w:divBdr>
    </w:div>
    <w:div w:id="264196425">
      <w:bodyDiv w:val="1"/>
      <w:marLeft w:val="0"/>
      <w:marRight w:val="0"/>
      <w:marTop w:val="0"/>
      <w:marBottom w:val="0"/>
      <w:divBdr>
        <w:top w:val="none" w:sz="0" w:space="0" w:color="auto"/>
        <w:left w:val="none" w:sz="0" w:space="0" w:color="auto"/>
        <w:bottom w:val="none" w:sz="0" w:space="0" w:color="auto"/>
        <w:right w:val="none" w:sz="0" w:space="0" w:color="auto"/>
      </w:divBdr>
      <w:divsChild>
        <w:div w:id="1309818725">
          <w:marLeft w:val="0"/>
          <w:marRight w:val="0"/>
          <w:marTop w:val="0"/>
          <w:marBottom w:val="0"/>
          <w:divBdr>
            <w:top w:val="none" w:sz="0" w:space="0" w:color="auto"/>
            <w:left w:val="none" w:sz="0" w:space="0" w:color="auto"/>
            <w:bottom w:val="none" w:sz="0" w:space="0" w:color="auto"/>
            <w:right w:val="none" w:sz="0" w:space="0" w:color="auto"/>
          </w:divBdr>
        </w:div>
        <w:div w:id="495655424">
          <w:marLeft w:val="0"/>
          <w:marRight w:val="0"/>
          <w:marTop w:val="0"/>
          <w:marBottom w:val="0"/>
          <w:divBdr>
            <w:top w:val="none" w:sz="0" w:space="0" w:color="auto"/>
            <w:left w:val="none" w:sz="0" w:space="0" w:color="auto"/>
            <w:bottom w:val="none" w:sz="0" w:space="0" w:color="auto"/>
            <w:right w:val="none" w:sz="0" w:space="0" w:color="auto"/>
          </w:divBdr>
        </w:div>
        <w:div w:id="265889916">
          <w:marLeft w:val="0"/>
          <w:marRight w:val="0"/>
          <w:marTop w:val="0"/>
          <w:marBottom w:val="0"/>
          <w:divBdr>
            <w:top w:val="none" w:sz="0" w:space="0" w:color="auto"/>
            <w:left w:val="none" w:sz="0" w:space="0" w:color="auto"/>
            <w:bottom w:val="none" w:sz="0" w:space="0" w:color="auto"/>
            <w:right w:val="none" w:sz="0" w:space="0" w:color="auto"/>
          </w:divBdr>
        </w:div>
        <w:div w:id="911087363">
          <w:marLeft w:val="0"/>
          <w:marRight w:val="0"/>
          <w:marTop w:val="0"/>
          <w:marBottom w:val="0"/>
          <w:divBdr>
            <w:top w:val="none" w:sz="0" w:space="0" w:color="auto"/>
            <w:left w:val="none" w:sz="0" w:space="0" w:color="auto"/>
            <w:bottom w:val="none" w:sz="0" w:space="0" w:color="auto"/>
            <w:right w:val="none" w:sz="0" w:space="0" w:color="auto"/>
          </w:divBdr>
        </w:div>
        <w:div w:id="1549611716">
          <w:marLeft w:val="0"/>
          <w:marRight w:val="0"/>
          <w:marTop w:val="0"/>
          <w:marBottom w:val="0"/>
          <w:divBdr>
            <w:top w:val="none" w:sz="0" w:space="0" w:color="auto"/>
            <w:left w:val="none" w:sz="0" w:space="0" w:color="auto"/>
            <w:bottom w:val="none" w:sz="0" w:space="0" w:color="auto"/>
            <w:right w:val="none" w:sz="0" w:space="0" w:color="auto"/>
          </w:divBdr>
        </w:div>
        <w:div w:id="783423368">
          <w:marLeft w:val="0"/>
          <w:marRight w:val="0"/>
          <w:marTop w:val="0"/>
          <w:marBottom w:val="0"/>
          <w:divBdr>
            <w:top w:val="none" w:sz="0" w:space="0" w:color="auto"/>
            <w:left w:val="none" w:sz="0" w:space="0" w:color="auto"/>
            <w:bottom w:val="none" w:sz="0" w:space="0" w:color="auto"/>
            <w:right w:val="none" w:sz="0" w:space="0" w:color="auto"/>
          </w:divBdr>
        </w:div>
        <w:div w:id="978731757">
          <w:marLeft w:val="0"/>
          <w:marRight w:val="0"/>
          <w:marTop w:val="0"/>
          <w:marBottom w:val="0"/>
          <w:divBdr>
            <w:top w:val="none" w:sz="0" w:space="0" w:color="auto"/>
            <w:left w:val="none" w:sz="0" w:space="0" w:color="auto"/>
            <w:bottom w:val="none" w:sz="0" w:space="0" w:color="auto"/>
            <w:right w:val="none" w:sz="0" w:space="0" w:color="auto"/>
          </w:divBdr>
        </w:div>
      </w:divsChild>
    </w:div>
    <w:div w:id="353919406">
      <w:bodyDiv w:val="1"/>
      <w:marLeft w:val="0"/>
      <w:marRight w:val="0"/>
      <w:marTop w:val="0"/>
      <w:marBottom w:val="0"/>
      <w:divBdr>
        <w:top w:val="none" w:sz="0" w:space="0" w:color="auto"/>
        <w:left w:val="none" w:sz="0" w:space="0" w:color="auto"/>
        <w:bottom w:val="none" w:sz="0" w:space="0" w:color="auto"/>
        <w:right w:val="none" w:sz="0" w:space="0" w:color="auto"/>
      </w:divBdr>
    </w:div>
    <w:div w:id="385107343">
      <w:bodyDiv w:val="1"/>
      <w:marLeft w:val="0"/>
      <w:marRight w:val="0"/>
      <w:marTop w:val="0"/>
      <w:marBottom w:val="0"/>
      <w:divBdr>
        <w:top w:val="none" w:sz="0" w:space="0" w:color="auto"/>
        <w:left w:val="none" w:sz="0" w:space="0" w:color="auto"/>
        <w:bottom w:val="none" w:sz="0" w:space="0" w:color="auto"/>
        <w:right w:val="none" w:sz="0" w:space="0" w:color="auto"/>
      </w:divBdr>
    </w:div>
    <w:div w:id="419914646">
      <w:bodyDiv w:val="1"/>
      <w:marLeft w:val="0"/>
      <w:marRight w:val="0"/>
      <w:marTop w:val="0"/>
      <w:marBottom w:val="0"/>
      <w:divBdr>
        <w:top w:val="none" w:sz="0" w:space="0" w:color="auto"/>
        <w:left w:val="none" w:sz="0" w:space="0" w:color="auto"/>
        <w:bottom w:val="none" w:sz="0" w:space="0" w:color="auto"/>
        <w:right w:val="none" w:sz="0" w:space="0" w:color="auto"/>
      </w:divBdr>
    </w:div>
    <w:div w:id="457573700">
      <w:bodyDiv w:val="1"/>
      <w:marLeft w:val="0"/>
      <w:marRight w:val="0"/>
      <w:marTop w:val="0"/>
      <w:marBottom w:val="0"/>
      <w:divBdr>
        <w:top w:val="none" w:sz="0" w:space="0" w:color="auto"/>
        <w:left w:val="none" w:sz="0" w:space="0" w:color="auto"/>
        <w:bottom w:val="none" w:sz="0" w:space="0" w:color="auto"/>
        <w:right w:val="none" w:sz="0" w:space="0" w:color="auto"/>
      </w:divBdr>
    </w:div>
    <w:div w:id="508953142">
      <w:bodyDiv w:val="1"/>
      <w:marLeft w:val="0"/>
      <w:marRight w:val="0"/>
      <w:marTop w:val="0"/>
      <w:marBottom w:val="0"/>
      <w:divBdr>
        <w:top w:val="none" w:sz="0" w:space="0" w:color="auto"/>
        <w:left w:val="none" w:sz="0" w:space="0" w:color="auto"/>
        <w:bottom w:val="none" w:sz="0" w:space="0" w:color="auto"/>
        <w:right w:val="none" w:sz="0" w:space="0" w:color="auto"/>
      </w:divBdr>
    </w:div>
    <w:div w:id="587080487">
      <w:bodyDiv w:val="1"/>
      <w:marLeft w:val="0"/>
      <w:marRight w:val="0"/>
      <w:marTop w:val="0"/>
      <w:marBottom w:val="0"/>
      <w:divBdr>
        <w:top w:val="none" w:sz="0" w:space="0" w:color="auto"/>
        <w:left w:val="none" w:sz="0" w:space="0" w:color="auto"/>
        <w:bottom w:val="none" w:sz="0" w:space="0" w:color="auto"/>
        <w:right w:val="none" w:sz="0" w:space="0" w:color="auto"/>
      </w:divBdr>
    </w:div>
    <w:div w:id="742340745">
      <w:bodyDiv w:val="1"/>
      <w:marLeft w:val="0"/>
      <w:marRight w:val="0"/>
      <w:marTop w:val="0"/>
      <w:marBottom w:val="0"/>
      <w:divBdr>
        <w:top w:val="none" w:sz="0" w:space="0" w:color="auto"/>
        <w:left w:val="none" w:sz="0" w:space="0" w:color="auto"/>
        <w:bottom w:val="none" w:sz="0" w:space="0" w:color="auto"/>
        <w:right w:val="none" w:sz="0" w:space="0" w:color="auto"/>
      </w:divBdr>
    </w:div>
    <w:div w:id="773945062">
      <w:bodyDiv w:val="1"/>
      <w:marLeft w:val="0"/>
      <w:marRight w:val="0"/>
      <w:marTop w:val="0"/>
      <w:marBottom w:val="0"/>
      <w:divBdr>
        <w:top w:val="none" w:sz="0" w:space="0" w:color="auto"/>
        <w:left w:val="none" w:sz="0" w:space="0" w:color="auto"/>
        <w:bottom w:val="none" w:sz="0" w:space="0" w:color="auto"/>
        <w:right w:val="none" w:sz="0" w:space="0" w:color="auto"/>
      </w:divBdr>
    </w:div>
    <w:div w:id="861865599">
      <w:bodyDiv w:val="1"/>
      <w:marLeft w:val="0"/>
      <w:marRight w:val="0"/>
      <w:marTop w:val="0"/>
      <w:marBottom w:val="0"/>
      <w:divBdr>
        <w:top w:val="none" w:sz="0" w:space="0" w:color="auto"/>
        <w:left w:val="none" w:sz="0" w:space="0" w:color="auto"/>
        <w:bottom w:val="none" w:sz="0" w:space="0" w:color="auto"/>
        <w:right w:val="none" w:sz="0" w:space="0" w:color="auto"/>
      </w:divBdr>
    </w:div>
    <w:div w:id="925919979">
      <w:bodyDiv w:val="1"/>
      <w:marLeft w:val="0"/>
      <w:marRight w:val="0"/>
      <w:marTop w:val="0"/>
      <w:marBottom w:val="0"/>
      <w:divBdr>
        <w:top w:val="none" w:sz="0" w:space="0" w:color="auto"/>
        <w:left w:val="none" w:sz="0" w:space="0" w:color="auto"/>
        <w:bottom w:val="none" w:sz="0" w:space="0" w:color="auto"/>
        <w:right w:val="none" w:sz="0" w:space="0" w:color="auto"/>
      </w:divBdr>
      <w:divsChild>
        <w:div w:id="1798640909">
          <w:marLeft w:val="0"/>
          <w:marRight w:val="0"/>
          <w:marTop w:val="0"/>
          <w:marBottom w:val="0"/>
          <w:divBdr>
            <w:top w:val="none" w:sz="0" w:space="0" w:color="auto"/>
            <w:left w:val="none" w:sz="0" w:space="0" w:color="auto"/>
            <w:bottom w:val="none" w:sz="0" w:space="0" w:color="auto"/>
            <w:right w:val="none" w:sz="0" w:space="0" w:color="auto"/>
          </w:divBdr>
        </w:div>
        <w:div w:id="655768850">
          <w:marLeft w:val="0"/>
          <w:marRight w:val="0"/>
          <w:marTop w:val="0"/>
          <w:marBottom w:val="0"/>
          <w:divBdr>
            <w:top w:val="none" w:sz="0" w:space="0" w:color="auto"/>
            <w:left w:val="none" w:sz="0" w:space="0" w:color="auto"/>
            <w:bottom w:val="none" w:sz="0" w:space="0" w:color="auto"/>
            <w:right w:val="none" w:sz="0" w:space="0" w:color="auto"/>
          </w:divBdr>
        </w:div>
        <w:div w:id="122580792">
          <w:marLeft w:val="0"/>
          <w:marRight w:val="0"/>
          <w:marTop w:val="0"/>
          <w:marBottom w:val="0"/>
          <w:divBdr>
            <w:top w:val="none" w:sz="0" w:space="0" w:color="auto"/>
            <w:left w:val="none" w:sz="0" w:space="0" w:color="auto"/>
            <w:bottom w:val="none" w:sz="0" w:space="0" w:color="auto"/>
            <w:right w:val="none" w:sz="0" w:space="0" w:color="auto"/>
          </w:divBdr>
        </w:div>
        <w:div w:id="1840271784">
          <w:marLeft w:val="0"/>
          <w:marRight w:val="0"/>
          <w:marTop w:val="0"/>
          <w:marBottom w:val="0"/>
          <w:divBdr>
            <w:top w:val="none" w:sz="0" w:space="0" w:color="auto"/>
            <w:left w:val="none" w:sz="0" w:space="0" w:color="auto"/>
            <w:bottom w:val="none" w:sz="0" w:space="0" w:color="auto"/>
            <w:right w:val="none" w:sz="0" w:space="0" w:color="auto"/>
          </w:divBdr>
        </w:div>
        <w:div w:id="767890101">
          <w:marLeft w:val="0"/>
          <w:marRight w:val="0"/>
          <w:marTop w:val="0"/>
          <w:marBottom w:val="0"/>
          <w:divBdr>
            <w:top w:val="none" w:sz="0" w:space="0" w:color="auto"/>
            <w:left w:val="none" w:sz="0" w:space="0" w:color="auto"/>
            <w:bottom w:val="none" w:sz="0" w:space="0" w:color="auto"/>
            <w:right w:val="none" w:sz="0" w:space="0" w:color="auto"/>
          </w:divBdr>
        </w:div>
        <w:div w:id="1184779525">
          <w:marLeft w:val="0"/>
          <w:marRight w:val="0"/>
          <w:marTop w:val="0"/>
          <w:marBottom w:val="0"/>
          <w:divBdr>
            <w:top w:val="none" w:sz="0" w:space="0" w:color="auto"/>
            <w:left w:val="none" w:sz="0" w:space="0" w:color="auto"/>
            <w:bottom w:val="none" w:sz="0" w:space="0" w:color="auto"/>
            <w:right w:val="none" w:sz="0" w:space="0" w:color="auto"/>
          </w:divBdr>
        </w:div>
        <w:div w:id="1397774955">
          <w:marLeft w:val="0"/>
          <w:marRight w:val="0"/>
          <w:marTop w:val="0"/>
          <w:marBottom w:val="0"/>
          <w:divBdr>
            <w:top w:val="none" w:sz="0" w:space="0" w:color="auto"/>
            <w:left w:val="none" w:sz="0" w:space="0" w:color="auto"/>
            <w:bottom w:val="none" w:sz="0" w:space="0" w:color="auto"/>
            <w:right w:val="none" w:sz="0" w:space="0" w:color="auto"/>
          </w:divBdr>
        </w:div>
        <w:div w:id="1747611621">
          <w:marLeft w:val="0"/>
          <w:marRight w:val="0"/>
          <w:marTop w:val="0"/>
          <w:marBottom w:val="0"/>
          <w:divBdr>
            <w:top w:val="none" w:sz="0" w:space="0" w:color="auto"/>
            <w:left w:val="none" w:sz="0" w:space="0" w:color="auto"/>
            <w:bottom w:val="none" w:sz="0" w:space="0" w:color="auto"/>
            <w:right w:val="none" w:sz="0" w:space="0" w:color="auto"/>
          </w:divBdr>
        </w:div>
        <w:div w:id="1070031774">
          <w:marLeft w:val="0"/>
          <w:marRight w:val="0"/>
          <w:marTop w:val="0"/>
          <w:marBottom w:val="0"/>
          <w:divBdr>
            <w:top w:val="none" w:sz="0" w:space="0" w:color="auto"/>
            <w:left w:val="none" w:sz="0" w:space="0" w:color="auto"/>
            <w:bottom w:val="none" w:sz="0" w:space="0" w:color="auto"/>
            <w:right w:val="none" w:sz="0" w:space="0" w:color="auto"/>
          </w:divBdr>
        </w:div>
      </w:divsChild>
    </w:div>
    <w:div w:id="1023360874">
      <w:bodyDiv w:val="1"/>
      <w:marLeft w:val="0"/>
      <w:marRight w:val="0"/>
      <w:marTop w:val="0"/>
      <w:marBottom w:val="0"/>
      <w:divBdr>
        <w:top w:val="none" w:sz="0" w:space="0" w:color="auto"/>
        <w:left w:val="none" w:sz="0" w:space="0" w:color="auto"/>
        <w:bottom w:val="none" w:sz="0" w:space="0" w:color="auto"/>
        <w:right w:val="none" w:sz="0" w:space="0" w:color="auto"/>
      </w:divBdr>
    </w:div>
    <w:div w:id="1060791295">
      <w:bodyDiv w:val="1"/>
      <w:marLeft w:val="0"/>
      <w:marRight w:val="0"/>
      <w:marTop w:val="0"/>
      <w:marBottom w:val="0"/>
      <w:divBdr>
        <w:top w:val="none" w:sz="0" w:space="0" w:color="auto"/>
        <w:left w:val="none" w:sz="0" w:space="0" w:color="auto"/>
        <w:bottom w:val="none" w:sz="0" w:space="0" w:color="auto"/>
        <w:right w:val="none" w:sz="0" w:space="0" w:color="auto"/>
      </w:divBdr>
    </w:div>
    <w:div w:id="1104813073">
      <w:bodyDiv w:val="1"/>
      <w:marLeft w:val="0"/>
      <w:marRight w:val="0"/>
      <w:marTop w:val="0"/>
      <w:marBottom w:val="0"/>
      <w:divBdr>
        <w:top w:val="none" w:sz="0" w:space="0" w:color="auto"/>
        <w:left w:val="none" w:sz="0" w:space="0" w:color="auto"/>
        <w:bottom w:val="none" w:sz="0" w:space="0" w:color="auto"/>
        <w:right w:val="none" w:sz="0" w:space="0" w:color="auto"/>
      </w:divBdr>
      <w:divsChild>
        <w:div w:id="543639664">
          <w:marLeft w:val="0"/>
          <w:marRight w:val="0"/>
          <w:marTop w:val="0"/>
          <w:marBottom w:val="0"/>
          <w:divBdr>
            <w:top w:val="none" w:sz="0" w:space="0" w:color="auto"/>
            <w:left w:val="none" w:sz="0" w:space="0" w:color="auto"/>
            <w:bottom w:val="none" w:sz="0" w:space="0" w:color="auto"/>
            <w:right w:val="none" w:sz="0" w:space="0" w:color="auto"/>
          </w:divBdr>
        </w:div>
        <w:div w:id="370573149">
          <w:marLeft w:val="0"/>
          <w:marRight w:val="0"/>
          <w:marTop w:val="0"/>
          <w:marBottom w:val="0"/>
          <w:divBdr>
            <w:top w:val="none" w:sz="0" w:space="0" w:color="auto"/>
            <w:left w:val="none" w:sz="0" w:space="0" w:color="auto"/>
            <w:bottom w:val="none" w:sz="0" w:space="0" w:color="auto"/>
            <w:right w:val="none" w:sz="0" w:space="0" w:color="auto"/>
          </w:divBdr>
        </w:div>
        <w:div w:id="1262638913">
          <w:marLeft w:val="0"/>
          <w:marRight w:val="0"/>
          <w:marTop w:val="0"/>
          <w:marBottom w:val="0"/>
          <w:divBdr>
            <w:top w:val="none" w:sz="0" w:space="0" w:color="auto"/>
            <w:left w:val="none" w:sz="0" w:space="0" w:color="auto"/>
            <w:bottom w:val="none" w:sz="0" w:space="0" w:color="auto"/>
            <w:right w:val="none" w:sz="0" w:space="0" w:color="auto"/>
          </w:divBdr>
        </w:div>
        <w:div w:id="135033995">
          <w:marLeft w:val="0"/>
          <w:marRight w:val="0"/>
          <w:marTop w:val="0"/>
          <w:marBottom w:val="0"/>
          <w:divBdr>
            <w:top w:val="none" w:sz="0" w:space="0" w:color="auto"/>
            <w:left w:val="none" w:sz="0" w:space="0" w:color="auto"/>
            <w:bottom w:val="none" w:sz="0" w:space="0" w:color="auto"/>
            <w:right w:val="none" w:sz="0" w:space="0" w:color="auto"/>
          </w:divBdr>
        </w:div>
        <w:div w:id="375353197">
          <w:marLeft w:val="0"/>
          <w:marRight w:val="0"/>
          <w:marTop w:val="0"/>
          <w:marBottom w:val="0"/>
          <w:divBdr>
            <w:top w:val="none" w:sz="0" w:space="0" w:color="auto"/>
            <w:left w:val="none" w:sz="0" w:space="0" w:color="auto"/>
            <w:bottom w:val="none" w:sz="0" w:space="0" w:color="auto"/>
            <w:right w:val="none" w:sz="0" w:space="0" w:color="auto"/>
          </w:divBdr>
        </w:div>
        <w:div w:id="1572621990">
          <w:marLeft w:val="0"/>
          <w:marRight w:val="0"/>
          <w:marTop w:val="0"/>
          <w:marBottom w:val="0"/>
          <w:divBdr>
            <w:top w:val="none" w:sz="0" w:space="0" w:color="auto"/>
            <w:left w:val="none" w:sz="0" w:space="0" w:color="auto"/>
            <w:bottom w:val="none" w:sz="0" w:space="0" w:color="auto"/>
            <w:right w:val="none" w:sz="0" w:space="0" w:color="auto"/>
          </w:divBdr>
        </w:div>
        <w:div w:id="1518538084">
          <w:marLeft w:val="0"/>
          <w:marRight w:val="0"/>
          <w:marTop w:val="0"/>
          <w:marBottom w:val="0"/>
          <w:divBdr>
            <w:top w:val="none" w:sz="0" w:space="0" w:color="auto"/>
            <w:left w:val="none" w:sz="0" w:space="0" w:color="auto"/>
            <w:bottom w:val="none" w:sz="0" w:space="0" w:color="auto"/>
            <w:right w:val="none" w:sz="0" w:space="0" w:color="auto"/>
          </w:divBdr>
        </w:div>
      </w:divsChild>
    </w:div>
    <w:div w:id="1210188222">
      <w:bodyDiv w:val="1"/>
      <w:marLeft w:val="0"/>
      <w:marRight w:val="0"/>
      <w:marTop w:val="0"/>
      <w:marBottom w:val="0"/>
      <w:divBdr>
        <w:top w:val="none" w:sz="0" w:space="0" w:color="auto"/>
        <w:left w:val="none" w:sz="0" w:space="0" w:color="auto"/>
        <w:bottom w:val="none" w:sz="0" w:space="0" w:color="auto"/>
        <w:right w:val="none" w:sz="0" w:space="0" w:color="auto"/>
      </w:divBdr>
    </w:div>
    <w:div w:id="1239247960">
      <w:bodyDiv w:val="1"/>
      <w:marLeft w:val="0"/>
      <w:marRight w:val="0"/>
      <w:marTop w:val="0"/>
      <w:marBottom w:val="0"/>
      <w:divBdr>
        <w:top w:val="none" w:sz="0" w:space="0" w:color="auto"/>
        <w:left w:val="none" w:sz="0" w:space="0" w:color="auto"/>
        <w:bottom w:val="none" w:sz="0" w:space="0" w:color="auto"/>
        <w:right w:val="none" w:sz="0" w:space="0" w:color="auto"/>
      </w:divBdr>
      <w:divsChild>
        <w:div w:id="1369255956">
          <w:marLeft w:val="0"/>
          <w:marRight w:val="0"/>
          <w:marTop w:val="0"/>
          <w:marBottom w:val="0"/>
          <w:divBdr>
            <w:top w:val="none" w:sz="0" w:space="0" w:color="auto"/>
            <w:left w:val="none" w:sz="0" w:space="0" w:color="auto"/>
            <w:bottom w:val="none" w:sz="0" w:space="0" w:color="auto"/>
            <w:right w:val="none" w:sz="0" w:space="0" w:color="auto"/>
          </w:divBdr>
        </w:div>
        <w:div w:id="179123955">
          <w:marLeft w:val="0"/>
          <w:marRight w:val="0"/>
          <w:marTop w:val="0"/>
          <w:marBottom w:val="0"/>
          <w:divBdr>
            <w:top w:val="none" w:sz="0" w:space="0" w:color="auto"/>
            <w:left w:val="none" w:sz="0" w:space="0" w:color="auto"/>
            <w:bottom w:val="none" w:sz="0" w:space="0" w:color="auto"/>
            <w:right w:val="none" w:sz="0" w:space="0" w:color="auto"/>
          </w:divBdr>
        </w:div>
        <w:div w:id="823814162">
          <w:marLeft w:val="0"/>
          <w:marRight w:val="0"/>
          <w:marTop w:val="0"/>
          <w:marBottom w:val="0"/>
          <w:divBdr>
            <w:top w:val="none" w:sz="0" w:space="0" w:color="auto"/>
            <w:left w:val="none" w:sz="0" w:space="0" w:color="auto"/>
            <w:bottom w:val="none" w:sz="0" w:space="0" w:color="auto"/>
            <w:right w:val="none" w:sz="0" w:space="0" w:color="auto"/>
          </w:divBdr>
        </w:div>
        <w:div w:id="640695751">
          <w:marLeft w:val="0"/>
          <w:marRight w:val="0"/>
          <w:marTop w:val="0"/>
          <w:marBottom w:val="0"/>
          <w:divBdr>
            <w:top w:val="none" w:sz="0" w:space="0" w:color="auto"/>
            <w:left w:val="none" w:sz="0" w:space="0" w:color="auto"/>
            <w:bottom w:val="none" w:sz="0" w:space="0" w:color="auto"/>
            <w:right w:val="none" w:sz="0" w:space="0" w:color="auto"/>
          </w:divBdr>
        </w:div>
        <w:div w:id="307980967">
          <w:marLeft w:val="0"/>
          <w:marRight w:val="0"/>
          <w:marTop w:val="0"/>
          <w:marBottom w:val="0"/>
          <w:divBdr>
            <w:top w:val="none" w:sz="0" w:space="0" w:color="auto"/>
            <w:left w:val="none" w:sz="0" w:space="0" w:color="auto"/>
            <w:bottom w:val="none" w:sz="0" w:space="0" w:color="auto"/>
            <w:right w:val="none" w:sz="0" w:space="0" w:color="auto"/>
          </w:divBdr>
        </w:div>
        <w:div w:id="1033577377">
          <w:marLeft w:val="0"/>
          <w:marRight w:val="0"/>
          <w:marTop w:val="0"/>
          <w:marBottom w:val="0"/>
          <w:divBdr>
            <w:top w:val="none" w:sz="0" w:space="0" w:color="auto"/>
            <w:left w:val="none" w:sz="0" w:space="0" w:color="auto"/>
            <w:bottom w:val="none" w:sz="0" w:space="0" w:color="auto"/>
            <w:right w:val="none" w:sz="0" w:space="0" w:color="auto"/>
          </w:divBdr>
        </w:div>
        <w:div w:id="1850871273">
          <w:marLeft w:val="0"/>
          <w:marRight w:val="0"/>
          <w:marTop w:val="0"/>
          <w:marBottom w:val="0"/>
          <w:divBdr>
            <w:top w:val="none" w:sz="0" w:space="0" w:color="auto"/>
            <w:left w:val="none" w:sz="0" w:space="0" w:color="auto"/>
            <w:bottom w:val="none" w:sz="0" w:space="0" w:color="auto"/>
            <w:right w:val="none" w:sz="0" w:space="0" w:color="auto"/>
          </w:divBdr>
        </w:div>
        <w:div w:id="578910377">
          <w:marLeft w:val="0"/>
          <w:marRight w:val="0"/>
          <w:marTop w:val="0"/>
          <w:marBottom w:val="0"/>
          <w:divBdr>
            <w:top w:val="none" w:sz="0" w:space="0" w:color="auto"/>
            <w:left w:val="none" w:sz="0" w:space="0" w:color="auto"/>
            <w:bottom w:val="none" w:sz="0" w:space="0" w:color="auto"/>
            <w:right w:val="none" w:sz="0" w:space="0" w:color="auto"/>
          </w:divBdr>
        </w:div>
        <w:div w:id="441386156">
          <w:marLeft w:val="0"/>
          <w:marRight w:val="0"/>
          <w:marTop w:val="0"/>
          <w:marBottom w:val="0"/>
          <w:divBdr>
            <w:top w:val="none" w:sz="0" w:space="0" w:color="auto"/>
            <w:left w:val="none" w:sz="0" w:space="0" w:color="auto"/>
            <w:bottom w:val="none" w:sz="0" w:space="0" w:color="auto"/>
            <w:right w:val="none" w:sz="0" w:space="0" w:color="auto"/>
          </w:divBdr>
        </w:div>
      </w:divsChild>
    </w:div>
    <w:div w:id="1246964019">
      <w:bodyDiv w:val="1"/>
      <w:marLeft w:val="0"/>
      <w:marRight w:val="0"/>
      <w:marTop w:val="0"/>
      <w:marBottom w:val="0"/>
      <w:divBdr>
        <w:top w:val="none" w:sz="0" w:space="0" w:color="auto"/>
        <w:left w:val="none" w:sz="0" w:space="0" w:color="auto"/>
        <w:bottom w:val="none" w:sz="0" w:space="0" w:color="auto"/>
        <w:right w:val="none" w:sz="0" w:space="0" w:color="auto"/>
      </w:divBdr>
    </w:div>
    <w:div w:id="1260479576">
      <w:bodyDiv w:val="1"/>
      <w:marLeft w:val="0"/>
      <w:marRight w:val="0"/>
      <w:marTop w:val="0"/>
      <w:marBottom w:val="0"/>
      <w:divBdr>
        <w:top w:val="none" w:sz="0" w:space="0" w:color="auto"/>
        <w:left w:val="none" w:sz="0" w:space="0" w:color="auto"/>
        <w:bottom w:val="none" w:sz="0" w:space="0" w:color="auto"/>
        <w:right w:val="none" w:sz="0" w:space="0" w:color="auto"/>
      </w:divBdr>
    </w:div>
    <w:div w:id="1275870049">
      <w:bodyDiv w:val="1"/>
      <w:marLeft w:val="0"/>
      <w:marRight w:val="0"/>
      <w:marTop w:val="0"/>
      <w:marBottom w:val="0"/>
      <w:divBdr>
        <w:top w:val="none" w:sz="0" w:space="0" w:color="auto"/>
        <w:left w:val="none" w:sz="0" w:space="0" w:color="auto"/>
        <w:bottom w:val="none" w:sz="0" w:space="0" w:color="auto"/>
        <w:right w:val="none" w:sz="0" w:space="0" w:color="auto"/>
      </w:divBdr>
    </w:div>
    <w:div w:id="1313438928">
      <w:bodyDiv w:val="1"/>
      <w:marLeft w:val="0"/>
      <w:marRight w:val="0"/>
      <w:marTop w:val="0"/>
      <w:marBottom w:val="0"/>
      <w:divBdr>
        <w:top w:val="none" w:sz="0" w:space="0" w:color="auto"/>
        <w:left w:val="none" w:sz="0" w:space="0" w:color="auto"/>
        <w:bottom w:val="none" w:sz="0" w:space="0" w:color="auto"/>
        <w:right w:val="none" w:sz="0" w:space="0" w:color="auto"/>
      </w:divBdr>
    </w:div>
    <w:div w:id="1359889526">
      <w:bodyDiv w:val="1"/>
      <w:marLeft w:val="0"/>
      <w:marRight w:val="0"/>
      <w:marTop w:val="0"/>
      <w:marBottom w:val="0"/>
      <w:divBdr>
        <w:top w:val="none" w:sz="0" w:space="0" w:color="auto"/>
        <w:left w:val="none" w:sz="0" w:space="0" w:color="auto"/>
        <w:bottom w:val="none" w:sz="0" w:space="0" w:color="auto"/>
        <w:right w:val="none" w:sz="0" w:space="0" w:color="auto"/>
      </w:divBdr>
    </w:div>
    <w:div w:id="1408647671">
      <w:bodyDiv w:val="1"/>
      <w:marLeft w:val="0"/>
      <w:marRight w:val="0"/>
      <w:marTop w:val="0"/>
      <w:marBottom w:val="0"/>
      <w:divBdr>
        <w:top w:val="none" w:sz="0" w:space="0" w:color="auto"/>
        <w:left w:val="none" w:sz="0" w:space="0" w:color="auto"/>
        <w:bottom w:val="none" w:sz="0" w:space="0" w:color="auto"/>
        <w:right w:val="none" w:sz="0" w:space="0" w:color="auto"/>
      </w:divBdr>
      <w:divsChild>
        <w:div w:id="1376855634">
          <w:marLeft w:val="0"/>
          <w:marRight w:val="0"/>
          <w:marTop w:val="0"/>
          <w:marBottom w:val="0"/>
          <w:divBdr>
            <w:top w:val="none" w:sz="0" w:space="0" w:color="auto"/>
            <w:left w:val="none" w:sz="0" w:space="0" w:color="auto"/>
            <w:bottom w:val="none" w:sz="0" w:space="0" w:color="auto"/>
            <w:right w:val="none" w:sz="0" w:space="0" w:color="auto"/>
          </w:divBdr>
        </w:div>
        <w:div w:id="628896696">
          <w:marLeft w:val="0"/>
          <w:marRight w:val="0"/>
          <w:marTop w:val="0"/>
          <w:marBottom w:val="0"/>
          <w:divBdr>
            <w:top w:val="none" w:sz="0" w:space="0" w:color="auto"/>
            <w:left w:val="none" w:sz="0" w:space="0" w:color="auto"/>
            <w:bottom w:val="none" w:sz="0" w:space="0" w:color="auto"/>
            <w:right w:val="none" w:sz="0" w:space="0" w:color="auto"/>
          </w:divBdr>
        </w:div>
        <w:div w:id="615874451">
          <w:marLeft w:val="0"/>
          <w:marRight w:val="0"/>
          <w:marTop w:val="0"/>
          <w:marBottom w:val="0"/>
          <w:divBdr>
            <w:top w:val="none" w:sz="0" w:space="0" w:color="auto"/>
            <w:left w:val="none" w:sz="0" w:space="0" w:color="auto"/>
            <w:bottom w:val="none" w:sz="0" w:space="0" w:color="auto"/>
            <w:right w:val="none" w:sz="0" w:space="0" w:color="auto"/>
          </w:divBdr>
        </w:div>
        <w:div w:id="1369992983">
          <w:marLeft w:val="0"/>
          <w:marRight w:val="0"/>
          <w:marTop w:val="0"/>
          <w:marBottom w:val="0"/>
          <w:divBdr>
            <w:top w:val="none" w:sz="0" w:space="0" w:color="auto"/>
            <w:left w:val="none" w:sz="0" w:space="0" w:color="auto"/>
            <w:bottom w:val="none" w:sz="0" w:space="0" w:color="auto"/>
            <w:right w:val="none" w:sz="0" w:space="0" w:color="auto"/>
          </w:divBdr>
        </w:div>
        <w:div w:id="1694112431">
          <w:marLeft w:val="0"/>
          <w:marRight w:val="0"/>
          <w:marTop w:val="0"/>
          <w:marBottom w:val="0"/>
          <w:divBdr>
            <w:top w:val="none" w:sz="0" w:space="0" w:color="auto"/>
            <w:left w:val="none" w:sz="0" w:space="0" w:color="auto"/>
            <w:bottom w:val="none" w:sz="0" w:space="0" w:color="auto"/>
            <w:right w:val="none" w:sz="0" w:space="0" w:color="auto"/>
          </w:divBdr>
        </w:div>
        <w:div w:id="829560020">
          <w:marLeft w:val="0"/>
          <w:marRight w:val="0"/>
          <w:marTop w:val="0"/>
          <w:marBottom w:val="0"/>
          <w:divBdr>
            <w:top w:val="none" w:sz="0" w:space="0" w:color="auto"/>
            <w:left w:val="none" w:sz="0" w:space="0" w:color="auto"/>
            <w:bottom w:val="none" w:sz="0" w:space="0" w:color="auto"/>
            <w:right w:val="none" w:sz="0" w:space="0" w:color="auto"/>
          </w:divBdr>
        </w:div>
        <w:div w:id="626545686">
          <w:marLeft w:val="0"/>
          <w:marRight w:val="0"/>
          <w:marTop w:val="0"/>
          <w:marBottom w:val="0"/>
          <w:divBdr>
            <w:top w:val="none" w:sz="0" w:space="0" w:color="auto"/>
            <w:left w:val="none" w:sz="0" w:space="0" w:color="auto"/>
            <w:bottom w:val="none" w:sz="0" w:space="0" w:color="auto"/>
            <w:right w:val="none" w:sz="0" w:space="0" w:color="auto"/>
          </w:divBdr>
        </w:div>
        <w:div w:id="1798798100">
          <w:marLeft w:val="0"/>
          <w:marRight w:val="0"/>
          <w:marTop w:val="0"/>
          <w:marBottom w:val="0"/>
          <w:divBdr>
            <w:top w:val="none" w:sz="0" w:space="0" w:color="auto"/>
            <w:left w:val="none" w:sz="0" w:space="0" w:color="auto"/>
            <w:bottom w:val="none" w:sz="0" w:space="0" w:color="auto"/>
            <w:right w:val="none" w:sz="0" w:space="0" w:color="auto"/>
          </w:divBdr>
        </w:div>
      </w:divsChild>
    </w:div>
    <w:div w:id="1491290322">
      <w:bodyDiv w:val="1"/>
      <w:marLeft w:val="0"/>
      <w:marRight w:val="0"/>
      <w:marTop w:val="0"/>
      <w:marBottom w:val="0"/>
      <w:divBdr>
        <w:top w:val="none" w:sz="0" w:space="0" w:color="auto"/>
        <w:left w:val="none" w:sz="0" w:space="0" w:color="auto"/>
        <w:bottom w:val="none" w:sz="0" w:space="0" w:color="auto"/>
        <w:right w:val="none" w:sz="0" w:space="0" w:color="auto"/>
      </w:divBdr>
    </w:div>
    <w:div w:id="15740457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convention/articles/?a=cbd-02" TargetMode="External"/><Relationship Id="rId21" Type="http://schemas.openxmlformats.org/officeDocument/2006/relationships/hyperlink" Target="https://ipbes.net/models-drivers-biodiversity-ecosystem-change" TargetMode="External"/><Relationship Id="rId42" Type="http://schemas.openxmlformats.org/officeDocument/2006/relationships/hyperlink" Target="https://www.cbd.int/doc/c/a6f8/8ccb/a7cb2a88bd13e86cfc59901a/roundtable-b-finance-en.pdf" TargetMode="External"/><Relationship Id="rId47" Type="http://schemas.openxmlformats.org/officeDocument/2006/relationships/hyperlink" Target="https://bch.cbd.int/protocol/text/" TargetMode="External"/><Relationship Id="rId63" Type="http://schemas.openxmlformats.org/officeDocument/2006/relationships/hyperlink" Target="https://can01.safelinks.protection.outlook.com/?url=https://www.oecd.org/environment/resources/biodiversity/tracking-economic-instruments-and-finance-for-biodiversity-2021.pdf&amp;data=05|01|Valeria.Trendafilova@ec.gc.ca|840c872f82e04ed02a0708da94de6448|740c5fd36e8b41769cc9454dbe4e62c4|0|0|637985980244799484|Unknown|TWFpbGZsb3d8eyJWIjoiMC4wLjAwMDAiLCJQIjoiV2luMzIiLCJBTiI6Ik1haWwiLCJXVCI6Mn0=|3000|||&amp;sdata=qO3/Ivk4uuvPOg1wccc7NNIXG/wxoXHkQCUWK6xmN50=&amp;reserved=0" TargetMode="External"/><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iodiversitya-z.org/content/natural-habitats" TargetMode="External"/><Relationship Id="rId29" Type="http://schemas.openxmlformats.org/officeDocument/2006/relationships/hyperlink" Target="https://www.iucn.org/downloads/en_iucn__glossary_definitions.pdf" TargetMode="External"/><Relationship Id="rId11" Type="http://schemas.openxmlformats.org/officeDocument/2006/relationships/endnotes" Target="endnotes.xml"/><Relationship Id="rId24" Type="http://schemas.openxmlformats.org/officeDocument/2006/relationships/hyperlink" Target="https://www.google.com/url?sa=t&amp;rct=j&amp;q=&amp;esrc=s&amp;source=web&amp;cd=&amp;cad=rja&amp;uact=8&amp;ved=2ahUKEwiWrN3PpYH7AhUYEVkFHU22AZcQFnoECA4QAQ&amp;url=https://www.cbd.int/decisions/cop/13/5&amp;usg=AOvVaw1FwrzP4pVxPT8A6kjMFwc4" TargetMode="External"/><Relationship Id="rId32" Type="http://schemas.openxmlformats.org/officeDocument/2006/relationships/hyperlink" Target="https://www.cbd.int/doc/strategic-plan/targets/T9-quick-guide-en.pdf" TargetMode="External"/><Relationship Id="rId37" Type="http://schemas.openxmlformats.org/officeDocument/2006/relationships/hyperlink" Target="https://www.fao.org/3/I3604S/i3604s.pdf" TargetMode="External"/><Relationship Id="rId40" Type="http://schemas.openxmlformats.org/officeDocument/2006/relationships/hyperlink" Target="http://www.fao.org/sustainability/background/es/" TargetMode="External"/><Relationship Id="rId45" Type="http://schemas.openxmlformats.org/officeDocument/2006/relationships/hyperlink" Target="https://www.cbd.int/decision/cop/?id=7181" TargetMode="External"/><Relationship Id="rId53" Type="http://schemas.openxmlformats.org/officeDocument/2006/relationships/hyperlink" Target="https://portals.iucn.org/library/sites/library/files/documents/EPLP-083-Es.pdf" TargetMode="External"/><Relationship Id="rId58" Type="http://schemas.openxmlformats.org/officeDocument/2006/relationships/hyperlink" Target="https://www.cbd.int/convention/articles/?a=cbd-02" TargetMode="External"/><Relationship Id="rId66" Type="http://schemas.openxmlformats.org/officeDocument/2006/relationships/hyperlink" Target="https://www.unep.org/explore-topics/environmental-rights-and-governance/what-we-do/advancing-environmental-rights/who" TargetMode="External"/><Relationship Id="rId74"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www.cbd.int/doc/recommendations/sbstta-24/sbstta-24-rec-04-es.pdf" TargetMode="External"/><Relationship Id="rId19" Type="http://schemas.openxmlformats.org/officeDocument/2006/relationships/hyperlink" Target="https://www.paulsoninstitute.org/conservation/financing-nature-report/" TargetMode="External"/><Relationship Id="rId14" Type="http://schemas.openxmlformats.org/officeDocument/2006/relationships/image" Target="media/image3.png"/><Relationship Id="rId22" Type="http://schemas.openxmlformats.org/officeDocument/2006/relationships/hyperlink" Target="https://portals.iucn.org/library/sites/library/files/documents/2017-028.pdf" TargetMode="External"/><Relationship Id="rId27" Type="http://schemas.openxmlformats.org/officeDocument/2006/relationships/hyperlink" Target="https://portals.iucn.org/library/sites/library/files/documents/pag-021.pdf" TargetMode="External"/><Relationship Id="rId30" Type="http://schemas.openxmlformats.org/officeDocument/2006/relationships/hyperlink" Target="https://www.cbd.int/convention/articles/?a=cbd-02" TargetMode="External"/><Relationship Id="rId35" Type="http://schemas.openxmlformats.org/officeDocument/2006/relationships/hyperlink" Target="https://www.cbd.int/doc/c/e84f/0c78/ba6891ab46342d7ae6f59816/sbstta-24-03-add2-rev1-es.pdf" TargetMode="External"/><Relationship Id="rId43" Type="http://schemas.openxmlformats.org/officeDocument/2006/relationships/hyperlink" Target="https://sciencebasedtargetsnetwork.org/wp-content/uploads/2020/09/SBTN-initial-guidance-for-business.pdf" TargetMode="External"/><Relationship Id="rId48" Type="http://schemas.openxmlformats.org/officeDocument/2006/relationships/hyperlink" Target="https://www.wto.org/spanish/tratop_s/scm_s/subs_s.htm" TargetMode="External"/><Relationship Id="rId56" Type="http://schemas.openxmlformats.org/officeDocument/2006/relationships/hyperlink" Target="https://www.fao.org/faoterm/viewentry/es/?entryId=98327" TargetMode="External"/><Relationship Id="rId64" Type="http://schemas.openxmlformats.org/officeDocument/2006/relationships/hyperlink" Target="https://www.cbd.int/decision/cop/?id=13165" TargetMode="External"/><Relationship Id="rId69"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hyperlink" Target="https://www.cbd.int/ecosystem/description.shtml"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doi.org/10.1093/biosci/biy029" TargetMode="External"/><Relationship Id="rId25" Type="http://schemas.openxmlformats.org/officeDocument/2006/relationships/hyperlink" Target="https://www.decadeonrestoration.org/es/en-que-consiste-la-restauracion-de-los-ecosistemas" TargetMode="External"/><Relationship Id="rId33" Type="http://schemas.openxmlformats.org/officeDocument/2006/relationships/hyperlink" Target="https://www.cbd.int/doc/meetings/sbstta/sbstta-18/official/sbstta-18-09-add1-es.pdf" TargetMode="External"/><Relationship Id="rId38" Type="http://schemas.openxmlformats.org/officeDocument/2006/relationships/hyperlink" Target="https://wedocs.unep.org/bitstream/handle/20.500.11822/39867/NATURE-BASED%20SOLUTIONS%20FOR%20SUPPORTING%20SUSTAINABLE%20DEVELOPMENT.Spanish.pdf?sequence=1&amp;isAllowed=y%20" TargetMode="External"/><Relationship Id="rId46" Type="http://schemas.openxmlformats.org/officeDocument/2006/relationships/hyperlink" Target="https://www.cbd.int/convention/articles/?a=cbd-02" TargetMode="External"/><Relationship Id="rId59" Type="http://schemas.openxmlformats.org/officeDocument/2006/relationships/hyperlink" Target="https://www.cbd.int/doc/decisions/cop-14/cop-14-dec-34-es.pdf" TargetMode="External"/><Relationship Id="rId67" Type="http://schemas.openxmlformats.org/officeDocument/2006/relationships/hyperlink" Target="https://www.cbd.int/doc/c/444a/f794/c4ff3e8f037180bb33fa0afc/sbi-03-inf-41-en.pdf" TargetMode="External"/><Relationship Id="rId20" Type="http://schemas.openxmlformats.org/officeDocument/2006/relationships/hyperlink" Target="https://www.springer.com/gp/book/9783319718606" TargetMode="External"/><Relationship Id="rId41" Type="http://schemas.openxmlformats.org/officeDocument/2006/relationships/hyperlink" Target="https://www.fao.org/sustainable-forests-management/es/" TargetMode="External"/><Relationship Id="rId54" Type="http://schemas.openxmlformats.org/officeDocument/2006/relationships/hyperlink" Target="https://zenodo.org/record/5657079" TargetMode="External"/><Relationship Id="rId62" Type="http://schemas.openxmlformats.org/officeDocument/2006/relationships/hyperlink" Target="https://can01.safelinks.protection.outlook.com/?url=https://www.oecd-ilibrary.org/agriculture-and-food/environmentally-harmful-subsidies_9789264012059-en&amp;data=05|01|Valeria.Trendafilova@ec.gc.ca|840c872f82e04ed02a0708da94de6448|740c5fd36e8b41769cc9454dbe4e62c4|0|0|637985980244799484|Unknown|TWFpbGZsb3d8eyJWIjoiMC4wLjAwMDAiLCJQIjoiV2luMzIiLCJBTiI6Ik1haWwiLCJXVCI6Mn0=|3000|||&amp;sdata=uk+kKDP8WIh2Xras0j1HIG7sbD16WAdoCoirfiGr7pY=&amp;reserved=0"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doi.org/10.32942/osf.io/eyqw5" TargetMode="External"/><Relationship Id="rId23" Type="http://schemas.openxmlformats.org/officeDocument/2006/relationships/hyperlink" Target="https://www.cbd.int/doc/c/fcd6/bfba/38ebc826221543e322173507/post2020-ws-2019-11-03-en.pdf" TargetMode="External"/><Relationship Id="rId28" Type="http://schemas.openxmlformats.org/officeDocument/2006/relationships/hyperlink" Target="https://www.iucn.org/downloads/en_iucn__glossary_definitions.pdf" TargetMode="External"/><Relationship Id="rId36" Type="http://schemas.openxmlformats.org/officeDocument/2006/relationships/hyperlink" Target="https://leap.unep.org/knowledge/glossary/pollution" TargetMode="External"/><Relationship Id="rId49" Type="http://schemas.openxmlformats.org/officeDocument/2006/relationships/hyperlink" Target="https://www.oecd-ilibrary.org/agriculture-and-food/environmentally-harmful-subsidies_9789264012059-en" TargetMode="External"/><Relationship Id="rId57" Type="http://schemas.openxmlformats.org/officeDocument/2006/relationships/hyperlink" Target="https://www.cbd.int/convention/articles/?a=cbd-02" TargetMode="External"/><Relationship Id="rId10" Type="http://schemas.openxmlformats.org/officeDocument/2006/relationships/footnotes" Target="footnotes.xml"/><Relationship Id="rId31" Type="http://schemas.openxmlformats.org/officeDocument/2006/relationships/hyperlink" Target="https://www.cbd.int/convention/articles/?a=cbd-02" TargetMode="External"/><Relationship Id="rId44" Type="http://schemas.openxmlformats.org/officeDocument/2006/relationships/hyperlink" Target="https://www.cbd.int/decision/cop/?id=7181" TargetMode="External"/><Relationship Id="rId52" Type="http://schemas.openxmlformats.org/officeDocument/2006/relationships/hyperlink" Target="https://www.cbd.int/doc/decisions/cop-14/cop-14-dec-13-es.pdf" TargetMode="External"/><Relationship Id="rId60" Type="http://schemas.openxmlformats.org/officeDocument/2006/relationships/hyperlink" Target="https://www.cbd.int/doc/decisions/cop-14/cop-14-dec-19-es.pdf" TargetMode="External"/><Relationship Id="rId65" Type="http://schemas.openxmlformats.org/officeDocument/2006/relationships/hyperlink" Target="https://www.oecd.org/environment/resources/biodiversity/report-a-comprehensive-overview-of-global-biodiversity-finance.pdf"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nature.com/articles/s41893-017-0007-7" TargetMode="External"/><Relationship Id="rId39" Type="http://schemas.openxmlformats.org/officeDocument/2006/relationships/hyperlink" Target="https://www.cbd.int/traditional/what.shtml" TargetMode="External"/><Relationship Id="rId34" Type="http://schemas.openxmlformats.org/officeDocument/2006/relationships/hyperlink" Target="https://neobiota.pensoft.net/article/53543/" TargetMode="External"/><Relationship Id="rId50" Type="http://schemas.openxmlformats.org/officeDocument/2006/relationships/hyperlink" Target="https://zenodo.org/record/5657079" TargetMode="External"/><Relationship Id="rId55" Type="http://schemas.openxmlformats.org/officeDocument/2006/relationships/hyperlink" Target="https://www.undrr.org/terminology/vulnerability" TargetMode="External"/><Relationship Id="rId7" Type="http://schemas.openxmlformats.org/officeDocument/2006/relationships/styles" Target="styles.xml"/><Relationship Id="rId71"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95C4351E09249E3B2650D0ACD552D89"/>
        <w:category>
          <w:name w:val="General"/>
          <w:gallery w:val="placeholder"/>
        </w:category>
        <w:types>
          <w:type w:val="bbPlcHdr"/>
        </w:types>
        <w:behaviors>
          <w:behavior w:val="content"/>
        </w:behaviors>
        <w:guid w:val="{3AC05EC9-F4B2-48A9-8E50-D2098DA94F21}"/>
      </w:docPartPr>
      <w:docPartBody>
        <w:p w:rsidR="001D157B" w:rsidRDefault="002F782D" w:rsidP="002F782D">
          <w:pPr>
            <w:pStyle w:val="D95C4351E09249E3B2650D0ACD552D89"/>
          </w:pPr>
          <w:r w:rsidRPr="007E02EB">
            <w:rPr>
              <w:rStyle w:val="PlaceholderText"/>
            </w:rPr>
            <w:t>[Subject]</w:t>
          </w:r>
        </w:p>
      </w:docPartBody>
    </w:docPart>
    <w:docPart>
      <w:docPartPr>
        <w:name w:val="9763D49CB5554CD699A048821A630D2B"/>
        <w:category>
          <w:name w:val="General"/>
          <w:gallery w:val="placeholder"/>
        </w:category>
        <w:types>
          <w:type w:val="bbPlcHdr"/>
        </w:types>
        <w:behaviors>
          <w:behavior w:val="content"/>
        </w:behaviors>
        <w:guid w:val="{0E508554-61A6-475A-9701-2FF267E4895F}"/>
      </w:docPartPr>
      <w:docPartBody>
        <w:p w:rsidR="001D157B" w:rsidRDefault="002F782D" w:rsidP="002F782D">
          <w:pPr>
            <w:pStyle w:val="9763D49CB5554CD699A048821A630D2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82D"/>
    <w:rsid w:val="000F0AC1"/>
    <w:rsid w:val="00121394"/>
    <w:rsid w:val="00131145"/>
    <w:rsid w:val="00187812"/>
    <w:rsid w:val="001946D8"/>
    <w:rsid w:val="001D157B"/>
    <w:rsid w:val="002F782D"/>
    <w:rsid w:val="004C1868"/>
    <w:rsid w:val="0058098E"/>
    <w:rsid w:val="005900FC"/>
    <w:rsid w:val="00696C68"/>
    <w:rsid w:val="007F6CE2"/>
    <w:rsid w:val="0084100A"/>
    <w:rsid w:val="009814D7"/>
    <w:rsid w:val="00B65724"/>
    <w:rsid w:val="00C744E2"/>
    <w:rsid w:val="00D94D9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F6CE2"/>
    <w:rPr>
      <w:color w:val="808080"/>
    </w:rPr>
  </w:style>
  <w:style w:type="paragraph" w:customStyle="1" w:styleId="D95C4351E09249E3B2650D0ACD552D89">
    <w:name w:val="D95C4351E09249E3B2650D0ACD552D89"/>
    <w:rsid w:val="002F782D"/>
  </w:style>
  <w:style w:type="paragraph" w:customStyle="1" w:styleId="9763D49CB5554CD699A048821A630D2B">
    <w:name w:val="9763D49CB5554CD699A048821A630D2B"/>
    <w:rsid w:val="002F782D"/>
  </w:style>
  <w:style w:type="paragraph" w:customStyle="1" w:styleId="8A6357667E624CC2987F1EB445F912D1">
    <w:name w:val="8A6357667E624CC2987F1EB445F912D1"/>
    <w:rsid w:val="007F6CE2"/>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AA08D5-2604-4169-8C9B-8BC548FCD2E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08E567-F167-494B-A1B2-6AEE76205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7D867E5-336E-49D4-BD41-A8FDBE4E0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17</Pages>
  <Words>7604</Words>
  <Characters>43348</Characters>
  <Application>Microsoft Office Word</Application>
  <DocSecurity>0</DocSecurity>
  <Lines>361</Lines>
  <Paragraphs>101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Glossary for the first draft of the post-2020 global biodiversity framework</vt:lpstr>
      <vt:lpstr>Glossary for the first draft of the post-2020 global biodiversity framework</vt:lpstr>
    </vt:vector>
  </TitlesOfParts>
  <Company>SCBD</Company>
  <LinksUpToDate>false</LinksUpToDate>
  <CharactersWithSpaces>50851</CharactersWithSpaces>
  <SharedDoc>false</SharedDoc>
  <HyperlinkBase>https://www.cbd.int/conferences/geneva-2022/wg2020-03/documents</HyperlinkBase>
  <HLinks>
    <vt:vector size="228" baseType="variant">
      <vt:variant>
        <vt:i4>5636121</vt:i4>
      </vt:variant>
      <vt:variant>
        <vt:i4>111</vt:i4>
      </vt:variant>
      <vt:variant>
        <vt:i4>0</vt:i4>
      </vt:variant>
      <vt:variant>
        <vt:i4>5</vt:i4>
      </vt:variant>
      <vt:variant>
        <vt:lpwstr>https://ec.europa.eu/environment/enveco/taxation/pdf/Harmful Subsidies Report.pdf</vt:lpwstr>
      </vt:variant>
      <vt:variant>
        <vt:lpwstr/>
      </vt:variant>
      <vt:variant>
        <vt:i4>8061041</vt:i4>
      </vt:variant>
      <vt:variant>
        <vt:i4>108</vt:i4>
      </vt:variant>
      <vt:variant>
        <vt:i4>0</vt:i4>
      </vt:variant>
      <vt:variant>
        <vt:i4>5</vt:i4>
      </vt:variant>
      <vt:variant>
        <vt:lpwstr>https://bch.cbd.int/protocol/text/</vt:lpwstr>
      </vt:variant>
      <vt:variant>
        <vt:lpwstr/>
      </vt:variant>
      <vt:variant>
        <vt:i4>1310809</vt:i4>
      </vt:variant>
      <vt:variant>
        <vt:i4>105</vt:i4>
      </vt:variant>
      <vt:variant>
        <vt:i4>0</vt:i4>
      </vt:variant>
      <vt:variant>
        <vt:i4>5</vt:i4>
      </vt:variant>
      <vt:variant>
        <vt:lpwstr>https://www.cbd.int/kb/record/article/6872?RecordType=article</vt:lpwstr>
      </vt:variant>
      <vt:variant>
        <vt:lpwstr/>
      </vt:variant>
      <vt:variant>
        <vt:i4>786446</vt:i4>
      </vt:variant>
      <vt:variant>
        <vt:i4>102</vt:i4>
      </vt:variant>
      <vt:variant>
        <vt:i4>0</vt:i4>
      </vt:variant>
      <vt:variant>
        <vt:i4>5</vt:i4>
      </vt:variant>
      <vt:variant>
        <vt:lpwstr>https://www.nbbnbdp.org/uploads/1/3/1/4/131498886/biological_diversity_protocol__bd_protocol_.pdf</vt:lpwstr>
      </vt:variant>
      <vt:variant>
        <vt:lpwstr/>
      </vt:variant>
      <vt:variant>
        <vt:i4>720983</vt:i4>
      </vt:variant>
      <vt:variant>
        <vt:i4>99</vt:i4>
      </vt:variant>
      <vt:variant>
        <vt:i4>0</vt:i4>
      </vt:variant>
      <vt:variant>
        <vt:i4>5</vt:i4>
      </vt:variant>
      <vt:variant>
        <vt:lpwstr>https://www.cbd.int/doc/c/a6f8/8ccb/a7cb2a88bd13e86cfc59901a/roundtable-b-finance-en.pdf</vt:lpwstr>
      </vt:variant>
      <vt:variant>
        <vt:lpwstr/>
      </vt:variant>
      <vt:variant>
        <vt:i4>8323195</vt:i4>
      </vt:variant>
      <vt:variant>
        <vt:i4>96</vt:i4>
      </vt:variant>
      <vt:variant>
        <vt:i4>0</vt:i4>
      </vt:variant>
      <vt:variant>
        <vt:i4>5</vt:i4>
      </vt:variant>
      <vt:variant>
        <vt:lpwstr>https://www.fao.org/sustainable-forests-management/en/</vt:lpwstr>
      </vt:variant>
      <vt:variant>
        <vt:lpwstr/>
      </vt:variant>
      <vt:variant>
        <vt:i4>5439508</vt:i4>
      </vt:variant>
      <vt:variant>
        <vt:i4>93</vt:i4>
      </vt:variant>
      <vt:variant>
        <vt:i4>0</vt:i4>
      </vt:variant>
      <vt:variant>
        <vt:i4>5</vt:i4>
      </vt:variant>
      <vt:variant>
        <vt:lpwstr>http://www.fao.org/sustainability/background/en/</vt:lpwstr>
      </vt:variant>
      <vt:variant>
        <vt:lpwstr/>
      </vt:variant>
      <vt:variant>
        <vt:i4>7405680</vt:i4>
      </vt:variant>
      <vt:variant>
        <vt:i4>90</vt:i4>
      </vt:variant>
      <vt:variant>
        <vt:i4>0</vt:i4>
      </vt:variant>
      <vt:variant>
        <vt:i4>5</vt:i4>
      </vt:variant>
      <vt:variant>
        <vt:lpwstr>https://www.cbd.int/traditional/what.shtml</vt:lpwstr>
      </vt:variant>
      <vt:variant>
        <vt:lpwstr/>
      </vt:variant>
      <vt:variant>
        <vt:i4>5439576</vt:i4>
      </vt:variant>
      <vt:variant>
        <vt:i4>87</vt:i4>
      </vt:variant>
      <vt:variant>
        <vt:i4>0</vt:i4>
      </vt:variant>
      <vt:variant>
        <vt:i4>5</vt:i4>
      </vt:variant>
      <vt:variant>
        <vt:lpwstr>https://www.cbd.int/doc/publications/cbd-ts-85-en.pdf</vt:lpwstr>
      </vt:variant>
      <vt:variant>
        <vt:lpwstr/>
      </vt:variant>
      <vt:variant>
        <vt:i4>2949184</vt:i4>
      </vt:variant>
      <vt:variant>
        <vt:i4>84</vt:i4>
      </vt:variant>
      <vt:variant>
        <vt:i4>0</vt:i4>
      </vt:variant>
      <vt:variant>
        <vt:i4>5</vt:i4>
      </vt:variant>
      <vt:variant>
        <vt:lpwstr>http://www.fao.org/fileadmin/templates/agphome/documents/Pests_Pesticides/Code/CODE_2014Sep_ENG.pdf</vt:lpwstr>
      </vt:variant>
      <vt:variant>
        <vt:lpwstr/>
      </vt:variant>
      <vt:variant>
        <vt:i4>3801122</vt:i4>
      </vt:variant>
      <vt:variant>
        <vt:i4>81</vt:i4>
      </vt:variant>
      <vt:variant>
        <vt:i4>0</vt:i4>
      </vt:variant>
      <vt:variant>
        <vt:i4>5</vt:i4>
      </vt:variant>
      <vt:variant>
        <vt:lpwstr>https://leap.unep.org/knowledge/glossary/pollution</vt:lpwstr>
      </vt:variant>
      <vt:variant>
        <vt:lpwstr/>
      </vt:variant>
      <vt:variant>
        <vt:i4>2162749</vt:i4>
      </vt:variant>
      <vt:variant>
        <vt:i4>78</vt:i4>
      </vt:variant>
      <vt:variant>
        <vt:i4>0</vt:i4>
      </vt:variant>
      <vt:variant>
        <vt:i4>5</vt:i4>
      </vt:variant>
      <vt:variant>
        <vt:lpwstr>https://www.cbd.int/doc/c/e823/b80c/8b0e8a08470a476865e9b203/sbstta-24-03-add2-rev1-en.pdf</vt:lpwstr>
      </vt:variant>
      <vt:variant>
        <vt:lpwstr/>
      </vt:variant>
      <vt:variant>
        <vt:i4>2555961</vt:i4>
      </vt:variant>
      <vt:variant>
        <vt:i4>75</vt:i4>
      </vt:variant>
      <vt:variant>
        <vt:i4>0</vt:i4>
      </vt:variant>
      <vt:variant>
        <vt:i4>5</vt:i4>
      </vt:variant>
      <vt:variant>
        <vt:lpwstr>https://neobiota.pensoft.net/article/53543/</vt:lpwstr>
      </vt:variant>
      <vt:variant>
        <vt:lpwstr/>
      </vt:variant>
      <vt:variant>
        <vt:i4>3604514</vt:i4>
      </vt:variant>
      <vt:variant>
        <vt:i4>72</vt:i4>
      </vt:variant>
      <vt:variant>
        <vt:i4>0</vt:i4>
      </vt:variant>
      <vt:variant>
        <vt:i4>5</vt:i4>
      </vt:variant>
      <vt:variant>
        <vt:lpwstr>https://www.cbd.int/doc/meetings/sbstta/sbstta-18/official/sbstta-18-09-add1-en.pdf</vt:lpwstr>
      </vt:variant>
      <vt:variant>
        <vt:lpwstr/>
      </vt:variant>
      <vt:variant>
        <vt:i4>327745</vt:i4>
      </vt:variant>
      <vt:variant>
        <vt:i4>69</vt:i4>
      </vt:variant>
      <vt:variant>
        <vt:i4>0</vt:i4>
      </vt:variant>
      <vt:variant>
        <vt:i4>5</vt:i4>
      </vt:variant>
      <vt:variant>
        <vt:lpwstr>https://www.cbd.int/doc/strategic-plan/targets/T9-quick-guide-en.pdf</vt:lpwstr>
      </vt:variant>
      <vt:variant>
        <vt:lpwstr/>
      </vt:variant>
      <vt:variant>
        <vt:i4>2162749</vt:i4>
      </vt:variant>
      <vt:variant>
        <vt:i4>66</vt:i4>
      </vt:variant>
      <vt:variant>
        <vt:i4>0</vt:i4>
      </vt:variant>
      <vt:variant>
        <vt:i4>5</vt:i4>
      </vt:variant>
      <vt:variant>
        <vt:lpwstr>https://www.cbd.int/doc/c/e823/b80c/8b0e8a08470a476865e9b203/sbstta-24-03-add2-rev1-en.pdf</vt:lpwstr>
      </vt:variant>
      <vt:variant>
        <vt:lpwstr/>
      </vt:variant>
      <vt:variant>
        <vt:i4>6094937</vt:i4>
      </vt:variant>
      <vt:variant>
        <vt:i4>63</vt:i4>
      </vt:variant>
      <vt:variant>
        <vt:i4>0</vt:i4>
      </vt:variant>
      <vt:variant>
        <vt:i4>5</vt:i4>
      </vt:variant>
      <vt:variant>
        <vt:lpwstr>https://www.iucn.org/downloads/en_iucn__glossary_definitions.pdf</vt:lpwstr>
      </vt:variant>
      <vt:variant>
        <vt:lpwstr/>
      </vt:variant>
      <vt:variant>
        <vt:i4>6094937</vt:i4>
      </vt:variant>
      <vt:variant>
        <vt:i4>60</vt:i4>
      </vt:variant>
      <vt:variant>
        <vt:i4>0</vt:i4>
      </vt:variant>
      <vt:variant>
        <vt:i4>5</vt:i4>
      </vt:variant>
      <vt:variant>
        <vt:lpwstr>https://www.iucn.org/downloads/en_iucn__glossary_definitions.pdf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2162745</vt:i4>
      </vt:variant>
      <vt:variant>
        <vt:i4>54</vt:i4>
      </vt:variant>
      <vt:variant>
        <vt:i4>0</vt:i4>
      </vt:variant>
      <vt:variant>
        <vt:i4>5</vt:i4>
      </vt:variant>
      <vt:variant>
        <vt:lpwstr>https://portals.iucn.org/library/sites/library/files/documents/pag-021.pdf</vt:lpwstr>
      </vt:variant>
      <vt:variant>
        <vt:lpwstr/>
      </vt:variant>
      <vt:variant>
        <vt:i4>2293798</vt:i4>
      </vt:variant>
      <vt:variant>
        <vt:i4>51</vt:i4>
      </vt:variant>
      <vt:variant>
        <vt:i4>0</vt:i4>
      </vt:variant>
      <vt:variant>
        <vt:i4>5</vt:i4>
      </vt:variant>
      <vt:variant>
        <vt:lpwstr>https://www.cbd.int/doc/c/fcd6/bfba/38ebc826221543e322173507/post2020-ws-2019-11-03-en.pdf</vt:lpwstr>
      </vt:variant>
      <vt:variant>
        <vt:lpwstr/>
      </vt:variant>
      <vt:variant>
        <vt:i4>3276836</vt:i4>
      </vt:variant>
      <vt:variant>
        <vt:i4>48</vt:i4>
      </vt:variant>
      <vt:variant>
        <vt:i4>0</vt:i4>
      </vt:variant>
      <vt:variant>
        <vt:i4>5</vt:i4>
      </vt:variant>
      <vt:variant>
        <vt:lpwstr>https://www.decadeonrestoration.org/what-ecosystem-restoration</vt:lpwstr>
      </vt:variant>
      <vt:variant>
        <vt:lpwstr/>
      </vt:variant>
      <vt:variant>
        <vt:i4>2293798</vt:i4>
      </vt:variant>
      <vt:variant>
        <vt:i4>45</vt:i4>
      </vt:variant>
      <vt:variant>
        <vt:i4>0</vt:i4>
      </vt:variant>
      <vt:variant>
        <vt:i4>5</vt:i4>
      </vt:variant>
      <vt:variant>
        <vt:lpwstr>https://www.cbd.int/doc/c/fcd6/bfba/38ebc826221543e322173507/post2020-ws-2019-11-03-en.pdf</vt:lpwstr>
      </vt:variant>
      <vt:variant>
        <vt:lpwstr/>
      </vt:variant>
      <vt:variant>
        <vt:i4>7798898</vt:i4>
      </vt:variant>
      <vt:variant>
        <vt:i4>42</vt:i4>
      </vt:variant>
      <vt:variant>
        <vt:i4>0</vt:i4>
      </vt:variant>
      <vt:variant>
        <vt:i4>5</vt:i4>
      </vt:variant>
      <vt:variant>
        <vt:lpwstr>https://portals.iucn.org/library/sites/library/files/documents/2017-028.pdf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7143530</vt:i4>
      </vt:variant>
      <vt:variant>
        <vt:i4>36</vt:i4>
      </vt:variant>
      <vt:variant>
        <vt:i4>0</vt:i4>
      </vt:variant>
      <vt:variant>
        <vt:i4>5</vt:i4>
      </vt:variant>
      <vt:variant>
        <vt:lpwstr>https://www.paulsoninstitute.org/conservation/financing-nature-report/</vt:lpwstr>
      </vt:variant>
      <vt:variant>
        <vt:lpwstr/>
      </vt:variant>
      <vt:variant>
        <vt:i4>1966095</vt:i4>
      </vt:variant>
      <vt:variant>
        <vt:i4>33</vt:i4>
      </vt:variant>
      <vt:variant>
        <vt:i4>0</vt:i4>
      </vt:variant>
      <vt:variant>
        <vt:i4>5</vt:i4>
      </vt:variant>
      <vt:variant>
        <vt:lpwstr>https://www.nature.com/articles/s41893-017-0007-7</vt:lpwstr>
      </vt:variant>
      <vt:variant>
        <vt:lpwstr/>
      </vt:variant>
      <vt:variant>
        <vt:i4>4194369</vt:i4>
      </vt:variant>
      <vt:variant>
        <vt:i4>30</vt:i4>
      </vt:variant>
      <vt:variant>
        <vt:i4>0</vt:i4>
      </vt:variant>
      <vt:variant>
        <vt:i4>5</vt:i4>
      </vt:variant>
      <vt:variant>
        <vt:lpwstr>https://doi.org/10.1093/biosci/biy029</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1507399</vt:i4>
      </vt:variant>
      <vt:variant>
        <vt:i4>24</vt:i4>
      </vt:variant>
      <vt:variant>
        <vt:i4>0</vt:i4>
      </vt:variant>
      <vt:variant>
        <vt:i4>5</vt:i4>
      </vt:variant>
      <vt:variant>
        <vt:lpwstr>https://www.biodiversitya-z.org/content/natural-habitats</vt:lpwstr>
      </vt:variant>
      <vt:variant>
        <vt:lpwstr/>
      </vt:variant>
      <vt:variant>
        <vt:i4>4456533</vt:i4>
      </vt:variant>
      <vt:variant>
        <vt:i4>21</vt:i4>
      </vt:variant>
      <vt:variant>
        <vt:i4>0</vt:i4>
      </vt:variant>
      <vt:variant>
        <vt:i4>5</vt:i4>
      </vt:variant>
      <vt:variant>
        <vt:lpwstr>https://doi.org/10.32942/osf.io/eyqw5</vt:lpwstr>
      </vt:variant>
      <vt:variant>
        <vt:lpwstr/>
      </vt:variant>
      <vt:variant>
        <vt:i4>2162749</vt:i4>
      </vt:variant>
      <vt:variant>
        <vt:i4>18</vt:i4>
      </vt:variant>
      <vt:variant>
        <vt:i4>0</vt:i4>
      </vt:variant>
      <vt:variant>
        <vt:i4>5</vt:i4>
      </vt:variant>
      <vt:variant>
        <vt:lpwstr>https://www.cbd.int/doc/c/e823/b80c/8b0e8a08470a476865e9b203/sbstta-24-03-add2-rev1-en.pdf</vt:lpwstr>
      </vt:variant>
      <vt:variant>
        <vt:lpwstr/>
      </vt:variant>
      <vt:variant>
        <vt:i4>2949221</vt:i4>
      </vt:variant>
      <vt:variant>
        <vt:i4>15</vt:i4>
      </vt:variant>
      <vt:variant>
        <vt:i4>0</vt:i4>
      </vt:variant>
      <vt:variant>
        <vt:i4>5</vt:i4>
      </vt:variant>
      <vt:variant>
        <vt:lpwstr>mailto:https://www.cms.int/sites/default/files/document/cms_cop13_res.12.26_rev.cop13_e.pdf</vt:lpwstr>
      </vt:variant>
      <vt:variant>
        <vt:lpwstr/>
      </vt:variant>
      <vt:variant>
        <vt:i4>2162749</vt:i4>
      </vt:variant>
      <vt:variant>
        <vt:i4>12</vt:i4>
      </vt:variant>
      <vt:variant>
        <vt:i4>0</vt:i4>
      </vt:variant>
      <vt:variant>
        <vt:i4>5</vt:i4>
      </vt:variant>
      <vt:variant>
        <vt:lpwstr>https://www.cbd.int/doc/c/e823/b80c/8b0e8a08470a476865e9b203/sbstta-24-03-add2-rev1-en.pdf</vt:lpwstr>
      </vt:variant>
      <vt:variant>
        <vt:lpwstr/>
      </vt:variant>
      <vt:variant>
        <vt:i4>917512</vt:i4>
      </vt:variant>
      <vt:variant>
        <vt:i4>9</vt:i4>
      </vt:variant>
      <vt:variant>
        <vt:i4>0</vt:i4>
      </vt:variant>
      <vt:variant>
        <vt:i4>5</vt:i4>
      </vt:variant>
      <vt:variant>
        <vt:lpwstr>https://www.cbd.int/doc/c/abb5/591f/2e46096d3f0330b08ce87a45/wg2020-03-03-en.pdf</vt:lpwstr>
      </vt:variant>
      <vt:variant>
        <vt:lpwstr/>
      </vt:variant>
      <vt:variant>
        <vt:i4>393229</vt:i4>
      </vt:variant>
      <vt:variant>
        <vt:i4>6</vt:i4>
      </vt:variant>
      <vt:variant>
        <vt:i4>0</vt:i4>
      </vt:variant>
      <vt:variant>
        <vt:i4>5</vt:i4>
      </vt:variant>
      <vt:variant>
        <vt:lpwstr>https://www.cbd.int/doc/c/46bf/8fcc/4fc82767c058517caa96892d/sbstta-24-inf-11-en.pdf</vt:lpwstr>
      </vt:variant>
      <vt:variant>
        <vt:lpwstr/>
      </vt:variant>
      <vt:variant>
        <vt:i4>1114202</vt:i4>
      </vt:variant>
      <vt:variant>
        <vt:i4>3</vt:i4>
      </vt:variant>
      <vt:variant>
        <vt:i4>0</vt:i4>
      </vt:variant>
      <vt:variant>
        <vt:i4>5</vt:i4>
      </vt:variant>
      <vt:variant>
        <vt:lpwstr>https://www.cbd.int/doc/recommendations/sbstta-23/sbstta-23-rec-01-en.pdf</vt:lpwstr>
      </vt:variant>
      <vt:variant>
        <vt:lpwstr/>
      </vt:variant>
      <vt:variant>
        <vt:i4>1114202</vt:i4>
      </vt:variant>
      <vt:variant>
        <vt:i4>0</vt:i4>
      </vt:variant>
      <vt:variant>
        <vt:i4>0</vt:i4>
      </vt:variant>
      <vt:variant>
        <vt:i4>5</vt:i4>
      </vt:variant>
      <vt:variant>
        <vt:lpwstr>https://www.cbd.int/doc/recommendations/wg2020-01/wg2020-01-rec-01-en.pdf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ACTUALIZADO PARA EL PROYECTO DE MARCO MUNDIAL DE LA DIVERSIDAD BIOLÓGICA POSTERIOR A 2020</dc:title>
  <dc:subject>CBD/WG2020/5/4</dc:subject>
  <dc:creator>SCBD</dc:creator>
  <cp:keywords>Convention on Biological Diversity, open-ended Working Group on the Post-2020 Global Biodveristy Framework</cp:keywords>
  <dc:description>Convention on Biological Diversity</dc:description>
  <cp:lastModifiedBy>Rosario </cp:lastModifiedBy>
  <cp:revision>174</cp:revision>
  <cp:lastPrinted>2020-01-21T19:56:00Z</cp:lastPrinted>
  <dcterms:created xsi:type="dcterms:W3CDTF">2022-11-26T05:02:00Z</dcterms:created>
  <dcterms:modified xsi:type="dcterms:W3CDTF">2022-11-29T14:00:00Z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SIP_Label_bdebc259-eac6-4644-a51c-19d09b75403c_Enabled">
    <vt:lpwstr>true</vt:lpwstr>
  </property>
  <property fmtid="{D5CDD505-2E9C-101B-9397-08002B2CF9AE}" pid="4" name="MSIP_Label_bdebc259-eac6-4644-a51c-19d09b75403c_SetDate">
    <vt:lpwstr>2022-11-24T13:32:42Z</vt:lpwstr>
  </property>
  <property fmtid="{D5CDD505-2E9C-101B-9397-08002B2CF9AE}" pid="5" name="MSIP_Label_bdebc259-eac6-4644-a51c-19d09b75403c_Method">
    <vt:lpwstr>Privileged</vt:lpwstr>
  </property>
  <property fmtid="{D5CDD505-2E9C-101B-9397-08002B2CF9AE}" pid="6" name="MSIP_Label_bdebc259-eac6-4644-a51c-19d09b75403c_Name">
    <vt:lpwstr>UNCLASSIFIED</vt:lpwstr>
  </property>
  <property fmtid="{D5CDD505-2E9C-101B-9397-08002B2CF9AE}" pid="7" name="MSIP_Label_bdebc259-eac6-4644-a51c-19d09b75403c_SiteId">
    <vt:lpwstr>740c5fd3-6e8b-4176-9cc9-454dbe4e62c4</vt:lpwstr>
  </property>
  <property fmtid="{D5CDD505-2E9C-101B-9397-08002B2CF9AE}" pid="8" name="MSIP_Label_bdebc259-eac6-4644-a51c-19d09b75403c_ActionId">
    <vt:lpwstr>eb216f7a-029d-441c-869d-7f42b5f80616</vt:lpwstr>
  </property>
  <property fmtid="{D5CDD505-2E9C-101B-9397-08002B2CF9AE}" pid="9" name="MSIP_Label_bdebc259-eac6-4644-a51c-19d09b75403c_ContentBits">
    <vt:lpwstr>1</vt:lpwstr>
  </property>
</Properties>
</file>