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RPr="00795425" w:rsidTr="009C2DE6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Pr="00795425" w:rsidRDefault="00C9161D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>
              <w:rPr>
                <w:noProof/>
                <w:snapToGrid w:val="0"/>
                <w:lang w:val="en-GB" w:eastAsia="en-GB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:rsidR="00FA663B" w:rsidRPr="00795425" w:rsidRDefault="00C53A52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 w:rsidRPr="00C36FF4">
              <w:rPr>
                <w:noProof/>
                <w:lang w:val="en-GB" w:eastAsia="en-GB"/>
              </w:rPr>
              <w:drawing>
                <wp:inline distT="0" distB="0" distL="0" distR="0">
                  <wp:extent cx="914400" cy="396240"/>
                  <wp:effectExtent l="19050" t="0" r="0" b="0"/>
                  <wp:docPr id="2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96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795425" w:rsidRDefault="00C9161D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  <w:r>
              <w:rPr>
                <w:rFonts w:ascii="Arial" w:hAnsi="Arial"/>
                <w:b/>
                <w:snapToGrid w:val="0"/>
                <w:sz w:val="32"/>
                <w:szCs w:val="32"/>
              </w:rPr>
              <w:t>CBD</w:t>
            </w:r>
          </w:p>
        </w:tc>
      </w:tr>
      <w:tr w:rsidR="00C9161D" w:rsidRPr="00795425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795425" w:rsidRDefault="00C36FF4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 w:rsidRPr="00F81F8A">
              <w:rPr>
                <w:noProof/>
                <w:snapToGrid w:val="0"/>
                <w:kern w:val="22"/>
                <w:lang w:val="en-GB" w:eastAsia="en-GB"/>
              </w:rPr>
              <w:drawing>
                <wp:inline distT="0" distB="0" distL="0" distR="0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795425" w:rsidRDefault="00C9161D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Distr.</w:t>
            </w:r>
          </w:p>
          <w:p w:rsidR="00C9161D" w:rsidRPr="00795425" w:rsidRDefault="00134846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snapToGrid w:val="0"/>
                <w:kern w:val="22"/>
                <w:szCs w:val="22"/>
              </w:rPr>
            </w:pPr>
            <w:r>
              <w:rPr>
                <w:caps/>
                <w:snapToGrid w:val="0"/>
                <w:szCs w:val="22"/>
              </w:rPr>
              <w:t>GENERAL</w:t>
            </w:r>
          </w:p>
          <w:p w:rsidR="00C9161D" w:rsidRPr="00795425" w:rsidRDefault="00C9161D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snapToGrid w:val="0"/>
                <w:kern w:val="22"/>
                <w:szCs w:val="22"/>
              </w:rPr>
            </w:pPr>
          </w:p>
          <w:p w:rsidR="00C9161D" w:rsidRPr="00795425" w:rsidRDefault="00630A38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snapToGrid w:val="0"/>
                <w:kern w:val="22"/>
                <w:szCs w:val="22"/>
              </w:rPr>
            </w:pPr>
            <w:sdt>
              <w:sdtPr>
                <w:rPr>
                  <w:snapToGrid w:val="0"/>
                  <w:kern w:val="22"/>
                </w:rPr>
                <w:alias w:val="CBD/NP/MOP/3/6.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B55FBC" w:rsidRPr="00795425">
                  <w:rPr>
                    <w:snapToGrid w:val="0"/>
                    <w:kern w:val="22"/>
                  </w:rPr>
                  <w:t>CBD/COP/15/</w:t>
                </w:r>
                <w:r w:rsidR="00BD37D3" w:rsidRPr="00795425">
                  <w:rPr>
                    <w:snapToGrid w:val="0"/>
                    <w:kern w:val="22"/>
                  </w:rPr>
                  <w:t>1/Add.1</w:t>
                </w:r>
              </w:sdtContent>
            </w:sdt>
          </w:p>
          <w:p w:rsidR="00C9161D" w:rsidRPr="00795425" w:rsidRDefault="00AC13C3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snapToGrid w:val="0"/>
                <w:kern w:val="22"/>
                <w:szCs w:val="22"/>
              </w:rPr>
            </w:pPr>
            <w:r w:rsidRPr="00795425">
              <w:rPr>
                <w:snapToGrid w:val="0"/>
                <w:kern w:val="22"/>
                <w:szCs w:val="22"/>
              </w:rPr>
              <w:t>20 August 2021</w:t>
            </w:r>
          </w:p>
          <w:p w:rsidR="00C9161D" w:rsidRPr="00795425" w:rsidRDefault="00C9161D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snapToGrid w:val="0"/>
                <w:kern w:val="22"/>
                <w:szCs w:val="22"/>
              </w:rPr>
            </w:pPr>
          </w:p>
          <w:p w:rsidR="00C9161D" w:rsidRPr="00795425" w:rsidRDefault="006B2290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 xml:space="preserve">RUSSIAN </w:t>
            </w:r>
            <w:r>
              <w:rPr>
                <w:snapToGrid w:val="0"/>
                <w:szCs w:val="22"/>
              </w:rPr>
              <w:br/>
              <w:t>ORIGINAL: ENGLISH</w:t>
            </w:r>
          </w:p>
          <w:p w:rsidR="00C9161D" w:rsidRPr="00795425" w:rsidRDefault="00C9161D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</w:p>
        </w:tc>
      </w:tr>
    </w:tbl>
    <w:p w:rsidR="003B44F9" w:rsidRPr="00795425" w:rsidRDefault="003B44F9" w:rsidP="00B00053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60"/>
        <w:ind w:left="180" w:right="4642" w:hanging="180"/>
        <w:rPr>
          <w:snapToGrid w:val="0"/>
          <w:kern w:val="22"/>
        </w:rPr>
      </w:pPr>
      <w:r>
        <w:rPr>
          <w:snapToGrid w:val="0"/>
        </w:rPr>
        <w:t>КОНФЕРЕНЦИЯ СТОРОН КОНВЕНЦИИ О БИОЛОГИЧЕСКОМ РАЗНООБРАЗИИ</w:t>
      </w:r>
    </w:p>
    <w:p w:rsidR="003B44F9" w:rsidRPr="00795425" w:rsidRDefault="003B44F9" w:rsidP="00B00053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</w:rPr>
      </w:pPr>
      <w:r>
        <w:rPr>
          <w:snapToGrid w:val="0"/>
        </w:rPr>
        <w:t>Пятнадцатое совещание</w:t>
      </w:r>
    </w:p>
    <w:p w:rsidR="003B44F9" w:rsidRPr="00795425" w:rsidRDefault="003B44F9" w:rsidP="00B00053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116"/>
        <w:rPr>
          <w:snapToGrid w:val="0"/>
          <w:kern w:val="22"/>
          <w:szCs w:val="22"/>
        </w:rPr>
      </w:pPr>
      <w:bookmarkStart w:id="0" w:name="OLE_LINK1"/>
      <w:bookmarkStart w:id="1" w:name="OLE_LINK2"/>
      <w:r>
        <w:rPr>
          <w:snapToGrid w:val="0"/>
        </w:rPr>
        <w:t xml:space="preserve">Куньмин, Китай, </w:t>
      </w:r>
      <w:r w:rsidR="0096218F">
        <w:rPr>
          <w:snapToGrid w:val="0"/>
        </w:rPr>
        <w:t>11</w:t>
      </w:r>
      <w:r w:rsidR="00E07F12" w:rsidRPr="00630A38">
        <w:rPr>
          <w:snapToGrid w:val="0"/>
        </w:rPr>
        <w:t>-</w:t>
      </w:r>
      <w:r w:rsidR="0096218F">
        <w:rPr>
          <w:snapToGrid w:val="0"/>
        </w:rPr>
        <w:t xml:space="preserve">15 </w:t>
      </w:r>
      <w:r>
        <w:rPr>
          <w:snapToGrid w:val="0"/>
        </w:rPr>
        <w:t>октября 2021 года и</w:t>
      </w:r>
      <w:bookmarkEnd w:id="0"/>
      <w:bookmarkEnd w:id="1"/>
      <w:r>
        <w:rPr>
          <w:snapToGrid w:val="0"/>
        </w:rPr>
        <w:br/>
        <w:t>25 апреля – 8 мая 2020 года</w:t>
      </w:r>
    </w:p>
    <w:p w:rsidR="00C9161D" w:rsidRPr="00795425" w:rsidRDefault="00134846" w:rsidP="00B00053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</w:rPr>
      </w:pPr>
      <w:r>
        <w:rPr>
          <w:snapToGrid w:val="0"/>
          <w:szCs w:val="22"/>
        </w:rPr>
        <w:t>Пункт 2 предварительной повестки дня</w:t>
      </w:r>
      <w:r>
        <w:rPr>
          <w:rStyle w:val="FootnoteReference"/>
          <w:snapToGrid w:val="0"/>
          <w:kern w:val="22"/>
          <w:szCs w:val="22"/>
        </w:rPr>
        <w:footnoteReference w:customMarkFollows="1" w:id="2"/>
        <w:t>*</w:t>
      </w:r>
    </w:p>
    <w:sdt>
      <w:sdtPr>
        <w:rPr>
          <w:rFonts w:ascii="Times New Roman Bold" w:hAnsi="Times New Roman Bold" w:cs="Times New Roman Bold"/>
          <w:b/>
          <w:bCs/>
          <w:caps/>
          <w:snapToGrid w:val="0"/>
          <w:kern w:val="22"/>
          <w:vertAlign w:val="superscript"/>
        </w:rPr>
        <w:alias w:val="Ответственность и возмещение ущерба (пункт 2 статьи 14)"/>
        <w:tag w:val=""/>
        <w:id w:val="726039545"/>
        <w:placeholder>
          <w:docPart w:val="5F4EB1BA065E4622B88E069470FC356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C9161D" w:rsidRPr="00795425" w:rsidRDefault="00721E3D" w:rsidP="00B00053">
          <w:pPr>
            <w:suppressLineNumbers/>
            <w:suppressAutoHyphens/>
            <w:kinsoku w:val="0"/>
            <w:overflowPunct w:val="0"/>
            <w:autoSpaceDE w:val="0"/>
            <w:autoSpaceDN w:val="0"/>
            <w:adjustRightInd w:val="0"/>
            <w:snapToGrid w:val="0"/>
            <w:spacing w:before="240" w:after="120"/>
            <w:jc w:val="center"/>
            <w:rPr>
              <w:rFonts w:cs="Times New Roman Bold"/>
              <w:b/>
              <w:caps/>
              <w:snapToGrid w:val="0"/>
              <w:kern w:val="22"/>
            </w:rPr>
          </w:pPr>
          <w:r w:rsidRPr="00721E3D">
            <w:rPr>
              <w:rFonts w:ascii="Times New Roman Bold" w:hAnsi="Times New Roman Bold" w:cs="Times New Roman Bold"/>
              <w:b/>
              <w:bCs/>
              <w:caps/>
              <w:snapToGrid w:val="0"/>
              <w:kern w:val="22"/>
            </w:rPr>
            <w:t>АННОТИРОВАННАЯ ПРЕДВАРИТЕЛЬНАЯ ПОВЕСТКА ДНЯ</w:t>
          </w:r>
        </w:p>
      </w:sdtContent>
    </w:sdt>
    <w:p w:rsidR="00D77560" w:rsidRPr="00795425" w:rsidRDefault="00D77560" w:rsidP="00B00053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0"/>
        <w:rPr>
          <w:rFonts w:ascii="Times New Roman Bold" w:hAnsi="Times New Roman Bold" w:cs="Times New Roman Bold"/>
          <w:b/>
          <w:snapToGrid w:val="0"/>
          <w:kern w:val="22"/>
          <w:szCs w:val="22"/>
        </w:rPr>
      </w:pPr>
      <w:r>
        <w:rPr>
          <w:rFonts w:ascii="Times New Roman Bold" w:hAnsi="Times New Roman Bold"/>
          <w:b/>
          <w:snapToGrid w:val="0"/>
          <w:szCs w:val="22"/>
        </w:rPr>
        <w:t>ВВЕДЕНИЕ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t xml:space="preserve">По приглашению правительства Китая и в соответствии с решением </w:t>
      </w:r>
      <w:hyperlink r:id="rId15" w:history="1">
        <w:r w:rsidRPr="00B5351F">
          <w:rPr>
            <w:snapToGrid w:val="0"/>
            <w:color w:val="0000FF"/>
            <w:kern w:val="22"/>
            <w:szCs w:val="22"/>
            <w:u w:val="single"/>
            <w:lang w:val="en-GB"/>
          </w:rPr>
          <w:t>XIII</w:t>
        </w:r>
        <w:r w:rsidRPr="00630A38">
          <w:rPr>
            <w:snapToGrid w:val="0"/>
            <w:color w:val="0000FF"/>
            <w:kern w:val="22"/>
            <w:szCs w:val="22"/>
            <w:u w:val="single"/>
          </w:rPr>
          <w:t>/33</w:t>
        </w:r>
        <w:r>
          <w:rPr>
            <w:snapToGrid w:val="0"/>
            <w:szCs w:val="22"/>
          </w:rPr>
          <w:t xml:space="preserve"> </w:t>
        </w:r>
      </w:hyperlink>
      <w:r>
        <w:t>Конференции Сторон 15-е совещание Конференции Сторон было запланировано провести в Куньмине, Китай, 15-28 октября 2020 года.</w:t>
      </w:r>
      <w:r>
        <w:rPr>
          <w:snapToGrid w:val="0"/>
          <w:szCs w:val="22"/>
        </w:rPr>
        <w:t xml:space="preserve"> Одновременно с 15-м совещанием Конференции Сторон должны были пройти десятое совещание Конференции Сторон, выступающей в качестве совещания Сторон Картахенского протокола по биобезопасности (CP/MOP-10), и четвертое совещание Конференции Сторон,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(NP/MOP-4). Однако в свете нынешней пандемии COVID-19 проведение совещаний было перенесено на </w:t>
      </w:r>
      <w:r w:rsidR="0007262F">
        <w:rPr>
          <w:snapToGrid w:val="0"/>
          <w:szCs w:val="22"/>
        </w:rPr>
        <w:t xml:space="preserve">17–30 </w:t>
      </w:r>
      <w:r>
        <w:rPr>
          <w:snapToGrid w:val="0"/>
          <w:szCs w:val="22"/>
        </w:rPr>
        <w:t>мая 2021 года. В связи с продолжающейся пандемией сроки проведения 15-го совещания Конференции Сторон Конвенции и одновременн</w:t>
      </w:r>
      <w:r w:rsidR="00AB508C">
        <w:rPr>
          <w:snapToGrid w:val="0"/>
          <w:szCs w:val="22"/>
        </w:rPr>
        <w:t>о проводимых</w:t>
      </w:r>
      <w:r>
        <w:rPr>
          <w:snapToGrid w:val="0"/>
          <w:szCs w:val="22"/>
        </w:rPr>
        <w:t xml:space="preserve"> совещаний Сторон Картахенского и Нагойского протоколов были снова перенесены, и теперь их планируется организовать с 11 по 24 октября 2021 года в Куньмине, провинция Юньнань, Китай.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По итогам обширных консультаций и с учетом проблем, которые по-прежнему создает пандемическая ситуация для созыва очного 15-го совещания Конференции Сторон и </w:t>
      </w:r>
      <w:r w:rsidR="003C1C83">
        <w:rPr>
          <w:snapToGrid w:val="0"/>
          <w:szCs w:val="22"/>
        </w:rPr>
        <w:t xml:space="preserve">одновременно проводимых </w:t>
      </w:r>
      <w:r>
        <w:rPr>
          <w:snapToGrid w:val="0"/>
          <w:szCs w:val="22"/>
        </w:rPr>
        <w:t xml:space="preserve">совещаний Сторон </w:t>
      </w:r>
      <w:r w:rsidR="002E7CCC">
        <w:rPr>
          <w:snapToGrid w:val="0"/>
          <w:szCs w:val="22"/>
        </w:rPr>
        <w:t>п</w:t>
      </w:r>
      <w:r>
        <w:rPr>
          <w:snapToGrid w:val="0"/>
          <w:szCs w:val="22"/>
        </w:rPr>
        <w:t>ротоколов, бюро на своем заседании 14 июля 2021 года приняло решение провести эти совещани</w:t>
      </w:r>
      <w:r w:rsidR="003C1C83">
        <w:rPr>
          <w:snapToGrid w:val="0"/>
          <w:szCs w:val="22"/>
        </w:rPr>
        <w:t>я</w:t>
      </w:r>
      <w:r>
        <w:rPr>
          <w:snapToGrid w:val="0"/>
          <w:szCs w:val="22"/>
        </w:rPr>
        <w:t xml:space="preserve"> в два этапа: первая часть (Часть I) пройдет в онлайновом режиме с 11 по 15 октября 2021 года, а вторая очная часть (Часть II) состоится в Куньмине, Китай, с 25 апреля по 8 мая 2022 года. Несмотря на то, что Часть I совещания будет проводиться </w:t>
      </w:r>
      <w:r w:rsidR="005C61C4">
        <w:rPr>
          <w:snapToGrid w:val="0"/>
          <w:szCs w:val="22"/>
        </w:rPr>
        <w:t xml:space="preserve">в </w:t>
      </w:r>
      <w:r>
        <w:rPr>
          <w:snapToGrid w:val="0"/>
          <w:szCs w:val="22"/>
        </w:rPr>
        <w:t>онлайновом режиме, она также предполагает присутствие ограниченного числа делегатов в Куньмине, Китай. Бюро, принимающая страна и секретариат будут отслеживать ситуацию с пандемией с целью принятия альтернативных мер в случае, если формат и сроки проведения Части II совещания, которую планируется организовать очно в Куньмине, Китай, утратят свою актуальность.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Бюро рассмотрело и доработало предварительную повестку дня</w:t>
      </w:r>
      <w:r w:rsidR="00C3564D">
        <w:rPr>
          <w:snapToGrid w:val="0"/>
          <w:szCs w:val="22"/>
        </w:rPr>
        <w:t xml:space="preserve"> совещания</w:t>
      </w:r>
      <w:r>
        <w:rPr>
          <w:snapToGrid w:val="0"/>
          <w:szCs w:val="22"/>
        </w:rPr>
        <w:t xml:space="preserve"> (CBD/COP/15/1/Rev.1) на своем заседании, проведенном в онлайновом режиме 26 апреля 2021 года. Оно также рассмотрело предварительный проект аннотаций. Аннотации к повестке дня по пунктам повестки дня, которые будут рассматриваться в ходе Части I совещания, были затем доработаны Исполнительным секретарем с учетом замечаний бюро, сформулированных на этом </w:t>
      </w:r>
      <w:r>
        <w:rPr>
          <w:snapToGrid w:val="0"/>
          <w:szCs w:val="22"/>
        </w:rPr>
        <w:lastRenderedPageBreak/>
        <w:t xml:space="preserve">заседании, и представлены в настоящем документе. Аннотации к повестке дня по пунктам повестки дня, которые будут рассматриваться в ходе Части II совещания, будут дополнены и обновлены с учетом итогов 24-го совещания Вспомогательного органа по научным, техническим и технологическим консультациям, третьего совещания Вспомогательного органа по осуществлению и </w:t>
      </w:r>
      <w:r w:rsidR="00F23DBA">
        <w:rPr>
          <w:snapToGrid w:val="0"/>
          <w:szCs w:val="22"/>
        </w:rPr>
        <w:t>следующего</w:t>
      </w:r>
      <w:r>
        <w:rPr>
          <w:snapToGrid w:val="0"/>
          <w:szCs w:val="22"/>
        </w:rPr>
        <w:t xml:space="preserve"> совещания Рабочей группы открытого состава по подготовке глобальной рамочной программы в области биоразнообразия на период после 2020 года.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t xml:space="preserve">Предварительная повестка дня и аннотации подготовлены в соответствии с многолетней программой работы Конференции Сторон на период до 2020 года, принятой в решении </w:t>
      </w:r>
      <w:hyperlink r:id="rId16" w:history="1">
        <w:r>
          <w:rPr>
            <w:rStyle w:val="Hyperlink"/>
            <w:snapToGrid w:val="0"/>
            <w:sz w:val="22"/>
            <w:szCs w:val="22"/>
          </w:rPr>
          <w:t>XII/31</w:t>
        </w:r>
      </w:hyperlink>
      <w:r>
        <w:t xml:space="preserve">, процессом подготовки глобальной рамочной программы в области биоразнообразия на период после 2020 года, утвержденным в решении </w:t>
      </w:r>
      <w:hyperlink r:id="rId17" w:history="1">
        <w:r>
          <w:rPr>
            <w:rStyle w:val="Hyperlink"/>
            <w:snapToGrid w:val="0"/>
            <w:sz w:val="22"/>
            <w:szCs w:val="22"/>
          </w:rPr>
          <w:t>14/34</w:t>
        </w:r>
      </w:hyperlink>
      <w:r>
        <w:t>, и с учетом развития ситуации с пандемией, которая существенно повлияла на организацию работы совещания.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В ходе Части I совещания будут рассмотрены следующие пункты повестки дня: пункт 1 (открытие совещания); 2 (организационные вопросы); 3 (доклад о полномочиях представителей Сторон); 4 (неурегулированные вопросы), 6 (доклады межсессионных и региональных подготовительных совещаний); 7 (административное обеспечение Конвенции и бюджет целевых фондов.); 28 (прочие вопросы); 29 (принятие доклада); </w:t>
      </w:r>
      <w:r w:rsidR="00966589">
        <w:rPr>
          <w:snapToGrid w:val="0"/>
          <w:szCs w:val="22"/>
        </w:rPr>
        <w:t xml:space="preserve">и </w:t>
      </w:r>
      <w:r>
        <w:rPr>
          <w:snapToGrid w:val="0"/>
          <w:szCs w:val="22"/>
        </w:rPr>
        <w:t xml:space="preserve">30 (закрытие совещания). За исключением пунктов 1 и 4, ожидается, что эти пункты необходимо будет дополнительно рассмотреть в </w:t>
      </w:r>
      <w:r w:rsidR="00A92EF4">
        <w:rPr>
          <w:snapToGrid w:val="0"/>
          <w:szCs w:val="22"/>
        </w:rPr>
        <w:t>рамках</w:t>
      </w:r>
      <w:r>
        <w:rPr>
          <w:snapToGrid w:val="0"/>
          <w:szCs w:val="22"/>
        </w:rPr>
        <w:t xml:space="preserve"> Части II совещания. В ходе Части II совещания также будут рассмотрены следующие пункты повестки дня: пункты 5 и </w:t>
      </w:r>
      <w:r w:rsidR="00A33004">
        <w:rPr>
          <w:snapToGrid w:val="0"/>
          <w:szCs w:val="22"/>
        </w:rPr>
        <w:t xml:space="preserve">8–27 </w:t>
      </w:r>
      <w:r>
        <w:rPr>
          <w:snapToGrid w:val="0"/>
          <w:szCs w:val="22"/>
        </w:rPr>
        <w:t>повестки дня.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В соответствии с правилом 6 правил процедуры совещаний Конференции Сторон секретариат уведомил Организацию Объединенных Наций, ее специализированные учреждения и Международное агентство по атомной энергии, а также все государства, не являющиеся Сторонами Конвенции, о проведении настоящего совещания, с тем чтобы они могли быть представлены в качестве наблюдателей.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В соответствии с правилом 7 правил процедуры секретариат направил уведомления как правительственным, так и неправительственным органам и учреждениям, обладающим компетенцией в областях, относящихся к сохранению и устойчивому использованию биологического разнообразия, которые известили секретариат о своем желании быть представленными на совещании, с тем чтобы они могли быть представлены в качестве наблюдателей. Перечень таких органов будет представлен для сведения Конференции Сторон.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Сегмент совещания высокого уровня с участием министров будет организован принимающей страной в ходе первой и второй частей совещания </w:t>
      </w:r>
      <w:r w:rsidR="008A1429">
        <w:rPr>
          <w:snapToGrid w:val="0"/>
          <w:szCs w:val="22"/>
        </w:rPr>
        <w:t>в</w:t>
      </w:r>
      <w:r>
        <w:rPr>
          <w:snapToGrid w:val="0"/>
          <w:szCs w:val="22"/>
        </w:rPr>
        <w:t xml:space="preserve"> консультаци</w:t>
      </w:r>
      <w:r w:rsidR="008A1429">
        <w:rPr>
          <w:snapToGrid w:val="0"/>
          <w:szCs w:val="22"/>
        </w:rPr>
        <w:t>и</w:t>
      </w:r>
      <w:r>
        <w:rPr>
          <w:snapToGrid w:val="0"/>
          <w:szCs w:val="22"/>
        </w:rPr>
        <w:t xml:space="preserve"> с секретариатом и бюро. Сегмент высокого уровня, запланированный в ходе Части I совещания, состоится 12 и 13 октября 2021 года.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В соответствии со сложившейся практикой Исполнительный секретарь подготовит подборку проектов решений, которые будут предложены вспомогательными органами на межсессионных совещаниях или разработаны Исполнительным секретарем с учетом предыдущих решений и рекомендаций (CBD/COP/15/2), а также подготовит резюме финансовых последствий проектов решений. </w:t>
      </w:r>
      <w:r w:rsidR="0007262F">
        <w:rPr>
          <w:snapToGrid w:val="0"/>
          <w:szCs w:val="22"/>
          <w:lang w:val="fr-FR"/>
        </w:rPr>
        <w:t>C</w:t>
      </w:r>
      <w:r>
        <w:rPr>
          <w:snapToGrid w:val="0"/>
          <w:szCs w:val="22"/>
        </w:rPr>
        <w:t xml:space="preserve"> этими документами можно будет ознакомиться за шесть недель до возобновлен</w:t>
      </w:r>
      <w:r w:rsidR="00754E90">
        <w:rPr>
          <w:snapToGrid w:val="0"/>
          <w:szCs w:val="22"/>
        </w:rPr>
        <w:t>ия</w:t>
      </w:r>
      <w:r>
        <w:rPr>
          <w:snapToGrid w:val="0"/>
          <w:szCs w:val="22"/>
        </w:rPr>
        <w:t xml:space="preserve"> </w:t>
      </w:r>
      <w:r w:rsidR="00754E90">
        <w:rPr>
          <w:snapToGrid w:val="0"/>
          <w:szCs w:val="22"/>
        </w:rPr>
        <w:t xml:space="preserve">совещания </w:t>
      </w:r>
      <w:r>
        <w:rPr>
          <w:snapToGrid w:val="0"/>
          <w:szCs w:val="22"/>
        </w:rPr>
        <w:t>(Часть II).</w:t>
      </w:r>
    </w:p>
    <w:p w:rsidR="00D77560" w:rsidRPr="00693E3B" w:rsidRDefault="00D77560" w:rsidP="00693E3B">
      <w:pPr>
        <w:pStyle w:val="ListParagraph"/>
        <w:keepNext/>
        <w:numPr>
          <w:ilvl w:val="0"/>
          <w:numId w:val="22"/>
        </w:numPr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0"/>
        <w:rPr>
          <w:b/>
          <w:bCs/>
          <w:snapToGrid w:val="0"/>
          <w:kern w:val="22"/>
          <w:szCs w:val="22"/>
        </w:rPr>
      </w:pPr>
      <w:r w:rsidRPr="00693E3B">
        <w:rPr>
          <w:b/>
          <w:bCs/>
          <w:snapToGrid w:val="0"/>
          <w:szCs w:val="22"/>
        </w:rPr>
        <w:t>ОРГАНИЗАЦИОННЫЕ ВОПРОСЫ</w:t>
      </w:r>
    </w:p>
    <w:p w:rsidR="00D77560" w:rsidRPr="00795425" w:rsidRDefault="00D77560" w:rsidP="00B00053">
      <w:pPr>
        <w:keepNext/>
        <w:suppressLineNumbers/>
        <w:tabs>
          <w:tab w:val="left" w:pos="81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1"/>
        <w:rPr>
          <w:b/>
          <w:bCs/>
          <w:iCs/>
          <w:snapToGrid w:val="0"/>
          <w:kern w:val="22"/>
          <w:szCs w:val="22"/>
        </w:rPr>
      </w:pPr>
      <w:bookmarkStart w:id="2" w:name="Item01"/>
      <w:r>
        <w:rPr>
          <w:b/>
          <w:bCs/>
          <w:iCs/>
          <w:snapToGrid w:val="0"/>
          <w:szCs w:val="22"/>
        </w:rPr>
        <w:t>Пункт 1.</w:t>
      </w:r>
      <w:r>
        <w:rPr>
          <w:bCs/>
          <w:iCs/>
          <w:snapToGrid w:val="0"/>
          <w:szCs w:val="22"/>
        </w:rPr>
        <w:tab/>
      </w:r>
      <w:r>
        <w:rPr>
          <w:b/>
          <w:bCs/>
          <w:iCs/>
          <w:snapToGrid w:val="0"/>
          <w:szCs w:val="22"/>
        </w:rPr>
        <w:t>Открытие совещания</w:t>
      </w:r>
      <w:bookmarkEnd w:id="2"/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Церемония открытия начнется в 15:00 (местное время, Куньмин) в понедельник, 11 октября 2021 года. Непосредственно после нее будет открыто заседание совещания.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Совещание будет открыто Председателем 14-го совещания Конференции Сторон или ее представителем. На </w:t>
      </w:r>
      <w:r w:rsidR="004A22BC">
        <w:rPr>
          <w:snapToGrid w:val="0"/>
          <w:szCs w:val="22"/>
        </w:rPr>
        <w:t>первом</w:t>
      </w:r>
      <w:r>
        <w:rPr>
          <w:snapToGrid w:val="0"/>
          <w:szCs w:val="22"/>
        </w:rPr>
        <w:t xml:space="preserve"> заседании перед делегатами Конференции Сторон </w:t>
      </w:r>
      <w:r w:rsidR="002E3B2B">
        <w:rPr>
          <w:snapToGrid w:val="0"/>
          <w:szCs w:val="22"/>
        </w:rPr>
        <w:t xml:space="preserve">с приветственными заявлениями </w:t>
      </w:r>
      <w:r>
        <w:rPr>
          <w:snapToGrid w:val="0"/>
          <w:szCs w:val="22"/>
        </w:rPr>
        <w:t>выступят представители правительства Китая и местных органов власти.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lastRenderedPageBreak/>
        <w:t xml:space="preserve">Перед делегатами совещания выступит Исполнительный секретарь и </w:t>
      </w:r>
      <w:r w:rsidR="004A22BC">
        <w:rPr>
          <w:snapToGrid w:val="0"/>
          <w:szCs w:val="22"/>
        </w:rPr>
        <w:t>изложит</w:t>
      </w:r>
      <w:r>
        <w:rPr>
          <w:snapToGrid w:val="0"/>
          <w:szCs w:val="22"/>
        </w:rPr>
        <w:t xml:space="preserve"> основные вопросы, стоящие перед Конференцией Сторон.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Кроме того, с заявлениями могут выступить представители региональных групп, коренных народов и местных общин и ограниченное число представителей других групп.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Открытие десятого совещания Конференции Сторон, выступающей в качестве совещания Сторон Картахенского протокола, и четвертого совещания Конференции Сторон, выступающей в качестве совещания Сторон Нагойского протокола, пройдет </w:t>
      </w:r>
      <w:r w:rsidR="007B5B6B">
        <w:rPr>
          <w:snapToGrid w:val="0"/>
          <w:szCs w:val="22"/>
        </w:rPr>
        <w:t>одновременно</w:t>
      </w:r>
      <w:r>
        <w:rPr>
          <w:snapToGrid w:val="0"/>
          <w:szCs w:val="22"/>
        </w:rPr>
        <w:t xml:space="preserve"> с открытием 15-го совещания Конференции Сторон</w:t>
      </w:r>
      <w:r w:rsidRPr="00795425">
        <w:rPr>
          <w:snapToGrid w:val="0"/>
          <w:kern w:val="22"/>
          <w:szCs w:val="22"/>
          <w:vertAlign w:val="superscript"/>
        </w:rPr>
        <w:footnoteReference w:id="3"/>
      </w:r>
      <w:r>
        <w:rPr>
          <w:snapToGrid w:val="0"/>
          <w:szCs w:val="22"/>
        </w:rPr>
        <w:t>.</w:t>
      </w:r>
    </w:p>
    <w:p w:rsidR="00D77560" w:rsidRPr="00795425" w:rsidRDefault="00D77560" w:rsidP="00B00053">
      <w:pPr>
        <w:keepNext/>
        <w:suppressLineNumbers/>
        <w:tabs>
          <w:tab w:val="left" w:pos="851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1"/>
        <w:rPr>
          <w:b/>
          <w:bCs/>
          <w:snapToGrid w:val="0"/>
          <w:kern w:val="22"/>
          <w:szCs w:val="22"/>
        </w:rPr>
      </w:pPr>
      <w:r>
        <w:rPr>
          <w:b/>
          <w:bCs/>
          <w:snapToGrid w:val="0"/>
          <w:szCs w:val="22"/>
        </w:rPr>
        <w:t>Пункт 2.</w:t>
      </w:r>
      <w:r>
        <w:rPr>
          <w:b/>
          <w:bCs/>
          <w:snapToGrid w:val="0"/>
          <w:szCs w:val="22"/>
        </w:rPr>
        <w:tab/>
        <w:t>Организационные вопросы</w:t>
      </w:r>
    </w:p>
    <w:p w:rsidR="00D77560" w:rsidRPr="00795425" w:rsidRDefault="00D77560" w:rsidP="00B00053">
      <w:pPr>
        <w:keepNext/>
        <w:suppressLineNumbers/>
        <w:tabs>
          <w:tab w:val="left" w:pos="567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outlineLvl w:val="2"/>
        <w:rPr>
          <w:i/>
          <w:iCs/>
          <w:snapToGrid w:val="0"/>
          <w:kern w:val="22"/>
          <w:szCs w:val="22"/>
        </w:rPr>
      </w:pPr>
      <w:r>
        <w:rPr>
          <w:i/>
          <w:iCs/>
          <w:snapToGrid w:val="0"/>
          <w:szCs w:val="22"/>
        </w:rPr>
        <w:t>Выборы Председателя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Ожидается, что на </w:t>
      </w:r>
      <w:r w:rsidR="004A22BC">
        <w:rPr>
          <w:snapToGrid w:val="0"/>
          <w:szCs w:val="22"/>
        </w:rPr>
        <w:t>первом</w:t>
      </w:r>
      <w:r>
        <w:rPr>
          <w:snapToGrid w:val="0"/>
          <w:szCs w:val="22"/>
        </w:rPr>
        <w:t xml:space="preserve"> заседании Председатель 14-го совещания Конференции Сторон или ее представитель предложит избрать в качестве Председателя 15-го совещания представителя принимающей страны. Срок полномочий Председателя начнется с момента его или ее избрания на 15-м совещании Конференции Сторон и завершится избранием его или ее преемника на 16-м совещании.</w:t>
      </w:r>
    </w:p>
    <w:p w:rsidR="00D77560" w:rsidRPr="00795425" w:rsidRDefault="00D77560" w:rsidP="00B00053">
      <w:pPr>
        <w:keepNext/>
        <w:suppressLineNumbers/>
        <w:tabs>
          <w:tab w:val="left" w:pos="567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outlineLvl w:val="2"/>
        <w:rPr>
          <w:i/>
          <w:iCs/>
          <w:snapToGrid w:val="0"/>
          <w:kern w:val="22"/>
          <w:szCs w:val="22"/>
        </w:rPr>
      </w:pPr>
      <w:r>
        <w:rPr>
          <w:i/>
          <w:iCs/>
          <w:snapToGrid w:val="0"/>
          <w:szCs w:val="22"/>
        </w:rPr>
        <w:t>Выборы других должностных лиц, помимо Председателя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left="0"/>
        <w:rPr>
          <w:snapToGrid w:val="0"/>
          <w:kern w:val="22"/>
          <w:szCs w:val="22"/>
        </w:rPr>
      </w:pPr>
      <w:r>
        <w:t xml:space="preserve">В соответствии с правилом 21 правил процедуры совещаний (принятым в решении </w:t>
      </w:r>
      <w:r w:rsidR="00630A38" w:rsidRPr="00630A38">
        <w:t xml:space="preserve"> </w:t>
      </w:r>
      <w:hyperlink r:id="rId18" w:history="1">
        <w:r w:rsidR="00630A38" w:rsidRPr="00B00053">
          <w:rPr>
            <w:snapToGrid w:val="0"/>
            <w:kern w:val="22"/>
            <w:szCs w:val="22"/>
          </w:rPr>
          <w:t xml:space="preserve">decision </w:t>
        </w:r>
        <w:r w:rsidR="00630A38" w:rsidRPr="00B00053">
          <w:rPr>
            <w:snapToGrid w:val="0"/>
            <w:color w:val="0000FF"/>
            <w:kern w:val="22"/>
            <w:szCs w:val="22"/>
            <w:u w:val="single"/>
          </w:rPr>
          <w:t>I/1</w:t>
        </w:r>
      </w:hyperlink>
      <w:r w:rsidR="00630A38" w:rsidRPr="00630A38">
        <w:rPr>
          <w:snapToGrid w:val="0"/>
          <w:color w:val="0000FF"/>
          <w:kern w:val="22"/>
          <w:szCs w:val="22"/>
        </w:rPr>
        <w:t xml:space="preserve"> </w:t>
      </w:r>
      <w:r>
        <w:t>и поправками, внесенными в решении V/20), помимо Председателя, из представителей Сторон, присутствующих на совещании, предстоит избрать 10 заместителей председателя, один из которых выполняет функции Докладчика.</w:t>
      </w:r>
      <w:r>
        <w:rPr>
          <w:snapToGrid w:val="0"/>
          <w:szCs w:val="22"/>
        </w:rPr>
        <w:t xml:space="preserve"> Срок полномочий заместителей Председателя начнется с закрытия 15-го совещания Конференции Сторон и заверш</w:t>
      </w:r>
      <w:r w:rsidR="00B06E68">
        <w:rPr>
          <w:snapToGrid w:val="0"/>
          <w:szCs w:val="22"/>
        </w:rPr>
        <w:t>и</w:t>
      </w:r>
      <w:r>
        <w:rPr>
          <w:snapToGrid w:val="0"/>
          <w:szCs w:val="22"/>
        </w:rPr>
        <w:t>тся с закрытием 16-го совещания. На своем 14-м совещании Конференция Сторон избрала десять заместителей Председателя со сроком полномочий, который начался с закрытия ее 14-го совещания и завершится с закрытием ее 15-го совещания, из следующих стран: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"/>
        <w:gridCol w:w="4950"/>
        <w:gridCol w:w="3967"/>
      </w:tblGrid>
      <w:tr w:rsidR="00D77560" w:rsidRPr="00795425" w:rsidTr="006B3178">
        <w:tc>
          <w:tcPr>
            <w:tcW w:w="535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bookmarkStart w:id="3" w:name="_Hlk78552629"/>
          </w:p>
        </w:tc>
        <w:tc>
          <w:tcPr>
            <w:tcW w:w="4950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szCs w:val="22"/>
              </w:rPr>
              <w:t xml:space="preserve">Члены бюро </w:t>
            </w:r>
          </w:p>
        </w:tc>
        <w:tc>
          <w:tcPr>
            <w:tcW w:w="3967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szCs w:val="22"/>
              </w:rPr>
              <w:t>Заместители членов (для протоколов)</w:t>
            </w:r>
          </w:p>
        </w:tc>
      </w:tr>
      <w:tr w:rsidR="00D77560" w:rsidRPr="00795425" w:rsidTr="006B3178">
        <w:tc>
          <w:tcPr>
            <w:tcW w:w="535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right="144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1</w:t>
            </w:r>
          </w:p>
        </w:tc>
        <w:tc>
          <w:tcPr>
            <w:tcW w:w="4950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Г-н Эрик Окорее (Гана)</w:t>
            </w:r>
          </w:p>
        </w:tc>
        <w:tc>
          <w:tcPr>
            <w:tcW w:w="3967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</w:tr>
      <w:tr w:rsidR="00D77560" w:rsidRPr="00795425" w:rsidTr="006B3178">
        <w:tc>
          <w:tcPr>
            <w:tcW w:w="535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right="144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2</w:t>
            </w:r>
          </w:p>
        </w:tc>
        <w:tc>
          <w:tcPr>
            <w:tcW w:w="4950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Г-н Мелессе Марио (Эфиопия)</w:t>
            </w:r>
          </w:p>
        </w:tc>
        <w:tc>
          <w:tcPr>
            <w:tcW w:w="3967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</w:tr>
      <w:tr w:rsidR="00D77560" w:rsidRPr="00795425" w:rsidTr="006B3178">
        <w:tc>
          <w:tcPr>
            <w:tcW w:w="535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right="144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3</w:t>
            </w:r>
          </w:p>
        </w:tc>
        <w:tc>
          <w:tcPr>
            <w:tcW w:w="4950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Г-жа Суджата Арора (Индия)</w:t>
            </w:r>
          </w:p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позднее замещена г-ном Винодом Матхуром (Индия)</w:t>
            </w:r>
            <w:r>
              <w:rPr>
                <w:snapToGrid w:val="0"/>
                <w:szCs w:val="22"/>
              </w:rPr>
              <w:tab/>
            </w:r>
          </w:p>
        </w:tc>
        <w:tc>
          <w:tcPr>
            <w:tcW w:w="3967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</w:tr>
      <w:tr w:rsidR="00D77560" w:rsidRPr="00795425" w:rsidTr="006B3178">
        <w:tc>
          <w:tcPr>
            <w:tcW w:w="535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right="144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4</w:t>
            </w:r>
          </w:p>
        </w:tc>
        <w:tc>
          <w:tcPr>
            <w:tcW w:w="4950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Г-жа Лейна эль-Авадхи (Кувейт)</w:t>
            </w:r>
          </w:p>
        </w:tc>
        <w:tc>
          <w:tcPr>
            <w:tcW w:w="3967" w:type="dxa"/>
          </w:tcPr>
          <w:p w:rsidR="00D77560" w:rsidRPr="00630A38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</w:tr>
      <w:tr w:rsidR="00D77560" w:rsidRPr="00795425" w:rsidTr="006B3178">
        <w:tc>
          <w:tcPr>
            <w:tcW w:w="535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right="144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5</w:t>
            </w:r>
          </w:p>
        </w:tc>
        <w:tc>
          <w:tcPr>
            <w:tcW w:w="4950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 xml:space="preserve">Г-жа Теона Карчава (Грузия) </w:t>
            </w:r>
          </w:p>
        </w:tc>
        <w:tc>
          <w:tcPr>
            <w:tcW w:w="3967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Г-н Диловаршо Дустов (Таджикистан), заместитель члена по вопросам Нагойского протокола</w:t>
            </w:r>
          </w:p>
        </w:tc>
      </w:tr>
      <w:tr w:rsidR="00D77560" w:rsidRPr="00795425" w:rsidTr="006B3178">
        <w:tc>
          <w:tcPr>
            <w:tcW w:w="535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right="144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6</w:t>
            </w:r>
          </w:p>
        </w:tc>
        <w:tc>
          <w:tcPr>
            <w:tcW w:w="4950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г-жа Эльвана Рамадж (Албания)</w:t>
            </w:r>
          </w:p>
        </w:tc>
        <w:tc>
          <w:tcPr>
            <w:tcW w:w="3967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</w:tr>
      <w:tr w:rsidR="00D77560" w:rsidRPr="00795425" w:rsidTr="006B3178">
        <w:tc>
          <w:tcPr>
            <w:tcW w:w="535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right="144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7</w:t>
            </w:r>
          </w:p>
        </w:tc>
        <w:tc>
          <w:tcPr>
            <w:tcW w:w="4950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г-н Карлос Мануэль Родригес (Коста-Рика)</w:t>
            </w:r>
          </w:p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spacing w:val="-6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позднее замещен г-жой Андреа Меза Мурильо (Коста-Рика)</w:t>
            </w:r>
          </w:p>
        </w:tc>
        <w:tc>
          <w:tcPr>
            <w:tcW w:w="3967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Г-н Хоакин Зальцберг (Аргентина), заместитель члена по вопросам Нагойского протокола</w:t>
            </w:r>
          </w:p>
        </w:tc>
      </w:tr>
      <w:tr w:rsidR="00D77560" w:rsidRPr="00795425" w:rsidTr="006B3178">
        <w:tc>
          <w:tcPr>
            <w:tcW w:w="535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right="144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8</w:t>
            </w:r>
          </w:p>
        </w:tc>
        <w:tc>
          <w:tcPr>
            <w:tcW w:w="4950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г-жа Хелена Джеффери Браун (Антигуа и Барбуда)</w:t>
            </w:r>
          </w:p>
        </w:tc>
        <w:tc>
          <w:tcPr>
            <w:tcW w:w="3967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</w:tr>
      <w:tr w:rsidR="00D77560" w:rsidRPr="00795425" w:rsidTr="006B3178">
        <w:tc>
          <w:tcPr>
            <w:tcW w:w="535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right="144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9</w:t>
            </w:r>
          </w:p>
        </w:tc>
        <w:tc>
          <w:tcPr>
            <w:tcW w:w="4950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Г-жа Габриэль Обермайр (Австрия)</w:t>
            </w:r>
          </w:p>
        </w:tc>
        <w:tc>
          <w:tcPr>
            <w:tcW w:w="3967" w:type="dxa"/>
          </w:tcPr>
          <w:p w:rsidR="00D77560" w:rsidRPr="00795425" w:rsidRDefault="00D77560" w:rsidP="00B00053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</w:tr>
      <w:tr w:rsidR="00D77560" w:rsidRPr="00795425" w:rsidTr="006B3178">
        <w:trPr>
          <w:trHeight w:val="422"/>
        </w:trPr>
        <w:tc>
          <w:tcPr>
            <w:tcW w:w="535" w:type="dxa"/>
          </w:tcPr>
          <w:p w:rsidR="00D77560" w:rsidRPr="00795425" w:rsidRDefault="00D77560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right="144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10</w:t>
            </w:r>
          </w:p>
        </w:tc>
        <w:tc>
          <w:tcPr>
            <w:tcW w:w="4950" w:type="dxa"/>
          </w:tcPr>
          <w:p w:rsidR="00D77560" w:rsidRPr="00795425" w:rsidRDefault="00D77560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>Г-жа Розмари Патерсон (Новая Зеландия)</w:t>
            </w:r>
          </w:p>
        </w:tc>
        <w:tc>
          <w:tcPr>
            <w:tcW w:w="3967" w:type="dxa"/>
          </w:tcPr>
          <w:p w:rsidR="00D77560" w:rsidRPr="00795425" w:rsidRDefault="00D77560" w:rsidP="00B0005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szCs w:val="22"/>
              </w:rPr>
              <w:t xml:space="preserve">Г-жа Мари Харальдстад (Норвегия), заместитель члена по вопросам </w:t>
            </w:r>
            <w:r>
              <w:rPr>
                <w:snapToGrid w:val="0"/>
                <w:szCs w:val="22"/>
              </w:rPr>
              <w:lastRenderedPageBreak/>
              <w:t>Нагойского протокола</w:t>
            </w:r>
          </w:p>
        </w:tc>
      </w:tr>
    </w:tbl>
    <w:bookmarkEnd w:id="3"/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lastRenderedPageBreak/>
        <w:t>Региональным группам предлагается представить свои кандидатуры предпочтительно до начала Части II совещания в 2022 году. Раннее представление кандидатур позволит новоизбранным членам бюро присутствовать в качестве наблюдателей на совещаниях бюро, которые будут проводиться в ходе Части II совещания Конференции Сторон, чтобы обеспечить плавную передачу функций от членов бюро прежнего состава новым членам бюро.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В необходимых случаях десятое совещание Конференции Сторон, выступающей в качестве совещания Сторон Картахенского протокола, и </w:t>
      </w:r>
      <w:r w:rsidR="005B4719">
        <w:rPr>
          <w:snapToGrid w:val="0"/>
          <w:szCs w:val="22"/>
        </w:rPr>
        <w:t>четвертое</w:t>
      </w:r>
      <w:r>
        <w:rPr>
          <w:snapToGrid w:val="0"/>
          <w:szCs w:val="22"/>
        </w:rPr>
        <w:t xml:space="preserve"> совещание Конференции Сторон, выступающей в качестве совещания Сторон Нагойского протокола, изберут заместителей должностных лиц в ходе второй части совещаний в 2022 году.</w:t>
      </w:r>
    </w:p>
    <w:p w:rsidR="00D77560" w:rsidRPr="00795425" w:rsidRDefault="00D77560" w:rsidP="00B00053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outlineLvl w:val="2"/>
        <w:rPr>
          <w:i/>
          <w:iCs/>
          <w:snapToGrid w:val="0"/>
          <w:kern w:val="22"/>
          <w:szCs w:val="22"/>
        </w:rPr>
      </w:pPr>
      <w:r>
        <w:rPr>
          <w:i/>
          <w:iCs/>
          <w:snapToGrid w:val="0"/>
          <w:szCs w:val="22"/>
        </w:rPr>
        <w:t>Выборы должностных лиц для вспомогательных органов и других совещаний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В правиле 26 правил процедуры говорится, что председатель любого вспомогательного органа избирается Конференцией Сторон. Конференции Сторон будет необходимо избрать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для руководства работой соответствующих органов со сроком полномочий, который начнется </w:t>
      </w:r>
      <w:r w:rsidR="00210F72">
        <w:rPr>
          <w:snapToGrid w:val="0"/>
          <w:szCs w:val="22"/>
        </w:rPr>
        <w:t xml:space="preserve">с закрытия </w:t>
      </w:r>
      <w:r>
        <w:rPr>
          <w:snapToGrid w:val="0"/>
          <w:szCs w:val="22"/>
        </w:rPr>
        <w:t xml:space="preserve">15-го совещания и продлится до </w:t>
      </w:r>
      <w:r w:rsidR="00210F72">
        <w:rPr>
          <w:snapToGrid w:val="0"/>
          <w:szCs w:val="22"/>
        </w:rPr>
        <w:t xml:space="preserve">закрытия </w:t>
      </w:r>
      <w:r>
        <w:rPr>
          <w:snapToGrid w:val="0"/>
          <w:szCs w:val="22"/>
        </w:rPr>
        <w:t xml:space="preserve">16-го совещания Конференции Сторон. </w:t>
      </w:r>
      <w:r>
        <w:t>В соответствии с установившейся практикой региональной ротации ожидается, что председатель Вспомогательного органа по научным, техническим и технологическим консультациям будет избран из числа представителей региона Центральной и Восточной Европы, а председатель Вспомогательного органа по осуществлению – из числа представителей Азиатско-Тихоокеанского региона.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Выборы этих должностных лиц состоятся в ходе Части II совещания Конференции Сторон в следующем году.</w:t>
      </w:r>
      <w:r w:rsidR="00E834EE">
        <w:rPr>
          <w:snapToGrid w:val="0"/>
          <w:szCs w:val="22"/>
        </w:rPr>
        <w:t xml:space="preserve"> Действующие</w:t>
      </w:r>
      <w:r>
        <w:rPr>
          <w:snapToGrid w:val="0"/>
          <w:szCs w:val="22"/>
        </w:rPr>
        <w:t xml:space="preserve"> председатели буд</w:t>
      </w:r>
      <w:r w:rsidR="000743E4">
        <w:rPr>
          <w:snapToGrid w:val="0"/>
          <w:szCs w:val="22"/>
        </w:rPr>
        <w:t>у</w:t>
      </w:r>
      <w:r>
        <w:rPr>
          <w:snapToGrid w:val="0"/>
          <w:szCs w:val="22"/>
        </w:rPr>
        <w:t>т исполнять свои обязанности до закрытия Части II совещания. Ожидается, что сопредседатели Рабочей группы открытого состава по подготовке глобальной рамочной программы в области биоразнообразия на период после 2020 года буд</w:t>
      </w:r>
      <w:r w:rsidR="000743E4">
        <w:rPr>
          <w:snapToGrid w:val="0"/>
          <w:szCs w:val="22"/>
        </w:rPr>
        <w:t>у</w:t>
      </w:r>
      <w:r>
        <w:rPr>
          <w:snapToGrid w:val="0"/>
          <w:szCs w:val="22"/>
        </w:rPr>
        <w:t>т также исполнять свои обязанности до второй части совещания.</w:t>
      </w:r>
    </w:p>
    <w:p w:rsidR="00D77560" w:rsidRPr="00795425" w:rsidRDefault="00D77560" w:rsidP="00B00053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outlineLvl w:val="2"/>
        <w:rPr>
          <w:i/>
          <w:iCs/>
          <w:snapToGrid w:val="0"/>
          <w:kern w:val="22"/>
          <w:szCs w:val="22"/>
        </w:rPr>
      </w:pPr>
      <w:bookmarkStart w:id="4" w:name="Item03"/>
      <w:r>
        <w:rPr>
          <w:i/>
          <w:iCs/>
          <w:snapToGrid w:val="0"/>
          <w:szCs w:val="22"/>
        </w:rPr>
        <w:t>Утверждение повестки дня</w:t>
      </w:r>
      <w:bookmarkEnd w:id="4"/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t>Предварительная повестка дня (CBD/COP/15/1) была утверждена бюро Конференции Сторон.</w:t>
      </w:r>
      <w:r>
        <w:rPr>
          <w:snapToGrid w:val="0"/>
          <w:szCs w:val="22"/>
        </w:rPr>
        <w:t xml:space="preserve"> </w:t>
      </w:r>
      <w:r>
        <w:t xml:space="preserve">Она подготовлена Исполнительным секретарем в соответствии с положениями правила 8 правил процедуры совещаний, указаниями бюро и с учетом многолетней программы работы Конференции Сторон на период до 2020 года, приведенной в решении </w:t>
      </w:r>
      <w:hyperlink r:id="rId19" w:history="1">
        <w:r w:rsidRPr="00390FBF">
          <w:rPr>
            <w:snapToGrid w:val="0"/>
            <w:color w:val="0000FF"/>
            <w:kern w:val="22"/>
            <w:szCs w:val="22"/>
            <w:u w:val="single"/>
            <w:lang w:val="en-GB"/>
          </w:rPr>
          <w:t>XII</w:t>
        </w:r>
        <w:r w:rsidRPr="00630A38">
          <w:rPr>
            <w:snapToGrid w:val="0"/>
            <w:color w:val="0000FF"/>
            <w:kern w:val="22"/>
            <w:szCs w:val="22"/>
            <w:u w:val="single"/>
          </w:rPr>
          <w:t>/31</w:t>
        </w:r>
      </w:hyperlink>
      <w:r w:rsidR="00195E89" w:rsidRPr="00195E89">
        <w:rPr>
          <w:snapToGrid w:val="0"/>
          <w:kern w:val="22"/>
          <w:szCs w:val="22"/>
        </w:rPr>
        <w:t>,</w:t>
      </w:r>
      <w:r>
        <w:t xml:space="preserve"> и других соответствующих решений Конференции Сторон.</w:t>
      </w:r>
      <w:bookmarkStart w:id="5" w:name="TEN"/>
      <w:bookmarkEnd w:id="5"/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Конференция Сторон, возможно, пожелает утвердить повестку дня своего совещания в соответствии с правилами процедуры на основе предварительной повестки дня, представленной в документе CBD/COP/15/1/Rev.1.</w:t>
      </w:r>
    </w:p>
    <w:p w:rsidR="00D77560" w:rsidRPr="00795425" w:rsidRDefault="00D77560" w:rsidP="00B00053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outlineLvl w:val="2"/>
        <w:rPr>
          <w:i/>
          <w:iCs/>
          <w:snapToGrid w:val="0"/>
          <w:kern w:val="22"/>
          <w:szCs w:val="22"/>
        </w:rPr>
      </w:pPr>
      <w:bookmarkStart w:id="6" w:name="Item04"/>
      <w:r>
        <w:rPr>
          <w:i/>
          <w:iCs/>
          <w:snapToGrid w:val="0"/>
          <w:szCs w:val="22"/>
        </w:rPr>
        <w:t>Организация работы</w:t>
      </w:r>
      <w:bookmarkEnd w:id="6"/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Предполагается, что все пункты Части I совещания будут рассмотрены в ходе пленарных заседаний. В соответствии со сложившейся практикой Конференция Сторон, возможно, пожелает учредить две рабочие группы для оказания поддержки работе пленарных заседаний в ходе второй части своего совещания. </w:t>
      </w:r>
      <w:r w:rsidR="00B679A4">
        <w:rPr>
          <w:snapToGrid w:val="0"/>
          <w:szCs w:val="22"/>
        </w:rPr>
        <w:t>В случае</w:t>
      </w:r>
      <w:r>
        <w:rPr>
          <w:snapToGrid w:val="0"/>
          <w:szCs w:val="22"/>
        </w:rPr>
        <w:t xml:space="preserve"> учрежден</w:t>
      </w:r>
      <w:r w:rsidR="00B679A4">
        <w:rPr>
          <w:snapToGrid w:val="0"/>
          <w:szCs w:val="22"/>
        </w:rPr>
        <w:t>ия</w:t>
      </w:r>
      <w:r>
        <w:rPr>
          <w:snapToGrid w:val="0"/>
          <w:szCs w:val="22"/>
        </w:rPr>
        <w:t xml:space="preserve"> дв</w:t>
      </w:r>
      <w:r w:rsidR="00B679A4">
        <w:rPr>
          <w:snapToGrid w:val="0"/>
          <w:szCs w:val="22"/>
        </w:rPr>
        <w:t>ух</w:t>
      </w:r>
      <w:r>
        <w:rPr>
          <w:snapToGrid w:val="0"/>
          <w:szCs w:val="22"/>
        </w:rPr>
        <w:t xml:space="preserve"> рабочи</w:t>
      </w:r>
      <w:r w:rsidR="00B679A4">
        <w:rPr>
          <w:snapToGrid w:val="0"/>
          <w:szCs w:val="22"/>
        </w:rPr>
        <w:t>х</w:t>
      </w:r>
      <w:r>
        <w:rPr>
          <w:snapToGrid w:val="0"/>
          <w:szCs w:val="22"/>
        </w:rPr>
        <w:t xml:space="preserve"> групп Конференции Сторон будет необходимо избрать председателя или сопредседателей каждой из них в начале Част</w:t>
      </w:r>
      <w:r w:rsidR="00B679A4">
        <w:rPr>
          <w:snapToGrid w:val="0"/>
          <w:szCs w:val="22"/>
        </w:rPr>
        <w:t>и</w:t>
      </w:r>
      <w:r>
        <w:rPr>
          <w:snapToGrid w:val="0"/>
          <w:szCs w:val="22"/>
        </w:rPr>
        <w:t xml:space="preserve"> II своего совещания. 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t xml:space="preserve">В соответствии с пунктом 3 решения </w:t>
      </w:r>
      <w:hyperlink r:id="rId20" w:history="1">
        <w:r w:rsidRPr="002827D8">
          <w:rPr>
            <w:snapToGrid w:val="0"/>
            <w:color w:val="0000FF"/>
            <w:kern w:val="22"/>
            <w:szCs w:val="22"/>
            <w:u w:val="single"/>
            <w:lang w:val="en-GB"/>
          </w:rPr>
          <w:t>XII</w:t>
        </w:r>
        <w:r w:rsidRPr="00630A38">
          <w:rPr>
            <w:snapToGrid w:val="0"/>
            <w:color w:val="0000FF"/>
            <w:kern w:val="22"/>
            <w:szCs w:val="22"/>
            <w:u w:val="single"/>
          </w:rPr>
          <w:t>/27</w:t>
        </w:r>
      </w:hyperlink>
      <w:r>
        <w:t xml:space="preserve">, а также с пунктом 1 решения </w:t>
      </w:r>
      <w:hyperlink r:id="rId21" w:history="1">
        <w:r w:rsidRPr="002827D8">
          <w:rPr>
            <w:snapToGrid w:val="0"/>
            <w:color w:val="0000FF"/>
            <w:kern w:val="22"/>
            <w:szCs w:val="22"/>
            <w:u w:val="single"/>
            <w:lang w:val="en-GB"/>
          </w:rPr>
          <w:t>BS</w:t>
        </w:r>
        <w:r w:rsidRPr="00630A38">
          <w:rPr>
            <w:snapToGrid w:val="0"/>
            <w:color w:val="0000FF"/>
            <w:kern w:val="22"/>
            <w:szCs w:val="22"/>
            <w:u w:val="single"/>
          </w:rPr>
          <w:t>-</w:t>
        </w:r>
        <w:r w:rsidRPr="002827D8">
          <w:rPr>
            <w:snapToGrid w:val="0"/>
            <w:color w:val="0000FF"/>
            <w:kern w:val="22"/>
            <w:szCs w:val="22"/>
            <w:u w:val="single"/>
            <w:lang w:val="en-GB"/>
          </w:rPr>
          <w:t>VII</w:t>
        </w:r>
        <w:r w:rsidRPr="00630A38">
          <w:rPr>
            <w:snapToGrid w:val="0"/>
            <w:color w:val="0000FF"/>
            <w:kern w:val="22"/>
            <w:szCs w:val="22"/>
            <w:u w:val="single"/>
          </w:rPr>
          <w:t>/9</w:t>
        </w:r>
      </w:hyperlink>
      <w:r>
        <w:t xml:space="preserve"> Конференции Сторон, выступающей в качестве совещания Сторон Картахенского протокола, и пунктом 1 решения </w:t>
      </w:r>
      <w:hyperlink r:id="rId22" w:history="1">
        <w:r w:rsidRPr="002827D8">
          <w:rPr>
            <w:snapToGrid w:val="0"/>
            <w:color w:val="0000FF"/>
            <w:kern w:val="22"/>
            <w:szCs w:val="22"/>
            <w:u w:val="single"/>
            <w:lang w:val="en-GB"/>
          </w:rPr>
          <w:t>NP</w:t>
        </w:r>
        <w:r w:rsidRPr="00630A38">
          <w:rPr>
            <w:snapToGrid w:val="0"/>
            <w:color w:val="0000FF"/>
            <w:kern w:val="22"/>
            <w:szCs w:val="22"/>
            <w:u w:val="single"/>
          </w:rPr>
          <w:t>-1/12</w:t>
        </w:r>
      </w:hyperlink>
      <w:r>
        <w:t xml:space="preserve"> Конференции Сторон, выступающей в качестве совещания Сторон Нагойского протокола, очередные совещания Конференции Сторон проводятся в двухнедельный </w:t>
      </w:r>
      <w:r>
        <w:lastRenderedPageBreak/>
        <w:t>период, включающий совещания Конференции Сторон, выступающей в качестве совещания Сторон Картахенского протокола, а также совещания Конференции Сторон, выступающей в качестве совещания Сторон Нагойского протокола.</w:t>
      </w:r>
      <w:r>
        <w:rPr>
          <w:snapToGrid w:val="0"/>
          <w:szCs w:val="22"/>
        </w:rPr>
        <w:t xml:space="preserve"> Таким образом, предполагается, что две рабочие группы будут также рассматривать вопросы, связанные с Картахенским протоколом и Нагойским протоколом, которые могут быть переданы в рабочие группы соответствующими совещаниями Сторон.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Предлагаемая организация работы Части I совещания Конференции Сторон и одновременно проводимых совещаний Сторон протоколов содержится в документе CBD/COP/15/1/Add.2. Этот документ будет обновлен и предоставлен не менее чем за шесть недель до открытия Части II совещания в 2022 году. Обновленный документ, как принято, будет включать предлагаемое распределение обязанностей между пленарными заседаниями и заседаниями двух рабочих групп.</w:t>
      </w:r>
    </w:p>
    <w:p w:rsidR="00D77560" w:rsidRPr="00795425" w:rsidRDefault="00D77560" w:rsidP="00B00053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440" w:hanging="720"/>
        <w:jc w:val="left"/>
        <w:outlineLvl w:val="1"/>
        <w:rPr>
          <w:b/>
          <w:bCs/>
          <w:snapToGrid w:val="0"/>
          <w:kern w:val="22"/>
          <w:szCs w:val="22"/>
        </w:rPr>
      </w:pPr>
      <w:r>
        <w:rPr>
          <w:b/>
          <w:bCs/>
          <w:snapToGrid w:val="0"/>
          <w:szCs w:val="22"/>
        </w:rPr>
        <w:t>Пункт 3.</w:t>
      </w:r>
      <w:r>
        <w:rPr>
          <w:b/>
          <w:bCs/>
          <w:snapToGrid w:val="0"/>
          <w:szCs w:val="22"/>
        </w:rPr>
        <w:tab/>
        <w:t>Доклад о полномочиях представителей на 15-м совещании Конференции Сторон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Правило 18 правил процедуры совещаний гласит:</w:t>
      </w:r>
    </w:p>
    <w:p w:rsidR="00D77560" w:rsidRPr="00795425" w:rsidRDefault="00D77560" w:rsidP="00B00053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720" w:right="-36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«Полномочия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 не </w:t>
      </w:r>
      <w:r w:rsidR="007F303B">
        <w:rPr>
          <w:snapToGrid w:val="0"/>
          <w:szCs w:val="22"/>
        </w:rPr>
        <w:t>позже,</w:t>
      </w:r>
      <w:r>
        <w:rPr>
          <w:snapToGrid w:val="0"/>
          <w:szCs w:val="22"/>
        </w:rPr>
        <w:t xml:space="preserve"> чем через двадцать четыре часа после открытия совещания. Любые последующие изменения в составе делегаций также доводятся до сведения Исполнительного секретаря или его представителя. Полномочия даются главой государства или правительства, или министром иностранных дел, или, в случае региональной организации экономической интеграции, надлежащим органом этой организации».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В правиле 19 предусматривается, что «бюро любого совещания проверяет полномочия и представляет свой доклад Конференции Сторон для принятия решения».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В целях оказания Сторонам содействия в выполнении требований правила 18 Исполнительный секретарь выпустит уведомление и распространит среди национальных координационных центров образец формы надлежащего представления полномочий.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Конференции Сторон будет предложено рассмотреть и принять доклад о полномочиях, представленный ей бюро.</w:t>
      </w:r>
    </w:p>
    <w:p w:rsidR="00D77560" w:rsidRPr="00795425" w:rsidRDefault="00D77560" w:rsidP="00B00053">
      <w:pPr>
        <w:keepNext/>
        <w:suppressLineNumbers/>
        <w:tabs>
          <w:tab w:val="left" w:pos="851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1"/>
        <w:rPr>
          <w:b/>
          <w:bCs/>
          <w:snapToGrid w:val="0"/>
          <w:kern w:val="22"/>
          <w:szCs w:val="22"/>
        </w:rPr>
      </w:pPr>
      <w:r>
        <w:rPr>
          <w:b/>
          <w:bCs/>
          <w:snapToGrid w:val="0"/>
          <w:szCs w:val="22"/>
        </w:rPr>
        <w:t>Пункт 4.</w:t>
      </w:r>
      <w:r>
        <w:rPr>
          <w:b/>
          <w:bCs/>
          <w:snapToGrid w:val="0"/>
          <w:szCs w:val="22"/>
        </w:rPr>
        <w:tab/>
        <w:t>Неурегулированные вопросы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t xml:space="preserve">На своем первом совещании Конференция Сторон в решении </w:t>
      </w:r>
      <w:r>
        <w:rPr>
          <w:snapToGrid w:val="0"/>
          <w:szCs w:val="22"/>
        </w:rPr>
        <w:t>I/1</w:t>
      </w:r>
      <w:r>
        <w:t xml:space="preserve"> приняла правила процедуры совещаний, за исключением пункта 1 правила 40, относящегося к принятию решений по вопросам существа.</w:t>
      </w:r>
      <w:r>
        <w:rPr>
          <w:snapToGrid w:val="0"/>
          <w:szCs w:val="22"/>
        </w:rPr>
        <w:t xml:space="preserve"> Конференция Сторон рассматривала этот неурегулированный вопрос на своих последующих совещаниях, но так и не приняла окончательного решения. На третьем совещании был достигнут консенсус в отношении </w:t>
      </w:r>
      <w:r w:rsidR="0049329D">
        <w:rPr>
          <w:snapToGrid w:val="0"/>
          <w:szCs w:val="22"/>
        </w:rPr>
        <w:t xml:space="preserve">части, а не </w:t>
      </w:r>
      <w:r>
        <w:rPr>
          <w:snapToGrid w:val="0"/>
          <w:szCs w:val="22"/>
        </w:rPr>
        <w:t>всего текста, заключенно</w:t>
      </w:r>
      <w:r w:rsidR="0049329D">
        <w:rPr>
          <w:snapToGrid w:val="0"/>
          <w:szCs w:val="22"/>
        </w:rPr>
        <w:t>го</w:t>
      </w:r>
      <w:r>
        <w:rPr>
          <w:snapToGrid w:val="0"/>
          <w:szCs w:val="22"/>
        </w:rPr>
        <w:t xml:space="preserve"> в квадратные скобки.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t xml:space="preserve">В решении </w:t>
      </w:r>
      <w:hyperlink r:id="rId23" w:history="1">
        <w:r w:rsidR="00630A38" w:rsidRPr="00B00053">
          <w:rPr>
            <w:snapToGrid w:val="0"/>
            <w:color w:val="0000FF"/>
            <w:kern w:val="22"/>
            <w:szCs w:val="22"/>
            <w:u w:val="single"/>
          </w:rPr>
          <w:t>I/6</w:t>
        </w:r>
      </w:hyperlink>
      <w:r w:rsidR="00630A38" w:rsidRPr="00630A38">
        <w:rPr>
          <w:snapToGrid w:val="0"/>
          <w:color w:val="0000FF"/>
          <w:kern w:val="22"/>
          <w:szCs w:val="22"/>
        </w:rPr>
        <w:t xml:space="preserve"> </w:t>
      </w:r>
      <w:r>
        <w:t>Конференция Сторон приняла финансовые правила административного обеспечения Целевого фонда Конвенции о биологическом разнообразии.</w:t>
      </w:r>
      <w:r>
        <w:rPr>
          <w:snapToGrid w:val="0"/>
          <w:szCs w:val="22"/>
        </w:rPr>
        <w:t xml:space="preserve"> В пунктах 4 и 16 данных правил содержится текст, заключенный в квадратные скобки. В пункте 4 речь идет об установлении шкалы распределения взносов Сторон в Целевой фонд. Пункт 16 посвящен принятию решений, касающихся Целевого фонда. Данные пункты рассматривались на последующих совещаниях Конференции Сторон, но по ним не было достигнуто согласия. В этой связи данный текст по-прежнему заключен в квадратные скобки.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Поскольку не ожидается, что данный вопрос может быть решен на 15-м совещании Конференции Сторон, его рассмотрение будет предложено перенести на одно из будущих совещаний.</w:t>
      </w:r>
    </w:p>
    <w:p w:rsidR="00D77560" w:rsidRPr="00795425" w:rsidRDefault="00D77560" w:rsidP="00B00053">
      <w:pPr>
        <w:keepNext/>
        <w:suppressLineNumbers/>
        <w:tabs>
          <w:tab w:val="left" w:pos="45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0"/>
        <w:rPr>
          <w:b/>
          <w:bCs/>
          <w:caps/>
          <w:snapToGrid w:val="0"/>
          <w:kern w:val="22"/>
          <w:szCs w:val="22"/>
        </w:rPr>
      </w:pPr>
      <w:r>
        <w:rPr>
          <w:b/>
          <w:bCs/>
          <w:caps/>
          <w:snapToGrid w:val="0"/>
          <w:szCs w:val="22"/>
        </w:rPr>
        <w:lastRenderedPageBreak/>
        <w:t>II.</w:t>
      </w:r>
      <w:r>
        <w:rPr>
          <w:b/>
          <w:bCs/>
          <w:caps/>
          <w:snapToGrid w:val="0"/>
          <w:szCs w:val="22"/>
        </w:rPr>
        <w:tab/>
        <w:t>ДОКЛАДЫ</w:t>
      </w:r>
    </w:p>
    <w:p w:rsidR="00D77560" w:rsidRPr="00795425" w:rsidRDefault="00D77560" w:rsidP="00B00053">
      <w:pPr>
        <w:keepNext/>
        <w:suppressLineNumbers/>
        <w:tabs>
          <w:tab w:val="left" w:pos="851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rPr>
          <w:b/>
          <w:bCs/>
          <w:snapToGrid w:val="0"/>
          <w:kern w:val="22"/>
          <w:szCs w:val="22"/>
        </w:rPr>
      </w:pPr>
      <w:r>
        <w:rPr>
          <w:b/>
          <w:bCs/>
          <w:snapToGrid w:val="0"/>
          <w:szCs w:val="22"/>
        </w:rPr>
        <w:t>Пункт 6.</w:t>
      </w:r>
      <w:r>
        <w:rPr>
          <w:b/>
          <w:bCs/>
          <w:snapToGrid w:val="0"/>
          <w:szCs w:val="22"/>
        </w:rPr>
        <w:tab/>
        <w:t>Доклады межсессионных и региональных подготовительных совещаний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В рамках данного пункта Председатель проинформирует Конференцию Сторон о совещаниях вспомогательных органов, проводившихся в межсессионный период, и о соответствующих докладах при том понимании, что проистекающие из них вопросы существа будут рассмотрены в рамках соответствующих пунктов повестки дня.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В ходе Части I совещания Конференции Сторон будут представлены следующие доклады:</w:t>
      </w:r>
    </w:p>
    <w:p w:rsidR="00D77560" w:rsidRPr="00795425" w:rsidRDefault="00D77560" w:rsidP="00B00053">
      <w:pPr>
        <w:numPr>
          <w:ilvl w:val="1"/>
          <w:numId w:val="20"/>
        </w:numPr>
        <w:suppressLineNumbers/>
        <w:tabs>
          <w:tab w:val="clear" w:pos="1571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Доклад о работе 11-го совещания Специальной межсессионной рабочей группы открытого состава по осуществлению статьи 8 j) и соответствующих положений Конвенции о биологическом разнообразии (CBD/WG8J/11/7);</w:t>
      </w:r>
    </w:p>
    <w:p w:rsidR="00D77560" w:rsidRPr="00795425" w:rsidRDefault="00D77560" w:rsidP="00B00053">
      <w:pPr>
        <w:numPr>
          <w:ilvl w:val="1"/>
          <w:numId w:val="20"/>
        </w:numPr>
        <w:suppressLineNumbers/>
        <w:tabs>
          <w:tab w:val="clear" w:pos="1571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t>Доклад о работе 23-го совещания Вспомогательного органа по научным, техническим и технологическим консультациям (CBD/SBSTTA/23/9);</w:t>
      </w:r>
    </w:p>
    <w:p w:rsidR="00D77560" w:rsidRPr="00795425" w:rsidRDefault="00D43907" w:rsidP="00B00053">
      <w:pPr>
        <w:numPr>
          <w:ilvl w:val="1"/>
          <w:numId w:val="20"/>
        </w:numPr>
        <w:suppressLineNumbers/>
        <w:tabs>
          <w:tab w:val="clear" w:pos="1571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Доклады первого, второго и третьего совещаний Рабочей группы открытого состава по подготовке глобальной рамочной программы в области биоразнообразия на период после 2020 года (</w:t>
      </w:r>
      <w:r>
        <w:rPr>
          <w:rStyle w:val="ng-binding"/>
          <w:snapToGrid w:val="0"/>
          <w:szCs w:val="22"/>
        </w:rPr>
        <w:t>CBD/WG2020/1/5, CBD/WG2020/2/4)</w:t>
      </w:r>
      <w:r>
        <w:rPr>
          <w:snapToGrid w:val="0"/>
          <w:szCs w:val="22"/>
        </w:rPr>
        <w:t>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Сопредседатели Рабочей группы открытого состава по подготовке глобальной рамочной программы в области биоразнообразия на период после 2020 года представят доклад о ходе работы по подготовке глобальной рамочной программы в области биоразнообразия на период после 2020 года. Ожидается, что совещание Конференции Сторон примет к сведению этот доклад и поручит сопредседателям завершить разработку Рабочей группой глобальной рамочной программы в области биоразнообразия на период после 2020 года и представить свой итоговый доклад и рекомендации в ходе второй части 15-го совещания Конференции Сторон в следующем году.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Доклады о работе 24-го совещания Вспомогательного органа по научным, техническим и технологическим консультациям и третьего совещания Вспомогательного органа по осуществлению будут представлены Конференции Сторон в ходе второй части ее совещания в 2022 году.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Региональные группы, возможно, пожелают представить Конференции Сторон доклады о результатах региональных подготовительных совещаний, которые будут проведены до 15-го совещания Конференции Сторон.</w:t>
      </w:r>
    </w:p>
    <w:p w:rsidR="00D77560" w:rsidRPr="00795425" w:rsidRDefault="00D77560" w:rsidP="00B00053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0"/>
        <w:rPr>
          <w:b/>
          <w:bCs/>
          <w:snapToGrid w:val="0"/>
          <w:kern w:val="22"/>
          <w:szCs w:val="22"/>
        </w:rPr>
      </w:pPr>
      <w:r>
        <w:rPr>
          <w:b/>
          <w:bCs/>
          <w:snapToGrid w:val="0"/>
          <w:szCs w:val="22"/>
        </w:rPr>
        <w:t>III.</w:t>
      </w:r>
      <w:r>
        <w:rPr>
          <w:b/>
          <w:bCs/>
          <w:snapToGrid w:val="0"/>
          <w:szCs w:val="22"/>
        </w:rPr>
        <w:tab/>
      </w:r>
      <w:r w:rsidR="00882629">
        <w:rPr>
          <w:b/>
          <w:bCs/>
          <w:snapToGrid w:val="0"/>
          <w:szCs w:val="22"/>
        </w:rPr>
        <w:t>АДМИНИСТРАТИВНОЕ ОБЕСПЕЧЕНИЕ И БЮДЖЕТ</w:t>
      </w:r>
    </w:p>
    <w:p w:rsidR="00D77560" w:rsidRPr="00795425" w:rsidRDefault="00D77560" w:rsidP="00B00053">
      <w:pPr>
        <w:keepNext/>
        <w:suppressLineNumbers/>
        <w:tabs>
          <w:tab w:val="left" w:pos="851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1"/>
        <w:rPr>
          <w:b/>
          <w:bCs/>
          <w:snapToGrid w:val="0"/>
          <w:kern w:val="22"/>
          <w:szCs w:val="22"/>
        </w:rPr>
      </w:pPr>
      <w:r>
        <w:rPr>
          <w:b/>
          <w:bCs/>
          <w:snapToGrid w:val="0"/>
          <w:szCs w:val="22"/>
        </w:rPr>
        <w:t>Пункт 7.</w:t>
      </w:r>
      <w:r>
        <w:rPr>
          <w:b/>
          <w:bCs/>
          <w:snapToGrid w:val="0"/>
          <w:szCs w:val="22"/>
        </w:rPr>
        <w:tab/>
        <w:t>Административное обеспечение Конвенции и бюджет целевых фондов.</w:t>
      </w:r>
    </w:p>
    <w:p w:rsidR="00D77560" w:rsidRPr="00795425" w:rsidRDefault="003E7D82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На рассмотрение Конференции Сторон будет представлен промежуточный доклад Исполнительного секретаря об административном обеспечении Конвенции, включая бюджет целевых фондов Конвенции. В ходе Части I совещания в октябре 2021 года Конференции Сторон будет предложено рассмотреть и утвердить промежуточный бюджет на 2022 год.</w:t>
      </w:r>
    </w:p>
    <w:p w:rsidR="00D77560" w:rsidRPr="00795425" w:rsidRDefault="00B86B07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Участники п</w:t>
      </w:r>
      <w:r w:rsidR="00D77560">
        <w:rPr>
          <w:snapToGrid w:val="0"/>
          <w:szCs w:val="22"/>
        </w:rPr>
        <w:t xml:space="preserve">ленарного заседания, возможно, пожелают в ходе Части I совещания учредить контактную группу по бюджету для рассмотрения предлагаемого </w:t>
      </w:r>
      <w:r w:rsidR="00D13599">
        <w:rPr>
          <w:snapToGrid w:val="0"/>
          <w:szCs w:val="22"/>
        </w:rPr>
        <w:t>временного</w:t>
      </w:r>
      <w:r w:rsidR="00D77560">
        <w:rPr>
          <w:snapToGrid w:val="0"/>
          <w:szCs w:val="22"/>
        </w:rPr>
        <w:t xml:space="preserve"> бюджета на 2022 год и представления своей рекомендации Конференции Сторон, исходя из того, что совещания Конференции Сторон, выступающей в качестве совещаний Сторон Картахенского и Нагойского протоколов, также направят на рассмотрение этой контактной группы бюджеты своих программ работы.</w:t>
      </w:r>
    </w:p>
    <w:p w:rsidR="00D77560" w:rsidRPr="00795425" w:rsidRDefault="00D77560" w:rsidP="00B00053">
      <w:pPr>
        <w:keepNext/>
        <w:suppressLineNumbers/>
        <w:tabs>
          <w:tab w:val="left" w:pos="5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0"/>
        <w:rPr>
          <w:b/>
          <w:bCs/>
          <w:snapToGrid w:val="0"/>
          <w:kern w:val="22"/>
          <w:szCs w:val="22"/>
        </w:rPr>
      </w:pPr>
      <w:r>
        <w:rPr>
          <w:b/>
          <w:bCs/>
          <w:snapToGrid w:val="0"/>
          <w:szCs w:val="22"/>
        </w:rPr>
        <w:lastRenderedPageBreak/>
        <w:t>VII.</w:t>
      </w:r>
      <w:r>
        <w:rPr>
          <w:b/>
          <w:bCs/>
          <w:snapToGrid w:val="0"/>
          <w:szCs w:val="22"/>
        </w:rPr>
        <w:tab/>
        <w:t>ЗАКЛЮЧИТЕЛЬНЫЕ ВОПРОСЫ</w:t>
      </w:r>
    </w:p>
    <w:p w:rsidR="00D77560" w:rsidRPr="00795425" w:rsidRDefault="00D77560" w:rsidP="00B00053">
      <w:pPr>
        <w:keepNext/>
        <w:suppressLineNumbers/>
        <w:tabs>
          <w:tab w:val="left" w:pos="90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1"/>
        <w:rPr>
          <w:b/>
          <w:bCs/>
          <w:snapToGrid w:val="0"/>
          <w:kern w:val="22"/>
          <w:szCs w:val="22"/>
        </w:rPr>
      </w:pPr>
      <w:bookmarkStart w:id="7" w:name="_heading=h.30j0zll"/>
      <w:bookmarkStart w:id="8" w:name="_heading=h.3znysh7" w:colFirst="0" w:colLast="0"/>
      <w:bookmarkStart w:id="9" w:name="_heading=h.nkgw0ii72cmr" w:colFirst="0" w:colLast="0"/>
      <w:bookmarkStart w:id="10" w:name="_heading=h.gjdgxs" w:colFirst="0" w:colLast="0"/>
      <w:bookmarkStart w:id="11" w:name="_heading=h.xuy1qui6wltd" w:colFirst="0" w:colLast="0"/>
      <w:bookmarkEnd w:id="7"/>
      <w:bookmarkEnd w:id="8"/>
      <w:bookmarkEnd w:id="9"/>
      <w:bookmarkEnd w:id="10"/>
      <w:bookmarkEnd w:id="11"/>
      <w:r>
        <w:rPr>
          <w:b/>
          <w:bCs/>
          <w:snapToGrid w:val="0"/>
          <w:szCs w:val="22"/>
        </w:rPr>
        <w:t>Пункт 28.</w:t>
      </w:r>
      <w:r>
        <w:rPr>
          <w:b/>
          <w:bCs/>
          <w:snapToGrid w:val="0"/>
          <w:szCs w:val="22"/>
        </w:rPr>
        <w:tab/>
        <w:t>Прочие вопросы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t>Конференция Сторон, возможно, пожелает рассмотреть другие вопросы, поднятые делегатами и принятые к обсуждению, в соответствии с правилом 12 правил процедуры совещаний и пунктом 7 решения</w:t>
      </w:r>
      <w:r w:rsidR="00630A38" w:rsidRPr="00630A38">
        <w:t xml:space="preserve"> </w:t>
      </w:r>
      <w:hyperlink r:id="rId24" w:history="1">
        <w:r w:rsidR="00630A38" w:rsidRPr="00B00053">
          <w:rPr>
            <w:snapToGrid w:val="0"/>
            <w:color w:val="0000FF"/>
            <w:kern w:val="22"/>
            <w:szCs w:val="22"/>
            <w:u w:val="single"/>
          </w:rPr>
          <w:t>IV/16</w:t>
        </w:r>
      </w:hyperlink>
      <w:bookmarkStart w:id="12" w:name="_GoBack"/>
      <w:bookmarkEnd w:id="12"/>
      <w:r>
        <w:t>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В рамках данного пункта повестки дня ожидается, что Председатель проинформирует участников пленарного заседания об итогах сегмента высокого уровня, состоявшегося 12 и 13 октября 2021 года.</w:t>
      </w:r>
    </w:p>
    <w:p w:rsidR="00D77560" w:rsidRPr="00795425" w:rsidRDefault="00D77560" w:rsidP="00B00053">
      <w:pPr>
        <w:keepNext/>
        <w:suppressLineNumbers/>
        <w:tabs>
          <w:tab w:val="left" w:pos="99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1"/>
        <w:rPr>
          <w:b/>
          <w:bCs/>
          <w:snapToGrid w:val="0"/>
          <w:kern w:val="22"/>
          <w:szCs w:val="22"/>
        </w:rPr>
      </w:pPr>
      <w:r>
        <w:rPr>
          <w:b/>
          <w:bCs/>
          <w:snapToGrid w:val="0"/>
          <w:szCs w:val="22"/>
        </w:rPr>
        <w:t>Пункт 29.</w:t>
      </w:r>
      <w:r>
        <w:rPr>
          <w:b/>
          <w:bCs/>
          <w:snapToGrid w:val="0"/>
          <w:szCs w:val="22"/>
        </w:rPr>
        <w:tab/>
      </w:r>
      <w:r w:rsidR="005723CF">
        <w:rPr>
          <w:b/>
          <w:bCs/>
          <w:snapToGrid w:val="0"/>
          <w:szCs w:val="22"/>
        </w:rPr>
        <w:tab/>
      </w:r>
      <w:r>
        <w:rPr>
          <w:b/>
          <w:bCs/>
          <w:snapToGrid w:val="0"/>
          <w:szCs w:val="22"/>
        </w:rPr>
        <w:t>Принятие доклада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Конференции Сторон будет предложено рассмотреть и принять доклад о работе первой части ее совещания на основе проекта доклада, подготовленного Докладчиком.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В ходе второй части совещания в следующем году Конференции Сторон будет предложено рассмотреть и принять дополнительный доклад на основе проекта, который будет подготовлен Докладчиком, а также докладов двух рабочих групп, отражающий ход работы второй очной части совещания. Доклады двух частей совещания вместе будут представлять собой отчет о работе совещания.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>Конференци</w:t>
      </w:r>
      <w:r w:rsidR="00483F04">
        <w:rPr>
          <w:snapToGrid w:val="0"/>
          <w:szCs w:val="22"/>
        </w:rPr>
        <w:t>я</w:t>
      </w:r>
      <w:r>
        <w:rPr>
          <w:snapToGrid w:val="0"/>
          <w:szCs w:val="22"/>
        </w:rPr>
        <w:t xml:space="preserve"> Сторон, возможно, пожелает включить в качестве приложения к своему докладу итоги сегмент</w:t>
      </w:r>
      <w:r w:rsidR="0045639A">
        <w:rPr>
          <w:snapToGrid w:val="0"/>
          <w:szCs w:val="22"/>
        </w:rPr>
        <w:t>ов</w:t>
      </w:r>
      <w:r>
        <w:rPr>
          <w:snapToGrid w:val="0"/>
          <w:szCs w:val="22"/>
        </w:rPr>
        <w:t xml:space="preserve"> высокого уровня совещания и других мероприятий, организованных в связи с проведением ее совещания. В соответствии с</w:t>
      </w:r>
      <w:r w:rsidR="00F10D2E">
        <w:rPr>
          <w:snapToGrid w:val="0"/>
          <w:szCs w:val="22"/>
        </w:rPr>
        <w:t>о сложившейся</w:t>
      </w:r>
      <w:r>
        <w:rPr>
          <w:snapToGrid w:val="0"/>
          <w:szCs w:val="22"/>
        </w:rPr>
        <w:t xml:space="preserve"> практикой Конференция Сторон, возможно, пожелает поручить Докладчику завершить после совещания подготовку доклада под руководством Председателя и при содействии секретариата.</w:t>
      </w:r>
    </w:p>
    <w:p w:rsidR="00D77560" w:rsidRPr="00795425" w:rsidRDefault="00D77560" w:rsidP="00B00053">
      <w:pPr>
        <w:keepNext/>
        <w:suppressLineNumbers/>
        <w:tabs>
          <w:tab w:val="left" w:pos="99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1"/>
        <w:rPr>
          <w:b/>
          <w:bCs/>
          <w:snapToGrid w:val="0"/>
          <w:kern w:val="22"/>
          <w:szCs w:val="22"/>
        </w:rPr>
      </w:pPr>
      <w:r>
        <w:rPr>
          <w:b/>
          <w:bCs/>
          <w:snapToGrid w:val="0"/>
          <w:szCs w:val="22"/>
        </w:rPr>
        <w:t>Пункт 30.</w:t>
      </w:r>
      <w:r>
        <w:rPr>
          <w:b/>
          <w:bCs/>
          <w:snapToGrid w:val="0"/>
          <w:szCs w:val="22"/>
        </w:rPr>
        <w:tab/>
      </w:r>
      <w:r w:rsidR="005723CF">
        <w:rPr>
          <w:b/>
          <w:bCs/>
          <w:snapToGrid w:val="0"/>
          <w:szCs w:val="22"/>
        </w:rPr>
        <w:tab/>
      </w:r>
      <w:r>
        <w:rPr>
          <w:b/>
          <w:bCs/>
          <w:snapToGrid w:val="0"/>
          <w:szCs w:val="22"/>
        </w:rPr>
        <w:t>Закрытие совещания</w:t>
      </w:r>
    </w:p>
    <w:p w:rsidR="00D77560" w:rsidRPr="00795425" w:rsidRDefault="00D77560" w:rsidP="00B00053">
      <w:pPr>
        <w:numPr>
          <w:ilvl w:val="0"/>
          <w:numId w:val="21"/>
        </w:numPr>
        <w:suppressLineNumbers/>
        <w:tabs>
          <w:tab w:val="clear" w:pos="450"/>
          <w:tab w:val="left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rPr>
          <w:snapToGrid w:val="0"/>
          <w:kern w:val="22"/>
          <w:szCs w:val="22"/>
        </w:rPr>
      </w:pPr>
      <w:r>
        <w:rPr>
          <w:snapToGrid w:val="0"/>
          <w:szCs w:val="22"/>
        </w:rPr>
        <w:t xml:space="preserve">Ожидается, что Председатель приостановит </w:t>
      </w:r>
      <w:r w:rsidR="00043325">
        <w:rPr>
          <w:snapToGrid w:val="0"/>
          <w:szCs w:val="22"/>
        </w:rPr>
        <w:t xml:space="preserve">работу </w:t>
      </w:r>
      <w:r>
        <w:rPr>
          <w:snapToGrid w:val="0"/>
          <w:szCs w:val="22"/>
        </w:rPr>
        <w:t>совещани</w:t>
      </w:r>
      <w:r w:rsidR="00043325">
        <w:rPr>
          <w:snapToGrid w:val="0"/>
          <w:szCs w:val="22"/>
        </w:rPr>
        <w:t>я</w:t>
      </w:r>
      <w:r>
        <w:rPr>
          <w:snapToGrid w:val="0"/>
          <w:szCs w:val="22"/>
        </w:rPr>
        <w:t xml:space="preserve"> в 17:00 (местное время, Куньмин) в пятницу 15 октября 2021 года и что совещание будет возобновлено на его очной части (Часть II), которая пройдет с 25 апреля по 8 мая 2022 года в Куньмине, Китай. Таким образом, совещание будет официально закрыто по завершении Части II 8 мая 2022 года.</w:t>
      </w:r>
    </w:p>
    <w:p w:rsidR="00F6586C" w:rsidRPr="00B00053" w:rsidRDefault="003743D0" w:rsidP="00B00053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rPr>
          <w:kern w:val="22"/>
          <w:szCs w:val="22"/>
        </w:rPr>
      </w:pPr>
      <w:r>
        <w:t>______</w:t>
      </w:r>
    </w:p>
    <w:p w:rsidR="00B3369F" w:rsidRPr="00B00053" w:rsidRDefault="00B3369F" w:rsidP="00B00053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rPr>
          <w:snapToGrid w:val="0"/>
          <w:kern w:val="22"/>
          <w:szCs w:val="22"/>
        </w:rPr>
      </w:pPr>
    </w:p>
    <w:sectPr w:rsidR="00B3369F" w:rsidRPr="00B00053" w:rsidSect="0090075A">
      <w:headerReference w:type="even" r:id="rId25"/>
      <w:headerReference w:type="default" r:id="rId26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BCD" w:rsidRDefault="00C97BCD" w:rsidP="00CF1848">
      <w:r>
        <w:separator/>
      </w:r>
    </w:p>
  </w:endnote>
  <w:endnote w:type="continuationSeparator" w:id="0">
    <w:p w:rsidR="00C97BCD" w:rsidRDefault="00C97BCD" w:rsidP="00CF1848">
      <w:r>
        <w:continuationSeparator/>
      </w:r>
    </w:p>
  </w:endnote>
  <w:endnote w:type="continuationNotice" w:id="1">
    <w:p w:rsidR="00C97BCD" w:rsidRDefault="00C97B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BCD" w:rsidRDefault="00C97BCD" w:rsidP="00CF1848">
      <w:r>
        <w:separator/>
      </w:r>
    </w:p>
  </w:footnote>
  <w:footnote w:type="continuationSeparator" w:id="0">
    <w:p w:rsidR="00C97BCD" w:rsidRDefault="00C97BCD" w:rsidP="00CF1848">
      <w:r>
        <w:continuationSeparator/>
      </w:r>
    </w:p>
  </w:footnote>
  <w:footnote w:type="continuationNotice" w:id="1">
    <w:p w:rsidR="00C97BCD" w:rsidRDefault="00C97BCD"/>
  </w:footnote>
  <w:footnote w:id="2">
    <w:p w:rsidR="00641CF8" w:rsidRPr="00B00053" w:rsidRDefault="00641CF8" w:rsidP="00B00053">
      <w:pPr>
        <w:pStyle w:val="FootnoteText"/>
        <w:kinsoku w:val="0"/>
        <w:overflowPunct w:val="0"/>
        <w:autoSpaceDE w:val="0"/>
        <w:autoSpaceDN w:val="0"/>
        <w:ind w:firstLine="0"/>
        <w:jc w:val="left"/>
        <w:rPr>
          <w:kern w:val="18"/>
          <w:szCs w:val="18"/>
        </w:rPr>
      </w:pPr>
      <w:r>
        <w:rPr>
          <w:rStyle w:val="FootnoteReference"/>
          <w:sz w:val="18"/>
          <w:szCs w:val="18"/>
        </w:rPr>
        <w:t>*</w:t>
      </w:r>
      <w:r>
        <w:t xml:space="preserve"> CBD/COP/15/1/Rev.1.</w:t>
      </w:r>
    </w:p>
  </w:footnote>
  <w:footnote w:id="3">
    <w:p w:rsidR="00D77560" w:rsidRPr="00FC3E8D" w:rsidRDefault="00D77560" w:rsidP="00B00053">
      <w:pPr>
        <w:pStyle w:val="FootnoteText"/>
        <w:kinsoku w:val="0"/>
        <w:overflowPunct w:val="0"/>
        <w:autoSpaceDE w:val="0"/>
        <w:autoSpaceDN w:val="0"/>
        <w:ind w:firstLine="0"/>
        <w:jc w:val="left"/>
        <w:rPr>
          <w:kern w:val="18"/>
          <w:szCs w:val="18"/>
        </w:rPr>
      </w:pPr>
      <w:r>
        <w:rPr>
          <w:rStyle w:val="FootnoteReference"/>
          <w:kern w:val="18"/>
          <w:sz w:val="18"/>
          <w:szCs w:val="18"/>
        </w:rPr>
        <w:footnoteRef/>
      </w:r>
      <w:r>
        <w:rPr>
          <w:szCs w:val="18"/>
          <w:vertAlign w:val="superscript"/>
        </w:rPr>
        <w:t xml:space="preserve"> </w:t>
      </w:r>
      <w:r>
        <w:t>См. CBD/COP/15/1/Add.2.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</w:rPr>
      <w:alias w:val="Предмет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Pr="00B00053" w:rsidRDefault="00BD37D3" w:rsidP="00B00053">
        <w:pPr>
          <w:pStyle w:val="Header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jc w:val="left"/>
          <w:rPr>
            <w:noProof/>
          </w:rPr>
        </w:pPr>
        <w:r w:rsidRPr="00B00053">
          <w:rPr>
            <w:noProof/>
          </w:rPr>
          <w:t>CBD/COP/15/1/Add.1</w:t>
        </w:r>
      </w:p>
    </w:sdtContent>
  </w:sdt>
  <w:p w:rsidR="00534681" w:rsidRPr="00B00053" w:rsidRDefault="00043325" w:rsidP="00B00053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left"/>
      <w:rPr>
        <w:noProof/>
      </w:rPr>
    </w:pPr>
    <w:r>
      <w:t xml:space="preserve">Страница </w:t>
    </w:r>
    <w:r w:rsidR="00361AF4" w:rsidRPr="00B00053">
      <w:fldChar w:fldCharType="begin"/>
    </w:r>
    <w:r w:rsidR="00534681" w:rsidRPr="00B00053">
      <w:instrText xml:space="preserve"> PAGE   \* MERGEFORMAT </w:instrText>
    </w:r>
    <w:r w:rsidR="00361AF4" w:rsidRPr="00B00053">
      <w:fldChar w:fldCharType="separate"/>
    </w:r>
    <w:r w:rsidR="00E07F12">
      <w:rPr>
        <w:noProof/>
      </w:rPr>
      <w:t>6</w:t>
    </w:r>
    <w:r w:rsidR="00361AF4" w:rsidRPr="00B00053">
      <w:fldChar w:fldCharType="end"/>
    </w:r>
  </w:p>
  <w:p w:rsidR="00534681" w:rsidRPr="00B00053" w:rsidRDefault="00534681" w:rsidP="00B00053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left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</w:rPr>
      <w:alias w:val="Предмет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Pr="00B00053" w:rsidRDefault="00BD37D3" w:rsidP="00B00053">
        <w:pPr>
          <w:pStyle w:val="Header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jc w:val="right"/>
          <w:rPr>
            <w:noProof/>
          </w:rPr>
        </w:pPr>
        <w:r w:rsidRPr="00B00053">
          <w:rPr>
            <w:noProof/>
          </w:rPr>
          <w:t>CBD/COP/15/1/Add.1</w:t>
        </w:r>
      </w:p>
    </w:sdtContent>
  </w:sdt>
  <w:p w:rsidR="009505C9" w:rsidRPr="00B00053" w:rsidRDefault="00043325" w:rsidP="00B00053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right"/>
      <w:rPr>
        <w:noProof/>
      </w:rPr>
    </w:pPr>
    <w:r>
      <w:t>Страница</w:t>
    </w:r>
    <w:r w:rsidR="009505C9">
      <w:t xml:space="preserve"> </w:t>
    </w:r>
    <w:r w:rsidR="00361AF4" w:rsidRPr="00B00053">
      <w:fldChar w:fldCharType="begin"/>
    </w:r>
    <w:r w:rsidR="009505C9" w:rsidRPr="00B00053">
      <w:instrText xml:space="preserve"> PAGE   \* MERGEFORMAT </w:instrText>
    </w:r>
    <w:r w:rsidR="00361AF4" w:rsidRPr="00B00053">
      <w:fldChar w:fldCharType="separate"/>
    </w:r>
    <w:r w:rsidR="00E07F12">
      <w:rPr>
        <w:noProof/>
      </w:rPr>
      <w:t>7</w:t>
    </w:r>
    <w:r w:rsidR="00361AF4" w:rsidRPr="00B00053">
      <w:fldChar w:fldCharType="end"/>
    </w:r>
  </w:p>
  <w:p w:rsidR="009505C9" w:rsidRPr="00B00053" w:rsidRDefault="009505C9" w:rsidP="00B00053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right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A6972B8"/>
    <w:multiLevelType w:val="hybridMultilevel"/>
    <w:tmpl w:val="EEC225DE"/>
    <w:lvl w:ilvl="0" w:tplc="424857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D6AEB"/>
    <w:multiLevelType w:val="multilevel"/>
    <w:tmpl w:val="620D6AEB"/>
    <w:lvl w:ilvl="0">
      <w:start w:val="1"/>
      <w:numFmt w:val="decimal"/>
      <w:lvlText w:val="%1."/>
      <w:lvlJc w:val="left"/>
      <w:pPr>
        <w:tabs>
          <w:tab w:val="left" w:pos="450"/>
        </w:tabs>
        <w:ind w:left="9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left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left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5"/>
    <w:lvlOverride w:ilvl="0">
      <w:startOverride w:val="1"/>
    </w:lvlOverride>
  </w:num>
  <w:num w:numId="9">
    <w:abstractNumId w:val="11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5"/>
    <w:lvlOverride w:ilvl="0">
      <w:startOverride w:val="1"/>
    </w:lvlOverride>
  </w:num>
  <w:num w:numId="14">
    <w:abstractNumId w:val="9"/>
  </w:num>
  <w:num w:numId="15">
    <w:abstractNumId w:val="8"/>
  </w:num>
  <w:num w:numId="16">
    <w:abstractNumId w:val="1"/>
  </w:num>
  <w:num w:numId="17">
    <w:abstractNumId w:val="12"/>
  </w:num>
  <w:num w:numId="18">
    <w:abstractNumId w:val="13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20">
    <w:abstractNumId w:val="10"/>
  </w:num>
  <w:num w:numId="21">
    <w:abstractNumId w:val="10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161D"/>
    <w:rsid w:val="000037C4"/>
    <w:rsid w:val="00011BF4"/>
    <w:rsid w:val="00037C10"/>
    <w:rsid w:val="00041CFD"/>
    <w:rsid w:val="00043325"/>
    <w:rsid w:val="00053BFE"/>
    <w:rsid w:val="0007171B"/>
    <w:rsid w:val="0007262F"/>
    <w:rsid w:val="000743E4"/>
    <w:rsid w:val="000927CF"/>
    <w:rsid w:val="000954AB"/>
    <w:rsid w:val="000A2CB2"/>
    <w:rsid w:val="000A3BF7"/>
    <w:rsid w:val="000A6C61"/>
    <w:rsid w:val="000B7ABE"/>
    <w:rsid w:val="000C02F7"/>
    <w:rsid w:val="000C19B0"/>
    <w:rsid w:val="000C3EE9"/>
    <w:rsid w:val="000C7188"/>
    <w:rsid w:val="000E673A"/>
    <w:rsid w:val="000F74F5"/>
    <w:rsid w:val="00105372"/>
    <w:rsid w:val="0011538F"/>
    <w:rsid w:val="001312AD"/>
    <w:rsid w:val="001318DD"/>
    <w:rsid w:val="00131E7A"/>
    <w:rsid w:val="00134846"/>
    <w:rsid w:val="00142DB4"/>
    <w:rsid w:val="0014691A"/>
    <w:rsid w:val="001600A2"/>
    <w:rsid w:val="00172AF6"/>
    <w:rsid w:val="001761E2"/>
    <w:rsid w:val="00176CEE"/>
    <w:rsid w:val="00186DD8"/>
    <w:rsid w:val="00192B25"/>
    <w:rsid w:val="00195E89"/>
    <w:rsid w:val="001B0221"/>
    <w:rsid w:val="001B13FE"/>
    <w:rsid w:val="001C27D5"/>
    <w:rsid w:val="001D11B6"/>
    <w:rsid w:val="00210F72"/>
    <w:rsid w:val="00265106"/>
    <w:rsid w:val="002827D8"/>
    <w:rsid w:val="0029069C"/>
    <w:rsid w:val="00294783"/>
    <w:rsid w:val="002977F7"/>
    <w:rsid w:val="002C6649"/>
    <w:rsid w:val="002C7C3F"/>
    <w:rsid w:val="002E376B"/>
    <w:rsid w:val="002E3B2B"/>
    <w:rsid w:val="002E7CCC"/>
    <w:rsid w:val="0030169D"/>
    <w:rsid w:val="00301EF0"/>
    <w:rsid w:val="003051AE"/>
    <w:rsid w:val="003060EB"/>
    <w:rsid w:val="003119EF"/>
    <w:rsid w:val="003153EB"/>
    <w:rsid w:val="0032036A"/>
    <w:rsid w:val="00320379"/>
    <w:rsid w:val="00321985"/>
    <w:rsid w:val="003274C0"/>
    <w:rsid w:val="0033609A"/>
    <w:rsid w:val="00351205"/>
    <w:rsid w:val="00361AF4"/>
    <w:rsid w:val="00372F74"/>
    <w:rsid w:val="003743D0"/>
    <w:rsid w:val="00382D7C"/>
    <w:rsid w:val="0038397E"/>
    <w:rsid w:val="00387409"/>
    <w:rsid w:val="00390FBF"/>
    <w:rsid w:val="00396826"/>
    <w:rsid w:val="003A6DCF"/>
    <w:rsid w:val="003B44F9"/>
    <w:rsid w:val="003C1C83"/>
    <w:rsid w:val="003C2B7A"/>
    <w:rsid w:val="003C31B5"/>
    <w:rsid w:val="003E7D82"/>
    <w:rsid w:val="003F264D"/>
    <w:rsid w:val="003F7224"/>
    <w:rsid w:val="003F742C"/>
    <w:rsid w:val="0041623B"/>
    <w:rsid w:val="00427D21"/>
    <w:rsid w:val="00433E40"/>
    <w:rsid w:val="00437EB0"/>
    <w:rsid w:val="00442C94"/>
    <w:rsid w:val="00452C9A"/>
    <w:rsid w:val="0045639A"/>
    <w:rsid w:val="004644C2"/>
    <w:rsid w:val="00467F9C"/>
    <w:rsid w:val="00475A41"/>
    <w:rsid w:val="00477F27"/>
    <w:rsid w:val="0048011A"/>
    <w:rsid w:val="00483F04"/>
    <w:rsid w:val="0049329D"/>
    <w:rsid w:val="004A22BC"/>
    <w:rsid w:val="004C5B17"/>
    <w:rsid w:val="004C7211"/>
    <w:rsid w:val="004E3DB0"/>
    <w:rsid w:val="004F16E7"/>
    <w:rsid w:val="004F5513"/>
    <w:rsid w:val="00514C15"/>
    <w:rsid w:val="00527AC7"/>
    <w:rsid w:val="00533593"/>
    <w:rsid w:val="00534681"/>
    <w:rsid w:val="00563442"/>
    <w:rsid w:val="00565B42"/>
    <w:rsid w:val="005723CF"/>
    <w:rsid w:val="005A07CA"/>
    <w:rsid w:val="005B4719"/>
    <w:rsid w:val="005C4CE6"/>
    <w:rsid w:val="005C61C4"/>
    <w:rsid w:val="005F5BC9"/>
    <w:rsid w:val="006122BA"/>
    <w:rsid w:val="00613496"/>
    <w:rsid w:val="006239F2"/>
    <w:rsid w:val="00630A38"/>
    <w:rsid w:val="00641CF8"/>
    <w:rsid w:val="0068012A"/>
    <w:rsid w:val="00693E3B"/>
    <w:rsid w:val="00694DB6"/>
    <w:rsid w:val="006B1E94"/>
    <w:rsid w:val="006B2290"/>
    <w:rsid w:val="006B3178"/>
    <w:rsid w:val="006D0995"/>
    <w:rsid w:val="006D36EA"/>
    <w:rsid w:val="006E18EC"/>
    <w:rsid w:val="006E5688"/>
    <w:rsid w:val="006F3F07"/>
    <w:rsid w:val="00717D88"/>
    <w:rsid w:val="00721E3D"/>
    <w:rsid w:val="00725E29"/>
    <w:rsid w:val="00732E9E"/>
    <w:rsid w:val="00754E90"/>
    <w:rsid w:val="007600A1"/>
    <w:rsid w:val="00786056"/>
    <w:rsid w:val="007942D3"/>
    <w:rsid w:val="00795425"/>
    <w:rsid w:val="007A185D"/>
    <w:rsid w:val="007B1ECB"/>
    <w:rsid w:val="007B2099"/>
    <w:rsid w:val="007B5B6B"/>
    <w:rsid w:val="007B62D6"/>
    <w:rsid w:val="007B6C09"/>
    <w:rsid w:val="007B7741"/>
    <w:rsid w:val="007C3366"/>
    <w:rsid w:val="007C79CF"/>
    <w:rsid w:val="007D0676"/>
    <w:rsid w:val="007D250F"/>
    <w:rsid w:val="007D4B87"/>
    <w:rsid w:val="007E09DA"/>
    <w:rsid w:val="007F303B"/>
    <w:rsid w:val="00803E64"/>
    <w:rsid w:val="00803FCA"/>
    <w:rsid w:val="008178B6"/>
    <w:rsid w:val="00821DE4"/>
    <w:rsid w:val="00835E06"/>
    <w:rsid w:val="00836CC0"/>
    <w:rsid w:val="00860236"/>
    <w:rsid w:val="00865B74"/>
    <w:rsid w:val="00877FF2"/>
    <w:rsid w:val="00880BFC"/>
    <w:rsid w:val="00882629"/>
    <w:rsid w:val="00884632"/>
    <w:rsid w:val="008911DB"/>
    <w:rsid w:val="0089394D"/>
    <w:rsid w:val="008974F0"/>
    <w:rsid w:val="008A1429"/>
    <w:rsid w:val="008B012A"/>
    <w:rsid w:val="008B3CFD"/>
    <w:rsid w:val="008E77F2"/>
    <w:rsid w:val="008E789F"/>
    <w:rsid w:val="0090075A"/>
    <w:rsid w:val="00906E17"/>
    <w:rsid w:val="00930BA1"/>
    <w:rsid w:val="0093157A"/>
    <w:rsid w:val="0093169E"/>
    <w:rsid w:val="009337CF"/>
    <w:rsid w:val="009505C9"/>
    <w:rsid w:val="00950752"/>
    <w:rsid w:val="00951B1F"/>
    <w:rsid w:val="0095385B"/>
    <w:rsid w:val="0096218F"/>
    <w:rsid w:val="00966424"/>
    <w:rsid w:val="00966589"/>
    <w:rsid w:val="009722A4"/>
    <w:rsid w:val="009A0EB1"/>
    <w:rsid w:val="009B1706"/>
    <w:rsid w:val="009C2DE6"/>
    <w:rsid w:val="009C3025"/>
    <w:rsid w:val="009D1097"/>
    <w:rsid w:val="009D54E8"/>
    <w:rsid w:val="009F3E05"/>
    <w:rsid w:val="009F649B"/>
    <w:rsid w:val="00A17802"/>
    <w:rsid w:val="00A32B76"/>
    <w:rsid w:val="00A33004"/>
    <w:rsid w:val="00A3381A"/>
    <w:rsid w:val="00A46A4B"/>
    <w:rsid w:val="00A76686"/>
    <w:rsid w:val="00A8124A"/>
    <w:rsid w:val="00A8716D"/>
    <w:rsid w:val="00A92EF4"/>
    <w:rsid w:val="00AA1F6A"/>
    <w:rsid w:val="00AA2528"/>
    <w:rsid w:val="00AA6F92"/>
    <w:rsid w:val="00AA76BC"/>
    <w:rsid w:val="00AB508C"/>
    <w:rsid w:val="00AB6934"/>
    <w:rsid w:val="00AC13C3"/>
    <w:rsid w:val="00AF42DE"/>
    <w:rsid w:val="00AF46F4"/>
    <w:rsid w:val="00AF71E0"/>
    <w:rsid w:val="00B00053"/>
    <w:rsid w:val="00B0640B"/>
    <w:rsid w:val="00B06E68"/>
    <w:rsid w:val="00B3369F"/>
    <w:rsid w:val="00B5351F"/>
    <w:rsid w:val="00B55FBC"/>
    <w:rsid w:val="00B679A4"/>
    <w:rsid w:val="00B86B07"/>
    <w:rsid w:val="00B93D9F"/>
    <w:rsid w:val="00B94E6C"/>
    <w:rsid w:val="00B9567C"/>
    <w:rsid w:val="00BA3B8D"/>
    <w:rsid w:val="00BB4606"/>
    <w:rsid w:val="00BD0F35"/>
    <w:rsid w:val="00BD1E1F"/>
    <w:rsid w:val="00BD37D3"/>
    <w:rsid w:val="00BD4D97"/>
    <w:rsid w:val="00BE7D5E"/>
    <w:rsid w:val="00C23D2F"/>
    <w:rsid w:val="00C3564D"/>
    <w:rsid w:val="00C36FF4"/>
    <w:rsid w:val="00C4417F"/>
    <w:rsid w:val="00C443BD"/>
    <w:rsid w:val="00C451C5"/>
    <w:rsid w:val="00C53A52"/>
    <w:rsid w:val="00C75062"/>
    <w:rsid w:val="00C9161D"/>
    <w:rsid w:val="00C97BCD"/>
    <w:rsid w:val="00C97C56"/>
    <w:rsid w:val="00CA0AB1"/>
    <w:rsid w:val="00CA0C1D"/>
    <w:rsid w:val="00CA312C"/>
    <w:rsid w:val="00CA658B"/>
    <w:rsid w:val="00CB2EBD"/>
    <w:rsid w:val="00CB5BBD"/>
    <w:rsid w:val="00CB7FE9"/>
    <w:rsid w:val="00CD292B"/>
    <w:rsid w:val="00CE2663"/>
    <w:rsid w:val="00CF1848"/>
    <w:rsid w:val="00CF2CAD"/>
    <w:rsid w:val="00CF3FEB"/>
    <w:rsid w:val="00CF4DAC"/>
    <w:rsid w:val="00CF7A56"/>
    <w:rsid w:val="00D12044"/>
    <w:rsid w:val="00D13599"/>
    <w:rsid w:val="00D33EFC"/>
    <w:rsid w:val="00D40DBC"/>
    <w:rsid w:val="00D43907"/>
    <w:rsid w:val="00D52A6F"/>
    <w:rsid w:val="00D76A18"/>
    <w:rsid w:val="00D77560"/>
    <w:rsid w:val="00D80849"/>
    <w:rsid w:val="00D82E8F"/>
    <w:rsid w:val="00D952A9"/>
    <w:rsid w:val="00DB5BD2"/>
    <w:rsid w:val="00DD118C"/>
    <w:rsid w:val="00DD32AF"/>
    <w:rsid w:val="00DD660B"/>
    <w:rsid w:val="00DE1F31"/>
    <w:rsid w:val="00DF0079"/>
    <w:rsid w:val="00DF368E"/>
    <w:rsid w:val="00E07F12"/>
    <w:rsid w:val="00E155BF"/>
    <w:rsid w:val="00E17703"/>
    <w:rsid w:val="00E30CE6"/>
    <w:rsid w:val="00E30F64"/>
    <w:rsid w:val="00E344F0"/>
    <w:rsid w:val="00E42551"/>
    <w:rsid w:val="00E50824"/>
    <w:rsid w:val="00E66235"/>
    <w:rsid w:val="00E66CB3"/>
    <w:rsid w:val="00E74EED"/>
    <w:rsid w:val="00E834EE"/>
    <w:rsid w:val="00E83C24"/>
    <w:rsid w:val="00E86AB4"/>
    <w:rsid w:val="00E86DA3"/>
    <w:rsid w:val="00E91804"/>
    <w:rsid w:val="00E9318D"/>
    <w:rsid w:val="00EA02A9"/>
    <w:rsid w:val="00EE67E6"/>
    <w:rsid w:val="00EF3D85"/>
    <w:rsid w:val="00EF768C"/>
    <w:rsid w:val="00F10D2E"/>
    <w:rsid w:val="00F23DBA"/>
    <w:rsid w:val="00F51E11"/>
    <w:rsid w:val="00F53193"/>
    <w:rsid w:val="00F5357E"/>
    <w:rsid w:val="00F6586C"/>
    <w:rsid w:val="00F94774"/>
    <w:rsid w:val="00FA663B"/>
    <w:rsid w:val="00FC3E8D"/>
    <w:rsid w:val="00FC53DB"/>
    <w:rsid w:val="00FC7618"/>
    <w:rsid w:val="00FD6070"/>
    <w:rsid w:val="00FE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006D7289"/>
  <w15:docId w15:val="{252D94A8-A5F5-4FC4-B94B-60B7D1125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211"/>
    <w:pPr>
      <w:jc w:val="both"/>
    </w:pPr>
    <w:rPr>
      <w:rFonts w:ascii="Times New Roman" w:eastAsia="Times New Roman" w:hAnsi="Times New Roman" w:cs="Times New Roman"/>
      <w:sz w:val="22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ru-RU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ru-RU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ru-RU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ru-RU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ru-RU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ru-RU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link w:val="BVIfnrChar"/>
    <w:uiPriority w:val="99"/>
    <w:qFormat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7E09DA"/>
    <w:rPr>
      <w:rFonts w:ascii="Times New Roman" w:eastAsia="Times New Roman" w:hAnsi="Times New Roman" w:cs="Times New Roman"/>
      <w:sz w:val="18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ru-RU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ru-RU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ru-RU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ru-RU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ru-RU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ru-RU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ru-RU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ru-RU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paragraph" w:customStyle="1" w:styleId="BVIfnrChar">
    <w:name w:val="BVI fnr Char"/>
    <w:basedOn w:val="Normal"/>
    <w:link w:val="FootnoteReference"/>
    <w:uiPriority w:val="99"/>
    <w:qFormat/>
    <w:rsid w:val="00D77560"/>
    <w:pPr>
      <w:spacing w:after="160" w:line="240" w:lineRule="exact"/>
    </w:pPr>
    <w:rPr>
      <w:rFonts w:asciiTheme="minorHAnsi" w:eastAsiaTheme="minorEastAsia" w:hAnsiTheme="minorHAnsi" w:cstheme="minorBidi"/>
      <w:vertAlign w:val="superscript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E86DA3"/>
    <w:rPr>
      <w:color w:val="605E5C"/>
      <w:shd w:val="clear" w:color="auto" w:fill="E1DFDD"/>
    </w:rPr>
  </w:style>
  <w:style w:type="character" w:customStyle="1" w:styleId="ng-binding">
    <w:name w:val="ng-binding"/>
    <w:basedOn w:val="DefaultParagraphFont"/>
    <w:rsid w:val="00A33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/decisions/cop-01/full/cop-01-dec-ru.pdf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mop-07/mop-07-dec-09-ru.pdf" TargetMode="Externa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yperlink" Target="https://www.cbd.int/doc/decisions/cop-14/cop-14-dec-34-ru.pdf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2/cop-12-dec-31-ru.pdf" TargetMode="External"/><Relationship Id="rId20" Type="http://schemas.openxmlformats.org/officeDocument/2006/relationships/hyperlink" Target="https://www.cbd.int/doc/decisions/cop-12/cop-12-dec-27-ru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oc/decisions/cop-04/full/cop-04-dec-ru.pdf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3/cop-13-dec-33-ru.pdf" TargetMode="External"/><Relationship Id="rId23" Type="http://schemas.openxmlformats.org/officeDocument/2006/relationships/hyperlink" Target="https://www.cbd.int/doc/decisions/cop-01/full/cop-01-dec-ru.pdf" TargetMode="External"/><Relationship Id="rId28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oc/decisions/cop-12/cop-12-dec-31-ru.pdf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/decisions/np-mop-01/np-mop-01-dec-12-ru.pdf" TargetMode="External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5F4EB1BA065E4622B88E069470FC3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30EA7-FB6D-477E-89C4-A5DE53C4823B}"/>
      </w:docPartPr>
      <w:docPartBody>
        <w:p w:rsidR="00CC3B9B" w:rsidRDefault="00C6793D">
          <w:r w:rsidRPr="00D42FFD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A55"/>
    <w:rsid w:val="000A22AD"/>
    <w:rsid w:val="001A451B"/>
    <w:rsid w:val="00214FF0"/>
    <w:rsid w:val="0046422C"/>
    <w:rsid w:val="004760CF"/>
    <w:rsid w:val="004E092F"/>
    <w:rsid w:val="00500A2B"/>
    <w:rsid w:val="00527A0B"/>
    <w:rsid w:val="0058288D"/>
    <w:rsid w:val="00665C6B"/>
    <w:rsid w:val="006801B3"/>
    <w:rsid w:val="00810A55"/>
    <w:rsid w:val="008C6619"/>
    <w:rsid w:val="008D420E"/>
    <w:rsid w:val="00955706"/>
    <w:rsid w:val="0098642F"/>
    <w:rsid w:val="00C6793D"/>
    <w:rsid w:val="00C8104B"/>
    <w:rsid w:val="00CC3B9B"/>
    <w:rsid w:val="00D31D12"/>
    <w:rsid w:val="00F66947"/>
    <w:rsid w:val="00F9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B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793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0B1FD2-C3D7-49F8-B42D-7C062F470F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9E2F338-C08D-4850-BBCE-54C90A633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3145</Words>
  <Characters>17931</Characters>
  <Application>Microsoft Office Word</Application>
  <DocSecurity>0</DocSecurity>
  <Lines>149</Lines>
  <Paragraphs>42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АННОТИРОВАННАЯ ПРЕДВАРИТЕЛЬНАЯ ПОВЕСТКА ДНЯ</vt:lpstr>
      <vt:lpstr>Annotated provisional agenda</vt:lpstr>
    </vt:vector>
  </TitlesOfParts>
  <Company>United Nations</Company>
  <LinksUpToDate>false</LinksUpToDate>
  <CharactersWithSpaces>21034</CharactersWithSpaces>
  <SharedDoc>false</SharedDoc>
  <HyperlinkBase>https://www.cbd.int/cop/</HyperlinkBase>
  <HLinks>
    <vt:vector size="66" baseType="variant">
      <vt:variant>
        <vt:i4>7274593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https://www.cbd.int/decisions/cop/?m=cop-04</vt:lpwstr>
      </vt:variant>
      <vt:variant>
        <vt:lpwstr/>
      </vt:variant>
      <vt:variant>
        <vt:i4>852046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https://www.cbd.int/doc/decisions/cop-01/cop-01-dec-06-en.pdf</vt:lpwstr>
      </vt:variant>
      <vt:variant>
        <vt:lpwstr/>
      </vt:variant>
      <vt:variant>
        <vt:i4>655438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https://www.cbd.int/doc/decisions/cop-01/cop-01-dec-01-en.pdf</vt:lpwstr>
      </vt:variant>
      <vt:variant>
        <vt:lpwstr/>
      </vt:variant>
      <vt:variant>
        <vt:i4>7733296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https://www.cbd.int/doc/decisions/np-mop-01/np-mop-01-dec-12-en.pdf</vt:lpwstr>
      </vt:variant>
      <vt:variant>
        <vt:lpwstr/>
      </vt:variant>
      <vt:variant>
        <vt:i4>655430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https://www.cbd.int/doc/decisions/mop-07/mop-07-dec-09-en.pdf</vt:lpwstr>
      </vt:variant>
      <vt:variant>
        <vt:lpwstr/>
      </vt:variant>
      <vt:variant>
        <vt:i4>917582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https://www.cbd.int/doc/decisions/cop-12/cop-12-dec-27-en.pdf</vt:lpwstr>
      </vt:variant>
      <vt:variant>
        <vt:lpwstr/>
      </vt:variant>
      <vt:variant>
        <vt:i4>524367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https://www.cbd.int/doc/decisions/cop-12/cop-12-dec-31-en.pdf</vt:lpwstr>
      </vt:variant>
      <vt:variant>
        <vt:lpwstr/>
      </vt:variant>
      <vt:variant>
        <vt:i4>655438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https://www.cbd.int/doc/decisions/cop-01/cop-01-dec-01-en.pdf</vt:lpwstr>
      </vt:variant>
      <vt:variant>
        <vt:lpwstr/>
      </vt:variant>
      <vt:variant>
        <vt:i4>720969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https://www.cbd.int/doc/decisions/cop-14/cop-14-dec-34-en.pdf</vt:lpwstr>
      </vt:variant>
      <vt:variant>
        <vt:lpwstr/>
      </vt:variant>
      <vt:variant>
        <vt:i4>524367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https://www.cbd.int/doc/decisions/cop-12/cop-12-dec-31-en.pdf</vt:lpwstr>
      </vt:variant>
      <vt:variant>
        <vt:lpwstr/>
      </vt:variant>
      <vt:variant>
        <vt:i4>720974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https://www.cbd.int/doc/decisions/cop-13/cop-13-dec-33-en.pdf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АННОТИРОВАННАЯ ПРЕДВАРИТЕЛЬНАЯ ПОВЕСТКА ДНЯ</dc:title>
  <dc:subject>CBD/COP/15/1/Add.1</dc:subject>
  <dc:creator>SCBD</dc:creator>
  <cp:keywords>Convention on Biological Diversity, Conference of the Parties, fifteenth meeting, Kunming, China, 11-15 October 2021 and 25 April-8 May 2022</cp:keywords>
  <cp:lastModifiedBy>Angela Xuehe Yan</cp:lastModifiedBy>
  <cp:revision>5</cp:revision>
  <cp:lastPrinted>2020-01-21T19:56:00Z</cp:lastPrinted>
  <dcterms:created xsi:type="dcterms:W3CDTF">2021-09-02T16:20:00Z</dcterms:created>
  <dcterms:modified xsi:type="dcterms:W3CDTF">2021-09-02T20:20:00Z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