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AD15B5" w:rsidRPr="00233566" w:rsidTr="008E51D3">
        <w:trPr>
          <w:trHeight w:val="851"/>
        </w:trPr>
        <w:tc>
          <w:tcPr>
            <w:tcW w:w="800" w:type="dxa"/>
            <w:tcBorders>
              <w:bottom w:val="single" w:sz="12" w:space="0" w:color="auto"/>
            </w:tcBorders>
          </w:tcPr>
          <w:p w:rsidR="00AD15B5" w:rsidRPr="00233566" w:rsidRDefault="00AD15B5" w:rsidP="005F3F9A">
            <w:pPr>
              <w:suppressLineNumbers/>
              <w:suppressAutoHyphens/>
              <w:rPr>
                <w:kern w:val="22"/>
              </w:rPr>
            </w:pPr>
            <w:r w:rsidRPr="00233566">
              <w:rPr>
                <w:noProof/>
                <w:lang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AD15B5" w:rsidRPr="00233566" w:rsidRDefault="00CF2C76" w:rsidP="005F3F9A">
            <w:pPr>
              <w:suppressLineNumbers/>
              <w:suppressAutoHyphens/>
              <w:rPr>
                <w:kern w:val="22"/>
              </w:rPr>
            </w:pPr>
            <w:r w:rsidRPr="00233566">
              <w:rPr>
                <w:noProof/>
                <w:lang w:eastAsia="en-GB"/>
              </w:rPr>
              <w:drawing>
                <wp:inline distT="0" distB="0" distL="0" distR="0">
                  <wp:extent cx="866775" cy="371475"/>
                  <wp:effectExtent l="0" t="0" r="9525" b="9525"/>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AD15B5" w:rsidRPr="00233566" w:rsidRDefault="00AD15B5" w:rsidP="005F3F9A">
            <w:pPr>
              <w:suppressLineNumbers/>
              <w:suppressAutoHyphens/>
              <w:jc w:val="right"/>
              <w:rPr>
                <w:rFonts w:ascii="Arial" w:hAnsi="Arial" w:cs="Arial"/>
                <w:b/>
                <w:kern w:val="22"/>
                <w:sz w:val="32"/>
                <w:szCs w:val="32"/>
              </w:rPr>
            </w:pPr>
            <w:r w:rsidRPr="00233566">
              <w:rPr>
                <w:rFonts w:ascii="Arial" w:hAnsi="Arial"/>
                <w:b/>
                <w:sz w:val="32"/>
                <w:szCs w:val="32"/>
              </w:rPr>
              <w:t>CBD</w:t>
            </w:r>
          </w:p>
        </w:tc>
      </w:tr>
      <w:tr w:rsidR="00AD15B5" w:rsidRPr="00233566" w:rsidTr="008E51D3">
        <w:tc>
          <w:tcPr>
            <w:tcW w:w="5941" w:type="dxa"/>
            <w:gridSpan w:val="2"/>
            <w:tcBorders>
              <w:top w:val="single" w:sz="12" w:space="0" w:color="auto"/>
              <w:bottom w:val="single" w:sz="36" w:space="0" w:color="auto"/>
            </w:tcBorders>
            <w:vAlign w:val="center"/>
          </w:tcPr>
          <w:p w:rsidR="00AD15B5" w:rsidRPr="00233566" w:rsidRDefault="00AD15B5" w:rsidP="005F3F9A">
            <w:pPr>
              <w:suppressLineNumbers/>
              <w:suppressAutoHyphens/>
              <w:rPr>
                <w:kern w:val="22"/>
              </w:rPr>
            </w:pPr>
            <w:r w:rsidRPr="00233566">
              <w:rPr>
                <w:noProof/>
                <w:lang w:eastAsia="en-GB"/>
              </w:rPr>
              <w:drawing>
                <wp:inline distT="0" distB="0" distL="0" distR="0">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D15B5" w:rsidRPr="00233566" w:rsidRDefault="00AD15B5" w:rsidP="005F3F9A">
            <w:pPr>
              <w:suppressLineNumbers/>
              <w:suppressAutoHyphens/>
              <w:ind w:left="1215"/>
              <w:rPr>
                <w:kern w:val="22"/>
                <w:szCs w:val="22"/>
              </w:rPr>
            </w:pPr>
            <w:r w:rsidRPr="00233566">
              <w:t>Distr.</w:t>
            </w:r>
          </w:p>
          <w:p w:rsidR="00AD15B5" w:rsidRPr="00233566" w:rsidRDefault="00AD15B5" w:rsidP="005F3F9A">
            <w:pPr>
              <w:suppressLineNumbers/>
              <w:suppressAutoHyphens/>
              <w:ind w:left="1215"/>
              <w:rPr>
                <w:kern w:val="22"/>
                <w:szCs w:val="22"/>
              </w:rPr>
            </w:pPr>
            <w:r w:rsidRPr="00233566">
              <w:t>GENERAL</w:t>
            </w:r>
          </w:p>
          <w:p w:rsidR="00AD15B5" w:rsidRPr="00233566" w:rsidRDefault="00AD15B5" w:rsidP="005F3F9A">
            <w:pPr>
              <w:suppressLineNumbers/>
              <w:suppressAutoHyphens/>
              <w:ind w:left="1215"/>
              <w:rPr>
                <w:kern w:val="22"/>
                <w:szCs w:val="22"/>
              </w:rPr>
            </w:pPr>
          </w:p>
          <w:bookmarkStart w:id="0" w:name="_Hlk82676226" w:displacedByCustomXml="next"/>
          <w:sdt>
            <w:sdtPr>
              <w:rPr>
                <w:kern w:val="22"/>
                <w:szCs w:val="22"/>
              </w:rPr>
              <w:alias w:val="Subject"/>
              <w:tag w:val=""/>
              <w:id w:val="475568643"/>
              <w:placeholder>
                <w:docPart w:val="4BFC2725F4D34E609C1F5397B8284F5F"/>
              </w:placeholder>
              <w:dataBinding w:prefixMappings="xmlns:ns0='http://purl.org/dc/elements/1.1/' xmlns:ns1='http://schemas.openxmlformats.org/package/2006/metadata/core-properties' " w:xpath="/ns1:coreProperties[1]/ns0:subject[1]" w:storeItemID="{6C3C8BC8-F283-45AE-878A-BAB7291924A1}"/>
              <w:text/>
            </w:sdtPr>
            <w:sdtEndPr/>
            <w:sdtContent>
              <w:p w:rsidR="00AD15B5" w:rsidRPr="00233566" w:rsidRDefault="00AD15B5" w:rsidP="005F3F9A">
                <w:pPr>
                  <w:suppressLineNumbers/>
                  <w:suppressAutoHyphens/>
                  <w:ind w:left="1215"/>
                  <w:rPr>
                    <w:kern w:val="22"/>
                    <w:szCs w:val="22"/>
                  </w:rPr>
                </w:pPr>
                <w:r w:rsidRPr="00233566">
                  <w:rPr>
                    <w:kern w:val="22"/>
                    <w:szCs w:val="22"/>
                  </w:rPr>
                  <w:t>CBD/CP/MOP/10/</w:t>
                </w:r>
                <w:r w:rsidR="00A45F85" w:rsidRPr="00233566">
                  <w:rPr>
                    <w:kern w:val="22"/>
                    <w:szCs w:val="22"/>
                  </w:rPr>
                  <w:t>2</w:t>
                </w:r>
              </w:p>
            </w:sdtContent>
          </w:sdt>
          <w:bookmarkEnd w:id="0" w:displacedByCustomXml="prev"/>
          <w:p w:rsidR="00AD15B5" w:rsidRPr="00233566" w:rsidRDefault="00F632F1" w:rsidP="005F3F9A">
            <w:pPr>
              <w:suppressLineNumbers/>
              <w:suppressAutoHyphens/>
              <w:ind w:left="1215"/>
              <w:rPr>
                <w:kern w:val="22"/>
                <w:szCs w:val="22"/>
              </w:rPr>
            </w:pPr>
            <w:r w:rsidRPr="00233566">
              <w:t>1</w:t>
            </w:r>
            <w:r w:rsidR="00CF2C76" w:rsidRPr="00233566">
              <w:t>6 September</w:t>
            </w:r>
            <w:r w:rsidRPr="00233566">
              <w:t xml:space="preserve"> 202</w:t>
            </w:r>
            <w:r w:rsidR="00CF2C76" w:rsidRPr="00233566">
              <w:t>1</w:t>
            </w:r>
          </w:p>
          <w:p w:rsidR="00AD15B5" w:rsidRPr="00233566" w:rsidRDefault="00AD15B5" w:rsidP="005F3F9A">
            <w:pPr>
              <w:suppressLineNumbers/>
              <w:suppressAutoHyphens/>
              <w:ind w:left="1215"/>
              <w:rPr>
                <w:kern w:val="22"/>
                <w:szCs w:val="22"/>
              </w:rPr>
            </w:pPr>
          </w:p>
          <w:p w:rsidR="00CF2C76" w:rsidRPr="00233566" w:rsidRDefault="00CF2C76" w:rsidP="005F3F9A">
            <w:pPr>
              <w:suppressLineNumbers/>
              <w:suppressAutoHyphens/>
              <w:ind w:left="1215"/>
              <w:rPr>
                <w:kern w:val="22"/>
                <w:szCs w:val="22"/>
              </w:rPr>
            </w:pPr>
            <w:r w:rsidRPr="00233566">
              <w:rPr>
                <w:snapToGrid w:val="0"/>
                <w:szCs w:val="22"/>
              </w:rPr>
              <w:t>RUSSIAN</w:t>
            </w:r>
          </w:p>
          <w:p w:rsidR="00AD15B5" w:rsidRPr="00233566" w:rsidRDefault="00AD15B5" w:rsidP="005F3F9A">
            <w:pPr>
              <w:suppressLineNumbers/>
              <w:suppressAutoHyphens/>
              <w:ind w:left="1215"/>
              <w:rPr>
                <w:kern w:val="22"/>
                <w:szCs w:val="22"/>
              </w:rPr>
            </w:pPr>
            <w:r w:rsidRPr="00233566">
              <w:t>ORIGINAL: ENGLISH</w:t>
            </w:r>
          </w:p>
          <w:p w:rsidR="00AD15B5" w:rsidRPr="00233566" w:rsidRDefault="00AD15B5" w:rsidP="005F3F9A">
            <w:pPr>
              <w:suppressLineNumbers/>
              <w:suppressAutoHyphens/>
              <w:rPr>
                <w:kern w:val="22"/>
              </w:rPr>
            </w:pPr>
          </w:p>
        </w:tc>
      </w:tr>
    </w:tbl>
    <w:p w:rsidR="00391A45" w:rsidRPr="00233566" w:rsidRDefault="00391A45" w:rsidP="00CF2C76">
      <w:pPr>
        <w:pStyle w:val="Cornernotation"/>
        <w:ind w:left="142" w:right="3548" w:hanging="142"/>
        <w:rPr>
          <w:kern w:val="22"/>
          <w:szCs w:val="22"/>
        </w:rPr>
      </w:pPr>
      <w:r w:rsidRPr="00233566">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391A45" w:rsidRPr="00233566" w:rsidRDefault="00AD15B5" w:rsidP="00F5491E">
      <w:pPr>
        <w:pStyle w:val="Cornernotation"/>
        <w:ind w:left="284" w:right="5816" w:hanging="284"/>
        <w:rPr>
          <w:kern w:val="22"/>
          <w:szCs w:val="22"/>
        </w:rPr>
      </w:pPr>
      <w:r w:rsidRPr="00233566">
        <w:t>Десятое совещание</w:t>
      </w:r>
    </w:p>
    <w:p w:rsidR="00C9161D" w:rsidRPr="00233566" w:rsidRDefault="00514335" w:rsidP="00CF2C76">
      <w:pPr>
        <w:ind w:left="284" w:right="4824" w:hanging="284"/>
        <w:jc w:val="left"/>
        <w:rPr>
          <w:kern w:val="22"/>
        </w:rPr>
      </w:pPr>
      <w:r w:rsidRPr="00233566">
        <w:t>Куньмин, Китай, 11-15 октября 2021 года и</w:t>
      </w:r>
      <w:r w:rsidRPr="00233566">
        <w:cr/>
        <w:t>25 апреля – 8 мая 2022 года</w:t>
      </w:r>
    </w:p>
    <w:p w:rsidR="00AD15B5" w:rsidRPr="00233566" w:rsidRDefault="00334C65" w:rsidP="00F5491E">
      <w:pPr>
        <w:spacing w:after="240"/>
        <w:jc w:val="left"/>
        <w:rPr>
          <w:kern w:val="22"/>
        </w:rPr>
      </w:pPr>
      <w:r w:rsidRPr="00233566">
        <w:t>Пункт 5 предварительной повестки дня</w:t>
      </w:r>
      <w:r w:rsidRPr="00233566">
        <w:rPr>
          <w:rStyle w:val="FootnoteReference"/>
          <w:kern w:val="22"/>
        </w:rPr>
        <w:footnoteReference w:customMarkFollows="1" w:id="2"/>
        <w:t>*</w:t>
      </w:r>
    </w:p>
    <w:p w:rsidR="00C9161D" w:rsidRPr="00233566" w:rsidRDefault="00CF2C76" w:rsidP="00172AF6">
      <w:pPr>
        <w:spacing w:before="120" w:after="240"/>
        <w:jc w:val="center"/>
        <w:rPr>
          <w:rFonts w:ascii="Times New Roman Bold" w:hAnsi="Times New Roman Bold" w:cs="Times New Roman Bold"/>
          <w:b/>
          <w:caps/>
          <w:kern w:val="22"/>
        </w:rPr>
      </w:pPr>
      <w:r w:rsidRPr="00233566">
        <w:rPr>
          <w:rFonts w:ascii="Times New Roman Bold" w:hAnsi="Times New Roman Bold" w:cs="Times New Roman Bold"/>
          <w:b/>
          <w:caps/>
          <w:kern w:val="22"/>
          <w:szCs w:val="22"/>
        </w:rPr>
        <w:t>ДОКЛАД КОМИТЕТА ПО СОБЛЮДЕНИЮ КАРТАХЕНСКОГО ПРОТОКОЛА ПО БИОБЕЗОПАСНОСТИ О РАБОТЕ ЕГО 16-ГО И 17-ГО СОВЕЩАНИЙ</w:t>
      </w:r>
    </w:p>
    <w:p w:rsidR="00B65A39" w:rsidRPr="00233566" w:rsidRDefault="00481094" w:rsidP="00E6339C">
      <w:pPr>
        <w:pStyle w:val="Para1"/>
        <w:tabs>
          <w:tab w:val="clear" w:pos="360"/>
        </w:tabs>
        <w:rPr>
          <w:kern w:val="22"/>
        </w:rPr>
      </w:pPr>
      <w:r w:rsidRPr="00233566">
        <w:t>Комитет по соблюдению провел два совещания в межсессионный период</w:t>
      </w:r>
      <w:r w:rsidR="00D23ACB" w:rsidRPr="00233566">
        <w:t xml:space="preserve"> после</w:t>
      </w:r>
      <w:r w:rsidRPr="00233566">
        <w:t xml:space="preserve"> девят</w:t>
      </w:r>
      <w:r w:rsidR="00D23ACB" w:rsidRPr="00233566">
        <w:t>ого</w:t>
      </w:r>
      <w:r w:rsidRPr="00233566">
        <w:t xml:space="preserve"> совещани</w:t>
      </w:r>
      <w:r w:rsidR="00D23ACB" w:rsidRPr="00233566">
        <w:t>я</w:t>
      </w:r>
      <w:r w:rsidRPr="00233566">
        <w:t xml:space="preserve"> Конференции Сторон, </w:t>
      </w:r>
      <w:r w:rsidR="009B6388" w:rsidRPr="00233566">
        <w:t xml:space="preserve">выступающей </w:t>
      </w:r>
      <w:r w:rsidRPr="00233566">
        <w:t xml:space="preserve">в качестве совещания Сторон Картахенского протокола. Шестнадцатое совещание было проведено в офисе секретариата в Монреале (Канада) с 29 по 31 мая 2019 года. Семнадцатое совещание состоялось 15-17 апреля 2020 года. Совещание проводилось в онлайновом режиме из-за проблем, связанных с пандемией COVID-19. В этом контексте Комитет сослался на правило 15 правил процедуры совещаний Комитета. Он счел, что альтернативный порядок проведения его онлайнового совещания предусматривает проведение заседаний в режиме реального времени, которые позволят участникам напрямую взаимодействовать друг с другом и вносить свой вклад в </w:t>
      </w:r>
      <w:r w:rsidR="009B6388" w:rsidRPr="00233566">
        <w:t>дискуссии</w:t>
      </w:r>
      <w:r w:rsidRPr="00233566">
        <w:t xml:space="preserve"> так</w:t>
      </w:r>
      <w:r w:rsidR="0015302D" w:rsidRPr="00233566">
        <w:t xml:space="preserve">им </w:t>
      </w:r>
      <w:r w:rsidRPr="00233566">
        <w:t>же</w:t>
      </w:r>
      <w:r w:rsidR="0015302D" w:rsidRPr="00233566">
        <w:t xml:space="preserve"> образом</w:t>
      </w:r>
      <w:r w:rsidRPr="00233566">
        <w:t xml:space="preserve">, как и при очных совещаниях. В этой связи и с учетом исключительных обстоятельств Комитет согласился, что альтернативные меры являются целесообразными и позволят ему утвердить свой доклад, включая рекомендации </w:t>
      </w:r>
      <w:r w:rsidR="0015302D" w:rsidRPr="00233566">
        <w:t xml:space="preserve">для </w:t>
      </w:r>
      <w:r w:rsidRPr="00233566">
        <w:t>Конференции Сторон, выступающей в качестве совещания Сторон.</w:t>
      </w:r>
    </w:p>
    <w:p w:rsidR="00391A45" w:rsidRPr="00233566" w:rsidRDefault="00391A45" w:rsidP="00BB762C">
      <w:pPr>
        <w:pStyle w:val="Para1"/>
        <w:tabs>
          <w:tab w:val="clear" w:pos="360"/>
        </w:tabs>
        <w:rPr>
          <w:kern w:val="22"/>
        </w:rPr>
      </w:pPr>
      <w:r w:rsidRPr="00233566">
        <w:t>В настоящем документе приводится сводный доклад о</w:t>
      </w:r>
      <w:r w:rsidR="0015302D" w:rsidRPr="00233566">
        <w:t xml:space="preserve"> дискуссиях</w:t>
      </w:r>
      <w:r w:rsidRPr="00233566">
        <w:t xml:space="preserve"> и итогах этих двух совещаний.</w:t>
      </w:r>
    </w:p>
    <w:p w:rsidR="00391A45" w:rsidRPr="00233566" w:rsidRDefault="00391A45" w:rsidP="00D85053">
      <w:pPr>
        <w:pStyle w:val="Para1"/>
        <w:tabs>
          <w:tab w:val="clear" w:pos="360"/>
        </w:tabs>
        <w:rPr>
          <w:snapToGrid/>
          <w:kern w:val="22"/>
          <w:szCs w:val="22"/>
        </w:rPr>
      </w:pPr>
      <w:r w:rsidRPr="00233566">
        <w:t xml:space="preserve">На своем 16-м совещании Комитет рассмотрел итоги девятого совещания Конференции Сторон, выступающей в качестве совещания Сторон Картахенского протокола. Он приветствовал положительное рассмотрение большинства своих рекомендаций на совещании Сторон и </w:t>
      </w:r>
      <w:r w:rsidR="0081667F" w:rsidRPr="00233566">
        <w:t>провел обзор ряда</w:t>
      </w:r>
      <w:r w:rsidRPr="00233566">
        <w:t xml:space="preserve"> конкретны</w:t>
      </w:r>
      <w:r w:rsidR="0081667F" w:rsidRPr="00233566">
        <w:t>х</w:t>
      </w:r>
      <w:r w:rsidRPr="00233566">
        <w:t xml:space="preserve"> итог</w:t>
      </w:r>
      <w:r w:rsidR="0081667F" w:rsidRPr="00233566">
        <w:t>ов</w:t>
      </w:r>
      <w:r w:rsidRPr="00233566">
        <w:t xml:space="preserve">, </w:t>
      </w:r>
      <w:r w:rsidR="0081667F" w:rsidRPr="00233566">
        <w:t>касающихся</w:t>
      </w:r>
      <w:r w:rsidRPr="00233566">
        <w:t xml:space="preserve"> работ</w:t>
      </w:r>
      <w:r w:rsidR="0081667F" w:rsidRPr="00233566">
        <w:t>ы</w:t>
      </w:r>
      <w:r w:rsidRPr="00233566">
        <w:t xml:space="preserve"> Комитета:</w:t>
      </w:r>
    </w:p>
    <w:p w:rsidR="00DC78E8" w:rsidRPr="00233566" w:rsidRDefault="0081667F" w:rsidP="00DC78E8">
      <w:pPr>
        <w:pStyle w:val="Para1"/>
        <w:numPr>
          <w:ilvl w:val="1"/>
          <w:numId w:val="2"/>
        </w:numPr>
        <w:tabs>
          <w:tab w:val="clear" w:pos="1440"/>
        </w:tabs>
        <w:rPr>
          <w:b/>
          <w:snapToGrid/>
          <w:kern w:val="22"/>
          <w:szCs w:val="22"/>
        </w:rPr>
      </w:pPr>
      <w:r w:rsidRPr="00233566">
        <w:t>в</w:t>
      </w:r>
      <w:r w:rsidR="002A5A18" w:rsidRPr="00233566">
        <w:t xml:space="preserve"> отношении решения </w:t>
      </w:r>
      <w:hyperlink r:id="rId15" w:history="1">
        <w:r w:rsidRPr="00233566">
          <w:rPr>
            <w:rStyle w:val="Hyperlink"/>
            <w:sz w:val="22"/>
          </w:rPr>
          <w:t>CP-9/1</w:t>
        </w:r>
      </w:hyperlink>
      <w:r w:rsidR="002A5A18" w:rsidRPr="00233566">
        <w:t xml:space="preserve"> о соблюдении Комитет напомнил о своей рекомендации Конференции Сторон, выступающей в качестве совещания Сторон, </w:t>
      </w:r>
      <w:r w:rsidR="00410590" w:rsidRPr="00233566">
        <w:t>вынести предупреждение</w:t>
      </w:r>
      <w:r w:rsidR="002A5A18" w:rsidRPr="00233566">
        <w:t xml:space="preserve"> некоторы</w:t>
      </w:r>
      <w:r w:rsidR="00410590" w:rsidRPr="00233566">
        <w:t>м</w:t>
      </w:r>
      <w:r w:rsidR="002A5A18" w:rsidRPr="00233566">
        <w:t xml:space="preserve"> Сторон</w:t>
      </w:r>
      <w:r w:rsidR="00410590" w:rsidRPr="00233566">
        <w:t>ам</w:t>
      </w:r>
      <w:r w:rsidR="002A5A18" w:rsidRPr="00233566">
        <w:t xml:space="preserve"> за несоблюдение обязательств по представлению национальных докладов. Комитет напомнил о своих длительных и тщательных обсуждениях и постепенном характере процесса, который предшествовал его рекомендации, и подчеркнул важность доведения своих активных усилий до сведения совещания Сторон </w:t>
      </w:r>
      <w:r w:rsidR="002957EA" w:rsidRPr="00233566">
        <w:t>П</w:t>
      </w:r>
      <w:r w:rsidR="002A5A18" w:rsidRPr="00233566">
        <w:t>ротокола</w:t>
      </w:r>
      <w:r w:rsidR="002957EA" w:rsidRPr="00233566">
        <w:t xml:space="preserve"> с тем</w:t>
      </w:r>
      <w:r w:rsidR="002A5A18" w:rsidRPr="00233566">
        <w:t xml:space="preserve">, чтобы обеспечить необходимый контекст при вынесении рекомендации о предупреждении. Он с </w:t>
      </w:r>
      <w:r w:rsidR="002A5A18" w:rsidRPr="00233566">
        <w:lastRenderedPageBreak/>
        <w:t xml:space="preserve">сожалением отметил, что Конференция Сторон, выступающая в качестве совещания Сторон </w:t>
      </w:r>
      <w:r w:rsidR="002957EA" w:rsidRPr="00233566">
        <w:t>П</w:t>
      </w:r>
      <w:r w:rsidR="002A5A18" w:rsidRPr="00233566">
        <w:t>ротокола, не приняла рекомендацию Комитета о вынесении предупреждения Черногории. Комитет придерживается мнения, что эта рекомендация, тем не менее, была весьма полезной в плане содействия представлению третьих национальных докладов Грецией, Маршалловыми Островами и Туркменистаном;</w:t>
      </w:r>
    </w:p>
    <w:p w:rsidR="00DC78E8" w:rsidRPr="00233566" w:rsidRDefault="002957EA" w:rsidP="00DC78E8">
      <w:pPr>
        <w:pStyle w:val="Para1"/>
        <w:numPr>
          <w:ilvl w:val="1"/>
          <w:numId w:val="2"/>
        </w:numPr>
        <w:tabs>
          <w:tab w:val="clear" w:pos="1440"/>
        </w:tabs>
        <w:rPr>
          <w:b/>
          <w:snapToGrid/>
          <w:kern w:val="22"/>
          <w:szCs w:val="22"/>
        </w:rPr>
      </w:pPr>
      <w:r w:rsidRPr="00233566">
        <w:t>ч</w:t>
      </w:r>
      <w:r w:rsidR="00DC78E8" w:rsidRPr="00233566">
        <w:t xml:space="preserve">то касается решения </w:t>
      </w:r>
      <w:hyperlink r:id="rId16" w:history="1">
        <w:r w:rsidR="00DC78E8" w:rsidRPr="00233566">
          <w:rPr>
            <w:rStyle w:val="Hyperlink"/>
            <w:sz w:val="22"/>
          </w:rPr>
          <w:t>CP-9/2</w:t>
        </w:r>
      </w:hyperlink>
      <w:r w:rsidR="00DC78E8" w:rsidRPr="00233566">
        <w:t xml:space="preserve"> о работе и деятельности Механизм</w:t>
      </w:r>
      <w:r w:rsidRPr="00233566">
        <w:t>а</w:t>
      </w:r>
      <w:r w:rsidR="00DC78E8" w:rsidRPr="00233566">
        <w:t xml:space="preserve"> посредничества по биобезопасности (МПБ), Комитет подтвердил центральную роль МПБ и его основополагающее значение для работы Комитета по содействию соблюдению </w:t>
      </w:r>
      <w:r w:rsidR="009E45D2" w:rsidRPr="00233566">
        <w:t>П</w:t>
      </w:r>
      <w:r w:rsidR="00DC78E8" w:rsidRPr="00233566">
        <w:t>ротокола.</w:t>
      </w:r>
    </w:p>
    <w:p w:rsidR="00DE6E14" w:rsidRPr="00233566" w:rsidRDefault="00391A45" w:rsidP="003818EB">
      <w:pPr>
        <w:pStyle w:val="Para1"/>
        <w:tabs>
          <w:tab w:val="clear" w:pos="360"/>
        </w:tabs>
        <w:rPr>
          <w:snapToGrid/>
          <w:kern w:val="22"/>
        </w:rPr>
      </w:pPr>
      <w:r w:rsidRPr="00233566">
        <w:t>Комитет рассмотрел вопрос о соблюдении на основе информации</w:t>
      </w:r>
      <w:r w:rsidR="009E45D2" w:rsidRPr="00233566">
        <w:t>, предоставленной Механизмом</w:t>
      </w:r>
      <w:r w:rsidRPr="00233566">
        <w:t xml:space="preserve"> посредничества по биобезопасности. Он </w:t>
      </w:r>
      <w:r w:rsidR="009E45D2" w:rsidRPr="00233566">
        <w:t>проанализировал</w:t>
      </w:r>
      <w:r w:rsidRPr="00233566">
        <w:t xml:space="preserve"> информацию о выполнении Сторонами обязательства назначить национальные координационные центры, компетентные национальные органы и контактны</w:t>
      </w:r>
      <w:r w:rsidR="00486C23" w:rsidRPr="00233566">
        <w:t>х</w:t>
      </w:r>
      <w:r w:rsidRPr="00233566">
        <w:t xml:space="preserve"> </w:t>
      </w:r>
      <w:r w:rsidR="00486C23" w:rsidRPr="00233566">
        <w:t>лиц</w:t>
      </w:r>
      <w:r w:rsidRPr="00233566">
        <w:t xml:space="preserve"> для получения уведомлений в соответствии со статьей 17 </w:t>
      </w:r>
      <w:r w:rsidR="00486C23" w:rsidRPr="00233566">
        <w:t>П</w:t>
      </w:r>
      <w:r w:rsidRPr="00233566">
        <w:t>ротокола. Комитет принял решение о последующих действиях в отношении Сторон, которые не соблюдают одно или несколько из этих обязательств.</w:t>
      </w:r>
    </w:p>
    <w:p w:rsidR="00C167BD" w:rsidRPr="00233566" w:rsidRDefault="00391A45" w:rsidP="00C167BD">
      <w:pPr>
        <w:pStyle w:val="Para1"/>
        <w:tabs>
          <w:tab w:val="clear" w:pos="360"/>
        </w:tabs>
        <w:spacing w:before="0" w:after="240"/>
        <w:rPr>
          <w:snapToGrid/>
          <w:kern w:val="22"/>
        </w:rPr>
      </w:pPr>
      <w:r w:rsidRPr="00233566">
        <w:t>В контексте рассмотрения общих вопросов соблюдения Комитет приветствовал высокий уровень представления третьих национальных докладов и отметил положительные результаты постоянных усилий Комитета по оказанию поддержки Сторонам в подготовке и представлении их национальных докладов.</w:t>
      </w:r>
    </w:p>
    <w:p w:rsidR="00391A45" w:rsidRPr="00233566" w:rsidRDefault="00C167BD" w:rsidP="00C167BD">
      <w:pPr>
        <w:pStyle w:val="Para1"/>
        <w:tabs>
          <w:tab w:val="clear" w:pos="360"/>
        </w:tabs>
        <w:spacing w:before="0" w:after="240"/>
        <w:rPr>
          <w:snapToGrid/>
          <w:kern w:val="22"/>
        </w:rPr>
      </w:pPr>
      <w:r w:rsidRPr="00233566">
        <w:t xml:space="preserve">Комитет рассмотрел </w:t>
      </w:r>
      <w:r w:rsidR="00486C23" w:rsidRPr="00233566">
        <w:t>итоги</w:t>
      </w:r>
      <w:r w:rsidRPr="00233566">
        <w:t xml:space="preserve"> деятельности, проведенной для оказания поддержки Сторонам в устранении несоответствий между информацией, представленной в третьих национальных докладах и в МПБ. Комитет отметил, что в целом Стороны, как представляется, положительно реагируют на сообщения секретариата, и большинство из них прилагают все усилия для устранения или разъяснения любых несоответствий в своих национальных докладах, что способствует обеспечению полноты и точности сведений </w:t>
      </w:r>
      <w:r w:rsidR="00D23ACB" w:rsidRPr="00233566">
        <w:t xml:space="preserve">в </w:t>
      </w:r>
      <w:r w:rsidRPr="00233566">
        <w:t>МПБ. Комитет просил секретариат продолжать по мере необходимости работу с соответствующими Сторонами.</w:t>
      </w:r>
    </w:p>
    <w:p w:rsidR="00D71BF9" w:rsidRPr="00233566" w:rsidRDefault="00D71BF9" w:rsidP="00C167BD">
      <w:pPr>
        <w:pStyle w:val="Para1"/>
        <w:tabs>
          <w:tab w:val="clear" w:pos="360"/>
        </w:tabs>
        <w:spacing w:before="0" w:after="240"/>
        <w:rPr>
          <w:snapToGrid/>
          <w:kern w:val="22"/>
        </w:rPr>
      </w:pPr>
      <w:r w:rsidRPr="00233566">
        <w:t xml:space="preserve">В ходе </w:t>
      </w:r>
      <w:r w:rsidR="00486C23" w:rsidRPr="00233566">
        <w:t>обзора</w:t>
      </w:r>
      <w:r w:rsidRPr="00233566">
        <w:t xml:space="preserve"> отдельных случаев несоблюдения Комитет рассмотрел </w:t>
      </w:r>
      <w:r w:rsidR="00486C23" w:rsidRPr="00233566">
        <w:t xml:space="preserve">вопрос о </w:t>
      </w:r>
      <w:r w:rsidRPr="00233566">
        <w:t>продолжающе</w:t>
      </w:r>
      <w:r w:rsidR="00486C23" w:rsidRPr="00233566">
        <w:t>м</w:t>
      </w:r>
      <w:r w:rsidRPr="00233566">
        <w:t>ся несоблюдени</w:t>
      </w:r>
      <w:r w:rsidR="00486C23" w:rsidRPr="00233566">
        <w:t>и</w:t>
      </w:r>
      <w:r w:rsidRPr="00233566">
        <w:t xml:space="preserve"> Черногорией своих обязательств по представлению отчетности и принял решение о последующих действиях, направленных на оказание поддержки Стороне в завершении и представлении ее доклада без дальнейших задержек.</w:t>
      </w:r>
    </w:p>
    <w:p w:rsidR="00D71BF9" w:rsidRPr="00233566" w:rsidRDefault="00633D39" w:rsidP="00C167BD">
      <w:pPr>
        <w:pStyle w:val="Para1"/>
        <w:tabs>
          <w:tab w:val="clear" w:pos="360"/>
        </w:tabs>
        <w:spacing w:before="0" w:after="240"/>
        <w:rPr>
          <w:snapToGrid/>
          <w:kern w:val="22"/>
        </w:rPr>
      </w:pPr>
      <w:r w:rsidRPr="00233566">
        <w:t xml:space="preserve">Кроме того, Комитет рассмотрел </w:t>
      </w:r>
      <w:r w:rsidR="00486C23" w:rsidRPr="00233566">
        <w:t>итоги</w:t>
      </w:r>
      <w:r w:rsidRPr="00233566">
        <w:t xml:space="preserve"> последующих </w:t>
      </w:r>
      <w:r w:rsidR="003A5D5A" w:rsidRPr="00233566">
        <w:t>действий, предпринятых</w:t>
      </w:r>
      <w:r w:rsidRPr="00233566">
        <w:t xml:space="preserve"> секретариат</w:t>
      </w:r>
      <w:r w:rsidR="003A5D5A" w:rsidRPr="00233566">
        <w:t>ом</w:t>
      </w:r>
      <w:r w:rsidRPr="00233566">
        <w:t xml:space="preserve"> и Председател</w:t>
      </w:r>
      <w:r w:rsidR="003A5D5A" w:rsidRPr="00233566">
        <w:t>ем</w:t>
      </w:r>
      <w:r w:rsidRPr="00233566">
        <w:t xml:space="preserve"> Комитета </w:t>
      </w:r>
      <w:r w:rsidR="003A5D5A" w:rsidRPr="00233566">
        <w:t>для поддержки</w:t>
      </w:r>
      <w:r w:rsidRPr="00233566">
        <w:t xml:space="preserve"> соблюдения некоторыми Сторонами, которые сообщили, что не приняли никаких мер или приняли только проект или временные меры для выполнения своих обязательств по </w:t>
      </w:r>
      <w:r w:rsidR="003A5D5A" w:rsidRPr="00233566">
        <w:t>П</w:t>
      </w:r>
      <w:r w:rsidRPr="00233566">
        <w:t xml:space="preserve">ротоколу в соответствии с пунктом 1 статьи 2. Комитет напомнил, что эти Стороны были </w:t>
      </w:r>
      <w:r w:rsidR="003A5D5A" w:rsidRPr="00233566">
        <w:t>определены</w:t>
      </w:r>
      <w:r w:rsidRPr="00233566">
        <w:t xml:space="preserve"> Комитетом на его 15-м совещании и им было предложено разработать план действий по соблюдению. В этой связи Комитет рассмотрел планы действий по соблюдению, полученные от четырех Сторон. Он принял решение о последующих действиях в отношении этих четырех Сторон, а также в отношении других Сторон, которые не представили план действий по соблюдению, как это было запрошено.</w:t>
      </w:r>
    </w:p>
    <w:p w:rsidR="00D71BF9" w:rsidRPr="00233566" w:rsidRDefault="00D7009E" w:rsidP="00C167BD">
      <w:pPr>
        <w:pStyle w:val="Para1"/>
        <w:tabs>
          <w:tab w:val="clear" w:pos="360"/>
        </w:tabs>
        <w:spacing w:before="0" w:after="240"/>
        <w:rPr>
          <w:snapToGrid/>
          <w:kern w:val="22"/>
        </w:rPr>
      </w:pPr>
      <w:r w:rsidRPr="00233566">
        <w:t xml:space="preserve">Наконец, Комитет также рассмотрел процесс </w:t>
      </w:r>
      <w:r w:rsidR="00090C4C" w:rsidRPr="00233566">
        <w:t xml:space="preserve">проведения </w:t>
      </w:r>
      <w:r w:rsidRPr="00233566">
        <w:t xml:space="preserve">четвертой оценки и обзора </w:t>
      </w:r>
      <w:r w:rsidR="003A5D5A" w:rsidRPr="00233566">
        <w:t>Протокол</w:t>
      </w:r>
      <w:r w:rsidRPr="00233566">
        <w:t xml:space="preserve">а и окончательной оценки </w:t>
      </w:r>
      <w:hyperlink r:id="rId17" w:history="1">
        <w:r w:rsidRPr="00233566">
          <w:rPr>
            <w:rStyle w:val="Hyperlink"/>
            <w:sz w:val="22"/>
          </w:rPr>
          <w:t>Стратегического плана для Картахенского протокола по биобезопасности</w:t>
        </w:r>
      </w:hyperlink>
      <w:r w:rsidRPr="00233566">
        <w:t xml:space="preserve"> и </w:t>
      </w:r>
      <w:r w:rsidR="00090C4C" w:rsidRPr="00233566">
        <w:t>решил</w:t>
      </w:r>
      <w:r w:rsidR="005E142C" w:rsidRPr="00233566">
        <w:t xml:space="preserve"> </w:t>
      </w:r>
      <w:r w:rsidR="00D23ACB" w:rsidRPr="00233566">
        <w:t>сконцентрировать свои усилия</w:t>
      </w:r>
      <w:r w:rsidR="00090C4C" w:rsidRPr="00233566">
        <w:t xml:space="preserve"> </w:t>
      </w:r>
      <w:r w:rsidRPr="00233566">
        <w:t xml:space="preserve">на </w:t>
      </w:r>
      <w:r w:rsidR="00090C4C" w:rsidRPr="00233566">
        <w:t xml:space="preserve">реализации </w:t>
      </w:r>
      <w:r w:rsidRPr="00233566">
        <w:t xml:space="preserve">оперативной цели 3.1 Стратегического плана и </w:t>
      </w:r>
      <w:r w:rsidR="00D23ACB" w:rsidRPr="00233566">
        <w:t xml:space="preserve">сосредоточиться </w:t>
      </w:r>
      <w:r w:rsidRPr="00233566">
        <w:t>на опыте, который Комитет приобрел при выполнении своей вспомогательной роли по оказанию помощи Сторонам в соблюдении их обязательств.</w:t>
      </w:r>
    </w:p>
    <w:p w:rsidR="008A5130" w:rsidRPr="00233566" w:rsidRDefault="00391A45"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233566">
        <w:rPr>
          <w:snapToGrid/>
          <w:szCs w:val="22"/>
        </w:rPr>
        <w:t xml:space="preserve">На своем 17-м совещании Комитет </w:t>
      </w:r>
      <w:r w:rsidR="00090C4C" w:rsidRPr="00233566">
        <w:rPr>
          <w:snapToGrid/>
          <w:szCs w:val="22"/>
        </w:rPr>
        <w:t xml:space="preserve">провел обзор </w:t>
      </w:r>
      <w:r w:rsidRPr="00233566">
        <w:rPr>
          <w:snapToGrid/>
          <w:szCs w:val="22"/>
        </w:rPr>
        <w:t>соблюдени</w:t>
      </w:r>
      <w:r w:rsidR="00090C4C" w:rsidRPr="00233566">
        <w:rPr>
          <w:snapToGrid/>
          <w:szCs w:val="22"/>
        </w:rPr>
        <w:t>я</w:t>
      </w:r>
      <w:r w:rsidRPr="00233566">
        <w:rPr>
          <w:snapToGrid/>
          <w:szCs w:val="22"/>
        </w:rPr>
        <w:t xml:space="preserve"> Сторонами сво</w:t>
      </w:r>
      <w:r w:rsidR="00090C4C" w:rsidRPr="00233566">
        <w:rPr>
          <w:snapToGrid/>
          <w:szCs w:val="22"/>
        </w:rPr>
        <w:t>их</w:t>
      </w:r>
      <w:r w:rsidRPr="00233566">
        <w:rPr>
          <w:snapToGrid/>
          <w:szCs w:val="22"/>
        </w:rPr>
        <w:t xml:space="preserve"> обязательств </w:t>
      </w:r>
      <w:r w:rsidR="00D23ACB" w:rsidRPr="00233566">
        <w:rPr>
          <w:snapToGrid/>
          <w:szCs w:val="22"/>
        </w:rPr>
        <w:t xml:space="preserve">по </w:t>
      </w:r>
      <w:r w:rsidRPr="00233566">
        <w:rPr>
          <w:snapToGrid/>
          <w:szCs w:val="22"/>
        </w:rPr>
        <w:t>представл</w:t>
      </w:r>
      <w:r w:rsidR="00D23ACB" w:rsidRPr="00233566">
        <w:rPr>
          <w:snapToGrid/>
          <w:szCs w:val="22"/>
        </w:rPr>
        <w:t>ению</w:t>
      </w:r>
      <w:r w:rsidRPr="00233566">
        <w:rPr>
          <w:snapToGrid/>
          <w:szCs w:val="22"/>
        </w:rPr>
        <w:t xml:space="preserve"> национальны</w:t>
      </w:r>
      <w:r w:rsidR="00D23ACB" w:rsidRPr="00233566">
        <w:rPr>
          <w:snapToGrid/>
          <w:szCs w:val="22"/>
        </w:rPr>
        <w:t>х</w:t>
      </w:r>
      <w:r w:rsidRPr="00233566">
        <w:rPr>
          <w:snapToGrid/>
          <w:szCs w:val="22"/>
        </w:rPr>
        <w:t xml:space="preserve"> доклад</w:t>
      </w:r>
      <w:r w:rsidR="00D23ACB" w:rsidRPr="00233566">
        <w:rPr>
          <w:snapToGrid/>
          <w:szCs w:val="22"/>
        </w:rPr>
        <w:t>ов</w:t>
      </w:r>
      <w:r w:rsidRPr="00233566">
        <w:rPr>
          <w:snapToGrid/>
          <w:szCs w:val="22"/>
        </w:rPr>
        <w:t xml:space="preserve">. Комитет отметил, что </w:t>
      </w:r>
      <w:r w:rsidR="00090C4C" w:rsidRPr="00233566">
        <w:rPr>
          <w:snapToGrid/>
          <w:szCs w:val="22"/>
        </w:rPr>
        <w:t xml:space="preserve">Стороны представили </w:t>
      </w:r>
      <w:r w:rsidRPr="00233566">
        <w:rPr>
          <w:snapToGrid/>
          <w:szCs w:val="22"/>
        </w:rPr>
        <w:t>в МПБ</w:t>
      </w:r>
      <w:r w:rsidR="00090C4C" w:rsidRPr="00233566">
        <w:rPr>
          <w:snapToGrid/>
          <w:szCs w:val="22"/>
        </w:rPr>
        <w:t xml:space="preserve"> в полном объеме</w:t>
      </w:r>
      <w:r w:rsidRPr="00233566">
        <w:rPr>
          <w:snapToGrid/>
          <w:szCs w:val="22"/>
        </w:rPr>
        <w:t xml:space="preserve"> 101 четвертый национальный доклад и семь Сторон </w:t>
      </w:r>
      <w:r w:rsidR="00090C4C" w:rsidRPr="00233566">
        <w:rPr>
          <w:snapToGrid/>
          <w:szCs w:val="22"/>
        </w:rPr>
        <w:t>направили</w:t>
      </w:r>
      <w:r w:rsidRPr="00233566">
        <w:rPr>
          <w:snapToGrid/>
          <w:szCs w:val="22"/>
        </w:rPr>
        <w:t xml:space="preserve"> свои доклады в </w:t>
      </w:r>
      <w:r w:rsidR="00090C4C" w:rsidRPr="00233566">
        <w:rPr>
          <w:snapToGrid/>
          <w:szCs w:val="22"/>
        </w:rPr>
        <w:t xml:space="preserve">оффлайновом </w:t>
      </w:r>
      <w:r w:rsidRPr="00233566">
        <w:rPr>
          <w:snapToGrid/>
          <w:szCs w:val="22"/>
        </w:rPr>
        <w:t xml:space="preserve">режиме. </w:t>
      </w:r>
      <w:r w:rsidRPr="00233566">
        <w:t xml:space="preserve">Комитет выразил свое разочарование в связи с </w:t>
      </w:r>
      <w:r w:rsidRPr="00233566">
        <w:lastRenderedPageBreak/>
        <w:t>небольшим числом представленных четвертых национальных докладов. Комитет с обеспокоенностью отметил, что из Сторон, не представивших четвертые национальные доклады, 11 Сторон также не представили свои третьи национальные доклады. Комитет принял решение о последующих действиях.</w:t>
      </w:r>
    </w:p>
    <w:p w:rsidR="00A268AF" w:rsidRPr="00233566" w:rsidRDefault="00090C4C"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233566">
        <w:t>Комитет</w:t>
      </w:r>
      <w:r w:rsidR="00567A3A" w:rsidRPr="00233566">
        <w:t xml:space="preserve"> рассмотрел ряд возможных факторов, которые могли обусловить небольшое число представленных четвертых национальных докладов, в</w:t>
      </w:r>
      <w:r w:rsidR="00D23ACB" w:rsidRPr="00233566">
        <w:t>ключая</w:t>
      </w:r>
      <w:r w:rsidR="00567A3A" w:rsidRPr="00233566">
        <w:t xml:space="preserve"> задержку в получении доступа к финансовой по</w:t>
      </w:r>
      <w:r w:rsidR="00A91B84" w:rsidRPr="00233566">
        <w:t>мощи</w:t>
      </w:r>
      <w:r w:rsidR="00567A3A" w:rsidRPr="00233566">
        <w:t>, не</w:t>
      </w:r>
      <w:r w:rsidR="00A91B84" w:rsidRPr="00233566">
        <w:t>хватк</w:t>
      </w:r>
      <w:r w:rsidR="00D23ACB" w:rsidRPr="00233566">
        <w:t>у</w:t>
      </w:r>
      <w:r w:rsidR="00567A3A" w:rsidRPr="00233566">
        <w:t xml:space="preserve"> выделенных для этих целей людских ресурсов на национальном уровне, а также недостаточное внимание, уделяемое вопросам биобезопасности, и недостаточную осведомленность о них. Комитет отметил, что </w:t>
      </w:r>
      <w:r w:rsidR="00A91B84" w:rsidRPr="00233566">
        <w:t>оперативное</w:t>
      </w:r>
      <w:r w:rsidR="00567A3A" w:rsidRPr="00233566">
        <w:t xml:space="preserve"> получение финансовой поддержки от Глобального экологического фонда будет </w:t>
      </w:r>
      <w:r w:rsidR="00A91B84" w:rsidRPr="00233566">
        <w:t xml:space="preserve">иметь еще </w:t>
      </w:r>
      <w:r w:rsidR="00567A3A" w:rsidRPr="00233566">
        <w:t>более важн</w:t>
      </w:r>
      <w:r w:rsidR="00A91B84" w:rsidRPr="00233566">
        <w:t>ое значение</w:t>
      </w:r>
      <w:r w:rsidR="00567A3A" w:rsidRPr="00233566">
        <w:t>, если синхронизированный цикл отчетности, запланированный на 2023 год, приведет к более раннему сроку представления пятых национальных докладов. Был</w:t>
      </w:r>
      <w:r w:rsidR="00A91B84" w:rsidRPr="00233566">
        <w:t>а</w:t>
      </w:r>
      <w:r w:rsidR="00567A3A" w:rsidRPr="00233566">
        <w:t xml:space="preserve"> отмечен</w:t>
      </w:r>
      <w:r w:rsidR="00A91B84" w:rsidRPr="00233566">
        <w:t>а важность</w:t>
      </w:r>
      <w:r w:rsidR="00567A3A" w:rsidRPr="00233566">
        <w:t xml:space="preserve"> </w:t>
      </w:r>
      <w:r w:rsidR="00A91B84" w:rsidRPr="00233566">
        <w:t>целевого финансирования для отчетности по Протоколу</w:t>
      </w:r>
      <w:r w:rsidR="00567A3A" w:rsidRPr="00233566">
        <w:t>.</w:t>
      </w:r>
    </w:p>
    <w:p w:rsidR="00E9605F" w:rsidRPr="00233566" w:rsidRDefault="007D692A" w:rsidP="00480362">
      <w:pPr>
        <w:pStyle w:val="Para1"/>
        <w:tabs>
          <w:tab w:val="clear" w:pos="360"/>
        </w:tabs>
        <w:rPr>
          <w:kern w:val="22"/>
          <w:szCs w:val="22"/>
        </w:rPr>
      </w:pPr>
      <w:r w:rsidRPr="00233566">
        <w:t xml:space="preserve">Комитет рассмотрел свой вклад в четвертую оценку и обзор </w:t>
      </w:r>
      <w:r w:rsidR="00A91B84" w:rsidRPr="00233566">
        <w:t>П</w:t>
      </w:r>
      <w:r w:rsidRPr="00233566">
        <w:t>ротокола и в окончательную оценку Стратегического плана. Он поручил Исполнительному секретарю представить свои выводы Вспомогательному органу по осуществлению для рассмотрения на его третьем совещании. Комитет отметил значительное расхождение в достигнутых результатах по индикаторам, касающи</w:t>
      </w:r>
      <w:r w:rsidR="00A91B84" w:rsidRPr="00233566">
        <w:t>м</w:t>
      </w:r>
      <w:r w:rsidRPr="00233566">
        <w:t xml:space="preserve">ся выполнения Сторонами основных обязательств по </w:t>
      </w:r>
      <w:r w:rsidR="00A91B84" w:rsidRPr="00233566">
        <w:t>П</w:t>
      </w:r>
      <w:r w:rsidRPr="00233566">
        <w:t>ротоколу. Комитет приветствовал достигнутый прогресс и признал, что его работа способствовала достижени</w:t>
      </w:r>
      <w:r w:rsidR="00D23ACB" w:rsidRPr="00233566">
        <w:t>ю</w:t>
      </w:r>
      <w:r w:rsidRPr="00233566">
        <w:t xml:space="preserve"> оперативной цели 3.1. Тем не менее, Комитет с обеспокоенностью отметил, что значительное число Сторон не выполняют в полной мере свои основные обязательства по </w:t>
      </w:r>
      <w:r w:rsidR="00A91B84" w:rsidRPr="00233566">
        <w:t>П</w:t>
      </w:r>
      <w:r w:rsidRPr="00233566">
        <w:t>ротоколу. Комитет признал, что существует ряд проблем, с которыми сталкиваются Стороны при выполнении своих обязательств, и необходимость в дальнейшем анализе этих проблем.</w:t>
      </w:r>
    </w:p>
    <w:p w:rsidR="00480362" w:rsidRPr="00233566" w:rsidRDefault="00E9605F" w:rsidP="00480362">
      <w:pPr>
        <w:pStyle w:val="Para1"/>
        <w:tabs>
          <w:tab w:val="clear" w:pos="360"/>
        </w:tabs>
        <w:rPr>
          <w:kern w:val="22"/>
          <w:szCs w:val="22"/>
        </w:rPr>
      </w:pPr>
      <w:r w:rsidRPr="00233566">
        <w:t xml:space="preserve">Комитет также придерживается мнения, что упоминание Плана осуществления Картахенского протокола и Плана действий по созданию потенциала следует включить в рамочную программу в области биоразнообразия на период после 2020 года, признавая тем самым </w:t>
      </w:r>
      <w:r w:rsidR="00A91B84" w:rsidRPr="00233566">
        <w:t>важное значение П</w:t>
      </w:r>
      <w:r w:rsidRPr="00233566">
        <w:t>ротокола для достижения трех целей Конвенции о биологическом разнообразии.</w:t>
      </w:r>
    </w:p>
    <w:p w:rsidR="00011218" w:rsidRPr="00233566" w:rsidRDefault="00DB23FA" w:rsidP="00011218">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233566">
        <w:t>Комитет также рассмотрел общие вопросы соблюдения. Комитет рассмотрел обновленную информацию о межсессионных последующих мерах по соблюдению обязательства по назначению национальных координаторов, компетентных национальных органов и контактных лиц для получения уведомлений в соответствии со статьей 17.</w:t>
      </w:r>
    </w:p>
    <w:p w:rsidR="00871E71" w:rsidRPr="00233566" w:rsidRDefault="003040BF" w:rsidP="00871E71">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233566">
        <w:t xml:space="preserve">При рассмотрении отдельных случаев несоблюдения Комитет приветствовал представление Черногорией своего четвертого национального доклада. Что касается отдельных случаев несоблюдения обязательства принятия необходимых правовых, административных и других мер для осуществления </w:t>
      </w:r>
      <w:r w:rsidR="00A91B84" w:rsidRPr="00233566">
        <w:t>П</w:t>
      </w:r>
      <w:r w:rsidRPr="00233566">
        <w:t>ротокола в соответствии с пунктом 1 статьи 2 Протокола, Комитет рассмотрел обновленную информацию о прогрессе в отношении разработки планов действий по соблюдению. Комитет согласовал ряд последующих действий, а также решил уделить приоритетное внимание рассмотрению этого вопроса на своем следующем совещании.</w:t>
      </w:r>
    </w:p>
    <w:p w:rsidR="00391A45" w:rsidRPr="00233566" w:rsidRDefault="00391A45" w:rsidP="00391A45">
      <w:pPr>
        <w:pStyle w:val="Para1"/>
        <w:tabs>
          <w:tab w:val="clear" w:pos="360"/>
        </w:tabs>
        <w:rPr>
          <w:kern w:val="22"/>
          <w:szCs w:val="22"/>
        </w:rPr>
      </w:pPr>
      <w:r w:rsidRPr="00233566">
        <w:t>Полный текст докладов о работе 16-го (</w:t>
      </w:r>
      <w:hyperlink r:id="rId18" w:history="1">
        <w:r w:rsidRPr="00233566">
          <w:rPr>
            <w:rStyle w:val="Hyperlink"/>
            <w:sz w:val="22"/>
          </w:rPr>
          <w:t>CBD/CP/CC/16/7</w:t>
        </w:r>
      </w:hyperlink>
      <w:r w:rsidRPr="00233566">
        <w:t>) и 17-го (</w:t>
      </w:r>
      <w:hyperlink r:id="rId19" w:history="1">
        <w:r w:rsidRPr="00233566">
          <w:rPr>
            <w:rStyle w:val="Hyperlink"/>
            <w:sz w:val="22"/>
          </w:rPr>
          <w:t>CBD/CP/CC/17/6</w:t>
        </w:r>
      </w:hyperlink>
      <w:r w:rsidRPr="00233566">
        <w:t xml:space="preserve">) совещаний Комитета, а также рабочие документы, подготовленные для каждого совещания, размещены на </w:t>
      </w:r>
      <w:hyperlink r:id="rId20" w:history="1">
        <w:r w:rsidRPr="00233566">
          <w:rPr>
            <w:rStyle w:val="Hyperlink"/>
            <w:sz w:val="22"/>
          </w:rPr>
          <w:t>веб-сайте</w:t>
        </w:r>
      </w:hyperlink>
      <w:r w:rsidRPr="00233566">
        <w:t xml:space="preserve"> секретариата</w:t>
      </w:r>
      <w:r w:rsidR="00A91B84" w:rsidRPr="00233566">
        <w:t>.</w:t>
      </w:r>
    </w:p>
    <w:p w:rsidR="00391A45" w:rsidRPr="00233566" w:rsidRDefault="00391A45" w:rsidP="00391A45">
      <w:pPr>
        <w:pStyle w:val="Para1"/>
        <w:numPr>
          <w:ilvl w:val="0"/>
          <w:numId w:val="0"/>
        </w:numPr>
        <w:rPr>
          <w:kern w:val="22"/>
          <w:szCs w:val="22"/>
        </w:rPr>
      </w:pPr>
    </w:p>
    <w:p w:rsidR="00391A45" w:rsidRPr="00233566" w:rsidRDefault="00D85053" w:rsidP="00D85053">
      <w:pPr>
        <w:pStyle w:val="Para1"/>
        <w:numPr>
          <w:ilvl w:val="0"/>
          <w:numId w:val="0"/>
        </w:numPr>
        <w:ind w:firstLine="360"/>
        <w:outlineLvl w:val="0"/>
        <w:rPr>
          <w:kern w:val="22"/>
          <w:szCs w:val="22"/>
        </w:rPr>
        <w:sectPr w:rsidR="00391A45" w:rsidRPr="00233566" w:rsidSect="00BB7A9E">
          <w:headerReference w:type="even" r:id="rId21"/>
          <w:headerReference w:type="default" r:id="rId22"/>
          <w:footerReference w:type="even" r:id="rId23"/>
          <w:footerReference w:type="default" r:id="rId24"/>
          <w:footerReference w:type="first" r:id="rId25"/>
          <w:pgSz w:w="12240" w:h="15840" w:code="1"/>
          <w:pgMar w:top="630" w:right="1440" w:bottom="1140" w:left="1440" w:header="459" w:footer="720" w:gutter="0"/>
          <w:cols w:space="720"/>
          <w:titlePg/>
          <w:docGrid w:linePitch="299"/>
        </w:sectPr>
      </w:pPr>
      <w:r w:rsidRPr="00233566">
        <w:t xml:space="preserve"> </w:t>
      </w:r>
      <w:r w:rsidRPr="00233566">
        <w:br w:type="page"/>
      </w:r>
    </w:p>
    <w:p w:rsidR="00391A45" w:rsidRPr="00233566" w:rsidRDefault="00391A45" w:rsidP="00391A45">
      <w:pPr>
        <w:pStyle w:val="Para1"/>
        <w:numPr>
          <w:ilvl w:val="0"/>
          <w:numId w:val="0"/>
        </w:numPr>
        <w:jc w:val="center"/>
        <w:outlineLvl w:val="0"/>
        <w:rPr>
          <w:i/>
          <w:kern w:val="22"/>
          <w:szCs w:val="22"/>
        </w:rPr>
      </w:pPr>
      <w:bookmarkStart w:id="1" w:name="_GoBack"/>
      <w:bookmarkEnd w:id="1"/>
      <w:r w:rsidRPr="00233566">
        <w:rPr>
          <w:i/>
          <w:szCs w:val="22"/>
        </w:rPr>
        <w:lastRenderedPageBreak/>
        <w:t>Приложение</w:t>
      </w:r>
    </w:p>
    <w:p w:rsidR="00391A45" w:rsidRPr="00233566" w:rsidRDefault="00345EF4" w:rsidP="00F5491E">
      <w:pPr>
        <w:pStyle w:val="Para1"/>
        <w:numPr>
          <w:ilvl w:val="0"/>
          <w:numId w:val="0"/>
        </w:numPr>
        <w:jc w:val="center"/>
        <w:outlineLvl w:val="0"/>
        <w:rPr>
          <w:b/>
          <w:caps/>
          <w:kern w:val="22"/>
          <w:szCs w:val="22"/>
        </w:rPr>
      </w:pPr>
      <w:r w:rsidRPr="00233566">
        <w:rPr>
          <w:b/>
          <w:caps/>
          <w:snapToGrid/>
          <w:szCs w:val="22"/>
        </w:rPr>
        <w:t>Рекомендации Комитета по соблюдению 10-му совещанию Конференции Сторон, выступающей в качестве совещания Сторон Картахенского протокола по биобезопасности</w:t>
      </w:r>
      <w:r w:rsidR="00FB62A2" w:rsidRPr="00233566">
        <w:rPr>
          <w:rStyle w:val="FootnoteReference"/>
          <w:caps/>
          <w:snapToGrid/>
          <w:kern w:val="22"/>
          <w:szCs w:val="22"/>
        </w:rPr>
        <w:footnoteReference w:id="3"/>
      </w:r>
    </w:p>
    <w:p w:rsidR="00391A45" w:rsidRPr="00233566" w:rsidRDefault="00391A45" w:rsidP="00391A45">
      <w:pPr>
        <w:spacing w:after="120"/>
        <w:ind w:firstLine="720"/>
        <w:rPr>
          <w:kern w:val="22"/>
          <w:szCs w:val="22"/>
        </w:rPr>
      </w:pPr>
      <w:r w:rsidRPr="00233566">
        <w:t>Комитет по соблюдению рекомендует Конференци</w:t>
      </w:r>
      <w:r w:rsidR="00DA39A0" w:rsidRPr="00233566">
        <w:t>и</w:t>
      </w:r>
      <w:r w:rsidRPr="00233566">
        <w:t xml:space="preserve"> Сторон, выступающ</w:t>
      </w:r>
      <w:r w:rsidR="00DA39A0" w:rsidRPr="00233566">
        <w:t>ей</w:t>
      </w:r>
      <w:r w:rsidRPr="00233566">
        <w:t xml:space="preserve"> в качестве совещания Сторон Картахенского протокола по биобезопасности, на своем 10-м совещании </w:t>
      </w:r>
      <w:r w:rsidR="00DA39A0" w:rsidRPr="00233566">
        <w:t>принять следующее решение</w:t>
      </w:r>
      <w:r w:rsidRPr="00233566">
        <w:t>:</w:t>
      </w:r>
    </w:p>
    <w:p w:rsidR="00391A45" w:rsidRPr="00233566" w:rsidRDefault="00391A45" w:rsidP="00F5491E">
      <w:pPr>
        <w:pStyle w:val="ListParagraph"/>
        <w:numPr>
          <w:ilvl w:val="0"/>
          <w:numId w:val="43"/>
        </w:numPr>
        <w:spacing w:after="120"/>
        <w:ind w:left="0" w:firstLine="0"/>
        <w:jc w:val="center"/>
        <w:outlineLvl w:val="1"/>
        <w:rPr>
          <w:b/>
          <w:kern w:val="22"/>
          <w:szCs w:val="22"/>
        </w:rPr>
      </w:pPr>
      <w:r w:rsidRPr="00233566">
        <w:rPr>
          <w:b/>
          <w:szCs w:val="22"/>
        </w:rPr>
        <w:t>Соблюдение</w:t>
      </w:r>
    </w:p>
    <w:p w:rsidR="00D85053" w:rsidRPr="00233566" w:rsidRDefault="00391A45" w:rsidP="00FF084B">
      <w:pPr>
        <w:pStyle w:val="Para1"/>
        <w:numPr>
          <w:ilvl w:val="0"/>
          <w:numId w:val="37"/>
        </w:numPr>
        <w:tabs>
          <w:tab w:val="clear" w:pos="360"/>
        </w:tabs>
        <w:ind w:firstLine="567"/>
        <w:rPr>
          <w:kern w:val="22"/>
        </w:rPr>
      </w:pPr>
      <w:r w:rsidRPr="00233566">
        <w:t>напомнить Сторонам о пункте 4 правила II процедур и механизмов обеспечения соблюдения и настоятельно призвать их обеспечить выборы членов при понимании того, что они будут работать в течение полного четырехлетнего срока;</w:t>
      </w:r>
    </w:p>
    <w:p w:rsidR="00D85053" w:rsidRPr="00233566" w:rsidRDefault="00391A45" w:rsidP="00FF084B">
      <w:pPr>
        <w:pStyle w:val="Para1"/>
        <w:tabs>
          <w:tab w:val="clear" w:pos="360"/>
        </w:tabs>
        <w:ind w:firstLine="567"/>
        <w:rPr>
          <w:kern w:val="22"/>
        </w:rPr>
      </w:pPr>
      <w:r w:rsidRPr="00233566">
        <w:t xml:space="preserve">также напомнить Сторонам об их обязательстве назначить национальных координаторов по Картахенскому протоколу и один или несколько компетентных национальных органов, а также уведомить об этом секретариат в соответствии со статьей 19 </w:t>
      </w:r>
      <w:r w:rsidR="00DA39A0" w:rsidRPr="00233566">
        <w:t>П</w:t>
      </w:r>
      <w:r w:rsidRPr="00233566">
        <w:t>ротокола;</w:t>
      </w:r>
    </w:p>
    <w:p w:rsidR="00D85053" w:rsidRPr="00233566" w:rsidRDefault="00D85053" w:rsidP="00FF084B">
      <w:pPr>
        <w:pStyle w:val="Para1"/>
        <w:tabs>
          <w:tab w:val="clear" w:pos="360"/>
        </w:tabs>
        <w:ind w:firstLine="567"/>
        <w:rPr>
          <w:kern w:val="22"/>
        </w:rPr>
      </w:pPr>
      <w:r w:rsidRPr="00233566">
        <w:t>далее напомнить Сторонам об их обязательстве назначить национального координатора для Механизма посредничества по биобезопасности в соответствии с решением BS-I/3 и решением II/7 Конференции Сторон;</w:t>
      </w:r>
    </w:p>
    <w:p w:rsidR="00D85053" w:rsidRPr="00233566" w:rsidRDefault="00386DC2" w:rsidP="00FF084B">
      <w:pPr>
        <w:pStyle w:val="Para1"/>
        <w:tabs>
          <w:tab w:val="clear" w:pos="360"/>
        </w:tabs>
        <w:ind w:firstLine="567"/>
        <w:rPr>
          <w:kern w:val="22"/>
        </w:rPr>
      </w:pPr>
      <w:r w:rsidRPr="00233566">
        <w:t xml:space="preserve">напомнить Сторонам об их обязательстве разместить в Механизме посредничества по биобезопасности соответствующую информацию о контактном лице для получения уведомлений в соответствии со статьей 17 </w:t>
      </w:r>
      <w:r w:rsidR="00DA39A0" w:rsidRPr="00233566">
        <w:t>П</w:t>
      </w:r>
      <w:r w:rsidRPr="00233566">
        <w:t>ротокола и призвать их сделать это в кратчайшие сроки;</w:t>
      </w:r>
    </w:p>
    <w:p w:rsidR="00FF084B" w:rsidRPr="00233566" w:rsidRDefault="00FF084B" w:rsidP="00FF084B">
      <w:pPr>
        <w:pStyle w:val="Para1"/>
        <w:numPr>
          <w:ilvl w:val="0"/>
          <w:numId w:val="29"/>
        </w:numPr>
        <w:tabs>
          <w:tab w:val="clear" w:pos="360"/>
        </w:tabs>
        <w:ind w:firstLine="567"/>
        <w:rPr>
          <w:kern w:val="22"/>
        </w:rPr>
      </w:pPr>
      <w:r w:rsidRPr="00233566">
        <w:t xml:space="preserve">настоятельно призвать Стороны и предложить другим правительствам предоставить добровольные взносы </w:t>
      </w:r>
      <w:r w:rsidR="00DA39A0" w:rsidRPr="00233566">
        <w:t>для п</w:t>
      </w:r>
      <w:r w:rsidRPr="00233566">
        <w:t>оддержк</w:t>
      </w:r>
      <w:r w:rsidR="00DA39A0" w:rsidRPr="00233566">
        <w:t>и</w:t>
      </w:r>
      <w:r w:rsidRPr="00233566">
        <w:t xml:space="preserve"> четырех Сторон</w:t>
      </w:r>
      <w:r w:rsidR="00FB62A2" w:rsidRPr="00233566">
        <w:rPr>
          <w:kern w:val="22"/>
          <w:vertAlign w:val="superscript"/>
        </w:rPr>
        <w:footnoteReference w:id="4"/>
      </w:r>
      <w:r w:rsidRPr="00233566">
        <w:t xml:space="preserve">, разработавших планы действий по соблюдению, а также любых других Сторон, которые разработают и </w:t>
      </w:r>
      <w:r w:rsidR="00A5428A" w:rsidRPr="00233566">
        <w:t xml:space="preserve">приступят к </w:t>
      </w:r>
      <w:r w:rsidRPr="00233566">
        <w:t>реализ</w:t>
      </w:r>
      <w:r w:rsidR="00A5428A" w:rsidRPr="00233566">
        <w:t>ации</w:t>
      </w:r>
      <w:r w:rsidRPr="00233566">
        <w:t xml:space="preserve"> план</w:t>
      </w:r>
      <w:r w:rsidR="00A5428A" w:rsidRPr="00233566">
        <w:t>ов</w:t>
      </w:r>
      <w:r w:rsidRPr="00233566">
        <w:t xml:space="preserve"> действий по соблюдению по просьбе Комитета;</w:t>
      </w:r>
    </w:p>
    <w:p w:rsidR="008D39DD" w:rsidRPr="00233566" w:rsidRDefault="00FF084B" w:rsidP="00F5491E">
      <w:pPr>
        <w:pStyle w:val="BodyText"/>
        <w:ind w:firstLine="0"/>
        <w:jc w:val="center"/>
        <w:outlineLvl w:val="1"/>
        <w:rPr>
          <w:b/>
          <w:kern w:val="22"/>
          <w:szCs w:val="22"/>
        </w:rPr>
      </w:pPr>
      <w:r w:rsidRPr="00233566">
        <w:rPr>
          <w:b/>
          <w:szCs w:val="22"/>
        </w:rPr>
        <w:t>В. Мониторинг и отчетность</w:t>
      </w:r>
    </w:p>
    <w:p w:rsidR="00850A2A" w:rsidRPr="00233566" w:rsidRDefault="00850A2A" w:rsidP="00FF084B">
      <w:pPr>
        <w:pStyle w:val="Para1"/>
        <w:numPr>
          <w:ilvl w:val="0"/>
          <w:numId w:val="29"/>
        </w:numPr>
        <w:tabs>
          <w:tab w:val="clear" w:pos="360"/>
        </w:tabs>
        <w:ind w:firstLine="567"/>
        <w:rPr>
          <w:kern w:val="22"/>
        </w:rPr>
      </w:pPr>
      <w:r w:rsidRPr="00233566">
        <w:t xml:space="preserve">приветствовать </w:t>
      </w:r>
      <w:r w:rsidR="00DA39A0" w:rsidRPr="00233566">
        <w:t xml:space="preserve">предоставление </w:t>
      </w:r>
      <w:r w:rsidRPr="00233566">
        <w:t>114 полных четвертых национальных докладов</w:t>
      </w:r>
      <w:r w:rsidR="00FB62A2" w:rsidRPr="00233566">
        <w:rPr>
          <w:kern w:val="22"/>
          <w:vertAlign w:val="superscript"/>
        </w:rPr>
        <w:footnoteReference w:id="5"/>
      </w:r>
      <w:r w:rsidRPr="00233566">
        <w:t>;</w:t>
      </w:r>
    </w:p>
    <w:p w:rsidR="00850A2A" w:rsidRPr="00233566" w:rsidRDefault="00850A2A" w:rsidP="00FF084B">
      <w:pPr>
        <w:pStyle w:val="Para1"/>
        <w:numPr>
          <w:ilvl w:val="0"/>
          <w:numId w:val="29"/>
        </w:numPr>
        <w:tabs>
          <w:tab w:val="clear" w:pos="360"/>
        </w:tabs>
        <w:ind w:firstLine="567"/>
        <w:rPr>
          <w:kern w:val="22"/>
        </w:rPr>
      </w:pPr>
      <w:r w:rsidRPr="00233566">
        <w:t>выразить обеспокоенность по поводу небольшого числа представленных четвертых национальных докладов;</w:t>
      </w:r>
    </w:p>
    <w:p w:rsidR="00707EF0" w:rsidRPr="00233566" w:rsidRDefault="00707EF0" w:rsidP="00635929">
      <w:pPr>
        <w:pStyle w:val="Para1"/>
        <w:numPr>
          <w:ilvl w:val="0"/>
          <w:numId w:val="29"/>
        </w:numPr>
        <w:tabs>
          <w:tab w:val="clear" w:pos="360"/>
        </w:tabs>
        <w:ind w:firstLine="567"/>
        <w:rPr>
          <w:kern w:val="22"/>
          <w:szCs w:val="22"/>
        </w:rPr>
      </w:pPr>
      <w:r w:rsidRPr="00233566">
        <w:t xml:space="preserve">также выразить обеспокоенность по поводу задержек в реализации проекта, который должен быть представлен Глобальному экологическому фонду для поддержки имеющих на это право Сторон в подготовке их четвертых национальных докладов, отмечая, что такое финансирование не было предоставлено до наступления крайнего срока представления четвертых национальных докладов, что является одним из факторов, который мог </w:t>
      </w:r>
      <w:r w:rsidR="00312C39" w:rsidRPr="00233566">
        <w:t>повлиять на показатели представления</w:t>
      </w:r>
      <w:r w:rsidRPr="00233566">
        <w:t xml:space="preserve"> докладов;</w:t>
      </w:r>
    </w:p>
    <w:p w:rsidR="00850A2A" w:rsidRPr="00233566" w:rsidRDefault="00850A2A" w:rsidP="00FF084B">
      <w:pPr>
        <w:pStyle w:val="Para1"/>
        <w:numPr>
          <w:ilvl w:val="0"/>
          <w:numId w:val="29"/>
        </w:numPr>
        <w:tabs>
          <w:tab w:val="clear" w:pos="360"/>
        </w:tabs>
        <w:ind w:firstLine="567"/>
        <w:rPr>
          <w:kern w:val="22"/>
        </w:rPr>
      </w:pPr>
      <w:r w:rsidRPr="00233566">
        <w:t>настоятельно призвать Стороны, которые еще не представили свои четвертые национальные доклады, сделать это в кратчайшие сроки</w:t>
      </w:r>
      <w:r w:rsidR="00E0589B" w:rsidRPr="00233566">
        <w:rPr>
          <w:kern w:val="22"/>
          <w:vertAlign w:val="superscript"/>
        </w:rPr>
        <w:footnoteReference w:id="6"/>
      </w:r>
      <w:r w:rsidRPr="00233566">
        <w:t>;</w:t>
      </w:r>
    </w:p>
    <w:p w:rsidR="00850A2A" w:rsidRPr="00233566" w:rsidRDefault="00850A2A" w:rsidP="00FF084B">
      <w:pPr>
        <w:pStyle w:val="Para1"/>
        <w:numPr>
          <w:ilvl w:val="0"/>
          <w:numId w:val="29"/>
        </w:numPr>
        <w:tabs>
          <w:tab w:val="clear" w:pos="360"/>
        </w:tabs>
        <w:ind w:firstLine="567"/>
        <w:rPr>
          <w:kern w:val="22"/>
        </w:rPr>
      </w:pPr>
      <w:r w:rsidRPr="00233566">
        <w:lastRenderedPageBreak/>
        <w:t>с обеспокоенностью отме</w:t>
      </w:r>
      <w:r w:rsidR="00A5428A" w:rsidRPr="00233566">
        <w:t>тить</w:t>
      </w:r>
      <w:r w:rsidRPr="00233566">
        <w:t>, что из Сторон, не представивших четвертые национальные доклады, некоторые Стороны также не представили свои третьи национальные доклады</w:t>
      </w:r>
      <w:r w:rsidR="00FB62A2" w:rsidRPr="00233566">
        <w:rPr>
          <w:kern w:val="22"/>
          <w:vertAlign w:val="superscript"/>
        </w:rPr>
        <w:footnoteReference w:id="7"/>
      </w:r>
      <w:r w:rsidRPr="00233566">
        <w:t>;</w:t>
      </w:r>
    </w:p>
    <w:p w:rsidR="00850A2A" w:rsidRPr="00233566" w:rsidRDefault="00850A2A" w:rsidP="00FF084B">
      <w:pPr>
        <w:pStyle w:val="Para1"/>
        <w:numPr>
          <w:ilvl w:val="0"/>
          <w:numId w:val="29"/>
        </w:numPr>
        <w:tabs>
          <w:tab w:val="clear" w:pos="360"/>
        </w:tabs>
        <w:ind w:firstLine="567"/>
        <w:rPr>
          <w:kern w:val="22"/>
        </w:rPr>
      </w:pPr>
      <w:r w:rsidRPr="00233566">
        <w:t>настоятельно призыва</w:t>
      </w:r>
      <w:r w:rsidR="00A5428A" w:rsidRPr="00233566">
        <w:t>ть</w:t>
      </w:r>
      <w:r w:rsidRPr="00233566">
        <w:t xml:space="preserve"> Стороны, которые представили неполные четвертые национальные доклады, как можно скорее предоставить недостающую информацию;</w:t>
      </w:r>
    </w:p>
    <w:p w:rsidR="00DA39A0" w:rsidRPr="00233566" w:rsidRDefault="00DA39A0" w:rsidP="00F5491E">
      <w:pPr>
        <w:pStyle w:val="Para1"/>
        <w:numPr>
          <w:ilvl w:val="0"/>
          <w:numId w:val="0"/>
        </w:numPr>
        <w:ind w:left="1418" w:right="249" w:hanging="709"/>
        <w:jc w:val="left"/>
        <w:outlineLvl w:val="1"/>
        <w:rPr>
          <w:b/>
          <w:szCs w:val="22"/>
        </w:rPr>
      </w:pPr>
    </w:p>
    <w:p w:rsidR="002766CD" w:rsidRPr="00233566" w:rsidRDefault="00FF084B" w:rsidP="00DA39A0">
      <w:pPr>
        <w:pStyle w:val="Para1"/>
        <w:numPr>
          <w:ilvl w:val="0"/>
          <w:numId w:val="0"/>
        </w:numPr>
        <w:ind w:left="1701" w:right="249" w:hanging="567"/>
        <w:jc w:val="left"/>
        <w:outlineLvl w:val="1"/>
        <w:rPr>
          <w:b/>
          <w:kern w:val="22"/>
          <w:szCs w:val="22"/>
        </w:rPr>
      </w:pPr>
      <w:r w:rsidRPr="00233566">
        <w:rPr>
          <w:b/>
          <w:szCs w:val="22"/>
        </w:rPr>
        <w:t xml:space="preserve">С. </w:t>
      </w:r>
      <w:r w:rsidR="00DA39A0" w:rsidRPr="00233566">
        <w:rPr>
          <w:b/>
          <w:szCs w:val="22"/>
        </w:rPr>
        <w:tab/>
      </w:r>
      <w:r w:rsidRPr="00233566">
        <w:rPr>
          <w:b/>
          <w:szCs w:val="22"/>
        </w:rPr>
        <w:t xml:space="preserve">Оценка и </w:t>
      </w:r>
      <w:r w:rsidRPr="00233566">
        <w:rPr>
          <w:b/>
          <w:kern w:val="22"/>
          <w:szCs w:val="22"/>
        </w:rPr>
        <w:t>обзор</w:t>
      </w:r>
      <w:r w:rsidRPr="00233566">
        <w:rPr>
          <w:b/>
          <w:szCs w:val="22"/>
        </w:rPr>
        <w:t xml:space="preserve"> эффективности </w:t>
      </w:r>
      <w:r w:rsidR="00DA39A0" w:rsidRPr="00233566">
        <w:rPr>
          <w:b/>
          <w:szCs w:val="22"/>
        </w:rPr>
        <w:t>П</w:t>
      </w:r>
      <w:r w:rsidRPr="00233566">
        <w:rPr>
          <w:b/>
          <w:szCs w:val="22"/>
        </w:rPr>
        <w:t>ротокола и окончательная оценка Стратегического плана для Картахенского протокола</w:t>
      </w:r>
    </w:p>
    <w:p w:rsidR="00635AB3" w:rsidRPr="00233566" w:rsidRDefault="00635AB3" w:rsidP="00FF084B">
      <w:pPr>
        <w:pStyle w:val="Para1"/>
        <w:numPr>
          <w:ilvl w:val="0"/>
          <w:numId w:val="29"/>
        </w:numPr>
        <w:tabs>
          <w:tab w:val="clear" w:pos="360"/>
        </w:tabs>
        <w:ind w:firstLine="567"/>
        <w:rPr>
          <w:kern w:val="22"/>
        </w:rPr>
      </w:pPr>
      <w:r w:rsidRPr="00233566">
        <w:t>приветств</w:t>
      </w:r>
      <w:r w:rsidR="00A5428A" w:rsidRPr="00233566">
        <w:t>овать д</w:t>
      </w:r>
      <w:r w:rsidRPr="00233566">
        <w:t xml:space="preserve">остигнутые Сторонами успехи в выполнении ими своих обязательств по </w:t>
      </w:r>
      <w:r w:rsidR="00DA39A0" w:rsidRPr="00233566">
        <w:t>П</w:t>
      </w:r>
      <w:r w:rsidRPr="00233566">
        <w:t>ротоколу, в том числе обязательств по: (а) представлению определенной информации в Механизм посредничества по биобезопасности и (b) назначению национальных координационных центров и компетентных национальных органов;</w:t>
      </w:r>
    </w:p>
    <w:p w:rsidR="00635AB3" w:rsidRPr="00233566" w:rsidRDefault="00635AB3" w:rsidP="00FF084B">
      <w:pPr>
        <w:pStyle w:val="Para1"/>
        <w:numPr>
          <w:ilvl w:val="0"/>
          <w:numId w:val="29"/>
        </w:numPr>
        <w:tabs>
          <w:tab w:val="clear" w:pos="360"/>
        </w:tabs>
        <w:ind w:firstLine="567"/>
        <w:rPr>
          <w:kern w:val="22"/>
        </w:rPr>
      </w:pPr>
      <w:r w:rsidRPr="00233566">
        <w:t>отме</w:t>
      </w:r>
      <w:r w:rsidR="00A5428A" w:rsidRPr="00233566">
        <w:t>тить</w:t>
      </w:r>
      <w:r w:rsidRPr="00233566">
        <w:t xml:space="preserve"> с обеспокоенностью, что значительное число Сторон не выполняют в полной мере свои основные обязательства по </w:t>
      </w:r>
      <w:r w:rsidR="00DA39A0" w:rsidRPr="00233566">
        <w:t>П</w:t>
      </w:r>
      <w:r w:rsidRPr="00233566">
        <w:t xml:space="preserve">ротоколу, включая: (а) обязательство </w:t>
      </w:r>
      <w:r w:rsidR="008F3A56" w:rsidRPr="00233566">
        <w:t xml:space="preserve">по </w:t>
      </w:r>
      <w:r w:rsidRPr="00233566">
        <w:t>прин</w:t>
      </w:r>
      <w:r w:rsidR="008F3A56" w:rsidRPr="00233566">
        <w:t>ятию</w:t>
      </w:r>
      <w:r w:rsidRPr="00233566">
        <w:t xml:space="preserve"> необходимы</w:t>
      </w:r>
      <w:r w:rsidR="008F3A56" w:rsidRPr="00233566">
        <w:t>х</w:t>
      </w:r>
      <w:r w:rsidRPr="00233566">
        <w:t xml:space="preserve"> правовы</w:t>
      </w:r>
      <w:r w:rsidR="008F3A56" w:rsidRPr="00233566">
        <w:t>х</w:t>
      </w:r>
      <w:r w:rsidRPr="00233566">
        <w:t>, административны</w:t>
      </w:r>
      <w:r w:rsidR="008F3A56" w:rsidRPr="00233566">
        <w:t>х</w:t>
      </w:r>
      <w:r w:rsidRPr="00233566">
        <w:t xml:space="preserve"> и ины</w:t>
      </w:r>
      <w:r w:rsidR="008F3A56" w:rsidRPr="00233566">
        <w:t>х</w:t>
      </w:r>
      <w:r w:rsidRPr="00233566">
        <w:t xml:space="preserve"> мер для осуществления </w:t>
      </w:r>
      <w:r w:rsidR="00DA39A0" w:rsidRPr="00233566">
        <w:t>П</w:t>
      </w:r>
      <w:r w:rsidRPr="00233566">
        <w:t xml:space="preserve">ротокола и (b) обязательство </w:t>
      </w:r>
      <w:r w:rsidR="008F3A56" w:rsidRPr="00233566">
        <w:t xml:space="preserve">по </w:t>
      </w:r>
      <w:r w:rsidRPr="00233566">
        <w:t>своевременно</w:t>
      </w:r>
      <w:r w:rsidR="008F3A56" w:rsidRPr="00233566">
        <w:t>му</w:t>
      </w:r>
      <w:r w:rsidRPr="00233566">
        <w:t xml:space="preserve"> представл</w:t>
      </w:r>
      <w:r w:rsidR="008F3A56" w:rsidRPr="00233566">
        <w:t xml:space="preserve">ению </w:t>
      </w:r>
      <w:r w:rsidRPr="00233566">
        <w:t>национальны</w:t>
      </w:r>
      <w:r w:rsidR="008F3A56" w:rsidRPr="00233566">
        <w:t>х</w:t>
      </w:r>
      <w:r w:rsidRPr="00233566">
        <w:t xml:space="preserve"> доклад</w:t>
      </w:r>
      <w:r w:rsidR="008F3A56" w:rsidRPr="00233566">
        <w:t>ов</w:t>
      </w:r>
      <w:r w:rsidRPr="00233566">
        <w:t>;</w:t>
      </w:r>
    </w:p>
    <w:p w:rsidR="00635AB3" w:rsidRPr="00233566" w:rsidRDefault="00635AB3" w:rsidP="00FF084B">
      <w:pPr>
        <w:pStyle w:val="Para1"/>
        <w:numPr>
          <w:ilvl w:val="0"/>
          <w:numId w:val="29"/>
        </w:numPr>
        <w:tabs>
          <w:tab w:val="clear" w:pos="360"/>
        </w:tabs>
        <w:ind w:firstLine="567"/>
        <w:rPr>
          <w:kern w:val="22"/>
        </w:rPr>
      </w:pPr>
      <w:r w:rsidRPr="00233566">
        <w:t>призна</w:t>
      </w:r>
      <w:r w:rsidR="00A5428A" w:rsidRPr="00233566">
        <w:t>ть</w:t>
      </w:r>
      <w:r w:rsidRPr="00233566">
        <w:t xml:space="preserve">, что Сторонам необходимо располагать системами мониторинга и обеспечения исполнения для осуществления </w:t>
      </w:r>
      <w:r w:rsidR="00DA39A0" w:rsidRPr="00233566">
        <w:t>П</w:t>
      </w:r>
      <w:r w:rsidRPr="00233566">
        <w:t>ротокола;</w:t>
      </w:r>
    </w:p>
    <w:p w:rsidR="00635AB3" w:rsidRPr="00233566" w:rsidRDefault="00635AB3" w:rsidP="00FF084B">
      <w:pPr>
        <w:pStyle w:val="Para1"/>
        <w:numPr>
          <w:ilvl w:val="0"/>
          <w:numId w:val="29"/>
        </w:numPr>
        <w:tabs>
          <w:tab w:val="clear" w:pos="360"/>
        </w:tabs>
        <w:ind w:firstLine="567"/>
        <w:rPr>
          <w:kern w:val="22"/>
        </w:rPr>
      </w:pPr>
      <w:r w:rsidRPr="00233566">
        <w:t>настоятельно призыва</w:t>
      </w:r>
      <w:r w:rsidR="00A5428A" w:rsidRPr="00233566">
        <w:t>ть</w:t>
      </w:r>
      <w:r w:rsidRPr="00233566">
        <w:t xml:space="preserve"> Стороны внедрить, если они еще не сделали этого</w:t>
      </w:r>
      <w:r w:rsidR="00DA39A0" w:rsidRPr="00233566">
        <w:t xml:space="preserve"> в полном объеме</w:t>
      </w:r>
      <w:r w:rsidRPr="00233566">
        <w:t xml:space="preserve">, правовые, административные и другие меры по выполнению своих обязательств в рамках </w:t>
      </w:r>
      <w:r w:rsidR="00DA39A0" w:rsidRPr="00233566">
        <w:t>П</w:t>
      </w:r>
      <w:r w:rsidRPr="00233566">
        <w:t xml:space="preserve">ротокола; </w:t>
      </w:r>
    </w:p>
    <w:p w:rsidR="00635AB3" w:rsidRPr="00233566" w:rsidRDefault="00DA39A0" w:rsidP="00FF084B">
      <w:pPr>
        <w:pStyle w:val="Para1"/>
        <w:numPr>
          <w:ilvl w:val="0"/>
          <w:numId w:val="29"/>
        </w:numPr>
        <w:tabs>
          <w:tab w:val="clear" w:pos="360"/>
        </w:tabs>
        <w:ind w:firstLine="567"/>
        <w:rPr>
          <w:kern w:val="22"/>
        </w:rPr>
      </w:pPr>
      <w:r w:rsidRPr="00233566">
        <w:t>т</w:t>
      </w:r>
      <w:r w:rsidR="00635AB3" w:rsidRPr="00233566">
        <w:t>акже настоятельно призыва</w:t>
      </w:r>
      <w:r w:rsidR="00A5428A" w:rsidRPr="00233566">
        <w:t>ть</w:t>
      </w:r>
      <w:r w:rsidR="00635AB3" w:rsidRPr="00233566">
        <w:t xml:space="preserve"> 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обращая особое внимание на информацию, касающуюся: (а) национального законодательства, нормативных актов и руководств; (b) кратких описаний оценок рисков; (с) окончательных решений об импорте или высвобождении живых измененных организмов; (d) национальных координационных центров, национальных контактных </w:t>
      </w:r>
      <w:r w:rsidR="002A3157" w:rsidRPr="00233566">
        <w:t>лиц</w:t>
      </w:r>
      <w:r w:rsidR="00635AB3" w:rsidRPr="00233566">
        <w:t xml:space="preserve"> и компетентных национальных органов; (е) двусторонних, региональных или многосторонних соглашений или договоренностей, которые они заключили; и (f) незаконных трансграничных перемещений живых измененных организмов;</w:t>
      </w:r>
    </w:p>
    <w:p w:rsidR="00635AB3" w:rsidRPr="00233566" w:rsidRDefault="00635AB3" w:rsidP="00FF084B">
      <w:pPr>
        <w:pStyle w:val="Para1"/>
        <w:numPr>
          <w:ilvl w:val="0"/>
          <w:numId w:val="29"/>
        </w:numPr>
        <w:tabs>
          <w:tab w:val="clear" w:pos="360"/>
        </w:tabs>
        <w:ind w:firstLine="567"/>
        <w:rPr>
          <w:kern w:val="22"/>
        </w:rPr>
      </w:pPr>
      <w:r w:rsidRPr="00233566">
        <w:t>поруч</w:t>
      </w:r>
      <w:r w:rsidR="00A5428A" w:rsidRPr="00233566">
        <w:t>ить</w:t>
      </w:r>
      <w:r w:rsidRPr="00233566">
        <w:t xml:space="preserve"> Исполнительному секретарю:</w:t>
      </w:r>
    </w:p>
    <w:p w:rsidR="00635AB3" w:rsidRPr="00233566" w:rsidRDefault="00814552" w:rsidP="00F5491E">
      <w:pPr>
        <w:pStyle w:val="Para3"/>
        <w:numPr>
          <w:ilvl w:val="0"/>
          <w:numId w:val="33"/>
        </w:numPr>
        <w:tabs>
          <w:tab w:val="clear" w:pos="1980"/>
          <w:tab w:val="left" w:pos="1418"/>
        </w:tabs>
        <w:ind w:left="0" w:firstLine="709"/>
        <w:rPr>
          <w:snapToGrid w:val="0"/>
          <w:kern w:val="22"/>
        </w:rPr>
      </w:pPr>
      <w:r w:rsidRPr="00233566">
        <w:rPr>
          <w:snapToGrid w:val="0"/>
          <w:kern w:val="22"/>
        </w:rPr>
        <w:t>разработать</w:t>
      </w:r>
      <w:r w:rsidRPr="00233566">
        <w:rPr>
          <w:snapToGrid w:val="0"/>
        </w:rPr>
        <w:t xml:space="preserve"> онлайн-опрос о национальных ограничениях и проблемах в выполнении (</w:t>
      </w:r>
      <w:r w:rsidR="00DA39A0" w:rsidRPr="00233566">
        <w:rPr>
          <w:snapToGrid w:val="0"/>
        </w:rPr>
        <w:t>i</w:t>
      </w:r>
      <w:r w:rsidRPr="00233566">
        <w:rPr>
          <w:snapToGrid w:val="0"/>
        </w:rPr>
        <w:t xml:space="preserve">) обязательств </w:t>
      </w:r>
      <w:r w:rsidR="00DA39A0" w:rsidRPr="00233566">
        <w:rPr>
          <w:snapToGrid w:val="0"/>
        </w:rPr>
        <w:t xml:space="preserve">о </w:t>
      </w:r>
      <w:r w:rsidRPr="00233566">
        <w:rPr>
          <w:snapToGrid w:val="0"/>
        </w:rPr>
        <w:t>прин</w:t>
      </w:r>
      <w:r w:rsidR="00DA39A0" w:rsidRPr="00233566">
        <w:rPr>
          <w:snapToGrid w:val="0"/>
        </w:rPr>
        <w:t>ятии</w:t>
      </w:r>
      <w:r w:rsidRPr="00233566">
        <w:rPr>
          <w:snapToGrid w:val="0"/>
        </w:rPr>
        <w:t xml:space="preserve"> необходимы</w:t>
      </w:r>
      <w:r w:rsidR="00DA39A0" w:rsidRPr="00233566">
        <w:rPr>
          <w:snapToGrid w:val="0"/>
        </w:rPr>
        <w:t>х</w:t>
      </w:r>
      <w:r w:rsidRPr="00233566">
        <w:rPr>
          <w:snapToGrid w:val="0"/>
        </w:rPr>
        <w:t xml:space="preserve"> правовы</w:t>
      </w:r>
      <w:r w:rsidR="00DA39A0" w:rsidRPr="00233566">
        <w:rPr>
          <w:snapToGrid w:val="0"/>
        </w:rPr>
        <w:t>х</w:t>
      </w:r>
      <w:r w:rsidRPr="00233566">
        <w:rPr>
          <w:snapToGrid w:val="0"/>
        </w:rPr>
        <w:t>, административны</w:t>
      </w:r>
      <w:r w:rsidR="00DA39A0" w:rsidRPr="00233566">
        <w:rPr>
          <w:snapToGrid w:val="0"/>
        </w:rPr>
        <w:t>х</w:t>
      </w:r>
      <w:r w:rsidRPr="00233566">
        <w:rPr>
          <w:snapToGrid w:val="0"/>
        </w:rPr>
        <w:t xml:space="preserve"> и ины</w:t>
      </w:r>
      <w:r w:rsidR="00DA39A0" w:rsidRPr="00233566">
        <w:rPr>
          <w:snapToGrid w:val="0"/>
        </w:rPr>
        <w:t>х</w:t>
      </w:r>
      <w:r w:rsidRPr="00233566">
        <w:rPr>
          <w:snapToGrid w:val="0"/>
        </w:rPr>
        <w:t xml:space="preserve"> мер для осуществления </w:t>
      </w:r>
      <w:r w:rsidR="00DA39A0" w:rsidRPr="00233566">
        <w:rPr>
          <w:snapToGrid w:val="0"/>
        </w:rPr>
        <w:t>П</w:t>
      </w:r>
      <w:r w:rsidRPr="00233566">
        <w:rPr>
          <w:snapToGrid w:val="0"/>
        </w:rPr>
        <w:t>ротокола и (</w:t>
      </w:r>
      <w:r w:rsidR="00A5428A" w:rsidRPr="00233566">
        <w:rPr>
          <w:snapToGrid w:val="0"/>
        </w:rPr>
        <w:t>ii) о</w:t>
      </w:r>
      <w:r w:rsidRPr="00233566">
        <w:rPr>
          <w:snapToGrid w:val="0"/>
        </w:rPr>
        <w:t xml:space="preserve">бязательств </w:t>
      </w:r>
      <w:r w:rsidR="00DA39A0" w:rsidRPr="00233566">
        <w:rPr>
          <w:snapToGrid w:val="0"/>
        </w:rPr>
        <w:t xml:space="preserve">о </w:t>
      </w:r>
      <w:r w:rsidRPr="00233566">
        <w:rPr>
          <w:snapToGrid w:val="0"/>
        </w:rPr>
        <w:t>своевременно</w:t>
      </w:r>
      <w:r w:rsidR="00DA39A0" w:rsidRPr="00233566">
        <w:rPr>
          <w:snapToGrid w:val="0"/>
        </w:rPr>
        <w:t>м</w:t>
      </w:r>
      <w:r w:rsidRPr="00233566">
        <w:rPr>
          <w:snapToGrid w:val="0"/>
        </w:rPr>
        <w:t xml:space="preserve"> представл</w:t>
      </w:r>
      <w:r w:rsidR="00DA39A0" w:rsidRPr="00233566">
        <w:rPr>
          <w:snapToGrid w:val="0"/>
        </w:rPr>
        <w:t>ении</w:t>
      </w:r>
      <w:r w:rsidRPr="00233566">
        <w:rPr>
          <w:snapToGrid w:val="0"/>
        </w:rPr>
        <w:t xml:space="preserve"> национальны</w:t>
      </w:r>
      <w:r w:rsidR="00DA39A0" w:rsidRPr="00233566">
        <w:rPr>
          <w:snapToGrid w:val="0"/>
        </w:rPr>
        <w:t>х</w:t>
      </w:r>
      <w:r w:rsidRPr="00233566">
        <w:rPr>
          <w:snapToGrid w:val="0"/>
        </w:rPr>
        <w:t xml:space="preserve"> доклад</w:t>
      </w:r>
      <w:r w:rsidR="00DA39A0" w:rsidRPr="00233566">
        <w:rPr>
          <w:snapToGrid w:val="0"/>
        </w:rPr>
        <w:t>ов</w:t>
      </w:r>
      <w:r w:rsidRPr="00233566">
        <w:rPr>
          <w:snapToGrid w:val="0"/>
        </w:rPr>
        <w:t xml:space="preserve">; </w:t>
      </w:r>
    </w:p>
    <w:p w:rsidR="00635AB3" w:rsidRPr="00233566" w:rsidRDefault="00814552" w:rsidP="00F5491E">
      <w:pPr>
        <w:pStyle w:val="Para3"/>
        <w:numPr>
          <w:ilvl w:val="0"/>
          <w:numId w:val="33"/>
        </w:numPr>
        <w:tabs>
          <w:tab w:val="clear" w:pos="1980"/>
          <w:tab w:val="left" w:pos="1418"/>
          <w:tab w:val="num" w:pos="5747"/>
        </w:tabs>
        <w:ind w:left="0" w:firstLine="709"/>
        <w:rPr>
          <w:snapToGrid w:val="0"/>
          <w:kern w:val="22"/>
        </w:rPr>
      </w:pPr>
      <w:r w:rsidRPr="00233566">
        <w:rPr>
          <w:snapToGrid w:val="0"/>
        </w:rPr>
        <w:t xml:space="preserve">предложить всем Сторонам </w:t>
      </w:r>
      <w:r w:rsidR="00DA39A0" w:rsidRPr="00233566">
        <w:rPr>
          <w:snapToGrid w:val="0"/>
        </w:rPr>
        <w:t>принять участие в</w:t>
      </w:r>
      <w:r w:rsidRPr="00233566">
        <w:rPr>
          <w:snapToGrid w:val="0"/>
        </w:rPr>
        <w:t xml:space="preserve"> опрос</w:t>
      </w:r>
      <w:r w:rsidR="00DA39A0" w:rsidRPr="00233566">
        <w:rPr>
          <w:snapToGrid w:val="0"/>
        </w:rPr>
        <w:t>е</w:t>
      </w:r>
      <w:r w:rsidRPr="00233566">
        <w:rPr>
          <w:snapToGrid w:val="0"/>
        </w:rPr>
        <w:t>;</w:t>
      </w:r>
    </w:p>
    <w:p w:rsidR="00635AB3" w:rsidRPr="00233566" w:rsidRDefault="00814552" w:rsidP="00F5491E">
      <w:pPr>
        <w:pStyle w:val="Para3"/>
        <w:numPr>
          <w:ilvl w:val="0"/>
          <w:numId w:val="33"/>
        </w:numPr>
        <w:tabs>
          <w:tab w:val="clear" w:pos="1980"/>
          <w:tab w:val="left" w:pos="1418"/>
          <w:tab w:val="num" w:pos="5747"/>
        </w:tabs>
        <w:ind w:left="0" w:firstLine="709"/>
        <w:rPr>
          <w:snapToGrid w:val="0"/>
          <w:kern w:val="22"/>
        </w:rPr>
      </w:pPr>
      <w:r w:rsidRPr="00233566">
        <w:rPr>
          <w:snapToGrid w:val="0"/>
        </w:rPr>
        <w:lastRenderedPageBreak/>
        <w:t xml:space="preserve">обобщить результаты и представить их на рассмотрение Комитета на его 18-м совещании; </w:t>
      </w:r>
    </w:p>
    <w:p w:rsidR="00635AB3" w:rsidRPr="00233566" w:rsidRDefault="00635AB3" w:rsidP="00FF084B">
      <w:pPr>
        <w:pStyle w:val="Para1"/>
        <w:numPr>
          <w:ilvl w:val="0"/>
          <w:numId w:val="29"/>
        </w:numPr>
        <w:tabs>
          <w:tab w:val="clear" w:pos="360"/>
        </w:tabs>
        <w:ind w:firstLine="567"/>
        <w:rPr>
          <w:kern w:val="22"/>
        </w:rPr>
      </w:pPr>
      <w:r w:rsidRPr="00233566">
        <w:t>также призна</w:t>
      </w:r>
      <w:r w:rsidR="00A5428A" w:rsidRPr="00233566">
        <w:t>ть</w:t>
      </w:r>
      <w:r w:rsidRPr="00233566">
        <w:t xml:space="preserve">, что рамочная программа в области биоразнообразия на период после 2020 года может способствовать осуществлению и соблюдению положений Картахенского протокола по биобезопасности, и отмечает значение </w:t>
      </w:r>
      <w:r w:rsidR="00DA39A0" w:rsidRPr="00233566">
        <w:t>П</w:t>
      </w:r>
      <w:r w:rsidRPr="00233566">
        <w:t xml:space="preserve">ротокола, его плана по осуществлению </w:t>
      </w:r>
      <w:r w:rsidR="002A3157" w:rsidRPr="00233566">
        <w:t xml:space="preserve">на период после 2020 года </w:t>
      </w:r>
      <w:r w:rsidRPr="00233566">
        <w:t>и плана действий по созданию потенциала для достижения трех целей Конвенции о биологическом разнообразии;</w:t>
      </w:r>
    </w:p>
    <w:p w:rsidR="00635AB3" w:rsidRPr="00233566" w:rsidRDefault="00F920AC" w:rsidP="00F920AC">
      <w:pPr>
        <w:pStyle w:val="Para1"/>
        <w:numPr>
          <w:ilvl w:val="0"/>
          <w:numId w:val="29"/>
        </w:numPr>
        <w:tabs>
          <w:tab w:val="clear" w:pos="360"/>
        </w:tabs>
        <w:ind w:firstLine="567"/>
        <w:rPr>
          <w:kern w:val="22"/>
        </w:rPr>
      </w:pPr>
      <w:r w:rsidRPr="00233566">
        <w:t>с удовлетворением отме</w:t>
      </w:r>
      <w:r w:rsidR="00A5428A" w:rsidRPr="00233566">
        <w:t>тить</w:t>
      </w:r>
      <w:r w:rsidRPr="00233566">
        <w:t xml:space="preserve"> вспомогательную роль Комитета, выполняемую в соответствии с решением BS-V/1 в качестве вклада в достигнутый прогресс в достижении оперативной цели 3.1 по соблюдению;</w:t>
      </w:r>
    </w:p>
    <w:p w:rsidR="00635AB3" w:rsidRPr="00233566" w:rsidRDefault="00635AB3" w:rsidP="00FF084B">
      <w:pPr>
        <w:pStyle w:val="Para1"/>
        <w:numPr>
          <w:ilvl w:val="0"/>
          <w:numId w:val="29"/>
        </w:numPr>
        <w:tabs>
          <w:tab w:val="clear" w:pos="360"/>
        </w:tabs>
        <w:ind w:firstLine="567"/>
        <w:rPr>
          <w:kern w:val="22"/>
        </w:rPr>
      </w:pPr>
      <w:r w:rsidRPr="00233566">
        <w:t xml:space="preserve">поручить секретариату продолжать сообразно обстоятельствам и согласно руководящим указаниям Комитета консультации со Сторонами, которые пока еще не выполнили полностью своих обязательств в рамках </w:t>
      </w:r>
      <w:r w:rsidR="00DA39A0" w:rsidRPr="00233566">
        <w:t>П</w:t>
      </w:r>
      <w:r w:rsidRPr="00233566">
        <w:t xml:space="preserve">ротокола, и предложить Сторонам в полной мере сотрудничать в этом </w:t>
      </w:r>
      <w:r w:rsidR="002A3157" w:rsidRPr="00233566">
        <w:t>направлении</w:t>
      </w:r>
      <w:r w:rsidRPr="00233566">
        <w:t>;</w:t>
      </w:r>
    </w:p>
    <w:p w:rsidR="00635AB3" w:rsidRPr="00233566" w:rsidRDefault="00635AB3" w:rsidP="00C512F1">
      <w:pPr>
        <w:pStyle w:val="Para1"/>
        <w:numPr>
          <w:ilvl w:val="0"/>
          <w:numId w:val="29"/>
        </w:numPr>
        <w:tabs>
          <w:tab w:val="clear" w:pos="360"/>
        </w:tabs>
        <w:ind w:firstLine="567"/>
        <w:rPr>
          <w:kern w:val="22"/>
        </w:rPr>
      </w:pPr>
      <w:r w:rsidRPr="00233566">
        <w:t>приветствовать вклад Комитета в четвертую оценку и обзор Протокола и заключительную оценку Стратегического плана для Картахенского протокола и поручить Комитету в соответствующих случаях продолжать вносить вклад в пятую оценку</w:t>
      </w:r>
      <w:r w:rsidR="00DA39A0" w:rsidRPr="00233566">
        <w:t>, а также</w:t>
      </w:r>
      <w:r w:rsidRPr="00233566">
        <w:t xml:space="preserve"> обзор и процесс оценки последующей деятельности по итогам Стратегического плана для Картахенского протокола;</w:t>
      </w:r>
    </w:p>
    <w:p w:rsidR="0006055A" w:rsidRPr="00233566" w:rsidRDefault="00C512F1" w:rsidP="00F5491E">
      <w:pPr>
        <w:pStyle w:val="Para1"/>
        <w:numPr>
          <w:ilvl w:val="0"/>
          <w:numId w:val="0"/>
        </w:numPr>
        <w:jc w:val="center"/>
        <w:outlineLvl w:val="1"/>
        <w:rPr>
          <w:b/>
          <w:kern w:val="22"/>
          <w:szCs w:val="22"/>
        </w:rPr>
      </w:pPr>
      <w:r w:rsidRPr="00233566">
        <w:rPr>
          <w:b/>
          <w:szCs w:val="22"/>
        </w:rPr>
        <w:t>D.</w:t>
      </w:r>
      <w:r w:rsidR="00DA39A0" w:rsidRPr="00233566">
        <w:rPr>
          <w:b/>
          <w:szCs w:val="22"/>
        </w:rPr>
        <w:tab/>
      </w:r>
      <w:r w:rsidRPr="00233566">
        <w:rPr>
          <w:b/>
          <w:szCs w:val="22"/>
        </w:rPr>
        <w:t>Вопросы, касающиеся механизма финансирования и финансовых ресурсов</w:t>
      </w:r>
    </w:p>
    <w:p w:rsidR="00222BB2" w:rsidRPr="00233566" w:rsidRDefault="00222BB2" w:rsidP="00222BB2">
      <w:pPr>
        <w:pStyle w:val="Para1"/>
        <w:numPr>
          <w:ilvl w:val="0"/>
          <w:numId w:val="29"/>
        </w:numPr>
        <w:tabs>
          <w:tab w:val="clear" w:pos="360"/>
        </w:tabs>
        <w:ind w:firstLine="567"/>
        <w:rPr>
          <w:kern w:val="22"/>
          <w:szCs w:val="22"/>
        </w:rPr>
      </w:pPr>
      <w:bookmarkStart w:id="2" w:name="_Hlk34743170"/>
      <w:r w:rsidRPr="00233566">
        <w:t xml:space="preserve">рекомендовать, чтобы Конференция Сторон при принятии своих руководящих указаний механизму финансирования в отношении поддержки осуществления </w:t>
      </w:r>
      <w:r w:rsidR="006D682B" w:rsidRPr="00233566">
        <w:t>П</w:t>
      </w:r>
      <w:r w:rsidRPr="00233566">
        <w:t>ротокола предложила Глобальному экологическому фонду своевременно выделить средства для оказания поддержки имеющим на это право Сторонам в подготовке и представлении их пятых национальных докладов;</w:t>
      </w:r>
      <w:bookmarkEnd w:id="2"/>
    </w:p>
    <w:p w:rsidR="00FF084B" w:rsidRPr="00233566" w:rsidRDefault="00FF084B" w:rsidP="00FF084B">
      <w:pPr>
        <w:pStyle w:val="Para1"/>
        <w:numPr>
          <w:ilvl w:val="0"/>
          <w:numId w:val="29"/>
        </w:numPr>
        <w:tabs>
          <w:tab w:val="clear" w:pos="360"/>
        </w:tabs>
        <w:ind w:firstLine="567"/>
        <w:rPr>
          <w:kern w:val="22"/>
        </w:rPr>
      </w:pPr>
      <w:r w:rsidRPr="00233566">
        <w:t xml:space="preserve">рекомендовать, чтобы Конференция Сторон при принятии своих руководящих указаний механизму финансирования в отношении поддержки осуществления Картахенского протокола предложила Глобальному экологическому фонду предоставить финансовые средства для оказания поддержки Сторонам в осуществлении планов действий по соблюдению, касающихся обеспечения соблюдения </w:t>
      </w:r>
      <w:r w:rsidR="00DA39A0" w:rsidRPr="00233566">
        <w:t>П</w:t>
      </w:r>
      <w:r w:rsidRPr="00233566">
        <w:t xml:space="preserve">ротокола; </w:t>
      </w:r>
    </w:p>
    <w:p w:rsidR="002749E0" w:rsidRPr="00233566" w:rsidRDefault="002749E0" w:rsidP="002749E0">
      <w:pPr>
        <w:pStyle w:val="Para1"/>
        <w:numPr>
          <w:ilvl w:val="0"/>
          <w:numId w:val="29"/>
        </w:numPr>
        <w:tabs>
          <w:tab w:val="clear" w:pos="360"/>
        </w:tabs>
        <w:ind w:firstLine="567"/>
        <w:rPr>
          <w:kern w:val="22"/>
        </w:rPr>
      </w:pPr>
      <w:r w:rsidRPr="00233566">
        <w:t xml:space="preserve">рекомендовать, чтобы Конференция Сторон при принятии своих руководящих указаний механизму финансирования в отношении поддержки осуществления Картахенского протокола </w:t>
      </w:r>
      <w:r w:rsidR="006D682B" w:rsidRPr="00233566">
        <w:t xml:space="preserve">по биобезопасности </w:t>
      </w:r>
      <w:r w:rsidRPr="00233566">
        <w:t>предложила Глобальному экологическому фонду предоставить специальное финансирование Сторонам, имеющим право на получение помощи</w:t>
      </w:r>
      <w:r w:rsidR="00DA39A0" w:rsidRPr="00233566">
        <w:t>:</w:t>
      </w:r>
      <w:r w:rsidRPr="00233566">
        <w:t xml:space="preserve"> (i) принять правовые, административные и другие меры для осуществления </w:t>
      </w:r>
      <w:r w:rsidR="00DA39A0" w:rsidRPr="00233566">
        <w:t>П</w:t>
      </w:r>
      <w:r w:rsidRPr="00233566">
        <w:t xml:space="preserve">ротокола; и (ii) оказать поддержку соответствующим Сторонам в осуществлении планов действий по соблюдению, касающихся обеспечения соблюдения </w:t>
      </w:r>
      <w:r w:rsidR="00DA39A0" w:rsidRPr="00233566">
        <w:t>П</w:t>
      </w:r>
      <w:r w:rsidRPr="00233566">
        <w:t>ротокола.</w:t>
      </w:r>
    </w:p>
    <w:p w:rsidR="00B3369F" w:rsidRPr="00233566" w:rsidRDefault="00C22A80" w:rsidP="00087D95">
      <w:pPr>
        <w:jc w:val="center"/>
        <w:rPr>
          <w:kern w:val="22"/>
        </w:rPr>
      </w:pPr>
      <w:r w:rsidRPr="00233566">
        <w:t>__________</w:t>
      </w:r>
    </w:p>
    <w:sectPr w:rsidR="00B3369F" w:rsidRPr="00233566" w:rsidSect="00F6268C">
      <w:headerReference w:type="even" r:id="rId26"/>
      <w:headerReference w:type="default" r:id="rId27"/>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9A" w:rsidRDefault="0046359A" w:rsidP="00CF1848">
      <w:r>
        <w:separator/>
      </w:r>
    </w:p>
  </w:endnote>
  <w:endnote w:type="continuationSeparator" w:id="0">
    <w:p w:rsidR="0046359A" w:rsidRDefault="0046359A" w:rsidP="00CF1848">
      <w:r>
        <w:continuationSeparator/>
      </w:r>
    </w:p>
  </w:endnote>
  <w:endnote w:type="continuationNotice" w:id="1">
    <w:p w:rsidR="0046359A" w:rsidRDefault="0046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45" w:rsidRPr="00693712" w:rsidRDefault="00391A45" w:rsidP="00D7122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45" w:rsidRDefault="00391A45" w:rsidP="00D7122E">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45" w:rsidRDefault="00391A45" w:rsidP="00D7122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9A" w:rsidRDefault="0046359A" w:rsidP="00CF1848">
      <w:r>
        <w:separator/>
      </w:r>
    </w:p>
  </w:footnote>
  <w:footnote w:type="continuationSeparator" w:id="0">
    <w:p w:rsidR="0046359A" w:rsidRDefault="0046359A" w:rsidP="00CF1848">
      <w:r>
        <w:continuationSeparator/>
      </w:r>
    </w:p>
  </w:footnote>
  <w:footnote w:type="continuationNotice" w:id="1">
    <w:p w:rsidR="0046359A" w:rsidRDefault="0046359A"/>
  </w:footnote>
  <w:footnote w:id="2">
    <w:p w:rsidR="00772D25" w:rsidRPr="00F5491E" w:rsidRDefault="00772D25" w:rsidP="00F5491E">
      <w:pPr>
        <w:pStyle w:val="FootnoteText"/>
        <w:suppressLineNumbers/>
        <w:suppressAutoHyphens/>
        <w:ind w:firstLine="0"/>
        <w:jc w:val="left"/>
        <w:rPr>
          <w:szCs w:val="18"/>
        </w:rPr>
      </w:pPr>
      <w:r>
        <w:rPr>
          <w:rStyle w:val="FootnoteReference"/>
          <w:sz w:val="18"/>
          <w:szCs w:val="18"/>
        </w:rPr>
        <w:t>*</w:t>
      </w:r>
      <w:r>
        <w:t xml:space="preserve"> CBD/CP/MOP/10/1/Rev.1.</w:t>
      </w:r>
    </w:p>
  </w:footnote>
  <w:footnote w:id="3">
    <w:p w:rsidR="00FB62A2" w:rsidRPr="00E866D0" w:rsidRDefault="00FB62A2" w:rsidP="00FB62A2">
      <w:pPr>
        <w:pStyle w:val="FootnoteText"/>
        <w:suppressLineNumbers/>
        <w:suppressAutoHyphens/>
        <w:ind w:firstLine="0"/>
        <w:jc w:val="left"/>
        <w:rPr>
          <w:kern w:val="18"/>
          <w:szCs w:val="18"/>
        </w:rPr>
      </w:pPr>
      <w:r w:rsidRPr="00E543B7">
        <w:rPr>
          <w:rStyle w:val="FootnoteReference"/>
          <w:kern w:val="18"/>
          <w:sz w:val="18"/>
          <w:szCs w:val="18"/>
        </w:rPr>
        <w:footnoteRef/>
      </w:r>
      <w:r w:rsidRPr="00E543B7">
        <w:rPr>
          <w:kern w:val="18"/>
          <w:szCs w:val="18"/>
        </w:rPr>
        <w:t xml:space="preserve"> </w:t>
      </w:r>
      <w:r w:rsidRPr="00FB62A2">
        <w:rPr>
          <w:kern w:val="18"/>
          <w:szCs w:val="18"/>
        </w:rPr>
        <w:t>В соответствии с практикой, принятой на предыдущих совещаниях Конференции Сторон, выступающей в качестве совещания Сторон Картахенского протокола, рекомендации могут быть отнесены к соответствующим пунктам повестки дня, в рамках которых их рассмотрение будет более целесообразным.</w:t>
      </w:r>
    </w:p>
  </w:footnote>
  <w:footnote w:id="4">
    <w:p w:rsidR="00FB62A2" w:rsidRPr="00F5491E" w:rsidRDefault="00FB62A2" w:rsidP="00FB62A2">
      <w:pPr>
        <w:pStyle w:val="FootnoteText"/>
        <w:suppressLineNumbers/>
        <w:suppressAutoHyphens/>
        <w:ind w:firstLine="0"/>
        <w:jc w:val="left"/>
        <w:rPr>
          <w:kern w:val="18"/>
        </w:rPr>
      </w:pPr>
      <w:r w:rsidRPr="00F5491E">
        <w:rPr>
          <w:rStyle w:val="FootnoteReference"/>
          <w:rFonts w:eastAsiaTheme="majorEastAsia"/>
          <w:kern w:val="18"/>
          <w:sz w:val="18"/>
          <w:szCs w:val="18"/>
        </w:rPr>
        <w:footnoteRef/>
      </w:r>
      <w:r w:rsidRPr="00F5491E">
        <w:rPr>
          <w:kern w:val="18"/>
        </w:rPr>
        <w:t xml:space="preserve"> </w:t>
      </w:r>
      <w:r w:rsidRPr="00FB62A2">
        <w:rPr>
          <w:kern w:val="18"/>
        </w:rPr>
        <w:t>Барбадос, Кыргызстан, Марокко и Оман.</w:t>
      </w:r>
    </w:p>
  </w:footnote>
  <w:footnote w:id="5">
    <w:p w:rsidR="00FB62A2" w:rsidRPr="00414B98" w:rsidRDefault="00FB62A2" w:rsidP="00FB62A2">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w:t>
      </w:r>
      <w:r w:rsidRPr="00FB62A2">
        <w:rPr>
          <w:kern w:val="18"/>
          <w:szCs w:val="18"/>
        </w:rPr>
        <w:t>Число будет обновлено для отражения количества докладов, полученных к моменту проведения части II 10-го совещания Конференции Сторон, выступающей в качестве совещания Сторон Картахенского протокола.</w:t>
      </w:r>
    </w:p>
  </w:footnote>
  <w:footnote w:id="6">
    <w:p w:rsidR="00E0589B" w:rsidRPr="00DA125C" w:rsidRDefault="00E0589B" w:rsidP="00E0589B">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w:t>
      </w:r>
      <w:r w:rsidRPr="00FB62A2">
        <w:rPr>
          <w:kern w:val="18"/>
          <w:szCs w:val="18"/>
        </w:rPr>
        <w:t>Азербайджан, Албания, Ангола, Афганистан, Бахрейн, Белиз, Боливия, Гамбия, Гвинея, Гондурас, Джибути, Доминика, Иордания, Зимбабве, Йемен, Кирибати, Кабо-Верде, Коморские Острова, Корейская Народно-Демократическая Республика, Кыргызстан, Ливан, Ливия, Маврикий, Мавритания, Мальдивские Острова, Маршалловы Острова, Монголия, Науру, Ниуэ, Палау, Папуа-Новая Гвинея, Катар, Самоа, Саудовская Аравия, Сейшельские Острова, Сербия, Сомали, Сирийская Арабская Республика, Таджикистан, Того, Тринидад и Тобаго, Тунис, Фиджи и Шри-Ланка.</w:t>
      </w:r>
      <w:r w:rsidRPr="00DA125C">
        <w:rPr>
          <w:kern w:val="18"/>
          <w:szCs w:val="18"/>
        </w:rPr>
        <w:t xml:space="preserve">. </w:t>
      </w:r>
      <w:r w:rsidRPr="00FB62A2">
        <w:rPr>
          <w:kern w:val="18"/>
          <w:szCs w:val="18"/>
        </w:rPr>
        <w:t>[Список будет обновлен на части II 10-го совещания Конференции Сторон, выступающей в качестве совещания Сторон Картахенского протокола].</w:t>
      </w:r>
    </w:p>
  </w:footnote>
  <w:footnote w:id="7">
    <w:p w:rsidR="00FB62A2" w:rsidRPr="001F254D" w:rsidRDefault="00FB62A2" w:rsidP="00FB62A2">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w:t>
      </w:r>
      <w:r w:rsidRPr="00FB62A2">
        <w:rPr>
          <w:kern w:val="18"/>
          <w:szCs w:val="18"/>
        </w:rPr>
        <w:t>Азербайджан, Белиз, Ливия, Науру, Папуа-Новая Гвинея, Катар, Саудовская Аравия, Сейшельские Острова и Сирийская Арабская Республика.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18681069"/>
      <w:placeholder>
        <w:docPart w:val="4D7D1B30FC3C4D85AC821BD4587F0C5B"/>
      </w:placeholder>
      <w:dataBinding w:prefixMappings="xmlns:ns0='http://purl.org/dc/elements/1.1/' xmlns:ns1='http://schemas.openxmlformats.org/package/2006/metadata/core-properties' " w:xpath="/ns1:coreProperties[1]/ns0:subject[1]" w:storeItemID="{6C3C8BC8-F283-45AE-878A-BAB7291924A1}"/>
      <w:text/>
    </w:sdtPr>
    <w:sdtEndPr/>
    <w:sdtContent>
      <w:p w:rsidR="00391A45" w:rsidRPr="00A45F85" w:rsidRDefault="00A45F85" w:rsidP="00D7122E">
        <w:pPr>
          <w:jc w:val="left"/>
          <w:rPr>
            <w:noProof/>
            <w:kern w:val="22"/>
            <w:lang w:val="fr-FR"/>
          </w:rPr>
        </w:pPr>
        <w:r>
          <w:rPr>
            <w:noProof/>
            <w:kern w:val="22"/>
            <w:lang w:val="fr-FR"/>
          </w:rPr>
          <w:t>CBD/CP/MOP/10/2</w:t>
        </w:r>
      </w:p>
    </w:sdtContent>
  </w:sdt>
  <w:p w:rsidR="00391A45" w:rsidRPr="00A45F85" w:rsidRDefault="00410590" w:rsidP="00F5491E">
    <w:pPr>
      <w:pStyle w:val="Header"/>
      <w:tabs>
        <w:tab w:val="clear" w:pos="4320"/>
        <w:tab w:val="clear" w:pos="8640"/>
      </w:tabs>
      <w:spacing w:after="240"/>
      <w:jc w:val="left"/>
      <w:rPr>
        <w:noProof/>
        <w:kern w:val="22"/>
      </w:rPr>
    </w:pPr>
    <w:r>
      <w:t>Страница</w:t>
    </w:r>
    <w:r w:rsidR="00391A45">
      <w:t xml:space="preserve"> </w:t>
    </w:r>
    <w:r w:rsidR="00CD337B" w:rsidRPr="00745642">
      <w:fldChar w:fldCharType="begin"/>
    </w:r>
    <w:r w:rsidR="00391A45" w:rsidRPr="00A45F85">
      <w:instrText xml:space="preserve"> PAGE   \* MERGEFORMAT </w:instrText>
    </w:r>
    <w:r w:rsidR="00CD337B" w:rsidRPr="00745642">
      <w:fldChar w:fldCharType="separate"/>
    </w:r>
    <w:r w:rsidR="00233566">
      <w:rPr>
        <w:noProof/>
      </w:rPr>
      <w:t>2</w:t>
    </w:r>
    <w:r w:rsidR="00CD337B" w:rsidRPr="0074564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38364639"/>
      <w:placeholder>
        <w:docPart w:val="5B638A896FDE44C182E6F4C321F292E9"/>
      </w:placeholder>
      <w:dataBinding w:prefixMappings="xmlns:ns0='http://purl.org/dc/elements/1.1/' xmlns:ns1='http://schemas.openxmlformats.org/package/2006/metadata/core-properties' " w:xpath="/ns1:coreProperties[1]/ns0:subject[1]" w:storeItemID="{6C3C8BC8-F283-45AE-878A-BAB7291924A1}"/>
      <w:text/>
    </w:sdtPr>
    <w:sdtEndPr/>
    <w:sdtContent>
      <w:p w:rsidR="00391A45" w:rsidRPr="00A45F85" w:rsidRDefault="00A45F85" w:rsidP="00D7122E">
        <w:pPr>
          <w:jc w:val="right"/>
          <w:rPr>
            <w:noProof/>
            <w:kern w:val="22"/>
            <w:lang w:val="fr-FR"/>
          </w:rPr>
        </w:pPr>
        <w:r>
          <w:rPr>
            <w:noProof/>
            <w:kern w:val="22"/>
            <w:lang w:val="fr-FR"/>
          </w:rPr>
          <w:t>CBD/CP/MOP/10/2</w:t>
        </w:r>
      </w:p>
    </w:sdtContent>
  </w:sdt>
  <w:p w:rsidR="00391A45" w:rsidRPr="00A45F85" w:rsidRDefault="00410590" w:rsidP="00F5491E">
    <w:pPr>
      <w:pStyle w:val="Header"/>
      <w:tabs>
        <w:tab w:val="clear" w:pos="4320"/>
        <w:tab w:val="clear" w:pos="8640"/>
      </w:tabs>
      <w:spacing w:after="240"/>
      <w:jc w:val="right"/>
      <w:rPr>
        <w:noProof/>
        <w:kern w:val="22"/>
      </w:rPr>
    </w:pPr>
    <w:r>
      <w:t>Страница</w:t>
    </w:r>
    <w:r w:rsidR="00391A45">
      <w:t xml:space="preserve"> </w:t>
    </w:r>
    <w:r w:rsidR="00CD337B" w:rsidRPr="00745642">
      <w:fldChar w:fldCharType="begin"/>
    </w:r>
    <w:r w:rsidR="00391A45" w:rsidRPr="00A45F85">
      <w:instrText xml:space="preserve"> PAGE   \* MERGEFORMAT </w:instrText>
    </w:r>
    <w:r w:rsidR="00CD337B" w:rsidRPr="00745642">
      <w:fldChar w:fldCharType="separate"/>
    </w:r>
    <w:r w:rsidR="00233566">
      <w:rPr>
        <w:noProof/>
      </w:rPr>
      <w:t>3</w:t>
    </w:r>
    <w:r w:rsidR="00CD337B" w:rsidRPr="007456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534681" w:rsidRPr="00A45F85" w:rsidRDefault="00A45F85" w:rsidP="00087D95">
        <w:pPr>
          <w:pStyle w:val="Header"/>
          <w:tabs>
            <w:tab w:val="clear" w:pos="4320"/>
            <w:tab w:val="clear" w:pos="8640"/>
          </w:tabs>
          <w:jc w:val="left"/>
          <w:rPr>
            <w:noProof/>
            <w:lang w:val="fr-FR"/>
          </w:rPr>
        </w:pPr>
        <w:r>
          <w:rPr>
            <w:noProof/>
            <w:lang w:val="fr-FR"/>
          </w:rPr>
          <w:t>CBD/CP/MOP/10/2</w:t>
        </w:r>
      </w:p>
    </w:sdtContent>
  </w:sdt>
  <w:p w:rsidR="00534681" w:rsidRPr="00A45F85" w:rsidRDefault="00A91B84" w:rsidP="00F5491E">
    <w:pPr>
      <w:pStyle w:val="Header"/>
      <w:tabs>
        <w:tab w:val="clear" w:pos="4320"/>
        <w:tab w:val="clear" w:pos="8640"/>
      </w:tabs>
      <w:spacing w:after="240"/>
      <w:jc w:val="left"/>
      <w:rPr>
        <w:noProof/>
      </w:rPr>
    </w:pPr>
    <w:r>
      <w:t>Страница</w:t>
    </w:r>
    <w:r w:rsidR="00534681">
      <w:t xml:space="preserve"> </w:t>
    </w:r>
    <w:r w:rsidR="00CD337B">
      <w:fldChar w:fldCharType="begin"/>
    </w:r>
    <w:r w:rsidR="00534681" w:rsidRPr="00A45F85">
      <w:instrText xml:space="preserve"> PAGE   \* MERGEFORMAT </w:instrText>
    </w:r>
    <w:r w:rsidR="00CD337B">
      <w:fldChar w:fldCharType="separate"/>
    </w:r>
    <w:r w:rsidR="00233566">
      <w:rPr>
        <w:noProof/>
      </w:rPr>
      <w:t>6</w:t>
    </w:r>
    <w:r w:rsidR="00CD337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9505C9" w:rsidRPr="00A45F85" w:rsidRDefault="00A45F85" w:rsidP="00087D95">
        <w:pPr>
          <w:pStyle w:val="Header"/>
          <w:tabs>
            <w:tab w:val="clear" w:pos="4320"/>
            <w:tab w:val="clear" w:pos="8640"/>
          </w:tabs>
          <w:jc w:val="right"/>
          <w:rPr>
            <w:noProof/>
            <w:lang w:val="fr-FR"/>
          </w:rPr>
        </w:pPr>
        <w:r>
          <w:rPr>
            <w:noProof/>
            <w:lang w:val="fr-FR"/>
          </w:rPr>
          <w:t>CBD/CP/MOP/10/2</w:t>
        </w:r>
      </w:p>
    </w:sdtContent>
  </w:sdt>
  <w:p w:rsidR="009505C9" w:rsidRPr="00A45F85" w:rsidRDefault="00DA39A0" w:rsidP="00087D95">
    <w:pPr>
      <w:pStyle w:val="Header"/>
      <w:tabs>
        <w:tab w:val="clear" w:pos="4320"/>
        <w:tab w:val="clear" w:pos="8640"/>
      </w:tabs>
      <w:jc w:val="right"/>
      <w:rPr>
        <w:noProof/>
      </w:rPr>
    </w:pPr>
    <w:r>
      <w:t>Страница</w:t>
    </w:r>
    <w:r w:rsidR="009505C9">
      <w:t xml:space="preserve"> </w:t>
    </w:r>
    <w:r w:rsidR="00CD337B">
      <w:fldChar w:fldCharType="begin"/>
    </w:r>
    <w:r w:rsidR="009505C9" w:rsidRPr="00A45F85">
      <w:instrText xml:space="preserve"> PAGE   \* MERGEFORMAT </w:instrText>
    </w:r>
    <w:r w:rsidR="00CD337B">
      <w:fldChar w:fldCharType="separate"/>
    </w:r>
    <w:r w:rsidR="00233566">
      <w:rPr>
        <w:noProof/>
      </w:rPr>
      <w:t>5</w:t>
    </w:r>
    <w:r w:rsidR="00CD337B">
      <w:fldChar w:fldCharType="end"/>
    </w:r>
  </w:p>
  <w:p w:rsidR="009505C9" w:rsidRPr="00A45F85" w:rsidRDefault="009505C9" w:rsidP="00087D95">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4C"/>
    <w:multiLevelType w:val="hybridMultilevel"/>
    <w:tmpl w:val="89DE8B26"/>
    <w:lvl w:ilvl="0" w:tplc="F89AE9DE">
      <w:start w:val="1"/>
      <w:numFmt w:val="lowerLetter"/>
      <w:lvlText w:val="(%1)"/>
      <w:lvlJc w:val="left"/>
      <w:pPr>
        <w:ind w:left="2347" w:hanging="360"/>
      </w:pPr>
      <w:rPr>
        <w:rFonts w:hint="default"/>
        <w:b w:val="0"/>
        <w:i w:val="0"/>
      </w:rPr>
    </w:lvl>
    <w:lvl w:ilvl="1" w:tplc="10090019">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1" w15:restartNumberingAfterBreak="0">
    <w:nsid w:val="045E356B"/>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DAB"/>
    <w:multiLevelType w:val="hybridMultilevel"/>
    <w:tmpl w:val="430A5A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6E1EEBE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F2122"/>
    <w:multiLevelType w:val="hybridMultilevel"/>
    <w:tmpl w:val="8C4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5D1CF2"/>
    <w:multiLevelType w:val="hybridMultilevel"/>
    <w:tmpl w:val="558E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8"/>
  </w:num>
  <w:num w:numId="6">
    <w:abstractNumId w:val="2"/>
  </w:num>
  <w:num w:numId="7">
    <w:abstractNumId w:val="5"/>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6"/>
  </w:num>
  <w:num w:numId="20">
    <w:abstractNumId w:val="9"/>
  </w:num>
  <w:num w:numId="21">
    <w:abstractNumId w:val="10"/>
  </w:num>
  <w:num w:numId="22">
    <w:abstractNumId w:val="8"/>
  </w:num>
  <w:num w:numId="23">
    <w:abstractNumId w:val="1"/>
  </w:num>
  <w:num w:numId="24">
    <w:abstractNumId w:val="8"/>
  </w:num>
  <w:num w:numId="25">
    <w:abstractNumId w:val="17"/>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0"/>
  </w:num>
  <w:num w:numId="34">
    <w:abstractNumId w:val="8"/>
  </w:num>
  <w:num w:numId="35">
    <w:abstractNumId w:val="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9"/>
  </w:num>
  <w:num w:numId="42">
    <w:abstractNumId w:val="9"/>
  </w:num>
  <w:num w:numId="43">
    <w:abstractNumId w:val="4"/>
  </w:num>
  <w:num w:numId="44">
    <w:abstractNumId w:val="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B58"/>
    <w:rsid w:val="000079C0"/>
    <w:rsid w:val="00011218"/>
    <w:rsid w:val="00015ED7"/>
    <w:rsid w:val="000171CA"/>
    <w:rsid w:val="0002173C"/>
    <w:rsid w:val="00031C69"/>
    <w:rsid w:val="00031D3E"/>
    <w:rsid w:val="00035BA6"/>
    <w:rsid w:val="0003705B"/>
    <w:rsid w:val="00037B5E"/>
    <w:rsid w:val="000525A2"/>
    <w:rsid w:val="00053DF6"/>
    <w:rsid w:val="0006055A"/>
    <w:rsid w:val="0006577C"/>
    <w:rsid w:val="000661B4"/>
    <w:rsid w:val="000669BB"/>
    <w:rsid w:val="0007014D"/>
    <w:rsid w:val="000716A5"/>
    <w:rsid w:val="000717C4"/>
    <w:rsid w:val="00087D95"/>
    <w:rsid w:val="000906E6"/>
    <w:rsid w:val="00090C4C"/>
    <w:rsid w:val="000A1CC8"/>
    <w:rsid w:val="000A24FB"/>
    <w:rsid w:val="000A52EE"/>
    <w:rsid w:val="000A5A6F"/>
    <w:rsid w:val="000A5D79"/>
    <w:rsid w:val="000B3E16"/>
    <w:rsid w:val="000B501F"/>
    <w:rsid w:val="000B5C43"/>
    <w:rsid w:val="000C3326"/>
    <w:rsid w:val="000D05CC"/>
    <w:rsid w:val="000D0FE4"/>
    <w:rsid w:val="000D100E"/>
    <w:rsid w:val="000D16E9"/>
    <w:rsid w:val="000D5D8D"/>
    <w:rsid w:val="000E0539"/>
    <w:rsid w:val="000E673A"/>
    <w:rsid w:val="000F0868"/>
    <w:rsid w:val="000F0A7F"/>
    <w:rsid w:val="000F539C"/>
    <w:rsid w:val="000F74F5"/>
    <w:rsid w:val="00105372"/>
    <w:rsid w:val="0010553B"/>
    <w:rsid w:val="0011328C"/>
    <w:rsid w:val="00120E96"/>
    <w:rsid w:val="00131E7A"/>
    <w:rsid w:val="00141515"/>
    <w:rsid w:val="001443F4"/>
    <w:rsid w:val="00146FC0"/>
    <w:rsid w:val="0015302D"/>
    <w:rsid w:val="0016778C"/>
    <w:rsid w:val="00171BB1"/>
    <w:rsid w:val="00171E20"/>
    <w:rsid w:val="00172AF6"/>
    <w:rsid w:val="0017359B"/>
    <w:rsid w:val="00176CEE"/>
    <w:rsid w:val="00181B29"/>
    <w:rsid w:val="00186694"/>
    <w:rsid w:val="00192A22"/>
    <w:rsid w:val="00196E19"/>
    <w:rsid w:val="00197CC1"/>
    <w:rsid w:val="001B2FA4"/>
    <w:rsid w:val="001B6D38"/>
    <w:rsid w:val="001C3C07"/>
    <w:rsid w:val="001C7B3F"/>
    <w:rsid w:val="001D0FE9"/>
    <w:rsid w:val="001D32F9"/>
    <w:rsid w:val="001D4CE2"/>
    <w:rsid w:val="001D4FF4"/>
    <w:rsid w:val="001D515D"/>
    <w:rsid w:val="001E4E8E"/>
    <w:rsid w:val="001E587D"/>
    <w:rsid w:val="001E6EC7"/>
    <w:rsid w:val="001E7381"/>
    <w:rsid w:val="001E76C7"/>
    <w:rsid w:val="001F254D"/>
    <w:rsid w:val="001F2A12"/>
    <w:rsid w:val="001F3FF9"/>
    <w:rsid w:val="00203A55"/>
    <w:rsid w:val="00212A0C"/>
    <w:rsid w:val="00216F05"/>
    <w:rsid w:val="00220175"/>
    <w:rsid w:val="00222BB2"/>
    <w:rsid w:val="00227D1D"/>
    <w:rsid w:val="00231E34"/>
    <w:rsid w:val="00233566"/>
    <w:rsid w:val="00235197"/>
    <w:rsid w:val="002507D0"/>
    <w:rsid w:val="002536D2"/>
    <w:rsid w:val="00260CB0"/>
    <w:rsid w:val="00264940"/>
    <w:rsid w:val="00272ED0"/>
    <w:rsid w:val="002749E0"/>
    <w:rsid w:val="00274AA6"/>
    <w:rsid w:val="002766CD"/>
    <w:rsid w:val="002957EA"/>
    <w:rsid w:val="002A3157"/>
    <w:rsid w:val="002A5A18"/>
    <w:rsid w:val="002A5D28"/>
    <w:rsid w:val="002B1366"/>
    <w:rsid w:val="002C2543"/>
    <w:rsid w:val="002C2C8C"/>
    <w:rsid w:val="002C2D29"/>
    <w:rsid w:val="002D23BF"/>
    <w:rsid w:val="002E6190"/>
    <w:rsid w:val="002E65FA"/>
    <w:rsid w:val="002F0624"/>
    <w:rsid w:val="00300384"/>
    <w:rsid w:val="00303696"/>
    <w:rsid w:val="003040BF"/>
    <w:rsid w:val="003047C7"/>
    <w:rsid w:val="00312C39"/>
    <w:rsid w:val="00322966"/>
    <w:rsid w:val="00323C1D"/>
    <w:rsid w:val="00323C4E"/>
    <w:rsid w:val="0032438F"/>
    <w:rsid w:val="0033219B"/>
    <w:rsid w:val="0033349A"/>
    <w:rsid w:val="00333D3B"/>
    <w:rsid w:val="00334C65"/>
    <w:rsid w:val="0034223B"/>
    <w:rsid w:val="003443B2"/>
    <w:rsid w:val="00345EF4"/>
    <w:rsid w:val="00346EDA"/>
    <w:rsid w:val="00347278"/>
    <w:rsid w:val="003618A1"/>
    <w:rsid w:val="00363706"/>
    <w:rsid w:val="00363A11"/>
    <w:rsid w:val="00370B65"/>
    <w:rsid w:val="00372F74"/>
    <w:rsid w:val="003758CE"/>
    <w:rsid w:val="003776F6"/>
    <w:rsid w:val="00381875"/>
    <w:rsid w:val="003818EB"/>
    <w:rsid w:val="00386DC2"/>
    <w:rsid w:val="003919E7"/>
    <w:rsid w:val="00391A45"/>
    <w:rsid w:val="00392DE3"/>
    <w:rsid w:val="003A12BF"/>
    <w:rsid w:val="003A5A36"/>
    <w:rsid w:val="003A5D5A"/>
    <w:rsid w:val="003A6C59"/>
    <w:rsid w:val="003B45D4"/>
    <w:rsid w:val="003B5529"/>
    <w:rsid w:val="003B79FF"/>
    <w:rsid w:val="003D2F50"/>
    <w:rsid w:val="003F7224"/>
    <w:rsid w:val="003F7485"/>
    <w:rsid w:val="00410590"/>
    <w:rsid w:val="00410F0F"/>
    <w:rsid w:val="00414B98"/>
    <w:rsid w:val="00415BD8"/>
    <w:rsid w:val="004177E3"/>
    <w:rsid w:val="004208DE"/>
    <w:rsid w:val="00425192"/>
    <w:rsid w:val="00427D21"/>
    <w:rsid w:val="00430A26"/>
    <w:rsid w:val="00433E09"/>
    <w:rsid w:val="00445C1A"/>
    <w:rsid w:val="00447A51"/>
    <w:rsid w:val="0046359A"/>
    <w:rsid w:val="004644C2"/>
    <w:rsid w:val="004649A2"/>
    <w:rsid w:val="00465242"/>
    <w:rsid w:val="00467521"/>
    <w:rsid w:val="00467F9C"/>
    <w:rsid w:val="004702AE"/>
    <w:rsid w:val="004733AE"/>
    <w:rsid w:val="00480362"/>
    <w:rsid w:val="00481094"/>
    <w:rsid w:val="00484AEC"/>
    <w:rsid w:val="00486C23"/>
    <w:rsid w:val="004A74FA"/>
    <w:rsid w:val="004B1995"/>
    <w:rsid w:val="004B4CF2"/>
    <w:rsid w:val="004C04BF"/>
    <w:rsid w:val="004C1D80"/>
    <w:rsid w:val="004C33F6"/>
    <w:rsid w:val="004D552A"/>
    <w:rsid w:val="004E0031"/>
    <w:rsid w:val="004E28AF"/>
    <w:rsid w:val="004E3435"/>
    <w:rsid w:val="004E374E"/>
    <w:rsid w:val="004E47DF"/>
    <w:rsid w:val="004E6864"/>
    <w:rsid w:val="004F1B5B"/>
    <w:rsid w:val="004F4C51"/>
    <w:rsid w:val="005025F2"/>
    <w:rsid w:val="005105A4"/>
    <w:rsid w:val="00513BFF"/>
    <w:rsid w:val="00514335"/>
    <w:rsid w:val="005264CB"/>
    <w:rsid w:val="00530E07"/>
    <w:rsid w:val="00532EC0"/>
    <w:rsid w:val="00534681"/>
    <w:rsid w:val="005438FC"/>
    <w:rsid w:val="005451A3"/>
    <w:rsid w:val="005502EC"/>
    <w:rsid w:val="005560C6"/>
    <w:rsid w:val="00561770"/>
    <w:rsid w:val="0056535A"/>
    <w:rsid w:val="00567A3A"/>
    <w:rsid w:val="005709CE"/>
    <w:rsid w:val="0058513A"/>
    <w:rsid w:val="0058726C"/>
    <w:rsid w:val="005908C4"/>
    <w:rsid w:val="00594727"/>
    <w:rsid w:val="005952C2"/>
    <w:rsid w:val="005A1D08"/>
    <w:rsid w:val="005B29CB"/>
    <w:rsid w:val="005D3C08"/>
    <w:rsid w:val="005D52EF"/>
    <w:rsid w:val="005D56F0"/>
    <w:rsid w:val="005E0B51"/>
    <w:rsid w:val="005E142C"/>
    <w:rsid w:val="005F00D7"/>
    <w:rsid w:val="005F042E"/>
    <w:rsid w:val="005F2EF6"/>
    <w:rsid w:val="005F3F9A"/>
    <w:rsid w:val="0060024E"/>
    <w:rsid w:val="00604741"/>
    <w:rsid w:val="0061112E"/>
    <w:rsid w:val="006122BA"/>
    <w:rsid w:val="00621397"/>
    <w:rsid w:val="00630A06"/>
    <w:rsid w:val="00630D71"/>
    <w:rsid w:val="006313A4"/>
    <w:rsid w:val="00633D39"/>
    <w:rsid w:val="00635929"/>
    <w:rsid w:val="00635AB3"/>
    <w:rsid w:val="00641CF7"/>
    <w:rsid w:val="00645A46"/>
    <w:rsid w:val="006463AE"/>
    <w:rsid w:val="00651EFF"/>
    <w:rsid w:val="00653733"/>
    <w:rsid w:val="00661A0D"/>
    <w:rsid w:val="00665280"/>
    <w:rsid w:val="00670C15"/>
    <w:rsid w:val="006737D7"/>
    <w:rsid w:val="006802DA"/>
    <w:rsid w:val="00680547"/>
    <w:rsid w:val="0068134E"/>
    <w:rsid w:val="00681A31"/>
    <w:rsid w:val="00681B62"/>
    <w:rsid w:val="00681C92"/>
    <w:rsid w:val="006829D2"/>
    <w:rsid w:val="00683B29"/>
    <w:rsid w:val="006853EE"/>
    <w:rsid w:val="006A06EC"/>
    <w:rsid w:val="006A5C03"/>
    <w:rsid w:val="006A71C7"/>
    <w:rsid w:val="006B0CB1"/>
    <w:rsid w:val="006B2290"/>
    <w:rsid w:val="006C05A1"/>
    <w:rsid w:val="006D682B"/>
    <w:rsid w:val="006D6FE3"/>
    <w:rsid w:val="006D7654"/>
    <w:rsid w:val="006E28EC"/>
    <w:rsid w:val="006F1737"/>
    <w:rsid w:val="006F5683"/>
    <w:rsid w:val="00701CA9"/>
    <w:rsid w:val="00707EF0"/>
    <w:rsid w:val="007101F9"/>
    <w:rsid w:val="0071112E"/>
    <w:rsid w:val="00711C13"/>
    <w:rsid w:val="00711D80"/>
    <w:rsid w:val="00714028"/>
    <w:rsid w:val="00714E2E"/>
    <w:rsid w:val="00715F32"/>
    <w:rsid w:val="00717D88"/>
    <w:rsid w:val="00721570"/>
    <w:rsid w:val="0072218C"/>
    <w:rsid w:val="00723847"/>
    <w:rsid w:val="007269BB"/>
    <w:rsid w:val="007304B4"/>
    <w:rsid w:val="00732DB2"/>
    <w:rsid w:val="00734C35"/>
    <w:rsid w:val="0074030B"/>
    <w:rsid w:val="00743CBF"/>
    <w:rsid w:val="00743FB6"/>
    <w:rsid w:val="00745C08"/>
    <w:rsid w:val="0074698F"/>
    <w:rsid w:val="007509D1"/>
    <w:rsid w:val="007564DA"/>
    <w:rsid w:val="00756613"/>
    <w:rsid w:val="007705DA"/>
    <w:rsid w:val="00772D25"/>
    <w:rsid w:val="00780AA8"/>
    <w:rsid w:val="00786A55"/>
    <w:rsid w:val="007917D3"/>
    <w:rsid w:val="0079211F"/>
    <w:rsid w:val="00792EB7"/>
    <w:rsid w:val="00793765"/>
    <w:rsid w:val="007942D3"/>
    <w:rsid w:val="007A7328"/>
    <w:rsid w:val="007B0795"/>
    <w:rsid w:val="007B25F4"/>
    <w:rsid w:val="007B2EBF"/>
    <w:rsid w:val="007B6C09"/>
    <w:rsid w:val="007C00F1"/>
    <w:rsid w:val="007C2CFC"/>
    <w:rsid w:val="007C3B40"/>
    <w:rsid w:val="007D692A"/>
    <w:rsid w:val="007D7112"/>
    <w:rsid w:val="007D7D48"/>
    <w:rsid w:val="007E09DA"/>
    <w:rsid w:val="007E4BAC"/>
    <w:rsid w:val="00812131"/>
    <w:rsid w:val="00814204"/>
    <w:rsid w:val="00814552"/>
    <w:rsid w:val="0081500D"/>
    <w:rsid w:val="0081667F"/>
    <w:rsid w:val="008178B6"/>
    <w:rsid w:val="00830F11"/>
    <w:rsid w:val="00835E94"/>
    <w:rsid w:val="0083706A"/>
    <w:rsid w:val="00837BDB"/>
    <w:rsid w:val="00840499"/>
    <w:rsid w:val="008408EF"/>
    <w:rsid w:val="00850A2A"/>
    <w:rsid w:val="00854F7B"/>
    <w:rsid w:val="0086212B"/>
    <w:rsid w:val="00865B74"/>
    <w:rsid w:val="00871E71"/>
    <w:rsid w:val="008730CB"/>
    <w:rsid w:val="008763AB"/>
    <w:rsid w:val="00882745"/>
    <w:rsid w:val="00890AAF"/>
    <w:rsid w:val="00894800"/>
    <w:rsid w:val="008A01E9"/>
    <w:rsid w:val="008A0BB1"/>
    <w:rsid w:val="008A5130"/>
    <w:rsid w:val="008B0C6C"/>
    <w:rsid w:val="008B50DF"/>
    <w:rsid w:val="008C141B"/>
    <w:rsid w:val="008C1693"/>
    <w:rsid w:val="008C316A"/>
    <w:rsid w:val="008C4D41"/>
    <w:rsid w:val="008C56AE"/>
    <w:rsid w:val="008D0A94"/>
    <w:rsid w:val="008D39DD"/>
    <w:rsid w:val="008D7E33"/>
    <w:rsid w:val="008E1501"/>
    <w:rsid w:val="008E51D3"/>
    <w:rsid w:val="008E65A7"/>
    <w:rsid w:val="008F3A56"/>
    <w:rsid w:val="00911921"/>
    <w:rsid w:val="00921131"/>
    <w:rsid w:val="00922354"/>
    <w:rsid w:val="00922D20"/>
    <w:rsid w:val="009231F2"/>
    <w:rsid w:val="009272E8"/>
    <w:rsid w:val="00927687"/>
    <w:rsid w:val="00930BA1"/>
    <w:rsid w:val="00931329"/>
    <w:rsid w:val="009315F4"/>
    <w:rsid w:val="0093169E"/>
    <w:rsid w:val="00935CA5"/>
    <w:rsid w:val="00935CCA"/>
    <w:rsid w:val="00936BEE"/>
    <w:rsid w:val="00940BDB"/>
    <w:rsid w:val="00943877"/>
    <w:rsid w:val="0094563D"/>
    <w:rsid w:val="00947037"/>
    <w:rsid w:val="009505C9"/>
    <w:rsid w:val="009630EB"/>
    <w:rsid w:val="00965011"/>
    <w:rsid w:val="00973F48"/>
    <w:rsid w:val="0098391E"/>
    <w:rsid w:val="00983CCB"/>
    <w:rsid w:val="00991C04"/>
    <w:rsid w:val="00996390"/>
    <w:rsid w:val="00996399"/>
    <w:rsid w:val="00997957"/>
    <w:rsid w:val="009B57A4"/>
    <w:rsid w:val="009B6388"/>
    <w:rsid w:val="009C0169"/>
    <w:rsid w:val="009C3077"/>
    <w:rsid w:val="009C4645"/>
    <w:rsid w:val="009C73AF"/>
    <w:rsid w:val="009D21D5"/>
    <w:rsid w:val="009D4BB1"/>
    <w:rsid w:val="009E19D8"/>
    <w:rsid w:val="009E2053"/>
    <w:rsid w:val="009E2CF8"/>
    <w:rsid w:val="009E45D2"/>
    <w:rsid w:val="009F4C28"/>
    <w:rsid w:val="00A151A8"/>
    <w:rsid w:val="00A268AF"/>
    <w:rsid w:val="00A26E08"/>
    <w:rsid w:val="00A34278"/>
    <w:rsid w:val="00A35618"/>
    <w:rsid w:val="00A35D9A"/>
    <w:rsid w:val="00A36A40"/>
    <w:rsid w:val="00A44C0A"/>
    <w:rsid w:val="00A45F85"/>
    <w:rsid w:val="00A52F80"/>
    <w:rsid w:val="00A5428A"/>
    <w:rsid w:val="00A57F79"/>
    <w:rsid w:val="00A606DF"/>
    <w:rsid w:val="00A775D1"/>
    <w:rsid w:val="00A91B84"/>
    <w:rsid w:val="00A9627B"/>
    <w:rsid w:val="00AA00CD"/>
    <w:rsid w:val="00AA7541"/>
    <w:rsid w:val="00AB401B"/>
    <w:rsid w:val="00AC4891"/>
    <w:rsid w:val="00AC55EB"/>
    <w:rsid w:val="00AC7FDE"/>
    <w:rsid w:val="00AD11C2"/>
    <w:rsid w:val="00AD15B5"/>
    <w:rsid w:val="00AD197E"/>
    <w:rsid w:val="00AD225C"/>
    <w:rsid w:val="00AD3A7E"/>
    <w:rsid w:val="00AD66EF"/>
    <w:rsid w:val="00AE103D"/>
    <w:rsid w:val="00AE157E"/>
    <w:rsid w:val="00AE6E7D"/>
    <w:rsid w:val="00B002E8"/>
    <w:rsid w:val="00B06016"/>
    <w:rsid w:val="00B0758B"/>
    <w:rsid w:val="00B1264D"/>
    <w:rsid w:val="00B13948"/>
    <w:rsid w:val="00B20780"/>
    <w:rsid w:val="00B239B6"/>
    <w:rsid w:val="00B27E17"/>
    <w:rsid w:val="00B3369F"/>
    <w:rsid w:val="00B41900"/>
    <w:rsid w:val="00B43ECC"/>
    <w:rsid w:val="00B445CA"/>
    <w:rsid w:val="00B46773"/>
    <w:rsid w:val="00B5121E"/>
    <w:rsid w:val="00B53754"/>
    <w:rsid w:val="00B53790"/>
    <w:rsid w:val="00B549C4"/>
    <w:rsid w:val="00B54D87"/>
    <w:rsid w:val="00B565FB"/>
    <w:rsid w:val="00B65640"/>
    <w:rsid w:val="00B65A39"/>
    <w:rsid w:val="00B6737D"/>
    <w:rsid w:val="00B67401"/>
    <w:rsid w:val="00B766B0"/>
    <w:rsid w:val="00B779ED"/>
    <w:rsid w:val="00B80A39"/>
    <w:rsid w:val="00B87D60"/>
    <w:rsid w:val="00BA0526"/>
    <w:rsid w:val="00BA3AE8"/>
    <w:rsid w:val="00BB0EBF"/>
    <w:rsid w:val="00BB3C56"/>
    <w:rsid w:val="00BB762C"/>
    <w:rsid w:val="00BB7A9E"/>
    <w:rsid w:val="00BC3E08"/>
    <w:rsid w:val="00BC6343"/>
    <w:rsid w:val="00BD1A51"/>
    <w:rsid w:val="00BD665E"/>
    <w:rsid w:val="00BE1EB8"/>
    <w:rsid w:val="00BE3193"/>
    <w:rsid w:val="00BE477C"/>
    <w:rsid w:val="00BE516D"/>
    <w:rsid w:val="00BE743E"/>
    <w:rsid w:val="00BF0F15"/>
    <w:rsid w:val="00BF6878"/>
    <w:rsid w:val="00C03EAB"/>
    <w:rsid w:val="00C10572"/>
    <w:rsid w:val="00C1217F"/>
    <w:rsid w:val="00C157EF"/>
    <w:rsid w:val="00C167BD"/>
    <w:rsid w:val="00C16AB3"/>
    <w:rsid w:val="00C22A80"/>
    <w:rsid w:val="00C2339A"/>
    <w:rsid w:val="00C24856"/>
    <w:rsid w:val="00C4198C"/>
    <w:rsid w:val="00C47D55"/>
    <w:rsid w:val="00C512F1"/>
    <w:rsid w:val="00C62207"/>
    <w:rsid w:val="00C62224"/>
    <w:rsid w:val="00C62520"/>
    <w:rsid w:val="00C709D5"/>
    <w:rsid w:val="00C71444"/>
    <w:rsid w:val="00C864B6"/>
    <w:rsid w:val="00C91076"/>
    <w:rsid w:val="00C9161D"/>
    <w:rsid w:val="00CA132E"/>
    <w:rsid w:val="00CA2A48"/>
    <w:rsid w:val="00CB28EB"/>
    <w:rsid w:val="00CB3C79"/>
    <w:rsid w:val="00CB6CDA"/>
    <w:rsid w:val="00CB6E0A"/>
    <w:rsid w:val="00CC1FA8"/>
    <w:rsid w:val="00CD0C5B"/>
    <w:rsid w:val="00CD2DDB"/>
    <w:rsid w:val="00CD2F8E"/>
    <w:rsid w:val="00CD337B"/>
    <w:rsid w:val="00CD4714"/>
    <w:rsid w:val="00CD6426"/>
    <w:rsid w:val="00CE23BC"/>
    <w:rsid w:val="00CF1848"/>
    <w:rsid w:val="00CF2C76"/>
    <w:rsid w:val="00D01C79"/>
    <w:rsid w:val="00D05B73"/>
    <w:rsid w:val="00D12044"/>
    <w:rsid w:val="00D170B8"/>
    <w:rsid w:val="00D20A16"/>
    <w:rsid w:val="00D20E61"/>
    <w:rsid w:val="00D23ACB"/>
    <w:rsid w:val="00D30E3D"/>
    <w:rsid w:val="00D31C1C"/>
    <w:rsid w:val="00D31F5F"/>
    <w:rsid w:val="00D403BD"/>
    <w:rsid w:val="00D4105F"/>
    <w:rsid w:val="00D43F09"/>
    <w:rsid w:val="00D4540C"/>
    <w:rsid w:val="00D47AC4"/>
    <w:rsid w:val="00D50454"/>
    <w:rsid w:val="00D61C9B"/>
    <w:rsid w:val="00D6761F"/>
    <w:rsid w:val="00D7009E"/>
    <w:rsid w:val="00D7122E"/>
    <w:rsid w:val="00D71BF9"/>
    <w:rsid w:val="00D73336"/>
    <w:rsid w:val="00D7402A"/>
    <w:rsid w:val="00D74F8F"/>
    <w:rsid w:val="00D76A18"/>
    <w:rsid w:val="00D843CB"/>
    <w:rsid w:val="00D85053"/>
    <w:rsid w:val="00D86667"/>
    <w:rsid w:val="00D917C4"/>
    <w:rsid w:val="00DA125C"/>
    <w:rsid w:val="00DA2404"/>
    <w:rsid w:val="00DA39A0"/>
    <w:rsid w:val="00DA4D2E"/>
    <w:rsid w:val="00DB23FA"/>
    <w:rsid w:val="00DB5EC1"/>
    <w:rsid w:val="00DB6CDA"/>
    <w:rsid w:val="00DC78E8"/>
    <w:rsid w:val="00DD118C"/>
    <w:rsid w:val="00DD3023"/>
    <w:rsid w:val="00DD4DA5"/>
    <w:rsid w:val="00DD7F73"/>
    <w:rsid w:val="00DE6E14"/>
    <w:rsid w:val="00E02E52"/>
    <w:rsid w:val="00E0589B"/>
    <w:rsid w:val="00E11B91"/>
    <w:rsid w:val="00E22858"/>
    <w:rsid w:val="00E348EA"/>
    <w:rsid w:val="00E450B3"/>
    <w:rsid w:val="00E543B7"/>
    <w:rsid w:val="00E54BCD"/>
    <w:rsid w:val="00E57760"/>
    <w:rsid w:val="00E614B1"/>
    <w:rsid w:val="00E6339C"/>
    <w:rsid w:val="00E64714"/>
    <w:rsid w:val="00E66235"/>
    <w:rsid w:val="00E7005B"/>
    <w:rsid w:val="00E7195B"/>
    <w:rsid w:val="00E72F26"/>
    <w:rsid w:val="00E747BA"/>
    <w:rsid w:val="00E8316C"/>
    <w:rsid w:val="00E83C24"/>
    <w:rsid w:val="00E866D0"/>
    <w:rsid w:val="00E86F14"/>
    <w:rsid w:val="00E87A5F"/>
    <w:rsid w:val="00E9318D"/>
    <w:rsid w:val="00E95EBB"/>
    <w:rsid w:val="00E9605F"/>
    <w:rsid w:val="00E9779F"/>
    <w:rsid w:val="00EA0016"/>
    <w:rsid w:val="00EA02F6"/>
    <w:rsid w:val="00EA2F1D"/>
    <w:rsid w:val="00EA3ECF"/>
    <w:rsid w:val="00EB5B08"/>
    <w:rsid w:val="00EB7D1D"/>
    <w:rsid w:val="00EE3C5A"/>
    <w:rsid w:val="00EE433E"/>
    <w:rsid w:val="00EE665E"/>
    <w:rsid w:val="00EF2230"/>
    <w:rsid w:val="00EF7ACF"/>
    <w:rsid w:val="00F0091D"/>
    <w:rsid w:val="00F0566B"/>
    <w:rsid w:val="00F063C8"/>
    <w:rsid w:val="00F16FFB"/>
    <w:rsid w:val="00F20A57"/>
    <w:rsid w:val="00F34628"/>
    <w:rsid w:val="00F37F73"/>
    <w:rsid w:val="00F44531"/>
    <w:rsid w:val="00F512C2"/>
    <w:rsid w:val="00F53054"/>
    <w:rsid w:val="00F53A83"/>
    <w:rsid w:val="00F53D82"/>
    <w:rsid w:val="00F5491E"/>
    <w:rsid w:val="00F55736"/>
    <w:rsid w:val="00F6268C"/>
    <w:rsid w:val="00F632F1"/>
    <w:rsid w:val="00F657CC"/>
    <w:rsid w:val="00F74128"/>
    <w:rsid w:val="00F75EA7"/>
    <w:rsid w:val="00F76274"/>
    <w:rsid w:val="00F81035"/>
    <w:rsid w:val="00F91C22"/>
    <w:rsid w:val="00F920AC"/>
    <w:rsid w:val="00F94774"/>
    <w:rsid w:val="00F97B13"/>
    <w:rsid w:val="00FA596A"/>
    <w:rsid w:val="00FB3E7B"/>
    <w:rsid w:val="00FB4B3B"/>
    <w:rsid w:val="00FB62A2"/>
    <w:rsid w:val="00FB7E33"/>
    <w:rsid w:val="00FC1E5F"/>
    <w:rsid w:val="00FC3349"/>
    <w:rsid w:val="00FC53DB"/>
    <w:rsid w:val="00FC59F7"/>
    <w:rsid w:val="00FC66D4"/>
    <w:rsid w:val="00FD0CD0"/>
    <w:rsid w:val="00FD3EFA"/>
    <w:rsid w:val="00FD4B16"/>
    <w:rsid w:val="00FE65B9"/>
    <w:rsid w:val="00FF084B"/>
    <w:rsid w:val="00FF764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988E20E-E5BA-4223-A9F0-533F665B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ru-RU"/>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606D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471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D4714"/>
    <w:rPr>
      <w:rFonts w:ascii="Times New Roman" w:eastAsia="Times New Roman" w:hAnsi="Times New Roman" w:cs="Times New Roman"/>
      <w:b/>
      <w:bCs/>
      <w:sz w:val="20"/>
      <w:szCs w:val="20"/>
      <w:lang w:val="ru-RU"/>
    </w:rPr>
  </w:style>
  <w:style w:type="paragraph" w:styleId="Revision">
    <w:name w:val="Revision"/>
    <w:hidden/>
    <w:uiPriority w:val="99"/>
    <w:semiHidden/>
    <w:rsid w:val="00F53054"/>
    <w:rPr>
      <w:rFonts w:ascii="Times New Roman" w:eastAsia="Times New Roman" w:hAnsi="Times New Roman" w:cs="Times New Roman"/>
      <w:sz w:val="22"/>
    </w:rPr>
  </w:style>
  <w:style w:type="table" w:customStyle="1" w:styleId="TableGrid1">
    <w:name w:val="Table Grid1"/>
    <w:basedOn w:val="TableNormal"/>
    <w:next w:val="TableGrid"/>
    <w:uiPriority w:val="59"/>
    <w:rsid w:val="00AD15B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0D16E9"/>
    <w:pPr>
      <w:spacing w:after="160" w:line="240" w:lineRule="exact"/>
      <w:jc w:val="left"/>
    </w:pPr>
    <w:rPr>
      <w:rFonts w:asciiTheme="minorHAnsi" w:eastAsiaTheme="minorEastAsia" w:hAnsiTheme="minorHAnsi" w:cstheme="minorBidi"/>
      <w:vertAlign w:val="superscript"/>
    </w:rPr>
  </w:style>
  <w:style w:type="paragraph" w:customStyle="1" w:styleId="Para10">
    <w:name w:val="Para 1"/>
    <w:basedOn w:val="Normal"/>
    <w:rsid w:val="00B43ECC"/>
    <w:pPr>
      <w:tabs>
        <w:tab w:val="num" w:pos="3763"/>
      </w:tabs>
      <w:ind w:left="3403"/>
    </w:pPr>
  </w:style>
  <w:style w:type="character" w:customStyle="1" w:styleId="UnresolvedMention2">
    <w:name w:val="Unresolved Mention2"/>
    <w:basedOn w:val="DefaultParagraphFont"/>
    <w:uiPriority w:val="99"/>
    <w:semiHidden/>
    <w:unhideWhenUsed/>
    <w:rsid w:val="0074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433">
      <w:bodyDiv w:val="1"/>
      <w:marLeft w:val="0"/>
      <w:marRight w:val="0"/>
      <w:marTop w:val="0"/>
      <w:marBottom w:val="0"/>
      <w:divBdr>
        <w:top w:val="none" w:sz="0" w:space="0" w:color="auto"/>
        <w:left w:val="none" w:sz="0" w:space="0" w:color="auto"/>
        <w:bottom w:val="none" w:sz="0" w:space="0" w:color="auto"/>
        <w:right w:val="none" w:sz="0" w:space="0" w:color="auto"/>
      </w:divBdr>
    </w:div>
    <w:div w:id="6805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03cc/3d71/1b1c6b4a0920ece03ce4aefb/cp-cc-16-07-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ch.cbd.int/protocol/issues/cpb_stplan.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p-mop-09/cp-mop-09-dec-02-ru.pdf" TargetMode="External"/><Relationship Id="rId20" Type="http://schemas.openxmlformats.org/officeDocument/2006/relationships/hyperlink" Target="https://bch.cbd.int/protocol/cpb_art34_info.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p-mop-09/cp-mop-09-dec-01-ru.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679b/5453/3b1a3616b09ba37af014ca24/cp-cc-17-06-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D1B30FC3C4D85AC821BD4587F0C5B"/>
        <w:category>
          <w:name w:val="General"/>
          <w:gallery w:val="placeholder"/>
        </w:category>
        <w:types>
          <w:type w:val="bbPlcHdr"/>
        </w:types>
        <w:behaviors>
          <w:behavior w:val="content"/>
        </w:behaviors>
        <w:guid w:val="{663AB8FD-8A47-4578-A7D0-85B9BC1FF4FB}"/>
      </w:docPartPr>
      <w:docPartBody>
        <w:p w:rsidR="00BB0A77" w:rsidRDefault="000203B2">
          <w:r w:rsidRPr="002F08F4">
            <w:rPr>
              <w:rStyle w:val="PlaceholderText"/>
            </w:rPr>
            <w:t>[Subject]</w:t>
          </w:r>
        </w:p>
      </w:docPartBody>
    </w:docPart>
    <w:docPart>
      <w:docPartPr>
        <w:name w:val="5B638A896FDE44C182E6F4C321F292E9"/>
        <w:category>
          <w:name w:val="General"/>
          <w:gallery w:val="placeholder"/>
        </w:category>
        <w:types>
          <w:type w:val="bbPlcHdr"/>
        </w:types>
        <w:behaviors>
          <w:behavior w:val="content"/>
        </w:behaviors>
        <w:guid w:val="{F934AB30-DFAD-43FB-81CD-CF7126AFDCE3}"/>
      </w:docPartPr>
      <w:docPartBody>
        <w:p w:rsidR="00BB0A77" w:rsidRDefault="000203B2">
          <w:r w:rsidRPr="002F08F4">
            <w:rPr>
              <w:rStyle w:val="PlaceholderText"/>
            </w:rPr>
            <w:t>[Subject]</w:t>
          </w:r>
        </w:p>
      </w:docPartBody>
    </w:docPart>
    <w:docPart>
      <w:docPartPr>
        <w:name w:val="4BFC2725F4D34E609C1F5397B8284F5F"/>
        <w:category>
          <w:name w:val="General"/>
          <w:gallery w:val="placeholder"/>
        </w:category>
        <w:types>
          <w:type w:val="bbPlcHdr"/>
        </w:types>
        <w:behaviors>
          <w:behavior w:val="content"/>
        </w:behaviors>
        <w:guid w:val="{C0A5E306-1C1A-4340-BA71-9085B586B884}"/>
      </w:docPartPr>
      <w:docPartBody>
        <w:p w:rsidR="006A79E6" w:rsidRDefault="004B056B" w:rsidP="004B056B">
          <w:pPr>
            <w:pStyle w:val="4BFC2725F4D34E609C1F5397B8284F5F"/>
          </w:pPr>
          <w:r w:rsidRPr="00F0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03B2"/>
    <w:rsid w:val="000973F2"/>
    <w:rsid w:val="002768CC"/>
    <w:rsid w:val="0037389A"/>
    <w:rsid w:val="004B056B"/>
    <w:rsid w:val="00500A2B"/>
    <w:rsid w:val="00534735"/>
    <w:rsid w:val="0058288D"/>
    <w:rsid w:val="006801B3"/>
    <w:rsid w:val="006A79E6"/>
    <w:rsid w:val="00770D55"/>
    <w:rsid w:val="00810A55"/>
    <w:rsid w:val="008B0363"/>
    <w:rsid w:val="008C6619"/>
    <w:rsid w:val="008D420E"/>
    <w:rsid w:val="009723F0"/>
    <w:rsid w:val="0098642F"/>
    <w:rsid w:val="009B1E4B"/>
    <w:rsid w:val="00A05EC6"/>
    <w:rsid w:val="00AB5DD3"/>
    <w:rsid w:val="00B722EE"/>
    <w:rsid w:val="00BB0A77"/>
    <w:rsid w:val="00EC68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6B"/>
    <w:rPr>
      <w:color w:val="808080"/>
    </w:rPr>
  </w:style>
  <w:style w:type="paragraph" w:customStyle="1" w:styleId="4BFC2725F4D34E609C1F5397B8284F5F">
    <w:name w:val="4BFC2725F4D34E609C1F5397B8284F5F"/>
    <w:rsid w:val="004B05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B2446-9CD1-4178-8D0E-5AA94D80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0B5D8-859C-44B5-BFB7-71A810626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D9088-111C-46D7-82AE-A92131740818}">
  <ds:schemaRefs>
    <ds:schemaRef ds:uri="http://schemas.microsoft.com/sharepoint/v3/contenttype/forms"/>
  </ds:schemaRefs>
</ds:datastoreItem>
</file>

<file path=customXml/itemProps5.xml><?xml version="1.0" encoding="utf-8"?>
<ds:datastoreItem xmlns:ds="http://schemas.openxmlformats.org/officeDocument/2006/customXml" ds:itemID="{59B100D9-2873-4051-AD61-DD40588C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2601</Words>
  <Characters>14832</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Compliance Committee under the Cartagena Protocol on Biosafety on the work of its sixteenth and seventeenth meetings</vt:lpstr>
      <vt:lpstr>Report of the Compliance Committee under the Cartagena Protocol on Biosafety on the work of its sixteenth and seventeenth meetings</vt:lpstr>
    </vt:vector>
  </TitlesOfParts>
  <Company>SCBD</Company>
  <LinksUpToDate>false</LinksUpToDate>
  <CharactersWithSpaces>17399</CharactersWithSpaces>
  <SharedDoc>false</SharedDoc>
  <HLinks>
    <vt:vector size="36" baseType="variant">
      <vt:variant>
        <vt:i4>6029399</vt:i4>
      </vt:variant>
      <vt:variant>
        <vt:i4>15</vt:i4>
      </vt:variant>
      <vt:variant>
        <vt:i4>0</vt:i4>
      </vt:variant>
      <vt:variant>
        <vt:i4>5</vt:i4>
      </vt:variant>
      <vt:variant>
        <vt:lpwstr>https://bch.cbd.int/protocol/cpb_art34_info.shtml</vt:lpwstr>
      </vt:variant>
      <vt:variant>
        <vt:lpwstr/>
      </vt:variant>
      <vt:variant>
        <vt:i4>2752567</vt:i4>
      </vt:variant>
      <vt:variant>
        <vt:i4>12</vt:i4>
      </vt:variant>
      <vt:variant>
        <vt:i4>0</vt:i4>
      </vt:variant>
      <vt:variant>
        <vt:i4>5</vt:i4>
      </vt:variant>
      <vt:variant>
        <vt:lpwstr>https://www.cbd.int/doc/c/679b/5453/3b1a3616b09ba37af014ca24/cp-cc-17-06-en.pdf</vt:lpwstr>
      </vt:variant>
      <vt:variant>
        <vt:lpwstr/>
      </vt:variant>
      <vt:variant>
        <vt:i4>7340130</vt:i4>
      </vt:variant>
      <vt:variant>
        <vt:i4>9</vt:i4>
      </vt:variant>
      <vt:variant>
        <vt:i4>0</vt:i4>
      </vt:variant>
      <vt:variant>
        <vt:i4>5</vt:i4>
      </vt:variant>
      <vt:variant>
        <vt:lpwstr>https://www.cbd.int/doc/c/03cc/3d71/1b1c6b4a0920ece03ce4aefb/cp-cc-16-07-en.pdf</vt:lpwstr>
      </vt:variant>
      <vt:variant>
        <vt:lpwstr/>
      </vt:variant>
      <vt:variant>
        <vt:i4>3801181</vt:i4>
      </vt:variant>
      <vt:variant>
        <vt:i4>6</vt:i4>
      </vt:variant>
      <vt:variant>
        <vt:i4>0</vt:i4>
      </vt:variant>
      <vt:variant>
        <vt:i4>5</vt:i4>
      </vt:variant>
      <vt:variant>
        <vt:lpwstr>https://bch.cbd.int/protocol/issues/cpb_stplan.shtml</vt:lpwstr>
      </vt:variant>
      <vt:variant>
        <vt:lpwstr/>
      </vt:variant>
      <vt:variant>
        <vt:i4>7733297</vt:i4>
      </vt:variant>
      <vt:variant>
        <vt:i4>3</vt:i4>
      </vt:variant>
      <vt:variant>
        <vt:i4>0</vt:i4>
      </vt:variant>
      <vt:variant>
        <vt:i4>5</vt:i4>
      </vt:variant>
      <vt:variant>
        <vt:lpwstr>https://www.cbd.int/doc/decisions/cp-mop-09/cp-mop-09-dec-02-en.pdf</vt:lpwstr>
      </vt:variant>
      <vt:variant>
        <vt:lpwstr/>
      </vt:variant>
      <vt:variant>
        <vt:i4>7667761</vt:i4>
      </vt:variant>
      <vt:variant>
        <vt:i4>0</vt:i4>
      </vt:variant>
      <vt:variant>
        <vt:i4>0</vt:i4>
      </vt:variant>
      <vt:variant>
        <vt:i4>5</vt:i4>
      </vt:variant>
      <vt:variant>
        <vt:lpwstr>https://www.cbd.int/doc/decisions/cp-mop-09/cp-mop-09-dec-01-en.pdf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Biosafety on the work of its sixteenth and seventeenth meetings</dc:title>
  <dc:subject>CBD/CP/MOP/10/2</dc:subject>
  <dc:creator>SCBD</dc:creator>
  <cp:keywords>Conference of the Parties serving as the meeting of the Parties to the Cartagena Protocol on Biosafety, Tenth meeting, Kunming, China, 11-15 October 2021 and 25 April to 8 May 2022</cp:keywords>
  <cp:lastModifiedBy>Angela Xuehe Yan</cp:lastModifiedBy>
  <cp:revision>17</cp:revision>
  <dcterms:created xsi:type="dcterms:W3CDTF">2021-09-18T08:08:00Z</dcterms:created>
  <dcterms:modified xsi:type="dcterms:W3CDTF">2021-09-21T18:22:00Z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