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207A6E" w:rsidRPr="00385560" w:rsidTr="003D5B83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  <w:shd w:val="clear" w:color="auto" w:fill="auto"/>
          </w:tcPr>
          <w:p w:rsidR="00207A6E" w:rsidRPr="00385560" w:rsidRDefault="008605ED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Cambria" w:eastAsia="MS Mincho" w:hAnsi="Cambria"/>
                <w:snapToGrid w:val="0"/>
                <w:kern w:val="22"/>
              </w:rPr>
            </w:pPr>
            <w:r w:rsidRPr="00385560">
              <w:rPr>
                <w:rFonts w:ascii="Cambria" w:eastAsia="MS Mincho" w:hAnsi="Cambria"/>
                <w:noProof/>
                <w:snapToGrid w:val="0"/>
                <w:kern w:val="22"/>
                <w:lang w:val="es-ES" w:eastAsia="es-ES"/>
              </w:rPr>
              <w:drawing>
                <wp:inline distT="0" distB="0" distL="0" distR="0">
                  <wp:extent cx="476250" cy="400050"/>
                  <wp:effectExtent l="0" t="0" r="0" b="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  <w:shd w:val="clear" w:color="auto" w:fill="auto"/>
          </w:tcPr>
          <w:p w:rsidR="00207A6E" w:rsidRPr="00385560" w:rsidRDefault="008605ED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Cambria" w:eastAsia="MS Mincho" w:hAnsi="Cambria"/>
                <w:snapToGrid w:val="0"/>
                <w:kern w:val="22"/>
              </w:rPr>
            </w:pPr>
            <w:r w:rsidRPr="00385560">
              <w:rPr>
                <w:rFonts w:ascii="Cambria" w:eastAsia="MS Mincho" w:hAnsi="Cambria"/>
                <w:noProof/>
                <w:snapToGrid w:val="0"/>
                <w:kern w:val="22"/>
                <w:lang w:val="es-ES" w:eastAsia="es-ES"/>
              </w:rPr>
              <w:drawing>
                <wp:inline distT="0" distB="0" distL="0" distR="0">
                  <wp:extent cx="342900" cy="400050"/>
                  <wp:effectExtent l="0" t="0" r="0" b="0"/>
                  <wp:docPr id="2" name="Picture 2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  <w:shd w:val="clear" w:color="auto" w:fill="auto"/>
          </w:tcPr>
          <w:p w:rsidR="00207A6E" w:rsidRPr="00385560" w:rsidRDefault="00207A6E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eastAsia="MS Mincho" w:hAnsi="Arial" w:cs="Arial"/>
                <w:b/>
                <w:snapToGrid w:val="0"/>
                <w:kern w:val="22"/>
                <w:sz w:val="32"/>
                <w:szCs w:val="32"/>
              </w:rPr>
            </w:pPr>
            <w:r w:rsidRPr="00385560">
              <w:rPr>
                <w:rFonts w:ascii="Arial" w:eastAsia="MS Mincho" w:hAnsi="Arial" w:cs="Arial"/>
                <w:b/>
                <w:snapToGrid w:val="0"/>
                <w:kern w:val="22"/>
                <w:sz w:val="32"/>
                <w:szCs w:val="32"/>
              </w:rPr>
              <w:t>CBD</w:t>
            </w:r>
          </w:p>
        </w:tc>
      </w:tr>
    </w:tbl>
    <w:p w:rsidR="003D5B83" w:rsidRPr="00385560" w:rsidRDefault="003D5B83" w:rsidP="0038556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vanish/>
          <w:kern w:val="22"/>
        </w:rPr>
      </w:pPr>
    </w:p>
    <w:tbl>
      <w:tblPr>
        <w:tblW w:w="10348" w:type="dxa"/>
        <w:tblInd w:w="-459" w:type="dxa"/>
        <w:tblBorders>
          <w:bottom w:val="single" w:sz="3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144"/>
        <w:gridCol w:w="2977"/>
      </w:tblGrid>
      <w:tr w:rsidR="00F16F02" w:rsidRPr="002A294C" w:rsidTr="009554D5">
        <w:trPr>
          <w:trHeight w:val="1693"/>
        </w:trPr>
        <w:tc>
          <w:tcPr>
            <w:tcW w:w="6227" w:type="dxa"/>
            <w:tcBorders>
              <w:top w:val="nil"/>
              <w:bottom w:val="single" w:sz="36" w:space="0" w:color="000000"/>
            </w:tcBorders>
          </w:tcPr>
          <w:p w:rsidR="00F16F02" w:rsidRPr="00385560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</w:p>
          <w:p w:rsidR="00F16F02" w:rsidRPr="00EE4574" w:rsidRDefault="002A294C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  <w:kern w:val="2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08935" cy="1080135"/>
                  <wp:effectExtent l="19050" t="0" r="571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9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F02" w:rsidRPr="0070113D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Univers" w:hAnsi="Univers"/>
                <w:snapToGrid w:val="0"/>
                <w:kern w:val="22"/>
                <w:sz w:val="32"/>
              </w:rPr>
            </w:pPr>
          </w:p>
        </w:tc>
        <w:tc>
          <w:tcPr>
            <w:tcW w:w="1144" w:type="dxa"/>
            <w:tcBorders>
              <w:top w:val="nil"/>
              <w:bottom w:val="single" w:sz="36" w:space="0" w:color="000000"/>
            </w:tcBorders>
          </w:tcPr>
          <w:p w:rsidR="00F16F02" w:rsidRPr="00385560" w:rsidRDefault="00F16F02" w:rsidP="00385560">
            <w:pPr>
              <w:pStyle w:val="Header"/>
              <w:suppressLineNumbers/>
              <w:tabs>
                <w:tab w:val="clear" w:pos="4320"/>
                <w:tab w:val="clear" w:pos="864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b/>
                <w:snapToGrid w:val="0"/>
                <w:kern w:val="2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bottom w:val="single" w:sz="36" w:space="0" w:color="000000"/>
            </w:tcBorders>
          </w:tcPr>
          <w:p w:rsidR="00F16F02" w:rsidRPr="00B25848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  <w:r w:rsidRPr="00B25848">
              <w:rPr>
                <w:snapToGrid w:val="0"/>
                <w:kern w:val="22"/>
                <w:szCs w:val="22"/>
                <w:lang w:val="es-ES"/>
              </w:rPr>
              <w:t>Distr.</w:t>
            </w:r>
          </w:p>
          <w:p w:rsidR="00F16F02" w:rsidRPr="00B25848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  <w:r w:rsidRPr="00B25848">
              <w:rPr>
                <w:snapToGrid w:val="0"/>
                <w:kern w:val="22"/>
                <w:szCs w:val="22"/>
                <w:lang w:val="es-ES"/>
              </w:rPr>
              <w:t>GENERAL</w:t>
            </w:r>
          </w:p>
          <w:p w:rsidR="00F16F02" w:rsidRPr="00B25848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</w:p>
          <w:p w:rsidR="00F16F02" w:rsidRPr="00B25848" w:rsidRDefault="00D51069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  <w:r w:rsidRPr="00B25848">
              <w:rPr>
                <w:snapToGrid w:val="0"/>
                <w:kern w:val="22"/>
                <w:szCs w:val="22"/>
                <w:lang w:val="es-ES"/>
              </w:rPr>
              <w:t>CBD/SB</w:t>
            </w:r>
            <w:r w:rsidR="00843FF1" w:rsidRPr="00B25848">
              <w:rPr>
                <w:snapToGrid w:val="0"/>
                <w:kern w:val="22"/>
                <w:szCs w:val="22"/>
                <w:lang w:val="es-ES"/>
              </w:rPr>
              <w:t>I/</w:t>
            </w:r>
            <w:r w:rsidR="002E0627" w:rsidRPr="00B25848">
              <w:rPr>
                <w:snapToGrid w:val="0"/>
                <w:kern w:val="22"/>
                <w:szCs w:val="22"/>
                <w:lang w:val="es-ES"/>
              </w:rPr>
              <w:t>2/</w:t>
            </w:r>
            <w:r w:rsidR="00C91927" w:rsidRPr="00B25848">
              <w:rPr>
                <w:snapToGrid w:val="0"/>
                <w:kern w:val="22"/>
                <w:szCs w:val="22"/>
                <w:lang w:val="es-ES"/>
              </w:rPr>
              <w:t>1</w:t>
            </w:r>
            <w:r w:rsidR="00F25CEE" w:rsidRPr="00B25848">
              <w:rPr>
                <w:snapToGrid w:val="0"/>
                <w:kern w:val="22"/>
                <w:szCs w:val="22"/>
                <w:lang w:val="es-ES"/>
              </w:rPr>
              <w:t>5</w:t>
            </w:r>
          </w:p>
          <w:p w:rsidR="00F16F02" w:rsidRPr="002A294C" w:rsidRDefault="00B26763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  <w:r w:rsidRPr="002A294C">
              <w:rPr>
                <w:snapToGrid w:val="0"/>
                <w:kern w:val="22"/>
                <w:szCs w:val="22"/>
                <w:lang w:val="es-ES"/>
              </w:rPr>
              <w:t>2</w:t>
            </w:r>
            <w:r w:rsidR="0073740F" w:rsidRPr="002A294C">
              <w:rPr>
                <w:snapToGrid w:val="0"/>
                <w:kern w:val="22"/>
                <w:szCs w:val="22"/>
                <w:lang w:val="es-ES"/>
              </w:rPr>
              <w:t>5</w:t>
            </w:r>
            <w:r w:rsidRPr="002A294C">
              <w:rPr>
                <w:snapToGrid w:val="0"/>
                <w:kern w:val="22"/>
                <w:szCs w:val="22"/>
                <w:lang w:val="es-ES"/>
              </w:rPr>
              <w:t xml:space="preserve"> </w:t>
            </w:r>
            <w:r w:rsidR="002A294C" w:rsidRPr="002A294C">
              <w:rPr>
                <w:snapToGrid w:val="0"/>
                <w:kern w:val="22"/>
                <w:szCs w:val="22"/>
                <w:lang w:val="es-ES"/>
              </w:rPr>
              <w:t>de mayo de</w:t>
            </w:r>
            <w:r w:rsidR="00D15589" w:rsidRPr="002A294C">
              <w:rPr>
                <w:snapToGrid w:val="0"/>
                <w:kern w:val="22"/>
                <w:szCs w:val="22"/>
                <w:lang w:val="es-ES"/>
              </w:rPr>
              <w:t xml:space="preserve"> 2018</w:t>
            </w:r>
          </w:p>
          <w:p w:rsidR="00F16F02" w:rsidRPr="002A294C" w:rsidRDefault="00F16F02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</w:p>
          <w:p w:rsidR="002A294C" w:rsidRPr="002A294C" w:rsidRDefault="002A294C" w:rsidP="003855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lang w:val="es-ES"/>
              </w:rPr>
            </w:pPr>
            <w:r w:rsidRPr="002A294C">
              <w:rPr>
                <w:snapToGrid w:val="0"/>
                <w:kern w:val="22"/>
                <w:szCs w:val="22"/>
                <w:lang w:val="es-ES"/>
              </w:rPr>
              <w:t>ESPAÑOL</w:t>
            </w:r>
          </w:p>
          <w:p w:rsidR="00F16F02" w:rsidRPr="002A294C" w:rsidRDefault="00F16F02" w:rsidP="002A294C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0"/>
              <w:rPr>
                <w:snapToGrid w:val="0"/>
                <w:kern w:val="22"/>
                <w:szCs w:val="22"/>
                <w:u w:val="single"/>
                <w:lang w:val="es-ES"/>
              </w:rPr>
            </w:pPr>
            <w:r w:rsidRPr="002A294C">
              <w:rPr>
                <w:snapToGrid w:val="0"/>
                <w:kern w:val="22"/>
                <w:szCs w:val="22"/>
                <w:lang w:val="es-ES"/>
              </w:rPr>
              <w:t xml:space="preserve">ORIGINAL:  </w:t>
            </w:r>
            <w:r w:rsidR="002A294C" w:rsidRPr="002A294C">
              <w:rPr>
                <w:snapToGrid w:val="0"/>
                <w:kern w:val="22"/>
                <w:szCs w:val="22"/>
                <w:lang w:val="es-ES"/>
              </w:rPr>
              <w:t>I</w:t>
            </w:r>
            <w:r w:rsidRPr="002A294C">
              <w:rPr>
                <w:snapToGrid w:val="0"/>
                <w:kern w:val="22"/>
                <w:szCs w:val="22"/>
                <w:lang w:val="es-ES"/>
              </w:rPr>
              <w:t>NGL</w:t>
            </w:r>
            <w:r w:rsidR="002A294C" w:rsidRPr="002A294C">
              <w:rPr>
                <w:snapToGrid w:val="0"/>
                <w:kern w:val="22"/>
                <w:szCs w:val="22"/>
                <w:lang w:val="es-ES"/>
              </w:rPr>
              <w:t>ÉS</w:t>
            </w:r>
          </w:p>
        </w:tc>
      </w:tr>
    </w:tbl>
    <w:p w:rsidR="00CA6B87" w:rsidRPr="002A294C" w:rsidRDefault="002A294C" w:rsidP="00385560">
      <w:pPr>
        <w:pStyle w:val="meetingname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4398"/>
        <w:rPr>
          <w:kern w:val="22"/>
          <w:szCs w:val="22"/>
          <w:lang w:val="es-ES"/>
        </w:rPr>
      </w:pPr>
      <w:bookmarkStart w:id="0" w:name="Meeting"/>
      <w:r w:rsidRPr="002A294C">
        <w:rPr>
          <w:kern w:val="22"/>
          <w:lang w:val="es-ES"/>
        </w:rPr>
        <w:t>Órgano subsidiario sobre la aplicaci</w:t>
      </w:r>
      <w:r>
        <w:rPr>
          <w:kern w:val="22"/>
          <w:lang w:val="es-ES"/>
        </w:rPr>
        <w:t>ón</w:t>
      </w:r>
      <w:bookmarkEnd w:id="0"/>
    </w:p>
    <w:p w:rsidR="00D51069" w:rsidRPr="002A294C" w:rsidRDefault="002E0627" w:rsidP="0038556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Cs w:val="22"/>
          <w:lang w:val="es-ES" w:eastAsia="nb-NO"/>
        </w:rPr>
      </w:pPr>
      <w:r w:rsidRPr="002A294C">
        <w:rPr>
          <w:snapToGrid w:val="0"/>
          <w:kern w:val="22"/>
          <w:szCs w:val="22"/>
          <w:lang w:val="es-ES" w:eastAsia="nb-NO"/>
        </w:rPr>
        <w:t>S</w:t>
      </w:r>
      <w:r w:rsidR="00FB3B70" w:rsidRPr="002A294C">
        <w:rPr>
          <w:snapToGrid w:val="0"/>
          <w:kern w:val="22"/>
          <w:szCs w:val="22"/>
          <w:lang w:val="es-ES" w:eastAsia="nb-NO"/>
        </w:rPr>
        <w:t>e</w:t>
      </w:r>
      <w:r w:rsidR="002A294C" w:rsidRPr="002A294C">
        <w:rPr>
          <w:snapToGrid w:val="0"/>
          <w:kern w:val="22"/>
          <w:szCs w:val="22"/>
          <w:lang w:val="es-ES" w:eastAsia="nb-NO"/>
        </w:rPr>
        <w:t>gunda reunión</w:t>
      </w:r>
    </w:p>
    <w:p w:rsidR="00CA6B87" w:rsidRPr="002A294C" w:rsidRDefault="00D51069" w:rsidP="0038556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Cs w:val="22"/>
          <w:lang w:val="es-ES" w:eastAsia="nb-NO"/>
        </w:rPr>
      </w:pPr>
      <w:r w:rsidRPr="002A294C">
        <w:rPr>
          <w:snapToGrid w:val="0"/>
          <w:kern w:val="22"/>
          <w:szCs w:val="22"/>
          <w:lang w:val="es-ES" w:eastAsia="nb-NO"/>
        </w:rPr>
        <w:t>Montreal</w:t>
      </w:r>
      <w:r w:rsidR="00CA6B87" w:rsidRPr="002A294C">
        <w:rPr>
          <w:snapToGrid w:val="0"/>
          <w:kern w:val="22"/>
          <w:szCs w:val="22"/>
          <w:lang w:val="es-ES" w:eastAsia="nb-NO"/>
        </w:rPr>
        <w:t xml:space="preserve">, </w:t>
      </w:r>
      <w:r w:rsidRPr="002A294C">
        <w:rPr>
          <w:snapToGrid w:val="0"/>
          <w:kern w:val="22"/>
          <w:szCs w:val="22"/>
          <w:lang w:val="es-ES" w:eastAsia="nb-NO"/>
        </w:rPr>
        <w:t>Canad</w:t>
      </w:r>
      <w:r w:rsidR="002A294C" w:rsidRPr="002A294C">
        <w:rPr>
          <w:snapToGrid w:val="0"/>
          <w:kern w:val="22"/>
          <w:szCs w:val="22"/>
          <w:lang w:val="es-ES" w:eastAsia="nb-NO"/>
        </w:rPr>
        <w:t>á</w:t>
      </w:r>
      <w:r w:rsidRPr="002A294C">
        <w:rPr>
          <w:snapToGrid w:val="0"/>
          <w:kern w:val="22"/>
          <w:szCs w:val="22"/>
          <w:lang w:val="es-ES" w:eastAsia="nb-NO"/>
        </w:rPr>
        <w:t xml:space="preserve">, </w:t>
      </w:r>
      <w:r w:rsidR="002E0627" w:rsidRPr="002A294C">
        <w:rPr>
          <w:snapToGrid w:val="0"/>
          <w:kern w:val="22"/>
          <w:szCs w:val="22"/>
          <w:lang w:val="es-ES" w:eastAsia="nb-NO"/>
        </w:rPr>
        <w:t>9</w:t>
      </w:r>
      <w:r w:rsidR="002A294C" w:rsidRPr="002A294C">
        <w:rPr>
          <w:snapToGrid w:val="0"/>
          <w:kern w:val="22"/>
          <w:szCs w:val="22"/>
          <w:lang w:val="es-ES" w:eastAsia="nb-NO"/>
        </w:rPr>
        <w:t xml:space="preserve"> a </w:t>
      </w:r>
      <w:r w:rsidR="002E0627" w:rsidRPr="002A294C">
        <w:rPr>
          <w:snapToGrid w:val="0"/>
          <w:kern w:val="22"/>
          <w:szCs w:val="22"/>
          <w:lang w:val="es-ES" w:eastAsia="nb-NO"/>
        </w:rPr>
        <w:t>13</w:t>
      </w:r>
      <w:r w:rsidR="00D15589" w:rsidRPr="002A294C">
        <w:rPr>
          <w:snapToGrid w:val="0"/>
          <w:kern w:val="22"/>
          <w:szCs w:val="22"/>
          <w:lang w:val="es-ES" w:eastAsia="nb-NO"/>
        </w:rPr>
        <w:t xml:space="preserve"> </w:t>
      </w:r>
      <w:r w:rsidR="002A294C" w:rsidRPr="002A294C">
        <w:rPr>
          <w:snapToGrid w:val="0"/>
          <w:kern w:val="22"/>
          <w:szCs w:val="22"/>
          <w:lang w:val="es-ES" w:eastAsia="nb-NO"/>
        </w:rPr>
        <w:t>de julio de</w:t>
      </w:r>
      <w:r w:rsidR="00D15589" w:rsidRPr="002A294C">
        <w:rPr>
          <w:snapToGrid w:val="0"/>
          <w:kern w:val="22"/>
          <w:szCs w:val="22"/>
          <w:lang w:val="es-ES" w:eastAsia="nb-NO"/>
        </w:rPr>
        <w:t xml:space="preserve"> 2018</w:t>
      </w:r>
    </w:p>
    <w:p w:rsidR="00CA6B87" w:rsidRPr="00B25848" w:rsidRDefault="002A294C" w:rsidP="00385560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Cs w:val="22"/>
          <w:lang w:val="es-ES" w:eastAsia="nb-NO"/>
        </w:rPr>
      </w:pPr>
      <w:r w:rsidRPr="00B25848">
        <w:rPr>
          <w:snapToGrid w:val="0"/>
          <w:kern w:val="22"/>
          <w:szCs w:val="22"/>
          <w:lang w:val="es-ES" w:eastAsia="nb-NO"/>
        </w:rPr>
        <w:t>Tema</w:t>
      </w:r>
      <w:r w:rsidR="00CA6B87" w:rsidRPr="00B25848">
        <w:rPr>
          <w:snapToGrid w:val="0"/>
          <w:kern w:val="22"/>
          <w:szCs w:val="22"/>
          <w:lang w:val="es-ES" w:eastAsia="nb-NO"/>
        </w:rPr>
        <w:t xml:space="preserve"> </w:t>
      </w:r>
      <w:r w:rsidR="00CE3C3C" w:rsidRPr="00B25848">
        <w:rPr>
          <w:snapToGrid w:val="0"/>
          <w:kern w:val="22"/>
          <w:szCs w:val="22"/>
          <w:lang w:val="es-ES" w:eastAsia="nb-NO"/>
        </w:rPr>
        <w:t>14</w:t>
      </w:r>
      <w:r w:rsidR="00D51069" w:rsidRPr="00B25848">
        <w:rPr>
          <w:snapToGrid w:val="0"/>
          <w:kern w:val="22"/>
          <w:szCs w:val="22"/>
          <w:lang w:val="es-ES" w:eastAsia="nb-NO"/>
        </w:rPr>
        <w:t xml:space="preserve"> </w:t>
      </w:r>
      <w:r w:rsidRPr="00B25848">
        <w:rPr>
          <w:snapToGrid w:val="0"/>
          <w:kern w:val="22"/>
          <w:szCs w:val="22"/>
          <w:lang w:val="es-ES" w:eastAsia="nb-NO"/>
        </w:rPr>
        <w:t xml:space="preserve">del programa </w:t>
      </w:r>
      <w:r w:rsidR="00D51069" w:rsidRPr="00B25848">
        <w:rPr>
          <w:snapToGrid w:val="0"/>
          <w:kern w:val="22"/>
          <w:szCs w:val="22"/>
          <w:lang w:val="es-ES" w:eastAsia="nb-NO"/>
        </w:rPr>
        <w:t>provisional</w:t>
      </w:r>
      <w:r w:rsidR="00D51069" w:rsidRPr="00B25848">
        <w:rPr>
          <w:rStyle w:val="FootnoteReference"/>
          <w:snapToGrid w:val="0"/>
          <w:kern w:val="22"/>
          <w:szCs w:val="22"/>
          <w:u w:val="none"/>
          <w:lang w:val="es-ES" w:eastAsia="nb-NO"/>
        </w:rPr>
        <w:footnoteReference w:customMarkFollows="1" w:id="1"/>
        <w:t>*</w:t>
      </w:r>
    </w:p>
    <w:p w:rsidR="00406BC6" w:rsidRPr="00AF6A2C" w:rsidRDefault="00142FFB" w:rsidP="00385560">
      <w:pPr>
        <w:pStyle w:val="Heading1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ascii="Times New Roman Bold" w:hAnsi="Times New Roman Bold" w:cs="Times New Roman Bold"/>
          <w:snapToGrid w:val="0"/>
          <w:kern w:val="22"/>
          <w:lang w:val="es-ES"/>
        </w:rPr>
      </w:pPr>
      <w:sdt>
        <w:sdtPr>
          <w:rPr>
            <w:rFonts w:ascii="Times New Roman Bold" w:hAnsi="Times New Roman Bold" w:cs="Times New Roman Bold"/>
            <w:snapToGrid w:val="0"/>
            <w:kern w:val="22"/>
            <w:sz w:val="18"/>
            <w:szCs w:val="22"/>
            <w:u w:val="single"/>
            <w:lang w:val="es-ES"/>
          </w:rPr>
          <w:alias w:val="Title"/>
          <w:tag w:val=""/>
          <w:id w:val="848682589"/>
          <w:placeholder>
            <w:docPart w:val="F4AFBC8C6548485C98839CC7DBDC9B7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F6A2C" w:rsidRPr="00AF6A2C">
            <w:rPr>
              <w:rFonts w:ascii="Times New Roman Bold" w:hAnsi="Times New Roman Bold" w:cs="Times New Roman Bold"/>
              <w:snapToGrid w:val="0"/>
              <w:kern w:val="22"/>
              <w:szCs w:val="22"/>
              <w:lang w:val="es-ES"/>
            </w:rPr>
            <w:t>ENFOQUES INTEGRADOS RESPECTO A CUESTIONES SITUADAS EN LA INTERFAZ ENTRE LAS DISPOSICIONES RELACIONADAS CON LA SEGURIDAD DE LA BIOTECNOLOG</w:t>
          </w:r>
          <w:r w:rsidR="00AF6A2C">
            <w:rPr>
              <w:rFonts w:ascii="Times New Roman Bold" w:hAnsi="Times New Roman Bold" w:cs="Times New Roman Bold"/>
              <w:snapToGrid w:val="0"/>
              <w:kern w:val="22"/>
              <w:szCs w:val="22"/>
              <w:lang w:val="es-ES"/>
            </w:rPr>
            <w:t xml:space="preserve">ÍA DEL CONVENIO Y LAS DISPOSICIONES DEL PROTOCOLO DE </w:t>
          </w:r>
          <w:r w:rsidR="001B0612" w:rsidRPr="00AF6A2C">
            <w:rPr>
              <w:rFonts w:ascii="Times New Roman Bold" w:hAnsi="Times New Roman Bold" w:cs="Times New Roman Bold"/>
              <w:snapToGrid w:val="0"/>
              <w:kern w:val="22"/>
              <w:szCs w:val="22"/>
              <w:lang w:val="es-ES"/>
            </w:rPr>
            <w:t>Cartagena</w:t>
          </w:r>
        </w:sdtContent>
      </w:sdt>
    </w:p>
    <w:p w:rsidR="00EF44CA" w:rsidRPr="00AF6A2C" w:rsidRDefault="00C85EA4" w:rsidP="00385560">
      <w:pPr>
        <w:pStyle w:val="Heading2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b w:val="0"/>
          <w:i/>
          <w:snapToGrid w:val="0"/>
          <w:kern w:val="22"/>
          <w:lang w:val="es-ES"/>
        </w:rPr>
      </w:pPr>
      <w:r w:rsidRPr="00AF6A2C">
        <w:rPr>
          <w:b w:val="0"/>
          <w:i/>
          <w:snapToGrid w:val="0"/>
          <w:kern w:val="22"/>
          <w:lang w:val="es-ES"/>
        </w:rPr>
        <w:t>Not</w:t>
      </w:r>
      <w:r w:rsidR="00AF6A2C" w:rsidRPr="00AF6A2C">
        <w:rPr>
          <w:b w:val="0"/>
          <w:i/>
          <w:snapToGrid w:val="0"/>
          <w:kern w:val="22"/>
          <w:lang w:val="es-ES"/>
        </w:rPr>
        <w:t>a de la Secretaria Ejecutiva</w:t>
      </w:r>
    </w:p>
    <w:p w:rsidR="00246E61" w:rsidRPr="00AF6A2C" w:rsidRDefault="00246E61" w:rsidP="00385560">
      <w:pPr>
        <w:keepNext/>
        <w:kinsoku w:val="0"/>
        <w:overflowPunct w:val="0"/>
        <w:autoSpaceDE w:val="0"/>
        <w:autoSpaceDN w:val="0"/>
        <w:adjustRightInd w:val="0"/>
        <w:snapToGrid w:val="0"/>
        <w:spacing w:before="120" w:after="120"/>
        <w:jc w:val="center"/>
        <w:rPr>
          <w:rFonts w:ascii="Times New Roman Bold" w:hAnsi="Times New Roman Bold" w:cs="Times New Roman Bold"/>
          <w:b/>
          <w:bCs/>
          <w:caps/>
          <w:lang w:val="es-ES"/>
        </w:rPr>
      </w:pPr>
      <w:r w:rsidRPr="00AF6A2C">
        <w:rPr>
          <w:rFonts w:ascii="Times New Roman Bold" w:hAnsi="Times New Roman Bold" w:cs="Times New Roman Bold"/>
          <w:b/>
          <w:bCs/>
          <w:caps/>
          <w:lang w:val="es-ES"/>
        </w:rPr>
        <w:t>Introduc</w:t>
      </w:r>
      <w:r w:rsidR="00AF6A2C" w:rsidRPr="00AF6A2C">
        <w:rPr>
          <w:rFonts w:ascii="Times New Roman Bold" w:hAnsi="Times New Roman Bold" w:cs="Times New Roman Bold"/>
          <w:b/>
          <w:bCs/>
          <w:caps/>
          <w:lang w:val="es-ES"/>
        </w:rPr>
        <w:t>CIÓN</w:t>
      </w:r>
    </w:p>
    <w:p w:rsidR="009E5F7E" w:rsidRPr="00AF6A2C" w:rsidRDefault="00AF6A2C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AF6A2C">
        <w:rPr>
          <w:kern w:val="22"/>
          <w:lang w:val="es-ES"/>
        </w:rPr>
        <w:t>En el párrafo 10 de la decisión</w:t>
      </w:r>
      <w:r w:rsidR="009E5F7E" w:rsidRPr="00AF6A2C">
        <w:rPr>
          <w:kern w:val="22"/>
          <w:lang w:val="es-ES"/>
        </w:rPr>
        <w:t xml:space="preserve"> </w:t>
      </w:r>
      <w:hyperlink r:id="rId11" w:history="1">
        <w:r w:rsidR="009E5F7E" w:rsidRPr="00AF6A2C">
          <w:rPr>
            <w:rStyle w:val="Hyperlink"/>
            <w:kern w:val="22"/>
            <w:lang w:val="es-ES"/>
          </w:rPr>
          <w:t>BS-VII/5</w:t>
        </w:r>
      </w:hyperlink>
      <w:r w:rsidR="009E5F7E" w:rsidRPr="00AF6A2C">
        <w:rPr>
          <w:kern w:val="22"/>
          <w:lang w:val="es-ES"/>
        </w:rPr>
        <w:t xml:space="preserve">, </w:t>
      </w:r>
      <w:r w:rsidRPr="00AF6A2C">
        <w:rPr>
          <w:kern w:val="22"/>
          <w:lang w:val="es-ES"/>
        </w:rPr>
        <w:t xml:space="preserve">la Conferencia de las Partes que actúa como reunión de las Partes en el Protocolo de </w:t>
      </w:r>
      <w:r w:rsidR="009E5F7E" w:rsidRPr="00AF6A2C">
        <w:rPr>
          <w:kern w:val="22"/>
          <w:lang w:val="es-ES"/>
        </w:rPr>
        <w:t xml:space="preserve">Cartagena </w:t>
      </w:r>
      <w:r w:rsidRPr="00AF6A2C">
        <w:rPr>
          <w:kern w:val="22"/>
          <w:lang w:val="es-ES"/>
        </w:rPr>
        <w:t>sobre Seguridad de la Biotecnología</w:t>
      </w:r>
      <w:r w:rsidR="006D7B65">
        <w:rPr>
          <w:kern w:val="22"/>
          <w:lang w:val="es-ES"/>
        </w:rPr>
        <w:t xml:space="preserve"> instó a</w:t>
      </w:r>
      <w:r w:rsidRPr="00AF6A2C">
        <w:rPr>
          <w:kern w:val="22"/>
          <w:lang w:val="es-ES"/>
        </w:rPr>
        <w:t xml:space="preserve"> las Partes e</w:t>
      </w:r>
      <w:r w:rsidR="006D7B65">
        <w:rPr>
          <w:kern w:val="22"/>
          <w:lang w:val="es-ES"/>
        </w:rPr>
        <w:t xml:space="preserve"> invitó </w:t>
      </w:r>
      <w:r>
        <w:rPr>
          <w:kern w:val="22"/>
          <w:lang w:val="es-ES"/>
        </w:rPr>
        <w:t>a otros Gobiernos a integrar y priorizar</w:t>
      </w:r>
      <w:r w:rsidR="009E5F7E" w:rsidRPr="00AF6A2C">
        <w:rPr>
          <w:kern w:val="22"/>
          <w:lang w:val="es-ES"/>
        </w:rPr>
        <w:t xml:space="preserve"> </w:t>
      </w:r>
      <w:r>
        <w:rPr>
          <w:kern w:val="22"/>
          <w:lang w:val="es-ES"/>
        </w:rPr>
        <w:t xml:space="preserve">la seguridad de la biotecnología en sus estrategias y planes de acción nacionales en materia de biodiversidad </w:t>
      </w:r>
      <w:r w:rsidR="00BA3820" w:rsidRPr="00AF6A2C">
        <w:rPr>
          <w:kern w:val="22"/>
          <w:lang w:val="es-ES"/>
        </w:rPr>
        <w:t>(</w:t>
      </w:r>
      <w:r>
        <w:rPr>
          <w:kern w:val="22"/>
          <w:lang w:val="es-ES"/>
        </w:rPr>
        <w:t>EPANB) y</w:t>
      </w:r>
      <w:r w:rsidR="009E5F7E" w:rsidRPr="00AF6A2C">
        <w:rPr>
          <w:kern w:val="22"/>
          <w:lang w:val="es-ES"/>
        </w:rPr>
        <w:t xml:space="preserve"> </w:t>
      </w:r>
      <w:r>
        <w:rPr>
          <w:kern w:val="22"/>
          <w:lang w:val="es-ES"/>
        </w:rPr>
        <w:t>planes y programas nacionales de desarrollo</w:t>
      </w:r>
      <w:r w:rsidR="009E5F7E" w:rsidRPr="00AF6A2C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según proceda</w:t>
      </w:r>
      <w:r w:rsidR="009E5F7E" w:rsidRPr="00AF6A2C">
        <w:rPr>
          <w:kern w:val="22"/>
          <w:lang w:val="es-ES"/>
        </w:rPr>
        <w:t>.</w:t>
      </w:r>
    </w:p>
    <w:p w:rsidR="009E5F7E" w:rsidRPr="00DA38BB" w:rsidRDefault="00AF6A2C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DA38BB">
        <w:rPr>
          <w:kern w:val="22"/>
          <w:lang w:val="es-ES"/>
        </w:rPr>
        <w:t>En el párrafo 9 de la decisión</w:t>
      </w:r>
      <w:r w:rsidR="009E5F7E" w:rsidRPr="00DA38BB">
        <w:rPr>
          <w:kern w:val="22"/>
          <w:lang w:val="es-ES"/>
        </w:rPr>
        <w:t xml:space="preserve"> </w:t>
      </w:r>
      <w:hyperlink r:id="rId12" w:history="1">
        <w:r w:rsidR="009E5F7E" w:rsidRPr="00DA38BB">
          <w:rPr>
            <w:rStyle w:val="Hyperlink"/>
            <w:kern w:val="22"/>
            <w:lang w:val="es-ES"/>
          </w:rPr>
          <w:t>XII/29</w:t>
        </w:r>
      </w:hyperlink>
      <w:r w:rsidR="009E5F7E" w:rsidRPr="00DA38BB">
        <w:rPr>
          <w:kern w:val="22"/>
          <w:lang w:val="es-ES"/>
        </w:rPr>
        <w:t xml:space="preserve">, </w:t>
      </w:r>
      <w:r w:rsidR="008C3091" w:rsidRPr="00DA38BB">
        <w:rPr>
          <w:kern w:val="22"/>
          <w:lang w:val="es-ES"/>
        </w:rPr>
        <w:t>la Conferencia de las Partes</w:t>
      </w:r>
      <w:r w:rsidR="006D7B65">
        <w:rPr>
          <w:kern w:val="22"/>
          <w:lang w:val="es-ES"/>
        </w:rPr>
        <w:t xml:space="preserve"> alentó </w:t>
      </w:r>
      <w:r w:rsidR="008C3091" w:rsidRPr="00DA38BB">
        <w:rPr>
          <w:kern w:val="22"/>
          <w:lang w:val="es-ES"/>
        </w:rPr>
        <w:t>a las Partes a</w:t>
      </w:r>
      <w:r w:rsidR="00DA38BB" w:rsidRPr="00DA38BB">
        <w:rPr>
          <w:kern w:val="22"/>
          <w:lang w:val="es-ES"/>
        </w:rPr>
        <w:t xml:space="preserve"> integrar la seguridad de la biotecnología y el acceso y la participaci</w:t>
      </w:r>
      <w:r w:rsidR="00DA38BB">
        <w:rPr>
          <w:kern w:val="22"/>
          <w:lang w:val="es-ES"/>
        </w:rPr>
        <w:t xml:space="preserve">ón en los beneficios en estrategias y planes de acción nacionales en materia de biodiversidad, planes nacionales de desarrollo y otras políticas, planes y programas sectoriales e intersectoriales pertinentes, según proceda, </w:t>
      </w:r>
      <w:r w:rsidR="00DA38BB">
        <w:rPr>
          <w:rFonts w:eastAsia="MS Mincho"/>
          <w:iCs/>
          <w:kern w:val="22"/>
          <w:szCs w:val="22"/>
          <w:lang w:val="es-ES"/>
        </w:rPr>
        <w:t>teniendo en cuenta las circunstancias, leyes y prioridades nacionales</w:t>
      </w:r>
      <w:r w:rsidR="00786B2B" w:rsidRPr="00DA38BB">
        <w:rPr>
          <w:rFonts w:eastAsia="MS Mincho"/>
          <w:iCs/>
          <w:kern w:val="22"/>
          <w:szCs w:val="22"/>
          <w:lang w:val="es-ES"/>
        </w:rPr>
        <w:t>.</w:t>
      </w:r>
    </w:p>
    <w:p w:rsidR="009E5F7E" w:rsidRPr="00DA38BB" w:rsidRDefault="00DA38BB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DA38BB">
        <w:rPr>
          <w:kern w:val="22"/>
          <w:lang w:val="es-ES"/>
        </w:rPr>
        <w:t xml:space="preserve">Asimismo, en el párrafo </w:t>
      </w:r>
      <w:r w:rsidR="00786B2B" w:rsidRPr="00DA38BB">
        <w:rPr>
          <w:kern w:val="22"/>
          <w:lang w:val="es-ES"/>
        </w:rPr>
        <w:t xml:space="preserve">1 </w:t>
      </w:r>
      <w:r w:rsidRPr="00DA38BB">
        <w:rPr>
          <w:kern w:val="22"/>
          <w:lang w:val="es-ES"/>
        </w:rPr>
        <w:t>de la decisión</w:t>
      </w:r>
      <w:r w:rsidR="009E5F7E" w:rsidRPr="00DA38BB">
        <w:rPr>
          <w:kern w:val="22"/>
          <w:lang w:val="es-ES"/>
        </w:rPr>
        <w:t xml:space="preserve"> </w:t>
      </w:r>
      <w:hyperlink r:id="rId13" w:history="1">
        <w:r w:rsidR="009E5F7E" w:rsidRPr="00DA38BB">
          <w:rPr>
            <w:rStyle w:val="Hyperlink"/>
            <w:kern w:val="22"/>
            <w:lang w:val="es-ES"/>
          </w:rPr>
          <w:t>XIII/26</w:t>
        </w:r>
      </w:hyperlink>
      <w:r w:rsidR="009E5F7E" w:rsidRPr="00DA38BB">
        <w:rPr>
          <w:kern w:val="22"/>
          <w:lang w:val="es-ES"/>
        </w:rPr>
        <w:t xml:space="preserve"> </w:t>
      </w:r>
      <w:r w:rsidRPr="00DA38BB">
        <w:rPr>
          <w:kern w:val="22"/>
          <w:lang w:val="es-ES"/>
        </w:rPr>
        <w:t>sobre la mayor integración entre el Convenio y sus Protocolos y mejora de la organización de las reuniones</w:t>
      </w:r>
      <w:r w:rsidR="009E5F7E" w:rsidRPr="00DA38BB">
        <w:rPr>
          <w:kern w:val="22"/>
          <w:lang w:val="es-ES"/>
        </w:rPr>
        <w:t xml:space="preserve">, </w:t>
      </w:r>
      <w:r w:rsidRPr="00DA38BB">
        <w:rPr>
          <w:kern w:val="22"/>
          <w:lang w:val="es-ES"/>
        </w:rPr>
        <w:t xml:space="preserve">la Conferencia de las Partes pidió al Secretario Ejecutivo que preparase una nota sobre posibles formas y medios de promover enfoques integrados para aquellas cuestiones que estuviesen </w:t>
      </w:r>
      <w:r>
        <w:rPr>
          <w:kern w:val="22"/>
          <w:lang w:val="es-ES"/>
        </w:rPr>
        <w:t xml:space="preserve">en la intersección de las disposiciones del </w:t>
      </w:r>
      <w:hyperlink r:id="rId14" w:history="1">
        <w:r w:rsidR="009E5F7E" w:rsidRPr="00DA38BB">
          <w:rPr>
            <w:rStyle w:val="Hyperlink"/>
            <w:kern w:val="22"/>
            <w:lang w:val="es-ES"/>
          </w:rPr>
          <w:t>Con</w:t>
        </w:r>
        <w:r w:rsidR="00C7078D">
          <w:rPr>
            <w:rStyle w:val="Hyperlink"/>
            <w:kern w:val="22"/>
            <w:lang w:val="es-ES"/>
          </w:rPr>
          <w:t>v</w:t>
        </w:r>
        <w:r w:rsidR="009E5F7E" w:rsidRPr="00DA38BB">
          <w:rPr>
            <w:rStyle w:val="Hyperlink"/>
            <w:kern w:val="22"/>
            <w:lang w:val="es-ES"/>
          </w:rPr>
          <w:t>enio</w:t>
        </w:r>
      </w:hyperlink>
      <w:r w:rsidR="009E5F7E" w:rsidRPr="00DA38BB">
        <w:rPr>
          <w:kern w:val="22"/>
          <w:lang w:val="es-ES"/>
        </w:rPr>
        <w:t xml:space="preserve"> </w:t>
      </w:r>
      <w:r>
        <w:rPr>
          <w:kern w:val="22"/>
          <w:lang w:val="es-ES"/>
        </w:rPr>
        <w:t>relacionadas con la seguridad de la biotecnología</w:t>
      </w:r>
      <w:r w:rsidRPr="00DA38BB">
        <w:rPr>
          <w:kern w:val="22"/>
          <w:lang w:val="es-ES"/>
        </w:rPr>
        <w:t xml:space="preserve"> </w:t>
      </w:r>
      <w:r w:rsidR="00C7078D">
        <w:rPr>
          <w:kern w:val="22"/>
          <w:lang w:val="es-ES"/>
        </w:rPr>
        <w:t xml:space="preserve">y las disposiciones del </w:t>
      </w:r>
      <w:hyperlink r:id="rId15" w:history="1">
        <w:r w:rsidR="00C7078D">
          <w:rPr>
            <w:rStyle w:val="Hyperlink"/>
            <w:kern w:val="22"/>
            <w:lang w:val="es-ES"/>
          </w:rPr>
          <w:t>Protocolo de C</w:t>
        </w:r>
        <w:r w:rsidR="009E5F7E" w:rsidRPr="00DA38BB">
          <w:rPr>
            <w:rStyle w:val="Hyperlink"/>
            <w:kern w:val="22"/>
            <w:lang w:val="es-ES"/>
          </w:rPr>
          <w:t>artagena</w:t>
        </w:r>
      </w:hyperlink>
      <w:r w:rsidR="009E5F7E" w:rsidRPr="00DA38BB">
        <w:rPr>
          <w:kern w:val="22"/>
          <w:lang w:val="es-ES"/>
        </w:rPr>
        <w:t>, t</w:t>
      </w:r>
      <w:r w:rsidR="00C7078D">
        <w:rPr>
          <w:kern w:val="22"/>
          <w:lang w:val="es-ES"/>
        </w:rPr>
        <w:t xml:space="preserve">eniendo en cuenta el artículo </w:t>
      </w:r>
      <w:r w:rsidR="009E5F7E" w:rsidRPr="00DA38BB">
        <w:rPr>
          <w:kern w:val="22"/>
          <w:lang w:val="es-ES"/>
        </w:rPr>
        <w:t>8</w:t>
      </w:r>
      <w:r w:rsidR="00C7078D">
        <w:rPr>
          <w:kern w:val="22"/>
          <w:lang w:val="es-ES"/>
        </w:rPr>
        <w:t xml:space="preserve"> </w:t>
      </w:r>
      <w:r w:rsidR="009E5F7E" w:rsidRPr="00DA38BB">
        <w:rPr>
          <w:kern w:val="22"/>
          <w:lang w:val="es-ES"/>
        </w:rPr>
        <w:t xml:space="preserve">g) </w:t>
      </w:r>
      <w:r w:rsidR="00C7078D">
        <w:rPr>
          <w:kern w:val="22"/>
          <w:lang w:val="es-ES"/>
        </w:rPr>
        <w:t xml:space="preserve">y el artículo </w:t>
      </w:r>
      <w:r w:rsidR="009E5F7E" w:rsidRPr="00DA38BB">
        <w:rPr>
          <w:kern w:val="22"/>
          <w:lang w:val="es-ES"/>
        </w:rPr>
        <w:t>19, p</w:t>
      </w:r>
      <w:r w:rsidR="00C7078D">
        <w:rPr>
          <w:kern w:val="22"/>
          <w:lang w:val="es-ES"/>
        </w:rPr>
        <w:t>árrafo</w:t>
      </w:r>
      <w:r w:rsidR="009E5F7E" w:rsidRPr="00DA38BB">
        <w:rPr>
          <w:kern w:val="22"/>
          <w:lang w:val="es-ES"/>
        </w:rPr>
        <w:t xml:space="preserve"> 4, </w:t>
      </w:r>
      <w:r w:rsidR="00C7078D">
        <w:rPr>
          <w:kern w:val="22"/>
          <w:lang w:val="es-ES"/>
        </w:rPr>
        <w:t>del Convenio</w:t>
      </w:r>
      <w:r w:rsidR="009E5F7E" w:rsidRPr="00DA38BB">
        <w:rPr>
          <w:kern w:val="22"/>
          <w:lang w:val="es-ES"/>
        </w:rPr>
        <w:t xml:space="preserve">, </w:t>
      </w:r>
      <w:r w:rsidR="00C7078D">
        <w:rPr>
          <w:kern w:val="22"/>
          <w:lang w:val="es-ES"/>
        </w:rPr>
        <w:t xml:space="preserve">y otras cuestiones de importancia tanto para el Convenio como para el Protocolo de </w:t>
      </w:r>
      <w:r w:rsidR="009E5F7E" w:rsidRPr="00DA38BB">
        <w:rPr>
          <w:kern w:val="22"/>
          <w:lang w:val="es-ES"/>
        </w:rPr>
        <w:t xml:space="preserve">Cartagena, </w:t>
      </w:r>
      <w:r w:rsidR="00C7078D">
        <w:rPr>
          <w:kern w:val="22"/>
          <w:lang w:val="es-ES"/>
        </w:rPr>
        <w:t>para que sea examinada por el Órgano Subsidiario sobre la Aplicación en su segunda reunión y la Conferencia de las Partes en su 14ª reunión</w:t>
      </w:r>
      <w:r w:rsidR="00591BC9" w:rsidRPr="00DA38BB">
        <w:rPr>
          <w:kern w:val="22"/>
          <w:lang w:val="es-ES"/>
        </w:rPr>
        <w:t>.</w:t>
      </w:r>
    </w:p>
    <w:p w:rsidR="00495DED" w:rsidRPr="00126357" w:rsidRDefault="00C7078D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C7078D">
        <w:rPr>
          <w:kern w:val="22"/>
          <w:lang w:val="es-ES"/>
        </w:rPr>
        <w:t xml:space="preserve">El presente documento </w:t>
      </w:r>
      <w:r w:rsidR="00BF4D27">
        <w:rPr>
          <w:kern w:val="22"/>
          <w:lang w:val="es-ES"/>
        </w:rPr>
        <w:t>analiza</w:t>
      </w:r>
      <w:r w:rsidRPr="00C7078D">
        <w:rPr>
          <w:kern w:val="22"/>
          <w:lang w:val="es-ES"/>
        </w:rPr>
        <w:t xml:space="preserve"> la relación entre las disposiciones relacionadas con la seguridad de la biotecnolog</w:t>
      </w:r>
      <w:r>
        <w:rPr>
          <w:kern w:val="22"/>
          <w:lang w:val="es-ES"/>
        </w:rPr>
        <w:t xml:space="preserve">ía del Convenio y del Protocolo de </w:t>
      </w:r>
      <w:r w:rsidR="009E5F7E" w:rsidRPr="00C7078D">
        <w:rPr>
          <w:kern w:val="22"/>
          <w:lang w:val="es-ES"/>
        </w:rPr>
        <w:t>Cartagena</w:t>
      </w:r>
      <w:r w:rsidR="00222E55" w:rsidRPr="00C7078D">
        <w:rPr>
          <w:kern w:val="22"/>
          <w:lang w:val="es-ES"/>
        </w:rPr>
        <w:t xml:space="preserve">. </w:t>
      </w:r>
      <w:r w:rsidR="00BF4D27" w:rsidRPr="00BF4D27">
        <w:rPr>
          <w:kern w:val="22"/>
          <w:lang w:val="es-ES"/>
        </w:rPr>
        <w:t>De conformidad con el párrafo 2 de la decisión</w:t>
      </w:r>
      <w:r w:rsidR="003115C2" w:rsidRPr="00BF4D27">
        <w:rPr>
          <w:kern w:val="22"/>
          <w:lang w:val="es-ES"/>
        </w:rPr>
        <w:t xml:space="preserve"> XIII/26, </w:t>
      </w:r>
      <w:r w:rsidR="00BF4D27" w:rsidRPr="00BF4D27">
        <w:rPr>
          <w:kern w:val="22"/>
          <w:lang w:val="es-ES"/>
        </w:rPr>
        <w:t>áreas intersectoriales en el marco del Convenio y sus Protocolos, como</w:t>
      </w:r>
      <w:r w:rsidR="00BF4D27">
        <w:rPr>
          <w:kern w:val="22"/>
          <w:lang w:val="es-ES"/>
        </w:rPr>
        <w:t xml:space="preserve"> la creación de capacidad, el mecanismo financiero y la movilización de recursos, así como la presentación de informes nacionales, serán tratadas por el Órgano Subsidiario sobre la Aplicación en su segunda reunión en los temas </w:t>
      </w:r>
      <w:r w:rsidR="005B6A14" w:rsidRPr="00BF4D27">
        <w:rPr>
          <w:kern w:val="22"/>
          <w:lang w:val="es-ES"/>
        </w:rPr>
        <w:t>10, 9</w:t>
      </w:r>
      <w:r w:rsidR="00BB4BD0" w:rsidRPr="00BF4D27">
        <w:rPr>
          <w:kern w:val="22"/>
          <w:lang w:val="es-ES"/>
        </w:rPr>
        <w:t xml:space="preserve">, </w:t>
      </w:r>
      <w:r w:rsidR="005B6A14" w:rsidRPr="00BF4D27">
        <w:rPr>
          <w:kern w:val="22"/>
          <w:lang w:val="es-ES"/>
        </w:rPr>
        <w:t>8</w:t>
      </w:r>
      <w:r w:rsidR="003F159B" w:rsidRPr="00BF4D27">
        <w:rPr>
          <w:kern w:val="22"/>
          <w:lang w:val="es-ES"/>
        </w:rPr>
        <w:t xml:space="preserve"> </w:t>
      </w:r>
      <w:r w:rsidR="00BF4D27">
        <w:rPr>
          <w:kern w:val="22"/>
          <w:lang w:val="es-ES"/>
        </w:rPr>
        <w:t>y</w:t>
      </w:r>
      <w:r w:rsidR="00BB4BD0" w:rsidRPr="00BF4D27">
        <w:rPr>
          <w:kern w:val="22"/>
          <w:lang w:val="es-ES"/>
        </w:rPr>
        <w:t xml:space="preserve"> </w:t>
      </w:r>
      <w:r w:rsidR="00387D13" w:rsidRPr="00BF4D27">
        <w:rPr>
          <w:kern w:val="22"/>
          <w:lang w:val="es-ES"/>
        </w:rPr>
        <w:t>13</w:t>
      </w:r>
      <w:r w:rsidR="00BB4BD0" w:rsidRPr="00BF4D27">
        <w:rPr>
          <w:kern w:val="22"/>
          <w:lang w:val="es-ES"/>
        </w:rPr>
        <w:t xml:space="preserve"> </w:t>
      </w:r>
      <w:r w:rsidR="00BF4D27">
        <w:rPr>
          <w:kern w:val="22"/>
          <w:lang w:val="es-ES"/>
        </w:rPr>
        <w:t>del programa, respectivamente</w:t>
      </w:r>
      <w:r w:rsidR="00042999" w:rsidRPr="00BF4D27">
        <w:rPr>
          <w:kern w:val="22"/>
          <w:lang w:val="es-ES"/>
        </w:rPr>
        <w:t xml:space="preserve">. </w:t>
      </w:r>
      <w:r w:rsidR="00BF4D27" w:rsidRPr="00126357">
        <w:rPr>
          <w:kern w:val="22"/>
          <w:lang w:val="es-ES"/>
        </w:rPr>
        <w:t>Con arreglo a la decisión</w:t>
      </w:r>
      <w:r w:rsidR="00042999" w:rsidRPr="00126357">
        <w:rPr>
          <w:kern w:val="22"/>
          <w:lang w:val="es-ES"/>
        </w:rPr>
        <w:t xml:space="preserve"> </w:t>
      </w:r>
      <w:hyperlink r:id="rId16" w:history="1">
        <w:r w:rsidR="00042999" w:rsidRPr="00126357">
          <w:rPr>
            <w:rStyle w:val="Hyperlink"/>
            <w:kern w:val="22"/>
            <w:lang w:val="es-ES"/>
          </w:rPr>
          <w:t>XII/31</w:t>
        </w:r>
      </w:hyperlink>
      <w:r w:rsidR="00042999" w:rsidRPr="00126357">
        <w:rPr>
          <w:kern w:val="22"/>
          <w:lang w:val="es-ES"/>
        </w:rPr>
        <w:t xml:space="preserve">, </w:t>
      </w:r>
      <w:r w:rsidR="00126357" w:rsidRPr="00126357">
        <w:rPr>
          <w:kern w:val="22"/>
          <w:lang w:val="es-ES"/>
        </w:rPr>
        <w:t>las cuestiones relacionadas con la eficacia de los procesos en virtud del Convenio y sus Protocolos ser</w:t>
      </w:r>
      <w:r w:rsidR="00126357">
        <w:rPr>
          <w:kern w:val="22"/>
          <w:lang w:val="es-ES"/>
        </w:rPr>
        <w:t>á</w:t>
      </w:r>
      <w:r w:rsidR="006D7B65">
        <w:rPr>
          <w:kern w:val="22"/>
          <w:lang w:val="es-ES"/>
        </w:rPr>
        <w:t>n</w:t>
      </w:r>
      <w:r w:rsidR="00126357">
        <w:rPr>
          <w:kern w:val="22"/>
          <w:lang w:val="es-ES"/>
        </w:rPr>
        <w:t xml:space="preserve"> examinada</w:t>
      </w:r>
      <w:r w:rsidR="006D7B65">
        <w:rPr>
          <w:kern w:val="22"/>
          <w:lang w:val="es-ES"/>
        </w:rPr>
        <w:t>s</w:t>
      </w:r>
      <w:r w:rsidR="00126357">
        <w:rPr>
          <w:kern w:val="22"/>
          <w:lang w:val="es-ES"/>
        </w:rPr>
        <w:t xml:space="preserve"> por el Órgano Subsidiario sobre la Aplicación en su segunda reunión </w:t>
      </w:r>
      <w:r w:rsidR="006559AB">
        <w:rPr>
          <w:kern w:val="22"/>
          <w:lang w:val="es-ES"/>
        </w:rPr>
        <w:t>en relación con e</w:t>
      </w:r>
      <w:r w:rsidR="00126357">
        <w:rPr>
          <w:kern w:val="22"/>
          <w:lang w:val="es-ES"/>
        </w:rPr>
        <w:t>l tema 15 del programa</w:t>
      </w:r>
      <w:r w:rsidR="00495DED" w:rsidRPr="00126357">
        <w:rPr>
          <w:kern w:val="22"/>
          <w:lang w:val="es-ES"/>
        </w:rPr>
        <w:t>.</w:t>
      </w:r>
    </w:p>
    <w:p w:rsidR="000A62EE" w:rsidRPr="006559AB" w:rsidRDefault="000A62EE" w:rsidP="00385560">
      <w:pPr>
        <w:pStyle w:val="Heading1"/>
        <w:numPr>
          <w:ilvl w:val="0"/>
          <w:numId w:val="6"/>
        </w:numPr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1152" w:hanging="432"/>
        <w:jc w:val="left"/>
        <w:rPr>
          <w:rFonts w:ascii="Times New Roman Bold" w:hAnsi="Times New Roman Bold" w:cs="Times New Roman Bold"/>
          <w:bCs/>
          <w:snapToGrid w:val="0"/>
          <w:kern w:val="22"/>
          <w:lang w:val="es-ES"/>
        </w:rPr>
      </w:pPr>
      <w:r w:rsidRP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lastRenderedPageBreak/>
        <w:t>Rela</w:t>
      </w:r>
      <w:r w:rsidR="006559AB" w:rsidRP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>CIÓN ENTRE LAS DISPOSICIONES RELACIONADAS C</w:t>
      </w:r>
      <w:r w:rsid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 xml:space="preserve">ON LA SEGURIDAD DE LA BIOTECNOLOGÍA DEL </w:t>
      </w:r>
      <w:r w:rsidR="00294541" w:rsidRP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>Conven</w:t>
      </w:r>
      <w:r w:rsid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>IO Y EL PROTOCOLO DE</w:t>
      </w:r>
      <w:r w:rsidRP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 xml:space="preserve"> </w:t>
      </w:r>
      <w:r w:rsidR="00EE75F9" w:rsidRPr="006559AB">
        <w:rPr>
          <w:rFonts w:ascii="Times New Roman Bold" w:hAnsi="Times New Roman Bold" w:cs="Times New Roman Bold"/>
          <w:bCs/>
          <w:snapToGrid w:val="0"/>
          <w:kern w:val="22"/>
          <w:lang w:val="es-ES"/>
        </w:rPr>
        <w:t>Cartagena</w:t>
      </w:r>
    </w:p>
    <w:p w:rsidR="00294541" w:rsidRPr="00DB31E5" w:rsidRDefault="00CD7F09" w:rsidP="00385560">
      <w:pPr>
        <w:pStyle w:val="Heading2"/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lang w:val="es-ES"/>
        </w:rPr>
      </w:pPr>
      <w:r w:rsidRPr="00DB31E5">
        <w:rPr>
          <w:snapToGrid w:val="0"/>
          <w:kern w:val="22"/>
          <w:lang w:val="es-ES"/>
        </w:rPr>
        <w:t>A.</w:t>
      </w:r>
      <w:r w:rsidRPr="00DB31E5">
        <w:rPr>
          <w:snapToGrid w:val="0"/>
          <w:kern w:val="22"/>
          <w:lang w:val="es-ES"/>
        </w:rPr>
        <w:tab/>
      </w:r>
      <w:r w:rsidR="00DB31E5" w:rsidRPr="00DB31E5">
        <w:rPr>
          <w:snapToGrid w:val="0"/>
          <w:kern w:val="22"/>
          <w:lang w:val="es-ES"/>
        </w:rPr>
        <w:t>Resumen de las disposiciones relacionadas con la seguridad de la biotecnolog</w:t>
      </w:r>
      <w:r w:rsidR="00DB31E5">
        <w:rPr>
          <w:snapToGrid w:val="0"/>
          <w:kern w:val="22"/>
          <w:lang w:val="es-ES"/>
        </w:rPr>
        <w:t xml:space="preserve">ía en el marco del Convenio y el Protocolo de </w:t>
      </w:r>
      <w:r w:rsidR="00B26763" w:rsidRPr="00DB31E5">
        <w:rPr>
          <w:snapToGrid w:val="0"/>
          <w:kern w:val="22"/>
          <w:lang w:val="es-ES"/>
        </w:rPr>
        <w:t>Cartagena</w:t>
      </w:r>
    </w:p>
    <w:p w:rsidR="00082D29" w:rsidRPr="00DB31E5" w:rsidRDefault="00DB31E5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DB31E5">
        <w:rPr>
          <w:kern w:val="22"/>
          <w:lang w:val="es-ES"/>
        </w:rPr>
        <w:t xml:space="preserve">El artículo </w:t>
      </w:r>
      <w:r w:rsidR="00786B2B" w:rsidRPr="00DB31E5">
        <w:rPr>
          <w:kern w:val="22"/>
          <w:lang w:val="es-ES"/>
        </w:rPr>
        <w:t>8</w:t>
      </w:r>
      <w:r w:rsidRPr="00DB31E5">
        <w:rPr>
          <w:kern w:val="22"/>
          <w:lang w:val="es-ES"/>
        </w:rPr>
        <w:t xml:space="preserve"> </w:t>
      </w:r>
      <w:r w:rsidR="00786B2B" w:rsidRPr="00DB31E5">
        <w:rPr>
          <w:kern w:val="22"/>
          <w:lang w:val="es-ES"/>
        </w:rPr>
        <w:t xml:space="preserve">g) </w:t>
      </w:r>
      <w:r w:rsidRPr="00DB31E5">
        <w:rPr>
          <w:kern w:val="22"/>
          <w:lang w:val="es-ES"/>
        </w:rPr>
        <w:t>del Convenio estipula las obligaciones para establecer o mantener medios para regular, administrar o controlar los riesgos derivados de la utilización y la liberación de organismos vivos modificados como resultado de la biotecnolog</w:t>
      </w:r>
      <w:r>
        <w:rPr>
          <w:kern w:val="22"/>
          <w:lang w:val="es-ES"/>
        </w:rPr>
        <w:t xml:space="preserve">ía que es probable tengan repercusiones ambientales </w:t>
      </w:r>
      <w:r w:rsidR="00D718EC">
        <w:rPr>
          <w:kern w:val="22"/>
          <w:lang w:val="es-ES"/>
        </w:rPr>
        <w:t>adversas que puedan afectar a la conservación y a la utilización sostenible de la diversidad biológica</w:t>
      </w:r>
      <w:r w:rsidR="003157E2" w:rsidRPr="00DB31E5">
        <w:rPr>
          <w:kern w:val="22"/>
          <w:lang w:val="es-ES"/>
        </w:rPr>
        <w:t xml:space="preserve">, </w:t>
      </w:r>
      <w:r w:rsidR="00D718EC">
        <w:rPr>
          <w:kern w:val="22"/>
          <w:lang w:val="es-ES"/>
        </w:rPr>
        <w:t>teniendo también en cuenta los riesgos para la salud humana</w:t>
      </w:r>
      <w:r w:rsidR="00370E97" w:rsidRPr="00DB31E5">
        <w:rPr>
          <w:kern w:val="22"/>
          <w:lang w:val="es-ES"/>
        </w:rPr>
        <w:t>.</w:t>
      </w:r>
    </w:p>
    <w:p w:rsidR="00C1704F" w:rsidRPr="00385560" w:rsidRDefault="00D718EC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</w:rPr>
      </w:pPr>
      <w:r w:rsidRPr="00D718EC">
        <w:rPr>
          <w:kern w:val="22"/>
          <w:lang w:val="es-ES"/>
        </w:rPr>
        <w:t>El artículo</w:t>
      </w:r>
      <w:r w:rsidR="003157E2" w:rsidRPr="00D718EC">
        <w:rPr>
          <w:kern w:val="22"/>
          <w:lang w:val="es-ES"/>
        </w:rPr>
        <w:t xml:space="preserve"> 19 </w:t>
      </w:r>
      <w:r w:rsidRPr="00D718EC">
        <w:rPr>
          <w:kern w:val="22"/>
          <w:lang w:val="es-ES"/>
        </w:rPr>
        <w:t>del Convenio establece las disposiciones para la participación efectiva en las actividades de investigaci</w:t>
      </w:r>
      <w:r>
        <w:rPr>
          <w:kern w:val="22"/>
          <w:lang w:val="es-ES"/>
        </w:rPr>
        <w:t>ón sobre biotecnología de esas Partes</w:t>
      </w:r>
      <w:r w:rsidR="003D5B83" w:rsidRPr="00D718EC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en particular los países en desarrollo, que aportan recursos genéticos para tales investigaciones</w:t>
      </w:r>
      <w:r w:rsidR="003D5B83" w:rsidRPr="00D718EC">
        <w:rPr>
          <w:kern w:val="22"/>
          <w:lang w:val="es-ES"/>
        </w:rPr>
        <w:t xml:space="preserve"> </w:t>
      </w:r>
      <w:r w:rsidR="002B40D2" w:rsidRPr="00D718EC">
        <w:rPr>
          <w:kern w:val="22"/>
          <w:lang w:val="es-ES"/>
        </w:rPr>
        <w:t>(p</w:t>
      </w:r>
      <w:r>
        <w:rPr>
          <w:kern w:val="22"/>
          <w:lang w:val="es-ES"/>
        </w:rPr>
        <w:t>árr</w:t>
      </w:r>
      <w:r w:rsidR="002B40D2" w:rsidRPr="00D718EC">
        <w:rPr>
          <w:kern w:val="22"/>
          <w:lang w:val="es-ES"/>
        </w:rPr>
        <w:t>.</w:t>
      </w:r>
      <w:r w:rsidR="004D4B8E" w:rsidRPr="00D718EC">
        <w:rPr>
          <w:kern w:val="22"/>
          <w:lang w:val="es-ES"/>
        </w:rPr>
        <w:t> </w:t>
      </w:r>
      <w:r w:rsidR="004431C9" w:rsidRPr="00D718EC">
        <w:rPr>
          <w:kern w:val="22"/>
          <w:lang w:val="es-ES"/>
        </w:rPr>
        <w:t xml:space="preserve">1), </w:t>
      </w:r>
      <w:r w:rsidRPr="00D718EC">
        <w:rPr>
          <w:kern w:val="22"/>
          <w:lang w:val="es-ES"/>
        </w:rPr>
        <w:t>las medidas para promover e impulsar en condiciones justas y equitativas el acceso prioritario de esas Partes</w:t>
      </w:r>
      <w:r w:rsidR="003D5B83" w:rsidRPr="00D718EC">
        <w:rPr>
          <w:kern w:val="22"/>
          <w:lang w:val="es-ES"/>
        </w:rPr>
        <w:t xml:space="preserve">, </w:t>
      </w:r>
      <w:r w:rsidRPr="00D718EC">
        <w:rPr>
          <w:kern w:val="22"/>
          <w:lang w:val="es-ES"/>
        </w:rPr>
        <w:t>en particular los pa</w:t>
      </w:r>
      <w:r>
        <w:rPr>
          <w:kern w:val="22"/>
          <w:lang w:val="es-ES"/>
        </w:rPr>
        <w:t>íses en desarrollo</w:t>
      </w:r>
      <w:r w:rsidR="003D5B83" w:rsidRPr="00D718EC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a los resultados y beneficios derivados de las biotecnologías basadas en recursos genéticos aportados por esas Partes</w:t>
      </w:r>
      <w:r w:rsidR="004431C9" w:rsidRPr="00D718EC">
        <w:rPr>
          <w:kern w:val="22"/>
          <w:lang w:val="es-ES"/>
        </w:rPr>
        <w:t xml:space="preserve"> </w:t>
      </w:r>
      <w:r w:rsidR="002B40D2" w:rsidRPr="00D718EC">
        <w:rPr>
          <w:kern w:val="22"/>
          <w:lang w:val="es-ES"/>
        </w:rPr>
        <w:t>(p</w:t>
      </w:r>
      <w:r>
        <w:rPr>
          <w:kern w:val="22"/>
          <w:lang w:val="es-ES"/>
        </w:rPr>
        <w:t>árr</w:t>
      </w:r>
      <w:r w:rsidR="002B40D2" w:rsidRPr="00D718EC">
        <w:rPr>
          <w:kern w:val="22"/>
          <w:lang w:val="es-ES"/>
        </w:rPr>
        <w:t>.</w:t>
      </w:r>
      <w:r w:rsidR="004D4B8E" w:rsidRPr="00D718EC">
        <w:rPr>
          <w:kern w:val="22"/>
          <w:lang w:val="es-ES"/>
        </w:rPr>
        <w:t> </w:t>
      </w:r>
      <w:r w:rsidR="004431C9" w:rsidRPr="00B25848">
        <w:rPr>
          <w:kern w:val="22"/>
          <w:lang w:val="es-ES"/>
        </w:rPr>
        <w:t>2)</w:t>
      </w:r>
      <w:r w:rsidR="000A5DCB" w:rsidRPr="00B25848">
        <w:rPr>
          <w:kern w:val="22"/>
          <w:lang w:val="es-ES"/>
        </w:rPr>
        <w:t xml:space="preserve">. </w:t>
      </w:r>
      <w:r w:rsidRPr="00AA040A">
        <w:rPr>
          <w:kern w:val="22"/>
          <w:lang w:val="es-ES"/>
        </w:rPr>
        <w:t xml:space="preserve">Asimismo, requiere que las Partes proporcionen a las Partes en las que se introduzcan organismos vivos modificados </w:t>
      </w:r>
      <w:r w:rsidR="00AA040A" w:rsidRPr="00AA040A">
        <w:rPr>
          <w:kern w:val="22"/>
          <w:lang w:val="es-ES"/>
        </w:rPr>
        <w:t xml:space="preserve">toda la </w:t>
      </w:r>
      <w:r w:rsidRPr="00AA040A">
        <w:rPr>
          <w:kern w:val="22"/>
          <w:lang w:val="es-ES"/>
        </w:rPr>
        <w:t xml:space="preserve">información </w:t>
      </w:r>
      <w:r w:rsidR="00AA040A" w:rsidRPr="00AA040A">
        <w:rPr>
          <w:kern w:val="22"/>
          <w:lang w:val="es-ES"/>
        </w:rPr>
        <w:t xml:space="preserve">disponible acerca de reglamentaciones relativas al uso y la seguridad </w:t>
      </w:r>
      <w:r w:rsidR="00AA040A">
        <w:rPr>
          <w:kern w:val="22"/>
          <w:lang w:val="es-ES"/>
        </w:rPr>
        <w:t xml:space="preserve">requeridas para la manipulación de dichos organismos vivos modificados, así como toda la información sobre sus posibles efectos adversos </w:t>
      </w:r>
      <w:r w:rsidR="002B40D2" w:rsidRPr="00AA040A">
        <w:rPr>
          <w:kern w:val="22"/>
          <w:lang w:val="es-ES"/>
        </w:rPr>
        <w:t>(p</w:t>
      </w:r>
      <w:r w:rsidR="00AA040A">
        <w:rPr>
          <w:kern w:val="22"/>
          <w:lang w:val="es-ES"/>
        </w:rPr>
        <w:t>árr</w:t>
      </w:r>
      <w:r w:rsidR="002B40D2" w:rsidRPr="00AA040A">
        <w:rPr>
          <w:kern w:val="22"/>
          <w:lang w:val="es-ES"/>
        </w:rPr>
        <w:t>.</w:t>
      </w:r>
      <w:r w:rsidR="007F1878" w:rsidRPr="00AA040A">
        <w:rPr>
          <w:kern w:val="22"/>
          <w:lang w:val="es-ES"/>
        </w:rPr>
        <w:t> </w:t>
      </w:r>
      <w:r w:rsidR="008B2EB1" w:rsidRPr="00385560">
        <w:rPr>
          <w:kern w:val="22"/>
        </w:rPr>
        <w:t>4</w:t>
      </w:r>
      <w:r w:rsidR="000A5DCB" w:rsidRPr="00385560">
        <w:rPr>
          <w:kern w:val="22"/>
        </w:rPr>
        <w:t>)</w:t>
      </w:r>
      <w:r w:rsidR="0071235F" w:rsidRPr="00385560">
        <w:rPr>
          <w:kern w:val="22"/>
        </w:rPr>
        <w:t>.</w:t>
      </w:r>
    </w:p>
    <w:p w:rsidR="00370E97" w:rsidRPr="005859F2" w:rsidRDefault="00AA040A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BB641C">
        <w:rPr>
          <w:kern w:val="22"/>
          <w:szCs w:val="22"/>
          <w:lang w:val="es-ES"/>
        </w:rPr>
        <w:t>El párrafo 3 del artículo</w:t>
      </w:r>
      <w:r w:rsidR="00C1704F" w:rsidRPr="00BB641C">
        <w:rPr>
          <w:kern w:val="22"/>
          <w:szCs w:val="22"/>
          <w:lang w:val="es-ES"/>
        </w:rPr>
        <w:t xml:space="preserve"> 19</w:t>
      </w:r>
      <w:r w:rsidRPr="00BB641C">
        <w:rPr>
          <w:kern w:val="22"/>
          <w:szCs w:val="22"/>
          <w:lang w:val="es-ES"/>
        </w:rPr>
        <w:t xml:space="preserve"> también establece la </w:t>
      </w:r>
      <w:r w:rsidR="00BB641C" w:rsidRPr="00BB641C">
        <w:rPr>
          <w:kern w:val="22"/>
          <w:szCs w:val="22"/>
          <w:lang w:val="es-ES"/>
        </w:rPr>
        <w:t>base para el desarr</w:t>
      </w:r>
      <w:r w:rsidR="00BB641C">
        <w:rPr>
          <w:kern w:val="22"/>
          <w:szCs w:val="22"/>
          <w:lang w:val="es-ES"/>
        </w:rPr>
        <w:t xml:space="preserve">ollo de lo que se convirtió en el Protocolo de </w:t>
      </w:r>
      <w:r w:rsidR="00370E97" w:rsidRPr="00BB641C">
        <w:rPr>
          <w:kern w:val="22"/>
          <w:szCs w:val="22"/>
          <w:lang w:val="es-ES"/>
        </w:rPr>
        <w:t>Cartagena</w:t>
      </w:r>
      <w:r w:rsidR="004431C9" w:rsidRPr="00BB641C">
        <w:rPr>
          <w:kern w:val="22"/>
          <w:szCs w:val="22"/>
          <w:lang w:val="es-ES"/>
        </w:rPr>
        <w:t xml:space="preserve">, </w:t>
      </w:r>
      <w:r w:rsidR="00BB641C">
        <w:rPr>
          <w:kern w:val="22"/>
          <w:szCs w:val="22"/>
          <w:lang w:val="es-ES"/>
        </w:rPr>
        <w:t>que entró en vigor en</w:t>
      </w:r>
      <w:r w:rsidR="004431C9" w:rsidRPr="00BB641C">
        <w:rPr>
          <w:kern w:val="22"/>
          <w:szCs w:val="22"/>
          <w:lang w:val="es-ES"/>
        </w:rPr>
        <w:t xml:space="preserve"> 2003</w:t>
      </w:r>
      <w:r w:rsidR="00144694" w:rsidRPr="00385560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2"/>
      </w:r>
      <w:r w:rsidR="00BB641C" w:rsidRPr="00BB641C">
        <w:rPr>
          <w:kern w:val="22"/>
          <w:szCs w:val="22"/>
          <w:lang w:val="es-ES"/>
        </w:rPr>
        <w:t>.</w:t>
      </w:r>
      <w:r w:rsidR="00C1704F" w:rsidRPr="00BB641C">
        <w:rPr>
          <w:kern w:val="22"/>
          <w:szCs w:val="22"/>
          <w:lang w:val="es-ES"/>
        </w:rPr>
        <w:t xml:space="preserve"> </w:t>
      </w:r>
      <w:r w:rsidR="00BB641C" w:rsidRPr="005859F2">
        <w:rPr>
          <w:kern w:val="22"/>
          <w:szCs w:val="22"/>
          <w:lang w:val="es-ES"/>
        </w:rPr>
        <w:t xml:space="preserve">Su objetivo es </w:t>
      </w:r>
      <w:r w:rsidR="00370E97" w:rsidRPr="005859F2">
        <w:rPr>
          <w:kern w:val="22"/>
          <w:szCs w:val="22"/>
          <w:lang w:val="es-ES"/>
        </w:rPr>
        <w:t>contribu</w:t>
      </w:r>
      <w:r w:rsidR="000B07A0" w:rsidRPr="005859F2">
        <w:rPr>
          <w:kern w:val="22"/>
          <w:szCs w:val="22"/>
          <w:lang w:val="es-ES"/>
        </w:rPr>
        <w:t xml:space="preserve">ir a garantizar un nivel adecuado de protección en la esfera de </w:t>
      </w:r>
      <w:r w:rsidR="005859F2" w:rsidRPr="005859F2">
        <w:rPr>
          <w:kern w:val="22"/>
          <w:szCs w:val="22"/>
          <w:lang w:val="es-ES"/>
        </w:rPr>
        <w:t xml:space="preserve">la transferencia, manipulación y utilización seguras de los organismos vivos modificados resultantes de </w:t>
      </w:r>
      <w:r w:rsidR="005859F2">
        <w:rPr>
          <w:kern w:val="22"/>
          <w:szCs w:val="22"/>
          <w:lang w:val="es-ES"/>
        </w:rPr>
        <w:t>la biotecnología moderna que puedan tener efectos adversos para la conservación y la utilización sostenible de la diversidad biológica, teniendo también en cuenta los riesgos para la salud humana, y centrándose concretamente en los movimientos transfronterizos</w:t>
      </w:r>
      <w:r w:rsidR="00370E97" w:rsidRPr="005859F2">
        <w:rPr>
          <w:kern w:val="22"/>
          <w:szCs w:val="22"/>
          <w:lang w:val="es-ES"/>
        </w:rPr>
        <w:t>.</w:t>
      </w:r>
    </w:p>
    <w:p w:rsidR="00C1704F" w:rsidRPr="00D654AD" w:rsidRDefault="00FA7AEF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FA7AEF">
        <w:rPr>
          <w:kern w:val="22"/>
          <w:lang w:val="es-ES"/>
        </w:rPr>
        <w:t xml:space="preserve">En este contexto, el Protocolo de </w:t>
      </w:r>
      <w:r w:rsidR="001660AB" w:rsidRPr="00FA7AEF">
        <w:rPr>
          <w:kern w:val="22"/>
          <w:lang w:val="es-ES"/>
        </w:rPr>
        <w:t xml:space="preserve">Cartagena </w:t>
      </w:r>
      <w:r w:rsidRPr="00FA7AEF">
        <w:rPr>
          <w:kern w:val="22"/>
          <w:lang w:val="es-ES"/>
        </w:rPr>
        <w:t xml:space="preserve">se basa y complementa las disposiciones </w:t>
      </w:r>
      <w:r>
        <w:rPr>
          <w:kern w:val="22"/>
          <w:lang w:val="es-ES"/>
        </w:rPr>
        <w:t xml:space="preserve">del Convenio </w:t>
      </w:r>
      <w:r w:rsidRPr="00FA7AEF">
        <w:rPr>
          <w:kern w:val="22"/>
          <w:lang w:val="es-ES"/>
        </w:rPr>
        <w:t>relacionadas con la seguridad de la biotecnolog</w:t>
      </w:r>
      <w:r>
        <w:rPr>
          <w:kern w:val="22"/>
          <w:lang w:val="es-ES"/>
        </w:rPr>
        <w:t>ía</w:t>
      </w:r>
      <w:r w:rsidR="004431C9" w:rsidRPr="00FA7AEF">
        <w:rPr>
          <w:kern w:val="22"/>
          <w:lang w:val="es-ES"/>
        </w:rPr>
        <w:t xml:space="preserve">. </w:t>
      </w:r>
      <w:r w:rsidRPr="00FA7AEF">
        <w:rPr>
          <w:kern w:val="22"/>
          <w:lang w:val="es-ES"/>
        </w:rPr>
        <w:t xml:space="preserve">No obstante, existen distinciones en cuanto al </w:t>
      </w:r>
      <w:r w:rsidR="000F7442">
        <w:rPr>
          <w:kern w:val="22"/>
          <w:lang w:val="es-ES"/>
        </w:rPr>
        <w:t>alcance</w:t>
      </w:r>
      <w:r w:rsidRPr="00FA7AEF">
        <w:rPr>
          <w:kern w:val="22"/>
          <w:lang w:val="es-ES"/>
        </w:rPr>
        <w:t xml:space="preserve"> de las disposiciones relacionadas con la seguridad de la biotecnolog</w:t>
      </w:r>
      <w:r>
        <w:rPr>
          <w:kern w:val="22"/>
          <w:lang w:val="es-ES"/>
        </w:rPr>
        <w:t xml:space="preserve">ía </w:t>
      </w:r>
      <w:r w:rsidR="000F7442">
        <w:rPr>
          <w:kern w:val="22"/>
          <w:lang w:val="es-ES"/>
        </w:rPr>
        <w:t xml:space="preserve">del </w:t>
      </w:r>
      <w:r w:rsidR="004431C9" w:rsidRPr="00FA7AEF">
        <w:rPr>
          <w:kern w:val="22"/>
          <w:lang w:val="es-ES"/>
        </w:rPr>
        <w:t>Conven</w:t>
      </w:r>
      <w:r w:rsidR="000F7442">
        <w:rPr>
          <w:kern w:val="22"/>
          <w:lang w:val="es-ES"/>
        </w:rPr>
        <w:t>io y el Protocolo</w:t>
      </w:r>
      <w:r w:rsidR="004431C9" w:rsidRPr="00FA7AEF">
        <w:rPr>
          <w:kern w:val="22"/>
          <w:lang w:val="es-ES"/>
        </w:rPr>
        <w:t xml:space="preserve">. </w:t>
      </w:r>
      <w:r w:rsidR="000F7442" w:rsidRPr="000F7442">
        <w:rPr>
          <w:kern w:val="22"/>
          <w:lang w:val="es-ES"/>
        </w:rPr>
        <w:t>Por un lado</w:t>
      </w:r>
      <w:r w:rsidR="004431C9" w:rsidRPr="000F7442">
        <w:rPr>
          <w:kern w:val="22"/>
          <w:lang w:val="es-ES"/>
        </w:rPr>
        <w:t xml:space="preserve">, </w:t>
      </w:r>
      <w:r w:rsidR="000F7442" w:rsidRPr="000F7442">
        <w:rPr>
          <w:kern w:val="22"/>
          <w:lang w:val="es-ES"/>
        </w:rPr>
        <w:t xml:space="preserve">las disposiciones del Convenio relacionadas con la seguridad de la biotecnología </w:t>
      </w:r>
      <w:r w:rsidR="000F7442">
        <w:rPr>
          <w:kern w:val="22"/>
          <w:lang w:val="es-ES"/>
        </w:rPr>
        <w:t>se refieren</w:t>
      </w:r>
      <w:r w:rsidR="000F7442" w:rsidRPr="000F7442">
        <w:rPr>
          <w:kern w:val="22"/>
          <w:lang w:val="es-ES"/>
        </w:rPr>
        <w:t xml:space="preserve"> tanto </w:t>
      </w:r>
      <w:r w:rsidR="000F7442">
        <w:rPr>
          <w:kern w:val="22"/>
          <w:lang w:val="es-ES"/>
        </w:rPr>
        <w:t>a las medidas nacionales como</w:t>
      </w:r>
      <w:r w:rsidR="006D7B65">
        <w:rPr>
          <w:kern w:val="22"/>
          <w:lang w:val="es-ES"/>
        </w:rPr>
        <w:t xml:space="preserve"> a las </w:t>
      </w:r>
      <w:r w:rsidR="000F7442" w:rsidRPr="000F7442">
        <w:rPr>
          <w:kern w:val="22"/>
          <w:lang w:val="es-ES"/>
        </w:rPr>
        <w:t xml:space="preserve">internacionales </w:t>
      </w:r>
      <w:r w:rsidR="000F7442">
        <w:rPr>
          <w:kern w:val="22"/>
          <w:lang w:val="es-ES"/>
        </w:rPr>
        <w:t>de apoyo a</w:t>
      </w:r>
      <w:r w:rsidR="000F7442" w:rsidRPr="000F7442">
        <w:rPr>
          <w:kern w:val="22"/>
          <w:lang w:val="es-ES"/>
        </w:rPr>
        <w:t xml:space="preserve"> los tres objetivos del Convenio </w:t>
      </w:r>
      <w:r w:rsidR="000F7442">
        <w:rPr>
          <w:kern w:val="22"/>
          <w:lang w:val="es-ES"/>
        </w:rPr>
        <w:t>en lo relativo a</w:t>
      </w:r>
      <w:r w:rsidR="000F7442" w:rsidRPr="000F7442">
        <w:rPr>
          <w:kern w:val="22"/>
          <w:lang w:val="es-ES"/>
        </w:rPr>
        <w:t xml:space="preserve"> </w:t>
      </w:r>
      <w:r w:rsidR="000F7442">
        <w:rPr>
          <w:kern w:val="22"/>
          <w:lang w:val="es-ES"/>
        </w:rPr>
        <w:t>los organismos vivos modificados, así como a los componentes no vivos y productos de la biotecnología</w:t>
      </w:r>
      <w:r w:rsidR="00696FE8" w:rsidRPr="000F7442">
        <w:rPr>
          <w:kern w:val="22"/>
          <w:lang w:val="es-ES"/>
        </w:rPr>
        <w:t xml:space="preserve">. </w:t>
      </w:r>
      <w:r w:rsidR="000F7442">
        <w:rPr>
          <w:kern w:val="22"/>
          <w:lang w:val="es-ES"/>
        </w:rPr>
        <w:t xml:space="preserve">Por otro lado, el Protocolo de </w:t>
      </w:r>
      <w:r w:rsidR="00696FE8" w:rsidRPr="00D654AD">
        <w:rPr>
          <w:kern w:val="22"/>
          <w:lang w:val="es-ES"/>
        </w:rPr>
        <w:t xml:space="preserve">Cartagena </w:t>
      </w:r>
      <w:r w:rsidR="000F7442" w:rsidRPr="00D654AD">
        <w:rPr>
          <w:kern w:val="22"/>
          <w:lang w:val="es-ES"/>
        </w:rPr>
        <w:t xml:space="preserve">se centra en los movimientos transfronterizos de los organismos vivos modificados </w:t>
      </w:r>
      <w:r w:rsidR="00D654AD" w:rsidRPr="00D654AD">
        <w:rPr>
          <w:kern w:val="22"/>
          <w:lang w:val="es-ES"/>
        </w:rPr>
        <w:t xml:space="preserve">que puedan tener posibles </w:t>
      </w:r>
      <w:r w:rsidR="00D654AD">
        <w:rPr>
          <w:kern w:val="22"/>
          <w:lang w:val="es-ES"/>
        </w:rPr>
        <w:t>efectos adversos para la conservación y la utilización sostenible de la diversidad biológica</w:t>
      </w:r>
      <w:r w:rsidR="00696FE8" w:rsidRPr="00D654AD">
        <w:rPr>
          <w:kern w:val="22"/>
          <w:lang w:val="es-ES"/>
        </w:rPr>
        <w:t>.</w:t>
      </w:r>
    </w:p>
    <w:p w:rsidR="001660AB" w:rsidRPr="003165E7" w:rsidRDefault="00D654AD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3165E7">
        <w:rPr>
          <w:kern w:val="22"/>
          <w:lang w:val="es-ES"/>
        </w:rPr>
        <w:t xml:space="preserve">Otras disposiciones del Convenio </w:t>
      </w:r>
      <w:r w:rsidR="003165E7" w:rsidRPr="003165E7">
        <w:rPr>
          <w:kern w:val="22"/>
          <w:lang w:val="es-ES"/>
        </w:rPr>
        <w:t xml:space="preserve">pueden ser pertinentes para la </w:t>
      </w:r>
      <w:r w:rsidR="003B30F9">
        <w:rPr>
          <w:kern w:val="22"/>
          <w:lang w:val="es-ES"/>
        </w:rPr>
        <w:t>seguridad de la biotecnología</w:t>
      </w:r>
      <w:r w:rsidR="00C1704F" w:rsidRPr="003165E7">
        <w:rPr>
          <w:kern w:val="22"/>
          <w:lang w:val="es-ES"/>
        </w:rPr>
        <w:t xml:space="preserve">, </w:t>
      </w:r>
      <w:r w:rsidR="003165E7" w:rsidRPr="003165E7">
        <w:rPr>
          <w:kern w:val="22"/>
          <w:lang w:val="es-ES"/>
        </w:rPr>
        <w:t xml:space="preserve">incluidas las </w:t>
      </w:r>
      <w:r w:rsidR="003165E7">
        <w:rPr>
          <w:kern w:val="22"/>
          <w:lang w:val="es-ES"/>
        </w:rPr>
        <w:t xml:space="preserve">previstas </w:t>
      </w:r>
      <w:r w:rsidR="003165E7" w:rsidRPr="003165E7">
        <w:rPr>
          <w:kern w:val="22"/>
          <w:lang w:val="es-ES"/>
        </w:rPr>
        <w:t>en los artículos</w:t>
      </w:r>
      <w:r w:rsidR="00C1704F" w:rsidRPr="003165E7">
        <w:rPr>
          <w:kern w:val="22"/>
          <w:lang w:val="es-ES"/>
        </w:rPr>
        <w:t xml:space="preserve"> 7 (Identifica</w:t>
      </w:r>
      <w:r w:rsidR="003165E7">
        <w:rPr>
          <w:kern w:val="22"/>
          <w:lang w:val="es-ES"/>
        </w:rPr>
        <w:t>ción y seguimiento)</w:t>
      </w:r>
      <w:r w:rsidR="00C1704F" w:rsidRPr="003165E7">
        <w:rPr>
          <w:kern w:val="22"/>
          <w:lang w:val="es-ES"/>
        </w:rPr>
        <w:t>, 14 (</w:t>
      </w:r>
      <w:r w:rsidR="003165E7">
        <w:rPr>
          <w:kern w:val="22"/>
          <w:lang w:val="es-ES"/>
        </w:rPr>
        <w:t>Evaluación del impacto y reducción al mínimo del impacto adverso</w:t>
      </w:r>
      <w:r w:rsidR="00C1704F" w:rsidRPr="003165E7">
        <w:rPr>
          <w:kern w:val="22"/>
          <w:lang w:val="es-ES"/>
        </w:rPr>
        <w:t>), 16 (</w:t>
      </w:r>
      <w:r w:rsidR="003165E7">
        <w:rPr>
          <w:kern w:val="22"/>
          <w:lang w:val="es-ES"/>
        </w:rPr>
        <w:t>Acceso a la tecnología y transferencia de tecnología)</w:t>
      </w:r>
      <w:r w:rsidR="00C1704F" w:rsidRPr="003165E7">
        <w:rPr>
          <w:kern w:val="22"/>
          <w:lang w:val="es-ES"/>
        </w:rPr>
        <w:t>, 18 (</w:t>
      </w:r>
      <w:r w:rsidR="003165E7">
        <w:rPr>
          <w:kern w:val="22"/>
          <w:lang w:val="es-ES"/>
        </w:rPr>
        <w:t>Cooperación científica y técnica</w:t>
      </w:r>
      <w:r w:rsidR="00C1704F" w:rsidRPr="003165E7">
        <w:rPr>
          <w:kern w:val="22"/>
          <w:lang w:val="es-ES"/>
        </w:rPr>
        <w:t>)</w:t>
      </w:r>
      <w:r w:rsidR="003165E7">
        <w:rPr>
          <w:kern w:val="22"/>
          <w:lang w:val="es-ES"/>
        </w:rPr>
        <w:t xml:space="preserve"> y</w:t>
      </w:r>
      <w:r w:rsidR="00C1704F" w:rsidRPr="003165E7">
        <w:rPr>
          <w:kern w:val="22"/>
          <w:lang w:val="es-ES"/>
        </w:rPr>
        <w:t xml:space="preserve"> 20 (</w:t>
      </w:r>
      <w:r w:rsidR="003165E7">
        <w:rPr>
          <w:kern w:val="22"/>
          <w:lang w:val="es-ES"/>
        </w:rPr>
        <w:t>Recursos financieros</w:t>
      </w:r>
      <w:r w:rsidR="00C1704F" w:rsidRPr="003165E7">
        <w:rPr>
          <w:kern w:val="22"/>
          <w:lang w:val="es-ES"/>
        </w:rPr>
        <w:t>).</w:t>
      </w:r>
    </w:p>
    <w:p w:rsidR="00B26763" w:rsidRPr="00377CEC" w:rsidRDefault="002B40D2" w:rsidP="00385560">
      <w:pPr>
        <w:pStyle w:val="Heading2"/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rFonts w:ascii="Times New Roman Bold" w:hAnsi="Times New Roman Bold" w:cs="Times New Roman Bold"/>
          <w:snapToGrid w:val="0"/>
          <w:kern w:val="22"/>
          <w:lang w:val="es-ES"/>
        </w:rPr>
      </w:pPr>
      <w:r w:rsidRPr="00377CEC">
        <w:rPr>
          <w:rFonts w:ascii="Times New Roman Bold" w:hAnsi="Times New Roman Bold" w:cs="Times New Roman Bold"/>
          <w:snapToGrid w:val="0"/>
          <w:kern w:val="22"/>
          <w:lang w:val="es-ES"/>
        </w:rPr>
        <w:t>B.</w:t>
      </w:r>
      <w:r w:rsidRPr="00377CEC">
        <w:rPr>
          <w:rFonts w:ascii="Times New Roman Bold" w:hAnsi="Times New Roman Bold" w:cs="Times New Roman Bold"/>
          <w:snapToGrid w:val="0"/>
          <w:kern w:val="22"/>
          <w:lang w:val="es-ES"/>
        </w:rPr>
        <w:tab/>
      </w:r>
      <w:r w:rsidR="00B26763" w:rsidRPr="00377CEC">
        <w:rPr>
          <w:rFonts w:ascii="Times New Roman Bold" w:hAnsi="Times New Roman Bold" w:cs="Times New Roman Bold"/>
          <w:snapToGrid w:val="0"/>
          <w:kern w:val="22"/>
          <w:lang w:val="es-ES"/>
        </w:rPr>
        <w:t>S</w:t>
      </w:r>
      <w:r w:rsidR="00377CEC" w:rsidRPr="00377CEC">
        <w:rPr>
          <w:rFonts w:ascii="Times New Roman Bold" w:hAnsi="Times New Roman Bold" w:cs="Times New Roman Bold"/>
          <w:snapToGrid w:val="0"/>
          <w:kern w:val="22"/>
          <w:lang w:val="es-ES"/>
        </w:rPr>
        <w:t xml:space="preserve">ituación de la ratificación del Protocolo de </w:t>
      </w:r>
      <w:r w:rsidR="00B26763" w:rsidRPr="00377CEC">
        <w:rPr>
          <w:rFonts w:ascii="Times New Roman Bold" w:hAnsi="Times New Roman Bold" w:cs="Times New Roman Bold"/>
          <w:snapToGrid w:val="0"/>
          <w:kern w:val="22"/>
          <w:lang w:val="es-ES"/>
        </w:rPr>
        <w:t>Cartagena</w:t>
      </w:r>
    </w:p>
    <w:p w:rsidR="002154DB" w:rsidRPr="00377CEC" w:rsidRDefault="00B26763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377CEC">
        <w:rPr>
          <w:kern w:val="22"/>
          <w:szCs w:val="22"/>
          <w:lang w:val="es-ES"/>
        </w:rPr>
        <w:t>A</w:t>
      </w:r>
      <w:r w:rsidR="00377CEC" w:rsidRPr="00377CEC">
        <w:rPr>
          <w:kern w:val="22"/>
          <w:szCs w:val="22"/>
          <w:lang w:val="es-ES"/>
        </w:rPr>
        <w:t xml:space="preserve"> fecha mayo de </w:t>
      </w:r>
      <w:r w:rsidR="008416B4" w:rsidRPr="00377CEC">
        <w:rPr>
          <w:kern w:val="22"/>
          <w:szCs w:val="22"/>
          <w:lang w:val="es-ES"/>
        </w:rPr>
        <w:t>2018</w:t>
      </w:r>
      <w:r w:rsidR="006100D1" w:rsidRPr="00377CEC">
        <w:rPr>
          <w:kern w:val="22"/>
          <w:szCs w:val="22"/>
          <w:lang w:val="es-ES"/>
        </w:rPr>
        <w:t xml:space="preserve">, </w:t>
      </w:r>
      <w:r w:rsidR="00377CEC" w:rsidRPr="00377CEC">
        <w:rPr>
          <w:kern w:val="22"/>
          <w:szCs w:val="22"/>
          <w:lang w:val="es-ES"/>
        </w:rPr>
        <w:t xml:space="preserve">el Protocolo de </w:t>
      </w:r>
      <w:r w:rsidR="006100D1" w:rsidRPr="00377CEC">
        <w:rPr>
          <w:kern w:val="22"/>
          <w:szCs w:val="22"/>
          <w:lang w:val="es-ES"/>
        </w:rPr>
        <w:t xml:space="preserve">Cartagena </w:t>
      </w:r>
      <w:r w:rsidR="00377CEC">
        <w:rPr>
          <w:kern w:val="22"/>
          <w:szCs w:val="22"/>
          <w:lang w:val="es-ES"/>
        </w:rPr>
        <w:t xml:space="preserve">sobre Seguridad de la Biotecnología tiene </w:t>
      </w:r>
      <w:r w:rsidR="006803CF" w:rsidRPr="00377CEC">
        <w:rPr>
          <w:kern w:val="22"/>
          <w:szCs w:val="22"/>
          <w:lang w:val="es-ES"/>
        </w:rPr>
        <w:t xml:space="preserve">171 Partes. </w:t>
      </w:r>
      <w:r w:rsidR="00377CEC" w:rsidRPr="00377CEC">
        <w:rPr>
          <w:kern w:val="22"/>
          <w:szCs w:val="22"/>
          <w:lang w:val="es-ES"/>
        </w:rPr>
        <w:t>Un</w:t>
      </w:r>
      <w:r w:rsidR="006803CF" w:rsidRPr="00377CEC">
        <w:rPr>
          <w:kern w:val="22"/>
          <w:szCs w:val="22"/>
          <w:lang w:val="es-ES"/>
        </w:rPr>
        <w:t xml:space="preserve"> total </w:t>
      </w:r>
      <w:r w:rsidR="00377CEC" w:rsidRPr="00377CEC">
        <w:rPr>
          <w:kern w:val="22"/>
          <w:szCs w:val="22"/>
          <w:lang w:val="es-ES"/>
        </w:rPr>
        <w:t>de</w:t>
      </w:r>
      <w:r w:rsidR="006803CF" w:rsidRPr="00377CEC">
        <w:rPr>
          <w:kern w:val="22"/>
          <w:szCs w:val="22"/>
          <w:lang w:val="es-ES"/>
        </w:rPr>
        <w:t xml:space="preserve"> 25 Partes </w:t>
      </w:r>
      <w:r w:rsidR="00377CEC" w:rsidRPr="00377CEC">
        <w:rPr>
          <w:kern w:val="22"/>
          <w:szCs w:val="22"/>
          <w:lang w:val="es-ES"/>
        </w:rPr>
        <w:t>en el Convenio no son Partes</w:t>
      </w:r>
      <w:r w:rsidR="00377CEC">
        <w:rPr>
          <w:kern w:val="22"/>
          <w:szCs w:val="22"/>
          <w:lang w:val="es-ES"/>
        </w:rPr>
        <w:t xml:space="preserve"> en el Protocolo de</w:t>
      </w:r>
      <w:r w:rsidR="006803CF" w:rsidRPr="00377CEC">
        <w:rPr>
          <w:kern w:val="22"/>
          <w:szCs w:val="22"/>
          <w:lang w:val="es-ES"/>
        </w:rPr>
        <w:t xml:space="preserve"> Cartagena</w:t>
      </w:r>
      <w:r w:rsidR="00C1704F" w:rsidRPr="00385560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3"/>
      </w:r>
      <w:r w:rsidR="00377CEC" w:rsidRPr="00377CEC">
        <w:rPr>
          <w:kern w:val="22"/>
          <w:szCs w:val="22"/>
          <w:lang w:val="es-ES"/>
        </w:rPr>
        <w:t>.</w:t>
      </w:r>
      <w:r w:rsidR="006803CF" w:rsidRPr="00377CEC">
        <w:rPr>
          <w:kern w:val="22"/>
          <w:szCs w:val="22"/>
          <w:lang w:val="es-ES"/>
        </w:rPr>
        <w:t xml:space="preserve"> </w:t>
      </w:r>
      <w:r w:rsidR="00377CEC" w:rsidRPr="00377CEC">
        <w:rPr>
          <w:kern w:val="22"/>
          <w:szCs w:val="22"/>
          <w:lang w:val="es-ES"/>
        </w:rPr>
        <w:t xml:space="preserve">La mayoría de estas están situadas en la región de </w:t>
      </w:r>
      <w:r w:rsidR="002154DB" w:rsidRPr="00377CEC">
        <w:rPr>
          <w:kern w:val="22"/>
          <w:szCs w:val="22"/>
          <w:lang w:val="es-ES"/>
        </w:rPr>
        <w:t>Asia</w:t>
      </w:r>
      <w:r w:rsidR="00377CEC" w:rsidRPr="00377CEC">
        <w:rPr>
          <w:kern w:val="22"/>
          <w:szCs w:val="22"/>
          <w:lang w:val="es-ES"/>
        </w:rPr>
        <w:t xml:space="preserve"> y el Pac</w:t>
      </w:r>
      <w:r w:rsidR="00377CEC">
        <w:rPr>
          <w:kern w:val="22"/>
          <w:szCs w:val="22"/>
          <w:lang w:val="es-ES"/>
        </w:rPr>
        <w:t>ífico</w:t>
      </w:r>
      <w:r w:rsidR="002154DB" w:rsidRPr="00377CEC">
        <w:rPr>
          <w:kern w:val="22"/>
          <w:szCs w:val="22"/>
          <w:lang w:val="es-ES"/>
        </w:rPr>
        <w:t xml:space="preserve"> </w:t>
      </w:r>
      <w:r w:rsidR="00C1704F" w:rsidRPr="00377CEC">
        <w:rPr>
          <w:kern w:val="22"/>
          <w:szCs w:val="22"/>
          <w:lang w:val="es-ES"/>
        </w:rPr>
        <w:t xml:space="preserve">(8 </w:t>
      </w:r>
      <w:r w:rsidR="00377CEC">
        <w:rPr>
          <w:kern w:val="22"/>
          <w:szCs w:val="22"/>
          <w:lang w:val="es-ES"/>
        </w:rPr>
        <w:t>países</w:t>
      </w:r>
      <w:r w:rsidR="00C1704F" w:rsidRPr="00377CEC">
        <w:rPr>
          <w:kern w:val="22"/>
          <w:szCs w:val="22"/>
          <w:lang w:val="es-ES"/>
        </w:rPr>
        <w:t xml:space="preserve">) </w:t>
      </w:r>
      <w:r w:rsidR="00377CEC">
        <w:rPr>
          <w:kern w:val="22"/>
          <w:szCs w:val="22"/>
          <w:lang w:val="es-ES"/>
        </w:rPr>
        <w:t>y en el Grupo de Estados de Europa Occidental y otros Estados</w:t>
      </w:r>
      <w:r w:rsidR="006100D1" w:rsidRPr="00377CEC">
        <w:rPr>
          <w:kern w:val="22"/>
          <w:szCs w:val="22"/>
          <w:lang w:val="es-ES"/>
        </w:rPr>
        <w:t xml:space="preserve"> (</w:t>
      </w:r>
      <w:r w:rsidR="00C1704F" w:rsidRPr="00377CEC">
        <w:rPr>
          <w:kern w:val="22"/>
          <w:szCs w:val="22"/>
          <w:lang w:val="es-ES"/>
        </w:rPr>
        <w:t xml:space="preserve">7 </w:t>
      </w:r>
      <w:r w:rsidR="00377CEC">
        <w:rPr>
          <w:kern w:val="22"/>
          <w:szCs w:val="22"/>
          <w:lang w:val="es-ES"/>
        </w:rPr>
        <w:t>países</w:t>
      </w:r>
      <w:r w:rsidR="006100D1" w:rsidRPr="00377CEC">
        <w:rPr>
          <w:kern w:val="22"/>
          <w:szCs w:val="22"/>
          <w:lang w:val="es-ES"/>
        </w:rPr>
        <w:t>)</w:t>
      </w:r>
      <w:r w:rsidR="0065770C" w:rsidRPr="00377CEC">
        <w:rPr>
          <w:kern w:val="22"/>
          <w:szCs w:val="22"/>
          <w:lang w:val="es-ES"/>
        </w:rPr>
        <w:t>.</w:t>
      </w:r>
    </w:p>
    <w:p w:rsidR="0065770C" w:rsidRPr="00FA4980" w:rsidRDefault="00FA4980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FA4980">
        <w:rPr>
          <w:kern w:val="22"/>
          <w:szCs w:val="22"/>
          <w:lang w:val="es-ES"/>
        </w:rPr>
        <w:lastRenderedPageBreak/>
        <w:t xml:space="preserve">En los últimos años, los progresos realizados por los países en la ratificación o </w:t>
      </w:r>
      <w:r>
        <w:rPr>
          <w:kern w:val="22"/>
          <w:szCs w:val="22"/>
          <w:lang w:val="es-ES"/>
        </w:rPr>
        <w:t>adhesión</w:t>
      </w:r>
      <w:r w:rsidRPr="00FA4980">
        <w:rPr>
          <w:kern w:val="22"/>
          <w:szCs w:val="22"/>
          <w:lang w:val="es-ES"/>
        </w:rPr>
        <w:t xml:space="preserve"> al Protocolo de Cartagena han sido limitados, y el n</w:t>
      </w:r>
      <w:r>
        <w:rPr>
          <w:kern w:val="22"/>
          <w:szCs w:val="22"/>
          <w:lang w:val="es-ES"/>
        </w:rPr>
        <w:t>úmero de nuevas ratificaciones ha sido m</w:t>
      </w:r>
      <w:r w:rsidR="00A213F3">
        <w:rPr>
          <w:kern w:val="22"/>
          <w:szCs w:val="22"/>
          <w:lang w:val="es-ES"/>
        </w:rPr>
        <w:t>uy bajo</w:t>
      </w:r>
      <w:r w:rsidR="00475CE3" w:rsidRPr="00FA4980">
        <w:rPr>
          <w:kern w:val="22"/>
          <w:szCs w:val="22"/>
          <w:lang w:val="es-ES"/>
        </w:rPr>
        <w:t xml:space="preserve">: 2 Partes 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 xml:space="preserve">n 2013; 2 Partes 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>n 2014; 2</w:t>
      </w:r>
      <w:r w:rsidR="00B46C93" w:rsidRPr="00FA4980">
        <w:rPr>
          <w:kern w:val="22"/>
          <w:szCs w:val="22"/>
          <w:lang w:val="es-ES"/>
        </w:rPr>
        <w:t> </w:t>
      </w:r>
      <w:r w:rsidR="00475CE3" w:rsidRPr="00FA4980">
        <w:rPr>
          <w:kern w:val="22"/>
          <w:szCs w:val="22"/>
          <w:lang w:val="es-ES"/>
        </w:rPr>
        <w:t>Part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 xml:space="preserve">s 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>n 2015; n</w:t>
      </w:r>
      <w:r w:rsidR="00A213F3">
        <w:rPr>
          <w:kern w:val="22"/>
          <w:szCs w:val="22"/>
          <w:lang w:val="es-ES"/>
        </w:rPr>
        <w:t>inguna</w:t>
      </w:r>
      <w:r w:rsidR="00475CE3" w:rsidRPr="00FA4980">
        <w:rPr>
          <w:kern w:val="22"/>
          <w:szCs w:val="22"/>
          <w:lang w:val="es-ES"/>
        </w:rPr>
        <w:t xml:space="preserve"> Parte 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>n 2016</w:t>
      </w:r>
      <w:r w:rsidR="00A213F3">
        <w:rPr>
          <w:kern w:val="22"/>
          <w:szCs w:val="22"/>
          <w:lang w:val="es-ES"/>
        </w:rPr>
        <w:t xml:space="preserve"> y</w:t>
      </w:r>
      <w:r w:rsidR="00475CE3" w:rsidRPr="00FA4980">
        <w:rPr>
          <w:kern w:val="22"/>
          <w:szCs w:val="22"/>
          <w:lang w:val="es-ES"/>
        </w:rPr>
        <w:t xml:space="preserve"> 1 Part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 xml:space="preserve"> </w:t>
      </w:r>
      <w:r w:rsidR="00A213F3">
        <w:rPr>
          <w:kern w:val="22"/>
          <w:szCs w:val="22"/>
          <w:lang w:val="es-ES"/>
        </w:rPr>
        <w:t>e</w:t>
      </w:r>
      <w:r w:rsidR="00475CE3" w:rsidRPr="00FA4980">
        <w:rPr>
          <w:kern w:val="22"/>
          <w:szCs w:val="22"/>
          <w:lang w:val="es-ES"/>
        </w:rPr>
        <w:t>n 2017.</w:t>
      </w:r>
    </w:p>
    <w:p w:rsidR="009029A0" w:rsidRPr="00A213F3" w:rsidRDefault="00A213F3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A213F3">
        <w:rPr>
          <w:kern w:val="22"/>
          <w:szCs w:val="22"/>
          <w:lang w:val="es-ES"/>
        </w:rPr>
        <w:t>Como</w:t>
      </w:r>
      <w:r w:rsidR="006D7B65">
        <w:rPr>
          <w:kern w:val="22"/>
          <w:szCs w:val="22"/>
          <w:lang w:val="es-ES"/>
        </w:rPr>
        <w:t xml:space="preserve"> se destaca </w:t>
      </w:r>
      <w:r w:rsidRPr="00A213F3">
        <w:rPr>
          <w:kern w:val="22"/>
          <w:szCs w:val="22"/>
          <w:lang w:val="es-ES"/>
        </w:rPr>
        <w:t>en una serie de decisiones</w:t>
      </w:r>
      <w:r w:rsidR="00365E9D" w:rsidRPr="00A213F3">
        <w:rPr>
          <w:kern w:val="22"/>
          <w:szCs w:val="22"/>
          <w:lang w:val="es-ES"/>
        </w:rPr>
        <w:t xml:space="preserve">, </w:t>
      </w:r>
      <w:r w:rsidRPr="00A213F3">
        <w:rPr>
          <w:kern w:val="22"/>
          <w:szCs w:val="22"/>
          <w:lang w:val="es-ES"/>
        </w:rPr>
        <w:t>s</w:t>
      </w:r>
      <w:r>
        <w:rPr>
          <w:kern w:val="22"/>
          <w:szCs w:val="22"/>
          <w:lang w:val="es-ES"/>
        </w:rPr>
        <w:t>e necesitan más</w:t>
      </w:r>
      <w:r w:rsidRPr="00A213F3">
        <w:rPr>
          <w:kern w:val="22"/>
          <w:szCs w:val="22"/>
          <w:lang w:val="es-ES"/>
        </w:rPr>
        <w:t xml:space="preserve"> ayuda técnica, creaci</w:t>
      </w:r>
      <w:r>
        <w:rPr>
          <w:kern w:val="22"/>
          <w:szCs w:val="22"/>
          <w:lang w:val="es-ES"/>
        </w:rPr>
        <w:t>ón de capacidad y recursos financieros para respaldar la ratificación y aplicación del Protocolo de Cartagena</w:t>
      </w:r>
      <w:r w:rsidR="006F6F44" w:rsidRPr="00A213F3">
        <w:rPr>
          <w:kern w:val="22"/>
          <w:szCs w:val="22"/>
          <w:lang w:val="es-ES"/>
        </w:rPr>
        <w:t>.</w:t>
      </w:r>
    </w:p>
    <w:p w:rsidR="00B26763" w:rsidRPr="002C7535" w:rsidRDefault="002C7535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2C7535">
        <w:rPr>
          <w:kern w:val="22"/>
          <w:lang w:val="es-ES"/>
        </w:rPr>
        <w:t>No obstante</w:t>
      </w:r>
      <w:r w:rsidR="00C1704F" w:rsidRPr="002C7535">
        <w:rPr>
          <w:kern w:val="22"/>
          <w:lang w:val="es-ES"/>
        </w:rPr>
        <w:t xml:space="preserve">, </w:t>
      </w:r>
      <w:r w:rsidRPr="002C7535">
        <w:rPr>
          <w:kern w:val="22"/>
          <w:lang w:val="es-ES"/>
        </w:rPr>
        <w:t xml:space="preserve">varias Partes en el Convenio que no son Partes en el Protocolo de </w:t>
      </w:r>
      <w:r>
        <w:rPr>
          <w:kern w:val="22"/>
          <w:lang w:val="es-ES"/>
        </w:rPr>
        <w:t>C</w:t>
      </w:r>
      <w:r w:rsidR="00A42832" w:rsidRPr="002C7535">
        <w:rPr>
          <w:kern w:val="22"/>
          <w:lang w:val="es-ES"/>
        </w:rPr>
        <w:t>artagena</w:t>
      </w:r>
      <w:r>
        <w:rPr>
          <w:kern w:val="22"/>
          <w:lang w:val="es-ES"/>
        </w:rPr>
        <w:t xml:space="preserve"> ya han puesto en marcha medidas en materia de </w:t>
      </w:r>
      <w:r w:rsidR="003B30F9">
        <w:rPr>
          <w:kern w:val="22"/>
          <w:lang w:val="es-ES"/>
        </w:rPr>
        <w:t>seguridad de la biotecnología</w:t>
      </w:r>
      <w:r w:rsidR="00A42832" w:rsidRPr="002C7535">
        <w:rPr>
          <w:kern w:val="22"/>
          <w:lang w:val="es-ES"/>
        </w:rPr>
        <w:t xml:space="preserve">. </w:t>
      </w:r>
      <w:r w:rsidRPr="002C7535">
        <w:rPr>
          <w:kern w:val="22"/>
          <w:lang w:val="es-ES"/>
        </w:rPr>
        <w:t xml:space="preserve">Entre ellas, muchos países han adoptado medidas de </w:t>
      </w:r>
      <w:r w:rsidR="003B30F9">
        <w:rPr>
          <w:kern w:val="22"/>
          <w:lang w:val="es-ES"/>
        </w:rPr>
        <w:t>seguridad de la biotecnología</w:t>
      </w:r>
      <w:r w:rsidR="0089149F" w:rsidRPr="002C7535">
        <w:rPr>
          <w:kern w:val="22"/>
          <w:lang w:val="es-ES"/>
        </w:rPr>
        <w:t>,</w:t>
      </w:r>
      <w:r w:rsidR="004D2396" w:rsidRPr="002C7535">
        <w:rPr>
          <w:kern w:val="22"/>
          <w:lang w:val="es-ES"/>
        </w:rPr>
        <w:t xml:space="preserve"> </w:t>
      </w:r>
      <w:r w:rsidRPr="002C7535">
        <w:rPr>
          <w:kern w:val="22"/>
          <w:lang w:val="es-ES"/>
        </w:rPr>
        <w:t xml:space="preserve">aplicando así </w:t>
      </w:r>
      <w:r w:rsidR="004D2396" w:rsidRPr="002C7535">
        <w:rPr>
          <w:i/>
          <w:kern w:val="22"/>
          <w:lang w:val="es-ES"/>
        </w:rPr>
        <w:t xml:space="preserve">de facto </w:t>
      </w:r>
      <w:r w:rsidRPr="002C7535">
        <w:rPr>
          <w:kern w:val="22"/>
          <w:lang w:val="es-ES"/>
        </w:rPr>
        <w:t xml:space="preserve">el Protocolo de </w:t>
      </w:r>
      <w:r w:rsidR="00B26763" w:rsidRPr="002C7535">
        <w:rPr>
          <w:kern w:val="22"/>
          <w:lang w:val="es-ES"/>
        </w:rPr>
        <w:t>Cartagena</w:t>
      </w:r>
      <w:r w:rsidR="00E637DB" w:rsidRPr="002C7535">
        <w:rPr>
          <w:kern w:val="22"/>
          <w:lang w:val="es-ES"/>
        </w:rPr>
        <w:t>,</w:t>
      </w:r>
      <w:r w:rsidR="00B26763" w:rsidRPr="002C7535">
        <w:rPr>
          <w:kern w:val="22"/>
          <w:lang w:val="es-ES"/>
        </w:rPr>
        <w:t xml:space="preserve"> </w:t>
      </w:r>
      <w:r w:rsidRPr="002C7535">
        <w:rPr>
          <w:kern w:val="22"/>
          <w:lang w:val="es-ES"/>
        </w:rPr>
        <w:t>y han publicado información a este respecto</w:t>
      </w:r>
      <w:r w:rsidR="00B26763" w:rsidRPr="002C7535">
        <w:rPr>
          <w:kern w:val="22"/>
          <w:lang w:val="es-ES"/>
        </w:rPr>
        <w:t xml:space="preserve">, </w:t>
      </w:r>
      <w:r w:rsidRPr="002C7535">
        <w:rPr>
          <w:kern w:val="22"/>
          <w:lang w:val="es-ES"/>
        </w:rPr>
        <w:t>como</w:t>
      </w:r>
      <w:r w:rsidR="006D7B65">
        <w:rPr>
          <w:kern w:val="22"/>
          <w:lang w:val="es-ES"/>
        </w:rPr>
        <w:t xml:space="preserve"> el establecimiento </w:t>
      </w:r>
      <w:r>
        <w:rPr>
          <w:kern w:val="22"/>
          <w:lang w:val="es-ES"/>
        </w:rPr>
        <w:t xml:space="preserve">de estructuras institucionales </w:t>
      </w:r>
      <w:r w:rsidR="00B26763" w:rsidRPr="002C7535">
        <w:rPr>
          <w:kern w:val="22"/>
          <w:lang w:val="es-ES"/>
        </w:rPr>
        <w:t>o</w:t>
      </w:r>
      <w:r>
        <w:rPr>
          <w:kern w:val="22"/>
          <w:lang w:val="es-ES"/>
        </w:rPr>
        <w:t xml:space="preserve"> el desarrollo o la revisión de medidas nacionales en materia de </w:t>
      </w:r>
      <w:r w:rsidR="003B30F9">
        <w:rPr>
          <w:kern w:val="22"/>
          <w:lang w:val="es-ES"/>
        </w:rPr>
        <w:t>seguridad de la biotecnología</w:t>
      </w:r>
      <w:r w:rsidR="00B26763" w:rsidRPr="002C7535">
        <w:rPr>
          <w:kern w:val="22"/>
          <w:lang w:val="es-ES"/>
        </w:rPr>
        <w:t>,</w:t>
      </w:r>
      <w:r w:rsidR="006D7B65">
        <w:rPr>
          <w:kern w:val="22"/>
          <w:lang w:val="es-ES"/>
        </w:rPr>
        <w:t xml:space="preserve"> mediante </w:t>
      </w:r>
      <w:r>
        <w:rPr>
          <w:kern w:val="22"/>
          <w:lang w:val="es-ES"/>
        </w:rPr>
        <w:t xml:space="preserve">sus EPANB o el </w:t>
      </w:r>
      <w:hyperlink r:id="rId17" w:history="1">
        <w:r w:rsidR="00EF576F">
          <w:rPr>
            <w:rStyle w:val="Hyperlink"/>
            <w:kern w:val="22"/>
            <w:lang w:val="es-ES"/>
          </w:rPr>
          <w:t>Centr</w:t>
        </w:r>
        <w:r w:rsidR="00B26763" w:rsidRPr="002C7535">
          <w:rPr>
            <w:rStyle w:val="Hyperlink"/>
            <w:kern w:val="22"/>
            <w:lang w:val="es-ES"/>
          </w:rPr>
          <w:t>o</w:t>
        </w:r>
        <w:r w:rsidR="00EF576F">
          <w:rPr>
            <w:rStyle w:val="Hyperlink"/>
            <w:kern w:val="22"/>
            <w:lang w:val="es-ES"/>
          </w:rPr>
          <w:t xml:space="preserve"> d</w:t>
        </w:r>
        <w:r w:rsidR="00B26763" w:rsidRPr="002C7535">
          <w:rPr>
            <w:rStyle w:val="Hyperlink"/>
            <w:kern w:val="22"/>
            <w:lang w:val="es-ES"/>
          </w:rPr>
          <w:t>e</w:t>
        </w:r>
        <w:r w:rsidR="00EF576F">
          <w:rPr>
            <w:rStyle w:val="Hyperlink"/>
            <w:kern w:val="22"/>
            <w:lang w:val="es-ES"/>
          </w:rPr>
          <w:t xml:space="preserve"> In</w:t>
        </w:r>
        <w:r w:rsidR="00B26763" w:rsidRPr="002C7535">
          <w:rPr>
            <w:rStyle w:val="Hyperlink"/>
            <w:kern w:val="22"/>
            <w:lang w:val="es-ES"/>
          </w:rPr>
          <w:t>t</w:t>
        </w:r>
        <w:r w:rsidR="00EF576F">
          <w:rPr>
            <w:rStyle w:val="Hyperlink"/>
            <w:kern w:val="22"/>
            <w:lang w:val="es-ES"/>
          </w:rPr>
          <w:t>ercambio de</w:t>
        </w:r>
        <w:r w:rsidR="00B26763" w:rsidRPr="002C7535">
          <w:rPr>
            <w:rStyle w:val="Hyperlink"/>
            <w:kern w:val="22"/>
            <w:lang w:val="es-ES"/>
          </w:rPr>
          <w:t xml:space="preserve"> </w:t>
        </w:r>
        <w:r w:rsidR="00EF576F">
          <w:rPr>
            <w:rStyle w:val="Hyperlink"/>
            <w:kern w:val="22"/>
            <w:lang w:val="es-ES"/>
          </w:rPr>
          <w:t>Información sobre Segurid</w:t>
        </w:r>
        <w:r w:rsidR="00B26763" w:rsidRPr="002C7535">
          <w:rPr>
            <w:rStyle w:val="Hyperlink"/>
            <w:kern w:val="22"/>
            <w:lang w:val="es-ES"/>
          </w:rPr>
          <w:t>a</w:t>
        </w:r>
        <w:r w:rsidR="00EF576F">
          <w:rPr>
            <w:rStyle w:val="Hyperlink"/>
            <w:kern w:val="22"/>
            <w:lang w:val="es-ES"/>
          </w:rPr>
          <w:t>d de la Bi</w:t>
        </w:r>
        <w:r w:rsidR="00B26763" w:rsidRPr="002C7535">
          <w:rPr>
            <w:rStyle w:val="Hyperlink"/>
            <w:kern w:val="22"/>
            <w:lang w:val="es-ES"/>
          </w:rPr>
          <w:t>o</w:t>
        </w:r>
        <w:r w:rsidR="00EF576F">
          <w:rPr>
            <w:rStyle w:val="Hyperlink"/>
            <w:kern w:val="22"/>
            <w:lang w:val="es-ES"/>
          </w:rPr>
          <w:t>tecnología</w:t>
        </w:r>
      </w:hyperlink>
      <w:r w:rsidR="00B26763" w:rsidRPr="002C7535">
        <w:rPr>
          <w:kern w:val="22"/>
          <w:lang w:val="es-ES"/>
        </w:rPr>
        <w:t>.</w:t>
      </w:r>
    </w:p>
    <w:p w:rsidR="00226406" w:rsidRPr="00F407ED" w:rsidRDefault="00F407ED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F407ED">
        <w:rPr>
          <w:kern w:val="22"/>
          <w:lang w:val="es-ES"/>
        </w:rPr>
        <w:t>Además</w:t>
      </w:r>
      <w:r w:rsidR="00525039" w:rsidRPr="00F407ED">
        <w:rPr>
          <w:kern w:val="22"/>
          <w:lang w:val="es-ES"/>
        </w:rPr>
        <w:t>,</w:t>
      </w:r>
      <w:r w:rsidR="009029A0" w:rsidRPr="00F407ED">
        <w:rPr>
          <w:kern w:val="22"/>
          <w:lang w:val="es-ES"/>
        </w:rPr>
        <w:t xml:space="preserve"> </w:t>
      </w:r>
      <w:r w:rsidRPr="00F407ED">
        <w:rPr>
          <w:kern w:val="22"/>
          <w:lang w:val="es-ES"/>
        </w:rPr>
        <w:t xml:space="preserve">las </w:t>
      </w:r>
      <w:r w:rsidR="009029A0" w:rsidRPr="00F407ED">
        <w:rPr>
          <w:kern w:val="22"/>
          <w:lang w:val="es-ES"/>
        </w:rPr>
        <w:t>Partes</w:t>
      </w:r>
      <w:r w:rsidR="00A42832" w:rsidRPr="00F407ED">
        <w:rPr>
          <w:kern w:val="22"/>
          <w:lang w:val="es-ES"/>
        </w:rPr>
        <w:t xml:space="preserve"> </w:t>
      </w:r>
      <w:r w:rsidRPr="00F407ED">
        <w:rPr>
          <w:kern w:val="22"/>
          <w:lang w:val="es-ES"/>
        </w:rPr>
        <w:t xml:space="preserve">en el </w:t>
      </w:r>
      <w:r w:rsidR="00A42832" w:rsidRPr="00F407ED">
        <w:rPr>
          <w:kern w:val="22"/>
          <w:lang w:val="es-ES"/>
        </w:rPr>
        <w:t>Conven</w:t>
      </w:r>
      <w:r w:rsidRPr="00F407ED">
        <w:rPr>
          <w:kern w:val="22"/>
          <w:lang w:val="es-ES"/>
        </w:rPr>
        <w:t xml:space="preserve">io que no son Partes en el Protocolo de </w:t>
      </w:r>
      <w:r w:rsidR="00A42832" w:rsidRPr="00F407ED">
        <w:rPr>
          <w:kern w:val="22"/>
          <w:lang w:val="es-ES"/>
        </w:rPr>
        <w:t>Cartagena</w:t>
      </w:r>
      <w:r w:rsidR="00EF7A75" w:rsidRPr="00F407ED">
        <w:rPr>
          <w:kern w:val="22"/>
          <w:lang w:val="es-ES"/>
        </w:rPr>
        <w:t xml:space="preserve"> </w:t>
      </w:r>
      <w:r>
        <w:rPr>
          <w:kern w:val="22"/>
          <w:lang w:val="es-ES"/>
        </w:rPr>
        <w:t xml:space="preserve">están obligadas sin embargo a cumplir con las obligaciones en materia de </w:t>
      </w:r>
      <w:r w:rsidR="003B30F9">
        <w:rPr>
          <w:kern w:val="22"/>
          <w:lang w:val="es-ES"/>
        </w:rPr>
        <w:t>seguridad de la biotecnología</w:t>
      </w:r>
      <w:r>
        <w:rPr>
          <w:kern w:val="22"/>
          <w:lang w:val="es-ES"/>
        </w:rPr>
        <w:t xml:space="preserve"> del Convenio, incluidas las que figuran en los artículos</w:t>
      </w:r>
      <w:r w:rsidR="00226406" w:rsidRPr="00F407ED">
        <w:rPr>
          <w:kern w:val="22"/>
          <w:lang w:val="es-ES"/>
        </w:rPr>
        <w:t xml:space="preserve"> </w:t>
      </w:r>
      <w:r w:rsidR="00A42832" w:rsidRPr="00F407ED">
        <w:rPr>
          <w:kern w:val="22"/>
          <w:lang w:val="es-ES"/>
        </w:rPr>
        <w:t>8</w:t>
      </w:r>
      <w:r>
        <w:rPr>
          <w:kern w:val="22"/>
          <w:lang w:val="es-ES"/>
        </w:rPr>
        <w:t xml:space="preserve"> </w:t>
      </w:r>
      <w:r w:rsidR="00A42832" w:rsidRPr="00F407ED">
        <w:rPr>
          <w:kern w:val="22"/>
          <w:lang w:val="es-ES"/>
        </w:rPr>
        <w:t>g</w:t>
      </w:r>
      <w:r w:rsidR="00226406" w:rsidRPr="00F407ED">
        <w:rPr>
          <w:kern w:val="22"/>
          <w:lang w:val="es-ES"/>
        </w:rPr>
        <w:t>)</w:t>
      </w:r>
      <w:r w:rsidR="00525039" w:rsidRPr="00F407ED">
        <w:rPr>
          <w:kern w:val="22"/>
          <w:lang w:val="es-ES"/>
        </w:rPr>
        <w:t xml:space="preserve"> </w:t>
      </w:r>
      <w:r>
        <w:rPr>
          <w:kern w:val="22"/>
          <w:lang w:val="es-ES"/>
        </w:rPr>
        <w:t>y</w:t>
      </w:r>
      <w:r w:rsidR="00A42832" w:rsidRPr="00F407ED">
        <w:rPr>
          <w:kern w:val="22"/>
          <w:lang w:val="es-ES"/>
        </w:rPr>
        <w:t xml:space="preserve"> 19</w:t>
      </w:r>
      <w:r>
        <w:rPr>
          <w:kern w:val="22"/>
          <w:lang w:val="es-ES"/>
        </w:rPr>
        <w:t xml:space="preserve"> </w:t>
      </w:r>
      <w:r w:rsidR="00B75568" w:rsidRPr="00F407ED">
        <w:rPr>
          <w:kern w:val="22"/>
          <w:lang w:val="es-ES"/>
        </w:rPr>
        <w:t>4</w:t>
      </w:r>
      <w:r w:rsidR="00FC6D52" w:rsidRPr="00F407ED">
        <w:rPr>
          <w:kern w:val="22"/>
          <w:lang w:val="es-ES"/>
        </w:rPr>
        <w:t>)</w:t>
      </w:r>
      <w:r w:rsidR="003E16AD" w:rsidRPr="00F407ED">
        <w:rPr>
          <w:kern w:val="22"/>
          <w:lang w:val="es-ES"/>
        </w:rPr>
        <w:t>.</w:t>
      </w:r>
    </w:p>
    <w:p w:rsidR="0036390F" w:rsidRPr="00C35A78" w:rsidRDefault="002B40D2" w:rsidP="00385560">
      <w:pPr>
        <w:pStyle w:val="Heading2"/>
        <w:suppressLineNumbers/>
        <w:tabs>
          <w:tab w:val="clear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ind w:left="1152" w:hanging="432"/>
        <w:jc w:val="left"/>
        <w:rPr>
          <w:snapToGrid w:val="0"/>
          <w:kern w:val="22"/>
          <w:lang w:val="es-ES"/>
        </w:rPr>
      </w:pPr>
      <w:r w:rsidRPr="00C35A78">
        <w:rPr>
          <w:snapToGrid w:val="0"/>
          <w:kern w:val="22"/>
          <w:lang w:val="es-ES"/>
        </w:rPr>
        <w:t>C.</w:t>
      </w:r>
      <w:r w:rsidRPr="00C35A78">
        <w:rPr>
          <w:snapToGrid w:val="0"/>
          <w:kern w:val="22"/>
          <w:lang w:val="es-ES"/>
        </w:rPr>
        <w:tab/>
      </w:r>
      <w:r w:rsidR="0036390F" w:rsidRPr="00C35A78">
        <w:rPr>
          <w:snapToGrid w:val="0"/>
          <w:kern w:val="22"/>
          <w:lang w:val="es-ES"/>
        </w:rPr>
        <w:t>Integra</w:t>
      </w:r>
      <w:r w:rsidR="00C35A78" w:rsidRPr="00C35A78">
        <w:rPr>
          <w:snapToGrid w:val="0"/>
          <w:kern w:val="22"/>
          <w:lang w:val="es-ES"/>
        </w:rPr>
        <w:t xml:space="preserve">ción de las consideraciones de </w:t>
      </w:r>
      <w:r w:rsidR="003B30F9">
        <w:rPr>
          <w:snapToGrid w:val="0"/>
          <w:kern w:val="22"/>
          <w:lang w:val="es-ES"/>
        </w:rPr>
        <w:t>seguridad de la biotecnología</w:t>
      </w:r>
      <w:r w:rsidR="00C35A78" w:rsidRPr="00C35A78">
        <w:rPr>
          <w:snapToGrid w:val="0"/>
          <w:kern w:val="22"/>
          <w:lang w:val="es-ES"/>
        </w:rPr>
        <w:t xml:space="preserve"> </w:t>
      </w:r>
      <w:r w:rsidR="00C35A78" w:rsidRPr="006D7B65">
        <w:rPr>
          <w:snapToGrid w:val="0"/>
          <w:kern w:val="22"/>
          <w:lang w:val="es-ES"/>
        </w:rPr>
        <w:t>en las distintas</w:t>
      </w:r>
      <w:r w:rsidR="006D7B65" w:rsidRPr="006D7B65">
        <w:rPr>
          <w:snapToGrid w:val="0"/>
          <w:kern w:val="22"/>
          <w:lang w:val="es-ES"/>
        </w:rPr>
        <w:t xml:space="preserve"> </w:t>
      </w:r>
      <w:r w:rsidR="00C35A78" w:rsidRPr="006D7B65">
        <w:rPr>
          <w:snapToGrid w:val="0"/>
          <w:kern w:val="22"/>
          <w:lang w:val="es-ES"/>
        </w:rPr>
        <w:t>áreas programáticas del Convenio y actividades realizadas para lograr</w:t>
      </w:r>
      <w:r w:rsidR="00C35A78" w:rsidRPr="00C35A78">
        <w:rPr>
          <w:snapToGrid w:val="0"/>
          <w:kern w:val="22"/>
          <w:lang w:val="es-ES"/>
        </w:rPr>
        <w:t xml:space="preserve"> este objetivo</w:t>
      </w:r>
    </w:p>
    <w:p w:rsidR="001D2387" w:rsidRPr="00C35A78" w:rsidRDefault="00C35A78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C35A78">
        <w:rPr>
          <w:kern w:val="22"/>
          <w:lang w:val="es-ES"/>
        </w:rPr>
        <w:t xml:space="preserve">La integración de la </w:t>
      </w:r>
      <w:r w:rsidR="003B30F9">
        <w:rPr>
          <w:kern w:val="22"/>
          <w:lang w:val="es-ES"/>
        </w:rPr>
        <w:t>seguridad de la biotecnología</w:t>
      </w:r>
      <w:r w:rsidRPr="00C35A78">
        <w:rPr>
          <w:kern w:val="22"/>
          <w:lang w:val="es-ES"/>
        </w:rPr>
        <w:t xml:space="preserve"> en todo el Convenio tiene </w:t>
      </w:r>
      <w:r>
        <w:rPr>
          <w:kern w:val="22"/>
          <w:lang w:val="es-ES"/>
        </w:rPr>
        <w:t xml:space="preserve">consecuencias a nivel </w:t>
      </w:r>
      <w:r w:rsidRPr="00C35A78">
        <w:rPr>
          <w:kern w:val="22"/>
          <w:lang w:val="es-ES"/>
        </w:rPr>
        <w:t>intergubernamental y nacional</w:t>
      </w:r>
      <w:r w:rsidR="00CF2427" w:rsidRPr="00C35A78">
        <w:rPr>
          <w:kern w:val="22"/>
          <w:lang w:val="es-ES"/>
        </w:rPr>
        <w:t>.</w:t>
      </w:r>
    </w:p>
    <w:p w:rsidR="00B561EC" w:rsidRPr="00830261" w:rsidRDefault="006A62F0" w:rsidP="00385560">
      <w:pPr>
        <w:pStyle w:val="Para1"/>
        <w:suppressLineNumbers/>
        <w:tabs>
          <w:tab w:val="clear" w:pos="360"/>
          <w:tab w:val="left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6A62F0">
        <w:rPr>
          <w:kern w:val="22"/>
          <w:lang w:val="es-ES"/>
        </w:rPr>
        <w:t xml:space="preserve">Aunque la </w:t>
      </w:r>
      <w:r w:rsidR="003B30F9">
        <w:rPr>
          <w:kern w:val="22"/>
          <w:lang w:val="es-ES"/>
        </w:rPr>
        <w:t>seguridad de la biotecnología</w:t>
      </w:r>
      <w:r w:rsidRPr="006A62F0">
        <w:rPr>
          <w:kern w:val="22"/>
          <w:lang w:val="es-ES"/>
        </w:rPr>
        <w:t xml:space="preserve"> contribuye a la conservación de la diversidad biológica y la utilización sostenible de sus componentes, y apoya la participación justa y equitativa </w:t>
      </w:r>
      <w:r>
        <w:rPr>
          <w:kern w:val="22"/>
          <w:szCs w:val="24"/>
          <w:lang w:val="es-ES"/>
        </w:rPr>
        <w:t>en los beneficios que se deriven de la utilización de los recursos genéticos</w:t>
      </w:r>
      <w:r w:rsidR="00505F32" w:rsidRPr="006A62F0">
        <w:rPr>
          <w:kern w:val="22"/>
          <w:lang w:val="es-ES"/>
        </w:rPr>
        <w:t xml:space="preserve">, </w:t>
      </w:r>
      <w:r>
        <w:rPr>
          <w:kern w:val="22"/>
          <w:lang w:val="es-ES"/>
        </w:rPr>
        <w:t xml:space="preserve">la </w:t>
      </w:r>
      <w:r w:rsidR="003B30F9">
        <w:rPr>
          <w:kern w:val="22"/>
          <w:lang w:val="es-ES"/>
        </w:rPr>
        <w:t>seguridad de la biotecnología</w:t>
      </w:r>
      <w:r>
        <w:rPr>
          <w:kern w:val="22"/>
          <w:lang w:val="es-ES"/>
        </w:rPr>
        <w:t xml:space="preserve"> se sigue considerando, en gran medida</w:t>
      </w:r>
      <w:r w:rsidR="002B40D2" w:rsidRPr="006A62F0">
        <w:rPr>
          <w:kern w:val="22"/>
          <w:lang w:val="es-ES"/>
        </w:rPr>
        <w:t>,</w:t>
      </w:r>
      <w:r w:rsidR="006D7B65">
        <w:rPr>
          <w:kern w:val="22"/>
          <w:lang w:val="es-ES"/>
        </w:rPr>
        <w:t xml:space="preserve"> como </w:t>
      </w:r>
      <w:r>
        <w:rPr>
          <w:kern w:val="22"/>
          <w:lang w:val="es-ES"/>
        </w:rPr>
        <w:t>una cuestión aislada que</w:t>
      </w:r>
      <w:r w:rsidR="006D7B65">
        <w:rPr>
          <w:kern w:val="22"/>
          <w:lang w:val="es-ES"/>
        </w:rPr>
        <w:t xml:space="preserve"> se trata </w:t>
      </w:r>
      <w:r>
        <w:rPr>
          <w:kern w:val="22"/>
          <w:lang w:val="es-ES"/>
        </w:rPr>
        <w:t>únicamente o principalmente en el marco del Protocolo de Cartagena</w:t>
      </w:r>
      <w:r w:rsidR="00777198" w:rsidRPr="006A62F0">
        <w:rPr>
          <w:kern w:val="22"/>
          <w:lang w:val="es-ES"/>
        </w:rPr>
        <w:t xml:space="preserve">. </w:t>
      </w:r>
      <w:r w:rsidRPr="00E86B18">
        <w:rPr>
          <w:kern w:val="22"/>
          <w:lang w:val="es-ES"/>
        </w:rPr>
        <w:t xml:space="preserve">Esto tiene repercusiones, en particular para las Partes en el Convenio que no son Partes en el Protocolo de </w:t>
      </w:r>
      <w:r w:rsidR="00C81A43" w:rsidRPr="00E86B18">
        <w:rPr>
          <w:kern w:val="22"/>
          <w:lang w:val="es-ES"/>
        </w:rPr>
        <w:t>Cartagena</w:t>
      </w:r>
      <w:r w:rsidR="00D7780B" w:rsidRPr="00E86B18">
        <w:rPr>
          <w:kern w:val="22"/>
          <w:lang w:val="es-ES"/>
        </w:rPr>
        <w:t>,</w:t>
      </w:r>
      <w:r w:rsidR="00475CE3" w:rsidRPr="00E86B18">
        <w:rPr>
          <w:kern w:val="22"/>
          <w:lang w:val="es-ES"/>
        </w:rPr>
        <w:t xml:space="preserve"> </w:t>
      </w:r>
      <w:r w:rsidR="009676E0" w:rsidRPr="00E86B18">
        <w:rPr>
          <w:kern w:val="22"/>
          <w:lang w:val="es-ES"/>
        </w:rPr>
        <w:t>as</w:t>
      </w:r>
      <w:r w:rsidR="00E86B18">
        <w:rPr>
          <w:kern w:val="22"/>
          <w:lang w:val="es-ES"/>
        </w:rPr>
        <w:t>í como para las cuestiones</w:t>
      </w:r>
      <w:r w:rsidR="00E86B18" w:rsidRPr="00E86B18">
        <w:rPr>
          <w:kern w:val="22"/>
          <w:lang w:val="es-ES"/>
        </w:rPr>
        <w:t xml:space="preserve"> </w:t>
      </w:r>
      <w:r w:rsidR="00E86B18" w:rsidRPr="006D7B65">
        <w:rPr>
          <w:kern w:val="22"/>
          <w:lang w:val="es-ES"/>
        </w:rPr>
        <w:t>que no conciernen a los</w:t>
      </w:r>
      <w:r w:rsidR="00E86B18">
        <w:rPr>
          <w:kern w:val="22"/>
          <w:lang w:val="es-ES"/>
        </w:rPr>
        <w:t xml:space="preserve"> </w:t>
      </w:r>
      <w:r w:rsidR="00E86B18" w:rsidRPr="00E86B18">
        <w:rPr>
          <w:kern w:val="22"/>
          <w:lang w:val="es-ES"/>
        </w:rPr>
        <w:t xml:space="preserve">movimientos transfronterizos </w:t>
      </w:r>
      <w:r w:rsidR="00E86B18">
        <w:rPr>
          <w:kern w:val="22"/>
          <w:lang w:val="es-ES"/>
        </w:rPr>
        <w:t>o los</w:t>
      </w:r>
      <w:r w:rsidR="00E86B18" w:rsidRPr="00E86B18">
        <w:rPr>
          <w:kern w:val="22"/>
          <w:lang w:val="es-ES"/>
        </w:rPr>
        <w:t xml:space="preserve"> organismos vivos </w:t>
      </w:r>
      <w:r w:rsidR="00E86B18" w:rsidRPr="006D7B65">
        <w:rPr>
          <w:kern w:val="22"/>
          <w:lang w:val="es-ES"/>
        </w:rPr>
        <w:t>modificados</w:t>
      </w:r>
      <w:r w:rsidR="009676E0" w:rsidRPr="006D7B65">
        <w:rPr>
          <w:kern w:val="22"/>
          <w:lang w:val="es-ES"/>
        </w:rPr>
        <w:t xml:space="preserve">, </w:t>
      </w:r>
      <w:r w:rsidR="00E86B18" w:rsidRPr="006D7B65">
        <w:rPr>
          <w:kern w:val="22"/>
          <w:lang w:val="es-ES"/>
        </w:rPr>
        <w:t xml:space="preserve">que son </w:t>
      </w:r>
      <w:r w:rsidR="00830261" w:rsidRPr="006D7B65">
        <w:rPr>
          <w:kern w:val="22"/>
          <w:lang w:val="es-ES"/>
        </w:rPr>
        <w:t>los elementos centrales</w:t>
      </w:r>
      <w:r w:rsidR="00E86B18" w:rsidRPr="006D7B65">
        <w:rPr>
          <w:kern w:val="22"/>
          <w:lang w:val="es-ES"/>
        </w:rPr>
        <w:t xml:space="preserve"> del</w:t>
      </w:r>
      <w:r w:rsidR="00E86B18">
        <w:rPr>
          <w:kern w:val="22"/>
          <w:lang w:val="es-ES"/>
        </w:rPr>
        <w:t xml:space="preserve"> Protocolo de Cartagena</w:t>
      </w:r>
      <w:r w:rsidR="00C81A43" w:rsidRPr="00E86B18">
        <w:rPr>
          <w:kern w:val="22"/>
          <w:lang w:val="es-ES"/>
        </w:rPr>
        <w:t>.</w:t>
      </w:r>
      <w:r w:rsidR="00475CE3" w:rsidRPr="00E86B18">
        <w:rPr>
          <w:kern w:val="22"/>
          <w:lang w:val="es-ES"/>
        </w:rPr>
        <w:t xml:space="preserve"> </w:t>
      </w:r>
      <w:r w:rsidR="00475CE3" w:rsidRPr="00830261">
        <w:rPr>
          <w:kern w:val="22"/>
          <w:lang w:val="es-ES"/>
        </w:rPr>
        <w:t>N</w:t>
      </w:r>
      <w:r w:rsidR="00830261" w:rsidRPr="00830261">
        <w:rPr>
          <w:kern w:val="22"/>
          <w:lang w:val="es-ES"/>
        </w:rPr>
        <w:t>o obstante</w:t>
      </w:r>
      <w:r w:rsidR="00475CE3" w:rsidRPr="00830261">
        <w:rPr>
          <w:kern w:val="22"/>
          <w:lang w:val="es-ES"/>
        </w:rPr>
        <w:t xml:space="preserve">, </w:t>
      </w:r>
      <w:r w:rsidR="00830261" w:rsidRPr="00830261">
        <w:rPr>
          <w:kern w:val="22"/>
          <w:lang w:val="es-ES"/>
        </w:rPr>
        <w:t xml:space="preserve">importantes cuestiones relacionadas con la </w:t>
      </w:r>
      <w:r w:rsidR="00830261">
        <w:rPr>
          <w:kern w:val="22"/>
          <w:lang w:val="es-ES"/>
        </w:rPr>
        <w:t>seguridad de la biotecnología</w:t>
      </w:r>
      <w:r w:rsidR="00830261" w:rsidRPr="00830261">
        <w:rPr>
          <w:kern w:val="22"/>
          <w:lang w:val="es-ES"/>
        </w:rPr>
        <w:t xml:space="preserve"> se han tratado en el marco del Convenio, incluidas las tecnolog</w:t>
      </w:r>
      <w:r w:rsidR="00830261">
        <w:rPr>
          <w:kern w:val="22"/>
          <w:lang w:val="es-ES"/>
        </w:rPr>
        <w:t xml:space="preserve">ías de restricción de uso genético </w:t>
      </w:r>
      <w:r w:rsidR="009676E0" w:rsidRPr="00830261">
        <w:rPr>
          <w:kern w:val="22"/>
          <w:lang w:val="es-ES"/>
        </w:rPr>
        <w:t>(decisi</w:t>
      </w:r>
      <w:r w:rsidR="003B30F9">
        <w:rPr>
          <w:kern w:val="22"/>
          <w:lang w:val="es-ES"/>
        </w:rPr>
        <w:t>ó</w:t>
      </w:r>
      <w:r w:rsidR="009676E0" w:rsidRPr="00830261">
        <w:rPr>
          <w:kern w:val="22"/>
          <w:lang w:val="es-ES"/>
        </w:rPr>
        <w:t xml:space="preserve">n </w:t>
      </w:r>
      <w:hyperlink r:id="rId18" w:history="1">
        <w:r w:rsidR="009676E0" w:rsidRPr="00830261">
          <w:rPr>
            <w:rStyle w:val="Hyperlink"/>
            <w:kern w:val="22"/>
            <w:lang w:val="es-ES"/>
          </w:rPr>
          <w:t>V/5</w:t>
        </w:r>
      </w:hyperlink>
      <w:r w:rsidR="009676E0" w:rsidRPr="00830261">
        <w:rPr>
          <w:kern w:val="22"/>
          <w:lang w:val="es-ES"/>
        </w:rPr>
        <w:t>)</w:t>
      </w:r>
      <w:r w:rsidR="00475CE3" w:rsidRPr="00830261">
        <w:rPr>
          <w:kern w:val="22"/>
          <w:lang w:val="es-ES"/>
        </w:rPr>
        <w:t xml:space="preserve">, </w:t>
      </w:r>
      <w:r w:rsidR="003B30F9">
        <w:rPr>
          <w:kern w:val="22"/>
          <w:lang w:val="es-ES"/>
        </w:rPr>
        <w:t xml:space="preserve">árboles modificados genéticamente </w:t>
      </w:r>
      <w:r w:rsidR="009676E0" w:rsidRPr="00830261">
        <w:rPr>
          <w:kern w:val="22"/>
          <w:lang w:val="es-ES"/>
        </w:rPr>
        <w:t>(decisi</w:t>
      </w:r>
      <w:r w:rsidR="003B30F9">
        <w:rPr>
          <w:kern w:val="22"/>
          <w:lang w:val="es-ES"/>
        </w:rPr>
        <w:t>ó</w:t>
      </w:r>
      <w:r w:rsidR="009676E0" w:rsidRPr="00830261">
        <w:rPr>
          <w:kern w:val="22"/>
          <w:lang w:val="es-ES"/>
        </w:rPr>
        <w:t xml:space="preserve">n </w:t>
      </w:r>
      <w:hyperlink r:id="rId19" w:history="1">
        <w:r w:rsidR="009676E0" w:rsidRPr="00830261">
          <w:rPr>
            <w:rStyle w:val="Hyperlink"/>
            <w:kern w:val="22"/>
            <w:lang w:val="es-ES"/>
          </w:rPr>
          <w:t>VIII/19</w:t>
        </w:r>
      </w:hyperlink>
      <w:r w:rsidR="009676E0" w:rsidRPr="00830261">
        <w:rPr>
          <w:kern w:val="22"/>
          <w:lang w:val="es-ES"/>
        </w:rPr>
        <w:t xml:space="preserve">) </w:t>
      </w:r>
      <w:r w:rsidR="003B30F9">
        <w:rPr>
          <w:kern w:val="22"/>
          <w:lang w:val="es-ES"/>
        </w:rPr>
        <w:t>y</w:t>
      </w:r>
      <w:r w:rsidR="00475CE3" w:rsidRPr="00830261">
        <w:rPr>
          <w:kern w:val="22"/>
          <w:lang w:val="es-ES"/>
        </w:rPr>
        <w:t>, m</w:t>
      </w:r>
      <w:r w:rsidR="003B30F9">
        <w:rPr>
          <w:kern w:val="22"/>
          <w:lang w:val="es-ES"/>
        </w:rPr>
        <w:t>ás recientemente, biología sintética</w:t>
      </w:r>
      <w:r w:rsidR="00475CE3" w:rsidRPr="00830261">
        <w:rPr>
          <w:kern w:val="22"/>
          <w:lang w:val="es-ES"/>
        </w:rPr>
        <w:t xml:space="preserve"> (decision</w:t>
      </w:r>
      <w:r w:rsidR="003B30F9">
        <w:rPr>
          <w:kern w:val="22"/>
          <w:lang w:val="es-ES"/>
        </w:rPr>
        <w:t>e</w:t>
      </w:r>
      <w:r w:rsidR="00475CE3" w:rsidRPr="00830261">
        <w:rPr>
          <w:kern w:val="22"/>
          <w:lang w:val="es-ES"/>
        </w:rPr>
        <w:t>s</w:t>
      </w:r>
      <w:r w:rsidR="009676E0" w:rsidRPr="00830261">
        <w:rPr>
          <w:kern w:val="22"/>
          <w:lang w:val="es-ES"/>
        </w:rPr>
        <w:t xml:space="preserve"> </w:t>
      </w:r>
      <w:hyperlink r:id="rId20" w:history="1">
        <w:r w:rsidR="009676E0" w:rsidRPr="00830261">
          <w:rPr>
            <w:rStyle w:val="Hyperlink"/>
            <w:kern w:val="22"/>
            <w:lang w:val="es-ES"/>
          </w:rPr>
          <w:t>XII/24</w:t>
        </w:r>
      </w:hyperlink>
      <w:r w:rsidR="003B30F9">
        <w:rPr>
          <w:kern w:val="22"/>
          <w:lang w:val="es-ES"/>
        </w:rPr>
        <w:t xml:space="preserve"> y</w:t>
      </w:r>
      <w:r w:rsidR="009676E0" w:rsidRPr="00830261">
        <w:rPr>
          <w:kern w:val="22"/>
          <w:lang w:val="es-ES"/>
        </w:rPr>
        <w:t xml:space="preserve"> </w:t>
      </w:r>
      <w:hyperlink r:id="rId21" w:history="1">
        <w:r w:rsidR="009676E0" w:rsidRPr="00830261">
          <w:rPr>
            <w:rStyle w:val="Hyperlink"/>
            <w:kern w:val="22"/>
            <w:lang w:val="es-ES"/>
          </w:rPr>
          <w:t>XIII/17</w:t>
        </w:r>
      </w:hyperlink>
      <w:r w:rsidR="00475CE3" w:rsidRPr="00830261">
        <w:rPr>
          <w:kern w:val="22"/>
          <w:lang w:val="es-ES"/>
        </w:rPr>
        <w:t>).</w:t>
      </w:r>
    </w:p>
    <w:p w:rsidR="000A0135" w:rsidRPr="00C63587" w:rsidRDefault="003B30F9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C63587">
        <w:rPr>
          <w:kern w:val="22"/>
          <w:lang w:val="es-ES"/>
        </w:rPr>
        <w:t xml:space="preserve">Dado su carácter intersectorial, con el fin de apoyar </w:t>
      </w:r>
      <w:r w:rsidRPr="006D7B65">
        <w:rPr>
          <w:kern w:val="22"/>
          <w:lang w:val="es-ES"/>
        </w:rPr>
        <w:t xml:space="preserve">su </w:t>
      </w:r>
      <w:r w:rsidR="00C63587" w:rsidRPr="006D7B65">
        <w:rPr>
          <w:kern w:val="22"/>
          <w:lang w:val="es-ES"/>
        </w:rPr>
        <w:t>plena aplicación</w:t>
      </w:r>
      <w:r w:rsidRPr="00C63587">
        <w:rPr>
          <w:kern w:val="22"/>
          <w:lang w:val="es-ES"/>
        </w:rPr>
        <w:t xml:space="preserve"> a nivel nacional, las cuestiones relacionadas con la seguridad de la biotecnología se deben considerar y tratar en la gestión y la utilización de los recursos natural</w:t>
      </w:r>
      <w:r w:rsidR="00C63587">
        <w:rPr>
          <w:kern w:val="22"/>
          <w:lang w:val="es-ES"/>
        </w:rPr>
        <w:t>e</w:t>
      </w:r>
      <w:r w:rsidRPr="00C63587">
        <w:rPr>
          <w:kern w:val="22"/>
          <w:lang w:val="es-ES"/>
        </w:rPr>
        <w:t xml:space="preserve">s en sectores </w:t>
      </w:r>
      <w:r w:rsidR="000A0135" w:rsidRPr="00C63587">
        <w:rPr>
          <w:kern w:val="22"/>
          <w:lang w:val="es-ES"/>
        </w:rPr>
        <w:t>(</w:t>
      </w:r>
      <w:r w:rsidR="00C63587">
        <w:rPr>
          <w:kern w:val="22"/>
          <w:lang w:val="es-ES"/>
        </w:rPr>
        <w:t>p</w:t>
      </w:r>
      <w:r w:rsidR="000A0135" w:rsidRPr="00C63587">
        <w:rPr>
          <w:kern w:val="22"/>
          <w:lang w:val="es-ES"/>
        </w:rPr>
        <w:t>.</w:t>
      </w:r>
      <w:r w:rsidR="00C63587">
        <w:rPr>
          <w:kern w:val="22"/>
          <w:lang w:val="es-ES"/>
        </w:rPr>
        <w:t xml:space="preserve"> ej</w:t>
      </w:r>
      <w:r w:rsidR="000A0135" w:rsidRPr="00C63587">
        <w:rPr>
          <w:kern w:val="22"/>
          <w:lang w:val="es-ES"/>
        </w:rPr>
        <w:t>.</w:t>
      </w:r>
      <w:r w:rsidR="00C63587">
        <w:rPr>
          <w:kern w:val="22"/>
          <w:lang w:val="es-ES"/>
        </w:rPr>
        <w:t>,</w:t>
      </w:r>
      <w:r w:rsidR="000A0135" w:rsidRPr="00C63587">
        <w:rPr>
          <w:kern w:val="22"/>
          <w:lang w:val="es-ES"/>
        </w:rPr>
        <w:t xml:space="preserve"> </w:t>
      </w:r>
      <w:r w:rsidR="000241F5" w:rsidRPr="00C63587">
        <w:rPr>
          <w:kern w:val="22"/>
          <w:lang w:val="es-ES"/>
        </w:rPr>
        <w:t>agricultur</w:t>
      </w:r>
      <w:r w:rsidR="00C63587">
        <w:rPr>
          <w:kern w:val="22"/>
          <w:lang w:val="es-ES"/>
        </w:rPr>
        <w:t>a</w:t>
      </w:r>
      <w:r w:rsidR="000241F5" w:rsidRPr="00C63587">
        <w:rPr>
          <w:kern w:val="22"/>
          <w:lang w:val="es-ES"/>
        </w:rPr>
        <w:t xml:space="preserve">, </w:t>
      </w:r>
      <w:r w:rsidR="00C63587">
        <w:rPr>
          <w:kern w:val="22"/>
          <w:lang w:val="es-ES"/>
        </w:rPr>
        <w:t>silvicultura y pesca</w:t>
      </w:r>
      <w:r w:rsidR="000241F5" w:rsidRPr="00C63587">
        <w:rPr>
          <w:kern w:val="22"/>
          <w:lang w:val="es-ES"/>
        </w:rPr>
        <w:t xml:space="preserve">) </w:t>
      </w:r>
      <w:r w:rsidR="00C63587">
        <w:rPr>
          <w:kern w:val="22"/>
          <w:lang w:val="es-ES"/>
        </w:rPr>
        <w:t>y ámbitos diferentes</w:t>
      </w:r>
      <w:r w:rsidR="000241F5" w:rsidRPr="00C63587">
        <w:rPr>
          <w:kern w:val="22"/>
          <w:lang w:val="es-ES"/>
        </w:rPr>
        <w:t xml:space="preserve"> (</w:t>
      </w:r>
      <w:r w:rsidR="00C63587">
        <w:rPr>
          <w:kern w:val="22"/>
          <w:lang w:val="es-ES"/>
        </w:rPr>
        <w:t>p</w:t>
      </w:r>
      <w:r w:rsidR="005232C0" w:rsidRPr="00C63587">
        <w:rPr>
          <w:kern w:val="22"/>
          <w:lang w:val="es-ES"/>
        </w:rPr>
        <w:t>or e</w:t>
      </w:r>
      <w:r w:rsidR="00C63587">
        <w:rPr>
          <w:kern w:val="22"/>
          <w:lang w:val="es-ES"/>
        </w:rPr>
        <w:t>jemplo, zonas marinas y de agua dulce, montañas y áreas protegidas</w:t>
      </w:r>
      <w:r w:rsidR="000A0135" w:rsidRPr="00C63587">
        <w:rPr>
          <w:kern w:val="22"/>
          <w:lang w:val="es-ES"/>
        </w:rPr>
        <w:t xml:space="preserve">) </w:t>
      </w:r>
      <w:r w:rsidR="00C63587">
        <w:rPr>
          <w:kern w:val="22"/>
          <w:lang w:val="es-ES"/>
        </w:rPr>
        <w:t>como parte de un enfoque de gestión integrada que pueda contribuir a la conservación y la utilización sostenible de la diversidad biológica</w:t>
      </w:r>
      <w:r w:rsidR="000A0135" w:rsidRPr="00C63587">
        <w:rPr>
          <w:kern w:val="22"/>
          <w:lang w:val="es-ES"/>
        </w:rPr>
        <w:t xml:space="preserve">. </w:t>
      </w:r>
      <w:r w:rsidR="00C63587" w:rsidRPr="00C63587">
        <w:rPr>
          <w:kern w:val="22"/>
          <w:lang w:val="es-ES"/>
        </w:rPr>
        <w:t>La seguri</w:t>
      </w:r>
      <w:bookmarkStart w:id="1" w:name="_GoBack"/>
      <w:bookmarkEnd w:id="1"/>
      <w:r w:rsidR="00C63587" w:rsidRPr="00C63587">
        <w:rPr>
          <w:kern w:val="22"/>
          <w:lang w:val="es-ES"/>
        </w:rPr>
        <w:t>dad de la biotecnología tam</w:t>
      </w:r>
      <w:r w:rsidR="00C63587" w:rsidRPr="006D7B65">
        <w:rPr>
          <w:kern w:val="22"/>
          <w:lang w:val="es-ES"/>
        </w:rPr>
        <w:t>bién</w:t>
      </w:r>
      <w:r w:rsidR="006D7B65" w:rsidRPr="006D7B65">
        <w:rPr>
          <w:kern w:val="22"/>
          <w:lang w:val="es-ES"/>
        </w:rPr>
        <w:t xml:space="preserve"> </w:t>
      </w:r>
      <w:r w:rsidR="00C63587" w:rsidRPr="006D7B65">
        <w:rPr>
          <w:kern w:val="22"/>
          <w:lang w:val="es-ES"/>
        </w:rPr>
        <w:t>puede considerarse com</w:t>
      </w:r>
      <w:r w:rsidR="00C63587" w:rsidRPr="00C63587">
        <w:rPr>
          <w:kern w:val="22"/>
          <w:lang w:val="es-ES"/>
        </w:rPr>
        <w:t>o un conjunto de medidas facilitadoras para la adopción y el uso de la biotecnolog</w:t>
      </w:r>
      <w:r w:rsidR="00C63587">
        <w:rPr>
          <w:kern w:val="22"/>
          <w:lang w:val="es-ES"/>
        </w:rPr>
        <w:t>ía moderna de un modo que</w:t>
      </w:r>
      <w:r w:rsidR="004D3DF4">
        <w:rPr>
          <w:kern w:val="22"/>
          <w:lang w:val="es-ES"/>
        </w:rPr>
        <w:t xml:space="preserve"> propicie </w:t>
      </w:r>
      <w:r w:rsidR="00C63587">
        <w:rPr>
          <w:kern w:val="22"/>
          <w:lang w:val="es-ES"/>
        </w:rPr>
        <w:t>los tres objetivos del Convenio</w:t>
      </w:r>
      <w:r w:rsidR="000A0135" w:rsidRPr="00C63587">
        <w:rPr>
          <w:kern w:val="22"/>
          <w:lang w:val="es-ES"/>
        </w:rPr>
        <w:t>.</w:t>
      </w:r>
    </w:p>
    <w:p w:rsidR="00294541" w:rsidRPr="005F0B12" w:rsidRDefault="005F0B12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5F0B12">
        <w:rPr>
          <w:kern w:val="22"/>
          <w:lang w:val="es-ES"/>
        </w:rPr>
        <w:t>La Secret</w:t>
      </w:r>
      <w:r>
        <w:rPr>
          <w:kern w:val="22"/>
          <w:lang w:val="es-ES"/>
        </w:rPr>
        <w:t>a</w:t>
      </w:r>
      <w:r w:rsidRPr="005F0B12">
        <w:rPr>
          <w:kern w:val="22"/>
          <w:lang w:val="es-ES"/>
        </w:rPr>
        <w:t xml:space="preserve">ría ya ha emprendido esfuerzos para apoyar a las Partes </w:t>
      </w:r>
      <w:r>
        <w:rPr>
          <w:kern w:val="22"/>
          <w:lang w:val="es-ES"/>
        </w:rPr>
        <w:t>en</w:t>
      </w:r>
      <w:r w:rsidRPr="005F0B12">
        <w:rPr>
          <w:kern w:val="22"/>
          <w:lang w:val="es-ES"/>
        </w:rPr>
        <w:t xml:space="preserve"> este respecto</w:t>
      </w:r>
      <w:r w:rsidR="00F17093" w:rsidRPr="005F0B12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entre los que se incluyen</w:t>
      </w:r>
      <w:r w:rsidR="00F17093" w:rsidRPr="005F0B12">
        <w:rPr>
          <w:kern w:val="22"/>
          <w:lang w:val="es-ES"/>
        </w:rPr>
        <w:t>:</w:t>
      </w:r>
    </w:p>
    <w:p w:rsidR="001D66A9" w:rsidRPr="005F0B12" w:rsidRDefault="00D03B00" w:rsidP="00385560">
      <w:pPr>
        <w:pStyle w:val="Para1"/>
        <w:numPr>
          <w:ilvl w:val="1"/>
          <w:numId w:val="2"/>
        </w:numPr>
        <w:suppressLineNumbers/>
        <w:tabs>
          <w:tab w:val="clear" w:pos="1440"/>
          <w:tab w:val="left" w:pos="117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5F0B12">
        <w:rPr>
          <w:kern w:val="22"/>
          <w:szCs w:val="22"/>
          <w:lang w:val="es-ES"/>
        </w:rPr>
        <w:t>Activi</w:t>
      </w:r>
      <w:r w:rsidR="005F0B12" w:rsidRPr="005F0B12">
        <w:rPr>
          <w:kern w:val="22"/>
          <w:szCs w:val="22"/>
          <w:lang w:val="es-ES"/>
        </w:rPr>
        <w:t>dades para facilitar la integración de la seguridad de la biotecnolog</w:t>
      </w:r>
      <w:r w:rsidR="005F0B12">
        <w:rPr>
          <w:kern w:val="22"/>
          <w:szCs w:val="22"/>
          <w:lang w:val="es-ES"/>
        </w:rPr>
        <w:t>ía en las EPANB y los planes nacionales de desarrollo</w:t>
      </w:r>
      <w:r w:rsidR="001D66A9" w:rsidRPr="005F0B12">
        <w:rPr>
          <w:kern w:val="22"/>
          <w:szCs w:val="22"/>
          <w:lang w:val="es-ES"/>
        </w:rPr>
        <w:t>;</w:t>
      </w:r>
    </w:p>
    <w:p w:rsidR="00EB3ED2" w:rsidRPr="005F0B12" w:rsidRDefault="005F0B12" w:rsidP="00385560">
      <w:pPr>
        <w:pStyle w:val="Para1"/>
        <w:numPr>
          <w:ilvl w:val="1"/>
          <w:numId w:val="2"/>
        </w:numPr>
        <w:suppressLineNumbers/>
        <w:tabs>
          <w:tab w:val="clear" w:pos="1440"/>
          <w:tab w:val="left" w:pos="117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>
        <w:rPr>
          <w:kern w:val="22"/>
          <w:szCs w:val="22"/>
          <w:lang w:val="es-ES"/>
        </w:rPr>
        <w:t xml:space="preserve">Organización </w:t>
      </w:r>
      <w:r w:rsidR="00B43BE3">
        <w:rPr>
          <w:kern w:val="22"/>
          <w:szCs w:val="22"/>
          <w:lang w:val="es-ES"/>
        </w:rPr>
        <w:t xml:space="preserve">de talleres regionales para integrar </w:t>
      </w:r>
      <w:r>
        <w:rPr>
          <w:kern w:val="22"/>
          <w:szCs w:val="22"/>
          <w:lang w:val="es-ES"/>
        </w:rPr>
        <w:t xml:space="preserve">la seguridad de la biotecnología </w:t>
      </w:r>
      <w:r w:rsidR="00B43BE3">
        <w:rPr>
          <w:kern w:val="22"/>
          <w:szCs w:val="22"/>
          <w:lang w:val="es-ES"/>
        </w:rPr>
        <w:t>dentro de los sectores y entre ellos</w:t>
      </w:r>
      <w:r w:rsidR="00EB3ED2" w:rsidRPr="005F0B12">
        <w:rPr>
          <w:kern w:val="22"/>
          <w:szCs w:val="22"/>
          <w:lang w:val="es-ES"/>
        </w:rPr>
        <w:t>;</w:t>
      </w:r>
    </w:p>
    <w:p w:rsidR="00EB3ED2" w:rsidRPr="00B43BE3" w:rsidRDefault="00EB3ED2" w:rsidP="00385560">
      <w:pPr>
        <w:pStyle w:val="Para1"/>
        <w:numPr>
          <w:ilvl w:val="1"/>
          <w:numId w:val="2"/>
        </w:numPr>
        <w:suppressLineNumbers/>
        <w:tabs>
          <w:tab w:val="clear" w:pos="1440"/>
          <w:tab w:val="left" w:pos="117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rStyle w:val="Hyperlink"/>
          <w:color w:val="auto"/>
          <w:kern w:val="22"/>
          <w:szCs w:val="22"/>
          <w:u w:val="none"/>
          <w:lang w:val="es-ES"/>
        </w:rPr>
      </w:pPr>
      <w:r w:rsidRPr="00B43BE3">
        <w:rPr>
          <w:kern w:val="22"/>
          <w:szCs w:val="22"/>
          <w:lang w:val="es-ES"/>
        </w:rPr>
        <w:t>D</w:t>
      </w:r>
      <w:r w:rsidR="00B43BE3" w:rsidRPr="00B43BE3">
        <w:rPr>
          <w:kern w:val="22"/>
          <w:szCs w:val="22"/>
          <w:lang w:val="es-ES"/>
        </w:rPr>
        <w:t xml:space="preserve">esarrollo de un </w:t>
      </w:r>
      <w:r w:rsidR="00B43BE3">
        <w:rPr>
          <w:kern w:val="22"/>
          <w:szCs w:val="22"/>
          <w:lang w:val="es-ES"/>
        </w:rPr>
        <w:t>conjunto</w:t>
      </w:r>
      <w:r w:rsidR="00B43BE3" w:rsidRPr="00B43BE3">
        <w:rPr>
          <w:kern w:val="22"/>
          <w:szCs w:val="22"/>
          <w:lang w:val="es-ES"/>
        </w:rPr>
        <w:t xml:space="preserve"> de módulos de aprendizaj</w:t>
      </w:r>
      <w:r w:rsidR="00B43BE3">
        <w:rPr>
          <w:kern w:val="22"/>
          <w:szCs w:val="22"/>
          <w:lang w:val="es-ES"/>
        </w:rPr>
        <w:t>e</w:t>
      </w:r>
      <w:r w:rsidR="00B43BE3" w:rsidRPr="00B43BE3">
        <w:rPr>
          <w:kern w:val="22"/>
          <w:szCs w:val="22"/>
          <w:lang w:val="es-ES"/>
        </w:rPr>
        <w:t xml:space="preserve"> electr</w:t>
      </w:r>
      <w:r w:rsidR="00B43BE3">
        <w:rPr>
          <w:kern w:val="22"/>
          <w:szCs w:val="22"/>
          <w:lang w:val="es-ES"/>
        </w:rPr>
        <w:t>ónico</w:t>
      </w:r>
      <w:r w:rsidRPr="00B43BE3">
        <w:rPr>
          <w:kern w:val="22"/>
          <w:szCs w:val="22"/>
          <w:lang w:val="es-ES"/>
        </w:rPr>
        <w:t xml:space="preserve"> </w:t>
      </w:r>
      <w:r w:rsidR="00B43BE3">
        <w:rPr>
          <w:kern w:val="22"/>
          <w:szCs w:val="22"/>
          <w:lang w:val="es-ES"/>
        </w:rPr>
        <w:t>sobre la integración de la seguridad de la biotecnología en las EPANB</w:t>
      </w:r>
      <w:r w:rsidR="002B40D2" w:rsidRPr="00B43BE3">
        <w:rPr>
          <w:kern w:val="22"/>
          <w:szCs w:val="22"/>
          <w:lang w:val="es-ES"/>
        </w:rPr>
        <w:t>;</w:t>
      </w:r>
    </w:p>
    <w:p w:rsidR="008771A7" w:rsidRPr="008108A8" w:rsidRDefault="008108A8" w:rsidP="00385560">
      <w:pPr>
        <w:pStyle w:val="Para1"/>
        <w:numPr>
          <w:ilvl w:val="1"/>
          <w:numId w:val="2"/>
        </w:numPr>
        <w:suppressLineNumbers/>
        <w:tabs>
          <w:tab w:val="clear" w:pos="1440"/>
          <w:tab w:val="left" w:pos="117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8108A8">
        <w:rPr>
          <w:kern w:val="22"/>
          <w:szCs w:val="22"/>
          <w:lang w:val="es-ES"/>
        </w:rPr>
        <w:t xml:space="preserve">Garantizar un enfoque coordinado entre los procesos en el marco del Convenio </w:t>
      </w:r>
      <w:r>
        <w:rPr>
          <w:kern w:val="22"/>
          <w:szCs w:val="22"/>
          <w:lang w:val="es-ES"/>
        </w:rPr>
        <w:t xml:space="preserve">y el Protocolo de </w:t>
      </w:r>
      <w:r w:rsidR="008771A7" w:rsidRPr="008108A8">
        <w:rPr>
          <w:kern w:val="22"/>
          <w:szCs w:val="22"/>
          <w:lang w:val="es-ES"/>
        </w:rPr>
        <w:t xml:space="preserve">Cartagena </w:t>
      </w:r>
      <w:r>
        <w:rPr>
          <w:kern w:val="22"/>
          <w:szCs w:val="22"/>
          <w:lang w:val="es-ES"/>
        </w:rPr>
        <w:t>en relación con la cuestión de la biología sintética</w:t>
      </w:r>
      <w:r w:rsidR="0075137E" w:rsidRPr="008108A8">
        <w:rPr>
          <w:kern w:val="22"/>
          <w:szCs w:val="22"/>
          <w:lang w:val="es-ES"/>
        </w:rPr>
        <w:t>;</w:t>
      </w:r>
    </w:p>
    <w:p w:rsidR="00365E9D" w:rsidRPr="00393BEE" w:rsidRDefault="00393BEE" w:rsidP="00385560">
      <w:pPr>
        <w:pStyle w:val="Para1"/>
        <w:numPr>
          <w:ilvl w:val="1"/>
          <w:numId w:val="2"/>
        </w:numPr>
        <w:suppressLineNumbers/>
        <w:tabs>
          <w:tab w:val="clear" w:pos="1440"/>
          <w:tab w:val="left" w:pos="117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szCs w:val="22"/>
          <w:lang w:val="es-ES"/>
        </w:rPr>
      </w:pPr>
      <w:r w:rsidRPr="00393BEE">
        <w:rPr>
          <w:kern w:val="22"/>
          <w:szCs w:val="22"/>
          <w:lang w:val="es-ES"/>
        </w:rPr>
        <w:lastRenderedPageBreak/>
        <w:t xml:space="preserve">Inclusión de la seguridad de la biotecnología como tema en la </w:t>
      </w:r>
      <w:r w:rsidR="000A0135" w:rsidRPr="00393BEE">
        <w:rPr>
          <w:kern w:val="22"/>
          <w:szCs w:val="22"/>
          <w:lang w:val="es-ES"/>
        </w:rPr>
        <w:t>“</w:t>
      </w:r>
      <w:r>
        <w:rPr>
          <w:kern w:val="22"/>
          <w:szCs w:val="22"/>
          <w:lang w:val="es-ES"/>
        </w:rPr>
        <w:t>Plataforma mundial del sector empresarial y la diversidad biológica</w:t>
      </w:r>
      <w:r w:rsidR="000A0135" w:rsidRPr="00393BEE">
        <w:rPr>
          <w:kern w:val="22"/>
          <w:szCs w:val="22"/>
          <w:lang w:val="es-ES"/>
        </w:rPr>
        <w:t>”</w:t>
      </w:r>
      <w:r w:rsidR="000A0135" w:rsidRPr="00385560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4"/>
      </w:r>
      <w:r>
        <w:rPr>
          <w:kern w:val="22"/>
          <w:szCs w:val="22"/>
          <w:lang w:val="es-ES"/>
        </w:rPr>
        <w:t>,</w:t>
      </w:r>
      <w:r w:rsidR="000A0135" w:rsidRPr="00393BEE">
        <w:rPr>
          <w:kern w:val="22"/>
          <w:szCs w:val="22"/>
          <w:lang w:val="es-ES"/>
        </w:rPr>
        <w:t xml:space="preserve"> </w:t>
      </w:r>
      <w:r>
        <w:rPr>
          <w:kern w:val="22"/>
          <w:szCs w:val="22"/>
          <w:lang w:val="es-ES"/>
        </w:rPr>
        <w:t xml:space="preserve">que promueve la colaboración </w:t>
      </w:r>
      <w:r w:rsidR="00F60FE0">
        <w:rPr>
          <w:kern w:val="22"/>
          <w:szCs w:val="22"/>
          <w:lang w:val="es-ES"/>
        </w:rPr>
        <w:t>con</w:t>
      </w:r>
      <w:r>
        <w:rPr>
          <w:kern w:val="22"/>
          <w:szCs w:val="22"/>
          <w:lang w:val="es-ES"/>
        </w:rPr>
        <w:t xml:space="preserve"> el sector privado para</w:t>
      </w:r>
      <w:r w:rsidR="004D3DF4">
        <w:rPr>
          <w:kern w:val="22"/>
          <w:szCs w:val="22"/>
          <w:lang w:val="es-ES"/>
        </w:rPr>
        <w:t xml:space="preserve"> alcanzar </w:t>
      </w:r>
      <w:r>
        <w:rPr>
          <w:kern w:val="22"/>
          <w:szCs w:val="22"/>
          <w:lang w:val="es-ES"/>
        </w:rPr>
        <w:t>los objetivos del Convenio</w:t>
      </w:r>
      <w:r w:rsidR="000A0135" w:rsidRPr="00393BEE">
        <w:rPr>
          <w:kern w:val="22"/>
          <w:szCs w:val="22"/>
          <w:lang w:val="es-ES"/>
        </w:rPr>
        <w:t>.</w:t>
      </w:r>
    </w:p>
    <w:p w:rsidR="00D03B00" w:rsidRPr="00F60FE0" w:rsidRDefault="00F60FE0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F60FE0">
        <w:rPr>
          <w:kern w:val="22"/>
          <w:lang w:val="es-ES"/>
        </w:rPr>
        <w:t>Como resultado de los esfuerzos por integrar la seguridad de la biotecnolog</w:t>
      </w:r>
      <w:r>
        <w:rPr>
          <w:kern w:val="22"/>
          <w:lang w:val="es-ES"/>
        </w:rPr>
        <w:t>ía en las estrategias nacionales sobre biodiversidad</w:t>
      </w:r>
      <w:r w:rsidR="00D03B00" w:rsidRPr="00F60FE0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una serie de países han incluido consideraciones relacionadas con la seguridad de la biotecnología en sus EPANB revisadas</w:t>
      </w:r>
      <w:r w:rsidR="00D03B00" w:rsidRPr="00F60FE0">
        <w:rPr>
          <w:kern w:val="22"/>
          <w:lang w:val="es-ES"/>
        </w:rPr>
        <w:t>.</w:t>
      </w:r>
    </w:p>
    <w:p w:rsidR="00D03B00" w:rsidRPr="005872BA" w:rsidRDefault="00F60FE0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5872BA">
        <w:rPr>
          <w:kern w:val="22"/>
          <w:lang w:val="es-ES"/>
        </w:rPr>
        <w:t xml:space="preserve">El Gobierno de Japón está financiando iniciativas importantes </w:t>
      </w:r>
      <w:r w:rsidR="005872BA" w:rsidRPr="005872BA">
        <w:rPr>
          <w:kern w:val="22"/>
          <w:lang w:val="es-ES"/>
        </w:rPr>
        <w:t>para</w:t>
      </w:r>
      <w:r w:rsidR="004D3DF4">
        <w:rPr>
          <w:kern w:val="22"/>
          <w:lang w:val="es-ES"/>
        </w:rPr>
        <w:t xml:space="preserve"> cumplir </w:t>
      </w:r>
      <w:r w:rsidRPr="005872BA">
        <w:rPr>
          <w:kern w:val="22"/>
          <w:lang w:val="es-ES"/>
        </w:rPr>
        <w:t>las cuestiones enumeradas anteriormente</w:t>
      </w:r>
      <w:r w:rsidR="00D03B00" w:rsidRPr="005872BA">
        <w:rPr>
          <w:kern w:val="22"/>
          <w:lang w:val="es-ES"/>
        </w:rPr>
        <w:t xml:space="preserve"> </w:t>
      </w:r>
      <w:r w:rsidR="005872BA" w:rsidRPr="005872BA">
        <w:rPr>
          <w:kern w:val="22"/>
          <w:lang w:val="es-ES"/>
        </w:rPr>
        <w:t xml:space="preserve">a través del </w:t>
      </w:r>
      <w:r w:rsidR="005872BA">
        <w:rPr>
          <w:kern w:val="22"/>
          <w:lang w:val="es-ES"/>
        </w:rPr>
        <w:t>Fondo de Japón</w:t>
      </w:r>
      <w:r w:rsidR="005872BA" w:rsidRPr="005872BA">
        <w:rPr>
          <w:kern w:val="22"/>
          <w:lang w:val="es-ES"/>
        </w:rPr>
        <w:t xml:space="preserve"> para la Diversidad Biol</w:t>
      </w:r>
      <w:r w:rsidR="005872BA">
        <w:rPr>
          <w:kern w:val="22"/>
          <w:lang w:val="es-ES"/>
        </w:rPr>
        <w:t>ógica</w:t>
      </w:r>
      <w:r w:rsidR="00D03B00" w:rsidRPr="005872BA">
        <w:rPr>
          <w:kern w:val="22"/>
          <w:lang w:val="es-ES"/>
        </w:rPr>
        <w:t xml:space="preserve">, </w:t>
      </w:r>
      <w:r w:rsidR="00AC05B3">
        <w:rPr>
          <w:kern w:val="22"/>
          <w:lang w:val="es-ES"/>
        </w:rPr>
        <w:t>en forma de proyectos para</w:t>
      </w:r>
      <w:r w:rsidR="004D3DF4">
        <w:rPr>
          <w:kern w:val="22"/>
          <w:lang w:val="es-ES"/>
        </w:rPr>
        <w:t xml:space="preserve"> consolidar </w:t>
      </w:r>
      <w:r w:rsidR="00AC05B3">
        <w:rPr>
          <w:kern w:val="22"/>
          <w:lang w:val="es-ES"/>
        </w:rPr>
        <w:t xml:space="preserve">las capacidades nacionales para la aplicación integrada de la seguridad de la biotecnología </w:t>
      </w:r>
      <w:r w:rsidR="00862CDC">
        <w:rPr>
          <w:kern w:val="22"/>
          <w:lang w:val="es-ES"/>
        </w:rPr>
        <w:t>en los distintos sectores</w:t>
      </w:r>
      <w:r w:rsidR="00AC05B3">
        <w:rPr>
          <w:kern w:val="22"/>
          <w:lang w:val="es-ES"/>
        </w:rPr>
        <w:t xml:space="preserve"> </w:t>
      </w:r>
      <w:r w:rsidR="0038311F">
        <w:rPr>
          <w:kern w:val="22"/>
          <w:lang w:val="es-ES"/>
        </w:rPr>
        <w:t>a nivel nacional</w:t>
      </w:r>
      <w:r w:rsidR="00D03B00" w:rsidRPr="005872BA">
        <w:rPr>
          <w:kern w:val="22"/>
          <w:lang w:val="es-ES"/>
        </w:rPr>
        <w:t>.</w:t>
      </w:r>
    </w:p>
    <w:p w:rsidR="00D03B00" w:rsidRPr="00C11140" w:rsidRDefault="00862CDC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>
        <w:rPr>
          <w:kern w:val="22"/>
          <w:lang w:val="es-ES"/>
        </w:rPr>
        <w:t>En 2015-2016 s</w:t>
      </w:r>
      <w:r w:rsidRPr="00862CDC">
        <w:rPr>
          <w:kern w:val="22"/>
          <w:lang w:val="es-ES"/>
        </w:rPr>
        <w:t>e llevó a cabo un proyecto piloto sobre la in</w:t>
      </w:r>
      <w:r w:rsidR="00D748BB">
        <w:rPr>
          <w:kern w:val="22"/>
          <w:lang w:val="es-ES"/>
        </w:rPr>
        <w:t>tegración</w:t>
      </w:r>
      <w:r>
        <w:rPr>
          <w:kern w:val="22"/>
          <w:lang w:val="es-ES"/>
        </w:rPr>
        <w:t xml:space="preserve"> de la seguridad de la biotecnología, en el que participaron nueve Partes en el Protocolo de</w:t>
      </w:r>
      <w:r w:rsidR="007A6F71" w:rsidRPr="00862CDC">
        <w:rPr>
          <w:kern w:val="22"/>
          <w:lang w:val="es-ES"/>
        </w:rPr>
        <w:t xml:space="preserve"> </w:t>
      </w:r>
      <w:r w:rsidR="00D03B00" w:rsidRPr="00862CDC">
        <w:rPr>
          <w:kern w:val="22"/>
          <w:lang w:val="es-ES"/>
        </w:rPr>
        <w:t>Cartagena</w:t>
      </w:r>
      <w:r w:rsidR="007A6F71" w:rsidRPr="00862CDC">
        <w:rPr>
          <w:kern w:val="22"/>
          <w:lang w:val="es-ES"/>
        </w:rPr>
        <w:t>.</w:t>
      </w:r>
      <w:r w:rsidR="00D03B00" w:rsidRPr="00862CDC">
        <w:rPr>
          <w:kern w:val="22"/>
          <w:lang w:val="es-ES"/>
        </w:rPr>
        <w:t xml:space="preserve"> Dur</w:t>
      </w:r>
      <w:r w:rsidRPr="00862CDC">
        <w:rPr>
          <w:kern w:val="22"/>
          <w:lang w:val="es-ES"/>
        </w:rPr>
        <w:t xml:space="preserve">ante el proyecto piloto, los países </w:t>
      </w:r>
      <w:r w:rsidRPr="004D3DF4">
        <w:rPr>
          <w:kern w:val="22"/>
          <w:lang w:val="es-ES"/>
        </w:rPr>
        <w:t>participantes identificaron formas</w:t>
      </w:r>
      <w:r w:rsidRPr="00862CDC">
        <w:rPr>
          <w:kern w:val="22"/>
          <w:lang w:val="es-ES"/>
        </w:rPr>
        <w:t xml:space="preserve"> en las que la seguridad de la biotecnolog</w:t>
      </w:r>
      <w:r>
        <w:rPr>
          <w:kern w:val="22"/>
          <w:lang w:val="es-ES"/>
        </w:rPr>
        <w:t xml:space="preserve">ía se podría integrar </w:t>
      </w:r>
      <w:r w:rsidR="00F940EE">
        <w:rPr>
          <w:kern w:val="22"/>
          <w:lang w:val="es-ES"/>
        </w:rPr>
        <w:t>en una serie de marcos jurídicos, normativos e institucionales, sectoriales e intersectoriales</w:t>
      </w:r>
      <w:r w:rsidR="00D03B00" w:rsidRPr="00862CDC">
        <w:rPr>
          <w:kern w:val="22"/>
          <w:lang w:val="es-ES"/>
        </w:rPr>
        <w:t xml:space="preserve">. </w:t>
      </w:r>
      <w:r w:rsidR="004D3DF4">
        <w:rPr>
          <w:kern w:val="22"/>
          <w:lang w:val="es-ES"/>
        </w:rPr>
        <w:t>Recogiendo las mejores prácticas nacionales</w:t>
      </w:r>
      <w:r w:rsidR="00CD60DE" w:rsidRPr="00C11140">
        <w:rPr>
          <w:kern w:val="22"/>
          <w:lang w:val="es-ES"/>
        </w:rPr>
        <w:t xml:space="preserve">, </w:t>
      </w:r>
      <w:r w:rsidR="004D3DF4">
        <w:rPr>
          <w:kern w:val="22"/>
          <w:lang w:val="es-ES"/>
        </w:rPr>
        <w:t xml:space="preserve">se preparó </w:t>
      </w:r>
      <w:r w:rsidR="008E1859" w:rsidRPr="00C11140">
        <w:rPr>
          <w:kern w:val="22"/>
          <w:lang w:val="es-ES"/>
        </w:rPr>
        <w:t xml:space="preserve">el proyecto para las medidas nacionales y respaldaba </w:t>
      </w:r>
      <w:r w:rsidR="00C11140">
        <w:rPr>
          <w:kern w:val="22"/>
          <w:lang w:val="es-ES"/>
        </w:rPr>
        <w:t xml:space="preserve">la elaboración de materiales de creación de capacidad y aprendizaje electrónico para apoyar a las Partes </w:t>
      </w:r>
      <w:r w:rsidR="00C11140" w:rsidRPr="004D3DF4">
        <w:rPr>
          <w:kern w:val="22"/>
          <w:lang w:val="es-ES"/>
        </w:rPr>
        <w:t>a</w:t>
      </w:r>
      <w:r w:rsidR="004D3DF4" w:rsidRPr="004D3DF4">
        <w:rPr>
          <w:kern w:val="22"/>
          <w:lang w:val="es-ES"/>
        </w:rPr>
        <w:t xml:space="preserve"> </w:t>
      </w:r>
      <w:r w:rsidR="00C11140" w:rsidRPr="004D3DF4">
        <w:rPr>
          <w:kern w:val="22"/>
          <w:lang w:val="es-ES"/>
        </w:rPr>
        <w:t>integrar la seguridad</w:t>
      </w:r>
      <w:r w:rsidR="00C11140">
        <w:rPr>
          <w:kern w:val="22"/>
          <w:lang w:val="es-ES"/>
        </w:rPr>
        <w:t xml:space="preserve"> de la biotecnología a nivel nacional, incluidos en sus EPANB</w:t>
      </w:r>
      <w:r w:rsidR="00D03B00" w:rsidRPr="00C11140">
        <w:rPr>
          <w:kern w:val="22"/>
          <w:lang w:val="es-ES"/>
        </w:rPr>
        <w:t>.</w:t>
      </w:r>
    </w:p>
    <w:p w:rsidR="00EB3ED2" w:rsidRPr="00364DFE" w:rsidRDefault="00D03B00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C11140">
        <w:rPr>
          <w:kern w:val="22"/>
          <w:lang w:val="es-ES"/>
        </w:rPr>
        <w:t>Dur</w:t>
      </w:r>
      <w:r w:rsidR="00C11140" w:rsidRPr="00C11140">
        <w:rPr>
          <w:kern w:val="22"/>
          <w:lang w:val="es-ES"/>
        </w:rPr>
        <w:t>ante el bienio</w:t>
      </w:r>
      <w:r w:rsidR="00D37224" w:rsidRPr="00C11140">
        <w:rPr>
          <w:kern w:val="22"/>
          <w:lang w:val="es-ES"/>
        </w:rPr>
        <w:t xml:space="preserve"> 2017-2018</w:t>
      </w:r>
      <w:r w:rsidRPr="00C11140">
        <w:rPr>
          <w:kern w:val="22"/>
          <w:lang w:val="es-ES"/>
        </w:rPr>
        <w:t xml:space="preserve">, </w:t>
      </w:r>
      <w:r w:rsidR="00C11140" w:rsidRPr="00C11140">
        <w:rPr>
          <w:kern w:val="22"/>
          <w:lang w:val="es-ES"/>
        </w:rPr>
        <w:t>se está llevando a cabo un proyecto de seguimiento</w:t>
      </w:r>
      <w:r w:rsidRPr="00C11140">
        <w:rPr>
          <w:kern w:val="22"/>
          <w:lang w:val="es-ES"/>
        </w:rPr>
        <w:t xml:space="preserve"> </w:t>
      </w:r>
      <w:r w:rsidR="00C11140" w:rsidRPr="00C11140">
        <w:rPr>
          <w:kern w:val="22"/>
          <w:lang w:val="es-ES"/>
        </w:rPr>
        <w:t xml:space="preserve">para reunir a los puntos focales nacionales del Protocolo de </w:t>
      </w:r>
      <w:r w:rsidR="006D5B37" w:rsidRPr="00C11140">
        <w:rPr>
          <w:kern w:val="22"/>
          <w:lang w:val="es-ES"/>
        </w:rPr>
        <w:t>Cartagena</w:t>
      </w:r>
      <w:r w:rsidR="00C11140" w:rsidRPr="00C11140">
        <w:rPr>
          <w:kern w:val="22"/>
          <w:lang w:val="es-ES"/>
        </w:rPr>
        <w:t xml:space="preserve"> y del Convenio, y los expertos </w:t>
      </w:r>
      <w:r w:rsidR="00C11140">
        <w:rPr>
          <w:kern w:val="22"/>
          <w:lang w:val="es-ES"/>
        </w:rPr>
        <w:t>en cuestiones jurídicas y política</w:t>
      </w:r>
      <w:r w:rsidR="00364DFE">
        <w:rPr>
          <w:kern w:val="22"/>
          <w:lang w:val="es-ES"/>
        </w:rPr>
        <w:t>s</w:t>
      </w:r>
      <w:r w:rsidR="00C11140">
        <w:rPr>
          <w:kern w:val="22"/>
          <w:lang w:val="es-ES"/>
        </w:rPr>
        <w:t xml:space="preserve"> de un total de </w:t>
      </w:r>
      <w:r w:rsidR="00B21159" w:rsidRPr="00C11140">
        <w:rPr>
          <w:kern w:val="22"/>
          <w:lang w:val="es-ES"/>
        </w:rPr>
        <w:t xml:space="preserve">30 Partes </w:t>
      </w:r>
      <w:r w:rsidR="00C11140">
        <w:rPr>
          <w:kern w:val="22"/>
          <w:lang w:val="es-ES"/>
        </w:rPr>
        <w:t>en una serie de talleres regionales para desarrollar medidas para in</w:t>
      </w:r>
      <w:r w:rsidR="00D748BB">
        <w:rPr>
          <w:kern w:val="22"/>
          <w:lang w:val="es-ES"/>
        </w:rPr>
        <w:t>tegrar</w:t>
      </w:r>
      <w:r w:rsidR="00C11140">
        <w:rPr>
          <w:kern w:val="22"/>
          <w:lang w:val="es-ES"/>
        </w:rPr>
        <w:t xml:space="preserve"> la seguridad de la biotecnología en </w:t>
      </w:r>
      <w:r w:rsidR="00364DFE">
        <w:rPr>
          <w:kern w:val="22"/>
          <w:lang w:val="es-ES"/>
        </w:rPr>
        <w:t>diversas políticas, leyes y estructuras institucionales sector</w:t>
      </w:r>
      <w:r w:rsidR="00816088">
        <w:rPr>
          <w:kern w:val="22"/>
          <w:lang w:val="es-ES"/>
        </w:rPr>
        <w:t>i</w:t>
      </w:r>
      <w:r w:rsidR="00364DFE">
        <w:rPr>
          <w:kern w:val="22"/>
          <w:lang w:val="es-ES"/>
        </w:rPr>
        <w:t>ales e intersectoriales</w:t>
      </w:r>
      <w:r w:rsidR="007A2705" w:rsidRPr="00C11140">
        <w:rPr>
          <w:kern w:val="22"/>
          <w:lang w:val="es-ES"/>
        </w:rPr>
        <w:t xml:space="preserve">, </w:t>
      </w:r>
      <w:r w:rsidR="00364DFE">
        <w:rPr>
          <w:kern w:val="22"/>
          <w:lang w:val="es-ES"/>
        </w:rPr>
        <w:t>incluidas las EPANB</w:t>
      </w:r>
      <w:r w:rsidR="00B21159" w:rsidRPr="00C11140">
        <w:rPr>
          <w:kern w:val="22"/>
          <w:lang w:val="es-ES"/>
        </w:rPr>
        <w:t xml:space="preserve">. </w:t>
      </w:r>
      <w:r w:rsidR="00364DFE" w:rsidRPr="00364DFE">
        <w:rPr>
          <w:kern w:val="22"/>
          <w:lang w:val="es-ES"/>
        </w:rPr>
        <w:t>Los talleres regionales</w:t>
      </w:r>
      <w:r w:rsidR="00B917C7" w:rsidRPr="00364DFE">
        <w:rPr>
          <w:kern w:val="22"/>
          <w:lang w:val="es-ES"/>
        </w:rPr>
        <w:t xml:space="preserve"> </w:t>
      </w:r>
      <w:r w:rsidR="00364DFE" w:rsidRPr="00364DFE">
        <w:rPr>
          <w:kern w:val="22"/>
          <w:lang w:val="es-ES"/>
        </w:rPr>
        <w:t>se acompañan de actividades a nivel nacional</w:t>
      </w:r>
      <w:r w:rsidR="00B917C7" w:rsidRPr="00364DFE">
        <w:rPr>
          <w:kern w:val="22"/>
          <w:lang w:val="es-ES"/>
        </w:rPr>
        <w:t xml:space="preserve">. </w:t>
      </w:r>
      <w:r w:rsidR="00816088">
        <w:rPr>
          <w:kern w:val="22"/>
          <w:lang w:val="es-ES"/>
        </w:rPr>
        <w:t>Se han elaborado</w:t>
      </w:r>
      <w:r w:rsidR="00364DFE" w:rsidRPr="00364DFE">
        <w:rPr>
          <w:kern w:val="22"/>
          <w:lang w:val="es-ES"/>
        </w:rPr>
        <w:t xml:space="preserve"> materiales de aprendizaje electrónico sobre la in</w:t>
      </w:r>
      <w:r w:rsidR="00D748BB">
        <w:rPr>
          <w:kern w:val="22"/>
          <w:lang w:val="es-ES"/>
        </w:rPr>
        <w:t>tegración</w:t>
      </w:r>
      <w:r w:rsidR="00364DFE" w:rsidRPr="00364DFE">
        <w:rPr>
          <w:kern w:val="22"/>
          <w:lang w:val="es-ES"/>
        </w:rPr>
        <w:t xml:space="preserve"> de la seguridad de la biotecnología en la</w:t>
      </w:r>
      <w:r w:rsidR="00816088">
        <w:rPr>
          <w:kern w:val="22"/>
          <w:lang w:val="es-ES"/>
        </w:rPr>
        <w:t>s estructuras legislativas, normativas e institucionales nacionales y</w:t>
      </w:r>
      <w:r w:rsidR="004D3DF4">
        <w:rPr>
          <w:kern w:val="22"/>
          <w:lang w:val="es-ES"/>
        </w:rPr>
        <w:t xml:space="preserve"> estos</w:t>
      </w:r>
      <w:r w:rsidR="00816088">
        <w:rPr>
          <w:kern w:val="22"/>
          <w:lang w:val="es-ES"/>
        </w:rPr>
        <w:t xml:space="preserve"> ayudan a las Partes a in</w:t>
      </w:r>
      <w:r w:rsidR="00D748BB">
        <w:rPr>
          <w:kern w:val="22"/>
          <w:lang w:val="es-ES"/>
        </w:rPr>
        <w:t>tegrar</w:t>
      </w:r>
      <w:r w:rsidR="00816088">
        <w:rPr>
          <w:kern w:val="22"/>
          <w:lang w:val="es-ES"/>
        </w:rPr>
        <w:t xml:space="preserve"> la seguridad de la biotecnología en sectores diferentes</w:t>
      </w:r>
      <w:r w:rsidR="00C267B8" w:rsidRPr="00364DFE">
        <w:rPr>
          <w:kern w:val="22"/>
          <w:lang w:val="es-ES"/>
        </w:rPr>
        <w:t>.</w:t>
      </w:r>
    </w:p>
    <w:p w:rsidR="000A0135" w:rsidRPr="00B25848" w:rsidRDefault="00B25848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B25848">
        <w:rPr>
          <w:kern w:val="22"/>
          <w:lang w:val="es-ES"/>
        </w:rPr>
        <w:t xml:space="preserve">Aunque se </w:t>
      </w:r>
      <w:r>
        <w:rPr>
          <w:kern w:val="22"/>
          <w:lang w:val="es-ES"/>
        </w:rPr>
        <w:t>han realizado</w:t>
      </w:r>
      <w:r w:rsidRPr="00B25848">
        <w:rPr>
          <w:kern w:val="22"/>
          <w:lang w:val="es-ES"/>
        </w:rPr>
        <w:t xml:space="preserve"> avances, s</w:t>
      </w:r>
      <w:r>
        <w:rPr>
          <w:kern w:val="22"/>
          <w:lang w:val="es-ES"/>
        </w:rPr>
        <w:t xml:space="preserve">e requieren medidas </w:t>
      </w:r>
      <w:r w:rsidRPr="00B25848">
        <w:rPr>
          <w:kern w:val="22"/>
          <w:lang w:val="es-ES"/>
        </w:rPr>
        <w:t>adicionales para in</w:t>
      </w:r>
      <w:r w:rsidR="00D748BB">
        <w:rPr>
          <w:kern w:val="22"/>
          <w:lang w:val="es-ES"/>
        </w:rPr>
        <w:t>tegrar</w:t>
      </w:r>
      <w:r w:rsidRPr="00B25848">
        <w:rPr>
          <w:kern w:val="22"/>
          <w:lang w:val="es-ES"/>
        </w:rPr>
        <w:t xml:space="preserve"> la seguridad de la biotecnolog</w:t>
      </w:r>
      <w:r>
        <w:rPr>
          <w:kern w:val="22"/>
          <w:lang w:val="es-ES"/>
        </w:rPr>
        <w:t>ía en toda la labor del Convenio</w:t>
      </w:r>
      <w:r w:rsidR="000A0135" w:rsidRPr="00B25848">
        <w:rPr>
          <w:kern w:val="22"/>
          <w:lang w:val="es-ES"/>
        </w:rPr>
        <w:t xml:space="preserve">. </w:t>
      </w:r>
      <w:r w:rsidRPr="00B25848">
        <w:rPr>
          <w:kern w:val="22"/>
          <w:lang w:val="es-ES"/>
        </w:rPr>
        <w:t>P</w:t>
      </w:r>
      <w:r w:rsidR="000A0135" w:rsidRPr="00B25848">
        <w:rPr>
          <w:kern w:val="22"/>
          <w:lang w:val="es-ES"/>
        </w:rPr>
        <w:t xml:space="preserve">or </w:t>
      </w:r>
      <w:r w:rsidRPr="00B25848">
        <w:rPr>
          <w:kern w:val="22"/>
          <w:lang w:val="es-ES"/>
        </w:rPr>
        <w:t>ejemplo</w:t>
      </w:r>
      <w:r w:rsidR="000A0135" w:rsidRPr="00B25848">
        <w:rPr>
          <w:kern w:val="22"/>
          <w:lang w:val="es-ES"/>
        </w:rPr>
        <w:t xml:space="preserve">, </w:t>
      </w:r>
      <w:r>
        <w:rPr>
          <w:kern w:val="22"/>
          <w:lang w:val="es-ES"/>
        </w:rPr>
        <w:t xml:space="preserve">las </w:t>
      </w:r>
      <w:r w:rsidRPr="00B25848">
        <w:rPr>
          <w:kern w:val="22"/>
          <w:lang w:val="es-ES"/>
        </w:rPr>
        <w:t xml:space="preserve">cuestiones relacionadas con la seguridad de la biotecnología se podrían considerar </w:t>
      </w:r>
      <w:r>
        <w:rPr>
          <w:kern w:val="22"/>
          <w:lang w:val="es-ES"/>
        </w:rPr>
        <w:t>con mayor profundidad</w:t>
      </w:r>
      <w:r w:rsidRPr="00B25848">
        <w:rPr>
          <w:kern w:val="22"/>
          <w:lang w:val="es-ES"/>
        </w:rPr>
        <w:t xml:space="preserve"> </w:t>
      </w:r>
      <w:r>
        <w:rPr>
          <w:kern w:val="22"/>
          <w:lang w:val="es-ES"/>
        </w:rPr>
        <w:t>al tratar las áreas protegidas o la gestión de los bosques, montañas y zonas marinas, entre otras cosas</w:t>
      </w:r>
      <w:r w:rsidR="000A0135" w:rsidRPr="00B25848">
        <w:rPr>
          <w:kern w:val="22"/>
          <w:lang w:val="es-ES"/>
        </w:rPr>
        <w:t xml:space="preserve">. </w:t>
      </w:r>
      <w:r w:rsidRPr="00B25848">
        <w:rPr>
          <w:kern w:val="22"/>
          <w:lang w:val="es-ES"/>
        </w:rPr>
        <w:t>La inclusi</w:t>
      </w:r>
      <w:r>
        <w:rPr>
          <w:kern w:val="22"/>
          <w:lang w:val="es-ES"/>
        </w:rPr>
        <w:t>ó</w:t>
      </w:r>
      <w:r w:rsidRPr="00B25848">
        <w:rPr>
          <w:kern w:val="22"/>
          <w:lang w:val="es-ES"/>
        </w:rPr>
        <w:t>n de</w:t>
      </w:r>
      <w:r>
        <w:rPr>
          <w:kern w:val="22"/>
          <w:lang w:val="es-ES"/>
        </w:rPr>
        <w:t xml:space="preserve"> un</w:t>
      </w:r>
      <w:r w:rsidRPr="00B25848">
        <w:rPr>
          <w:kern w:val="22"/>
          <w:lang w:val="es-ES"/>
        </w:rPr>
        <w:t xml:space="preserve"> component</w:t>
      </w:r>
      <w:r>
        <w:rPr>
          <w:kern w:val="22"/>
          <w:lang w:val="es-ES"/>
        </w:rPr>
        <w:t>e</w:t>
      </w:r>
      <w:r w:rsidRPr="00B25848">
        <w:rPr>
          <w:kern w:val="22"/>
          <w:lang w:val="es-ES"/>
        </w:rPr>
        <w:t xml:space="preserve"> de la seguridad de la biotecnología como parte de los proyectos de creaci</w:t>
      </w:r>
      <w:r>
        <w:rPr>
          <w:kern w:val="22"/>
          <w:lang w:val="es-ES"/>
        </w:rPr>
        <w:t>ón de capacidad pertinentes también se podría considerar de un modo más sistemático</w:t>
      </w:r>
      <w:r w:rsidR="000A0135" w:rsidRPr="00B25848">
        <w:rPr>
          <w:kern w:val="22"/>
          <w:lang w:val="es-ES"/>
        </w:rPr>
        <w:t>.</w:t>
      </w:r>
    </w:p>
    <w:p w:rsidR="00D55DBD" w:rsidRPr="001F7CEC" w:rsidRDefault="001F7CEC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1F7CEC">
        <w:rPr>
          <w:kern w:val="22"/>
          <w:lang w:val="es-ES"/>
        </w:rPr>
        <w:t>En este contexto</w:t>
      </w:r>
      <w:r w:rsidR="000A0135" w:rsidRPr="001F7CEC">
        <w:rPr>
          <w:kern w:val="22"/>
          <w:lang w:val="es-ES"/>
        </w:rPr>
        <w:t xml:space="preserve">, </w:t>
      </w:r>
      <w:r>
        <w:rPr>
          <w:kern w:val="22"/>
          <w:lang w:val="es-ES"/>
        </w:rPr>
        <w:t>mejorar</w:t>
      </w:r>
      <w:r w:rsidRPr="001F7CEC">
        <w:rPr>
          <w:kern w:val="22"/>
          <w:lang w:val="es-ES"/>
        </w:rPr>
        <w:t xml:space="preserve"> la in</w:t>
      </w:r>
      <w:r w:rsidR="00D748BB">
        <w:rPr>
          <w:kern w:val="22"/>
          <w:lang w:val="es-ES"/>
        </w:rPr>
        <w:t>tegración</w:t>
      </w:r>
      <w:r w:rsidRPr="001F7CEC">
        <w:rPr>
          <w:kern w:val="22"/>
          <w:lang w:val="es-ES"/>
        </w:rPr>
        <w:t xml:space="preserve"> en el marco del Convenio y del Protocolo de </w:t>
      </w:r>
      <w:r w:rsidR="000A0135" w:rsidRPr="001F7CEC">
        <w:rPr>
          <w:kern w:val="22"/>
          <w:lang w:val="es-ES"/>
        </w:rPr>
        <w:t xml:space="preserve">Cartagena </w:t>
      </w:r>
      <w:r>
        <w:rPr>
          <w:kern w:val="22"/>
          <w:lang w:val="es-ES"/>
        </w:rPr>
        <w:t>en lo que respecta a las disposiciones relacionadas con la seguridad de la biotecnología</w:t>
      </w:r>
      <w:r w:rsidR="000A0135" w:rsidRPr="001F7CEC">
        <w:rPr>
          <w:kern w:val="22"/>
          <w:lang w:val="es-ES"/>
        </w:rPr>
        <w:t xml:space="preserve"> </w:t>
      </w:r>
      <w:r>
        <w:rPr>
          <w:kern w:val="22"/>
          <w:lang w:val="es-ES"/>
        </w:rPr>
        <w:t>contribuiría a respaldar la consecución de las</w:t>
      </w:r>
      <w:r w:rsidR="000A0135" w:rsidRPr="001F7CEC">
        <w:rPr>
          <w:kern w:val="22"/>
          <w:lang w:val="es-ES"/>
        </w:rPr>
        <w:t xml:space="preserve"> </w:t>
      </w:r>
      <w:hyperlink r:id="rId22" w:history="1">
        <w:r>
          <w:rPr>
            <w:rStyle w:val="Hyperlink"/>
            <w:kern w:val="22"/>
            <w:lang w:val="es-ES"/>
          </w:rPr>
          <w:t>Metas de A</w:t>
        </w:r>
        <w:r w:rsidR="000A0135" w:rsidRPr="001F7CEC">
          <w:rPr>
            <w:rStyle w:val="Hyperlink"/>
            <w:kern w:val="22"/>
            <w:lang w:val="es-ES"/>
          </w:rPr>
          <w:t xml:space="preserve">ichi </w:t>
        </w:r>
        <w:r>
          <w:rPr>
            <w:rStyle w:val="Hyperlink"/>
            <w:kern w:val="22"/>
            <w:lang w:val="es-ES"/>
          </w:rPr>
          <w:t xml:space="preserve">para la Diversidad </w:t>
        </w:r>
        <w:r w:rsidR="000A0135" w:rsidRPr="001F7CEC">
          <w:rPr>
            <w:rStyle w:val="Hyperlink"/>
            <w:kern w:val="22"/>
            <w:lang w:val="es-ES"/>
          </w:rPr>
          <w:t>Bio</w:t>
        </w:r>
        <w:r>
          <w:rPr>
            <w:rStyle w:val="Hyperlink"/>
            <w:kern w:val="22"/>
            <w:lang w:val="es-ES"/>
          </w:rPr>
          <w:t>lóg</w:t>
        </w:r>
        <w:r w:rsidR="000A0135" w:rsidRPr="001F7CEC">
          <w:rPr>
            <w:rStyle w:val="Hyperlink"/>
            <w:kern w:val="22"/>
            <w:lang w:val="es-ES"/>
          </w:rPr>
          <w:t>i</w:t>
        </w:r>
        <w:r>
          <w:rPr>
            <w:rStyle w:val="Hyperlink"/>
            <w:kern w:val="22"/>
            <w:lang w:val="es-ES"/>
          </w:rPr>
          <w:t>c</w:t>
        </w:r>
        <w:r w:rsidR="000A0135" w:rsidRPr="001F7CEC">
          <w:rPr>
            <w:rStyle w:val="Hyperlink"/>
            <w:kern w:val="22"/>
            <w:lang w:val="es-ES"/>
          </w:rPr>
          <w:t>a</w:t>
        </w:r>
      </w:hyperlink>
      <w:r>
        <w:rPr>
          <w:kern w:val="22"/>
          <w:lang w:val="es-ES"/>
        </w:rPr>
        <w:t xml:space="preserve"> y el</w:t>
      </w:r>
      <w:r w:rsidR="000A0135" w:rsidRPr="001F7CEC">
        <w:rPr>
          <w:kern w:val="22"/>
          <w:lang w:val="es-ES"/>
        </w:rPr>
        <w:t xml:space="preserve"> </w:t>
      </w:r>
      <w:hyperlink r:id="rId23" w:history="1">
        <w:r>
          <w:rPr>
            <w:rStyle w:val="Hyperlink"/>
            <w:kern w:val="22"/>
            <w:lang w:val="es-ES"/>
          </w:rPr>
          <w:t xml:space="preserve">marco mundial para la diversidad biológica posterior a </w:t>
        </w:r>
        <w:r w:rsidR="000A0135" w:rsidRPr="001F7CEC">
          <w:rPr>
            <w:rStyle w:val="Hyperlink"/>
            <w:kern w:val="22"/>
            <w:lang w:val="es-ES"/>
          </w:rPr>
          <w:t>2020</w:t>
        </w:r>
      </w:hyperlink>
      <w:r w:rsidR="000A0135" w:rsidRPr="001F7CEC">
        <w:rPr>
          <w:kern w:val="22"/>
          <w:lang w:val="es-ES"/>
        </w:rPr>
        <w:t>.</w:t>
      </w:r>
    </w:p>
    <w:p w:rsidR="006F6F44" w:rsidRPr="00385560" w:rsidRDefault="006F6F44" w:rsidP="00385560">
      <w:pPr>
        <w:pStyle w:val="Heading1"/>
        <w:numPr>
          <w:ilvl w:val="0"/>
          <w:numId w:val="6"/>
        </w:numPr>
        <w:suppressLineNumbers/>
        <w:tabs>
          <w:tab w:val="clear" w:pos="720"/>
          <w:tab w:val="left" w:pos="36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rPr>
          <w:rFonts w:ascii="Times New Roman Bold" w:hAnsi="Times New Roman Bold" w:cs="Times New Roman Bold"/>
          <w:snapToGrid w:val="0"/>
          <w:kern w:val="22"/>
          <w:szCs w:val="18"/>
        </w:rPr>
      </w:pPr>
      <w:r w:rsidRPr="00385560">
        <w:rPr>
          <w:rFonts w:ascii="Times New Roman Bold" w:hAnsi="Times New Roman Bold" w:cs="Times New Roman Bold"/>
          <w:snapToGrid w:val="0"/>
          <w:kern w:val="22"/>
        </w:rPr>
        <w:t>Conclusi</w:t>
      </w:r>
      <w:r w:rsidR="001F7CEC">
        <w:rPr>
          <w:rFonts w:ascii="Times New Roman Bold" w:hAnsi="Times New Roman Bold" w:cs="Times New Roman Bold"/>
          <w:snapToGrid w:val="0"/>
          <w:kern w:val="22"/>
        </w:rPr>
        <w:t>Ó</w:t>
      </w:r>
      <w:r w:rsidRPr="00385560">
        <w:rPr>
          <w:rFonts w:ascii="Times New Roman Bold" w:hAnsi="Times New Roman Bold" w:cs="Times New Roman Bold"/>
          <w:snapToGrid w:val="0"/>
          <w:kern w:val="22"/>
        </w:rPr>
        <w:t>n</w:t>
      </w:r>
    </w:p>
    <w:p w:rsidR="006F6F44" w:rsidRPr="00F137F2" w:rsidRDefault="004D3DF4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>
        <w:rPr>
          <w:kern w:val="22"/>
          <w:lang w:val="es-ES"/>
        </w:rPr>
        <w:t>En conclusió</w:t>
      </w:r>
      <w:r w:rsidR="001F7CEC" w:rsidRPr="001F7CEC">
        <w:rPr>
          <w:kern w:val="22"/>
          <w:lang w:val="es-ES"/>
        </w:rPr>
        <w:t xml:space="preserve">n, la mayoría de las Partes en el Convenio son Partes en el Protocolo de </w:t>
      </w:r>
      <w:r w:rsidR="0086456B" w:rsidRPr="001F7CEC">
        <w:rPr>
          <w:kern w:val="22"/>
          <w:lang w:val="es-ES"/>
        </w:rPr>
        <w:t>Cartagena</w:t>
      </w:r>
      <w:r w:rsidR="00F93258" w:rsidRPr="001F7CEC">
        <w:rPr>
          <w:kern w:val="22"/>
          <w:lang w:val="es-ES"/>
        </w:rPr>
        <w:t xml:space="preserve">. </w:t>
      </w:r>
      <w:r w:rsidR="001F7CEC">
        <w:rPr>
          <w:kern w:val="22"/>
          <w:lang w:val="es-ES"/>
        </w:rPr>
        <w:t xml:space="preserve">De esas Partes en el Convenio que no son Partes en el Protocolo de </w:t>
      </w:r>
      <w:r w:rsidR="00F93258" w:rsidRPr="001F7CEC">
        <w:rPr>
          <w:kern w:val="22"/>
          <w:lang w:val="es-ES"/>
        </w:rPr>
        <w:t xml:space="preserve">Cartagena, </w:t>
      </w:r>
      <w:r w:rsidR="001F7CEC" w:rsidRPr="001F7CEC">
        <w:rPr>
          <w:kern w:val="22"/>
          <w:lang w:val="es-ES"/>
        </w:rPr>
        <w:t>un gran n</w:t>
      </w:r>
      <w:r w:rsidR="001F7CEC">
        <w:rPr>
          <w:kern w:val="22"/>
          <w:lang w:val="es-ES"/>
        </w:rPr>
        <w:t xml:space="preserve">úmero </w:t>
      </w:r>
      <w:r w:rsidR="00F137F2">
        <w:rPr>
          <w:kern w:val="22"/>
          <w:lang w:val="es-ES"/>
        </w:rPr>
        <w:t>ha adoptado medidas en materia de seguridad de la biotecnología que están en consonancia con el Protocolo de Cartagena</w:t>
      </w:r>
      <w:r w:rsidR="00F93258" w:rsidRPr="001F7CEC">
        <w:rPr>
          <w:kern w:val="22"/>
          <w:lang w:val="es-ES"/>
        </w:rPr>
        <w:t xml:space="preserve">, </w:t>
      </w:r>
      <w:r w:rsidR="00F137F2">
        <w:rPr>
          <w:kern w:val="22"/>
          <w:lang w:val="es-ES"/>
        </w:rPr>
        <w:t xml:space="preserve">aplicando así el </w:t>
      </w:r>
      <w:r w:rsidR="00F93258" w:rsidRPr="001F7CEC">
        <w:rPr>
          <w:kern w:val="22"/>
          <w:lang w:val="es-ES"/>
        </w:rPr>
        <w:t>Protocol</w:t>
      </w:r>
      <w:r w:rsidR="00F137F2">
        <w:rPr>
          <w:kern w:val="22"/>
          <w:lang w:val="es-ES"/>
        </w:rPr>
        <w:t xml:space="preserve">o </w:t>
      </w:r>
      <w:r w:rsidR="00F137F2" w:rsidRPr="001F7CEC">
        <w:rPr>
          <w:i/>
          <w:kern w:val="22"/>
          <w:lang w:val="es-ES"/>
        </w:rPr>
        <w:t>de facto</w:t>
      </w:r>
      <w:r w:rsidR="00F93258" w:rsidRPr="001F7CEC">
        <w:rPr>
          <w:kern w:val="22"/>
          <w:lang w:val="es-ES"/>
        </w:rPr>
        <w:t xml:space="preserve">. </w:t>
      </w:r>
      <w:r w:rsidR="00F137F2" w:rsidRPr="00F137F2">
        <w:rPr>
          <w:kern w:val="22"/>
          <w:lang w:val="es-ES"/>
        </w:rPr>
        <w:t>Asimismo, muchos países han incluido consideraciones relacionadas con la seguridad de la biotecnolog</w:t>
      </w:r>
      <w:r w:rsidR="00F137F2">
        <w:rPr>
          <w:kern w:val="22"/>
          <w:lang w:val="es-ES"/>
        </w:rPr>
        <w:t>ía en sus EPANB</w:t>
      </w:r>
      <w:r w:rsidR="006A0929" w:rsidRPr="00F137F2">
        <w:rPr>
          <w:kern w:val="22"/>
          <w:lang w:val="es-ES"/>
        </w:rPr>
        <w:t>.</w:t>
      </w:r>
    </w:p>
    <w:p w:rsidR="00E55657" w:rsidRPr="00F137F2" w:rsidRDefault="00F137F2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F137F2">
        <w:rPr>
          <w:kern w:val="22"/>
          <w:lang w:val="es-ES"/>
        </w:rPr>
        <w:t xml:space="preserve">Considerando el papel fundamental del Protocolo de </w:t>
      </w:r>
      <w:r w:rsidR="0086456B" w:rsidRPr="00F137F2">
        <w:rPr>
          <w:kern w:val="22"/>
          <w:lang w:val="es-ES"/>
        </w:rPr>
        <w:t>Cartagena</w:t>
      </w:r>
      <w:r w:rsidR="006F6F44" w:rsidRPr="00F137F2">
        <w:rPr>
          <w:kern w:val="22"/>
          <w:lang w:val="es-ES"/>
        </w:rPr>
        <w:t xml:space="preserve"> </w:t>
      </w:r>
      <w:r w:rsidRPr="00F137F2">
        <w:rPr>
          <w:kern w:val="22"/>
          <w:lang w:val="es-ES"/>
        </w:rPr>
        <w:t xml:space="preserve">en la facilitación de la aplicación de las disposiciones </w:t>
      </w:r>
      <w:r>
        <w:rPr>
          <w:kern w:val="22"/>
          <w:lang w:val="es-ES"/>
        </w:rPr>
        <w:t xml:space="preserve">del Convenio </w:t>
      </w:r>
      <w:r w:rsidRPr="00F137F2">
        <w:rPr>
          <w:kern w:val="22"/>
          <w:lang w:val="es-ES"/>
        </w:rPr>
        <w:t>relacionadas con la seguridad de la biotecnolog</w:t>
      </w:r>
      <w:r>
        <w:rPr>
          <w:kern w:val="22"/>
          <w:lang w:val="es-ES"/>
        </w:rPr>
        <w:t>ía</w:t>
      </w:r>
      <w:r w:rsidR="006F6F44" w:rsidRPr="00F137F2">
        <w:rPr>
          <w:kern w:val="22"/>
          <w:lang w:val="es-ES"/>
        </w:rPr>
        <w:t xml:space="preserve">, </w:t>
      </w:r>
      <w:r w:rsidR="004D3DF4">
        <w:rPr>
          <w:kern w:val="22"/>
          <w:lang w:val="es-ES"/>
        </w:rPr>
        <w:t>es de</w:t>
      </w:r>
      <w:r>
        <w:rPr>
          <w:kern w:val="22"/>
          <w:lang w:val="es-ES"/>
        </w:rPr>
        <w:t xml:space="preserve"> interés </w:t>
      </w:r>
      <w:r w:rsidR="004D3DF4">
        <w:rPr>
          <w:kern w:val="22"/>
          <w:lang w:val="es-ES"/>
        </w:rPr>
        <w:t>para</w:t>
      </w:r>
      <w:r>
        <w:rPr>
          <w:kern w:val="22"/>
          <w:lang w:val="es-ES"/>
        </w:rPr>
        <w:t xml:space="preserve"> todas las Partes en el Convenio ratificar el Protocolo de </w:t>
      </w:r>
      <w:r w:rsidR="0086456B" w:rsidRPr="00F137F2">
        <w:rPr>
          <w:kern w:val="22"/>
          <w:lang w:val="es-ES"/>
        </w:rPr>
        <w:t>Cartagena</w:t>
      </w:r>
      <w:r>
        <w:rPr>
          <w:kern w:val="22"/>
          <w:lang w:val="es-ES"/>
        </w:rPr>
        <w:t xml:space="preserve"> con el fin de apoyar un régimen coherente internacional en materia de seguridad de la biotecnología</w:t>
      </w:r>
      <w:r w:rsidR="006F6F44" w:rsidRPr="00F137F2">
        <w:rPr>
          <w:kern w:val="22"/>
          <w:lang w:val="es-ES"/>
        </w:rPr>
        <w:t>.</w:t>
      </w:r>
      <w:r w:rsidR="009977FB" w:rsidRPr="00F137F2">
        <w:rPr>
          <w:kern w:val="22"/>
          <w:lang w:val="es-ES"/>
        </w:rPr>
        <w:t xml:space="preserve"> </w:t>
      </w:r>
      <w:r w:rsidRPr="00F137F2">
        <w:rPr>
          <w:kern w:val="22"/>
          <w:lang w:val="es-ES"/>
        </w:rPr>
        <w:t xml:space="preserve">Son necesarios esfuerzos adicionales para apoyar la ratificación y aplicación del Protocolo de Cartagena, </w:t>
      </w:r>
      <w:r w:rsidR="002321B9">
        <w:rPr>
          <w:kern w:val="22"/>
          <w:lang w:val="es-ES"/>
        </w:rPr>
        <w:t xml:space="preserve">entre otras cosas </w:t>
      </w:r>
      <w:r>
        <w:rPr>
          <w:kern w:val="22"/>
          <w:lang w:val="es-ES"/>
        </w:rPr>
        <w:t>mediante la creación de capacidad y el apoyo financiero</w:t>
      </w:r>
      <w:r w:rsidR="009977FB" w:rsidRPr="00F137F2">
        <w:rPr>
          <w:kern w:val="22"/>
          <w:lang w:val="es-ES"/>
        </w:rPr>
        <w:t>.</w:t>
      </w:r>
    </w:p>
    <w:p w:rsidR="008771A7" w:rsidRPr="002321B9" w:rsidRDefault="002321B9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2321B9">
        <w:rPr>
          <w:kern w:val="22"/>
          <w:lang w:val="es-ES"/>
        </w:rPr>
        <w:lastRenderedPageBreak/>
        <w:t>Dado el potencial existente para que la biotecnología moderna contribuya a la conservación y la utilización sostenible de la diversidad biológica</w:t>
      </w:r>
      <w:r w:rsidR="0086456B" w:rsidRPr="002321B9">
        <w:rPr>
          <w:kern w:val="22"/>
          <w:lang w:val="es-ES"/>
        </w:rPr>
        <w:t xml:space="preserve">, </w:t>
      </w:r>
      <w:r w:rsidRPr="002321B9">
        <w:rPr>
          <w:kern w:val="22"/>
          <w:lang w:val="es-ES"/>
        </w:rPr>
        <w:t xml:space="preserve">y teniendo en cuenta el carácter </w:t>
      </w:r>
      <w:r w:rsidR="00A34603">
        <w:rPr>
          <w:kern w:val="22"/>
          <w:lang w:val="es-ES"/>
        </w:rPr>
        <w:t>transversal</w:t>
      </w:r>
      <w:r w:rsidRPr="002321B9">
        <w:rPr>
          <w:kern w:val="22"/>
          <w:lang w:val="es-ES"/>
        </w:rPr>
        <w:t xml:space="preserve"> de las cuestiones relacionadas con la seguridad de la biotecnolog</w:t>
      </w:r>
      <w:r>
        <w:rPr>
          <w:kern w:val="22"/>
          <w:lang w:val="es-ES"/>
        </w:rPr>
        <w:t>ía</w:t>
      </w:r>
      <w:r w:rsidR="0095393E" w:rsidRPr="002321B9">
        <w:rPr>
          <w:kern w:val="22"/>
          <w:lang w:val="es-ES"/>
        </w:rPr>
        <w:t xml:space="preserve">, </w:t>
      </w:r>
      <w:r w:rsidR="00A34603">
        <w:rPr>
          <w:kern w:val="22"/>
          <w:lang w:val="es-ES"/>
        </w:rPr>
        <w:t>hay que redoblar esfuerzos</w:t>
      </w:r>
      <w:r>
        <w:rPr>
          <w:kern w:val="22"/>
          <w:lang w:val="es-ES"/>
        </w:rPr>
        <w:t xml:space="preserve"> para in</w:t>
      </w:r>
      <w:r w:rsidR="00D748BB">
        <w:rPr>
          <w:kern w:val="22"/>
          <w:lang w:val="es-ES"/>
        </w:rPr>
        <w:t>tegrar</w:t>
      </w:r>
      <w:r>
        <w:rPr>
          <w:kern w:val="22"/>
          <w:lang w:val="es-ES"/>
        </w:rPr>
        <w:t xml:space="preserve"> la seguridad de la biotecnología en los distintos programas de trabajo del Convenio y para apoyar a las Partes en</w:t>
      </w:r>
      <w:r w:rsidR="00D748BB">
        <w:rPr>
          <w:kern w:val="22"/>
          <w:lang w:val="es-ES"/>
        </w:rPr>
        <w:t xml:space="preserve"> sus esfuerzos por integrar</w:t>
      </w:r>
      <w:r>
        <w:rPr>
          <w:kern w:val="22"/>
          <w:lang w:val="es-ES"/>
        </w:rPr>
        <w:t xml:space="preserve"> la seguridad de la biotecnología en v</w:t>
      </w:r>
      <w:r w:rsidR="00A34603">
        <w:rPr>
          <w:kern w:val="22"/>
          <w:lang w:val="es-ES"/>
        </w:rPr>
        <w:t>arios sectores a nivel nacional</w:t>
      </w:r>
      <w:r w:rsidR="00C2117E" w:rsidRPr="002321B9">
        <w:rPr>
          <w:kern w:val="22"/>
          <w:lang w:val="es-ES"/>
        </w:rPr>
        <w:t>.</w:t>
      </w:r>
    </w:p>
    <w:p w:rsidR="00440A3A" w:rsidRPr="00A34603" w:rsidRDefault="00A34603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A34603">
        <w:rPr>
          <w:kern w:val="22"/>
          <w:lang w:val="es-ES"/>
        </w:rPr>
        <w:t>Se podría considerar una mayor in</w:t>
      </w:r>
      <w:r w:rsidR="00D748BB">
        <w:rPr>
          <w:kern w:val="22"/>
          <w:lang w:val="es-ES"/>
        </w:rPr>
        <w:t>tegración</w:t>
      </w:r>
      <w:r w:rsidRPr="00A34603">
        <w:rPr>
          <w:kern w:val="22"/>
          <w:lang w:val="es-ES"/>
        </w:rPr>
        <w:t xml:space="preserve"> de la seguridad de la biotecnología en los distintos programas de trabajo del Convenio al añadir consideraciones sobre seguridad de la biotecnolog</w:t>
      </w:r>
      <w:r>
        <w:rPr>
          <w:kern w:val="22"/>
          <w:lang w:val="es-ES"/>
        </w:rPr>
        <w:t xml:space="preserve">ía al marco mundial para la diversidad biológica posterior a </w:t>
      </w:r>
      <w:r w:rsidR="00B267ED" w:rsidRPr="00A34603">
        <w:rPr>
          <w:kern w:val="22"/>
          <w:lang w:val="es-ES"/>
        </w:rPr>
        <w:t>2020</w:t>
      </w:r>
      <w:r w:rsidR="001D66A9" w:rsidRPr="00A34603">
        <w:rPr>
          <w:kern w:val="22"/>
          <w:lang w:val="es-ES"/>
        </w:rPr>
        <w:t xml:space="preserve"> </w:t>
      </w:r>
      <w:r w:rsidR="00645FD5">
        <w:rPr>
          <w:kern w:val="22"/>
          <w:lang w:val="es-ES"/>
        </w:rPr>
        <w:t>y al formato de presentación de informes nacionales en virtud del Convenio</w:t>
      </w:r>
      <w:r w:rsidR="00B267ED" w:rsidRPr="00A34603">
        <w:rPr>
          <w:kern w:val="22"/>
          <w:lang w:val="es-ES"/>
        </w:rPr>
        <w:t>.</w:t>
      </w:r>
    </w:p>
    <w:p w:rsidR="00AE5298" w:rsidRPr="00385560" w:rsidRDefault="00440A3A" w:rsidP="00385560">
      <w:pPr>
        <w:pStyle w:val="Heading1"/>
        <w:suppressLineNumbers/>
        <w:tabs>
          <w:tab w:val="clear" w:pos="720"/>
          <w:tab w:val="left" w:pos="450"/>
        </w:tabs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rPr>
          <w:rFonts w:ascii="Times New Roman Bold" w:hAnsi="Times New Roman Bold" w:cs="Times New Roman Bold"/>
          <w:bCs/>
          <w:snapToGrid w:val="0"/>
          <w:kern w:val="22"/>
        </w:rPr>
      </w:pPr>
      <w:r w:rsidRPr="00385560">
        <w:rPr>
          <w:rFonts w:ascii="Times New Roman Bold" w:hAnsi="Times New Roman Bold" w:cs="Times New Roman Bold"/>
          <w:bCs/>
          <w:snapToGrid w:val="0"/>
          <w:kern w:val="22"/>
        </w:rPr>
        <w:t>I</w:t>
      </w:r>
      <w:r w:rsidR="008771A7" w:rsidRPr="00385560">
        <w:rPr>
          <w:rFonts w:ascii="Times New Roman Bold" w:hAnsi="Times New Roman Bold" w:cs="Times New Roman Bold"/>
          <w:bCs/>
          <w:snapToGrid w:val="0"/>
          <w:kern w:val="22"/>
        </w:rPr>
        <w:t>II.</w:t>
      </w:r>
      <w:r w:rsidR="00DC4747" w:rsidRPr="00385560">
        <w:rPr>
          <w:rFonts w:ascii="Times New Roman Bold" w:hAnsi="Times New Roman Bold" w:cs="Times New Roman Bold"/>
          <w:bCs/>
          <w:snapToGrid w:val="0"/>
          <w:kern w:val="22"/>
        </w:rPr>
        <w:tab/>
      </w:r>
      <w:r w:rsidR="00645FD5">
        <w:rPr>
          <w:rFonts w:ascii="Times New Roman Bold" w:hAnsi="Times New Roman Bold" w:cs="Times New Roman Bold"/>
          <w:bCs/>
          <w:snapToGrid w:val="0"/>
          <w:kern w:val="22"/>
        </w:rPr>
        <w:t>PROYECTO DE RECOMENDACIÓN</w:t>
      </w:r>
    </w:p>
    <w:p w:rsidR="00440A3A" w:rsidRPr="00645FD5" w:rsidRDefault="00645FD5" w:rsidP="00385560">
      <w:pPr>
        <w:pStyle w:val="Para1"/>
        <w:suppressLineNumbers/>
        <w:tabs>
          <w:tab w:val="clear" w:pos="360"/>
          <w:tab w:val="num" w:pos="72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kern w:val="22"/>
          <w:lang w:val="es-ES"/>
        </w:rPr>
      </w:pPr>
      <w:r w:rsidRPr="00645FD5">
        <w:rPr>
          <w:kern w:val="22"/>
          <w:lang w:val="es-ES"/>
        </w:rPr>
        <w:t>El Órgano Subsidiario sobre la Aplicación tal vez desee recomendar que la Conferencia de las Partes en su 14ª reunión adopte una decisión del siguiente tenor</w:t>
      </w:r>
      <w:r w:rsidR="00440A3A" w:rsidRPr="00645FD5">
        <w:rPr>
          <w:kern w:val="22"/>
          <w:lang w:val="es-ES"/>
        </w:rPr>
        <w:t>:</w:t>
      </w:r>
    </w:p>
    <w:p w:rsidR="00440A3A" w:rsidRPr="00645FD5" w:rsidRDefault="00645FD5" w:rsidP="0038556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rPr>
          <w:rFonts w:eastAsia="Calibri"/>
          <w:i/>
          <w:kern w:val="22"/>
          <w:lang w:val="es-ES"/>
        </w:rPr>
      </w:pPr>
      <w:r>
        <w:rPr>
          <w:rFonts w:eastAsia="Calibri"/>
          <w:i/>
          <w:kern w:val="22"/>
          <w:lang w:val="es-ES"/>
        </w:rPr>
        <w:t>La Conferencia de las Partes</w:t>
      </w:r>
      <w:r w:rsidR="00A42832" w:rsidRPr="00645FD5">
        <w:rPr>
          <w:rFonts w:eastAsia="Calibri"/>
          <w:i/>
          <w:kern w:val="22"/>
          <w:lang w:val="es-ES"/>
        </w:rPr>
        <w:t>,</w:t>
      </w:r>
    </w:p>
    <w:p w:rsidR="00440A3A" w:rsidRPr="00007688" w:rsidRDefault="00645FD5" w:rsidP="00385560">
      <w:pPr>
        <w:pStyle w:val="Para1"/>
        <w:numPr>
          <w:ilvl w:val="0"/>
          <w:numId w:val="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rFonts w:eastAsia="Calibri"/>
          <w:kern w:val="22"/>
          <w:lang w:val="es-ES"/>
        </w:rPr>
      </w:pPr>
      <w:r w:rsidRPr="00007688">
        <w:rPr>
          <w:rFonts w:eastAsia="Calibri"/>
          <w:i/>
          <w:kern w:val="22"/>
          <w:lang w:val="es-ES"/>
        </w:rPr>
        <w:t>Insta</w:t>
      </w:r>
      <w:r w:rsidRPr="00007688">
        <w:rPr>
          <w:rFonts w:eastAsia="Calibri"/>
          <w:kern w:val="22"/>
          <w:lang w:val="es-ES"/>
        </w:rPr>
        <w:t xml:space="preserve"> a las Partes en el Convenio sobre la Diversidad Biológica</w:t>
      </w:r>
      <w:r w:rsidR="00440A3A" w:rsidRPr="00007688">
        <w:rPr>
          <w:rFonts w:eastAsia="Calibri"/>
          <w:kern w:val="22"/>
          <w:lang w:val="es-ES"/>
        </w:rPr>
        <w:t xml:space="preserve"> </w:t>
      </w:r>
      <w:r w:rsidR="00007688" w:rsidRPr="00007688">
        <w:rPr>
          <w:rFonts w:eastAsia="Calibri"/>
          <w:kern w:val="22"/>
          <w:lang w:val="es-ES"/>
        </w:rPr>
        <w:t>que todavía no lo hayan hecho, a que depositen</w:t>
      </w:r>
      <w:r w:rsidR="00007688">
        <w:rPr>
          <w:rFonts w:eastAsia="Calibri"/>
          <w:kern w:val="22"/>
          <w:lang w:val="es-ES"/>
        </w:rPr>
        <w:t xml:space="preserve"> los instrumentos de ratificación, aceptación, aprobación o adhesión al Protocolo de Cartagena tan pronto como sea posible</w:t>
      </w:r>
      <w:r w:rsidR="00440A3A" w:rsidRPr="00007688">
        <w:rPr>
          <w:rFonts w:eastAsia="Calibri"/>
          <w:kern w:val="22"/>
          <w:lang w:val="es-ES"/>
        </w:rPr>
        <w:t xml:space="preserve">, </w:t>
      </w:r>
      <w:r w:rsidR="00007688">
        <w:rPr>
          <w:rFonts w:eastAsia="Calibri"/>
          <w:kern w:val="22"/>
          <w:lang w:val="es-ES"/>
        </w:rPr>
        <w:t xml:space="preserve">y a adoptar medidas para su aplicación, entre otras cosas, estableciendo estructuras institucionales y medidas </w:t>
      </w:r>
      <w:r w:rsidR="00440A3A" w:rsidRPr="00007688">
        <w:rPr>
          <w:rFonts w:eastAsia="Calibri"/>
          <w:kern w:val="22"/>
          <w:lang w:val="es-ES"/>
        </w:rPr>
        <w:t>legislativ</w:t>
      </w:r>
      <w:r w:rsidR="00007688">
        <w:rPr>
          <w:rFonts w:eastAsia="Calibri"/>
          <w:kern w:val="22"/>
          <w:lang w:val="es-ES"/>
        </w:rPr>
        <w:t>as</w:t>
      </w:r>
      <w:r w:rsidR="00440A3A" w:rsidRPr="00007688">
        <w:rPr>
          <w:rFonts w:eastAsia="Calibri"/>
          <w:kern w:val="22"/>
          <w:lang w:val="es-ES"/>
        </w:rPr>
        <w:t>, administrativ</w:t>
      </w:r>
      <w:r w:rsidR="00007688">
        <w:rPr>
          <w:rFonts w:eastAsia="Calibri"/>
          <w:kern w:val="22"/>
          <w:lang w:val="es-ES"/>
        </w:rPr>
        <w:t>as y normativas en materia de seguridad de la biotecnología</w:t>
      </w:r>
      <w:r w:rsidR="009620BE" w:rsidRPr="00007688">
        <w:rPr>
          <w:rFonts w:eastAsia="Calibri"/>
          <w:kern w:val="22"/>
          <w:lang w:val="es-ES"/>
        </w:rPr>
        <w:t>;</w:t>
      </w:r>
    </w:p>
    <w:p w:rsidR="00A42832" w:rsidRPr="00E067AC" w:rsidRDefault="00E067AC" w:rsidP="00385560">
      <w:pPr>
        <w:pStyle w:val="Para1"/>
        <w:numPr>
          <w:ilvl w:val="0"/>
          <w:numId w:val="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rFonts w:eastAsia="Calibri"/>
          <w:kern w:val="22"/>
          <w:lang w:val="es-ES"/>
        </w:rPr>
      </w:pPr>
      <w:r w:rsidRPr="00E067AC">
        <w:rPr>
          <w:rFonts w:eastAsia="Calibri"/>
          <w:i/>
          <w:kern w:val="22"/>
          <w:lang w:val="es-ES"/>
        </w:rPr>
        <w:t xml:space="preserve">Recuerda </w:t>
      </w:r>
      <w:r w:rsidRPr="00E067AC">
        <w:rPr>
          <w:rFonts w:eastAsia="Calibri"/>
          <w:kern w:val="22"/>
          <w:lang w:val="es-ES"/>
        </w:rPr>
        <w:t>a las P</w:t>
      </w:r>
      <w:r w:rsidR="00A42832" w:rsidRPr="00E067AC">
        <w:rPr>
          <w:rFonts w:eastAsia="Calibri"/>
          <w:kern w:val="22"/>
          <w:lang w:val="es-ES"/>
        </w:rPr>
        <w:t xml:space="preserve">artes </w:t>
      </w:r>
      <w:r w:rsidRPr="00E067AC">
        <w:rPr>
          <w:rFonts w:eastAsia="Calibri"/>
          <w:kern w:val="22"/>
          <w:lang w:val="es-ES"/>
        </w:rPr>
        <w:t xml:space="preserve">en el Convenio sobre la Diversidad Biológica que no son Partes en el Protocolo de </w:t>
      </w:r>
      <w:r w:rsidR="00A42832" w:rsidRPr="00E067AC">
        <w:rPr>
          <w:rFonts w:eastAsia="Calibri"/>
          <w:kern w:val="22"/>
          <w:lang w:val="es-ES"/>
        </w:rPr>
        <w:t xml:space="preserve">Cartagena </w:t>
      </w:r>
      <w:r w:rsidRPr="00E067AC">
        <w:rPr>
          <w:rFonts w:eastAsia="Calibri"/>
          <w:kern w:val="22"/>
          <w:lang w:val="es-ES"/>
        </w:rPr>
        <w:t>sus obligaciones relacionadas con la seguridad de la biotecnolog</w:t>
      </w:r>
      <w:r>
        <w:rPr>
          <w:rFonts w:eastAsia="Calibri"/>
          <w:kern w:val="22"/>
          <w:lang w:val="es-ES"/>
        </w:rPr>
        <w:t xml:space="preserve">ía contraídas en virtud del Convenio, e </w:t>
      </w:r>
      <w:r w:rsidR="009977FB" w:rsidRPr="00E067AC">
        <w:rPr>
          <w:rFonts w:eastAsia="Calibri"/>
          <w:i/>
          <w:kern w:val="22"/>
          <w:lang w:val="es-ES"/>
        </w:rPr>
        <w:t>invit</w:t>
      </w:r>
      <w:r>
        <w:rPr>
          <w:rFonts w:eastAsia="Calibri"/>
          <w:i/>
          <w:kern w:val="22"/>
          <w:lang w:val="es-ES"/>
        </w:rPr>
        <w:t>a</w:t>
      </w:r>
      <w:r w:rsidR="009977FB" w:rsidRPr="00E067AC">
        <w:rPr>
          <w:rFonts w:eastAsia="Calibri"/>
          <w:i/>
          <w:kern w:val="22"/>
          <w:lang w:val="es-ES"/>
        </w:rPr>
        <w:t xml:space="preserve"> </w:t>
      </w:r>
      <w:r>
        <w:rPr>
          <w:rFonts w:eastAsia="Calibri"/>
          <w:kern w:val="22"/>
          <w:lang w:val="es-ES"/>
        </w:rPr>
        <w:t xml:space="preserve">a las mismas a seguir </w:t>
      </w:r>
      <w:r w:rsidR="007D6354">
        <w:rPr>
          <w:rFonts w:eastAsia="Calibri"/>
          <w:kern w:val="22"/>
          <w:lang w:val="es-ES"/>
        </w:rPr>
        <w:t>difundiendo la</w:t>
      </w:r>
      <w:r>
        <w:rPr>
          <w:rFonts w:eastAsia="Calibri"/>
          <w:kern w:val="22"/>
          <w:lang w:val="es-ES"/>
        </w:rPr>
        <w:t xml:space="preserve"> información pertinente en el Centro de Intercambio de Información sobre Seguridad de la Biotecnología</w:t>
      </w:r>
      <w:r w:rsidR="001D66A9" w:rsidRPr="00E067AC">
        <w:rPr>
          <w:rFonts w:eastAsia="Calibri"/>
          <w:kern w:val="22"/>
          <w:lang w:val="es-ES"/>
        </w:rPr>
        <w:t xml:space="preserve"> </w:t>
      </w:r>
      <w:r w:rsidR="007D6354">
        <w:rPr>
          <w:rFonts w:eastAsia="Calibri"/>
          <w:kern w:val="22"/>
          <w:lang w:val="es-ES"/>
        </w:rPr>
        <w:t xml:space="preserve">y a presentar el cuarto informe nacional en virtud del Protocolo de </w:t>
      </w:r>
      <w:r w:rsidR="009620BE" w:rsidRPr="00E067AC">
        <w:rPr>
          <w:rFonts w:eastAsia="Calibri"/>
          <w:kern w:val="22"/>
          <w:lang w:val="es-ES"/>
        </w:rPr>
        <w:t>Cartagena;</w:t>
      </w:r>
    </w:p>
    <w:p w:rsidR="00D1789D" w:rsidRPr="007D6354" w:rsidRDefault="00D7780B" w:rsidP="00385560">
      <w:pPr>
        <w:numPr>
          <w:ilvl w:val="0"/>
          <w:numId w:val="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0" w:firstLine="720"/>
        <w:rPr>
          <w:snapToGrid w:val="0"/>
          <w:kern w:val="22"/>
          <w:lang w:val="es-ES"/>
        </w:rPr>
      </w:pPr>
      <w:r w:rsidRPr="007D6354">
        <w:rPr>
          <w:i/>
          <w:snapToGrid w:val="0"/>
          <w:kern w:val="22"/>
          <w:lang w:val="es-ES"/>
        </w:rPr>
        <w:t>Invit</w:t>
      </w:r>
      <w:r w:rsidR="007D6354" w:rsidRPr="007D6354">
        <w:rPr>
          <w:i/>
          <w:snapToGrid w:val="0"/>
          <w:kern w:val="22"/>
          <w:lang w:val="es-ES"/>
        </w:rPr>
        <w:t>a</w:t>
      </w:r>
      <w:r w:rsidRPr="007D6354">
        <w:rPr>
          <w:snapToGrid w:val="0"/>
          <w:kern w:val="22"/>
          <w:lang w:val="es-ES"/>
        </w:rPr>
        <w:t xml:space="preserve"> </w:t>
      </w:r>
      <w:r w:rsidR="007D6354" w:rsidRPr="007D6354">
        <w:rPr>
          <w:snapToGrid w:val="0"/>
          <w:kern w:val="22"/>
          <w:lang w:val="es-ES"/>
        </w:rPr>
        <w:t xml:space="preserve">a </w:t>
      </w:r>
      <w:r w:rsidR="007D6354">
        <w:rPr>
          <w:snapToGrid w:val="0"/>
          <w:kern w:val="22"/>
          <w:lang w:val="es-ES"/>
        </w:rPr>
        <w:t xml:space="preserve">los </w:t>
      </w:r>
      <w:r w:rsidR="007D6354" w:rsidRPr="007D6354">
        <w:rPr>
          <w:snapToGrid w:val="0"/>
          <w:kern w:val="22"/>
          <w:lang w:val="es-ES"/>
        </w:rPr>
        <w:t xml:space="preserve">Gobiernos y organizaciones pertinentes a </w:t>
      </w:r>
      <w:r w:rsidR="004D3DF4">
        <w:rPr>
          <w:snapToGrid w:val="0"/>
          <w:kern w:val="22"/>
          <w:lang w:val="es-ES"/>
        </w:rPr>
        <w:t xml:space="preserve">ofrecer </w:t>
      </w:r>
      <w:r w:rsidR="007D6354" w:rsidRPr="007D6354">
        <w:rPr>
          <w:snapToGrid w:val="0"/>
          <w:kern w:val="22"/>
          <w:lang w:val="es-ES"/>
        </w:rPr>
        <w:t>apoyo técnico y financier</w:t>
      </w:r>
      <w:r w:rsidR="007D6354">
        <w:rPr>
          <w:snapToGrid w:val="0"/>
          <w:kern w:val="22"/>
          <w:lang w:val="es-ES"/>
        </w:rPr>
        <w:t>o</w:t>
      </w:r>
      <w:r w:rsidR="007D6354" w:rsidRPr="007D6354">
        <w:rPr>
          <w:snapToGrid w:val="0"/>
          <w:kern w:val="22"/>
          <w:lang w:val="es-ES"/>
        </w:rPr>
        <w:t xml:space="preserve"> para abordar las necesidades de creación de capacidad y </w:t>
      </w:r>
      <w:r w:rsidR="007D6354">
        <w:rPr>
          <w:snapToGrid w:val="0"/>
          <w:kern w:val="22"/>
          <w:lang w:val="es-ES"/>
        </w:rPr>
        <w:t xml:space="preserve">las </w:t>
      </w:r>
      <w:r w:rsidR="007D6354" w:rsidRPr="007D6354">
        <w:rPr>
          <w:snapToGrid w:val="0"/>
          <w:kern w:val="22"/>
          <w:lang w:val="es-ES"/>
        </w:rPr>
        <w:t>actividades de desarrollo, as</w:t>
      </w:r>
      <w:r w:rsidR="007D6354">
        <w:rPr>
          <w:snapToGrid w:val="0"/>
          <w:kern w:val="22"/>
          <w:lang w:val="es-ES"/>
        </w:rPr>
        <w:t>í como recursos financieros para</w:t>
      </w:r>
      <w:r w:rsidR="004D3DF4">
        <w:rPr>
          <w:snapToGrid w:val="0"/>
          <w:kern w:val="22"/>
          <w:lang w:val="es-ES"/>
        </w:rPr>
        <w:t xml:space="preserve"> respaldar</w:t>
      </w:r>
      <w:r w:rsidR="007D6354">
        <w:rPr>
          <w:snapToGrid w:val="0"/>
          <w:kern w:val="22"/>
          <w:lang w:val="es-ES"/>
        </w:rPr>
        <w:t xml:space="preserve"> la ratificación y aplicación del Protocolo de </w:t>
      </w:r>
      <w:r w:rsidRPr="007D6354">
        <w:rPr>
          <w:snapToGrid w:val="0"/>
          <w:kern w:val="22"/>
          <w:lang w:val="es-ES"/>
        </w:rPr>
        <w:t>Cartagena</w:t>
      </w:r>
      <w:r w:rsidR="009620BE" w:rsidRPr="007D6354">
        <w:rPr>
          <w:snapToGrid w:val="0"/>
          <w:kern w:val="22"/>
          <w:lang w:val="es-ES"/>
        </w:rPr>
        <w:t>;</w:t>
      </w:r>
    </w:p>
    <w:p w:rsidR="0004001B" w:rsidRPr="0099093A" w:rsidRDefault="00D7780B" w:rsidP="00385560">
      <w:pPr>
        <w:pStyle w:val="Para1"/>
        <w:numPr>
          <w:ilvl w:val="0"/>
          <w:numId w:val="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rFonts w:eastAsia="Calibri"/>
          <w:kern w:val="22"/>
          <w:lang w:val="es-ES"/>
        </w:rPr>
      </w:pPr>
      <w:r w:rsidRPr="0099093A">
        <w:rPr>
          <w:rFonts w:eastAsia="Calibri"/>
          <w:i/>
          <w:kern w:val="22"/>
          <w:lang w:val="es-ES"/>
        </w:rPr>
        <w:t>A</w:t>
      </w:r>
      <w:r w:rsidR="0099093A" w:rsidRPr="0099093A">
        <w:rPr>
          <w:rFonts w:eastAsia="Calibri"/>
          <w:i/>
          <w:kern w:val="22"/>
          <w:lang w:val="es-ES"/>
        </w:rPr>
        <w:t>cepta</w:t>
      </w:r>
      <w:r w:rsidR="0099093A" w:rsidRPr="0099093A">
        <w:rPr>
          <w:rFonts w:eastAsia="Calibri"/>
          <w:kern w:val="22"/>
          <w:lang w:val="es-ES"/>
        </w:rPr>
        <w:t xml:space="preserve"> considerar la incorporación de las consideraciones en materia de seguridad de la biotecnología </w:t>
      </w:r>
      <w:r w:rsidR="0099093A">
        <w:rPr>
          <w:rFonts w:eastAsia="Calibri"/>
          <w:kern w:val="22"/>
          <w:lang w:val="es-ES"/>
        </w:rPr>
        <w:t>a</w:t>
      </w:r>
      <w:r w:rsidR="0099093A" w:rsidRPr="0099093A">
        <w:rPr>
          <w:rFonts w:eastAsia="Calibri"/>
          <w:kern w:val="22"/>
          <w:lang w:val="es-ES"/>
        </w:rPr>
        <w:t>l marco mundial para la diversidad biol</w:t>
      </w:r>
      <w:r w:rsidR="0099093A">
        <w:rPr>
          <w:rFonts w:eastAsia="Calibri"/>
          <w:kern w:val="22"/>
          <w:lang w:val="es-ES"/>
        </w:rPr>
        <w:t xml:space="preserve">ógica posterior a </w:t>
      </w:r>
      <w:r w:rsidR="001D66A9" w:rsidRPr="0099093A">
        <w:rPr>
          <w:rFonts w:eastAsia="Calibri"/>
          <w:kern w:val="22"/>
          <w:lang w:val="es-ES"/>
        </w:rPr>
        <w:t xml:space="preserve">2020 </w:t>
      </w:r>
      <w:r w:rsidR="0099093A">
        <w:rPr>
          <w:rFonts w:eastAsia="Calibri"/>
          <w:kern w:val="22"/>
          <w:lang w:val="es-ES"/>
        </w:rPr>
        <w:t>y al formato de presentación de informes nacionales en virtud del Convenio</w:t>
      </w:r>
      <w:r w:rsidR="008771A7" w:rsidRPr="0099093A">
        <w:rPr>
          <w:rFonts w:eastAsia="Calibri"/>
          <w:kern w:val="22"/>
          <w:lang w:val="es-ES"/>
        </w:rPr>
        <w:t xml:space="preserve">, </w:t>
      </w:r>
      <w:r w:rsidR="0099093A">
        <w:rPr>
          <w:rFonts w:eastAsia="Calibri"/>
          <w:kern w:val="22"/>
          <w:lang w:val="es-ES"/>
        </w:rPr>
        <w:t>y a otros ámbitos de trabajo en el marco del Convenio</w:t>
      </w:r>
      <w:r w:rsidR="009620BE" w:rsidRPr="0099093A">
        <w:rPr>
          <w:rFonts w:eastAsia="Calibri"/>
          <w:kern w:val="22"/>
          <w:lang w:val="es-ES"/>
        </w:rPr>
        <w:t>;</w:t>
      </w:r>
    </w:p>
    <w:p w:rsidR="00C91927" w:rsidRPr="0099093A" w:rsidRDefault="0099093A" w:rsidP="00385560">
      <w:pPr>
        <w:pStyle w:val="Para1"/>
        <w:numPr>
          <w:ilvl w:val="0"/>
          <w:numId w:val="7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0" w:firstLine="720"/>
        <w:rPr>
          <w:rFonts w:eastAsia="Calibri"/>
          <w:kern w:val="22"/>
          <w:lang w:val="es-ES"/>
        </w:rPr>
      </w:pPr>
      <w:r w:rsidRPr="0099093A">
        <w:rPr>
          <w:rFonts w:eastAsia="Calibri"/>
          <w:i/>
          <w:kern w:val="22"/>
          <w:lang w:val="es-ES"/>
        </w:rPr>
        <w:t>Pide</w:t>
      </w:r>
      <w:r w:rsidRPr="0099093A">
        <w:rPr>
          <w:rFonts w:eastAsia="Calibri"/>
          <w:kern w:val="22"/>
          <w:lang w:val="es-ES"/>
        </w:rPr>
        <w:t xml:space="preserve"> a la Secretaria Ejecutiva que prosiga sus esfuerzos por in</w:t>
      </w:r>
      <w:r w:rsidR="00D748BB">
        <w:rPr>
          <w:rFonts w:eastAsia="Calibri"/>
          <w:kern w:val="22"/>
          <w:lang w:val="es-ES"/>
        </w:rPr>
        <w:t>tegrar</w:t>
      </w:r>
      <w:r w:rsidRPr="0099093A">
        <w:rPr>
          <w:rFonts w:eastAsia="Calibri"/>
          <w:kern w:val="22"/>
          <w:lang w:val="es-ES"/>
        </w:rPr>
        <w:t xml:space="preserve"> la seguridad de la biotecnología en todos los programas de trabajo de la Secretar</w:t>
      </w:r>
      <w:r>
        <w:rPr>
          <w:rFonts w:eastAsia="Calibri"/>
          <w:kern w:val="22"/>
          <w:lang w:val="es-ES"/>
        </w:rPr>
        <w:t>ía y que siga apoyando a las Partes en sus esfuerzos por in</w:t>
      </w:r>
      <w:r w:rsidR="00D748BB">
        <w:rPr>
          <w:rFonts w:eastAsia="Calibri"/>
          <w:kern w:val="22"/>
          <w:lang w:val="es-ES"/>
        </w:rPr>
        <w:t>tegrar</w:t>
      </w:r>
      <w:r>
        <w:rPr>
          <w:rFonts w:eastAsia="Calibri"/>
          <w:kern w:val="22"/>
          <w:lang w:val="es-ES"/>
        </w:rPr>
        <w:t xml:space="preserve"> la seguridad de la biotecnología en los distintos sectores a nivel nacional</w:t>
      </w:r>
      <w:r w:rsidR="0004001B" w:rsidRPr="0099093A">
        <w:rPr>
          <w:rFonts w:eastAsia="Calibri"/>
          <w:kern w:val="22"/>
          <w:lang w:val="es-ES"/>
        </w:rPr>
        <w:t>.</w:t>
      </w:r>
    </w:p>
    <w:p w:rsidR="00440A3A" w:rsidRPr="00385560" w:rsidRDefault="00C91927" w:rsidP="00385560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kern w:val="22"/>
        </w:rPr>
      </w:pPr>
      <w:r w:rsidRPr="00385560">
        <w:rPr>
          <w:kern w:val="22"/>
        </w:rPr>
        <w:t>__________</w:t>
      </w:r>
    </w:p>
    <w:sectPr w:rsidR="00440A3A" w:rsidRPr="00385560" w:rsidSect="00CA1572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7ED" w:rsidRDefault="00F407ED">
      <w:r>
        <w:separator/>
      </w:r>
    </w:p>
  </w:endnote>
  <w:endnote w:type="continuationSeparator" w:id="0">
    <w:p w:rsidR="00F407ED" w:rsidRDefault="00F4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ED" w:rsidRDefault="00F407ED" w:rsidP="00385560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ED" w:rsidRDefault="00F407ED" w:rsidP="00385560">
    <w:pPr>
      <w:pStyle w:val="Foot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7ED" w:rsidRDefault="00F407ED">
      <w:r>
        <w:separator/>
      </w:r>
    </w:p>
  </w:footnote>
  <w:footnote w:type="continuationSeparator" w:id="0">
    <w:p w:rsidR="00F407ED" w:rsidRDefault="00F407ED">
      <w:r>
        <w:continuationSeparator/>
      </w:r>
    </w:p>
  </w:footnote>
  <w:footnote w:id="1">
    <w:p w:rsidR="00F407ED" w:rsidRPr="00B25848" w:rsidRDefault="00F407ED" w:rsidP="00385560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kern w:val="18"/>
          <w:lang w:val="es-ES"/>
        </w:rPr>
      </w:pPr>
      <w:r w:rsidRPr="00B25848">
        <w:rPr>
          <w:rStyle w:val="FootnoteReference"/>
          <w:kern w:val="18"/>
          <w:u w:val="none"/>
          <w:lang w:val="es-ES"/>
        </w:rPr>
        <w:t>*</w:t>
      </w:r>
      <w:r w:rsidRPr="00B25848">
        <w:rPr>
          <w:kern w:val="18"/>
          <w:lang w:val="es-ES"/>
        </w:rPr>
        <w:t xml:space="preserve"> </w:t>
      </w:r>
      <w:hyperlink r:id="rId1" w:history="1">
        <w:r w:rsidRPr="00B25848">
          <w:rPr>
            <w:rStyle w:val="Hyperlink"/>
            <w:kern w:val="18"/>
            <w:lang w:val="es-ES"/>
          </w:rPr>
          <w:t>CBD/SBI/2/1</w:t>
        </w:r>
      </w:hyperlink>
      <w:r w:rsidRPr="00B25848">
        <w:rPr>
          <w:kern w:val="18"/>
          <w:lang w:val="es-ES"/>
        </w:rPr>
        <w:t>.</w:t>
      </w:r>
    </w:p>
  </w:footnote>
  <w:footnote w:id="2">
    <w:p w:rsidR="00F407ED" w:rsidRPr="00453ED2" w:rsidRDefault="00F407ED" w:rsidP="00144694">
      <w:pPr>
        <w:pStyle w:val="FootnoteText"/>
        <w:ind w:firstLine="0"/>
        <w:rPr>
          <w:lang w:val="es-ES"/>
        </w:rPr>
      </w:pPr>
      <w:r w:rsidRPr="00385560">
        <w:rPr>
          <w:rStyle w:val="FootnoteReference"/>
          <w:u w:val="none"/>
          <w:vertAlign w:val="superscript"/>
        </w:rPr>
        <w:footnoteRef/>
      </w:r>
      <w:r w:rsidRPr="00453ED2">
        <w:rPr>
          <w:lang w:val="es-ES"/>
        </w:rPr>
        <w:t xml:space="preserve"> Naciones Unidas, </w:t>
      </w:r>
      <w:r w:rsidRPr="00453ED2">
        <w:rPr>
          <w:i/>
          <w:iCs/>
          <w:lang w:val="es-ES"/>
        </w:rPr>
        <w:t>Treaty Series</w:t>
      </w:r>
      <w:r w:rsidRPr="00453ED2">
        <w:rPr>
          <w:lang w:val="es-ES"/>
        </w:rPr>
        <w:t xml:space="preserve">, </w:t>
      </w:r>
      <w:r w:rsidR="00142FFB">
        <w:fldChar w:fldCharType="begin"/>
      </w:r>
      <w:r w:rsidR="00142FFB" w:rsidRPr="00142FFB">
        <w:rPr>
          <w:lang w:val="es-AR"/>
        </w:rPr>
        <w:instrText xml:space="preserve"> HYPERLINK "https://treaties.un.org/doc/Publication/UNTS/Volume%202226/v2226.pdf" </w:instrText>
      </w:r>
      <w:r w:rsidR="00142FFB">
        <w:fldChar w:fldCharType="separate"/>
      </w:r>
      <w:r w:rsidRPr="00453ED2">
        <w:rPr>
          <w:rStyle w:val="Hyperlink"/>
          <w:lang w:val="es-ES"/>
        </w:rPr>
        <w:t>vol. 2226</w:t>
      </w:r>
      <w:r w:rsidR="00142FFB">
        <w:rPr>
          <w:rStyle w:val="Hyperlink"/>
          <w:lang w:val="es-ES"/>
        </w:rPr>
        <w:fldChar w:fldCharType="end"/>
      </w:r>
      <w:r w:rsidRPr="00453ED2">
        <w:rPr>
          <w:lang w:val="es-ES"/>
        </w:rPr>
        <w:t>, N</w:t>
      </w:r>
      <w:r>
        <w:rPr>
          <w:lang w:val="es-ES"/>
        </w:rPr>
        <w:t>.º</w:t>
      </w:r>
      <w:r w:rsidRPr="00453ED2">
        <w:rPr>
          <w:lang w:val="es-ES"/>
        </w:rPr>
        <w:t> 30619.</w:t>
      </w:r>
    </w:p>
  </w:footnote>
  <w:footnote w:id="3">
    <w:p w:rsidR="00F407ED" w:rsidRPr="00453ED2" w:rsidRDefault="00F407ED" w:rsidP="00385560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kern w:val="18"/>
          <w:lang w:val="es-ES"/>
        </w:rPr>
      </w:pPr>
      <w:r w:rsidRPr="00385560">
        <w:rPr>
          <w:rStyle w:val="FootnoteReference"/>
          <w:kern w:val="18"/>
          <w:u w:val="none"/>
          <w:vertAlign w:val="superscript"/>
        </w:rPr>
        <w:footnoteRef/>
      </w:r>
      <w:r w:rsidRPr="00453ED2">
        <w:rPr>
          <w:kern w:val="18"/>
          <w:lang w:val="es-ES"/>
        </w:rPr>
        <w:t xml:space="preserve"> Andorra, Argentina, Australia, Brunei Darussalam, Canadá, Chile, </w:t>
      </w:r>
      <w:r>
        <w:rPr>
          <w:kern w:val="18"/>
          <w:lang w:val="es-ES"/>
        </w:rPr>
        <w:t xml:space="preserve">Federación de Rusia, </w:t>
      </w:r>
      <w:r w:rsidRPr="00453ED2">
        <w:rPr>
          <w:kern w:val="18"/>
          <w:lang w:val="es-ES"/>
        </w:rPr>
        <w:t>Guinea E</w:t>
      </w:r>
      <w:r>
        <w:rPr>
          <w:kern w:val="18"/>
          <w:lang w:val="es-ES"/>
        </w:rPr>
        <w:t>c</w:t>
      </w:r>
      <w:r w:rsidRPr="00453ED2">
        <w:rPr>
          <w:kern w:val="18"/>
          <w:lang w:val="es-ES"/>
        </w:rPr>
        <w:t>uatorial, Hait</w:t>
      </w:r>
      <w:r>
        <w:rPr>
          <w:kern w:val="18"/>
          <w:lang w:val="es-ES"/>
        </w:rPr>
        <w:t>í</w:t>
      </w:r>
      <w:r w:rsidRPr="00453ED2">
        <w:rPr>
          <w:kern w:val="18"/>
          <w:lang w:val="es-ES"/>
        </w:rPr>
        <w:t>, Islandia, Islas Cook, Israel, Liechtenstein, Micronesia (</w:t>
      </w:r>
      <w:r>
        <w:rPr>
          <w:kern w:val="18"/>
          <w:lang w:val="es-ES"/>
        </w:rPr>
        <w:t>Estados Federados de), Mó</w:t>
      </w:r>
      <w:r w:rsidRPr="00453ED2">
        <w:rPr>
          <w:kern w:val="18"/>
          <w:lang w:val="es-ES"/>
        </w:rPr>
        <w:t>naco, Nepal, San Marino, Sa</w:t>
      </w:r>
      <w:r>
        <w:rPr>
          <w:kern w:val="18"/>
          <w:lang w:val="es-ES"/>
        </w:rPr>
        <w:t xml:space="preserve">nto </w:t>
      </w:r>
      <w:r w:rsidRPr="00453ED2">
        <w:rPr>
          <w:kern w:val="18"/>
          <w:lang w:val="es-ES"/>
        </w:rPr>
        <w:t>Tom</w:t>
      </w:r>
      <w:r>
        <w:rPr>
          <w:kern w:val="18"/>
          <w:lang w:val="es-ES"/>
        </w:rPr>
        <w:t>é</w:t>
      </w:r>
      <w:r w:rsidRPr="00453ED2">
        <w:rPr>
          <w:kern w:val="18"/>
          <w:lang w:val="es-ES"/>
        </w:rPr>
        <w:t xml:space="preserve"> </w:t>
      </w:r>
      <w:r>
        <w:rPr>
          <w:kern w:val="18"/>
          <w:lang w:val="es-ES"/>
        </w:rPr>
        <w:t>y</w:t>
      </w:r>
      <w:r w:rsidRPr="00453ED2">
        <w:rPr>
          <w:kern w:val="18"/>
          <w:lang w:val="es-ES"/>
        </w:rPr>
        <w:t xml:space="preserve"> Pr</w:t>
      </w:r>
      <w:r>
        <w:rPr>
          <w:kern w:val="18"/>
          <w:lang w:val="es-ES"/>
        </w:rPr>
        <w:t>í</w:t>
      </w:r>
      <w:r w:rsidRPr="00453ED2">
        <w:rPr>
          <w:kern w:val="18"/>
          <w:lang w:val="es-ES"/>
        </w:rPr>
        <w:t>ncipe, Sierra Leon</w:t>
      </w:r>
      <w:r>
        <w:rPr>
          <w:kern w:val="18"/>
          <w:lang w:val="es-ES"/>
        </w:rPr>
        <w:t>a</w:t>
      </w:r>
      <w:r w:rsidRPr="00453ED2">
        <w:rPr>
          <w:kern w:val="18"/>
          <w:lang w:val="es-ES"/>
        </w:rPr>
        <w:t>, Singap</w:t>
      </w:r>
      <w:r>
        <w:rPr>
          <w:kern w:val="18"/>
          <w:lang w:val="es-ES"/>
        </w:rPr>
        <w:t>ur</w:t>
      </w:r>
      <w:r w:rsidRPr="00453ED2">
        <w:rPr>
          <w:kern w:val="18"/>
          <w:lang w:val="es-ES"/>
        </w:rPr>
        <w:t>, S</w:t>
      </w:r>
      <w:r>
        <w:rPr>
          <w:kern w:val="18"/>
          <w:lang w:val="es-ES"/>
        </w:rPr>
        <w:t>udán del Sur, Timor Oriental</w:t>
      </w:r>
      <w:r w:rsidRPr="00453ED2">
        <w:rPr>
          <w:kern w:val="18"/>
          <w:lang w:val="es-ES"/>
        </w:rPr>
        <w:t>, Tuvalu, Uzbekist</w:t>
      </w:r>
      <w:r>
        <w:rPr>
          <w:kern w:val="18"/>
          <w:lang w:val="es-ES"/>
        </w:rPr>
        <w:t>á</w:t>
      </w:r>
      <w:r w:rsidRPr="00453ED2">
        <w:rPr>
          <w:kern w:val="18"/>
          <w:lang w:val="es-ES"/>
        </w:rPr>
        <w:t xml:space="preserve">n </w:t>
      </w:r>
      <w:r>
        <w:rPr>
          <w:kern w:val="18"/>
          <w:lang w:val="es-ES"/>
        </w:rPr>
        <w:t>y</w:t>
      </w:r>
      <w:r w:rsidRPr="00453ED2">
        <w:rPr>
          <w:kern w:val="18"/>
          <w:lang w:val="es-ES"/>
        </w:rPr>
        <w:t xml:space="preserve"> Vanuatu.</w:t>
      </w:r>
    </w:p>
  </w:footnote>
  <w:footnote w:id="4">
    <w:p w:rsidR="00F407ED" w:rsidRPr="00B25848" w:rsidRDefault="00F407ED" w:rsidP="00385560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rPr>
          <w:kern w:val="18"/>
          <w:lang w:val="es-ES"/>
        </w:rPr>
      </w:pPr>
      <w:r w:rsidRPr="00385560">
        <w:rPr>
          <w:rStyle w:val="FootnoteReference"/>
          <w:kern w:val="18"/>
          <w:u w:val="none"/>
          <w:vertAlign w:val="superscript"/>
        </w:rPr>
        <w:footnoteRef/>
      </w:r>
      <w:r w:rsidRPr="00B25848">
        <w:rPr>
          <w:kern w:val="18"/>
          <w:lang w:val="es-ES"/>
        </w:rPr>
        <w:t xml:space="preserve"> </w:t>
      </w:r>
      <w:r w:rsidR="00142FFB">
        <w:fldChar w:fldCharType="begin"/>
      </w:r>
      <w:r w:rsidR="00142FFB" w:rsidRPr="00142FFB">
        <w:rPr>
          <w:lang w:val="es-ES"/>
        </w:rPr>
        <w:instrText xml:space="preserve"> HYPERLINK "https://www.cbd.int/business/bc.shtml" </w:instrText>
      </w:r>
      <w:r w:rsidR="00142FFB">
        <w:fldChar w:fldCharType="separate"/>
      </w:r>
      <w:r w:rsidRPr="00B25848">
        <w:rPr>
          <w:rStyle w:val="Hyperlink"/>
          <w:kern w:val="18"/>
          <w:lang w:val="es-ES"/>
        </w:rPr>
        <w:t>https://www.cbd.int/business/bc.shtml</w:t>
      </w:r>
      <w:r w:rsidR="00142FFB">
        <w:rPr>
          <w:rStyle w:val="Hyperlink"/>
          <w:kern w:val="18"/>
          <w:lang w:val="es-ES"/>
        </w:rPr>
        <w:fldChar w:fldCharType="end"/>
      </w:r>
      <w:r w:rsidRPr="00B25848">
        <w:rPr>
          <w:kern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ED" w:rsidRPr="003E25E3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  <w:r w:rsidRPr="00385560">
      <w:rPr>
        <w:noProof/>
        <w:kern w:val="22"/>
      </w:rPr>
      <w:t>CBD/SBI/2/15</w:t>
    </w:r>
  </w:p>
  <w:p w:rsidR="00F407ED" w:rsidRPr="003E25E3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  <w:r w:rsidRPr="003E25E3">
      <w:rPr>
        <w:noProof/>
        <w:kern w:val="22"/>
      </w:rPr>
      <w:t>P</w:t>
    </w:r>
    <w:r w:rsidR="001958E7">
      <w:rPr>
        <w:noProof/>
        <w:kern w:val="22"/>
      </w:rPr>
      <w:t>ágina</w:t>
    </w:r>
    <w:r w:rsidRPr="003E25E3">
      <w:rPr>
        <w:noProof/>
        <w:kern w:val="22"/>
      </w:rPr>
      <w:t xml:space="preserve"> </w:t>
    </w:r>
    <w:r w:rsidR="00FF2775" w:rsidRPr="003E25E3">
      <w:rPr>
        <w:noProof/>
        <w:kern w:val="22"/>
      </w:rPr>
      <w:fldChar w:fldCharType="begin"/>
    </w:r>
    <w:r w:rsidRPr="00385560">
      <w:rPr>
        <w:noProof/>
        <w:kern w:val="22"/>
      </w:rPr>
      <w:instrText xml:space="preserve"> PAGE   \* MERGEFORMAT </w:instrText>
    </w:r>
    <w:r w:rsidR="00FF2775" w:rsidRPr="003E25E3">
      <w:rPr>
        <w:noProof/>
        <w:kern w:val="22"/>
      </w:rPr>
      <w:fldChar w:fldCharType="separate"/>
    </w:r>
    <w:r w:rsidR="00142FFB">
      <w:rPr>
        <w:noProof/>
        <w:kern w:val="22"/>
      </w:rPr>
      <w:t>4</w:t>
    </w:r>
    <w:r w:rsidR="00FF2775" w:rsidRPr="003E25E3">
      <w:rPr>
        <w:noProof/>
        <w:kern w:val="22"/>
      </w:rPr>
      <w:fldChar w:fldCharType="end"/>
    </w:r>
  </w:p>
  <w:p w:rsidR="00F407ED" w:rsidRPr="0070113D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jc w:val="left"/>
      <w:rPr>
        <w:noProof/>
        <w:kern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7ED" w:rsidRPr="00CE57A7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 w:rsidRPr="00385560">
      <w:rPr>
        <w:noProof/>
        <w:kern w:val="22"/>
      </w:rPr>
      <w:t>CBD/SBI/2/15</w:t>
    </w:r>
  </w:p>
  <w:p w:rsidR="00F407ED" w:rsidRPr="00CE57A7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  <w:r w:rsidRPr="00CE57A7">
      <w:rPr>
        <w:noProof/>
        <w:kern w:val="22"/>
      </w:rPr>
      <w:t>P</w:t>
    </w:r>
    <w:r w:rsidR="001958E7">
      <w:rPr>
        <w:noProof/>
        <w:kern w:val="22"/>
      </w:rPr>
      <w:t>ágina</w:t>
    </w:r>
    <w:r w:rsidRPr="00CE57A7">
      <w:rPr>
        <w:noProof/>
        <w:kern w:val="22"/>
      </w:rPr>
      <w:t xml:space="preserve"> </w:t>
    </w:r>
    <w:r w:rsidR="00FF2775" w:rsidRPr="00CE57A7">
      <w:rPr>
        <w:noProof/>
        <w:kern w:val="22"/>
      </w:rPr>
      <w:fldChar w:fldCharType="begin"/>
    </w:r>
    <w:r w:rsidRPr="00385560">
      <w:rPr>
        <w:noProof/>
        <w:kern w:val="22"/>
      </w:rPr>
      <w:instrText xml:space="preserve"> PAGE   \* MERGEFORMAT </w:instrText>
    </w:r>
    <w:r w:rsidR="00FF2775" w:rsidRPr="00CE57A7">
      <w:rPr>
        <w:noProof/>
        <w:kern w:val="22"/>
      </w:rPr>
      <w:fldChar w:fldCharType="separate"/>
    </w:r>
    <w:r w:rsidR="00142FFB">
      <w:rPr>
        <w:noProof/>
        <w:kern w:val="22"/>
      </w:rPr>
      <w:t>3</w:t>
    </w:r>
    <w:r w:rsidR="00FF2775" w:rsidRPr="00CE57A7">
      <w:rPr>
        <w:noProof/>
        <w:kern w:val="22"/>
      </w:rPr>
      <w:fldChar w:fldCharType="end"/>
    </w:r>
  </w:p>
  <w:p w:rsidR="00F407ED" w:rsidRPr="00CE57A7" w:rsidRDefault="00F407ED" w:rsidP="00385560">
    <w:pPr>
      <w:pStyle w:val="Header"/>
      <w:tabs>
        <w:tab w:val="clear" w:pos="4320"/>
        <w:tab w:val="clear" w:pos="8640"/>
      </w:tabs>
      <w:kinsoku w:val="0"/>
      <w:overflowPunct w:val="0"/>
      <w:autoSpaceDE w:val="0"/>
      <w:autoSpaceDN w:val="0"/>
      <w:adjustRightInd w:val="0"/>
      <w:snapToGrid w:val="0"/>
      <w:jc w:val="right"/>
      <w:rPr>
        <w:noProof/>
        <w:kern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A60"/>
    <w:multiLevelType w:val="hybridMultilevel"/>
    <w:tmpl w:val="079E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E0442B4"/>
    <w:multiLevelType w:val="multilevel"/>
    <w:tmpl w:val="099C13A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lang w:val="es-ES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50423B12"/>
    <w:multiLevelType w:val="hybridMultilevel"/>
    <w:tmpl w:val="A836A3CC"/>
    <w:lvl w:ilvl="0" w:tplc="F8F0A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B3B"/>
    <w:rsid w:val="0000278D"/>
    <w:rsid w:val="00003070"/>
    <w:rsid w:val="00003495"/>
    <w:rsid w:val="0000533E"/>
    <w:rsid w:val="00006FA3"/>
    <w:rsid w:val="00007688"/>
    <w:rsid w:val="00010192"/>
    <w:rsid w:val="00011421"/>
    <w:rsid w:val="00012364"/>
    <w:rsid w:val="00020B29"/>
    <w:rsid w:val="000219AC"/>
    <w:rsid w:val="0002202C"/>
    <w:rsid w:val="000241F5"/>
    <w:rsid w:val="00025645"/>
    <w:rsid w:val="000258A6"/>
    <w:rsid w:val="000268FA"/>
    <w:rsid w:val="00031D24"/>
    <w:rsid w:val="00032643"/>
    <w:rsid w:val="00034271"/>
    <w:rsid w:val="000376B1"/>
    <w:rsid w:val="00037873"/>
    <w:rsid w:val="0004001B"/>
    <w:rsid w:val="00042999"/>
    <w:rsid w:val="00052450"/>
    <w:rsid w:val="00054381"/>
    <w:rsid w:val="000550B5"/>
    <w:rsid w:val="000576B1"/>
    <w:rsid w:val="00061A5B"/>
    <w:rsid w:val="000701E5"/>
    <w:rsid w:val="000711E1"/>
    <w:rsid w:val="00073708"/>
    <w:rsid w:val="00074F9E"/>
    <w:rsid w:val="000808F1"/>
    <w:rsid w:val="00082D29"/>
    <w:rsid w:val="0009324F"/>
    <w:rsid w:val="000A0135"/>
    <w:rsid w:val="000A5DCB"/>
    <w:rsid w:val="000A62EE"/>
    <w:rsid w:val="000A7BE1"/>
    <w:rsid w:val="000B07A0"/>
    <w:rsid w:val="000B42B4"/>
    <w:rsid w:val="000C0AE0"/>
    <w:rsid w:val="000C36FF"/>
    <w:rsid w:val="000C7209"/>
    <w:rsid w:val="000D2010"/>
    <w:rsid w:val="000D2BDE"/>
    <w:rsid w:val="000D7CA9"/>
    <w:rsid w:val="000E637D"/>
    <w:rsid w:val="000E7E6A"/>
    <w:rsid w:val="000F63AB"/>
    <w:rsid w:val="000F7442"/>
    <w:rsid w:val="000F7A43"/>
    <w:rsid w:val="00103095"/>
    <w:rsid w:val="001070A1"/>
    <w:rsid w:val="0012214B"/>
    <w:rsid w:val="00123D79"/>
    <w:rsid w:val="00126357"/>
    <w:rsid w:val="00126374"/>
    <w:rsid w:val="001337B6"/>
    <w:rsid w:val="001412F0"/>
    <w:rsid w:val="00142FFB"/>
    <w:rsid w:val="00144694"/>
    <w:rsid w:val="00147BA4"/>
    <w:rsid w:val="0015012D"/>
    <w:rsid w:val="00152888"/>
    <w:rsid w:val="001660AB"/>
    <w:rsid w:val="00166367"/>
    <w:rsid w:val="00171E5A"/>
    <w:rsid w:val="0017247F"/>
    <w:rsid w:val="00174CC9"/>
    <w:rsid w:val="00181B21"/>
    <w:rsid w:val="00184EB0"/>
    <w:rsid w:val="00192CC1"/>
    <w:rsid w:val="00192E06"/>
    <w:rsid w:val="001958E7"/>
    <w:rsid w:val="001A1B76"/>
    <w:rsid w:val="001A1CC4"/>
    <w:rsid w:val="001A5072"/>
    <w:rsid w:val="001B0612"/>
    <w:rsid w:val="001C321F"/>
    <w:rsid w:val="001D2387"/>
    <w:rsid w:val="001D66A9"/>
    <w:rsid w:val="001D6AFD"/>
    <w:rsid w:val="001E59DD"/>
    <w:rsid w:val="001E7625"/>
    <w:rsid w:val="001F016C"/>
    <w:rsid w:val="001F1A27"/>
    <w:rsid w:val="001F2C52"/>
    <w:rsid w:val="001F2D27"/>
    <w:rsid w:val="001F3D27"/>
    <w:rsid w:val="001F6379"/>
    <w:rsid w:val="001F7CEC"/>
    <w:rsid w:val="002037DF"/>
    <w:rsid w:val="00204415"/>
    <w:rsid w:val="002071FA"/>
    <w:rsid w:val="00207A6E"/>
    <w:rsid w:val="002154DB"/>
    <w:rsid w:val="00217F58"/>
    <w:rsid w:val="00222E55"/>
    <w:rsid w:val="00222EB7"/>
    <w:rsid w:val="00224297"/>
    <w:rsid w:val="00224B92"/>
    <w:rsid w:val="00226406"/>
    <w:rsid w:val="00230862"/>
    <w:rsid w:val="002321B9"/>
    <w:rsid w:val="002357E1"/>
    <w:rsid w:val="00246E61"/>
    <w:rsid w:val="00252897"/>
    <w:rsid w:val="002620D0"/>
    <w:rsid w:val="00262F0B"/>
    <w:rsid w:val="0027701F"/>
    <w:rsid w:val="002843DE"/>
    <w:rsid w:val="002848EB"/>
    <w:rsid w:val="00284FCE"/>
    <w:rsid w:val="00286711"/>
    <w:rsid w:val="00286903"/>
    <w:rsid w:val="00287606"/>
    <w:rsid w:val="00294541"/>
    <w:rsid w:val="002A0EED"/>
    <w:rsid w:val="002A294C"/>
    <w:rsid w:val="002B0942"/>
    <w:rsid w:val="002B40D2"/>
    <w:rsid w:val="002C4BDB"/>
    <w:rsid w:val="002C7535"/>
    <w:rsid w:val="002C7752"/>
    <w:rsid w:val="002D05B6"/>
    <w:rsid w:val="002D1A9C"/>
    <w:rsid w:val="002D2725"/>
    <w:rsid w:val="002D4673"/>
    <w:rsid w:val="002E0627"/>
    <w:rsid w:val="002E153C"/>
    <w:rsid w:val="002E2FF9"/>
    <w:rsid w:val="002E4F76"/>
    <w:rsid w:val="00300AF8"/>
    <w:rsid w:val="00304DA9"/>
    <w:rsid w:val="00306099"/>
    <w:rsid w:val="003115C2"/>
    <w:rsid w:val="0031427C"/>
    <w:rsid w:val="003157E2"/>
    <w:rsid w:val="003165E7"/>
    <w:rsid w:val="003210FF"/>
    <w:rsid w:val="00325DE3"/>
    <w:rsid w:val="00331628"/>
    <w:rsid w:val="00336766"/>
    <w:rsid w:val="0034478E"/>
    <w:rsid w:val="00345278"/>
    <w:rsid w:val="00353291"/>
    <w:rsid w:val="0036390F"/>
    <w:rsid w:val="00364DFE"/>
    <w:rsid w:val="00365E9D"/>
    <w:rsid w:val="00370E97"/>
    <w:rsid w:val="0037792F"/>
    <w:rsid w:val="00377CEC"/>
    <w:rsid w:val="003812A5"/>
    <w:rsid w:val="00381BFF"/>
    <w:rsid w:val="0038232A"/>
    <w:rsid w:val="0038311F"/>
    <w:rsid w:val="00383510"/>
    <w:rsid w:val="00385560"/>
    <w:rsid w:val="00387D13"/>
    <w:rsid w:val="003926ED"/>
    <w:rsid w:val="00393BEE"/>
    <w:rsid w:val="00393E0E"/>
    <w:rsid w:val="003B10B9"/>
    <w:rsid w:val="003B30F9"/>
    <w:rsid w:val="003B322A"/>
    <w:rsid w:val="003B42D9"/>
    <w:rsid w:val="003C113F"/>
    <w:rsid w:val="003D30FD"/>
    <w:rsid w:val="003D5B83"/>
    <w:rsid w:val="003E16AD"/>
    <w:rsid w:val="003E25E3"/>
    <w:rsid w:val="003E2DAE"/>
    <w:rsid w:val="003E5398"/>
    <w:rsid w:val="003F159B"/>
    <w:rsid w:val="003F6E44"/>
    <w:rsid w:val="00406BC6"/>
    <w:rsid w:val="00413465"/>
    <w:rsid w:val="0041522F"/>
    <w:rsid w:val="0041618C"/>
    <w:rsid w:val="0042079D"/>
    <w:rsid w:val="00440A3A"/>
    <w:rsid w:val="004431C9"/>
    <w:rsid w:val="0044424E"/>
    <w:rsid w:val="00453ED2"/>
    <w:rsid w:val="004603EA"/>
    <w:rsid w:val="00467B6D"/>
    <w:rsid w:val="00473C62"/>
    <w:rsid w:val="00474EE6"/>
    <w:rsid w:val="00475CE3"/>
    <w:rsid w:val="0048335C"/>
    <w:rsid w:val="00483E87"/>
    <w:rsid w:val="00487C34"/>
    <w:rsid w:val="004943BA"/>
    <w:rsid w:val="0049517C"/>
    <w:rsid w:val="00495DED"/>
    <w:rsid w:val="004A54A4"/>
    <w:rsid w:val="004B07C7"/>
    <w:rsid w:val="004B597A"/>
    <w:rsid w:val="004D1C32"/>
    <w:rsid w:val="004D2396"/>
    <w:rsid w:val="004D3DF4"/>
    <w:rsid w:val="004D4B8E"/>
    <w:rsid w:val="004E466B"/>
    <w:rsid w:val="00500530"/>
    <w:rsid w:val="005032C9"/>
    <w:rsid w:val="00505F32"/>
    <w:rsid w:val="00511340"/>
    <w:rsid w:val="00516C26"/>
    <w:rsid w:val="005232C0"/>
    <w:rsid w:val="00525039"/>
    <w:rsid w:val="00532455"/>
    <w:rsid w:val="00532E21"/>
    <w:rsid w:val="00534FE7"/>
    <w:rsid w:val="00536D95"/>
    <w:rsid w:val="005411A5"/>
    <w:rsid w:val="005440A6"/>
    <w:rsid w:val="00550D4E"/>
    <w:rsid w:val="00551CCF"/>
    <w:rsid w:val="00553DA8"/>
    <w:rsid w:val="00560784"/>
    <w:rsid w:val="00565FB8"/>
    <w:rsid w:val="005666BD"/>
    <w:rsid w:val="005675C1"/>
    <w:rsid w:val="005711BC"/>
    <w:rsid w:val="00572A4B"/>
    <w:rsid w:val="005755D8"/>
    <w:rsid w:val="005826D2"/>
    <w:rsid w:val="005859F2"/>
    <w:rsid w:val="00587051"/>
    <w:rsid w:val="005872BA"/>
    <w:rsid w:val="00591B7F"/>
    <w:rsid w:val="00591BC9"/>
    <w:rsid w:val="00591D07"/>
    <w:rsid w:val="005955D2"/>
    <w:rsid w:val="005A4284"/>
    <w:rsid w:val="005B0525"/>
    <w:rsid w:val="005B6A14"/>
    <w:rsid w:val="005C1ECF"/>
    <w:rsid w:val="005C607E"/>
    <w:rsid w:val="005D139C"/>
    <w:rsid w:val="005E52B8"/>
    <w:rsid w:val="005F0B12"/>
    <w:rsid w:val="005F2F91"/>
    <w:rsid w:val="005F4C74"/>
    <w:rsid w:val="0060690B"/>
    <w:rsid w:val="006100D1"/>
    <w:rsid w:val="0061763C"/>
    <w:rsid w:val="006260D5"/>
    <w:rsid w:val="00634F02"/>
    <w:rsid w:val="0063629B"/>
    <w:rsid w:val="00645FD5"/>
    <w:rsid w:val="00647807"/>
    <w:rsid w:val="00647F7A"/>
    <w:rsid w:val="006507F2"/>
    <w:rsid w:val="006531B0"/>
    <w:rsid w:val="006559AB"/>
    <w:rsid w:val="0065770C"/>
    <w:rsid w:val="006651A4"/>
    <w:rsid w:val="0067304D"/>
    <w:rsid w:val="00673DD5"/>
    <w:rsid w:val="006803CF"/>
    <w:rsid w:val="006844A1"/>
    <w:rsid w:val="0068607C"/>
    <w:rsid w:val="00690847"/>
    <w:rsid w:val="00696FE8"/>
    <w:rsid w:val="006A066D"/>
    <w:rsid w:val="006A0929"/>
    <w:rsid w:val="006A3DF7"/>
    <w:rsid w:val="006A62F0"/>
    <w:rsid w:val="006B074E"/>
    <w:rsid w:val="006B2BD5"/>
    <w:rsid w:val="006B75E6"/>
    <w:rsid w:val="006C1650"/>
    <w:rsid w:val="006C3635"/>
    <w:rsid w:val="006C713A"/>
    <w:rsid w:val="006D0E3D"/>
    <w:rsid w:val="006D5B37"/>
    <w:rsid w:val="006D7B65"/>
    <w:rsid w:val="006F284C"/>
    <w:rsid w:val="006F6F44"/>
    <w:rsid w:val="006F7227"/>
    <w:rsid w:val="0070113D"/>
    <w:rsid w:val="00702366"/>
    <w:rsid w:val="0071235F"/>
    <w:rsid w:val="00712E26"/>
    <w:rsid w:val="007146A1"/>
    <w:rsid w:val="007163BC"/>
    <w:rsid w:val="00727935"/>
    <w:rsid w:val="00730AE3"/>
    <w:rsid w:val="007310B3"/>
    <w:rsid w:val="00736BC2"/>
    <w:rsid w:val="0073740F"/>
    <w:rsid w:val="00742B23"/>
    <w:rsid w:val="0074597D"/>
    <w:rsid w:val="0075049D"/>
    <w:rsid w:val="0075137E"/>
    <w:rsid w:val="00757E33"/>
    <w:rsid w:val="00760850"/>
    <w:rsid w:val="00772B17"/>
    <w:rsid w:val="0077314D"/>
    <w:rsid w:val="00773721"/>
    <w:rsid w:val="00777198"/>
    <w:rsid w:val="00786B2B"/>
    <w:rsid w:val="0079325E"/>
    <w:rsid w:val="00796737"/>
    <w:rsid w:val="00797309"/>
    <w:rsid w:val="007A2705"/>
    <w:rsid w:val="007A6F71"/>
    <w:rsid w:val="007B0E07"/>
    <w:rsid w:val="007B1587"/>
    <w:rsid w:val="007B56D6"/>
    <w:rsid w:val="007C4395"/>
    <w:rsid w:val="007C50CD"/>
    <w:rsid w:val="007C5285"/>
    <w:rsid w:val="007C633B"/>
    <w:rsid w:val="007D3182"/>
    <w:rsid w:val="007D345E"/>
    <w:rsid w:val="007D39D2"/>
    <w:rsid w:val="007D4C76"/>
    <w:rsid w:val="007D6354"/>
    <w:rsid w:val="007E1D22"/>
    <w:rsid w:val="007E1E34"/>
    <w:rsid w:val="007E61BD"/>
    <w:rsid w:val="007F1878"/>
    <w:rsid w:val="007F226A"/>
    <w:rsid w:val="00800706"/>
    <w:rsid w:val="008015BD"/>
    <w:rsid w:val="008108A8"/>
    <w:rsid w:val="00816088"/>
    <w:rsid w:val="00825524"/>
    <w:rsid w:val="00830261"/>
    <w:rsid w:val="0083211E"/>
    <w:rsid w:val="00837114"/>
    <w:rsid w:val="00840108"/>
    <w:rsid w:val="008416B4"/>
    <w:rsid w:val="008427BC"/>
    <w:rsid w:val="00843728"/>
    <w:rsid w:val="00843FF1"/>
    <w:rsid w:val="00846BA5"/>
    <w:rsid w:val="00855856"/>
    <w:rsid w:val="008605ED"/>
    <w:rsid w:val="00862CDC"/>
    <w:rsid w:val="008638FF"/>
    <w:rsid w:val="0086456B"/>
    <w:rsid w:val="00870D40"/>
    <w:rsid w:val="00876C07"/>
    <w:rsid w:val="008771A7"/>
    <w:rsid w:val="00884C4C"/>
    <w:rsid w:val="0089149F"/>
    <w:rsid w:val="00892B9F"/>
    <w:rsid w:val="00897A84"/>
    <w:rsid w:val="008A0CE1"/>
    <w:rsid w:val="008A28DD"/>
    <w:rsid w:val="008A3382"/>
    <w:rsid w:val="008A7963"/>
    <w:rsid w:val="008B2EB1"/>
    <w:rsid w:val="008B558C"/>
    <w:rsid w:val="008B641B"/>
    <w:rsid w:val="008C013C"/>
    <w:rsid w:val="008C1E35"/>
    <w:rsid w:val="008C3091"/>
    <w:rsid w:val="008C6725"/>
    <w:rsid w:val="008D30B6"/>
    <w:rsid w:val="008D3507"/>
    <w:rsid w:val="008D5AA2"/>
    <w:rsid w:val="008E1859"/>
    <w:rsid w:val="008E1ADE"/>
    <w:rsid w:val="008E2968"/>
    <w:rsid w:val="008E4887"/>
    <w:rsid w:val="008E5F84"/>
    <w:rsid w:val="008E7500"/>
    <w:rsid w:val="008F1780"/>
    <w:rsid w:val="008F4687"/>
    <w:rsid w:val="008F78C2"/>
    <w:rsid w:val="009029A0"/>
    <w:rsid w:val="00904DE8"/>
    <w:rsid w:val="009067F8"/>
    <w:rsid w:val="009163BE"/>
    <w:rsid w:val="0091673D"/>
    <w:rsid w:val="00922EAD"/>
    <w:rsid w:val="0092794B"/>
    <w:rsid w:val="009466CA"/>
    <w:rsid w:val="00951BF6"/>
    <w:rsid w:val="00953856"/>
    <w:rsid w:val="0095393E"/>
    <w:rsid w:val="009554D5"/>
    <w:rsid w:val="009620BE"/>
    <w:rsid w:val="00967075"/>
    <w:rsid w:val="009676E0"/>
    <w:rsid w:val="009721C5"/>
    <w:rsid w:val="00976DA6"/>
    <w:rsid w:val="0099093A"/>
    <w:rsid w:val="009955DF"/>
    <w:rsid w:val="00996074"/>
    <w:rsid w:val="009977FB"/>
    <w:rsid w:val="009A1E1D"/>
    <w:rsid w:val="009A3E71"/>
    <w:rsid w:val="009B10DF"/>
    <w:rsid w:val="009B269A"/>
    <w:rsid w:val="009B523C"/>
    <w:rsid w:val="009B5E1D"/>
    <w:rsid w:val="009D2F92"/>
    <w:rsid w:val="009D57DD"/>
    <w:rsid w:val="009E0D5C"/>
    <w:rsid w:val="009E2B79"/>
    <w:rsid w:val="009E5F7E"/>
    <w:rsid w:val="009E62EF"/>
    <w:rsid w:val="00A0383E"/>
    <w:rsid w:val="00A10051"/>
    <w:rsid w:val="00A12D9A"/>
    <w:rsid w:val="00A1562D"/>
    <w:rsid w:val="00A20F36"/>
    <w:rsid w:val="00A213F3"/>
    <w:rsid w:val="00A2169A"/>
    <w:rsid w:val="00A24442"/>
    <w:rsid w:val="00A30DAD"/>
    <w:rsid w:val="00A34603"/>
    <w:rsid w:val="00A35A22"/>
    <w:rsid w:val="00A42777"/>
    <w:rsid w:val="00A42832"/>
    <w:rsid w:val="00A5218D"/>
    <w:rsid w:val="00A60C03"/>
    <w:rsid w:val="00A75BD0"/>
    <w:rsid w:val="00A77A27"/>
    <w:rsid w:val="00A77DD9"/>
    <w:rsid w:val="00A8047B"/>
    <w:rsid w:val="00A876B6"/>
    <w:rsid w:val="00A935F9"/>
    <w:rsid w:val="00A954A4"/>
    <w:rsid w:val="00AA014E"/>
    <w:rsid w:val="00AA040A"/>
    <w:rsid w:val="00AA4365"/>
    <w:rsid w:val="00AA4BF4"/>
    <w:rsid w:val="00AC05B3"/>
    <w:rsid w:val="00AC1E69"/>
    <w:rsid w:val="00AC378D"/>
    <w:rsid w:val="00AD2B2A"/>
    <w:rsid w:val="00AD6F26"/>
    <w:rsid w:val="00AE30BB"/>
    <w:rsid w:val="00AE5298"/>
    <w:rsid w:val="00AF6A2C"/>
    <w:rsid w:val="00B067A7"/>
    <w:rsid w:val="00B106D9"/>
    <w:rsid w:val="00B21159"/>
    <w:rsid w:val="00B2340C"/>
    <w:rsid w:val="00B25848"/>
    <w:rsid w:val="00B26763"/>
    <w:rsid w:val="00B267ED"/>
    <w:rsid w:val="00B271A0"/>
    <w:rsid w:val="00B3299A"/>
    <w:rsid w:val="00B41132"/>
    <w:rsid w:val="00B42D05"/>
    <w:rsid w:val="00B43BE3"/>
    <w:rsid w:val="00B4436B"/>
    <w:rsid w:val="00B46C93"/>
    <w:rsid w:val="00B50D4D"/>
    <w:rsid w:val="00B561EC"/>
    <w:rsid w:val="00B56B11"/>
    <w:rsid w:val="00B65D7E"/>
    <w:rsid w:val="00B75568"/>
    <w:rsid w:val="00B8515D"/>
    <w:rsid w:val="00B85F9B"/>
    <w:rsid w:val="00B90D53"/>
    <w:rsid w:val="00B917C7"/>
    <w:rsid w:val="00B923EF"/>
    <w:rsid w:val="00B93A43"/>
    <w:rsid w:val="00B957C7"/>
    <w:rsid w:val="00BA1498"/>
    <w:rsid w:val="00BA1A03"/>
    <w:rsid w:val="00BA3233"/>
    <w:rsid w:val="00BA3820"/>
    <w:rsid w:val="00BB3357"/>
    <w:rsid w:val="00BB4BD0"/>
    <w:rsid w:val="00BB641C"/>
    <w:rsid w:val="00BC547D"/>
    <w:rsid w:val="00BC7AD6"/>
    <w:rsid w:val="00BD6E13"/>
    <w:rsid w:val="00BD7DC2"/>
    <w:rsid w:val="00BE14F2"/>
    <w:rsid w:val="00BE37A4"/>
    <w:rsid w:val="00BE3CE9"/>
    <w:rsid w:val="00BE45DE"/>
    <w:rsid w:val="00BF4D27"/>
    <w:rsid w:val="00C017A3"/>
    <w:rsid w:val="00C05456"/>
    <w:rsid w:val="00C065DF"/>
    <w:rsid w:val="00C07597"/>
    <w:rsid w:val="00C076A9"/>
    <w:rsid w:val="00C11140"/>
    <w:rsid w:val="00C15BBB"/>
    <w:rsid w:val="00C1704F"/>
    <w:rsid w:val="00C2117E"/>
    <w:rsid w:val="00C235E7"/>
    <w:rsid w:val="00C267B8"/>
    <w:rsid w:val="00C31FC0"/>
    <w:rsid w:val="00C32427"/>
    <w:rsid w:val="00C35A78"/>
    <w:rsid w:val="00C36325"/>
    <w:rsid w:val="00C37FF1"/>
    <w:rsid w:val="00C41958"/>
    <w:rsid w:val="00C41A18"/>
    <w:rsid w:val="00C433B7"/>
    <w:rsid w:val="00C43DED"/>
    <w:rsid w:val="00C507CD"/>
    <w:rsid w:val="00C63587"/>
    <w:rsid w:val="00C7078D"/>
    <w:rsid w:val="00C71E38"/>
    <w:rsid w:val="00C7493C"/>
    <w:rsid w:val="00C81A43"/>
    <w:rsid w:val="00C85EA4"/>
    <w:rsid w:val="00C90A93"/>
    <w:rsid w:val="00C912FE"/>
    <w:rsid w:val="00C91927"/>
    <w:rsid w:val="00C95AF5"/>
    <w:rsid w:val="00CA1572"/>
    <w:rsid w:val="00CA1B6A"/>
    <w:rsid w:val="00CA6B87"/>
    <w:rsid w:val="00CC2031"/>
    <w:rsid w:val="00CC4C87"/>
    <w:rsid w:val="00CC51ED"/>
    <w:rsid w:val="00CD337E"/>
    <w:rsid w:val="00CD60DE"/>
    <w:rsid w:val="00CD7F09"/>
    <w:rsid w:val="00CE3C3C"/>
    <w:rsid w:val="00CE51C3"/>
    <w:rsid w:val="00CE57A7"/>
    <w:rsid w:val="00CF1759"/>
    <w:rsid w:val="00CF2427"/>
    <w:rsid w:val="00CF3124"/>
    <w:rsid w:val="00CF4F69"/>
    <w:rsid w:val="00D03B00"/>
    <w:rsid w:val="00D04312"/>
    <w:rsid w:val="00D15589"/>
    <w:rsid w:val="00D1762A"/>
    <w:rsid w:val="00D1789D"/>
    <w:rsid w:val="00D22AE8"/>
    <w:rsid w:val="00D23A92"/>
    <w:rsid w:val="00D25589"/>
    <w:rsid w:val="00D3505C"/>
    <w:rsid w:val="00D37224"/>
    <w:rsid w:val="00D41040"/>
    <w:rsid w:val="00D432AD"/>
    <w:rsid w:val="00D44F5C"/>
    <w:rsid w:val="00D50188"/>
    <w:rsid w:val="00D51069"/>
    <w:rsid w:val="00D55DBD"/>
    <w:rsid w:val="00D572AE"/>
    <w:rsid w:val="00D617B1"/>
    <w:rsid w:val="00D654AD"/>
    <w:rsid w:val="00D718EC"/>
    <w:rsid w:val="00D748BB"/>
    <w:rsid w:val="00D7780B"/>
    <w:rsid w:val="00D77E75"/>
    <w:rsid w:val="00D8117C"/>
    <w:rsid w:val="00D87075"/>
    <w:rsid w:val="00D94539"/>
    <w:rsid w:val="00D9485E"/>
    <w:rsid w:val="00D9537D"/>
    <w:rsid w:val="00DA38BB"/>
    <w:rsid w:val="00DB2CC6"/>
    <w:rsid w:val="00DB2F58"/>
    <w:rsid w:val="00DB31E5"/>
    <w:rsid w:val="00DC2A74"/>
    <w:rsid w:val="00DC4747"/>
    <w:rsid w:val="00DD52CC"/>
    <w:rsid w:val="00DE1EE8"/>
    <w:rsid w:val="00DE308B"/>
    <w:rsid w:val="00DE70E4"/>
    <w:rsid w:val="00E0227F"/>
    <w:rsid w:val="00E05380"/>
    <w:rsid w:val="00E067AC"/>
    <w:rsid w:val="00E07BD7"/>
    <w:rsid w:val="00E1048F"/>
    <w:rsid w:val="00E22B4E"/>
    <w:rsid w:val="00E315D5"/>
    <w:rsid w:val="00E37A7A"/>
    <w:rsid w:val="00E47630"/>
    <w:rsid w:val="00E55657"/>
    <w:rsid w:val="00E55B3B"/>
    <w:rsid w:val="00E55E91"/>
    <w:rsid w:val="00E637DB"/>
    <w:rsid w:val="00E758CF"/>
    <w:rsid w:val="00E8078E"/>
    <w:rsid w:val="00E83011"/>
    <w:rsid w:val="00E83704"/>
    <w:rsid w:val="00E84F7E"/>
    <w:rsid w:val="00E86B18"/>
    <w:rsid w:val="00E92A9D"/>
    <w:rsid w:val="00E93875"/>
    <w:rsid w:val="00E95090"/>
    <w:rsid w:val="00E97268"/>
    <w:rsid w:val="00EA5F45"/>
    <w:rsid w:val="00EA7525"/>
    <w:rsid w:val="00EB3ED2"/>
    <w:rsid w:val="00EB6C99"/>
    <w:rsid w:val="00EB74CB"/>
    <w:rsid w:val="00EC0891"/>
    <w:rsid w:val="00EC56E4"/>
    <w:rsid w:val="00EC7E9D"/>
    <w:rsid w:val="00EC7F0F"/>
    <w:rsid w:val="00EE4574"/>
    <w:rsid w:val="00EE51DB"/>
    <w:rsid w:val="00EE75F9"/>
    <w:rsid w:val="00EF1374"/>
    <w:rsid w:val="00EF34F4"/>
    <w:rsid w:val="00EF44CA"/>
    <w:rsid w:val="00EF576F"/>
    <w:rsid w:val="00EF7A75"/>
    <w:rsid w:val="00F00A67"/>
    <w:rsid w:val="00F07688"/>
    <w:rsid w:val="00F137F2"/>
    <w:rsid w:val="00F13DC0"/>
    <w:rsid w:val="00F13E77"/>
    <w:rsid w:val="00F14485"/>
    <w:rsid w:val="00F15426"/>
    <w:rsid w:val="00F16F02"/>
    <w:rsid w:val="00F17093"/>
    <w:rsid w:val="00F211E6"/>
    <w:rsid w:val="00F22E38"/>
    <w:rsid w:val="00F251F6"/>
    <w:rsid w:val="00F25CEE"/>
    <w:rsid w:val="00F26A60"/>
    <w:rsid w:val="00F26B0A"/>
    <w:rsid w:val="00F3437E"/>
    <w:rsid w:val="00F407ED"/>
    <w:rsid w:val="00F465B6"/>
    <w:rsid w:val="00F51757"/>
    <w:rsid w:val="00F55E22"/>
    <w:rsid w:val="00F60FE0"/>
    <w:rsid w:val="00F64CB9"/>
    <w:rsid w:val="00F67181"/>
    <w:rsid w:val="00F7320F"/>
    <w:rsid w:val="00F771F1"/>
    <w:rsid w:val="00F77628"/>
    <w:rsid w:val="00F81D9E"/>
    <w:rsid w:val="00F838DD"/>
    <w:rsid w:val="00F90072"/>
    <w:rsid w:val="00F93258"/>
    <w:rsid w:val="00F93DC6"/>
    <w:rsid w:val="00F940EE"/>
    <w:rsid w:val="00F94184"/>
    <w:rsid w:val="00FA4980"/>
    <w:rsid w:val="00FA5BF9"/>
    <w:rsid w:val="00FA6AA4"/>
    <w:rsid w:val="00FA7AEF"/>
    <w:rsid w:val="00FB3B70"/>
    <w:rsid w:val="00FB6B0F"/>
    <w:rsid w:val="00FC6159"/>
    <w:rsid w:val="00FC6D52"/>
    <w:rsid w:val="00FD061C"/>
    <w:rsid w:val="00FE09E3"/>
    <w:rsid w:val="00FE24FC"/>
    <w:rsid w:val="00FE5032"/>
    <w:rsid w:val="00FE6112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AD46930-B28E-4A83-ACCF-F1047E0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498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rsid w:val="0049517C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55B3B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49517C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49517C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rsid w:val="0049517C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49517C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9517C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rsid w:val="0049517C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rsid w:val="0049517C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51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517C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rsid w:val="00F13DC0"/>
    <w:pPr>
      <w:numPr>
        <w:numId w:val="2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uiPriority w:val="99"/>
    <w:qFormat/>
    <w:rsid w:val="0049517C"/>
    <w:pPr>
      <w:keepLines/>
      <w:spacing w:after="60"/>
      <w:ind w:firstLine="720"/>
    </w:pPr>
    <w:rPr>
      <w:sz w:val="18"/>
    </w:rPr>
  </w:style>
  <w:style w:type="paragraph" w:styleId="BodyText">
    <w:name w:val="Body Text"/>
    <w:basedOn w:val="Normal"/>
    <w:rsid w:val="0049517C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sid w:val="0049517C"/>
    <w:rPr>
      <w:sz w:val="16"/>
    </w:rPr>
  </w:style>
  <w:style w:type="paragraph" w:styleId="CommentText">
    <w:name w:val="annotation text"/>
    <w:basedOn w:val="Normal"/>
    <w:link w:val="CommentTextChar"/>
    <w:semiHidden/>
    <w:rsid w:val="0049517C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49517C"/>
    <w:rPr>
      <w:sz w:val="18"/>
      <w:u w:val="single"/>
      <w:vertAlign w:val="baseline"/>
    </w:rPr>
  </w:style>
  <w:style w:type="paragraph" w:styleId="BodyTextIndent">
    <w:name w:val="Body Text Indent"/>
    <w:basedOn w:val="Normal"/>
    <w:rsid w:val="0049517C"/>
    <w:pPr>
      <w:spacing w:before="120" w:after="120"/>
      <w:ind w:left="1440" w:hanging="720"/>
      <w:jc w:val="left"/>
    </w:pPr>
  </w:style>
  <w:style w:type="character" w:styleId="PageNumber">
    <w:name w:val="page number"/>
    <w:rsid w:val="0049517C"/>
    <w:rPr>
      <w:rFonts w:ascii="Times New Roman" w:hAnsi="Times New Roman"/>
      <w:sz w:val="22"/>
    </w:rPr>
  </w:style>
  <w:style w:type="paragraph" w:customStyle="1" w:styleId="HEADING">
    <w:name w:val="HEADING"/>
    <w:basedOn w:val="Normal"/>
    <w:rsid w:val="0049517C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rsid w:val="0049517C"/>
    <w:pPr>
      <w:numPr>
        <w:ilvl w:val="3"/>
        <w:numId w:val="5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49517C"/>
    <w:pPr>
      <w:ind w:left="170" w:right="3119" w:hanging="170"/>
      <w:jc w:val="left"/>
    </w:pPr>
  </w:style>
  <w:style w:type="paragraph" w:customStyle="1" w:styleId="Para3">
    <w:name w:val="Para3"/>
    <w:basedOn w:val="Normal"/>
    <w:rsid w:val="0049517C"/>
    <w:pPr>
      <w:numPr>
        <w:ilvl w:val="2"/>
        <w:numId w:val="4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rsid w:val="0049517C"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rsid w:val="0049517C"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rsid w:val="0049517C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49517C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49517C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49517C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49517C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49517C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49517C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49517C"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sid w:val="0049517C"/>
    <w:rPr>
      <w:color w:val="800080"/>
      <w:u w:val="single"/>
    </w:rPr>
  </w:style>
  <w:style w:type="paragraph" w:customStyle="1" w:styleId="Style1">
    <w:name w:val="Style1"/>
    <w:basedOn w:val="Heading2"/>
    <w:qFormat/>
    <w:rsid w:val="00CA6B87"/>
    <w:rPr>
      <w:i/>
    </w:rPr>
  </w:style>
  <w:style w:type="paragraph" w:customStyle="1" w:styleId="Para2">
    <w:name w:val="Para2"/>
    <w:basedOn w:val="Para1"/>
    <w:rsid w:val="0049517C"/>
    <w:pPr>
      <w:numPr>
        <w:numId w:val="3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6507F2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character" w:styleId="Hyperlink">
    <w:name w:val="Hyperlink"/>
    <w:uiPriority w:val="99"/>
    <w:unhideWhenUsed/>
    <w:rsid w:val="00406BC6"/>
    <w:rPr>
      <w:color w:val="0000FF"/>
      <w:u w:val="single"/>
    </w:rPr>
  </w:style>
  <w:style w:type="character" w:styleId="EndnoteReference">
    <w:name w:val="endnote reference"/>
    <w:semiHidden/>
    <w:rsid w:val="0049517C"/>
    <w:rPr>
      <w:vertAlign w:val="superscript"/>
    </w:rPr>
  </w:style>
  <w:style w:type="paragraph" w:styleId="EndnoteText">
    <w:name w:val="endnote text"/>
    <w:basedOn w:val="Normal"/>
    <w:semiHidden/>
    <w:rsid w:val="0049517C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rsid w:val="0049517C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49517C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rsid w:val="0049517C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E55B3B"/>
    <w:pPr>
      <w:ind w:left="2127" w:hanging="1276"/>
    </w:pPr>
    <w:rPr>
      <w:i w:val="0"/>
    </w:rPr>
  </w:style>
  <w:style w:type="paragraph" w:customStyle="1" w:styleId="Heading3multiline">
    <w:name w:val="Heading 3 (multiline)"/>
    <w:basedOn w:val="Heading3"/>
    <w:next w:val="Para1"/>
    <w:rsid w:val="0049517C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link w:val="FootnoteText"/>
    <w:uiPriority w:val="99"/>
    <w:rsid w:val="00406BC6"/>
    <w:rPr>
      <w:sz w:val="18"/>
      <w:szCs w:val="24"/>
      <w:lang w:val="en-GB" w:eastAsia="en-US"/>
    </w:rPr>
  </w:style>
  <w:style w:type="paragraph" w:customStyle="1" w:styleId="decision">
    <w:name w:val="decision"/>
    <w:basedOn w:val="Normal"/>
    <w:qFormat/>
    <w:rsid w:val="00406BC6"/>
    <w:pPr>
      <w:keepNext/>
      <w:spacing w:before="240" w:after="120"/>
      <w:ind w:hanging="11"/>
      <w:jc w:val="center"/>
    </w:pPr>
    <w:rPr>
      <w:b/>
      <w:kern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6BC6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rsid w:val="00CF4F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37D"/>
    <w:pPr>
      <w:spacing w:after="0"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D9537D"/>
    <w:rPr>
      <w:sz w:val="22"/>
      <w:szCs w:val="24"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D9537D"/>
    <w:rPr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D9537D"/>
    <w:rPr>
      <w:sz w:val="22"/>
      <w:szCs w:val="24"/>
      <w:lang w:val="en-GB"/>
    </w:rPr>
  </w:style>
  <w:style w:type="character" w:styleId="PlaceholderText">
    <w:name w:val="Placeholder Text"/>
    <w:uiPriority w:val="67"/>
    <w:rsid w:val="00073708"/>
    <w:rPr>
      <w:color w:val="808080"/>
    </w:rPr>
  </w:style>
  <w:style w:type="paragraph" w:styleId="ListParagraph">
    <w:name w:val="List Paragraph"/>
    <w:basedOn w:val="Normal"/>
    <w:uiPriority w:val="72"/>
    <w:rsid w:val="00F16F02"/>
    <w:pPr>
      <w:ind w:left="720"/>
      <w:contextualSpacing/>
    </w:pPr>
  </w:style>
  <w:style w:type="paragraph" w:customStyle="1" w:styleId="meetingname">
    <w:name w:val="meeting name"/>
    <w:basedOn w:val="Cornernotation"/>
    <w:qFormat/>
    <w:rsid w:val="00F13DC0"/>
    <w:rPr>
      <w:rFonts w:eastAsia="Malgun Gothic"/>
      <w:caps/>
      <w:snapToGrid w:val="0"/>
    </w:rPr>
  </w:style>
  <w:style w:type="table" w:styleId="TableGrid">
    <w:name w:val="Table Grid"/>
    <w:basedOn w:val="TableNormal"/>
    <w:uiPriority w:val="59"/>
    <w:rsid w:val="00207A6E"/>
    <w:rPr>
      <w:rFonts w:ascii="Cambria" w:eastAsia="MS Mincho" w:hAnsi="Cambr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7A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862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cbd.int/doc/decisions/cop-13/cop-13-dec-26-es.pdf" TargetMode="External"/><Relationship Id="rId18" Type="http://schemas.openxmlformats.org/officeDocument/2006/relationships/hyperlink" Target="https://www.cbd.int/decision/cop/default.shtml?id=714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bd.int/doc/decisions/cop-13/cop-13-dec-17-e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bd.int/doc/decisions/cop-12/cop-12-dec-29-es.pdf" TargetMode="External"/><Relationship Id="rId17" Type="http://schemas.openxmlformats.org/officeDocument/2006/relationships/hyperlink" Target="http://bch.cbd.int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cbd.int/doc/decisions/cop-12/cop-12-dec-31-es.pdf" TargetMode="External"/><Relationship Id="rId20" Type="http://schemas.openxmlformats.org/officeDocument/2006/relationships/hyperlink" Target="https://www.cbd.int/doc/decisions/cop-12/cop-12-dec-24-es.pdf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d.int/doc/decisions/mop-07/mop-07-dec-05-es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ch.cbd.int/protocol/text/" TargetMode="External"/><Relationship Id="rId23" Type="http://schemas.openxmlformats.org/officeDocument/2006/relationships/hyperlink" Target="https://www.cbd.int/post202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cbd.int/doc/meetings/cop/cop-08/official/cop-08-31-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cbd.int/convention/text/" TargetMode="External"/><Relationship Id="rId22" Type="http://schemas.openxmlformats.org/officeDocument/2006/relationships/hyperlink" Target="https://www.cbd.int/sp/targets/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c/6ce5/878e/5ffa49887c20c19961fe040a/sbi-02-01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References&amp;Tools\Templates\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AFBC8C6548485C98839CC7DBDC9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0D3A-DB92-485B-89DC-516B3B2BBD52}"/>
      </w:docPartPr>
      <w:docPartBody>
        <w:p w:rsidR="00D420BF" w:rsidRDefault="00487806">
          <w:r w:rsidRPr="00DC4F3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806"/>
    <w:rsid w:val="00132284"/>
    <w:rsid w:val="001A1769"/>
    <w:rsid w:val="00487806"/>
    <w:rsid w:val="008168A0"/>
    <w:rsid w:val="00CF758F"/>
    <w:rsid w:val="00D4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67"/>
    <w:rsid w:val="004878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5829B-45F8-41C1-9BEA-FC12347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5</Pages>
  <Words>2819</Words>
  <Characters>16070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ENFOQUES INTEGRADOS RESPECTO A CUESTIONES SITUADAS EN LA INTERFAZ ENTRE LAS DISPOSICIONES RELACIONADAS CON LA SEGURIDAD DE LA BIOTECNOLOGÍA DEL CONVENIO Y LAS DISPOSICIONES DEL PROTOCOLO DE Cartagena</vt:lpstr>
      <vt:lpstr>Integrated approaches to issues at the interface between the biosafety-related provisions of the Convention and the provisions of the Cartagena Protocol</vt:lpstr>
    </vt:vector>
  </TitlesOfParts>
  <Company>Biodiversity</Company>
  <LinksUpToDate>false</LinksUpToDate>
  <CharactersWithSpaces>18852</CharactersWithSpaces>
  <SharedDoc>false</SharedDoc>
  <HyperlinkBase/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https://www.cbd.int/business/bc.shtml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ENFOQUES INTEGRADOS RESPECTO A CUESTIONES SITUADAS EN LA INTERFAZ ENTRE LAS DISPOSICIONES RELACIONADAS CON LA SEGURIDAD DE LA BIOTECNOLOGÍA DEL CONVENIO Y LAS DISPOSICIONES DEL PROTOCOLO DE Cartagena</dc:title>
  <dc:subject>CBD/SBI/2/XX</dc:subject>
  <dc:creator>SCBD</dc:creator>
  <cp:lastModifiedBy>Teresa Mazza</cp:lastModifiedBy>
  <cp:revision>3</cp:revision>
  <cp:lastPrinted>2018-05-25T17:06:00Z</cp:lastPrinted>
  <dcterms:created xsi:type="dcterms:W3CDTF">2018-06-03T21:03:00Z</dcterms:created>
  <dcterms:modified xsi:type="dcterms:W3CDTF">2018-06-04T16:42:00Z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">
    <vt:lpwstr>CBD/XXX</vt:lpwstr>
  </property>
  <property fmtid="{D5CDD505-2E9C-101B-9397-08002B2CF9AE}" pid="3" name="Meeting" linkTarget="Meeting">
    <vt:lpwstr>Órgano subsidiario sobre la aplicación</vt:lpwstr>
  </property>
</Properties>
</file>