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E75D28" w:rsidRPr="00D770FF" w:rsidTr="00A90998">
        <w:trPr>
          <w:trHeight w:val="851"/>
        </w:trPr>
        <w:tc>
          <w:tcPr>
            <w:tcW w:w="976" w:type="dxa"/>
            <w:tcBorders>
              <w:bottom w:val="single" w:sz="12" w:space="0" w:color="auto"/>
            </w:tcBorders>
          </w:tcPr>
          <w:p w:rsidR="00E75D28" w:rsidRPr="00D770FF" w:rsidRDefault="00E75D28" w:rsidP="0040593B">
            <w:pPr>
              <w:rPr>
                <w:snapToGrid w:val="0"/>
                <w:kern w:val="22"/>
                <w:lang w:val="es-ES"/>
              </w:rPr>
            </w:pPr>
            <w:bookmarkStart w:id="0" w:name="Meeting"/>
            <w:r w:rsidRPr="00D770FF">
              <w:rPr>
                <w:noProof/>
                <w:snapToGrid w:val="0"/>
                <w:kern w:val="22"/>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E75D28" w:rsidRPr="00D770FF" w:rsidRDefault="00CC08D4" w:rsidP="0040593B">
            <w:pPr>
              <w:rPr>
                <w:snapToGrid w:val="0"/>
                <w:kern w:val="22"/>
                <w:lang w:val="es-ES"/>
              </w:rPr>
            </w:pPr>
            <w:r w:rsidRPr="00D770FF">
              <w:rPr>
                <w:noProof/>
                <w:lang w:val="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12065</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rsidR="00E75D28" w:rsidRPr="00D770FF" w:rsidRDefault="00E75D28" w:rsidP="0040593B">
            <w:pPr>
              <w:jc w:val="right"/>
              <w:rPr>
                <w:rFonts w:ascii="Arial" w:hAnsi="Arial" w:cs="Arial"/>
                <w:b/>
                <w:snapToGrid w:val="0"/>
                <w:kern w:val="22"/>
                <w:sz w:val="32"/>
                <w:szCs w:val="32"/>
                <w:lang w:val="es-ES"/>
              </w:rPr>
            </w:pPr>
            <w:r w:rsidRPr="00D770FF">
              <w:rPr>
                <w:rFonts w:ascii="Arial" w:hAnsi="Arial" w:cs="Arial"/>
                <w:b/>
                <w:snapToGrid w:val="0"/>
                <w:kern w:val="22"/>
                <w:sz w:val="32"/>
                <w:szCs w:val="32"/>
                <w:lang w:val="es-ES"/>
              </w:rPr>
              <w:t>CBD</w:t>
            </w:r>
          </w:p>
        </w:tc>
      </w:tr>
      <w:tr w:rsidR="00E75D28" w:rsidRPr="00D770FF" w:rsidTr="00A90998">
        <w:tc>
          <w:tcPr>
            <w:tcW w:w="6117" w:type="dxa"/>
            <w:gridSpan w:val="2"/>
            <w:tcBorders>
              <w:top w:val="single" w:sz="12" w:space="0" w:color="auto"/>
              <w:bottom w:val="single" w:sz="36" w:space="0" w:color="auto"/>
            </w:tcBorders>
            <w:vAlign w:val="center"/>
          </w:tcPr>
          <w:p w:rsidR="00E75D28" w:rsidRPr="00D770FF" w:rsidRDefault="00CC08D4" w:rsidP="0040593B">
            <w:pPr>
              <w:rPr>
                <w:snapToGrid w:val="0"/>
                <w:kern w:val="22"/>
                <w:lang w:val="es-ES"/>
              </w:rPr>
            </w:pPr>
            <w:r w:rsidRPr="00D770FF">
              <w:rPr>
                <w:noProof/>
                <w:kern w:val="22"/>
                <w:lang w:val="en-US"/>
              </w:rPr>
              <w:drawing>
                <wp:inline distT="0" distB="0" distL="0" distR="0">
                  <wp:extent cx="2905760" cy="10566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760" cy="105664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75D28" w:rsidRPr="00D770FF" w:rsidRDefault="00E75D28" w:rsidP="0040593B">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Distr.</w:t>
            </w:r>
          </w:p>
          <w:p w:rsidR="005209FA" w:rsidRPr="00D770FF" w:rsidRDefault="00230C42" w:rsidP="005209FA">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LIMIT</w:t>
            </w:r>
            <w:r w:rsidR="00CC08D4" w:rsidRPr="00D770FF">
              <w:rPr>
                <w:rFonts w:ascii="Times New Roman" w:hAnsi="Times New Roman" w:cs="Times New Roman"/>
                <w:snapToGrid w:val="0"/>
                <w:kern w:val="22"/>
                <w:szCs w:val="22"/>
                <w:lang w:val="es-ES"/>
              </w:rPr>
              <w:t>ADA</w:t>
            </w:r>
          </w:p>
          <w:p w:rsidR="00E75D28" w:rsidRPr="00D770FF" w:rsidRDefault="00E75D28" w:rsidP="0040593B">
            <w:pPr>
              <w:ind w:left="1215"/>
              <w:rPr>
                <w:rFonts w:ascii="Times New Roman" w:hAnsi="Times New Roman" w:cs="Times New Roman"/>
                <w:snapToGrid w:val="0"/>
                <w:kern w:val="22"/>
                <w:szCs w:val="22"/>
                <w:lang w:val="es-ES"/>
              </w:rPr>
            </w:pPr>
          </w:p>
          <w:p w:rsidR="00E75D28" w:rsidRPr="00D770FF" w:rsidRDefault="0064546F" w:rsidP="0040593B">
            <w:pPr>
              <w:ind w:left="1215"/>
              <w:rPr>
                <w:rFonts w:ascii="Times New Roman" w:hAnsi="Times New Roman" w:cs="Times New Roman"/>
                <w:snapToGrid w:val="0"/>
                <w:kern w:val="22"/>
                <w:szCs w:val="22"/>
                <w:lang w:val="es-ES"/>
              </w:rPr>
            </w:pPr>
            <w:sdt>
              <w:sdtPr>
                <w:rPr>
                  <w:snapToGrid w:val="0"/>
                  <w:kern w:val="22"/>
                  <w:lang w:val="es-E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Content>
                <w:r w:rsidR="00FD785E" w:rsidRPr="00D770FF">
                  <w:rPr>
                    <w:rFonts w:ascii="Times New Roman" w:hAnsi="Times New Roman" w:cs="Times New Roman"/>
                    <w:snapToGrid w:val="0"/>
                    <w:kern w:val="22"/>
                    <w:lang w:val="es-ES"/>
                  </w:rPr>
                  <w:t>CBD/NP/MOP/4/</w:t>
                </w:r>
                <w:r w:rsidR="001849DB" w:rsidRPr="00D770FF">
                  <w:rPr>
                    <w:rFonts w:ascii="Times New Roman" w:hAnsi="Times New Roman" w:cs="Times New Roman"/>
                    <w:snapToGrid w:val="0"/>
                    <w:kern w:val="22"/>
                    <w:lang w:val="es-ES"/>
                  </w:rPr>
                  <w:t>Part1/</w:t>
                </w:r>
                <w:r w:rsidR="00DF5967" w:rsidRPr="00D770FF">
                  <w:rPr>
                    <w:rFonts w:ascii="Times New Roman" w:hAnsi="Times New Roman" w:cs="Times New Roman"/>
                    <w:snapToGrid w:val="0"/>
                    <w:kern w:val="22"/>
                    <w:lang w:val="es-ES"/>
                  </w:rPr>
                  <w:t>L</w:t>
                </w:r>
                <w:r w:rsidR="001849DB" w:rsidRPr="00D770FF">
                  <w:rPr>
                    <w:rFonts w:ascii="Times New Roman" w:hAnsi="Times New Roman" w:cs="Times New Roman"/>
                    <w:snapToGrid w:val="0"/>
                    <w:kern w:val="22"/>
                    <w:lang w:val="es-ES"/>
                  </w:rPr>
                  <w:t>.1</w:t>
                </w:r>
              </w:sdtContent>
            </w:sdt>
          </w:p>
          <w:p w:rsidR="00E70AE7" w:rsidRPr="00D770FF" w:rsidRDefault="00A26CE0" w:rsidP="00E70AE7">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 xml:space="preserve">11 </w:t>
            </w:r>
            <w:r w:rsidR="00CC08D4" w:rsidRPr="00D770FF">
              <w:rPr>
                <w:rFonts w:ascii="Times New Roman" w:hAnsi="Times New Roman" w:cs="Times New Roman"/>
                <w:snapToGrid w:val="0"/>
                <w:kern w:val="22"/>
                <w:szCs w:val="22"/>
                <w:lang w:val="es-ES"/>
              </w:rPr>
              <w:t xml:space="preserve">de octubre de </w:t>
            </w:r>
            <w:r w:rsidR="00E70AE7" w:rsidRPr="00D770FF">
              <w:rPr>
                <w:rFonts w:ascii="Times New Roman" w:hAnsi="Times New Roman" w:cs="Times New Roman"/>
                <w:snapToGrid w:val="0"/>
                <w:kern w:val="22"/>
                <w:szCs w:val="22"/>
                <w:lang w:val="es-ES"/>
              </w:rPr>
              <w:t>2021</w:t>
            </w:r>
          </w:p>
          <w:p w:rsidR="00E75D28" w:rsidRPr="00D770FF" w:rsidRDefault="00E75D28" w:rsidP="0040593B">
            <w:pPr>
              <w:ind w:left="1215"/>
              <w:rPr>
                <w:rFonts w:ascii="Times New Roman" w:hAnsi="Times New Roman" w:cs="Times New Roman"/>
                <w:snapToGrid w:val="0"/>
                <w:kern w:val="22"/>
                <w:szCs w:val="22"/>
                <w:lang w:val="es-ES"/>
              </w:rPr>
            </w:pPr>
          </w:p>
          <w:p w:rsidR="00E75D28" w:rsidRPr="00D770FF" w:rsidRDefault="00CC08D4" w:rsidP="0040593B">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ESPAÑOL</w:t>
            </w:r>
            <w:r w:rsidRPr="00D770FF">
              <w:rPr>
                <w:rFonts w:ascii="Times New Roman" w:hAnsi="Times New Roman" w:cs="Times New Roman"/>
                <w:snapToGrid w:val="0"/>
                <w:kern w:val="22"/>
                <w:szCs w:val="22"/>
                <w:lang w:val="es-ES"/>
              </w:rPr>
              <w:br/>
            </w:r>
            <w:r w:rsidR="00E75D28" w:rsidRPr="00D770FF">
              <w:rPr>
                <w:rFonts w:ascii="Times New Roman" w:hAnsi="Times New Roman" w:cs="Times New Roman"/>
                <w:snapToGrid w:val="0"/>
                <w:kern w:val="22"/>
                <w:szCs w:val="22"/>
                <w:lang w:val="es-ES"/>
              </w:rPr>
              <w:t xml:space="preserve">ORIGINAL: </w:t>
            </w:r>
            <w:r w:rsidRPr="00D770FF">
              <w:rPr>
                <w:rFonts w:ascii="Times New Roman" w:hAnsi="Times New Roman" w:cs="Times New Roman"/>
                <w:snapToGrid w:val="0"/>
                <w:kern w:val="22"/>
                <w:szCs w:val="22"/>
                <w:lang w:val="es-ES"/>
              </w:rPr>
              <w:t>INGLÉS</w:t>
            </w:r>
          </w:p>
          <w:p w:rsidR="00E75D28" w:rsidRPr="00D770FF" w:rsidRDefault="00E75D28" w:rsidP="0040593B">
            <w:pPr>
              <w:rPr>
                <w:rFonts w:ascii="Times New Roman" w:hAnsi="Times New Roman" w:cs="Times New Roman"/>
                <w:snapToGrid w:val="0"/>
                <w:kern w:val="22"/>
                <w:lang w:val="es-ES"/>
              </w:rPr>
            </w:pPr>
          </w:p>
        </w:tc>
      </w:tr>
    </w:tbl>
    <w:p w:rsidR="00CA6B87" w:rsidRPr="00D770FF" w:rsidRDefault="00423EF7" w:rsidP="00665C89">
      <w:pPr>
        <w:pStyle w:val="meetingname"/>
        <w:ind w:right="3690"/>
        <w:rPr>
          <w:kern w:val="22"/>
          <w:szCs w:val="22"/>
          <w:lang w:val="es-ES"/>
        </w:rPr>
      </w:pPr>
      <w:r w:rsidRPr="00D770FF">
        <w:rPr>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rsidR="0071432E" w:rsidRPr="00D770FF" w:rsidRDefault="00423EF7" w:rsidP="0071432E">
      <w:pPr>
        <w:rPr>
          <w:snapToGrid w:val="0"/>
          <w:kern w:val="22"/>
          <w:lang w:val="es-ES"/>
        </w:rPr>
      </w:pPr>
      <w:r w:rsidRPr="00D770FF">
        <w:rPr>
          <w:snapToGrid w:val="0"/>
          <w:kern w:val="22"/>
          <w:lang w:val="es-ES"/>
        </w:rPr>
        <w:t>Cuarta reunión</w:t>
      </w:r>
    </w:p>
    <w:p w:rsidR="00D770FF" w:rsidRPr="00D770FF" w:rsidRDefault="00423EF7" w:rsidP="00423EF7">
      <w:pPr>
        <w:pStyle w:val="Cornernotation"/>
        <w:rPr>
          <w:lang w:val="es-ES"/>
        </w:rPr>
      </w:pPr>
      <w:r w:rsidRPr="00D770FF">
        <w:rPr>
          <w:lang w:val="es-ES"/>
        </w:rPr>
        <w:t>Kunming (China), 11 a 15 de octubre de 2021</w:t>
      </w:r>
    </w:p>
    <w:p w:rsidR="00423EF7" w:rsidRPr="00D770FF" w:rsidRDefault="00D770FF" w:rsidP="00D770FF">
      <w:pPr>
        <w:pStyle w:val="Cornernotation"/>
        <w:ind w:firstLine="0"/>
        <w:rPr>
          <w:snapToGrid w:val="0"/>
          <w:kern w:val="22"/>
          <w:lang w:val="es-ES"/>
        </w:rPr>
      </w:pPr>
      <w:proofErr w:type="gramStart"/>
      <w:r w:rsidRPr="00D770FF">
        <w:rPr>
          <w:lang w:val="es-ES"/>
        </w:rPr>
        <w:t>y</w:t>
      </w:r>
      <w:proofErr w:type="gramEnd"/>
      <w:r w:rsidRPr="00D770FF">
        <w:rPr>
          <w:lang w:val="es-ES"/>
        </w:rPr>
        <w:t xml:space="preserve"> </w:t>
      </w:r>
      <w:r w:rsidR="00423EF7" w:rsidRPr="00D770FF">
        <w:rPr>
          <w:lang w:val="es-ES"/>
        </w:rPr>
        <w:t xml:space="preserve">25 de abril a 8 de mayo de 2022 </w:t>
      </w:r>
    </w:p>
    <w:p w:rsidR="0080670B" w:rsidRPr="00D770FF" w:rsidRDefault="0080670B" w:rsidP="00423EF7">
      <w:pPr>
        <w:pStyle w:val="Cornernotation"/>
        <w:rPr>
          <w:snapToGrid w:val="0"/>
          <w:kern w:val="22"/>
          <w:lang w:val="es-ES"/>
        </w:rPr>
      </w:pPr>
    </w:p>
    <w:p w:rsidR="00406BC6" w:rsidRPr="00D770FF" w:rsidRDefault="0064546F" w:rsidP="00E620CB">
      <w:pPr>
        <w:pStyle w:val="Heading1"/>
        <w:tabs>
          <w:tab w:val="clear" w:pos="720"/>
        </w:tabs>
        <w:rPr>
          <w:snapToGrid w:val="0"/>
          <w:kern w:val="22"/>
          <w:szCs w:val="22"/>
          <w:lang w:val="es-ES"/>
        </w:rPr>
      </w:pPr>
      <w:sdt>
        <w:sdtPr>
          <w:rPr>
            <w:bCs/>
            <w:snapToGrid w:val="0"/>
            <w:kern w:val="22"/>
            <w:szCs w:val="22"/>
            <w:lang w:val="es-E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4958BC">
            <w:rPr>
              <w:bCs/>
              <w:snapToGrid w:val="0"/>
              <w:kern w:val="22"/>
              <w:szCs w:val="22"/>
              <w:lang w:val="es-ES"/>
            </w:rPr>
            <w:t>PROYECTO DE INFORME</w:t>
          </w:r>
        </w:sdtContent>
      </w:sdt>
    </w:p>
    <w:p w:rsidR="000E1F60" w:rsidRPr="00D770FF" w:rsidRDefault="000E1F60" w:rsidP="00E620CB">
      <w:pPr>
        <w:pStyle w:val="Heading1"/>
        <w:tabs>
          <w:tab w:val="clear" w:pos="720"/>
        </w:tabs>
        <w:spacing w:before="120"/>
        <w:rPr>
          <w:iCs/>
          <w:caps w:val="0"/>
          <w:snapToGrid w:val="0"/>
          <w:kern w:val="22"/>
          <w:szCs w:val="22"/>
          <w:lang w:val="es-ES"/>
        </w:rPr>
      </w:pPr>
      <w:r w:rsidRPr="00D770FF">
        <w:rPr>
          <w:b w:val="0"/>
          <w:i/>
          <w:iCs/>
          <w:caps w:val="0"/>
          <w:snapToGrid w:val="0"/>
          <w:kern w:val="22"/>
          <w:szCs w:val="22"/>
          <w:lang w:val="es-ES"/>
        </w:rPr>
        <w:t>R</w:t>
      </w:r>
      <w:r w:rsidR="00423EF7" w:rsidRPr="00D770FF">
        <w:rPr>
          <w:b w:val="0"/>
          <w:i/>
          <w:iCs/>
          <w:caps w:val="0"/>
          <w:snapToGrid w:val="0"/>
          <w:kern w:val="22"/>
          <w:szCs w:val="22"/>
          <w:lang w:val="es-ES"/>
        </w:rPr>
        <w:t>elator</w:t>
      </w:r>
      <w:r w:rsidR="00500B01" w:rsidRPr="00D770FF">
        <w:rPr>
          <w:b w:val="0"/>
          <w:i/>
          <w:iCs/>
          <w:caps w:val="0"/>
          <w:snapToGrid w:val="0"/>
          <w:kern w:val="22"/>
          <w:szCs w:val="22"/>
          <w:lang w:val="es-ES"/>
        </w:rPr>
        <w:t>a</w:t>
      </w:r>
      <w:r w:rsidRPr="00D770FF">
        <w:rPr>
          <w:b w:val="0"/>
          <w:iCs/>
          <w:caps w:val="0"/>
          <w:snapToGrid w:val="0"/>
          <w:kern w:val="22"/>
          <w:szCs w:val="22"/>
          <w:lang w:val="es-ES"/>
        </w:rPr>
        <w:t>:</w:t>
      </w:r>
      <w:r w:rsidRPr="00D770FF">
        <w:rPr>
          <w:iCs/>
          <w:caps w:val="0"/>
          <w:snapToGrid w:val="0"/>
          <w:kern w:val="22"/>
          <w:szCs w:val="22"/>
          <w:lang w:val="es-ES"/>
        </w:rPr>
        <w:t xml:space="preserve"> </w:t>
      </w:r>
      <w:r w:rsidR="00423EF7" w:rsidRPr="00D770FF">
        <w:rPr>
          <w:b w:val="0"/>
          <w:bCs/>
          <w:iCs/>
          <w:caps w:val="0"/>
          <w:snapToGrid w:val="0"/>
          <w:kern w:val="22"/>
          <w:szCs w:val="22"/>
          <w:lang w:val="es-ES"/>
        </w:rPr>
        <w:t>Sra</w:t>
      </w:r>
      <w:r w:rsidRPr="00D770FF">
        <w:rPr>
          <w:b w:val="0"/>
          <w:bCs/>
          <w:iCs/>
          <w:caps w:val="0"/>
          <w:snapToGrid w:val="0"/>
          <w:kern w:val="22"/>
          <w:szCs w:val="22"/>
          <w:lang w:val="es-ES"/>
        </w:rPr>
        <w:t>. Elvana Ramaj (Albania)</w:t>
      </w:r>
    </w:p>
    <w:p w:rsidR="00DE59C4" w:rsidRPr="00D770FF" w:rsidRDefault="00423EF7" w:rsidP="00E620CB">
      <w:pPr>
        <w:pStyle w:val="Heading1"/>
        <w:tabs>
          <w:tab w:val="clear" w:pos="720"/>
        </w:tabs>
        <w:spacing w:before="120"/>
        <w:rPr>
          <w:caps w:val="0"/>
          <w:snapToGrid w:val="0"/>
          <w:kern w:val="22"/>
          <w:szCs w:val="22"/>
          <w:lang w:val="es-ES"/>
        </w:rPr>
      </w:pPr>
      <w:r w:rsidRPr="00D770FF">
        <w:rPr>
          <w:caps w:val="0"/>
          <w:snapToGrid w:val="0"/>
          <w:kern w:val="22"/>
          <w:szCs w:val="22"/>
          <w:lang w:val="es-ES"/>
        </w:rPr>
        <w:t>INTRODUCCIÓN</w:t>
      </w:r>
    </w:p>
    <w:p w:rsidR="000F7A89" w:rsidRPr="00D770FF" w:rsidRDefault="000F7A89" w:rsidP="00633FDF">
      <w:pPr>
        <w:pStyle w:val="Para1"/>
        <w:rPr>
          <w:kern w:val="22"/>
          <w:szCs w:val="22"/>
          <w:lang w:val="es-ES"/>
        </w:rPr>
      </w:pPr>
      <w:r w:rsidRPr="00D770FF">
        <w:rPr>
          <w:lang w:val="es-ES"/>
        </w:rPr>
        <w:t xml:space="preserve">Por invitación del Gobierno de China y conforme a lo decidido por la Conferencia de las Partes en su </w:t>
      </w:r>
      <w:hyperlink r:id="rId14" w:history="1">
        <w:r w:rsidRPr="00D770FF">
          <w:rPr>
            <w:lang w:val="es-ES"/>
          </w:rPr>
          <w:t>decisión XIII/33</w:t>
        </w:r>
      </w:hyperlink>
      <w:r w:rsidRPr="00D770FF">
        <w:rPr>
          <w:lang w:val="es-ES"/>
        </w:rPr>
        <w:t>, se tenía previsto celebrar la cuarta reunión de la Conferencia de las Partes que actúa como reunión de las Partes en el Protocolo de Nagoya sobre Acceso a los Recursos Genéticos y Participación Justa y Equitativa en los Beneficios que se Deriven de su Utilización en Kunming (China), del 15 al 28 de octubre de 2020, en forma concurrente con la 15</w:t>
      </w:r>
      <w:r w:rsidRPr="00D770FF">
        <w:rPr>
          <w:vertAlign w:val="superscript"/>
          <w:lang w:val="es-ES"/>
        </w:rPr>
        <w:t>a</w:t>
      </w:r>
      <w:r w:rsidRPr="00D770FF">
        <w:rPr>
          <w:lang w:val="es-ES"/>
        </w:rPr>
        <w:t xml:space="preserve"> reunión de la </w:t>
      </w:r>
      <w:r w:rsidR="007E4499" w:rsidRPr="00D770FF">
        <w:rPr>
          <w:lang w:val="es-ES"/>
        </w:rPr>
        <w:t xml:space="preserve">Conferencia de las Partes en el Convenio sobre la Diversidad Biológica </w:t>
      </w:r>
      <w:r w:rsidRPr="00D770FF">
        <w:rPr>
          <w:lang w:val="es-ES"/>
        </w:rPr>
        <w:t>y la 10</w:t>
      </w:r>
      <w:r w:rsidRPr="00D770FF">
        <w:rPr>
          <w:vertAlign w:val="superscript"/>
          <w:lang w:val="es-ES"/>
        </w:rPr>
        <w:t xml:space="preserve">a </w:t>
      </w:r>
      <w:r w:rsidRPr="00D770FF">
        <w:rPr>
          <w:lang w:val="es-ES"/>
        </w:rPr>
        <w:t xml:space="preserve">reunión de la Conferencia de las Partes que actúa como reunión de las Partes en el Protocolo de Cartagena sobre Seguridad de la Biotecnología. Sin embargo, debido a la actual pandemia de COVID-19 </w:t>
      </w:r>
      <w:r w:rsidR="007E4499" w:rsidRPr="00D770FF">
        <w:rPr>
          <w:lang w:val="es-ES"/>
        </w:rPr>
        <w:t xml:space="preserve">se postergaron </w:t>
      </w:r>
      <w:r w:rsidRPr="00D770FF">
        <w:rPr>
          <w:lang w:val="es-ES"/>
        </w:rPr>
        <w:t>las reuniones, en un principio hasta finales de mayo de 2021, pero posteriormente la pandemia persistió.</w:t>
      </w:r>
    </w:p>
    <w:p w:rsidR="007E4499" w:rsidRPr="00D770FF" w:rsidRDefault="002C3855" w:rsidP="007E4499">
      <w:pPr>
        <w:pStyle w:val="Para1"/>
        <w:rPr>
          <w:kern w:val="22"/>
          <w:szCs w:val="22"/>
          <w:lang w:val="es-ES"/>
        </w:rPr>
      </w:pPr>
      <w:r w:rsidRPr="00D770FF">
        <w:rPr>
          <w:lang w:val="es-ES"/>
        </w:rPr>
        <w:t>Tras amplias consultas y teniendo en cuenta las dificultades que la situación de la pandemia siguió planteando para las reuniones presenciales, la Mesa de la Conferencia de las Partes en el Convenio sobre la Diversidad Biológica, que también sirvió como Mesa de la Conferencia de las Partes que actúa como reunión de las Partes en</w:t>
      </w:r>
      <w:r w:rsidR="00D770FF" w:rsidRPr="00D770FF">
        <w:rPr>
          <w:lang w:val="es-ES"/>
        </w:rPr>
        <w:t xml:space="preserve"> el Protocolo de Nagoya, había </w:t>
      </w:r>
      <w:r w:rsidRPr="00D770FF">
        <w:rPr>
          <w:lang w:val="es-ES"/>
        </w:rPr>
        <w:t>d</w:t>
      </w:r>
      <w:r w:rsidR="00D770FF" w:rsidRPr="00D770FF">
        <w:rPr>
          <w:lang w:val="es-ES"/>
        </w:rPr>
        <w:t>ecidi</w:t>
      </w:r>
      <w:r w:rsidRPr="00D770FF">
        <w:rPr>
          <w:lang w:val="es-ES"/>
        </w:rPr>
        <w:t>do, en su reunión del 14 de julio de 2021, celebrar la cuarta reunión de las Partes en el Protocolo de Nagoya en dos partes: la primera parte (</w:t>
      </w:r>
      <w:r w:rsidR="006140DD">
        <w:rPr>
          <w:lang w:val="es-ES"/>
        </w:rPr>
        <w:t>p</w:t>
      </w:r>
      <w:r w:rsidRPr="00D770FF">
        <w:rPr>
          <w:lang w:val="es-ES"/>
        </w:rPr>
        <w:t>arte I) que se celebrará en línea del 11 al 15 de octubre de 2021, y la segunda parte (</w:t>
      </w:r>
      <w:r w:rsidR="006140DD">
        <w:rPr>
          <w:lang w:val="es-ES"/>
        </w:rPr>
        <w:t>p</w:t>
      </w:r>
      <w:r w:rsidRPr="00D770FF">
        <w:rPr>
          <w:lang w:val="es-ES"/>
        </w:rPr>
        <w:t xml:space="preserve">arte II) que se celebrará de forma presencial, en Kunming (China), del 25 de abril al 8 de mayo de 2022. La Parte I de la reunión se celebró </w:t>
      </w:r>
      <w:r w:rsidR="00D770FF" w:rsidRPr="00D770FF">
        <w:rPr>
          <w:lang w:val="es-ES"/>
        </w:rPr>
        <w:t>en línea</w:t>
      </w:r>
      <w:r w:rsidRPr="00D770FF">
        <w:rPr>
          <w:lang w:val="es-ES"/>
        </w:rPr>
        <w:t>.</w:t>
      </w:r>
    </w:p>
    <w:p w:rsidR="007F44CE" w:rsidRPr="00D770FF" w:rsidRDefault="007D7A8A" w:rsidP="007D7A8A">
      <w:pPr>
        <w:pStyle w:val="Heading2"/>
        <w:rPr>
          <w:snapToGrid w:val="0"/>
          <w:lang w:val="es-ES"/>
        </w:rPr>
      </w:pPr>
      <w:r w:rsidRPr="00D770FF">
        <w:rPr>
          <w:snapToGrid w:val="0"/>
          <w:lang w:val="es-ES"/>
        </w:rPr>
        <w:t>A</w:t>
      </w:r>
      <w:r w:rsidR="00423EF7" w:rsidRPr="00D770FF">
        <w:rPr>
          <w:snapToGrid w:val="0"/>
          <w:lang w:val="es-ES"/>
        </w:rPr>
        <w:t>sisten</w:t>
      </w:r>
      <w:r w:rsidR="00F745B6" w:rsidRPr="00D770FF">
        <w:rPr>
          <w:snapToGrid w:val="0"/>
          <w:lang w:val="es-ES"/>
        </w:rPr>
        <w:t>tes</w:t>
      </w:r>
    </w:p>
    <w:p w:rsidR="00F96D86" w:rsidRPr="00D770FF" w:rsidRDefault="00F96D86" w:rsidP="0019239A">
      <w:pPr>
        <w:pStyle w:val="Para1"/>
        <w:rPr>
          <w:lang w:val="es-ES"/>
        </w:rPr>
      </w:pPr>
      <w:r w:rsidRPr="00D770FF">
        <w:rPr>
          <w:lang w:val="es-ES"/>
        </w:rPr>
        <w:t>[</w:t>
      </w:r>
      <w:r w:rsidR="002C3855" w:rsidRPr="00D770FF">
        <w:rPr>
          <w:i/>
          <w:iCs/>
          <w:lang w:val="es-ES"/>
        </w:rPr>
        <w:t>se completará</w:t>
      </w:r>
      <w:r w:rsidRPr="00D770FF">
        <w:rPr>
          <w:lang w:val="es-ES"/>
        </w:rPr>
        <w:t>]</w:t>
      </w:r>
    </w:p>
    <w:p w:rsidR="00F96D86" w:rsidRPr="00D770FF" w:rsidRDefault="002C3855" w:rsidP="00D630FC">
      <w:pPr>
        <w:pStyle w:val="Heading2"/>
        <w:rPr>
          <w:snapToGrid w:val="0"/>
          <w:lang w:val="es-ES"/>
        </w:rPr>
      </w:pPr>
      <w:r w:rsidRPr="00D770FF">
        <w:rPr>
          <w:snapToGrid w:val="0"/>
          <w:lang w:val="es-ES"/>
        </w:rPr>
        <w:t xml:space="preserve">Cuestiones de organización </w:t>
      </w:r>
    </w:p>
    <w:p w:rsidR="00DE59C4" w:rsidRPr="00D770FF" w:rsidRDefault="002C3855"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lang w:val="es-ES"/>
        </w:rPr>
      </w:pPr>
      <w:bookmarkStart w:id="1" w:name="Item01"/>
      <w:r w:rsidRPr="00D770FF">
        <w:rPr>
          <w:caps w:val="0"/>
          <w:snapToGrid w:val="0"/>
          <w:kern w:val="22"/>
          <w:szCs w:val="22"/>
          <w:lang w:val="es-ES"/>
        </w:rPr>
        <w:t xml:space="preserve">Tema </w:t>
      </w:r>
      <w:r w:rsidR="00DE59C4" w:rsidRPr="00D770FF">
        <w:rPr>
          <w:snapToGrid w:val="0"/>
          <w:kern w:val="22"/>
          <w:szCs w:val="22"/>
          <w:lang w:val="es-ES"/>
        </w:rPr>
        <w:t>1.</w:t>
      </w:r>
      <w:r w:rsidR="00DE59C4" w:rsidRPr="00D770FF">
        <w:rPr>
          <w:snapToGrid w:val="0"/>
          <w:kern w:val="22"/>
          <w:szCs w:val="22"/>
          <w:lang w:val="es-ES"/>
        </w:rPr>
        <w:tab/>
      </w:r>
      <w:r w:rsidRPr="00D770FF">
        <w:rPr>
          <w:caps w:val="0"/>
          <w:snapToGrid w:val="0"/>
          <w:lang w:val="es-ES"/>
        </w:rPr>
        <w:t>Apertura de la reunión</w:t>
      </w:r>
    </w:p>
    <w:bookmarkEnd w:id="1"/>
    <w:p w:rsidR="0019239A" w:rsidRPr="00D770FF" w:rsidRDefault="00D770FF" w:rsidP="0019239A">
      <w:pPr>
        <w:pStyle w:val="Para1"/>
        <w:rPr>
          <w:lang w:val="es-ES"/>
        </w:rPr>
      </w:pPr>
      <w:r w:rsidRPr="00D770FF">
        <w:rPr>
          <w:lang w:val="es-ES"/>
        </w:rPr>
        <w:t xml:space="preserve">Tras la </w:t>
      </w:r>
      <w:r>
        <w:rPr>
          <w:lang w:val="es-ES"/>
        </w:rPr>
        <w:t>inauguración de la 15ª</w:t>
      </w:r>
      <w:r w:rsidR="00A73488">
        <w:rPr>
          <w:lang w:val="es-ES"/>
        </w:rPr>
        <w:t> </w:t>
      </w:r>
      <w:r>
        <w:rPr>
          <w:lang w:val="es-ES"/>
        </w:rPr>
        <w:t>r</w:t>
      </w:r>
      <w:r w:rsidRPr="00D770FF">
        <w:rPr>
          <w:lang w:val="es-ES"/>
        </w:rPr>
        <w:t>e</w:t>
      </w:r>
      <w:r>
        <w:rPr>
          <w:lang w:val="es-ES"/>
        </w:rPr>
        <w:t>unión de la</w:t>
      </w:r>
      <w:r w:rsidRPr="00D770FF">
        <w:rPr>
          <w:lang w:val="es-ES"/>
        </w:rPr>
        <w:t xml:space="preserve"> Conferenc</w:t>
      </w:r>
      <w:r>
        <w:rPr>
          <w:lang w:val="es-ES"/>
        </w:rPr>
        <w:t>ia d</w:t>
      </w:r>
      <w:r w:rsidRPr="00D770FF">
        <w:rPr>
          <w:lang w:val="es-ES"/>
        </w:rPr>
        <w:t xml:space="preserve">e </w:t>
      </w:r>
      <w:r>
        <w:rPr>
          <w:lang w:val="es-ES"/>
        </w:rPr>
        <w:t>las</w:t>
      </w:r>
      <w:r w:rsidRPr="00D770FF">
        <w:rPr>
          <w:lang w:val="es-ES"/>
        </w:rPr>
        <w:t xml:space="preserve"> Partes</w:t>
      </w:r>
      <w:r w:rsidR="00A73488">
        <w:rPr>
          <w:lang w:val="es-ES"/>
        </w:rPr>
        <w:t xml:space="preserve"> por</w:t>
      </w:r>
      <w:r w:rsidRPr="00D770FF">
        <w:rPr>
          <w:lang w:val="es-ES"/>
        </w:rPr>
        <w:t xml:space="preserve"> </w:t>
      </w:r>
      <w:r>
        <w:rPr>
          <w:lang w:val="es-ES"/>
        </w:rPr>
        <w:t>la Sra</w:t>
      </w:r>
      <w:r w:rsidRPr="00D770FF">
        <w:rPr>
          <w:lang w:val="es-ES"/>
        </w:rPr>
        <w:t>.</w:t>
      </w:r>
      <w:r>
        <w:rPr>
          <w:lang w:val="es-ES"/>
        </w:rPr>
        <w:t xml:space="preserve"> Yasmine Fouad, Minist</w:t>
      </w:r>
      <w:r w:rsidRPr="00D770FF">
        <w:rPr>
          <w:lang w:val="es-ES"/>
        </w:rPr>
        <w:t>r</w:t>
      </w:r>
      <w:r>
        <w:rPr>
          <w:lang w:val="es-ES"/>
        </w:rPr>
        <w:t>a</w:t>
      </w:r>
      <w:r w:rsidRPr="00D770FF">
        <w:rPr>
          <w:lang w:val="es-ES"/>
        </w:rPr>
        <w:t xml:space="preserve"> </w:t>
      </w:r>
      <w:r>
        <w:rPr>
          <w:lang w:val="es-ES"/>
        </w:rPr>
        <w:t>de Medio Ambiente de</w:t>
      </w:r>
      <w:r w:rsidRPr="00D770FF">
        <w:rPr>
          <w:lang w:val="es-ES"/>
        </w:rPr>
        <w:t xml:space="preserve"> Eg</w:t>
      </w:r>
      <w:r>
        <w:rPr>
          <w:lang w:val="es-ES"/>
        </w:rPr>
        <w:t>i</w:t>
      </w:r>
      <w:r w:rsidRPr="00D770FF">
        <w:rPr>
          <w:lang w:val="es-ES"/>
        </w:rPr>
        <w:t>pt</w:t>
      </w:r>
      <w:r>
        <w:rPr>
          <w:lang w:val="es-ES"/>
        </w:rPr>
        <w:t>o</w:t>
      </w:r>
      <w:r w:rsidRPr="00D770FF">
        <w:rPr>
          <w:lang w:val="es-ES"/>
        </w:rPr>
        <w:t xml:space="preserve"> </w:t>
      </w:r>
      <w:r>
        <w:rPr>
          <w:lang w:val="es-ES"/>
        </w:rPr>
        <w:t>y</w:t>
      </w:r>
      <w:r w:rsidRPr="00D770FF">
        <w:rPr>
          <w:lang w:val="es-ES"/>
        </w:rPr>
        <w:t xml:space="preserve"> President</w:t>
      </w:r>
      <w:r>
        <w:rPr>
          <w:lang w:val="es-ES"/>
        </w:rPr>
        <w:t>a</w:t>
      </w:r>
      <w:r w:rsidRPr="00D770FF">
        <w:rPr>
          <w:lang w:val="es-ES"/>
        </w:rPr>
        <w:t xml:space="preserve"> </w:t>
      </w:r>
      <w:r>
        <w:rPr>
          <w:lang w:val="es-ES"/>
        </w:rPr>
        <w:t>d</w:t>
      </w:r>
      <w:r w:rsidRPr="00D770FF">
        <w:rPr>
          <w:lang w:val="es-ES"/>
        </w:rPr>
        <w:t xml:space="preserve">e </w:t>
      </w:r>
      <w:r>
        <w:rPr>
          <w:lang w:val="es-ES"/>
        </w:rPr>
        <w:t xml:space="preserve">la </w:t>
      </w:r>
      <w:r w:rsidRPr="00D770FF">
        <w:rPr>
          <w:lang w:val="es-ES"/>
        </w:rPr>
        <w:t>Conferenc</w:t>
      </w:r>
      <w:r>
        <w:rPr>
          <w:lang w:val="es-ES"/>
        </w:rPr>
        <w:t>ia d</w:t>
      </w:r>
      <w:r w:rsidRPr="00D770FF">
        <w:rPr>
          <w:lang w:val="es-ES"/>
        </w:rPr>
        <w:t xml:space="preserve">e </w:t>
      </w:r>
      <w:r>
        <w:rPr>
          <w:lang w:val="es-ES"/>
        </w:rPr>
        <w:t>las</w:t>
      </w:r>
      <w:r w:rsidRPr="00D770FF">
        <w:rPr>
          <w:lang w:val="es-ES"/>
        </w:rPr>
        <w:t xml:space="preserve"> Partes </w:t>
      </w:r>
      <w:r>
        <w:rPr>
          <w:lang w:val="es-ES"/>
        </w:rPr>
        <w:t xml:space="preserve">en </w:t>
      </w:r>
      <w:r w:rsidRPr="00D770FF">
        <w:rPr>
          <w:lang w:val="es-ES"/>
        </w:rPr>
        <w:t>s</w:t>
      </w:r>
      <w:r>
        <w:rPr>
          <w:lang w:val="es-ES"/>
        </w:rPr>
        <w:t>u 14ª reunión</w:t>
      </w:r>
      <w:r w:rsidRPr="00D770FF">
        <w:rPr>
          <w:lang w:val="es-ES"/>
        </w:rPr>
        <w:t xml:space="preserve">, </w:t>
      </w:r>
      <w:r>
        <w:rPr>
          <w:lang w:val="es-ES"/>
        </w:rPr>
        <w:t xml:space="preserve">y </w:t>
      </w:r>
      <w:r>
        <w:rPr>
          <w:lang w:val="es-ES"/>
        </w:rPr>
        <w:lastRenderedPageBreak/>
        <w:t>l</w:t>
      </w:r>
      <w:r w:rsidRPr="00D770FF">
        <w:rPr>
          <w:lang w:val="es-ES"/>
        </w:rPr>
        <w:t>a</w:t>
      </w:r>
      <w:r>
        <w:rPr>
          <w:lang w:val="es-ES"/>
        </w:rPr>
        <w:t xml:space="preserve"> </w:t>
      </w:r>
      <w:r w:rsidRPr="00D770FF">
        <w:rPr>
          <w:lang w:val="es-ES"/>
        </w:rPr>
        <w:t>elec</w:t>
      </w:r>
      <w:r>
        <w:rPr>
          <w:lang w:val="es-ES"/>
        </w:rPr>
        <w:t>c</w:t>
      </w:r>
      <w:r w:rsidRPr="00D770FF">
        <w:rPr>
          <w:lang w:val="es-ES"/>
        </w:rPr>
        <w:t>i</w:t>
      </w:r>
      <w:r>
        <w:rPr>
          <w:lang w:val="es-ES"/>
        </w:rPr>
        <w:t>ó</w:t>
      </w:r>
      <w:r w:rsidRPr="00D770FF">
        <w:rPr>
          <w:lang w:val="es-ES"/>
        </w:rPr>
        <w:t xml:space="preserve">n </w:t>
      </w:r>
      <w:r>
        <w:rPr>
          <w:lang w:val="es-ES"/>
        </w:rPr>
        <w:t>del S</w:t>
      </w:r>
      <w:r w:rsidRPr="00D770FF">
        <w:rPr>
          <w:lang w:val="es-ES"/>
        </w:rPr>
        <w:t>r. Runqiu Huang, Ministro</w:t>
      </w:r>
      <w:r>
        <w:rPr>
          <w:lang w:val="es-ES"/>
        </w:rPr>
        <w:t xml:space="preserve"> de </w:t>
      </w:r>
      <w:r w:rsidRPr="00D770FF">
        <w:rPr>
          <w:lang w:val="es-ES"/>
        </w:rPr>
        <w:t>Ecolog</w:t>
      </w:r>
      <w:r>
        <w:rPr>
          <w:lang w:val="es-ES"/>
        </w:rPr>
        <w:t>í</w:t>
      </w:r>
      <w:r w:rsidRPr="00D770FF">
        <w:rPr>
          <w:lang w:val="es-ES"/>
        </w:rPr>
        <w:t>a</w:t>
      </w:r>
      <w:r>
        <w:rPr>
          <w:lang w:val="es-ES"/>
        </w:rPr>
        <w:t xml:space="preserve"> y Medio Ambiente de</w:t>
      </w:r>
      <w:r w:rsidRPr="00D770FF">
        <w:rPr>
          <w:lang w:val="es-ES"/>
        </w:rPr>
        <w:t xml:space="preserve"> China, </w:t>
      </w:r>
      <w:r>
        <w:rPr>
          <w:lang w:val="es-ES"/>
        </w:rPr>
        <w:t>como</w:t>
      </w:r>
      <w:r w:rsidRPr="00D770FF">
        <w:rPr>
          <w:lang w:val="es-ES"/>
        </w:rPr>
        <w:t xml:space="preserve"> Presidente </w:t>
      </w:r>
      <w:r>
        <w:rPr>
          <w:lang w:val="es-ES"/>
        </w:rPr>
        <w:t xml:space="preserve">de la </w:t>
      </w:r>
      <w:r w:rsidRPr="00D770FF">
        <w:rPr>
          <w:lang w:val="es-ES"/>
        </w:rPr>
        <w:t>Conferenc</w:t>
      </w:r>
      <w:r>
        <w:rPr>
          <w:lang w:val="es-ES"/>
        </w:rPr>
        <w:t>ia de las</w:t>
      </w:r>
      <w:r w:rsidRPr="00D770FF">
        <w:rPr>
          <w:lang w:val="es-ES"/>
        </w:rPr>
        <w:t xml:space="preserve"> Partes </w:t>
      </w:r>
      <w:r>
        <w:rPr>
          <w:lang w:val="es-ES"/>
        </w:rPr>
        <w:t>en su 15ª</w:t>
      </w:r>
      <w:r w:rsidR="00DD3825">
        <w:rPr>
          <w:lang w:val="es-ES"/>
        </w:rPr>
        <w:t> </w:t>
      </w:r>
      <w:r>
        <w:rPr>
          <w:lang w:val="es-ES"/>
        </w:rPr>
        <w:t>reunión</w:t>
      </w:r>
      <w:r w:rsidRPr="00D770FF">
        <w:rPr>
          <w:lang w:val="es-ES"/>
        </w:rPr>
        <w:t xml:space="preserve">, </w:t>
      </w:r>
      <w:r>
        <w:rPr>
          <w:lang w:val="es-ES"/>
        </w:rPr>
        <w:t>l</w:t>
      </w:r>
      <w:r w:rsidR="0041526C" w:rsidRPr="00D770FF">
        <w:rPr>
          <w:rStyle w:val="Para1Char"/>
          <w:lang w:val="es-ES"/>
        </w:rPr>
        <w:t>a primera parte de la cuarta reunión de la Conferencia de las Partes que actúa como reunión de las Partes en el Protocolo de Nagoya fue inaugurada a las 15</w:t>
      </w:r>
      <w:r w:rsidR="0019239A" w:rsidRPr="00D770FF">
        <w:rPr>
          <w:rStyle w:val="Para1Char"/>
          <w:lang w:val="es-ES"/>
        </w:rPr>
        <w:t xml:space="preserve">:30 </w:t>
      </w:r>
      <w:r w:rsidR="0041526C" w:rsidRPr="00D770FF">
        <w:rPr>
          <w:rStyle w:val="Para1Char"/>
          <w:lang w:val="es-ES"/>
        </w:rPr>
        <w:t>horas</w:t>
      </w:r>
      <w:r w:rsidR="0019239A" w:rsidRPr="00D770FF">
        <w:rPr>
          <w:rStyle w:val="Para1Char"/>
          <w:vertAlign w:val="superscript"/>
          <w:lang w:val="es-ES"/>
        </w:rPr>
        <w:footnoteReference w:id="3"/>
      </w:r>
      <w:r w:rsidR="0019239A" w:rsidRPr="00D770FF">
        <w:rPr>
          <w:rStyle w:val="Para1Char"/>
          <w:lang w:val="es-ES"/>
        </w:rPr>
        <w:t xml:space="preserve"> </w:t>
      </w:r>
      <w:r w:rsidR="0041526C" w:rsidRPr="00D770FF">
        <w:rPr>
          <w:rStyle w:val="Para1Char"/>
          <w:lang w:val="es-ES"/>
        </w:rPr>
        <w:t xml:space="preserve">el 11 de octubre de </w:t>
      </w:r>
      <w:r w:rsidR="0019239A" w:rsidRPr="00D770FF">
        <w:rPr>
          <w:rStyle w:val="Para1Char"/>
          <w:lang w:val="es-ES"/>
        </w:rPr>
        <w:t xml:space="preserve">2021 </w:t>
      </w:r>
      <w:r w:rsidR="0041526C" w:rsidRPr="00D770FF">
        <w:rPr>
          <w:rStyle w:val="Para1Char"/>
          <w:lang w:val="es-ES"/>
        </w:rPr>
        <w:t>por el Sr.</w:t>
      </w:r>
      <w:r w:rsidR="0019239A" w:rsidRPr="00D770FF">
        <w:rPr>
          <w:rStyle w:val="Para1Char"/>
          <w:lang w:val="es-ES"/>
        </w:rPr>
        <w:t xml:space="preserve"> Huang, </w:t>
      </w:r>
      <w:r w:rsidR="00A73488">
        <w:rPr>
          <w:rStyle w:val="Para1Char"/>
          <w:lang w:val="es-ES"/>
        </w:rPr>
        <w:t>como</w:t>
      </w:r>
      <w:r w:rsidR="0041526C" w:rsidRPr="00D770FF">
        <w:rPr>
          <w:lang w:val="es-ES"/>
        </w:rPr>
        <w:t xml:space="preserve"> Presidente de la Conferencia de las Partes que actúa como reunión de las Partes en el Protocolo de Nagoya</w:t>
      </w:r>
      <w:r w:rsidR="00A73488">
        <w:rPr>
          <w:lang w:val="es-ES"/>
        </w:rPr>
        <w:t xml:space="preserve"> en su 4ª reunión</w:t>
      </w:r>
      <w:r w:rsidR="0019239A" w:rsidRPr="00D770FF">
        <w:rPr>
          <w:lang w:val="es-ES"/>
        </w:rPr>
        <w:t>.</w:t>
      </w:r>
    </w:p>
    <w:p w:rsidR="003218C1" w:rsidRPr="00D770FF" w:rsidRDefault="00A73488" w:rsidP="0019239A">
      <w:pPr>
        <w:pStyle w:val="Para1"/>
        <w:rPr>
          <w:lang w:val="es-ES"/>
        </w:rPr>
      </w:pPr>
      <w:r>
        <w:rPr>
          <w:lang w:val="es-ES"/>
        </w:rPr>
        <w:t>Se pronunciaron</w:t>
      </w:r>
      <w:r w:rsidR="0041526C" w:rsidRPr="00D770FF">
        <w:rPr>
          <w:lang w:val="es-ES"/>
        </w:rPr>
        <w:t xml:space="preserve"> declaraciones de apertura </w:t>
      </w:r>
      <w:r>
        <w:rPr>
          <w:lang w:val="es-ES"/>
        </w:rPr>
        <w:t>a cargo</w:t>
      </w:r>
      <w:r w:rsidR="003218C1" w:rsidRPr="00D770FF">
        <w:rPr>
          <w:lang w:val="es-ES"/>
        </w:rPr>
        <w:t xml:space="preserve"> </w:t>
      </w:r>
      <w:r>
        <w:rPr>
          <w:lang w:val="es-ES"/>
        </w:rPr>
        <w:t>d</w:t>
      </w:r>
      <w:r w:rsidR="0041526C" w:rsidRPr="00D770FF">
        <w:rPr>
          <w:lang w:val="es-ES"/>
        </w:rPr>
        <w:t>el Sr</w:t>
      </w:r>
      <w:r w:rsidR="003218C1" w:rsidRPr="00D770FF">
        <w:rPr>
          <w:lang w:val="es-ES"/>
        </w:rPr>
        <w:t xml:space="preserve">. Zheng Han, </w:t>
      </w:r>
      <w:r w:rsidR="0041526C" w:rsidRPr="00D770FF">
        <w:rPr>
          <w:lang w:val="es-ES"/>
        </w:rPr>
        <w:t>Vice</w:t>
      </w:r>
      <w:r>
        <w:rPr>
          <w:lang w:val="es-ES"/>
        </w:rPr>
        <w:t xml:space="preserve"> P</w:t>
      </w:r>
      <w:r w:rsidR="0041526C" w:rsidRPr="00D770FF">
        <w:rPr>
          <w:lang w:val="es-ES"/>
        </w:rPr>
        <w:t>rimer Ministro del Consejo de Estado de China</w:t>
      </w:r>
      <w:r>
        <w:rPr>
          <w:lang w:val="es-ES"/>
        </w:rPr>
        <w:t>,</w:t>
      </w:r>
      <w:r w:rsidR="003218C1" w:rsidRPr="00D770FF">
        <w:rPr>
          <w:lang w:val="es-ES"/>
        </w:rPr>
        <w:t xml:space="preserve"> </w:t>
      </w:r>
      <w:r w:rsidR="0041526C" w:rsidRPr="00D770FF">
        <w:rPr>
          <w:lang w:val="es-ES"/>
        </w:rPr>
        <w:t>la Sra</w:t>
      </w:r>
      <w:r w:rsidR="003218C1" w:rsidRPr="00D770FF">
        <w:rPr>
          <w:lang w:val="es-ES"/>
        </w:rPr>
        <w:t xml:space="preserve">. Inger Andersen, </w:t>
      </w:r>
      <w:r w:rsidR="0041526C" w:rsidRPr="00D770FF">
        <w:rPr>
          <w:lang w:val="es-ES"/>
        </w:rPr>
        <w:t>Directora Ejecutiva del Programa de las Naciones Unidas para el Medio Ambiente</w:t>
      </w:r>
      <w:r w:rsidR="003218C1" w:rsidRPr="00D770FF">
        <w:rPr>
          <w:lang w:val="es-ES"/>
        </w:rPr>
        <w:t xml:space="preserve">, </w:t>
      </w:r>
      <w:r w:rsidR="0041526C" w:rsidRPr="00D770FF">
        <w:rPr>
          <w:lang w:val="es-ES"/>
        </w:rPr>
        <w:t>en nombre de la Sra</w:t>
      </w:r>
      <w:r w:rsidR="003218C1" w:rsidRPr="00D770FF">
        <w:rPr>
          <w:lang w:val="es-ES"/>
        </w:rPr>
        <w:t>.</w:t>
      </w:r>
      <w:r>
        <w:rPr>
          <w:lang w:val="es-ES"/>
        </w:rPr>
        <w:t> </w:t>
      </w:r>
      <w:r w:rsidR="003218C1" w:rsidRPr="00D770FF">
        <w:rPr>
          <w:lang w:val="es-ES"/>
        </w:rPr>
        <w:t xml:space="preserve">Amina Mohammed, </w:t>
      </w:r>
      <w:r w:rsidR="0041526C" w:rsidRPr="00D770FF">
        <w:rPr>
          <w:lang w:val="es-ES"/>
        </w:rPr>
        <w:t xml:space="preserve">Secretaria General Adjunta de las Naciones Unidas </w:t>
      </w:r>
      <w:r w:rsidR="003218C1" w:rsidRPr="00D770FF">
        <w:rPr>
          <w:lang w:val="es-ES"/>
        </w:rPr>
        <w:t>(</w:t>
      </w:r>
      <w:r w:rsidR="0041526C" w:rsidRPr="00D770FF">
        <w:rPr>
          <w:lang w:val="es-ES"/>
        </w:rPr>
        <w:t xml:space="preserve">por </w:t>
      </w:r>
      <w:r w:rsidR="003218C1" w:rsidRPr="00D770FF">
        <w:rPr>
          <w:lang w:val="es-ES"/>
        </w:rPr>
        <w:t>v</w:t>
      </w:r>
      <w:r>
        <w:rPr>
          <w:lang w:val="es-ES"/>
        </w:rPr>
        <w:t>í</w:t>
      </w:r>
      <w:r w:rsidR="003218C1" w:rsidRPr="00D770FF">
        <w:rPr>
          <w:lang w:val="es-ES"/>
        </w:rPr>
        <w:t xml:space="preserve">deo); </w:t>
      </w:r>
      <w:r w:rsidR="0041526C" w:rsidRPr="00D770FF">
        <w:rPr>
          <w:lang w:val="es-ES"/>
        </w:rPr>
        <w:t>el Sr</w:t>
      </w:r>
      <w:r w:rsidR="003218C1" w:rsidRPr="00D770FF">
        <w:rPr>
          <w:lang w:val="es-ES"/>
        </w:rPr>
        <w:t xml:space="preserve">. Chengfa Ruan, </w:t>
      </w:r>
      <w:r w:rsidR="0041526C" w:rsidRPr="00D770FF">
        <w:rPr>
          <w:lang w:val="es-ES"/>
        </w:rPr>
        <w:t xml:space="preserve">Secretario del Partido Comunista de la </w:t>
      </w:r>
      <w:r>
        <w:rPr>
          <w:lang w:val="es-ES"/>
        </w:rPr>
        <w:t>P</w:t>
      </w:r>
      <w:r w:rsidR="0041526C" w:rsidRPr="00D770FF">
        <w:rPr>
          <w:lang w:val="es-ES"/>
        </w:rPr>
        <w:t xml:space="preserve">rovincia de </w:t>
      </w:r>
      <w:r w:rsidR="003218C1" w:rsidRPr="00D770FF">
        <w:rPr>
          <w:lang w:val="es-ES"/>
        </w:rPr>
        <w:t>Yunnan</w:t>
      </w:r>
      <w:r w:rsidR="00500B01" w:rsidRPr="00D770FF">
        <w:rPr>
          <w:lang w:val="es-ES"/>
        </w:rPr>
        <w:t>, y la Sra</w:t>
      </w:r>
      <w:r w:rsidR="003218C1" w:rsidRPr="00D770FF">
        <w:rPr>
          <w:lang w:val="es-ES"/>
        </w:rPr>
        <w:t xml:space="preserve">. Elizabeth Maruma Mrema, </w:t>
      </w:r>
      <w:r w:rsidR="00500B01" w:rsidRPr="00D770FF">
        <w:rPr>
          <w:lang w:val="es-ES"/>
        </w:rPr>
        <w:t>Secretaria Ejecutiva del Convenio sobre la Diversidad Biológica</w:t>
      </w:r>
      <w:r w:rsidR="003218C1" w:rsidRPr="00D770FF">
        <w:rPr>
          <w:lang w:val="es-ES"/>
        </w:rPr>
        <w:t>.</w:t>
      </w:r>
      <w:r>
        <w:rPr>
          <w:lang w:val="es-ES"/>
        </w:rPr>
        <w:t xml:space="preserve"> En el informe de la parte I de la reunión de la Conferencia de las Partes </w:t>
      </w:r>
      <w:r w:rsidRPr="00A73488">
        <w:rPr>
          <w:lang w:val="es-ES"/>
        </w:rPr>
        <w:t>(CBD/COP/15/Part-I/xx)</w:t>
      </w:r>
      <w:r>
        <w:rPr>
          <w:lang w:val="es-ES"/>
        </w:rPr>
        <w:t xml:space="preserve"> se brindan resúmenes de estas declaraciones.</w:t>
      </w:r>
    </w:p>
    <w:p w:rsidR="003218C1" w:rsidRPr="00D770FF" w:rsidRDefault="000F6702" w:rsidP="0019239A">
      <w:pPr>
        <w:pStyle w:val="Para1"/>
        <w:rPr>
          <w:szCs w:val="22"/>
          <w:lang w:val="es-ES"/>
        </w:rPr>
      </w:pPr>
      <w:r w:rsidRPr="00D770FF">
        <w:rPr>
          <w:lang w:val="es-ES"/>
        </w:rPr>
        <w:t xml:space="preserve">Formularon declaraciones generales los representantes de la </w:t>
      </w:r>
      <w:r w:rsidR="003218C1" w:rsidRPr="00D770FF">
        <w:rPr>
          <w:lang w:val="es-ES"/>
        </w:rPr>
        <w:t>Argentina (</w:t>
      </w:r>
      <w:r w:rsidRPr="00D770FF">
        <w:rPr>
          <w:lang w:val="es-ES"/>
        </w:rPr>
        <w:t>en nombre del Grupo de América Latina y el Caribe</w:t>
      </w:r>
      <w:r w:rsidR="003218C1" w:rsidRPr="00D770FF">
        <w:rPr>
          <w:lang w:val="es-ES"/>
        </w:rPr>
        <w:t xml:space="preserve">), </w:t>
      </w:r>
      <w:r w:rsidRPr="00D770FF">
        <w:rPr>
          <w:lang w:val="es-ES"/>
        </w:rPr>
        <w:t xml:space="preserve">la República Democrática del Congo </w:t>
      </w:r>
      <w:r w:rsidR="003218C1" w:rsidRPr="00D770FF">
        <w:rPr>
          <w:lang w:val="es-ES"/>
        </w:rPr>
        <w:t>(</w:t>
      </w:r>
      <w:r w:rsidRPr="00D770FF">
        <w:rPr>
          <w:lang w:val="es-ES"/>
        </w:rPr>
        <w:t>en nombre del Grupo de África</w:t>
      </w:r>
      <w:r w:rsidR="003218C1" w:rsidRPr="00D770FF">
        <w:rPr>
          <w:lang w:val="es-ES"/>
        </w:rPr>
        <w:t xml:space="preserve">), Georgia </w:t>
      </w:r>
      <w:r w:rsidRPr="00D770FF">
        <w:rPr>
          <w:lang w:val="es-ES"/>
        </w:rPr>
        <w:t>(en nombre de los países de Europa Central y Oriental</w:t>
      </w:r>
      <w:r w:rsidR="003218C1" w:rsidRPr="00D770FF">
        <w:rPr>
          <w:lang w:val="es-ES"/>
        </w:rPr>
        <w:t>), Kuwait (</w:t>
      </w:r>
      <w:r w:rsidRPr="00D770FF">
        <w:rPr>
          <w:lang w:val="es-ES"/>
        </w:rPr>
        <w:t>en nombre de la región de Asia y el Pacífico</w:t>
      </w:r>
      <w:r w:rsidR="003218C1" w:rsidRPr="00D770FF">
        <w:rPr>
          <w:lang w:val="es-ES"/>
        </w:rPr>
        <w:t>), N</w:t>
      </w:r>
      <w:r w:rsidRPr="00D770FF">
        <w:rPr>
          <w:lang w:val="es-ES"/>
        </w:rPr>
        <w:t xml:space="preserve">ueva Zelandia </w:t>
      </w:r>
      <w:r w:rsidR="003218C1" w:rsidRPr="00D770FF">
        <w:rPr>
          <w:lang w:val="es-ES"/>
        </w:rPr>
        <w:t>(</w:t>
      </w:r>
      <w:r w:rsidRPr="00D770FF">
        <w:rPr>
          <w:lang w:val="es-ES"/>
        </w:rPr>
        <w:t>en nombre de</w:t>
      </w:r>
      <w:r w:rsidR="003218C1" w:rsidRPr="00D770FF">
        <w:rPr>
          <w:lang w:val="es-ES"/>
        </w:rPr>
        <w:t xml:space="preserve"> Australia, </w:t>
      </w:r>
      <w:r w:rsidRPr="00D770FF">
        <w:rPr>
          <w:lang w:val="es-ES"/>
        </w:rPr>
        <w:t>Canadá</w:t>
      </w:r>
      <w:r w:rsidR="003218C1" w:rsidRPr="00D770FF">
        <w:rPr>
          <w:lang w:val="es-ES"/>
        </w:rPr>
        <w:t xml:space="preserve">, </w:t>
      </w:r>
      <w:r w:rsidRPr="00D770FF">
        <w:rPr>
          <w:lang w:val="es-ES"/>
        </w:rPr>
        <w:t>Islandia</w:t>
      </w:r>
      <w:r w:rsidR="003218C1" w:rsidRPr="00D770FF">
        <w:rPr>
          <w:lang w:val="es-ES"/>
        </w:rPr>
        <w:t xml:space="preserve">, Israel, </w:t>
      </w:r>
      <w:r w:rsidRPr="00D770FF">
        <w:rPr>
          <w:lang w:val="es-ES"/>
        </w:rPr>
        <w:t>Mónaco, Noruega</w:t>
      </w:r>
      <w:r w:rsidR="003218C1" w:rsidRPr="00D770FF">
        <w:rPr>
          <w:lang w:val="es-ES"/>
        </w:rPr>
        <w:t xml:space="preserve">, </w:t>
      </w:r>
      <w:r w:rsidR="003A7DA7" w:rsidRPr="00D770FF">
        <w:rPr>
          <w:lang w:val="es-ES"/>
        </w:rPr>
        <w:t xml:space="preserve">el Reino Unido de Gran Bretaña e Irlanda del Norte, </w:t>
      </w:r>
      <w:r w:rsidRPr="00D770FF">
        <w:rPr>
          <w:lang w:val="es-ES"/>
        </w:rPr>
        <w:t>la República de Corea, Suiza y los Estados Unidos de América</w:t>
      </w:r>
      <w:r w:rsidR="003218C1" w:rsidRPr="00D770FF">
        <w:rPr>
          <w:lang w:val="es-ES"/>
        </w:rPr>
        <w:t xml:space="preserve">) </w:t>
      </w:r>
      <w:r w:rsidRPr="00D770FF">
        <w:rPr>
          <w:lang w:val="es-ES"/>
        </w:rPr>
        <w:t>y Eslovenia</w:t>
      </w:r>
      <w:r w:rsidR="003218C1" w:rsidRPr="00D770FF">
        <w:rPr>
          <w:lang w:val="es-ES"/>
        </w:rPr>
        <w:t xml:space="preserve"> (</w:t>
      </w:r>
      <w:r w:rsidR="003A7DA7" w:rsidRPr="00D770FF">
        <w:rPr>
          <w:lang w:val="es-ES"/>
        </w:rPr>
        <w:t>en nombre de la Unión Europea y sus Estados miembros</w:t>
      </w:r>
      <w:r w:rsidR="003218C1" w:rsidRPr="00D770FF">
        <w:rPr>
          <w:lang w:val="es-ES"/>
        </w:rPr>
        <w:t>).</w:t>
      </w:r>
    </w:p>
    <w:p w:rsidR="003218C1" w:rsidRPr="00D770FF" w:rsidRDefault="003A7DA7" w:rsidP="0019239A">
      <w:pPr>
        <w:pStyle w:val="Para1"/>
        <w:rPr>
          <w:szCs w:val="22"/>
          <w:lang w:val="es-ES"/>
        </w:rPr>
      </w:pPr>
      <w:r w:rsidRPr="00D770FF">
        <w:rPr>
          <w:lang w:val="es-ES"/>
        </w:rPr>
        <w:t xml:space="preserve">También formuló una declaración el representante </w:t>
      </w:r>
      <w:r w:rsidR="00A06D7B" w:rsidRPr="00D770FF">
        <w:rPr>
          <w:lang w:val="es-ES"/>
        </w:rPr>
        <w:t xml:space="preserve">de la </w:t>
      </w:r>
      <w:r w:rsidRPr="00D770FF">
        <w:rPr>
          <w:lang w:val="es-ES"/>
        </w:rPr>
        <w:t>Organización del Tratado de Cooperación Amazónica</w:t>
      </w:r>
      <w:r w:rsidR="003218C1" w:rsidRPr="00D770FF">
        <w:rPr>
          <w:lang w:val="es-ES"/>
        </w:rPr>
        <w:t>.</w:t>
      </w:r>
    </w:p>
    <w:p w:rsidR="003218C1" w:rsidRPr="00A73488" w:rsidRDefault="003A7DA7" w:rsidP="0019239A">
      <w:pPr>
        <w:pStyle w:val="Para1"/>
        <w:rPr>
          <w:lang w:val="es-ES"/>
        </w:rPr>
      </w:pPr>
      <w:bookmarkStart w:id="2" w:name="_Hlk84854101"/>
      <w:r w:rsidRPr="00D770FF">
        <w:rPr>
          <w:lang w:val="es-ES"/>
        </w:rPr>
        <w:t>Formularon declaraciones adicionales los representantes de</w:t>
      </w:r>
      <w:r w:rsidR="00110938" w:rsidRPr="00D770FF">
        <w:rPr>
          <w:lang w:val="es-ES"/>
        </w:rPr>
        <w:t xml:space="preserve">l </w:t>
      </w:r>
      <w:r w:rsidRPr="00D770FF">
        <w:rPr>
          <w:lang w:val="es-ES"/>
        </w:rPr>
        <w:t>Grupo de Mujeres del CDB</w:t>
      </w:r>
      <w:r w:rsidR="003218C1" w:rsidRPr="00D770FF">
        <w:rPr>
          <w:lang w:val="es-ES"/>
        </w:rPr>
        <w:t xml:space="preserve">, </w:t>
      </w:r>
      <w:r w:rsidRPr="00D770FF">
        <w:rPr>
          <w:lang w:val="es-ES"/>
        </w:rPr>
        <w:t>la</w:t>
      </w:r>
      <w:r w:rsidR="00CF6029" w:rsidRPr="00D770FF">
        <w:rPr>
          <w:lang w:val="es-ES"/>
        </w:rPr>
        <w:t xml:space="preserve"> Red Mundial de Jóvenes por la Biodiversidad </w:t>
      </w:r>
      <w:r w:rsidR="003218C1" w:rsidRPr="00D770FF">
        <w:rPr>
          <w:lang w:val="es-ES"/>
        </w:rPr>
        <w:t xml:space="preserve">(GYBN), </w:t>
      </w:r>
      <w:r w:rsidR="00CF6029" w:rsidRPr="00D770FF">
        <w:rPr>
          <w:lang w:val="es-ES"/>
        </w:rPr>
        <w:t xml:space="preserve">el </w:t>
      </w:r>
      <w:r w:rsidR="00CF6029" w:rsidRPr="00D770FF">
        <w:rPr>
          <w:kern w:val="22"/>
          <w:lang w:val="es-ES"/>
        </w:rPr>
        <w:t xml:space="preserve">Foro Internacional Indígena sobre Biodiversidad </w:t>
      </w:r>
      <w:r w:rsidR="003218C1" w:rsidRPr="00D770FF">
        <w:rPr>
          <w:lang w:val="es-ES"/>
        </w:rPr>
        <w:t>(</w:t>
      </w:r>
      <w:r w:rsidR="00CF6029" w:rsidRPr="00D770FF">
        <w:rPr>
          <w:lang w:val="es-ES"/>
        </w:rPr>
        <w:t>FIIB</w:t>
      </w:r>
      <w:r w:rsidR="003218C1" w:rsidRPr="00D770FF">
        <w:rPr>
          <w:lang w:val="es-ES"/>
        </w:rPr>
        <w:t>),</w:t>
      </w:r>
      <w:r w:rsidR="00CF6029" w:rsidRPr="00D770FF">
        <w:rPr>
          <w:lang w:val="es-ES"/>
        </w:rPr>
        <w:t xml:space="preserve"> el </w:t>
      </w:r>
      <w:r w:rsidR="006140DD">
        <w:rPr>
          <w:lang w:val="es-ES"/>
        </w:rPr>
        <w:t>P</w:t>
      </w:r>
      <w:r w:rsidR="00CF6029" w:rsidRPr="00D770FF">
        <w:rPr>
          <w:lang w:val="es-ES"/>
        </w:rPr>
        <w:t xml:space="preserve">ueblo </w:t>
      </w:r>
      <w:r w:rsidR="00110938" w:rsidRPr="00D770FF">
        <w:rPr>
          <w:lang w:val="es-ES"/>
        </w:rPr>
        <w:t>H</w:t>
      </w:r>
      <w:r w:rsidR="00CF6029" w:rsidRPr="00D770FF">
        <w:rPr>
          <w:lang w:val="es-ES"/>
        </w:rPr>
        <w:t>ani de Yunnan</w:t>
      </w:r>
      <w:r w:rsidR="003218C1" w:rsidRPr="00D770FF">
        <w:rPr>
          <w:lang w:val="es-ES"/>
        </w:rPr>
        <w:t xml:space="preserve">, </w:t>
      </w:r>
      <w:r w:rsidR="00CF6029" w:rsidRPr="00D770FF">
        <w:rPr>
          <w:lang w:val="es-ES"/>
        </w:rPr>
        <w:t xml:space="preserve">el Consejo Internacional de Iniciativas Ambientales Locales </w:t>
      </w:r>
      <w:r w:rsidR="003218C1" w:rsidRPr="00D770FF">
        <w:rPr>
          <w:lang w:val="es-ES"/>
        </w:rPr>
        <w:t>(ICLEI) (</w:t>
      </w:r>
      <w:r w:rsidR="00CF6029" w:rsidRPr="00D770FF">
        <w:rPr>
          <w:lang w:val="es-ES"/>
        </w:rPr>
        <w:t xml:space="preserve">también en nombre del Comité Asesor de Gobiernos Subnacionales </w:t>
      </w:r>
      <w:r w:rsidR="00A73488">
        <w:rPr>
          <w:lang w:val="es-ES"/>
        </w:rPr>
        <w:t xml:space="preserve">y </w:t>
      </w:r>
      <w:r w:rsidR="00E570E3">
        <w:rPr>
          <w:lang w:val="es-ES"/>
        </w:rPr>
        <w:t xml:space="preserve">Diversidad Biológica </w:t>
      </w:r>
      <w:r w:rsidR="003218C1" w:rsidRPr="00D770FF">
        <w:rPr>
          <w:lang w:val="es-ES"/>
        </w:rPr>
        <w:t>(coordina</w:t>
      </w:r>
      <w:r w:rsidR="00CF6029" w:rsidRPr="00D770FF">
        <w:rPr>
          <w:lang w:val="es-ES"/>
        </w:rPr>
        <w:t xml:space="preserve">do por </w:t>
      </w:r>
      <w:r w:rsidR="003218C1" w:rsidRPr="00D770FF">
        <w:rPr>
          <w:lang w:val="es-ES"/>
        </w:rPr>
        <w:t xml:space="preserve">Regions4 </w:t>
      </w:r>
      <w:r w:rsidR="00CF6029" w:rsidRPr="00D770FF">
        <w:rPr>
          <w:lang w:val="es-ES"/>
        </w:rPr>
        <w:t xml:space="preserve">y el Gobierno de </w:t>
      </w:r>
      <w:r w:rsidR="003218C1" w:rsidRPr="00D770FF">
        <w:rPr>
          <w:lang w:val="es-ES"/>
        </w:rPr>
        <w:t>Quebec)</w:t>
      </w:r>
      <w:r w:rsidR="00CF6029" w:rsidRPr="00D770FF">
        <w:rPr>
          <w:lang w:val="es-ES"/>
        </w:rPr>
        <w:t xml:space="preserve">, el </w:t>
      </w:r>
      <w:r w:rsidR="001331F2" w:rsidRPr="00D770FF">
        <w:rPr>
          <w:rStyle w:val="normaltextrun"/>
          <w:kern w:val="22"/>
          <w:szCs w:val="22"/>
          <w:lang w:val="es-ES"/>
        </w:rPr>
        <w:t>Grupo de Gobiernos Subnacionales Destacados para las Metas de Aichi para la Diversidad Biológica</w:t>
      </w:r>
      <w:r w:rsidR="001331F2" w:rsidRPr="00D770FF">
        <w:rPr>
          <w:lang w:val="es-ES"/>
        </w:rPr>
        <w:t xml:space="preserve"> </w:t>
      </w:r>
      <w:r w:rsidR="003218C1" w:rsidRPr="00D770FF">
        <w:rPr>
          <w:lang w:val="es-ES"/>
        </w:rPr>
        <w:t>(</w:t>
      </w:r>
      <w:r w:rsidR="001331F2" w:rsidRPr="00D770FF">
        <w:rPr>
          <w:lang w:val="es-ES"/>
        </w:rPr>
        <w:t xml:space="preserve">coordinado por la Prefectura de </w:t>
      </w:r>
      <w:r w:rsidR="003218C1" w:rsidRPr="00D770FF">
        <w:rPr>
          <w:lang w:val="es-ES"/>
        </w:rPr>
        <w:t xml:space="preserve">Aichi), </w:t>
      </w:r>
      <w:r w:rsidR="001331F2" w:rsidRPr="00D770FF">
        <w:rPr>
          <w:lang w:val="es-ES"/>
        </w:rPr>
        <w:t>el Comité Europeo de las Regiones y los socios del Proceso de Edimburgo</w:t>
      </w:r>
      <w:r w:rsidR="003218C1" w:rsidRPr="00D770FF">
        <w:rPr>
          <w:lang w:val="es-ES"/>
        </w:rPr>
        <w:t xml:space="preserve">) </w:t>
      </w:r>
      <w:r w:rsidR="001331F2" w:rsidRPr="00D770FF">
        <w:rPr>
          <w:lang w:val="es-ES"/>
        </w:rPr>
        <w:t xml:space="preserve">y la </w:t>
      </w:r>
      <w:r w:rsidR="003218C1" w:rsidRPr="00D770FF">
        <w:rPr>
          <w:lang w:val="es-ES"/>
        </w:rPr>
        <w:t>True Nature Conservation Association (</w:t>
      </w:r>
      <w:r w:rsidR="001331F2" w:rsidRPr="00D770FF">
        <w:rPr>
          <w:lang w:val="es-ES"/>
        </w:rPr>
        <w:t xml:space="preserve">también en nombre de la juventud de </w:t>
      </w:r>
      <w:r w:rsidR="003218C1" w:rsidRPr="00D770FF">
        <w:rPr>
          <w:lang w:val="es-ES"/>
        </w:rPr>
        <w:t>China)</w:t>
      </w:r>
      <w:bookmarkEnd w:id="2"/>
      <w:r w:rsidR="0064546F" w:rsidRPr="0064546F">
        <w:rPr>
          <w:rStyle w:val="FootnoteReference"/>
          <w:sz w:val="22"/>
          <w:szCs w:val="22"/>
          <w:u w:val="none"/>
          <w:vertAlign w:val="superscript"/>
        </w:rPr>
        <w:footnoteReference w:id="4"/>
      </w:r>
      <w:r w:rsidR="003218C1" w:rsidRPr="00D770FF">
        <w:rPr>
          <w:lang w:val="es-ES"/>
        </w:rPr>
        <w:t>.</w:t>
      </w:r>
    </w:p>
    <w:p w:rsidR="00DE59C4" w:rsidRPr="00D770FF" w:rsidRDefault="00E907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snapToGrid w:val="0"/>
          <w:kern w:val="22"/>
          <w:szCs w:val="22"/>
          <w:lang w:val="es-ES"/>
        </w:rPr>
        <w:t>2.</w:t>
      </w:r>
      <w:r w:rsidR="00DE59C4" w:rsidRPr="00D770FF">
        <w:rPr>
          <w:snapToGrid w:val="0"/>
          <w:kern w:val="22"/>
          <w:szCs w:val="22"/>
          <w:lang w:val="es-ES"/>
        </w:rPr>
        <w:tab/>
      </w:r>
      <w:r w:rsidR="00747EFE" w:rsidRPr="00D770FF">
        <w:rPr>
          <w:caps w:val="0"/>
          <w:snapToGrid w:val="0"/>
          <w:kern w:val="22"/>
          <w:szCs w:val="22"/>
          <w:lang w:val="es-ES"/>
        </w:rPr>
        <w:t>Cuestiones de organización</w:t>
      </w:r>
    </w:p>
    <w:p w:rsidR="00AA7653" w:rsidRPr="00D770FF" w:rsidRDefault="00AA7653"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Ad</w:t>
      </w:r>
      <w:r w:rsidR="002C3855" w:rsidRPr="00D770FF">
        <w:rPr>
          <w:i/>
          <w:iCs/>
          <w:snapToGrid w:val="0"/>
          <w:kern w:val="22"/>
          <w:szCs w:val="22"/>
          <w:lang w:val="es-ES"/>
        </w:rPr>
        <w:t>opción del programa</w:t>
      </w:r>
    </w:p>
    <w:p w:rsidR="00AA7653" w:rsidRPr="00D770FF" w:rsidRDefault="00747EFE" w:rsidP="00747EFE">
      <w:pPr>
        <w:pStyle w:val="Para1"/>
        <w:suppressLineNumbers/>
        <w:suppressAutoHyphens/>
        <w:rPr>
          <w:lang w:val="es-ES"/>
        </w:rPr>
      </w:pPr>
      <w:r w:rsidRPr="00D770FF">
        <w:rPr>
          <w:lang w:val="es-ES"/>
        </w:rPr>
        <w:t xml:space="preserve">En la primera sesión plenaria de la </w:t>
      </w:r>
      <w:r w:rsidR="00E570E3">
        <w:rPr>
          <w:lang w:val="es-ES"/>
        </w:rPr>
        <w:t>p</w:t>
      </w:r>
      <w:r w:rsidRPr="00D770FF">
        <w:rPr>
          <w:lang w:val="es-ES"/>
        </w:rPr>
        <w:t xml:space="preserve">arte I de la reunión, el 11 de octubre de 2021, la Conferencia de las Partes que actúa como reunión de las Partes </w:t>
      </w:r>
      <w:r w:rsidR="00E570E3">
        <w:rPr>
          <w:lang w:val="es-ES"/>
        </w:rPr>
        <w:t xml:space="preserve">en el Protocolo de Nagoya </w:t>
      </w:r>
      <w:r w:rsidRPr="00D770FF">
        <w:rPr>
          <w:lang w:val="es-ES"/>
        </w:rPr>
        <w:t>adoptó el siguiente programa</w:t>
      </w:r>
      <w:r w:rsidR="00F745B6" w:rsidRPr="00D770FF">
        <w:rPr>
          <w:lang w:val="es-ES"/>
        </w:rPr>
        <w:t>, sobre la base del programa provisional preparado</w:t>
      </w:r>
      <w:r w:rsidRPr="00D770FF">
        <w:rPr>
          <w:lang w:val="es-ES"/>
        </w:rPr>
        <w:t xml:space="preserve"> por la Secretaria Ejecutiva en consulta con la Mesa </w:t>
      </w:r>
      <w:r w:rsidR="00BC1149" w:rsidRPr="00D770FF">
        <w:rPr>
          <w:lang w:val="es-ES"/>
        </w:rPr>
        <w:t>(CBD/N</w:t>
      </w:r>
      <w:r w:rsidR="008E0E1B" w:rsidRPr="00D770FF">
        <w:rPr>
          <w:lang w:val="es-ES"/>
        </w:rPr>
        <w:t>P</w:t>
      </w:r>
      <w:r w:rsidR="00BC1149" w:rsidRPr="00D770FF">
        <w:rPr>
          <w:lang w:val="es-ES"/>
        </w:rPr>
        <w:t>/MOP/4/1/Rev.1)</w:t>
      </w:r>
      <w:r w:rsidRPr="00D770FF">
        <w:rPr>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w:t>
      </w:r>
      <w:r w:rsidRPr="00D770FF">
        <w:rPr>
          <w:snapToGrid w:val="0"/>
          <w:kern w:val="22"/>
          <w:szCs w:val="22"/>
          <w:lang w:val="es-ES"/>
        </w:rPr>
        <w:tab/>
      </w:r>
      <w:r w:rsidR="00747EFE" w:rsidRPr="00D770FF">
        <w:rPr>
          <w:snapToGrid w:val="0"/>
          <w:kern w:val="22"/>
          <w:szCs w:val="22"/>
          <w:lang w:val="es-ES"/>
        </w:rPr>
        <w:t>Apertura de la reunión</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2.</w:t>
      </w:r>
      <w:r w:rsidRPr="00D770FF">
        <w:rPr>
          <w:snapToGrid w:val="0"/>
          <w:kern w:val="22"/>
          <w:szCs w:val="22"/>
          <w:lang w:val="es-ES"/>
        </w:rPr>
        <w:tab/>
      </w:r>
      <w:r w:rsidR="00286C69" w:rsidRPr="00D770FF">
        <w:rPr>
          <w:snapToGrid w:val="0"/>
          <w:kern w:val="22"/>
          <w:szCs w:val="22"/>
          <w:lang w:val="es-ES"/>
        </w:rPr>
        <w:t>Cuestiones de organización</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3.</w:t>
      </w:r>
      <w:r w:rsidRPr="00D770FF">
        <w:rPr>
          <w:snapToGrid w:val="0"/>
          <w:kern w:val="22"/>
          <w:szCs w:val="22"/>
          <w:lang w:val="es-ES"/>
        </w:rPr>
        <w:tab/>
      </w:r>
      <w:r w:rsidR="00286C69" w:rsidRPr="00D770FF">
        <w:rPr>
          <w:snapToGrid w:val="0"/>
          <w:kern w:val="22"/>
          <w:szCs w:val="22"/>
          <w:lang w:val="es-ES"/>
        </w:rPr>
        <w:t>Informe sobre las credenciales de los representantes que participan en la cuarta reunión de la Conferencia de las Partes que actúa como reunión de las Partes en el Protocolo de Nagoya</w:t>
      </w:r>
      <w:r w:rsidR="000704F5"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4.</w:t>
      </w:r>
      <w:r w:rsidRPr="00D770FF">
        <w:rPr>
          <w:snapToGrid w:val="0"/>
          <w:kern w:val="22"/>
          <w:szCs w:val="22"/>
          <w:lang w:val="es-ES"/>
        </w:rPr>
        <w:tab/>
      </w:r>
      <w:r w:rsidR="00286C69" w:rsidRPr="00D770FF">
        <w:rPr>
          <w:snapToGrid w:val="0"/>
          <w:kern w:val="22"/>
          <w:szCs w:val="22"/>
          <w:lang w:val="es-ES"/>
        </w:rPr>
        <w:t>Informes de los órganos subsidiarios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5.</w:t>
      </w:r>
      <w:r w:rsidRPr="00D770FF">
        <w:rPr>
          <w:snapToGrid w:val="0"/>
          <w:kern w:val="22"/>
          <w:szCs w:val="22"/>
          <w:lang w:val="es-ES"/>
        </w:rPr>
        <w:tab/>
      </w:r>
      <w:r w:rsidR="00286C69" w:rsidRPr="00D770FF">
        <w:rPr>
          <w:snapToGrid w:val="0"/>
          <w:kern w:val="22"/>
          <w:szCs w:val="22"/>
          <w:lang w:val="es-ES"/>
        </w:rPr>
        <w:t xml:space="preserve">Informe del Comité de Cumplimiento </w:t>
      </w:r>
      <w:r w:rsidRPr="00D770FF">
        <w:rPr>
          <w:snapToGrid w:val="0"/>
          <w:kern w:val="22"/>
          <w:szCs w:val="22"/>
          <w:lang w:val="es-ES"/>
        </w:rPr>
        <w:t>(</w:t>
      </w:r>
      <w:r w:rsidR="001571B7" w:rsidRPr="00D770FF">
        <w:rPr>
          <w:snapToGrid w:val="0"/>
          <w:kern w:val="22"/>
          <w:szCs w:val="22"/>
          <w:lang w:val="es-ES"/>
        </w:rPr>
        <w:t>a</w:t>
      </w:r>
      <w:r w:rsidRPr="00D770FF">
        <w:rPr>
          <w:snapToGrid w:val="0"/>
          <w:kern w:val="22"/>
          <w:szCs w:val="22"/>
          <w:lang w:val="es-ES"/>
        </w:rPr>
        <w:t>rt</w:t>
      </w:r>
      <w:r w:rsidR="00286C69" w:rsidRPr="00D770FF">
        <w:rPr>
          <w:snapToGrid w:val="0"/>
          <w:kern w:val="22"/>
          <w:szCs w:val="22"/>
          <w:lang w:val="es-ES"/>
        </w:rPr>
        <w:t xml:space="preserve">ículo </w:t>
      </w:r>
      <w:r w:rsidRPr="00D770FF">
        <w:rPr>
          <w:snapToGrid w:val="0"/>
          <w:kern w:val="22"/>
          <w:szCs w:val="22"/>
          <w:lang w:val="es-ES"/>
        </w:rPr>
        <w:t>30).</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6.</w:t>
      </w:r>
      <w:r w:rsidRPr="00D770FF">
        <w:rPr>
          <w:snapToGrid w:val="0"/>
          <w:kern w:val="22"/>
          <w:szCs w:val="22"/>
          <w:lang w:val="es-ES"/>
        </w:rPr>
        <w:tab/>
      </w:r>
      <w:r w:rsidR="00353FC7" w:rsidRPr="00D770FF">
        <w:rPr>
          <w:snapToGrid w:val="0"/>
          <w:kern w:val="22"/>
          <w:szCs w:val="22"/>
          <w:lang w:val="es-ES"/>
        </w:rPr>
        <w:t>Administración del Protocolo y el presupuesto para los fondos fiduciarios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lastRenderedPageBreak/>
        <w:t>7.</w:t>
      </w:r>
      <w:r w:rsidRPr="00D770FF">
        <w:rPr>
          <w:snapToGrid w:val="0"/>
          <w:kern w:val="22"/>
          <w:szCs w:val="22"/>
          <w:lang w:val="es-ES"/>
        </w:rPr>
        <w:tab/>
      </w:r>
      <w:r w:rsidR="00353FC7" w:rsidRPr="00D770FF">
        <w:rPr>
          <w:snapToGrid w:val="0"/>
          <w:kern w:val="22"/>
          <w:szCs w:val="22"/>
          <w:lang w:val="es-ES"/>
        </w:rPr>
        <w:t>Mecanismo financiero y recursos</w:t>
      </w:r>
      <w:r w:rsidRPr="00D770FF">
        <w:rPr>
          <w:snapToGrid w:val="0"/>
          <w:kern w:val="22"/>
          <w:szCs w:val="22"/>
          <w:lang w:val="es-ES"/>
        </w:rPr>
        <w:t xml:space="preserve"> </w:t>
      </w:r>
      <w:r w:rsidR="0041526C" w:rsidRPr="00D770FF">
        <w:rPr>
          <w:snapToGrid w:val="0"/>
          <w:kern w:val="22"/>
          <w:szCs w:val="22"/>
          <w:lang w:val="es-ES"/>
        </w:rPr>
        <w:t xml:space="preserve">financieros </w:t>
      </w:r>
      <w:r w:rsidRPr="00D770FF">
        <w:rPr>
          <w:snapToGrid w:val="0"/>
          <w:kern w:val="22"/>
          <w:szCs w:val="22"/>
          <w:lang w:val="es-ES"/>
        </w:rPr>
        <w:t>(</w:t>
      </w:r>
      <w:r w:rsidR="001571B7" w:rsidRPr="00D770FF">
        <w:rPr>
          <w:snapToGrid w:val="0"/>
          <w:kern w:val="22"/>
          <w:szCs w:val="22"/>
          <w:lang w:val="es-ES"/>
        </w:rPr>
        <w:t>a</w:t>
      </w:r>
      <w:r w:rsidR="00353FC7" w:rsidRPr="00D770FF">
        <w:rPr>
          <w:snapToGrid w:val="0"/>
          <w:kern w:val="22"/>
          <w:szCs w:val="22"/>
          <w:lang w:val="es-ES"/>
        </w:rPr>
        <w:t xml:space="preserve">rtículo </w:t>
      </w:r>
      <w:r w:rsidRPr="00D770FF">
        <w:rPr>
          <w:snapToGrid w:val="0"/>
          <w:kern w:val="22"/>
          <w:szCs w:val="22"/>
          <w:lang w:val="es-ES"/>
        </w:rPr>
        <w:t>25).</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8.</w:t>
      </w:r>
      <w:r w:rsidRPr="00D770FF">
        <w:rPr>
          <w:snapToGrid w:val="0"/>
          <w:kern w:val="22"/>
          <w:szCs w:val="22"/>
          <w:lang w:val="es-ES"/>
        </w:rPr>
        <w:tab/>
      </w:r>
      <w:r w:rsidR="001571B7" w:rsidRPr="00D770FF">
        <w:rPr>
          <w:snapToGrid w:val="0"/>
          <w:kern w:val="22"/>
          <w:szCs w:val="22"/>
          <w:lang w:val="es-ES"/>
        </w:rPr>
        <w:t xml:space="preserve">Medidas para brindar asistencia para la creación de capacidades y el desarrollo de capacidades </w:t>
      </w:r>
      <w:r w:rsidRPr="00D770FF">
        <w:rPr>
          <w:snapToGrid w:val="0"/>
          <w:kern w:val="22"/>
          <w:szCs w:val="22"/>
          <w:lang w:val="es-ES"/>
        </w:rPr>
        <w:t>(</w:t>
      </w:r>
      <w:r w:rsidR="001571B7" w:rsidRPr="00D770FF">
        <w:rPr>
          <w:snapToGrid w:val="0"/>
          <w:kern w:val="22"/>
          <w:szCs w:val="22"/>
          <w:lang w:val="es-ES"/>
        </w:rPr>
        <w:t xml:space="preserve">artículo </w:t>
      </w:r>
      <w:r w:rsidRPr="00D770FF">
        <w:rPr>
          <w:snapToGrid w:val="0"/>
          <w:kern w:val="22"/>
          <w:szCs w:val="22"/>
          <w:lang w:val="es-ES"/>
        </w:rPr>
        <w:t xml:space="preserve">22) </w:t>
      </w:r>
      <w:r w:rsidR="001571B7" w:rsidRPr="00D770FF">
        <w:rPr>
          <w:snapToGrid w:val="0"/>
          <w:kern w:val="22"/>
          <w:szCs w:val="22"/>
          <w:lang w:val="es-ES"/>
        </w:rPr>
        <w:t>y medidas para aumentar la concienciación acerca de la importancia de los recursos genéticos y conocimientos tradicionales asociados (artículo 21)</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9.</w:t>
      </w:r>
      <w:r w:rsidRPr="00D770FF">
        <w:rPr>
          <w:snapToGrid w:val="0"/>
          <w:kern w:val="22"/>
          <w:szCs w:val="22"/>
          <w:lang w:val="es-ES"/>
        </w:rPr>
        <w:tab/>
      </w:r>
      <w:r w:rsidR="00D936C1" w:rsidRPr="00D770FF">
        <w:rPr>
          <w:snapToGrid w:val="0"/>
          <w:kern w:val="22"/>
          <w:szCs w:val="22"/>
          <w:lang w:val="es-ES"/>
        </w:rPr>
        <w:t xml:space="preserve">El Centro de Intercambio de Información sobre Acceso y Participación en los Beneficios </w:t>
      </w:r>
      <w:r w:rsidRPr="00D770FF">
        <w:rPr>
          <w:snapToGrid w:val="0"/>
          <w:kern w:val="22"/>
          <w:szCs w:val="22"/>
          <w:lang w:val="es-ES"/>
        </w:rPr>
        <w:t>(</w:t>
      </w:r>
      <w:r w:rsidR="00D936C1" w:rsidRPr="00D770FF">
        <w:rPr>
          <w:snapToGrid w:val="0"/>
          <w:kern w:val="22"/>
          <w:szCs w:val="22"/>
          <w:lang w:val="es-ES"/>
        </w:rPr>
        <w:t xml:space="preserve">artículo </w:t>
      </w:r>
      <w:r w:rsidRPr="00D770FF">
        <w:rPr>
          <w:snapToGrid w:val="0"/>
          <w:kern w:val="22"/>
          <w:szCs w:val="22"/>
          <w:lang w:val="es-ES"/>
        </w:rPr>
        <w:t>14).</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10.</w:t>
      </w:r>
      <w:r w:rsidRPr="00D770FF">
        <w:rPr>
          <w:snapToGrid w:val="0"/>
          <w:kern w:val="22"/>
          <w:szCs w:val="22"/>
          <w:lang w:val="es-ES"/>
        </w:rPr>
        <w:tab/>
      </w:r>
      <w:r w:rsidR="00D936C1" w:rsidRPr="00D770FF">
        <w:rPr>
          <w:snapToGrid w:val="0"/>
          <w:kern w:val="22"/>
          <w:szCs w:val="22"/>
          <w:lang w:val="es-ES"/>
        </w:rPr>
        <w:t>Vigilancia y presentación de informes (artículo 29).</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11.</w:t>
      </w:r>
      <w:r w:rsidRPr="00D770FF">
        <w:rPr>
          <w:snapToGrid w:val="0"/>
          <w:kern w:val="22"/>
          <w:szCs w:val="22"/>
          <w:lang w:val="es-ES"/>
        </w:rPr>
        <w:tab/>
      </w:r>
      <w:r w:rsidR="00D936C1" w:rsidRPr="00D770FF">
        <w:rPr>
          <w:snapToGrid w:val="0"/>
          <w:kern w:val="22"/>
          <w:szCs w:val="22"/>
          <w:lang w:val="es-ES"/>
        </w:rPr>
        <w:t>Cooperación con otros convenios, organizaciones internacionales e iniciativas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12.</w:t>
      </w:r>
      <w:r w:rsidRPr="00D770FF">
        <w:rPr>
          <w:snapToGrid w:val="0"/>
          <w:kern w:val="22"/>
          <w:szCs w:val="22"/>
          <w:lang w:val="es-ES"/>
        </w:rPr>
        <w:tab/>
      </w:r>
      <w:r w:rsidR="0041526C" w:rsidRPr="00D770FF">
        <w:rPr>
          <w:lang w:val="es-ES"/>
        </w:rPr>
        <w:t>Revisión</w:t>
      </w:r>
      <w:r w:rsidR="0041526C" w:rsidRPr="00D770FF">
        <w:rPr>
          <w:spacing w:val="-2"/>
          <w:lang w:val="es-ES"/>
        </w:rPr>
        <w:t xml:space="preserve"> </w:t>
      </w:r>
      <w:r w:rsidR="0041526C" w:rsidRPr="00D770FF">
        <w:rPr>
          <w:lang w:val="es-ES"/>
        </w:rPr>
        <w:t>de</w:t>
      </w:r>
      <w:r w:rsidR="0041526C" w:rsidRPr="00D770FF">
        <w:rPr>
          <w:spacing w:val="-1"/>
          <w:lang w:val="es-ES"/>
        </w:rPr>
        <w:t xml:space="preserve"> </w:t>
      </w:r>
      <w:r w:rsidR="0041526C" w:rsidRPr="00D770FF">
        <w:rPr>
          <w:lang w:val="es-ES"/>
        </w:rPr>
        <w:t>la</w:t>
      </w:r>
      <w:r w:rsidR="0041526C" w:rsidRPr="00D770FF">
        <w:rPr>
          <w:spacing w:val="-2"/>
          <w:lang w:val="es-ES"/>
        </w:rPr>
        <w:t xml:space="preserve"> </w:t>
      </w:r>
      <w:r w:rsidR="0041526C" w:rsidRPr="00D770FF">
        <w:rPr>
          <w:lang w:val="es-ES"/>
        </w:rPr>
        <w:t>eficacia</w:t>
      </w:r>
      <w:r w:rsidR="0041526C" w:rsidRPr="00D770FF">
        <w:rPr>
          <w:spacing w:val="-1"/>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las</w:t>
      </w:r>
      <w:r w:rsidR="0041526C" w:rsidRPr="00D770FF">
        <w:rPr>
          <w:spacing w:val="-2"/>
          <w:lang w:val="es-ES"/>
        </w:rPr>
        <w:t xml:space="preserve"> </w:t>
      </w:r>
      <w:r w:rsidR="0041526C" w:rsidRPr="00D770FF">
        <w:rPr>
          <w:lang w:val="es-ES"/>
        </w:rPr>
        <w:t>estructuras</w:t>
      </w:r>
      <w:r w:rsidR="0041526C" w:rsidRPr="00D770FF">
        <w:rPr>
          <w:spacing w:val="-1"/>
          <w:lang w:val="es-ES"/>
        </w:rPr>
        <w:t xml:space="preserve"> </w:t>
      </w:r>
      <w:r w:rsidR="0041526C" w:rsidRPr="00D770FF">
        <w:rPr>
          <w:lang w:val="es-ES"/>
        </w:rPr>
        <w:t>y</w:t>
      </w:r>
      <w:r w:rsidR="0041526C" w:rsidRPr="00D770FF">
        <w:rPr>
          <w:spacing w:val="-3"/>
          <w:lang w:val="es-ES"/>
        </w:rPr>
        <w:t xml:space="preserve"> </w:t>
      </w:r>
      <w:r w:rsidR="0041526C" w:rsidRPr="00D770FF">
        <w:rPr>
          <w:lang w:val="es-ES"/>
        </w:rPr>
        <w:t>los</w:t>
      </w:r>
      <w:r w:rsidR="0041526C" w:rsidRPr="00D770FF">
        <w:rPr>
          <w:spacing w:val="-2"/>
          <w:lang w:val="es-ES"/>
        </w:rPr>
        <w:t xml:space="preserve"> </w:t>
      </w:r>
      <w:r w:rsidR="0041526C" w:rsidRPr="00D770FF">
        <w:rPr>
          <w:lang w:val="es-ES"/>
        </w:rPr>
        <w:t>procesos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13.</w:t>
      </w:r>
      <w:r w:rsidRPr="00D770FF">
        <w:rPr>
          <w:snapToGrid w:val="0"/>
          <w:kern w:val="22"/>
          <w:szCs w:val="22"/>
          <w:lang w:val="es-ES"/>
        </w:rPr>
        <w:tab/>
      </w:r>
      <w:r w:rsidR="0041526C" w:rsidRPr="00D770FF">
        <w:rPr>
          <w:lang w:val="es-ES"/>
        </w:rPr>
        <w:t>Marco</w:t>
      </w:r>
      <w:r w:rsidR="0041526C" w:rsidRPr="00D770FF">
        <w:rPr>
          <w:spacing w:val="-2"/>
          <w:lang w:val="es-ES"/>
        </w:rPr>
        <w:t xml:space="preserve"> </w:t>
      </w:r>
      <w:r w:rsidR="0041526C" w:rsidRPr="00D770FF">
        <w:rPr>
          <w:lang w:val="es-ES"/>
        </w:rPr>
        <w:t>mundial</w:t>
      </w:r>
      <w:r w:rsidR="0041526C" w:rsidRPr="00D770FF">
        <w:rPr>
          <w:spacing w:val="-3"/>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la</w:t>
      </w:r>
      <w:r w:rsidR="0041526C" w:rsidRPr="00D770FF">
        <w:rPr>
          <w:spacing w:val="-2"/>
          <w:lang w:val="es-ES"/>
        </w:rPr>
        <w:t xml:space="preserve"> </w:t>
      </w:r>
      <w:r w:rsidR="0041526C" w:rsidRPr="00D770FF">
        <w:rPr>
          <w:lang w:val="es-ES"/>
        </w:rPr>
        <w:t>diversidad</w:t>
      </w:r>
      <w:r w:rsidR="0041526C" w:rsidRPr="00D770FF">
        <w:rPr>
          <w:spacing w:val="-1"/>
          <w:lang w:val="es-ES"/>
        </w:rPr>
        <w:t xml:space="preserve"> </w:t>
      </w:r>
      <w:r w:rsidR="0041526C" w:rsidRPr="00D770FF">
        <w:rPr>
          <w:lang w:val="es-ES"/>
        </w:rPr>
        <w:t>biológica</w:t>
      </w:r>
      <w:r w:rsidR="0041526C" w:rsidRPr="00D770FF">
        <w:rPr>
          <w:spacing w:val="-2"/>
          <w:lang w:val="es-ES"/>
        </w:rPr>
        <w:t xml:space="preserve"> </w:t>
      </w:r>
      <w:r w:rsidR="0041526C" w:rsidRPr="00D770FF">
        <w:rPr>
          <w:lang w:val="es-ES"/>
        </w:rPr>
        <w:t>posterior</w:t>
      </w:r>
      <w:r w:rsidR="0041526C" w:rsidRPr="00D770FF">
        <w:rPr>
          <w:spacing w:val="-3"/>
          <w:lang w:val="es-ES"/>
        </w:rPr>
        <w:t xml:space="preserve"> </w:t>
      </w:r>
      <w:r w:rsidR="0041526C" w:rsidRPr="00D770FF">
        <w:rPr>
          <w:lang w:val="es-ES"/>
        </w:rPr>
        <w:t>a</w:t>
      </w:r>
      <w:r w:rsidR="0041526C" w:rsidRPr="00D770FF">
        <w:rPr>
          <w:spacing w:val="-1"/>
          <w:lang w:val="es-ES"/>
        </w:rPr>
        <w:t xml:space="preserve"> </w:t>
      </w:r>
      <w:r w:rsidR="0041526C" w:rsidRPr="00D770FF">
        <w:rPr>
          <w:lang w:val="es-ES"/>
        </w:rPr>
        <w:t>2020</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14.</w:t>
      </w:r>
      <w:r w:rsidRPr="00D770FF">
        <w:rPr>
          <w:snapToGrid w:val="0"/>
          <w:kern w:val="22"/>
          <w:szCs w:val="22"/>
          <w:lang w:val="es-ES"/>
        </w:rPr>
        <w:tab/>
      </w:r>
      <w:r w:rsidR="0041526C" w:rsidRPr="00D770FF">
        <w:rPr>
          <w:lang w:val="es-ES"/>
        </w:rPr>
        <w:t>Información</w:t>
      </w:r>
      <w:r w:rsidR="0041526C" w:rsidRPr="00D770FF">
        <w:rPr>
          <w:spacing w:val="-2"/>
          <w:lang w:val="es-ES"/>
        </w:rPr>
        <w:t xml:space="preserve"> </w:t>
      </w:r>
      <w:r w:rsidR="0041526C" w:rsidRPr="00D770FF">
        <w:rPr>
          <w:lang w:val="es-ES"/>
        </w:rPr>
        <w:t>digital</w:t>
      </w:r>
      <w:r w:rsidR="0041526C" w:rsidRPr="00D770FF">
        <w:rPr>
          <w:spacing w:val="-1"/>
          <w:lang w:val="es-ES"/>
        </w:rPr>
        <w:t xml:space="preserve"> </w:t>
      </w:r>
      <w:r w:rsidR="0041526C" w:rsidRPr="00D770FF">
        <w:rPr>
          <w:lang w:val="es-ES"/>
        </w:rPr>
        <w:t>sobre</w:t>
      </w:r>
      <w:r w:rsidR="0041526C" w:rsidRPr="00D770FF">
        <w:rPr>
          <w:spacing w:val="-4"/>
          <w:lang w:val="es-ES"/>
        </w:rPr>
        <w:t xml:space="preserve"> </w:t>
      </w:r>
      <w:r w:rsidR="0041526C" w:rsidRPr="00D770FF">
        <w:rPr>
          <w:lang w:val="es-ES"/>
        </w:rPr>
        <w:t>secuencias</w:t>
      </w:r>
      <w:r w:rsidR="0041526C" w:rsidRPr="00D770FF">
        <w:rPr>
          <w:spacing w:val="-1"/>
          <w:lang w:val="es-ES"/>
        </w:rPr>
        <w:t xml:space="preserve"> </w:t>
      </w:r>
      <w:r w:rsidR="0041526C" w:rsidRPr="00D770FF">
        <w:rPr>
          <w:lang w:val="es-ES"/>
        </w:rPr>
        <w:t>de</w:t>
      </w:r>
      <w:r w:rsidR="0041526C" w:rsidRPr="00D770FF">
        <w:rPr>
          <w:spacing w:val="-4"/>
          <w:lang w:val="es-ES"/>
        </w:rPr>
        <w:t xml:space="preserve"> </w:t>
      </w:r>
      <w:r w:rsidR="0041526C" w:rsidRPr="00D770FF">
        <w:rPr>
          <w:lang w:val="es-ES"/>
        </w:rPr>
        <w:t>recursos</w:t>
      </w:r>
      <w:r w:rsidR="0041526C" w:rsidRPr="00D770FF">
        <w:rPr>
          <w:spacing w:val="-2"/>
          <w:lang w:val="es-ES"/>
        </w:rPr>
        <w:t xml:space="preserve"> </w:t>
      </w:r>
      <w:r w:rsidR="0041526C" w:rsidRPr="00D770FF">
        <w:rPr>
          <w:lang w:val="es-ES"/>
        </w:rPr>
        <w:t>genéticos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15.</w:t>
      </w:r>
      <w:r w:rsidRPr="00D770FF">
        <w:rPr>
          <w:snapToGrid w:val="0"/>
          <w:kern w:val="22"/>
          <w:szCs w:val="22"/>
          <w:lang w:val="es-ES"/>
        </w:rPr>
        <w:tab/>
      </w:r>
      <w:r w:rsidR="0041526C" w:rsidRPr="00D770FF">
        <w:rPr>
          <w:lang w:val="es-ES"/>
        </w:rPr>
        <w:t>Instrumentos</w:t>
      </w:r>
      <w:r w:rsidR="0041526C" w:rsidRPr="00D770FF">
        <w:rPr>
          <w:spacing w:val="3"/>
          <w:lang w:val="es-ES"/>
        </w:rPr>
        <w:t xml:space="preserve"> </w:t>
      </w:r>
      <w:r w:rsidR="0041526C" w:rsidRPr="00D770FF">
        <w:rPr>
          <w:lang w:val="es-ES"/>
        </w:rPr>
        <w:t>internacionales</w:t>
      </w:r>
      <w:r w:rsidR="0041526C" w:rsidRPr="00D770FF">
        <w:rPr>
          <w:spacing w:val="3"/>
          <w:lang w:val="es-ES"/>
        </w:rPr>
        <w:t xml:space="preserve"> </w:t>
      </w:r>
      <w:r w:rsidR="0041526C" w:rsidRPr="00D770FF">
        <w:rPr>
          <w:lang w:val="es-ES"/>
        </w:rPr>
        <w:t>especializados</w:t>
      </w:r>
      <w:r w:rsidR="0041526C" w:rsidRPr="00D770FF">
        <w:rPr>
          <w:spacing w:val="2"/>
          <w:lang w:val="es-ES"/>
        </w:rPr>
        <w:t xml:space="preserve"> </w:t>
      </w:r>
      <w:r w:rsidR="0041526C" w:rsidRPr="00D770FF">
        <w:rPr>
          <w:lang w:val="es-ES"/>
        </w:rPr>
        <w:t>de acceso</w:t>
      </w:r>
      <w:r w:rsidR="0041526C" w:rsidRPr="00D770FF">
        <w:rPr>
          <w:spacing w:val="-1"/>
          <w:lang w:val="es-ES"/>
        </w:rPr>
        <w:t xml:space="preserve"> </w:t>
      </w:r>
      <w:r w:rsidR="0041526C" w:rsidRPr="00D770FF">
        <w:rPr>
          <w:lang w:val="es-ES"/>
        </w:rPr>
        <w:t>y participación</w:t>
      </w:r>
      <w:r w:rsidR="0041526C" w:rsidRPr="00D770FF">
        <w:rPr>
          <w:spacing w:val="1"/>
          <w:lang w:val="es-ES"/>
        </w:rPr>
        <w:t xml:space="preserve"> </w:t>
      </w:r>
      <w:r w:rsidR="0041526C" w:rsidRPr="00D770FF">
        <w:rPr>
          <w:lang w:val="es-ES"/>
        </w:rPr>
        <w:t>en los</w:t>
      </w:r>
      <w:r w:rsidR="0041526C" w:rsidRPr="00D770FF">
        <w:rPr>
          <w:spacing w:val="7"/>
          <w:lang w:val="es-ES"/>
        </w:rPr>
        <w:t xml:space="preserve"> </w:t>
      </w:r>
      <w:r w:rsidR="0041526C" w:rsidRPr="00D770FF">
        <w:rPr>
          <w:lang w:val="es-ES"/>
        </w:rPr>
        <w:t>beneficios</w:t>
      </w:r>
      <w:r w:rsidR="0041526C" w:rsidRPr="00D770FF">
        <w:rPr>
          <w:spacing w:val="4"/>
          <w:lang w:val="es-ES"/>
        </w:rPr>
        <w:t xml:space="preserve"> </w:t>
      </w:r>
      <w:r w:rsidR="0041526C" w:rsidRPr="00D770FF">
        <w:rPr>
          <w:lang w:val="es-ES"/>
        </w:rPr>
        <w:t>dentro del</w:t>
      </w:r>
      <w:r w:rsidR="0041526C" w:rsidRPr="00D770FF">
        <w:rPr>
          <w:spacing w:val="-52"/>
          <w:lang w:val="es-ES"/>
        </w:rPr>
        <w:t xml:space="preserve"> </w:t>
      </w:r>
      <w:r w:rsidR="0041526C" w:rsidRPr="00D770FF">
        <w:rPr>
          <w:lang w:val="es-ES"/>
        </w:rPr>
        <w:t>contexto</w:t>
      </w:r>
      <w:r w:rsidR="0041526C" w:rsidRPr="00D770FF">
        <w:rPr>
          <w:spacing w:val="-4"/>
          <w:lang w:val="es-ES"/>
        </w:rPr>
        <w:t xml:space="preserve"> </w:t>
      </w:r>
      <w:r w:rsidR="0041526C" w:rsidRPr="00D770FF">
        <w:rPr>
          <w:lang w:val="es-ES"/>
        </w:rPr>
        <w:t>del</w:t>
      </w:r>
      <w:r w:rsidR="0041526C" w:rsidRPr="00D770FF">
        <w:rPr>
          <w:spacing w:val="-1"/>
          <w:lang w:val="es-ES"/>
        </w:rPr>
        <w:t xml:space="preserve"> </w:t>
      </w:r>
      <w:r w:rsidR="0041526C" w:rsidRPr="00D770FF">
        <w:rPr>
          <w:lang w:val="es-ES"/>
        </w:rPr>
        <w:t>párrafo 4 del</w:t>
      </w:r>
      <w:r w:rsidR="0041526C" w:rsidRPr="00D770FF">
        <w:rPr>
          <w:spacing w:val="-3"/>
          <w:lang w:val="es-ES"/>
        </w:rPr>
        <w:t xml:space="preserve"> </w:t>
      </w:r>
      <w:r w:rsidR="0041526C" w:rsidRPr="00D770FF">
        <w:rPr>
          <w:lang w:val="es-ES"/>
        </w:rPr>
        <w:t>artículo 4 del</w:t>
      </w:r>
      <w:r w:rsidR="0041526C" w:rsidRPr="00D770FF">
        <w:rPr>
          <w:spacing w:val="1"/>
          <w:lang w:val="es-ES"/>
        </w:rPr>
        <w:t xml:space="preserve"> </w:t>
      </w:r>
      <w:r w:rsidR="0041526C" w:rsidRPr="00D770FF">
        <w:rPr>
          <w:lang w:val="es-ES"/>
        </w:rPr>
        <w:t>Protocolo de</w:t>
      </w:r>
      <w:r w:rsidR="0041526C" w:rsidRPr="00D770FF">
        <w:rPr>
          <w:spacing w:val="-1"/>
          <w:lang w:val="es-ES"/>
        </w:rPr>
        <w:t xml:space="preserve"> </w:t>
      </w:r>
      <w:r w:rsidR="0041526C" w:rsidRPr="00D770FF">
        <w:rPr>
          <w:lang w:val="es-ES"/>
        </w:rPr>
        <w:t>Nagoya</w:t>
      </w:r>
      <w:r w:rsidRPr="00D770FF">
        <w:rPr>
          <w:snapToGrid w:val="0"/>
          <w:kern w:val="22"/>
          <w:szCs w:val="22"/>
          <w:lang w:val="es-ES"/>
        </w:rPr>
        <w:t>.</w:t>
      </w:r>
    </w:p>
    <w:p w:rsidR="0041526C"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16.</w:t>
      </w:r>
      <w:r w:rsidRPr="00D770FF">
        <w:rPr>
          <w:snapToGrid w:val="0"/>
          <w:kern w:val="22"/>
          <w:szCs w:val="22"/>
          <w:lang w:val="es-ES"/>
        </w:rPr>
        <w:tab/>
      </w:r>
      <w:r w:rsidR="0041526C" w:rsidRPr="00D770FF">
        <w:rPr>
          <w:lang w:val="es-ES"/>
        </w:rPr>
        <w:t>Mecanismo</w:t>
      </w:r>
      <w:r w:rsidR="0041526C" w:rsidRPr="00D770FF">
        <w:rPr>
          <w:spacing w:val="-3"/>
          <w:lang w:val="es-ES"/>
        </w:rPr>
        <w:t xml:space="preserve"> </w:t>
      </w:r>
      <w:r w:rsidR="0041526C" w:rsidRPr="00D770FF">
        <w:rPr>
          <w:lang w:val="es-ES"/>
        </w:rPr>
        <w:t>mundial</w:t>
      </w:r>
      <w:r w:rsidR="0041526C" w:rsidRPr="00D770FF">
        <w:rPr>
          <w:spacing w:val="-1"/>
          <w:lang w:val="es-ES"/>
        </w:rPr>
        <w:t xml:space="preserve"> </w:t>
      </w:r>
      <w:r w:rsidR="0041526C" w:rsidRPr="00D770FF">
        <w:rPr>
          <w:lang w:val="es-ES"/>
        </w:rPr>
        <w:t>multilateral</w:t>
      </w:r>
      <w:r w:rsidR="0041526C" w:rsidRPr="00D770FF">
        <w:rPr>
          <w:spacing w:val="-3"/>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participación</w:t>
      </w:r>
      <w:r w:rsidR="0041526C" w:rsidRPr="00D770FF">
        <w:rPr>
          <w:spacing w:val="-2"/>
          <w:lang w:val="es-ES"/>
        </w:rPr>
        <w:t xml:space="preserve"> </w:t>
      </w:r>
      <w:r w:rsidR="0041526C" w:rsidRPr="00D770FF">
        <w:rPr>
          <w:lang w:val="es-ES"/>
        </w:rPr>
        <w:t>en</w:t>
      </w:r>
      <w:r w:rsidR="0041526C" w:rsidRPr="00D770FF">
        <w:rPr>
          <w:spacing w:val="-4"/>
          <w:lang w:val="es-ES"/>
        </w:rPr>
        <w:t xml:space="preserve"> </w:t>
      </w:r>
      <w:r w:rsidR="0041526C" w:rsidRPr="00D770FF">
        <w:rPr>
          <w:lang w:val="es-ES"/>
        </w:rPr>
        <w:t>los</w:t>
      </w:r>
      <w:r w:rsidR="0041526C" w:rsidRPr="00D770FF">
        <w:rPr>
          <w:spacing w:val="-2"/>
          <w:lang w:val="es-ES"/>
        </w:rPr>
        <w:t xml:space="preserve"> </w:t>
      </w:r>
      <w:r w:rsidR="0041526C" w:rsidRPr="00D770FF">
        <w:rPr>
          <w:lang w:val="es-ES"/>
        </w:rPr>
        <w:t>beneficios</w:t>
      </w:r>
      <w:r w:rsidR="0041526C" w:rsidRPr="00D770FF">
        <w:rPr>
          <w:spacing w:val="-2"/>
          <w:lang w:val="es-ES"/>
        </w:rPr>
        <w:t xml:space="preserve"> </w:t>
      </w:r>
      <w:r w:rsidR="0041526C" w:rsidRPr="00D770FF">
        <w:rPr>
          <w:lang w:val="es-ES"/>
        </w:rPr>
        <w:t>(artículo</w:t>
      </w:r>
      <w:r w:rsidR="0041526C" w:rsidRPr="00D770FF">
        <w:rPr>
          <w:spacing w:val="-3"/>
          <w:lang w:val="es-ES"/>
        </w:rPr>
        <w:t xml:space="preserve"> </w:t>
      </w:r>
      <w:r w:rsidR="0041526C" w:rsidRPr="00D770FF">
        <w:rPr>
          <w:lang w:val="es-ES"/>
        </w:rPr>
        <w:t>10).</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17.</w:t>
      </w:r>
      <w:r w:rsidRPr="00D770FF">
        <w:rPr>
          <w:snapToGrid w:val="0"/>
          <w:kern w:val="22"/>
          <w:szCs w:val="22"/>
          <w:lang w:val="es-ES"/>
        </w:rPr>
        <w:tab/>
      </w:r>
      <w:r w:rsidR="0041526C" w:rsidRPr="00D770FF">
        <w:rPr>
          <w:snapToGrid w:val="0"/>
          <w:kern w:val="22"/>
          <w:szCs w:val="22"/>
          <w:lang w:val="es-ES"/>
        </w:rPr>
        <w:t>Otros asuntos</w:t>
      </w:r>
      <w:r w:rsidRPr="00D770FF">
        <w:rPr>
          <w:snapToGrid w:val="0"/>
          <w:kern w:val="22"/>
          <w:szCs w:val="22"/>
          <w:lang w:val="es-ES"/>
        </w:rPr>
        <w:t>.</w:t>
      </w:r>
    </w:p>
    <w:p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18.</w:t>
      </w:r>
      <w:r w:rsidRPr="00D770FF">
        <w:rPr>
          <w:snapToGrid w:val="0"/>
          <w:kern w:val="22"/>
          <w:szCs w:val="22"/>
          <w:lang w:val="es-ES"/>
        </w:rPr>
        <w:tab/>
        <w:t>Ado</w:t>
      </w:r>
      <w:r w:rsidR="0041526C" w:rsidRPr="00D770FF">
        <w:rPr>
          <w:snapToGrid w:val="0"/>
          <w:kern w:val="22"/>
          <w:szCs w:val="22"/>
          <w:lang w:val="es-ES"/>
        </w:rPr>
        <w:t>pción del informe</w:t>
      </w:r>
      <w:r w:rsidRPr="00D770FF">
        <w:rPr>
          <w:snapToGrid w:val="0"/>
          <w:kern w:val="22"/>
          <w:szCs w:val="22"/>
          <w:lang w:val="es-ES"/>
        </w:rPr>
        <w:t>.</w:t>
      </w:r>
    </w:p>
    <w:p w:rsidR="00BC1149"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19.</w:t>
      </w:r>
      <w:r w:rsidRPr="00D770FF">
        <w:rPr>
          <w:snapToGrid w:val="0"/>
          <w:kern w:val="22"/>
          <w:szCs w:val="22"/>
          <w:lang w:val="es-ES"/>
        </w:rPr>
        <w:tab/>
        <w:t>Cl</w:t>
      </w:r>
      <w:r w:rsidR="0041526C" w:rsidRPr="00D770FF">
        <w:rPr>
          <w:snapToGrid w:val="0"/>
          <w:kern w:val="22"/>
          <w:szCs w:val="22"/>
          <w:lang w:val="es-ES"/>
        </w:rPr>
        <w:t>ausura de la reunión</w:t>
      </w:r>
      <w:r w:rsidRPr="00D770FF">
        <w:rPr>
          <w:snapToGrid w:val="0"/>
          <w:kern w:val="22"/>
          <w:szCs w:val="22"/>
          <w:lang w:val="es-ES"/>
        </w:rPr>
        <w:t>.</w:t>
      </w:r>
    </w:p>
    <w:p w:rsidR="00BD5C2D" w:rsidRPr="00D770FF" w:rsidRDefault="002C3855" w:rsidP="00BD5C2D">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es-ES"/>
        </w:rPr>
      </w:pPr>
      <w:r w:rsidRPr="00D770FF">
        <w:rPr>
          <w:b/>
          <w:bCs/>
          <w:snapToGrid w:val="0"/>
          <w:kern w:val="22"/>
          <w:szCs w:val="22"/>
          <w:lang w:val="es-ES"/>
        </w:rPr>
        <w:t xml:space="preserve">Cuestiones de organización </w:t>
      </w:r>
    </w:p>
    <w:p w:rsidR="00BD5C2D" w:rsidRPr="00D770FF" w:rsidRDefault="00CB634D" w:rsidP="0019239A">
      <w:pPr>
        <w:pStyle w:val="Para1"/>
        <w:rPr>
          <w:lang w:val="es-ES"/>
        </w:rPr>
      </w:pPr>
      <w:r w:rsidRPr="00D770FF">
        <w:rPr>
          <w:lang w:val="es-ES"/>
        </w:rPr>
        <w:t xml:space="preserve">En la primera sesión plenaria de la </w:t>
      </w:r>
      <w:r w:rsidR="00DD3825">
        <w:rPr>
          <w:lang w:val="es-ES"/>
        </w:rPr>
        <w:t>p</w:t>
      </w:r>
      <w:r w:rsidRPr="00D770FF">
        <w:rPr>
          <w:lang w:val="es-ES"/>
        </w:rPr>
        <w:t xml:space="preserve">arte I de la reunión, el 11 de octubre de </w:t>
      </w:r>
      <w:r w:rsidR="00376062" w:rsidRPr="00D770FF">
        <w:rPr>
          <w:lang w:val="es-ES"/>
        </w:rPr>
        <w:t xml:space="preserve">2021, </w:t>
      </w:r>
      <w:r w:rsidRPr="00D770FF">
        <w:rPr>
          <w:lang w:val="es-ES"/>
        </w:rPr>
        <w:t xml:space="preserve">la Conferencia de las Partes que actúa como reunión de las Partes </w:t>
      </w:r>
      <w:r w:rsidR="00E570E3">
        <w:rPr>
          <w:lang w:val="es-ES"/>
        </w:rPr>
        <w:t xml:space="preserve">en el Protocolo de Nagoya </w:t>
      </w:r>
      <w:r w:rsidRPr="00D770FF">
        <w:rPr>
          <w:lang w:val="es-ES"/>
        </w:rPr>
        <w:t>d</w:t>
      </w:r>
      <w:r w:rsidR="00E570E3">
        <w:rPr>
          <w:lang w:val="es-ES"/>
        </w:rPr>
        <w:t>ecidi</w:t>
      </w:r>
      <w:r w:rsidRPr="00D770FF">
        <w:rPr>
          <w:lang w:val="es-ES"/>
        </w:rPr>
        <w:t>ó t</w:t>
      </w:r>
      <w:r w:rsidR="0093341F" w:rsidRPr="00D770FF">
        <w:rPr>
          <w:lang w:val="es-ES"/>
        </w:rPr>
        <w:t>ratar</w:t>
      </w:r>
      <w:r w:rsidRPr="00D770FF">
        <w:rPr>
          <w:lang w:val="es-ES"/>
        </w:rPr>
        <w:t xml:space="preserve"> los temas </w:t>
      </w:r>
      <w:r w:rsidR="00376062" w:rsidRPr="00D770FF">
        <w:rPr>
          <w:lang w:val="es-ES"/>
        </w:rPr>
        <w:t>1</w:t>
      </w:r>
      <w:r w:rsidRPr="00D770FF">
        <w:rPr>
          <w:lang w:val="es-ES"/>
        </w:rPr>
        <w:t xml:space="preserve"> a </w:t>
      </w:r>
      <w:r w:rsidR="00376062" w:rsidRPr="00D770FF">
        <w:rPr>
          <w:lang w:val="es-ES"/>
        </w:rPr>
        <w:t xml:space="preserve">6 </w:t>
      </w:r>
      <w:r w:rsidRPr="00D770FF">
        <w:rPr>
          <w:lang w:val="es-ES"/>
        </w:rPr>
        <w:t xml:space="preserve">y </w:t>
      </w:r>
      <w:r w:rsidR="00376062" w:rsidRPr="00D770FF">
        <w:rPr>
          <w:lang w:val="es-ES"/>
        </w:rPr>
        <w:t>17</w:t>
      </w:r>
      <w:r w:rsidRPr="00D770FF">
        <w:rPr>
          <w:lang w:val="es-ES"/>
        </w:rPr>
        <w:t xml:space="preserve"> a </w:t>
      </w:r>
      <w:r w:rsidR="00376062" w:rsidRPr="00D770FF">
        <w:rPr>
          <w:lang w:val="es-ES"/>
        </w:rPr>
        <w:t xml:space="preserve">19 </w:t>
      </w:r>
      <w:r w:rsidRPr="00D770FF">
        <w:rPr>
          <w:lang w:val="es-ES"/>
        </w:rPr>
        <w:t xml:space="preserve">durante la </w:t>
      </w:r>
      <w:r w:rsidR="006140DD">
        <w:rPr>
          <w:lang w:val="es-ES"/>
        </w:rPr>
        <w:t>p</w:t>
      </w:r>
      <w:r w:rsidRPr="00D770FF">
        <w:rPr>
          <w:lang w:val="es-ES"/>
        </w:rPr>
        <w:t>arte I de la reunión</w:t>
      </w:r>
      <w:r w:rsidR="00376062" w:rsidRPr="00D770FF">
        <w:rPr>
          <w:lang w:val="es-ES"/>
        </w:rPr>
        <w:t xml:space="preserve">, </w:t>
      </w:r>
      <w:r w:rsidRPr="00D770FF">
        <w:rPr>
          <w:lang w:val="es-ES"/>
        </w:rPr>
        <w:t xml:space="preserve">conforme al calendario dispuesto en el anexo </w:t>
      </w:r>
      <w:r w:rsidR="00376062" w:rsidRPr="00D770FF">
        <w:rPr>
          <w:lang w:val="es-ES"/>
        </w:rPr>
        <w:t xml:space="preserve">I </w:t>
      </w:r>
      <w:r w:rsidRPr="00D770FF">
        <w:rPr>
          <w:lang w:val="es-ES"/>
        </w:rPr>
        <w:t xml:space="preserve">de la propuesta de organización de los trabajos </w:t>
      </w:r>
      <w:r w:rsidR="00BD5C2D" w:rsidRPr="00D770FF">
        <w:rPr>
          <w:lang w:val="es-ES"/>
        </w:rPr>
        <w:t>(CBD/</w:t>
      </w:r>
      <w:r w:rsidR="00CE070B" w:rsidRPr="00D770FF">
        <w:rPr>
          <w:lang w:val="es-ES"/>
        </w:rPr>
        <w:t>N</w:t>
      </w:r>
      <w:r w:rsidR="00BD5C2D" w:rsidRPr="00D770FF">
        <w:rPr>
          <w:lang w:val="es-ES"/>
        </w:rPr>
        <w:t>P/MOP/</w:t>
      </w:r>
      <w:r w:rsidR="00CE070B" w:rsidRPr="00D770FF">
        <w:rPr>
          <w:lang w:val="es-ES"/>
        </w:rPr>
        <w:t>4</w:t>
      </w:r>
      <w:r w:rsidR="00BD5C2D" w:rsidRPr="00D770FF">
        <w:rPr>
          <w:lang w:val="es-ES"/>
        </w:rPr>
        <w:t>/1/Add.2).</w:t>
      </w:r>
      <w:r w:rsidRPr="00D770FF">
        <w:rPr>
          <w:lang w:val="es-ES"/>
        </w:rPr>
        <w:t xml:space="preserve"> </w:t>
      </w:r>
      <w:r w:rsidR="0041526C" w:rsidRPr="00D770FF">
        <w:rPr>
          <w:lang w:val="es-ES"/>
        </w:rPr>
        <w:t xml:space="preserve">Se convino en que </w:t>
      </w:r>
      <w:r w:rsidRPr="00D770FF">
        <w:rPr>
          <w:lang w:val="es-ES"/>
        </w:rPr>
        <w:t xml:space="preserve">todos los temas del programa se abordarían en sesión plenaria y que </w:t>
      </w:r>
      <w:r w:rsidR="009338FD" w:rsidRPr="00D770FF">
        <w:rPr>
          <w:lang w:val="es-ES"/>
        </w:rPr>
        <w:t xml:space="preserve">sería </w:t>
      </w:r>
      <w:r w:rsidR="0093341F" w:rsidRPr="00D770FF">
        <w:rPr>
          <w:lang w:val="es-ES"/>
        </w:rPr>
        <w:t xml:space="preserve">necesario estudiar más detenidamente algunos de ellos </w:t>
      </w:r>
      <w:r w:rsidR="00286C69" w:rsidRPr="00D770FF">
        <w:rPr>
          <w:lang w:val="es-ES"/>
        </w:rPr>
        <w:t xml:space="preserve">durante la </w:t>
      </w:r>
      <w:r w:rsidR="006140DD">
        <w:rPr>
          <w:lang w:val="es-ES"/>
        </w:rPr>
        <w:t>p</w:t>
      </w:r>
      <w:r w:rsidR="00286C69" w:rsidRPr="00D770FF">
        <w:rPr>
          <w:lang w:val="es-ES"/>
        </w:rPr>
        <w:t xml:space="preserve">arte </w:t>
      </w:r>
      <w:r w:rsidR="00376062" w:rsidRPr="00D770FF">
        <w:rPr>
          <w:bCs/>
          <w:lang w:val="es-ES"/>
        </w:rPr>
        <w:t xml:space="preserve">II </w:t>
      </w:r>
      <w:r w:rsidR="00286C69" w:rsidRPr="00D770FF">
        <w:rPr>
          <w:bCs/>
          <w:lang w:val="es-ES"/>
        </w:rPr>
        <w:t xml:space="preserve">de la reunión, cuando </w:t>
      </w:r>
      <w:r w:rsidR="0093341F" w:rsidRPr="00D770FF">
        <w:rPr>
          <w:bCs/>
          <w:lang w:val="es-ES"/>
        </w:rPr>
        <w:t xml:space="preserve">también se tratarán </w:t>
      </w:r>
      <w:r w:rsidR="00286C69" w:rsidRPr="00D770FF">
        <w:rPr>
          <w:bCs/>
          <w:lang w:val="es-ES"/>
        </w:rPr>
        <w:t>los temas 7 a 16 de programa</w:t>
      </w:r>
      <w:r w:rsidR="00376062" w:rsidRPr="00D770FF">
        <w:rPr>
          <w:bCs/>
          <w:lang w:val="es-ES"/>
        </w:rPr>
        <w:t>.</w:t>
      </w:r>
    </w:p>
    <w:p w:rsidR="00DE59C4" w:rsidRPr="00D770FF" w:rsidRDefault="0041526C"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Elección de la Presidencia</w:t>
      </w:r>
    </w:p>
    <w:p w:rsidR="00EA2FF1" w:rsidRPr="00D770FF" w:rsidRDefault="00EA2FF1" w:rsidP="009F51A7">
      <w:pPr>
        <w:pStyle w:val="Para1"/>
        <w:rPr>
          <w:kern w:val="22"/>
          <w:szCs w:val="22"/>
          <w:lang w:val="es-ES"/>
        </w:rPr>
      </w:pPr>
      <w:r w:rsidRPr="00D770FF">
        <w:rPr>
          <w:lang w:val="es-ES"/>
        </w:rPr>
        <w:t>En</w:t>
      </w:r>
      <w:r w:rsidR="00E229DD" w:rsidRPr="00D770FF">
        <w:rPr>
          <w:lang w:val="es-ES"/>
        </w:rPr>
        <w:t xml:space="preserve"> </w:t>
      </w:r>
      <w:r w:rsidR="009338FD" w:rsidRPr="00D770FF">
        <w:rPr>
          <w:lang w:val="es-ES"/>
        </w:rPr>
        <w:t>virtud d</w:t>
      </w:r>
      <w:r w:rsidRPr="00D770FF">
        <w:rPr>
          <w:lang w:val="es-ES"/>
        </w:rPr>
        <w:t xml:space="preserve">el artículo 26, párrafo 3, del Protocolo de Nagoya, la Mesa de la Conferencia de las Partes también oficia como Mesa de la Conferencia de las Partes que actúa como reunión de las Partes en el Protocolo de Nagoya. </w:t>
      </w:r>
      <w:r w:rsidR="004B3AE2" w:rsidRPr="00D770FF">
        <w:rPr>
          <w:lang w:val="es-ES"/>
        </w:rPr>
        <w:t>Por consiguiente</w:t>
      </w:r>
      <w:r w:rsidRPr="00D770FF">
        <w:rPr>
          <w:lang w:val="es-ES"/>
        </w:rPr>
        <w:t xml:space="preserve">, el Sr. Runqiu Huang, </w:t>
      </w:r>
      <w:r w:rsidRPr="00D770FF">
        <w:rPr>
          <w:rStyle w:val="Para1Char"/>
          <w:lang w:val="es-ES"/>
        </w:rPr>
        <w:t xml:space="preserve">Ministro de </w:t>
      </w:r>
      <w:r w:rsidR="00E570E3" w:rsidRPr="00D770FF">
        <w:rPr>
          <w:rStyle w:val="Para1Char"/>
          <w:lang w:val="es-ES"/>
        </w:rPr>
        <w:t xml:space="preserve">Ecología y </w:t>
      </w:r>
      <w:r w:rsidRPr="00D770FF">
        <w:rPr>
          <w:rStyle w:val="Para1Char"/>
          <w:lang w:val="es-ES"/>
        </w:rPr>
        <w:t xml:space="preserve">Medio Ambiente de China, que había sido elegido Presidente de </w:t>
      </w:r>
      <w:r w:rsidR="004B3AE2" w:rsidRPr="00D770FF">
        <w:rPr>
          <w:rStyle w:val="Para1Char"/>
          <w:lang w:val="es-ES"/>
        </w:rPr>
        <w:t xml:space="preserve">la </w:t>
      </w:r>
      <w:r w:rsidRPr="00D770FF">
        <w:rPr>
          <w:rStyle w:val="Para1Char"/>
          <w:lang w:val="es-ES"/>
        </w:rPr>
        <w:t>15ª reunión de la Conferencia de las Partes, también ofició como Presidente de la cuarta conferencia de las Partes que actúa como reunión de las Partes en el Protocolo de Nagoya</w:t>
      </w:r>
      <w:r w:rsidRPr="00D770FF">
        <w:rPr>
          <w:lang w:val="es-ES"/>
        </w:rPr>
        <w:t xml:space="preserve">. </w:t>
      </w:r>
    </w:p>
    <w:p w:rsidR="00DE59C4" w:rsidRPr="00D770FF" w:rsidRDefault="004A2D50"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Elección de la Mesa, salvo la Presidencia</w:t>
      </w:r>
    </w:p>
    <w:p w:rsidR="004A2D50" w:rsidRPr="00D770FF" w:rsidRDefault="004A2D50" w:rsidP="00430802">
      <w:pPr>
        <w:pStyle w:val="Para1"/>
        <w:rPr>
          <w:lang w:val="es-ES"/>
        </w:rPr>
      </w:pPr>
      <w:bookmarkStart w:id="3" w:name="_Hlk84947727"/>
      <w:r w:rsidRPr="00D770FF">
        <w:rPr>
          <w:lang w:val="es-ES"/>
        </w:rPr>
        <w:t>En el artículo 26, párrafo 3, del Protocolo de Nagoya se establece que los miembros de la Mesa de la Conferencia de las Partes que representen a Partes en el Convenio que no sean Partes en el Protocolo serán reemplazados por miembros que serán elegidos por y de entre las Partes en el Protocolo. En su 14ª reunión</w:t>
      </w:r>
      <w:r w:rsidR="004B3AE2" w:rsidRPr="00D770FF">
        <w:rPr>
          <w:lang w:val="es-ES"/>
        </w:rPr>
        <w:t>,</w:t>
      </w:r>
      <w:r w:rsidRPr="00D770FF">
        <w:rPr>
          <w:lang w:val="es-ES"/>
        </w:rPr>
        <w:t xml:space="preserve"> la Conferencia de las Partes había elegido</w:t>
      </w:r>
      <w:r w:rsidR="004B3AE2" w:rsidRPr="00D770FF">
        <w:rPr>
          <w:lang w:val="es-ES"/>
        </w:rPr>
        <w:t xml:space="preserve"> a 10 </w:t>
      </w:r>
      <w:r w:rsidRPr="00D770FF">
        <w:rPr>
          <w:lang w:val="es-ES"/>
        </w:rPr>
        <w:t xml:space="preserve">miembros de la Mesa por un mandato que finalizaría al clausurarse la 15ª reunión. </w:t>
      </w:r>
      <w:r w:rsidRPr="00D770FF">
        <w:rPr>
          <w:rFonts w:eastAsia="Angsana New"/>
          <w:szCs w:val="24"/>
          <w:lang w:val="es-ES"/>
        </w:rPr>
        <w:t xml:space="preserve">Posteriormente, dos de los representantes fueron reemplazados por las Partes correspondientes. En su tercera reunión, la Conferencia de las Partes que actúa como reunión de las Partes </w:t>
      </w:r>
      <w:r w:rsidR="00E570E3">
        <w:rPr>
          <w:rFonts w:eastAsia="Angsana New"/>
          <w:szCs w:val="24"/>
          <w:lang w:val="es-ES"/>
        </w:rPr>
        <w:t xml:space="preserve">en el Protocolo de Nagoya </w:t>
      </w:r>
      <w:r w:rsidRPr="00D770FF">
        <w:rPr>
          <w:rFonts w:eastAsia="Angsana New"/>
          <w:szCs w:val="24"/>
          <w:lang w:val="es-ES"/>
        </w:rPr>
        <w:t xml:space="preserve">había elegido </w:t>
      </w:r>
      <w:r w:rsidR="00430802" w:rsidRPr="00D770FF">
        <w:rPr>
          <w:lang w:val="es-ES"/>
        </w:rPr>
        <w:t xml:space="preserve">a miembros sustitutos de la Mesa para aquellas regiones en las que el miembro de la Mesa </w:t>
      </w:r>
      <w:r w:rsidR="004B3AE2" w:rsidRPr="00D770FF">
        <w:rPr>
          <w:lang w:val="es-ES"/>
        </w:rPr>
        <w:t xml:space="preserve">de la Conferencia de las Partes </w:t>
      </w:r>
      <w:r w:rsidR="00430802" w:rsidRPr="00D770FF">
        <w:rPr>
          <w:lang w:val="es-ES"/>
        </w:rPr>
        <w:t>representaba a una Parte en el Convenio que no era Parte en el Protocolo de Nagoya. Por consiguiente, la</w:t>
      </w:r>
      <w:r w:rsidR="00335C7C" w:rsidRPr="00D770FF">
        <w:rPr>
          <w:lang w:val="es-ES"/>
        </w:rPr>
        <w:t xml:space="preserve"> </w:t>
      </w:r>
      <w:r w:rsidR="00430802" w:rsidRPr="00D770FF">
        <w:rPr>
          <w:lang w:val="es-ES"/>
        </w:rPr>
        <w:t>Mesa para la cuarta reunión de Conferencia de las Partes quedó conformada por:</w:t>
      </w:r>
      <w:r w:rsidR="00430802" w:rsidRPr="00D770FF">
        <w:rPr>
          <w:lang w:val="es-ES"/>
        </w:rPr>
        <w:cr/>
      </w:r>
      <w:bookmarkEnd w:id="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bookmarkStart w:id="4" w:name="_Hlk78552629"/>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r. Eric Okoree (Ghana)</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r. Melesse Maryo (Et</w:t>
            </w:r>
            <w:r w:rsidRPr="00D770FF">
              <w:rPr>
                <w:rFonts w:ascii="Times New Roman" w:hAnsi="Times New Roman" w:cs="Times New Roman"/>
                <w:snapToGrid w:val="0"/>
                <w:kern w:val="22"/>
                <w:szCs w:val="22"/>
                <w:lang w:val="es-ES"/>
              </w:rPr>
              <w:t>iopía</w:t>
            </w:r>
            <w:r w:rsidR="00BD62B5" w:rsidRPr="00D770FF">
              <w:rPr>
                <w:rFonts w:ascii="Times New Roman" w:hAnsi="Times New Roman" w:cs="Times New Roman"/>
                <w:snapToGrid w:val="0"/>
                <w:kern w:val="22"/>
                <w:szCs w:val="22"/>
                <w:lang w:val="es-ES"/>
              </w:rPr>
              <w:t>)</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r. Vinod Mathur (India) (</w:t>
            </w:r>
            <w:r w:rsidRPr="00D770FF">
              <w:rPr>
                <w:rFonts w:ascii="Times New Roman" w:hAnsi="Times New Roman" w:cs="Times New Roman"/>
                <w:snapToGrid w:val="0"/>
                <w:kern w:val="22"/>
                <w:szCs w:val="22"/>
                <w:lang w:val="es-ES"/>
              </w:rPr>
              <w:t>en reemplazo de la Sra</w:t>
            </w:r>
            <w:r w:rsidR="00BD62B5" w:rsidRPr="00D770FF">
              <w:rPr>
                <w:rFonts w:ascii="Times New Roman" w:hAnsi="Times New Roman" w:cs="Times New Roman"/>
                <w:snapToGrid w:val="0"/>
                <w:kern w:val="22"/>
                <w:szCs w:val="22"/>
                <w:lang w:val="es-ES"/>
              </w:rPr>
              <w:t xml:space="preserve">. Sujata </w:t>
            </w:r>
            <w:r w:rsidR="00BD62B5" w:rsidRPr="00D770FF">
              <w:rPr>
                <w:rFonts w:ascii="Times New Roman" w:hAnsi="Times New Roman" w:cs="Times New Roman"/>
                <w:snapToGrid w:val="0"/>
                <w:kern w:val="22"/>
                <w:szCs w:val="22"/>
                <w:lang w:val="es-ES"/>
              </w:rPr>
              <w:lastRenderedPageBreak/>
              <w:t>Arora)</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lastRenderedPageBreak/>
              <w:t>Sra</w:t>
            </w:r>
            <w:r w:rsidR="00BD62B5" w:rsidRPr="00D770FF">
              <w:rPr>
                <w:rFonts w:ascii="Times New Roman" w:hAnsi="Times New Roman" w:cs="Times New Roman"/>
                <w:snapToGrid w:val="0"/>
                <w:kern w:val="22"/>
                <w:szCs w:val="22"/>
                <w:lang w:val="es-ES"/>
              </w:rPr>
              <w:t>. Leina El-Awadhi (Kuwait)</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r. Dilovarsho Dustov (Ta</w:t>
            </w:r>
            <w:r w:rsidRPr="00D770FF">
              <w:rPr>
                <w:rFonts w:ascii="Times New Roman" w:hAnsi="Times New Roman" w:cs="Times New Roman"/>
                <w:snapToGrid w:val="0"/>
                <w:kern w:val="22"/>
                <w:szCs w:val="22"/>
                <w:lang w:val="es-ES"/>
              </w:rPr>
              <w:t>yikistán</w:t>
            </w:r>
            <w:r w:rsidR="00BD62B5" w:rsidRPr="00D770FF">
              <w:rPr>
                <w:rFonts w:ascii="Times New Roman" w:hAnsi="Times New Roman" w:cs="Times New Roman"/>
                <w:snapToGrid w:val="0"/>
                <w:kern w:val="22"/>
                <w:szCs w:val="22"/>
                <w:lang w:val="es-ES"/>
              </w:rPr>
              <w:t>)</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Elvana Ramaj (Albania)</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w:t>
            </w:r>
            <w:r w:rsidR="00BD62B5" w:rsidRPr="00D770FF">
              <w:rPr>
                <w:rFonts w:ascii="Times New Roman" w:hAnsi="Times New Roman" w:cs="Times New Roman"/>
                <w:snapToGrid w:val="0"/>
                <w:kern w:val="22"/>
                <w:szCs w:val="22"/>
                <w:lang w:val="es-ES"/>
              </w:rPr>
              <w:t>. Joaqu</w:t>
            </w:r>
            <w:r w:rsidRPr="00D770FF">
              <w:rPr>
                <w:rFonts w:ascii="Times New Roman" w:hAnsi="Times New Roman" w:cs="Times New Roman"/>
                <w:snapToGrid w:val="0"/>
                <w:kern w:val="22"/>
                <w:szCs w:val="22"/>
                <w:lang w:val="es-ES"/>
              </w:rPr>
              <w:t>í</w:t>
            </w:r>
            <w:r w:rsidR="00BD62B5" w:rsidRPr="00D770FF">
              <w:rPr>
                <w:rFonts w:ascii="Times New Roman" w:hAnsi="Times New Roman" w:cs="Times New Roman"/>
                <w:snapToGrid w:val="0"/>
                <w:kern w:val="22"/>
                <w:szCs w:val="22"/>
                <w:lang w:val="es-ES"/>
              </w:rPr>
              <w:t>n Salzberg (Argentina)</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Helena Jeffery Brown (Antigua </w:t>
            </w:r>
            <w:r w:rsidRPr="00D770FF">
              <w:rPr>
                <w:rFonts w:ascii="Times New Roman" w:hAnsi="Times New Roman" w:cs="Times New Roman"/>
                <w:snapToGrid w:val="0"/>
                <w:kern w:val="22"/>
                <w:szCs w:val="22"/>
                <w:lang w:val="es-ES"/>
              </w:rPr>
              <w:t>y</w:t>
            </w:r>
            <w:r w:rsidR="00BD62B5" w:rsidRPr="00D770FF">
              <w:rPr>
                <w:rFonts w:ascii="Times New Roman" w:hAnsi="Times New Roman" w:cs="Times New Roman"/>
                <w:snapToGrid w:val="0"/>
                <w:kern w:val="22"/>
                <w:szCs w:val="22"/>
                <w:lang w:val="es-ES"/>
              </w:rPr>
              <w:t xml:space="preserve"> Barbuda)</w:t>
            </w:r>
          </w:p>
        </w:tc>
      </w:tr>
      <w:tr w:rsidR="00BD62B5" w:rsidRPr="00D770FF" w:rsidTr="00BD62B5">
        <w:trPr>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Gabriele Obermayr (Austria)</w:t>
            </w:r>
          </w:p>
        </w:tc>
      </w:tr>
      <w:tr w:rsidR="00BD62B5" w:rsidRPr="00D770FF" w:rsidTr="00051AA5">
        <w:trPr>
          <w:trHeight w:val="281"/>
          <w:jc w:val="center"/>
        </w:trPr>
        <w:tc>
          <w:tcPr>
            <w:tcW w:w="5529" w:type="dxa"/>
          </w:tcPr>
          <w:p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Marie Haraldstad (Nor</w:t>
            </w:r>
            <w:r w:rsidRPr="00D770FF">
              <w:rPr>
                <w:rFonts w:ascii="Times New Roman" w:hAnsi="Times New Roman" w:cs="Times New Roman"/>
                <w:snapToGrid w:val="0"/>
                <w:kern w:val="22"/>
                <w:szCs w:val="22"/>
                <w:lang w:val="es-ES"/>
              </w:rPr>
              <w:t>uega</w:t>
            </w:r>
            <w:r w:rsidR="00BD62B5" w:rsidRPr="00D770FF">
              <w:rPr>
                <w:rFonts w:ascii="Times New Roman" w:hAnsi="Times New Roman" w:cs="Times New Roman"/>
                <w:snapToGrid w:val="0"/>
                <w:kern w:val="22"/>
                <w:szCs w:val="22"/>
                <w:lang w:val="es-ES"/>
              </w:rPr>
              <w:t>)</w:t>
            </w:r>
          </w:p>
        </w:tc>
      </w:tr>
    </w:tbl>
    <w:p w:rsidR="00051AA5" w:rsidRPr="00D770FF" w:rsidRDefault="00E03351" w:rsidP="00E03351">
      <w:pPr>
        <w:pStyle w:val="Para1"/>
        <w:rPr>
          <w:kern w:val="22"/>
          <w:szCs w:val="22"/>
          <w:lang w:val="es-ES"/>
        </w:rPr>
      </w:pPr>
      <w:bookmarkStart w:id="5" w:name="_Hlk84867795"/>
      <w:bookmarkEnd w:id="4"/>
      <w:r w:rsidRPr="00D770FF">
        <w:rPr>
          <w:lang w:val="es-ES"/>
        </w:rPr>
        <w:t xml:space="preserve">Considerando que parte de la labor encomendada por la Conferencia de las Partes </w:t>
      </w:r>
      <w:r w:rsidR="00E570E3">
        <w:rPr>
          <w:lang w:val="es-ES"/>
        </w:rPr>
        <w:t xml:space="preserve">en su </w:t>
      </w:r>
      <w:r w:rsidR="00E570E3" w:rsidRPr="00D770FF">
        <w:rPr>
          <w:lang w:val="es-ES"/>
        </w:rPr>
        <w:t xml:space="preserve">14ª reunión </w:t>
      </w:r>
      <w:r w:rsidRPr="00D770FF">
        <w:rPr>
          <w:lang w:val="es-ES"/>
        </w:rPr>
        <w:t xml:space="preserve">habría de continuar hasta la clausura de la </w:t>
      </w:r>
      <w:r w:rsidR="00DD3825">
        <w:rPr>
          <w:lang w:val="es-ES"/>
        </w:rPr>
        <w:t>p</w:t>
      </w:r>
      <w:r w:rsidRPr="00D770FF">
        <w:rPr>
          <w:lang w:val="es-ES"/>
        </w:rPr>
        <w:t>arte II de la reunión, se invitó al Sr.</w:t>
      </w:r>
      <w:r w:rsidR="00E229DD" w:rsidRPr="00D770FF">
        <w:rPr>
          <w:lang w:val="es-ES"/>
        </w:rPr>
        <w:t xml:space="preserve"> </w:t>
      </w:r>
      <w:r w:rsidRPr="00D770FF">
        <w:rPr>
          <w:lang w:val="es-ES"/>
        </w:rPr>
        <w:t xml:space="preserve">Hamdallah Zedan (Egipto) a seguir integrando la Mesa, </w:t>
      </w:r>
      <w:r w:rsidRPr="00D770FF">
        <w:rPr>
          <w:i/>
          <w:iCs/>
          <w:lang w:val="es-ES"/>
        </w:rPr>
        <w:t>ex officio</w:t>
      </w:r>
      <w:r w:rsidRPr="00D770FF">
        <w:rPr>
          <w:lang w:val="es-ES"/>
        </w:rPr>
        <w:t>, como representante de la Presidencia de la 14ª</w:t>
      </w:r>
      <w:r w:rsidR="00E570E3">
        <w:rPr>
          <w:lang w:val="es-ES"/>
        </w:rPr>
        <w:t> </w:t>
      </w:r>
      <w:r w:rsidRPr="00D770FF">
        <w:rPr>
          <w:lang w:val="es-ES"/>
        </w:rPr>
        <w:t>reunión de la Conferencia de las Partes.</w:t>
      </w:r>
      <w:bookmarkEnd w:id="5"/>
    </w:p>
    <w:p w:rsidR="00E03351" w:rsidRPr="00D770FF" w:rsidRDefault="00E03351" w:rsidP="00863F8A">
      <w:pPr>
        <w:pStyle w:val="Para1"/>
        <w:rPr>
          <w:kern w:val="22"/>
          <w:szCs w:val="22"/>
          <w:lang w:val="es-ES"/>
        </w:rPr>
      </w:pPr>
      <w:bookmarkStart w:id="6" w:name="_Hlk84868211"/>
      <w:r w:rsidRPr="00D770FF">
        <w:rPr>
          <w:lang w:val="es-ES"/>
        </w:rPr>
        <w:t xml:space="preserve">Se acordó que los integrantes que asumirían sus funciones al clausurarse la cuarta reunión y las ejercerían hasta la finalización de la quinta reunión se elegirían en la </w:t>
      </w:r>
      <w:r w:rsidR="006140DD">
        <w:rPr>
          <w:lang w:val="es-ES"/>
        </w:rPr>
        <w:t>p</w:t>
      </w:r>
      <w:r w:rsidRPr="00D770FF">
        <w:rPr>
          <w:lang w:val="es-ES"/>
        </w:rPr>
        <w:t>arte II de la reunión, en cuya oportunidad la Conferencia de las Partes que actúa como reunión de las Partes elegiría a los reemplazantes, según fuera necesario, de aquellos integrantes de la Mesa que representaran a una Parte en el Convenio que no fuera Parte en el Protocolo de Nagoya.</w:t>
      </w:r>
    </w:p>
    <w:p w:rsidR="00E03351" w:rsidRPr="00D770FF" w:rsidRDefault="00E03351" w:rsidP="00E03351">
      <w:pPr>
        <w:pStyle w:val="Para1"/>
        <w:rPr>
          <w:kern w:val="22"/>
          <w:szCs w:val="22"/>
          <w:lang w:val="es-ES"/>
        </w:rPr>
      </w:pPr>
      <w:bookmarkStart w:id="7" w:name="_Hlk84868271"/>
      <w:bookmarkEnd w:id="6"/>
      <w:r w:rsidRPr="00D770FF">
        <w:rPr>
          <w:lang w:val="es-ES"/>
        </w:rPr>
        <w:t xml:space="preserve">En la sesión plenaria de apertura de la </w:t>
      </w:r>
      <w:r w:rsidR="00523590">
        <w:rPr>
          <w:lang w:val="es-ES"/>
        </w:rPr>
        <w:t xml:space="preserve">parte I de la </w:t>
      </w:r>
      <w:r w:rsidRPr="00D770FF">
        <w:rPr>
          <w:lang w:val="es-ES"/>
        </w:rPr>
        <w:t>reunión, el 11 de octubre de 2021, a propuesta de la Mesa, se acordó que la Sra.</w:t>
      </w:r>
      <w:r w:rsidR="00B1154E" w:rsidRPr="00D770FF">
        <w:rPr>
          <w:lang w:val="es-ES"/>
        </w:rPr>
        <w:t xml:space="preserve"> </w:t>
      </w:r>
      <w:r w:rsidRPr="00D770FF">
        <w:rPr>
          <w:lang w:val="es-ES"/>
        </w:rPr>
        <w:t>Elvana Ramaj (Albania) oficiaría de Relatora de la reunión.</w:t>
      </w:r>
    </w:p>
    <w:bookmarkEnd w:id="7"/>
    <w:p w:rsidR="00DE59C4" w:rsidRPr="00D770FF" w:rsidRDefault="00E03351"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Elección de la Mesa de los órganos subsidiarios</w:t>
      </w:r>
    </w:p>
    <w:p w:rsidR="000704F5" w:rsidRPr="00D770FF" w:rsidRDefault="000704F5" w:rsidP="000704F5">
      <w:pPr>
        <w:pStyle w:val="Para1"/>
        <w:rPr>
          <w:lang w:val="es-ES"/>
        </w:rPr>
      </w:pPr>
      <w:bookmarkStart w:id="8" w:name="Item04"/>
      <w:r w:rsidRPr="00D770FF">
        <w:rPr>
          <w:lang w:val="es-ES"/>
        </w:rPr>
        <w:t xml:space="preserve">En su sesión de apertura, el 11 de octubre de 2021, la Conferencia de las Partes </w:t>
      </w:r>
      <w:r w:rsidR="00523590">
        <w:rPr>
          <w:lang w:val="es-ES"/>
        </w:rPr>
        <w:t>decidió</w:t>
      </w:r>
      <w:r w:rsidRPr="00D770FF">
        <w:rPr>
          <w:lang w:val="es-ES"/>
        </w:rPr>
        <w:t xml:space="preserve"> posponer las elecciones de la Presidencia del Órgano Subsidiario de Asesoramiento Científico, Técnico y Tecnológico y del Órgano Subsidiario sobre la Aplicación hasta la finalización de la </w:t>
      </w:r>
      <w:r w:rsidR="00523590">
        <w:rPr>
          <w:lang w:val="es-ES"/>
        </w:rPr>
        <w:t>segunda p</w:t>
      </w:r>
      <w:r w:rsidRPr="00D770FF">
        <w:rPr>
          <w:lang w:val="es-ES"/>
        </w:rPr>
        <w:t>arte de la reunión. La Conferencia de las Partes también acordó mantener en funciones a los Copresidentes del Grupo de Trabajo de Composición Abierta sobre el Marco Mundial de la Diversidad Biológica posterior a 2020 hasta la segunda parte de la reunión.</w:t>
      </w:r>
      <w:bookmarkEnd w:id="8"/>
    </w:p>
    <w:p w:rsidR="00DE59C4" w:rsidRPr="00D770FF" w:rsidRDefault="000704F5"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caps w:val="0"/>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3.</w:t>
      </w:r>
      <w:r w:rsidR="00963ACA" w:rsidRPr="00D770FF">
        <w:rPr>
          <w:bCs/>
          <w:snapToGrid w:val="0"/>
          <w:kern w:val="22"/>
          <w:szCs w:val="22"/>
          <w:lang w:val="es-ES"/>
        </w:rPr>
        <w:t xml:space="preserve"> </w:t>
      </w:r>
      <w:r w:rsidR="00963ACA" w:rsidRPr="00D770FF">
        <w:rPr>
          <w:bCs/>
          <w:caps w:val="0"/>
          <w:snapToGrid w:val="0"/>
          <w:kern w:val="22"/>
          <w:szCs w:val="22"/>
          <w:lang w:val="es-ES"/>
        </w:rPr>
        <w:t>Informe sobre las credenciales de los representantes que participan en la cuarta reunión de la Conferencia de las Partes que actúa como reunión de las Partes en el Protocolo de Nagoya</w:t>
      </w:r>
    </w:p>
    <w:p w:rsidR="00963ACA" w:rsidRPr="00D770FF" w:rsidRDefault="00963ACA" w:rsidP="00963ACA">
      <w:pPr>
        <w:pStyle w:val="Para1"/>
        <w:rPr>
          <w:kern w:val="22"/>
          <w:szCs w:val="22"/>
          <w:lang w:val="es-ES"/>
        </w:rPr>
      </w:pPr>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 xml:space="preserve">comenzó a tratar el tema 3 en la sesión plenaria de apertura de la </w:t>
      </w:r>
      <w:r w:rsidR="00523590">
        <w:rPr>
          <w:lang w:val="es-ES"/>
        </w:rPr>
        <w:t>p</w:t>
      </w:r>
      <w:r w:rsidRPr="00D770FF">
        <w:rPr>
          <w:lang w:val="es-ES"/>
        </w:rPr>
        <w:t>arte I de la reunión, el 11 de octubre de 2021. De conformidad con el artículo 19 del reglamento, la Mesa debía examinar las credenciales de las delegaciones e informar acerca de estas. Por consiguiente, el Presidente informó al</w:t>
      </w:r>
      <w:r w:rsidR="00523590">
        <w:rPr>
          <w:lang w:val="es-ES"/>
        </w:rPr>
        <w:t xml:space="preserve"> órgano</w:t>
      </w:r>
      <w:r w:rsidRPr="00D770FF">
        <w:rPr>
          <w:lang w:val="es-ES"/>
        </w:rPr>
        <w:t xml:space="preserve"> que la Mesa había designado al Sr. Eric Okoree (Ghana), uno de los vicepresidentes de la Mesa, para que examinara las credenciales e informara al respecto.</w:t>
      </w:r>
    </w:p>
    <w:p w:rsidR="00963ACA" w:rsidRPr="00D770FF" w:rsidRDefault="00963ACA" w:rsidP="008C66E4">
      <w:pPr>
        <w:pStyle w:val="Para1"/>
        <w:rPr>
          <w:lang w:val="es-ES"/>
        </w:rPr>
      </w:pPr>
      <w:r w:rsidRPr="00D770FF">
        <w:rPr>
          <w:lang w:val="es-ES"/>
        </w:rPr>
        <w:t>En la [</w:t>
      </w:r>
      <w:r w:rsidRPr="00D770FF">
        <w:rPr>
          <w:i/>
          <w:lang w:val="es-ES"/>
        </w:rPr>
        <w:t>se completará</w:t>
      </w:r>
      <w:r w:rsidRPr="00D770FF">
        <w:rPr>
          <w:lang w:val="es-ES"/>
        </w:rPr>
        <w:t xml:space="preserve">] sesión plenaria de la </w:t>
      </w:r>
      <w:r w:rsidR="006140DD">
        <w:rPr>
          <w:lang w:val="es-ES"/>
        </w:rPr>
        <w:t>p</w:t>
      </w:r>
      <w:r w:rsidRPr="00D770FF">
        <w:rPr>
          <w:lang w:val="es-ES"/>
        </w:rPr>
        <w:t>arte I de la reunión, el [</w:t>
      </w:r>
      <w:r w:rsidRPr="00D770FF">
        <w:rPr>
          <w:i/>
          <w:lang w:val="es-ES"/>
        </w:rPr>
        <w:t>se completará</w:t>
      </w:r>
      <w:r w:rsidRPr="00D770FF">
        <w:rPr>
          <w:lang w:val="es-ES"/>
        </w:rPr>
        <w:t xml:space="preserve">], el Sr. Eric Okoree informó a la Conferencia de las Partes que actúa como reunión de las Partes </w:t>
      </w:r>
      <w:r w:rsidR="00523590">
        <w:rPr>
          <w:lang w:val="es-ES"/>
        </w:rPr>
        <w:t xml:space="preserve">en el Protocolo de Nagoya </w:t>
      </w:r>
      <w:r w:rsidRPr="00D770FF">
        <w:rPr>
          <w:lang w:val="es-ES"/>
        </w:rPr>
        <w:t>que se había registrado la asistencia de [</w:t>
      </w:r>
      <w:r w:rsidRPr="00D770FF">
        <w:rPr>
          <w:i/>
          <w:lang w:val="es-ES"/>
        </w:rPr>
        <w:t>se completará</w:t>
      </w:r>
      <w:r w:rsidRPr="00D770FF">
        <w:rPr>
          <w:lang w:val="es-ES"/>
        </w:rPr>
        <w:t>] Partes a la reunión. La Mesa había examinado las credenciales de los representantes de [</w:t>
      </w:r>
      <w:r w:rsidRPr="00D770FF">
        <w:rPr>
          <w:i/>
          <w:lang w:val="es-ES"/>
        </w:rPr>
        <w:t>se completará</w:t>
      </w:r>
      <w:r w:rsidRPr="00D770FF">
        <w:rPr>
          <w:lang w:val="es-ES"/>
        </w:rPr>
        <w:t>] Partes que asistían a la reunión. Las credenciales de [</w:t>
      </w:r>
      <w:r w:rsidRPr="00D770FF">
        <w:rPr>
          <w:i/>
          <w:lang w:val="es-ES"/>
        </w:rPr>
        <w:t>se completará</w:t>
      </w:r>
      <w:r w:rsidRPr="00D770FF">
        <w:rPr>
          <w:lang w:val="es-ES"/>
        </w:rPr>
        <w:t>] delegaciones cumplían plenamente las disposiciones del artículo 18 del reglamento. En el caso de [</w:t>
      </w:r>
      <w:r w:rsidRPr="00D770FF">
        <w:rPr>
          <w:i/>
          <w:lang w:val="es-ES"/>
        </w:rPr>
        <w:t>se completará</w:t>
      </w:r>
      <w:r w:rsidRPr="00D770FF">
        <w:rPr>
          <w:lang w:val="es-ES"/>
        </w:rPr>
        <w:t>] delegaciones, las credenciales no se ajustaban plenamente a lo dispuesto en el artículo 18 y otras [</w:t>
      </w:r>
      <w:r w:rsidRPr="00D770FF">
        <w:rPr>
          <w:i/>
          <w:lang w:val="es-ES"/>
        </w:rPr>
        <w:t>se completará</w:t>
      </w:r>
      <w:r w:rsidRPr="00D770FF">
        <w:rPr>
          <w:lang w:val="es-ES"/>
        </w:rPr>
        <w:t>] delegaciones aún no habían presentado sus credenciales.</w:t>
      </w:r>
    </w:p>
    <w:p w:rsidR="00DE59C4" w:rsidRPr="00D770FF" w:rsidRDefault="00963AC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4.</w:t>
      </w:r>
      <w:r w:rsidR="00DE59C4" w:rsidRPr="00D770FF">
        <w:rPr>
          <w:bCs/>
          <w:snapToGrid w:val="0"/>
          <w:kern w:val="22"/>
          <w:szCs w:val="22"/>
          <w:lang w:val="es-ES"/>
        </w:rPr>
        <w:tab/>
      </w:r>
      <w:r w:rsidRPr="00D770FF">
        <w:rPr>
          <w:bCs/>
          <w:caps w:val="0"/>
          <w:snapToGrid w:val="0"/>
          <w:kern w:val="22"/>
          <w:szCs w:val="22"/>
          <w:lang w:val="es-ES"/>
        </w:rPr>
        <w:t>Informes de los órganos subsidiarios</w:t>
      </w:r>
      <w:r w:rsidRPr="00D770FF">
        <w:rPr>
          <w:bCs/>
          <w:snapToGrid w:val="0"/>
          <w:kern w:val="22"/>
          <w:szCs w:val="22"/>
          <w:lang w:val="es-ES"/>
        </w:rPr>
        <w:t xml:space="preserve"> </w:t>
      </w:r>
    </w:p>
    <w:p w:rsidR="000A2378" w:rsidRPr="00D770FF" w:rsidRDefault="000A2378" w:rsidP="000A2378">
      <w:pPr>
        <w:pStyle w:val="Para1"/>
        <w:rPr>
          <w:lang w:val="es-ES"/>
        </w:rPr>
      </w:pPr>
      <w:r w:rsidRPr="00D770FF">
        <w:rPr>
          <w:lang w:val="es-ES"/>
        </w:rPr>
        <w:t>[</w:t>
      </w:r>
      <w:r w:rsidR="00963ACA" w:rsidRPr="00D770FF">
        <w:rPr>
          <w:i/>
          <w:iCs/>
          <w:lang w:val="es-ES"/>
        </w:rPr>
        <w:t>se completará</w:t>
      </w:r>
      <w:r w:rsidRPr="00D770FF">
        <w:rPr>
          <w:lang w:val="es-ES"/>
        </w:rPr>
        <w:t>]</w:t>
      </w:r>
    </w:p>
    <w:p w:rsidR="00DE59C4" w:rsidRPr="00D770FF" w:rsidRDefault="00963AC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lastRenderedPageBreak/>
        <w:t xml:space="preserve">Tema </w:t>
      </w:r>
      <w:r w:rsidR="00DE59C4" w:rsidRPr="00D770FF">
        <w:rPr>
          <w:snapToGrid w:val="0"/>
          <w:kern w:val="22"/>
          <w:szCs w:val="22"/>
          <w:lang w:val="es-ES"/>
        </w:rPr>
        <w:t>5.</w:t>
      </w:r>
      <w:r w:rsidR="00DE59C4" w:rsidRPr="00D770FF">
        <w:rPr>
          <w:snapToGrid w:val="0"/>
          <w:kern w:val="22"/>
          <w:szCs w:val="22"/>
          <w:lang w:val="es-ES"/>
        </w:rPr>
        <w:tab/>
      </w:r>
      <w:r w:rsidRPr="00D770FF">
        <w:rPr>
          <w:caps w:val="0"/>
          <w:snapToGrid w:val="0"/>
          <w:kern w:val="22"/>
          <w:szCs w:val="22"/>
          <w:lang w:val="es-ES"/>
        </w:rPr>
        <w:t>Informe del Comité de Cumplimiento</w:t>
      </w:r>
    </w:p>
    <w:p w:rsidR="006D099E" w:rsidRPr="00D770FF" w:rsidRDefault="006D099E" w:rsidP="006D099E">
      <w:pPr>
        <w:pStyle w:val="Para1"/>
        <w:rPr>
          <w:lang w:val="es-ES"/>
        </w:rPr>
      </w:pPr>
      <w:bookmarkStart w:id="9" w:name="_Hlk84866175"/>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comenzó a tratar el tema 5 en la [</w:t>
      </w:r>
      <w:r w:rsidRPr="00D770FF">
        <w:rPr>
          <w:i/>
          <w:lang w:val="es-ES"/>
        </w:rPr>
        <w:t>se completará</w:t>
      </w:r>
      <w:r w:rsidRPr="00D770FF">
        <w:rPr>
          <w:lang w:val="es-ES"/>
        </w:rPr>
        <w:t xml:space="preserve">] sesión de la </w:t>
      </w:r>
      <w:r w:rsidR="006140DD">
        <w:rPr>
          <w:lang w:val="es-ES"/>
        </w:rPr>
        <w:t>p</w:t>
      </w:r>
      <w:r w:rsidRPr="00D770FF">
        <w:rPr>
          <w:lang w:val="es-ES"/>
        </w:rPr>
        <w:t>arte I de la reunión, el [</w:t>
      </w:r>
      <w:r w:rsidRPr="00D770FF">
        <w:rPr>
          <w:i/>
          <w:lang w:val="es-ES"/>
        </w:rPr>
        <w:t>se completará</w:t>
      </w:r>
      <w:r w:rsidRPr="00D770FF">
        <w:rPr>
          <w:lang w:val="es-ES"/>
        </w:rPr>
        <w:t>], y d</w:t>
      </w:r>
      <w:r w:rsidR="00523590">
        <w:rPr>
          <w:lang w:val="es-ES"/>
        </w:rPr>
        <w:t>ecidi</w:t>
      </w:r>
      <w:r w:rsidRPr="00D770FF">
        <w:rPr>
          <w:lang w:val="es-ES"/>
        </w:rPr>
        <w:t xml:space="preserve">ó aplazar la consideración de las recomendaciones del Comité de Cumplimiento y la elección de los nuevos miembros del Comité hasta la </w:t>
      </w:r>
      <w:r w:rsidR="006140DD">
        <w:rPr>
          <w:lang w:val="es-ES"/>
        </w:rPr>
        <w:t>p</w:t>
      </w:r>
      <w:r w:rsidRPr="00D770FF">
        <w:rPr>
          <w:lang w:val="es-ES"/>
        </w:rPr>
        <w:t>arte II de la reunión.</w:t>
      </w:r>
      <w:bookmarkEnd w:id="9"/>
    </w:p>
    <w:p w:rsidR="00DE59C4" w:rsidRPr="00D770FF" w:rsidRDefault="00963AC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6.</w:t>
      </w:r>
      <w:r w:rsidR="00DE59C4" w:rsidRPr="00D770FF">
        <w:rPr>
          <w:bCs/>
          <w:snapToGrid w:val="0"/>
          <w:kern w:val="22"/>
          <w:szCs w:val="22"/>
          <w:lang w:val="es-ES"/>
        </w:rPr>
        <w:tab/>
      </w:r>
      <w:r w:rsidRPr="00D770FF">
        <w:rPr>
          <w:bCs/>
          <w:caps w:val="0"/>
          <w:snapToGrid w:val="0"/>
          <w:kern w:val="22"/>
          <w:szCs w:val="22"/>
          <w:lang w:val="es-ES"/>
        </w:rPr>
        <w:t>Administración del Protocolo y el presupuesto para los fondos fiduciarios</w:t>
      </w:r>
    </w:p>
    <w:p w:rsidR="006D099E" w:rsidRPr="00D770FF" w:rsidRDefault="006D099E" w:rsidP="006D099E">
      <w:pPr>
        <w:pStyle w:val="Para1"/>
        <w:rPr>
          <w:lang w:val="es-ES"/>
        </w:rPr>
      </w:pPr>
      <w:bookmarkStart w:id="10" w:name="_heading=h.gjdgxs" w:colFirst="0" w:colLast="0"/>
      <w:bookmarkStart w:id="11" w:name="_heading=h.30j0zll" w:colFirst="0" w:colLast="0"/>
      <w:bookmarkStart w:id="12" w:name="_heading=h.xuy1qui6wltd" w:colFirst="0" w:colLast="0"/>
      <w:bookmarkStart w:id="13" w:name="_heading=h.nkgw0ii72cmr" w:colFirst="0" w:colLast="0"/>
      <w:bookmarkStart w:id="14" w:name="_heading=h.3znysh7" w:colFirst="0" w:colLast="0"/>
      <w:bookmarkEnd w:id="10"/>
      <w:bookmarkEnd w:id="11"/>
      <w:bookmarkEnd w:id="12"/>
      <w:bookmarkEnd w:id="13"/>
      <w:bookmarkEnd w:id="14"/>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 xml:space="preserve">comenzó a tratar el tema 6 del programa en la sesión de apertura de la </w:t>
      </w:r>
      <w:r w:rsidR="00523590">
        <w:rPr>
          <w:lang w:val="es-ES"/>
        </w:rPr>
        <w:t>p</w:t>
      </w:r>
      <w:r w:rsidRPr="00D770FF">
        <w:rPr>
          <w:lang w:val="es-ES"/>
        </w:rPr>
        <w:t>arte I de la reunión, el 11 de octubre de 2021. Para examinar el tema, tuvo ante sí un informe provisional de la Secretaria Ejecutiva sobre la administración del Convenio y sus Protocolos, que incluía el presupuesto para los respectivos fondos fiduciarios (</w:t>
      </w:r>
      <w:r w:rsidRPr="00D770FF">
        <w:rPr>
          <w:rStyle w:val="ng-binding"/>
          <w:lang w:val="es-ES"/>
        </w:rPr>
        <w:t>CBD/CP/MOP/10/3)</w:t>
      </w:r>
      <w:r w:rsidRPr="00D770FF">
        <w:rPr>
          <w:lang w:val="es-ES"/>
        </w:rPr>
        <w:t xml:space="preserve">. </w:t>
      </w:r>
    </w:p>
    <w:p w:rsidR="006D099E" w:rsidRPr="00D770FF" w:rsidRDefault="006D099E" w:rsidP="006B6CF1">
      <w:pPr>
        <w:pStyle w:val="Para1"/>
        <w:rPr>
          <w:lang w:val="es-ES"/>
        </w:rPr>
      </w:pPr>
      <w:bookmarkStart w:id="15" w:name="_Hlk84828738"/>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d</w:t>
      </w:r>
      <w:r w:rsidR="00523590">
        <w:rPr>
          <w:lang w:val="es-ES"/>
        </w:rPr>
        <w:t>ecidi</w:t>
      </w:r>
      <w:r w:rsidRPr="00D770FF">
        <w:rPr>
          <w:lang w:val="es-ES"/>
        </w:rPr>
        <w:t xml:space="preserve">ó establecer un grupo de contacto sobre </w:t>
      </w:r>
      <w:r w:rsidR="00523590">
        <w:rPr>
          <w:lang w:val="es-ES"/>
        </w:rPr>
        <w:t xml:space="preserve">el </w:t>
      </w:r>
      <w:r w:rsidRPr="00D770FF">
        <w:rPr>
          <w:lang w:val="es-ES"/>
        </w:rPr>
        <w:t xml:space="preserve">presupuesto, al que encomendó </w:t>
      </w:r>
      <w:r w:rsidR="00523590">
        <w:rPr>
          <w:lang w:val="es-ES"/>
        </w:rPr>
        <w:t>como</w:t>
      </w:r>
      <w:r w:rsidRPr="00D770FF">
        <w:rPr>
          <w:lang w:val="es-ES"/>
        </w:rPr>
        <w:t xml:space="preserve"> mandato examinar el asunto y preparar un proyecto de presupuesto para el programa de trabajo para 2022, a fin de que fuera considerado por las Partes. </w:t>
      </w:r>
      <w:bookmarkEnd w:id="15"/>
      <w:r w:rsidRPr="00D770FF">
        <w:rPr>
          <w:lang w:val="es-ES"/>
        </w:rPr>
        <w:t>El grupo de contacto estaría presidido por el Sr. Spencer Thomas (Granada), estaría abierto a todas las Partes y se reuniría de manera oficiosa a instancias de su presidencia. Las reuniones se anunciarán con antelación en el calendario diario de reuniones.</w:t>
      </w:r>
    </w:p>
    <w:p w:rsidR="006D099E" w:rsidRPr="00D770FF" w:rsidRDefault="006D099E" w:rsidP="002A3DE0">
      <w:pPr>
        <w:pStyle w:val="Para1"/>
        <w:rPr>
          <w:lang w:val="es-ES"/>
        </w:rPr>
      </w:pPr>
      <w:r w:rsidRPr="00D770FF">
        <w:rPr>
          <w:lang w:val="es-ES"/>
        </w:rPr>
        <w:t>En la [</w:t>
      </w:r>
      <w:r w:rsidRPr="00D770FF">
        <w:rPr>
          <w:i/>
          <w:lang w:val="es-ES"/>
        </w:rPr>
        <w:t>se completará</w:t>
      </w:r>
      <w:r w:rsidRPr="00D770FF">
        <w:rPr>
          <w:lang w:val="es-ES"/>
        </w:rPr>
        <w:t xml:space="preserve">] sesión plenaria de la </w:t>
      </w:r>
      <w:r w:rsidR="006140DD">
        <w:rPr>
          <w:lang w:val="es-ES"/>
        </w:rPr>
        <w:t>p</w:t>
      </w:r>
      <w:r w:rsidRPr="00D770FF">
        <w:rPr>
          <w:lang w:val="es-ES"/>
        </w:rPr>
        <w:t>arte I de la reunión, el [</w:t>
      </w:r>
      <w:r w:rsidRPr="00D770FF">
        <w:rPr>
          <w:i/>
          <w:lang w:val="es-ES"/>
        </w:rPr>
        <w:t>se completará</w:t>
      </w:r>
      <w:r w:rsidRPr="00D770FF">
        <w:rPr>
          <w:lang w:val="es-ES"/>
        </w:rPr>
        <w:t>], la Conferencia de las Partes que actúa como reunión de las Partes</w:t>
      </w:r>
      <w:r w:rsidR="00523590">
        <w:rPr>
          <w:lang w:val="es-ES"/>
        </w:rPr>
        <w:t xml:space="preserve"> en el Protocolo de Nagoya</w:t>
      </w:r>
      <w:r w:rsidRPr="00D770FF">
        <w:rPr>
          <w:lang w:val="es-ES"/>
        </w:rPr>
        <w:t xml:space="preserve"> recibió información actualizada sobre la labor del grupo de contacto sobre el presupuesto [</w:t>
      </w:r>
      <w:r w:rsidRPr="00D770FF">
        <w:rPr>
          <w:i/>
          <w:lang w:val="es-ES"/>
        </w:rPr>
        <w:t>se completará</w:t>
      </w:r>
      <w:r w:rsidRPr="00D770FF">
        <w:rPr>
          <w:lang w:val="es-ES"/>
        </w:rPr>
        <w:t>].</w:t>
      </w:r>
    </w:p>
    <w:p w:rsidR="00DE59C4" w:rsidRPr="00D770FF" w:rsidRDefault="00963AC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17.</w:t>
      </w:r>
      <w:r w:rsidR="00DE59C4" w:rsidRPr="00D770FF">
        <w:rPr>
          <w:bCs/>
          <w:snapToGrid w:val="0"/>
          <w:kern w:val="22"/>
          <w:szCs w:val="22"/>
          <w:lang w:val="es-ES"/>
        </w:rPr>
        <w:tab/>
      </w:r>
      <w:r w:rsidR="00C62F9A" w:rsidRPr="00D770FF">
        <w:rPr>
          <w:bCs/>
          <w:caps w:val="0"/>
          <w:snapToGrid w:val="0"/>
          <w:kern w:val="22"/>
          <w:szCs w:val="22"/>
          <w:lang w:val="es-ES"/>
        </w:rPr>
        <w:t>Ot</w:t>
      </w:r>
      <w:r w:rsidRPr="00D770FF">
        <w:rPr>
          <w:bCs/>
          <w:caps w:val="0"/>
          <w:snapToGrid w:val="0"/>
          <w:kern w:val="22"/>
          <w:szCs w:val="22"/>
          <w:lang w:val="es-ES"/>
        </w:rPr>
        <w:t>ros asuntos</w:t>
      </w:r>
    </w:p>
    <w:p w:rsidR="003B1338" w:rsidRPr="00D770FF" w:rsidRDefault="003B1338" w:rsidP="00AC186D">
      <w:pPr>
        <w:pStyle w:val="Para1"/>
        <w:rPr>
          <w:lang w:val="es-ES"/>
        </w:rPr>
      </w:pPr>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comenzó a tratar el tema 17 en la [</w:t>
      </w:r>
      <w:r w:rsidRPr="00D770FF">
        <w:rPr>
          <w:i/>
          <w:lang w:val="es-ES"/>
        </w:rPr>
        <w:t>se completará</w:t>
      </w:r>
      <w:r w:rsidRPr="00D770FF">
        <w:rPr>
          <w:lang w:val="es-ES"/>
        </w:rPr>
        <w:t xml:space="preserve">] sesión de la </w:t>
      </w:r>
      <w:r w:rsidR="006140DD">
        <w:rPr>
          <w:lang w:val="es-ES"/>
        </w:rPr>
        <w:t>p</w:t>
      </w:r>
      <w:r w:rsidRPr="00D770FF">
        <w:rPr>
          <w:lang w:val="es-ES"/>
        </w:rPr>
        <w:t>arte I de la reunión, el [</w:t>
      </w:r>
      <w:r w:rsidRPr="00D770FF">
        <w:rPr>
          <w:i/>
          <w:lang w:val="es-ES"/>
        </w:rPr>
        <w:t>se completará</w:t>
      </w:r>
      <w:r w:rsidRPr="00D770FF">
        <w:rPr>
          <w:lang w:val="es-ES"/>
        </w:rPr>
        <w:t xml:space="preserve">]. </w:t>
      </w:r>
    </w:p>
    <w:p w:rsidR="005353E2" w:rsidRPr="00D770FF" w:rsidRDefault="005353E2" w:rsidP="0019239A">
      <w:pPr>
        <w:pStyle w:val="Para1"/>
        <w:rPr>
          <w:lang w:val="es-ES"/>
        </w:rPr>
      </w:pPr>
      <w:r w:rsidRPr="00D770FF">
        <w:rPr>
          <w:lang w:val="es-ES"/>
        </w:rPr>
        <w:t>[</w:t>
      </w:r>
      <w:r w:rsidR="003B1338" w:rsidRPr="00D770FF">
        <w:rPr>
          <w:i/>
          <w:iCs/>
          <w:lang w:val="es-ES"/>
        </w:rPr>
        <w:t>se completará</w:t>
      </w:r>
      <w:r w:rsidRPr="00D770FF">
        <w:rPr>
          <w:lang w:val="es-ES"/>
        </w:rPr>
        <w:t>]</w:t>
      </w:r>
    </w:p>
    <w:p w:rsidR="00DE59C4" w:rsidRPr="00D770FF" w:rsidRDefault="00963AC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18.</w:t>
      </w:r>
      <w:r w:rsidR="00DE59C4" w:rsidRPr="00D770FF">
        <w:rPr>
          <w:bCs/>
          <w:snapToGrid w:val="0"/>
          <w:kern w:val="22"/>
          <w:szCs w:val="22"/>
          <w:lang w:val="es-ES"/>
        </w:rPr>
        <w:tab/>
        <w:t>A</w:t>
      </w:r>
      <w:r w:rsidR="00C62F9A" w:rsidRPr="00D770FF">
        <w:rPr>
          <w:bCs/>
          <w:caps w:val="0"/>
          <w:snapToGrid w:val="0"/>
          <w:kern w:val="22"/>
          <w:szCs w:val="22"/>
          <w:lang w:val="es-ES"/>
        </w:rPr>
        <w:t>dop</w:t>
      </w:r>
      <w:r w:rsidRPr="00D770FF">
        <w:rPr>
          <w:bCs/>
          <w:caps w:val="0"/>
          <w:snapToGrid w:val="0"/>
          <w:kern w:val="22"/>
          <w:szCs w:val="22"/>
          <w:lang w:val="es-ES"/>
        </w:rPr>
        <w:t>ción del informe</w:t>
      </w:r>
    </w:p>
    <w:p w:rsidR="003B1338" w:rsidRPr="00D770FF" w:rsidRDefault="003B1338" w:rsidP="003B1338">
      <w:pPr>
        <w:pStyle w:val="Para1"/>
        <w:rPr>
          <w:lang w:val="es-ES"/>
        </w:rPr>
      </w:pPr>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adoptó el presente informe en la [</w:t>
      </w:r>
      <w:r w:rsidRPr="00D770FF">
        <w:rPr>
          <w:i/>
          <w:lang w:val="es-ES"/>
        </w:rPr>
        <w:t>se completará</w:t>
      </w:r>
      <w:r w:rsidRPr="00D770FF">
        <w:rPr>
          <w:lang w:val="es-ES"/>
        </w:rPr>
        <w:t xml:space="preserve">] sesión plenaria de la </w:t>
      </w:r>
      <w:r w:rsidR="006140DD">
        <w:rPr>
          <w:lang w:val="es-ES"/>
        </w:rPr>
        <w:t>p</w:t>
      </w:r>
      <w:r w:rsidRPr="00D770FF">
        <w:rPr>
          <w:lang w:val="es-ES"/>
        </w:rPr>
        <w:t>arte I de la reunión, el [</w:t>
      </w:r>
      <w:r w:rsidRPr="00D770FF">
        <w:rPr>
          <w:i/>
          <w:lang w:val="es-ES"/>
        </w:rPr>
        <w:t>se completará</w:t>
      </w:r>
      <w:r w:rsidRPr="00D770FF">
        <w:rPr>
          <w:lang w:val="es-ES"/>
        </w:rPr>
        <w:t xml:space="preserve">], sobre la base del proyecto de informe presentado por la Relatora (CBD/NP/MOP/4/Part-1-L.1), en el entendido de que se completaría para incluir las deliberaciones completas de la reunión en curso y de que el informe completo se consideraría y adoptaría en la </w:t>
      </w:r>
      <w:r w:rsidR="006140DD">
        <w:rPr>
          <w:lang w:val="es-ES"/>
        </w:rPr>
        <w:t>p</w:t>
      </w:r>
      <w:r w:rsidRPr="00D770FF">
        <w:rPr>
          <w:lang w:val="es-ES"/>
        </w:rPr>
        <w:t>arte II de la reunión.</w:t>
      </w:r>
    </w:p>
    <w:p w:rsidR="00DE59C4" w:rsidRPr="00D770FF" w:rsidRDefault="00963AC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snapToGrid w:val="0"/>
          <w:kern w:val="22"/>
          <w:szCs w:val="22"/>
          <w:lang w:val="es-ES"/>
        </w:rPr>
        <w:t>19.</w:t>
      </w:r>
      <w:r w:rsidR="00DE59C4" w:rsidRPr="00D770FF">
        <w:rPr>
          <w:snapToGrid w:val="0"/>
          <w:kern w:val="22"/>
          <w:szCs w:val="22"/>
          <w:lang w:val="es-ES"/>
        </w:rPr>
        <w:tab/>
      </w:r>
      <w:r w:rsidR="00335C7C" w:rsidRPr="00D770FF">
        <w:rPr>
          <w:snapToGrid w:val="0"/>
          <w:kern w:val="22"/>
          <w:szCs w:val="22"/>
          <w:lang w:val="es-ES"/>
        </w:rPr>
        <w:t>C</w:t>
      </w:r>
      <w:r w:rsidR="00335C7C" w:rsidRPr="00D770FF">
        <w:rPr>
          <w:caps w:val="0"/>
          <w:snapToGrid w:val="0"/>
          <w:kern w:val="22"/>
          <w:szCs w:val="22"/>
          <w:lang w:val="es-ES"/>
        </w:rPr>
        <w:t>lausura</w:t>
      </w:r>
      <w:r w:rsidRPr="00D770FF">
        <w:rPr>
          <w:caps w:val="0"/>
          <w:snapToGrid w:val="0"/>
          <w:kern w:val="22"/>
          <w:szCs w:val="22"/>
          <w:lang w:val="es-ES"/>
        </w:rPr>
        <w:t xml:space="preserve"> de la reunión</w:t>
      </w:r>
    </w:p>
    <w:p w:rsidR="003B1338" w:rsidRPr="00D770FF" w:rsidRDefault="003B1338" w:rsidP="003B1338">
      <w:pPr>
        <w:pStyle w:val="Para1"/>
        <w:rPr>
          <w:lang w:val="es-ES"/>
        </w:rPr>
      </w:pPr>
      <w:bookmarkStart w:id="16" w:name="_Hlk84865738"/>
      <w:r w:rsidRPr="00D770FF">
        <w:rPr>
          <w:lang w:val="es-ES"/>
        </w:rPr>
        <w:t>En la [</w:t>
      </w:r>
      <w:r w:rsidRPr="00D770FF">
        <w:rPr>
          <w:i/>
          <w:lang w:val="es-ES"/>
        </w:rPr>
        <w:t>se completará</w:t>
      </w:r>
      <w:r w:rsidRPr="00D770FF">
        <w:rPr>
          <w:lang w:val="es-ES"/>
        </w:rPr>
        <w:t xml:space="preserve">] sesión plenaria de la </w:t>
      </w:r>
      <w:r w:rsidR="00523590">
        <w:rPr>
          <w:lang w:val="es-ES"/>
        </w:rPr>
        <w:t>p</w:t>
      </w:r>
      <w:r w:rsidRPr="00D770FF">
        <w:rPr>
          <w:lang w:val="es-ES"/>
        </w:rPr>
        <w:t>arte I de la reunión, el [</w:t>
      </w:r>
      <w:r w:rsidRPr="00D770FF">
        <w:rPr>
          <w:i/>
          <w:lang w:val="es-ES"/>
        </w:rPr>
        <w:t>se completará</w:t>
      </w:r>
      <w:r w:rsidRPr="00D770FF">
        <w:rPr>
          <w:lang w:val="es-ES"/>
        </w:rPr>
        <w:t xml:space="preserve">], la Conferencia de las Partes que actúa como reunión de las Partes </w:t>
      </w:r>
      <w:r w:rsidR="00523590">
        <w:rPr>
          <w:lang w:val="es-ES"/>
        </w:rPr>
        <w:t xml:space="preserve">en el Protocolo de Nagoya </w:t>
      </w:r>
      <w:r w:rsidRPr="00D770FF">
        <w:rPr>
          <w:lang w:val="es-ES"/>
        </w:rPr>
        <w:t>d</w:t>
      </w:r>
      <w:r w:rsidR="00523590">
        <w:rPr>
          <w:lang w:val="es-ES"/>
        </w:rPr>
        <w:t>ecidi</w:t>
      </w:r>
      <w:r w:rsidRPr="00D770FF">
        <w:rPr>
          <w:lang w:val="es-ES"/>
        </w:rPr>
        <w:t xml:space="preserve">ó suspender su cuarta reunión y </w:t>
      </w:r>
      <w:r w:rsidR="00523590">
        <w:rPr>
          <w:lang w:val="es-ES"/>
        </w:rPr>
        <w:t>co</w:t>
      </w:r>
      <w:r w:rsidRPr="00D770FF">
        <w:rPr>
          <w:lang w:val="es-ES"/>
        </w:rPr>
        <w:t>n</w:t>
      </w:r>
      <w:r w:rsidR="00523590">
        <w:rPr>
          <w:lang w:val="es-ES"/>
        </w:rPr>
        <w:t>tin</w:t>
      </w:r>
      <w:r w:rsidRPr="00D770FF">
        <w:rPr>
          <w:lang w:val="es-ES"/>
        </w:rPr>
        <w:t>uarla del 25 de abril al 8 de m</w:t>
      </w:r>
      <w:r w:rsidR="00523590">
        <w:rPr>
          <w:lang w:val="es-ES"/>
        </w:rPr>
        <w:t>ayo de 2022 en Kunming (China).</w:t>
      </w:r>
    </w:p>
    <w:p w:rsidR="003B1338" w:rsidRPr="00D770FF" w:rsidRDefault="003B1338" w:rsidP="00AE171A">
      <w:pPr>
        <w:pStyle w:val="Para1"/>
        <w:rPr>
          <w:lang w:val="es-ES"/>
        </w:rPr>
      </w:pPr>
      <w:r w:rsidRPr="00D770FF">
        <w:rPr>
          <w:lang w:val="es-ES"/>
        </w:rPr>
        <w:t xml:space="preserve">Tras el habitual intercambio de cortesías, se clausuró oficialmente la </w:t>
      </w:r>
      <w:r w:rsidR="00523590">
        <w:rPr>
          <w:lang w:val="es-ES"/>
        </w:rPr>
        <w:t xml:space="preserve">primera parte de la </w:t>
      </w:r>
      <w:r w:rsidRPr="00D770FF">
        <w:rPr>
          <w:lang w:val="es-ES"/>
        </w:rPr>
        <w:t>reunión a las [</w:t>
      </w:r>
      <w:r w:rsidRPr="00D770FF">
        <w:rPr>
          <w:i/>
          <w:lang w:val="es-ES"/>
        </w:rPr>
        <w:t>se completará</w:t>
      </w:r>
      <w:r w:rsidRPr="00D770FF">
        <w:rPr>
          <w:lang w:val="es-ES"/>
        </w:rPr>
        <w:t>] del [</w:t>
      </w:r>
      <w:r w:rsidRPr="00D770FF">
        <w:rPr>
          <w:i/>
          <w:lang w:val="es-ES"/>
        </w:rPr>
        <w:t>se completará</w:t>
      </w:r>
      <w:r w:rsidRPr="00D770FF">
        <w:rPr>
          <w:lang w:val="es-ES"/>
        </w:rPr>
        <w:t>].</w:t>
      </w:r>
    </w:p>
    <w:bookmarkEnd w:id="16"/>
    <w:p w:rsidR="00736BC2" w:rsidRPr="00D770FF"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lang w:val="es-ES"/>
        </w:rPr>
      </w:pPr>
      <w:r w:rsidRPr="00D770FF">
        <w:rPr>
          <w:bCs/>
          <w:snapToGrid w:val="0"/>
          <w:kern w:val="22"/>
          <w:szCs w:val="22"/>
          <w:lang w:val="es-ES"/>
        </w:rPr>
        <w:t>_________</w:t>
      </w:r>
      <w:r w:rsidR="00665C89" w:rsidRPr="00D770FF">
        <w:rPr>
          <w:bCs/>
          <w:snapToGrid w:val="0"/>
          <w:kern w:val="22"/>
          <w:szCs w:val="22"/>
          <w:lang w:val="es-ES"/>
        </w:rPr>
        <w:t>_</w:t>
      </w:r>
    </w:p>
    <w:p w:rsidR="00E229DD" w:rsidRPr="00D770FF" w:rsidRDefault="00E229DD">
      <w:pPr>
        <w:suppressLineNumbers/>
        <w:suppressAutoHyphens/>
        <w:kinsoku w:val="0"/>
        <w:overflowPunct w:val="0"/>
        <w:autoSpaceDE w:val="0"/>
        <w:autoSpaceDN w:val="0"/>
        <w:adjustRightInd w:val="0"/>
        <w:snapToGrid w:val="0"/>
        <w:spacing w:before="120" w:after="120"/>
        <w:jc w:val="center"/>
        <w:rPr>
          <w:bCs/>
          <w:snapToGrid w:val="0"/>
          <w:kern w:val="22"/>
          <w:szCs w:val="22"/>
          <w:lang w:val="es-ES"/>
        </w:rPr>
      </w:pPr>
    </w:p>
    <w:sectPr w:rsidR="00E229DD" w:rsidRPr="00D770FF"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D4" w:rsidRDefault="00B207D4">
      <w:r>
        <w:separator/>
      </w:r>
    </w:p>
  </w:endnote>
  <w:endnote w:type="continuationSeparator" w:id="1">
    <w:p w:rsidR="00B207D4" w:rsidRDefault="00B207D4">
      <w:r>
        <w:continuationSeparator/>
      </w:r>
    </w:p>
  </w:endnote>
  <w:endnote w:type="continuationNotice" w:id="2">
    <w:p w:rsidR="00B207D4" w:rsidRDefault="00B207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D4" w:rsidRDefault="00B207D4">
      <w:r>
        <w:separator/>
      </w:r>
    </w:p>
  </w:footnote>
  <w:footnote w:type="continuationSeparator" w:id="1">
    <w:p w:rsidR="00B207D4" w:rsidRDefault="00B207D4">
      <w:r>
        <w:continuationSeparator/>
      </w:r>
    </w:p>
  </w:footnote>
  <w:footnote w:type="continuationNotice" w:id="2">
    <w:p w:rsidR="00B207D4" w:rsidRDefault="00B207D4"/>
  </w:footnote>
  <w:footnote w:id="3">
    <w:p w:rsidR="0019239A" w:rsidRPr="00E570E3" w:rsidRDefault="0019239A" w:rsidP="00E570E3">
      <w:pPr>
        <w:pStyle w:val="FootnoteText"/>
        <w:ind w:firstLine="0"/>
        <w:rPr>
          <w:vertAlign w:val="superscript"/>
          <w:lang w:val="es-ES"/>
        </w:rPr>
      </w:pPr>
      <w:r w:rsidRPr="00E570E3">
        <w:rPr>
          <w:rStyle w:val="FootnoteReference"/>
          <w:u w:val="none"/>
          <w:vertAlign w:val="superscript"/>
          <w:lang w:val="es-ES"/>
        </w:rPr>
        <w:footnoteRef/>
      </w:r>
      <w:r w:rsidRPr="00E570E3">
        <w:rPr>
          <w:vertAlign w:val="superscript"/>
          <w:lang w:val="es-ES"/>
        </w:rPr>
        <w:t xml:space="preserve"> </w:t>
      </w:r>
      <w:r w:rsidR="00286C69" w:rsidRPr="00E570E3">
        <w:rPr>
          <w:lang w:val="es-ES"/>
        </w:rPr>
        <w:t xml:space="preserve">Todas las horas que constan en el presente informe se refieren a la hora </w:t>
      </w:r>
      <w:r w:rsidR="00DB3E97" w:rsidRPr="00E570E3">
        <w:rPr>
          <w:lang w:val="es-ES"/>
        </w:rPr>
        <w:t>de</w:t>
      </w:r>
      <w:r w:rsidR="00286C69" w:rsidRPr="00E570E3">
        <w:rPr>
          <w:lang w:val="es-ES"/>
        </w:rPr>
        <w:t xml:space="preserve"> </w:t>
      </w:r>
      <w:r w:rsidRPr="00E570E3">
        <w:rPr>
          <w:lang w:val="es-ES"/>
        </w:rPr>
        <w:t>Kunming, UTC+8.</w:t>
      </w:r>
    </w:p>
  </w:footnote>
  <w:footnote w:id="4">
    <w:p w:rsidR="00E570E3" w:rsidRPr="00E570E3" w:rsidRDefault="00E570E3" w:rsidP="00E570E3">
      <w:pPr>
        <w:pStyle w:val="FootnoteText"/>
        <w:ind w:firstLine="0"/>
        <w:jc w:val="left"/>
        <w:rPr>
          <w:szCs w:val="18"/>
          <w:lang w:val="es-ES"/>
        </w:rPr>
      </w:pPr>
      <w:r w:rsidRPr="00E570E3">
        <w:rPr>
          <w:rStyle w:val="FootnoteReference"/>
          <w:szCs w:val="18"/>
          <w:u w:val="none"/>
          <w:vertAlign w:val="superscript"/>
          <w:lang w:val="es-ES"/>
        </w:rPr>
        <w:footnoteRef/>
      </w:r>
      <w:r w:rsidRPr="00E570E3">
        <w:rPr>
          <w:szCs w:val="18"/>
          <w:lang w:val="es-ES"/>
        </w:rPr>
        <w:t xml:space="preserve"> Las declaraciones formuladas por los representantes, en aquellos casos en que fueron proporcionadas </w:t>
      </w:r>
      <w:r>
        <w:rPr>
          <w:szCs w:val="18"/>
          <w:lang w:val="es-ES"/>
        </w:rPr>
        <w:t xml:space="preserve">a la </w:t>
      </w:r>
      <w:r w:rsidRPr="00E570E3">
        <w:rPr>
          <w:szCs w:val="18"/>
          <w:lang w:val="es-ES"/>
        </w:rPr>
        <w:t>Secretar</w:t>
      </w:r>
      <w:r>
        <w:rPr>
          <w:szCs w:val="18"/>
          <w:lang w:val="es-ES"/>
        </w:rPr>
        <w:t>í</w:t>
      </w:r>
      <w:r w:rsidRPr="00E570E3">
        <w:rPr>
          <w:szCs w:val="18"/>
          <w:lang w:val="es-ES"/>
        </w:rPr>
        <w:t xml:space="preserve">a, </w:t>
      </w:r>
      <w:r>
        <w:rPr>
          <w:szCs w:val="18"/>
          <w:lang w:val="es-ES"/>
        </w:rPr>
        <w:t xml:space="preserve">pueden consultarse en </w:t>
      </w:r>
      <w:hyperlink r:id="rId1" w:history="1">
        <w:r w:rsidRPr="00E570E3">
          <w:rPr>
            <w:rStyle w:val="Hyperlink"/>
            <w:szCs w:val="18"/>
            <w:lang w:val="es-ES"/>
          </w:rPr>
          <w:t>https://www.cbd.int/conferences/2021-2022/cop-15/documents</w:t>
        </w:r>
      </w:hyperlink>
      <w:r w:rsidRPr="00E570E3">
        <w:rPr>
          <w:szCs w:val="18"/>
          <w:lang w:val="es-ES"/>
        </w:rPr>
        <w:t xml:space="preserve">, </w:t>
      </w:r>
      <w:r>
        <w:rPr>
          <w:szCs w:val="18"/>
          <w:lang w:val="es-ES"/>
        </w:rPr>
        <w:t xml:space="preserve">tal como fueron presentadas por la </w:t>
      </w:r>
      <w:r w:rsidRPr="00E570E3">
        <w:rPr>
          <w:szCs w:val="18"/>
          <w:lang w:val="es-ES"/>
        </w:rPr>
        <w:t>Part</w:t>
      </w:r>
      <w:r>
        <w:rPr>
          <w:szCs w:val="18"/>
          <w:lang w:val="es-ES"/>
        </w:rPr>
        <w:t>e</w:t>
      </w:r>
      <w:r w:rsidRPr="00E570E3">
        <w:rPr>
          <w:szCs w:val="18"/>
          <w:lang w:val="es-ES"/>
        </w:rPr>
        <w:t xml:space="preserve"> </w:t>
      </w:r>
      <w:r>
        <w:rPr>
          <w:szCs w:val="18"/>
          <w:lang w:val="es-ES"/>
        </w:rPr>
        <w:t>u</w:t>
      </w:r>
      <w:r w:rsidRPr="00E570E3">
        <w:rPr>
          <w:szCs w:val="18"/>
          <w:lang w:val="es-ES"/>
        </w:rPr>
        <w:t xml:space="preserve"> observ</w:t>
      </w:r>
      <w:r>
        <w:rPr>
          <w:szCs w:val="18"/>
          <w:lang w:val="es-ES"/>
        </w:rPr>
        <w:t>ado</w:t>
      </w:r>
      <w:r w:rsidRPr="00E570E3">
        <w:rPr>
          <w:szCs w:val="18"/>
          <w:lang w:val="es-ES"/>
        </w:rPr>
        <w:t>r co</w:t>
      </w:r>
      <w:r>
        <w:rPr>
          <w:szCs w:val="18"/>
          <w:lang w:val="es-ES"/>
        </w:rPr>
        <w:t>rrespondient</w:t>
      </w:r>
      <w:r w:rsidR="006140DD">
        <w:rPr>
          <w:szCs w:val="18"/>
          <w:lang w:val="es-ES"/>
        </w:rPr>
        <w:t>e</w:t>
      </w:r>
      <w:r w:rsidRPr="00E570E3">
        <w:rPr>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BA3233" w:rsidRDefault="001849DB" w:rsidP="005440A6">
        <w:pPr>
          <w:pStyle w:val="Header"/>
          <w:tabs>
            <w:tab w:val="clear" w:pos="4320"/>
            <w:tab w:val="clear" w:pos="8640"/>
          </w:tabs>
          <w:jc w:val="left"/>
          <w:rPr>
            <w:noProof/>
            <w:kern w:val="22"/>
          </w:rPr>
        </w:pPr>
        <w:r>
          <w:rPr>
            <w:noProof/>
            <w:kern w:val="22"/>
          </w:rPr>
          <w:t>CBD/NP/MOP/4/Part1/L.1</w:t>
        </w:r>
      </w:p>
    </w:sdtContent>
  </w:sdt>
  <w:p w:rsidR="00BA3233" w:rsidRPr="005440A6" w:rsidRDefault="00BA3233" w:rsidP="005440A6">
    <w:pPr>
      <w:pStyle w:val="Header"/>
      <w:tabs>
        <w:tab w:val="clear" w:pos="4320"/>
        <w:tab w:val="clear" w:pos="8640"/>
      </w:tabs>
      <w:jc w:val="left"/>
      <w:rPr>
        <w:noProof/>
        <w:kern w:val="22"/>
      </w:rPr>
    </w:pPr>
    <w:r w:rsidRPr="005440A6">
      <w:rPr>
        <w:noProof/>
        <w:kern w:val="22"/>
      </w:rPr>
      <w:t>P</w:t>
    </w:r>
    <w:r w:rsidR="001D1575">
      <w:rPr>
        <w:noProof/>
        <w:kern w:val="22"/>
      </w:rPr>
      <w:t>ágina</w:t>
    </w:r>
    <w:r w:rsidRPr="005440A6">
      <w:rPr>
        <w:noProof/>
        <w:kern w:val="22"/>
      </w:rPr>
      <w:t xml:space="preserve"> </w:t>
    </w:r>
    <w:r w:rsidR="0064546F" w:rsidRPr="005440A6">
      <w:rPr>
        <w:noProof/>
        <w:kern w:val="22"/>
      </w:rPr>
      <w:fldChar w:fldCharType="begin"/>
    </w:r>
    <w:r w:rsidRPr="005440A6">
      <w:rPr>
        <w:noProof/>
        <w:kern w:val="22"/>
      </w:rPr>
      <w:instrText xml:space="preserve"> PAGE   \* MERGEFORMAT </w:instrText>
    </w:r>
    <w:r w:rsidR="0064546F" w:rsidRPr="005440A6">
      <w:rPr>
        <w:noProof/>
        <w:kern w:val="22"/>
      </w:rPr>
      <w:fldChar w:fldCharType="separate"/>
    </w:r>
    <w:r w:rsidR="00722C9F">
      <w:rPr>
        <w:noProof/>
        <w:kern w:val="22"/>
      </w:rPr>
      <w:t>2</w:t>
    </w:r>
    <w:r w:rsidR="0064546F" w:rsidRPr="005440A6">
      <w:rPr>
        <w:noProof/>
        <w:kern w:val="22"/>
      </w:rPr>
      <w:fldChar w:fldCharType="end"/>
    </w:r>
  </w:p>
  <w:p w:rsidR="00BA3233" w:rsidRPr="005440A6" w:rsidRDefault="00BA3233" w:rsidP="005440A6">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BA3233" w:rsidRPr="005440A6" w:rsidRDefault="001849DB" w:rsidP="00BE45DE">
        <w:pPr>
          <w:pStyle w:val="Header"/>
          <w:tabs>
            <w:tab w:val="clear" w:pos="4320"/>
            <w:tab w:val="clear" w:pos="8640"/>
          </w:tabs>
          <w:jc w:val="right"/>
          <w:rPr>
            <w:noProof/>
            <w:kern w:val="22"/>
          </w:rPr>
        </w:pPr>
        <w:r>
          <w:rPr>
            <w:noProof/>
            <w:kern w:val="22"/>
          </w:rPr>
          <w:t>CBD/NP/MOP/4/Part1/L.1</w:t>
        </w:r>
      </w:p>
    </w:sdtContent>
  </w:sdt>
  <w:p w:rsidR="00BA3233" w:rsidRPr="005440A6" w:rsidRDefault="00BA3233" w:rsidP="005440A6">
    <w:pPr>
      <w:pStyle w:val="Header"/>
      <w:tabs>
        <w:tab w:val="clear" w:pos="4320"/>
        <w:tab w:val="clear" w:pos="8640"/>
      </w:tabs>
      <w:jc w:val="right"/>
      <w:rPr>
        <w:noProof/>
        <w:kern w:val="22"/>
      </w:rPr>
    </w:pPr>
    <w:r w:rsidRPr="005440A6">
      <w:rPr>
        <w:noProof/>
        <w:kern w:val="22"/>
      </w:rPr>
      <w:t>P</w:t>
    </w:r>
    <w:r w:rsidR="001D1575">
      <w:rPr>
        <w:noProof/>
        <w:kern w:val="22"/>
      </w:rPr>
      <w:t>ágina</w:t>
    </w:r>
    <w:r w:rsidRPr="005440A6">
      <w:rPr>
        <w:noProof/>
        <w:kern w:val="22"/>
      </w:rPr>
      <w:t xml:space="preserve"> </w:t>
    </w:r>
    <w:r w:rsidR="0064546F" w:rsidRPr="005440A6">
      <w:rPr>
        <w:noProof/>
        <w:kern w:val="22"/>
      </w:rPr>
      <w:fldChar w:fldCharType="begin"/>
    </w:r>
    <w:r w:rsidRPr="005440A6">
      <w:rPr>
        <w:noProof/>
        <w:kern w:val="22"/>
      </w:rPr>
      <w:instrText xml:space="preserve"> PAGE   \* MERGEFORMAT </w:instrText>
    </w:r>
    <w:r w:rsidR="0064546F" w:rsidRPr="005440A6">
      <w:rPr>
        <w:noProof/>
        <w:kern w:val="22"/>
      </w:rPr>
      <w:fldChar w:fldCharType="separate"/>
    </w:r>
    <w:r w:rsidR="00722C9F">
      <w:rPr>
        <w:noProof/>
        <w:kern w:val="22"/>
      </w:rPr>
      <w:t>5</w:t>
    </w:r>
    <w:r w:rsidR="0064546F" w:rsidRPr="005440A6">
      <w:rPr>
        <w:noProof/>
        <w:kern w:val="22"/>
      </w:rPr>
      <w:fldChar w:fldCharType="end"/>
    </w:r>
  </w:p>
  <w:p w:rsidR="00BA3233" w:rsidRPr="005440A6" w:rsidRDefault="00BA3233" w:rsidP="005440A6">
    <w:pPr>
      <w:pStyle w:val="Header"/>
      <w:tabs>
        <w:tab w:val="clear" w:pos="4320"/>
        <w:tab w:val="clear" w:pos="8640"/>
      </w:tab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89" w:rsidRPr="00C77956" w:rsidRDefault="00B82689" w:rsidP="00B82689">
    <w:pPr>
      <w:pStyle w:val="Header"/>
      <w:jc w:val="right"/>
      <w:rPr>
        <w:b/>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81.6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ind w:left="0" w:firstLine="0"/>
      </w:p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5C7CF7"/>
    <w:multiLevelType w:val="hybridMultilevel"/>
    <w:tmpl w:val="D7A45226"/>
    <w:lvl w:ilvl="0" w:tplc="F176E7E0">
      <w:start w:val="1"/>
      <w:numFmt w:val="decimal"/>
      <w:lvlText w:val="%1."/>
      <w:lvlJc w:val="left"/>
      <w:pPr>
        <w:ind w:left="1148" w:hanging="720"/>
      </w:pPr>
      <w:rPr>
        <w:rFonts w:ascii="Times New Roman" w:eastAsia="Times New Roman" w:hAnsi="Times New Roman" w:cs="Times New Roman" w:hint="default"/>
        <w:b w:val="0"/>
        <w:bCs w:val="0"/>
        <w:i w:val="0"/>
        <w:iCs w:val="0"/>
        <w:w w:val="100"/>
        <w:sz w:val="22"/>
        <w:szCs w:val="22"/>
        <w:lang w:val="en-US" w:eastAsia="en-US" w:bidi="ar-SA"/>
      </w:rPr>
    </w:lvl>
    <w:lvl w:ilvl="1" w:tplc="24AC32F8">
      <w:numFmt w:val="bullet"/>
      <w:lvlText w:val="•"/>
      <w:lvlJc w:val="left"/>
      <w:pPr>
        <w:ind w:left="2070" w:hanging="720"/>
      </w:pPr>
      <w:rPr>
        <w:rFonts w:hint="default"/>
        <w:lang w:val="en-US" w:eastAsia="en-US" w:bidi="ar-SA"/>
      </w:rPr>
    </w:lvl>
    <w:lvl w:ilvl="2" w:tplc="D44E5142">
      <w:numFmt w:val="bullet"/>
      <w:lvlText w:val="•"/>
      <w:lvlJc w:val="left"/>
      <w:pPr>
        <w:ind w:left="3000" w:hanging="720"/>
      </w:pPr>
      <w:rPr>
        <w:rFonts w:hint="default"/>
        <w:lang w:val="en-US" w:eastAsia="en-US" w:bidi="ar-SA"/>
      </w:rPr>
    </w:lvl>
    <w:lvl w:ilvl="3" w:tplc="B7A826AE">
      <w:numFmt w:val="bullet"/>
      <w:lvlText w:val="•"/>
      <w:lvlJc w:val="left"/>
      <w:pPr>
        <w:ind w:left="3930" w:hanging="720"/>
      </w:pPr>
      <w:rPr>
        <w:rFonts w:hint="default"/>
        <w:lang w:val="en-US" w:eastAsia="en-US" w:bidi="ar-SA"/>
      </w:rPr>
    </w:lvl>
    <w:lvl w:ilvl="4" w:tplc="46A480FE">
      <w:numFmt w:val="bullet"/>
      <w:lvlText w:val="•"/>
      <w:lvlJc w:val="left"/>
      <w:pPr>
        <w:ind w:left="4860" w:hanging="720"/>
      </w:pPr>
      <w:rPr>
        <w:rFonts w:hint="default"/>
        <w:lang w:val="en-US" w:eastAsia="en-US" w:bidi="ar-SA"/>
      </w:rPr>
    </w:lvl>
    <w:lvl w:ilvl="5" w:tplc="ED6AB770">
      <w:numFmt w:val="bullet"/>
      <w:lvlText w:val="•"/>
      <w:lvlJc w:val="left"/>
      <w:pPr>
        <w:ind w:left="5790" w:hanging="720"/>
      </w:pPr>
      <w:rPr>
        <w:rFonts w:hint="default"/>
        <w:lang w:val="en-US" w:eastAsia="en-US" w:bidi="ar-SA"/>
      </w:rPr>
    </w:lvl>
    <w:lvl w:ilvl="6" w:tplc="D4348D80">
      <w:numFmt w:val="bullet"/>
      <w:lvlText w:val="•"/>
      <w:lvlJc w:val="left"/>
      <w:pPr>
        <w:ind w:left="6720" w:hanging="720"/>
      </w:pPr>
      <w:rPr>
        <w:rFonts w:hint="default"/>
        <w:lang w:val="en-US" w:eastAsia="en-US" w:bidi="ar-SA"/>
      </w:rPr>
    </w:lvl>
    <w:lvl w:ilvl="7" w:tplc="CB7E1B1A">
      <w:numFmt w:val="bullet"/>
      <w:lvlText w:val="•"/>
      <w:lvlJc w:val="left"/>
      <w:pPr>
        <w:ind w:left="7650" w:hanging="720"/>
      </w:pPr>
      <w:rPr>
        <w:rFonts w:hint="default"/>
        <w:lang w:val="en-US" w:eastAsia="en-US" w:bidi="ar-SA"/>
      </w:rPr>
    </w:lvl>
    <w:lvl w:ilvl="8" w:tplc="03FC278C">
      <w:numFmt w:val="bullet"/>
      <w:lvlText w:val="•"/>
      <w:lvlJc w:val="left"/>
      <w:pPr>
        <w:ind w:left="8580" w:hanging="720"/>
      </w:pPr>
      <w:rPr>
        <w:rFonts w:hint="default"/>
        <w:lang w:val="en-US" w:eastAsia="en-US" w:bidi="ar-SA"/>
      </w:rPr>
    </w:lvl>
  </w:abstractNum>
  <w:abstractNum w:abstractNumId="2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B7F595A"/>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0D6AEB"/>
    <w:multiLevelType w:val="multilevel"/>
    <w:tmpl w:val="D0223268"/>
    <w:lvl w:ilvl="0">
      <w:start w:val="4"/>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90A1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6">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7"/>
  </w:num>
  <w:num w:numId="5">
    <w:abstractNumId w:val="14"/>
  </w:num>
  <w:num w:numId="6">
    <w:abstractNumId w:val="23"/>
  </w:num>
  <w:num w:numId="7">
    <w:abstractNumId w:val="18"/>
  </w:num>
  <w:num w:numId="8">
    <w:abstractNumId w:val="16"/>
  </w:num>
  <w:num w:numId="9">
    <w:abstractNumId w:val="23"/>
  </w:num>
  <w:num w:numId="10">
    <w:abstractNumId w:val="21"/>
  </w:num>
  <w:num w:numId="11">
    <w:abstractNumId w:val="17"/>
  </w:num>
  <w:num w:numId="12">
    <w:abstractNumId w:val="8"/>
  </w:num>
  <w:num w:numId="13">
    <w:abstractNumId w:val="20"/>
  </w:num>
  <w:num w:numId="14">
    <w:abstractNumId w:val="2"/>
  </w:num>
  <w:num w:numId="15">
    <w:abstractNumId w:val="39"/>
  </w:num>
  <w:num w:numId="16">
    <w:abstractNumId w:val="26"/>
  </w:num>
  <w:num w:numId="17">
    <w:abstractNumId w:val="7"/>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4"/>
  </w:num>
  <w:num w:numId="23">
    <w:abstractNumId w:val="9"/>
  </w:num>
  <w:num w:numId="24">
    <w:abstractNumId w:val="30"/>
  </w:num>
  <w:num w:numId="25">
    <w:abstractNumId w:val="33"/>
  </w:num>
  <w:num w:numId="26">
    <w:abstractNumId w:val="19"/>
  </w:num>
  <w:num w:numId="27">
    <w:abstractNumId w:val="23"/>
  </w:num>
  <w:num w:numId="28">
    <w:abstractNumId w:val="23"/>
  </w:num>
  <w:num w:numId="29">
    <w:abstractNumId w:val="23"/>
  </w:num>
  <w:num w:numId="30">
    <w:abstractNumId w:val="23"/>
  </w:num>
  <w:num w:numId="31">
    <w:abstractNumId w:val="3"/>
  </w:num>
  <w:num w:numId="32">
    <w:abstractNumId w:val="4"/>
  </w:num>
  <w:num w:numId="33">
    <w:abstractNumId w:val="5"/>
  </w:num>
  <w:num w:numId="34">
    <w:abstractNumId w:val="0"/>
  </w:num>
  <w:num w:numId="35">
    <w:abstractNumId w:val="29"/>
  </w:num>
  <w:num w:numId="36">
    <w:abstractNumId w:val="10"/>
  </w:num>
  <w:num w:numId="37">
    <w:abstractNumId w:val="35"/>
  </w:num>
  <w:num w:numId="38">
    <w:abstractNumId w:val="28"/>
  </w:num>
  <w:num w:numId="39">
    <w:abstractNumId w:val="15"/>
  </w:num>
  <w:num w:numId="40">
    <w:abstractNumId w:val="1"/>
  </w:num>
  <w:num w:numId="41">
    <w:abstractNumId w:val="36"/>
  </w:num>
  <w:num w:numId="42">
    <w:abstractNumId w:val="38"/>
  </w:num>
  <w:num w:numId="43">
    <w:abstractNumId w:val="31"/>
  </w:num>
  <w:num w:numId="44">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2"/>
  </w:num>
  <w:num w:numId="47">
    <w:abstractNumId w:val="25"/>
  </w:num>
  <w:num w:numId="48">
    <w:abstractNumId w:val="34"/>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1"/>
  </w:hdrShapeDefaults>
  <w:footnotePr>
    <w:footnote w:id="0"/>
    <w:footnote w:id="1"/>
    <w:footnote w:id="2"/>
  </w:footnotePr>
  <w:endnotePr>
    <w:endnote w:id="0"/>
    <w:endnote w:id="1"/>
    <w:endnote w:id="2"/>
  </w:endnotePr>
  <w:compat/>
  <w:rsids>
    <w:rsidRoot w:val="00E55B3B"/>
    <w:rsid w:val="00001418"/>
    <w:rsid w:val="000138D5"/>
    <w:rsid w:val="000219AC"/>
    <w:rsid w:val="0002447B"/>
    <w:rsid w:val="00031D24"/>
    <w:rsid w:val="00033573"/>
    <w:rsid w:val="000339A6"/>
    <w:rsid w:val="00034A4A"/>
    <w:rsid w:val="000362BE"/>
    <w:rsid w:val="00037721"/>
    <w:rsid w:val="00037873"/>
    <w:rsid w:val="00051AA5"/>
    <w:rsid w:val="00053F98"/>
    <w:rsid w:val="00054381"/>
    <w:rsid w:val="00057034"/>
    <w:rsid w:val="000704F5"/>
    <w:rsid w:val="000711E1"/>
    <w:rsid w:val="00073708"/>
    <w:rsid w:val="000803B6"/>
    <w:rsid w:val="000A2378"/>
    <w:rsid w:val="000C04BA"/>
    <w:rsid w:val="000C389E"/>
    <w:rsid w:val="000C516B"/>
    <w:rsid w:val="000D508B"/>
    <w:rsid w:val="000E1742"/>
    <w:rsid w:val="000E1F60"/>
    <w:rsid w:val="000E4581"/>
    <w:rsid w:val="000E609D"/>
    <w:rsid w:val="000E637D"/>
    <w:rsid w:val="000E7E6A"/>
    <w:rsid w:val="000F2F99"/>
    <w:rsid w:val="000F63AB"/>
    <w:rsid w:val="000F6702"/>
    <w:rsid w:val="000F7A89"/>
    <w:rsid w:val="00105493"/>
    <w:rsid w:val="00110938"/>
    <w:rsid w:val="00115A48"/>
    <w:rsid w:val="0012214B"/>
    <w:rsid w:val="0012465A"/>
    <w:rsid w:val="00125D37"/>
    <w:rsid w:val="001323C4"/>
    <w:rsid w:val="001331F2"/>
    <w:rsid w:val="00137321"/>
    <w:rsid w:val="00141795"/>
    <w:rsid w:val="001571B7"/>
    <w:rsid w:val="00166367"/>
    <w:rsid w:val="0017683B"/>
    <w:rsid w:val="001823EC"/>
    <w:rsid w:val="001849DB"/>
    <w:rsid w:val="00185AFB"/>
    <w:rsid w:val="00190C83"/>
    <w:rsid w:val="0019239A"/>
    <w:rsid w:val="00192E06"/>
    <w:rsid w:val="001949C8"/>
    <w:rsid w:val="001A5072"/>
    <w:rsid w:val="001A622B"/>
    <w:rsid w:val="001C66CF"/>
    <w:rsid w:val="001D0067"/>
    <w:rsid w:val="001D1575"/>
    <w:rsid w:val="001D7F73"/>
    <w:rsid w:val="001E5D4C"/>
    <w:rsid w:val="001F6379"/>
    <w:rsid w:val="001F6539"/>
    <w:rsid w:val="00204415"/>
    <w:rsid w:val="00207A6E"/>
    <w:rsid w:val="0022278A"/>
    <w:rsid w:val="00224B92"/>
    <w:rsid w:val="00225BB3"/>
    <w:rsid w:val="00230C42"/>
    <w:rsid w:val="00231D18"/>
    <w:rsid w:val="0023439B"/>
    <w:rsid w:val="002357E1"/>
    <w:rsid w:val="00244C09"/>
    <w:rsid w:val="00252897"/>
    <w:rsid w:val="002573B5"/>
    <w:rsid w:val="00262C97"/>
    <w:rsid w:val="00266AAB"/>
    <w:rsid w:val="00267E52"/>
    <w:rsid w:val="0027202C"/>
    <w:rsid w:val="0027499A"/>
    <w:rsid w:val="00274D1B"/>
    <w:rsid w:val="00286C69"/>
    <w:rsid w:val="0029100E"/>
    <w:rsid w:val="00293E78"/>
    <w:rsid w:val="002B0942"/>
    <w:rsid w:val="002C3855"/>
    <w:rsid w:val="002C7F6B"/>
    <w:rsid w:val="002D24E3"/>
    <w:rsid w:val="002D4783"/>
    <w:rsid w:val="00304F19"/>
    <w:rsid w:val="00310FDD"/>
    <w:rsid w:val="003210FF"/>
    <w:rsid w:val="003218C1"/>
    <w:rsid w:val="00325DE3"/>
    <w:rsid w:val="00335C7C"/>
    <w:rsid w:val="00336766"/>
    <w:rsid w:val="003441C7"/>
    <w:rsid w:val="00347D61"/>
    <w:rsid w:val="00347FC4"/>
    <w:rsid w:val="00353FC7"/>
    <w:rsid w:val="00354663"/>
    <w:rsid w:val="00364FD6"/>
    <w:rsid w:val="00365AE8"/>
    <w:rsid w:val="00374167"/>
    <w:rsid w:val="00376062"/>
    <w:rsid w:val="00383071"/>
    <w:rsid w:val="00386585"/>
    <w:rsid w:val="00393624"/>
    <w:rsid w:val="00396B31"/>
    <w:rsid w:val="0039707C"/>
    <w:rsid w:val="003A24A4"/>
    <w:rsid w:val="003A2A6F"/>
    <w:rsid w:val="003A342F"/>
    <w:rsid w:val="003A55E6"/>
    <w:rsid w:val="003A7DA7"/>
    <w:rsid w:val="003B10B9"/>
    <w:rsid w:val="003B1338"/>
    <w:rsid w:val="003C113F"/>
    <w:rsid w:val="003C171C"/>
    <w:rsid w:val="003C38EE"/>
    <w:rsid w:val="003C5750"/>
    <w:rsid w:val="003C652F"/>
    <w:rsid w:val="003D072B"/>
    <w:rsid w:val="003D548D"/>
    <w:rsid w:val="003E2DAE"/>
    <w:rsid w:val="003E2EEA"/>
    <w:rsid w:val="003E6EDC"/>
    <w:rsid w:val="003F17DF"/>
    <w:rsid w:val="003F412D"/>
    <w:rsid w:val="003F60F5"/>
    <w:rsid w:val="003F6E44"/>
    <w:rsid w:val="00400A14"/>
    <w:rsid w:val="00401243"/>
    <w:rsid w:val="00402DD0"/>
    <w:rsid w:val="0040407C"/>
    <w:rsid w:val="0040593B"/>
    <w:rsid w:val="00406BC6"/>
    <w:rsid w:val="0041526C"/>
    <w:rsid w:val="00416F93"/>
    <w:rsid w:val="00422388"/>
    <w:rsid w:val="00423EF7"/>
    <w:rsid w:val="00430802"/>
    <w:rsid w:val="0044424E"/>
    <w:rsid w:val="00447BD3"/>
    <w:rsid w:val="004574C5"/>
    <w:rsid w:val="004911B7"/>
    <w:rsid w:val="00491363"/>
    <w:rsid w:val="004958BC"/>
    <w:rsid w:val="004A2D50"/>
    <w:rsid w:val="004A4FD8"/>
    <w:rsid w:val="004B1010"/>
    <w:rsid w:val="004B391B"/>
    <w:rsid w:val="004B3AE2"/>
    <w:rsid w:val="004B597A"/>
    <w:rsid w:val="004C55BF"/>
    <w:rsid w:val="004C6525"/>
    <w:rsid w:val="004D544D"/>
    <w:rsid w:val="004E74C9"/>
    <w:rsid w:val="004E7C63"/>
    <w:rsid w:val="004F3AB4"/>
    <w:rsid w:val="00500530"/>
    <w:rsid w:val="00500B01"/>
    <w:rsid w:val="005032C9"/>
    <w:rsid w:val="00516C26"/>
    <w:rsid w:val="005209FA"/>
    <w:rsid w:val="0052110B"/>
    <w:rsid w:val="00523590"/>
    <w:rsid w:val="0052585D"/>
    <w:rsid w:val="005335F8"/>
    <w:rsid w:val="005353E2"/>
    <w:rsid w:val="00541D67"/>
    <w:rsid w:val="005440A6"/>
    <w:rsid w:val="00547DF0"/>
    <w:rsid w:val="00572ECE"/>
    <w:rsid w:val="00592D5C"/>
    <w:rsid w:val="00593B3D"/>
    <w:rsid w:val="005955D2"/>
    <w:rsid w:val="005A215C"/>
    <w:rsid w:val="005A4284"/>
    <w:rsid w:val="005B49F3"/>
    <w:rsid w:val="005B6C88"/>
    <w:rsid w:val="005C1269"/>
    <w:rsid w:val="005D0468"/>
    <w:rsid w:val="005D139C"/>
    <w:rsid w:val="005D2DEB"/>
    <w:rsid w:val="005E4CD5"/>
    <w:rsid w:val="005E6E59"/>
    <w:rsid w:val="005F4C74"/>
    <w:rsid w:val="005F7FED"/>
    <w:rsid w:val="006010E7"/>
    <w:rsid w:val="006140AD"/>
    <w:rsid w:val="006140DD"/>
    <w:rsid w:val="00617CF0"/>
    <w:rsid w:val="006260D5"/>
    <w:rsid w:val="0062659A"/>
    <w:rsid w:val="00630469"/>
    <w:rsid w:val="00635409"/>
    <w:rsid w:val="00635B83"/>
    <w:rsid w:val="006366FA"/>
    <w:rsid w:val="00642825"/>
    <w:rsid w:val="0064546F"/>
    <w:rsid w:val="006507F2"/>
    <w:rsid w:val="006571B7"/>
    <w:rsid w:val="00665C88"/>
    <w:rsid w:val="00665C89"/>
    <w:rsid w:val="00690847"/>
    <w:rsid w:val="00694FED"/>
    <w:rsid w:val="006A7BCD"/>
    <w:rsid w:val="006B074E"/>
    <w:rsid w:val="006B08A7"/>
    <w:rsid w:val="006B2BD5"/>
    <w:rsid w:val="006C4951"/>
    <w:rsid w:val="006C7282"/>
    <w:rsid w:val="006C7D29"/>
    <w:rsid w:val="006D099E"/>
    <w:rsid w:val="006D0E3D"/>
    <w:rsid w:val="006E20B9"/>
    <w:rsid w:val="006E3CA9"/>
    <w:rsid w:val="006E4D81"/>
    <w:rsid w:val="006F284C"/>
    <w:rsid w:val="006F4F34"/>
    <w:rsid w:val="006F7227"/>
    <w:rsid w:val="006F72F0"/>
    <w:rsid w:val="00702366"/>
    <w:rsid w:val="0070285A"/>
    <w:rsid w:val="007065BE"/>
    <w:rsid w:val="00713238"/>
    <w:rsid w:val="0071432E"/>
    <w:rsid w:val="007163BC"/>
    <w:rsid w:val="00716D77"/>
    <w:rsid w:val="00722C9F"/>
    <w:rsid w:val="00722F36"/>
    <w:rsid w:val="00730AE3"/>
    <w:rsid w:val="00732993"/>
    <w:rsid w:val="00736BC2"/>
    <w:rsid w:val="00742EC8"/>
    <w:rsid w:val="00744377"/>
    <w:rsid w:val="00747EFE"/>
    <w:rsid w:val="00760751"/>
    <w:rsid w:val="0076148E"/>
    <w:rsid w:val="007661E1"/>
    <w:rsid w:val="00770718"/>
    <w:rsid w:val="0077603D"/>
    <w:rsid w:val="007833EB"/>
    <w:rsid w:val="0078366A"/>
    <w:rsid w:val="00785D7A"/>
    <w:rsid w:val="00785E80"/>
    <w:rsid w:val="00787C57"/>
    <w:rsid w:val="0079325E"/>
    <w:rsid w:val="007A2D83"/>
    <w:rsid w:val="007B1587"/>
    <w:rsid w:val="007B1786"/>
    <w:rsid w:val="007B66AF"/>
    <w:rsid w:val="007C5285"/>
    <w:rsid w:val="007C633B"/>
    <w:rsid w:val="007D3182"/>
    <w:rsid w:val="007D7A8A"/>
    <w:rsid w:val="007E4499"/>
    <w:rsid w:val="007F44CE"/>
    <w:rsid w:val="0080670B"/>
    <w:rsid w:val="0082165E"/>
    <w:rsid w:val="00825524"/>
    <w:rsid w:val="0083211E"/>
    <w:rsid w:val="00835EEF"/>
    <w:rsid w:val="008369AD"/>
    <w:rsid w:val="008411B8"/>
    <w:rsid w:val="00846455"/>
    <w:rsid w:val="0085225D"/>
    <w:rsid w:val="008619C6"/>
    <w:rsid w:val="00870D40"/>
    <w:rsid w:val="00870FF4"/>
    <w:rsid w:val="0087342F"/>
    <w:rsid w:val="00875847"/>
    <w:rsid w:val="00891D28"/>
    <w:rsid w:val="008A0F63"/>
    <w:rsid w:val="008A4A43"/>
    <w:rsid w:val="008B3465"/>
    <w:rsid w:val="008B7E20"/>
    <w:rsid w:val="008C013C"/>
    <w:rsid w:val="008C1E35"/>
    <w:rsid w:val="008C39EC"/>
    <w:rsid w:val="008C7EA4"/>
    <w:rsid w:val="008D50BA"/>
    <w:rsid w:val="008D5AA2"/>
    <w:rsid w:val="008E0E1B"/>
    <w:rsid w:val="008E0EA6"/>
    <w:rsid w:val="008E2799"/>
    <w:rsid w:val="008E4859"/>
    <w:rsid w:val="008E4DF6"/>
    <w:rsid w:val="008E5F84"/>
    <w:rsid w:val="008E7500"/>
    <w:rsid w:val="008F5534"/>
    <w:rsid w:val="008F77E7"/>
    <w:rsid w:val="0090096F"/>
    <w:rsid w:val="00905017"/>
    <w:rsid w:val="009067F8"/>
    <w:rsid w:val="00914212"/>
    <w:rsid w:val="00921787"/>
    <w:rsid w:val="00922EAD"/>
    <w:rsid w:val="0092794B"/>
    <w:rsid w:val="009322A2"/>
    <w:rsid w:val="0093341F"/>
    <w:rsid w:val="009338FD"/>
    <w:rsid w:val="00933A84"/>
    <w:rsid w:val="009462E7"/>
    <w:rsid w:val="009507AF"/>
    <w:rsid w:val="00952CDD"/>
    <w:rsid w:val="00953856"/>
    <w:rsid w:val="009554D5"/>
    <w:rsid w:val="00963ACA"/>
    <w:rsid w:val="00974FDB"/>
    <w:rsid w:val="00997E58"/>
    <w:rsid w:val="009A39BC"/>
    <w:rsid w:val="009B31C9"/>
    <w:rsid w:val="009B3538"/>
    <w:rsid w:val="009B5E1D"/>
    <w:rsid w:val="009C733E"/>
    <w:rsid w:val="009D2F92"/>
    <w:rsid w:val="009E2B79"/>
    <w:rsid w:val="009F127B"/>
    <w:rsid w:val="009F13E7"/>
    <w:rsid w:val="009F4F10"/>
    <w:rsid w:val="009F7E53"/>
    <w:rsid w:val="00A05E67"/>
    <w:rsid w:val="00A06D7B"/>
    <w:rsid w:val="00A10051"/>
    <w:rsid w:val="00A10286"/>
    <w:rsid w:val="00A12C82"/>
    <w:rsid w:val="00A1670E"/>
    <w:rsid w:val="00A20319"/>
    <w:rsid w:val="00A20F36"/>
    <w:rsid w:val="00A26CE0"/>
    <w:rsid w:val="00A2777F"/>
    <w:rsid w:val="00A30DAD"/>
    <w:rsid w:val="00A316A0"/>
    <w:rsid w:val="00A354D3"/>
    <w:rsid w:val="00A35FB9"/>
    <w:rsid w:val="00A409E9"/>
    <w:rsid w:val="00A42CAB"/>
    <w:rsid w:val="00A469CE"/>
    <w:rsid w:val="00A51339"/>
    <w:rsid w:val="00A54878"/>
    <w:rsid w:val="00A6004F"/>
    <w:rsid w:val="00A6030B"/>
    <w:rsid w:val="00A62656"/>
    <w:rsid w:val="00A642BC"/>
    <w:rsid w:val="00A73488"/>
    <w:rsid w:val="00A7424C"/>
    <w:rsid w:val="00A821D9"/>
    <w:rsid w:val="00A90998"/>
    <w:rsid w:val="00A9784D"/>
    <w:rsid w:val="00AA014E"/>
    <w:rsid w:val="00AA7653"/>
    <w:rsid w:val="00AA76E2"/>
    <w:rsid w:val="00AB067F"/>
    <w:rsid w:val="00AB2567"/>
    <w:rsid w:val="00AB5C6B"/>
    <w:rsid w:val="00AC1E69"/>
    <w:rsid w:val="00AC6B89"/>
    <w:rsid w:val="00AD3964"/>
    <w:rsid w:val="00B02671"/>
    <w:rsid w:val="00B050B3"/>
    <w:rsid w:val="00B05379"/>
    <w:rsid w:val="00B066C0"/>
    <w:rsid w:val="00B06B50"/>
    <w:rsid w:val="00B1154E"/>
    <w:rsid w:val="00B1551A"/>
    <w:rsid w:val="00B207D4"/>
    <w:rsid w:val="00B21126"/>
    <w:rsid w:val="00B22BBE"/>
    <w:rsid w:val="00B271A0"/>
    <w:rsid w:val="00B3299A"/>
    <w:rsid w:val="00B446D9"/>
    <w:rsid w:val="00B44FC0"/>
    <w:rsid w:val="00B51399"/>
    <w:rsid w:val="00B541BC"/>
    <w:rsid w:val="00B54814"/>
    <w:rsid w:val="00B56B11"/>
    <w:rsid w:val="00B5758C"/>
    <w:rsid w:val="00B62EEC"/>
    <w:rsid w:val="00B7288C"/>
    <w:rsid w:val="00B82689"/>
    <w:rsid w:val="00B85F9B"/>
    <w:rsid w:val="00BA1498"/>
    <w:rsid w:val="00BA1676"/>
    <w:rsid w:val="00BA19B5"/>
    <w:rsid w:val="00BA2A11"/>
    <w:rsid w:val="00BA3233"/>
    <w:rsid w:val="00BA4C84"/>
    <w:rsid w:val="00BB3283"/>
    <w:rsid w:val="00BB7CBB"/>
    <w:rsid w:val="00BC1149"/>
    <w:rsid w:val="00BD5C2D"/>
    <w:rsid w:val="00BD62B5"/>
    <w:rsid w:val="00BE37A4"/>
    <w:rsid w:val="00BE45DE"/>
    <w:rsid w:val="00BE5DA5"/>
    <w:rsid w:val="00BE7EF8"/>
    <w:rsid w:val="00BF4984"/>
    <w:rsid w:val="00C05456"/>
    <w:rsid w:val="00C076A9"/>
    <w:rsid w:val="00C15BBB"/>
    <w:rsid w:val="00C15BF1"/>
    <w:rsid w:val="00C1668E"/>
    <w:rsid w:val="00C1759E"/>
    <w:rsid w:val="00C21B8D"/>
    <w:rsid w:val="00C24228"/>
    <w:rsid w:val="00C27CA4"/>
    <w:rsid w:val="00C3131F"/>
    <w:rsid w:val="00C31FC0"/>
    <w:rsid w:val="00C37FF1"/>
    <w:rsid w:val="00C507CD"/>
    <w:rsid w:val="00C534A8"/>
    <w:rsid w:val="00C54753"/>
    <w:rsid w:val="00C62F9A"/>
    <w:rsid w:val="00C66DC5"/>
    <w:rsid w:val="00C73DA3"/>
    <w:rsid w:val="00C740F5"/>
    <w:rsid w:val="00C77956"/>
    <w:rsid w:val="00C83E22"/>
    <w:rsid w:val="00C85EA4"/>
    <w:rsid w:val="00C87DF3"/>
    <w:rsid w:val="00C912FE"/>
    <w:rsid w:val="00C9201C"/>
    <w:rsid w:val="00C954B2"/>
    <w:rsid w:val="00CA1572"/>
    <w:rsid w:val="00CA5F15"/>
    <w:rsid w:val="00CA6B87"/>
    <w:rsid w:val="00CA79CF"/>
    <w:rsid w:val="00CB634D"/>
    <w:rsid w:val="00CC08D4"/>
    <w:rsid w:val="00CC2031"/>
    <w:rsid w:val="00CC3420"/>
    <w:rsid w:val="00CD5A10"/>
    <w:rsid w:val="00CE070B"/>
    <w:rsid w:val="00CE2D83"/>
    <w:rsid w:val="00CE439F"/>
    <w:rsid w:val="00CE51C3"/>
    <w:rsid w:val="00CF4F69"/>
    <w:rsid w:val="00CF6029"/>
    <w:rsid w:val="00D11B2A"/>
    <w:rsid w:val="00D12F04"/>
    <w:rsid w:val="00D145AC"/>
    <w:rsid w:val="00D15589"/>
    <w:rsid w:val="00D22AE8"/>
    <w:rsid w:val="00D33278"/>
    <w:rsid w:val="00D36F9C"/>
    <w:rsid w:val="00D432AD"/>
    <w:rsid w:val="00D51069"/>
    <w:rsid w:val="00D547B4"/>
    <w:rsid w:val="00D630FC"/>
    <w:rsid w:val="00D63843"/>
    <w:rsid w:val="00D643A5"/>
    <w:rsid w:val="00D770FF"/>
    <w:rsid w:val="00D80227"/>
    <w:rsid w:val="00D811D6"/>
    <w:rsid w:val="00D8160E"/>
    <w:rsid w:val="00D91219"/>
    <w:rsid w:val="00D936C1"/>
    <w:rsid w:val="00D9537D"/>
    <w:rsid w:val="00D95406"/>
    <w:rsid w:val="00DA27B1"/>
    <w:rsid w:val="00DA7655"/>
    <w:rsid w:val="00DB3E97"/>
    <w:rsid w:val="00DB4E3C"/>
    <w:rsid w:val="00DD3825"/>
    <w:rsid w:val="00DD52CC"/>
    <w:rsid w:val="00DE308B"/>
    <w:rsid w:val="00DE59C4"/>
    <w:rsid w:val="00DF5403"/>
    <w:rsid w:val="00DF5967"/>
    <w:rsid w:val="00E01992"/>
    <w:rsid w:val="00E03351"/>
    <w:rsid w:val="00E03F42"/>
    <w:rsid w:val="00E05A5F"/>
    <w:rsid w:val="00E14A7F"/>
    <w:rsid w:val="00E229DD"/>
    <w:rsid w:val="00E24D24"/>
    <w:rsid w:val="00E2582C"/>
    <w:rsid w:val="00E25B48"/>
    <w:rsid w:val="00E27817"/>
    <w:rsid w:val="00E32CE3"/>
    <w:rsid w:val="00E37A7A"/>
    <w:rsid w:val="00E436F2"/>
    <w:rsid w:val="00E47630"/>
    <w:rsid w:val="00E55B3B"/>
    <w:rsid w:val="00E55E91"/>
    <w:rsid w:val="00E570E3"/>
    <w:rsid w:val="00E607E2"/>
    <w:rsid w:val="00E614EB"/>
    <w:rsid w:val="00E620CB"/>
    <w:rsid w:val="00E67217"/>
    <w:rsid w:val="00E70AE7"/>
    <w:rsid w:val="00E75D28"/>
    <w:rsid w:val="00E76E55"/>
    <w:rsid w:val="00E852E5"/>
    <w:rsid w:val="00E854AE"/>
    <w:rsid w:val="00E90713"/>
    <w:rsid w:val="00E9217E"/>
    <w:rsid w:val="00E96FD6"/>
    <w:rsid w:val="00EA2FF1"/>
    <w:rsid w:val="00EA56DB"/>
    <w:rsid w:val="00EA7525"/>
    <w:rsid w:val="00EC0891"/>
    <w:rsid w:val="00EC30C2"/>
    <w:rsid w:val="00ED3735"/>
    <w:rsid w:val="00ED5CDB"/>
    <w:rsid w:val="00ED7FEF"/>
    <w:rsid w:val="00EE061E"/>
    <w:rsid w:val="00EE25E7"/>
    <w:rsid w:val="00EE4FC9"/>
    <w:rsid w:val="00EE51DB"/>
    <w:rsid w:val="00EE5D76"/>
    <w:rsid w:val="00EF59B5"/>
    <w:rsid w:val="00EF6349"/>
    <w:rsid w:val="00F07FEB"/>
    <w:rsid w:val="00F10033"/>
    <w:rsid w:val="00F13DC0"/>
    <w:rsid w:val="00F13DEA"/>
    <w:rsid w:val="00F14485"/>
    <w:rsid w:val="00F16F02"/>
    <w:rsid w:val="00F21064"/>
    <w:rsid w:val="00F25A1A"/>
    <w:rsid w:val="00F26A60"/>
    <w:rsid w:val="00F34EB0"/>
    <w:rsid w:val="00F3657B"/>
    <w:rsid w:val="00F465B6"/>
    <w:rsid w:val="00F64CB9"/>
    <w:rsid w:val="00F67181"/>
    <w:rsid w:val="00F745B6"/>
    <w:rsid w:val="00F77628"/>
    <w:rsid w:val="00F81F1D"/>
    <w:rsid w:val="00F838DD"/>
    <w:rsid w:val="00F96D86"/>
    <w:rsid w:val="00FA00D0"/>
    <w:rsid w:val="00FA2967"/>
    <w:rsid w:val="00FA4E98"/>
    <w:rsid w:val="00FB0580"/>
    <w:rsid w:val="00FB3B70"/>
    <w:rsid w:val="00FB4543"/>
    <w:rsid w:val="00FC6159"/>
    <w:rsid w:val="00FD061C"/>
    <w:rsid w:val="00FD0945"/>
    <w:rsid w:val="00FD3A82"/>
    <w:rsid w:val="00FD785E"/>
    <w:rsid w:val="00FF0082"/>
    <w:rsid w:val="00FF2DF0"/>
    <w:rsid w:val="00FF6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C24228"/>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24228"/>
    <w:pPr>
      <w:keepNext/>
      <w:tabs>
        <w:tab w:val="left" w:pos="567"/>
      </w:tabs>
      <w:spacing w:before="120" w:after="120"/>
      <w:jc w:val="center"/>
      <w:outlineLvl w:val="2"/>
    </w:pPr>
    <w:rPr>
      <w:i/>
      <w:iCs/>
    </w:rPr>
  </w:style>
  <w:style w:type="paragraph" w:styleId="Heading4">
    <w:name w:val="heading 4"/>
    <w:basedOn w:val="Normal"/>
    <w:qFormat/>
    <w:rsid w:val="00C2422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24228"/>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C24228"/>
    <w:pPr>
      <w:keepNext/>
      <w:spacing w:after="240" w:line="240" w:lineRule="exact"/>
      <w:ind w:left="720"/>
      <w:outlineLvl w:val="5"/>
    </w:pPr>
    <w:rPr>
      <w:u w:val="single"/>
    </w:rPr>
  </w:style>
  <w:style w:type="paragraph" w:styleId="Heading7">
    <w:name w:val="heading 7"/>
    <w:basedOn w:val="Normal"/>
    <w:next w:val="Normal"/>
    <w:qFormat/>
    <w:rsid w:val="00C24228"/>
    <w:pPr>
      <w:keepNext/>
      <w:jc w:val="right"/>
      <w:outlineLvl w:val="6"/>
    </w:pPr>
    <w:rPr>
      <w:rFonts w:ascii="Univers" w:hAnsi="Univers"/>
      <w:b/>
      <w:sz w:val="28"/>
    </w:rPr>
  </w:style>
  <w:style w:type="paragraph" w:styleId="Heading8">
    <w:name w:val="heading 8"/>
    <w:basedOn w:val="Normal"/>
    <w:next w:val="Normal"/>
    <w:qFormat/>
    <w:rsid w:val="00C24228"/>
    <w:pPr>
      <w:keepNext/>
      <w:jc w:val="right"/>
      <w:outlineLvl w:val="7"/>
    </w:pPr>
    <w:rPr>
      <w:rFonts w:ascii="Univers" w:hAnsi="Univers"/>
      <w:b/>
      <w:sz w:val="32"/>
    </w:rPr>
  </w:style>
  <w:style w:type="paragraph" w:styleId="Heading9">
    <w:name w:val="heading 9"/>
    <w:basedOn w:val="Normal"/>
    <w:next w:val="Normal"/>
    <w:qFormat/>
    <w:rsid w:val="00C2422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228"/>
    <w:pPr>
      <w:tabs>
        <w:tab w:val="center" w:pos="4320"/>
        <w:tab w:val="right" w:pos="8640"/>
      </w:tabs>
    </w:pPr>
  </w:style>
  <w:style w:type="paragraph" w:styleId="Footer">
    <w:name w:val="footer"/>
    <w:basedOn w:val="Normal"/>
    <w:rsid w:val="00C24228"/>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24228"/>
    <w:pPr>
      <w:keepLines/>
      <w:spacing w:after="60"/>
      <w:ind w:firstLine="720"/>
    </w:pPr>
    <w:rPr>
      <w:sz w:val="18"/>
    </w:rPr>
  </w:style>
  <w:style w:type="paragraph" w:styleId="BodyText">
    <w:name w:val="Body Text"/>
    <w:basedOn w:val="Normal"/>
    <w:rsid w:val="00C24228"/>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C24228"/>
    <w:rPr>
      <w:sz w:val="16"/>
    </w:rPr>
  </w:style>
  <w:style w:type="paragraph" w:styleId="CommentText">
    <w:name w:val="annotation text"/>
    <w:basedOn w:val="Normal"/>
    <w:link w:val="CommentTextChar"/>
    <w:semiHidden/>
    <w:rsid w:val="00C24228"/>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4228"/>
    <w:rPr>
      <w:sz w:val="18"/>
      <w:u w:val="single"/>
      <w:vertAlign w:val="baseline"/>
    </w:rPr>
  </w:style>
  <w:style w:type="paragraph" w:styleId="BodyTextIndent">
    <w:name w:val="Body Text Indent"/>
    <w:basedOn w:val="Normal"/>
    <w:rsid w:val="00C24228"/>
    <w:pPr>
      <w:spacing w:before="120" w:after="120"/>
      <w:ind w:left="1440" w:hanging="720"/>
      <w:jc w:val="left"/>
    </w:pPr>
  </w:style>
  <w:style w:type="character" w:styleId="PageNumber">
    <w:name w:val="page number"/>
    <w:rsid w:val="00C24228"/>
    <w:rPr>
      <w:rFonts w:ascii="Times New Roman" w:hAnsi="Times New Roman"/>
      <w:sz w:val="22"/>
    </w:rPr>
  </w:style>
  <w:style w:type="paragraph" w:customStyle="1" w:styleId="HEADING">
    <w:name w:val="HEADING"/>
    <w:basedOn w:val="Normal"/>
    <w:rsid w:val="00C24228"/>
    <w:pPr>
      <w:keepNext/>
      <w:spacing w:before="240" w:after="120"/>
      <w:jc w:val="center"/>
    </w:pPr>
    <w:rPr>
      <w:b/>
      <w:bCs/>
      <w:caps/>
    </w:rPr>
  </w:style>
  <w:style w:type="paragraph" w:customStyle="1" w:styleId="para4">
    <w:name w:val="para4"/>
    <w:basedOn w:val="Normal"/>
    <w:rsid w:val="00C24228"/>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24228"/>
    <w:pPr>
      <w:ind w:left="170" w:right="3119" w:hanging="170"/>
      <w:jc w:val="left"/>
    </w:pPr>
  </w:style>
  <w:style w:type="paragraph" w:customStyle="1" w:styleId="Para3">
    <w:name w:val="Para3"/>
    <w:basedOn w:val="Normal"/>
    <w:rsid w:val="00C24228"/>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24228"/>
    <w:pPr>
      <w:spacing w:before="120"/>
    </w:pPr>
    <w:rPr>
      <w:rFonts w:cs="Arial"/>
      <w:b/>
      <w:bCs/>
      <w:sz w:val="24"/>
    </w:rPr>
  </w:style>
  <w:style w:type="paragraph" w:styleId="TOC9">
    <w:name w:val="toc 9"/>
    <w:basedOn w:val="Normal"/>
    <w:next w:val="Normal"/>
    <w:autoRedefine/>
    <w:semiHidden/>
    <w:rsid w:val="00C24228"/>
    <w:pPr>
      <w:spacing w:before="120" w:after="120"/>
      <w:ind w:left="1760"/>
      <w:jc w:val="left"/>
    </w:pPr>
  </w:style>
  <w:style w:type="paragraph" w:styleId="TOC1">
    <w:name w:val="toc 1"/>
    <w:basedOn w:val="Normal"/>
    <w:next w:val="Normal"/>
    <w:autoRedefine/>
    <w:semiHidden/>
    <w:rsid w:val="00C24228"/>
    <w:pPr>
      <w:ind w:left="720" w:hanging="720"/>
    </w:pPr>
    <w:rPr>
      <w:caps/>
    </w:rPr>
  </w:style>
  <w:style w:type="paragraph" w:styleId="TOC2">
    <w:name w:val="toc 2"/>
    <w:basedOn w:val="Normal"/>
    <w:next w:val="Normal"/>
    <w:autoRedefine/>
    <w:semiHidden/>
    <w:rsid w:val="00C24228"/>
    <w:pPr>
      <w:tabs>
        <w:tab w:val="right" w:leader="dot" w:pos="9356"/>
      </w:tabs>
      <w:ind w:left="1440" w:hanging="720"/>
    </w:pPr>
    <w:rPr>
      <w:noProof/>
      <w:szCs w:val="22"/>
    </w:rPr>
  </w:style>
  <w:style w:type="paragraph" w:styleId="TOC3">
    <w:name w:val="toc 3"/>
    <w:basedOn w:val="Normal"/>
    <w:next w:val="Normal"/>
    <w:autoRedefine/>
    <w:semiHidden/>
    <w:rsid w:val="00C24228"/>
    <w:pPr>
      <w:ind w:left="2160" w:hanging="720"/>
    </w:pPr>
  </w:style>
  <w:style w:type="paragraph" w:styleId="TOC4">
    <w:name w:val="toc 4"/>
    <w:basedOn w:val="Normal"/>
    <w:next w:val="Normal"/>
    <w:autoRedefine/>
    <w:semiHidden/>
    <w:rsid w:val="00C24228"/>
    <w:pPr>
      <w:spacing w:before="120" w:after="120"/>
      <w:ind w:left="660"/>
      <w:jc w:val="left"/>
    </w:pPr>
  </w:style>
  <w:style w:type="paragraph" w:styleId="TOC5">
    <w:name w:val="toc 5"/>
    <w:basedOn w:val="Normal"/>
    <w:next w:val="Normal"/>
    <w:autoRedefine/>
    <w:semiHidden/>
    <w:rsid w:val="00C24228"/>
    <w:pPr>
      <w:spacing w:before="120" w:after="120"/>
      <w:ind w:left="880"/>
      <w:jc w:val="left"/>
    </w:pPr>
  </w:style>
  <w:style w:type="paragraph" w:styleId="TOC6">
    <w:name w:val="toc 6"/>
    <w:basedOn w:val="Normal"/>
    <w:next w:val="Normal"/>
    <w:autoRedefine/>
    <w:semiHidden/>
    <w:rsid w:val="00C24228"/>
    <w:pPr>
      <w:spacing w:before="120" w:after="120"/>
      <w:ind w:left="1100"/>
      <w:jc w:val="left"/>
    </w:pPr>
  </w:style>
  <w:style w:type="paragraph" w:styleId="TOC7">
    <w:name w:val="toc 7"/>
    <w:basedOn w:val="Normal"/>
    <w:next w:val="Normal"/>
    <w:autoRedefine/>
    <w:semiHidden/>
    <w:rsid w:val="00C24228"/>
    <w:pPr>
      <w:spacing w:before="120" w:after="120"/>
      <w:ind w:left="1320"/>
      <w:jc w:val="left"/>
    </w:pPr>
  </w:style>
  <w:style w:type="paragraph" w:styleId="TOC8">
    <w:name w:val="toc 8"/>
    <w:basedOn w:val="Normal"/>
    <w:next w:val="Normal"/>
    <w:autoRedefine/>
    <w:semiHidden/>
    <w:rsid w:val="00C24228"/>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24228"/>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24228"/>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24228"/>
    <w:rPr>
      <w:vertAlign w:val="superscript"/>
    </w:rPr>
  </w:style>
  <w:style w:type="paragraph" w:styleId="EndnoteText">
    <w:name w:val="endnote text"/>
    <w:basedOn w:val="Normal"/>
    <w:semiHidden/>
    <w:rsid w:val="00C24228"/>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24228"/>
    <w:pPr>
      <w:ind w:left="1843" w:hanging="1134"/>
      <w:jc w:val="left"/>
    </w:pPr>
  </w:style>
  <w:style w:type="paragraph" w:customStyle="1" w:styleId="Heading1multiline">
    <w:name w:val="Heading 1 (multiline)"/>
    <w:basedOn w:val="Heading1"/>
    <w:rsid w:val="00C24228"/>
    <w:pPr>
      <w:ind w:left="1843" w:right="996" w:hanging="567"/>
      <w:jc w:val="left"/>
    </w:pPr>
  </w:style>
  <w:style w:type="paragraph" w:customStyle="1" w:styleId="Heading2multiline">
    <w:name w:val="Heading 2 (multiline)"/>
    <w:basedOn w:val="Heading1"/>
    <w:next w:val="Para1"/>
    <w:rsid w:val="00C24228"/>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24228"/>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1"/>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E59C4"/>
    <w:pPr>
      <w:spacing w:after="160" w:line="240" w:lineRule="exact"/>
    </w:pPr>
    <w:rPr>
      <w:sz w:val="18"/>
      <w:szCs w:val="20"/>
      <w:u w:val="single"/>
      <w:lang w:val="en-CA"/>
    </w:rPr>
  </w:style>
  <w:style w:type="character" w:customStyle="1" w:styleId="Para1Char">
    <w:name w:val="Para1 Char"/>
    <w:link w:val="Para1"/>
    <w:locked/>
    <w:rsid w:val="008A4A43"/>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s>
</file>

<file path=word/webSettings.xml><?xml version="1.0" encoding="utf-8"?>
<w:webSettings xmlns:r="http://schemas.openxmlformats.org/officeDocument/2006/relationships" xmlns:w="http://schemas.openxmlformats.org/wordprocessingml/2006/main">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 w:id="193160339">
      <w:bodyDiv w:val="1"/>
      <w:marLeft w:val="0"/>
      <w:marRight w:val="0"/>
      <w:marTop w:val="0"/>
      <w:marBottom w:val="0"/>
      <w:divBdr>
        <w:top w:val="none" w:sz="0" w:space="0" w:color="auto"/>
        <w:left w:val="none" w:sz="0" w:space="0" w:color="auto"/>
        <w:bottom w:val="none" w:sz="0" w:space="0" w:color="auto"/>
        <w:right w:val="none" w:sz="0" w:space="0" w:color="auto"/>
      </w:divBdr>
    </w:div>
    <w:div w:id="267155585">
      <w:bodyDiv w:val="1"/>
      <w:marLeft w:val="0"/>
      <w:marRight w:val="0"/>
      <w:marTop w:val="0"/>
      <w:marBottom w:val="0"/>
      <w:divBdr>
        <w:top w:val="none" w:sz="0" w:space="0" w:color="auto"/>
        <w:left w:val="none" w:sz="0" w:space="0" w:color="auto"/>
        <w:bottom w:val="none" w:sz="0" w:space="0" w:color="auto"/>
        <w:right w:val="none" w:sz="0" w:space="0" w:color="auto"/>
      </w:divBdr>
    </w:div>
    <w:div w:id="200739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29AF"/>
    <w:rsid w:val="0000038F"/>
    <w:rsid w:val="000030D6"/>
    <w:rsid w:val="00015BC6"/>
    <w:rsid w:val="000973EA"/>
    <w:rsid w:val="000F4CF8"/>
    <w:rsid w:val="001648D4"/>
    <w:rsid w:val="001B29AF"/>
    <w:rsid w:val="00350D1A"/>
    <w:rsid w:val="0037757D"/>
    <w:rsid w:val="00493E4F"/>
    <w:rsid w:val="004A69EC"/>
    <w:rsid w:val="004B43FA"/>
    <w:rsid w:val="004C4E12"/>
    <w:rsid w:val="00600BCA"/>
    <w:rsid w:val="00621BAD"/>
    <w:rsid w:val="00663E8E"/>
    <w:rsid w:val="006F26A3"/>
    <w:rsid w:val="007A4AF0"/>
    <w:rsid w:val="007E501A"/>
    <w:rsid w:val="00805D34"/>
    <w:rsid w:val="00821674"/>
    <w:rsid w:val="0083264A"/>
    <w:rsid w:val="0087010D"/>
    <w:rsid w:val="00882404"/>
    <w:rsid w:val="008918D3"/>
    <w:rsid w:val="008B7F06"/>
    <w:rsid w:val="008F6F08"/>
    <w:rsid w:val="00975CD2"/>
    <w:rsid w:val="009805F2"/>
    <w:rsid w:val="0099042D"/>
    <w:rsid w:val="00A27574"/>
    <w:rsid w:val="00B171AC"/>
    <w:rsid w:val="00B36C7B"/>
    <w:rsid w:val="00BB2CFE"/>
    <w:rsid w:val="00C01711"/>
    <w:rsid w:val="00C738BF"/>
    <w:rsid w:val="00D5481D"/>
    <w:rsid w:val="00EC17B5"/>
    <w:rsid w:val="00EE6614"/>
    <w:rsid w:val="00F24B74"/>
    <w:rsid w:val="00FB7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3E8E"/>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2.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9462E-7DCB-42DF-B295-D4E51B1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TotalTime>
  <Pages>5</Pages>
  <Words>2629</Words>
  <Characters>13033</Characters>
  <Application>Microsoft Office Word</Application>
  <DocSecurity>0</DocSecurity>
  <Lines>221</Lines>
  <Paragraphs>87</Paragraphs>
  <ScaleCrop>false</ScaleCrop>
  <HeadingPairs>
    <vt:vector size="2" baseType="variant">
      <vt:variant>
        <vt:lpstr>Title</vt:lpstr>
      </vt:variant>
      <vt:variant>
        <vt:i4>1</vt:i4>
      </vt:variant>
    </vt:vector>
  </HeadingPairs>
  <TitlesOfParts>
    <vt:vector size="1" baseType="lpstr">
      <vt:lpstr>Anotaciones al programa provisional</vt:lpstr>
    </vt:vector>
  </TitlesOfParts>
  <Company>United Nations</Company>
  <LinksUpToDate>false</LinksUpToDate>
  <CharactersWithSpaces>15582</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CBD/NP/MOP/4/Part1/L.1</dc:subject>
  <dc:creator>SCBD</dc:creator>
  <cp:keywords>Conference of the Parties serving as the meeting of the Parties to the Nagoya Protocol on Access and Benefit-sharing, fourth meeting, Kunming, China, 11-15 October 2021and 25 April-8 May 2022</cp:keywords>
  <cp:lastModifiedBy>Laura Perez</cp:lastModifiedBy>
  <cp:revision>6</cp:revision>
  <cp:lastPrinted>2021-10-13T20:42:00Z</cp:lastPrinted>
  <dcterms:created xsi:type="dcterms:W3CDTF">2021-10-13T20:12:00Z</dcterms:created>
  <dcterms:modified xsi:type="dcterms:W3CDTF">2021-10-13T21:29:00Z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*..CBD..*.Distr..LIMITADA..CBD/NP/MOP/4/Part1/L.1.11 de octubre de 2021..ESPAÑOL.ORIGINAL: INGLÉS...CONFERENCIA DE LAS PARTES EN EL CONVENIO SOBRE LA DIVERSIDAD BIOLÓGICA QUE ACTÚA COMO REUNIÓN DE LAS PARTES EN EL PROTOCOLO DE NAGOYA SOBRE ACCESO A LOS R</vt:lpwstr>
  </property>
</Properties>
</file>