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ayout w:type="fixed"/>
        <w:tblLook w:val="00A0" w:firstRow="1" w:lastRow="0" w:firstColumn="1" w:lastColumn="0" w:noHBand="0" w:noVBand="0"/>
      </w:tblPr>
      <w:tblGrid>
        <w:gridCol w:w="966"/>
        <w:gridCol w:w="5067"/>
        <w:gridCol w:w="108"/>
        <w:gridCol w:w="1130"/>
        <w:gridCol w:w="2797"/>
        <w:gridCol w:w="139"/>
      </w:tblGrid>
      <w:tr w:rsidR="00047515">
        <w:trPr>
          <w:gridAfter w:val="1"/>
          <w:wAfter w:w="141" w:type="dxa"/>
          <w:trHeight w:val="709"/>
        </w:trPr>
        <w:tc>
          <w:tcPr>
            <w:tcW w:w="976" w:type="dxa"/>
            <w:tcBorders>
              <w:bottom w:val="single" w:sz="12" w:space="0" w:color="auto"/>
            </w:tcBorders>
            <w:vAlign w:val="bottom"/>
          </w:tcPr>
          <w:p w:rsidR="00047515" w:rsidRDefault="008A6649">
            <w:pPr>
              <w:suppressLineNumbers/>
              <w:suppressAutoHyphens/>
              <w:kinsoku w:val="0"/>
              <w:overflowPunct w:val="0"/>
              <w:autoSpaceDE w:val="0"/>
              <w:autoSpaceDN w:val="0"/>
              <w:jc w:val="left"/>
              <w:rPr>
                <w:rFonts w:ascii="MS Mincho" w:eastAsia="MS Mincho"/>
                <w:kern w:val="22"/>
                <w:lang w:val="es-ES"/>
              </w:rPr>
            </w:pPr>
            <w:r>
              <w:rPr>
                <w:rFonts w:ascii="MS Mincho" w:eastAsia="MS Mincho" w:hint="eastAsia"/>
                <w:noProof/>
                <w:snapToGrid/>
                <w:kern w:val="22"/>
                <w:lang w:val="en-US" w:eastAsia="zh-CN"/>
              </w:rPr>
              <w:drawing>
                <wp:inline distT="0" distB="0" distL="0" distR="0">
                  <wp:extent cx="426085" cy="36449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srcRect/>
                          <a:stretch>
                            <a:fillRect/>
                          </a:stretch>
                        </pic:blipFill>
                        <pic:spPr bwMode="auto">
                          <a:xfrm>
                            <a:off x="0" y="0"/>
                            <a:ext cx="426085" cy="364490"/>
                          </a:xfrm>
                          <a:prstGeom prst="rect">
                            <a:avLst/>
                          </a:prstGeom>
                          <a:noFill/>
                          <a:ln w="9525">
                            <a:noFill/>
                            <a:miter lim="800000"/>
                            <a:headEnd/>
                            <a:tailEnd/>
                          </a:ln>
                        </pic:spPr>
                      </pic:pic>
                    </a:graphicData>
                  </a:graphic>
                </wp:inline>
              </w:drawing>
            </w:r>
          </w:p>
        </w:tc>
        <w:tc>
          <w:tcPr>
            <w:tcW w:w="5141" w:type="dxa"/>
            <w:tcBorders>
              <w:bottom w:val="single" w:sz="12" w:space="0" w:color="auto"/>
            </w:tcBorders>
            <w:vAlign w:val="bottom"/>
          </w:tcPr>
          <w:p w:rsidR="00047515" w:rsidRDefault="008A6649">
            <w:pPr>
              <w:suppressLineNumbers/>
              <w:suppressAutoHyphens/>
              <w:kinsoku w:val="0"/>
              <w:overflowPunct w:val="0"/>
              <w:autoSpaceDE w:val="0"/>
              <w:autoSpaceDN w:val="0"/>
              <w:jc w:val="left"/>
              <w:rPr>
                <w:rFonts w:ascii="MS Mincho" w:eastAsia="MS Mincho"/>
                <w:kern w:val="22"/>
                <w:lang w:val="es-ES"/>
              </w:rPr>
            </w:pPr>
            <w:r>
              <w:rPr>
                <w:rFonts w:ascii="MS Mincho" w:eastAsia="MS Mincho" w:hint="eastAsia"/>
                <w:noProof/>
                <w:snapToGrid/>
                <w:kern w:val="22"/>
                <w:lang w:val="en-US" w:eastAsia="zh-CN"/>
              </w:rPr>
              <w:drawing>
                <wp:inline distT="0" distB="0" distL="0" distR="0">
                  <wp:extent cx="336550" cy="392430"/>
                  <wp:effectExtent l="19050" t="0" r="6350"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9" cstate="print"/>
                          <a:srcRect/>
                          <a:stretch>
                            <a:fillRect/>
                          </a:stretch>
                        </pic:blipFill>
                        <pic:spPr bwMode="auto">
                          <a:xfrm>
                            <a:off x="0" y="0"/>
                            <a:ext cx="336550" cy="392430"/>
                          </a:xfrm>
                          <a:prstGeom prst="rect">
                            <a:avLst/>
                          </a:prstGeom>
                          <a:noFill/>
                          <a:ln w="9525">
                            <a:noFill/>
                            <a:miter lim="800000"/>
                            <a:headEnd/>
                            <a:tailEnd/>
                          </a:ln>
                        </pic:spPr>
                      </pic:pic>
                    </a:graphicData>
                  </a:graphic>
                </wp:inline>
              </w:drawing>
            </w:r>
          </w:p>
        </w:tc>
        <w:tc>
          <w:tcPr>
            <w:tcW w:w="4090" w:type="dxa"/>
            <w:gridSpan w:val="3"/>
            <w:tcBorders>
              <w:bottom w:val="single" w:sz="12" w:space="0" w:color="auto"/>
            </w:tcBorders>
            <w:vAlign w:val="center"/>
          </w:tcPr>
          <w:p w:rsidR="00047515" w:rsidRDefault="00047515">
            <w:pPr>
              <w:suppressLineNumbers/>
              <w:suppressAutoHyphens/>
              <w:kinsoku w:val="0"/>
              <w:overflowPunct w:val="0"/>
              <w:autoSpaceDE w:val="0"/>
              <w:autoSpaceDN w:val="0"/>
              <w:jc w:val="right"/>
              <w:rPr>
                <w:rFonts w:ascii="Arial" w:hAnsi="Arial"/>
                <w:b/>
                <w:kern w:val="22"/>
                <w:sz w:val="32"/>
                <w:lang w:val="es-ES"/>
              </w:rPr>
            </w:pPr>
            <w:r>
              <w:rPr>
                <w:rFonts w:ascii="Arial" w:hAnsi="Arial"/>
                <w:b/>
                <w:noProof/>
                <w:kern w:val="22"/>
                <w:sz w:val="32"/>
                <w:lang w:val="es-ES"/>
              </w:rPr>
              <w:t>CBD</w:t>
            </w:r>
          </w:p>
        </w:tc>
      </w:tr>
      <w:tr w:rsidR="00047515">
        <w:tblPrEx>
          <w:tblBorders>
            <w:bottom w:val="single" w:sz="36" w:space="0" w:color="000000"/>
          </w:tblBorders>
          <w:tblLook w:val="0000" w:firstRow="0" w:lastRow="0" w:firstColumn="0" w:lastColumn="0" w:noHBand="0" w:noVBand="0"/>
        </w:tblPrEx>
        <w:trPr>
          <w:trHeight w:val="1693"/>
        </w:trPr>
        <w:tc>
          <w:tcPr>
            <w:tcW w:w="6227" w:type="dxa"/>
            <w:gridSpan w:val="3"/>
            <w:tcBorders>
              <w:top w:val="nil"/>
              <w:bottom w:val="single" w:sz="36" w:space="0" w:color="000000"/>
            </w:tcBorders>
          </w:tcPr>
          <w:p w:rsidR="00047515" w:rsidRDefault="00047515">
            <w:pPr>
              <w:suppressLineNumbers/>
              <w:suppressAutoHyphens/>
              <w:kinsoku w:val="0"/>
              <w:overflowPunct w:val="0"/>
              <w:autoSpaceDE w:val="0"/>
              <w:autoSpaceDN w:val="0"/>
              <w:rPr>
                <w:kern w:val="22"/>
                <w:lang w:val="es-ES"/>
              </w:rPr>
            </w:pPr>
          </w:p>
          <w:p w:rsidR="00047515" w:rsidRDefault="008A6649">
            <w:pPr>
              <w:suppressLineNumbers/>
              <w:suppressAutoHyphens/>
              <w:kinsoku w:val="0"/>
              <w:overflowPunct w:val="0"/>
              <w:autoSpaceDE w:val="0"/>
              <w:autoSpaceDN w:val="0"/>
              <w:rPr>
                <w:kern w:val="22"/>
                <w:lang w:val="es-ES"/>
              </w:rPr>
            </w:pPr>
            <w:r>
              <w:rPr>
                <w:noProof/>
                <w:snapToGrid/>
                <w:kern w:val="22"/>
                <w:lang w:val="en-US" w:eastAsia="zh-CN"/>
              </w:rPr>
              <w:drawing>
                <wp:inline distT="0" distB="0" distL="0" distR="0">
                  <wp:extent cx="2905760" cy="1076960"/>
                  <wp:effectExtent l="19050" t="0" r="8890" b="0"/>
                  <wp:docPr id="3" name="Picture 3" descr="CBD_logo_es-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s-CMYK-black [Converted]"/>
                          <pic:cNvPicPr>
                            <a:picLocks noChangeAspect="1" noChangeArrowheads="1"/>
                          </pic:cNvPicPr>
                        </pic:nvPicPr>
                        <pic:blipFill>
                          <a:blip r:embed="rId10" cstate="print"/>
                          <a:srcRect/>
                          <a:stretch>
                            <a:fillRect/>
                          </a:stretch>
                        </pic:blipFill>
                        <pic:spPr bwMode="auto">
                          <a:xfrm>
                            <a:off x="0" y="0"/>
                            <a:ext cx="2905760" cy="1076960"/>
                          </a:xfrm>
                          <a:prstGeom prst="rect">
                            <a:avLst/>
                          </a:prstGeom>
                          <a:noFill/>
                          <a:ln w="9525">
                            <a:noFill/>
                            <a:miter lim="800000"/>
                            <a:headEnd/>
                            <a:tailEnd/>
                          </a:ln>
                        </pic:spPr>
                      </pic:pic>
                    </a:graphicData>
                  </a:graphic>
                </wp:inline>
              </w:drawing>
            </w:r>
          </w:p>
          <w:p w:rsidR="00047515" w:rsidRDefault="00047515">
            <w:pPr>
              <w:suppressLineNumbers/>
              <w:suppressAutoHyphens/>
              <w:kinsoku w:val="0"/>
              <w:overflowPunct w:val="0"/>
              <w:autoSpaceDE w:val="0"/>
              <w:autoSpaceDN w:val="0"/>
              <w:rPr>
                <w:rFonts w:ascii="Univers" w:hAnsi="Univers"/>
                <w:kern w:val="22"/>
                <w:sz w:val="32"/>
                <w:lang w:val="es-ES"/>
              </w:rPr>
            </w:pPr>
          </w:p>
        </w:tc>
        <w:tc>
          <w:tcPr>
            <w:tcW w:w="1144" w:type="dxa"/>
            <w:tcBorders>
              <w:top w:val="nil"/>
              <w:bottom w:val="single" w:sz="36" w:space="0" w:color="000000"/>
            </w:tcBorders>
          </w:tcPr>
          <w:p w:rsidR="00047515" w:rsidRDefault="00047515">
            <w:pPr>
              <w:pStyle w:val="Header"/>
              <w:suppressLineNumbers/>
              <w:tabs>
                <w:tab w:val="clear" w:pos="4320"/>
                <w:tab w:val="clear" w:pos="8640"/>
              </w:tabs>
              <w:suppressAutoHyphens/>
              <w:kinsoku w:val="0"/>
              <w:overflowPunct w:val="0"/>
              <w:autoSpaceDE w:val="0"/>
              <w:autoSpaceDN w:val="0"/>
              <w:rPr>
                <w:b/>
                <w:kern w:val="22"/>
                <w:sz w:val="32"/>
                <w:lang w:val="es-ES"/>
              </w:rPr>
            </w:pPr>
          </w:p>
        </w:tc>
        <w:tc>
          <w:tcPr>
            <w:tcW w:w="2977" w:type="dxa"/>
            <w:gridSpan w:val="2"/>
            <w:tcBorders>
              <w:top w:val="nil"/>
              <w:bottom w:val="single" w:sz="36" w:space="0" w:color="000000"/>
            </w:tcBorders>
          </w:tcPr>
          <w:p w:rsidR="00047515" w:rsidRDefault="00047515">
            <w:pPr>
              <w:suppressLineNumbers/>
              <w:suppressAutoHyphens/>
              <w:kinsoku w:val="0"/>
              <w:overflowPunct w:val="0"/>
              <w:autoSpaceDE w:val="0"/>
              <w:autoSpaceDN w:val="0"/>
              <w:ind w:left="63"/>
              <w:rPr>
                <w:kern w:val="22"/>
                <w:lang w:val="es-ES"/>
              </w:rPr>
            </w:pPr>
            <w:r>
              <w:rPr>
                <w:noProof/>
                <w:kern w:val="22"/>
                <w:lang w:val="es-ES"/>
              </w:rPr>
              <w:t>Distr.</w:t>
            </w:r>
          </w:p>
          <w:p w:rsidR="00047515" w:rsidRDefault="00047515">
            <w:pPr>
              <w:suppressLineNumbers/>
              <w:suppressAutoHyphens/>
              <w:kinsoku w:val="0"/>
              <w:overflowPunct w:val="0"/>
              <w:autoSpaceDE w:val="0"/>
              <w:autoSpaceDN w:val="0"/>
              <w:ind w:left="63"/>
              <w:rPr>
                <w:kern w:val="22"/>
                <w:lang w:val="es-ES"/>
              </w:rPr>
            </w:pPr>
            <w:r>
              <w:rPr>
                <w:noProof/>
                <w:kern w:val="22"/>
                <w:lang w:val="es-ES"/>
              </w:rPr>
              <w:t>GENERAL</w:t>
            </w:r>
          </w:p>
          <w:p w:rsidR="00047515" w:rsidRDefault="00047515">
            <w:pPr>
              <w:suppressLineNumbers/>
              <w:suppressAutoHyphens/>
              <w:kinsoku w:val="0"/>
              <w:overflowPunct w:val="0"/>
              <w:autoSpaceDE w:val="0"/>
              <w:autoSpaceDN w:val="0"/>
              <w:ind w:left="63"/>
              <w:rPr>
                <w:kern w:val="22"/>
                <w:lang w:val="es-ES"/>
              </w:rPr>
            </w:pPr>
          </w:p>
          <w:p w:rsidR="00047515" w:rsidRDefault="00047515">
            <w:pPr>
              <w:suppressLineNumbers/>
              <w:suppressAutoHyphens/>
              <w:kinsoku w:val="0"/>
              <w:overflowPunct w:val="0"/>
              <w:autoSpaceDE w:val="0"/>
              <w:autoSpaceDN w:val="0"/>
              <w:ind w:left="63"/>
              <w:rPr>
                <w:kern w:val="22"/>
                <w:lang w:val="es-ES"/>
              </w:rPr>
            </w:pPr>
            <w:r>
              <w:rPr>
                <w:noProof/>
                <w:kern w:val="22"/>
                <w:lang w:val="es-ES"/>
              </w:rPr>
              <w:t>CBD/SBSTTA/22/2</w:t>
            </w:r>
          </w:p>
          <w:p w:rsidR="00047515" w:rsidRDefault="00047515">
            <w:pPr>
              <w:suppressLineNumbers/>
              <w:suppressAutoHyphens/>
              <w:kinsoku w:val="0"/>
              <w:overflowPunct w:val="0"/>
              <w:autoSpaceDE w:val="0"/>
              <w:autoSpaceDN w:val="0"/>
              <w:ind w:left="63"/>
              <w:rPr>
                <w:kern w:val="22"/>
                <w:lang w:val="es-ES"/>
              </w:rPr>
            </w:pPr>
            <w:r>
              <w:rPr>
                <w:noProof/>
                <w:kern w:val="22"/>
                <w:lang w:val="es-ES"/>
              </w:rPr>
              <w:t>20 de marzo de 2018</w:t>
            </w:r>
          </w:p>
          <w:p w:rsidR="00047515" w:rsidRDefault="00047515">
            <w:pPr>
              <w:suppressLineNumbers/>
              <w:suppressAutoHyphens/>
              <w:kinsoku w:val="0"/>
              <w:overflowPunct w:val="0"/>
              <w:autoSpaceDE w:val="0"/>
              <w:autoSpaceDN w:val="0"/>
              <w:ind w:left="63"/>
              <w:rPr>
                <w:kern w:val="22"/>
                <w:lang w:val="es-ES"/>
              </w:rPr>
            </w:pPr>
          </w:p>
          <w:p w:rsidR="00047515" w:rsidRDefault="00047515">
            <w:pPr>
              <w:suppressLineNumbers/>
              <w:suppressAutoHyphens/>
              <w:kinsoku w:val="0"/>
              <w:overflowPunct w:val="0"/>
              <w:autoSpaceDE w:val="0"/>
              <w:autoSpaceDN w:val="0"/>
              <w:ind w:left="63"/>
              <w:rPr>
                <w:kern w:val="22"/>
                <w:lang w:val="es-ES"/>
              </w:rPr>
            </w:pPr>
            <w:r>
              <w:rPr>
                <w:noProof/>
                <w:kern w:val="22"/>
                <w:lang w:val="es-ES"/>
              </w:rPr>
              <w:t>ESPAÑOL</w:t>
            </w:r>
          </w:p>
          <w:p w:rsidR="00047515" w:rsidRDefault="00047515">
            <w:pPr>
              <w:suppressLineNumbers/>
              <w:suppressAutoHyphens/>
              <w:kinsoku w:val="0"/>
              <w:overflowPunct w:val="0"/>
              <w:autoSpaceDE w:val="0"/>
              <w:autoSpaceDN w:val="0"/>
              <w:ind w:left="63"/>
              <w:rPr>
                <w:kern w:val="22"/>
                <w:u w:val="single"/>
                <w:lang w:val="es-ES"/>
              </w:rPr>
            </w:pPr>
            <w:r>
              <w:rPr>
                <w:noProof/>
                <w:kern w:val="22"/>
                <w:lang w:val="es-ES"/>
              </w:rPr>
              <w:t>ORIGINAL:</w:t>
            </w:r>
            <w:r>
              <w:rPr>
                <w:kern w:val="22"/>
                <w:lang w:val="es-ES"/>
              </w:rPr>
              <w:t xml:space="preserve">  </w:t>
            </w:r>
            <w:r>
              <w:rPr>
                <w:noProof/>
                <w:kern w:val="22"/>
                <w:lang w:val="es-ES"/>
              </w:rPr>
              <w:t>INGLÉS</w:t>
            </w:r>
          </w:p>
        </w:tc>
      </w:tr>
    </w:tbl>
    <w:p w:rsidR="00047515" w:rsidRDefault="00047515">
      <w:pPr>
        <w:pStyle w:val="meetingname"/>
        <w:suppressLineNumbers/>
        <w:suppressAutoHyphens/>
        <w:kinsoku w:val="0"/>
        <w:overflowPunct w:val="0"/>
        <w:autoSpaceDE w:val="0"/>
        <w:autoSpaceDN w:val="0"/>
        <w:ind w:right="4398"/>
        <w:rPr>
          <w:rFonts w:eastAsia="Times New Roman"/>
          <w:kern w:val="22"/>
          <w:lang w:val="es-ES"/>
        </w:rPr>
      </w:pPr>
      <w:bookmarkStart w:id="0" w:name="Meeting"/>
      <w:r>
        <w:rPr>
          <w:rFonts w:eastAsia="Times New Roman"/>
          <w:noProof/>
          <w:kern w:val="22"/>
          <w:lang w:val="es-ES"/>
        </w:rPr>
        <w:t>órgano SUBSIDIARiO de asesOramieNto CIENTíFICo, TéCNICo y TECNOLóGICo</w:t>
      </w:r>
      <w:bookmarkEnd w:id="0"/>
    </w:p>
    <w:p w:rsidR="00047515" w:rsidRDefault="00047515">
      <w:pPr>
        <w:suppressLineNumbers/>
        <w:suppressAutoHyphens/>
        <w:kinsoku w:val="0"/>
        <w:overflowPunct w:val="0"/>
        <w:autoSpaceDE w:val="0"/>
        <w:autoSpaceDN w:val="0"/>
        <w:rPr>
          <w:kern w:val="22"/>
          <w:lang w:val="es-ES"/>
        </w:rPr>
      </w:pPr>
      <w:r>
        <w:rPr>
          <w:noProof/>
          <w:kern w:val="22"/>
          <w:lang w:val="es-ES"/>
        </w:rPr>
        <w:t>Vigésima segunda reunión</w:t>
      </w:r>
    </w:p>
    <w:p w:rsidR="00047515" w:rsidRDefault="00047515" w:rsidP="00564634">
      <w:pPr>
        <w:suppressLineNumbers/>
        <w:suppressAutoHyphens/>
        <w:kinsoku w:val="0"/>
        <w:overflowPunct w:val="0"/>
        <w:autoSpaceDE w:val="0"/>
        <w:autoSpaceDN w:val="0"/>
        <w:rPr>
          <w:kern w:val="22"/>
          <w:lang w:val="es-ES"/>
        </w:rPr>
      </w:pPr>
      <w:r>
        <w:rPr>
          <w:noProof/>
          <w:kern w:val="22"/>
          <w:lang w:val="es-ES"/>
        </w:rPr>
        <w:t xml:space="preserve">Montreal </w:t>
      </w:r>
      <w:r w:rsidR="00564634">
        <w:rPr>
          <w:noProof/>
          <w:kern w:val="22"/>
          <w:lang w:val="es-ES"/>
        </w:rPr>
        <w:t>(</w:t>
      </w:r>
      <w:r>
        <w:rPr>
          <w:noProof/>
          <w:kern w:val="22"/>
          <w:lang w:val="es-ES"/>
        </w:rPr>
        <w:t>Canadá</w:t>
      </w:r>
      <w:r w:rsidR="00564634">
        <w:rPr>
          <w:noProof/>
          <w:kern w:val="22"/>
          <w:lang w:val="es-ES"/>
        </w:rPr>
        <w:t>)</w:t>
      </w:r>
      <w:r>
        <w:rPr>
          <w:noProof/>
          <w:kern w:val="22"/>
          <w:lang w:val="es-ES"/>
        </w:rPr>
        <w:t>, 2 a 7 de julio de 2018</w:t>
      </w:r>
    </w:p>
    <w:p w:rsidR="00047515" w:rsidRDefault="00047515">
      <w:pPr>
        <w:suppressLineNumbers/>
        <w:suppressAutoHyphens/>
        <w:kinsoku w:val="0"/>
        <w:overflowPunct w:val="0"/>
        <w:autoSpaceDE w:val="0"/>
        <w:autoSpaceDN w:val="0"/>
        <w:rPr>
          <w:kern w:val="22"/>
          <w:lang w:val="es-ES"/>
        </w:rPr>
      </w:pPr>
      <w:r>
        <w:rPr>
          <w:noProof/>
          <w:kern w:val="22"/>
          <w:lang w:val="es-ES"/>
        </w:rPr>
        <w:t>Tema 3 del programa provisional</w:t>
      </w:r>
      <w:r>
        <w:rPr>
          <w:rStyle w:val="FootnoteReference"/>
          <w:noProof/>
          <w:kern w:val="22"/>
          <w:sz w:val="22"/>
          <w:u w:val="none"/>
          <w:lang w:val="es-ES"/>
        </w:rPr>
        <w:footnoteReference w:customMarkFollows="1" w:id="1"/>
        <w:t>*</w:t>
      </w:r>
    </w:p>
    <w:p w:rsidR="00047515" w:rsidRDefault="00047515">
      <w:pPr>
        <w:pStyle w:val="Heading1"/>
        <w:suppressLineNumbers/>
        <w:tabs>
          <w:tab w:val="clear" w:pos="720"/>
        </w:tabs>
        <w:suppressAutoHyphens/>
        <w:kinsoku w:val="0"/>
        <w:overflowPunct w:val="0"/>
        <w:autoSpaceDE w:val="0"/>
        <w:autoSpaceDN w:val="0"/>
        <w:rPr>
          <w:kern w:val="22"/>
          <w:lang w:val="es-ES"/>
        </w:rPr>
      </w:pPr>
      <w:r>
        <w:rPr>
          <w:rFonts w:ascii="Times New Roman Bold" w:hAnsi="Times New Roman Bold"/>
          <w:kern w:val="22"/>
          <w:lang w:val="es-ES"/>
        </w:rPr>
        <w:t>Información digital sobre secuencias de recursos genéticos</w:t>
      </w:r>
    </w:p>
    <w:p w:rsidR="00047515" w:rsidRPr="003A67CA" w:rsidRDefault="00047515" w:rsidP="003A67CA">
      <w:pPr>
        <w:pStyle w:val="Heading2"/>
        <w:suppressLineNumbers/>
        <w:suppressAutoHyphens/>
        <w:kinsoku w:val="0"/>
        <w:overflowPunct w:val="0"/>
        <w:autoSpaceDE w:val="0"/>
        <w:autoSpaceDN w:val="0"/>
        <w:rPr>
          <w:b w:val="0"/>
          <w:bCs w:val="0"/>
          <w:i/>
          <w:kern w:val="22"/>
          <w:lang w:val="es-ES"/>
        </w:rPr>
      </w:pPr>
      <w:r w:rsidRPr="003A67CA">
        <w:rPr>
          <w:b w:val="0"/>
          <w:bCs w:val="0"/>
          <w:i/>
          <w:kern w:val="22"/>
          <w:lang w:val="es-ES"/>
        </w:rPr>
        <w:t>Nota de</w:t>
      </w:r>
      <w:r w:rsidR="003A67CA" w:rsidRPr="003A67CA">
        <w:rPr>
          <w:b w:val="0"/>
          <w:bCs w:val="0"/>
          <w:i/>
          <w:kern w:val="22"/>
          <w:lang w:val="es-ES"/>
        </w:rPr>
        <w:t xml:space="preserve"> </w:t>
      </w:r>
      <w:r w:rsidRPr="003A67CA">
        <w:rPr>
          <w:b w:val="0"/>
          <w:bCs w:val="0"/>
          <w:i/>
          <w:kern w:val="22"/>
          <w:lang w:val="es-ES"/>
        </w:rPr>
        <w:t>l</w:t>
      </w:r>
      <w:r w:rsidR="003A67CA" w:rsidRPr="003A67CA">
        <w:rPr>
          <w:b w:val="0"/>
          <w:bCs w:val="0"/>
          <w:i/>
          <w:kern w:val="22"/>
          <w:lang w:val="es-ES"/>
        </w:rPr>
        <w:t>a</w:t>
      </w:r>
      <w:r w:rsidRPr="003A67CA">
        <w:rPr>
          <w:b w:val="0"/>
          <w:bCs w:val="0"/>
          <w:i/>
          <w:kern w:val="22"/>
          <w:lang w:val="es-ES"/>
        </w:rPr>
        <w:t xml:space="preserve"> Secretari</w:t>
      </w:r>
      <w:r w:rsidR="003A67CA" w:rsidRPr="003A67CA">
        <w:rPr>
          <w:b w:val="0"/>
          <w:bCs w:val="0"/>
          <w:i/>
          <w:kern w:val="22"/>
          <w:lang w:val="es-ES"/>
        </w:rPr>
        <w:t>a</w:t>
      </w:r>
      <w:r w:rsidRPr="003A67CA">
        <w:rPr>
          <w:b w:val="0"/>
          <w:bCs w:val="0"/>
          <w:i/>
          <w:kern w:val="22"/>
          <w:lang w:val="es-ES"/>
        </w:rPr>
        <w:t xml:space="preserve"> Ejecutiv</w:t>
      </w:r>
      <w:r w:rsidR="003A67CA" w:rsidRPr="003A67CA">
        <w:rPr>
          <w:b w:val="0"/>
          <w:bCs w:val="0"/>
          <w:i/>
          <w:kern w:val="22"/>
          <w:lang w:val="es-ES"/>
        </w:rPr>
        <w:t>a</w:t>
      </w:r>
    </w:p>
    <w:p w:rsidR="00047515" w:rsidRDefault="00047515" w:rsidP="00901EBE">
      <w:pPr>
        <w:pStyle w:val="Para1"/>
        <w:suppressLineNumbers/>
        <w:tabs>
          <w:tab w:val="clear" w:pos="360"/>
        </w:tabs>
        <w:suppressAutoHyphens/>
        <w:kinsoku w:val="0"/>
        <w:overflowPunct w:val="0"/>
        <w:autoSpaceDE w:val="0"/>
        <w:autoSpaceDN w:val="0"/>
        <w:rPr>
          <w:szCs w:val="24"/>
          <w:lang w:val="es-ES"/>
        </w:rPr>
      </w:pPr>
      <w:r>
        <w:rPr>
          <w:kern w:val="22"/>
          <w:szCs w:val="24"/>
          <w:lang w:val="es-ES"/>
        </w:rPr>
        <w:t xml:space="preserve">La Conferencia de las Partes en el Convenio sobre la Diversidad Biológica en su 13ª reunión y la Conferencia de las Partes que actúa como reunión de las Partes en el Protocolo de Nagoya sobre Acceso y Participación en los Beneficios en su segunda </w:t>
      </w:r>
      <w:r w:rsidR="00564634">
        <w:rPr>
          <w:kern w:val="22"/>
          <w:szCs w:val="24"/>
          <w:lang w:val="es-ES"/>
        </w:rPr>
        <w:t xml:space="preserve">reunión </w:t>
      </w:r>
      <w:r>
        <w:rPr>
          <w:kern w:val="22"/>
          <w:szCs w:val="24"/>
          <w:lang w:val="es-ES"/>
        </w:rPr>
        <w:t xml:space="preserve">adoptaron sendas decisiones </w:t>
      </w:r>
      <w:r w:rsidR="002C5A1F">
        <w:rPr>
          <w:kern w:val="22"/>
          <w:szCs w:val="24"/>
          <w:lang w:val="es-ES"/>
        </w:rPr>
        <w:t>referidas a</w:t>
      </w:r>
      <w:r>
        <w:rPr>
          <w:kern w:val="22"/>
          <w:szCs w:val="24"/>
          <w:lang w:val="es-ES"/>
        </w:rPr>
        <w:t xml:space="preserve"> información sobre secuencias digitales de recursos genéticos en las que reconocieron la necesidad de que en el marco del Convenio y del Protocolo de Nagoya </w:t>
      </w:r>
      <w:r w:rsidR="00901EBE">
        <w:rPr>
          <w:kern w:val="22"/>
          <w:szCs w:val="24"/>
          <w:lang w:val="es-ES"/>
        </w:rPr>
        <w:t>haya</w:t>
      </w:r>
      <w:r>
        <w:rPr>
          <w:kern w:val="22"/>
          <w:szCs w:val="24"/>
          <w:lang w:val="es-ES"/>
        </w:rPr>
        <w:t xml:space="preserve"> un enfoque coordinado y sin duplicaciones para este tema (decisiones </w:t>
      </w:r>
      <w:hyperlink r:id="rId11" w:history="1">
        <w:r>
          <w:rPr>
            <w:rStyle w:val="Hyperlink"/>
            <w:kern w:val="22"/>
            <w:szCs w:val="24"/>
            <w:lang w:val="es-ES"/>
          </w:rPr>
          <w:t>XIII/16</w:t>
        </w:r>
      </w:hyperlink>
      <w:r>
        <w:rPr>
          <w:kern w:val="22"/>
          <w:szCs w:val="24"/>
          <w:lang w:val="es-ES"/>
        </w:rPr>
        <w:t xml:space="preserve"> y </w:t>
      </w:r>
      <w:hyperlink r:id="rId12" w:history="1">
        <w:r>
          <w:rPr>
            <w:rStyle w:val="Hyperlink"/>
            <w:kern w:val="22"/>
            <w:szCs w:val="24"/>
            <w:lang w:val="es-ES"/>
          </w:rPr>
          <w:t>NP-2/14</w:t>
        </w:r>
      </w:hyperlink>
      <w:r>
        <w:rPr>
          <w:kern w:val="22"/>
          <w:szCs w:val="24"/>
          <w:lang w:val="es-ES"/>
        </w:rPr>
        <w:t xml:space="preserve">, respectivamente). </w:t>
      </w:r>
      <w:r w:rsidR="002C5A1F">
        <w:rPr>
          <w:kern w:val="22"/>
          <w:szCs w:val="24"/>
          <w:lang w:val="es-ES"/>
        </w:rPr>
        <w:t>Las Partes</w:t>
      </w:r>
      <w:r>
        <w:rPr>
          <w:kern w:val="22"/>
          <w:szCs w:val="24"/>
          <w:lang w:val="es-ES"/>
        </w:rPr>
        <w:t xml:space="preserve"> acord</w:t>
      </w:r>
      <w:r w:rsidR="002C5A1F">
        <w:rPr>
          <w:kern w:val="22"/>
          <w:szCs w:val="24"/>
          <w:lang w:val="es-ES"/>
        </w:rPr>
        <w:t>aron que</w:t>
      </w:r>
      <w:r>
        <w:rPr>
          <w:kern w:val="22"/>
          <w:szCs w:val="24"/>
          <w:lang w:val="es-ES"/>
        </w:rPr>
        <w:t xml:space="preserve"> considerar</w:t>
      </w:r>
      <w:r w:rsidR="002C5A1F">
        <w:rPr>
          <w:kern w:val="22"/>
          <w:szCs w:val="24"/>
          <w:lang w:val="es-ES"/>
        </w:rPr>
        <w:t>ían,</w:t>
      </w:r>
      <w:r>
        <w:rPr>
          <w:kern w:val="22"/>
          <w:szCs w:val="24"/>
          <w:lang w:val="es-ES"/>
        </w:rPr>
        <w:t xml:space="preserve"> </w:t>
      </w:r>
      <w:r w:rsidR="002C5A1F">
        <w:rPr>
          <w:kern w:val="22"/>
          <w:szCs w:val="24"/>
          <w:lang w:val="es-ES"/>
        </w:rPr>
        <w:t>en la 14ª reunión de la Conferencia de las Partes y en la tercera reunión de las Partes en el Protocolo de Nagoya, las</w:t>
      </w:r>
      <w:r>
        <w:rPr>
          <w:kern w:val="22"/>
          <w:szCs w:val="24"/>
          <w:lang w:val="es-ES"/>
        </w:rPr>
        <w:t xml:space="preserve"> posible</w:t>
      </w:r>
      <w:r w:rsidR="002C5A1F">
        <w:rPr>
          <w:kern w:val="22"/>
          <w:szCs w:val="24"/>
          <w:lang w:val="es-ES"/>
        </w:rPr>
        <w:t>s</w:t>
      </w:r>
      <w:r>
        <w:rPr>
          <w:kern w:val="22"/>
          <w:szCs w:val="24"/>
          <w:lang w:val="es-ES"/>
        </w:rPr>
        <w:t xml:space="preserve"> repercusi</w:t>
      </w:r>
      <w:r w:rsidR="002C5A1F">
        <w:rPr>
          <w:kern w:val="22"/>
          <w:szCs w:val="24"/>
          <w:lang w:val="es-ES"/>
        </w:rPr>
        <w:t>o</w:t>
      </w:r>
      <w:r>
        <w:rPr>
          <w:kern w:val="22"/>
          <w:szCs w:val="24"/>
          <w:lang w:val="es-ES"/>
        </w:rPr>
        <w:t>n</w:t>
      </w:r>
      <w:r w:rsidR="002C5A1F">
        <w:rPr>
          <w:kern w:val="22"/>
          <w:szCs w:val="24"/>
          <w:lang w:val="es-ES"/>
        </w:rPr>
        <w:t>es</w:t>
      </w:r>
      <w:r>
        <w:rPr>
          <w:kern w:val="22"/>
          <w:szCs w:val="24"/>
          <w:lang w:val="es-ES"/>
        </w:rPr>
        <w:t xml:space="preserve"> del uso de información digital sobre secuencias de los recursos genéticos </w:t>
      </w:r>
      <w:r w:rsidR="00901EBE">
        <w:rPr>
          <w:kern w:val="22"/>
          <w:szCs w:val="24"/>
          <w:lang w:val="es-ES"/>
        </w:rPr>
        <w:t>para</w:t>
      </w:r>
      <w:r>
        <w:rPr>
          <w:kern w:val="22"/>
          <w:szCs w:val="24"/>
          <w:lang w:val="es-ES"/>
        </w:rPr>
        <w:t xml:space="preserve"> los tres objetivos del Convenio y el objetivo del Protocolo de Nagoya</w:t>
      </w:r>
      <w:r w:rsidR="007338A3">
        <w:rPr>
          <w:kern w:val="22"/>
          <w:szCs w:val="24"/>
          <w:lang w:val="es-ES"/>
        </w:rPr>
        <w:t>, respectivamente</w:t>
      </w:r>
      <w:r>
        <w:rPr>
          <w:kern w:val="22"/>
          <w:szCs w:val="24"/>
          <w:lang w:val="es-ES"/>
        </w:rPr>
        <w:t>.</w:t>
      </w:r>
    </w:p>
    <w:p w:rsidR="00047515" w:rsidRDefault="00047515" w:rsidP="00901EBE">
      <w:pPr>
        <w:pStyle w:val="Para1"/>
        <w:suppressLineNumbers/>
        <w:tabs>
          <w:tab w:val="clear" w:pos="360"/>
        </w:tabs>
        <w:suppressAutoHyphens/>
        <w:kinsoku w:val="0"/>
        <w:overflowPunct w:val="0"/>
        <w:autoSpaceDE w:val="0"/>
        <w:autoSpaceDN w:val="0"/>
        <w:rPr>
          <w:szCs w:val="24"/>
          <w:lang w:val="es-ES"/>
        </w:rPr>
      </w:pPr>
      <w:r>
        <w:rPr>
          <w:kern w:val="22"/>
          <w:szCs w:val="24"/>
          <w:lang w:val="es-ES"/>
        </w:rPr>
        <w:t xml:space="preserve">Las Partes también </w:t>
      </w:r>
      <w:r w:rsidR="00D21CB7">
        <w:rPr>
          <w:kern w:val="22"/>
          <w:szCs w:val="24"/>
          <w:lang w:val="es-ES"/>
        </w:rPr>
        <w:t>ac</w:t>
      </w:r>
      <w:r w:rsidR="00901EBE">
        <w:rPr>
          <w:kern w:val="22"/>
          <w:szCs w:val="24"/>
          <w:lang w:val="es-ES"/>
        </w:rPr>
        <w:t>o</w:t>
      </w:r>
      <w:r w:rsidR="00D21CB7">
        <w:rPr>
          <w:kern w:val="22"/>
          <w:szCs w:val="24"/>
          <w:lang w:val="es-ES"/>
        </w:rPr>
        <w:t>rd</w:t>
      </w:r>
      <w:r w:rsidR="00901EBE">
        <w:rPr>
          <w:kern w:val="22"/>
          <w:szCs w:val="24"/>
          <w:lang w:val="es-ES"/>
        </w:rPr>
        <w:t>ar</w:t>
      </w:r>
      <w:r w:rsidR="00D21CB7">
        <w:rPr>
          <w:kern w:val="22"/>
          <w:szCs w:val="24"/>
          <w:lang w:val="es-ES"/>
        </w:rPr>
        <w:t>o</w:t>
      </w:r>
      <w:r w:rsidR="00901EBE">
        <w:rPr>
          <w:kern w:val="22"/>
          <w:szCs w:val="24"/>
          <w:lang w:val="es-ES"/>
        </w:rPr>
        <w:t>n</w:t>
      </w:r>
      <w:r>
        <w:rPr>
          <w:kern w:val="22"/>
          <w:szCs w:val="24"/>
          <w:lang w:val="es-ES"/>
        </w:rPr>
        <w:t xml:space="preserve"> un proceso para facilitar la consideración de este tema. El proceso comprende:</w:t>
      </w:r>
    </w:p>
    <w:p w:rsidR="00047515" w:rsidRDefault="00047515" w:rsidP="00D21CB7">
      <w:pPr>
        <w:pStyle w:val="Para1"/>
        <w:numPr>
          <w:ilvl w:val="1"/>
          <w:numId w:val="2"/>
        </w:numPr>
        <w:suppressLineNumbers/>
        <w:suppressAutoHyphens/>
        <w:kinsoku w:val="0"/>
        <w:overflowPunct w:val="0"/>
        <w:autoSpaceDE w:val="0"/>
        <w:autoSpaceDN w:val="0"/>
        <w:ind w:left="0" w:firstLine="720"/>
        <w:rPr>
          <w:szCs w:val="24"/>
          <w:lang w:val="es-ES"/>
        </w:rPr>
      </w:pPr>
      <w:r>
        <w:rPr>
          <w:kern w:val="22"/>
          <w:szCs w:val="24"/>
          <w:lang w:val="es-ES"/>
        </w:rPr>
        <w:t>Una invitación a las Partes, otros Gobiernos, pueblos indígenas y</w:t>
      </w:r>
      <w:r w:rsidR="00D21CB7">
        <w:rPr>
          <w:kern w:val="22"/>
          <w:szCs w:val="24"/>
          <w:lang w:val="es-ES"/>
        </w:rPr>
        <w:t xml:space="preserve"> comunidades locales, así como</w:t>
      </w:r>
      <w:r>
        <w:rPr>
          <w:kern w:val="22"/>
          <w:szCs w:val="24"/>
          <w:lang w:val="es-ES"/>
        </w:rPr>
        <w:t xml:space="preserve"> organizaciones e interesados directos pertinentes, a present</w:t>
      </w:r>
      <w:r w:rsidR="00D21CB7">
        <w:rPr>
          <w:kern w:val="22"/>
          <w:szCs w:val="24"/>
          <w:lang w:val="es-ES"/>
        </w:rPr>
        <w:t>ar</w:t>
      </w:r>
      <w:r>
        <w:rPr>
          <w:kern w:val="22"/>
          <w:szCs w:val="24"/>
          <w:lang w:val="es-ES"/>
        </w:rPr>
        <w:t xml:space="preserve"> a la Secretaria Ejecutiva opiniones e información pertinente sobr</w:t>
      </w:r>
      <w:r w:rsidR="00D21CB7">
        <w:rPr>
          <w:kern w:val="22"/>
          <w:szCs w:val="24"/>
          <w:lang w:val="es-ES"/>
        </w:rPr>
        <w:t>e las posibles repercusiones</w:t>
      </w:r>
      <w:r>
        <w:rPr>
          <w:kern w:val="22"/>
          <w:szCs w:val="24"/>
          <w:lang w:val="es-ES"/>
        </w:rPr>
        <w:t xml:space="preserve"> </w:t>
      </w:r>
      <w:r w:rsidR="00D21CB7">
        <w:rPr>
          <w:kern w:val="22"/>
          <w:szCs w:val="24"/>
          <w:lang w:val="es-ES"/>
        </w:rPr>
        <w:t>d</w:t>
      </w:r>
      <w:r>
        <w:rPr>
          <w:kern w:val="22"/>
          <w:szCs w:val="24"/>
          <w:lang w:val="es-ES"/>
        </w:rPr>
        <w:t>el uso de información digital sobre secuencias de recursos genéticos para los tres objetivos del Convenio (decisión XIII/16, párr. 2);</w:t>
      </w:r>
    </w:p>
    <w:p w:rsidR="00047515" w:rsidRDefault="00047515" w:rsidP="00D21CB7">
      <w:pPr>
        <w:pStyle w:val="Para1"/>
        <w:numPr>
          <w:ilvl w:val="1"/>
          <w:numId w:val="2"/>
        </w:numPr>
        <w:suppressLineNumbers/>
        <w:suppressAutoHyphens/>
        <w:kinsoku w:val="0"/>
        <w:overflowPunct w:val="0"/>
        <w:autoSpaceDE w:val="0"/>
        <w:autoSpaceDN w:val="0"/>
        <w:ind w:left="0" w:firstLine="720"/>
        <w:rPr>
          <w:szCs w:val="24"/>
          <w:lang w:val="es-ES"/>
        </w:rPr>
      </w:pPr>
      <w:r>
        <w:rPr>
          <w:kern w:val="22"/>
          <w:szCs w:val="24"/>
          <w:lang w:val="es-ES"/>
        </w:rPr>
        <w:t xml:space="preserve">Una invitación a las Partes, otros Gobiernos, pueblos indígenas </w:t>
      </w:r>
      <w:r w:rsidR="00D21CB7">
        <w:rPr>
          <w:kern w:val="22"/>
          <w:szCs w:val="24"/>
          <w:lang w:val="es-ES"/>
        </w:rPr>
        <w:t>y comunidades locales, así como</w:t>
      </w:r>
      <w:r>
        <w:rPr>
          <w:kern w:val="22"/>
          <w:szCs w:val="24"/>
          <w:lang w:val="es-ES"/>
        </w:rPr>
        <w:t xml:space="preserve"> organizaciones e interesados directos pertinentes, a inclu</w:t>
      </w:r>
      <w:r w:rsidR="00D21CB7">
        <w:rPr>
          <w:kern w:val="22"/>
          <w:szCs w:val="24"/>
          <w:lang w:val="es-ES"/>
        </w:rPr>
        <w:t>ir</w:t>
      </w:r>
      <w:r>
        <w:rPr>
          <w:kern w:val="22"/>
          <w:szCs w:val="24"/>
          <w:lang w:val="es-ES"/>
        </w:rPr>
        <w:t xml:space="preserve"> información pertinente para el Protocolo de Nagoya en las opiniones y la información que presenten (decisión NP-2/14, párr. 2);</w:t>
      </w:r>
    </w:p>
    <w:p w:rsidR="00047515" w:rsidRDefault="00047515" w:rsidP="00901EBE">
      <w:pPr>
        <w:pStyle w:val="Para1"/>
        <w:numPr>
          <w:ilvl w:val="1"/>
          <w:numId w:val="2"/>
        </w:numPr>
        <w:suppressLineNumbers/>
        <w:suppressAutoHyphens/>
        <w:kinsoku w:val="0"/>
        <w:overflowPunct w:val="0"/>
        <w:autoSpaceDE w:val="0"/>
        <w:autoSpaceDN w:val="0"/>
        <w:spacing w:before="0" w:after="0"/>
        <w:ind w:left="0" w:firstLine="720"/>
        <w:rPr>
          <w:szCs w:val="24"/>
          <w:lang w:val="es-ES"/>
        </w:rPr>
      </w:pPr>
      <w:r>
        <w:rPr>
          <w:kern w:val="22"/>
          <w:szCs w:val="24"/>
          <w:lang w:val="es-ES"/>
        </w:rPr>
        <w:t xml:space="preserve">Un pedido a la Secretaria Ejecutiva para que prepare una recopilación y síntesis de las opiniones y la información presentadas, incluida la información </w:t>
      </w:r>
      <w:r w:rsidR="00901EBE">
        <w:rPr>
          <w:kern w:val="22"/>
          <w:szCs w:val="24"/>
          <w:lang w:val="es-ES"/>
        </w:rPr>
        <w:t>recabada</w:t>
      </w:r>
      <w:r w:rsidR="00D21CB7">
        <w:rPr>
          <w:kern w:val="22"/>
          <w:szCs w:val="24"/>
          <w:lang w:val="es-ES"/>
        </w:rPr>
        <w:t xml:space="preserve"> en el marco de su</w:t>
      </w:r>
      <w:r>
        <w:rPr>
          <w:kern w:val="22"/>
          <w:szCs w:val="24"/>
          <w:lang w:val="es-ES"/>
        </w:rPr>
        <w:t xml:space="preserve"> participación en procesos y deliberaciones sobre políticas que </w:t>
      </w:r>
      <w:r w:rsidR="00D21CB7">
        <w:rPr>
          <w:kern w:val="22"/>
          <w:szCs w:val="24"/>
          <w:lang w:val="es-ES"/>
        </w:rPr>
        <w:t xml:space="preserve">estén en curso y </w:t>
      </w:r>
      <w:r>
        <w:rPr>
          <w:kern w:val="22"/>
          <w:szCs w:val="24"/>
          <w:lang w:val="es-ES"/>
        </w:rPr>
        <w:t>sean pertinentes (</w:t>
      </w:r>
      <w:r w:rsidR="005F4260">
        <w:rPr>
          <w:kern w:val="22"/>
          <w:szCs w:val="24"/>
          <w:lang w:val="es-ES"/>
        </w:rPr>
        <w:t>decisión</w:t>
      </w:r>
      <w:r>
        <w:rPr>
          <w:kern w:val="22"/>
          <w:szCs w:val="24"/>
          <w:lang w:val="es-ES"/>
        </w:rPr>
        <w:t xml:space="preserve"> XIII/16, párr. 3 a); véase también el párr. 5 </w:t>
      </w:r>
      <w:r w:rsidR="00D21CB7">
        <w:rPr>
          <w:kern w:val="22"/>
          <w:szCs w:val="24"/>
          <w:lang w:val="es-ES"/>
        </w:rPr>
        <w:t>d</w:t>
      </w:r>
      <w:r>
        <w:rPr>
          <w:kern w:val="22"/>
          <w:szCs w:val="24"/>
          <w:lang w:val="es-ES"/>
        </w:rPr>
        <w:t>e</w:t>
      </w:r>
      <w:r w:rsidR="00D21CB7">
        <w:rPr>
          <w:kern w:val="22"/>
          <w:szCs w:val="24"/>
          <w:lang w:val="es-ES"/>
        </w:rPr>
        <w:t xml:space="preserve"> </w:t>
      </w:r>
      <w:r>
        <w:rPr>
          <w:kern w:val="22"/>
          <w:szCs w:val="24"/>
          <w:lang w:val="es-ES"/>
        </w:rPr>
        <w:t>l</w:t>
      </w:r>
      <w:r w:rsidR="00D21CB7">
        <w:rPr>
          <w:kern w:val="22"/>
          <w:szCs w:val="24"/>
          <w:lang w:val="es-ES"/>
        </w:rPr>
        <w:t>a</w:t>
      </w:r>
      <w:r>
        <w:rPr>
          <w:kern w:val="22"/>
          <w:szCs w:val="24"/>
          <w:lang w:val="es-ES"/>
        </w:rPr>
        <w:t xml:space="preserve"> presente</w:t>
      </w:r>
      <w:r w:rsidR="00D21CB7">
        <w:rPr>
          <w:kern w:val="22"/>
          <w:szCs w:val="24"/>
          <w:lang w:val="es-ES"/>
        </w:rPr>
        <w:t xml:space="preserve"> nota</w:t>
      </w:r>
      <w:r>
        <w:rPr>
          <w:kern w:val="22"/>
          <w:szCs w:val="24"/>
          <w:lang w:val="es-ES"/>
        </w:rPr>
        <w:t>);</w:t>
      </w:r>
    </w:p>
    <w:p w:rsidR="00047515" w:rsidRDefault="00047515" w:rsidP="00901EBE">
      <w:pPr>
        <w:pStyle w:val="Para1"/>
        <w:numPr>
          <w:ilvl w:val="1"/>
          <w:numId w:val="2"/>
        </w:numPr>
        <w:suppressLineNumbers/>
        <w:suppressAutoHyphens/>
        <w:kinsoku w:val="0"/>
        <w:overflowPunct w:val="0"/>
        <w:autoSpaceDE w:val="0"/>
        <w:autoSpaceDN w:val="0"/>
        <w:ind w:left="0" w:firstLine="720"/>
        <w:rPr>
          <w:kern w:val="22"/>
          <w:szCs w:val="24"/>
          <w:lang w:val="es-ES"/>
        </w:rPr>
      </w:pPr>
      <w:r>
        <w:rPr>
          <w:kern w:val="22"/>
          <w:szCs w:val="24"/>
          <w:lang w:val="es-ES"/>
        </w:rPr>
        <w:t>Un pedido a la Secretaria Ejecutiva para que encargue un estudio de investigación y análisis inicial, con la finalidad de aclarar terminología y conceptos y evaluar el alcance y las condiciones del uso de información digital sobre secuencias de recursos genéticos en el contexto del Convenio y del Protocolo de Nagoya;</w:t>
      </w:r>
    </w:p>
    <w:p w:rsidR="00047515" w:rsidRDefault="00047515">
      <w:pPr>
        <w:pStyle w:val="Para1"/>
        <w:numPr>
          <w:ilvl w:val="1"/>
          <w:numId w:val="2"/>
        </w:numPr>
        <w:suppressLineNumbers/>
        <w:suppressAutoHyphens/>
        <w:kinsoku w:val="0"/>
        <w:overflowPunct w:val="0"/>
        <w:autoSpaceDE w:val="0"/>
        <w:autoSpaceDN w:val="0"/>
        <w:ind w:left="0" w:firstLine="720"/>
        <w:rPr>
          <w:kern w:val="22"/>
          <w:szCs w:val="24"/>
          <w:lang w:val="es-ES"/>
        </w:rPr>
      </w:pPr>
      <w:r>
        <w:rPr>
          <w:kern w:val="22"/>
          <w:szCs w:val="24"/>
          <w:lang w:val="es-ES"/>
        </w:rPr>
        <w:t>El establecimiento de un grupo especial de expertos técnicos y un pedido a la Secretaria Ejecutiva para que convoque una reunión de este grupo de conformidad con el mandato que figura en el anexo de la decisión XIII/16.</w:t>
      </w:r>
    </w:p>
    <w:p w:rsidR="00047515" w:rsidRDefault="00D21CB7" w:rsidP="00D21CB7">
      <w:pPr>
        <w:pStyle w:val="Para1"/>
        <w:suppressLineNumbers/>
        <w:tabs>
          <w:tab w:val="clear" w:pos="360"/>
        </w:tabs>
        <w:suppressAutoHyphens/>
        <w:kinsoku w:val="0"/>
        <w:overflowPunct w:val="0"/>
        <w:autoSpaceDE w:val="0"/>
        <w:autoSpaceDN w:val="0"/>
        <w:rPr>
          <w:kern w:val="22"/>
          <w:szCs w:val="24"/>
          <w:lang w:val="es-ES"/>
        </w:rPr>
      </w:pPr>
      <w:r>
        <w:rPr>
          <w:kern w:val="22"/>
          <w:szCs w:val="24"/>
          <w:lang w:val="es-ES"/>
        </w:rPr>
        <w:lastRenderedPageBreak/>
        <w:t>Segú</w:t>
      </w:r>
      <w:r w:rsidR="00047515">
        <w:rPr>
          <w:kern w:val="22"/>
          <w:szCs w:val="24"/>
          <w:lang w:val="es-ES"/>
        </w:rPr>
        <w:t xml:space="preserve">n el mandato del Grupo especial de expertos técnicos </w:t>
      </w:r>
      <w:r>
        <w:rPr>
          <w:kern w:val="22"/>
          <w:szCs w:val="24"/>
          <w:lang w:val="es-ES"/>
        </w:rPr>
        <w:t>en materia</w:t>
      </w:r>
      <w:r w:rsidR="006C28DC">
        <w:rPr>
          <w:kern w:val="22"/>
          <w:szCs w:val="24"/>
          <w:lang w:val="es-ES"/>
        </w:rPr>
        <w:t xml:space="preserve"> de</w:t>
      </w:r>
      <w:r w:rsidR="00047515">
        <w:rPr>
          <w:kern w:val="22"/>
          <w:szCs w:val="24"/>
          <w:lang w:val="es-ES"/>
        </w:rPr>
        <w:t xml:space="preserve"> información digital sobre secuencias de recursos genéticos</w:t>
      </w:r>
      <w:r>
        <w:rPr>
          <w:kern w:val="22"/>
          <w:szCs w:val="24"/>
          <w:lang w:val="es-ES"/>
        </w:rPr>
        <w:t>,</w:t>
      </w:r>
      <w:r w:rsidR="00047515">
        <w:rPr>
          <w:kern w:val="22"/>
          <w:szCs w:val="24"/>
          <w:lang w:val="es-ES"/>
        </w:rPr>
        <w:t xml:space="preserve"> el grupo </w:t>
      </w:r>
      <w:r>
        <w:rPr>
          <w:kern w:val="22"/>
          <w:szCs w:val="24"/>
          <w:lang w:val="es-ES"/>
        </w:rPr>
        <w:t>tendría las siguientes tareas</w:t>
      </w:r>
      <w:r w:rsidR="00047515">
        <w:rPr>
          <w:kern w:val="22"/>
          <w:szCs w:val="24"/>
          <w:lang w:val="es-ES"/>
        </w:rPr>
        <w:t>:</w:t>
      </w:r>
    </w:p>
    <w:p w:rsidR="00047515" w:rsidRDefault="00047515" w:rsidP="00901EBE">
      <w:pPr>
        <w:pStyle w:val="Para1"/>
        <w:numPr>
          <w:ilvl w:val="1"/>
          <w:numId w:val="2"/>
        </w:numPr>
        <w:suppressLineNumbers/>
        <w:tabs>
          <w:tab w:val="clear" w:pos="1440"/>
          <w:tab w:val="num" w:pos="1170"/>
        </w:tabs>
        <w:suppressAutoHyphens/>
        <w:kinsoku w:val="0"/>
        <w:overflowPunct w:val="0"/>
        <w:autoSpaceDE w:val="0"/>
        <w:autoSpaceDN w:val="0"/>
        <w:ind w:left="0" w:firstLine="720"/>
        <w:rPr>
          <w:kern w:val="22"/>
          <w:szCs w:val="24"/>
          <w:lang w:val="es-ES"/>
        </w:rPr>
      </w:pPr>
      <w:r>
        <w:rPr>
          <w:kern w:val="22"/>
          <w:szCs w:val="24"/>
          <w:lang w:val="es-ES"/>
        </w:rPr>
        <w:t xml:space="preserve">Considerar la recopilación, la síntesis y el estudio mencionados en el párrafo 3 a) y b) de la decisión XIII/16 a fin de examinar </w:t>
      </w:r>
      <w:r w:rsidR="00901EBE">
        <w:rPr>
          <w:kern w:val="22"/>
          <w:szCs w:val="24"/>
          <w:lang w:val="es-ES"/>
        </w:rPr>
        <w:t>las</w:t>
      </w:r>
      <w:r>
        <w:rPr>
          <w:kern w:val="22"/>
          <w:szCs w:val="24"/>
          <w:lang w:val="es-ES"/>
        </w:rPr>
        <w:t xml:space="preserve"> posible</w:t>
      </w:r>
      <w:r w:rsidR="00901EBE">
        <w:rPr>
          <w:kern w:val="22"/>
          <w:szCs w:val="24"/>
          <w:lang w:val="es-ES"/>
        </w:rPr>
        <w:t>s</w:t>
      </w:r>
      <w:r>
        <w:rPr>
          <w:kern w:val="22"/>
          <w:szCs w:val="24"/>
          <w:lang w:val="es-ES"/>
        </w:rPr>
        <w:t xml:space="preserve"> repercusi</w:t>
      </w:r>
      <w:r w:rsidR="00901EBE">
        <w:rPr>
          <w:kern w:val="22"/>
          <w:szCs w:val="24"/>
          <w:lang w:val="es-ES"/>
        </w:rPr>
        <w:t>o</w:t>
      </w:r>
      <w:r>
        <w:rPr>
          <w:kern w:val="22"/>
          <w:szCs w:val="24"/>
          <w:lang w:val="es-ES"/>
        </w:rPr>
        <w:t>n</w:t>
      </w:r>
      <w:r w:rsidR="00901EBE">
        <w:rPr>
          <w:kern w:val="22"/>
          <w:szCs w:val="24"/>
          <w:lang w:val="es-ES"/>
        </w:rPr>
        <w:t>es</w:t>
      </w:r>
      <w:r>
        <w:rPr>
          <w:kern w:val="22"/>
          <w:szCs w:val="24"/>
          <w:lang w:val="es-ES"/>
        </w:rPr>
        <w:t xml:space="preserve"> del uso de información digital sobre secuencias de recursos genéticos </w:t>
      </w:r>
      <w:r w:rsidR="00901EBE">
        <w:rPr>
          <w:kern w:val="22"/>
          <w:szCs w:val="24"/>
          <w:lang w:val="es-ES"/>
        </w:rPr>
        <w:t>para</w:t>
      </w:r>
      <w:r>
        <w:rPr>
          <w:kern w:val="22"/>
          <w:szCs w:val="24"/>
          <w:lang w:val="es-ES"/>
        </w:rPr>
        <w:t xml:space="preserve"> los tres objetivos del Convenio y el objetivo del Protocolo de Nagoya, y la implementación para el logro de estos objetivos;</w:t>
      </w:r>
    </w:p>
    <w:p w:rsidR="00047515" w:rsidRDefault="00047515">
      <w:pPr>
        <w:pStyle w:val="Para1"/>
        <w:numPr>
          <w:ilvl w:val="1"/>
          <w:numId w:val="2"/>
        </w:numPr>
        <w:suppressLineNumbers/>
        <w:tabs>
          <w:tab w:val="clear" w:pos="1440"/>
          <w:tab w:val="num" w:pos="1170"/>
        </w:tabs>
        <w:suppressAutoHyphens/>
        <w:kinsoku w:val="0"/>
        <w:overflowPunct w:val="0"/>
        <w:autoSpaceDE w:val="0"/>
        <w:autoSpaceDN w:val="0"/>
        <w:ind w:left="0" w:firstLine="720"/>
        <w:rPr>
          <w:kern w:val="22"/>
          <w:szCs w:val="24"/>
          <w:lang w:val="es-ES"/>
        </w:rPr>
      </w:pPr>
      <w:r>
        <w:rPr>
          <w:kern w:val="22"/>
          <w:szCs w:val="24"/>
          <w:lang w:val="es-ES"/>
        </w:rPr>
        <w:t>Considerar el ámbito técnico y las repercusiones jurídicas y científicas de la terminología existente en relación con la información digital sobre secuencias de recursos genéticos;</w:t>
      </w:r>
    </w:p>
    <w:p w:rsidR="00047515" w:rsidRDefault="00047515">
      <w:pPr>
        <w:pStyle w:val="Para1"/>
        <w:numPr>
          <w:ilvl w:val="1"/>
          <w:numId w:val="2"/>
        </w:numPr>
        <w:suppressLineNumbers/>
        <w:tabs>
          <w:tab w:val="clear" w:pos="1440"/>
          <w:tab w:val="num" w:pos="1170"/>
        </w:tabs>
        <w:suppressAutoHyphens/>
        <w:kinsoku w:val="0"/>
        <w:overflowPunct w:val="0"/>
        <w:autoSpaceDE w:val="0"/>
        <w:autoSpaceDN w:val="0"/>
        <w:ind w:left="0" w:firstLine="720"/>
        <w:rPr>
          <w:kern w:val="22"/>
          <w:szCs w:val="24"/>
          <w:lang w:val="es-ES"/>
        </w:rPr>
      </w:pPr>
      <w:r>
        <w:rPr>
          <w:kern w:val="22"/>
          <w:szCs w:val="24"/>
          <w:lang w:val="es-ES"/>
        </w:rPr>
        <w:t>Determinar los diferentes tipos de información digital sobre secuencias de recursos genéticos que sean pertinentes para el Convenio y el Protocolo de Nagoya;</w:t>
      </w:r>
    </w:p>
    <w:p w:rsidR="00047515" w:rsidRDefault="00047515">
      <w:pPr>
        <w:pStyle w:val="Para1"/>
        <w:numPr>
          <w:ilvl w:val="1"/>
          <w:numId w:val="2"/>
        </w:numPr>
        <w:suppressLineNumbers/>
        <w:tabs>
          <w:tab w:val="clear" w:pos="1440"/>
          <w:tab w:val="num" w:pos="1170"/>
        </w:tabs>
        <w:suppressAutoHyphens/>
        <w:kinsoku w:val="0"/>
        <w:overflowPunct w:val="0"/>
        <w:autoSpaceDE w:val="0"/>
        <w:autoSpaceDN w:val="0"/>
        <w:ind w:left="0" w:firstLine="720"/>
        <w:rPr>
          <w:kern w:val="22"/>
          <w:szCs w:val="24"/>
          <w:lang w:val="es-ES"/>
        </w:rPr>
      </w:pPr>
      <w:r>
        <w:rPr>
          <w:kern w:val="22"/>
          <w:szCs w:val="24"/>
          <w:lang w:val="es-ES"/>
        </w:rPr>
        <w:t>Reunirse presencialmente al menos una vez, con sujeción a la disponibilidad de recursos financieros, con anterioridad a la 14ª reunión de la Conferencia de las Partes y utilizar herramientas en línea para facilitar su labor, según proceda;</w:t>
      </w:r>
    </w:p>
    <w:p w:rsidR="00047515" w:rsidRDefault="00047515">
      <w:pPr>
        <w:pStyle w:val="Para1"/>
        <w:numPr>
          <w:ilvl w:val="1"/>
          <w:numId w:val="2"/>
        </w:numPr>
        <w:suppressLineNumbers/>
        <w:tabs>
          <w:tab w:val="clear" w:pos="1440"/>
          <w:tab w:val="num" w:pos="1170"/>
        </w:tabs>
        <w:suppressAutoHyphens/>
        <w:kinsoku w:val="0"/>
        <w:overflowPunct w:val="0"/>
        <w:autoSpaceDE w:val="0"/>
        <w:autoSpaceDN w:val="0"/>
        <w:ind w:left="0" w:firstLine="720"/>
        <w:rPr>
          <w:kern w:val="22"/>
          <w:szCs w:val="24"/>
          <w:lang w:val="es-ES"/>
        </w:rPr>
      </w:pPr>
      <w:r>
        <w:rPr>
          <w:kern w:val="22"/>
          <w:szCs w:val="24"/>
          <w:lang w:val="es-ES"/>
        </w:rPr>
        <w:t>Presentar sus conclusiones a la consideración de una reunión del Órgano Subsidiario de Asesoramiento Científico, Técnico y Tecnológico que se celebre antes de la 14ª reunión de la Conferencia de las Partes.</w:t>
      </w:r>
    </w:p>
    <w:p w:rsidR="00047515" w:rsidRDefault="00047515" w:rsidP="00901EBE">
      <w:pPr>
        <w:pStyle w:val="Para1"/>
        <w:suppressLineNumbers/>
        <w:tabs>
          <w:tab w:val="clear" w:pos="360"/>
        </w:tabs>
        <w:suppressAutoHyphens/>
        <w:kinsoku w:val="0"/>
        <w:overflowPunct w:val="0"/>
        <w:autoSpaceDE w:val="0"/>
        <w:autoSpaceDN w:val="0"/>
        <w:rPr>
          <w:kern w:val="22"/>
          <w:szCs w:val="24"/>
          <w:lang w:val="es-ES"/>
        </w:rPr>
      </w:pPr>
      <w:r>
        <w:rPr>
          <w:kern w:val="22"/>
          <w:szCs w:val="24"/>
          <w:lang w:val="es-ES"/>
        </w:rPr>
        <w:t xml:space="preserve">Por decisión NP-2/14, párrafo 5, </w:t>
      </w:r>
      <w:r w:rsidR="0095729E">
        <w:rPr>
          <w:kern w:val="22"/>
          <w:szCs w:val="24"/>
          <w:lang w:val="es-ES"/>
        </w:rPr>
        <w:t>las Partes en el Protocolo de Nagoya</w:t>
      </w:r>
      <w:r>
        <w:rPr>
          <w:kern w:val="22"/>
          <w:szCs w:val="24"/>
          <w:lang w:val="es-ES"/>
        </w:rPr>
        <w:t xml:space="preserve"> decidi</w:t>
      </w:r>
      <w:r w:rsidR="0095729E">
        <w:rPr>
          <w:kern w:val="22"/>
          <w:szCs w:val="24"/>
          <w:lang w:val="es-ES"/>
        </w:rPr>
        <w:t>eron</w:t>
      </w:r>
      <w:r>
        <w:rPr>
          <w:kern w:val="22"/>
          <w:szCs w:val="24"/>
          <w:lang w:val="es-ES"/>
        </w:rPr>
        <w:t xml:space="preserve"> que el Grupo especial de expertos técnicos también asistiría al Protocolo de Nagoya exam</w:t>
      </w:r>
      <w:r w:rsidR="00901EBE">
        <w:rPr>
          <w:kern w:val="22"/>
          <w:szCs w:val="24"/>
          <w:lang w:val="es-ES"/>
        </w:rPr>
        <w:t>i</w:t>
      </w:r>
      <w:r>
        <w:rPr>
          <w:kern w:val="22"/>
          <w:szCs w:val="24"/>
          <w:lang w:val="es-ES"/>
        </w:rPr>
        <w:t>n</w:t>
      </w:r>
      <w:r w:rsidR="00901EBE">
        <w:rPr>
          <w:kern w:val="22"/>
          <w:szCs w:val="24"/>
          <w:lang w:val="es-ES"/>
        </w:rPr>
        <w:t>an</w:t>
      </w:r>
      <w:r>
        <w:rPr>
          <w:kern w:val="22"/>
          <w:szCs w:val="24"/>
          <w:lang w:val="es-ES"/>
        </w:rPr>
        <w:t>d</w:t>
      </w:r>
      <w:r w:rsidR="00901EBE">
        <w:rPr>
          <w:kern w:val="22"/>
          <w:szCs w:val="24"/>
          <w:lang w:val="es-ES"/>
        </w:rPr>
        <w:t>o</w:t>
      </w:r>
      <w:r>
        <w:rPr>
          <w:kern w:val="22"/>
          <w:szCs w:val="24"/>
          <w:lang w:val="es-ES"/>
        </w:rPr>
        <w:t xml:space="preserve"> </w:t>
      </w:r>
      <w:r w:rsidR="00901EBE">
        <w:rPr>
          <w:kern w:val="22"/>
          <w:szCs w:val="24"/>
          <w:lang w:val="es-ES"/>
        </w:rPr>
        <w:t>toda</w:t>
      </w:r>
      <w:r>
        <w:rPr>
          <w:kern w:val="22"/>
          <w:szCs w:val="24"/>
          <w:lang w:val="es-ES"/>
        </w:rPr>
        <w:t xml:space="preserve"> información </w:t>
      </w:r>
      <w:r w:rsidR="00901EBE">
        <w:rPr>
          <w:kern w:val="22"/>
          <w:szCs w:val="24"/>
          <w:lang w:val="es-ES"/>
        </w:rPr>
        <w:t>pertinente para el Protocolo qu</w:t>
      </w:r>
      <w:r>
        <w:rPr>
          <w:kern w:val="22"/>
          <w:szCs w:val="24"/>
          <w:lang w:val="es-ES"/>
        </w:rPr>
        <w:t>e</w:t>
      </w:r>
      <w:r w:rsidR="00901EBE">
        <w:rPr>
          <w:kern w:val="22"/>
          <w:szCs w:val="24"/>
          <w:lang w:val="es-ES"/>
        </w:rPr>
        <w:t xml:space="preserve"> hubiera</w:t>
      </w:r>
      <w:r>
        <w:rPr>
          <w:kern w:val="22"/>
          <w:szCs w:val="24"/>
          <w:lang w:val="es-ES"/>
        </w:rPr>
        <w:t xml:space="preserve"> </w:t>
      </w:r>
      <w:r w:rsidR="00901EBE">
        <w:rPr>
          <w:kern w:val="22"/>
          <w:szCs w:val="24"/>
          <w:lang w:val="es-ES"/>
        </w:rPr>
        <w:t>en</w:t>
      </w:r>
      <w:r w:rsidR="0095729E">
        <w:rPr>
          <w:kern w:val="22"/>
          <w:szCs w:val="24"/>
          <w:lang w:val="es-ES"/>
        </w:rPr>
        <w:t xml:space="preserve"> </w:t>
      </w:r>
      <w:r>
        <w:rPr>
          <w:kern w:val="22"/>
          <w:szCs w:val="24"/>
          <w:lang w:val="es-ES"/>
        </w:rPr>
        <w:t xml:space="preserve">la recopilación, </w:t>
      </w:r>
      <w:r w:rsidR="0095729E">
        <w:rPr>
          <w:kern w:val="22"/>
          <w:szCs w:val="24"/>
          <w:lang w:val="es-ES"/>
        </w:rPr>
        <w:t xml:space="preserve">la </w:t>
      </w:r>
      <w:r>
        <w:rPr>
          <w:kern w:val="22"/>
          <w:szCs w:val="24"/>
          <w:lang w:val="es-ES"/>
        </w:rPr>
        <w:t xml:space="preserve">síntesis y </w:t>
      </w:r>
      <w:r w:rsidR="0095729E">
        <w:rPr>
          <w:kern w:val="22"/>
          <w:szCs w:val="24"/>
          <w:lang w:val="es-ES"/>
        </w:rPr>
        <w:t xml:space="preserve">el </w:t>
      </w:r>
      <w:r>
        <w:rPr>
          <w:kern w:val="22"/>
          <w:szCs w:val="24"/>
          <w:lang w:val="es-ES"/>
        </w:rPr>
        <w:t>estudio preparados con arreglo a lo dispuesto en la decisión XIII/16, párrafo 3;</w:t>
      </w:r>
    </w:p>
    <w:p w:rsidR="00047515" w:rsidRDefault="00047515" w:rsidP="00732B41">
      <w:pPr>
        <w:pStyle w:val="Para1"/>
        <w:suppressLineNumbers/>
        <w:tabs>
          <w:tab w:val="clear" w:pos="360"/>
        </w:tabs>
        <w:suppressAutoHyphens/>
        <w:kinsoku w:val="0"/>
        <w:overflowPunct w:val="0"/>
        <w:autoSpaceDE w:val="0"/>
        <w:autoSpaceDN w:val="0"/>
        <w:rPr>
          <w:kern w:val="22"/>
          <w:szCs w:val="24"/>
          <w:lang w:val="es-ES"/>
        </w:rPr>
      </w:pPr>
      <w:r>
        <w:rPr>
          <w:kern w:val="22"/>
          <w:szCs w:val="24"/>
          <w:lang w:val="es-ES"/>
        </w:rPr>
        <w:t xml:space="preserve">Asimismo, en la decisión </w:t>
      </w:r>
      <w:hyperlink r:id="rId13" w:history="1">
        <w:r>
          <w:rPr>
            <w:rStyle w:val="Hyperlink"/>
            <w:kern w:val="22"/>
            <w:szCs w:val="24"/>
            <w:lang w:val="es-ES"/>
          </w:rPr>
          <w:t>NP-2/5</w:t>
        </w:r>
      </w:hyperlink>
      <w:r>
        <w:rPr>
          <w:kern w:val="22"/>
          <w:szCs w:val="24"/>
          <w:lang w:val="es-ES"/>
        </w:rPr>
        <w:t xml:space="preserve"> </w:t>
      </w:r>
      <w:r w:rsidR="00732B41">
        <w:rPr>
          <w:kern w:val="22"/>
          <w:szCs w:val="24"/>
          <w:lang w:val="es-ES"/>
        </w:rPr>
        <w:t>sobre</w:t>
      </w:r>
      <w:r>
        <w:rPr>
          <w:kern w:val="22"/>
          <w:szCs w:val="24"/>
          <w:lang w:val="es-ES"/>
        </w:rPr>
        <w:t xml:space="preserve"> cooperación con otras organizaciones internacionales, convenciones e iniciativas, las Partes en el Protocolo de Nagoya pidieron a la Secretaria Ejecutiva que</w:t>
      </w:r>
      <w:r w:rsidR="00564634">
        <w:rPr>
          <w:kern w:val="22"/>
          <w:szCs w:val="24"/>
          <w:lang w:val="es-ES"/>
        </w:rPr>
        <w:t xml:space="preserve"> </w:t>
      </w:r>
      <w:r>
        <w:rPr>
          <w:kern w:val="22"/>
          <w:szCs w:val="24"/>
          <w:lang w:val="es-ES"/>
        </w:rPr>
        <w:t>continuara participando en los procesos y debates sobre políticas que fueran pertinentes y est</w:t>
      </w:r>
      <w:r w:rsidR="009D331F">
        <w:rPr>
          <w:kern w:val="22"/>
          <w:szCs w:val="24"/>
          <w:lang w:val="es-ES"/>
        </w:rPr>
        <w:t>uviera</w:t>
      </w:r>
      <w:r>
        <w:rPr>
          <w:kern w:val="22"/>
          <w:szCs w:val="24"/>
          <w:lang w:val="es-ES"/>
        </w:rPr>
        <w:t xml:space="preserve">n en curso, a fin de recolectar información sobre deliberaciones en curso </w:t>
      </w:r>
      <w:r w:rsidR="007B535A">
        <w:rPr>
          <w:kern w:val="22"/>
          <w:szCs w:val="24"/>
          <w:lang w:val="es-ES"/>
        </w:rPr>
        <w:t>referi</w:t>
      </w:r>
      <w:r>
        <w:rPr>
          <w:kern w:val="22"/>
          <w:szCs w:val="24"/>
          <w:lang w:val="es-ES"/>
        </w:rPr>
        <w:t>d</w:t>
      </w:r>
      <w:r w:rsidR="007B535A">
        <w:rPr>
          <w:kern w:val="22"/>
          <w:szCs w:val="24"/>
          <w:lang w:val="es-ES"/>
        </w:rPr>
        <w:t>as</w:t>
      </w:r>
      <w:r>
        <w:rPr>
          <w:kern w:val="22"/>
          <w:szCs w:val="24"/>
          <w:lang w:val="es-ES"/>
        </w:rPr>
        <w:t xml:space="preserve"> </w:t>
      </w:r>
      <w:r w:rsidR="007B535A">
        <w:rPr>
          <w:kern w:val="22"/>
          <w:szCs w:val="24"/>
          <w:lang w:val="es-ES"/>
        </w:rPr>
        <w:t xml:space="preserve">a </w:t>
      </w:r>
      <w:r>
        <w:rPr>
          <w:kern w:val="22"/>
          <w:szCs w:val="24"/>
          <w:lang w:val="es-ES"/>
        </w:rPr>
        <w:t xml:space="preserve">la relación entre el uso de información digital sobre secuencias de recursos genéticos y el acceso y </w:t>
      </w:r>
      <w:r w:rsidR="007B535A">
        <w:rPr>
          <w:kern w:val="22"/>
          <w:szCs w:val="24"/>
          <w:lang w:val="es-ES"/>
        </w:rPr>
        <w:t xml:space="preserve">la </w:t>
      </w:r>
      <w:r>
        <w:rPr>
          <w:kern w:val="22"/>
          <w:szCs w:val="24"/>
          <w:lang w:val="es-ES"/>
        </w:rPr>
        <w:t xml:space="preserve">participación en los beneficios que se deriven del uso de </w:t>
      </w:r>
      <w:r w:rsidR="007B535A">
        <w:rPr>
          <w:kern w:val="22"/>
          <w:szCs w:val="24"/>
          <w:lang w:val="es-ES"/>
        </w:rPr>
        <w:t>los</w:t>
      </w:r>
      <w:r>
        <w:rPr>
          <w:kern w:val="22"/>
          <w:szCs w:val="24"/>
          <w:lang w:val="es-ES"/>
        </w:rPr>
        <w:t xml:space="preserve"> recursos genéticos, y que</w:t>
      </w:r>
      <w:r w:rsidR="00B21F59">
        <w:rPr>
          <w:kern w:val="22"/>
          <w:szCs w:val="24"/>
          <w:lang w:val="es-ES"/>
        </w:rPr>
        <w:t xml:space="preserve"> </w:t>
      </w:r>
      <w:r w:rsidR="007B535A">
        <w:rPr>
          <w:kern w:val="22"/>
          <w:szCs w:val="24"/>
          <w:lang w:val="es-ES"/>
        </w:rPr>
        <w:t>incluyera la información pertinente recabada en dichos procesos y debates en la recopilación de opiniones indicada en el párrafo 2 c) de la presente nota</w:t>
      </w:r>
      <w:r>
        <w:rPr>
          <w:kern w:val="22"/>
          <w:szCs w:val="24"/>
          <w:lang w:val="es-ES"/>
        </w:rPr>
        <w:t>.</w:t>
      </w:r>
    </w:p>
    <w:p w:rsidR="00047515" w:rsidRDefault="00047515" w:rsidP="008544EC">
      <w:pPr>
        <w:pStyle w:val="Para1"/>
        <w:suppressLineNumbers/>
        <w:tabs>
          <w:tab w:val="clear" w:pos="360"/>
        </w:tabs>
        <w:suppressAutoHyphens/>
        <w:kinsoku w:val="0"/>
        <w:overflowPunct w:val="0"/>
        <w:autoSpaceDE w:val="0"/>
        <w:autoSpaceDN w:val="0"/>
        <w:rPr>
          <w:szCs w:val="24"/>
          <w:lang w:val="es-ES"/>
        </w:rPr>
      </w:pPr>
      <w:r>
        <w:rPr>
          <w:kern w:val="22"/>
          <w:szCs w:val="24"/>
          <w:lang w:val="es-ES"/>
        </w:rPr>
        <w:t>En su decisi</w:t>
      </w:r>
      <w:r w:rsidR="00243C4F">
        <w:rPr>
          <w:kern w:val="22"/>
          <w:szCs w:val="24"/>
          <w:lang w:val="es-ES"/>
        </w:rPr>
        <w:t>ó</w:t>
      </w:r>
      <w:r>
        <w:rPr>
          <w:kern w:val="22"/>
          <w:szCs w:val="24"/>
          <w:lang w:val="es-ES"/>
        </w:rPr>
        <w:t xml:space="preserve">n XIII/16, la Conferencia de las Partes pidió al Órgano Subsidiario de Asesoramiento Científico, Técnico y Tecnológico que considerara las conclusiones del Grupo especial de expertos técnicos y formulara una recomendación sobre las posibles repercusiones del uso de información digital sobre secuencias de recursos genéticos </w:t>
      </w:r>
      <w:r w:rsidR="008544EC">
        <w:rPr>
          <w:kern w:val="22"/>
          <w:szCs w:val="24"/>
          <w:lang w:val="es-ES"/>
        </w:rPr>
        <w:t>para</w:t>
      </w:r>
      <w:r>
        <w:rPr>
          <w:kern w:val="22"/>
          <w:szCs w:val="24"/>
          <w:lang w:val="es-ES"/>
        </w:rPr>
        <w:t xml:space="preserve"> los tres objetivos del Convenio</w:t>
      </w:r>
      <w:r w:rsidR="003E066D">
        <w:rPr>
          <w:kern w:val="22"/>
          <w:szCs w:val="24"/>
          <w:lang w:val="es-ES"/>
        </w:rPr>
        <w:t>,</w:t>
      </w:r>
      <w:r>
        <w:rPr>
          <w:kern w:val="22"/>
          <w:szCs w:val="24"/>
          <w:lang w:val="es-ES"/>
        </w:rPr>
        <w:t xml:space="preserve"> para consideración de la Conferencia de las Partes en su 14ª reunión (párr.</w:t>
      </w:r>
      <w:r w:rsidR="003E066D">
        <w:rPr>
          <w:kern w:val="22"/>
          <w:szCs w:val="24"/>
          <w:lang w:val="es-ES"/>
        </w:rPr>
        <w:t xml:space="preserve"> </w:t>
      </w:r>
      <w:r>
        <w:rPr>
          <w:kern w:val="22"/>
          <w:szCs w:val="24"/>
          <w:lang w:val="es-ES"/>
        </w:rPr>
        <w:t>5)</w:t>
      </w:r>
      <w:r w:rsidR="008544EC">
        <w:rPr>
          <w:kern w:val="22"/>
          <w:szCs w:val="24"/>
          <w:lang w:val="es-ES"/>
        </w:rPr>
        <w:t>.</w:t>
      </w:r>
      <w:r>
        <w:rPr>
          <w:kern w:val="22"/>
          <w:szCs w:val="24"/>
          <w:lang w:val="es-ES"/>
        </w:rPr>
        <w:t xml:space="preserve"> En su decisión NP-2/14, las Partes en el Protocolo pidieron igualmente al Órgano Subsidiario de Asesoramiento Científico, Técnico y Tecnológico que examinara l</w:t>
      </w:r>
      <w:r w:rsidR="003E066D">
        <w:rPr>
          <w:kern w:val="22"/>
          <w:szCs w:val="24"/>
          <w:lang w:val="es-ES"/>
        </w:rPr>
        <w:t>a</w:t>
      </w:r>
      <w:r>
        <w:rPr>
          <w:kern w:val="22"/>
          <w:szCs w:val="24"/>
          <w:lang w:val="es-ES"/>
        </w:rPr>
        <w:t xml:space="preserve">s </w:t>
      </w:r>
      <w:r w:rsidR="003E066D">
        <w:rPr>
          <w:kern w:val="22"/>
          <w:szCs w:val="24"/>
          <w:lang w:val="es-ES"/>
        </w:rPr>
        <w:t>conclusiones</w:t>
      </w:r>
      <w:r>
        <w:rPr>
          <w:kern w:val="22"/>
          <w:szCs w:val="24"/>
          <w:lang w:val="es-ES"/>
        </w:rPr>
        <w:t xml:space="preserve"> del Grupo especial de expertos técnicos y que formulara una recomendación sobre las posibles repercusiones del uso de información digital sobre secuencias de recursos genéticos </w:t>
      </w:r>
      <w:r w:rsidR="008544EC">
        <w:rPr>
          <w:kern w:val="22"/>
          <w:szCs w:val="24"/>
          <w:lang w:val="es-ES"/>
        </w:rPr>
        <w:t>en</w:t>
      </w:r>
      <w:r>
        <w:rPr>
          <w:kern w:val="22"/>
          <w:szCs w:val="24"/>
          <w:lang w:val="es-ES"/>
        </w:rPr>
        <w:t xml:space="preserve"> el objetivo del Protocolo de Nagoya</w:t>
      </w:r>
      <w:r w:rsidR="004C1F2B">
        <w:rPr>
          <w:kern w:val="22"/>
          <w:szCs w:val="24"/>
          <w:lang w:val="es-ES"/>
        </w:rPr>
        <w:t>,</w:t>
      </w:r>
      <w:r>
        <w:rPr>
          <w:kern w:val="22"/>
          <w:szCs w:val="24"/>
          <w:lang w:val="es-ES"/>
        </w:rPr>
        <w:t xml:space="preserve"> para consideración</w:t>
      </w:r>
      <w:r w:rsidR="003E066D">
        <w:rPr>
          <w:kern w:val="22"/>
          <w:szCs w:val="24"/>
          <w:lang w:val="es-ES"/>
        </w:rPr>
        <w:t xml:space="preserve"> </w:t>
      </w:r>
      <w:r>
        <w:rPr>
          <w:kern w:val="22"/>
          <w:szCs w:val="24"/>
          <w:lang w:val="es-ES"/>
        </w:rPr>
        <w:t>de la Conferencia de las Partes que actúa como reunión de las Partes en el Protocolo de Nagoya en su tercera reunión (párr. 7).</w:t>
      </w:r>
    </w:p>
    <w:p w:rsidR="00047515" w:rsidRDefault="00047515" w:rsidP="004C1F2B">
      <w:pPr>
        <w:pStyle w:val="Para1"/>
        <w:suppressLineNumbers/>
        <w:tabs>
          <w:tab w:val="clear" w:pos="360"/>
        </w:tabs>
        <w:suppressAutoHyphens/>
        <w:kinsoku w:val="0"/>
        <w:overflowPunct w:val="0"/>
        <w:autoSpaceDE w:val="0"/>
        <w:autoSpaceDN w:val="0"/>
        <w:rPr>
          <w:szCs w:val="24"/>
          <w:lang w:val="es-ES"/>
        </w:rPr>
      </w:pPr>
      <w:r>
        <w:rPr>
          <w:kern w:val="22"/>
          <w:szCs w:val="24"/>
          <w:lang w:val="es-ES"/>
        </w:rPr>
        <w:t>Por notificación 2017-37 de</w:t>
      </w:r>
      <w:r w:rsidR="004C1F2B">
        <w:rPr>
          <w:kern w:val="22"/>
          <w:szCs w:val="24"/>
          <w:lang w:val="es-ES"/>
        </w:rPr>
        <w:t>l</w:t>
      </w:r>
      <w:r>
        <w:rPr>
          <w:kern w:val="22"/>
          <w:szCs w:val="24"/>
          <w:lang w:val="es-ES"/>
        </w:rPr>
        <w:t xml:space="preserve"> 25 de abril de 2017, la Secretaria Ejecutiva propuso un calendario tentativo para la ejecución de las actividades previstas en las decisiones XIII/16 y NP-2/14. La Secretaria Ejecutiva también invitó a que se presentaran opiniones e información conforme a la decisión XIII/16, párrafo 2, y la decisión NP-2/14, párrafo 2.</w:t>
      </w:r>
    </w:p>
    <w:p w:rsidR="00047515" w:rsidRDefault="005E6615" w:rsidP="008544EC">
      <w:pPr>
        <w:pStyle w:val="Para1"/>
        <w:suppressLineNumbers/>
        <w:tabs>
          <w:tab w:val="clear" w:pos="360"/>
        </w:tabs>
        <w:suppressAutoHyphens/>
        <w:kinsoku w:val="0"/>
        <w:overflowPunct w:val="0"/>
        <w:autoSpaceDE w:val="0"/>
        <w:autoSpaceDN w:val="0"/>
        <w:rPr>
          <w:kern w:val="22"/>
          <w:szCs w:val="24"/>
          <w:lang w:val="es-ES"/>
        </w:rPr>
      </w:pPr>
      <w:r>
        <w:rPr>
          <w:kern w:val="22"/>
          <w:szCs w:val="24"/>
          <w:lang w:val="es-ES"/>
        </w:rPr>
        <w:t>Como respuesta a su solicitud, s</w:t>
      </w:r>
      <w:r w:rsidR="00047515">
        <w:rPr>
          <w:kern w:val="22"/>
          <w:szCs w:val="24"/>
          <w:lang w:val="es-ES"/>
        </w:rPr>
        <w:t xml:space="preserve">e recibieron más de 50 </w:t>
      </w:r>
      <w:r w:rsidR="008544EC">
        <w:rPr>
          <w:kern w:val="22"/>
          <w:szCs w:val="24"/>
          <w:lang w:val="es-ES"/>
        </w:rPr>
        <w:t>aportes</w:t>
      </w:r>
      <w:r w:rsidR="00047515">
        <w:rPr>
          <w:kern w:val="22"/>
          <w:szCs w:val="24"/>
          <w:lang w:val="es-ES"/>
        </w:rPr>
        <w:t xml:space="preserve"> de opiniones e información y el texto completo de </w:t>
      </w:r>
      <w:r w:rsidR="008544EC">
        <w:rPr>
          <w:kern w:val="22"/>
          <w:szCs w:val="24"/>
          <w:lang w:val="es-ES"/>
        </w:rPr>
        <w:t>esos aportes</w:t>
      </w:r>
      <w:r w:rsidR="00047515">
        <w:rPr>
          <w:kern w:val="22"/>
          <w:szCs w:val="24"/>
          <w:lang w:val="es-ES"/>
        </w:rPr>
        <w:t xml:space="preserve"> está disponible en línea</w:t>
      </w:r>
      <w:r w:rsidR="00047515" w:rsidRPr="003E066D">
        <w:rPr>
          <w:rStyle w:val="FootnoteReference"/>
          <w:kern w:val="22"/>
          <w:sz w:val="22"/>
          <w:szCs w:val="22"/>
          <w:u w:val="none"/>
          <w:vertAlign w:val="superscript"/>
          <w:lang w:val="es-ES"/>
        </w:rPr>
        <w:footnoteReference w:id="2"/>
      </w:r>
      <w:r w:rsidR="00047515" w:rsidRPr="003E066D">
        <w:rPr>
          <w:kern w:val="22"/>
          <w:szCs w:val="22"/>
          <w:lang w:val="es-ES"/>
        </w:rPr>
        <w:t>.</w:t>
      </w:r>
    </w:p>
    <w:p w:rsidR="00047515" w:rsidRDefault="00047515" w:rsidP="008544EC">
      <w:pPr>
        <w:pStyle w:val="Para1"/>
        <w:suppressLineNumbers/>
        <w:tabs>
          <w:tab w:val="clear" w:pos="360"/>
        </w:tabs>
        <w:suppressAutoHyphens/>
        <w:kinsoku w:val="0"/>
        <w:overflowPunct w:val="0"/>
        <w:autoSpaceDE w:val="0"/>
        <w:autoSpaceDN w:val="0"/>
        <w:rPr>
          <w:szCs w:val="24"/>
          <w:lang w:val="es-ES"/>
        </w:rPr>
      </w:pPr>
      <w:r>
        <w:rPr>
          <w:kern w:val="22"/>
          <w:szCs w:val="24"/>
          <w:lang w:val="es-ES"/>
        </w:rPr>
        <w:t xml:space="preserve">Dado el volumen de información </w:t>
      </w:r>
      <w:r w:rsidR="00EA34AD">
        <w:rPr>
          <w:kern w:val="22"/>
          <w:szCs w:val="24"/>
          <w:lang w:val="es-ES"/>
        </w:rPr>
        <w:t xml:space="preserve">recibida </w:t>
      </w:r>
      <w:r>
        <w:rPr>
          <w:kern w:val="22"/>
          <w:szCs w:val="24"/>
          <w:lang w:val="es-ES"/>
        </w:rPr>
        <w:t xml:space="preserve">(más de 300 páginas) y la riqueza de los aportes, </w:t>
      </w:r>
      <w:r w:rsidR="00EA34AD">
        <w:rPr>
          <w:kern w:val="22"/>
          <w:szCs w:val="24"/>
          <w:lang w:val="es-ES"/>
        </w:rPr>
        <w:t>la tarea de logra</w:t>
      </w:r>
      <w:r>
        <w:rPr>
          <w:kern w:val="22"/>
          <w:szCs w:val="24"/>
          <w:lang w:val="es-ES"/>
        </w:rPr>
        <w:t xml:space="preserve">r una síntesis </w:t>
      </w:r>
      <w:r w:rsidR="00EA34AD">
        <w:rPr>
          <w:kern w:val="22"/>
          <w:szCs w:val="24"/>
          <w:lang w:val="es-ES"/>
        </w:rPr>
        <w:t xml:space="preserve">que fuera lo más </w:t>
      </w:r>
      <w:r>
        <w:rPr>
          <w:kern w:val="22"/>
          <w:szCs w:val="24"/>
          <w:lang w:val="es-ES"/>
        </w:rPr>
        <w:t xml:space="preserve">concisa y </w:t>
      </w:r>
      <w:r w:rsidR="00EA34AD">
        <w:rPr>
          <w:kern w:val="22"/>
          <w:szCs w:val="24"/>
          <w:lang w:val="es-ES"/>
        </w:rPr>
        <w:t>clara</w:t>
      </w:r>
      <w:r>
        <w:rPr>
          <w:kern w:val="22"/>
          <w:szCs w:val="24"/>
          <w:lang w:val="es-ES"/>
        </w:rPr>
        <w:t xml:space="preserve"> </w:t>
      </w:r>
      <w:r w:rsidR="00EA34AD">
        <w:rPr>
          <w:kern w:val="22"/>
          <w:szCs w:val="24"/>
          <w:lang w:val="es-ES"/>
        </w:rPr>
        <w:t>posible supuso</w:t>
      </w:r>
      <w:r>
        <w:rPr>
          <w:kern w:val="22"/>
          <w:szCs w:val="24"/>
          <w:lang w:val="es-ES"/>
        </w:rPr>
        <w:t xml:space="preserve"> un desafío importante. La Secretaría abordó la tarea preparando un documento </w:t>
      </w:r>
      <w:r w:rsidR="00EA34AD">
        <w:rPr>
          <w:kern w:val="22"/>
          <w:szCs w:val="24"/>
          <w:lang w:val="es-ES"/>
        </w:rPr>
        <w:t xml:space="preserve">central </w:t>
      </w:r>
      <w:r>
        <w:rPr>
          <w:kern w:val="22"/>
          <w:szCs w:val="24"/>
          <w:lang w:val="es-ES"/>
        </w:rPr>
        <w:t xml:space="preserve">de síntesis dividido en cuatro secciones. Este </w:t>
      </w:r>
      <w:r>
        <w:rPr>
          <w:kern w:val="22"/>
          <w:szCs w:val="24"/>
          <w:lang w:val="es-ES"/>
        </w:rPr>
        <w:lastRenderedPageBreak/>
        <w:t xml:space="preserve">documento fue complementado con una adición con estudios de caso y ejemplos de uso de información digital sobre secuencias de recursos genéticos en relación con los objetivos del Convenio y el Protocolo de Nagoya. También se complementó con una segunda adición en la que se tratan </w:t>
      </w:r>
      <w:r w:rsidR="008544EC">
        <w:rPr>
          <w:kern w:val="22"/>
          <w:szCs w:val="24"/>
          <w:lang w:val="es-ES"/>
        </w:rPr>
        <w:t>los avances</w:t>
      </w:r>
      <w:r>
        <w:rPr>
          <w:kern w:val="22"/>
          <w:szCs w:val="24"/>
          <w:lang w:val="es-ES"/>
        </w:rPr>
        <w:t xml:space="preserve"> y </w:t>
      </w:r>
      <w:r w:rsidR="008544EC">
        <w:rPr>
          <w:kern w:val="22"/>
          <w:szCs w:val="24"/>
          <w:lang w:val="es-ES"/>
        </w:rPr>
        <w:t xml:space="preserve">la </w:t>
      </w:r>
      <w:r>
        <w:rPr>
          <w:kern w:val="22"/>
          <w:szCs w:val="24"/>
          <w:lang w:val="es-ES"/>
        </w:rPr>
        <w:t>coordinación con otros procesos internacionales</w:t>
      </w:r>
      <w:r w:rsidR="008544EC">
        <w:rPr>
          <w:kern w:val="22"/>
          <w:szCs w:val="24"/>
          <w:lang w:val="es-ES"/>
        </w:rPr>
        <w:t>,</w:t>
      </w:r>
      <w:r w:rsidR="00EA34AD">
        <w:rPr>
          <w:kern w:val="22"/>
          <w:szCs w:val="24"/>
          <w:lang w:val="es-ES"/>
        </w:rPr>
        <w:t xml:space="preserve"> conforme a</w:t>
      </w:r>
      <w:r>
        <w:rPr>
          <w:kern w:val="22"/>
          <w:szCs w:val="24"/>
          <w:lang w:val="es-ES"/>
        </w:rPr>
        <w:t xml:space="preserve"> la decisión NP-2/5, párrafo 4. Dichos documentos se pusieron a disposición de la reunión del Grupo especial de expertos técnicos.</w:t>
      </w:r>
    </w:p>
    <w:p w:rsidR="00047515" w:rsidRDefault="00047515" w:rsidP="008544EC">
      <w:pPr>
        <w:pStyle w:val="Para1"/>
        <w:suppressLineNumbers/>
        <w:tabs>
          <w:tab w:val="clear" w:pos="360"/>
        </w:tabs>
        <w:suppressAutoHyphens/>
        <w:kinsoku w:val="0"/>
        <w:overflowPunct w:val="0"/>
        <w:autoSpaceDE w:val="0"/>
        <w:autoSpaceDN w:val="0"/>
        <w:rPr>
          <w:szCs w:val="24"/>
          <w:lang w:val="es-ES"/>
        </w:rPr>
      </w:pPr>
      <w:r>
        <w:rPr>
          <w:kern w:val="22"/>
          <w:szCs w:val="24"/>
          <w:lang w:val="es-ES"/>
        </w:rPr>
        <w:t xml:space="preserve">En respuesta a lo solicitado en la decisión XIII/16 y con financiación de los Gobiernos del Canadá y Suiza y de la Unión Europea, la Secretaria Ejecutiva encargó un estudio de investigación y análisis inicial, con la finalidad de aclarar terminología y conceptos y evaluar el alcance y las condiciones del uso de información digital sobre secuencias de recursos genéticos en el contexto del Convenio y el Protocolo de Nagoya. </w:t>
      </w:r>
      <w:r>
        <w:rPr>
          <w:rStyle w:val="hps"/>
          <w:kern w:val="22"/>
          <w:szCs w:val="24"/>
          <w:lang w:val="es-ES"/>
        </w:rPr>
        <w:t xml:space="preserve">Del 8 de noviembre al 1 de diciembre de 2017 </w:t>
      </w:r>
      <w:r w:rsidR="008544EC">
        <w:rPr>
          <w:rStyle w:val="hps"/>
          <w:kern w:val="22"/>
          <w:szCs w:val="24"/>
          <w:lang w:val="es-ES"/>
        </w:rPr>
        <w:t>estuvo disponible</w:t>
      </w:r>
      <w:r>
        <w:rPr>
          <w:rStyle w:val="hps"/>
          <w:kern w:val="22"/>
          <w:szCs w:val="24"/>
          <w:lang w:val="es-ES"/>
        </w:rPr>
        <w:t xml:space="preserve"> en línea una versión preliminar del estudio para </w:t>
      </w:r>
      <w:r w:rsidR="008544EC">
        <w:rPr>
          <w:rStyle w:val="hps"/>
          <w:kern w:val="22"/>
          <w:szCs w:val="24"/>
          <w:lang w:val="es-ES"/>
        </w:rPr>
        <w:t>que fuera</w:t>
      </w:r>
      <w:r>
        <w:rPr>
          <w:rStyle w:val="hps"/>
          <w:kern w:val="22"/>
          <w:szCs w:val="24"/>
          <w:lang w:val="es-ES"/>
        </w:rPr>
        <w:t xml:space="preserve"> revis</w:t>
      </w:r>
      <w:r w:rsidR="008544EC">
        <w:rPr>
          <w:rStyle w:val="hps"/>
          <w:kern w:val="22"/>
          <w:szCs w:val="24"/>
          <w:lang w:val="es-ES"/>
        </w:rPr>
        <w:t>ado</w:t>
      </w:r>
      <w:r>
        <w:rPr>
          <w:rStyle w:val="hps"/>
          <w:kern w:val="22"/>
          <w:szCs w:val="24"/>
          <w:lang w:val="es-ES"/>
        </w:rPr>
        <w:t xml:space="preserve"> por pares</w:t>
      </w:r>
      <w:r>
        <w:rPr>
          <w:kern w:val="22"/>
          <w:szCs w:val="24"/>
          <w:lang w:val="es-ES"/>
        </w:rPr>
        <w:t xml:space="preserve">. Los comentarios </w:t>
      </w:r>
      <w:r w:rsidR="00A004F4">
        <w:rPr>
          <w:kern w:val="22"/>
          <w:szCs w:val="24"/>
          <w:lang w:val="es-ES"/>
        </w:rPr>
        <w:t xml:space="preserve">efectuados en </w:t>
      </w:r>
      <w:r>
        <w:rPr>
          <w:kern w:val="22"/>
          <w:szCs w:val="24"/>
          <w:lang w:val="es-ES"/>
        </w:rPr>
        <w:t>el proceso de revisión por pares se publicaron en línea</w:t>
      </w:r>
      <w:r>
        <w:rPr>
          <w:rStyle w:val="FootnoteReference"/>
          <w:kern w:val="22"/>
          <w:sz w:val="22"/>
          <w:szCs w:val="24"/>
          <w:u w:val="none"/>
          <w:vertAlign w:val="superscript"/>
          <w:lang w:val="es-ES"/>
        </w:rPr>
        <w:footnoteReference w:id="3"/>
      </w:r>
      <w:r>
        <w:rPr>
          <w:kern w:val="22"/>
          <w:szCs w:val="24"/>
          <w:lang w:val="es-ES"/>
        </w:rPr>
        <w:t xml:space="preserve">. </w:t>
      </w:r>
      <w:r w:rsidR="00A004F4">
        <w:rPr>
          <w:kern w:val="22"/>
          <w:szCs w:val="24"/>
          <w:lang w:val="es-ES"/>
        </w:rPr>
        <w:t xml:space="preserve">El estudio se modificó a la luz de </w:t>
      </w:r>
      <w:r>
        <w:rPr>
          <w:kern w:val="22"/>
          <w:szCs w:val="24"/>
          <w:lang w:val="es-ES"/>
        </w:rPr>
        <w:t>los comentarios recibidos y se puso a disposición de la reunión de</w:t>
      </w:r>
      <w:r w:rsidR="00A004F4">
        <w:rPr>
          <w:kern w:val="22"/>
          <w:szCs w:val="24"/>
          <w:lang w:val="es-ES"/>
        </w:rPr>
        <w:t>l</w:t>
      </w:r>
      <w:r>
        <w:rPr>
          <w:kern w:val="22"/>
          <w:szCs w:val="24"/>
          <w:lang w:val="es-ES"/>
        </w:rPr>
        <w:t xml:space="preserve"> Grupo especial de expertos técnicos.</w:t>
      </w:r>
    </w:p>
    <w:p w:rsidR="00047515" w:rsidRDefault="00047515" w:rsidP="001E2BD9">
      <w:pPr>
        <w:pStyle w:val="Para1"/>
        <w:suppressLineNumbers/>
        <w:tabs>
          <w:tab w:val="clear" w:pos="360"/>
        </w:tabs>
        <w:suppressAutoHyphens/>
        <w:kinsoku w:val="0"/>
        <w:overflowPunct w:val="0"/>
        <w:autoSpaceDE w:val="0"/>
        <w:autoSpaceDN w:val="0"/>
        <w:rPr>
          <w:kern w:val="22"/>
          <w:szCs w:val="24"/>
          <w:lang w:val="es-ES"/>
        </w:rPr>
      </w:pPr>
      <w:r>
        <w:rPr>
          <w:kern w:val="22"/>
          <w:szCs w:val="24"/>
          <w:lang w:val="es-ES"/>
        </w:rPr>
        <w:t xml:space="preserve">La síntesis y el estudio también </w:t>
      </w:r>
      <w:r w:rsidR="001E2BD9">
        <w:rPr>
          <w:kern w:val="22"/>
          <w:szCs w:val="24"/>
          <w:lang w:val="es-ES"/>
        </w:rPr>
        <w:t>s</w:t>
      </w:r>
      <w:r>
        <w:rPr>
          <w:kern w:val="22"/>
          <w:szCs w:val="24"/>
          <w:lang w:val="es-ES"/>
        </w:rPr>
        <w:t>e</w:t>
      </w:r>
      <w:r w:rsidR="001E2BD9">
        <w:rPr>
          <w:kern w:val="22"/>
          <w:szCs w:val="24"/>
          <w:lang w:val="es-ES"/>
        </w:rPr>
        <w:t xml:space="preserve"> pusiero</w:t>
      </w:r>
      <w:r>
        <w:rPr>
          <w:kern w:val="22"/>
          <w:szCs w:val="24"/>
          <w:lang w:val="es-ES"/>
        </w:rPr>
        <w:t xml:space="preserve">n </w:t>
      </w:r>
      <w:r w:rsidR="001E2BD9">
        <w:rPr>
          <w:kern w:val="22"/>
          <w:szCs w:val="24"/>
          <w:lang w:val="es-ES"/>
        </w:rPr>
        <w:t xml:space="preserve">a </w:t>
      </w:r>
      <w:r>
        <w:rPr>
          <w:kern w:val="22"/>
          <w:szCs w:val="24"/>
          <w:lang w:val="es-ES"/>
        </w:rPr>
        <w:t>dispo</w:t>
      </w:r>
      <w:r w:rsidR="001E2BD9">
        <w:rPr>
          <w:kern w:val="22"/>
          <w:szCs w:val="24"/>
          <w:lang w:val="es-ES"/>
        </w:rPr>
        <w:t>sició</w:t>
      </w:r>
      <w:r>
        <w:rPr>
          <w:kern w:val="22"/>
          <w:szCs w:val="24"/>
          <w:lang w:val="es-ES"/>
        </w:rPr>
        <w:t>n</w:t>
      </w:r>
      <w:r w:rsidR="001E2BD9">
        <w:rPr>
          <w:kern w:val="22"/>
          <w:szCs w:val="24"/>
          <w:lang w:val="es-ES"/>
        </w:rPr>
        <w:t xml:space="preserve"> d</w:t>
      </w:r>
      <w:r>
        <w:rPr>
          <w:kern w:val="22"/>
          <w:szCs w:val="24"/>
          <w:lang w:val="es-ES"/>
        </w:rPr>
        <w:t>e la 22ª reunión del Órgano Subsidiario de Asesoramiento Científico, Técnico y Tecnológico</w:t>
      </w:r>
      <w:r w:rsidR="001E2BD9">
        <w:rPr>
          <w:kern w:val="22"/>
          <w:szCs w:val="24"/>
          <w:lang w:val="es-ES"/>
        </w:rPr>
        <w:t xml:space="preserve"> como documentos de información</w:t>
      </w:r>
      <w:r>
        <w:rPr>
          <w:rStyle w:val="FootnoteReference"/>
          <w:kern w:val="22"/>
          <w:sz w:val="22"/>
          <w:szCs w:val="24"/>
          <w:u w:val="none"/>
          <w:vertAlign w:val="superscript"/>
          <w:lang w:val="es-ES"/>
        </w:rPr>
        <w:footnoteReference w:id="4"/>
      </w:r>
      <w:r>
        <w:rPr>
          <w:kern w:val="22"/>
          <w:szCs w:val="24"/>
          <w:lang w:val="es-ES"/>
        </w:rPr>
        <w:t>.</w:t>
      </w:r>
    </w:p>
    <w:p w:rsidR="00047515" w:rsidRDefault="00047515" w:rsidP="00E24194">
      <w:pPr>
        <w:pStyle w:val="Para1"/>
        <w:suppressLineNumbers/>
        <w:tabs>
          <w:tab w:val="clear" w:pos="360"/>
        </w:tabs>
        <w:suppressAutoHyphens/>
        <w:kinsoku w:val="0"/>
        <w:overflowPunct w:val="0"/>
        <w:autoSpaceDE w:val="0"/>
        <w:autoSpaceDN w:val="0"/>
        <w:rPr>
          <w:szCs w:val="24"/>
          <w:lang w:val="es-ES"/>
        </w:rPr>
      </w:pPr>
      <w:r>
        <w:rPr>
          <w:kern w:val="22"/>
          <w:szCs w:val="24"/>
          <w:lang w:val="es-ES"/>
        </w:rPr>
        <w:t>Por notificación 2017-049 del 12 de junio de 2017, se invitó a las Partes, otros Gobiernos</w:t>
      </w:r>
      <w:r w:rsidR="00E24194">
        <w:rPr>
          <w:kern w:val="22"/>
          <w:szCs w:val="24"/>
          <w:lang w:val="es-ES"/>
        </w:rPr>
        <w:t xml:space="preserve"> y</w:t>
      </w:r>
      <w:r>
        <w:rPr>
          <w:kern w:val="22"/>
          <w:szCs w:val="24"/>
          <w:lang w:val="es-ES"/>
        </w:rPr>
        <w:t xml:space="preserve"> pueblos indígenas y comunidades locales,</w:t>
      </w:r>
      <w:r w:rsidR="00E24194">
        <w:rPr>
          <w:kern w:val="22"/>
          <w:szCs w:val="24"/>
          <w:lang w:val="es-ES"/>
        </w:rPr>
        <w:t xml:space="preserve"> así como</w:t>
      </w:r>
      <w:r>
        <w:rPr>
          <w:kern w:val="22"/>
          <w:szCs w:val="24"/>
          <w:lang w:val="es-ES"/>
        </w:rPr>
        <w:t xml:space="preserve"> organizaci</w:t>
      </w:r>
      <w:r w:rsidR="00A004F4">
        <w:rPr>
          <w:kern w:val="22"/>
          <w:szCs w:val="24"/>
          <w:lang w:val="es-ES"/>
        </w:rPr>
        <w:t>o</w:t>
      </w:r>
      <w:r>
        <w:rPr>
          <w:kern w:val="22"/>
          <w:szCs w:val="24"/>
          <w:lang w:val="es-ES"/>
        </w:rPr>
        <w:t xml:space="preserve">nes e interesados directos </w:t>
      </w:r>
      <w:r w:rsidR="00E24194">
        <w:rPr>
          <w:kern w:val="22"/>
          <w:szCs w:val="24"/>
          <w:lang w:val="es-ES"/>
        </w:rPr>
        <w:t xml:space="preserve">pertinentes, </w:t>
      </w:r>
      <w:r>
        <w:rPr>
          <w:kern w:val="22"/>
          <w:szCs w:val="24"/>
          <w:lang w:val="es-ES"/>
        </w:rPr>
        <w:t xml:space="preserve">a nominar expertos para el Grupo especial de expertos técnicos. Los expertos fueron seleccionados conforme al </w:t>
      </w:r>
      <w:r>
        <w:rPr>
          <w:i/>
          <w:kern w:val="22"/>
          <w:szCs w:val="24"/>
          <w:lang w:val="es-ES"/>
        </w:rPr>
        <w:t>modus operandi</w:t>
      </w:r>
      <w:r>
        <w:rPr>
          <w:kern w:val="22"/>
          <w:szCs w:val="24"/>
          <w:lang w:val="es-ES"/>
        </w:rPr>
        <w:t xml:space="preserve"> refundido del Órgano Subsidiario de Asesoramiento Científico, Técnico y Tecnológico (véase la decisión </w:t>
      </w:r>
      <w:hyperlink r:id="rId14" w:history="1">
        <w:r>
          <w:rPr>
            <w:rStyle w:val="Hyperlink"/>
            <w:kern w:val="22"/>
            <w:szCs w:val="24"/>
            <w:lang w:val="es-ES"/>
          </w:rPr>
          <w:t>VIII/10</w:t>
        </w:r>
      </w:hyperlink>
      <w:r>
        <w:rPr>
          <w:kern w:val="22"/>
          <w:szCs w:val="24"/>
          <w:lang w:val="es-ES"/>
        </w:rPr>
        <w:t xml:space="preserve">, anexo III), tomando en cuenta su competencia y experiencia y la necesidad de garantizar una representación geográfica equitativa y </w:t>
      </w:r>
      <w:r w:rsidR="00E24194">
        <w:rPr>
          <w:kern w:val="22"/>
          <w:szCs w:val="24"/>
          <w:lang w:val="es-ES"/>
        </w:rPr>
        <w:t>un</w:t>
      </w:r>
      <w:r>
        <w:rPr>
          <w:kern w:val="22"/>
          <w:szCs w:val="24"/>
          <w:lang w:val="es-ES"/>
        </w:rPr>
        <w:t xml:space="preserve"> equilibrio de género. Luego de una consulta con la Mesa del Órgano Subsidiario de Asesoramiento Científico, Técnico y Tecnológico, por notificación</w:t>
      </w:r>
      <w:r w:rsidR="00564634">
        <w:rPr>
          <w:kern w:val="22"/>
          <w:szCs w:val="24"/>
          <w:lang w:val="es-ES"/>
        </w:rPr>
        <w:t xml:space="preserve"> </w:t>
      </w:r>
      <w:r>
        <w:rPr>
          <w:kern w:val="22"/>
          <w:szCs w:val="24"/>
          <w:lang w:val="es-ES"/>
        </w:rPr>
        <w:t xml:space="preserve">2017-109 del 20 de octubre de 2017 se </w:t>
      </w:r>
      <w:r w:rsidR="00E24194">
        <w:rPr>
          <w:kern w:val="22"/>
          <w:szCs w:val="24"/>
          <w:lang w:val="es-ES"/>
        </w:rPr>
        <w:t>comunicó</w:t>
      </w:r>
      <w:r>
        <w:rPr>
          <w:kern w:val="22"/>
          <w:szCs w:val="24"/>
          <w:lang w:val="es-ES"/>
        </w:rPr>
        <w:t xml:space="preserve"> la composición del Grupo especial de expertos técnicos.</w:t>
      </w:r>
    </w:p>
    <w:p w:rsidR="00047515" w:rsidRDefault="00047515" w:rsidP="008544EC">
      <w:pPr>
        <w:pStyle w:val="Para1"/>
        <w:suppressLineNumbers/>
        <w:tabs>
          <w:tab w:val="clear" w:pos="360"/>
        </w:tabs>
        <w:suppressAutoHyphens/>
        <w:kinsoku w:val="0"/>
        <w:overflowPunct w:val="0"/>
        <w:autoSpaceDE w:val="0"/>
        <w:autoSpaceDN w:val="0"/>
        <w:rPr>
          <w:kern w:val="22"/>
          <w:szCs w:val="24"/>
          <w:lang w:val="es-ES"/>
        </w:rPr>
      </w:pPr>
      <w:r>
        <w:rPr>
          <w:kern w:val="22"/>
          <w:szCs w:val="24"/>
          <w:lang w:val="es-ES"/>
        </w:rPr>
        <w:t xml:space="preserve">Con el apoyo financiero del Gobierno del Canadá y la Unión Europea, la reunión del Grupo especial de expertos técnicos </w:t>
      </w:r>
      <w:r w:rsidR="008544EC">
        <w:rPr>
          <w:kern w:val="22"/>
          <w:szCs w:val="24"/>
          <w:lang w:val="es-ES"/>
        </w:rPr>
        <w:t>tuvo lugar</w:t>
      </w:r>
      <w:r>
        <w:rPr>
          <w:kern w:val="22"/>
          <w:szCs w:val="24"/>
          <w:lang w:val="es-ES"/>
        </w:rPr>
        <w:t xml:space="preserve"> </w:t>
      </w:r>
      <w:r w:rsidR="008544EC">
        <w:rPr>
          <w:kern w:val="22"/>
          <w:szCs w:val="24"/>
          <w:lang w:val="es-ES"/>
        </w:rPr>
        <w:t>entre</w:t>
      </w:r>
      <w:r>
        <w:rPr>
          <w:kern w:val="22"/>
          <w:szCs w:val="24"/>
          <w:lang w:val="es-ES"/>
        </w:rPr>
        <w:t xml:space="preserve"> </w:t>
      </w:r>
      <w:r w:rsidR="008544EC">
        <w:rPr>
          <w:kern w:val="22"/>
          <w:szCs w:val="24"/>
          <w:lang w:val="es-ES"/>
        </w:rPr>
        <w:t xml:space="preserve">el </w:t>
      </w:r>
      <w:r>
        <w:rPr>
          <w:kern w:val="22"/>
          <w:szCs w:val="24"/>
          <w:lang w:val="es-ES"/>
        </w:rPr>
        <w:t xml:space="preserve">13 </w:t>
      </w:r>
      <w:r w:rsidR="008544EC">
        <w:rPr>
          <w:kern w:val="22"/>
          <w:szCs w:val="24"/>
          <w:lang w:val="es-ES"/>
        </w:rPr>
        <w:t>y e</w:t>
      </w:r>
      <w:r>
        <w:rPr>
          <w:kern w:val="22"/>
          <w:szCs w:val="24"/>
          <w:lang w:val="es-ES"/>
        </w:rPr>
        <w:t>l 16 de febrero de 2018 en las oficinas de la Secretaría en Montreal.</w:t>
      </w:r>
    </w:p>
    <w:p w:rsidR="00047515" w:rsidRDefault="00047515" w:rsidP="003E066D">
      <w:pPr>
        <w:pStyle w:val="Para1"/>
        <w:suppressLineNumbers/>
        <w:tabs>
          <w:tab w:val="clear" w:pos="360"/>
        </w:tabs>
        <w:suppressAutoHyphens/>
        <w:kinsoku w:val="0"/>
        <w:overflowPunct w:val="0"/>
        <w:autoSpaceDE w:val="0"/>
        <w:autoSpaceDN w:val="0"/>
        <w:rPr>
          <w:szCs w:val="24"/>
          <w:lang w:val="es-ES"/>
        </w:rPr>
      </w:pPr>
      <w:r>
        <w:rPr>
          <w:kern w:val="22"/>
          <w:szCs w:val="24"/>
          <w:lang w:val="es-ES"/>
        </w:rPr>
        <w:t>L</w:t>
      </w:r>
      <w:r w:rsidR="003E066D">
        <w:rPr>
          <w:kern w:val="22"/>
          <w:szCs w:val="24"/>
          <w:lang w:val="es-ES"/>
        </w:rPr>
        <w:t>a</w:t>
      </w:r>
      <w:r>
        <w:rPr>
          <w:kern w:val="22"/>
          <w:szCs w:val="24"/>
          <w:lang w:val="es-ES"/>
        </w:rPr>
        <w:t xml:space="preserve">s </w:t>
      </w:r>
      <w:r w:rsidR="003E066D">
        <w:rPr>
          <w:kern w:val="22"/>
          <w:szCs w:val="24"/>
          <w:lang w:val="es-ES"/>
        </w:rPr>
        <w:t>conclusione</w:t>
      </w:r>
      <w:r>
        <w:rPr>
          <w:kern w:val="22"/>
          <w:szCs w:val="24"/>
          <w:lang w:val="es-ES"/>
        </w:rPr>
        <w:t>s de la reunión del Grupo especial de expertos técnicos se exponen en el anexo de su informe y se reproducen también en el anexo del presente documento.</w:t>
      </w:r>
      <w:r>
        <w:rPr>
          <w:kern w:val="22"/>
          <w:szCs w:val="24"/>
        </w:rPr>
        <w:t xml:space="preserve"> </w:t>
      </w:r>
      <w:r>
        <w:rPr>
          <w:kern w:val="22"/>
          <w:szCs w:val="24"/>
          <w:lang w:val="es-ES"/>
        </w:rPr>
        <w:t>El informe completo del Grupo especial de expertos técnicos está disponible como documento de información</w:t>
      </w:r>
      <w:r w:rsidRPr="00732B41">
        <w:rPr>
          <w:rStyle w:val="FootnoteReference"/>
          <w:kern w:val="22"/>
          <w:sz w:val="22"/>
          <w:szCs w:val="22"/>
          <w:u w:val="none"/>
          <w:vertAlign w:val="superscript"/>
          <w:lang w:val="es-ES"/>
        </w:rPr>
        <w:footnoteReference w:id="5"/>
      </w:r>
      <w:r>
        <w:rPr>
          <w:kern w:val="22"/>
          <w:szCs w:val="24"/>
          <w:lang w:val="es-ES"/>
        </w:rPr>
        <w:t>.</w:t>
      </w:r>
    </w:p>
    <w:p w:rsidR="00047515" w:rsidRDefault="00047515">
      <w:pPr>
        <w:pStyle w:val="Heading1"/>
        <w:suppressLineNumbers/>
        <w:tabs>
          <w:tab w:val="clear" w:pos="720"/>
        </w:tabs>
        <w:suppressAutoHyphens/>
        <w:kinsoku w:val="0"/>
        <w:overflowPunct w:val="0"/>
        <w:autoSpaceDE w:val="0"/>
        <w:autoSpaceDN w:val="0"/>
        <w:rPr>
          <w:rFonts w:ascii="Times New Roman Bold" w:hAnsi="Times New Roman Bold"/>
          <w:kern w:val="22"/>
          <w:lang w:val="es-ES"/>
        </w:rPr>
      </w:pPr>
      <w:r>
        <w:rPr>
          <w:rFonts w:ascii="Times New Roman Bold" w:hAnsi="Times New Roman Bold"/>
          <w:kern w:val="22"/>
          <w:lang w:val="es-ES"/>
        </w:rPr>
        <w:t>Recomendaciones SuGeRIDas</w:t>
      </w:r>
    </w:p>
    <w:p w:rsidR="00047515" w:rsidRDefault="00047515">
      <w:pPr>
        <w:pStyle w:val="Para1"/>
        <w:suppressLineNumbers/>
        <w:tabs>
          <w:tab w:val="clear" w:pos="360"/>
        </w:tabs>
        <w:suppressAutoHyphens/>
        <w:kinsoku w:val="0"/>
        <w:overflowPunct w:val="0"/>
        <w:autoSpaceDE w:val="0"/>
        <w:autoSpaceDN w:val="0"/>
        <w:rPr>
          <w:szCs w:val="24"/>
          <w:lang w:val="es-ES"/>
        </w:rPr>
      </w:pPr>
      <w:r>
        <w:rPr>
          <w:kern w:val="22"/>
          <w:szCs w:val="24"/>
          <w:lang w:val="es-ES"/>
        </w:rPr>
        <w:t xml:space="preserve">El Órgano Subsidiario de Asesoramiento Científico, Técnico y Tecnológico podría considerar oportuno tomar nota de: </w:t>
      </w:r>
    </w:p>
    <w:p w:rsidR="00047515" w:rsidRDefault="00047515" w:rsidP="008544EC">
      <w:pPr>
        <w:pStyle w:val="Para1"/>
        <w:numPr>
          <w:ilvl w:val="1"/>
          <w:numId w:val="2"/>
        </w:numPr>
        <w:suppressLineNumbers/>
        <w:suppressAutoHyphens/>
        <w:kinsoku w:val="0"/>
        <w:overflowPunct w:val="0"/>
        <w:autoSpaceDE w:val="0"/>
        <w:autoSpaceDN w:val="0"/>
        <w:ind w:left="0" w:firstLine="720"/>
        <w:rPr>
          <w:kern w:val="22"/>
          <w:szCs w:val="24"/>
          <w:lang w:val="es-ES"/>
        </w:rPr>
      </w:pPr>
      <w:r>
        <w:rPr>
          <w:kern w:val="22"/>
          <w:szCs w:val="24"/>
          <w:lang w:val="es-ES"/>
        </w:rPr>
        <w:t xml:space="preserve">La recopilación y síntesis de opiniones e información </w:t>
      </w:r>
      <w:r w:rsidR="00243C4F">
        <w:rPr>
          <w:kern w:val="22"/>
          <w:szCs w:val="24"/>
          <w:lang w:val="es-ES"/>
        </w:rPr>
        <w:t>referidas a</w:t>
      </w:r>
      <w:r>
        <w:rPr>
          <w:kern w:val="22"/>
          <w:szCs w:val="24"/>
          <w:lang w:val="es-ES"/>
        </w:rPr>
        <w:t xml:space="preserve"> </w:t>
      </w:r>
      <w:r>
        <w:rPr>
          <w:szCs w:val="24"/>
          <w:lang w:val="es-ES"/>
        </w:rPr>
        <w:t>información digital sobre secuencias de recursos genéticos</w:t>
      </w:r>
      <w:r>
        <w:rPr>
          <w:kern w:val="22"/>
          <w:szCs w:val="24"/>
          <w:lang w:val="es-ES"/>
        </w:rPr>
        <w:t>, presentadas de conformidad con la decisión XIII/16</w:t>
      </w:r>
      <w:r w:rsidRPr="00732B41">
        <w:rPr>
          <w:rStyle w:val="FootnoteReference"/>
          <w:kern w:val="22"/>
          <w:sz w:val="22"/>
          <w:szCs w:val="22"/>
          <w:u w:val="none"/>
          <w:vertAlign w:val="superscript"/>
          <w:lang w:val="es-ES"/>
        </w:rPr>
        <w:footnoteReference w:id="6"/>
      </w:r>
      <w:r>
        <w:rPr>
          <w:kern w:val="22"/>
          <w:szCs w:val="24"/>
          <w:lang w:val="es-ES"/>
        </w:rPr>
        <w:t>;</w:t>
      </w:r>
    </w:p>
    <w:p w:rsidR="00047515" w:rsidRDefault="00047515" w:rsidP="00243C4F">
      <w:pPr>
        <w:pStyle w:val="Para1"/>
        <w:numPr>
          <w:ilvl w:val="1"/>
          <w:numId w:val="2"/>
        </w:numPr>
        <w:suppressLineNumbers/>
        <w:suppressAutoHyphens/>
        <w:kinsoku w:val="0"/>
        <w:overflowPunct w:val="0"/>
        <w:autoSpaceDE w:val="0"/>
        <w:autoSpaceDN w:val="0"/>
        <w:ind w:left="0" w:firstLine="720"/>
        <w:rPr>
          <w:kern w:val="22"/>
          <w:szCs w:val="24"/>
          <w:lang w:val="es-ES"/>
        </w:rPr>
      </w:pPr>
      <w:r>
        <w:rPr>
          <w:szCs w:val="24"/>
          <w:lang w:val="es-ES"/>
        </w:rPr>
        <w:t xml:space="preserve">El estudio de investigación y análisis inicial </w:t>
      </w:r>
      <w:r w:rsidR="00243C4F">
        <w:rPr>
          <w:szCs w:val="24"/>
          <w:lang w:val="es-ES"/>
        </w:rPr>
        <w:t xml:space="preserve">realizado </w:t>
      </w:r>
      <w:r w:rsidR="00243C4F">
        <w:rPr>
          <w:kern w:val="22"/>
          <w:szCs w:val="24"/>
          <w:lang w:val="es-ES"/>
        </w:rPr>
        <w:t xml:space="preserve">conforme a la decisión XIII/16 </w:t>
      </w:r>
      <w:r>
        <w:rPr>
          <w:szCs w:val="24"/>
          <w:lang w:val="es-ES"/>
        </w:rPr>
        <w:t>para aclarar terminología y conceptos y evaluar el alcance y las condiciones del uso de información digital sobre secuencias de recursos genéticos en el contexto del Convenio y el Protocolo de Nagoya</w:t>
      </w:r>
      <w:r w:rsidRPr="00732B41">
        <w:rPr>
          <w:rStyle w:val="FootnoteReference"/>
          <w:kern w:val="22"/>
          <w:sz w:val="22"/>
          <w:szCs w:val="22"/>
          <w:u w:val="none"/>
          <w:vertAlign w:val="superscript"/>
          <w:lang w:val="es-ES"/>
        </w:rPr>
        <w:footnoteReference w:id="7"/>
      </w:r>
      <w:r>
        <w:rPr>
          <w:kern w:val="22"/>
          <w:szCs w:val="24"/>
          <w:lang w:val="es-ES"/>
        </w:rPr>
        <w:t>;</w:t>
      </w:r>
    </w:p>
    <w:p w:rsidR="00047515" w:rsidRDefault="00047515" w:rsidP="00D21CB7">
      <w:pPr>
        <w:pStyle w:val="Para1"/>
        <w:numPr>
          <w:ilvl w:val="1"/>
          <w:numId w:val="2"/>
        </w:numPr>
        <w:suppressLineNumbers/>
        <w:suppressAutoHyphens/>
        <w:kinsoku w:val="0"/>
        <w:overflowPunct w:val="0"/>
        <w:autoSpaceDE w:val="0"/>
        <w:autoSpaceDN w:val="0"/>
        <w:ind w:left="0" w:firstLine="720"/>
        <w:rPr>
          <w:kern w:val="22"/>
          <w:szCs w:val="24"/>
          <w:lang w:val="es-ES"/>
        </w:rPr>
      </w:pPr>
      <w:r>
        <w:rPr>
          <w:kern w:val="22"/>
          <w:szCs w:val="24"/>
          <w:lang w:val="es-ES"/>
        </w:rPr>
        <w:t xml:space="preserve">El informe del Grupo especial de expertos técnicos </w:t>
      </w:r>
      <w:r w:rsidR="00D21CB7">
        <w:rPr>
          <w:kern w:val="22"/>
          <w:szCs w:val="24"/>
          <w:lang w:val="es-ES"/>
        </w:rPr>
        <w:t>en materia</w:t>
      </w:r>
      <w:r>
        <w:rPr>
          <w:kern w:val="22"/>
          <w:szCs w:val="24"/>
          <w:lang w:val="es-ES"/>
        </w:rPr>
        <w:t xml:space="preserve"> </w:t>
      </w:r>
      <w:r w:rsidR="006C28DC">
        <w:rPr>
          <w:kern w:val="22"/>
          <w:szCs w:val="24"/>
          <w:lang w:val="es-ES"/>
        </w:rPr>
        <w:t xml:space="preserve">de </w:t>
      </w:r>
      <w:r>
        <w:rPr>
          <w:kern w:val="22"/>
          <w:szCs w:val="24"/>
          <w:lang w:val="es-ES"/>
        </w:rPr>
        <w:t>información digital sobre secuencias de recursos genéticos</w:t>
      </w:r>
      <w:r w:rsidRPr="00732B41">
        <w:rPr>
          <w:rStyle w:val="FootnoteReference"/>
          <w:kern w:val="22"/>
          <w:sz w:val="22"/>
          <w:szCs w:val="22"/>
          <w:u w:val="none"/>
          <w:vertAlign w:val="superscript"/>
          <w:lang w:val="es-ES"/>
        </w:rPr>
        <w:footnoteReference w:id="8"/>
      </w:r>
      <w:r>
        <w:rPr>
          <w:kern w:val="22"/>
          <w:szCs w:val="24"/>
          <w:lang w:val="es-ES"/>
        </w:rPr>
        <w:t>.</w:t>
      </w:r>
    </w:p>
    <w:p w:rsidR="00047515" w:rsidRDefault="00047515" w:rsidP="003E066D">
      <w:pPr>
        <w:pStyle w:val="Para1"/>
        <w:suppressLineNumbers/>
        <w:tabs>
          <w:tab w:val="clear" w:pos="360"/>
        </w:tabs>
        <w:suppressAutoHyphens/>
        <w:kinsoku w:val="0"/>
        <w:overflowPunct w:val="0"/>
        <w:autoSpaceDE w:val="0"/>
        <w:autoSpaceDN w:val="0"/>
        <w:rPr>
          <w:kern w:val="22"/>
          <w:szCs w:val="24"/>
          <w:lang w:val="es-ES"/>
        </w:rPr>
      </w:pPr>
      <w:r>
        <w:rPr>
          <w:kern w:val="22"/>
          <w:szCs w:val="24"/>
          <w:lang w:val="es-ES"/>
        </w:rPr>
        <w:lastRenderedPageBreak/>
        <w:t>El Órgano Subsidiario también podría considerar oportuno examinar l</w:t>
      </w:r>
      <w:r w:rsidR="003E066D">
        <w:rPr>
          <w:kern w:val="22"/>
          <w:szCs w:val="24"/>
          <w:lang w:val="es-ES"/>
        </w:rPr>
        <w:t>a</w:t>
      </w:r>
      <w:r>
        <w:rPr>
          <w:kern w:val="22"/>
          <w:szCs w:val="24"/>
          <w:lang w:val="es-ES"/>
        </w:rPr>
        <w:t xml:space="preserve">s </w:t>
      </w:r>
      <w:r w:rsidR="003E066D">
        <w:rPr>
          <w:kern w:val="22"/>
          <w:szCs w:val="24"/>
          <w:lang w:val="es-ES"/>
        </w:rPr>
        <w:t>c</w:t>
      </w:r>
      <w:r>
        <w:rPr>
          <w:kern w:val="22"/>
          <w:szCs w:val="24"/>
          <w:lang w:val="es-ES"/>
        </w:rPr>
        <w:t>o</w:t>
      </w:r>
      <w:r w:rsidR="003E066D">
        <w:rPr>
          <w:kern w:val="22"/>
          <w:szCs w:val="24"/>
          <w:lang w:val="es-ES"/>
        </w:rPr>
        <w:t>nclusione</w:t>
      </w:r>
      <w:r>
        <w:rPr>
          <w:kern w:val="22"/>
          <w:szCs w:val="24"/>
          <w:lang w:val="es-ES"/>
        </w:rPr>
        <w:t>s del Grupo especial de expertos técnicos y formular recomendaciones sobre:</w:t>
      </w:r>
    </w:p>
    <w:p w:rsidR="00047515" w:rsidRDefault="008544EC" w:rsidP="008544EC">
      <w:pPr>
        <w:pStyle w:val="Para1"/>
        <w:numPr>
          <w:ilvl w:val="4"/>
          <w:numId w:val="9"/>
        </w:numPr>
        <w:suppressLineNumbers/>
        <w:tabs>
          <w:tab w:val="clear" w:pos="4680"/>
        </w:tabs>
        <w:suppressAutoHyphens/>
        <w:kinsoku w:val="0"/>
        <w:overflowPunct w:val="0"/>
        <w:autoSpaceDE w:val="0"/>
        <w:autoSpaceDN w:val="0"/>
        <w:ind w:left="0" w:firstLine="720"/>
        <w:rPr>
          <w:kern w:val="22"/>
          <w:szCs w:val="24"/>
          <w:lang w:val="es-ES"/>
        </w:rPr>
      </w:pPr>
      <w:r>
        <w:rPr>
          <w:kern w:val="22"/>
          <w:szCs w:val="24"/>
          <w:lang w:val="es-ES"/>
        </w:rPr>
        <w:t>P</w:t>
      </w:r>
      <w:r w:rsidR="00047515">
        <w:rPr>
          <w:kern w:val="22"/>
          <w:szCs w:val="24"/>
          <w:lang w:val="es-ES"/>
        </w:rPr>
        <w:t xml:space="preserve">osibles repercusiones del uso de información digital sobre secuencias de recursos genéticos </w:t>
      </w:r>
      <w:r w:rsidR="00243C4F">
        <w:rPr>
          <w:kern w:val="22"/>
          <w:szCs w:val="24"/>
          <w:lang w:val="es-ES"/>
        </w:rPr>
        <w:t>en</w:t>
      </w:r>
      <w:r w:rsidR="00047515">
        <w:rPr>
          <w:kern w:val="22"/>
          <w:szCs w:val="24"/>
          <w:lang w:val="es-ES"/>
        </w:rPr>
        <w:t xml:space="preserve"> los tres objetivos del Convenio, para consideración </w:t>
      </w:r>
      <w:r w:rsidR="00243C4F">
        <w:rPr>
          <w:kern w:val="22"/>
          <w:szCs w:val="24"/>
          <w:lang w:val="es-ES"/>
        </w:rPr>
        <w:t>de</w:t>
      </w:r>
      <w:r w:rsidR="00047515">
        <w:rPr>
          <w:kern w:val="22"/>
          <w:szCs w:val="24"/>
          <w:lang w:val="es-ES"/>
        </w:rPr>
        <w:t xml:space="preserve"> la Conferencia de las Partes en su 14ª</w:t>
      </w:r>
      <w:r>
        <w:rPr>
          <w:kern w:val="22"/>
          <w:szCs w:val="24"/>
          <w:lang w:val="es-ES"/>
        </w:rPr>
        <w:t> </w:t>
      </w:r>
      <w:r w:rsidR="00047515">
        <w:rPr>
          <w:kern w:val="22"/>
          <w:szCs w:val="24"/>
          <w:lang w:val="es-ES"/>
        </w:rPr>
        <w:t>reunión;</w:t>
      </w:r>
      <w:r w:rsidR="00243C4F">
        <w:rPr>
          <w:kern w:val="22"/>
          <w:szCs w:val="24"/>
          <w:lang w:val="es-ES"/>
        </w:rPr>
        <w:t xml:space="preserve"> y</w:t>
      </w:r>
    </w:p>
    <w:p w:rsidR="00047515" w:rsidRDefault="008544EC" w:rsidP="00243C4F">
      <w:pPr>
        <w:pStyle w:val="Para1"/>
        <w:numPr>
          <w:ilvl w:val="4"/>
          <w:numId w:val="9"/>
        </w:numPr>
        <w:suppressLineNumbers/>
        <w:tabs>
          <w:tab w:val="clear" w:pos="4680"/>
        </w:tabs>
        <w:suppressAutoHyphens/>
        <w:kinsoku w:val="0"/>
        <w:overflowPunct w:val="0"/>
        <w:autoSpaceDE w:val="0"/>
        <w:autoSpaceDN w:val="0"/>
        <w:ind w:left="0" w:firstLine="720"/>
        <w:rPr>
          <w:kern w:val="22"/>
          <w:szCs w:val="24"/>
          <w:lang w:val="es-ES"/>
        </w:rPr>
      </w:pPr>
      <w:r>
        <w:rPr>
          <w:kern w:val="22"/>
          <w:szCs w:val="24"/>
          <w:lang w:val="es-ES"/>
        </w:rPr>
        <w:t>P</w:t>
      </w:r>
      <w:r w:rsidR="00047515">
        <w:rPr>
          <w:kern w:val="22"/>
          <w:szCs w:val="24"/>
          <w:lang w:val="es-ES"/>
        </w:rPr>
        <w:t xml:space="preserve">osibles repercusiones del uso de información digital sobre secuencias de recursos genéticos </w:t>
      </w:r>
      <w:r w:rsidR="00243C4F">
        <w:rPr>
          <w:kern w:val="22"/>
          <w:szCs w:val="24"/>
          <w:lang w:val="es-ES"/>
        </w:rPr>
        <w:t>en</w:t>
      </w:r>
      <w:r w:rsidR="00047515">
        <w:rPr>
          <w:kern w:val="22"/>
          <w:szCs w:val="24"/>
          <w:lang w:val="es-ES"/>
        </w:rPr>
        <w:t xml:space="preserve"> el objetivo del Protocolo de Nagoya, para consideración </w:t>
      </w:r>
      <w:r w:rsidR="00243C4F">
        <w:rPr>
          <w:kern w:val="22"/>
          <w:szCs w:val="24"/>
          <w:lang w:val="es-ES"/>
        </w:rPr>
        <w:t>de</w:t>
      </w:r>
      <w:r w:rsidR="00047515">
        <w:rPr>
          <w:kern w:val="22"/>
          <w:szCs w:val="24"/>
          <w:lang w:val="es-ES"/>
        </w:rPr>
        <w:t xml:space="preserve"> la Conferencia de las Partes que actúa como reunión de las Partes en el Protocolo de Nagoya en su tercera reunión.</w:t>
      </w:r>
    </w:p>
    <w:p w:rsidR="00047515" w:rsidRDefault="00047515">
      <w:pPr>
        <w:jc w:val="left"/>
        <w:rPr>
          <w:i/>
          <w:kern w:val="22"/>
          <w:lang w:val="es-ES"/>
        </w:rPr>
      </w:pPr>
      <w:r>
        <w:rPr>
          <w:i/>
          <w:kern w:val="22"/>
          <w:lang w:val="es-ES"/>
        </w:rPr>
        <w:br w:type="page"/>
      </w:r>
    </w:p>
    <w:p w:rsidR="00047515" w:rsidRDefault="00047515">
      <w:pPr>
        <w:pStyle w:val="Para1"/>
        <w:numPr>
          <w:ilvl w:val="0"/>
          <w:numId w:val="0"/>
        </w:numPr>
        <w:suppressLineNumbers/>
        <w:suppressAutoHyphens/>
        <w:kinsoku w:val="0"/>
        <w:overflowPunct w:val="0"/>
        <w:autoSpaceDE w:val="0"/>
        <w:autoSpaceDN w:val="0"/>
        <w:jc w:val="center"/>
        <w:rPr>
          <w:i/>
          <w:kern w:val="22"/>
          <w:szCs w:val="24"/>
          <w:lang w:val="es-ES"/>
        </w:rPr>
      </w:pPr>
      <w:r>
        <w:rPr>
          <w:i/>
          <w:kern w:val="22"/>
          <w:szCs w:val="24"/>
          <w:lang w:val="es-ES"/>
        </w:rPr>
        <w:lastRenderedPageBreak/>
        <w:t>Anexo</w:t>
      </w:r>
    </w:p>
    <w:p w:rsidR="00047515" w:rsidRDefault="003E066D" w:rsidP="00D21CB7">
      <w:pPr>
        <w:pStyle w:val="Para1"/>
        <w:numPr>
          <w:ilvl w:val="0"/>
          <w:numId w:val="0"/>
        </w:numPr>
        <w:suppressLineNumbers/>
        <w:suppressAutoHyphens/>
        <w:kinsoku w:val="0"/>
        <w:overflowPunct w:val="0"/>
        <w:autoSpaceDE w:val="0"/>
        <w:autoSpaceDN w:val="0"/>
        <w:jc w:val="center"/>
        <w:rPr>
          <w:kern w:val="22"/>
          <w:szCs w:val="24"/>
          <w:lang w:val="es-ES"/>
        </w:rPr>
      </w:pPr>
      <w:r>
        <w:rPr>
          <w:b/>
          <w:kern w:val="22"/>
          <w:szCs w:val="24"/>
          <w:lang w:val="es-ES"/>
        </w:rPr>
        <w:t>C</w:t>
      </w:r>
      <w:r w:rsidR="00047515">
        <w:rPr>
          <w:b/>
          <w:kern w:val="22"/>
          <w:szCs w:val="24"/>
          <w:lang w:val="es-ES"/>
        </w:rPr>
        <w:t>O</w:t>
      </w:r>
      <w:r>
        <w:rPr>
          <w:b/>
          <w:kern w:val="22"/>
          <w:szCs w:val="24"/>
          <w:lang w:val="es-ES"/>
        </w:rPr>
        <w:t>NCLUSIONE</w:t>
      </w:r>
      <w:r w:rsidR="00047515">
        <w:rPr>
          <w:b/>
          <w:kern w:val="22"/>
          <w:szCs w:val="24"/>
          <w:lang w:val="es-ES"/>
        </w:rPr>
        <w:t xml:space="preserve">S DE LA REUNIÓN DEL GRUPO ESPECIAL DE EXPERTOS TÉCNICOS </w:t>
      </w:r>
      <w:r w:rsidR="00D21CB7">
        <w:rPr>
          <w:b/>
          <w:kern w:val="22"/>
          <w:szCs w:val="24"/>
          <w:lang w:val="es-ES"/>
        </w:rPr>
        <w:t>EN MATERIA DE</w:t>
      </w:r>
      <w:r w:rsidR="00047515">
        <w:rPr>
          <w:b/>
          <w:kern w:val="22"/>
          <w:szCs w:val="24"/>
          <w:lang w:val="es-ES"/>
        </w:rPr>
        <w:t xml:space="preserve"> INFORMACIÓN DIGITAL SOBRE SECUENCIAS DE RECURSOS GENÉTICOS</w:t>
      </w:r>
    </w:p>
    <w:p w:rsidR="00047515" w:rsidRDefault="00047515">
      <w:pPr>
        <w:keepNext/>
        <w:suppressLineNumbers/>
        <w:suppressAutoHyphens/>
        <w:kinsoku w:val="0"/>
        <w:overflowPunct w:val="0"/>
        <w:autoSpaceDE w:val="0"/>
        <w:autoSpaceDN w:val="0"/>
        <w:spacing w:before="120" w:after="120"/>
        <w:rPr>
          <w:b/>
          <w:i/>
          <w:kern w:val="22"/>
          <w:lang w:val="es-ES"/>
        </w:rPr>
      </w:pPr>
      <w:r>
        <w:rPr>
          <w:b/>
          <w:kern w:val="22"/>
          <w:lang w:val="es-ES"/>
        </w:rPr>
        <w:t>Terminología y distintos tipos de información digital sobre secuencias de recursos genéticos</w:t>
      </w:r>
    </w:p>
    <w:p w:rsidR="00047515" w:rsidRDefault="00047515" w:rsidP="006D4BC3">
      <w:pPr>
        <w:pStyle w:val="Para1"/>
        <w:numPr>
          <w:ilvl w:val="0"/>
          <w:numId w:val="6"/>
        </w:numPr>
        <w:suppressLineNumbers/>
        <w:suppressAutoHyphens/>
        <w:kinsoku w:val="0"/>
        <w:overflowPunct w:val="0"/>
        <w:autoSpaceDE w:val="0"/>
        <w:autoSpaceDN w:val="0"/>
        <w:spacing w:before="0"/>
        <w:ind w:left="0" w:firstLine="0"/>
        <w:rPr>
          <w:szCs w:val="24"/>
          <w:lang w:val="es-ES"/>
        </w:rPr>
      </w:pPr>
      <w:r>
        <w:rPr>
          <w:kern w:val="22"/>
          <w:szCs w:val="24"/>
          <w:lang w:val="es-ES"/>
        </w:rPr>
        <w:t xml:space="preserve">Los participantes </w:t>
      </w:r>
      <w:r w:rsidR="00860A1D">
        <w:rPr>
          <w:kern w:val="22"/>
          <w:szCs w:val="24"/>
          <w:lang w:val="es-ES"/>
        </w:rPr>
        <w:t>deliberaron sobre</w:t>
      </w:r>
      <w:r>
        <w:rPr>
          <w:kern w:val="22"/>
          <w:szCs w:val="24"/>
          <w:lang w:val="es-ES"/>
        </w:rPr>
        <w:t xml:space="preserve"> los distintos tipos de información sobre recursos genéticos que podrían tener relevancia para los tres objetivos del Convenio y </w:t>
      </w:r>
      <w:r w:rsidR="006D4BC3">
        <w:rPr>
          <w:kern w:val="22"/>
          <w:szCs w:val="24"/>
          <w:lang w:val="es-ES"/>
        </w:rPr>
        <w:t xml:space="preserve">para </w:t>
      </w:r>
      <w:r>
        <w:rPr>
          <w:kern w:val="22"/>
          <w:szCs w:val="24"/>
          <w:lang w:val="es-ES"/>
        </w:rPr>
        <w:t xml:space="preserve">el objetivo del Protocolo de Nagoya. Hubo consenso en que el término “información digital sobre secuencias” (DSI) no es un término adecuado para referirse a estos tipos de información. No obstante, el grupo siguió usando “DSI” como término provisorio, sin perjuicio de que en el futuro se </w:t>
      </w:r>
      <w:r w:rsidR="006D4BC3">
        <w:rPr>
          <w:kern w:val="22"/>
          <w:szCs w:val="24"/>
          <w:lang w:val="es-ES"/>
        </w:rPr>
        <w:t xml:space="preserve">puedan </w:t>
      </w:r>
      <w:r>
        <w:rPr>
          <w:kern w:val="22"/>
          <w:szCs w:val="24"/>
          <w:lang w:val="es-ES"/>
        </w:rPr>
        <w:t>consider</w:t>
      </w:r>
      <w:r w:rsidR="006D4BC3">
        <w:rPr>
          <w:kern w:val="22"/>
          <w:szCs w:val="24"/>
          <w:lang w:val="es-ES"/>
        </w:rPr>
        <w:t>ar</w:t>
      </w:r>
      <w:r>
        <w:rPr>
          <w:kern w:val="22"/>
          <w:szCs w:val="24"/>
          <w:lang w:val="es-ES"/>
        </w:rPr>
        <w:t xml:space="preserve"> términos alternativos.</w:t>
      </w:r>
    </w:p>
    <w:p w:rsidR="00047515" w:rsidRDefault="00047515" w:rsidP="009A1EB8">
      <w:pPr>
        <w:pStyle w:val="Para1"/>
        <w:numPr>
          <w:ilvl w:val="0"/>
          <w:numId w:val="6"/>
        </w:numPr>
        <w:suppressLineNumbers/>
        <w:suppressAutoHyphens/>
        <w:kinsoku w:val="0"/>
        <w:overflowPunct w:val="0"/>
        <w:autoSpaceDE w:val="0"/>
        <w:autoSpaceDN w:val="0"/>
        <w:spacing w:before="0"/>
        <w:ind w:left="0" w:firstLine="0"/>
        <w:rPr>
          <w:szCs w:val="24"/>
          <w:lang w:val="es-ES"/>
        </w:rPr>
      </w:pPr>
      <w:r>
        <w:rPr>
          <w:kern w:val="22"/>
          <w:szCs w:val="24"/>
          <w:lang w:val="es-ES"/>
        </w:rPr>
        <w:t>Los expertos identificaron distintos tipos de información que podría</w:t>
      </w:r>
      <w:r w:rsidR="009A1EB8">
        <w:rPr>
          <w:kern w:val="22"/>
          <w:szCs w:val="24"/>
          <w:lang w:val="es-ES"/>
        </w:rPr>
        <w:t>n</w:t>
      </w:r>
      <w:r>
        <w:rPr>
          <w:kern w:val="22"/>
          <w:szCs w:val="24"/>
          <w:lang w:val="es-ES"/>
        </w:rPr>
        <w:t xml:space="preserve"> ser pertinente</w:t>
      </w:r>
      <w:r w:rsidR="009A1EB8">
        <w:rPr>
          <w:kern w:val="22"/>
          <w:szCs w:val="24"/>
          <w:lang w:val="es-ES"/>
        </w:rPr>
        <w:t>s</w:t>
      </w:r>
      <w:r>
        <w:rPr>
          <w:kern w:val="22"/>
          <w:szCs w:val="24"/>
          <w:lang w:val="es-ES"/>
        </w:rPr>
        <w:t xml:space="preserve"> con respecto a la utilización de los recursos genéticos, </w:t>
      </w:r>
      <w:r w:rsidR="009A1EB8">
        <w:rPr>
          <w:kern w:val="22"/>
          <w:szCs w:val="24"/>
          <w:lang w:val="es-ES"/>
        </w:rPr>
        <w:t>aunque</w:t>
      </w:r>
      <w:r>
        <w:rPr>
          <w:kern w:val="22"/>
          <w:szCs w:val="24"/>
          <w:lang w:val="es-ES"/>
        </w:rPr>
        <w:t xml:space="preserve"> reconoc</w:t>
      </w:r>
      <w:r w:rsidR="009A1EB8">
        <w:rPr>
          <w:kern w:val="22"/>
          <w:szCs w:val="24"/>
          <w:lang w:val="es-ES"/>
        </w:rPr>
        <w:t>i</w:t>
      </w:r>
      <w:r>
        <w:rPr>
          <w:kern w:val="22"/>
          <w:szCs w:val="24"/>
          <w:lang w:val="es-ES"/>
        </w:rPr>
        <w:t>e</w:t>
      </w:r>
      <w:r w:rsidR="009A1EB8">
        <w:rPr>
          <w:kern w:val="22"/>
          <w:szCs w:val="24"/>
          <w:lang w:val="es-ES"/>
        </w:rPr>
        <w:t>ro</w:t>
      </w:r>
      <w:r>
        <w:rPr>
          <w:kern w:val="22"/>
          <w:szCs w:val="24"/>
          <w:lang w:val="es-ES"/>
        </w:rPr>
        <w:t xml:space="preserve">n que las afirmaciones realizadas </w:t>
      </w:r>
      <w:r w:rsidR="009A1EB8">
        <w:rPr>
          <w:kern w:val="22"/>
          <w:szCs w:val="24"/>
          <w:lang w:val="es-ES"/>
        </w:rPr>
        <w:t xml:space="preserve">más adelante </w:t>
      </w:r>
      <w:r>
        <w:rPr>
          <w:kern w:val="22"/>
          <w:szCs w:val="24"/>
          <w:lang w:val="es-ES"/>
        </w:rPr>
        <w:t>en el presente documento p</w:t>
      </w:r>
      <w:r w:rsidR="009A1EB8">
        <w:rPr>
          <w:kern w:val="22"/>
          <w:szCs w:val="24"/>
          <w:lang w:val="es-ES"/>
        </w:rPr>
        <w:t>o</w:t>
      </w:r>
      <w:r>
        <w:rPr>
          <w:kern w:val="22"/>
          <w:szCs w:val="24"/>
          <w:lang w:val="es-ES"/>
        </w:rPr>
        <w:t>d</w:t>
      </w:r>
      <w:r w:rsidR="009A1EB8">
        <w:rPr>
          <w:kern w:val="22"/>
          <w:szCs w:val="24"/>
          <w:lang w:val="es-ES"/>
        </w:rPr>
        <w:t>ría</w:t>
      </w:r>
      <w:r>
        <w:rPr>
          <w:kern w:val="22"/>
          <w:szCs w:val="24"/>
          <w:lang w:val="es-ES"/>
        </w:rPr>
        <w:t xml:space="preserve">n no aplicarse en igual medida a todos </w:t>
      </w:r>
      <w:r w:rsidR="009A1EB8">
        <w:rPr>
          <w:kern w:val="22"/>
          <w:szCs w:val="24"/>
          <w:lang w:val="es-ES"/>
        </w:rPr>
        <w:t>ellos</w:t>
      </w:r>
      <w:r>
        <w:rPr>
          <w:kern w:val="22"/>
          <w:szCs w:val="24"/>
          <w:lang w:val="es-ES"/>
        </w:rPr>
        <w:t>. Estos tipos incluyen, entre otros, los siguientes:</w:t>
      </w:r>
    </w:p>
    <w:p w:rsidR="00047515" w:rsidRDefault="00047515">
      <w:pPr>
        <w:pStyle w:val="Para1"/>
        <w:numPr>
          <w:ilvl w:val="0"/>
          <w:numId w:val="10"/>
        </w:numPr>
        <w:suppressLineNumbers/>
        <w:tabs>
          <w:tab w:val="clear" w:pos="4680"/>
        </w:tabs>
        <w:suppressAutoHyphens/>
        <w:kinsoku w:val="0"/>
        <w:overflowPunct w:val="0"/>
        <w:autoSpaceDE w:val="0"/>
        <w:autoSpaceDN w:val="0"/>
        <w:adjustRightInd w:val="0"/>
        <w:snapToGrid w:val="0"/>
        <w:spacing w:before="0"/>
        <w:ind w:left="0" w:firstLine="720"/>
        <w:rPr>
          <w:kern w:val="22"/>
          <w:szCs w:val="24"/>
          <w:lang w:val="es-ES"/>
        </w:rPr>
      </w:pPr>
      <w:r>
        <w:rPr>
          <w:kern w:val="22"/>
          <w:szCs w:val="24"/>
          <w:lang w:val="es-ES"/>
        </w:rPr>
        <w:t>Las lecturas de secuencias de ácido nucleico y datos asociados;</w:t>
      </w:r>
    </w:p>
    <w:p w:rsidR="00047515" w:rsidRDefault="00047515">
      <w:pPr>
        <w:pStyle w:val="Para1"/>
        <w:numPr>
          <w:ilvl w:val="0"/>
          <w:numId w:val="10"/>
        </w:numPr>
        <w:suppressLineNumbers/>
        <w:tabs>
          <w:tab w:val="clear" w:pos="4680"/>
        </w:tabs>
        <w:suppressAutoHyphens/>
        <w:kinsoku w:val="0"/>
        <w:overflowPunct w:val="0"/>
        <w:autoSpaceDE w:val="0"/>
        <w:autoSpaceDN w:val="0"/>
        <w:adjustRightInd w:val="0"/>
        <w:snapToGrid w:val="0"/>
        <w:spacing w:before="0"/>
        <w:ind w:left="0" w:firstLine="720"/>
        <w:rPr>
          <w:szCs w:val="24"/>
          <w:lang w:val="es-ES"/>
        </w:rPr>
      </w:pPr>
      <w:r>
        <w:rPr>
          <w:kern w:val="22"/>
          <w:szCs w:val="24"/>
          <w:lang w:val="es-ES"/>
        </w:rPr>
        <w:t>La información sobre el montaje de secuencias, su anotación y la cartografía genética. Esta información puede describir genomas enteros, genes individuales o fragmentos de estos, códigos de barra, genomas de orgánulos o</w:t>
      </w:r>
      <w:r w:rsidR="00564634">
        <w:rPr>
          <w:kern w:val="22"/>
          <w:szCs w:val="24"/>
          <w:lang w:val="es-ES"/>
        </w:rPr>
        <w:t xml:space="preserve"> </w:t>
      </w:r>
      <w:r>
        <w:rPr>
          <w:kern w:val="22"/>
          <w:szCs w:val="24"/>
          <w:lang w:val="es-ES"/>
        </w:rPr>
        <w:t>polimorfismo</w:t>
      </w:r>
      <w:r w:rsidR="009A1EB8">
        <w:rPr>
          <w:kern w:val="22"/>
          <w:szCs w:val="24"/>
          <w:lang w:val="es-ES"/>
        </w:rPr>
        <w:t>s</w:t>
      </w:r>
      <w:r>
        <w:rPr>
          <w:kern w:val="22"/>
          <w:szCs w:val="24"/>
          <w:lang w:val="es-ES"/>
        </w:rPr>
        <w:t xml:space="preserve"> de un solo nucleótido;</w:t>
      </w:r>
    </w:p>
    <w:p w:rsidR="00047515" w:rsidRDefault="00047515">
      <w:pPr>
        <w:pStyle w:val="Para1"/>
        <w:numPr>
          <w:ilvl w:val="0"/>
          <w:numId w:val="10"/>
        </w:numPr>
        <w:suppressLineNumbers/>
        <w:tabs>
          <w:tab w:val="clear" w:pos="4680"/>
        </w:tabs>
        <w:suppressAutoHyphens/>
        <w:kinsoku w:val="0"/>
        <w:overflowPunct w:val="0"/>
        <w:autoSpaceDE w:val="0"/>
        <w:autoSpaceDN w:val="0"/>
        <w:adjustRightInd w:val="0"/>
        <w:snapToGrid w:val="0"/>
        <w:spacing w:before="0"/>
        <w:ind w:left="0" w:firstLine="720"/>
        <w:rPr>
          <w:kern w:val="22"/>
          <w:szCs w:val="24"/>
          <w:lang w:val="es-ES"/>
        </w:rPr>
      </w:pPr>
      <w:r>
        <w:rPr>
          <w:kern w:val="22"/>
          <w:szCs w:val="24"/>
          <w:lang w:val="es-ES"/>
        </w:rPr>
        <w:t>Información sobre expresión génica;</w:t>
      </w:r>
    </w:p>
    <w:p w:rsidR="00047515" w:rsidRDefault="00047515">
      <w:pPr>
        <w:pStyle w:val="Para1"/>
        <w:numPr>
          <w:ilvl w:val="0"/>
          <w:numId w:val="10"/>
        </w:numPr>
        <w:suppressLineNumbers/>
        <w:tabs>
          <w:tab w:val="clear" w:pos="4680"/>
        </w:tabs>
        <w:suppressAutoHyphens/>
        <w:kinsoku w:val="0"/>
        <w:overflowPunct w:val="0"/>
        <w:autoSpaceDE w:val="0"/>
        <w:autoSpaceDN w:val="0"/>
        <w:adjustRightInd w:val="0"/>
        <w:snapToGrid w:val="0"/>
        <w:spacing w:before="0"/>
        <w:ind w:left="0" w:firstLine="720"/>
        <w:rPr>
          <w:kern w:val="22"/>
          <w:szCs w:val="24"/>
          <w:lang w:val="es-ES"/>
        </w:rPr>
      </w:pPr>
      <w:r>
        <w:rPr>
          <w:kern w:val="22"/>
          <w:szCs w:val="24"/>
          <w:lang w:val="es-ES"/>
        </w:rPr>
        <w:t>Datos sobre macromoléculas y metabolitos celulares;</w:t>
      </w:r>
    </w:p>
    <w:p w:rsidR="00047515" w:rsidRDefault="00047515" w:rsidP="009A1EB8">
      <w:pPr>
        <w:pStyle w:val="Para1"/>
        <w:numPr>
          <w:ilvl w:val="0"/>
          <w:numId w:val="10"/>
        </w:numPr>
        <w:suppressLineNumbers/>
        <w:tabs>
          <w:tab w:val="clear" w:pos="4680"/>
        </w:tabs>
        <w:suppressAutoHyphens/>
        <w:kinsoku w:val="0"/>
        <w:overflowPunct w:val="0"/>
        <w:autoSpaceDE w:val="0"/>
        <w:autoSpaceDN w:val="0"/>
        <w:adjustRightInd w:val="0"/>
        <w:snapToGrid w:val="0"/>
        <w:spacing w:before="0"/>
        <w:ind w:left="0" w:firstLine="720"/>
        <w:rPr>
          <w:kern w:val="22"/>
          <w:szCs w:val="24"/>
          <w:lang w:val="es-ES"/>
        </w:rPr>
      </w:pPr>
      <w:r>
        <w:rPr>
          <w:kern w:val="22"/>
          <w:szCs w:val="24"/>
          <w:lang w:val="es-ES"/>
        </w:rPr>
        <w:t>Información sobre relaciones ecológicas y factores abióticos ambient</w:t>
      </w:r>
      <w:r w:rsidR="009A1EB8">
        <w:rPr>
          <w:kern w:val="22"/>
          <w:szCs w:val="24"/>
          <w:lang w:val="es-ES"/>
        </w:rPr>
        <w:t>al</w:t>
      </w:r>
      <w:r>
        <w:rPr>
          <w:kern w:val="22"/>
          <w:szCs w:val="24"/>
          <w:lang w:val="es-ES"/>
        </w:rPr>
        <w:t>e</w:t>
      </w:r>
      <w:r w:rsidR="009A1EB8">
        <w:rPr>
          <w:kern w:val="22"/>
          <w:szCs w:val="24"/>
          <w:lang w:val="es-ES"/>
        </w:rPr>
        <w:t>s</w:t>
      </w:r>
      <w:r>
        <w:rPr>
          <w:kern w:val="22"/>
          <w:szCs w:val="24"/>
          <w:lang w:val="es-ES"/>
        </w:rPr>
        <w:t xml:space="preserve">; </w:t>
      </w:r>
    </w:p>
    <w:p w:rsidR="00047515" w:rsidRDefault="00047515" w:rsidP="008053E3">
      <w:pPr>
        <w:pStyle w:val="Para1"/>
        <w:numPr>
          <w:ilvl w:val="0"/>
          <w:numId w:val="10"/>
        </w:numPr>
        <w:suppressLineNumbers/>
        <w:tabs>
          <w:tab w:val="clear" w:pos="4680"/>
        </w:tabs>
        <w:suppressAutoHyphens/>
        <w:kinsoku w:val="0"/>
        <w:overflowPunct w:val="0"/>
        <w:autoSpaceDE w:val="0"/>
        <w:autoSpaceDN w:val="0"/>
        <w:adjustRightInd w:val="0"/>
        <w:snapToGrid w:val="0"/>
        <w:spacing w:before="0"/>
        <w:ind w:left="0" w:firstLine="720"/>
        <w:rPr>
          <w:kern w:val="22"/>
          <w:szCs w:val="24"/>
          <w:lang w:val="es-ES"/>
        </w:rPr>
      </w:pPr>
      <w:r>
        <w:rPr>
          <w:kern w:val="22"/>
          <w:szCs w:val="24"/>
          <w:lang w:val="es-ES"/>
        </w:rPr>
        <w:t>Función, por ejemplo, datos de comportamiento;</w:t>
      </w:r>
    </w:p>
    <w:p w:rsidR="00047515" w:rsidRDefault="00047515">
      <w:pPr>
        <w:pStyle w:val="Para1"/>
        <w:numPr>
          <w:ilvl w:val="0"/>
          <w:numId w:val="10"/>
        </w:numPr>
        <w:suppressLineNumbers/>
        <w:tabs>
          <w:tab w:val="clear" w:pos="4680"/>
        </w:tabs>
        <w:suppressAutoHyphens/>
        <w:kinsoku w:val="0"/>
        <w:overflowPunct w:val="0"/>
        <w:autoSpaceDE w:val="0"/>
        <w:autoSpaceDN w:val="0"/>
        <w:adjustRightInd w:val="0"/>
        <w:snapToGrid w:val="0"/>
        <w:spacing w:before="0"/>
        <w:ind w:left="0" w:firstLine="720"/>
        <w:rPr>
          <w:kern w:val="22"/>
          <w:szCs w:val="24"/>
          <w:lang w:val="es-ES"/>
        </w:rPr>
      </w:pPr>
      <w:r>
        <w:rPr>
          <w:kern w:val="22"/>
          <w:szCs w:val="24"/>
          <w:lang w:val="es-ES"/>
        </w:rPr>
        <w:t>Estructura, incluido</w:t>
      </w:r>
      <w:r w:rsidR="008053E3">
        <w:rPr>
          <w:kern w:val="22"/>
          <w:szCs w:val="24"/>
          <w:lang w:val="es-ES"/>
        </w:rPr>
        <w:t>s</w:t>
      </w:r>
      <w:r>
        <w:rPr>
          <w:kern w:val="22"/>
          <w:szCs w:val="24"/>
          <w:lang w:val="es-ES"/>
        </w:rPr>
        <w:t xml:space="preserve"> datos morfológicos y fenotipo;</w:t>
      </w:r>
    </w:p>
    <w:p w:rsidR="00047515" w:rsidRDefault="00047515">
      <w:pPr>
        <w:pStyle w:val="Para1"/>
        <w:numPr>
          <w:ilvl w:val="0"/>
          <w:numId w:val="10"/>
        </w:numPr>
        <w:suppressLineNumbers/>
        <w:tabs>
          <w:tab w:val="clear" w:pos="4680"/>
        </w:tabs>
        <w:suppressAutoHyphens/>
        <w:kinsoku w:val="0"/>
        <w:overflowPunct w:val="0"/>
        <w:autoSpaceDE w:val="0"/>
        <w:autoSpaceDN w:val="0"/>
        <w:adjustRightInd w:val="0"/>
        <w:snapToGrid w:val="0"/>
        <w:spacing w:before="0"/>
        <w:ind w:left="0" w:firstLine="720"/>
        <w:rPr>
          <w:kern w:val="22"/>
          <w:szCs w:val="24"/>
          <w:lang w:val="es-ES"/>
        </w:rPr>
      </w:pPr>
      <w:r>
        <w:rPr>
          <w:kern w:val="22"/>
          <w:szCs w:val="24"/>
          <w:lang w:val="es-ES"/>
        </w:rPr>
        <w:t>Información relacionada con taxonomía;</w:t>
      </w:r>
    </w:p>
    <w:p w:rsidR="00047515" w:rsidRDefault="00047515">
      <w:pPr>
        <w:pStyle w:val="Para1"/>
        <w:numPr>
          <w:ilvl w:val="0"/>
          <w:numId w:val="10"/>
        </w:numPr>
        <w:suppressLineNumbers/>
        <w:tabs>
          <w:tab w:val="clear" w:pos="4680"/>
        </w:tabs>
        <w:suppressAutoHyphens/>
        <w:kinsoku w:val="0"/>
        <w:overflowPunct w:val="0"/>
        <w:autoSpaceDE w:val="0"/>
        <w:autoSpaceDN w:val="0"/>
        <w:adjustRightInd w:val="0"/>
        <w:snapToGrid w:val="0"/>
        <w:spacing w:before="0"/>
        <w:ind w:left="0" w:firstLine="720"/>
        <w:rPr>
          <w:kern w:val="22"/>
          <w:szCs w:val="24"/>
          <w:lang w:val="es-ES"/>
        </w:rPr>
      </w:pPr>
      <w:r>
        <w:rPr>
          <w:kern w:val="22"/>
          <w:szCs w:val="24"/>
          <w:lang w:val="es-ES"/>
        </w:rPr>
        <w:t>Modalidades de uso.</w:t>
      </w:r>
    </w:p>
    <w:p w:rsidR="00047515" w:rsidRDefault="00047515" w:rsidP="008053E3">
      <w:pPr>
        <w:pStyle w:val="Para1"/>
        <w:numPr>
          <w:ilvl w:val="0"/>
          <w:numId w:val="6"/>
        </w:numPr>
        <w:suppressLineNumbers/>
        <w:suppressAutoHyphens/>
        <w:kinsoku w:val="0"/>
        <w:overflowPunct w:val="0"/>
        <w:autoSpaceDE w:val="0"/>
        <w:autoSpaceDN w:val="0"/>
        <w:ind w:left="0" w:firstLine="0"/>
        <w:rPr>
          <w:szCs w:val="24"/>
          <w:lang w:val="es-ES"/>
        </w:rPr>
      </w:pPr>
      <w:r>
        <w:rPr>
          <w:kern w:val="22"/>
          <w:szCs w:val="24"/>
          <w:lang w:val="es-ES"/>
        </w:rPr>
        <w:t>Algunos expertos opinaron que se podría agrupar la información en dos</w:t>
      </w:r>
      <w:r w:rsidR="00564634">
        <w:rPr>
          <w:kern w:val="22"/>
          <w:szCs w:val="24"/>
          <w:lang w:val="es-ES"/>
        </w:rPr>
        <w:t xml:space="preserve"> </w:t>
      </w:r>
      <w:r>
        <w:rPr>
          <w:kern w:val="22"/>
          <w:szCs w:val="24"/>
          <w:lang w:val="es-ES"/>
        </w:rPr>
        <w:t>categorías. Una categoría correspondería a información que indique de alguna manera la composición genética o bioquímica de los recursos genéticos, la cual incluiría los tipo</w:t>
      </w:r>
      <w:r w:rsidR="00612997">
        <w:rPr>
          <w:kern w:val="22"/>
          <w:szCs w:val="24"/>
          <w:lang w:val="es-ES"/>
        </w:rPr>
        <w:t>s</w:t>
      </w:r>
      <w:r>
        <w:rPr>
          <w:kern w:val="22"/>
          <w:szCs w:val="24"/>
          <w:lang w:val="es-ES"/>
        </w:rPr>
        <w:t xml:space="preserve"> a)</w:t>
      </w:r>
      <w:r w:rsidR="008053E3">
        <w:rPr>
          <w:kern w:val="22"/>
          <w:szCs w:val="24"/>
          <w:lang w:val="es-ES"/>
        </w:rPr>
        <w:t xml:space="preserve"> </w:t>
      </w:r>
      <w:r>
        <w:rPr>
          <w:kern w:val="22"/>
          <w:szCs w:val="24"/>
          <w:lang w:val="es-ES"/>
        </w:rPr>
        <w:t>a</w:t>
      </w:r>
      <w:r w:rsidR="008053E3">
        <w:rPr>
          <w:kern w:val="22"/>
          <w:szCs w:val="24"/>
          <w:lang w:val="es-ES"/>
        </w:rPr>
        <w:t xml:space="preserve"> d) de la lista</w:t>
      </w:r>
      <w:r>
        <w:rPr>
          <w:kern w:val="22"/>
          <w:szCs w:val="24"/>
          <w:lang w:val="es-ES"/>
        </w:rPr>
        <w:t xml:space="preserve">. La segunda categoría </w:t>
      </w:r>
      <w:r w:rsidR="009A1EB8">
        <w:rPr>
          <w:kern w:val="22"/>
          <w:szCs w:val="24"/>
          <w:lang w:val="es-ES"/>
        </w:rPr>
        <w:t>correspondería a</w:t>
      </w:r>
      <w:r>
        <w:rPr>
          <w:kern w:val="22"/>
          <w:szCs w:val="24"/>
          <w:lang w:val="es-ES"/>
        </w:rPr>
        <w:t xml:space="preserve"> datos observaci</w:t>
      </w:r>
      <w:r w:rsidR="00C41C87">
        <w:rPr>
          <w:kern w:val="22"/>
          <w:szCs w:val="24"/>
          <w:lang w:val="es-ES"/>
        </w:rPr>
        <w:t>o</w:t>
      </w:r>
      <w:r>
        <w:rPr>
          <w:kern w:val="22"/>
          <w:szCs w:val="24"/>
          <w:lang w:val="es-ES"/>
        </w:rPr>
        <w:t>n</w:t>
      </w:r>
      <w:r w:rsidR="00C41C87">
        <w:rPr>
          <w:kern w:val="22"/>
          <w:szCs w:val="24"/>
          <w:lang w:val="es-ES"/>
        </w:rPr>
        <w:t>ales</w:t>
      </w:r>
      <w:r>
        <w:rPr>
          <w:kern w:val="22"/>
          <w:szCs w:val="24"/>
          <w:lang w:val="es-ES"/>
        </w:rPr>
        <w:t xml:space="preserve"> que aport</w:t>
      </w:r>
      <w:r w:rsidR="00C41C87">
        <w:rPr>
          <w:kern w:val="22"/>
          <w:szCs w:val="24"/>
          <w:lang w:val="es-ES"/>
        </w:rPr>
        <w:t>a</w:t>
      </w:r>
      <w:r>
        <w:rPr>
          <w:kern w:val="22"/>
          <w:szCs w:val="24"/>
          <w:lang w:val="es-ES"/>
        </w:rPr>
        <w:t>n información contextual</w:t>
      </w:r>
      <w:r w:rsidR="009A1EB8">
        <w:rPr>
          <w:kern w:val="22"/>
          <w:szCs w:val="24"/>
          <w:lang w:val="es-ES"/>
        </w:rPr>
        <w:t>, lo cual</w:t>
      </w:r>
      <w:r>
        <w:rPr>
          <w:kern w:val="22"/>
          <w:szCs w:val="24"/>
          <w:lang w:val="es-ES"/>
        </w:rPr>
        <w:t xml:space="preserve"> abarcaría los tipos e)</w:t>
      </w:r>
      <w:r w:rsidR="008053E3">
        <w:rPr>
          <w:kern w:val="22"/>
          <w:szCs w:val="24"/>
          <w:lang w:val="es-ES"/>
        </w:rPr>
        <w:t xml:space="preserve"> </w:t>
      </w:r>
      <w:r>
        <w:rPr>
          <w:kern w:val="22"/>
          <w:szCs w:val="24"/>
          <w:lang w:val="es-ES"/>
        </w:rPr>
        <w:t>a</w:t>
      </w:r>
      <w:r w:rsidR="008053E3">
        <w:rPr>
          <w:kern w:val="22"/>
          <w:szCs w:val="24"/>
          <w:lang w:val="es-ES"/>
        </w:rPr>
        <w:t xml:space="preserve"> i) de la lista</w:t>
      </w:r>
      <w:r>
        <w:rPr>
          <w:kern w:val="22"/>
          <w:szCs w:val="24"/>
          <w:lang w:val="es-ES"/>
        </w:rPr>
        <w:t xml:space="preserve">, y </w:t>
      </w:r>
      <w:r w:rsidR="009A1EB8">
        <w:rPr>
          <w:kern w:val="22"/>
          <w:szCs w:val="24"/>
          <w:lang w:val="es-ES"/>
        </w:rPr>
        <w:t>que</w:t>
      </w:r>
      <w:r>
        <w:rPr>
          <w:kern w:val="22"/>
          <w:szCs w:val="24"/>
          <w:lang w:val="es-ES"/>
        </w:rPr>
        <w:t xml:space="preserve"> </w:t>
      </w:r>
      <w:r w:rsidR="00C41C87">
        <w:rPr>
          <w:kern w:val="22"/>
          <w:szCs w:val="24"/>
          <w:lang w:val="es-ES"/>
        </w:rPr>
        <w:t xml:space="preserve">esa información </w:t>
      </w:r>
      <w:r>
        <w:rPr>
          <w:kern w:val="22"/>
          <w:szCs w:val="24"/>
          <w:lang w:val="es-ES"/>
        </w:rPr>
        <w:t>podría resultar o no de la utilización de recursos genéticos. Se señaló que</w:t>
      </w:r>
      <w:r w:rsidR="009A1EB8">
        <w:rPr>
          <w:kern w:val="22"/>
          <w:szCs w:val="24"/>
          <w:lang w:val="es-ES"/>
        </w:rPr>
        <w:t xml:space="preserve"> </w:t>
      </w:r>
      <w:r w:rsidR="00C41C87">
        <w:rPr>
          <w:kern w:val="22"/>
          <w:szCs w:val="24"/>
          <w:lang w:val="es-ES"/>
        </w:rPr>
        <w:t xml:space="preserve">la información contextual puede haberse recabado </w:t>
      </w:r>
      <w:r w:rsidR="009A1EB8">
        <w:rPr>
          <w:kern w:val="22"/>
          <w:szCs w:val="24"/>
          <w:lang w:val="es-ES"/>
        </w:rPr>
        <w:t>a</w:t>
      </w:r>
      <w:r w:rsidR="00C41C87">
        <w:rPr>
          <w:kern w:val="22"/>
          <w:szCs w:val="24"/>
          <w:lang w:val="es-ES"/>
        </w:rPr>
        <w:t xml:space="preserve">l obtener un material genético particular, </w:t>
      </w:r>
      <w:r>
        <w:rPr>
          <w:kern w:val="22"/>
          <w:szCs w:val="24"/>
          <w:lang w:val="es-ES"/>
        </w:rPr>
        <w:t xml:space="preserve">o </w:t>
      </w:r>
      <w:r w:rsidR="00C41C87">
        <w:rPr>
          <w:kern w:val="22"/>
          <w:szCs w:val="24"/>
          <w:lang w:val="es-ES"/>
        </w:rPr>
        <w:t>bien en forma</w:t>
      </w:r>
      <w:r>
        <w:rPr>
          <w:kern w:val="22"/>
          <w:szCs w:val="24"/>
          <w:lang w:val="es-ES"/>
        </w:rPr>
        <w:t xml:space="preserve"> independiente, y que </w:t>
      </w:r>
      <w:r w:rsidR="00C41C87">
        <w:rPr>
          <w:kern w:val="22"/>
          <w:szCs w:val="24"/>
          <w:lang w:val="es-ES"/>
        </w:rPr>
        <w:t>esa información proporciona</w:t>
      </w:r>
      <w:r>
        <w:rPr>
          <w:kern w:val="22"/>
          <w:szCs w:val="24"/>
          <w:lang w:val="es-ES"/>
        </w:rPr>
        <w:t xml:space="preserve"> contexto sobre la procedencia de la muestra, entre otras cosas. También se señaló que dicha información podría facilitar la interpretación de la información obtenida sobre la composición genética o bioquímica de un recurso genético y por lo tanto </w:t>
      </w:r>
      <w:r w:rsidR="00C112C8">
        <w:rPr>
          <w:kern w:val="22"/>
          <w:szCs w:val="24"/>
          <w:lang w:val="es-ES"/>
        </w:rPr>
        <w:t>contribui</w:t>
      </w:r>
      <w:r w:rsidR="00C41C87">
        <w:rPr>
          <w:kern w:val="22"/>
          <w:szCs w:val="24"/>
          <w:lang w:val="es-ES"/>
        </w:rPr>
        <w:t>r</w:t>
      </w:r>
      <w:r w:rsidR="00C112C8">
        <w:rPr>
          <w:kern w:val="22"/>
          <w:szCs w:val="24"/>
          <w:lang w:val="es-ES"/>
        </w:rPr>
        <w:t>ía</w:t>
      </w:r>
      <w:r>
        <w:rPr>
          <w:kern w:val="22"/>
          <w:szCs w:val="24"/>
          <w:lang w:val="es-ES"/>
        </w:rPr>
        <w:t xml:space="preserve"> </w:t>
      </w:r>
      <w:r w:rsidR="00C41C87">
        <w:rPr>
          <w:kern w:val="22"/>
          <w:szCs w:val="24"/>
          <w:lang w:val="es-ES"/>
        </w:rPr>
        <w:t>a</w:t>
      </w:r>
      <w:r>
        <w:rPr>
          <w:kern w:val="22"/>
          <w:szCs w:val="24"/>
          <w:lang w:val="es-ES"/>
        </w:rPr>
        <w:t xml:space="preserve"> una comprensión significativa y útil de las propiedades del recurso genético.</w:t>
      </w:r>
    </w:p>
    <w:p w:rsidR="00047515" w:rsidRDefault="00047515" w:rsidP="0055040D">
      <w:pPr>
        <w:pStyle w:val="Para1"/>
        <w:numPr>
          <w:ilvl w:val="0"/>
          <w:numId w:val="6"/>
        </w:numPr>
        <w:suppressLineNumbers/>
        <w:suppressAutoHyphens/>
        <w:kinsoku w:val="0"/>
        <w:overflowPunct w:val="0"/>
        <w:autoSpaceDE w:val="0"/>
        <w:autoSpaceDN w:val="0"/>
        <w:ind w:left="0" w:firstLine="0"/>
        <w:rPr>
          <w:szCs w:val="24"/>
          <w:lang w:val="es-ES"/>
        </w:rPr>
      </w:pPr>
      <w:r>
        <w:rPr>
          <w:kern w:val="22"/>
          <w:szCs w:val="24"/>
          <w:lang w:val="es-ES"/>
        </w:rPr>
        <w:t xml:space="preserve">Algunos participantes opinaron que </w:t>
      </w:r>
      <w:r w:rsidR="00C112C8">
        <w:rPr>
          <w:kern w:val="22"/>
          <w:szCs w:val="24"/>
          <w:lang w:val="es-ES"/>
        </w:rPr>
        <w:t xml:space="preserve">considerados en su conjunto </w:t>
      </w:r>
      <w:r>
        <w:rPr>
          <w:kern w:val="22"/>
          <w:szCs w:val="24"/>
          <w:lang w:val="es-ES"/>
        </w:rPr>
        <w:t xml:space="preserve">algunos </w:t>
      </w:r>
      <w:r w:rsidR="00C112C8">
        <w:rPr>
          <w:kern w:val="22"/>
          <w:szCs w:val="24"/>
          <w:lang w:val="es-ES"/>
        </w:rPr>
        <w:t>de est</w:t>
      </w:r>
      <w:r>
        <w:rPr>
          <w:kern w:val="22"/>
          <w:szCs w:val="24"/>
          <w:lang w:val="es-ES"/>
        </w:rPr>
        <w:t>os tipos de información</w:t>
      </w:r>
      <w:r w:rsidR="00C112C8">
        <w:rPr>
          <w:kern w:val="22"/>
          <w:szCs w:val="24"/>
          <w:lang w:val="es-ES"/>
        </w:rPr>
        <w:t>, o todos ellos</w:t>
      </w:r>
      <w:r>
        <w:rPr>
          <w:kern w:val="22"/>
          <w:szCs w:val="24"/>
          <w:lang w:val="es-ES"/>
        </w:rPr>
        <w:t>, podrían clasificarse como “información natural” o “información de recursos genéticos”. Algunos expertos observaron que el término “</w:t>
      </w:r>
      <w:r w:rsidR="0055040D">
        <w:rPr>
          <w:kern w:val="22"/>
          <w:szCs w:val="24"/>
          <w:lang w:val="es-ES"/>
        </w:rPr>
        <w:t>datos de</w:t>
      </w:r>
      <w:r>
        <w:rPr>
          <w:kern w:val="22"/>
          <w:szCs w:val="24"/>
          <w:lang w:val="es-ES"/>
        </w:rPr>
        <w:t xml:space="preserve"> secuencia</w:t>
      </w:r>
      <w:r w:rsidR="0055040D">
        <w:rPr>
          <w:kern w:val="22"/>
          <w:szCs w:val="24"/>
          <w:lang w:val="es-ES"/>
        </w:rPr>
        <w:t>s</w:t>
      </w:r>
      <w:r>
        <w:rPr>
          <w:kern w:val="22"/>
          <w:szCs w:val="24"/>
          <w:lang w:val="es-ES"/>
        </w:rPr>
        <w:t xml:space="preserve"> genética</w:t>
      </w:r>
      <w:r w:rsidR="0055040D">
        <w:rPr>
          <w:kern w:val="22"/>
          <w:szCs w:val="24"/>
          <w:lang w:val="es-ES"/>
        </w:rPr>
        <w:t>s</w:t>
      </w:r>
      <w:r>
        <w:rPr>
          <w:kern w:val="22"/>
          <w:szCs w:val="24"/>
          <w:lang w:val="es-ES"/>
        </w:rPr>
        <w:t>” se emplea ampliamente y es un término que se entiende claramente en la comunidad científica. También se señaló que la aplicación de nuevas tecnologías podría dar lugar a otros tipos de información.</w:t>
      </w:r>
    </w:p>
    <w:p w:rsidR="00047515" w:rsidRDefault="00047515">
      <w:pPr>
        <w:pStyle w:val="Para1"/>
        <w:numPr>
          <w:ilvl w:val="0"/>
          <w:numId w:val="6"/>
        </w:numPr>
        <w:suppressLineNumbers/>
        <w:suppressAutoHyphens/>
        <w:kinsoku w:val="0"/>
        <w:overflowPunct w:val="0"/>
        <w:autoSpaceDE w:val="0"/>
        <w:autoSpaceDN w:val="0"/>
        <w:ind w:left="0" w:firstLine="0"/>
        <w:rPr>
          <w:kern w:val="22"/>
          <w:szCs w:val="24"/>
          <w:lang w:val="es-ES"/>
        </w:rPr>
      </w:pPr>
      <w:r>
        <w:rPr>
          <w:kern w:val="22"/>
          <w:szCs w:val="24"/>
          <w:lang w:val="es-ES"/>
        </w:rPr>
        <w:t>Los expertos coincidieron en que la información que indica la composición genética o bioquímica del recurso genético es información que en algún momento surgió de una fuente física.</w:t>
      </w:r>
    </w:p>
    <w:p w:rsidR="00047515" w:rsidRDefault="00047515" w:rsidP="00C112C8">
      <w:pPr>
        <w:pStyle w:val="Para1"/>
        <w:numPr>
          <w:ilvl w:val="0"/>
          <w:numId w:val="6"/>
        </w:numPr>
        <w:suppressLineNumbers/>
        <w:suppressAutoHyphens/>
        <w:kinsoku w:val="0"/>
        <w:overflowPunct w:val="0"/>
        <w:autoSpaceDE w:val="0"/>
        <w:autoSpaceDN w:val="0"/>
        <w:ind w:left="0" w:firstLine="0"/>
        <w:rPr>
          <w:kern w:val="22"/>
          <w:szCs w:val="24"/>
          <w:lang w:val="es-ES"/>
        </w:rPr>
      </w:pPr>
      <w:r>
        <w:rPr>
          <w:kern w:val="22"/>
          <w:szCs w:val="24"/>
          <w:lang w:val="es-ES"/>
        </w:rPr>
        <w:t>El grupo también consideró el ámbito técnico y las repercusiones jurídicas y científicas de la terminología existente referida a información digital sobre secuencias de recursos genéticos.</w:t>
      </w:r>
    </w:p>
    <w:p w:rsidR="00047515" w:rsidRDefault="00047515" w:rsidP="000E6759">
      <w:pPr>
        <w:pStyle w:val="Para1"/>
        <w:numPr>
          <w:ilvl w:val="0"/>
          <w:numId w:val="6"/>
        </w:numPr>
        <w:suppressLineNumbers/>
        <w:suppressAutoHyphens/>
        <w:kinsoku w:val="0"/>
        <w:overflowPunct w:val="0"/>
        <w:autoSpaceDE w:val="0"/>
        <w:autoSpaceDN w:val="0"/>
        <w:ind w:left="0" w:firstLine="0"/>
        <w:rPr>
          <w:szCs w:val="24"/>
          <w:lang w:val="es-ES"/>
        </w:rPr>
      </w:pPr>
      <w:r>
        <w:rPr>
          <w:kern w:val="22"/>
          <w:szCs w:val="24"/>
          <w:lang w:val="es-ES"/>
        </w:rPr>
        <w:lastRenderedPageBreak/>
        <w:t xml:space="preserve">Los expertos </w:t>
      </w:r>
      <w:r w:rsidR="000E6759">
        <w:rPr>
          <w:kern w:val="22"/>
          <w:szCs w:val="24"/>
          <w:lang w:val="es-ES"/>
        </w:rPr>
        <w:t>d</w:t>
      </w:r>
      <w:r>
        <w:rPr>
          <w:kern w:val="22"/>
          <w:szCs w:val="24"/>
          <w:lang w:val="es-ES"/>
        </w:rPr>
        <w:t>e</w:t>
      </w:r>
      <w:r w:rsidR="000E6759">
        <w:rPr>
          <w:kern w:val="22"/>
          <w:szCs w:val="24"/>
          <w:lang w:val="es-ES"/>
        </w:rPr>
        <w:t>l</w:t>
      </w:r>
      <w:r>
        <w:rPr>
          <w:kern w:val="22"/>
          <w:szCs w:val="24"/>
          <w:lang w:val="es-ES"/>
        </w:rPr>
        <w:t>i</w:t>
      </w:r>
      <w:r w:rsidR="000E6759">
        <w:rPr>
          <w:kern w:val="22"/>
          <w:szCs w:val="24"/>
          <w:lang w:val="es-ES"/>
        </w:rPr>
        <w:t>ber</w:t>
      </w:r>
      <w:r>
        <w:rPr>
          <w:kern w:val="22"/>
          <w:szCs w:val="24"/>
          <w:lang w:val="es-ES"/>
        </w:rPr>
        <w:t xml:space="preserve">aron </w:t>
      </w:r>
      <w:r w:rsidR="000E6759">
        <w:rPr>
          <w:kern w:val="22"/>
          <w:szCs w:val="24"/>
          <w:lang w:val="es-ES"/>
        </w:rPr>
        <w:t xml:space="preserve">sobre </w:t>
      </w:r>
      <w:r>
        <w:rPr>
          <w:kern w:val="22"/>
          <w:szCs w:val="24"/>
          <w:lang w:val="es-ES"/>
        </w:rPr>
        <w:t xml:space="preserve">la relación entre </w:t>
      </w:r>
      <w:r w:rsidR="000E6759">
        <w:rPr>
          <w:kern w:val="22"/>
          <w:szCs w:val="24"/>
          <w:lang w:val="es-ES"/>
        </w:rPr>
        <w:t xml:space="preserve">la </w:t>
      </w:r>
      <w:r>
        <w:rPr>
          <w:kern w:val="22"/>
          <w:szCs w:val="24"/>
          <w:lang w:val="es-ES"/>
        </w:rPr>
        <w:t>“DSI” y las definiciones contenidas en el Convenio y el Protocolo de Nagoya. Hubo distintas opiniones, entre ellas:</w:t>
      </w:r>
    </w:p>
    <w:p w:rsidR="00047515" w:rsidRDefault="00047515" w:rsidP="000A5F48">
      <w:pPr>
        <w:pStyle w:val="Para1"/>
        <w:numPr>
          <w:ilvl w:val="0"/>
          <w:numId w:val="11"/>
        </w:numPr>
        <w:suppressLineNumbers/>
        <w:tabs>
          <w:tab w:val="clear" w:pos="4680"/>
        </w:tabs>
        <w:suppressAutoHyphens/>
        <w:kinsoku w:val="0"/>
        <w:overflowPunct w:val="0"/>
        <w:autoSpaceDE w:val="0"/>
        <w:autoSpaceDN w:val="0"/>
        <w:spacing w:before="0"/>
        <w:ind w:left="0" w:firstLine="720"/>
        <w:rPr>
          <w:kern w:val="22"/>
          <w:szCs w:val="24"/>
          <w:lang w:val="es-ES"/>
        </w:rPr>
      </w:pPr>
      <w:r>
        <w:rPr>
          <w:kern w:val="22"/>
          <w:szCs w:val="24"/>
          <w:lang w:val="es-ES"/>
        </w:rPr>
        <w:t xml:space="preserve">Para algunos expertos </w:t>
      </w:r>
      <w:r w:rsidR="000A5F48">
        <w:rPr>
          <w:kern w:val="22"/>
          <w:szCs w:val="24"/>
          <w:lang w:val="es-ES"/>
        </w:rPr>
        <w:t xml:space="preserve">la “DSI” está comprendida en </w:t>
      </w:r>
      <w:r>
        <w:rPr>
          <w:kern w:val="22"/>
          <w:szCs w:val="24"/>
          <w:lang w:val="es-ES"/>
        </w:rPr>
        <w:t>la definición de “recursos genéticos”</w:t>
      </w:r>
      <w:r>
        <w:rPr>
          <w:rStyle w:val="StyleFootnoteReferencenumberFootnoteReferenceSuperscript-EF"/>
          <w:szCs w:val="24"/>
          <w:lang w:val="es-ES"/>
        </w:rPr>
        <w:footnoteReference w:id="9"/>
      </w:r>
      <w:r>
        <w:rPr>
          <w:kern w:val="22"/>
          <w:szCs w:val="24"/>
          <w:lang w:val="es-ES"/>
        </w:rPr>
        <w:t>;</w:t>
      </w:r>
    </w:p>
    <w:p w:rsidR="00047515" w:rsidRDefault="00047515">
      <w:pPr>
        <w:pStyle w:val="Para1"/>
        <w:numPr>
          <w:ilvl w:val="0"/>
          <w:numId w:val="11"/>
        </w:numPr>
        <w:suppressLineNumbers/>
        <w:tabs>
          <w:tab w:val="clear" w:pos="4680"/>
        </w:tabs>
        <w:suppressAutoHyphens/>
        <w:kinsoku w:val="0"/>
        <w:overflowPunct w:val="0"/>
        <w:autoSpaceDE w:val="0"/>
        <w:autoSpaceDN w:val="0"/>
        <w:spacing w:before="0"/>
        <w:ind w:left="0" w:firstLine="720"/>
        <w:rPr>
          <w:kern w:val="22"/>
          <w:szCs w:val="24"/>
          <w:lang w:val="es-ES"/>
        </w:rPr>
      </w:pPr>
      <w:r>
        <w:rPr>
          <w:kern w:val="22"/>
          <w:szCs w:val="24"/>
          <w:lang w:val="es-ES"/>
        </w:rPr>
        <w:t>Otros plantearon que la definición de “recursos genéticos” se refiere a material tangible o físico mientras que la “DSI” es intangible y por lo tanto no está comprendida en la definición;</w:t>
      </w:r>
    </w:p>
    <w:p w:rsidR="00047515" w:rsidRDefault="00047515" w:rsidP="008053E3">
      <w:pPr>
        <w:pStyle w:val="Para1"/>
        <w:numPr>
          <w:ilvl w:val="0"/>
          <w:numId w:val="11"/>
        </w:numPr>
        <w:suppressLineNumbers/>
        <w:tabs>
          <w:tab w:val="clear" w:pos="4680"/>
        </w:tabs>
        <w:suppressAutoHyphens/>
        <w:kinsoku w:val="0"/>
        <w:overflowPunct w:val="0"/>
        <w:autoSpaceDE w:val="0"/>
        <w:autoSpaceDN w:val="0"/>
        <w:spacing w:before="0"/>
        <w:ind w:left="0" w:firstLine="720"/>
        <w:rPr>
          <w:szCs w:val="24"/>
          <w:lang w:val="es-ES"/>
        </w:rPr>
      </w:pPr>
      <w:r>
        <w:rPr>
          <w:kern w:val="22"/>
          <w:szCs w:val="24"/>
          <w:lang w:val="es-ES"/>
        </w:rPr>
        <w:t xml:space="preserve">Algunos expertos consideraron que la frase “o de otro </w:t>
      </w:r>
      <w:r w:rsidR="000A5F48">
        <w:rPr>
          <w:kern w:val="22"/>
          <w:szCs w:val="24"/>
          <w:lang w:val="es-ES"/>
        </w:rPr>
        <w:t>tipo</w:t>
      </w:r>
      <w:r>
        <w:rPr>
          <w:kern w:val="22"/>
          <w:szCs w:val="24"/>
          <w:lang w:val="es-ES"/>
        </w:rPr>
        <w:t>” contenida en la definición de “material genético”</w:t>
      </w:r>
      <w:r w:rsidRPr="000E6759">
        <w:rPr>
          <w:rStyle w:val="FootnoteReference"/>
          <w:kern w:val="22"/>
          <w:sz w:val="22"/>
          <w:szCs w:val="22"/>
          <w:u w:val="none"/>
          <w:vertAlign w:val="superscript"/>
          <w:lang w:val="es-ES"/>
        </w:rPr>
        <w:footnoteReference w:id="10"/>
      </w:r>
      <w:r>
        <w:rPr>
          <w:kern w:val="22"/>
          <w:szCs w:val="24"/>
          <w:lang w:val="es-ES"/>
        </w:rPr>
        <w:t xml:space="preserve"> se refiere, por ejemplo, a otras categorías taxonómicas que no se </w:t>
      </w:r>
      <w:r w:rsidR="008053E3">
        <w:rPr>
          <w:kern w:val="22"/>
          <w:szCs w:val="24"/>
          <w:lang w:val="es-ES"/>
        </w:rPr>
        <w:t>enumeran</w:t>
      </w:r>
      <w:r>
        <w:rPr>
          <w:kern w:val="22"/>
          <w:szCs w:val="24"/>
          <w:lang w:val="es-ES"/>
        </w:rPr>
        <w:t xml:space="preserve"> en la definición. Para otros expertos la frase podría comprender </w:t>
      </w:r>
      <w:r w:rsidR="000E6759">
        <w:rPr>
          <w:kern w:val="22"/>
          <w:szCs w:val="24"/>
          <w:lang w:val="es-ES"/>
        </w:rPr>
        <w:t xml:space="preserve">la </w:t>
      </w:r>
      <w:r>
        <w:rPr>
          <w:kern w:val="22"/>
          <w:szCs w:val="24"/>
          <w:lang w:val="es-ES"/>
        </w:rPr>
        <w:t>“DSI”;</w:t>
      </w:r>
    </w:p>
    <w:p w:rsidR="00047515" w:rsidRDefault="00047515" w:rsidP="008053E3">
      <w:pPr>
        <w:pStyle w:val="Para1"/>
        <w:numPr>
          <w:ilvl w:val="0"/>
          <w:numId w:val="11"/>
        </w:numPr>
        <w:suppressLineNumbers/>
        <w:tabs>
          <w:tab w:val="clear" w:pos="4680"/>
        </w:tabs>
        <w:suppressAutoHyphens/>
        <w:kinsoku w:val="0"/>
        <w:overflowPunct w:val="0"/>
        <w:autoSpaceDE w:val="0"/>
        <w:autoSpaceDN w:val="0"/>
        <w:spacing w:before="0"/>
        <w:ind w:left="0" w:firstLine="720"/>
        <w:rPr>
          <w:kern w:val="22"/>
          <w:szCs w:val="24"/>
          <w:lang w:val="es-ES"/>
        </w:rPr>
      </w:pPr>
      <w:r>
        <w:rPr>
          <w:kern w:val="22"/>
          <w:szCs w:val="24"/>
          <w:lang w:val="es-ES"/>
        </w:rPr>
        <w:t xml:space="preserve">Algunos expertos opinaron que, aún en el caso de que </w:t>
      </w:r>
      <w:r w:rsidR="000A5F48">
        <w:rPr>
          <w:kern w:val="22"/>
          <w:szCs w:val="24"/>
          <w:lang w:val="es-ES"/>
        </w:rPr>
        <w:t xml:space="preserve">no </w:t>
      </w:r>
      <w:r>
        <w:rPr>
          <w:kern w:val="22"/>
          <w:szCs w:val="24"/>
          <w:lang w:val="es-ES"/>
        </w:rPr>
        <w:t xml:space="preserve">estuviera comprendida </w:t>
      </w:r>
      <w:r w:rsidR="00EB67BC">
        <w:rPr>
          <w:kern w:val="22"/>
          <w:szCs w:val="24"/>
          <w:lang w:val="es-ES"/>
        </w:rPr>
        <w:t>en</w:t>
      </w:r>
      <w:r>
        <w:rPr>
          <w:kern w:val="22"/>
          <w:szCs w:val="24"/>
          <w:lang w:val="es-ES"/>
        </w:rPr>
        <w:t xml:space="preserve"> la definición de “recursos genéticos”, la “DSI” </w:t>
      </w:r>
      <w:r w:rsidR="000A5F48">
        <w:rPr>
          <w:kern w:val="22"/>
          <w:szCs w:val="24"/>
          <w:lang w:val="es-ES"/>
        </w:rPr>
        <w:t>está</w:t>
      </w:r>
      <w:r>
        <w:rPr>
          <w:kern w:val="22"/>
          <w:szCs w:val="24"/>
          <w:lang w:val="es-ES"/>
        </w:rPr>
        <w:t xml:space="preserve"> dentro del alcance del Protocolo de Nagoya en tanto resulta de la utilización de recursos genéticos o aplicaciones y comercialización posteriores y por lo tanto debe incluirse en la participación </w:t>
      </w:r>
      <w:r w:rsidR="008053E3">
        <w:rPr>
          <w:kern w:val="22"/>
          <w:szCs w:val="24"/>
          <w:lang w:val="es-ES"/>
        </w:rPr>
        <w:t>en</w:t>
      </w:r>
      <w:r>
        <w:rPr>
          <w:kern w:val="22"/>
          <w:szCs w:val="24"/>
          <w:lang w:val="es-ES"/>
        </w:rPr>
        <w:t xml:space="preserve"> los beneficios;</w:t>
      </w:r>
    </w:p>
    <w:p w:rsidR="00047515" w:rsidRDefault="00047515" w:rsidP="008053E3">
      <w:pPr>
        <w:pStyle w:val="Para1"/>
        <w:numPr>
          <w:ilvl w:val="0"/>
          <w:numId w:val="11"/>
        </w:numPr>
        <w:suppressLineNumbers/>
        <w:tabs>
          <w:tab w:val="clear" w:pos="4680"/>
        </w:tabs>
        <w:suppressAutoHyphens/>
        <w:kinsoku w:val="0"/>
        <w:overflowPunct w:val="0"/>
        <w:autoSpaceDE w:val="0"/>
        <w:autoSpaceDN w:val="0"/>
        <w:spacing w:before="0"/>
        <w:ind w:left="0" w:firstLine="720"/>
        <w:rPr>
          <w:kern w:val="22"/>
          <w:szCs w:val="24"/>
          <w:lang w:val="es-ES"/>
        </w:rPr>
      </w:pPr>
      <w:r>
        <w:rPr>
          <w:kern w:val="22"/>
          <w:szCs w:val="24"/>
          <w:lang w:val="es-ES"/>
        </w:rPr>
        <w:t xml:space="preserve">Otros manifestaron que la única “DSI” que podría considerarse </w:t>
      </w:r>
      <w:r w:rsidR="000A5F48">
        <w:rPr>
          <w:kern w:val="22"/>
          <w:szCs w:val="24"/>
          <w:lang w:val="es-ES"/>
        </w:rPr>
        <w:t>como derivada</w:t>
      </w:r>
      <w:r>
        <w:rPr>
          <w:kern w:val="22"/>
          <w:szCs w:val="24"/>
          <w:lang w:val="es-ES"/>
        </w:rPr>
        <w:t xml:space="preserve"> de la utilización de recursos genéticos </w:t>
      </w:r>
      <w:r w:rsidR="000A5F48">
        <w:rPr>
          <w:kern w:val="22"/>
          <w:szCs w:val="24"/>
          <w:lang w:val="es-ES"/>
        </w:rPr>
        <w:t>son</w:t>
      </w:r>
      <w:r>
        <w:rPr>
          <w:kern w:val="22"/>
          <w:szCs w:val="24"/>
          <w:lang w:val="es-ES"/>
        </w:rPr>
        <w:t xml:space="preserve"> las lecturas de secuencias de ácido nucleico y datos asociados;</w:t>
      </w:r>
    </w:p>
    <w:p w:rsidR="00047515" w:rsidRDefault="00047515" w:rsidP="008053E3">
      <w:pPr>
        <w:pStyle w:val="Para1"/>
        <w:numPr>
          <w:ilvl w:val="0"/>
          <w:numId w:val="11"/>
        </w:numPr>
        <w:suppressLineNumbers/>
        <w:tabs>
          <w:tab w:val="clear" w:pos="4680"/>
        </w:tabs>
        <w:suppressAutoHyphens/>
        <w:kinsoku w:val="0"/>
        <w:overflowPunct w:val="0"/>
        <w:autoSpaceDE w:val="0"/>
        <w:autoSpaceDN w:val="0"/>
        <w:spacing w:before="0"/>
        <w:ind w:left="0" w:firstLine="720"/>
        <w:rPr>
          <w:szCs w:val="24"/>
          <w:lang w:val="es-ES"/>
        </w:rPr>
      </w:pPr>
      <w:r>
        <w:rPr>
          <w:kern w:val="22"/>
          <w:szCs w:val="24"/>
          <w:lang w:val="es-ES"/>
        </w:rPr>
        <w:t>Algunos expertos señalaron que la</w:t>
      </w:r>
      <w:r w:rsidR="00EB67BC">
        <w:rPr>
          <w:kern w:val="22"/>
          <w:szCs w:val="24"/>
          <w:lang w:val="es-ES"/>
        </w:rPr>
        <w:t xml:space="preserve"> </w:t>
      </w:r>
      <w:r w:rsidR="008053E3">
        <w:rPr>
          <w:kern w:val="22"/>
          <w:szCs w:val="24"/>
          <w:lang w:val="es-ES"/>
        </w:rPr>
        <w:t>repercusión</w:t>
      </w:r>
      <w:r>
        <w:rPr>
          <w:kern w:val="22"/>
          <w:szCs w:val="24"/>
          <w:lang w:val="es-ES"/>
        </w:rPr>
        <w:t xml:space="preserve"> jurídica que tendría interpretar a la “DSI” como equivalente a un recurso genético sería </w:t>
      </w:r>
      <w:r w:rsidR="00EB67BC">
        <w:rPr>
          <w:kern w:val="22"/>
          <w:szCs w:val="24"/>
          <w:lang w:val="es-ES"/>
        </w:rPr>
        <w:t xml:space="preserve">la imposición de </w:t>
      </w:r>
      <w:r>
        <w:rPr>
          <w:kern w:val="22"/>
          <w:szCs w:val="24"/>
          <w:lang w:val="es-ES"/>
        </w:rPr>
        <w:t xml:space="preserve">obligaciones de consentimiento fundamentado previo, condiciones acordadas mutuamente y participación en los beneficios. </w:t>
      </w:r>
      <w:r w:rsidR="00D464C7">
        <w:rPr>
          <w:kern w:val="22"/>
          <w:szCs w:val="24"/>
          <w:lang w:val="es-ES"/>
        </w:rPr>
        <w:t>I</w:t>
      </w:r>
      <w:r w:rsidR="000A5F48">
        <w:rPr>
          <w:kern w:val="22"/>
          <w:szCs w:val="24"/>
          <w:lang w:val="es-ES"/>
        </w:rPr>
        <w:t>nterpreta</w:t>
      </w:r>
      <w:r w:rsidR="00D464C7">
        <w:rPr>
          <w:kern w:val="22"/>
          <w:szCs w:val="24"/>
          <w:lang w:val="es-ES"/>
        </w:rPr>
        <w:t>r</w:t>
      </w:r>
      <w:r w:rsidR="000A5F48">
        <w:rPr>
          <w:kern w:val="22"/>
          <w:szCs w:val="24"/>
          <w:lang w:val="es-ES"/>
        </w:rPr>
        <w:t xml:space="preserve"> la “DSI” como producto de la utilización de un recurso genético tendría como </w:t>
      </w:r>
      <w:r w:rsidR="008053E3">
        <w:rPr>
          <w:kern w:val="22"/>
          <w:szCs w:val="24"/>
          <w:lang w:val="es-ES"/>
        </w:rPr>
        <w:t>repercusión</w:t>
      </w:r>
      <w:r>
        <w:rPr>
          <w:kern w:val="22"/>
          <w:szCs w:val="24"/>
          <w:lang w:val="es-ES"/>
        </w:rPr>
        <w:t xml:space="preserve"> jurídica </w:t>
      </w:r>
      <w:r w:rsidR="00EB67BC">
        <w:rPr>
          <w:kern w:val="22"/>
          <w:szCs w:val="24"/>
          <w:lang w:val="es-ES"/>
        </w:rPr>
        <w:t xml:space="preserve">la imposición de </w:t>
      </w:r>
      <w:r>
        <w:rPr>
          <w:kern w:val="22"/>
          <w:szCs w:val="24"/>
          <w:lang w:val="es-ES"/>
        </w:rPr>
        <w:t>obligaci</w:t>
      </w:r>
      <w:r w:rsidR="00D464C7">
        <w:rPr>
          <w:kern w:val="22"/>
          <w:szCs w:val="24"/>
          <w:lang w:val="es-ES"/>
        </w:rPr>
        <w:t>o</w:t>
      </w:r>
      <w:r>
        <w:rPr>
          <w:kern w:val="22"/>
          <w:szCs w:val="24"/>
          <w:lang w:val="es-ES"/>
        </w:rPr>
        <w:t>n</w:t>
      </w:r>
      <w:r w:rsidR="00D464C7">
        <w:rPr>
          <w:kern w:val="22"/>
          <w:szCs w:val="24"/>
          <w:lang w:val="es-ES"/>
        </w:rPr>
        <w:t>es</w:t>
      </w:r>
      <w:r>
        <w:rPr>
          <w:kern w:val="22"/>
          <w:szCs w:val="24"/>
          <w:lang w:val="es-ES"/>
        </w:rPr>
        <w:t xml:space="preserve"> de participación en los beneficios.</w:t>
      </w:r>
    </w:p>
    <w:p w:rsidR="00047515" w:rsidRDefault="00047515" w:rsidP="00EB67BC">
      <w:pPr>
        <w:pStyle w:val="Para1"/>
        <w:numPr>
          <w:ilvl w:val="0"/>
          <w:numId w:val="6"/>
        </w:numPr>
        <w:suppressLineNumbers/>
        <w:suppressAutoHyphens/>
        <w:kinsoku w:val="0"/>
        <w:overflowPunct w:val="0"/>
        <w:autoSpaceDE w:val="0"/>
        <w:autoSpaceDN w:val="0"/>
        <w:adjustRightInd w:val="0"/>
        <w:snapToGrid w:val="0"/>
        <w:ind w:left="0" w:firstLine="0"/>
        <w:rPr>
          <w:szCs w:val="24"/>
          <w:lang w:val="es-ES"/>
        </w:rPr>
      </w:pPr>
      <w:r>
        <w:rPr>
          <w:kern w:val="22"/>
          <w:szCs w:val="24"/>
          <w:lang w:val="es-ES"/>
        </w:rPr>
        <w:t>Se observó que había interrogantes respecto a los conocimientos tradicionales asociados con recursos genéticos ya que estos se refieren a información desmaterializada. Algunos expertos recordaron que los conocimientos tradicionales asociados con recursos genéticos son objeto de disposiciones específicas establecidas en el marco del Protocolo de Nagoya y que por lo tanto deberían tratarse por separado.</w:t>
      </w:r>
    </w:p>
    <w:p w:rsidR="00047515" w:rsidRDefault="00047515">
      <w:pPr>
        <w:pStyle w:val="Para1"/>
        <w:numPr>
          <w:ilvl w:val="0"/>
          <w:numId w:val="6"/>
        </w:numPr>
        <w:suppressLineNumbers/>
        <w:suppressAutoHyphens/>
        <w:kinsoku w:val="0"/>
        <w:overflowPunct w:val="0"/>
        <w:autoSpaceDE w:val="0"/>
        <w:autoSpaceDN w:val="0"/>
        <w:adjustRightInd w:val="0"/>
        <w:snapToGrid w:val="0"/>
        <w:ind w:left="0" w:firstLine="0"/>
        <w:rPr>
          <w:kern w:val="22"/>
          <w:szCs w:val="24"/>
          <w:lang w:val="es-ES"/>
        </w:rPr>
      </w:pPr>
      <w:r>
        <w:rPr>
          <w:kern w:val="22"/>
          <w:szCs w:val="24"/>
          <w:lang w:val="es-ES"/>
        </w:rPr>
        <w:t>Los expertos consideraron el término “información digital sobre secuencias de recursos</w:t>
      </w:r>
      <w:r w:rsidR="00564634">
        <w:rPr>
          <w:kern w:val="22"/>
          <w:szCs w:val="24"/>
          <w:lang w:val="es-ES"/>
        </w:rPr>
        <w:t xml:space="preserve"> </w:t>
      </w:r>
      <w:r>
        <w:rPr>
          <w:kern w:val="22"/>
          <w:szCs w:val="24"/>
          <w:lang w:val="es-ES"/>
        </w:rPr>
        <w:t>genéticos”, incluidas propuestas de terminología alternativa que podría ser más adecuada.</w:t>
      </w:r>
    </w:p>
    <w:p w:rsidR="00047515" w:rsidRDefault="00047515" w:rsidP="008053E3">
      <w:pPr>
        <w:pStyle w:val="Para1"/>
        <w:numPr>
          <w:ilvl w:val="0"/>
          <w:numId w:val="6"/>
        </w:numPr>
        <w:suppressLineNumbers/>
        <w:suppressAutoHyphens/>
        <w:kinsoku w:val="0"/>
        <w:overflowPunct w:val="0"/>
        <w:autoSpaceDE w:val="0"/>
        <w:autoSpaceDN w:val="0"/>
        <w:adjustRightInd w:val="0"/>
        <w:snapToGrid w:val="0"/>
        <w:ind w:left="0" w:firstLine="0"/>
        <w:rPr>
          <w:szCs w:val="24"/>
          <w:lang w:val="es-ES"/>
        </w:rPr>
      </w:pPr>
      <w:r>
        <w:rPr>
          <w:kern w:val="22"/>
          <w:szCs w:val="24"/>
          <w:lang w:val="es-ES"/>
        </w:rPr>
        <w:t xml:space="preserve">Se señaló que la palabra “digital” ayuda a entender </w:t>
      </w:r>
      <w:r w:rsidR="008053E3">
        <w:rPr>
          <w:kern w:val="22"/>
          <w:szCs w:val="24"/>
          <w:lang w:val="es-ES"/>
        </w:rPr>
        <w:t>el porqué</w:t>
      </w:r>
      <w:r>
        <w:rPr>
          <w:kern w:val="22"/>
          <w:szCs w:val="24"/>
          <w:lang w:val="es-ES"/>
        </w:rPr>
        <w:t xml:space="preserve"> de las deliberaciones. No obstante, todos coincid</w:t>
      </w:r>
      <w:r w:rsidR="008053E3">
        <w:rPr>
          <w:kern w:val="22"/>
          <w:szCs w:val="24"/>
          <w:lang w:val="es-ES"/>
        </w:rPr>
        <w:t>iero</w:t>
      </w:r>
      <w:r>
        <w:rPr>
          <w:kern w:val="22"/>
          <w:szCs w:val="24"/>
          <w:lang w:val="es-ES"/>
        </w:rPr>
        <w:t>n en que “digital” solo se refiere al método por el cual se almacena y transmite la información y que con nuevas formas alternativas de almacenamiento o transmisión podrían surgir interrogantes similares.</w:t>
      </w:r>
    </w:p>
    <w:p w:rsidR="00047515" w:rsidRDefault="00047515">
      <w:pPr>
        <w:pStyle w:val="Para1"/>
        <w:numPr>
          <w:ilvl w:val="0"/>
          <w:numId w:val="6"/>
        </w:numPr>
        <w:suppressLineNumbers/>
        <w:suppressAutoHyphens/>
        <w:kinsoku w:val="0"/>
        <w:overflowPunct w:val="0"/>
        <w:autoSpaceDE w:val="0"/>
        <w:autoSpaceDN w:val="0"/>
        <w:adjustRightInd w:val="0"/>
        <w:snapToGrid w:val="0"/>
        <w:ind w:left="0" w:firstLine="0"/>
        <w:rPr>
          <w:kern w:val="22"/>
          <w:szCs w:val="24"/>
          <w:lang w:val="es-ES"/>
        </w:rPr>
      </w:pPr>
      <w:r>
        <w:rPr>
          <w:kern w:val="22"/>
          <w:szCs w:val="24"/>
          <w:lang w:val="es-ES"/>
        </w:rPr>
        <w:t>Al considerar los términos “secuencia”, “información” y “unidad funcional de la herencia”, los expertos plantearon una serie de cuestiones:</w:t>
      </w:r>
    </w:p>
    <w:p w:rsidR="00047515" w:rsidRDefault="00047515" w:rsidP="00EB67BC">
      <w:pPr>
        <w:pStyle w:val="Para1"/>
        <w:numPr>
          <w:ilvl w:val="0"/>
          <w:numId w:val="12"/>
        </w:numPr>
        <w:suppressLineNumbers/>
        <w:tabs>
          <w:tab w:val="clear" w:pos="4680"/>
        </w:tabs>
        <w:suppressAutoHyphens/>
        <w:kinsoku w:val="0"/>
        <w:overflowPunct w:val="0"/>
        <w:autoSpaceDE w:val="0"/>
        <w:autoSpaceDN w:val="0"/>
        <w:ind w:left="0" w:firstLine="720"/>
        <w:rPr>
          <w:kern w:val="22"/>
          <w:szCs w:val="24"/>
          <w:lang w:val="es-ES"/>
        </w:rPr>
      </w:pPr>
      <w:r>
        <w:rPr>
          <w:kern w:val="22"/>
          <w:szCs w:val="24"/>
          <w:lang w:val="es-ES"/>
        </w:rPr>
        <w:t>Algunos expertos recordaron la referencia a “unidad</w:t>
      </w:r>
      <w:r w:rsidR="00EB67BC">
        <w:rPr>
          <w:kern w:val="22"/>
          <w:szCs w:val="24"/>
          <w:lang w:val="es-ES"/>
        </w:rPr>
        <w:t>es</w:t>
      </w:r>
      <w:r>
        <w:rPr>
          <w:kern w:val="22"/>
          <w:szCs w:val="24"/>
          <w:lang w:val="es-ES"/>
        </w:rPr>
        <w:t xml:space="preserve"> funcional</w:t>
      </w:r>
      <w:r w:rsidR="00EB67BC">
        <w:rPr>
          <w:kern w:val="22"/>
          <w:szCs w:val="24"/>
          <w:lang w:val="es-ES"/>
        </w:rPr>
        <w:t>es</w:t>
      </w:r>
      <w:r>
        <w:rPr>
          <w:kern w:val="22"/>
          <w:szCs w:val="24"/>
          <w:lang w:val="es-ES"/>
        </w:rPr>
        <w:t xml:space="preserve"> de la herencia” en la definición de “material genético” y plantearon su inquietud </w:t>
      </w:r>
      <w:r w:rsidR="00EB67BC">
        <w:rPr>
          <w:kern w:val="22"/>
          <w:szCs w:val="24"/>
          <w:lang w:val="es-ES"/>
        </w:rPr>
        <w:t xml:space="preserve">de </w:t>
      </w:r>
      <w:r>
        <w:rPr>
          <w:kern w:val="22"/>
          <w:szCs w:val="24"/>
          <w:lang w:val="es-ES"/>
        </w:rPr>
        <w:t xml:space="preserve">que el concepto de “secuencia” </w:t>
      </w:r>
      <w:r w:rsidR="00EB67BC">
        <w:rPr>
          <w:kern w:val="22"/>
          <w:szCs w:val="24"/>
          <w:lang w:val="es-ES"/>
        </w:rPr>
        <w:t>puede</w:t>
      </w:r>
      <w:r>
        <w:rPr>
          <w:kern w:val="22"/>
          <w:szCs w:val="24"/>
          <w:lang w:val="es-ES"/>
        </w:rPr>
        <w:t xml:space="preserve"> no incluir “unidades de herencia”;</w:t>
      </w:r>
    </w:p>
    <w:p w:rsidR="00047515" w:rsidRDefault="00047515">
      <w:pPr>
        <w:pStyle w:val="Para1"/>
        <w:numPr>
          <w:ilvl w:val="0"/>
          <w:numId w:val="12"/>
        </w:numPr>
        <w:suppressLineNumbers/>
        <w:tabs>
          <w:tab w:val="clear" w:pos="4680"/>
        </w:tabs>
        <w:suppressAutoHyphens/>
        <w:kinsoku w:val="0"/>
        <w:overflowPunct w:val="0"/>
        <w:autoSpaceDE w:val="0"/>
        <w:autoSpaceDN w:val="0"/>
        <w:ind w:left="0" w:firstLine="720"/>
        <w:rPr>
          <w:kern w:val="22"/>
          <w:szCs w:val="24"/>
          <w:lang w:val="es-ES"/>
        </w:rPr>
      </w:pPr>
      <w:r>
        <w:rPr>
          <w:kern w:val="22"/>
          <w:szCs w:val="24"/>
          <w:lang w:val="es-ES"/>
        </w:rPr>
        <w:t>Algunos señalaron que secuencia genómica describe una molécula de ácido nucleico, lo cual no es lo mismo que una “unidad funcional de la herencia”;</w:t>
      </w:r>
    </w:p>
    <w:p w:rsidR="00047515" w:rsidRDefault="00EB67BC">
      <w:pPr>
        <w:pStyle w:val="Para1"/>
        <w:numPr>
          <w:ilvl w:val="0"/>
          <w:numId w:val="12"/>
        </w:numPr>
        <w:suppressLineNumbers/>
        <w:tabs>
          <w:tab w:val="clear" w:pos="4680"/>
        </w:tabs>
        <w:suppressAutoHyphens/>
        <w:kinsoku w:val="0"/>
        <w:overflowPunct w:val="0"/>
        <w:autoSpaceDE w:val="0"/>
        <w:autoSpaceDN w:val="0"/>
        <w:ind w:left="0" w:firstLine="720"/>
        <w:rPr>
          <w:kern w:val="22"/>
          <w:szCs w:val="24"/>
          <w:lang w:val="es-ES"/>
        </w:rPr>
      </w:pPr>
      <w:r>
        <w:rPr>
          <w:kern w:val="22"/>
          <w:szCs w:val="24"/>
          <w:lang w:val="es-ES"/>
        </w:rPr>
        <w:t>Otr</w:t>
      </w:r>
      <w:r w:rsidR="00047515">
        <w:rPr>
          <w:kern w:val="22"/>
          <w:szCs w:val="24"/>
          <w:lang w:val="es-ES"/>
        </w:rPr>
        <w:t>os señalaron que secuencia genómica describe una molécula de ácido nucleico, lo cual podría rematerializarse como una “unidad funcional de la herencia”;</w:t>
      </w:r>
    </w:p>
    <w:p w:rsidR="00047515" w:rsidRDefault="00047515" w:rsidP="00EB67BC">
      <w:pPr>
        <w:pStyle w:val="Para1"/>
        <w:numPr>
          <w:ilvl w:val="0"/>
          <w:numId w:val="12"/>
        </w:numPr>
        <w:suppressLineNumbers/>
        <w:tabs>
          <w:tab w:val="clear" w:pos="4680"/>
        </w:tabs>
        <w:suppressAutoHyphens/>
        <w:kinsoku w:val="0"/>
        <w:overflowPunct w:val="0"/>
        <w:autoSpaceDE w:val="0"/>
        <w:autoSpaceDN w:val="0"/>
        <w:ind w:left="0" w:firstLine="720"/>
        <w:rPr>
          <w:kern w:val="22"/>
          <w:szCs w:val="24"/>
          <w:lang w:val="es-ES"/>
        </w:rPr>
      </w:pPr>
      <w:r>
        <w:rPr>
          <w:kern w:val="22"/>
          <w:szCs w:val="24"/>
          <w:lang w:val="es-ES"/>
        </w:rPr>
        <w:lastRenderedPageBreak/>
        <w:t xml:space="preserve">Algunos expertos señalaron que </w:t>
      </w:r>
      <w:r w:rsidR="00EB67BC">
        <w:rPr>
          <w:kern w:val="22"/>
          <w:szCs w:val="24"/>
          <w:lang w:val="es-ES"/>
        </w:rPr>
        <w:t xml:space="preserve">en </w:t>
      </w:r>
      <w:r>
        <w:rPr>
          <w:kern w:val="22"/>
          <w:szCs w:val="24"/>
          <w:lang w:val="es-ES"/>
        </w:rPr>
        <w:t xml:space="preserve">el Convenio no </w:t>
      </w:r>
      <w:r w:rsidR="00EB67BC">
        <w:rPr>
          <w:kern w:val="22"/>
          <w:szCs w:val="24"/>
          <w:lang w:val="es-ES"/>
        </w:rPr>
        <w:t>hay</w:t>
      </w:r>
      <w:r>
        <w:rPr>
          <w:kern w:val="22"/>
          <w:szCs w:val="24"/>
          <w:lang w:val="es-ES"/>
        </w:rPr>
        <w:t xml:space="preserve"> una definición de “unidad funcional de la herencia” y que, por lo tanto, </w:t>
      </w:r>
      <w:r w:rsidR="00EB67BC">
        <w:rPr>
          <w:kern w:val="22"/>
          <w:szCs w:val="24"/>
          <w:lang w:val="es-ES"/>
        </w:rPr>
        <w:t>se</w:t>
      </w:r>
      <w:r>
        <w:rPr>
          <w:kern w:val="22"/>
          <w:szCs w:val="24"/>
          <w:lang w:val="es-ES"/>
        </w:rPr>
        <w:t xml:space="preserve">ría </w:t>
      </w:r>
      <w:r w:rsidR="00EB67BC">
        <w:rPr>
          <w:kern w:val="22"/>
          <w:szCs w:val="24"/>
          <w:lang w:val="es-ES"/>
        </w:rPr>
        <w:t xml:space="preserve">útil </w:t>
      </w:r>
      <w:r>
        <w:rPr>
          <w:kern w:val="22"/>
          <w:szCs w:val="24"/>
          <w:lang w:val="es-ES"/>
        </w:rPr>
        <w:t>seguir deliberando sobre el tema;</w:t>
      </w:r>
    </w:p>
    <w:p w:rsidR="00047515" w:rsidRDefault="00047515">
      <w:pPr>
        <w:pStyle w:val="Para1"/>
        <w:numPr>
          <w:ilvl w:val="0"/>
          <w:numId w:val="12"/>
        </w:numPr>
        <w:suppressLineNumbers/>
        <w:tabs>
          <w:tab w:val="clear" w:pos="4680"/>
        </w:tabs>
        <w:suppressAutoHyphens/>
        <w:kinsoku w:val="0"/>
        <w:overflowPunct w:val="0"/>
        <w:autoSpaceDE w:val="0"/>
        <w:autoSpaceDN w:val="0"/>
        <w:ind w:left="0" w:firstLine="720"/>
        <w:rPr>
          <w:kern w:val="22"/>
          <w:szCs w:val="24"/>
          <w:lang w:val="es-ES"/>
        </w:rPr>
      </w:pPr>
      <w:r>
        <w:rPr>
          <w:kern w:val="22"/>
          <w:szCs w:val="24"/>
          <w:lang w:val="es-ES"/>
        </w:rPr>
        <w:t>Algunos expertos también señalaron que “secuencia” refiere principalmente a la linealidad de un ADN, ARN o molécula proteica pero no a otros tipos de moléculas que resultan del metabolismo de un recurso genético ni a las modificaciones/regulaciones postraduccionales o postranscripcionales</w:t>
      </w:r>
      <w:bookmarkStart w:id="1" w:name="_GoBack"/>
      <w:bookmarkEnd w:id="1"/>
      <w:r w:rsidR="00564634">
        <w:rPr>
          <w:kern w:val="22"/>
          <w:szCs w:val="24"/>
          <w:lang w:val="es-ES"/>
        </w:rPr>
        <w:t xml:space="preserve"> </w:t>
      </w:r>
      <w:r>
        <w:rPr>
          <w:kern w:val="22"/>
          <w:szCs w:val="24"/>
          <w:lang w:val="es-ES"/>
        </w:rPr>
        <w:t>naturales (esto es, metilación, plegamiento, etc.);</w:t>
      </w:r>
    </w:p>
    <w:p w:rsidR="00047515" w:rsidRDefault="00047515">
      <w:pPr>
        <w:pStyle w:val="Para1"/>
        <w:numPr>
          <w:ilvl w:val="0"/>
          <w:numId w:val="12"/>
        </w:numPr>
        <w:suppressLineNumbers/>
        <w:tabs>
          <w:tab w:val="clear" w:pos="4680"/>
        </w:tabs>
        <w:suppressAutoHyphens/>
        <w:kinsoku w:val="0"/>
        <w:overflowPunct w:val="0"/>
        <w:autoSpaceDE w:val="0"/>
        <w:autoSpaceDN w:val="0"/>
        <w:ind w:left="0" w:firstLine="720"/>
        <w:rPr>
          <w:kern w:val="22"/>
          <w:szCs w:val="24"/>
          <w:lang w:val="es-ES"/>
        </w:rPr>
      </w:pPr>
      <w:r>
        <w:rPr>
          <w:kern w:val="22"/>
          <w:szCs w:val="24"/>
          <w:lang w:val="es-ES"/>
        </w:rPr>
        <w:t>Se consideró la posibilidad de utilizar la palabra “datos” en vez de “información”.</w:t>
      </w:r>
    </w:p>
    <w:p w:rsidR="00047515" w:rsidRDefault="00047515" w:rsidP="00D52C85">
      <w:pPr>
        <w:pStyle w:val="Para1"/>
        <w:numPr>
          <w:ilvl w:val="0"/>
          <w:numId w:val="6"/>
        </w:numPr>
        <w:suppressLineNumbers/>
        <w:suppressAutoHyphens/>
        <w:kinsoku w:val="0"/>
        <w:overflowPunct w:val="0"/>
        <w:autoSpaceDE w:val="0"/>
        <w:autoSpaceDN w:val="0"/>
        <w:ind w:left="0" w:firstLine="0"/>
        <w:rPr>
          <w:kern w:val="22"/>
          <w:szCs w:val="24"/>
          <w:lang w:val="es-ES"/>
        </w:rPr>
      </w:pPr>
      <w:r>
        <w:rPr>
          <w:kern w:val="22"/>
          <w:szCs w:val="24"/>
          <w:lang w:val="es-ES"/>
        </w:rPr>
        <w:t>Los expertos coincidieron</w:t>
      </w:r>
      <w:r w:rsidR="001F2394">
        <w:rPr>
          <w:kern w:val="22"/>
          <w:szCs w:val="24"/>
          <w:lang w:val="es-ES"/>
        </w:rPr>
        <w:t xml:space="preserve"> en</w:t>
      </w:r>
      <w:r>
        <w:rPr>
          <w:kern w:val="22"/>
          <w:szCs w:val="24"/>
          <w:lang w:val="es-ES"/>
        </w:rPr>
        <w:t xml:space="preserve"> que es necesario seguir deliberando sobre la terminología asociada con este tema para lograr un equilibrio entre terminología que es suficientemente adaptable y dinámica </w:t>
      </w:r>
      <w:r w:rsidR="00D52C85">
        <w:rPr>
          <w:kern w:val="22"/>
          <w:szCs w:val="24"/>
          <w:lang w:val="es-ES"/>
        </w:rPr>
        <w:t xml:space="preserve">como </w:t>
      </w:r>
      <w:r>
        <w:rPr>
          <w:kern w:val="22"/>
          <w:szCs w:val="24"/>
          <w:lang w:val="es-ES"/>
        </w:rPr>
        <w:t>para contemplar distintos cambios, incluidos</w:t>
      </w:r>
      <w:r w:rsidR="00D52C85">
        <w:rPr>
          <w:kern w:val="22"/>
          <w:szCs w:val="24"/>
          <w:lang w:val="es-ES"/>
        </w:rPr>
        <w:t xml:space="preserve"> cambios</w:t>
      </w:r>
      <w:r>
        <w:rPr>
          <w:kern w:val="22"/>
          <w:szCs w:val="24"/>
          <w:lang w:val="es-ES"/>
        </w:rPr>
        <w:t xml:space="preserve"> científicos, tecnológicos y </w:t>
      </w:r>
      <w:r w:rsidR="00D52C85">
        <w:rPr>
          <w:kern w:val="22"/>
          <w:szCs w:val="24"/>
          <w:lang w:val="es-ES"/>
        </w:rPr>
        <w:t>comerciales</w:t>
      </w:r>
      <w:r>
        <w:rPr>
          <w:kern w:val="22"/>
          <w:szCs w:val="24"/>
          <w:lang w:val="es-ES"/>
        </w:rPr>
        <w:t xml:space="preserve">, y que al mismo tiempo sea suficientemente clara y sólida </w:t>
      </w:r>
      <w:r w:rsidR="001F2394">
        <w:rPr>
          <w:kern w:val="22"/>
          <w:szCs w:val="24"/>
          <w:lang w:val="es-ES"/>
        </w:rPr>
        <w:t xml:space="preserve">como </w:t>
      </w:r>
      <w:r>
        <w:rPr>
          <w:kern w:val="22"/>
          <w:szCs w:val="24"/>
          <w:lang w:val="es-ES"/>
        </w:rPr>
        <w:t>para dar seguridad jurídica.</w:t>
      </w:r>
    </w:p>
    <w:p w:rsidR="00047515" w:rsidRPr="003A67CA" w:rsidRDefault="00047515" w:rsidP="001F2394">
      <w:pPr>
        <w:suppressLineNumbers/>
        <w:tabs>
          <w:tab w:val="left" w:pos="1715"/>
        </w:tabs>
        <w:suppressAutoHyphens/>
        <w:kinsoku w:val="0"/>
        <w:overflowPunct w:val="0"/>
        <w:autoSpaceDE w:val="0"/>
        <w:autoSpaceDN w:val="0"/>
        <w:rPr>
          <w:b/>
          <w:iCs/>
          <w:kern w:val="22"/>
          <w:lang w:val="es-ES"/>
        </w:rPr>
      </w:pPr>
      <w:r w:rsidRPr="003A67CA">
        <w:rPr>
          <w:b/>
          <w:iCs/>
          <w:kern w:val="22"/>
          <w:lang w:val="es-ES"/>
        </w:rPr>
        <w:t xml:space="preserve">Posibles </w:t>
      </w:r>
      <w:r w:rsidR="001F2394">
        <w:rPr>
          <w:b/>
          <w:iCs/>
          <w:kern w:val="22"/>
          <w:lang w:val="es-ES"/>
        </w:rPr>
        <w:t>repercusiones</w:t>
      </w:r>
      <w:r w:rsidRPr="003A67CA">
        <w:rPr>
          <w:b/>
          <w:iCs/>
          <w:kern w:val="22"/>
          <w:lang w:val="es-ES"/>
        </w:rPr>
        <w:t xml:space="preserve"> del uso de información digital de secuencias sobre recursos genéticos </w:t>
      </w:r>
      <w:r w:rsidR="001F2394">
        <w:rPr>
          <w:b/>
          <w:iCs/>
          <w:kern w:val="22"/>
          <w:lang w:val="es-ES"/>
        </w:rPr>
        <w:t>para</w:t>
      </w:r>
      <w:r w:rsidRPr="003A67CA">
        <w:rPr>
          <w:b/>
          <w:iCs/>
          <w:kern w:val="22"/>
          <w:lang w:val="es-ES"/>
        </w:rPr>
        <w:t xml:space="preserve"> la conservación de la diversidad biológica y la utilización sostenible de sus componentes</w:t>
      </w:r>
    </w:p>
    <w:p w:rsidR="00047515" w:rsidRDefault="00047515" w:rsidP="00D52C85">
      <w:pPr>
        <w:pStyle w:val="Para1"/>
        <w:numPr>
          <w:ilvl w:val="0"/>
          <w:numId w:val="6"/>
        </w:numPr>
        <w:suppressLineNumbers/>
        <w:suppressAutoHyphens/>
        <w:kinsoku w:val="0"/>
        <w:overflowPunct w:val="0"/>
        <w:autoSpaceDE w:val="0"/>
        <w:autoSpaceDN w:val="0"/>
        <w:ind w:left="0" w:firstLine="0"/>
        <w:rPr>
          <w:kern w:val="22"/>
          <w:szCs w:val="24"/>
          <w:lang w:val="es-ES"/>
        </w:rPr>
      </w:pPr>
      <w:r>
        <w:rPr>
          <w:kern w:val="22"/>
          <w:szCs w:val="24"/>
          <w:lang w:val="es-ES"/>
        </w:rPr>
        <w:t>Los expertos coincidieron en la importancia de la “D</w:t>
      </w:r>
      <w:r w:rsidR="00D52C85">
        <w:rPr>
          <w:kern w:val="22"/>
          <w:szCs w:val="24"/>
          <w:lang w:val="es-ES"/>
        </w:rPr>
        <w:t>S</w:t>
      </w:r>
      <w:r>
        <w:rPr>
          <w:kern w:val="22"/>
          <w:szCs w:val="24"/>
          <w:lang w:val="es-ES"/>
        </w:rPr>
        <w:t>I” para la conservación y la utilización sostenible de la diversidad biológica a la vez que hicieron hincapié en que los tres objetivos del Convenio están relacionados entre sí y se complementan mutuamente.</w:t>
      </w:r>
    </w:p>
    <w:p w:rsidR="00047515" w:rsidRDefault="00047515" w:rsidP="00AF48D4">
      <w:pPr>
        <w:pStyle w:val="Para1"/>
        <w:numPr>
          <w:ilvl w:val="0"/>
          <w:numId w:val="6"/>
        </w:numPr>
        <w:suppressLineNumbers/>
        <w:suppressAutoHyphens/>
        <w:kinsoku w:val="0"/>
        <w:overflowPunct w:val="0"/>
        <w:autoSpaceDE w:val="0"/>
        <w:autoSpaceDN w:val="0"/>
        <w:ind w:left="0" w:firstLine="0"/>
        <w:rPr>
          <w:kern w:val="22"/>
          <w:szCs w:val="24"/>
          <w:lang w:val="es-ES"/>
        </w:rPr>
      </w:pPr>
      <w:r>
        <w:rPr>
          <w:kern w:val="22"/>
          <w:szCs w:val="24"/>
          <w:lang w:val="es-ES"/>
        </w:rPr>
        <w:t>Reconocieron que, tal como se ilustra en los documentos preparados para la reunión</w:t>
      </w:r>
      <w:r>
        <w:rPr>
          <w:rStyle w:val="StyleFootnoteReferencenumberFootnoteReferenceSuperscript-EF"/>
          <w:szCs w:val="24"/>
          <w:lang w:val="es-ES"/>
        </w:rPr>
        <w:footnoteReference w:id="11"/>
      </w:r>
      <w:r>
        <w:rPr>
          <w:kern w:val="22"/>
          <w:szCs w:val="24"/>
          <w:lang w:val="es-ES"/>
        </w:rPr>
        <w:t xml:space="preserve">, la “DSI” se utiliza para diversos fines tendientes a apoyar la conservación y </w:t>
      </w:r>
      <w:r w:rsidR="001F2394">
        <w:rPr>
          <w:kern w:val="22"/>
          <w:szCs w:val="24"/>
          <w:lang w:val="es-ES"/>
        </w:rPr>
        <w:t xml:space="preserve">la </w:t>
      </w:r>
      <w:r>
        <w:rPr>
          <w:kern w:val="22"/>
          <w:szCs w:val="24"/>
          <w:lang w:val="es-ES"/>
        </w:rPr>
        <w:t>utilización sostenible, incluid</w:t>
      </w:r>
      <w:r w:rsidR="00AF48D4">
        <w:rPr>
          <w:kern w:val="22"/>
          <w:szCs w:val="24"/>
          <w:lang w:val="es-ES"/>
        </w:rPr>
        <w:t>os</w:t>
      </w:r>
      <w:r>
        <w:rPr>
          <w:kern w:val="22"/>
          <w:szCs w:val="24"/>
          <w:lang w:val="es-ES"/>
        </w:rPr>
        <w:t xml:space="preserve"> fines de taxonomía, cría, seguimiento y control, así como salud pública y seguridad alimentaria.</w:t>
      </w:r>
    </w:p>
    <w:p w:rsidR="00047515" w:rsidRDefault="00047515" w:rsidP="00AF48D4">
      <w:pPr>
        <w:pStyle w:val="Para1"/>
        <w:numPr>
          <w:ilvl w:val="0"/>
          <w:numId w:val="6"/>
        </w:numPr>
        <w:suppressLineNumbers/>
        <w:suppressAutoHyphens/>
        <w:kinsoku w:val="0"/>
        <w:overflowPunct w:val="0"/>
        <w:autoSpaceDE w:val="0"/>
        <w:autoSpaceDN w:val="0"/>
        <w:ind w:left="0" w:firstLine="0"/>
        <w:rPr>
          <w:kern w:val="22"/>
          <w:szCs w:val="24"/>
          <w:lang w:val="es-ES"/>
        </w:rPr>
      </w:pPr>
      <w:r>
        <w:rPr>
          <w:kern w:val="22"/>
          <w:szCs w:val="24"/>
          <w:lang w:val="es-ES"/>
        </w:rPr>
        <w:t xml:space="preserve">Los expertos observaron que el libre acceso a la “DSI” </w:t>
      </w:r>
      <w:r w:rsidR="00AF48D4">
        <w:rPr>
          <w:kern w:val="22"/>
          <w:szCs w:val="24"/>
          <w:lang w:val="es-ES"/>
        </w:rPr>
        <w:t xml:space="preserve">es </w:t>
      </w:r>
      <w:r>
        <w:rPr>
          <w:kern w:val="22"/>
          <w:szCs w:val="24"/>
          <w:lang w:val="es-ES"/>
        </w:rPr>
        <w:t xml:space="preserve">decisivo </w:t>
      </w:r>
      <w:r w:rsidR="00AF48D4">
        <w:rPr>
          <w:kern w:val="22"/>
          <w:szCs w:val="24"/>
          <w:lang w:val="es-ES"/>
        </w:rPr>
        <w:t>para</w:t>
      </w:r>
      <w:r>
        <w:rPr>
          <w:kern w:val="22"/>
          <w:szCs w:val="24"/>
          <w:lang w:val="es-ES"/>
        </w:rPr>
        <w:t xml:space="preserve"> la </w:t>
      </w:r>
      <w:r w:rsidR="00AF48D4">
        <w:rPr>
          <w:kern w:val="22"/>
          <w:szCs w:val="24"/>
          <w:lang w:val="es-ES"/>
        </w:rPr>
        <w:t>promo</w:t>
      </w:r>
      <w:r>
        <w:rPr>
          <w:kern w:val="22"/>
          <w:szCs w:val="24"/>
          <w:lang w:val="es-ES"/>
        </w:rPr>
        <w:t>ción de la conservación y</w:t>
      </w:r>
      <w:r w:rsidR="00AF48D4">
        <w:rPr>
          <w:kern w:val="22"/>
          <w:szCs w:val="24"/>
          <w:lang w:val="es-ES"/>
        </w:rPr>
        <w:t xml:space="preserve"> la</w:t>
      </w:r>
      <w:r>
        <w:rPr>
          <w:kern w:val="22"/>
          <w:szCs w:val="24"/>
          <w:lang w:val="es-ES"/>
        </w:rPr>
        <w:t xml:space="preserve"> utilización sostenible de la diversidad biológica, ya que apoya la aplicación de varios artículos del Convenio, en particular los artículos 17 y 18, así como los artículos 8, 20, 22 y 23 del Protocolo de Nagoya y su anexo, y contribuye al logro de la Meta 19 de Aichi para la Diversidad Biológica y otras metas.</w:t>
      </w:r>
    </w:p>
    <w:p w:rsidR="00047515" w:rsidRDefault="00047515" w:rsidP="001F2394">
      <w:pPr>
        <w:pStyle w:val="Para1"/>
        <w:numPr>
          <w:ilvl w:val="0"/>
          <w:numId w:val="6"/>
        </w:numPr>
        <w:suppressLineNumbers/>
        <w:suppressAutoHyphens/>
        <w:kinsoku w:val="0"/>
        <w:overflowPunct w:val="0"/>
        <w:autoSpaceDE w:val="0"/>
        <w:autoSpaceDN w:val="0"/>
        <w:ind w:left="0" w:firstLine="0"/>
        <w:rPr>
          <w:kern w:val="22"/>
          <w:szCs w:val="24"/>
          <w:lang w:val="es-ES"/>
        </w:rPr>
      </w:pPr>
      <w:r>
        <w:rPr>
          <w:kern w:val="22"/>
          <w:szCs w:val="24"/>
          <w:lang w:val="es-ES"/>
        </w:rPr>
        <w:t xml:space="preserve">Los expertos señalaron que en muchos países la capacidad técnica para usar, generar y analizar </w:t>
      </w:r>
      <w:r w:rsidR="00AF48D4">
        <w:rPr>
          <w:kern w:val="22"/>
          <w:szCs w:val="24"/>
          <w:lang w:val="es-ES"/>
        </w:rPr>
        <w:t xml:space="preserve">la </w:t>
      </w:r>
      <w:r w:rsidR="001F2394">
        <w:rPr>
          <w:kern w:val="22"/>
          <w:szCs w:val="24"/>
          <w:lang w:val="es-ES"/>
        </w:rPr>
        <w:t>“DSI” es limitada y</w:t>
      </w:r>
      <w:r>
        <w:rPr>
          <w:kern w:val="22"/>
          <w:szCs w:val="24"/>
          <w:lang w:val="es-ES"/>
        </w:rPr>
        <w:t xml:space="preserve"> por lo tanto se requieren </w:t>
      </w:r>
      <w:r w:rsidR="00AF48D4">
        <w:rPr>
          <w:kern w:val="22"/>
          <w:szCs w:val="24"/>
          <w:lang w:val="es-ES"/>
        </w:rPr>
        <w:t xml:space="preserve">mayores </w:t>
      </w:r>
      <w:r>
        <w:rPr>
          <w:kern w:val="22"/>
          <w:szCs w:val="24"/>
          <w:lang w:val="es-ES"/>
        </w:rPr>
        <w:t xml:space="preserve">esfuerzos de creación de capacidad y transferencia de tecnología </w:t>
      </w:r>
      <w:r w:rsidR="001F2394">
        <w:rPr>
          <w:kern w:val="22"/>
          <w:szCs w:val="24"/>
          <w:lang w:val="es-ES"/>
        </w:rPr>
        <w:t>en materia de uso de</w:t>
      </w:r>
      <w:r w:rsidR="00AF48D4">
        <w:rPr>
          <w:kern w:val="22"/>
          <w:szCs w:val="24"/>
          <w:lang w:val="es-ES"/>
        </w:rPr>
        <w:t xml:space="preserve"> </w:t>
      </w:r>
      <w:r>
        <w:rPr>
          <w:kern w:val="22"/>
          <w:szCs w:val="24"/>
          <w:lang w:val="es-ES"/>
        </w:rPr>
        <w:t xml:space="preserve">“DSI” para contribuir a la conservación y </w:t>
      </w:r>
      <w:r w:rsidR="00AF48D4">
        <w:rPr>
          <w:kern w:val="22"/>
          <w:szCs w:val="24"/>
          <w:lang w:val="es-ES"/>
        </w:rPr>
        <w:t xml:space="preserve">la </w:t>
      </w:r>
      <w:r>
        <w:rPr>
          <w:kern w:val="22"/>
          <w:szCs w:val="24"/>
          <w:lang w:val="es-ES"/>
        </w:rPr>
        <w:t xml:space="preserve">utilización sostenible, a la vez que reconocieron que </w:t>
      </w:r>
      <w:r w:rsidR="00AF48D4">
        <w:rPr>
          <w:kern w:val="22"/>
          <w:szCs w:val="24"/>
          <w:lang w:val="es-ES"/>
        </w:rPr>
        <w:t xml:space="preserve">algunos países </w:t>
      </w:r>
      <w:r>
        <w:rPr>
          <w:kern w:val="22"/>
          <w:szCs w:val="24"/>
          <w:lang w:val="es-ES"/>
        </w:rPr>
        <w:t>ha</w:t>
      </w:r>
      <w:r w:rsidR="00AF48D4">
        <w:rPr>
          <w:kern w:val="22"/>
          <w:szCs w:val="24"/>
          <w:lang w:val="es-ES"/>
        </w:rPr>
        <w:t>n</w:t>
      </w:r>
      <w:r>
        <w:rPr>
          <w:kern w:val="22"/>
          <w:szCs w:val="24"/>
          <w:lang w:val="es-ES"/>
        </w:rPr>
        <w:t xml:space="preserve"> </w:t>
      </w:r>
      <w:r w:rsidR="00AF48D4">
        <w:rPr>
          <w:kern w:val="22"/>
          <w:szCs w:val="24"/>
          <w:lang w:val="es-ES"/>
        </w:rPr>
        <w:t>logra</w:t>
      </w:r>
      <w:r>
        <w:rPr>
          <w:kern w:val="22"/>
          <w:szCs w:val="24"/>
          <w:lang w:val="es-ES"/>
        </w:rPr>
        <w:t xml:space="preserve">do avances en </w:t>
      </w:r>
      <w:r w:rsidR="00AF48D4">
        <w:rPr>
          <w:kern w:val="22"/>
          <w:szCs w:val="24"/>
          <w:lang w:val="es-ES"/>
        </w:rPr>
        <w:t>su</w:t>
      </w:r>
      <w:r>
        <w:rPr>
          <w:kern w:val="22"/>
          <w:szCs w:val="24"/>
          <w:lang w:val="es-ES"/>
        </w:rPr>
        <w:t>s capacidades analíticas.</w:t>
      </w:r>
    </w:p>
    <w:p w:rsidR="00047515" w:rsidRDefault="00047515" w:rsidP="0010506E">
      <w:pPr>
        <w:pStyle w:val="Para1"/>
        <w:numPr>
          <w:ilvl w:val="0"/>
          <w:numId w:val="6"/>
        </w:numPr>
        <w:suppressLineNumbers/>
        <w:suppressAutoHyphens/>
        <w:kinsoku w:val="0"/>
        <w:overflowPunct w:val="0"/>
        <w:autoSpaceDE w:val="0"/>
        <w:autoSpaceDN w:val="0"/>
        <w:ind w:left="0" w:firstLine="0"/>
        <w:rPr>
          <w:kern w:val="22"/>
          <w:szCs w:val="24"/>
          <w:lang w:val="es-ES"/>
        </w:rPr>
      </w:pPr>
      <w:r>
        <w:rPr>
          <w:kern w:val="22"/>
          <w:szCs w:val="24"/>
          <w:lang w:val="es-ES"/>
        </w:rPr>
        <w:t xml:space="preserve">Algunos expertos advirtieron con preocupación que, ante la ausencia de reglas sobre la participación en los beneficios </w:t>
      </w:r>
      <w:r w:rsidR="0010506E">
        <w:rPr>
          <w:kern w:val="22"/>
          <w:szCs w:val="24"/>
          <w:lang w:val="es-ES"/>
        </w:rPr>
        <w:t>der</w:t>
      </w:r>
      <w:r>
        <w:rPr>
          <w:kern w:val="22"/>
          <w:szCs w:val="24"/>
          <w:lang w:val="es-ES"/>
        </w:rPr>
        <w:t>i</w:t>
      </w:r>
      <w:r w:rsidR="0010506E">
        <w:rPr>
          <w:kern w:val="22"/>
          <w:szCs w:val="24"/>
          <w:lang w:val="es-ES"/>
        </w:rPr>
        <w:t>va</w:t>
      </w:r>
      <w:r>
        <w:rPr>
          <w:kern w:val="22"/>
          <w:szCs w:val="24"/>
          <w:lang w:val="es-ES"/>
        </w:rPr>
        <w:t>dos del uso de</w:t>
      </w:r>
      <w:r w:rsidR="0010506E">
        <w:rPr>
          <w:kern w:val="22"/>
          <w:szCs w:val="24"/>
          <w:lang w:val="es-ES"/>
        </w:rPr>
        <w:t xml:space="preserve"> la</w:t>
      </w:r>
      <w:r>
        <w:rPr>
          <w:kern w:val="22"/>
          <w:szCs w:val="24"/>
          <w:lang w:val="es-ES"/>
        </w:rPr>
        <w:t xml:space="preserve"> “DSI”, los países podrían restringir el acceso a sus recursos genéticos, lo que afectaría adversamente a la conservación de la diversidad biológica y la utilización sostenible de sus componentes.</w:t>
      </w:r>
    </w:p>
    <w:p w:rsidR="00047515" w:rsidRDefault="001F2394" w:rsidP="001F2394">
      <w:pPr>
        <w:pStyle w:val="Para1"/>
        <w:numPr>
          <w:ilvl w:val="0"/>
          <w:numId w:val="6"/>
        </w:numPr>
        <w:suppressLineNumbers/>
        <w:suppressAutoHyphens/>
        <w:kinsoku w:val="0"/>
        <w:overflowPunct w:val="0"/>
        <w:autoSpaceDE w:val="0"/>
        <w:autoSpaceDN w:val="0"/>
        <w:ind w:left="0" w:firstLine="0"/>
        <w:rPr>
          <w:kern w:val="22"/>
          <w:szCs w:val="24"/>
          <w:lang w:val="es-ES"/>
        </w:rPr>
      </w:pPr>
      <w:r>
        <w:rPr>
          <w:kern w:val="22"/>
          <w:szCs w:val="24"/>
          <w:lang w:val="es-ES"/>
        </w:rPr>
        <w:t>En vista de</w:t>
      </w:r>
      <w:r w:rsidR="00047515">
        <w:rPr>
          <w:kern w:val="22"/>
          <w:szCs w:val="24"/>
          <w:lang w:val="es-ES"/>
        </w:rPr>
        <w:t xml:space="preserve"> que existe un reconocimiento general del valor positivo de la “DSI” para la conservación y </w:t>
      </w:r>
      <w:r w:rsidR="0010506E">
        <w:rPr>
          <w:kern w:val="22"/>
          <w:szCs w:val="24"/>
          <w:lang w:val="es-ES"/>
        </w:rPr>
        <w:t xml:space="preserve">la </w:t>
      </w:r>
      <w:r w:rsidR="00047515">
        <w:rPr>
          <w:kern w:val="22"/>
          <w:szCs w:val="24"/>
          <w:lang w:val="es-ES"/>
        </w:rPr>
        <w:t xml:space="preserve">utilización sostenible, así como de la rápida evolución de las características de la tecnología de base, los expertos estuvieron de acuerdo en que en esta etapa no sería necesario un análisis más a fondo de la relación entre </w:t>
      </w:r>
      <w:r>
        <w:rPr>
          <w:kern w:val="22"/>
          <w:szCs w:val="24"/>
          <w:lang w:val="es-ES"/>
        </w:rPr>
        <w:t xml:space="preserve">la </w:t>
      </w:r>
      <w:r w:rsidR="00047515">
        <w:rPr>
          <w:kern w:val="22"/>
          <w:szCs w:val="24"/>
          <w:lang w:val="es-ES"/>
        </w:rPr>
        <w:t xml:space="preserve">conservación </w:t>
      </w:r>
      <w:r w:rsidR="000319C3">
        <w:rPr>
          <w:kern w:val="22"/>
          <w:szCs w:val="24"/>
          <w:lang w:val="es-ES"/>
        </w:rPr>
        <w:t>y</w:t>
      </w:r>
      <w:r w:rsidR="00047515">
        <w:rPr>
          <w:kern w:val="22"/>
          <w:szCs w:val="24"/>
          <w:lang w:val="es-ES"/>
        </w:rPr>
        <w:t xml:space="preserve"> </w:t>
      </w:r>
      <w:r>
        <w:rPr>
          <w:kern w:val="22"/>
          <w:szCs w:val="24"/>
          <w:lang w:val="es-ES"/>
        </w:rPr>
        <w:t xml:space="preserve">la </w:t>
      </w:r>
      <w:r w:rsidR="00047515">
        <w:rPr>
          <w:kern w:val="22"/>
          <w:szCs w:val="24"/>
          <w:lang w:val="es-ES"/>
        </w:rPr>
        <w:t xml:space="preserve">utilización sostenible de la diversidad biológica </w:t>
      </w:r>
      <w:r w:rsidR="000319C3">
        <w:rPr>
          <w:kern w:val="22"/>
          <w:szCs w:val="24"/>
          <w:lang w:val="es-ES"/>
        </w:rPr>
        <w:t xml:space="preserve">y </w:t>
      </w:r>
      <w:r>
        <w:rPr>
          <w:kern w:val="22"/>
          <w:szCs w:val="24"/>
          <w:lang w:val="es-ES"/>
        </w:rPr>
        <w:t xml:space="preserve">la </w:t>
      </w:r>
      <w:r w:rsidR="00047515">
        <w:rPr>
          <w:kern w:val="22"/>
          <w:szCs w:val="24"/>
          <w:lang w:val="es-ES"/>
        </w:rPr>
        <w:t>“DSI”, aunque no descartaron la utilidad de seguir trabajando en algunos aspectos.</w:t>
      </w:r>
    </w:p>
    <w:p w:rsidR="00047515" w:rsidRDefault="00047515">
      <w:pPr>
        <w:pStyle w:val="Para1"/>
        <w:numPr>
          <w:ilvl w:val="0"/>
          <w:numId w:val="6"/>
        </w:numPr>
        <w:suppressLineNumbers/>
        <w:suppressAutoHyphens/>
        <w:kinsoku w:val="0"/>
        <w:overflowPunct w:val="0"/>
        <w:autoSpaceDE w:val="0"/>
        <w:autoSpaceDN w:val="0"/>
        <w:ind w:left="0" w:firstLine="0"/>
        <w:rPr>
          <w:kern w:val="22"/>
          <w:szCs w:val="24"/>
          <w:lang w:val="es-ES"/>
        </w:rPr>
      </w:pPr>
      <w:r>
        <w:rPr>
          <w:kern w:val="22"/>
          <w:szCs w:val="24"/>
          <w:lang w:val="es-ES"/>
        </w:rPr>
        <w:t>Puede ser necesario analizar periódicamente el panorama en materia de avances tecnológicos futuros que sean pertinentes para los objetivos del Convenio y el Protocolo de Nagoya.</w:t>
      </w:r>
    </w:p>
    <w:p w:rsidR="00047515" w:rsidRPr="003A67CA" w:rsidRDefault="00047515" w:rsidP="001F2394">
      <w:pPr>
        <w:keepNext/>
        <w:suppressLineNumbers/>
        <w:tabs>
          <w:tab w:val="left" w:pos="1715"/>
        </w:tabs>
        <w:suppressAutoHyphens/>
        <w:kinsoku w:val="0"/>
        <w:overflowPunct w:val="0"/>
        <w:autoSpaceDE w:val="0"/>
        <w:autoSpaceDN w:val="0"/>
        <w:rPr>
          <w:b/>
          <w:iCs/>
          <w:kern w:val="22"/>
          <w:lang w:val="es-ES"/>
        </w:rPr>
      </w:pPr>
      <w:r w:rsidRPr="003A67CA">
        <w:rPr>
          <w:b/>
          <w:iCs/>
          <w:kern w:val="22"/>
          <w:lang w:val="es-ES"/>
        </w:rPr>
        <w:lastRenderedPageBreak/>
        <w:t xml:space="preserve">Posibles </w:t>
      </w:r>
      <w:r w:rsidR="001F2394">
        <w:rPr>
          <w:b/>
          <w:iCs/>
          <w:kern w:val="22"/>
          <w:lang w:val="es-ES"/>
        </w:rPr>
        <w:t>repercusiones</w:t>
      </w:r>
      <w:r w:rsidRPr="003A67CA">
        <w:rPr>
          <w:b/>
          <w:iCs/>
          <w:kern w:val="22"/>
          <w:lang w:val="es-ES"/>
        </w:rPr>
        <w:t xml:space="preserve"> del uso de información digital sobre secuencias de recursos genéticos </w:t>
      </w:r>
      <w:r w:rsidR="001F2394">
        <w:rPr>
          <w:b/>
          <w:iCs/>
          <w:kern w:val="22"/>
          <w:lang w:val="es-ES"/>
        </w:rPr>
        <w:t>para</w:t>
      </w:r>
      <w:r w:rsidRPr="003A67CA">
        <w:rPr>
          <w:b/>
          <w:iCs/>
          <w:kern w:val="22"/>
          <w:lang w:val="es-ES"/>
        </w:rPr>
        <w:t xml:space="preserve"> la participación justa y equitativa en los beneficios que se deriven de la utilización de los recursos genéticos</w:t>
      </w:r>
    </w:p>
    <w:p w:rsidR="00047515" w:rsidRDefault="00047515" w:rsidP="001F2394">
      <w:pPr>
        <w:pStyle w:val="Para1"/>
        <w:numPr>
          <w:ilvl w:val="0"/>
          <w:numId w:val="6"/>
        </w:numPr>
        <w:suppressLineNumbers/>
        <w:suppressAutoHyphens/>
        <w:kinsoku w:val="0"/>
        <w:overflowPunct w:val="0"/>
        <w:autoSpaceDE w:val="0"/>
        <w:autoSpaceDN w:val="0"/>
        <w:ind w:left="0" w:firstLine="0"/>
        <w:rPr>
          <w:kern w:val="22"/>
          <w:szCs w:val="24"/>
          <w:lang w:val="es-ES"/>
        </w:rPr>
      </w:pPr>
      <w:r>
        <w:rPr>
          <w:kern w:val="22"/>
          <w:szCs w:val="24"/>
          <w:lang w:val="es-ES"/>
        </w:rPr>
        <w:t xml:space="preserve">Al considerar las posibles </w:t>
      </w:r>
      <w:r w:rsidR="001F2394">
        <w:rPr>
          <w:kern w:val="22"/>
          <w:szCs w:val="24"/>
          <w:lang w:val="es-ES"/>
        </w:rPr>
        <w:t>repercusiones</w:t>
      </w:r>
      <w:r>
        <w:rPr>
          <w:kern w:val="22"/>
          <w:szCs w:val="24"/>
          <w:lang w:val="es-ES"/>
        </w:rPr>
        <w:t xml:space="preserve"> del uso de información digital de secuencias de recursos genéticos para la participación justa y equitativa en los beneficios, los expertos señalaron las siguientes</w:t>
      </w:r>
      <w:r w:rsidR="002C322E">
        <w:rPr>
          <w:kern w:val="22"/>
          <w:szCs w:val="24"/>
          <w:lang w:val="es-ES"/>
        </w:rPr>
        <w:t xml:space="preserve"> </w:t>
      </w:r>
      <w:r w:rsidR="001F2394">
        <w:rPr>
          <w:kern w:val="22"/>
          <w:szCs w:val="24"/>
          <w:lang w:val="es-ES"/>
        </w:rPr>
        <w:t>repercusiones</w:t>
      </w:r>
      <w:r>
        <w:rPr>
          <w:kern w:val="22"/>
          <w:szCs w:val="24"/>
          <w:lang w:val="es-ES"/>
        </w:rPr>
        <w:t xml:space="preserve">, en el entendido de que la Conferencia de las Partes y la Conferencia de las Partes que actúa como reunión de las Partes en el Protocolo de Nagoya no han decidido si el uso de “DSI” </w:t>
      </w:r>
      <w:r w:rsidR="002C322E">
        <w:rPr>
          <w:kern w:val="22"/>
          <w:szCs w:val="24"/>
          <w:lang w:val="es-ES"/>
        </w:rPr>
        <w:t>está</w:t>
      </w:r>
      <w:r>
        <w:rPr>
          <w:kern w:val="22"/>
          <w:szCs w:val="24"/>
          <w:lang w:val="es-ES"/>
        </w:rPr>
        <w:t xml:space="preserve"> dentro del alcance del Convenio </w:t>
      </w:r>
      <w:r w:rsidR="001F2394">
        <w:rPr>
          <w:kern w:val="22"/>
          <w:szCs w:val="24"/>
          <w:lang w:val="es-ES"/>
        </w:rPr>
        <w:t>o</w:t>
      </w:r>
      <w:r>
        <w:rPr>
          <w:kern w:val="22"/>
          <w:szCs w:val="24"/>
          <w:lang w:val="es-ES"/>
        </w:rPr>
        <w:t xml:space="preserve"> el Protocolo de Nagoya:</w:t>
      </w:r>
    </w:p>
    <w:p w:rsidR="00047515" w:rsidRPr="00E824C6" w:rsidRDefault="00047515" w:rsidP="001F2394">
      <w:pPr>
        <w:pStyle w:val="Para1"/>
        <w:numPr>
          <w:ilvl w:val="0"/>
          <w:numId w:val="13"/>
        </w:numPr>
        <w:suppressLineNumbers/>
        <w:tabs>
          <w:tab w:val="clear" w:pos="4680"/>
        </w:tabs>
        <w:suppressAutoHyphens/>
        <w:kinsoku w:val="0"/>
        <w:overflowPunct w:val="0"/>
        <w:autoSpaceDE w:val="0"/>
        <w:autoSpaceDN w:val="0"/>
        <w:ind w:left="0" w:firstLine="720"/>
        <w:rPr>
          <w:spacing w:val="-2"/>
          <w:szCs w:val="24"/>
          <w:lang w:val="es-ES"/>
        </w:rPr>
      </w:pPr>
      <w:r w:rsidRPr="00E824C6">
        <w:rPr>
          <w:spacing w:val="-2"/>
          <w:kern w:val="22"/>
          <w:szCs w:val="24"/>
          <w:lang w:val="es-ES"/>
        </w:rPr>
        <w:t xml:space="preserve">La “DSI” podría </w:t>
      </w:r>
      <w:r w:rsidR="0035466D" w:rsidRPr="00E824C6">
        <w:rPr>
          <w:spacing w:val="-2"/>
          <w:kern w:val="22"/>
          <w:szCs w:val="24"/>
          <w:lang w:val="es-ES"/>
        </w:rPr>
        <w:t>provocar</w:t>
      </w:r>
      <w:r w:rsidRPr="00E824C6">
        <w:rPr>
          <w:spacing w:val="-2"/>
          <w:kern w:val="22"/>
          <w:szCs w:val="24"/>
          <w:lang w:val="es-ES"/>
        </w:rPr>
        <w:t xml:space="preserve"> cambios </w:t>
      </w:r>
      <w:r w:rsidR="0035466D" w:rsidRPr="00E824C6">
        <w:rPr>
          <w:spacing w:val="-2"/>
          <w:kern w:val="22"/>
          <w:szCs w:val="24"/>
          <w:lang w:val="es-ES"/>
        </w:rPr>
        <w:t>transformativos</w:t>
      </w:r>
      <w:r w:rsidRPr="00E824C6">
        <w:rPr>
          <w:spacing w:val="-2"/>
          <w:kern w:val="22"/>
          <w:szCs w:val="24"/>
          <w:lang w:val="es-ES"/>
        </w:rPr>
        <w:t xml:space="preserve"> en el uso de los recursos genéticos, que podrían afectar el tipo de beneficios y la forma en que se comparten los beneficios. Al respecto, </w:t>
      </w:r>
      <w:r w:rsidR="0035466D" w:rsidRPr="00E824C6">
        <w:rPr>
          <w:spacing w:val="-2"/>
          <w:kern w:val="22"/>
          <w:szCs w:val="24"/>
          <w:lang w:val="es-ES"/>
        </w:rPr>
        <w:t>otros sectores, como, por ejemplo, los sectores editorial, de música o de software, podrían</w:t>
      </w:r>
      <w:r w:rsidRPr="00E824C6">
        <w:rPr>
          <w:spacing w:val="-2"/>
          <w:kern w:val="22"/>
          <w:szCs w:val="24"/>
          <w:lang w:val="es-ES"/>
        </w:rPr>
        <w:t xml:space="preserve"> </w:t>
      </w:r>
      <w:r w:rsidR="0035466D" w:rsidRPr="00E824C6">
        <w:rPr>
          <w:spacing w:val="-2"/>
          <w:kern w:val="22"/>
          <w:szCs w:val="24"/>
          <w:lang w:val="es-ES"/>
        </w:rPr>
        <w:t xml:space="preserve">aportar </w:t>
      </w:r>
      <w:r w:rsidRPr="00E824C6">
        <w:rPr>
          <w:spacing w:val="-2"/>
          <w:kern w:val="22"/>
          <w:szCs w:val="24"/>
          <w:lang w:val="es-ES"/>
        </w:rPr>
        <w:t xml:space="preserve">enseñanzas útiles sobre </w:t>
      </w:r>
      <w:r w:rsidR="0035466D" w:rsidRPr="00E824C6">
        <w:rPr>
          <w:spacing w:val="-2"/>
          <w:kern w:val="22"/>
          <w:szCs w:val="24"/>
          <w:lang w:val="es-ES"/>
        </w:rPr>
        <w:t>cómo ha afectado</w:t>
      </w:r>
      <w:r w:rsidRPr="00E824C6">
        <w:rPr>
          <w:spacing w:val="-2"/>
          <w:kern w:val="22"/>
          <w:szCs w:val="24"/>
          <w:lang w:val="es-ES"/>
        </w:rPr>
        <w:t xml:space="preserve"> la digitalización de información </w:t>
      </w:r>
      <w:r w:rsidR="0035466D" w:rsidRPr="00E824C6">
        <w:rPr>
          <w:spacing w:val="-2"/>
          <w:kern w:val="22"/>
          <w:szCs w:val="24"/>
          <w:lang w:val="es-ES"/>
        </w:rPr>
        <w:t>a</w:t>
      </w:r>
      <w:r w:rsidRPr="00E824C6">
        <w:rPr>
          <w:spacing w:val="-2"/>
          <w:kern w:val="22"/>
          <w:szCs w:val="24"/>
          <w:lang w:val="es-ES"/>
        </w:rPr>
        <w:t xml:space="preserve"> la participación </w:t>
      </w:r>
      <w:r w:rsidR="0035466D" w:rsidRPr="00E824C6">
        <w:rPr>
          <w:spacing w:val="-2"/>
          <w:kern w:val="22"/>
          <w:szCs w:val="24"/>
          <w:lang w:val="es-ES"/>
        </w:rPr>
        <w:t>en</w:t>
      </w:r>
      <w:r w:rsidRPr="00E824C6">
        <w:rPr>
          <w:spacing w:val="-2"/>
          <w:kern w:val="22"/>
          <w:szCs w:val="24"/>
          <w:lang w:val="es-ES"/>
        </w:rPr>
        <w:t xml:space="preserve"> los beneficios;</w:t>
      </w:r>
    </w:p>
    <w:p w:rsidR="00047515" w:rsidRDefault="00047515" w:rsidP="00772B5F">
      <w:pPr>
        <w:pStyle w:val="Para1"/>
        <w:numPr>
          <w:ilvl w:val="0"/>
          <w:numId w:val="13"/>
        </w:numPr>
        <w:suppressLineNumbers/>
        <w:tabs>
          <w:tab w:val="clear" w:pos="4680"/>
        </w:tabs>
        <w:suppressAutoHyphens/>
        <w:kinsoku w:val="0"/>
        <w:overflowPunct w:val="0"/>
        <w:autoSpaceDE w:val="0"/>
        <w:autoSpaceDN w:val="0"/>
        <w:ind w:left="0" w:firstLine="720"/>
        <w:rPr>
          <w:kern w:val="22"/>
          <w:szCs w:val="24"/>
          <w:lang w:val="es-ES"/>
        </w:rPr>
      </w:pPr>
      <w:r>
        <w:rPr>
          <w:kern w:val="22"/>
          <w:szCs w:val="24"/>
          <w:lang w:val="es-ES"/>
        </w:rPr>
        <w:t>Por un lado, el acceso a</w:t>
      </w:r>
      <w:r w:rsidR="001F2394">
        <w:rPr>
          <w:kern w:val="22"/>
          <w:szCs w:val="24"/>
          <w:lang w:val="es-ES"/>
        </w:rPr>
        <w:t xml:space="preserve"> la</w:t>
      </w:r>
      <w:r>
        <w:rPr>
          <w:kern w:val="22"/>
          <w:szCs w:val="24"/>
          <w:lang w:val="es-ES"/>
        </w:rPr>
        <w:t xml:space="preserve"> “DSI” y su utilización pueden llevar a la generación de beneficios y promover la participación </w:t>
      </w:r>
      <w:r w:rsidR="00772B5F">
        <w:rPr>
          <w:kern w:val="22"/>
          <w:szCs w:val="24"/>
          <w:lang w:val="es-ES"/>
        </w:rPr>
        <w:t>en</w:t>
      </w:r>
      <w:r>
        <w:rPr>
          <w:kern w:val="22"/>
          <w:szCs w:val="24"/>
          <w:lang w:val="es-ES"/>
        </w:rPr>
        <w:t xml:space="preserve"> beneficios no monetarios a través de transferencia de tecnología, asociaciones y colaboración, intercambio de información y creación de capacidad en apoyo a varios artículos del Convenio, en particular los artículos 12 y 18, así como los artículos 8, 20, 22 y 23 del Protocolo de Nagoya y su anexo;</w:t>
      </w:r>
    </w:p>
    <w:p w:rsidR="00047515" w:rsidRDefault="00047515" w:rsidP="001F2394">
      <w:pPr>
        <w:pStyle w:val="Para1"/>
        <w:numPr>
          <w:ilvl w:val="0"/>
          <w:numId w:val="13"/>
        </w:numPr>
        <w:suppressLineNumbers/>
        <w:tabs>
          <w:tab w:val="clear" w:pos="4680"/>
        </w:tabs>
        <w:suppressAutoHyphens/>
        <w:kinsoku w:val="0"/>
        <w:overflowPunct w:val="0"/>
        <w:autoSpaceDE w:val="0"/>
        <w:autoSpaceDN w:val="0"/>
        <w:ind w:left="0" w:firstLine="720"/>
        <w:rPr>
          <w:kern w:val="22"/>
          <w:szCs w:val="24"/>
          <w:lang w:val="es-ES"/>
        </w:rPr>
      </w:pPr>
      <w:r>
        <w:rPr>
          <w:kern w:val="22"/>
          <w:szCs w:val="24"/>
          <w:lang w:val="es-ES"/>
        </w:rPr>
        <w:t>Por otro</w:t>
      </w:r>
      <w:r w:rsidR="00772B5F">
        <w:rPr>
          <w:kern w:val="22"/>
          <w:szCs w:val="24"/>
          <w:lang w:val="es-ES"/>
        </w:rPr>
        <w:t xml:space="preserve"> lado</w:t>
      </w:r>
      <w:r w:rsidR="001F2394">
        <w:rPr>
          <w:kern w:val="22"/>
          <w:szCs w:val="24"/>
          <w:lang w:val="es-ES"/>
        </w:rPr>
        <w:t>, la “DSI”, a la luz</w:t>
      </w:r>
      <w:r>
        <w:rPr>
          <w:kern w:val="22"/>
          <w:szCs w:val="24"/>
          <w:lang w:val="es-ES"/>
        </w:rPr>
        <w:t xml:space="preserve"> en particular de los avances en materia de tecnologías de secuenciación, podría en algunos casos </w:t>
      </w:r>
      <w:r w:rsidR="00772B5F">
        <w:rPr>
          <w:kern w:val="22"/>
          <w:szCs w:val="24"/>
          <w:lang w:val="es-ES"/>
        </w:rPr>
        <w:t>comprometer</w:t>
      </w:r>
      <w:r>
        <w:rPr>
          <w:kern w:val="22"/>
          <w:szCs w:val="24"/>
          <w:lang w:val="es-ES"/>
        </w:rPr>
        <w:t xml:space="preserve"> la aplicación de arreglos </w:t>
      </w:r>
      <w:r w:rsidR="00772B5F">
        <w:rPr>
          <w:kern w:val="22"/>
          <w:szCs w:val="24"/>
          <w:lang w:val="es-ES"/>
        </w:rPr>
        <w:t xml:space="preserve">de </w:t>
      </w:r>
      <w:r>
        <w:rPr>
          <w:kern w:val="22"/>
          <w:szCs w:val="24"/>
          <w:lang w:val="es-ES"/>
        </w:rPr>
        <w:t xml:space="preserve">acceso a los recursos genéticos y participación en los beneficios al eliminar la necesidad de que los usuarios </w:t>
      </w:r>
      <w:r w:rsidR="00772B5F">
        <w:rPr>
          <w:kern w:val="22"/>
          <w:szCs w:val="24"/>
          <w:lang w:val="es-ES"/>
        </w:rPr>
        <w:t xml:space="preserve">procuren </w:t>
      </w:r>
      <w:r w:rsidR="001F2394">
        <w:rPr>
          <w:kern w:val="22"/>
          <w:szCs w:val="24"/>
          <w:lang w:val="es-ES"/>
        </w:rPr>
        <w:t>ob</w:t>
      </w:r>
      <w:r w:rsidR="00772B5F">
        <w:rPr>
          <w:kern w:val="22"/>
          <w:szCs w:val="24"/>
          <w:lang w:val="es-ES"/>
        </w:rPr>
        <w:t>tener</w:t>
      </w:r>
      <w:r>
        <w:rPr>
          <w:kern w:val="22"/>
          <w:szCs w:val="24"/>
          <w:lang w:val="es-ES"/>
        </w:rPr>
        <w:t xml:space="preserve"> acceso al recurso genético tangible origina</w:t>
      </w:r>
      <w:r w:rsidR="00772B5F">
        <w:rPr>
          <w:kern w:val="22"/>
          <w:szCs w:val="24"/>
          <w:lang w:val="es-ES"/>
        </w:rPr>
        <w:t>l</w:t>
      </w:r>
      <w:r>
        <w:rPr>
          <w:kern w:val="22"/>
          <w:szCs w:val="24"/>
          <w:lang w:val="es-ES"/>
        </w:rPr>
        <w:t>, permitiendo así potencialmente que los usuarios se salteen los procedimientos de acceso y participación en los beneficios:</w:t>
      </w:r>
    </w:p>
    <w:p w:rsidR="00047515" w:rsidRDefault="00047515" w:rsidP="00951165">
      <w:pPr>
        <w:numPr>
          <w:ilvl w:val="2"/>
          <w:numId w:val="7"/>
        </w:numPr>
        <w:suppressLineNumbers/>
        <w:suppressAutoHyphens/>
        <w:kinsoku w:val="0"/>
        <w:overflowPunct w:val="0"/>
        <w:autoSpaceDE w:val="0"/>
        <w:autoSpaceDN w:val="0"/>
        <w:spacing w:after="120"/>
        <w:ind w:left="1434" w:hanging="357"/>
        <w:rPr>
          <w:lang w:val="es-ES"/>
        </w:rPr>
      </w:pPr>
      <w:r>
        <w:rPr>
          <w:kern w:val="22"/>
          <w:lang w:val="es-ES"/>
        </w:rPr>
        <w:t xml:space="preserve">En el contexto del Marco de Preparación para una Gripe Pandémica (PIP), por ejemplo, los laboratorios y fabricantes están </w:t>
      </w:r>
      <w:r w:rsidR="00772B5F">
        <w:rPr>
          <w:kern w:val="22"/>
          <w:lang w:val="es-ES"/>
        </w:rPr>
        <w:t>dependie</w:t>
      </w:r>
      <w:r>
        <w:rPr>
          <w:kern w:val="22"/>
          <w:lang w:val="es-ES"/>
        </w:rPr>
        <w:t xml:space="preserve">ndo cada vez más </w:t>
      </w:r>
      <w:r w:rsidR="00772B5F">
        <w:rPr>
          <w:kern w:val="22"/>
          <w:lang w:val="es-ES"/>
        </w:rPr>
        <w:t>d</w:t>
      </w:r>
      <w:r>
        <w:rPr>
          <w:kern w:val="22"/>
          <w:lang w:val="es-ES"/>
        </w:rPr>
        <w:t>e datos de secuencias genéticas</w:t>
      </w:r>
      <w:r w:rsidR="001F2394">
        <w:rPr>
          <w:kern w:val="22"/>
          <w:lang w:val="es-ES"/>
        </w:rPr>
        <w:t>,</w:t>
      </w:r>
      <w:r w:rsidR="00564634">
        <w:rPr>
          <w:kern w:val="22"/>
          <w:lang w:val="es-ES"/>
        </w:rPr>
        <w:t xml:space="preserve"> </w:t>
      </w:r>
      <w:r>
        <w:rPr>
          <w:kern w:val="22"/>
          <w:lang w:val="es-ES"/>
        </w:rPr>
        <w:t xml:space="preserve">al punto de no utilizar materiales físicos. Esto podría potencialmente desvirtuar el Marco de PIP. Este tema se está debatiendo </w:t>
      </w:r>
      <w:r w:rsidR="00951165">
        <w:rPr>
          <w:kern w:val="22"/>
          <w:lang w:val="es-ES"/>
        </w:rPr>
        <w:t xml:space="preserve">actualmente </w:t>
      </w:r>
      <w:r>
        <w:rPr>
          <w:kern w:val="22"/>
          <w:lang w:val="es-ES"/>
        </w:rPr>
        <w:t>en el seno de la Organización Mundial de la Salud;</w:t>
      </w:r>
    </w:p>
    <w:p w:rsidR="00047515" w:rsidRDefault="00047515" w:rsidP="00226842">
      <w:pPr>
        <w:pStyle w:val="Para1"/>
        <w:numPr>
          <w:ilvl w:val="0"/>
          <w:numId w:val="13"/>
        </w:numPr>
        <w:suppressLineNumbers/>
        <w:tabs>
          <w:tab w:val="clear" w:pos="4680"/>
        </w:tabs>
        <w:suppressAutoHyphens/>
        <w:kinsoku w:val="0"/>
        <w:overflowPunct w:val="0"/>
        <w:autoSpaceDE w:val="0"/>
        <w:autoSpaceDN w:val="0"/>
        <w:spacing w:before="0"/>
        <w:ind w:left="0" w:firstLine="720"/>
        <w:rPr>
          <w:kern w:val="22"/>
          <w:szCs w:val="24"/>
          <w:lang w:val="es-ES"/>
        </w:rPr>
      </w:pPr>
      <w:r>
        <w:rPr>
          <w:kern w:val="22"/>
          <w:szCs w:val="24"/>
          <w:lang w:val="es-ES"/>
        </w:rPr>
        <w:t xml:space="preserve">Para algunas actividades científicas el acceso a </w:t>
      </w:r>
      <w:r w:rsidR="00226842">
        <w:rPr>
          <w:kern w:val="22"/>
          <w:szCs w:val="24"/>
          <w:lang w:val="es-ES"/>
        </w:rPr>
        <w:t xml:space="preserve">la </w:t>
      </w:r>
      <w:r>
        <w:rPr>
          <w:kern w:val="22"/>
          <w:szCs w:val="24"/>
          <w:lang w:val="es-ES"/>
        </w:rPr>
        <w:t xml:space="preserve">“DSI” y su utilización </w:t>
      </w:r>
      <w:r w:rsidR="00951165">
        <w:rPr>
          <w:kern w:val="22"/>
          <w:szCs w:val="24"/>
          <w:lang w:val="es-ES"/>
        </w:rPr>
        <w:t>r</w:t>
      </w:r>
      <w:r>
        <w:rPr>
          <w:kern w:val="22"/>
          <w:szCs w:val="24"/>
          <w:lang w:val="es-ES"/>
        </w:rPr>
        <w:t>es</w:t>
      </w:r>
      <w:r w:rsidR="00951165">
        <w:rPr>
          <w:kern w:val="22"/>
          <w:szCs w:val="24"/>
          <w:lang w:val="es-ES"/>
        </w:rPr>
        <w:t>ulta</w:t>
      </w:r>
      <w:r>
        <w:rPr>
          <w:kern w:val="22"/>
          <w:szCs w:val="24"/>
          <w:lang w:val="es-ES"/>
        </w:rPr>
        <w:t xml:space="preserve"> más barato </w:t>
      </w:r>
      <w:r w:rsidR="00951165">
        <w:rPr>
          <w:kern w:val="22"/>
          <w:szCs w:val="24"/>
          <w:lang w:val="es-ES"/>
        </w:rPr>
        <w:t xml:space="preserve">que </w:t>
      </w:r>
      <w:r>
        <w:rPr>
          <w:kern w:val="22"/>
          <w:szCs w:val="24"/>
          <w:lang w:val="es-ES"/>
        </w:rPr>
        <w:t xml:space="preserve">la secuenciación y </w:t>
      </w:r>
      <w:r w:rsidR="00226842">
        <w:rPr>
          <w:kern w:val="22"/>
          <w:szCs w:val="24"/>
          <w:lang w:val="es-ES"/>
        </w:rPr>
        <w:t>se posibilita</w:t>
      </w:r>
      <w:r w:rsidR="00951165">
        <w:rPr>
          <w:kern w:val="22"/>
          <w:szCs w:val="24"/>
          <w:lang w:val="es-ES"/>
        </w:rPr>
        <w:t xml:space="preserve"> a través de</w:t>
      </w:r>
      <w:r>
        <w:rPr>
          <w:kern w:val="22"/>
          <w:szCs w:val="24"/>
          <w:lang w:val="es-ES"/>
        </w:rPr>
        <w:t xml:space="preserve"> bases de datos;</w:t>
      </w:r>
    </w:p>
    <w:p w:rsidR="00047515" w:rsidRDefault="00047515" w:rsidP="00226842">
      <w:pPr>
        <w:pStyle w:val="Para1"/>
        <w:numPr>
          <w:ilvl w:val="0"/>
          <w:numId w:val="13"/>
        </w:numPr>
        <w:suppressLineNumbers/>
        <w:tabs>
          <w:tab w:val="clear" w:pos="4680"/>
        </w:tabs>
        <w:suppressAutoHyphens/>
        <w:kinsoku w:val="0"/>
        <w:overflowPunct w:val="0"/>
        <w:autoSpaceDE w:val="0"/>
        <w:autoSpaceDN w:val="0"/>
        <w:spacing w:before="0"/>
        <w:ind w:left="0" w:firstLine="720"/>
        <w:rPr>
          <w:kern w:val="22"/>
          <w:szCs w:val="24"/>
          <w:lang w:val="es-ES"/>
        </w:rPr>
      </w:pPr>
      <w:r>
        <w:rPr>
          <w:kern w:val="22"/>
          <w:szCs w:val="24"/>
          <w:lang w:val="es-ES"/>
        </w:rPr>
        <w:t>La “DSI” se usa comúnmente para análisis</w:t>
      </w:r>
      <w:r w:rsidR="00226842">
        <w:rPr>
          <w:kern w:val="22"/>
          <w:szCs w:val="24"/>
          <w:lang w:val="es-ES"/>
        </w:rPr>
        <w:t>,</w:t>
      </w:r>
      <w:r>
        <w:rPr>
          <w:kern w:val="22"/>
          <w:szCs w:val="24"/>
          <w:lang w:val="es-ES"/>
        </w:rPr>
        <w:t xml:space="preserve"> </w:t>
      </w:r>
      <w:r w:rsidR="00226842">
        <w:rPr>
          <w:kern w:val="22"/>
          <w:szCs w:val="24"/>
          <w:lang w:val="es-ES"/>
        </w:rPr>
        <w:t>pero</w:t>
      </w:r>
      <w:r>
        <w:rPr>
          <w:kern w:val="22"/>
          <w:szCs w:val="24"/>
          <w:lang w:val="es-ES"/>
        </w:rPr>
        <w:t xml:space="preserve"> también se usa para </w:t>
      </w:r>
      <w:proofErr w:type="spellStart"/>
      <w:r>
        <w:rPr>
          <w:kern w:val="22"/>
          <w:szCs w:val="24"/>
          <w:lang w:val="es-ES"/>
        </w:rPr>
        <w:t>rematerializar</w:t>
      </w:r>
      <w:proofErr w:type="spellEnd"/>
      <w:r>
        <w:rPr>
          <w:kern w:val="22"/>
          <w:szCs w:val="24"/>
          <w:lang w:val="es-ES"/>
        </w:rPr>
        <w:t xml:space="preserve"> material genético</w:t>
      </w:r>
      <w:r w:rsidR="00226842">
        <w:rPr>
          <w:kern w:val="22"/>
          <w:szCs w:val="24"/>
          <w:lang w:val="es-ES"/>
        </w:rPr>
        <w:t>,</w:t>
      </w:r>
      <w:r>
        <w:rPr>
          <w:kern w:val="22"/>
          <w:szCs w:val="24"/>
          <w:lang w:val="es-ES"/>
        </w:rPr>
        <w:t xml:space="preserve"> y ambos son pertinentes para la participación en los beneficios;</w:t>
      </w:r>
    </w:p>
    <w:p w:rsidR="00047515" w:rsidRDefault="00047515">
      <w:pPr>
        <w:pStyle w:val="Para1"/>
        <w:numPr>
          <w:ilvl w:val="0"/>
          <w:numId w:val="13"/>
        </w:numPr>
        <w:suppressLineNumbers/>
        <w:tabs>
          <w:tab w:val="clear" w:pos="4680"/>
        </w:tabs>
        <w:suppressAutoHyphens/>
        <w:kinsoku w:val="0"/>
        <w:overflowPunct w:val="0"/>
        <w:autoSpaceDE w:val="0"/>
        <w:autoSpaceDN w:val="0"/>
        <w:spacing w:before="0"/>
        <w:ind w:left="0" w:firstLine="720"/>
        <w:rPr>
          <w:kern w:val="22"/>
          <w:szCs w:val="24"/>
          <w:lang w:val="es-ES"/>
        </w:rPr>
      </w:pPr>
      <w:r>
        <w:rPr>
          <w:kern w:val="22"/>
          <w:szCs w:val="24"/>
          <w:lang w:val="es-ES"/>
        </w:rPr>
        <w:t>Puede que sea necesaria una valuación económica de la información en sí;</w:t>
      </w:r>
    </w:p>
    <w:p w:rsidR="00047515" w:rsidRDefault="00047515">
      <w:pPr>
        <w:pStyle w:val="Para1"/>
        <w:numPr>
          <w:ilvl w:val="0"/>
          <w:numId w:val="13"/>
        </w:numPr>
        <w:suppressLineNumbers/>
        <w:tabs>
          <w:tab w:val="clear" w:pos="4680"/>
        </w:tabs>
        <w:suppressAutoHyphens/>
        <w:kinsoku w:val="0"/>
        <w:overflowPunct w:val="0"/>
        <w:autoSpaceDE w:val="0"/>
        <w:autoSpaceDN w:val="0"/>
        <w:spacing w:before="0"/>
        <w:ind w:left="0" w:firstLine="720"/>
        <w:rPr>
          <w:kern w:val="22"/>
          <w:szCs w:val="24"/>
          <w:lang w:val="es-ES"/>
        </w:rPr>
      </w:pPr>
      <w:r>
        <w:rPr>
          <w:kern w:val="22"/>
          <w:szCs w:val="24"/>
          <w:lang w:val="es-ES"/>
        </w:rPr>
        <w:t>A efectos comparativos, los conjuntos más grandes de datos son más valiosos;</w:t>
      </w:r>
    </w:p>
    <w:p w:rsidR="00047515" w:rsidRDefault="00047515" w:rsidP="00951165">
      <w:pPr>
        <w:pStyle w:val="Para1"/>
        <w:numPr>
          <w:ilvl w:val="0"/>
          <w:numId w:val="13"/>
        </w:numPr>
        <w:suppressLineNumbers/>
        <w:tabs>
          <w:tab w:val="clear" w:pos="4680"/>
        </w:tabs>
        <w:suppressAutoHyphens/>
        <w:kinsoku w:val="0"/>
        <w:overflowPunct w:val="0"/>
        <w:autoSpaceDE w:val="0"/>
        <w:autoSpaceDN w:val="0"/>
        <w:spacing w:before="0"/>
        <w:ind w:left="0" w:firstLine="720"/>
        <w:rPr>
          <w:kern w:val="22"/>
          <w:szCs w:val="24"/>
          <w:lang w:val="es-ES"/>
        </w:rPr>
      </w:pPr>
      <w:r>
        <w:rPr>
          <w:kern w:val="22"/>
          <w:szCs w:val="24"/>
          <w:lang w:val="es-ES"/>
        </w:rPr>
        <w:t>En las condiciones acordadas mutuamente podrían incluirse condiciones específicas de participación en los beneficios relacionad</w:t>
      </w:r>
      <w:r w:rsidR="00951165">
        <w:rPr>
          <w:kern w:val="22"/>
          <w:szCs w:val="24"/>
          <w:lang w:val="es-ES"/>
        </w:rPr>
        <w:t>a</w:t>
      </w:r>
      <w:r>
        <w:rPr>
          <w:kern w:val="22"/>
          <w:szCs w:val="24"/>
          <w:lang w:val="es-ES"/>
        </w:rPr>
        <w:t xml:space="preserve">s con </w:t>
      </w:r>
      <w:r w:rsidR="00951165">
        <w:rPr>
          <w:kern w:val="22"/>
          <w:szCs w:val="24"/>
          <w:lang w:val="es-ES"/>
        </w:rPr>
        <w:t xml:space="preserve">la </w:t>
      </w:r>
      <w:r>
        <w:rPr>
          <w:kern w:val="22"/>
          <w:szCs w:val="24"/>
          <w:lang w:val="es-ES"/>
        </w:rPr>
        <w:t>“DSI” que resulte de la utilización de un recurso genético;</w:t>
      </w:r>
    </w:p>
    <w:p w:rsidR="00047515" w:rsidRDefault="00047515">
      <w:pPr>
        <w:pStyle w:val="Para1"/>
        <w:numPr>
          <w:ilvl w:val="0"/>
          <w:numId w:val="13"/>
        </w:numPr>
        <w:suppressLineNumbers/>
        <w:tabs>
          <w:tab w:val="clear" w:pos="4680"/>
        </w:tabs>
        <w:suppressAutoHyphens/>
        <w:kinsoku w:val="0"/>
        <w:overflowPunct w:val="0"/>
        <w:autoSpaceDE w:val="0"/>
        <w:autoSpaceDN w:val="0"/>
        <w:spacing w:before="0"/>
        <w:ind w:left="0" w:firstLine="720"/>
        <w:rPr>
          <w:kern w:val="22"/>
          <w:szCs w:val="24"/>
          <w:lang w:val="es-ES"/>
        </w:rPr>
      </w:pPr>
      <w:r>
        <w:rPr>
          <w:kern w:val="22"/>
          <w:szCs w:val="24"/>
          <w:lang w:val="es-ES"/>
        </w:rPr>
        <w:t xml:space="preserve">A la luz de las dificultades planteadas en relación con el enfoque bilateral de participación en los beneficios en lo que respecta a </w:t>
      </w:r>
      <w:r w:rsidR="00951165">
        <w:rPr>
          <w:kern w:val="22"/>
          <w:szCs w:val="24"/>
          <w:lang w:val="es-ES"/>
        </w:rPr>
        <w:t xml:space="preserve">la </w:t>
      </w:r>
      <w:r>
        <w:rPr>
          <w:kern w:val="22"/>
          <w:szCs w:val="24"/>
          <w:lang w:val="es-ES"/>
        </w:rPr>
        <w:t xml:space="preserve">“DSI”, puede que en ciertas circunstancias se justifique </w:t>
      </w:r>
      <w:r w:rsidR="00951165">
        <w:rPr>
          <w:kern w:val="22"/>
          <w:szCs w:val="24"/>
          <w:lang w:val="es-ES"/>
        </w:rPr>
        <w:t xml:space="preserve">considerar </w:t>
      </w:r>
      <w:r>
        <w:rPr>
          <w:kern w:val="22"/>
          <w:szCs w:val="24"/>
          <w:lang w:val="es-ES"/>
        </w:rPr>
        <w:t>la aplicación de enfoques multilaterales:</w:t>
      </w:r>
    </w:p>
    <w:p w:rsidR="00047515" w:rsidRDefault="00047515" w:rsidP="008A1F0B">
      <w:pPr>
        <w:numPr>
          <w:ilvl w:val="2"/>
          <w:numId w:val="8"/>
        </w:numPr>
        <w:suppressLineNumbers/>
        <w:suppressAutoHyphens/>
        <w:kinsoku w:val="0"/>
        <w:overflowPunct w:val="0"/>
        <w:autoSpaceDE w:val="0"/>
        <w:autoSpaceDN w:val="0"/>
        <w:spacing w:after="120"/>
        <w:ind w:left="1434" w:hanging="357"/>
        <w:rPr>
          <w:lang w:val="es-ES"/>
        </w:rPr>
      </w:pPr>
      <w:r>
        <w:rPr>
          <w:kern w:val="22"/>
          <w:lang w:val="es-ES"/>
        </w:rPr>
        <w:t>Tales circunstancia</w:t>
      </w:r>
      <w:r w:rsidR="00226842">
        <w:rPr>
          <w:kern w:val="22"/>
          <w:lang w:val="es-ES"/>
        </w:rPr>
        <w:t>s pueden incluir</w:t>
      </w:r>
      <w:r>
        <w:rPr>
          <w:kern w:val="22"/>
          <w:lang w:val="es-ES"/>
        </w:rPr>
        <w:t xml:space="preserve"> secuencias de procedencia desconocida</w:t>
      </w:r>
      <w:r w:rsidR="00226842">
        <w:rPr>
          <w:kern w:val="22"/>
          <w:lang w:val="es-ES"/>
        </w:rPr>
        <w:t>,</w:t>
      </w:r>
      <w:r>
        <w:rPr>
          <w:kern w:val="22"/>
          <w:lang w:val="es-ES"/>
        </w:rPr>
        <w:t xml:space="preserve"> genes conservados</w:t>
      </w:r>
      <w:r w:rsidR="008A1F0B">
        <w:rPr>
          <w:kern w:val="22"/>
          <w:lang w:val="es-ES"/>
        </w:rPr>
        <w:t>,</w:t>
      </w:r>
      <w:r>
        <w:rPr>
          <w:kern w:val="22"/>
          <w:lang w:val="es-ES"/>
        </w:rPr>
        <w:t xml:space="preserve"> secuencias de recursos genéticos ampliamente difundidos e información contribuida voluntaria</w:t>
      </w:r>
      <w:r w:rsidR="00951165">
        <w:rPr>
          <w:kern w:val="22"/>
          <w:lang w:val="es-ES"/>
        </w:rPr>
        <w:t>mente</w:t>
      </w:r>
      <w:r>
        <w:rPr>
          <w:kern w:val="22"/>
          <w:lang w:val="es-ES"/>
        </w:rPr>
        <w:t xml:space="preserve"> por las Partes;</w:t>
      </w:r>
    </w:p>
    <w:p w:rsidR="00047515" w:rsidRDefault="00E824C6" w:rsidP="008A1F0B">
      <w:pPr>
        <w:numPr>
          <w:ilvl w:val="2"/>
          <w:numId w:val="8"/>
        </w:numPr>
        <w:suppressLineNumbers/>
        <w:suppressAutoHyphens/>
        <w:kinsoku w:val="0"/>
        <w:overflowPunct w:val="0"/>
        <w:autoSpaceDE w:val="0"/>
        <w:autoSpaceDN w:val="0"/>
        <w:spacing w:after="120"/>
        <w:ind w:left="1434" w:hanging="357"/>
        <w:rPr>
          <w:lang w:val="es-ES"/>
        </w:rPr>
      </w:pPr>
      <w:r>
        <w:rPr>
          <w:kern w:val="22"/>
          <w:lang w:val="es-ES"/>
        </w:rPr>
        <w:t>La mu</w:t>
      </w:r>
      <w:r w:rsidR="00047515">
        <w:rPr>
          <w:kern w:val="22"/>
          <w:lang w:val="es-ES"/>
        </w:rPr>
        <w:t>ltipl</w:t>
      </w:r>
      <w:r>
        <w:rPr>
          <w:kern w:val="22"/>
          <w:lang w:val="es-ES"/>
        </w:rPr>
        <w:t>icidad de</w:t>
      </w:r>
      <w:r w:rsidR="00047515">
        <w:rPr>
          <w:kern w:val="22"/>
          <w:lang w:val="es-ES"/>
        </w:rPr>
        <w:t xml:space="preserve"> enfoques nacionales </w:t>
      </w:r>
      <w:r>
        <w:rPr>
          <w:kern w:val="22"/>
          <w:lang w:val="es-ES"/>
        </w:rPr>
        <w:t>para e</w:t>
      </w:r>
      <w:r w:rsidR="00047515">
        <w:rPr>
          <w:kern w:val="22"/>
          <w:lang w:val="es-ES"/>
        </w:rPr>
        <w:t>l acceso y la participación en los beneficios en relación con</w:t>
      </w:r>
      <w:r w:rsidR="00564634">
        <w:rPr>
          <w:kern w:val="22"/>
          <w:lang w:val="es-ES"/>
        </w:rPr>
        <w:t xml:space="preserve"> </w:t>
      </w:r>
      <w:r>
        <w:rPr>
          <w:kern w:val="22"/>
          <w:lang w:val="es-ES"/>
        </w:rPr>
        <w:t xml:space="preserve">la </w:t>
      </w:r>
      <w:r w:rsidR="008A1F0B">
        <w:rPr>
          <w:kern w:val="22"/>
          <w:lang w:val="es-ES"/>
        </w:rPr>
        <w:t>“DSI” podría</w:t>
      </w:r>
      <w:r w:rsidR="00047515">
        <w:rPr>
          <w:kern w:val="22"/>
          <w:lang w:val="es-ES"/>
        </w:rPr>
        <w:t xml:space="preserve"> </w:t>
      </w:r>
      <w:r>
        <w:rPr>
          <w:kern w:val="22"/>
          <w:lang w:val="es-ES"/>
        </w:rPr>
        <w:t>tener como resultado</w:t>
      </w:r>
      <w:r w:rsidR="00047515">
        <w:rPr>
          <w:kern w:val="22"/>
          <w:lang w:val="es-ES"/>
        </w:rPr>
        <w:t xml:space="preserve"> procesos engorrosos y </w:t>
      </w:r>
      <w:r>
        <w:rPr>
          <w:kern w:val="22"/>
          <w:lang w:val="es-ES"/>
        </w:rPr>
        <w:t>llevar a restri</w:t>
      </w:r>
      <w:r w:rsidR="008A1F0B">
        <w:rPr>
          <w:kern w:val="22"/>
          <w:lang w:val="es-ES"/>
        </w:rPr>
        <w:t>cc</w:t>
      </w:r>
      <w:r w:rsidR="00047515">
        <w:rPr>
          <w:kern w:val="22"/>
          <w:lang w:val="es-ES"/>
        </w:rPr>
        <w:t>i</w:t>
      </w:r>
      <w:r w:rsidR="008A1F0B">
        <w:rPr>
          <w:kern w:val="22"/>
          <w:lang w:val="es-ES"/>
        </w:rPr>
        <w:t>ones en</w:t>
      </w:r>
      <w:r>
        <w:rPr>
          <w:kern w:val="22"/>
          <w:lang w:val="es-ES"/>
        </w:rPr>
        <w:t xml:space="preserve"> </w:t>
      </w:r>
      <w:r w:rsidR="00047515">
        <w:rPr>
          <w:kern w:val="22"/>
          <w:lang w:val="es-ES"/>
        </w:rPr>
        <w:t>el acceso o a</w:t>
      </w:r>
      <w:r>
        <w:rPr>
          <w:kern w:val="22"/>
          <w:lang w:val="es-ES"/>
        </w:rPr>
        <w:t>l fenómeno</w:t>
      </w:r>
      <w:r w:rsidR="00047515">
        <w:rPr>
          <w:kern w:val="22"/>
          <w:lang w:val="es-ES"/>
        </w:rPr>
        <w:t xml:space="preserve"> </w:t>
      </w:r>
      <w:r>
        <w:rPr>
          <w:kern w:val="22"/>
          <w:lang w:val="es-ES"/>
        </w:rPr>
        <w:t>de</w:t>
      </w:r>
      <w:r w:rsidR="00047515">
        <w:rPr>
          <w:kern w:val="22"/>
          <w:lang w:val="es-ES"/>
        </w:rPr>
        <w:t xml:space="preserve"> </w:t>
      </w:r>
      <w:r>
        <w:rPr>
          <w:kern w:val="22"/>
          <w:lang w:val="es-ES"/>
        </w:rPr>
        <w:t>“</w:t>
      </w:r>
      <w:r w:rsidR="00047515">
        <w:rPr>
          <w:kern w:val="22"/>
          <w:lang w:val="es-ES"/>
        </w:rPr>
        <w:t>búsqueda de jurisdicción más favorable</w:t>
      </w:r>
      <w:r>
        <w:rPr>
          <w:kern w:val="22"/>
          <w:lang w:val="es-ES"/>
        </w:rPr>
        <w:t>”</w:t>
      </w:r>
      <w:r w:rsidR="00047515">
        <w:rPr>
          <w:kern w:val="22"/>
          <w:lang w:val="es-ES"/>
        </w:rPr>
        <w:t>. Un efecto de esas restricciones podría ser la limitación de la participación en los beneficios y su contribución a la conservación y la utilización sostenible;</w:t>
      </w:r>
    </w:p>
    <w:p w:rsidR="00047515" w:rsidRDefault="00E824C6" w:rsidP="00E824C6">
      <w:pPr>
        <w:numPr>
          <w:ilvl w:val="2"/>
          <w:numId w:val="8"/>
        </w:numPr>
        <w:suppressLineNumbers/>
        <w:suppressAutoHyphens/>
        <w:kinsoku w:val="0"/>
        <w:overflowPunct w:val="0"/>
        <w:autoSpaceDE w:val="0"/>
        <w:autoSpaceDN w:val="0"/>
        <w:spacing w:after="120"/>
        <w:ind w:left="1434" w:hanging="357"/>
        <w:rPr>
          <w:kern w:val="22"/>
          <w:lang w:val="es-ES"/>
        </w:rPr>
      </w:pPr>
      <w:r>
        <w:rPr>
          <w:kern w:val="22"/>
          <w:lang w:val="es-ES"/>
        </w:rPr>
        <w:lastRenderedPageBreak/>
        <w:t>Si se combina material genético de diversas fuentes, podría dificultarse l</w:t>
      </w:r>
      <w:r w:rsidR="00047515">
        <w:rPr>
          <w:kern w:val="22"/>
          <w:lang w:val="es-ES"/>
        </w:rPr>
        <w:t>a distribución equitativa de los beneficios entre los proveedores;</w:t>
      </w:r>
    </w:p>
    <w:p w:rsidR="00047515" w:rsidRDefault="008A1F0B">
      <w:pPr>
        <w:numPr>
          <w:ilvl w:val="2"/>
          <w:numId w:val="8"/>
        </w:numPr>
        <w:suppressLineNumbers/>
        <w:suppressAutoHyphens/>
        <w:kinsoku w:val="0"/>
        <w:overflowPunct w:val="0"/>
        <w:autoSpaceDE w:val="0"/>
        <w:autoSpaceDN w:val="0"/>
        <w:spacing w:after="120"/>
        <w:ind w:left="1434" w:hanging="357"/>
        <w:rPr>
          <w:kern w:val="22"/>
          <w:lang w:val="es-ES"/>
        </w:rPr>
      </w:pPr>
      <w:r>
        <w:rPr>
          <w:kern w:val="22"/>
          <w:lang w:val="es-ES"/>
        </w:rPr>
        <w:t>U</w:t>
      </w:r>
      <w:r w:rsidR="00047515">
        <w:rPr>
          <w:kern w:val="22"/>
          <w:lang w:val="es-ES"/>
        </w:rPr>
        <w:t>n mecanismo multilateral de participación en los beneficios en el marco del Protocolo de Nagoya no puede extenderse</w:t>
      </w:r>
      <w:r>
        <w:rPr>
          <w:kern w:val="22"/>
          <w:lang w:val="es-ES"/>
        </w:rPr>
        <w:t>, sin embargo,</w:t>
      </w:r>
      <w:r w:rsidR="00047515">
        <w:rPr>
          <w:kern w:val="22"/>
          <w:lang w:val="es-ES"/>
        </w:rPr>
        <w:t xml:space="preserve"> más allá del alcance del Protocolo;</w:t>
      </w:r>
    </w:p>
    <w:p w:rsidR="00047515" w:rsidRDefault="00047515" w:rsidP="00E824C6">
      <w:pPr>
        <w:numPr>
          <w:ilvl w:val="2"/>
          <w:numId w:val="8"/>
        </w:numPr>
        <w:suppressLineNumbers/>
        <w:suppressAutoHyphens/>
        <w:kinsoku w:val="0"/>
        <w:overflowPunct w:val="0"/>
        <w:autoSpaceDE w:val="0"/>
        <w:autoSpaceDN w:val="0"/>
        <w:spacing w:after="120"/>
        <w:ind w:left="1434" w:hanging="357"/>
        <w:rPr>
          <w:kern w:val="22"/>
          <w:lang w:val="es-ES"/>
        </w:rPr>
      </w:pPr>
      <w:r>
        <w:rPr>
          <w:kern w:val="22"/>
          <w:lang w:val="es-ES"/>
        </w:rPr>
        <w:t>El mecanismo mundial multilateral de participación en los beneficios al que se refiere el artículo 10 del Protocolo de Nagoya</w:t>
      </w:r>
      <w:r w:rsidR="00564634">
        <w:rPr>
          <w:kern w:val="22"/>
          <w:lang w:val="es-ES"/>
        </w:rPr>
        <w:t xml:space="preserve"> </w:t>
      </w:r>
      <w:r>
        <w:rPr>
          <w:kern w:val="22"/>
          <w:lang w:val="es-ES"/>
        </w:rPr>
        <w:t xml:space="preserve">está </w:t>
      </w:r>
      <w:r w:rsidR="00E824C6">
        <w:rPr>
          <w:kern w:val="22"/>
          <w:lang w:val="es-ES"/>
        </w:rPr>
        <w:t xml:space="preserve">aún </w:t>
      </w:r>
      <w:r>
        <w:rPr>
          <w:kern w:val="22"/>
          <w:lang w:val="es-ES"/>
        </w:rPr>
        <w:t>en discusión;</w:t>
      </w:r>
    </w:p>
    <w:p w:rsidR="00047515" w:rsidRDefault="00047515" w:rsidP="00E824C6">
      <w:pPr>
        <w:numPr>
          <w:ilvl w:val="2"/>
          <w:numId w:val="8"/>
        </w:numPr>
        <w:suppressLineNumbers/>
        <w:suppressAutoHyphens/>
        <w:kinsoku w:val="0"/>
        <w:overflowPunct w:val="0"/>
        <w:autoSpaceDE w:val="0"/>
        <w:autoSpaceDN w:val="0"/>
        <w:spacing w:after="120"/>
        <w:ind w:left="1434" w:hanging="357"/>
        <w:rPr>
          <w:kern w:val="22"/>
          <w:lang w:val="es-ES"/>
        </w:rPr>
      </w:pPr>
      <w:r>
        <w:rPr>
          <w:kern w:val="22"/>
          <w:lang w:val="es-ES"/>
        </w:rPr>
        <w:t xml:space="preserve">En otros foros también </w:t>
      </w:r>
      <w:r w:rsidR="00E824C6">
        <w:rPr>
          <w:kern w:val="22"/>
          <w:lang w:val="es-ES"/>
        </w:rPr>
        <w:t>se está deliberando</w:t>
      </w:r>
      <w:r>
        <w:rPr>
          <w:kern w:val="22"/>
          <w:lang w:val="es-ES"/>
        </w:rPr>
        <w:t xml:space="preserve"> sobre </w:t>
      </w:r>
      <w:r w:rsidR="00E824C6">
        <w:rPr>
          <w:kern w:val="22"/>
          <w:lang w:val="es-ES"/>
        </w:rPr>
        <w:t xml:space="preserve">la </w:t>
      </w:r>
      <w:r>
        <w:rPr>
          <w:kern w:val="22"/>
          <w:lang w:val="es-ES"/>
        </w:rPr>
        <w:t>“DSI”;</w:t>
      </w:r>
    </w:p>
    <w:p w:rsidR="00047515" w:rsidRDefault="00047515" w:rsidP="00E824C6">
      <w:pPr>
        <w:numPr>
          <w:ilvl w:val="2"/>
          <w:numId w:val="8"/>
        </w:numPr>
        <w:suppressLineNumbers/>
        <w:suppressAutoHyphens/>
        <w:kinsoku w:val="0"/>
        <w:overflowPunct w:val="0"/>
        <w:autoSpaceDE w:val="0"/>
        <w:autoSpaceDN w:val="0"/>
        <w:spacing w:after="120"/>
        <w:ind w:left="1434" w:hanging="357"/>
        <w:rPr>
          <w:kern w:val="22"/>
          <w:lang w:val="es-ES"/>
        </w:rPr>
      </w:pPr>
      <w:r>
        <w:rPr>
          <w:kern w:val="22"/>
          <w:lang w:val="es-ES"/>
        </w:rPr>
        <w:t xml:space="preserve">Un enfoque multilateral para </w:t>
      </w:r>
      <w:r w:rsidR="00E824C6">
        <w:rPr>
          <w:kern w:val="22"/>
          <w:lang w:val="es-ES"/>
        </w:rPr>
        <w:t xml:space="preserve">la </w:t>
      </w:r>
      <w:r>
        <w:rPr>
          <w:kern w:val="22"/>
          <w:lang w:val="es-ES"/>
        </w:rPr>
        <w:t xml:space="preserve">“DSI” podría brindar una alternativa a requisitos </w:t>
      </w:r>
      <w:r w:rsidR="00E824C6">
        <w:rPr>
          <w:kern w:val="22"/>
          <w:lang w:val="es-ES"/>
        </w:rPr>
        <w:t>d</w:t>
      </w:r>
      <w:r>
        <w:rPr>
          <w:kern w:val="22"/>
          <w:lang w:val="es-ES"/>
        </w:rPr>
        <w:t>e consentimiento fundamentado previo y condiciones acordadas mutuamente y por lo tanto ayudaría a reducir los costos de transacción y facilitaría la participación equitativa en los beneficios;</w:t>
      </w:r>
    </w:p>
    <w:p w:rsidR="00047515" w:rsidRDefault="00047515">
      <w:pPr>
        <w:pStyle w:val="Para1"/>
        <w:numPr>
          <w:ilvl w:val="0"/>
          <w:numId w:val="13"/>
        </w:numPr>
        <w:suppressLineNumbers/>
        <w:tabs>
          <w:tab w:val="clear" w:pos="4680"/>
        </w:tabs>
        <w:suppressAutoHyphens/>
        <w:kinsoku w:val="0"/>
        <w:overflowPunct w:val="0"/>
        <w:autoSpaceDE w:val="0"/>
        <w:autoSpaceDN w:val="0"/>
        <w:spacing w:before="0"/>
        <w:ind w:left="0" w:firstLine="720"/>
        <w:rPr>
          <w:kern w:val="22"/>
          <w:szCs w:val="24"/>
          <w:lang w:val="es-ES"/>
        </w:rPr>
      </w:pPr>
      <w:r>
        <w:rPr>
          <w:kern w:val="22"/>
          <w:szCs w:val="24"/>
          <w:lang w:val="es-ES"/>
        </w:rPr>
        <w:t xml:space="preserve">Los beneficios monetarios son importantes para la conservación </w:t>
      </w:r>
      <w:r>
        <w:rPr>
          <w:i/>
          <w:kern w:val="22"/>
          <w:szCs w:val="24"/>
          <w:lang w:val="es-ES"/>
        </w:rPr>
        <w:t>in situ</w:t>
      </w:r>
      <w:r>
        <w:rPr>
          <w:kern w:val="22"/>
          <w:szCs w:val="24"/>
          <w:lang w:val="es-ES"/>
        </w:rPr>
        <w:t xml:space="preserve"> y </w:t>
      </w:r>
      <w:r>
        <w:rPr>
          <w:i/>
          <w:kern w:val="22"/>
          <w:szCs w:val="24"/>
          <w:lang w:val="es-ES"/>
        </w:rPr>
        <w:t>ex situ</w:t>
      </w:r>
      <w:r>
        <w:rPr>
          <w:kern w:val="22"/>
          <w:szCs w:val="24"/>
          <w:lang w:val="es-ES"/>
        </w:rPr>
        <w:t xml:space="preserve"> y para la utilización sostenible;</w:t>
      </w:r>
    </w:p>
    <w:p w:rsidR="00047515" w:rsidRDefault="00E824C6" w:rsidP="00E824C6">
      <w:pPr>
        <w:pStyle w:val="Para1"/>
        <w:numPr>
          <w:ilvl w:val="0"/>
          <w:numId w:val="13"/>
        </w:numPr>
        <w:suppressLineNumbers/>
        <w:tabs>
          <w:tab w:val="clear" w:pos="4680"/>
        </w:tabs>
        <w:suppressAutoHyphens/>
        <w:kinsoku w:val="0"/>
        <w:overflowPunct w:val="0"/>
        <w:autoSpaceDE w:val="0"/>
        <w:autoSpaceDN w:val="0"/>
        <w:spacing w:before="0"/>
        <w:ind w:left="0" w:firstLine="720"/>
        <w:rPr>
          <w:kern w:val="22"/>
          <w:szCs w:val="24"/>
          <w:lang w:val="es-ES"/>
        </w:rPr>
      </w:pPr>
      <w:r>
        <w:rPr>
          <w:kern w:val="22"/>
          <w:szCs w:val="24"/>
          <w:lang w:val="es-ES"/>
        </w:rPr>
        <w:t>La línea que separa</w:t>
      </w:r>
      <w:r w:rsidR="008A1F0B">
        <w:rPr>
          <w:kern w:val="22"/>
          <w:szCs w:val="24"/>
          <w:lang w:val="es-ES"/>
        </w:rPr>
        <w:t xml:space="preserve"> la</w:t>
      </w:r>
      <w:r w:rsidR="00047515">
        <w:rPr>
          <w:kern w:val="22"/>
          <w:szCs w:val="24"/>
          <w:lang w:val="es-ES"/>
        </w:rPr>
        <w:t xml:space="preserve"> investigación con fines comerciales </w:t>
      </w:r>
      <w:r>
        <w:rPr>
          <w:kern w:val="22"/>
          <w:szCs w:val="24"/>
          <w:lang w:val="es-ES"/>
        </w:rPr>
        <w:t>de</w:t>
      </w:r>
      <w:r w:rsidR="00047515">
        <w:rPr>
          <w:kern w:val="22"/>
          <w:szCs w:val="24"/>
          <w:lang w:val="es-ES"/>
        </w:rPr>
        <w:t xml:space="preserve"> </w:t>
      </w:r>
      <w:r w:rsidR="008A1F0B">
        <w:rPr>
          <w:kern w:val="22"/>
          <w:szCs w:val="24"/>
          <w:lang w:val="es-ES"/>
        </w:rPr>
        <w:t xml:space="preserve">la </w:t>
      </w:r>
      <w:r w:rsidR="00047515">
        <w:rPr>
          <w:kern w:val="22"/>
          <w:szCs w:val="24"/>
          <w:lang w:val="es-ES"/>
        </w:rPr>
        <w:t>investigación con fines no comerciales puede ser particularmente borrosa en el contexto de la “DSI”;</w:t>
      </w:r>
    </w:p>
    <w:p w:rsidR="00047515" w:rsidRDefault="00047515">
      <w:pPr>
        <w:pStyle w:val="Para1"/>
        <w:numPr>
          <w:ilvl w:val="0"/>
          <w:numId w:val="13"/>
        </w:numPr>
        <w:suppressLineNumbers/>
        <w:tabs>
          <w:tab w:val="clear" w:pos="4680"/>
        </w:tabs>
        <w:suppressAutoHyphens/>
        <w:kinsoku w:val="0"/>
        <w:overflowPunct w:val="0"/>
        <w:autoSpaceDE w:val="0"/>
        <w:autoSpaceDN w:val="0"/>
        <w:spacing w:before="0"/>
        <w:ind w:left="0" w:firstLine="720"/>
        <w:rPr>
          <w:kern w:val="22"/>
          <w:szCs w:val="24"/>
          <w:lang w:val="es-ES"/>
        </w:rPr>
      </w:pPr>
      <w:r>
        <w:rPr>
          <w:kern w:val="22"/>
          <w:szCs w:val="24"/>
          <w:lang w:val="es-ES"/>
        </w:rPr>
        <w:t>Las consideraciones especiales del artículo 8 del Protocolo;</w:t>
      </w:r>
    </w:p>
    <w:p w:rsidR="00047515" w:rsidRPr="00D70A07" w:rsidRDefault="00047515" w:rsidP="00D70A07">
      <w:pPr>
        <w:pStyle w:val="Para1"/>
        <w:numPr>
          <w:ilvl w:val="0"/>
          <w:numId w:val="13"/>
        </w:numPr>
        <w:suppressLineNumbers/>
        <w:tabs>
          <w:tab w:val="clear" w:pos="4680"/>
        </w:tabs>
        <w:suppressAutoHyphens/>
        <w:kinsoku w:val="0"/>
        <w:overflowPunct w:val="0"/>
        <w:autoSpaceDE w:val="0"/>
        <w:autoSpaceDN w:val="0"/>
        <w:spacing w:before="0"/>
        <w:ind w:left="0" w:firstLine="720"/>
        <w:rPr>
          <w:spacing w:val="-2"/>
          <w:kern w:val="22"/>
          <w:szCs w:val="24"/>
          <w:lang w:val="es-ES"/>
        </w:rPr>
      </w:pPr>
      <w:r w:rsidRPr="00D70A07">
        <w:rPr>
          <w:spacing w:val="-2"/>
          <w:kern w:val="22"/>
          <w:szCs w:val="24"/>
          <w:lang w:val="es-ES"/>
        </w:rPr>
        <w:t xml:space="preserve">El </w:t>
      </w:r>
      <w:r w:rsidR="00B875DB" w:rsidRPr="00D70A07">
        <w:rPr>
          <w:spacing w:val="-2"/>
          <w:kern w:val="22"/>
          <w:szCs w:val="24"/>
          <w:lang w:val="es-ES"/>
        </w:rPr>
        <w:t xml:space="preserve">hecho de </w:t>
      </w:r>
      <w:r w:rsidRPr="00D70A07">
        <w:rPr>
          <w:spacing w:val="-2"/>
          <w:kern w:val="22"/>
          <w:szCs w:val="24"/>
          <w:lang w:val="es-ES"/>
        </w:rPr>
        <w:t xml:space="preserve">que aún no se hayan abordado </w:t>
      </w:r>
      <w:r w:rsidR="00B875DB" w:rsidRPr="00D70A07">
        <w:rPr>
          <w:spacing w:val="-2"/>
          <w:kern w:val="22"/>
          <w:szCs w:val="24"/>
          <w:lang w:val="es-ES"/>
        </w:rPr>
        <w:t>varios</w:t>
      </w:r>
      <w:r w:rsidRPr="00D70A07">
        <w:rPr>
          <w:spacing w:val="-2"/>
          <w:kern w:val="22"/>
          <w:szCs w:val="24"/>
          <w:lang w:val="es-ES"/>
        </w:rPr>
        <w:t xml:space="preserve"> desafíos relacionados con la aplicación del</w:t>
      </w:r>
      <w:r w:rsidR="00564634" w:rsidRPr="00D70A07">
        <w:rPr>
          <w:spacing w:val="-2"/>
          <w:kern w:val="22"/>
          <w:szCs w:val="24"/>
          <w:lang w:val="es-ES"/>
        </w:rPr>
        <w:t xml:space="preserve"> </w:t>
      </w:r>
      <w:r w:rsidRPr="00D70A07">
        <w:rPr>
          <w:spacing w:val="-2"/>
          <w:kern w:val="22"/>
          <w:szCs w:val="24"/>
          <w:lang w:val="es-ES"/>
        </w:rPr>
        <w:t xml:space="preserve">Protocolo de Nagoya sigue </w:t>
      </w:r>
      <w:r w:rsidR="00D70A07" w:rsidRPr="00D70A07">
        <w:rPr>
          <w:spacing w:val="-2"/>
          <w:kern w:val="22"/>
          <w:szCs w:val="24"/>
          <w:lang w:val="es-ES"/>
        </w:rPr>
        <w:t>preocupa</w:t>
      </w:r>
      <w:r w:rsidRPr="00D70A07">
        <w:rPr>
          <w:spacing w:val="-2"/>
          <w:kern w:val="22"/>
          <w:szCs w:val="24"/>
          <w:lang w:val="es-ES"/>
        </w:rPr>
        <w:t>n</w:t>
      </w:r>
      <w:r w:rsidR="00D70A07" w:rsidRPr="00D70A07">
        <w:rPr>
          <w:spacing w:val="-2"/>
          <w:kern w:val="22"/>
          <w:szCs w:val="24"/>
          <w:lang w:val="es-ES"/>
        </w:rPr>
        <w:t>do</w:t>
      </w:r>
      <w:r w:rsidRPr="00D70A07">
        <w:rPr>
          <w:spacing w:val="-2"/>
          <w:kern w:val="22"/>
          <w:szCs w:val="24"/>
          <w:lang w:val="es-ES"/>
        </w:rPr>
        <w:t xml:space="preserve"> a </w:t>
      </w:r>
      <w:r w:rsidR="00B875DB" w:rsidRPr="00D70A07">
        <w:rPr>
          <w:spacing w:val="-2"/>
          <w:kern w:val="22"/>
          <w:szCs w:val="24"/>
          <w:lang w:val="es-ES"/>
        </w:rPr>
        <w:t>diversos</w:t>
      </w:r>
      <w:r w:rsidRPr="00D70A07">
        <w:rPr>
          <w:spacing w:val="-2"/>
          <w:kern w:val="22"/>
          <w:szCs w:val="24"/>
          <w:lang w:val="es-ES"/>
        </w:rPr>
        <w:t xml:space="preserve"> interesados directos, </w:t>
      </w:r>
      <w:r w:rsidR="00B875DB" w:rsidRPr="00D70A07">
        <w:rPr>
          <w:spacing w:val="-2"/>
          <w:kern w:val="22"/>
          <w:szCs w:val="24"/>
          <w:lang w:val="es-ES"/>
        </w:rPr>
        <w:t xml:space="preserve">a </w:t>
      </w:r>
      <w:r w:rsidRPr="00D70A07">
        <w:rPr>
          <w:spacing w:val="-2"/>
          <w:kern w:val="22"/>
          <w:szCs w:val="24"/>
          <w:lang w:val="es-ES"/>
        </w:rPr>
        <w:t xml:space="preserve">quienes por lo tanto </w:t>
      </w:r>
      <w:r w:rsidR="00B875DB" w:rsidRPr="00D70A07">
        <w:rPr>
          <w:spacing w:val="-2"/>
          <w:kern w:val="22"/>
          <w:szCs w:val="24"/>
          <w:lang w:val="es-ES"/>
        </w:rPr>
        <w:t xml:space="preserve">les inquieta </w:t>
      </w:r>
      <w:r w:rsidR="00D70A07" w:rsidRPr="00D70A07">
        <w:rPr>
          <w:spacing w:val="-2"/>
          <w:kern w:val="22"/>
          <w:szCs w:val="24"/>
          <w:lang w:val="es-ES"/>
        </w:rPr>
        <w:t>cualquier</w:t>
      </w:r>
      <w:r w:rsidR="00B875DB" w:rsidRPr="00D70A07">
        <w:rPr>
          <w:spacing w:val="-2"/>
          <w:kern w:val="22"/>
          <w:szCs w:val="24"/>
          <w:lang w:val="es-ES"/>
        </w:rPr>
        <w:t xml:space="preserve"> </w:t>
      </w:r>
      <w:r w:rsidRPr="00D70A07">
        <w:rPr>
          <w:spacing w:val="-2"/>
          <w:kern w:val="22"/>
          <w:szCs w:val="24"/>
          <w:lang w:val="es-ES"/>
        </w:rPr>
        <w:t>discusi</w:t>
      </w:r>
      <w:r w:rsidR="00D70A07" w:rsidRPr="00D70A07">
        <w:rPr>
          <w:spacing w:val="-2"/>
          <w:kern w:val="22"/>
          <w:szCs w:val="24"/>
          <w:lang w:val="es-ES"/>
        </w:rPr>
        <w:t>ó</w:t>
      </w:r>
      <w:r w:rsidRPr="00D70A07">
        <w:rPr>
          <w:spacing w:val="-2"/>
          <w:kern w:val="22"/>
          <w:szCs w:val="24"/>
          <w:lang w:val="es-ES"/>
        </w:rPr>
        <w:t>n que p</w:t>
      </w:r>
      <w:r w:rsidR="00D70A07" w:rsidRPr="00D70A07">
        <w:rPr>
          <w:spacing w:val="-2"/>
          <w:kern w:val="22"/>
          <w:szCs w:val="24"/>
          <w:lang w:val="es-ES"/>
        </w:rPr>
        <w:t>u</w:t>
      </w:r>
      <w:r w:rsidRPr="00D70A07">
        <w:rPr>
          <w:spacing w:val="-2"/>
          <w:kern w:val="22"/>
          <w:szCs w:val="24"/>
          <w:lang w:val="es-ES"/>
        </w:rPr>
        <w:t>d</w:t>
      </w:r>
      <w:r w:rsidR="00D70A07" w:rsidRPr="00D70A07">
        <w:rPr>
          <w:spacing w:val="-2"/>
          <w:kern w:val="22"/>
          <w:szCs w:val="24"/>
          <w:lang w:val="es-ES"/>
        </w:rPr>
        <w:t>ie</w:t>
      </w:r>
      <w:r w:rsidRPr="00D70A07">
        <w:rPr>
          <w:spacing w:val="-2"/>
          <w:kern w:val="22"/>
          <w:szCs w:val="24"/>
          <w:lang w:val="es-ES"/>
        </w:rPr>
        <w:t xml:space="preserve">ra crear </w:t>
      </w:r>
      <w:r w:rsidR="00D70A07" w:rsidRPr="00D70A07">
        <w:rPr>
          <w:spacing w:val="-2"/>
          <w:kern w:val="22"/>
          <w:szCs w:val="24"/>
          <w:lang w:val="es-ES"/>
        </w:rPr>
        <w:t>más</w:t>
      </w:r>
      <w:r w:rsidRPr="00D70A07">
        <w:rPr>
          <w:spacing w:val="-2"/>
          <w:kern w:val="22"/>
          <w:szCs w:val="24"/>
          <w:lang w:val="es-ES"/>
        </w:rPr>
        <w:t xml:space="preserve"> obstáculos </w:t>
      </w:r>
      <w:r w:rsidR="00D70A07" w:rsidRPr="00D70A07">
        <w:rPr>
          <w:spacing w:val="-2"/>
          <w:kern w:val="22"/>
          <w:szCs w:val="24"/>
          <w:lang w:val="es-ES"/>
        </w:rPr>
        <w:t>para e</w:t>
      </w:r>
      <w:r w:rsidRPr="00D70A07">
        <w:rPr>
          <w:spacing w:val="-2"/>
          <w:kern w:val="22"/>
          <w:szCs w:val="24"/>
          <w:lang w:val="es-ES"/>
        </w:rPr>
        <w:t>l acceso y</w:t>
      </w:r>
      <w:r w:rsidR="00D70A07" w:rsidRPr="00D70A07">
        <w:rPr>
          <w:spacing w:val="-2"/>
          <w:kern w:val="22"/>
          <w:szCs w:val="24"/>
          <w:lang w:val="es-ES"/>
        </w:rPr>
        <w:t xml:space="preserve"> </w:t>
      </w:r>
      <w:r w:rsidRPr="00D70A07">
        <w:rPr>
          <w:spacing w:val="-2"/>
          <w:kern w:val="22"/>
          <w:szCs w:val="24"/>
          <w:lang w:val="es-ES"/>
        </w:rPr>
        <w:t>la</w:t>
      </w:r>
      <w:r w:rsidR="00D70A07" w:rsidRPr="00D70A07">
        <w:rPr>
          <w:spacing w:val="-2"/>
          <w:kern w:val="22"/>
          <w:szCs w:val="24"/>
          <w:lang w:val="es-ES"/>
        </w:rPr>
        <w:t>s</w:t>
      </w:r>
      <w:r w:rsidRPr="00D70A07">
        <w:rPr>
          <w:spacing w:val="-2"/>
          <w:kern w:val="22"/>
          <w:szCs w:val="24"/>
          <w:lang w:val="es-ES"/>
        </w:rPr>
        <w:t xml:space="preserve"> investigaci</w:t>
      </w:r>
      <w:r w:rsidR="00D70A07" w:rsidRPr="00D70A07">
        <w:rPr>
          <w:spacing w:val="-2"/>
          <w:kern w:val="22"/>
          <w:szCs w:val="24"/>
          <w:lang w:val="es-ES"/>
        </w:rPr>
        <w:t>o</w:t>
      </w:r>
      <w:r w:rsidRPr="00D70A07">
        <w:rPr>
          <w:spacing w:val="-2"/>
          <w:kern w:val="22"/>
          <w:szCs w:val="24"/>
          <w:lang w:val="es-ES"/>
        </w:rPr>
        <w:t>n</w:t>
      </w:r>
      <w:r w:rsidR="00D70A07" w:rsidRPr="00D70A07">
        <w:rPr>
          <w:spacing w:val="-2"/>
          <w:kern w:val="22"/>
          <w:szCs w:val="24"/>
          <w:lang w:val="es-ES"/>
        </w:rPr>
        <w:t>es</w:t>
      </w:r>
      <w:r w:rsidRPr="00D70A07">
        <w:rPr>
          <w:spacing w:val="-2"/>
          <w:kern w:val="22"/>
          <w:szCs w:val="24"/>
          <w:lang w:val="es-ES"/>
        </w:rPr>
        <w:t xml:space="preserve"> científica</w:t>
      </w:r>
      <w:r w:rsidR="00D70A07" w:rsidRPr="00D70A07">
        <w:rPr>
          <w:spacing w:val="-2"/>
          <w:kern w:val="22"/>
          <w:szCs w:val="24"/>
          <w:lang w:val="es-ES"/>
        </w:rPr>
        <w:t>s</w:t>
      </w:r>
      <w:r w:rsidRPr="00D70A07">
        <w:rPr>
          <w:spacing w:val="-2"/>
          <w:kern w:val="22"/>
          <w:szCs w:val="24"/>
          <w:lang w:val="es-ES"/>
        </w:rPr>
        <w:t xml:space="preserve">, en particular, </w:t>
      </w:r>
      <w:r w:rsidR="00D70A07" w:rsidRPr="00D70A07">
        <w:rPr>
          <w:spacing w:val="-2"/>
          <w:kern w:val="22"/>
          <w:szCs w:val="24"/>
          <w:lang w:val="es-ES"/>
        </w:rPr>
        <w:t>aquellas investigaciones que son fundamentales</w:t>
      </w:r>
      <w:r w:rsidR="00D70A07">
        <w:rPr>
          <w:spacing w:val="-2"/>
          <w:kern w:val="22"/>
          <w:szCs w:val="24"/>
          <w:lang w:val="es-ES"/>
        </w:rPr>
        <w:t xml:space="preserve"> </w:t>
      </w:r>
      <w:r w:rsidR="00D70A07" w:rsidRPr="00D70A07">
        <w:rPr>
          <w:spacing w:val="-2"/>
          <w:kern w:val="22"/>
          <w:szCs w:val="24"/>
          <w:lang w:val="es-ES"/>
        </w:rPr>
        <w:t>en materia de diversidad biológica.</w:t>
      </w:r>
    </w:p>
    <w:p w:rsidR="00047515" w:rsidRDefault="00047515">
      <w:pPr>
        <w:pStyle w:val="Para1"/>
        <w:numPr>
          <w:ilvl w:val="0"/>
          <w:numId w:val="6"/>
        </w:numPr>
        <w:suppressLineNumbers/>
        <w:suppressAutoHyphens/>
        <w:kinsoku w:val="0"/>
        <w:overflowPunct w:val="0"/>
        <w:autoSpaceDE w:val="0"/>
        <w:autoSpaceDN w:val="0"/>
        <w:ind w:left="0" w:firstLine="0"/>
        <w:rPr>
          <w:kern w:val="22"/>
          <w:szCs w:val="24"/>
          <w:lang w:val="es-ES"/>
        </w:rPr>
      </w:pPr>
      <w:r>
        <w:rPr>
          <w:rStyle w:val="hps"/>
          <w:kern w:val="22"/>
          <w:szCs w:val="24"/>
          <w:lang w:val="es-ES"/>
        </w:rPr>
        <w:t>Con respecto</w:t>
      </w:r>
      <w:r>
        <w:rPr>
          <w:kern w:val="22"/>
          <w:szCs w:val="24"/>
          <w:lang w:val="es-ES"/>
        </w:rPr>
        <w:t xml:space="preserve"> </w:t>
      </w:r>
      <w:r>
        <w:rPr>
          <w:rStyle w:val="hps"/>
          <w:kern w:val="22"/>
          <w:szCs w:val="24"/>
          <w:lang w:val="es-ES"/>
        </w:rPr>
        <w:t>a los beneficios no monetarios</w:t>
      </w:r>
      <w:r>
        <w:rPr>
          <w:kern w:val="22"/>
          <w:szCs w:val="24"/>
          <w:lang w:val="es-ES"/>
        </w:rPr>
        <w:t>, se plantearon los siguientes puntos</w:t>
      </w:r>
      <w:r>
        <w:rPr>
          <w:rStyle w:val="hps"/>
          <w:kern w:val="22"/>
          <w:szCs w:val="24"/>
          <w:lang w:val="es-ES"/>
        </w:rPr>
        <w:t>:</w:t>
      </w:r>
    </w:p>
    <w:p w:rsidR="00047515" w:rsidRDefault="00047515" w:rsidP="00397656">
      <w:pPr>
        <w:pStyle w:val="Para1"/>
        <w:numPr>
          <w:ilvl w:val="0"/>
          <w:numId w:val="14"/>
        </w:numPr>
        <w:suppressLineNumbers/>
        <w:tabs>
          <w:tab w:val="clear" w:pos="4680"/>
        </w:tabs>
        <w:suppressAutoHyphens/>
        <w:kinsoku w:val="0"/>
        <w:overflowPunct w:val="0"/>
        <w:autoSpaceDE w:val="0"/>
        <w:autoSpaceDN w:val="0"/>
        <w:spacing w:before="0"/>
        <w:ind w:left="0" w:firstLine="720"/>
        <w:rPr>
          <w:kern w:val="22"/>
          <w:szCs w:val="24"/>
          <w:lang w:val="es-ES"/>
        </w:rPr>
      </w:pPr>
      <w:r>
        <w:rPr>
          <w:kern w:val="22"/>
          <w:szCs w:val="24"/>
          <w:lang w:val="es-ES"/>
        </w:rPr>
        <w:t xml:space="preserve">El acceso a </w:t>
      </w:r>
      <w:r w:rsidR="00397656">
        <w:rPr>
          <w:kern w:val="22"/>
          <w:szCs w:val="24"/>
          <w:lang w:val="es-ES"/>
        </w:rPr>
        <w:t xml:space="preserve">la </w:t>
      </w:r>
      <w:r>
        <w:rPr>
          <w:kern w:val="22"/>
          <w:szCs w:val="24"/>
          <w:lang w:val="es-ES"/>
        </w:rPr>
        <w:t xml:space="preserve">“DSI” y su uso ofrecen </w:t>
      </w:r>
      <w:r w:rsidR="00397656">
        <w:rPr>
          <w:kern w:val="22"/>
          <w:szCs w:val="24"/>
          <w:lang w:val="es-ES"/>
        </w:rPr>
        <w:t>enormes</w:t>
      </w:r>
      <w:r>
        <w:rPr>
          <w:kern w:val="22"/>
          <w:szCs w:val="24"/>
          <w:lang w:val="es-ES"/>
        </w:rPr>
        <w:t xml:space="preserve"> beneficios sociales y públicos, lo cual </w:t>
      </w:r>
      <w:r w:rsidR="00397656">
        <w:rPr>
          <w:kern w:val="22"/>
          <w:szCs w:val="24"/>
          <w:lang w:val="es-ES"/>
        </w:rPr>
        <w:t>reafirma</w:t>
      </w:r>
      <w:r>
        <w:rPr>
          <w:kern w:val="22"/>
          <w:szCs w:val="24"/>
          <w:lang w:val="es-ES"/>
        </w:rPr>
        <w:t xml:space="preserve"> la importancia de bases de datos</w:t>
      </w:r>
      <w:r w:rsidR="00397656">
        <w:rPr>
          <w:kern w:val="22"/>
          <w:szCs w:val="24"/>
          <w:lang w:val="es-ES"/>
        </w:rPr>
        <w:t xml:space="preserve"> de</w:t>
      </w:r>
      <w:r>
        <w:rPr>
          <w:kern w:val="22"/>
          <w:szCs w:val="24"/>
          <w:lang w:val="es-ES"/>
        </w:rPr>
        <w:t xml:space="preserve"> acces</w:t>
      </w:r>
      <w:r w:rsidR="00397656">
        <w:rPr>
          <w:kern w:val="22"/>
          <w:szCs w:val="24"/>
          <w:lang w:val="es-ES"/>
        </w:rPr>
        <w:t>o</w:t>
      </w:r>
      <w:r>
        <w:rPr>
          <w:kern w:val="22"/>
          <w:szCs w:val="24"/>
          <w:lang w:val="es-ES"/>
        </w:rPr>
        <w:t xml:space="preserve"> público;</w:t>
      </w:r>
    </w:p>
    <w:p w:rsidR="00047515" w:rsidRDefault="00047515" w:rsidP="00351C76">
      <w:pPr>
        <w:pStyle w:val="Para1"/>
        <w:numPr>
          <w:ilvl w:val="0"/>
          <w:numId w:val="14"/>
        </w:numPr>
        <w:suppressLineNumbers/>
        <w:tabs>
          <w:tab w:val="clear" w:pos="4680"/>
        </w:tabs>
        <w:suppressAutoHyphens/>
        <w:kinsoku w:val="0"/>
        <w:overflowPunct w:val="0"/>
        <w:autoSpaceDE w:val="0"/>
        <w:autoSpaceDN w:val="0"/>
        <w:spacing w:before="0"/>
        <w:ind w:left="0" w:firstLine="720"/>
        <w:rPr>
          <w:szCs w:val="24"/>
          <w:lang w:val="es-ES"/>
        </w:rPr>
      </w:pPr>
      <w:r>
        <w:rPr>
          <w:kern w:val="22"/>
          <w:szCs w:val="24"/>
          <w:lang w:val="es-ES"/>
        </w:rPr>
        <w:t xml:space="preserve">Si bien compartir información y datos también es un beneficio en sí mismo, no es suficiente </w:t>
      </w:r>
      <w:r w:rsidR="00351C76">
        <w:rPr>
          <w:kern w:val="22"/>
          <w:szCs w:val="24"/>
          <w:lang w:val="es-ES"/>
        </w:rPr>
        <w:t xml:space="preserve">por sí solo </w:t>
      </w:r>
      <w:r>
        <w:rPr>
          <w:kern w:val="22"/>
          <w:szCs w:val="24"/>
          <w:lang w:val="es-ES"/>
        </w:rPr>
        <w:t>para colmar las expectativas en cuanto a participación en los beneficios. Por otra parte, los beneficios de</w:t>
      </w:r>
      <w:r w:rsidR="00351C76">
        <w:rPr>
          <w:kern w:val="22"/>
          <w:szCs w:val="24"/>
          <w:lang w:val="es-ES"/>
        </w:rPr>
        <w:t>rivados de</w:t>
      </w:r>
      <w:r>
        <w:rPr>
          <w:kern w:val="22"/>
          <w:szCs w:val="24"/>
          <w:lang w:val="es-ES"/>
        </w:rPr>
        <w:t xml:space="preserve"> compartir datos no </w:t>
      </w:r>
      <w:r w:rsidR="00351C76">
        <w:rPr>
          <w:kern w:val="22"/>
          <w:szCs w:val="24"/>
          <w:lang w:val="es-ES"/>
        </w:rPr>
        <w:t>recaen</w:t>
      </w:r>
      <w:r>
        <w:rPr>
          <w:kern w:val="22"/>
          <w:szCs w:val="24"/>
          <w:lang w:val="es-ES"/>
        </w:rPr>
        <w:t xml:space="preserve"> necesariamente en </w:t>
      </w:r>
      <w:r w:rsidR="00351C76">
        <w:rPr>
          <w:kern w:val="22"/>
          <w:szCs w:val="24"/>
          <w:lang w:val="es-ES"/>
        </w:rPr>
        <w:t xml:space="preserve">forma </w:t>
      </w:r>
      <w:r>
        <w:rPr>
          <w:kern w:val="22"/>
          <w:szCs w:val="24"/>
          <w:lang w:val="es-ES"/>
        </w:rPr>
        <w:t>proporcional o predominante</w:t>
      </w:r>
      <w:r w:rsidR="00351C76">
        <w:rPr>
          <w:kern w:val="22"/>
          <w:szCs w:val="24"/>
          <w:lang w:val="es-ES"/>
        </w:rPr>
        <w:t xml:space="preserve"> en los proveedores</w:t>
      </w:r>
      <w:r>
        <w:rPr>
          <w:kern w:val="22"/>
          <w:szCs w:val="24"/>
          <w:lang w:val="es-ES"/>
        </w:rPr>
        <w:t>;</w:t>
      </w:r>
    </w:p>
    <w:p w:rsidR="00047515" w:rsidRDefault="00047515" w:rsidP="00351C76">
      <w:pPr>
        <w:pStyle w:val="Para1"/>
        <w:numPr>
          <w:ilvl w:val="0"/>
          <w:numId w:val="14"/>
        </w:numPr>
        <w:suppressLineNumbers/>
        <w:tabs>
          <w:tab w:val="clear" w:pos="4680"/>
        </w:tabs>
        <w:suppressAutoHyphens/>
        <w:kinsoku w:val="0"/>
        <w:overflowPunct w:val="0"/>
        <w:autoSpaceDE w:val="0"/>
        <w:autoSpaceDN w:val="0"/>
        <w:spacing w:before="0"/>
        <w:ind w:left="0" w:firstLine="720"/>
        <w:rPr>
          <w:kern w:val="22"/>
          <w:szCs w:val="24"/>
          <w:lang w:val="es-ES"/>
        </w:rPr>
      </w:pPr>
      <w:r>
        <w:rPr>
          <w:kern w:val="22"/>
          <w:szCs w:val="24"/>
          <w:lang w:val="es-ES"/>
        </w:rPr>
        <w:t xml:space="preserve">Es esencial trabajar en forma </w:t>
      </w:r>
      <w:proofErr w:type="spellStart"/>
      <w:r>
        <w:rPr>
          <w:kern w:val="22"/>
          <w:szCs w:val="24"/>
          <w:lang w:val="es-ES"/>
        </w:rPr>
        <w:t>continúa</w:t>
      </w:r>
      <w:proofErr w:type="spellEnd"/>
      <w:r>
        <w:rPr>
          <w:kern w:val="22"/>
          <w:szCs w:val="24"/>
          <w:lang w:val="es-ES"/>
        </w:rPr>
        <w:t xml:space="preserve"> para promover la transferencia de tecnología y la creación de capacidad, a fin de lograr que los países en desarrollo accedan </w:t>
      </w:r>
      <w:r w:rsidR="00351C76">
        <w:rPr>
          <w:kern w:val="22"/>
          <w:szCs w:val="24"/>
          <w:lang w:val="es-ES"/>
        </w:rPr>
        <w:t xml:space="preserve">a </w:t>
      </w:r>
      <w:r w:rsidR="00AF1510">
        <w:rPr>
          <w:kern w:val="22"/>
          <w:szCs w:val="24"/>
          <w:lang w:val="es-ES"/>
        </w:rPr>
        <w:t xml:space="preserve">la </w:t>
      </w:r>
      <w:r>
        <w:rPr>
          <w:kern w:val="22"/>
          <w:szCs w:val="24"/>
          <w:lang w:val="es-ES"/>
        </w:rPr>
        <w:t>“DSI” y la utilicen;</w:t>
      </w:r>
    </w:p>
    <w:p w:rsidR="00047515" w:rsidRDefault="00047515">
      <w:pPr>
        <w:pStyle w:val="Para1"/>
        <w:numPr>
          <w:ilvl w:val="0"/>
          <w:numId w:val="14"/>
        </w:numPr>
        <w:suppressLineNumbers/>
        <w:tabs>
          <w:tab w:val="clear" w:pos="4680"/>
        </w:tabs>
        <w:suppressAutoHyphens/>
        <w:kinsoku w:val="0"/>
        <w:overflowPunct w:val="0"/>
        <w:autoSpaceDE w:val="0"/>
        <w:autoSpaceDN w:val="0"/>
        <w:spacing w:before="0"/>
        <w:ind w:left="0" w:firstLine="720"/>
        <w:rPr>
          <w:kern w:val="22"/>
          <w:szCs w:val="24"/>
          <w:lang w:val="es-ES"/>
        </w:rPr>
      </w:pPr>
      <w:r>
        <w:rPr>
          <w:kern w:val="22"/>
          <w:szCs w:val="24"/>
          <w:lang w:val="es-ES"/>
        </w:rPr>
        <w:t>Aunque ya hay cooperación internacional, es necesario aprender de prácticas existentes y desarrollarlas para crear mayor capacidad;</w:t>
      </w:r>
    </w:p>
    <w:p w:rsidR="00047515" w:rsidRDefault="00047515">
      <w:pPr>
        <w:pStyle w:val="Para1"/>
        <w:numPr>
          <w:ilvl w:val="0"/>
          <w:numId w:val="14"/>
        </w:numPr>
        <w:suppressLineNumbers/>
        <w:tabs>
          <w:tab w:val="clear" w:pos="4680"/>
        </w:tabs>
        <w:suppressAutoHyphens/>
        <w:kinsoku w:val="0"/>
        <w:overflowPunct w:val="0"/>
        <w:autoSpaceDE w:val="0"/>
        <w:autoSpaceDN w:val="0"/>
        <w:spacing w:before="0"/>
        <w:ind w:left="0" w:firstLine="720"/>
        <w:rPr>
          <w:szCs w:val="24"/>
          <w:lang w:val="es-ES"/>
        </w:rPr>
      </w:pPr>
      <w:r>
        <w:rPr>
          <w:kern w:val="22"/>
          <w:szCs w:val="24"/>
          <w:lang w:val="es-ES"/>
        </w:rPr>
        <w:t>Sería útil realizar más estudios para cuantificar la participación en los beneficios no monetarios. Podría ser más fácil examinar esto por sector.</w:t>
      </w:r>
    </w:p>
    <w:p w:rsidR="00047515" w:rsidRDefault="00047515">
      <w:pPr>
        <w:pStyle w:val="Para1"/>
        <w:numPr>
          <w:ilvl w:val="0"/>
          <w:numId w:val="6"/>
        </w:numPr>
        <w:suppressLineNumbers/>
        <w:suppressAutoHyphens/>
        <w:kinsoku w:val="0"/>
        <w:overflowPunct w:val="0"/>
        <w:autoSpaceDE w:val="0"/>
        <w:autoSpaceDN w:val="0"/>
        <w:ind w:left="0" w:firstLine="0"/>
        <w:rPr>
          <w:kern w:val="22"/>
          <w:szCs w:val="24"/>
          <w:lang w:val="es-ES"/>
        </w:rPr>
      </w:pPr>
      <w:r>
        <w:rPr>
          <w:kern w:val="22"/>
          <w:szCs w:val="24"/>
          <w:lang w:val="es-ES"/>
        </w:rPr>
        <w:t>Se planteó que un desafío con respecto a la participación en los beneficios monetarios es el hecho de que no hay un punto límite y que las obligaciones de participación en los beneficios pueden perpetuarse indefinidamente.</w:t>
      </w:r>
    </w:p>
    <w:p w:rsidR="00047515" w:rsidRDefault="00047515">
      <w:pPr>
        <w:pStyle w:val="Para1"/>
        <w:numPr>
          <w:ilvl w:val="0"/>
          <w:numId w:val="6"/>
        </w:numPr>
        <w:suppressLineNumbers/>
        <w:suppressAutoHyphens/>
        <w:kinsoku w:val="0"/>
        <w:overflowPunct w:val="0"/>
        <w:autoSpaceDE w:val="0"/>
        <w:autoSpaceDN w:val="0"/>
        <w:ind w:left="0" w:firstLine="0"/>
        <w:rPr>
          <w:kern w:val="22"/>
          <w:szCs w:val="24"/>
          <w:lang w:val="es-ES"/>
        </w:rPr>
      </w:pPr>
      <w:r>
        <w:rPr>
          <w:kern w:val="22"/>
          <w:szCs w:val="24"/>
          <w:lang w:val="es-ES"/>
        </w:rPr>
        <w:t>Se señaló que el seguimiento, acceso y uso de “DSI” puede</w:t>
      </w:r>
      <w:r w:rsidR="00351C76">
        <w:rPr>
          <w:kern w:val="22"/>
          <w:szCs w:val="24"/>
          <w:lang w:val="es-ES"/>
        </w:rPr>
        <w:t>n</w:t>
      </w:r>
      <w:r>
        <w:rPr>
          <w:kern w:val="22"/>
          <w:szCs w:val="24"/>
          <w:lang w:val="es-ES"/>
        </w:rPr>
        <w:t xml:space="preserve"> ser muy complejos.</w:t>
      </w:r>
    </w:p>
    <w:p w:rsidR="00047515" w:rsidRDefault="00047515" w:rsidP="00AF1510">
      <w:pPr>
        <w:pStyle w:val="Para1"/>
        <w:numPr>
          <w:ilvl w:val="0"/>
          <w:numId w:val="6"/>
        </w:numPr>
        <w:suppressLineNumbers/>
        <w:suppressAutoHyphens/>
        <w:kinsoku w:val="0"/>
        <w:overflowPunct w:val="0"/>
        <w:autoSpaceDE w:val="0"/>
        <w:autoSpaceDN w:val="0"/>
        <w:ind w:left="0" w:firstLine="0"/>
        <w:rPr>
          <w:kern w:val="22"/>
          <w:szCs w:val="24"/>
          <w:lang w:val="es-ES"/>
        </w:rPr>
      </w:pPr>
      <w:r>
        <w:rPr>
          <w:kern w:val="22"/>
          <w:szCs w:val="24"/>
          <w:lang w:val="es-ES"/>
        </w:rPr>
        <w:t xml:space="preserve">Con respecto al seguimiento, se observó que </w:t>
      </w:r>
      <w:r w:rsidR="00351C76">
        <w:rPr>
          <w:kern w:val="22"/>
          <w:szCs w:val="24"/>
          <w:lang w:val="es-ES"/>
        </w:rPr>
        <w:t>algun</w:t>
      </w:r>
      <w:r>
        <w:rPr>
          <w:kern w:val="22"/>
          <w:szCs w:val="24"/>
          <w:lang w:val="es-ES"/>
        </w:rPr>
        <w:t xml:space="preserve">os países y marcos internacionales han optado por establecer como evento desencadenante para la participación en los beneficios, y como foco del seguimiento, la comercialización de productos derivados de la utilización de “DSI”, en vez de controlar la investigación y </w:t>
      </w:r>
      <w:r w:rsidR="00351C76">
        <w:rPr>
          <w:kern w:val="22"/>
          <w:szCs w:val="24"/>
          <w:lang w:val="es-ES"/>
        </w:rPr>
        <w:t xml:space="preserve">el </w:t>
      </w:r>
      <w:r>
        <w:rPr>
          <w:kern w:val="22"/>
          <w:szCs w:val="24"/>
          <w:lang w:val="es-ES"/>
        </w:rPr>
        <w:t xml:space="preserve">desarrollo tecnológico </w:t>
      </w:r>
      <w:r w:rsidR="00AF1510">
        <w:rPr>
          <w:kern w:val="22"/>
          <w:szCs w:val="24"/>
          <w:lang w:val="es-ES"/>
        </w:rPr>
        <w:t>basados en</w:t>
      </w:r>
      <w:r>
        <w:rPr>
          <w:kern w:val="22"/>
          <w:szCs w:val="24"/>
          <w:lang w:val="es-ES"/>
        </w:rPr>
        <w:t xml:space="preserve"> “DSI”.</w:t>
      </w:r>
    </w:p>
    <w:p w:rsidR="00047515" w:rsidRDefault="00047515">
      <w:pPr>
        <w:pStyle w:val="Para1"/>
        <w:numPr>
          <w:ilvl w:val="0"/>
          <w:numId w:val="6"/>
        </w:numPr>
        <w:suppressLineNumbers/>
        <w:suppressAutoHyphens/>
        <w:kinsoku w:val="0"/>
        <w:overflowPunct w:val="0"/>
        <w:autoSpaceDE w:val="0"/>
        <w:autoSpaceDN w:val="0"/>
        <w:ind w:left="0" w:firstLine="0"/>
        <w:rPr>
          <w:kern w:val="22"/>
          <w:szCs w:val="24"/>
          <w:lang w:val="es-ES"/>
        </w:rPr>
      </w:pPr>
      <w:r>
        <w:rPr>
          <w:kern w:val="22"/>
          <w:szCs w:val="24"/>
          <w:lang w:val="es-ES"/>
        </w:rPr>
        <w:t>Algunos expertos señalaron que deben salvaguardarse los derechos de propiedad intelectual y otros derechos de propiedad.</w:t>
      </w:r>
    </w:p>
    <w:p w:rsidR="00047515" w:rsidRDefault="00047515" w:rsidP="00AF1510">
      <w:pPr>
        <w:pStyle w:val="Para1"/>
        <w:keepNext/>
        <w:keepLines/>
        <w:numPr>
          <w:ilvl w:val="0"/>
          <w:numId w:val="6"/>
        </w:numPr>
        <w:suppressLineNumbers/>
        <w:suppressAutoHyphens/>
        <w:kinsoku w:val="0"/>
        <w:overflowPunct w:val="0"/>
        <w:autoSpaceDE w:val="0"/>
        <w:autoSpaceDN w:val="0"/>
        <w:ind w:left="0" w:firstLine="0"/>
        <w:rPr>
          <w:kern w:val="22"/>
          <w:szCs w:val="24"/>
          <w:lang w:val="es-ES"/>
        </w:rPr>
      </w:pPr>
      <w:r>
        <w:rPr>
          <w:kern w:val="22"/>
          <w:szCs w:val="24"/>
          <w:lang w:val="es-ES"/>
        </w:rPr>
        <w:lastRenderedPageBreak/>
        <w:t>Con respecto a la cuestión de las bases de datos, algunos expertos opinaron lo siguiente:</w:t>
      </w:r>
    </w:p>
    <w:p w:rsidR="00047515" w:rsidRDefault="00047515" w:rsidP="00AF1510">
      <w:pPr>
        <w:pStyle w:val="Para1"/>
        <w:keepNext/>
        <w:keepLines/>
        <w:numPr>
          <w:ilvl w:val="0"/>
          <w:numId w:val="15"/>
        </w:numPr>
        <w:suppressLineNumbers/>
        <w:tabs>
          <w:tab w:val="clear" w:pos="4680"/>
        </w:tabs>
        <w:suppressAutoHyphens/>
        <w:kinsoku w:val="0"/>
        <w:overflowPunct w:val="0"/>
        <w:autoSpaceDE w:val="0"/>
        <w:autoSpaceDN w:val="0"/>
        <w:spacing w:before="0"/>
        <w:ind w:left="0" w:firstLine="720"/>
        <w:rPr>
          <w:kern w:val="22"/>
          <w:szCs w:val="24"/>
          <w:lang w:val="es-ES"/>
        </w:rPr>
      </w:pPr>
      <w:r>
        <w:rPr>
          <w:kern w:val="22"/>
          <w:szCs w:val="24"/>
          <w:lang w:val="es-ES"/>
        </w:rPr>
        <w:t xml:space="preserve">Pueden </w:t>
      </w:r>
      <w:r w:rsidR="00351C76">
        <w:rPr>
          <w:kern w:val="22"/>
          <w:szCs w:val="24"/>
          <w:lang w:val="es-ES"/>
        </w:rPr>
        <w:t>existir</w:t>
      </w:r>
      <w:r>
        <w:rPr>
          <w:kern w:val="22"/>
          <w:szCs w:val="24"/>
          <w:lang w:val="es-ES"/>
        </w:rPr>
        <w:t xml:space="preserve"> distintas interpretaciones de lo que constituye una base de datos </w:t>
      </w:r>
      <w:r w:rsidR="00351C76">
        <w:rPr>
          <w:kern w:val="22"/>
          <w:szCs w:val="24"/>
          <w:lang w:val="es-ES"/>
        </w:rPr>
        <w:t xml:space="preserve">de </w:t>
      </w:r>
      <w:r>
        <w:rPr>
          <w:kern w:val="22"/>
          <w:szCs w:val="24"/>
          <w:lang w:val="es-ES"/>
        </w:rPr>
        <w:t>acces</w:t>
      </w:r>
      <w:r w:rsidR="00351C76">
        <w:rPr>
          <w:kern w:val="22"/>
          <w:szCs w:val="24"/>
          <w:lang w:val="es-ES"/>
        </w:rPr>
        <w:t>o</w:t>
      </w:r>
      <w:r>
        <w:rPr>
          <w:kern w:val="22"/>
          <w:szCs w:val="24"/>
          <w:lang w:val="es-ES"/>
        </w:rPr>
        <w:t xml:space="preserve"> público; estas pueden ser desde bases de datos </w:t>
      </w:r>
      <w:r w:rsidR="00351C76">
        <w:rPr>
          <w:kern w:val="22"/>
          <w:szCs w:val="24"/>
          <w:lang w:val="es-ES"/>
        </w:rPr>
        <w:t>con</w:t>
      </w:r>
      <w:r>
        <w:rPr>
          <w:kern w:val="22"/>
          <w:szCs w:val="24"/>
          <w:lang w:val="es-ES"/>
        </w:rPr>
        <w:t xml:space="preserve"> acceso totalmente libre (por ej., </w:t>
      </w:r>
      <w:proofErr w:type="spellStart"/>
      <w:r>
        <w:rPr>
          <w:kern w:val="22"/>
          <w:szCs w:val="24"/>
          <w:lang w:val="es-ES"/>
        </w:rPr>
        <w:t>GenBank</w:t>
      </w:r>
      <w:proofErr w:type="spellEnd"/>
      <w:r>
        <w:rPr>
          <w:kern w:val="22"/>
          <w:szCs w:val="24"/>
          <w:lang w:val="es-ES"/>
        </w:rPr>
        <w:t xml:space="preserve">) a </w:t>
      </w:r>
      <w:r w:rsidR="00351C76">
        <w:rPr>
          <w:kern w:val="22"/>
          <w:szCs w:val="24"/>
          <w:lang w:val="es-ES"/>
        </w:rPr>
        <w:t>bases</w:t>
      </w:r>
      <w:r>
        <w:rPr>
          <w:kern w:val="22"/>
          <w:szCs w:val="24"/>
          <w:lang w:val="es-ES"/>
        </w:rPr>
        <w:t xml:space="preserve"> que imponen ciertos requisitos (por ej., </w:t>
      </w:r>
      <w:r w:rsidR="00AF1510">
        <w:rPr>
          <w:kern w:val="22"/>
          <w:szCs w:val="24"/>
          <w:lang w:val="es-ES"/>
        </w:rPr>
        <w:t>la GISAID (</w:t>
      </w:r>
      <w:r>
        <w:rPr>
          <w:kern w:val="22"/>
          <w:szCs w:val="24"/>
          <w:lang w:val="es-ES"/>
        </w:rPr>
        <w:t xml:space="preserve">Global </w:t>
      </w:r>
      <w:proofErr w:type="spellStart"/>
      <w:r>
        <w:rPr>
          <w:kern w:val="22"/>
          <w:szCs w:val="24"/>
          <w:lang w:val="es-ES"/>
        </w:rPr>
        <w:t>Initiative</w:t>
      </w:r>
      <w:proofErr w:type="spellEnd"/>
      <w:r>
        <w:rPr>
          <w:kern w:val="22"/>
          <w:szCs w:val="24"/>
          <w:lang w:val="es-ES"/>
        </w:rPr>
        <w:t xml:space="preserve"> </w:t>
      </w:r>
      <w:proofErr w:type="spellStart"/>
      <w:r>
        <w:rPr>
          <w:kern w:val="22"/>
          <w:szCs w:val="24"/>
          <w:lang w:val="es-ES"/>
        </w:rPr>
        <w:t>on</w:t>
      </w:r>
      <w:proofErr w:type="spellEnd"/>
      <w:r>
        <w:rPr>
          <w:kern w:val="22"/>
          <w:szCs w:val="24"/>
          <w:lang w:val="es-ES"/>
        </w:rPr>
        <w:t xml:space="preserve"> </w:t>
      </w:r>
      <w:proofErr w:type="spellStart"/>
      <w:r>
        <w:rPr>
          <w:kern w:val="22"/>
          <w:szCs w:val="24"/>
          <w:lang w:val="es-ES"/>
        </w:rPr>
        <w:t>Sharing</w:t>
      </w:r>
      <w:proofErr w:type="spellEnd"/>
      <w:r>
        <w:rPr>
          <w:kern w:val="22"/>
          <w:szCs w:val="24"/>
          <w:lang w:val="es-ES"/>
        </w:rPr>
        <w:t xml:space="preserve"> </w:t>
      </w:r>
      <w:proofErr w:type="spellStart"/>
      <w:r>
        <w:rPr>
          <w:kern w:val="22"/>
          <w:szCs w:val="24"/>
          <w:lang w:val="es-ES"/>
        </w:rPr>
        <w:t>All</w:t>
      </w:r>
      <w:proofErr w:type="spellEnd"/>
      <w:r>
        <w:rPr>
          <w:kern w:val="22"/>
          <w:szCs w:val="24"/>
          <w:lang w:val="es-ES"/>
        </w:rPr>
        <w:t xml:space="preserve"> Influenza Data), que requiere que los usuarios se registren y acepten l</w:t>
      </w:r>
      <w:r w:rsidR="00351C76">
        <w:rPr>
          <w:kern w:val="22"/>
          <w:szCs w:val="24"/>
          <w:lang w:val="es-ES"/>
        </w:rPr>
        <w:t>a</w:t>
      </w:r>
      <w:r>
        <w:rPr>
          <w:kern w:val="22"/>
          <w:szCs w:val="24"/>
          <w:lang w:val="es-ES"/>
        </w:rPr>
        <w:t xml:space="preserve">s </w:t>
      </w:r>
      <w:r w:rsidR="00351C76">
        <w:rPr>
          <w:kern w:val="22"/>
          <w:szCs w:val="24"/>
          <w:lang w:val="es-ES"/>
        </w:rPr>
        <w:t>condiciones</w:t>
      </w:r>
      <w:r>
        <w:rPr>
          <w:kern w:val="22"/>
          <w:szCs w:val="24"/>
          <w:lang w:val="es-ES"/>
        </w:rPr>
        <w:t xml:space="preserve"> de acceso a los datos);</w:t>
      </w:r>
    </w:p>
    <w:p w:rsidR="00047515" w:rsidRDefault="00047515" w:rsidP="00351C76">
      <w:pPr>
        <w:pStyle w:val="Para1"/>
        <w:numPr>
          <w:ilvl w:val="0"/>
          <w:numId w:val="15"/>
        </w:numPr>
        <w:suppressLineNumbers/>
        <w:tabs>
          <w:tab w:val="clear" w:pos="4680"/>
        </w:tabs>
        <w:suppressAutoHyphens/>
        <w:kinsoku w:val="0"/>
        <w:overflowPunct w:val="0"/>
        <w:autoSpaceDE w:val="0"/>
        <w:autoSpaceDN w:val="0"/>
        <w:spacing w:before="0"/>
        <w:ind w:left="0" w:firstLine="720"/>
        <w:rPr>
          <w:kern w:val="22"/>
          <w:szCs w:val="24"/>
          <w:lang w:val="es-ES"/>
        </w:rPr>
      </w:pPr>
      <w:r>
        <w:rPr>
          <w:kern w:val="22"/>
          <w:szCs w:val="24"/>
          <w:lang w:val="es-ES"/>
        </w:rPr>
        <w:t xml:space="preserve">El acceso a bases de datos disponibles </w:t>
      </w:r>
      <w:r w:rsidR="00351C76">
        <w:rPr>
          <w:kern w:val="22"/>
          <w:szCs w:val="24"/>
          <w:lang w:val="es-ES"/>
        </w:rPr>
        <w:t xml:space="preserve">al </w:t>
      </w:r>
      <w:r>
        <w:rPr>
          <w:kern w:val="22"/>
          <w:szCs w:val="24"/>
          <w:lang w:val="es-ES"/>
        </w:rPr>
        <w:t>públic</w:t>
      </w:r>
      <w:r w:rsidR="00351C76">
        <w:rPr>
          <w:kern w:val="22"/>
          <w:szCs w:val="24"/>
          <w:lang w:val="es-ES"/>
        </w:rPr>
        <w:t>o</w:t>
      </w:r>
      <w:r>
        <w:rPr>
          <w:kern w:val="22"/>
          <w:szCs w:val="24"/>
          <w:lang w:val="es-ES"/>
        </w:rPr>
        <w:t xml:space="preserve"> es importante y podría requerir acuerdos de usuario que tengan en cuenta la participación en los beneficios;</w:t>
      </w:r>
    </w:p>
    <w:p w:rsidR="00047515" w:rsidRDefault="00047515">
      <w:pPr>
        <w:pStyle w:val="Para1"/>
        <w:numPr>
          <w:ilvl w:val="0"/>
          <w:numId w:val="15"/>
        </w:numPr>
        <w:suppressLineNumbers/>
        <w:tabs>
          <w:tab w:val="clear" w:pos="4680"/>
        </w:tabs>
        <w:suppressAutoHyphens/>
        <w:kinsoku w:val="0"/>
        <w:overflowPunct w:val="0"/>
        <w:autoSpaceDE w:val="0"/>
        <w:autoSpaceDN w:val="0"/>
        <w:spacing w:before="0"/>
        <w:ind w:left="0" w:firstLine="720"/>
        <w:rPr>
          <w:kern w:val="22"/>
          <w:szCs w:val="24"/>
          <w:lang w:val="es-ES"/>
        </w:rPr>
      </w:pPr>
      <w:r>
        <w:rPr>
          <w:kern w:val="22"/>
          <w:szCs w:val="24"/>
          <w:lang w:val="es-ES"/>
        </w:rPr>
        <w:t>Los datos contenidos en bases de datos de acceso público pueden estar igualmente sujetos a derechos de propiedad intelectual</w:t>
      </w:r>
      <w:r w:rsidR="00564634">
        <w:rPr>
          <w:kern w:val="22"/>
          <w:szCs w:val="24"/>
          <w:lang w:val="es-ES"/>
        </w:rPr>
        <w:t xml:space="preserve"> </w:t>
      </w:r>
      <w:r>
        <w:rPr>
          <w:kern w:val="22"/>
          <w:szCs w:val="24"/>
          <w:lang w:val="es-ES"/>
        </w:rPr>
        <w:t>o ser utilizados para temas susceptibles de protección de propiedad intelectual o sujetos a obligaciones de acceso y participación en los beneficios;</w:t>
      </w:r>
    </w:p>
    <w:p w:rsidR="00047515" w:rsidRDefault="00047515" w:rsidP="00351C76">
      <w:pPr>
        <w:pStyle w:val="Para1"/>
        <w:numPr>
          <w:ilvl w:val="0"/>
          <w:numId w:val="15"/>
        </w:numPr>
        <w:suppressLineNumbers/>
        <w:tabs>
          <w:tab w:val="clear" w:pos="4680"/>
        </w:tabs>
        <w:suppressAutoHyphens/>
        <w:kinsoku w:val="0"/>
        <w:overflowPunct w:val="0"/>
        <w:autoSpaceDE w:val="0"/>
        <w:autoSpaceDN w:val="0"/>
        <w:spacing w:before="0"/>
        <w:ind w:left="0" w:firstLine="720"/>
        <w:rPr>
          <w:szCs w:val="24"/>
          <w:lang w:val="es-ES"/>
        </w:rPr>
      </w:pPr>
      <w:r>
        <w:rPr>
          <w:kern w:val="22"/>
          <w:szCs w:val="24"/>
          <w:lang w:val="es-ES"/>
        </w:rPr>
        <w:t>La comunidad científica reconoce cada vez más el valor de incluir información sobre el</w:t>
      </w:r>
      <w:r w:rsidR="00351C76">
        <w:rPr>
          <w:kern w:val="22"/>
          <w:szCs w:val="24"/>
          <w:lang w:val="es-ES"/>
        </w:rPr>
        <w:t xml:space="preserve"> contexto ambiental en los meta</w:t>
      </w:r>
      <w:r>
        <w:rPr>
          <w:kern w:val="22"/>
          <w:szCs w:val="24"/>
          <w:lang w:val="es-ES"/>
        </w:rPr>
        <w:t xml:space="preserve">datos asociados con </w:t>
      </w:r>
      <w:r w:rsidR="00351C76">
        <w:rPr>
          <w:kern w:val="22"/>
          <w:szCs w:val="24"/>
          <w:lang w:val="es-ES"/>
        </w:rPr>
        <w:t xml:space="preserve">la </w:t>
      </w:r>
      <w:r>
        <w:rPr>
          <w:kern w:val="22"/>
          <w:szCs w:val="24"/>
          <w:lang w:val="es-ES"/>
        </w:rPr>
        <w:t>“DSI”, ya que contribuye a l</w:t>
      </w:r>
      <w:r w:rsidR="00351C76">
        <w:rPr>
          <w:kern w:val="22"/>
          <w:szCs w:val="24"/>
          <w:lang w:val="es-ES"/>
        </w:rPr>
        <w:t>o</w:t>
      </w:r>
      <w:r>
        <w:rPr>
          <w:kern w:val="22"/>
          <w:szCs w:val="24"/>
          <w:lang w:val="es-ES"/>
        </w:rPr>
        <w:t xml:space="preserve">s </w:t>
      </w:r>
      <w:r w:rsidR="00351C76">
        <w:rPr>
          <w:kern w:val="22"/>
          <w:szCs w:val="24"/>
          <w:lang w:val="es-ES"/>
        </w:rPr>
        <w:t>esfuerzos</w:t>
      </w:r>
      <w:r>
        <w:rPr>
          <w:kern w:val="22"/>
          <w:szCs w:val="24"/>
          <w:lang w:val="es-ES"/>
        </w:rPr>
        <w:t xml:space="preserve"> de conservación y las buenas prácticas de investigación. Esta información podría también contribuir al acceso y la participación en los beneficios;</w:t>
      </w:r>
    </w:p>
    <w:p w:rsidR="00047515" w:rsidRDefault="00047515" w:rsidP="005F4260">
      <w:pPr>
        <w:pStyle w:val="Para1"/>
        <w:numPr>
          <w:ilvl w:val="0"/>
          <w:numId w:val="15"/>
        </w:numPr>
        <w:suppressLineNumbers/>
        <w:tabs>
          <w:tab w:val="clear" w:pos="4680"/>
        </w:tabs>
        <w:suppressAutoHyphens/>
        <w:kinsoku w:val="0"/>
        <w:overflowPunct w:val="0"/>
        <w:autoSpaceDE w:val="0"/>
        <w:autoSpaceDN w:val="0"/>
        <w:spacing w:before="0"/>
        <w:ind w:left="0" w:firstLine="720"/>
        <w:rPr>
          <w:kern w:val="22"/>
          <w:szCs w:val="24"/>
          <w:lang w:val="es-ES"/>
        </w:rPr>
      </w:pPr>
      <w:r>
        <w:rPr>
          <w:kern w:val="22"/>
          <w:szCs w:val="24"/>
          <w:lang w:val="es-ES"/>
        </w:rPr>
        <w:t xml:space="preserve">Si bien algunas bases de datos (por ej., el Banco de Datos de ADN del Japón) proporcionan información </w:t>
      </w:r>
      <w:r w:rsidR="005F4260">
        <w:rPr>
          <w:kern w:val="22"/>
          <w:szCs w:val="24"/>
          <w:lang w:val="es-ES"/>
        </w:rPr>
        <w:t>de datos estadísticos de los usuarios y meta</w:t>
      </w:r>
      <w:r>
        <w:rPr>
          <w:kern w:val="22"/>
          <w:szCs w:val="24"/>
          <w:lang w:val="es-ES"/>
        </w:rPr>
        <w:t xml:space="preserve">datos de </w:t>
      </w:r>
      <w:r w:rsidR="005F4260">
        <w:rPr>
          <w:kern w:val="22"/>
          <w:szCs w:val="24"/>
          <w:lang w:val="es-ES"/>
        </w:rPr>
        <w:t xml:space="preserve">la </w:t>
      </w:r>
      <w:r>
        <w:rPr>
          <w:kern w:val="22"/>
          <w:szCs w:val="24"/>
          <w:lang w:val="es-ES"/>
        </w:rPr>
        <w:t xml:space="preserve">“DSI”, </w:t>
      </w:r>
      <w:r w:rsidR="005F4260">
        <w:rPr>
          <w:kern w:val="22"/>
          <w:szCs w:val="24"/>
          <w:lang w:val="es-ES"/>
        </w:rPr>
        <w:t>se necesita</w:t>
      </w:r>
      <w:r>
        <w:rPr>
          <w:kern w:val="22"/>
          <w:szCs w:val="24"/>
          <w:lang w:val="es-ES"/>
        </w:rPr>
        <w:t xml:space="preserve"> más información sobre la procedencia de la “DSI” (por ej., país de origen del recurso genético cuyas secuencias están en las bases de datos), quién la presenta y desde qué países acceden </w:t>
      </w:r>
      <w:r w:rsidR="005F4260">
        <w:rPr>
          <w:kern w:val="22"/>
          <w:szCs w:val="24"/>
          <w:lang w:val="es-ES"/>
        </w:rPr>
        <w:t>a la “DSI” los usuarios</w:t>
      </w:r>
      <w:r>
        <w:rPr>
          <w:kern w:val="22"/>
          <w:szCs w:val="24"/>
          <w:lang w:val="es-ES"/>
        </w:rPr>
        <w:t>;</w:t>
      </w:r>
    </w:p>
    <w:p w:rsidR="00047515" w:rsidRDefault="00047515" w:rsidP="00AF1510">
      <w:pPr>
        <w:pStyle w:val="Para1"/>
        <w:numPr>
          <w:ilvl w:val="0"/>
          <w:numId w:val="15"/>
        </w:numPr>
        <w:suppressLineNumbers/>
        <w:tabs>
          <w:tab w:val="clear" w:pos="4680"/>
        </w:tabs>
        <w:suppressAutoHyphens/>
        <w:kinsoku w:val="0"/>
        <w:overflowPunct w:val="0"/>
        <w:autoSpaceDE w:val="0"/>
        <w:autoSpaceDN w:val="0"/>
        <w:spacing w:before="0"/>
        <w:ind w:left="0" w:firstLine="720"/>
        <w:rPr>
          <w:kern w:val="22"/>
          <w:szCs w:val="24"/>
          <w:lang w:val="es-ES"/>
        </w:rPr>
      </w:pPr>
      <w:r>
        <w:rPr>
          <w:kern w:val="22"/>
          <w:szCs w:val="24"/>
          <w:lang w:val="es-ES"/>
        </w:rPr>
        <w:t xml:space="preserve">Se precisa más información sobre </w:t>
      </w:r>
      <w:r w:rsidR="00AF1510">
        <w:rPr>
          <w:kern w:val="22"/>
          <w:szCs w:val="24"/>
          <w:lang w:val="es-ES"/>
        </w:rPr>
        <w:t>la</w:t>
      </w:r>
      <w:r w:rsidR="005F4260">
        <w:rPr>
          <w:kern w:val="22"/>
          <w:szCs w:val="24"/>
          <w:lang w:val="es-ES"/>
        </w:rPr>
        <w:t xml:space="preserve"> medida </w:t>
      </w:r>
      <w:r w:rsidR="00AF1510">
        <w:rPr>
          <w:kern w:val="22"/>
          <w:szCs w:val="24"/>
          <w:lang w:val="es-ES"/>
        </w:rPr>
        <w:t xml:space="preserve">en que </w:t>
      </w:r>
      <w:r w:rsidR="005F4260">
        <w:rPr>
          <w:kern w:val="22"/>
          <w:szCs w:val="24"/>
          <w:lang w:val="es-ES"/>
        </w:rPr>
        <w:t>se</w:t>
      </w:r>
      <w:r>
        <w:rPr>
          <w:kern w:val="22"/>
          <w:szCs w:val="24"/>
          <w:lang w:val="es-ES"/>
        </w:rPr>
        <w:t xml:space="preserve"> utiliza</w:t>
      </w:r>
      <w:r w:rsidR="005F4260">
        <w:rPr>
          <w:kern w:val="22"/>
          <w:szCs w:val="24"/>
          <w:lang w:val="es-ES"/>
        </w:rPr>
        <w:t xml:space="preserve"> la</w:t>
      </w:r>
      <w:r>
        <w:rPr>
          <w:kern w:val="22"/>
          <w:szCs w:val="24"/>
          <w:lang w:val="es-ES"/>
        </w:rPr>
        <w:t xml:space="preserve"> “DSI” (por ej., bases de </w:t>
      </w:r>
      <w:proofErr w:type="gramStart"/>
      <w:r>
        <w:rPr>
          <w:kern w:val="22"/>
          <w:szCs w:val="24"/>
          <w:lang w:val="es-ES"/>
        </w:rPr>
        <w:t>datos públicas/privada, comercial/no comercial</w:t>
      </w:r>
      <w:proofErr w:type="gramEnd"/>
      <w:r>
        <w:rPr>
          <w:kern w:val="22"/>
          <w:szCs w:val="24"/>
          <w:lang w:val="es-ES"/>
        </w:rPr>
        <w:t>) como insumo para futuras deliberaciones.</w:t>
      </w:r>
    </w:p>
    <w:p w:rsidR="00047515" w:rsidRDefault="00047515" w:rsidP="005F4260">
      <w:pPr>
        <w:pStyle w:val="Para1"/>
        <w:numPr>
          <w:ilvl w:val="0"/>
          <w:numId w:val="6"/>
        </w:numPr>
        <w:suppressLineNumbers/>
        <w:suppressAutoHyphens/>
        <w:kinsoku w:val="0"/>
        <w:overflowPunct w:val="0"/>
        <w:autoSpaceDE w:val="0"/>
        <w:autoSpaceDN w:val="0"/>
        <w:ind w:left="0" w:firstLine="0"/>
        <w:rPr>
          <w:szCs w:val="24"/>
          <w:lang w:val="es-ES"/>
        </w:rPr>
      </w:pPr>
      <w:r>
        <w:rPr>
          <w:kern w:val="22"/>
          <w:szCs w:val="24"/>
          <w:lang w:val="es-ES"/>
        </w:rPr>
        <w:t>Los expertos coincidieron en que no sería deseable restringir el uso de los datos que son de acceso público. No obstante, algunos señalaron que hay datos protegidos</w:t>
      </w:r>
      <w:r w:rsidR="005F4260">
        <w:rPr>
          <w:kern w:val="22"/>
          <w:szCs w:val="24"/>
          <w:lang w:val="es-ES"/>
        </w:rPr>
        <w:t xml:space="preserve"> cuyo</w:t>
      </w:r>
      <w:r>
        <w:rPr>
          <w:kern w:val="22"/>
          <w:szCs w:val="24"/>
          <w:lang w:val="es-ES"/>
        </w:rPr>
        <w:t xml:space="preserve"> </w:t>
      </w:r>
      <w:r w:rsidR="005F4260">
        <w:rPr>
          <w:kern w:val="22"/>
          <w:szCs w:val="24"/>
          <w:lang w:val="es-ES"/>
        </w:rPr>
        <w:t xml:space="preserve">contenido </w:t>
      </w:r>
      <w:r>
        <w:rPr>
          <w:kern w:val="22"/>
          <w:szCs w:val="24"/>
          <w:lang w:val="es-ES"/>
        </w:rPr>
        <w:t xml:space="preserve">no </w:t>
      </w:r>
      <w:r w:rsidR="005F4260">
        <w:rPr>
          <w:kern w:val="22"/>
          <w:szCs w:val="24"/>
          <w:lang w:val="es-ES"/>
        </w:rPr>
        <w:t>es</w:t>
      </w:r>
      <w:r>
        <w:rPr>
          <w:kern w:val="22"/>
          <w:szCs w:val="24"/>
          <w:lang w:val="es-ES"/>
        </w:rPr>
        <w:t xml:space="preserve"> de conocimiento público.</w:t>
      </w:r>
    </w:p>
    <w:p w:rsidR="00047515" w:rsidRDefault="00047515">
      <w:pPr>
        <w:pStyle w:val="Para1"/>
        <w:numPr>
          <w:ilvl w:val="0"/>
          <w:numId w:val="6"/>
        </w:numPr>
        <w:suppressLineNumbers/>
        <w:suppressAutoHyphens/>
        <w:kinsoku w:val="0"/>
        <w:overflowPunct w:val="0"/>
        <w:autoSpaceDE w:val="0"/>
        <w:autoSpaceDN w:val="0"/>
        <w:ind w:left="0" w:firstLine="0"/>
        <w:rPr>
          <w:szCs w:val="24"/>
          <w:lang w:val="es-ES"/>
        </w:rPr>
      </w:pPr>
      <w:r>
        <w:rPr>
          <w:kern w:val="22"/>
          <w:szCs w:val="24"/>
          <w:lang w:val="es-ES"/>
        </w:rPr>
        <w:t>Algunos expertos informaron sobre las medidas que han adoptado distintos sectores con miras a que se respeten los principios del Protocolo de Nagoya. Se han elaborado buenas prácticas que están disponibles</w:t>
      </w:r>
      <w:r w:rsidR="00564634">
        <w:rPr>
          <w:kern w:val="22"/>
          <w:szCs w:val="24"/>
          <w:lang w:val="es-ES"/>
        </w:rPr>
        <w:t xml:space="preserve"> </w:t>
      </w:r>
      <w:r>
        <w:rPr>
          <w:kern w:val="22"/>
          <w:szCs w:val="24"/>
          <w:lang w:val="es-ES"/>
        </w:rPr>
        <w:t>(por ej., el Proyecto Internacional del Código de Barras de la Vida, TRUST, GGBN).</w:t>
      </w:r>
    </w:p>
    <w:p w:rsidR="00047515" w:rsidRDefault="00047515">
      <w:pPr>
        <w:pStyle w:val="Para1"/>
        <w:numPr>
          <w:ilvl w:val="0"/>
          <w:numId w:val="6"/>
        </w:numPr>
        <w:suppressLineNumbers/>
        <w:suppressAutoHyphens/>
        <w:kinsoku w:val="0"/>
        <w:overflowPunct w:val="0"/>
        <w:autoSpaceDE w:val="0"/>
        <w:autoSpaceDN w:val="0"/>
        <w:ind w:left="0" w:firstLine="0"/>
        <w:rPr>
          <w:kern w:val="22"/>
          <w:szCs w:val="24"/>
          <w:lang w:val="es-ES"/>
        </w:rPr>
      </w:pPr>
      <w:r>
        <w:rPr>
          <w:rStyle w:val="hps"/>
          <w:kern w:val="22"/>
          <w:szCs w:val="24"/>
          <w:lang w:val="es-ES"/>
        </w:rPr>
        <w:t>Con respecto a la trazabilidad,</w:t>
      </w:r>
      <w:r>
        <w:rPr>
          <w:kern w:val="22"/>
          <w:szCs w:val="24"/>
          <w:lang w:val="es-ES"/>
        </w:rPr>
        <w:t xml:space="preserve"> </w:t>
      </w:r>
      <w:r>
        <w:rPr>
          <w:rStyle w:val="hps"/>
          <w:kern w:val="22"/>
          <w:szCs w:val="24"/>
          <w:lang w:val="es-ES"/>
        </w:rPr>
        <w:t>los expertos</w:t>
      </w:r>
      <w:r>
        <w:rPr>
          <w:kern w:val="22"/>
          <w:szCs w:val="24"/>
          <w:lang w:val="es-ES"/>
        </w:rPr>
        <w:t xml:space="preserve"> </w:t>
      </w:r>
      <w:r>
        <w:rPr>
          <w:rStyle w:val="hps"/>
          <w:kern w:val="22"/>
          <w:szCs w:val="24"/>
          <w:lang w:val="es-ES"/>
        </w:rPr>
        <w:t>señalaron lo siguiente:</w:t>
      </w:r>
    </w:p>
    <w:p w:rsidR="00047515" w:rsidRDefault="00047515" w:rsidP="005F4260">
      <w:pPr>
        <w:pStyle w:val="Para1"/>
        <w:numPr>
          <w:ilvl w:val="0"/>
          <w:numId w:val="16"/>
        </w:numPr>
        <w:suppressLineNumbers/>
        <w:tabs>
          <w:tab w:val="clear" w:pos="4680"/>
        </w:tabs>
        <w:suppressAutoHyphens/>
        <w:kinsoku w:val="0"/>
        <w:overflowPunct w:val="0"/>
        <w:autoSpaceDE w:val="0"/>
        <w:autoSpaceDN w:val="0"/>
        <w:spacing w:before="0"/>
        <w:ind w:left="0" w:firstLine="720"/>
        <w:rPr>
          <w:kern w:val="22"/>
          <w:szCs w:val="24"/>
          <w:lang w:val="es-ES"/>
        </w:rPr>
      </w:pPr>
      <w:r>
        <w:rPr>
          <w:kern w:val="22"/>
          <w:szCs w:val="24"/>
          <w:lang w:val="es-ES"/>
        </w:rPr>
        <w:t xml:space="preserve">Hay preocupación de que los requisitos de trazabilidad </w:t>
      </w:r>
      <w:r w:rsidR="005F4260">
        <w:rPr>
          <w:kern w:val="22"/>
          <w:szCs w:val="24"/>
          <w:lang w:val="es-ES"/>
        </w:rPr>
        <w:t>creen</w:t>
      </w:r>
      <w:r>
        <w:rPr>
          <w:kern w:val="22"/>
          <w:szCs w:val="24"/>
          <w:lang w:val="es-ES"/>
        </w:rPr>
        <w:t xml:space="preserve"> obstáculos innecesarios al acceso a los datos y su utilización;</w:t>
      </w:r>
    </w:p>
    <w:p w:rsidR="00047515" w:rsidRDefault="00047515">
      <w:pPr>
        <w:pStyle w:val="Para1"/>
        <w:numPr>
          <w:ilvl w:val="0"/>
          <w:numId w:val="16"/>
        </w:numPr>
        <w:suppressLineNumbers/>
        <w:tabs>
          <w:tab w:val="clear" w:pos="4680"/>
        </w:tabs>
        <w:suppressAutoHyphens/>
        <w:kinsoku w:val="0"/>
        <w:overflowPunct w:val="0"/>
        <w:autoSpaceDE w:val="0"/>
        <w:autoSpaceDN w:val="0"/>
        <w:spacing w:before="0"/>
        <w:ind w:left="0" w:firstLine="720"/>
        <w:rPr>
          <w:kern w:val="22"/>
          <w:szCs w:val="24"/>
          <w:lang w:val="es-ES"/>
        </w:rPr>
      </w:pPr>
      <w:r>
        <w:rPr>
          <w:kern w:val="22"/>
          <w:szCs w:val="24"/>
          <w:lang w:val="es-ES"/>
        </w:rPr>
        <w:t>Sería útil contar con un marco de trazabilidad para rastrear información a lo largo de la cadena de valor y esto podría facilitarse mediante la utilización de identificadores exclusivos;</w:t>
      </w:r>
    </w:p>
    <w:p w:rsidR="00047515" w:rsidRDefault="00047515">
      <w:pPr>
        <w:pStyle w:val="Para1"/>
        <w:numPr>
          <w:ilvl w:val="0"/>
          <w:numId w:val="16"/>
        </w:numPr>
        <w:suppressLineNumbers/>
        <w:tabs>
          <w:tab w:val="clear" w:pos="4680"/>
        </w:tabs>
        <w:suppressAutoHyphens/>
        <w:kinsoku w:val="0"/>
        <w:overflowPunct w:val="0"/>
        <w:autoSpaceDE w:val="0"/>
        <w:autoSpaceDN w:val="0"/>
        <w:spacing w:before="0"/>
        <w:ind w:left="0" w:firstLine="720"/>
        <w:rPr>
          <w:kern w:val="22"/>
          <w:szCs w:val="24"/>
          <w:lang w:val="es-ES"/>
        </w:rPr>
      </w:pPr>
      <w:r>
        <w:rPr>
          <w:kern w:val="22"/>
          <w:szCs w:val="24"/>
          <w:lang w:val="es-ES"/>
        </w:rPr>
        <w:t>Nuevos avances tecnológicos (por ej., las cadenas de bloques) están mejorando la capacidad de rastreo y es necesario seguir de cerca los avances para determinar si la trazabilidad sigue siendo un desafío;</w:t>
      </w:r>
    </w:p>
    <w:p w:rsidR="00047515" w:rsidRDefault="00047515">
      <w:pPr>
        <w:pStyle w:val="Para1"/>
        <w:numPr>
          <w:ilvl w:val="0"/>
          <w:numId w:val="16"/>
        </w:numPr>
        <w:suppressLineNumbers/>
        <w:tabs>
          <w:tab w:val="clear" w:pos="4680"/>
        </w:tabs>
        <w:suppressAutoHyphens/>
        <w:kinsoku w:val="0"/>
        <w:overflowPunct w:val="0"/>
        <w:autoSpaceDE w:val="0"/>
        <w:autoSpaceDN w:val="0"/>
        <w:spacing w:before="0"/>
        <w:ind w:left="0" w:firstLine="720"/>
        <w:rPr>
          <w:kern w:val="22"/>
          <w:szCs w:val="24"/>
          <w:lang w:val="es-ES"/>
        </w:rPr>
      </w:pPr>
      <w:r>
        <w:rPr>
          <w:kern w:val="22"/>
          <w:szCs w:val="24"/>
          <w:lang w:val="es-ES"/>
        </w:rPr>
        <w:t>Para que sea eficaz, la trazabilidad debe ser obligatoria;</w:t>
      </w:r>
    </w:p>
    <w:p w:rsidR="00047515" w:rsidRDefault="00047515">
      <w:pPr>
        <w:pStyle w:val="Para1"/>
        <w:numPr>
          <w:ilvl w:val="0"/>
          <w:numId w:val="16"/>
        </w:numPr>
        <w:suppressLineNumbers/>
        <w:tabs>
          <w:tab w:val="clear" w:pos="4680"/>
        </w:tabs>
        <w:suppressAutoHyphens/>
        <w:kinsoku w:val="0"/>
        <w:overflowPunct w:val="0"/>
        <w:autoSpaceDE w:val="0"/>
        <w:autoSpaceDN w:val="0"/>
        <w:spacing w:before="0"/>
        <w:ind w:left="0" w:firstLine="720"/>
        <w:rPr>
          <w:kern w:val="22"/>
          <w:szCs w:val="24"/>
          <w:lang w:val="es-ES"/>
        </w:rPr>
      </w:pPr>
      <w:r>
        <w:rPr>
          <w:kern w:val="22"/>
          <w:szCs w:val="24"/>
          <w:lang w:val="es-ES"/>
        </w:rPr>
        <w:t>Por sus características, la “DSI” no se presta a la trazabilidad.</w:t>
      </w:r>
    </w:p>
    <w:p w:rsidR="00047515" w:rsidRDefault="00047515">
      <w:pPr>
        <w:pStyle w:val="Para1"/>
        <w:numPr>
          <w:ilvl w:val="0"/>
          <w:numId w:val="6"/>
        </w:numPr>
        <w:suppressLineNumbers/>
        <w:suppressAutoHyphens/>
        <w:kinsoku w:val="0"/>
        <w:overflowPunct w:val="0"/>
        <w:autoSpaceDE w:val="0"/>
        <w:autoSpaceDN w:val="0"/>
        <w:ind w:left="0" w:firstLine="0"/>
        <w:rPr>
          <w:kern w:val="22"/>
          <w:szCs w:val="24"/>
          <w:lang w:val="es-ES"/>
        </w:rPr>
      </w:pPr>
      <w:r>
        <w:rPr>
          <w:kern w:val="22"/>
          <w:szCs w:val="24"/>
          <w:lang w:val="es-ES"/>
        </w:rPr>
        <w:t>Algunos expertos sugirieron que podría valer la pena considerar el concepto de “apertura acotada respecto a la información natural”; sin embargo, el Grupo de expertos no examinó este concepto.</w:t>
      </w:r>
    </w:p>
    <w:p w:rsidR="00047515" w:rsidRDefault="00047515">
      <w:pPr>
        <w:pStyle w:val="Para1"/>
        <w:numPr>
          <w:ilvl w:val="0"/>
          <w:numId w:val="0"/>
        </w:numPr>
        <w:suppressLineNumbers/>
        <w:suppressAutoHyphens/>
        <w:kinsoku w:val="0"/>
        <w:overflowPunct w:val="0"/>
        <w:autoSpaceDE w:val="0"/>
        <w:autoSpaceDN w:val="0"/>
        <w:jc w:val="left"/>
        <w:rPr>
          <w:kern w:val="22"/>
          <w:szCs w:val="24"/>
          <w:lang w:val="es-ES"/>
        </w:rPr>
      </w:pPr>
    </w:p>
    <w:p w:rsidR="00047515" w:rsidRDefault="00047515">
      <w:pPr>
        <w:suppressLineNumbers/>
        <w:suppressAutoHyphens/>
        <w:kinsoku w:val="0"/>
        <w:overflowPunct w:val="0"/>
        <w:autoSpaceDE w:val="0"/>
        <w:autoSpaceDN w:val="0"/>
        <w:spacing w:before="120" w:after="120"/>
        <w:jc w:val="center"/>
        <w:rPr>
          <w:kern w:val="22"/>
          <w:lang w:val="es-ES"/>
        </w:rPr>
      </w:pPr>
      <w:r>
        <w:rPr>
          <w:kern w:val="22"/>
          <w:lang w:val="es-ES"/>
        </w:rPr>
        <w:t>__________</w:t>
      </w:r>
    </w:p>
    <w:p w:rsidR="00047515" w:rsidRDefault="00047515">
      <w:pPr>
        <w:suppressLineNumbers/>
        <w:suppressAutoHyphens/>
        <w:kinsoku w:val="0"/>
        <w:overflowPunct w:val="0"/>
        <w:autoSpaceDE w:val="0"/>
        <w:autoSpaceDN w:val="0"/>
        <w:spacing w:before="120" w:after="120"/>
        <w:jc w:val="center"/>
        <w:rPr>
          <w:kern w:val="22"/>
          <w:lang w:val="es-ES"/>
        </w:rPr>
      </w:pPr>
    </w:p>
    <w:sectPr w:rsidR="00047515">
      <w:headerReference w:type="even" r:id="rId15"/>
      <w:headerReference w:type="default" r:id="rId16"/>
      <w:footerReference w:type="even" r:id="rId17"/>
      <w:footerReference w:type="default" r:id="rId18"/>
      <w:footerReference w:type="first" r:id="rId19"/>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F05" w:rsidRDefault="00932F05">
      <w:r>
        <w:separator/>
      </w:r>
    </w:p>
  </w:endnote>
  <w:endnote w:type="continuationSeparator" w:id="0">
    <w:p w:rsidR="00932F05" w:rsidRDefault="0093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20000003" w:usb1="00000000" w:usb2="00000000" w:usb3="00000000" w:csb0="000001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C6" w:rsidRDefault="00E824C6">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C6" w:rsidRDefault="00E824C6">
    <w:pPr>
      <w:pStyle w:val="Footer"/>
      <w:tabs>
        <w:tab w:val="clear" w:pos="4320"/>
        <w:tab w:val="clear" w:pos="8640"/>
      </w:tabs>
      <w:kinsoku w:val="0"/>
      <w:overflowPunct w:val="0"/>
      <w:autoSpaceDE w:val="0"/>
      <w:autoSpaceDN w:val="0"/>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C6" w:rsidRDefault="00E824C6">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F05" w:rsidRDefault="00932F05">
      <w:r>
        <w:separator/>
      </w:r>
    </w:p>
  </w:footnote>
  <w:footnote w:type="continuationSeparator" w:id="0">
    <w:p w:rsidR="00932F05" w:rsidRDefault="00932F05">
      <w:r>
        <w:continuationSeparator/>
      </w:r>
    </w:p>
  </w:footnote>
  <w:footnote w:id="1">
    <w:p w:rsidR="00E824C6" w:rsidRDefault="00E824C6">
      <w:pPr>
        <w:pStyle w:val="FootnoteText"/>
        <w:keepLines w:val="0"/>
        <w:kinsoku w:val="0"/>
        <w:overflowPunct w:val="0"/>
        <w:autoSpaceDE w:val="0"/>
        <w:autoSpaceDN w:val="0"/>
        <w:ind w:firstLine="0"/>
        <w:jc w:val="left"/>
      </w:pPr>
      <w:r>
        <w:rPr>
          <w:rStyle w:val="FootnoteReference"/>
          <w:kern w:val="18"/>
          <w:u w:val="none"/>
        </w:rPr>
        <w:t>*</w:t>
      </w:r>
      <w:r>
        <w:rPr>
          <w:kern w:val="18"/>
        </w:rPr>
        <w:t xml:space="preserve"> </w:t>
      </w:r>
      <w:hyperlink r:id="rId1" w:history="1">
        <w:proofErr w:type="gramStart"/>
        <w:r>
          <w:rPr>
            <w:rStyle w:val="Hyperlink"/>
            <w:kern w:val="18"/>
          </w:rPr>
          <w:t>CBD/SBSTTA/22/1</w:t>
        </w:r>
      </w:hyperlink>
      <w:r>
        <w:rPr>
          <w:kern w:val="18"/>
        </w:rPr>
        <w:t>.</w:t>
      </w:r>
      <w:proofErr w:type="gramEnd"/>
    </w:p>
  </w:footnote>
  <w:footnote w:id="2">
    <w:p w:rsidR="00E824C6" w:rsidRDefault="00E824C6">
      <w:pPr>
        <w:pStyle w:val="FootnoteText"/>
        <w:keepLines w:val="0"/>
        <w:kinsoku w:val="0"/>
        <w:overflowPunct w:val="0"/>
        <w:autoSpaceDE w:val="0"/>
        <w:autoSpaceDN w:val="0"/>
        <w:ind w:firstLine="0"/>
        <w:jc w:val="left"/>
      </w:pPr>
      <w:r w:rsidRPr="003E066D">
        <w:rPr>
          <w:rStyle w:val="FootnoteReference"/>
          <w:kern w:val="18"/>
          <w:u w:val="none"/>
          <w:vertAlign w:val="superscript"/>
        </w:rPr>
        <w:footnoteRef/>
      </w:r>
      <w:r>
        <w:rPr>
          <w:kern w:val="18"/>
        </w:rPr>
        <w:t xml:space="preserve"> </w:t>
      </w:r>
      <w:hyperlink r:id="rId2" w:anchor="submissions" w:history="1">
        <w:r>
          <w:rPr>
            <w:rStyle w:val="Hyperlink"/>
            <w:kern w:val="18"/>
            <w:lang w:val="es-ES"/>
          </w:rPr>
          <w:t>https://www.cbd.int/abs/dsi-gr/ahteg.shtml#submissions</w:t>
        </w:r>
      </w:hyperlink>
      <w:r>
        <w:rPr>
          <w:kern w:val="18"/>
          <w:lang w:val="es-ES"/>
        </w:rPr>
        <w:t>.</w:t>
      </w:r>
    </w:p>
  </w:footnote>
  <w:footnote w:id="3">
    <w:p w:rsidR="00E824C6" w:rsidRDefault="00E824C6">
      <w:pPr>
        <w:pStyle w:val="FootnoteText"/>
        <w:keepLines w:val="0"/>
        <w:kinsoku w:val="0"/>
        <w:overflowPunct w:val="0"/>
        <w:autoSpaceDE w:val="0"/>
        <w:autoSpaceDN w:val="0"/>
        <w:ind w:firstLine="0"/>
        <w:jc w:val="left"/>
      </w:pPr>
      <w:r w:rsidRPr="00732B41">
        <w:rPr>
          <w:rStyle w:val="FootnoteReference"/>
          <w:kern w:val="18"/>
          <w:u w:val="none"/>
          <w:vertAlign w:val="superscript"/>
        </w:rPr>
        <w:footnoteRef/>
      </w:r>
      <w:r>
        <w:rPr>
          <w:kern w:val="18"/>
        </w:rPr>
        <w:t xml:space="preserve"> </w:t>
      </w:r>
      <w:hyperlink r:id="rId3" w:anchor="peerreview" w:history="1">
        <w:r>
          <w:rPr>
            <w:rStyle w:val="Hyperlink"/>
            <w:kern w:val="18"/>
            <w:lang w:val="es-ES"/>
          </w:rPr>
          <w:t>https://www.cbd.int/abs/dsi-gr/ahteg.shtml#peerreview</w:t>
        </w:r>
      </w:hyperlink>
      <w:r>
        <w:rPr>
          <w:kern w:val="18"/>
          <w:lang w:val="es-ES"/>
        </w:rPr>
        <w:t>.</w:t>
      </w:r>
      <w:r>
        <w:rPr>
          <w:kern w:val="18"/>
        </w:rPr>
        <w:t xml:space="preserve"> </w:t>
      </w:r>
    </w:p>
  </w:footnote>
  <w:footnote w:id="4">
    <w:p w:rsidR="00E824C6" w:rsidRDefault="00E824C6">
      <w:pPr>
        <w:pStyle w:val="FootnoteText"/>
        <w:keepLines w:val="0"/>
        <w:kinsoku w:val="0"/>
        <w:overflowPunct w:val="0"/>
        <w:autoSpaceDE w:val="0"/>
        <w:autoSpaceDN w:val="0"/>
        <w:ind w:firstLine="0"/>
        <w:jc w:val="left"/>
      </w:pPr>
      <w:r w:rsidRPr="00732B41">
        <w:rPr>
          <w:rStyle w:val="FootnoteReference"/>
          <w:kern w:val="18"/>
          <w:u w:val="none"/>
          <w:vertAlign w:val="superscript"/>
        </w:rPr>
        <w:footnoteRef/>
      </w:r>
      <w:r>
        <w:rPr>
          <w:kern w:val="18"/>
        </w:rPr>
        <w:t xml:space="preserve"> </w:t>
      </w:r>
      <w:r>
        <w:rPr>
          <w:kern w:val="18"/>
          <w:lang w:val="es-ES"/>
        </w:rPr>
        <w:t>CBD/SBSTTA/22/INF/2, CBD/SBSTTA/22/INF/2/Add.1 y CBD/SBSTTA/22/INF/2/Add.2; y CBD/SBSTTA/22/INF/3.</w:t>
      </w:r>
    </w:p>
  </w:footnote>
  <w:footnote w:id="5">
    <w:p w:rsidR="00E824C6" w:rsidRDefault="00E824C6">
      <w:pPr>
        <w:pStyle w:val="FootnoteText"/>
        <w:keepLines w:val="0"/>
        <w:kinsoku w:val="0"/>
        <w:overflowPunct w:val="0"/>
        <w:autoSpaceDE w:val="0"/>
        <w:autoSpaceDN w:val="0"/>
        <w:ind w:firstLine="0"/>
        <w:jc w:val="left"/>
      </w:pPr>
      <w:r w:rsidRPr="00732B41">
        <w:rPr>
          <w:rStyle w:val="FootnoteReference"/>
          <w:kern w:val="18"/>
          <w:u w:val="none"/>
          <w:vertAlign w:val="superscript"/>
        </w:rPr>
        <w:footnoteRef/>
      </w:r>
      <w:r>
        <w:rPr>
          <w:kern w:val="18"/>
        </w:rPr>
        <w:t xml:space="preserve"> </w:t>
      </w:r>
      <w:r>
        <w:rPr>
          <w:kern w:val="18"/>
          <w:lang w:val="es-ES"/>
        </w:rPr>
        <w:t>CBD/SBSTTA/22/INF/4.</w:t>
      </w:r>
    </w:p>
  </w:footnote>
  <w:footnote w:id="6">
    <w:p w:rsidR="00E824C6" w:rsidRDefault="00E824C6">
      <w:pPr>
        <w:pStyle w:val="FootnoteText"/>
        <w:keepLines w:val="0"/>
        <w:kinsoku w:val="0"/>
        <w:overflowPunct w:val="0"/>
        <w:autoSpaceDE w:val="0"/>
        <w:autoSpaceDN w:val="0"/>
        <w:ind w:firstLine="0"/>
        <w:jc w:val="left"/>
      </w:pPr>
      <w:r w:rsidRPr="00732B41">
        <w:rPr>
          <w:rStyle w:val="FootnoteReference"/>
          <w:kern w:val="18"/>
          <w:u w:val="none"/>
          <w:vertAlign w:val="superscript"/>
        </w:rPr>
        <w:footnoteRef/>
      </w:r>
      <w:r>
        <w:rPr>
          <w:kern w:val="18"/>
        </w:rPr>
        <w:t xml:space="preserve"> </w:t>
      </w:r>
      <w:r>
        <w:rPr>
          <w:kern w:val="18"/>
          <w:lang w:val="es-ES"/>
        </w:rPr>
        <w:t>CBD/SBSTTA/22/INF/2.</w:t>
      </w:r>
    </w:p>
  </w:footnote>
  <w:footnote w:id="7">
    <w:p w:rsidR="00E824C6" w:rsidRDefault="00E824C6">
      <w:pPr>
        <w:pStyle w:val="FootnoteText"/>
        <w:keepLines w:val="0"/>
        <w:kinsoku w:val="0"/>
        <w:overflowPunct w:val="0"/>
        <w:autoSpaceDE w:val="0"/>
        <w:autoSpaceDN w:val="0"/>
        <w:ind w:firstLine="0"/>
        <w:jc w:val="left"/>
      </w:pPr>
      <w:r w:rsidRPr="00732B41">
        <w:rPr>
          <w:rStyle w:val="FootnoteReference"/>
          <w:kern w:val="18"/>
          <w:u w:val="none"/>
          <w:vertAlign w:val="superscript"/>
        </w:rPr>
        <w:footnoteRef/>
      </w:r>
      <w:r>
        <w:rPr>
          <w:kern w:val="18"/>
        </w:rPr>
        <w:t xml:space="preserve"> </w:t>
      </w:r>
      <w:r>
        <w:rPr>
          <w:kern w:val="18"/>
          <w:lang w:val="es-ES"/>
        </w:rPr>
        <w:t>CBD/SBSTTA/22/INF/3.</w:t>
      </w:r>
    </w:p>
  </w:footnote>
  <w:footnote w:id="8">
    <w:p w:rsidR="00E824C6" w:rsidRDefault="00E824C6">
      <w:pPr>
        <w:pStyle w:val="FootnoteText"/>
        <w:keepLines w:val="0"/>
        <w:kinsoku w:val="0"/>
        <w:overflowPunct w:val="0"/>
        <w:autoSpaceDE w:val="0"/>
        <w:autoSpaceDN w:val="0"/>
        <w:ind w:firstLine="0"/>
        <w:jc w:val="left"/>
      </w:pPr>
      <w:r w:rsidRPr="00732B41">
        <w:rPr>
          <w:rStyle w:val="FootnoteReference"/>
          <w:kern w:val="18"/>
          <w:u w:val="none"/>
          <w:vertAlign w:val="superscript"/>
        </w:rPr>
        <w:footnoteRef/>
      </w:r>
      <w:r>
        <w:rPr>
          <w:kern w:val="18"/>
        </w:rPr>
        <w:t xml:space="preserve"> </w:t>
      </w:r>
      <w:r>
        <w:rPr>
          <w:kern w:val="18"/>
          <w:lang w:val="es-ES"/>
        </w:rPr>
        <w:t>CBD/SBSTTA/22/INF/4.</w:t>
      </w:r>
    </w:p>
  </w:footnote>
  <w:footnote w:id="9">
    <w:p w:rsidR="00E824C6" w:rsidRDefault="00E824C6">
      <w:pPr>
        <w:kinsoku w:val="0"/>
        <w:overflowPunct w:val="0"/>
        <w:autoSpaceDE w:val="0"/>
        <w:autoSpaceDN w:val="0"/>
        <w:spacing w:after="60"/>
      </w:pPr>
      <w:r w:rsidRPr="000E6759">
        <w:rPr>
          <w:rStyle w:val="FootnoteReference"/>
          <w:kern w:val="18"/>
          <w:u w:val="none"/>
          <w:vertAlign w:val="superscript"/>
        </w:rPr>
        <w:footnoteRef/>
      </w:r>
      <w:r>
        <w:rPr>
          <w:kern w:val="18"/>
          <w:sz w:val="18"/>
        </w:rPr>
        <w:t xml:space="preserve"> </w:t>
      </w:r>
      <w:r>
        <w:rPr>
          <w:kern w:val="18"/>
          <w:sz w:val="18"/>
          <w:lang w:val="es-ES"/>
        </w:rPr>
        <w:t>Convenio sobe la Diversidad Biológica, artículo 2: Por “recursos genéticos” se entiende el material genético de valor real o potencial.</w:t>
      </w:r>
    </w:p>
  </w:footnote>
  <w:footnote w:id="10">
    <w:p w:rsidR="00E824C6" w:rsidRDefault="00E824C6">
      <w:pPr>
        <w:pStyle w:val="FootnoteText"/>
        <w:keepLines w:val="0"/>
        <w:kinsoku w:val="0"/>
        <w:overflowPunct w:val="0"/>
        <w:autoSpaceDE w:val="0"/>
        <w:autoSpaceDN w:val="0"/>
        <w:ind w:firstLine="0"/>
        <w:jc w:val="left"/>
      </w:pPr>
      <w:r w:rsidRPr="000E6759">
        <w:rPr>
          <w:rStyle w:val="FootnoteReference"/>
          <w:kern w:val="18"/>
          <w:u w:val="none"/>
          <w:vertAlign w:val="superscript"/>
        </w:rPr>
        <w:footnoteRef/>
      </w:r>
      <w:r>
        <w:rPr>
          <w:kern w:val="18"/>
        </w:rPr>
        <w:t xml:space="preserve"> </w:t>
      </w:r>
      <w:r>
        <w:rPr>
          <w:kern w:val="18"/>
          <w:lang w:val="es-ES"/>
        </w:rPr>
        <w:t>Convenio sobre la Diversidad Biológica, artículo 2: Por “material genético” se entiende todo material de origen vegetal, animal, microbiano o de otro tipo que contenga unidades funcionales de la herencia.</w:t>
      </w:r>
    </w:p>
  </w:footnote>
  <w:footnote w:id="11">
    <w:p w:rsidR="00E824C6" w:rsidRDefault="00E824C6" w:rsidP="000319C3">
      <w:pPr>
        <w:pStyle w:val="FootnoteText"/>
        <w:keepLines w:val="0"/>
        <w:kinsoku w:val="0"/>
        <w:overflowPunct w:val="0"/>
        <w:autoSpaceDE w:val="0"/>
        <w:autoSpaceDN w:val="0"/>
        <w:ind w:firstLine="0"/>
        <w:jc w:val="left"/>
      </w:pPr>
      <w:r w:rsidRPr="000319C3">
        <w:rPr>
          <w:rStyle w:val="FootnoteReference"/>
          <w:kern w:val="18"/>
          <w:u w:val="none"/>
          <w:vertAlign w:val="superscript"/>
        </w:rPr>
        <w:footnoteRef/>
      </w:r>
      <w:r w:rsidR="005F4260">
        <w:rPr>
          <w:kern w:val="18"/>
        </w:rPr>
        <w:t xml:space="preserve"> </w:t>
      </w:r>
      <w:r>
        <w:rPr>
          <w:lang w:val="es-ES"/>
        </w:rPr>
        <w:t xml:space="preserve">Los documentos, que están disponibles únicamente en inglés, son los siguientes: </w:t>
      </w:r>
      <w:hyperlink r:id="rId4" w:history="1">
        <w:r>
          <w:rPr>
            <w:rStyle w:val="Hyperlink"/>
            <w:vanish/>
            <w:kern w:val="18"/>
            <w:lang w:val="es-ES"/>
          </w:rPr>
          <w:t>Fact-finding and scoping study on digital sequence information on genetic resources in the context of the Convention on Biological Diversity and the Nagoya Protocol</w:t>
        </w:r>
      </w:hyperlink>
      <w:hyperlink r:id="rId5" w:history="1">
        <w:r>
          <w:rPr>
            <w:rStyle w:val="Hyperlink"/>
            <w:kern w:val="18"/>
            <w:szCs w:val="18"/>
          </w:rPr>
          <w:t>“Fact-finding and scoping study on digital sequence information on genetic resources in the context of the Convention on Biological Diversity and the Nagoya Protocol”</w:t>
        </w:r>
      </w:hyperlink>
      <w:r w:rsidRPr="00FF2765">
        <w:rPr>
          <w:color w:val="333333"/>
          <w:kern w:val="18"/>
          <w:szCs w:val="18"/>
        </w:rPr>
        <w:t xml:space="preserve"> </w:t>
      </w:r>
      <w:r w:rsidRPr="000319C3">
        <w:rPr>
          <w:kern w:val="18"/>
          <w:szCs w:val="18"/>
        </w:rPr>
        <w:t>(CBD/DSI/AHTEG/2018/1/3),</w:t>
      </w:r>
      <w:r w:rsidRPr="00FF2765">
        <w:rPr>
          <w:kern w:val="18"/>
          <w:szCs w:val="18"/>
        </w:rPr>
        <w:t xml:space="preserve"> </w:t>
      </w:r>
      <w:hyperlink r:id="rId6" w:history="1">
        <w:r>
          <w:rPr>
            <w:rStyle w:val="Hyperlink"/>
            <w:kern w:val="18"/>
            <w:szCs w:val="18"/>
          </w:rPr>
          <w:t>“Synthesis of views and information on the potential implications of the use of digital sequence information on genetic resources for the three objectives of the Convention and the objective of the Nagoya Protocol”</w:t>
        </w:r>
      </w:hyperlink>
      <w:r w:rsidRPr="00FF2765">
        <w:rPr>
          <w:kern w:val="18"/>
          <w:szCs w:val="18"/>
        </w:rPr>
        <w:t xml:space="preserve"> (CBD/DSI/AHTEG/2018/1/2), </w:t>
      </w:r>
      <w:hyperlink r:id="rId7" w:history="1">
        <w:r w:rsidRPr="005F4260">
          <w:rPr>
            <w:rStyle w:val="Hyperlink"/>
            <w:kern w:val="18"/>
            <w:szCs w:val="18"/>
            <w:lang w:val="es-ES"/>
          </w:rPr>
          <w:t>Adición</w:t>
        </w:r>
        <w:r>
          <w:rPr>
            <w:rStyle w:val="Hyperlink"/>
            <w:kern w:val="18"/>
            <w:szCs w:val="18"/>
          </w:rPr>
          <w:t xml:space="preserve"> 1: “Case studies and examples of the use of digital sequence information in relation to the objectives of the Convention and the Nagoya Protocol”</w:t>
        </w:r>
      </w:hyperlink>
      <w:r w:rsidRPr="00FF2765">
        <w:rPr>
          <w:kern w:val="18"/>
          <w:szCs w:val="18"/>
        </w:rPr>
        <w:t xml:space="preserve"> </w:t>
      </w:r>
      <w:r w:rsidRPr="000319C3">
        <w:rPr>
          <w:kern w:val="18"/>
          <w:szCs w:val="18"/>
        </w:rPr>
        <w:t xml:space="preserve">(CBD/DSI/AHTEG/2018/1/2/Add.1) y </w:t>
      </w:r>
      <w:hyperlink r:id="rId8" w:history="1">
        <w:r w:rsidRPr="005F4260">
          <w:rPr>
            <w:rStyle w:val="Hyperlink"/>
            <w:kern w:val="18"/>
            <w:szCs w:val="18"/>
            <w:shd w:val="clear" w:color="auto" w:fill="F5F5F5"/>
            <w:lang w:val="es-ES"/>
          </w:rPr>
          <w:t>Adición</w:t>
        </w:r>
        <w:r>
          <w:rPr>
            <w:rStyle w:val="Hyperlink"/>
            <w:kern w:val="18"/>
            <w:szCs w:val="18"/>
            <w:shd w:val="clear" w:color="auto" w:fill="F5F5F5"/>
          </w:rPr>
          <w:t xml:space="preserve"> 2: “Digital sequence information on genetic resources in relevant ongoing international processes and policy debates”</w:t>
        </w:r>
      </w:hyperlink>
      <w:r w:rsidRPr="00FF2765">
        <w:rPr>
          <w:kern w:val="18"/>
          <w:szCs w:val="18"/>
        </w:rPr>
        <w:t xml:space="preserve"> (CBD/DSI/AHTEG/2018/1/2/Add.2)</w:t>
      </w:r>
      <w:r>
        <w:rPr>
          <w:kern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C6" w:rsidRDefault="00E824C6">
    <w:pPr>
      <w:pStyle w:val="Header"/>
      <w:tabs>
        <w:tab w:val="clear" w:pos="4320"/>
        <w:tab w:val="clear" w:pos="8640"/>
      </w:tabs>
      <w:kinsoku w:val="0"/>
      <w:overflowPunct w:val="0"/>
      <w:autoSpaceDE w:val="0"/>
      <w:autoSpaceDN w:val="0"/>
      <w:jc w:val="left"/>
      <w:rPr>
        <w:kern w:val="22"/>
        <w:lang w:val="es-ES"/>
      </w:rPr>
    </w:pPr>
    <w:r>
      <w:rPr>
        <w:kern w:val="22"/>
        <w:lang w:val="es-ES"/>
      </w:rPr>
      <w:t>CBD/SBSTTA/22/2</w:t>
    </w:r>
  </w:p>
  <w:p w:rsidR="00E824C6" w:rsidRDefault="00E824C6">
    <w:pPr>
      <w:pStyle w:val="Header"/>
      <w:tabs>
        <w:tab w:val="clear" w:pos="4320"/>
        <w:tab w:val="clear" w:pos="8640"/>
      </w:tabs>
      <w:kinsoku w:val="0"/>
      <w:overflowPunct w:val="0"/>
      <w:autoSpaceDE w:val="0"/>
      <w:autoSpaceDN w:val="0"/>
      <w:jc w:val="left"/>
      <w:rPr>
        <w:kern w:val="22"/>
        <w:lang w:val="es-ES"/>
      </w:rPr>
    </w:pPr>
    <w:r>
      <w:rPr>
        <w:kern w:val="22"/>
        <w:lang w:val="es-ES"/>
      </w:rPr>
      <w:t xml:space="preserve">Página </w:t>
    </w:r>
    <w:r>
      <w:rPr>
        <w:kern w:val="22"/>
        <w:lang w:val="es-ES"/>
      </w:rPr>
      <w:fldChar w:fldCharType="begin"/>
    </w:r>
    <w:r>
      <w:rPr>
        <w:kern w:val="22"/>
        <w:lang w:val="es-ES"/>
      </w:rPr>
      <w:instrText xml:space="preserve"> PAGE   \* MERGEFORMAT </w:instrText>
    </w:r>
    <w:r>
      <w:rPr>
        <w:kern w:val="22"/>
        <w:lang w:val="es-ES"/>
      </w:rPr>
      <w:fldChar w:fldCharType="separate"/>
    </w:r>
    <w:r w:rsidR="003939D4" w:rsidRPr="003939D4">
      <w:rPr>
        <w:noProof/>
        <w:kern w:val="22"/>
      </w:rPr>
      <w:t>8</w:t>
    </w:r>
    <w:r>
      <w:rPr>
        <w:kern w:val="22"/>
        <w:lang w:val="es-ES"/>
      </w:rPr>
      <w:fldChar w:fldCharType="end"/>
    </w:r>
  </w:p>
  <w:p w:rsidR="00E824C6" w:rsidRDefault="00E824C6">
    <w:pPr>
      <w:pStyle w:val="Header"/>
      <w:tabs>
        <w:tab w:val="clear" w:pos="4320"/>
        <w:tab w:val="clear" w:pos="8640"/>
      </w:tabs>
      <w:kinsoku w:val="0"/>
      <w:overflowPunct w:val="0"/>
      <w:autoSpaceDE w:val="0"/>
      <w:autoSpaceDN w:val="0"/>
      <w:jc w:val="left"/>
      <w:rPr>
        <w:kern w:val="22"/>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C6" w:rsidRDefault="00E824C6">
    <w:pPr>
      <w:pStyle w:val="Header"/>
      <w:tabs>
        <w:tab w:val="clear" w:pos="4320"/>
        <w:tab w:val="clear" w:pos="8640"/>
      </w:tabs>
      <w:kinsoku w:val="0"/>
      <w:overflowPunct w:val="0"/>
      <w:autoSpaceDE w:val="0"/>
      <w:autoSpaceDN w:val="0"/>
      <w:jc w:val="right"/>
      <w:rPr>
        <w:kern w:val="22"/>
        <w:lang w:val="es-UY"/>
      </w:rPr>
    </w:pPr>
    <w:r>
      <w:rPr>
        <w:kern w:val="22"/>
        <w:lang w:val="es-UY"/>
      </w:rPr>
      <w:t>CBD/SBSTTA/22/2</w:t>
    </w:r>
  </w:p>
  <w:p w:rsidR="00E824C6" w:rsidRDefault="00E824C6">
    <w:pPr>
      <w:pStyle w:val="Header"/>
      <w:tabs>
        <w:tab w:val="clear" w:pos="4320"/>
        <w:tab w:val="clear" w:pos="8640"/>
      </w:tabs>
      <w:kinsoku w:val="0"/>
      <w:overflowPunct w:val="0"/>
      <w:autoSpaceDE w:val="0"/>
      <w:autoSpaceDN w:val="0"/>
      <w:jc w:val="right"/>
      <w:rPr>
        <w:kern w:val="22"/>
        <w:lang w:val="es-UY"/>
      </w:rPr>
    </w:pPr>
    <w:r>
      <w:rPr>
        <w:kern w:val="22"/>
        <w:lang w:val="es-UY"/>
      </w:rPr>
      <w:t xml:space="preserve">Página </w:t>
    </w:r>
    <w:r>
      <w:rPr>
        <w:kern w:val="22"/>
        <w:lang w:val="es-UY"/>
      </w:rPr>
      <w:fldChar w:fldCharType="begin"/>
    </w:r>
    <w:r>
      <w:rPr>
        <w:kern w:val="22"/>
        <w:lang w:val="es-UY"/>
      </w:rPr>
      <w:instrText xml:space="preserve"> PAGE   \* MERGEFORMAT </w:instrText>
    </w:r>
    <w:r>
      <w:rPr>
        <w:kern w:val="22"/>
        <w:lang w:val="es-UY"/>
      </w:rPr>
      <w:fldChar w:fldCharType="separate"/>
    </w:r>
    <w:r w:rsidR="003939D4" w:rsidRPr="003939D4">
      <w:rPr>
        <w:noProof/>
        <w:kern w:val="22"/>
      </w:rPr>
      <w:t>7</w:t>
    </w:r>
    <w:r>
      <w:rPr>
        <w:kern w:val="22"/>
        <w:lang w:val="es-UY"/>
      </w:rPr>
      <w:fldChar w:fldCharType="end"/>
    </w:r>
  </w:p>
  <w:p w:rsidR="00E824C6" w:rsidRDefault="00E824C6">
    <w:pPr>
      <w:pStyle w:val="Header"/>
      <w:tabs>
        <w:tab w:val="clear" w:pos="4320"/>
        <w:tab w:val="clear" w:pos="8640"/>
      </w:tabs>
      <w:kinsoku w:val="0"/>
      <w:overflowPunct w:val="0"/>
      <w:autoSpaceDE w:val="0"/>
      <w:autoSpaceDN w:val="0"/>
      <w:jc w:val="right"/>
      <w:rPr>
        <w:noProof/>
        <w:kern w:val="2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5pt;height:408pt;visibility:visible" o:bullet="t">
        <v:imagedata r:id="rId1" o:title=""/>
      </v:shape>
    </w:pict>
  </w:numPicBullet>
  <w:abstractNum w:abstractNumId="0">
    <w:nsid w:val="13043197"/>
    <w:multiLevelType w:val="hybridMultilevel"/>
    <w:tmpl w:val="1D3CEF38"/>
    <w:lvl w:ilvl="0" w:tplc="B35C6D2A">
      <w:start w:val="1"/>
      <w:numFmt w:val="lowerLetter"/>
      <w:lvlText w:val="%1)"/>
      <w:lvlJc w:val="left"/>
      <w:pPr>
        <w:tabs>
          <w:tab w:val="num" w:pos="2160"/>
        </w:tabs>
        <w:ind w:left="2160" w:hanging="720"/>
      </w:pPr>
      <w:rPr>
        <w:rFonts w:ascii="Times New Roman" w:hAnsi="Times New Roman" w:cs="Times New Roman" w:hint="default"/>
        <w:b w:val="0"/>
        <w:bCs w:val="0"/>
        <w:i w:val="0"/>
        <w:iCs w:val="0"/>
        <w:caps w:val="0"/>
        <w:strike w:val="0"/>
        <w:dstrike w:val="0"/>
        <w:outline w:val="0"/>
        <w:shadow w:val="0"/>
        <w:emboss w:val="0"/>
        <w:imprint w:val="0"/>
        <w:vanish w:val="0"/>
        <w:sz w:val="22"/>
        <w:vertAlign w:val="baseline"/>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B35C6D2A">
      <w:start w:val="1"/>
      <w:numFmt w:val="lowerLetter"/>
      <w:lvlText w:val="%5)"/>
      <w:lvlJc w:val="left"/>
      <w:pPr>
        <w:tabs>
          <w:tab w:val="num" w:pos="4680"/>
        </w:tabs>
        <w:ind w:left="4680" w:hanging="720"/>
      </w:pPr>
      <w:rPr>
        <w:rFonts w:ascii="Times New Roman" w:hAnsi="Times New Roman" w:cs="Times New Roman" w:hint="default"/>
        <w:b w:val="0"/>
        <w:bCs w:val="0"/>
        <w:i w:val="0"/>
        <w:iCs w:val="0"/>
        <w:caps w:val="0"/>
        <w:strike w:val="0"/>
        <w:dstrike w:val="0"/>
        <w:outline w:val="0"/>
        <w:shadow w:val="0"/>
        <w:emboss w:val="0"/>
        <w:imprint w:val="0"/>
        <w:vanish w:val="0"/>
        <w:sz w:val="22"/>
        <w:vertAlign w:val="baseline"/>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
    <w:nsid w:val="144F4B8D"/>
    <w:multiLevelType w:val="hybridMultilevel"/>
    <w:tmpl w:val="58460292"/>
    <w:lvl w:ilvl="0" w:tplc="B35C6D2A">
      <w:start w:val="1"/>
      <w:numFmt w:val="lowerLetter"/>
      <w:lvlText w:val="%1)"/>
      <w:lvlJc w:val="left"/>
      <w:pPr>
        <w:tabs>
          <w:tab w:val="num" w:pos="4680"/>
        </w:tabs>
        <w:ind w:left="4680" w:hanging="720"/>
      </w:pPr>
      <w:rPr>
        <w:rFonts w:ascii="Times New Roman" w:hAnsi="Times New Roman" w:cs="Times New Roman" w:hint="default"/>
        <w:b w:val="0"/>
        <w:bCs w:val="0"/>
        <w:i w:val="0"/>
        <w:iCs w:val="0"/>
        <w:caps w:val="0"/>
        <w:strike w:val="0"/>
        <w:dstrike w:val="0"/>
        <w:outline w:val="0"/>
        <w:shadow w:val="0"/>
        <w:emboss w:val="0"/>
        <w:imprint w:val="0"/>
        <w:vanish w:val="0"/>
        <w:sz w:val="22"/>
        <w:vertAlign w:val="baseline"/>
      </w:rPr>
    </w:lvl>
    <w:lvl w:ilvl="1" w:tplc="0C0A0019" w:tentative="1">
      <w:start w:val="1"/>
      <w:numFmt w:val="lowerLetter"/>
      <w:lvlText w:val="%2."/>
      <w:lvlJc w:val="left"/>
      <w:pPr>
        <w:tabs>
          <w:tab w:val="num" w:pos="4680"/>
        </w:tabs>
        <w:ind w:left="4680" w:hanging="360"/>
      </w:pPr>
      <w:rPr>
        <w:rFonts w:cs="Times New Roman"/>
      </w:rPr>
    </w:lvl>
    <w:lvl w:ilvl="2" w:tplc="0C0A001B" w:tentative="1">
      <w:start w:val="1"/>
      <w:numFmt w:val="lowerRoman"/>
      <w:lvlText w:val="%3."/>
      <w:lvlJc w:val="right"/>
      <w:pPr>
        <w:tabs>
          <w:tab w:val="num" w:pos="5400"/>
        </w:tabs>
        <w:ind w:left="5400" w:hanging="180"/>
      </w:pPr>
      <w:rPr>
        <w:rFonts w:cs="Times New Roman"/>
      </w:rPr>
    </w:lvl>
    <w:lvl w:ilvl="3" w:tplc="0C0A000F" w:tentative="1">
      <w:start w:val="1"/>
      <w:numFmt w:val="decimal"/>
      <w:lvlText w:val="%4."/>
      <w:lvlJc w:val="left"/>
      <w:pPr>
        <w:tabs>
          <w:tab w:val="num" w:pos="6120"/>
        </w:tabs>
        <w:ind w:left="6120" w:hanging="360"/>
      </w:pPr>
      <w:rPr>
        <w:rFonts w:cs="Times New Roman"/>
      </w:rPr>
    </w:lvl>
    <w:lvl w:ilvl="4" w:tplc="0C0A0019" w:tentative="1">
      <w:start w:val="1"/>
      <w:numFmt w:val="lowerLetter"/>
      <w:lvlText w:val="%5."/>
      <w:lvlJc w:val="left"/>
      <w:pPr>
        <w:tabs>
          <w:tab w:val="num" w:pos="6840"/>
        </w:tabs>
        <w:ind w:left="6840" w:hanging="360"/>
      </w:pPr>
      <w:rPr>
        <w:rFonts w:cs="Times New Roman"/>
      </w:rPr>
    </w:lvl>
    <w:lvl w:ilvl="5" w:tplc="0C0A001B" w:tentative="1">
      <w:start w:val="1"/>
      <w:numFmt w:val="lowerRoman"/>
      <w:lvlText w:val="%6."/>
      <w:lvlJc w:val="right"/>
      <w:pPr>
        <w:tabs>
          <w:tab w:val="num" w:pos="7560"/>
        </w:tabs>
        <w:ind w:left="7560" w:hanging="180"/>
      </w:pPr>
      <w:rPr>
        <w:rFonts w:cs="Times New Roman"/>
      </w:rPr>
    </w:lvl>
    <w:lvl w:ilvl="6" w:tplc="0C0A000F" w:tentative="1">
      <w:start w:val="1"/>
      <w:numFmt w:val="decimal"/>
      <w:lvlText w:val="%7."/>
      <w:lvlJc w:val="left"/>
      <w:pPr>
        <w:tabs>
          <w:tab w:val="num" w:pos="8280"/>
        </w:tabs>
        <w:ind w:left="8280" w:hanging="360"/>
      </w:pPr>
      <w:rPr>
        <w:rFonts w:cs="Times New Roman"/>
      </w:rPr>
    </w:lvl>
    <w:lvl w:ilvl="7" w:tplc="0C0A0019" w:tentative="1">
      <w:start w:val="1"/>
      <w:numFmt w:val="lowerLetter"/>
      <w:lvlText w:val="%8."/>
      <w:lvlJc w:val="left"/>
      <w:pPr>
        <w:tabs>
          <w:tab w:val="num" w:pos="9000"/>
        </w:tabs>
        <w:ind w:left="9000" w:hanging="360"/>
      </w:pPr>
      <w:rPr>
        <w:rFonts w:cs="Times New Roman"/>
      </w:rPr>
    </w:lvl>
    <w:lvl w:ilvl="8" w:tplc="0C0A001B" w:tentative="1">
      <w:start w:val="1"/>
      <w:numFmt w:val="lowerRoman"/>
      <w:lvlText w:val="%9."/>
      <w:lvlJc w:val="right"/>
      <w:pPr>
        <w:tabs>
          <w:tab w:val="num" w:pos="9720"/>
        </w:tabs>
        <w:ind w:left="9720" w:hanging="180"/>
      </w:pPr>
      <w:rPr>
        <w:rFonts w:cs="Times New Roman"/>
      </w:rPr>
    </w:lvl>
  </w:abstractNum>
  <w:abstractNum w:abstractNumId="2">
    <w:nsid w:val="1A306502"/>
    <w:multiLevelType w:val="multilevel"/>
    <w:tmpl w:val="5A365C3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1B2B765C"/>
    <w:multiLevelType w:val="hybridMultilevel"/>
    <w:tmpl w:val="F7B6BFDA"/>
    <w:lvl w:ilvl="0" w:tplc="B35C6D2A">
      <w:start w:val="1"/>
      <w:numFmt w:val="lowerLetter"/>
      <w:lvlText w:val="%1)"/>
      <w:lvlJc w:val="left"/>
      <w:pPr>
        <w:tabs>
          <w:tab w:val="num" w:pos="4680"/>
        </w:tabs>
        <w:ind w:left="4680" w:hanging="720"/>
      </w:pPr>
      <w:rPr>
        <w:rFonts w:ascii="Times New Roman" w:hAnsi="Times New Roman" w:cs="Times New Roman" w:hint="default"/>
        <w:b w:val="0"/>
        <w:bCs w:val="0"/>
        <w:i w:val="0"/>
        <w:iCs w:val="0"/>
        <w:caps w:val="0"/>
        <w:strike w:val="0"/>
        <w:dstrike w:val="0"/>
        <w:outline w:val="0"/>
        <w:shadow w:val="0"/>
        <w:emboss w:val="0"/>
        <w:imprint w:val="0"/>
        <w:vanish w:val="0"/>
        <w:sz w:val="22"/>
        <w:vertAlign w:val="baseline"/>
      </w:rPr>
    </w:lvl>
    <w:lvl w:ilvl="1" w:tplc="0C0A0019" w:tentative="1">
      <w:start w:val="1"/>
      <w:numFmt w:val="lowerLetter"/>
      <w:lvlText w:val="%2."/>
      <w:lvlJc w:val="left"/>
      <w:pPr>
        <w:tabs>
          <w:tab w:val="num" w:pos="4680"/>
        </w:tabs>
        <w:ind w:left="4680" w:hanging="360"/>
      </w:pPr>
      <w:rPr>
        <w:rFonts w:cs="Times New Roman"/>
      </w:rPr>
    </w:lvl>
    <w:lvl w:ilvl="2" w:tplc="0C0A001B" w:tentative="1">
      <w:start w:val="1"/>
      <w:numFmt w:val="lowerRoman"/>
      <w:lvlText w:val="%3."/>
      <w:lvlJc w:val="right"/>
      <w:pPr>
        <w:tabs>
          <w:tab w:val="num" w:pos="5400"/>
        </w:tabs>
        <w:ind w:left="5400" w:hanging="180"/>
      </w:pPr>
      <w:rPr>
        <w:rFonts w:cs="Times New Roman"/>
      </w:rPr>
    </w:lvl>
    <w:lvl w:ilvl="3" w:tplc="0C0A000F" w:tentative="1">
      <w:start w:val="1"/>
      <w:numFmt w:val="decimal"/>
      <w:lvlText w:val="%4."/>
      <w:lvlJc w:val="left"/>
      <w:pPr>
        <w:tabs>
          <w:tab w:val="num" w:pos="6120"/>
        </w:tabs>
        <w:ind w:left="6120" w:hanging="360"/>
      </w:pPr>
      <w:rPr>
        <w:rFonts w:cs="Times New Roman"/>
      </w:rPr>
    </w:lvl>
    <w:lvl w:ilvl="4" w:tplc="0C0A0019" w:tentative="1">
      <w:start w:val="1"/>
      <w:numFmt w:val="lowerLetter"/>
      <w:lvlText w:val="%5."/>
      <w:lvlJc w:val="left"/>
      <w:pPr>
        <w:tabs>
          <w:tab w:val="num" w:pos="6840"/>
        </w:tabs>
        <w:ind w:left="6840" w:hanging="360"/>
      </w:pPr>
      <w:rPr>
        <w:rFonts w:cs="Times New Roman"/>
      </w:rPr>
    </w:lvl>
    <w:lvl w:ilvl="5" w:tplc="0C0A001B" w:tentative="1">
      <w:start w:val="1"/>
      <w:numFmt w:val="lowerRoman"/>
      <w:lvlText w:val="%6."/>
      <w:lvlJc w:val="right"/>
      <w:pPr>
        <w:tabs>
          <w:tab w:val="num" w:pos="7560"/>
        </w:tabs>
        <w:ind w:left="7560" w:hanging="180"/>
      </w:pPr>
      <w:rPr>
        <w:rFonts w:cs="Times New Roman"/>
      </w:rPr>
    </w:lvl>
    <w:lvl w:ilvl="6" w:tplc="0C0A000F" w:tentative="1">
      <w:start w:val="1"/>
      <w:numFmt w:val="decimal"/>
      <w:lvlText w:val="%7."/>
      <w:lvlJc w:val="left"/>
      <w:pPr>
        <w:tabs>
          <w:tab w:val="num" w:pos="8280"/>
        </w:tabs>
        <w:ind w:left="8280" w:hanging="360"/>
      </w:pPr>
      <w:rPr>
        <w:rFonts w:cs="Times New Roman"/>
      </w:rPr>
    </w:lvl>
    <w:lvl w:ilvl="7" w:tplc="0C0A0019" w:tentative="1">
      <w:start w:val="1"/>
      <w:numFmt w:val="lowerLetter"/>
      <w:lvlText w:val="%8."/>
      <w:lvlJc w:val="left"/>
      <w:pPr>
        <w:tabs>
          <w:tab w:val="num" w:pos="9000"/>
        </w:tabs>
        <w:ind w:left="9000" w:hanging="360"/>
      </w:pPr>
      <w:rPr>
        <w:rFonts w:cs="Times New Roman"/>
      </w:rPr>
    </w:lvl>
    <w:lvl w:ilvl="8" w:tplc="0C0A001B" w:tentative="1">
      <w:start w:val="1"/>
      <w:numFmt w:val="lowerRoman"/>
      <w:lvlText w:val="%9."/>
      <w:lvlJc w:val="right"/>
      <w:pPr>
        <w:tabs>
          <w:tab w:val="num" w:pos="9720"/>
        </w:tabs>
        <w:ind w:left="9720" w:hanging="180"/>
      </w:pPr>
      <w:rPr>
        <w:rFonts w:cs="Times New Roman"/>
      </w:rPr>
    </w:lvl>
  </w:abstractNum>
  <w:abstractNum w:abstractNumId="4">
    <w:nsid w:val="1EE606F0"/>
    <w:multiLevelType w:val="hybridMultilevel"/>
    <w:tmpl w:val="8F4A9494"/>
    <w:lvl w:ilvl="0" w:tplc="B35C6D2A">
      <w:start w:val="1"/>
      <w:numFmt w:val="lowerLetter"/>
      <w:lvlText w:val="%1)"/>
      <w:lvlJc w:val="left"/>
      <w:pPr>
        <w:tabs>
          <w:tab w:val="num" w:pos="4680"/>
        </w:tabs>
        <w:ind w:left="4680" w:hanging="720"/>
      </w:pPr>
      <w:rPr>
        <w:rFonts w:ascii="Times New Roman" w:hAnsi="Times New Roman" w:cs="Times New Roman" w:hint="default"/>
        <w:b w:val="0"/>
        <w:bCs w:val="0"/>
        <w:i w:val="0"/>
        <w:iCs w:val="0"/>
        <w:caps w:val="0"/>
        <w:strike w:val="0"/>
        <w:dstrike w:val="0"/>
        <w:outline w:val="0"/>
        <w:shadow w:val="0"/>
        <w:emboss w:val="0"/>
        <w:imprint w:val="0"/>
        <w:vanish w:val="0"/>
        <w:sz w:val="22"/>
        <w:vertAlign w:val="baseline"/>
      </w:rPr>
    </w:lvl>
    <w:lvl w:ilvl="1" w:tplc="0C0A0019" w:tentative="1">
      <w:start w:val="1"/>
      <w:numFmt w:val="lowerLetter"/>
      <w:lvlText w:val="%2."/>
      <w:lvlJc w:val="left"/>
      <w:pPr>
        <w:tabs>
          <w:tab w:val="num" w:pos="4680"/>
        </w:tabs>
        <w:ind w:left="4680" w:hanging="360"/>
      </w:pPr>
      <w:rPr>
        <w:rFonts w:cs="Times New Roman"/>
      </w:rPr>
    </w:lvl>
    <w:lvl w:ilvl="2" w:tplc="0C0A001B" w:tentative="1">
      <w:start w:val="1"/>
      <w:numFmt w:val="lowerRoman"/>
      <w:lvlText w:val="%3."/>
      <w:lvlJc w:val="right"/>
      <w:pPr>
        <w:tabs>
          <w:tab w:val="num" w:pos="5400"/>
        </w:tabs>
        <w:ind w:left="5400" w:hanging="180"/>
      </w:pPr>
      <w:rPr>
        <w:rFonts w:cs="Times New Roman"/>
      </w:rPr>
    </w:lvl>
    <w:lvl w:ilvl="3" w:tplc="0C0A000F" w:tentative="1">
      <w:start w:val="1"/>
      <w:numFmt w:val="decimal"/>
      <w:lvlText w:val="%4."/>
      <w:lvlJc w:val="left"/>
      <w:pPr>
        <w:tabs>
          <w:tab w:val="num" w:pos="6120"/>
        </w:tabs>
        <w:ind w:left="6120" w:hanging="360"/>
      </w:pPr>
      <w:rPr>
        <w:rFonts w:cs="Times New Roman"/>
      </w:rPr>
    </w:lvl>
    <w:lvl w:ilvl="4" w:tplc="0C0A0019" w:tentative="1">
      <w:start w:val="1"/>
      <w:numFmt w:val="lowerLetter"/>
      <w:lvlText w:val="%5."/>
      <w:lvlJc w:val="left"/>
      <w:pPr>
        <w:tabs>
          <w:tab w:val="num" w:pos="6840"/>
        </w:tabs>
        <w:ind w:left="6840" w:hanging="360"/>
      </w:pPr>
      <w:rPr>
        <w:rFonts w:cs="Times New Roman"/>
      </w:rPr>
    </w:lvl>
    <w:lvl w:ilvl="5" w:tplc="0C0A001B" w:tentative="1">
      <w:start w:val="1"/>
      <w:numFmt w:val="lowerRoman"/>
      <w:lvlText w:val="%6."/>
      <w:lvlJc w:val="right"/>
      <w:pPr>
        <w:tabs>
          <w:tab w:val="num" w:pos="7560"/>
        </w:tabs>
        <w:ind w:left="7560" w:hanging="180"/>
      </w:pPr>
      <w:rPr>
        <w:rFonts w:cs="Times New Roman"/>
      </w:rPr>
    </w:lvl>
    <w:lvl w:ilvl="6" w:tplc="0C0A000F" w:tentative="1">
      <w:start w:val="1"/>
      <w:numFmt w:val="decimal"/>
      <w:lvlText w:val="%7."/>
      <w:lvlJc w:val="left"/>
      <w:pPr>
        <w:tabs>
          <w:tab w:val="num" w:pos="8280"/>
        </w:tabs>
        <w:ind w:left="8280" w:hanging="360"/>
      </w:pPr>
      <w:rPr>
        <w:rFonts w:cs="Times New Roman"/>
      </w:rPr>
    </w:lvl>
    <w:lvl w:ilvl="7" w:tplc="0C0A0019" w:tentative="1">
      <w:start w:val="1"/>
      <w:numFmt w:val="lowerLetter"/>
      <w:lvlText w:val="%8."/>
      <w:lvlJc w:val="left"/>
      <w:pPr>
        <w:tabs>
          <w:tab w:val="num" w:pos="9000"/>
        </w:tabs>
        <w:ind w:left="9000" w:hanging="360"/>
      </w:pPr>
      <w:rPr>
        <w:rFonts w:cs="Times New Roman"/>
      </w:rPr>
    </w:lvl>
    <w:lvl w:ilvl="8" w:tplc="0C0A001B" w:tentative="1">
      <w:start w:val="1"/>
      <w:numFmt w:val="lowerRoman"/>
      <w:lvlText w:val="%9."/>
      <w:lvlJc w:val="right"/>
      <w:pPr>
        <w:tabs>
          <w:tab w:val="num" w:pos="9720"/>
        </w:tabs>
        <w:ind w:left="9720" w:hanging="180"/>
      </w:pPr>
      <w:rPr>
        <w:rFonts w:cs="Times New Roman"/>
      </w:rPr>
    </w:lvl>
  </w:abstractNum>
  <w:abstractNum w:abstractNumId="5">
    <w:nsid w:val="23995B49"/>
    <w:multiLevelType w:val="hybridMultilevel"/>
    <w:tmpl w:val="A7E8EF0C"/>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324B2743"/>
    <w:multiLevelType w:val="hybridMultilevel"/>
    <w:tmpl w:val="F6C0B6B0"/>
    <w:lvl w:ilvl="0" w:tplc="B35C6D2A">
      <w:start w:val="1"/>
      <w:numFmt w:val="lowerLetter"/>
      <w:lvlText w:val="%1)"/>
      <w:lvlJc w:val="left"/>
      <w:pPr>
        <w:tabs>
          <w:tab w:val="num" w:pos="4680"/>
        </w:tabs>
        <w:ind w:left="4680" w:hanging="720"/>
      </w:pPr>
      <w:rPr>
        <w:rFonts w:ascii="Times New Roman" w:hAnsi="Times New Roman" w:cs="Times New Roman" w:hint="default"/>
        <w:b w:val="0"/>
        <w:bCs w:val="0"/>
        <w:i w:val="0"/>
        <w:iCs w:val="0"/>
        <w:caps w:val="0"/>
        <w:strike w:val="0"/>
        <w:dstrike w:val="0"/>
        <w:outline w:val="0"/>
        <w:shadow w:val="0"/>
        <w:emboss w:val="0"/>
        <w:imprint w:val="0"/>
        <w:vanish w:val="0"/>
        <w:sz w:val="22"/>
        <w:vertAlign w:val="baseline"/>
      </w:rPr>
    </w:lvl>
    <w:lvl w:ilvl="1" w:tplc="0C0A0019" w:tentative="1">
      <w:start w:val="1"/>
      <w:numFmt w:val="lowerLetter"/>
      <w:lvlText w:val="%2."/>
      <w:lvlJc w:val="left"/>
      <w:pPr>
        <w:tabs>
          <w:tab w:val="num" w:pos="4680"/>
        </w:tabs>
        <w:ind w:left="4680" w:hanging="360"/>
      </w:pPr>
      <w:rPr>
        <w:rFonts w:cs="Times New Roman"/>
      </w:rPr>
    </w:lvl>
    <w:lvl w:ilvl="2" w:tplc="0C0A001B" w:tentative="1">
      <w:start w:val="1"/>
      <w:numFmt w:val="lowerRoman"/>
      <w:lvlText w:val="%3."/>
      <w:lvlJc w:val="right"/>
      <w:pPr>
        <w:tabs>
          <w:tab w:val="num" w:pos="5400"/>
        </w:tabs>
        <w:ind w:left="5400" w:hanging="180"/>
      </w:pPr>
      <w:rPr>
        <w:rFonts w:cs="Times New Roman"/>
      </w:rPr>
    </w:lvl>
    <w:lvl w:ilvl="3" w:tplc="0C0A000F" w:tentative="1">
      <w:start w:val="1"/>
      <w:numFmt w:val="decimal"/>
      <w:lvlText w:val="%4."/>
      <w:lvlJc w:val="left"/>
      <w:pPr>
        <w:tabs>
          <w:tab w:val="num" w:pos="6120"/>
        </w:tabs>
        <w:ind w:left="6120" w:hanging="360"/>
      </w:pPr>
      <w:rPr>
        <w:rFonts w:cs="Times New Roman"/>
      </w:rPr>
    </w:lvl>
    <w:lvl w:ilvl="4" w:tplc="0C0A0019" w:tentative="1">
      <w:start w:val="1"/>
      <w:numFmt w:val="lowerLetter"/>
      <w:lvlText w:val="%5."/>
      <w:lvlJc w:val="left"/>
      <w:pPr>
        <w:tabs>
          <w:tab w:val="num" w:pos="6840"/>
        </w:tabs>
        <w:ind w:left="6840" w:hanging="360"/>
      </w:pPr>
      <w:rPr>
        <w:rFonts w:cs="Times New Roman"/>
      </w:rPr>
    </w:lvl>
    <w:lvl w:ilvl="5" w:tplc="0C0A001B" w:tentative="1">
      <w:start w:val="1"/>
      <w:numFmt w:val="lowerRoman"/>
      <w:lvlText w:val="%6."/>
      <w:lvlJc w:val="right"/>
      <w:pPr>
        <w:tabs>
          <w:tab w:val="num" w:pos="7560"/>
        </w:tabs>
        <w:ind w:left="7560" w:hanging="180"/>
      </w:pPr>
      <w:rPr>
        <w:rFonts w:cs="Times New Roman"/>
      </w:rPr>
    </w:lvl>
    <w:lvl w:ilvl="6" w:tplc="0C0A000F" w:tentative="1">
      <w:start w:val="1"/>
      <w:numFmt w:val="decimal"/>
      <w:lvlText w:val="%7."/>
      <w:lvlJc w:val="left"/>
      <w:pPr>
        <w:tabs>
          <w:tab w:val="num" w:pos="8280"/>
        </w:tabs>
        <w:ind w:left="8280" w:hanging="360"/>
      </w:pPr>
      <w:rPr>
        <w:rFonts w:cs="Times New Roman"/>
      </w:rPr>
    </w:lvl>
    <w:lvl w:ilvl="7" w:tplc="0C0A0019" w:tentative="1">
      <w:start w:val="1"/>
      <w:numFmt w:val="lowerLetter"/>
      <w:lvlText w:val="%8."/>
      <w:lvlJc w:val="left"/>
      <w:pPr>
        <w:tabs>
          <w:tab w:val="num" w:pos="9000"/>
        </w:tabs>
        <w:ind w:left="9000" w:hanging="360"/>
      </w:pPr>
      <w:rPr>
        <w:rFonts w:cs="Times New Roman"/>
      </w:rPr>
    </w:lvl>
    <w:lvl w:ilvl="8" w:tplc="0C0A001B" w:tentative="1">
      <w:start w:val="1"/>
      <w:numFmt w:val="lowerRoman"/>
      <w:lvlText w:val="%9."/>
      <w:lvlJc w:val="right"/>
      <w:pPr>
        <w:tabs>
          <w:tab w:val="num" w:pos="9720"/>
        </w:tabs>
        <w:ind w:left="9720" w:hanging="180"/>
      </w:pPr>
      <w:rPr>
        <w:rFonts w:cs="Times New Roman"/>
      </w:rPr>
    </w:lvl>
  </w:abstractNum>
  <w:abstractNum w:abstractNumId="8">
    <w:nsid w:val="3F3D4A5F"/>
    <w:multiLevelType w:val="hybridMultilevel"/>
    <w:tmpl w:val="D3BC7B10"/>
    <w:lvl w:ilvl="0" w:tplc="B35C6D2A">
      <w:start w:val="1"/>
      <w:numFmt w:val="lowerLetter"/>
      <w:lvlText w:val="%1)"/>
      <w:lvlJc w:val="left"/>
      <w:pPr>
        <w:tabs>
          <w:tab w:val="num" w:pos="4680"/>
        </w:tabs>
        <w:ind w:left="4680" w:hanging="720"/>
      </w:pPr>
      <w:rPr>
        <w:rFonts w:ascii="Times New Roman" w:hAnsi="Times New Roman" w:cs="Times New Roman" w:hint="default"/>
        <w:b w:val="0"/>
        <w:bCs w:val="0"/>
        <w:i w:val="0"/>
        <w:iCs w:val="0"/>
        <w:caps w:val="0"/>
        <w:strike w:val="0"/>
        <w:dstrike w:val="0"/>
        <w:outline w:val="0"/>
        <w:shadow w:val="0"/>
        <w:emboss w:val="0"/>
        <w:imprint w:val="0"/>
        <w:vanish w:val="0"/>
        <w:sz w:val="22"/>
        <w:vertAlign w:val="baseline"/>
      </w:rPr>
    </w:lvl>
    <w:lvl w:ilvl="1" w:tplc="0C0A0019" w:tentative="1">
      <w:start w:val="1"/>
      <w:numFmt w:val="lowerLetter"/>
      <w:lvlText w:val="%2."/>
      <w:lvlJc w:val="left"/>
      <w:pPr>
        <w:tabs>
          <w:tab w:val="num" w:pos="4680"/>
        </w:tabs>
        <w:ind w:left="4680" w:hanging="360"/>
      </w:pPr>
      <w:rPr>
        <w:rFonts w:cs="Times New Roman"/>
      </w:rPr>
    </w:lvl>
    <w:lvl w:ilvl="2" w:tplc="0C0A001B" w:tentative="1">
      <w:start w:val="1"/>
      <w:numFmt w:val="lowerRoman"/>
      <w:lvlText w:val="%3."/>
      <w:lvlJc w:val="right"/>
      <w:pPr>
        <w:tabs>
          <w:tab w:val="num" w:pos="5400"/>
        </w:tabs>
        <w:ind w:left="5400" w:hanging="180"/>
      </w:pPr>
      <w:rPr>
        <w:rFonts w:cs="Times New Roman"/>
      </w:rPr>
    </w:lvl>
    <w:lvl w:ilvl="3" w:tplc="0C0A000F" w:tentative="1">
      <w:start w:val="1"/>
      <w:numFmt w:val="decimal"/>
      <w:lvlText w:val="%4."/>
      <w:lvlJc w:val="left"/>
      <w:pPr>
        <w:tabs>
          <w:tab w:val="num" w:pos="6120"/>
        </w:tabs>
        <w:ind w:left="6120" w:hanging="360"/>
      </w:pPr>
      <w:rPr>
        <w:rFonts w:cs="Times New Roman"/>
      </w:rPr>
    </w:lvl>
    <w:lvl w:ilvl="4" w:tplc="0C0A0019" w:tentative="1">
      <w:start w:val="1"/>
      <w:numFmt w:val="lowerLetter"/>
      <w:lvlText w:val="%5."/>
      <w:lvlJc w:val="left"/>
      <w:pPr>
        <w:tabs>
          <w:tab w:val="num" w:pos="6840"/>
        </w:tabs>
        <w:ind w:left="6840" w:hanging="360"/>
      </w:pPr>
      <w:rPr>
        <w:rFonts w:cs="Times New Roman"/>
      </w:rPr>
    </w:lvl>
    <w:lvl w:ilvl="5" w:tplc="0C0A001B" w:tentative="1">
      <w:start w:val="1"/>
      <w:numFmt w:val="lowerRoman"/>
      <w:lvlText w:val="%6."/>
      <w:lvlJc w:val="right"/>
      <w:pPr>
        <w:tabs>
          <w:tab w:val="num" w:pos="7560"/>
        </w:tabs>
        <w:ind w:left="7560" w:hanging="180"/>
      </w:pPr>
      <w:rPr>
        <w:rFonts w:cs="Times New Roman"/>
      </w:rPr>
    </w:lvl>
    <w:lvl w:ilvl="6" w:tplc="0C0A000F" w:tentative="1">
      <w:start w:val="1"/>
      <w:numFmt w:val="decimal"/>
      <w:lvlText w:val="%7."/>
      <w:lvlJc w:val="left"/>
      <w:pPr>
        <w:tabs>
          <w:tab w:val="num" w:pos="8280"/>
        </w:tabs>
        <w:ind w:left="8280" w:hanging="360"/>
      </w:pPr>
      <w:rPr>
        <w:rFonts w:cs="Times New Roman"/>
      </w:rPr>
    </w:lvl>
    <w:lvl w:ilvl="7" w:tplc="0C0A0019" w:tentative="1">
      <w:start w:val="1"/>
      <w:numFmt w:val="lowerLetter"/>
      <w:lvlText w:val="%8."/>
      <w:lvlJc w:val="left"/>
      <w:pPr>
        <w:tabs>
          <w:tab w:val="num" w:pos="9000"/>
        </w:tabs>
        <w:ind w:left="9000" w:hanging="360"/>
      </w:pPr>
      <w:rPr>
        <w:rFonts w:cs="Times New Roman"/>
      </w:rPr>
    </w:lvl>
    <w:lvl w:ilvl="8" w:tplc="0C0A001B" w:tentative="1">
      <w:start w:val="1"/>
      <w:numFmt w:val="lowerRoman"/>
      <w:lvlText w:val="%9."/>
      <w:lvlJc w:val="right"/>
      <w:pPr>
        <w:tabs>
          <w:tab w:val="num" w:pos="9720"/>
        </w:tabs>
        <w:ind w:left="9720" w:hanging="180"/>
      </w:pPr>
      <w:rPr>
        <w:rFonts w:cs="Times New Roman"/>
      </w:rPr>
    </w:lvl>
  </w:abstractNum>
  <w:abstractNum w:abstractNumId="9">
    <w:nsid w:val="44CC7FBB"/>
    <w:multiLevelType w:val="hybridMultilevel"/>
    <w:tmpl w:val="45E4BE68"/>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E0442B4"/>
    <w:multiLevelType w:val="multilevel"/>
    <w:tmpl w:val="5DA84B40"/>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left="1440" w:hanging="720"/>
      </w:pPr>
      <w:rPr>
        <w:rFonts w:ascii="Times New Roman" w:hAnsi="Times New Roman" w:cs="Times New Roman" w:hint="default"/>
        <w:b w:val="0"/>
        <w:bCs w:val="0"/>
        <w:i w:val="0"/>
        <w:iCs w:val="0"/>
        <w:caps w:val="0"/>
        <w:strike w:val="0"/>
        <w:dstrike w:val="0"/>
        <w:outline w:val="0"/>
        <w:shadow w:val="0"/>
        <w:emboss w:val="0"/>
        <w:imprint w:val="0"/>
        <w:vanish w:val="0"/>
        <w:sz w:val="22"/>
        <w:vertAlign w:val="baseline"/>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543118B9"/>
    <w:multiLevelType w:val="hybridMultilevel"/>
    <w:tmpl w:val="62CCABF6"/>
    <w:lvl w:ilvl="0" w:tplc="B35C6D2A">
      <w:start w:val="1"/>
      <w:numFmt w:val="lowerLetter"/>
      <w:lvlText w:val="%1)"/>
      <w:lvlJc w:val="left"/>
      <w:pPr>
        <w:tabs>
          <w:tab w:val="num" w:pos="4680"/>
        </w:tabs>
        <w:ind w:left="4680" w:hanging="720"/>
      </w:pPr>
      <w:rPr>
        <w:rFonts w:ascii="Times New Roman" w:hAnsi="Times New Roman" w:cs="Times New Roman" w:hint="default"/>
        <w:b w:val="0"/>
        <w:bCs w:val="0"/>
        <w:i w:val="0"/>
        <w:iCs w:val="0"/>
        <w:caps w:val="0"/>
        <w:strike w:val="0"/>
        <w:dstrike w:val="0"/>
        <w:outline w:val="0"/>
        <w:shadow w:val="0"/>
        <w:emboss w:val="0"/>
        <w:imprint w:val="0"/>
        <w:vanish w:val="0"/>
        <w:sz w:val="22"/>
        <w:vertAlign w:val="baseline"/>
      </w:rPr>
    </w:lvl>
    <w:lvl w:ilvl="1" w:tplc="0C0A0019" w:tentative="1">
      <w:start w:val="1"/>
      <w:numFmt w:val="lowerLetter"/>
      <w:lvlText w:val="%2."/>
      <w:lvlJc w:val="left"/>
      <w:pPr>
        <w:tabs>
          <w:tab w:val="num" w:pos="4680"/>
        </w:tabs>
        <w:ind w:left="4680" w:hanging="360"/>
      </w:pPr>
      <w:rPr>
        <w:rFonts w:cs="Times New Roman"/>
      </w:rPr>
    </w:lvl>
    <w:lvl w:ilvl="2" w:tplc="0C0A001B" w:tentative="1">
      <w:start w:val="1"/>
      <w:numFmt w:val="lowerRoman"/>
      <w:lvlText w:val="%3."/>
      <w:lvlJc w:val="right"/>
      <w:pPr>
        <w:tabs>
          <w:tab w:val="num" w:pos="5400"/>
        </w:tabs>
        <w:ind w:left="5400" w:hanging="180"/>
      </w:pPr>
      <w:rPr>
        <w:rFonts w:cs="Times New Roman"/>
      </w:rPr>
    </w:lvl>
    <w:lvl w:ilvl="3" w:tplc="0C0A000F" w:tentative="1">
      <w:start w:val="1"/>
      <w:numFmt w:val="decimal"/>
      <w:lvlText w:val="%4."/>
      <w:lvlJc w:val="left"/>
      <w:pPr>
        <w:tabs>
          <w:tab w:val="num" w:pos="6120"/>
        </w:tabs>
        <w:ind w:left="6120" w:hanging="360"/>
      </w:pPr>
      <w:rPr>
        <w:rFonts w:cs="Times New Roman"/>
      </w:rPr>
    </w:lvl>
    <w:lvl w:ilvl="4" w:tplc="0C0A0019" w:tentative="1">
      <w:start w:val="1"/>
      <w:numFmt w:val="lowerLetter"/>
      <w:lvlText w:val="%5."/>
      <w:lvlJc w:val="left"/>
      <w:pPr>
        <w:tabs>
          <w:tab w:val="num" w:pos="6840"/>
        </w:tabs>
        <w:ind w:left="6840" w:hanging="360"/>
      </w:pPr>
      <w:rPr>
        <w:rFonts w:cs="Times New Roman"/>
      </w:rPr>
    </w:lvl>
    <w:lvl w:ilvl="5" w:tplc="0C0A001B" w:tentative="1">
      <w:start w:val="1"/>
      <w:numFmt w:val="lowerRoman"/>
      <w:lvlText w:val="%6."/>
      <w:lvlJc w:val="right"/>
      <w:pPr>
        <w:tabs>
          <w:tab w:val="num" w:pos="7560"/>
        </w:tabs>
        <w:ind w:left="7560" w:hanging="180"/>
      </w:pPr>
      <w:rPr>
        <w:rFonts w:cs="Times New Roman"/>
      </w:rPr>
    </w:lvl>
    <w:lvl w:ilvl="6" w:tplc="0C0A000F" w:tentative="1">
      <w:start w:val="1"/>
      <w:numFmt w:val="decimal"/>
      <w:lvlText w:val="%7."/>
      <w:lvlJc w:val="left"/>
      <w:pPr>
        <w:tabs>
          <w:tab w:val="num" w:pos="8280"/>
        </w:tabs>
        <w:ind w:left="8280" w:hanging="360"/>
      </w:pPr>
      <w:rPr>
        <w:rFonts w:cs="Times New Roman"/>
      </w:rPr>
    </w:lvl>
    <w:lvl w:ilvl="7" w:tplc="0C0A0019" w:tentative="1">
      <w:start w:val="1"/>
      <w:numFmt w:val="lowerLetter"/>
      <w:lvlText w:val="%8."/>
      <w:lvlJc w:val="left"/>
      <w:pPr>
        <w:tabs>
          <w:tab w:val="num" w:pos="9000"/>
        </w:tabs>
        <w:ind w:left="9000" w:hanging="360"/>
      </w:pPr>
      <w:rPr>
        <w:rFonts w:cs="Times New Roman"/>
      </w:rPr>
    </w:lvl>
    <w:lvl w:ilvl="8" w:tplc="0C0A001B" w:tentative="1">
      <w:start w:val="1"/>
      <w:numFmt w:val="lowerRoman"/>
      <w:lvlText w:val="%9."/>
      <w:lvlJc w:val="right"/>
      <w:pPr>
        <w:tabs>
          <w:tab w:val="num" w:pos="9720"/>
        </w:tabs>
        <w:ind w:left="9720" w:hanging="180"/>
      </w:pPr>
      <w:rPr>
        <w:rFonts w:cs="Times New Roman"/>
      </w:rPr>
    </w:lvl>
  </w:abstractNum>
  <w:abstractNum w:abstractNumId="13">
    <w:nsid w:val="5B4B25A7"/>
    <w:multiLevelType w:val="multilevel"/>
    <w:tmpl w:val="647EC36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7B9F5908"/>
    <w:multiLevelType w:val="hybridMultilevel"/>
    <w:tmpl w:val="A14A3AA6"/>
    <w:lvl w:ilvl="0" w:tplc="B35C6D2A">
      <w:start w:val="1"/>
      <w:numFmt w:val="lowerLetter"/>
      <w:lvlText w:val="%1)"/>
      <w:lvlJc w:val="left"/>
      <w:pPr>
        <w:tabs>
          <w:tab w:val="num" w:pos="4680"/>
        </w:tabs>
        <w:ind w:left="4680" w:hanging="720"/>
      </w:pPr>
      <w:rPr>
        <w:rFonts w:ascii="Times New Roman" w:hAnsi="Times New Roman" w:cs="Times New Roman" w:hint="default"/>
        <w:b w:val="0"/>
        <w:bCs w:val="0"/>
        <w:i w:val="0"/>
        <w:iCs w:val="0"/>
        <w:caps w:val="0"/>
        <w:strike w:val="0"/>
        <w:dstrike w:val="0"/>
        <w:outline w:val="0"/>
        <w:shadow w:val="0"/>
        <w:emboss w:val="0"/>
        <w:imprint w:val="0"/>
        <w:vanish w:val="0"/>
        <w:sz w:val="22"/>
        <w:vertAlign w:val="baseline"/>
      </w:rPr>
    </w:lvl>
    <w:lvl w:ilvl="1" w:tplc="0C0A0019" w:tentative="1">
      <w:start w:val="1"/>
      <w:numFmt w:val="lowerLetter"/>
      <w:lvlText w:val="%2."/>
      <w:lvlJc w:val="left"/>
      <w:pPr>
        <w:tabs>
          <w:tab w:val="num" w:pos="4680"/>
        </w:tabs>
        <w:ind w:left="4680" w:hanging="360"/>
      </w:pPr>
      <w:rPr>
        <w:rFonts w:cs="Times New Roman"/>
      </w:rPr>
    </w:lvl>
    <w:lvl w:ilvl="2" w:tplc="0C0A001B" w:tentative="1">
      <w:start w:val="1"/>
      <w:numFmt w:val="lowerRoman"/>
      <w:lvlText w:val="%3."/>
      <w:lvlJc w:val="right"/>
      <w:pPr>
        <w:tabs>
          <w:tab w:val="num" w:pos="5400"/>
        </w:tabs>
        <w:ind w:left="5400" w:hanging="180"/>
      </w:pPr>
      <w:rPr>
        <w:rFonts w:cs="Times New Roman"/>
      </w:rPr>
    </w:lvl>
    <w:lvl w:ilvl="3" w:tplc="0C0A000F" w:tentative="1">
      <w:start w:val="1"/>
      <w:numFmt w:val="decimal"/>
      <w:lvlText w:val="%4."/>
      <w:lvlJc w:val="left"/>
      <w:pPr>
        <w:tabs>
          <w:tab w:val="num" w:pos="6120"/>
        </w:tabs>
        <w:ind w:left="6120" w:hanging="360"/>
      </w:pPr>
      <w:rPr>
        <w:rFonts w:cs="Times New Roman"/>
      </w:rPr>
    </w:lvl>
    <w:lvl w:ilvl="4" w:tplc="0C0A0019" w:tentative="1">
      <w:start w:val="1"/>
      <w:numFmt w:val="lowerLetter"/>
      <w:lvlText w:val="%5."/>
      <w:lvlJc w:val="left"/>
      <w:pPr>
        <w:tabs>
          <w:tab w:val="num" w:pos="6840"/>
        </w:tabs>
        <w:ind w:left="6840" w:hanging="360"/>
      </w:pPr>
      <w:rPr>
        <w:rFonts w:cs="Times New Roman"/>
      </w:rPr>
    </w:lvl>
    <w:lvl w:ilvl="5" w:tplc="0C0A001B" w:tentative="1">
      <w:start w:val="1"/>
      <w:numFmt w:val="lowerRoman"/>
      <w:lvlText w:val="%6."/>
      <w:lvlJc w:val="right"/>
      <w:pPr>
        <w:tabs>
          <w:tab w:val="num" w:pos="7560"/>
        </w:tabs>
        <w:ind w:left="7560" w:hanging="180"/>
      </w:pPr>
      <w:rPr>
        <w:rFonts w:cs="Times New Roman"/>
      </w:rPr>
    </w:lvl>
    <w:lvl w:ilvl="6" w:tplc="0C0A000F" w:tentative="1">
      <w:start w:val="1"/>
      <w:numFmt w:val="decimal"/>
      <w:lvlText w:val="%7."/>
      <w:lvlJc w:val="left"/>
      <w:pPr>
        <w:tabs>
          <w:tab w:val="num" w:pos="8280"/>
        </w:tabs>
        <w:ind w:left="8280" w:hanging="360"/>
      </w:pPr>
      <w:rPr>
        <w:rFonts w:cs="Times New Roman"/>
      </w:rPr>
    </w:lvl>
    <w:lvl w:ilvl="7" w:tplc="0C0A0019" w:tentative="1">
      <w:start w:val="1"/>
      <w:numFmt w:val="lowerLetter"/>
      <w:lvlText w:val="%8."/>
      <w:lvlJc w:val="left"/>
      <w:pPr>
        <w:tabs>
          <w:tab w:val="num" w:pos="9000"/>
        </w:tabs>
        <w:ind w:left="9000" w:hanging="360"/>
      </w:pPr>
      <w:rPr>
        <w:rFonts w:cs="Times New Roman"/>
      </w:rPr>
    </w:lvl>
    <w:lvl w:ilvl="8" w:tplc="0C0A001B" w:tentative="1">
      <w:start w:val="1"/>
      <w:numFmt w:val="lowerRoman"/>
      <w:lvlText w:val="%9."/>
      <w:lvlJc w:val="right"/>
      <w:pPr>
        <w:tabs>
          <w:tab w:val="num" w:pos="9720"/>
        </w:tabs>
        <w:ind w:left="9720" w:hanging="180"/>
      </w:pPr>
      <w:rPr>
        <w:rFonts w:cs="Times New Roman"/>
      </w:rPr>
    </w:lvl>
  </w:abstractNum>
  <w:num w:numId="1">
    <w:abstractNumId w:val="6"/>
  </w:num>
  <w:num w:numId="2">
    <w:abstractNumId w:val="11"/>
  </w:num>
  <w:num w:numId="3">
    <w:abstractNumId w:val="9"/>
  </w:num>
  <w:num w:numId="4">
    <w:abstractNumId w:val="11"/>
  </w:num>
  <w:num w:numId="5">
    <w:abstractNumId w:val="10"/>
  </w:num>
  <w:num w:numId="6">
    <w:abstractNumId w:val="5"/>
  </w:num>
  <w:num w:numId="7">
    <w:abstractNumId w:val="13"/>
  </w:num>
  <w:num w:numId="8">
    <w:abstractNumId w:val="2"/>
  </w:num>
  <w:num w:numId="9">
    <w:abstractNumId w:val="0"/>
  </w:num>
  <w:num w:numId="10">
    <w:abstractNumId w:val="12"/>
  </w:num>
  <w:num w:numId="11">
    <w:abstractNumId w:val="8"/>
  </w:num>
  <w:num w:numId="12">
    <w:abstractNumId w:val="1"/>
  </w:num>
  <w:num w:numId="13">
    <w:abstractNumId w:val="7"/>
  </w:num>
  <w:num w:numId="14">
    <w:abstractNumId w:val="4"/>
  </w:num>
  <w:num w:numId="15">
    <w:abstractNumId w:val="14"/>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55B3B"/>
    <w:rsid w:val="000011CD"/>
    <w:rsid w:val="00002B42"/>
    <w:rsid w:val="000219AC"/>
    <w:rsid w:val="000319C3"/>
    <w:rsid w:val="00031D24"/>
    <w:rsid w:val="00037873"/>
    <w:rsid w:val="00047515"/>
    <w:rsid w:val="00054381"/>
    <w:rsid w:val="000711E1"/>
    <w:rsid w:val="00073708"/>
    <w:rsid w:val="000868FB"/>
    <w:rsid w:val="00086CE2"/>
    <w:rsid w:val="000942BB"/>
    <w:rsid w:val="000A5F48"/>
    <w:rsid w:val="000B31D1"/>
    <w:rsid w:val="000E2108"/>
    <w:rsid w:val="000E637D"/>
    <w:rsid w:val="000E6759"/>
    <w:rsid w:val="000E7E6A"/>
    <w:rsid w:val="000F63AB"/>
    <w:rsid w:val="00104616"/>
    <w:rsid w:val="0010506E"/>
    <w:rsid w:val="0012030B"/>
    <w:rsid w:val="0012214B"/>
    <w:rsid w:val="00154CAE"/>
    <w:rsid w:val="001574F2"/>
    <w:rsid w:val="00166367"/>
    <w:rsid w:val="00170095"/>
    <w:rsid w:val="0018164C"/>
    <w:rsid w:val="00182FD6"/>
    <w:rsid w:val="00191BA9"/>
    <w:rsid w:val="00192E06"/>
    <w:rsid w:val="001A5072"/>
    <w:rsid w:val="001B51CE"/>
    <w:rsid w:val="001C4AEF"/>
    <w:rsid w:val="001E2BD9"/>
    <w:rsid w:val="001F2394"/>
    <w:rsid w:val="001F6379"/>
    <w:rsid w:val="00204415"/>
    <w:rsid w:val="00207A6E"/>
    <w:rsid w:val="00207E57"/>
    <w:rsid w:val="00212913"/>
    <w:rsid w:val="00217E55"/>
    <w:rsid w:val="0022242F"/>
    <w:rsid w:val="002230AA"/>
    <w:rsid w:val="00224B92"/>
    <w:rsid w:val="00226842"/>
    <w:rsid w:val="002340A9"/>
    <w:rsid w:val="002357E1"/>
    <w:rsid w:val="00243C4F"/>
    <w:rsid w:val="00252554"/>
    <w:rsid w:val="00252897"/>
    <w:rsid w:val="00256D20"/>
    <w:rsid w:val="00276EA1"/>
    <w:rsid w:val="00287635"/>
    <w:rsid w:val="002B0942"/>
    <w:rsid w:val="002C322E"/>
    <w:rsid w:val="002C5A1F"/>
    <w:rsid w:val="002D6D4C"/>
    <w:rsid w:val="00313B7A"/>
    <w:rsid w:val="003210FF"/>
    <w:rsid w:val="0032291B"/>
    <w:rsid w:val="00325DE3"/>
    <w:rsid w:val="00336766"/>
    <w:rsid w:val="003403E2"/>
    <w:rsid w:val="00341E0A"/>
    <w:rsid w:val="00351C76"/>
    <w:rsid w:val="0035466D"/>
    <w:rsid w:val="00364234"/>
    <w:rsid w:val="003662DE"/>
    <w:rsid w:val="0039068A"/>
    <w:rsid w:val="003939D4"/>
    <w:rsid w:val="00397656"/>
    <w:rsid w:val="003A67CA"/>
    <w:rsid w:val="003B10B9"/>
    <w:rsid w:val="003C113F"/>
    <w:rsid w:val="003E066D"/>
    <w:rsid w:val="003E2DAE"/>
    <w:rsid w:val="003F4508"/>
    <w:rsid w:val="003F6E44"/>
    <w:rsid w:val="00403A50"/>
    <w:rsid w:val="00406BC6"/>
    <w:rsid w:val="0044424E"/>
    <w:rsid w:val="00473F8C"/>
    <w:rsid w:val="004B597A"/>
    <w:rsid w:val="004C1F2B"/>
    <w:rsid w:val="004C76CC"/>
    <w:rsid w:val="004E29E6"/>
    <w:rsid w:val="004F22F8"/>
    <w:rsid w:val="00500530"/>
    <w:rsid w:val="005032C9"/>
    <w:rsid w:val="00506C2D"/>
    <w:rsid w:val="00510406"/>
    <w:rsid w:val="00516C26"/>
    <w:rsid w:val="00531936"/>
    <w:rsid w:val="00537E49"/>
    <w:rsid w:val="005440A6"/>
    <w:rsid w:val="0055040D"/>
    <w:rsid w:val="00555204"/>
    <w:rsid w:val="00564634"/>
    <w:rsid w:val="00571520"/>
    <w:rsid w:val="005955D2"/>
    <w:rsid w:val="00596496"/>
    <w:rsid w:val="005A4284"/>
    <w:rsid w:val="005A46A5"/>
    <w:rsid w:val="005A51D9"/>
    <w:rsid w:val="005A7563"/>
    <w:rsid w:val="005D139C"/>
    <w:rsid w:val="005E6615"/>
    <w:rsid w:val="005F4260"/>
    <w:rsid w:val="005F4C74"/>
    <w:rsid w:val="00612997"/>
    <w:rsid w:val="00616B3D"/>
    <w:rsid w:val="006260D5"/>
    <w:rsid w:val="006402F1"/>
    <w:rsid w:val="00641A34"/>
    <w:rsid w:val="006507F2"/>
    <w:rsid w:val="00690847"/>
    <w:rsid w:val="006937A5"/>
    <w:rsid w:val="006A1808"/>
    <w:rsid w:val="006B074E"/>
    <w:rsid w:val="006B2BD5"/>
    <w:rsid w:val="006C28DC"/>
    <w:rsid w:val="006C436A"/>
    <w:rsid w:val="006D0E3D"/>
    <w:rsid w:val="006D450F"/>
    <w:rsid w:val="006D4BC3"/>
    <w:rsid w:val="006F284C"/>
    <w:rsid w:val="006F7227"/>
    <w:rsid w:val="00701308"/>
    <w:rsid w:val="00701FF0"/>
    <w:rsid w:val="00702366"/>
    <w:rsid w:val="00704185"/>
    <w:rsid w:val="007163BC"/>
    <w:rsid w:val="00730AE3"/>
    <w:rsid w:val="00732B41"/>
    <w:rsid w:val="007338A3"/>
    <w:rsid w:val="00736BC2"/>
    <w:rsid w:val="007713C9"/>
    <w:rsid w:val="00772B5F"/>
    <w:rsid w:val="0079325E"/>
    <w:rsid w:val="00793ACC"/>
    <w:rsid w:val="007B1587"/>
    <w:rsid w:val="007B535A"/>
    <w:rsid w:val="007C5285"/>
    <w:rsid w:val="007C633B"/>
    <w:rsid w:val="007D3182"/>
    <w:rsid w:val="007D3978"/>
    <w:rsid w:val="008053E3"/>
    <w:rsid w:val="00811909"/>
    <w:rsid w:val="0082257C"/>
    <w:rsid w:val="00825524"/>
    <w:rsid w:val="0083211E"/>
    <w:rsid w:val="00833925"/>
    <w:rsid w:val="0085169D"/>
    <w:rsid w:val="008544EC"/>
    <w:rsid w:val="00860A1D"/>
    <w:rsid w:val="00870D40"/>
    <w:rsid w:val="00884739"/>
    <w:rsid w:val="00892696"/>
    <w:rsid w:val="008A1F0B"/>
    <w:rsid w:val="008A6649"/>
    <w:rsid w:val="008C013C"/>
    <w:rsid w:val="008C1E35"/>
    <w:rsid w:val="008D5AA2"/>
    <w:rsid w:val="008E5F84"/>
    <w:rsid w:val="008E7500"/>
    <w:rsid w:val="00901EBE"/>
    <w:rsid w:val="009067F8"/>
    <w:rsid w:val="009113B1"/>
    <w:rsid w:val="009175A3"/>
    <w:rsid w:val="00922EAD"/>
    <w:rsid w:val="0092794B"/>
    <w:rsid w:val="00932F05"/>
    <w:rsid w:val="0093576E"/>
    <w:rsid w:val="00940759"/>
    <w:rsid w:val="00945445"/>
    <w:rsid w:val="00951165"/>
    <w:rsid w:val="00951A0B"/>
    <w:rsid w:val="00953856"/>
    <w:rsid w:val="009554D5"/>
    <w:rsid w:val="0095729E"/>
    <w:rsid w:val="009620C3"/>
    <w:rsid w:val="00972CD7"/>
    <w:rsid w:val="009A1EB8"/>
    <w:rsid w:val="009A3D0C"/>
    <w:rsid w:val="009A3FA3"/>
    <w:rsid w:val="009A496B"/>
    <w:rsid w:val="009B5E1D"/>
    <w:rsid w:val="009D2F92"/>
    <w:rsid w:val="009D331F"/>
    <w:rsid w:val="009D7EF3"/>
    <w:rsid w:val="009E2B79"/>
    <w:rsid w:val="009F0B2F"/>
    <w:rsid w:val="00A004F4"/>
    <w:rsid w:val="00A10051"/>
    <w:rsid w:val="00A20F36"/>
    <w:rsid w:val="00A30DAD"/>
    <w:rsid w:val="00A62FA0"/>
    <w:rsid w:val="00A710E8"/>
    <w:rsid w:val="00A81657"/>
    <w:rsid w:val="00AA014E"/>
    <w:rsid w:val="00AB3B2F"/>
    <w:rsid w:val="00AC0D97"/>
    <w:rsid w:val="00AC1E69"/>
    <w:rsid w:val="00AC4205"/>
    <w:rsid w:val="00AE4D45"/>
    <w:rsid w:val="00AF1510"/>
    <w:rsid w:val="00AF48D4"/>
    <w:rsid w:val="00B07C10"/>
    <w:rsid w:val="00B21F59"/>
    <w:rsid w:val="00B271A0"/>
    <w:rsid w:val="00B3299A"/>
    <w:rsid w:val="00B56B11"/>
    <w:rsid w:val="00B6744A"/>
    <w:rsid w:val="00B76D54"/>
    <w:rsid w:val="00B85807"/>
    <w:rsid w:val="00B85F9B"/>
    <w:rsid w:val="00B875DB"/>
    <w:rsid w:val="00B93F3C"/>
    <w:rsid w:val="00B9627C"/>
    <w:rsid w:val="00BA1498"/>
    <w:rsid w:val="00BA3233"/>
    <w:rsid w:val="00BB577F"/>
    <w:rsid w:val="00BE37A4"/>
    <w:rsid w:val="00BE45DE"/>
    <w:rsid w:val="00BF14AC"/>
    <w:rsid w:val="00C05456"/>
    <w:rsid w:val="00C076A9"/>
    <w:rsid w:val="00C112C8"/>
    <w:rsid w:val="00C15BBB"/>
    <w:rsid w:val="00C2200A"/>
    <w:rsid w:val="00C24983"/>
    <w:rsid w:val="00C31FC0"/>
    <w:rsid w:val="00C37FF1"/>
    <w:rsid w:val="00C41C87"/>
    <w:rsid w:val="00C507CD"/>
    <w:rsid w:val="00C73302"/>
    <w:rsid w:val="00C85EA4"/>
    <w:rsid w:val="00C912FE"/>
    <w:rsid w:val="00CA1572"/>
    <w:rsid w:val="00CA6B87"/>
    <w:rsid w:val="00CB562E"/>
    <w:rsid w:val="00CC2031"/>
    <w:rsid w:val="00CC71ED"/>
    <w:rsid w:val="00CD2A94"/>
    <w:rsid w:val="00CE4F05"/>
    <w:rsid w:val="00CE51C3"/>
    <w:rsid w:val="00CF4F69"/>
    <w:rsid w:val="00D012D1"/>
    <w:rsid w:val="00D01E3D"/>
    <w:rsid w:val="00D15589"/>
    <w:rsid w:val="00D21CB7"/>
    <w:rsid w:val="00D22AE8"/>
    <w:rsid w:val="00D426ED"/>
    <w:rsid w:val="00D432AD"/>
    <w:rsid w:val="00D464C7"/>
    <w:rsid w:val="00D474FA"/>
    <w:rsid w:val="00D51069"/>
    <w:rsid w:val="00D52C85"/>
    <w:rsid w:val="00D5390F"/>
    <w:rsid w:val="00D564FE"/>
    <w:rsid w:val="00D614EB"/>
    <w:rsid w:val="00D70A07"/>
    <w:rsid w:val="00D9250F"/>
    <w:rsid w:val="00D9537D"/>
    <w:rsid w:val="00DA4AF3"/>
    <w:rsid w:val="00DB29F6"/>
    <w:rsid w:val="00DB413A"/>
    <w:rsid w:val="00DD52CC"/>
    <w:rsid w:val="00DD5826"/>
    <w:rsid w:val="00DE0E2C"/>
    <w:rsid w:val="00DE308B"/>
    <w:rsid w:val="00DE4EC9"/>
    <w:rsid w:val="00E0269B"/>
    <w:rsid w:val="00E22B0B"/>
    <w:rsid w:val="00E24194"/>
    <w:rsid w:val="00E37A7A"/>
    <w:rsid w:val="00E47630"/>
    <w:rsid w:val="00E55B3B"/>
    <w:rsid w:val="00E55E91"/>
    <w:rsid w:val="00E824C6"/>
    <w:rsid w:val="00E9029A"/>
    <w:rsid w:val="00EA34AD"/>
    <w:rsid w:val="00EA7525"/>
    <w:rsid w:val="00EB67BC"/>
    <w:rsid w:val="00EC0891"/>
    <w:rsid w:val="00EE51DB"/>
    <w:rsid w:val="00F13DC0"/>
    <w:rsid w:val="00F14485"/>
    <w:rsid w:val="00F16F02"/>
    <w:rsid w:val="00F26A60"/>
    <w:rsid w:val="00F465B6"/>
    <w:rsid w:val="00F5459B"/>
    <w:rsid w:val="00F64CB9"/>
    <w:rsid w:val="00F67181"/>
    <w:rsid w:val="00F77628"/>
    <w:rsid w:val="00F838DD"/>
    <w:rsid w:val="00F90D9A"/>
    <w:rsid w:val="00F95473"/>
    <w:rsid w:val="00F97932"/>
    <w:rsid w:val="00FA3500"/>
    <w:rsid w:val="00FB305C"/>
    <w:rsid w:val="00FB3B70"/>
    <w:rsid w:val="00FB7367"/>
    <w:rsid w:val="00FC6159"/>
    <w:rsid w:val="00FD061C"/>
    <w:rsid w:val="00FD2C73"/>
    <w:rsid w:val="00FF2765"/>
    <w:rsid w:val="00FF567E"/>
    <w:rsid w:val="00FF7806"/>
  </w:rsids>
  <m:mathPr>
    <m:mathFont m:val="Cambria Math"/>
    <m:brkBin m:val="before"/>
    <m:brkBinSub m:val="--"/>
    <m:smallFrac m:val="0"/>
    <m:dispDef/>
    <m:lMargin m:val="0"/>
    <m:rMargin m:val="0"/>
    <m:defJc m:val="centerGroup"/>
    <m:wrapIndent m:val="1440"/>
    <m:intLim m:val="subSup"/>
    <m:naryLim m:val="undOvr"/>
  </m:mathPr>
  <w:themeFontLang w:val="es-U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napToGrid w:val="0"/>
      <w:sz w:val="22"/>
      <w:szCs w:val="24"/>
      <w:lang w:val="en-GB" w:eastAsia="es-E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2"/>
      </w:numPr>
      <w:spacing w:before="120" w:after="120"/>
    </w:pPr>
    <w:rPr>
      <w:szCs w:val="18"/>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Pr>
      <w:sz w:val="18"/>
      <w:u w:val="none"/>
      <w:vertAlign w:val="baseline"/>
    </w:rPr>
  </w:style>
  <w:style w:type="paragraph" w:customStyle="1" w:styleId="Quotationtextindented">
    <w:name w:val="Quotation text (indented)"/>
    <w:basedOn w:val="Normal"/>
    <w:pPr>
      <w:spacing w:before="120" w:after="120"/>
      <w:ind w:left="720" w:right="720"/>
    </w:pPr>
    <w:rPr>
      <w:bCs/>
    </w:rPr>
  </w:style>
  <w:style w:type="paragraph" w:customStyle="1" w:styleId="recommendationheader">
    <w:name w:val="recommendation header"/>
    <w:basedOn w:val="Heading2"/>
  </w:style>
  <w:style w:type="character" w:styleId="CommentReference">
    <w:name w:val="annotation reference"/>
    <w:basedOn w:val="DefaultParagraphFont"/>
    <w:semiHidden/>
    <w:rPr>
      <w:rFonts w:cs="Times New Roman"/>
      <w:sz w:val="16"/>
    </w:rPr>
  </w:style>
  <w:style w:type="paragraph" w:styleId="CommentText">
    <w:name w:val="annotation text"/>
    <w:basedOn w:val="Normal"/>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rPr>
      <w:rFonts w:cs="Times New Roman"/>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basedOn w:val="DefaultParagraphFont"/>
    <w:rPr>
      <w:rFonts w:ascii="Times New Roman" w:hAnsi="Times New Roman" w:cs="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color w:val="000000"/>
      <w:sz w:val="20"/>
      <w:szCs w:val="20"/>
    </w:rPr>
  </w:style>
  <w:style w:type="paragraph" w:customStyle="1" w:styleId="Heading4indent">
    <w:name w:val="Heading 4 indent"/>
    <w:basedOn w:val="Heading4"/>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style>
  <w:style w:type="paragraph" w:customStyle="1" w:styleId="tabletitle">
    <w:name w:val="table title"/>
    <w:basedOn w:val="Heading2"/>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lang w:val="es-ES"/>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rPr>
      <w:i w:val="0"/>
      <w:sz w:val="18"/>
    </w:rPr>
  </w:style>
  <w:style w:type="character" w:styleId="FollowedHyperlink">
    <w:name w:val="FollowedHyperlink"/>
    <w:basedOn w:val="DefaultParagraphFont"/>
    <w:rPr>
      <w:rFonts w:cs="Times New Roman"/>
      <w:color w:val="800080"/>
      <w:u w:val="single"/>
    </w:rPr>
  </w:style>
  <w:style w:type="paragraph" w:customStyle="1" w:styleId="Style1">
    <w:name w:val="Style1"/>
    <w:basedOn w:val="Heading2"/>
    <w:rPr>
      <w:i/>
    </w:rPr>
  </w:style>
  <w:style w:type="paragraph" w:customStyle="1" w:styleId="Para2">
    <w:name w:val="Para2"/>
    <w:basedOn w:val="Para1"/>
    <w:pPr>
      <w:numPr>
        <w:numId w:val="3"/>
      </w:numPr>
      <w:autoSpaceDE w:val="0"/>
      <w:autoSpaceDN w:val="0"/>
      <w:ind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basedOn w:val="DefaultParagraphFont"/>
    <w:rPr>
      <w:rFonts w:cs="Times New Roman"/>
      <w:color w:val="0000FF"/>
      <w:u w:val="single"/>
    </w:rPr>
  </w:style>
  <w:style w:type="character" w:styleId="EndnoteReference">
    <w:name w:val="endnote reference"/>
    <w:basedOn w:val="DefaultParagraphFont"/>
    <w:semiHidden/>
    <w:rPr>
      <w:rFonts w:cs="Times New Roman"/>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style>
  <w:style w:type="paragraph" w:customStyle="1" w:styleId="HEADINGNOTFORTOC">
    <w:name w:val="HEADING (NOT FOR TOC)"/>
    <w:basedOn w:val="Heading1"/>
    <w:next w:val="Heading2"/>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
    <w:locked/>
    <w:rPr>
      <w:sz w:val="24"/>
      <w:lang w:val="en-GB"/>
    </w:rPr>
  </w:style>
  <w:style w:type="paragraph" w:customStyle="1" w:styleId="decision">
    <w:name w:val="decision"/>
    <w:basedOn w:val="Normal"/>
    <w:pPr>
      <w:keepNext/>
      <w:spacing w:before="240" w:after="120"/>
      <w:ind w:hanging="11"/>
      <w:jc w:val="center"/>
    </w:pPr>
    <w:rPr>
      <w:b/>
      <w:kern w:val="22"/>
    </w:rPr>
  </w:style>
  <w:style w:type="paragraph" w:styleId="BalloonText">
    <w:name w:val="Balloon Text"/>
    <w:basedOn w:val="Normal"/>
    <w:semiHidden/>
    <w:rPr>
      <w:sz w:val="16"/>
      <w:szCs w:val="16"/>
    </w:rPr>
  </w:style>
  <w:style w:type="character" w:customStyle="1" w:styleId="BalloonTextChar">
    <w:name w:val="Balloon Text Char"/>
    <w:semiHidden/>
    <w:locked/>
    <w:rPr>
      <w:rFonts w:ascii="Times New Roman" w:hAnsi="Times New Roman"/>
      <w:sz w:val="16"/>
      <w:lang w:val="en-GB"/>
    </w:rPr>
  </w:style>
  <w:style w:type="character" w:customStyle="1" w:styleId="apple-converted-space">
    <w:name w:val="apple-converted-space"/>
  </w:style>
  <w:style w:type="paragraph" w:styleId="CommentSubject">
    <w:name w:val="annotation subject"/>
    <w:basedOn w:val="CommentText"/>
    <w:next w:val="CommentText"/>
    <w:semiHidden/>
    <w:pPr>
      <w:spacing w:after="0" w:line="240" w:lineRule="auto"/>
    </w:pPr>
    <w:rPr>
      <w:b/>
      <w:bCs/>
    </w:rPr>
  </w:style>
  <w:style w:type="character" w:customStyle="1" w:styleId="CommentTextChar">
    <w:name w:val="Comment Text Char"/>
    <w:semiHidden/>
    <w:locked/>
    <w:rPr>
      <w:sz w:val="24"/>
      <w:lang w:val="en-GB"/>
    </w:rPr>
  </w:style>
  <w:style w:type="character" w:customStyle="1" w:styleId="CommentSubjectChar">
    <w:name w:val="Comment Subject Char"/>
    <w:semiHidden/>
    <w:locked/>
    <w:rPr>
      <w:b/>
      <w:sz w:val="24"/>
      <w:lang w:val="en-GB"/>
    </w:rPr>
  </w:style>
  <w:style w:type="paragraph" w:styleId="Revision">
    <w:name w:val="Revision"/>
    <w:hidden/>
    <w:semiHidden/>
    <w:rPr>
      <w:snapToGrid w:val="0"/>
      <w:sz w:val="22"/>
      <w:szCs w:val="24"/>
      <w:lang w:val="en-GB" w:eastAsia="es-ES"/>
    </w:rPr>
  </w:style>
  <w:style w:type="character" w:styleId="PlaceholderText">
    <w:name w:val="Placeholder Text"/>
    <w:basedOn w:val="DefaultParagraphFont"/>
    <w:rPr>
      <w:rFonts w:cs="Times New Roman"/>
      <w:color w:val="808080"/>
    </w:rPr>
  </w:style>
  <w:style w:type="paragraph" w:styleId="ListParagraph">
    <w:name w:val="List Paragraph"/>
    <w:basedOn w:val="Normal"/>
    <w:qFormat/>
    <w:pPr>
      <w:ind w:left="720"/>
      <w:contextualSpacing/>
    </w:pPr>
  </w:style>
  <w:style w:type="paragraph" w:customStyle="1" w:styleId="meetingname">
    <w:name w:val="meeting name"/>
    <w:basedOn w:val="Cornernotation"/>
    <w:rPr>
      <w:rFonts w:eastAsia="Malgun Gothic"/>
      <w:caps/>
    </w:rPr>
  </w:style>
  <w:style w:type="table" w:styleId="TableGrid">
    <w:name w:val="Table Grid"/>
    <w:basedOn w:val="TableNormal"/>
    <w:rPr>
      <w:rFonts w:ascii="Cambria" w:eastAsia="MS Mincho" w:hAnsi="Cambria" w:cs="Arial"/>
      <w:snapToGrid w:val="0"/>
      <w:sz w:val="24"/>
      <w:szCs w:val="24"/>
      <w:lang w:val="fr-CA"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semiHidden/>
    <w:rPr>
      <w:rFonts w:cs="Times New Roman"/>
      <w:color w:val="808080"/>
      <w:shd w:val="clear" w:color="auto" w:fill="E6E6E6"/>
    </w:rPr>
  </w:style>
  <w:style w:type="character" w:customStyle="1" w:styleId="StyleFootnoteReferencenumberFootnoteReferenceSuperscript-EF">
    <w:name w:val="Style Footnote ReferencenumberFootnote Reference Superscript-E F..."/>
    <w:basedOn w:val="FootnoteReference"/>
    <w:rPr>
      <w:rFonts w:cs="Times New Roman"/>
      <w:kern w:val="22"/>
      <w:sz w:val="22"/>
      <w:u w:val="none"/>
      <w:vertAlign w:val="superscript"/>
    </w:rPr>
  </w:style>
  <w:style w:type="character" w:customStyle="1" w:styleId="tw4winMark">
    <w:name w:val="tw4winMark"/>
    <w:rPr>
      <w:rFonts w:ascii="Courier New" w:hAnsi="Courier New"/>
      <w:vanish/>
      <w:color w:val="800080"/>
      <w:sz w:val="24"/>
      <w:vertAlign w:val="subscript"/>
    </w:rPr>
  </w:style>
  <w:style w:type="character" w:customStyle="1" w:styleId="hps">
    <w:name w:val="hps"/>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cbd.int/doc/decisions/np-mop-02/np-mop-02-dec-05-es.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decisions/np-mop-02/np-mop-02-dec-14-e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bd.int/doc/decisions/cop-13/cop-13-dec-16-e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s://www.cbd.int/doc/decisions/cop-08/full/cop-08-dec-e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6022/e9a3/911620a21462eefd67e74ae6/dsi-ahteg-2018-01-02-add2-en.pdf" TargetMode="External"/><Relationship Id="rId3" Type="http://schemas.openxmlformats.org/officeDocument/2006/relationships/hyperlink" Target="https://www.cbd.int/abs/dsi-gr/ahteg.shtml" TargetMode="External"/><Relationship Id="rId7" Type="http://schemas.openxmlformats.org/officeDocument/2006/relationships/hyperlink" Target="https://www.cbd.int/doc/c/916b/1ee4/9dcf0ef617da984b6d107500/dsi-ahteg-2018-01-02-add1-en.pdf" TargetMode="External"/><Relationship Id="rId2" Type="http://schemas.openxmlformats.org/officeDocument/2006/relationships/hyperlink" Target="https://www.cbd.int/abs/dsi-gr/ahteg.shtml" TargetMode="External"/><Relationship Id="rId1" Type="http://schemas.openxmlformats.org/officeDocument/2006/relationships/hyperlink" Target="https://www.cbd.int/doc/meetings/sbstta/sbstta-22/official/sbstta-22-01-es.pdf" TargetMode="External"/><Relationship Id="rId6" Type="http://schemas.openxmlformats.org/officeDocument/2006/relationships/hyperlink" Target="https://www.cbd.int/doc/c/06dc/df41/cbbe0ff3d861dc4e45953973/dsi-ahteg-2018-01-02-en.pdf" TargetMode="External"/><Relationship Id="rId5" Type="http://schemas.openxmlformats.org/officeDocument/2006/relationships/hyperlink" Target="https://www.cbd.int/doc/c/e95a/4ddd/4baea2ec772be28edcd10358/dsi-ahteg-2018-01-03-en.pdf" TargetMode="External"/><Relationship Id="rId4" Type="http://schemas.openxmlformats.org/officeDocument/2006/relationships/hyperlink" Target="https://www.cbd.int/doc/c/e95a/4ddd/4baea2ec772be28edcd10358/dsi-ahteg-2018-01-03-e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4</TotalTime>
  <Pages>10</Pages>
  <Words>4843</Words>
  <Characters>27606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Digital sequence information on genetic resources</vt:lpstr>
    </vt:vector>
  </TitlesOfParts>
  <Company>Biodiversity</Company>
  <LinksUpToDate>false</LinksUpToDate>
  <CharactersWithSpaces>32385</CharactersWithSpaces>
  <SharedDoc>false</SharedDoc>
  <HLinks>
    <vt:vector size="72" baseType="variant">
      <vt:variant>
        <vt:i4>2883685</vt:i4>
      </vt:variant>
      <vt:variant>
        <vt:i4>9</vt:i4>
      </vt:variant>
      <vt:variant>
        <vt:i4>0</vt:i4>
      </vt:variant>
      <vt:variant>
        <vt:i4>5</vt:i4>
      </vt:variant>
      <vt:variant>
        <vt:lpwstr>https://www.cbd.int/doc/decisions/cop-08/full/cop-08-dec-es.pdf</vt:lpwstr>
      </vt:variant>
      <vt:variant>
        <vt:lpwstr/>
      </vt:variant>
      <vt:variant>
        <vt:i4>7405612</vt:i4>
      </vt:variant>
      <vt:variant>
        <vt:i4>6</vt:i4>
      </vt:variant>
      <vt:variant>
        <vt:i4>0</vt:i4>
      </vt:variant>
      <vt:variant>
        <vt:i4>5</vt:i4>
      </vt:variant>
      <vt:variant>
        <vt:lpwstr>https://www.cbd.int/doc/decisions/np-mop-02/np-mop-02-dec-05-es.pdf</vt:lpwstr>
      </vt:variant>
      <vt:variant>
        <vt:lpwstr/>
      </vt:variant>
      <vt:variant>
        <vt:i4>7340077</vt:i4>
      </vt:variant>
      <vt:variant>
        <vt:i4>3</vt:i4>
      </vt:variant>
      <vt:variant>
        <vt:i4>0</vt:i4>
      </vt:variant>
      <vt:variant>
        <vt:i4>5</vt:i4>
      </vt:variant>
      <vt:variant>
        <vt:lpwstr>https://www.cbd.int/doc/decisions/np-mop-02/np-mop-02-dec-14-es.pdf</vt:lpwstr>
      </vt:variant>
      <vt:variant>
        <vt:lpwstr/>
      </vt:variant>
      <vt:variant>
        <vt:i4>917585</vt:i4>
      </vt:variant>
      <vt:variant>
        <vt:i4>0</vt:i4>
      </vt:variant>
      <vt:variant>
        <vt:i4>0</vt:i4>
      </vt:variant>
      <vt:variant>
        <vt:i4>5</vt:i4>
      </vt:variant>
      <vt:variant>
        <vt:lpwstr>https://www.cbd.int/doc/decisions/cop-13/cop-13-dec-16-es.pdf</vt:lpwstr>
      </vt:variant>
      <vt:variant>
        <vt:lpwstr/>
      </vt:variant>
      <vt:variant>
        <vt:i4>5373954</vt:i4>
      </vt:variant>
      <vt:variant>
        <vt:i4>21</vt:i4>
      </vt:variant>
      <vt:variant>
        <vt:i4>0</vt:i4>
      </vt:variant>
      <vt:variant>
        <vt:i4>5</vt:i4>
      </vt:variant>
      <vt:variant>
        <vt:lpwstr>https://www.cbd.int/doc/c/6022/e9a3/911620a21462eefd67e74ae6/dsi-ahteg-2018-01-02-add2-en.pdf</vt:lpwstr>
      </vt:variant>
      <vt:variant>
        <vt:lpwstr/>
      </vt:variant>
      <vt:variant>
        <vt:i4>589915</vt:i4>
      </vt:variant>
      <vt:variant>
        <vt:i4>18</vt:i4>
      </vt:variant>
      <vt:variant>
        <vt:i4>0</vt:i4>
      </vt:variant>
      <vt:variant>
        <vt:i4>5</vt:i4>
      </vt:variant>
      <vt:variant>
        <vt:lpwstr>https://www.cbd.int/doc/c/916b/1ee4/9dcf0ef617da984b6d107500/dsi-ahteg-2018-01-02-add1-en.pdf</vt:lpwstr>
      </vt:variant>
      <vt:variant>
        <vt:lpwstr/>
      </vt:variant>
      <vt:variant>
        <vt:i4>5373975</vt:i4>
      </vt:variant>
      <vt:variant>
        <vt:i4>15</vt:i4>
      </vt:variant>
      <vt:variant>
        <vt:i4>0</vt:i4>
      </vt:variant>
      <vt:variant>
        <vt:i4>5</vt:i4>
      </vt:variant>
      <vt:variant>
        <vt:lpwstr>https://www.cbd.int/doc/c/06dc/df41/cbbe0ff3d861dc4e45953973/dsi-ahteg-2018-01-02-en.pdf</vt:lpwstr>
      </vt:variant>
      <vt:variant>
        <vt:lpwstr/>
      </vt:variant>
      <vt:variant>
        <vt:i4>327701</vt:i4>
      </vt:variant>
      <vt:variant>
        <vt:i4>12</vt:i4>
      </vt:variant>
      <vt:variant>
        <vt:i4>0</vt:i4>
      </vt:variant>
      <vt:variant>
        <vt:i4>5</vt:i4>
      </vt:variant>
      <vt:variant>
        <vt:lpwstr>https://www.cbd.int/doc/c/e95a/4ddd/4baea2ec772be28edcd10358/dsi-ahteg-2018-01-03-en.pdf</vt:lpwstr>
      </vt:variant>
      <vt:variant>
        <vt:lpwstr/>
      </vt:variant>
      <vt:variant>
        <vt:i4>327701</vt:i4>
      </vt:variant>
      <vt:variant>
        <vt:i4>9</vt:i4>
      </vt:variant>
      <vt:variant>
        <vt:i4>0</vt:i4>
      </vt:variant>
      <vt:variant>
        <vt:i4>5</vt:i4>
      </vt:variant>
      <vt:variant>
        <vt:lpwstr>https://www.cbd.int/doc/c/e95a/4ddd/4baea2ec772be28edcd10358/dsi-ahteg-2018-01-03-en.pdf</vt:lpwstr>
      </vt:variant>
      <vt:variant>
        <vt:lpwstr/>
      </vt:variant>
      <vt:variant>
        <vt:i4>5308511</vt:i4>
      </vt:variant>
      <vt:variant>
        <vt:i4>6</vt:i4>
      </vt:variant>
      <vt:variant>
        <vt:i4>0</vt:i4>
      </vt:variant>
      <vt:variant>
        <vt:i4>5</vt:i4>
      </vt:variant>
      <vt:variant>
        <vt:lpwstr>https://www.cbd.int/abs/dsi-gr/ahteg.shtml</vt:lpwstr>
      </vt:variant>
      <vt:variant>
        <vt:lpwstr>peerreview</vt:lpwstr>
      </vt:variant>
      <vt:variant>
        <vt:i4>5308495</vt:i4>
      </vt:variant>
      <vt:variant>
        <vt:i4>3</vt:i4>
      </vt:variant>
      <vt:variant>
        <vt:i4>0</vt:i4>
      </vt:variant>
      <vt:variant>
        <vt:i4>5</vt:i4>
      </vt:variant>
      <vt:variant>
        <vt:lpwstr>https://www.cbd.int/abs/dsi-gr/ahteg.shtml</vt:lpwstr>
      </vt:variant>
      <vt:variant>
        <vt:lpwstr>submissions</vt:lpwstr>
      </vt:variant>
      <vt:variant>
        <vt:i4>2162746</vt:i4>
      </vt:variant>
      <vt:variant>
        <vt:i4>0</vt:i4>
      </vt:variant>
      <vt:variant>
        <vt:i4>0</vt:i4>
      </vt:variant>
      <vt:variant>
        <vt:i4>5</vt:i4>
      </vt:variant>
      <vt:variant>
        <vt:lpwstr>https://www.cbd.int/doc/meetings/sbstta/sbstta-22/official/sbstta-22-01-es.pdf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sequence information on genetic resources</dc:title>
  <dc:subject>CBD/SBSTTA/22/2</dc:subject>
  <dc:creator>SCBD</dc:creator>
  <cp:lastModifiedBy>Administrator</cp:lastModifiedBy>
  <cp:revision>5</cp:revision>
  <cp:lastPrinted>2018-03-29T12:57:00Z</cp:lastPrinted>
  <dcterms:created xsi:type="dcterms:W3CDTF">2018-04-11T20:30:00Z</dcterms:created>
  <dcterms:modified xsi:type="dcterms:W3CDTF">2018-04-12T13:59:00Z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órgano SUBSIDIARiO de asesOramieNto CIENTíFICo, TéCNICo y TECNOLóGICo</vt:lpwstr>
  </property>
</Properties>
</file>