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61543B" w14:paraId="4CFB3FE4" w14:textId="77777777" w:rsidTr="2FDB304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5A0F07CE" w14:textId="77777777" w:rsidR="00A96B21" w:rsidRPr="0061543B" w:rsidRDefault="00A96B21" w:rsidP="00B60E5F">
            <w:pPr>
              <w:spacing w:after="120"/>
              <w:jc w:val="left"/>
            </w:pPr>
            <w:bookmarkStart w:id="0" w:name="_Hlk137651738"/>
            <w:r w:rsidRPr="0061543B">
              <w:rPr>
                <w:noProof/>
              </w:rPr>
              <w:drawing>
                <wp:inline distT="0" distB="0" distL="0" distR="0" wp14:anchorId="7C99EAC9" wp14:editId="37D11C6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DAB5E47" w14:textId="77777777" w:rsidR="00A96B21" w:rsidRPr="0061543B" w:rsidRDefault="00A96B21" w:rsidP="00B60E5F">
            <w:pPr>
              <w:spacing w:after="120"/>
              <w:jc w:val="left"/>
            </w:pPr>
            <w:r w:rsidRPr="0061543B">
              <w:rPr>
                <w:noProof/>
              </w:rPr>
              <w:drawing>
                <wp:inline distT="0" distB="0" distL="0" distR="0" wp14:anchorId="6C3C6D44" wp14:editId="01E283B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024C879D" w14:textId="15238D7A" w:rsidR="00A96B21" w:rsidRPr="0061543B" w:rsidRDefault="00A96B21" w:rsidP="00184909">
            <w:pPr>
              <w:spacing w:after="120"/>
              <w:ind w:left="2021"/>
              <w:jc w:val="right"/>
            </w:pPr>
            <w:r w:rsidRPr="00501C6D">
              <w:rPr>
                <w:sz w:val="40"/>
                <w:szCs w:val="40"/>
              </w:rPr>
              <w:t>CBD</w:t>
            </w:r>
            <w:r w:rsidRPr="0061543B">
              <w:t>/</w:t>
            </w:r>
            <w:r w:rsidR="396A4C6E" w:rsidRPr="00501C6D">
              <w:t>FM</w:t>
            </w:r>
            <w:r w:rsidR="396A4C6E" w:rsidRPr="0061543B">
              <w:t>/</w:t>
            </w:r>
            <w:r w:rsidR="1FE27F1C" w:rsidRPr="00501C6D">
              <w:t>TEG</w:t>
            </w:r>
            <w:r w:rsidR="1FE27F1C" w:rsidRPr="0061543B">
              <w:t>/202</w:t>
            </w:r>
            <w:r w:rsidR="00F157CE" w:rsidRPr="0061543B">
              <w:t>4</w:t>
            </w:r>
            <w:r w:rsidR="1FE27F1C" w:rsidRPr="0061543B">
              <w:t>/</w:t>
            </w:r>
            <w:r w:rsidR="3BAE05AF" w:rsidRPr="0061543B">
              <w:t>1</w:t>
            </w:r>
            <w:r w:rsidR="563EC8D7" w:rsidRPr="0061543B">
              <w:t>/</w:t>
            </w:r>
            <w:r w:rsidR="00C31E17" w:rsidRPr="0061543B">
              <w:t>2</w:t>
            </w:r>
          </w:p>
        </w:tc>
      </w:tr>
      <w:tr w:rsidR="00A96B21" w:rsidRPr="0061543B" w14:paraId="468AE132" w14:textId="77777777" w:rsidTr="2FDB304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DCEEDF6" w14:textId="77777777" w:rsidR="00A96B21" w:rsidRPr="0061543B" w:rsidRDefault="00A96B21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61543B">
              <w:rPr>
                <w:b w:val="0"/>
                <w:bCs/>
                <w:noProof/>
              </w:rPr>
              <w:drawing>
                <wp:inline distT="0" distB="0" distL="0" distR="0" wp14:anchorId="4EC079CA" wp14:editId="490D150C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668BE8EE" w14:textId="77777777" w:rsidR="00A96B21" w:rsidRPr="0061543B" w:rsidRDefault="00A96B21" w:rsidP="003C6F10">
            <w:pPr>
              <w:ind w:left="2584"/>
              <w:rPr>
                <w:sz w:val="22"/>
                <w:szCs w:val="22"/>
              </w:rPr>
            </w:pPr>
            <w:r w:rsidRPr="0061543B">
              <w:rPr>
                <w:sz w:val="22"/>
                <w:szCs w:val="22"/>
              </w:rPr>
              <w:t>Distr.: General</w:t>
            </w:r>
          </w:p>
          <w:p w14:paraId="2073E840" w14:textId="36374C80" w:rsidR="00A96B21" w:rsidRPr="0061543B" w:rsidRDefault="001218CA" w:rsidP="003C6F10">
            <w:pPr>
              <w:ind w:left="2584"/>
              <w:rPr>
                <w:sz w:val="22"/>
                <w:szCs w:val="22"/>
              </w:rPr>
            </w:pPr>
            <w:r w:rsidRPr="0061543B">
              <w:rPr>
                <w:sz w:val="22"/>
                <w:szCs w:val="22"/>
              </w:rPr>
              <w:t>7</w:t>
            </w:r>
            <w:r w:rsidR="00A96B21" w:rsidRPr="0061543B">
              <w:rPr>
                <w:sz w:val="22"/>
                <w:szCs w:val="22"/>
              </w:rPr>
              <w:t xml:space="preserve"> </w:t>
            </w:r>
            <w:r w:rsidR="092431F8" w:rsidRPr="0061543B">
              <w:rPr>
                <w:sz w:val="22"/>
                <w:szCs w:val="22"/>
              </w:rPr>
              <w:t xml:space="preserve">March </w:t>
            </w:r>
            <w:r w:rsidR="00A96B21" w:rsidRPr="0061543B">
              <w:rPr>
                <w:sz w:val="22"/>
                <w:szCs w:val="22"/>
              </w:rPr>
              <w:t>202</w:t>
            </w:r>
            <w:r w:rsidR="3BB704C9" w:rsidRPr="0061543B">
              <w:rPr>
                <w:sz w:val="22"/>
                <w:szCs w:val="22"/>
              </w:rPr>
              <w:t>4</w:t>
            </w:r>
          </w:p>
          <w:p w14:paraId="19A1A769" w14:textId="1A95BE2F" w:rsidR="00A96B21" w:rsidRPr="0061543B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69A0178C" w14:textId="72F777B9" w:rsidR="00A96B21" w:rsidRPr="0061543B" w:rsidRDefault="00A96B21" w:rsidP="003C6F10">
            <w:pPr>
              <w:ind w:left="2584"/>
              <w:rPr>
                <w:sz w:val="22"/>
                <w:szCs w:val="22"/>
              </w:rPr>
            </w:pPr>
            <w:r w:rsidRPr="0061543B">
              <w:rPr>
                <w:sz w:val="22"/>
                <w:szCs w:val="22"/>
              </w:rPr>
              <w:t>English</w:t>
            </w:r>
            <w:r w:rsidR="007730FA" w:rsidRPr="0061543B">
              <w:rPr>
                <w:sz w:val="22"/>
                <w:szCs w:val="22"/>
              </w:rPr>
              <w:t xml:space="preserve"> only</w:t>
            </w:r>
          </w:p>
          <w:p w14:paraId="3DB43CBD" w14:textId="77777777" w:rsidR="00A96B21" w:rsidRPr="0061543B" w:rsidRDefault="00A96B21" w:rsidP="00B60E5F"/>
        </w:tc>
      </w:tr>
    </w:tbl>
    <w:p w14:paraId="58EE2064" w14:textId="128CC8D3" w:rsidR="00874541" w:rsidRPr="0061543B" w:rsidRDefault="0017531D" w:rsidP="00501C6D">
      <w:pPr>
        <w:pStyle w:val="Cornernotation"/>
        <w:ind w:left="0" w:right="6666" w:firstLine="0"/>
        <w:rPr>
          <w:bCs/>
        </w:rPr>
      </w:pPr>
      <w:r w:rsidRPr="0061543B">
        <w:rPr>
          <w:bCs/>
        </w:rPr>
        <w:t>Technical Expert Group on</w:t>
      </w:r>
      <w:r w:rsidR="00BF11D3" w:rsidRPr="0061543B">
        <w:rPr>
          <w:bCs/>
        </w:rPr>
        <w:t xml:space="preserve"> </w:t>
      </w:r>
      <w:r w:rsidRPr="0061543B">
        <w:rPr>
          <w:bCs/>
        </w:rPr>
        <w:t>Financial Reporting</w:t>
      </w:r>
    </w:p>
    <w:p w14:paraId="425D8561" w14:textId="7DADD1F5" w:rsidR="00A96B21" w:rsidRPr="0061543B" w:rsidRDefault="005D3921" w:rsidP="00A96B21">
      <w:pPr>
        <w:pStyle w:val="Cornernotation"/>
        <w:rPr>
          <w:bCs/>
          <w:sz w:val="22"/>
          <w:szCs w:val="22"/>
        </w:rPr>
      </w:pPr>
      <w:r w:rsidRPr="0061543B">
        <w:rPr>
          <w:bCs/>
          <w:sz w:val="22"/>
          <w:szCs w:val="22"/>
        </w:rPr>
        <w:t>Second</w:t>
      </w:r>
      <w:r w:rsidR="00A96B21" w:rsidRPr="0061543B">
        <w:rPr>
          <w:bCs/>
          <w:sz w:val="22"/>
          <w:szCs w:val="22"/>
        </w:rPr>
        <w:t xml:space="preserve"> meeting</w:t>
      </w:r>
    </w:p>
    <w:p w14:paraId="2D46BB9A" w14:textId="2766DAD5" w:rsidR="00A96B21" w:rsidRPr="0061543B" w:rsidRDefault="00F157CE" w:rsidP="000B4ED9">
      <w:pPr>
        <w:pStyle w:val="Venuedate"/>
      </w:pPr>
      <w:r w:rsidRPr="0061543B">
        <w:t>Istanbul</w:t>
      </w:r>
      <w:r w:rsidR="00A96B21" w:rsidRPr="0061543B">
        <w:t>,</w:t>
      </w:r>
      <w:r w:rsidRPr="0061543B">
        <w:t xml:space="preserve"> Türkiye,</w:t>
      </w:r>
      <w:r w:rsidR="00A96B21" w:rsidRPr="0061543B">
        <w:t xml:space="preserve"> </w:t>
      </w:r>
      <w:r w:rsidR="0017531D" w:rsidRPr="0061543B">
        <w:t>2</w:t>
      </w:r>
      <w:r w:rsidRPr="0061543B">
        <w:t>6</w:t>
      </w:r>
      <w:r w:rsidR="0017531D" w:rsidRPr="0061543B">
        <w:t xml:space="preserve"> </w:t>
      </w:r>
      <w:r w:rsidRPr="0061543B">
        <w:t>February</w:t>
      </w:r>
      <w:r w:rsidR="0017531D" w:rsidRPr="0061543B">
        <w:t xml:space="preserve">–1 </w:t>
      </w:r>
      <w:r w:rsidRPr="0061543B">
        <w:t>March</w:t>
      </w:r>
      <w:r w:rsidR="0017531D" w:rsidRPr="0061543B">
        <w:t xml:space="preserve"> 202</w:t>
      </w:r>
      <w:r w:rsidRPr="0061543B">
        <w:t>4</w:t>
      </w:r>
    </w:p>
    <w:bookmarkEnd w:id="0"/>
    <w:p w14:paraId="0D97DCB6" w14:textId="763F6526" w:rsidR="00A96B21" w:rsidRPr="0061543B" w:rsidRDefault="00000000" w:rsidP="001D5473">
      <w:pPr>
        <w:pStyle w:val="Title"/>
        <w:jc w:val="left"/>
      </w:pPr>
      <w:sdt>
        <w:sdtPr>
          <w:alias w:val="Title"/>
          <w:tag w:val=""/>
          <w:id w:val="-1975355689"/>
          <w:placeholder>
            <w:docPart w:val="5974F26E14614BC5B6C202D6AA72BA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F11D3" w:rsidRPr="0061543B">
            <w:t xml:space="preserve">Report of the Technical Expert Group on Financial Reporting on its </w:t>
          </w:r>
          <w:r w:rsidR="00F157CE" w:rsidRPr="0061543B">
            <w:t>second</w:t>
          </w:r>
          <w:r w:rsidR="00BF11D3" w:rsidRPr="0061543B">
            <w:t xml:space="preserve"> meeting</w:t>
          </w:r>
        </w:sdtContent>
      </w:sdt>
    </w:p>
    <w:tbl>
      <w:tblPr>
        <w:tblW w:w="9716" w:type="dxa"/>
        <w:tblInd w:w="139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</w:tblGrid>
      <w:tr w:rsidR="00E172DE" w:rsidRPr="0061543B" w14:paraId="72FFAE5D" w14:textId="77777777" w:rsidTr="00501C6D">
        <w:tc>
          <w:tcPr>
            <w:tcW w:w="97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F94CAF" w14:textId="05851746" w:rsidR="00E172DE" w:rsidRPr="0061543B" w:rsidRDefault="00E172DE" w:rsidP="00501C6D">
            <w:pPr>
              <w:tabs>
                <w:tab w:val="left" w:pos="240"/>
              </w:tabs>
              <w:spacing w:before="240" w:after="120"/>
              <w:ind w:left="567"/>
              <w:rPr>
                <w:i/>
                <w:sz w:val="24"/>
              </w:rPr>
            </w:pPr>
            <w:r w:rsidRPr="0061543B">
              <w:rPr>
                <w:i/>
                <w:iCs/>
                <w:sz w:val="24"/>
              </w:rPr>
              <w:t>Background</w:t>
            </w:r>
          </w:p>
        </w:tc>
      </w:tr>
      <w:tr w:rsidR="00E172DE" w:rsidRPr="0061543B" w14:paraId="4F52BEA1" w14:textId="77777777" w:rsidTr="00501C6D">
        <w:tc>
          <w:tcPr>
            <w:tcW w:w="97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D108FD" w14:textId="16681F02" w:rsidR="00926BBA" w:rsidRPr="0061543B" w:rsidRDefault="00E172DE" w:rsidP="00501C6D">
            <w:pPr>
              <w:spacing w:before="120" w:after="120"/>
              <w:ind w:left="562" w:right="362" w:firstLine="572"/>
              <w:rPr>
                <w:szCs w:val="22"/>
              </w:rPr>
            </w:pPr>
            <w:r w:rsidRPr="0061543B">
              <w:rPr>
                <w:szCs w:val="22"/>
              </w:rPr>
              <w:t xml:space="preserve">The </w:t>
            </w:r>
            <w:r w:rsidRPr="00501C6D">
              <w:rPr>
                <w:szCs w:val="22"/>
              </w:rPr>
              <w:t xml:space="preserve">Conference of the Parties </w:t>
            </w:r>
            <w:r w:rsidR="00B81593" w:rsidRPr="00501C6D">
              <w:rPr>
                <w:szCs w:val="22"/>
              </w:rPr>
              <w:t>to the Convention on Biological Diversity</w:t>
            </w:r>
            <w:r w:rsidR="00B81593" w:rsidRPr="0061543B">
              <w:rPr>
                <w:szCs w:val="22"/>
              </w:rPr>
              <w:t xml:space="preserve"> </w:t>
            </w:r>
            <w:r w:rsidRPr="0061543B">
              <w:rPr>
                <w:szCs w:val="22"/>
              </w:rPr>
              <w:t xml:space="preserve">established the Technical Expert Group on Financial Reporting in its decision </w:t>
            </w:r>
            <w:hyperlink r:id="rId14" w:history="1">
              <w:r w:rsidRPr="00501C6D">
                <w:rPr>
                  <w:rStyle w:val="Hyperlink"/>
                  <w:szCs w:val="22"/>
                </w:rPr>
                <w:t>15/7</w:t>
              </w:r>
            </w:hyperlink>
            <w:r w:rsidRPr="0061543B">
              <w:rPr>
                <w:szCs w:val="22"/>
              </w:rPr>
              <w:t xml:space="preserve">, on resource mobilization. The Group </w:t>
            </w:r>
            <w:r w:rsidR="2C5B3B9E" w:rsidRPr="0061543B">
              <w:rPr>
                <w:szCs w:val="22"/>
              </w:rPr>
              <w:t xml:space="preserve">held </w:t>
            </w:r>
            <w:r w:rsidR="000131B9" w:rsidRPr="0061543B">
              <w:rPr>
                <w:szCs w:val="22"/>
              </w:rPr>
              <w:t xml:space="preserve">its first </w:t>
            </w:r>
            <w:r w:rsidRPr="0061543B">
              <w:rPr>
                <w:szCs w:val="22"/>
              </w:rPr>
              <w:t xml:space="preserve">meeting </w:t>
            </w:r>
            <w:r w:rsidR="00996DDF" w:rsidRPr="0061543B">
              <w:rPr>
                <w:szCs w:val="22"/>
              </w:rPr>
              <w:t xml:space="preserve">from </w:t>
            </w:r>
            <w:r w:rsidR="004F5A95" w:rsidRPr="0061543B">
              <w:rPr>
                <w:szCs w:val="22"/>
              </w:rPr>
              <w:t xml:space="preserve">27 </w:t>
            </w:r>
            <w:r w:rsidR="21DD1C2C" w:rsidRPr="0061543B">
              <w:rPr>
                <w:szCs w:val="22"/>
              </w:rPr>
              <w:t xml:space="preserve">November </w:t>
            </w:r>
            <w:r w:rsidR="00996DDF" w:rsidRPr="0061543B">
              <w:rPr>
                <w:szCs w:val="22"/>
              </w:rPr>
              <w:t>to</w:t>
            </w:r>
            <w:r w:rsidR="004F5A95" w:rsidRPr="0061543B">
              <w:rPr>
                <w:szCs w:val="22"/>
              </w:rPr>
              <w:t xml:space="preserve"> 1 December</w:t>
            </w:r>
            <w:r w:rsidRPr="0061543B">
              <w:rPr>
                <w:szCs w:val="22"/>
              </w:rPr>
              <w:t xml:space="preserve"> 2023, </w:t>
            </w:r>
            <w:r w:rsidR="009D1A17" w:rsidRPr="0061543B">
              <w:rPr>
                <w:szCs w:val="22"/>
              </w:rPr>
              <w:t xml:space="preserve">at which </w:t>
            </w:r>
            <w:r w:rsidR="02CE3A67" w:rsidRPr="0061543B">
              <w:rPr>
                <w:szCs w:val="22"/>
              </w:rPr>
              <w:t xml:space="preserve">its members decided to create subgroups to develop </w:t>
            </w:r>
            <w:r w:rsidR="4803C7A2" w:rsidRPr="0061543B">
              <w:rPr>
                <w:szCs w:val="22"/>
              </w:rPr>
              <w:t>draft deliverables</w:t>
            </w:r>
            <w:r w:rsidR="02CE3A67" w:rsidRPr="0061543B">
              <w:rPr>
                <w:szCs w:val="22"/>
              </w:rPr>
              <w:t xml:space="preserve"> for each of the five indicators under its mandate.</w:t>
            </w:r>
            <w:r w:rsidR="006B2E5E" w:rsidRPr="0061543B">
              <w:rPr>
                <w:rStyle w:val="FootnoteReference"/>
                <w:szCs w:val="22"/>
              </w:rPr>
              <w:footnoteReference w:id="2"/>
            </w:r>
            <w:r w:rsidR="02CE3A67" w:rsidRPr="0061543B">
              <w:rPr>
                <w:szCs w:val="22"/>
              </w:rPr>
              <w:t xml:space="preserve"> This </w:t>
            </w:r>
            <w:r w:rsidR="007F7237" w:rsidRPr="0061543B">
              <w:rPr>
                <w:szCs w:val="22"/>
              </w:rPr>
              <w:t>subdivision of work</w:t>
            </w:r>
            <w:r w:rsidR="0054402B" w:rsidRPr="0061543B">
              <w:rPr>
                <w:szCs w:val="22"/>
              </w:rPr>
              <w:t xml:space="preserve"> </w:t>
            </w:r>
            <w:r w:rsidR="02CE3A67" w:rsidRPr="0061543B">
              <w:rPr>
                <w:szCs w:val="22"/>
              </w:rPr>
              <w:t xml:space="preserve">was taken into </w:t>
            </w:r>
            <w:r w:rsidRPr="0061543B">
              <w:rPr>
                <w:szCs w:val="22"/>
              </w:rPr>
              <w:t xml:space="preserve">consideration in the agenda and organization of work for the </w:t>
            </w:r>
            <w:r w:rsidR="001C6EB0" w:rsidRPr="0061543B">
              <w:rPr>
                <w:szCs w:val="22"/>
              </w:rPr>
              <w:t>present</w:t>
            </w:r>
            <w:r w:rsidRPr="0061543B">
              <w:rPr>
                <w:szCs w:val="22"/>
              </w:rPr>
              <w:t xml:space="preserve"> meeting, held with financial support from the European Union and the United Kingdom of Great Britain and Northern Ireland.</w:t>
            </w:r>
            <w:r w:rsidR="399610A3" w:rsidRPr="0061543B">
              <w:rPr>
                <w:szCs w:val="22"/>
              </w:rPr>
              <w:t xml:space="preserve"> </w:t>
            </w:r>
          </w:p>
        </w:tc>
      </w:tr>
      <w:tr w:rsidR="00E172DE" w:rsidRPr="0061543B" w14:paraId="181A6313" w14:textId="77777777" w:rsidTr="00501C6D">
        <w:tc>
          <w:tcPr>
            <w:tcW w:w="97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15D5" w14:textId="77777777" w:rsidR="00E172DE" w:rsidRPr="0061543B" w:rsidRDefault="00E172DE"/>
        </w:tc>
      </w:tr>
    </w:tbl>
    <w:p w14:paraId="10528581" w14:textId="77777777" w:rsidR="00E172DE" w:rsidRPr="0061543B" w:rsidRDefault="00E172DE" w:rsidP="00E172DE"/>
    <w:p w14:paraId="63AC7C00" w14:textId="77777777" w:rsidR="00E172DE" w:rsidRPr="0061543B" w:rsidRDefault="00E172DE" w:rsidP="00E172DE"/>
    <w:p w14:paraId="30D80DD4" w14:textId="77777777" w:rsidR="00A47296" w:rsidRPr="0061543B" w:rsidRDefault="00A47296" w:rsidP="001D5473">
      <w:pPr>
        <w:rPr>
          <w:b/>
          <w:bCs/>
        </w:rPr>
        <w:sectPr w:rsidR="00A47296" w:rsidRPr="0061543B" w:rsidSect="0064522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034B90AB" w14:textId="03BAAC0F" w:rsidR="00185F6E" w:rsidRPr="0061543B" w:rsidRDefault="00185F6E" w:rsidP="001D5473">
      <w:pPr>
        <w:keepNext/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lastRenderedPageBreak/>
        <w:t>Item</w:t>
      </w:r>
      <w:r w:rsidRPr="0061543B">
        <w:rPr>
          <w:b/>
          <w:spacing w:val="-4"/>
          <w:sz w:val="24"/>
        </w:rPr>
        <w:t xml:space="preserve"> </w:t>
      </w:r>
      <w:r w:rsidRPr="0061543B">
        <w:rPr>
          <w:b/>
          <w:spacing w:val="-10"/>
          <w:sz w:val="24"/>
        </w:rPr>
        <w:t>1</w:t>
      </w:r>
    </w:p>
    <w:p w14:paraId="04F999EF" w14:textId="77777777" w:rsidR="00185F6E" w:rsidRPr="0061543B" w:rsidRDefault="00185F6E" w:rsidP="001D5473">
      <w:pPr>
        <w:keepNext/>
        <w:rPr>
          <w:b/>
          <w:spacing w:val="-2"/>
          <w:sz w:val="24"/>
        </w:rPr>
      </w:pPr>
      <w:r w:rsidRPr="0061543B">
        <w:rPr>
          <w:b/>
          <w:sz w:val="24"/>
        </w:rPr>
        <w:t>Opening</w:t>
      </w:r>
      <w:r w:rsidRPr="0061543B">
        <w:rPr>
          <w:b/>
          <w:spacing w:val="-2"/>
          <w:sz w:val="24"/>
        </w:rPr>
        <w:t xml:space="preserve"> </w:t>
      </w:r>
      <w:r w:rsidRPr="0061543B">
        <w:rPr>
          <w:b/>
          <w:sz w:val="24"/>
        </w:rPr>
        <w:t>of the</w:t>
      </w:r>
      <w:r w:rsidRPr="0061543B">
        <w:rPr>
          <w:b/>
          <w:spacing w:val="-1"/>
          <w:sz w:val="24"/>
        </w:rPr>
        <w:t xml:space="preserve"> </w:t>
      </w:r>
      <w:r w:rsidRPr="0061543B">
        <w:rPr>
          <w:b/>
          <w:spacing w:val="-2"/>
          <w:sz w:val="24"/>
        </w:rPr>
        <w:t>meeting</w:t>
      </w:r>
    </w:p>
    <w:p w14:paraId="42F4897A" w14:textId="410AF49D" w:rsidR="00185F6E" w:rsidRPr="0061543B" w:rsidRDefault="00260041" w:rsidP="00F31A26">
      <w:pPr>
        <w:pStyle w:val="Para1"/>
      </w:pPr>
      <w:r w:rsidRPr="0061543B">
        <w:t xml:space="preserve">The </w:t>
      </w:r>
      <w:r w:rsidR="008746E1" w:rsidRPr="0061543B">
        <w:t>meeting</w:t>
      </w:r>
      <w:r w:rsidRPr="0061543B">
        <w:t xml:space="preserve"> was opened</w:t>
      </w:r>
      <w:r w:rsidR="00BE0C0A" w:rsidRPr="0061543B">
        <w:t xml:space="preserve"> at </w:t>
      </w:r>
      <w:r w:rsidR="00F157CE" w:rsidRPr="0061543B">
        <w:t>10</w:t>
      </w:r>
      <w:r w:rsidR="000B71CC" w:rsidRPr="0061543B">
        <w:t xml:space="preserve"> a.m. </w:t>
      </w:r>
      <w:r w:rsidR="00BF0D73" w:rsidRPr="0061543B">
        <w:t xml:space="preserve">on </w:t>
      </w:r>
      <w:r w:rsidR="008638CA" w:rsidRPr="0061543B">
        <w:t>2</w:t>
      </w:r>
      <w:r w:rsidR="00F157CE" w:rsidRPr="0061543B">
        <w:t>6</w:t>
      </w:r>
      <w:r w:rsidR="008638CA" w:rsidRPr="0061543B">
        <w:t xml:space="preserve"> </w:t>
      </w:r>
      <w:r w:rsidR="00F157CE" w:rsidRPr="0061543B">
        <w:t>February</w:t>
      </w:r>
      <w:r w:rsidR="008638CA" w:rsidRPr="0061543B">
        <w:t xml:space="preserve"> 202</w:t>
      </w:r>
      <w:r w:rsidR="00F157CE" w:rsidRPr="0061543B">
        <w:t>4</w:t>
      </w:r>
      <w:r w:rsidR="00270157" w:rsidRPr="0061543B">
        <w:t xml:space="preserve"> by </w:t>
      </w:r>
      <w:r w:rsidR="00D45ADB" w:rsidRPr="0061543B">
        <w:t xml:space="preserve">a </w:t>
      </w:r>
      <w:r w:rsidR="701D1D45" w:rsidRPr="0061543B">
        <w:t xml:space="preserve">representative of the Secretariat and the </w:t>
      </w:r>
      <w:r w:rsidR="00F157CE" w:rsidRPr="0061543B">
        <w:t>Co-Chairs of the Technical Expert Group on Financial Reporting</w:t>
      </w:r>
      <w:r w:rsidR="00463B76" w:rsidRPr="0061543B">
        <w:t xml:space="preserve">. </w:t>
      </w:r>
    </w:p>
    <w:p w14:paraId="6A443875" w14:textId="1814AA24" w:rsidR="00793D0A" w:rsidRPr="0061543B" w:rsidRDefault="13494F8D" w:rsidP="00F31A26">
      <w:pPr>
        <w:pStyle w:val="Para1"/>
      </w:pPr>
      <w:r w:rsidRPr="0061543B">
        <w:t xml:space="preserve">A representative </w:t>
      </w:r>
      <w:r w:rsidR="00C9445D" w:rsidRPr="0061543B">
        <w:t xml:space="preserve">of </w:t>
      </w:r>
      <w:r w:rsidR="002020EE" w:rsidRPr="00501C6D">
        <w:rPr>
          <w:rFonts w:eastAsia="Calibri"/>
        </w:rPr>
        <w:t xml:space="preserve">the Biodiversity Finance Initiative </w:t>
      </w:r>
      <w:r w:rsidR="00101B16" w:rsidRPr="0061543B">
        <w:t xml:space="preserve">of the </w:t>
      </w:r>
      <w:r w:rsidR="00F157CE" w:rsidRPr="00501C6D">
        <w:t>United Nations Development Programme</w:t>
      </w:r>
      <w:r w:rsidR="0099533B" w:rsidRPr="0061543B">
        <w:t xml:space="preserve"> provided opening remarks</w:t>
      </w:r>
      <w:r w:rsidR="00277C17" w:rsidRPr="0061543B">
        <w:t>.</w:t>
      </w:r>
    </w:p>
    <w:p w14:paraId="0FE164CE" w14:textId="459425C5" w:rsidR="00AE1A1E" w:rsidRPr="0061543B" w:rsidRDefault="00AE1A1E" w:rsidP="001D5473">
      <w:pPr>
        <w:keepNext/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t>Item</w:t>
      </w:r>
      <w:r w:rsidRPr="0061543B">
        <w:rPr>
          <w:b/>
          <w:spacing w:val="-4"/>
          <w:sz w:val="24"/>
        </w:rPr>
        <w:t xml:space="preserve"> </w:t>
      </w:r>
      <w:r w:rsidRPr="0061543B">
        <w:rPr>
          <w:b/>
          <w:spacing w:val="-10"/>
          <w:sz w:val="24"/>
        </w:rPr>
        <w:t>2</w:t>
      </w:r>
    </w:p>
    <w:p w14:paraId="4853B183" w14:textId="3C44CBA1" w:rsidR="00B2745D" w:rsidRPr="0061543B" w:rsidRDefault="00AE1A1E" w:rsidP="001D5473">
      <w:pPr>
        <w:keepNext/>
        <w:rPr>
          <w:b/>
          <w:sz w:val="24"/>
        </w:rPr>
      </w:pPr>
      <w:r w:rsidRPr="0061543B">
        <w:rPr>
          <w:b/>
          <w:sz w:val="24"/>
        </w:rPr>
        <w:t xml:space="preserve">Organizational </w:t>
      </w:r>
      <w:r w:rsidR="00CF3023" w:rsidRPr="0061543B">
        <w:rPr>
          <w:b/>
          <w:sz w:val="24"/>
        </w:rPr>
        <w:t>m</w:t>
      </w:r>
      <w:r w:rsidR="00D53057" w:rsidRPr="0061543B">
        <w:rPr>
          <w:b/>
          <w:sz w:val="24"/>
        </w:rPr>
        <w:t>atters</w:t>
      </w:r>
      <w:r w:rsidR="001B46E9" w:rsidRPr="0061543B">
        <w:rPr>
          <w:b/>
          <w:sz w:val="24"/>
        </w:rPr>
        <w:t xml:space="preserve">: adoption of the agenda and </w:t>
      </w:r>
      <w:r w:rsidR="00F74847" w:rsidRPr="0061543B">
        <w:rPr>
          <w:b/>
          <w:sz w:val="24"/>
        </w:rPr>
        <w:t>organization of work</w:t>
      </w:r>
      <w:r w:rsidR="00264168" w:rsidRPr="0061543B">
        <w:rPr>
          <w:b/>
          <w:sz w:val="24"/>
        </w:rPr>
        <w:t xml:space="preserve"> </w:t>
      </w:r>
    </w:p>
    <w:p w14:paraId="09765E21" w14:textId="61AFD8BE" w:rsidR="6BD67A85" w:rsidRPr="0061543B" w:rsidRDefault="6BD67A85" w:rsidP="0087666A">
      <w:pPr>
        <w:pStyle w:val="Para1"/>
      </w:pPr>
      <w:r w:rsidRPr="0061543B">
        <w:t>T</w:t>
      </w:r>
      <w:r w:rsidR="6660D47B" w:rsidRPr="0061543B">
        <w:t xml:space="preserve">he provisional agenda </w:t>
      </w:r>
      <w:r w:rsidR="11BDA579" w:rsidRPr="0061543B">
        <w:t>for the meeting</w:t>
      </w:r>
      <w:r w:rsidR="6660D47B" w:rsidRPr="0061543B">
        <w:t>, as</w:t>
      </w:r>
      <w:r w:rsidR="0A3A9088" w:rsidRPr="0061543B">
        <w:t xml:space="preserve"> contained in document </w:t>
      </w:r>
      <w:hyperlink r:id="rId20" w:history="1">
        <w:r w:rsidR="0A3A9088" w:rsidRPr="00501C6D">
          <w:rPr>
            <w:rStyle w:val="Hyperlink"/>
          </w:rPr>
          <w:t>CBD/FM/TEG/2024/1/1</w:t>
        </w:r>
      </w:hyperlink>
      <w:r w:rsidR="0A3A9088" w:rsidRPr="0061543B">
        <w:t xml:space="preserve">, was adopted by the </w:t>
      </w:r>
      <w:r w:rsidR="00897B5A" w:rsidRPr="0061543B">
        <w:t>Technical Expert Group</w:t>
      </w:r>
      <w:r w:rsidR="13FF44E4" w:rsidRPr="0061543B">
        <w:t>.</w:t>
      </w:r>
    </w:p>
    <w:p w14:paraId="1ACFF03B" w14:textId="701A9B55" w:rsidR="00E81B7D" w:rsidRPr="0061543B" w:rsidRDefault="00B37122" w:rsidP="00355EA9">
      <w:pPr>
        <w:pStyle w:val="Para1"/>
      </w:pPr>
      <w:r w:rsidRPr="0061543B">
        <w:t xml:space="preserve">The </w:t>
      </w:r>
      <w:r w:rsidR="00415C6D" w:rsidRPr="0061543B">
        <w:t>Technical Expert Group</w:t>
      </w:r>
      <w:r w:rsidR="00415C6D" w:rsidRPr="0061543B" w:rsidDel="00415C6D">
        <w:t xml:space="preserve"> </w:t>
      </w:r>
      <w:r w:rsidRPr="0061543B">
        <w:t>approved the organization of work</w:t>
      </w:r>
      <w:r w:rsidRPr="0061543B">
        <w:rPr>
          <w:szCs w:val="22"/>
        </w:rPr>
        <w:t xml:space="preserve"> </w:t>
      </w:r>
      <w:r w:rsidR="32F535DB" w:rsidRPr="0061543B">
        <w:rPr>
          <w:szCs w:val="22"/>
        </w:rPr>
        <w:t xml:space="preserve">provided in the annex to document </w:t>
      </w:r>
      <w:hyperlink r:id="rId21" w:history="1">
        <w:r w:rsidR="32F535DB" w:rsidRPr="00501C6D">
          <w:rPr>
            <w:rStyle w:val="Hyperlink"/>
            <w:szCs w:val="22"/>
          </w:rPr>
          <w:t>CBD/FM/TEG/2024/1/1/Add.1</w:t>
        </w:r>
      </w:hyperlink>
      <w:r w:rsidR="32F535DB" w:rsidRPr="0061543B">
        <w:rPr>
          <w:szCs w:val="22"/>
        </w:rPr>
        <w:t>.</w:t>
      </w:r>
    </w:p>
    <w:p w14:paraId="0E2FFDD3" w14:textId="7054F4DF" w:rsidR="00F70702" w:rsidRPr="0061543B" w:rsidRDefault="00F70702" w:rsidP="00C5204A">
      <w:pPr>
        <w:keepNext/>
        <w:keepLines/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t>Item</w:t>
      </w:r>
      <w:r w:rsidRPr="0061543B">
        <w:rPr>
          <w:b/>
          <w:spacing w:val="-4"/>
          <w:sz w:val="24"/>
        </w:rPr>
        <w:t xml:space="preserve"> </w:t>
      </w:r>
      <w:r w:rsidR="001532F4" w:rsidRPr="0061543B">
        <w:rPr>
          <w:b/>
          <w:spacing w:val="-10"/>
          <w:sz w:val="24"/>
        </w:rPr>
        <w:t>3</w:t>
      </w:r>
    </w:p>
    <w:p w14:paraId="60065869" w14:textId="72F78478" w:rsidR="00D6152B" w:rsidRPr="0061543B" w:rsidRDefault="00F157CE" w:rsidP="00C5204A">
      <w:pPr>
        <w:keepNext/>
        <w:keepLines/>
        <w:rPr>
          <w:b/>
          <w:sz w:val="24"/>
        </w:rPr>
      </w:pPr>
      <w:r w:rsidRPr="0061543B">
        <w:rPr>
          <w:b/>
          <w:bCs/>
          <w:sz w:val="24"/>
        </w:rPr>
        <w:t xml:space="preserve">Update on the </w:t>
      </w:r>
      <w:r w:rsidR="00264168" w:rsidRPr="0061543B">
        <w:rPr>
          <w:b/>
          <w:bCs/>
          <w:sz w:val="24"/>
        </w:rPr>
        <w:t xml:space="preserve">work of the Ad Hoc Technical Expert Group on Indicators for the </w:t>
      </w:r>
      <w:r w:rsidR="00264168" w:rsidRPr="00501C6D">
        <w:rPr>
          <w:b/>
          <w:bCs/>
          <w:sz w:val="24"/>
        </w:rPr>
        <w:t>Kunming-Montreal Global Biodiversity Framework</w:t>
      </w:r>
      <w:r w:rsidR="00264168" w:rsidRPr="0061543B">
        <w:rPr>
          <w:b/>
          <w:bCs/>
          <w:sz w:val="24"/>
        </w:rPr>
        <w:t xml:space="preserve"> and planned coordination of work</w:t>
      </w:r>
      <w:r w:rsidR="001532F4" w:rsidRPr="0061543B">
        <w:rPr>
          <w:b/>
          <w:bCs/>
          <w:sz w:val="24"/>
        </w:rPr>
        <w:t xml:space="preserve"> </w:t>
      </w:r>
    </w:p>
    <w:p w14:paraId="5A69B807" w14:textId="37B7D184" w:rsidR="00DB7F51" w:rsidRPr="0061543B" w:rsidRDefault="724A0C8E" w:rsidP="00C5218C">
      <w:pPr>
        <w:pStyle w:val="Para1"/>
        <w:keepNext/>
        <w:keepLines/>
        <w:spacing w:before="123"/>
      </w:pPr>
      <w:r w:rsidRPr="0061543B">
        <w:t xml:space="preserve">A representative of the Secretariat provided an update on progress in the overarching work of the </w:t>
      </w:r>
      <w:r w:rsidR="00922205" w:rsidRPr="0061543B">
        <w:t xml:space="preserve">Ad </w:t>
      </w:r>
      <w:r w:rsidR="00812E58" w:rsidRPr="0061543B">
        <w:t>H</w:t>
      </w:r>
      <w:r w:rsidR="00922205" w:rsidRPr="0061543B">
        <w:t xml:space="preserve">oc Technical </w:t>
      </w:r>
      <w:r w:rsidRPr="0061543B">
        <w:t>Expert Group on Indicators and on the planned coordination of work</w:t>
      </w:r>
      <w:r w:rsidR="543B9B00" w:rsidRPr="0061543B">
        <w:t xml:space="preserve"> with the Technical Expert Group</w:t>
      </w:r>
      <w:r w:rsidR="003765EE" w:rsidRPr="0061543B">
        <w:t xml:space="preserve"> on Financial Reporting</w:t>
      </w:r>
      <w:r w:rsidRPr="0061543B">
        <w:t xml:space="preserve">. </w:t>
      </w:r>
      <w:r w:rsidR="00C5218C">
        <w:t>Sh</w:t>
      </w:r>
      <w:r w:rsidR="008113E2">
        <w:t>e</w:t>
      </w:r>
      <w:r w:rsidRPr="0061543B">
        <w:t xml:space="preserve"> </w:t>
      </w:r>
      <w:r w:rsidR="00C5218C">
        <w:t xml:space="preserve">presented </w:t>
      </w:r>
      <w:r w:rsidR="00735E67" w:rsidRPr="0061543B">
        <w:t xml:space="preserve">the </w:t>
      </w:r>
      <w:r w:rsidR="0B8B82CD" w:rsidRPr="0061543B">
        <w:t xml:space="preserve">deliverables </w:t>
      </w:r>
      <w:r w:rsidR="00735E67" w:rsidRPr="0061543B">
        <w:t xml:space="preserve">that </w:t>
      </w:r>
      <w:r w:rsidR="0C8E04EF" w:rsidRPr="0061543B">
        <w:t xml:space="preserve">the Ad Hoc Technical Expert Group on Indicators </w:t>
      </w:r>
      <w:r w:rsidR="00735E67" w:rsidRPr="0061543B">
        <w:t>wa</w:t>
      </w:r>
      <w:r w:rsidR="4C24D810" w:rsidRPr="0061543B">
        <w:t xml:space="preserve">s expected to provide </w:t>
      </w:r>
      <w:r w:rsidR="00735E67" w:rsidRPr="0061543B">
        <w:t xml:space="preserve">for </w:t>
      </w:r>
      <w:r w:rsidR="4C24D810" w:rsidRPr="0061543B">
        <w:t xml:space="preserve">the twenty-sixth meeting of the </w:t>
      </w:r>
      <w:r w:rsidR="4C24D810" w:rsidRPr="00501C6D">
        <w:t xml:space="preserve">Subsidiary Body on </w:t>
      </w:r>
      <w:r w:rsidR="0DFC1640" w:rsidRPr="00501C6D">
        <w:t>Scientific, Technical and Technological Advice</w:t>
      </w:r>
      <w:r w:rsidR="4F89DFA8" w:rsidRPr="0061543B">
        <w:t xml:space="preserve">, </w:t>
      </w:r>
      <w:r w:rsidR="00644D34" w:rsidRPr="0061543B">
        <w:t xml:space="preserve">as well as </w:t>
      </w:r>
      <w:r w:rsidR="4F89DFA8" w:rsidRPr="0061543B">
        <w:t xml:space="preserve">the general points </w:t>
      </w:r>
      <w:r w:rsidR="71C0FBD9" w:rsidRPr="0061543B">
        <w:t>of the</w:t>
      </w:r>
      <w:r w:rsidR="2C589CB4" w:rsidRPr="0061543B">
        <w:t xml:space="preserve"> expected</w:t>
      </w:r>
      <w:r w:rsidR="71C0FBD9" w:rsidRPr="0061543B">
        <w:t xml:space="preserve"> recommendation </w:t>
      </w:r>
      <w:r w:rsidR="00644D34" w:rsidRPr="0061543B">
        <w:t xml:space="preserve">of the Subsidiary Body </w:t>
      </w:r>
      <w:r w:rsidR="71C0FBD9" w:rsidRPr="0061543B">
        <w:t xml:space="preserve">to the Conference of the Parties on </w:t>
      </w:r>
      <w:r w:rsidR="641B9DC3" w:rsidRPr="0061543B">
        <w:t xml:space="preserve">the monitoring framework </w:t>
      </w:r>
      <w:r w:rsidR="02420C6B" w:rsidRPr="0061543B">
        <w:t xml:space="preserve">for the </w:t>
      </w:r>
      <w:r w:rsidR="02420C6B" w:rsidRPr="00501C6D">
        <w:t>Kunming-Montreal Global Biodiversity Framework</w:t>
      </w:r>
      <w:r w:rsidR="02420C6B" w:rsidRPr="0061543B">
        <w:t xml:space="preserve">. </w:t>
      </w:r>
    </w:p>
    <w:p w14:paraId="2E5B67A9" w14:textId="4CBF7593" w:rsidR="00DB7F51" w:rsidRPr="0061543B" w:rsidRDefault="00DB7F51" w:rsidP="2FDB304F">
      <w:pPr>
        <w:keepNext/>
        <w:keepLines/>
        <w:spacing w:before="123"/>
        <w:rPr>
          <w:b/>
          <w:bCs/>
          <w:sz w:val="24"/>
        </w:rPr>
      </w:pPr>
      <w:r w:rsidRPr="0061543B">
        <w:rPr>
          <w:b/>
          <w:bCs/>
          <w:sz w:val="24"/>
        </w:rPr>
        <w:t>Item</w:t>
      </w:r>
      <w:r w:rsidRPr="0061543B">
        <w:rPr>
          <w:b/>
          <w:bCs/>
          <w:spacing w:val="-4"/>
          <w:sz w:val="24"/>
        </w:rPr>
        <w:t xml:space="preserve"> </w:t>
      </w:r>
      <w:r w:rsidR="00D91EE4" w:rsidRPr="0061543B">
        <w:rPr>
          <w:b/>
          <w:bCs/>
          <w:spacing w:val="-10"/>
          <w:sz w:val="24"/>
        </w:rPr>
        <w:t>4</w:t>
      </w:r>
    </w:p>
    <w:p w14:paraId="03A4947E" w14:textId="7038C37C" w:rsidR="00DB7F51" w:rsidRPr="0061543B" w:rsidRDefault="00264168" w:rsidP="00840B1F">
      <w:pPr>
        <w:keepNext/>
        <w:keepLines/>
        <w:rPr>
          <w:b/>
          <w:sz w:val="24"/>
        </w:rPr>
      </w:pPr>
      <w:r w:rsidRPr="0061543B">
        <w:rPr>
          <w:b/>
          <w:sz w:val="24"/>
        </w:rPr>
        <w:t>Review and finalization of the work of the subgroups</w:t>
      </w:r>
    </w:p>
    <w:p w14:paraId="42F73D79" w14:textId="0F536FCD" w:rsidR="005F1F83" w:rsidRPr="0061543B" w:rsidRDefault="0BDBD964" w:rsidP="00501C6D">
      <w:pPr>
        <w:pStyle w:val="Para1"/>
        <w:numPr>
          <w:ilvl w:val="0"/>
          <w:numId w:val="0"/>
        </w:numPr>
        <w:jc w:val="left"/>
        <w:rPr>
          <w:i/>
          <w:iCs/>
        </w:rPr>
      </w:pPr>
      <w:r w:rsidRPr="0061543B">
        <w:rPr>
          <w:i/>
          <w:iCs/>
        </w:rPr>
        <w:t>Review of the work on</w:t>
      </w:r>
      <w:r w:rsidR="7EE4BCCB" w:rsidRPr="0061543B">
        <w:rPr>
          <w:i/>
          <w:iCs/>
        </w:rPr>
        <w:t xml:space="preserve"> headline indicator 18.1 (</w:t>
      </w:r>
      <w:r w:rsidR="2063C147" w:rsidRPr="0061543B">
        <w:rPr>
          <w:i/>
          <w:iCs/>
        </w:rPr>
        <w:t>positive incentives</w:t>
      </w:r>
      <w:r w:rsidR="00E25FF0" w:rsidRPr="0061543B">
        <w:t xml:space="preserve"> </w:t>
      </w:r>
      <w:r w:rsidR="00172143" w:rsidRPr="0061543B">
        <w:br/>
      </w:r>
      <w:r w:rsidR="00E25FF0" w:rsidRPr="0061543B">
        <w:rPr>
          <w:i/>
          <w:iCs/>
        </w:rPr>
        <w:t>in place to promote biodiversity conservation and sustainable use</w:t>
      </w:r>
      <w:r w:rsidR="2063C147" w:rsidRPr="0061543B">
        <w:rPr>
          <w:i/>
          <w:iCs/>
        </w:rPr>
        <w:t xml:space="preserve">) </w:t>
      </w:r>
    </w:p>
    <w:p w14:paraId="1A51C928" w14:textId="4C58A187" w:rsidR="00130805" w:rsidRPr="0061543B" w:rsidRDefault="0C8BF68A" w:rsidP="2FDB304F">
      <w:pPr>
        <w:pStyle w:val="Para1"/>
      </w:pPr>
      <w:r w:rsidRPr="0061543B">
        <w:t xml:space="preserve">The chaperone </w:t>
      </w:r>
      <w:r w:rsidR="00AD3AA1" w:rsidRPr="0061543B">
        <w:t xml:space="preserve">of the subgroup </w:t>
      </w:r>
      <w:r w:rsidRPr="0061543B">
        <w:t xml:space="preserve">responsible for headline indicator 18.1 presented the work </w:t>
      </w:r>
      <w:r w:rsidR="00BE5430" w:rsidRPr="0061543B">
        <w:t xml:space="preserve">undertaken </w:t>
      </w:r>
      <w:bookmarkStart w:id="3" w:name="_Hlk164340386"/>
      <w:r w:rsidR="00C038C5" w:rsidRPr="0061543B">
        <w:t xml:space="preserve">by the subgroup </w:t>
      </w:r>
      <w:bookmarkEnd w:id="3"/>
      <w:r w:rsidRPr="0061543B">
        <w:t>during the intersessio</w:t>
      </w:r>
      <w:r w:rsidR="6BDE6922" w:rsidRPr="0061543B">
        <w:t xml:space="preserve">nal period. </w:t>
      </w:r>
      <w:r w:rsidR="00122036" w:rsidRPr="0061543B">
        <w:t xml:space="preserve">Further to </w:t>
      </w:r>
      <w:r w:rsidR="00347682" w:rsidRPr="0061543B">
        <w:t xml:space="preserve">the subsequent discussion, </w:t>
      </w:r>
      <w:r w:rsidR="00CD3BD0" w:rsidRPr="0061543B">
        <w:t>the chaperone, in consultation with the members of the subgroup</w:t>
      </w:r>
      <w:r w:rsidR="00524BA8" w:rsidRPr="0061543B">
        <w:t>, prepared an overview table of</w:t>
      </w:r>
      <w:r w:rsidR="00AC4F03" w:rsidRPr="0061543B">
        <w:t xml:space="preserve"> proposed </w:t>
      </w:r>
      <w:r w:rsidR="00524BA8" w:rsidRPr="0061543B">
        <w:t>indicators</w:t>
      </w:r>
      <w:r w:rsidR="00AC4F03" w:rsidRPr="0061543B">
        <w:t xml:space="preserve"> and a revised </w:t>
      </w:r>
      <w:r w:rsidR="008106B2" w:rsidRPr="0061543B">
        <w:t xml:space="preserve">draft of the metadata fact sheet, for further consideration by the </w:t>
      </w:r>
      <w:r w:rsidR="006C46C7" w:rsidRPr="0061543B">
        <w:t>Technical Expert Group</w:t>
      </w:r>
      <w:r w:rsidR="008106B2" w:rsidRPr="0061543B">
        <w:t xml:space="preserve">. </w:t>
      </w:r>
    </w:p>
    <w:p w14:paraId="55A88AA4" w14:textId="1AD736E0" w:rsidR="00330DDF" w:rsidRPr="0061543B" w:rsidRDefault="00330DDF" w:rsidP="2FDB304F">
      <w:pPr>
        <w:pStyle w:val="Para1"/>
      </w:pPr>
      <w:r w:rsidRPr="00501C6D">
        <w:rPr>
          <w:color w:val="000000" w:themeColor="text1"/>
          <w:szCs w:val="22"/>
        </w:rPr>
        <w:t xml:space="preserve">The </w:t>
      </w:r>
      <w:r w:rsidR="005913CE" w:rsidRPr="0061543B">
        <w:t>Technical Expert Group</w:t>
      </w:r>
      <w:r w:rsidR="005913CE" w:rsidRPr="00501C6D" w:rsidDel="005913CE">
        <w:rPr>
          <w:color w:val="000000" w:themeColor="text1"/>
          <w:szCs w:val="22"/>
        </w:rPr>
        <w:t xml:space="preserve"> </w:t>
      </w:r>
      <w:r w:rsidRPr="00501C6D">
        <w:rPr>
          <w:color w:val="000000" w:themeColor="text1"/>
          <w:szCs w:val="22"/>
        </w:rPr>
        <w:t xml:space="preserve">decided that language consistency </w:t>
      </w:r>
      <w:r w:rsidR="005913CE" w:rsidRPr="00501C6D">
        <w:rPr>
          <w:color w:val="000000" w:themeColor="text1"/>
          <w:szCs w:val="22"/>
        </w:rPr>
        <w:t xml:space="preserve">was </w:t>
      </w:r>
      <w:r w:rsidR="001068AC" w:rsidRPr="00501C6D">
        <w:rPr>
          <w:color w:val="000000" w:themeColor="text1"/>
          <w:szCs w:val="22"/>
        </w:rPr>
        <w:t xml:space="preserve">necessary </w:t>
      </w:r>
      <w:r w:rsidRPr="00501C6D">
        <w:rPr>
          <w:color w:val="000000" w:themeColor="text1"/>
          <w:szCs w:val="22"/>
        </w:rPr>
        <w:t xml:space="preserve">among all metadata sheets. To ensure </w:t>
      </w:r>
      <w:r w:rsidR="005913CE" w:rsidRPr="00501C6D">
        <w:rPr>
          <w:color w:val="000000" w:themeColor="text1"/>
          <w:szCs w:val="22"/>
        </w:rPr>
        <w:t xml:space="preserve">that </w:t>
      </w:r>
      <w:r w:rsidRPr="00501C6D">
        <w:rPr>
          <w:color w:val="000000" w:themeColor="text1"/>
          <w:szCs w:val="22"/>
        </w:rPr>
        <w:t xml:space="preserve">definitions and language used in </w:t>
      </w:r>
      <w:r w:rsidR="009E7A79" w:rsidRPr="00501C6D">
        <w:rPr>
          <w:color w:val="000000" w:themeColor="text1"/>
          <w:szCs w:val="22"/>
        </w:rPr>
        <w:t>the</w:t>
      </w:r>
      <w:r w:rsidR="00054B38" w:rsidRPr="00501C6D">
        <w:rPr>
          <w:color w:val="000000" w:themeColor="text1"/>
          <w:szCs w:val="22"/>
        </w:rPr>
        <w:t xml:space="preserve"> </w:t>
      </w:r>
      <w:r w:rsidRPr="00501C6D">
        <w:rPr>
          <w:color w:val="000000" w:themeColor="text1"/>
          <w:szCs w:val="22"/>
        </w:rPr>
        <w:t>sheets match</w:t>
      </w:r>
      <w:r w:rsidR="005913CE" w:rsidRPr="00501C6D">
        <w:rPr>
          <w:color w:val="000000" w:themeColor="text1"/>
          <w:szCs w:val="22"/>
        </w:rPr>
        <w:t>ed</w:t>
      </w:r>
      <w:r w:rsidRPr="00501C6D">
        <w:rPr>
          <w:color w:val="000000" w:themeColor="text1"/>
          <w:szCs w:val="22"/>
        </w:rPr>
        <w:t xml:space="preserve"> </w:t>
      </w:r>
      <w:r w:rsidR="00B04746" w:rsidRPr="00501C6D">
        <w:rPr>
          <w:color w:val="000000" w:themeColor="text1"/>
          <w:szCs w:val="22"/>
        </w:rPr>
        <w:t xml:space="preserve">the </w:t>
      </w:r>
      <w:r w:rsidR="006B6B81" w:rsidRPr="00501C6D">
        <w:rPr>
          <w:color w:val="000000" w:themeColor="text1"/>
          <w:szCs w:val="22"/>
        </w:rPr>
        <w:t>agreed</w:t>
      </w:r>
      <w:r w:rsidRPr="00501C6D">
        <w:rPr>
          <w:color w:val="000000" w:themeColor="text1"/>
          <w:szCs w:val="22"/>
        </w:rPr>
        <w:t xml:space="preserve"> text, it was decided that key terms should be defined and included in the common glossary being prepared by the </w:t>
      </w:r>
      <w:r w:rsidR="00B04746" w:rsidRPr="0061543B">
        <w:t xml:space="preserve">Ad </w:t>
      </w:r>
      <w:r w:rsidR="00812E58" w:rsidRPr="0061543B">
        <w:t>H</w:t>
      </w:r>
      <w:r w:rsidR="00B04746" w:rsidRPr="0061543B">
        <w:t>oc Technical Expert Group on Indicators</w:t>
      </w:r>
      <w:r w:rsidRPr="00501C6D">
        <w:rPr>
          <w:color w:val="000000" w:themeColor="text1"/>
          <w:szCs w:val="22"/>
        </w:rPr>
        <w:t>.</w:t>
      </w:r>
    </w:p>
    <w:p w14:paraId="23454FFC" w14:textId="44B24B02" w:rsidR="00623684" w:rsidRPr="00501C6D" w:rsidRDefault="0053305C" w:rsidP="00623684">
      <w:pPr>
        <w:pStyle w:val="Para1"/>
      </w:pPr>
      <w:r w:rsidRPr="00501C6D">
        <w:t>With regard to indicators that used monetary value as a metric, t</w:t>
      </w:r>
      <w:r w:rsidR="00787986" w:rsidRPr="00501C6D">
        <w:t xml:space="preserve">he </w:t>
      </w:r>
      <w:r w:rsidR="00812E58" w:rsidRPr="0061543B">
        <w:t xml:space="preserve">Technical Expert Group </w:t>
      </w:r>
      <w:r w:rsidR="00B44398" w:rsidRPr="0061543B">
        <w:t xml:space="preserve">on Financial Reporting </w:t>
      </w:r>
      <w:r w:rsidR="00787986" w:rsidRPr="00501C6D">
        <w:t xml:space="preserve">agreed to </w:t>
      </w:r>
      <w:r w:rsidR="002F4694" w:rsidRPr="00501C6D">
        <w:t xml:space="preserve">request </w:t>
      </w:r>
      <w:r w:rsidR="00C63720" w:rsidRPr="00501C6D">
        <w:t xml:space="preserve">Parties </w:t>
      </w:r>
      <w:r w:rsidR="00DF48DE" w:rsidRPr="00501C6D">
        <w:t>to provide</w:t>
      </w:r>
      <w:r w:rsidR="00C63720" w:rsidRPr="00501C6D">
        <w:t xml:space="preserve"> amounts in </w:t>
      </w:r>
      <w:r w:rsidR="002F4694" w:rsidRPr="00501C6D">
        <w:t xml:space="preserve">their </w:t>
      </w:r>
      <w:r w:rsidR="004C2A15" w:rsidRPr="00501C6D">
        <w:t>national</w:t>
      </w:r>
      <w:r w:rsidR="00787986" w:rsidRPr="00501C6D">
        <w:t xml:space="preserve"> currenc</w:t>
      </w:r>
      <w:r w:rsidR="004C2A15" w:rsidRPr="00501C6D">
        <w:t>ies</w:t>
      </w:r>
      <w:r w:rsidR="00787986" w:rsidRPr="00501C6D">
        <w:t xml:space="preserve">. The </w:t>
      </w:r>
      <w:r w:rsidR="008052DD" w:rsidRPr="00501C6D">
        <w:t xml:space="preserve">Group </w:t>
      </w:r>
      <w:r w:rsidR="00787986" w:rsidRPr="00501C6D">
        <w:t xml:space="preserve">also proposed to include short operational guidance </w:t>
      </w:r>
      <w:r w:rsidR="00C63720" w:rsidRPr="00501C6D">
        <w:t>in the national reporting template</w:t>
      </w:r>
      <w:r w:rsidRPr="00501C6D">
        <w:t>,</w:t>
      </w:r>
      <w:r w:rsidR="00C63720" w:rsidRPr="00501C6D">
        <w:t xml:space="preserve"> with a view to facilitat</w:t>
      </w:r>
      <w:r w:rsidR="00726057" w:rsidRPr="00501C6D">
        <w:t>ing</w:t>
      </w:r>
      <w:r w:rsidR="00C63720" w:rsidRPr="00501C6D">
        <w:t xml:space="preserve"> its completion by Parties</w:t>
      </w:r>
      <w:r w:rsidR="00787986" w:rsidRPr="00501C6D">
        <w:t xml:space="preserve">. </w:t>
      </w:r>
    </w:p>
    <w:p w14:paraId="779E4149" w14:textId="06F463D9" w:rsidR="52ED5EE7" w:rsidRPr="0061543B" w:rsidRDefault="52ED5EE7" w:rsidP="00501C6D">
      <w:pPr>
        <w:pStyle w:val="Para1"/>
        <w:keepNext/>
        <w:numPr>
          <w:ilvl w:val="0"/>
          <w:numId w:val="0"/>
        </w:numPr>
        <w:jc w:val="left"/>
        <w:rPr>
          <w:i/>
          <w:iCs/>
        </w:rPr>
      </w:pPr>
      <w:r w:rsidRPr="0061543B">
        <w:rPr>
          <w:i/>
          <w:iCs/>
        </w:rPr>
        <w:t>Review of the work on headline indicator 18</w:t>
      </w:r>
      <w:r w:rsidR="61157194" w:rsidRPr="0061543B">
        <w:rPr>
          <w:i/>
          <w:iCs/>
        </w:rPr>
        <w:t>.2 (</w:t>
      </w:r>
      <w:r w:rsidR="0088542C" w:rsidRPr="0061543B">
        <w:rPr>
          <w:i/>
          <w:iCs/>
        </w:rPr>
        <w:t>v</w:t>
      </w:r>
      <w:r w:rsidR="00E51A08" w:rsidRPr="0061543B">
        <w:rPr>
          <w:i/>
          <w:iCs/>
        </w:rPr>
        <w:t xml:space="preserve">alue of subsidies and other </w:t>
      </w:r>
      <w:r w:rsidR="61157194" w:rsidRPr="0061543B">
        <w:rPr>
          <w:i/>
          <w:iCs/>
        </w:rPr>
        <w:t>incentives</w:t>
      </w:r>
      <w:r w:rsidR="00B43082" w:rsidRPr="0061543B">
        <w:rPr>
          <w:i/>
          <w:iCs/>
        </w:rPr>
        <w:t xml:space="preserve"> </w:t>
      </w:r>
      <w:r w:rsidR="00172143" w:rsidRPr="0061543B">
        <w:rPr>
          <w:i/>
          <w:iCs/>
        </w:rPr>
        <w:br/>
      </w:r>
      <w:r w:rsidR="00B43082" w:rsidRPr="0061543B">
        <w:rPr>
          <w:i/>
          <w:iCs/>
        </w:rPr>
        <w:t>harmful to biodiversity that have been eliminated, phased out or reformed</w:t>
      </w:r>
      <w:r w:rsidR="61157194" w:rsidRPr="0061543B">
        <w:rPr>
          <w:i/>
          <w:iCs/>
        </w:rPr>
        <w:t>)</w:t>
      </w:r>
    </w:p>
    <w:p w14:paraId="4B3A3EE9" w14:textId="35F7D2EF" w:rsidR="18AB4A6F" w:rsidRPr="00501C6D" w:rsidRDefault="008E5561" w:rsidP="00A341EB">
      <w:pPr>
        <w:pStyle w:val="Para1"/>
        <w:rPr>
          <w:color w:val="000000" w:themeColor="text1"/>
          <w:szCs w:val="22"/>
        </w:rPr>
      </w:pPr>
      <w:r w:rsidRPr="0061543B">
        <w:t xml:space="preserve">The chaperone </w:t>
      </w:r>
      <w:r w:rsidR="00AD3AA1" w:rsidRPr="0061543B">
        <w:t xml:space="preserve">of the subgroup </w:t>
      </w:r>
      <w:r w:rsidRPr="0061543B">
        <w:t xml:space="preserve">responsible for headline indicator 18.2 presented the work undertaken </w:t>
      </w:r>
      <w:r w:rsidR="00C038C5" w:rsidRPr="0061543B">
        <w:t xml:space="preserve">by the subgroup </w:t>
      </w:r>
      <w:r w:rsidRPr="0061543B">
        <w:t xml:space="preserve">during the intersessional period. </w:t>
      </w:r>
      <w:r w:rsidR="00AA2834" w:rsidRPr="0061543B">
        <w:t>Further to</w:t>
      </w:r>
      <w:r w:rsidRPr="0061543B">
        <w:t xml:space="preserve"> the subsequent discussion, the chaperone, in consultation with the members of the subgroup, prepared an overview table of proposed indicators and a revised draft of the metadata fact sheet, for further consideration by the </w:t>
      </w:r>
      <w:r w:rsidR="00E427A4" w:rsidRPr="0061543B">
        <w:lastRenderedPageBreak/>
        <w:t>Technical Expert Group</w:t>
      </w:r>
      <w:r w:rsidRPr="0061543B">
        <w:t>.</w:t>
      </w:r>
      <w:r w:rsidR="000C209C" w:rsidRPr="00501C6D">
        <w:rPr>
          <w:color w:val="000000" w:themeColor="text1"/>
          <w:szCs w:val="22"/>
        </w:rPr>
        <w:t xml:space="preserve"> </w:t>
      </w:r>
      <w:r w:rsidR="004315A2" w:rsidRPr="00501C6D">
        <w:rPr>
          <w:color w:val="000000" w:themeColor="text1"/>
          <w:szCs w:val="22"/>
        </w:rPr>
        <w:t xml:space="preserve">The </w:t>
      </w:r>
      <w:r w:rsidR="00C5218C">
        <w:rPr>
          <w:color w:val="000000" w:themeColor="text1"/>
          <w:szCs w:val="22"/>
        </w:rPr>
        <w:t>G</w:t>
      </w:r>
      <w:r w:rsidR="004315A2" w:rsidRPr="00501C6D">
        <w:rPr>
          <w:color w:val="000000" w:themeColor="text1"/>
          <w:szCs w:val="22"/>
        </w:rPr>
        <w:t>roup decided to propose a change to the headline indicator itse</w:t>
      </w:r>
      <w:r w:rsidR="00C5070A" w:rsidRPr="00501C6D">
        <w:rPr>
          <w:color w:val="000000" w:themeColor="text1"/>
          <w:szCs w:val="22"/>
        </w:rPr>
        <w:t xml:space="preserve">lf, </w:t>
      </w:r>
      <w:r w:rsidR="006C3224" w:rsidRPr="00501C6D">
        <w:rPr>
          <w:color w:val="000000" w:themeColor="text1"/>
          <w:szCs w:val="22"/>
        </w:rPr>
        <w:t>namely, t</w:t>
      </w:r>
      <w:r w:rsidR="00A065BF">
        <w:rPr>
          <w:color w:val="000000" w:themeColor="text1"/>
          <w:szCs w:val="22"/>
        </w:rPr>
        <w:t>he</w:t>
      </w:r>
      <w:r w:rsidR="006C3224" w:rsidRPr="00501C6D">
        <w:rPr>
          <w:color w:val="000000" w:themeColor="text1"/>
          <w:szCs w:val="22"/>
        </w:rPr>
        <w:t xml:space="preserve"> </w:t>
      </w:r>
      <w:r w:rsidR="00C5070A" w:rsidRPr="00501C6D">
        <w:rPr>
          <w:color w:val="000000" w:themeColor="text1"/>
          <w:szCs w:val="22"/>
        </w:rPr>
        <w:t>deleti</w:t>
      </w:r>
      <w:r w:rsidR="00A065BF">
        <w:rPr>
          <w:color w:val="000000" w:themeColor="text1"/>
          <w:szCs w:val="22"/>
        </w:rPr>
        <w:t>o</w:t>
      </w:r>
      <w:r w:rsidR="00C5070A" w:rsidRPr="00501C6D">
        <w:rPr>
          <w:color w:val="000000" w:themeColor="text1"/>
          <w:szCs w:val="22"/>
        </w:rPr>
        <w:t xml:space="preserve">n </w:t>
      </w:r>
      <w:r w:rsidR="00A065BF">
        <w:rPr>
          <w:color w:val="000000" w:themeColor="text1"/>
          <w:szCs w:val="22"/>
        </w:rPr>
        <w:t xml:space="preserve">of </w:t>
      </w:r>
      <w:r w:rsidR="00C5070A" w:rsidRPr="00501C6D">
        <w:rPr>
          <w:color w:val="000000" w:themeColor="text1"/>
          <w:szCs w:val="22"/>
        </w:rPr>
        <w:t>the phrase “</w:t>
      </w:r>
      <w:r w:rsidR="00927117" w:rsidRPr="0061543B">
        <w:rPr>
          <w:szCs w:val="22"/>
        </w:rPr>
        <w:t>that have been eliminated, phased ou</w:t>
      </w:r>
      <w:r w:rsidR="00F16844" w:rsidRPr="0061543B">
        <w:rPr>
          <w:szCs w:val="22"/>
        </w:rPr>
        <w:t>t</w:t>
      </w:r>
      <w:r w:rsidR="00927117" w:rsidRPr="0061543B">
        <w:rPr>
          <w:szCs w:val="22"/>
        </w:rPr>
        <w:t xml:space="preserve"> or reformed”</w:t>
      </w:r>
      <w:r w:rsidR="006C3224" w:rsidRPr="0061543B">
        <w:rPr>
          <w:szCs w:val="22"/>
        </w:rPr>
        <w:t>.</w:t>
      </w:r>
      <w:r w:rsidR="00927117" w:rsidRPr="00501C6D">
        <w:rPr>
          <w:color w:val="000000" w:themeColor="text1"/>
          <w:szCs w:val="22"/>
        </w:rPr>
        <w:t xml:space="preserve"> </w:t>
      </w:r>
      <w:r w:rsidR="00F16844" w:rsidRPr="00501C6D">
        <w:rPr>
          <w:color w:val="000000" w:themeColor="text1"/>
          <w:szCs w:val="22"/>
        </w:rPr>
        <w:t>T</w:t>
      </w:r>
      <w:r w:rsidR="000C209C" w:rsidRPr="00501C6D">
        <w:rPr>
          <w:color w:val="000000" w:themeColor="text1"/>
          <w:szCs w:val="22"/>
        </w:rPr>
        <w:t xml:space="preserve">he </w:t>
      </w:r>
      <w:r w:rsidR="00C5218C">
        <w:rPr>
          <w:color w:val="000000" w:themeColor="text1"/>
          <w:szCs w:val="22"/>
        </w:rPr>
        <w:t>G</w:t>
      </w:r>
      <w:r w:rsidR="000C209C" w:rsidRPr="00501C6D">
        <w:rPr>
          <w:color w:val="000000" w:themeColor="text1"/>
          <w:szCs w:val="22"/>
        </w:rPr>
        <w:t xml:space="preserve">roup </w:t>
      </w:r>
      <w:r w:rsidR="00F16844" w:rsidRPr="00501C6D">
        <w:rPr>
          <w:color w:val="000000" w:themeColor="text1"/>
          <w:szCs w:val="22"/>
        </w:rPr>
        <w:t xml:space="preserve">also </w:t>
      </w:r>
      <w:r w:rsidR="000C209C" w:rsidRPr="00501C6D">
        <w:rPr>
          <w:color w:val="000000" w:themeColor="text1"/>
          <w:szCs w:val="22"/>
        </w:rPr>
        <w:t>recommended the addition of a binary indicator and, for operationalization purposes, developed a metadata fact sheet for th</w:t>
      </w:r>
      <w:r w:rsidR="00651FDF" w:rsidRPr="00501C6D">
        <w:rPr>
          <w:color w:val="000000" w:themeColor="text1"/>
          <w:szCs w:val="22"/>
        </w:rPr>
        <w:t>e</w:t>
      </w:r>
      <w:r w:rsidR="000C209C" w:rsidRPr="00501C6D">
        <w:rPr>
          <w:color w:val="000000" w:themeColor="text1"/>
          <w:szCs w:val="22"/>
        </w:rPr>
        <w:t xml:space="preserve"> binary indicator</w:t>
      </w:r>
      <w:r w:rsidR="00A341EB" w:rsidRPr="00501C6D">
        <w:rPr>
          <w:color w:val="000000" w:themeColor="text1"/>
          <w:szCs w:val="22"/>
        </w:rPr>
        <w:t>.</w:t>
      </w:r>
    </w:p>
    <w:p w14:paraId="4B2044C3" w14:textId="182E695E" w:rsidR="30BC3E8D" w:rsidRPr="0061543B" w:rsidRDefault="30BC3E8D" w:rsidP="00501C6D">
      <w:pPr>
        <w:pStyle w:val="Para1"/>
        <w:numPr>
          <w:ilvl w:val="0"/>
          <w:numId w:val="0"/>
        </w:numPr>
        <w:jc w:val="left"/>
        <w:rPr>
          <w:i/>
          <w:iCs/>
        </w:rPr>
      </w:pPr>
      <w:r w:rsidRPr="0061543B">
        <w:rPr>
          <w:i/>
          <w:iCs/>
        </w:rPr>
        <w:t>Review of the work on headline indicator D.1 (international public funding</w:t>
      </w:r>
      <w:r w:rsidR="00B43082" w:rsidRPr="0061543B">
        <w:rPr>
          <w:i/>
          <w:iCs/>
        </w:rPr>
        <w:t>, including official development assistance for conservation and sustainable use of biodiversity and ecosystems</w:t>
      </w:r>
      <w:r w:rsidRPr="0061543B">
        <w:rPr>
          <w:i/>
          <w:iCs/>
        </w:rPr>
        <w:t>)</w:t>
      </w:r>
    </w:p>
    <w:p w14:paraId="0FEF0497" w14:textId="1E2DB424" w:rsidR="001B656B" w:rsidRPr="00501C6D" w:rsidRDefault="001B656B" w:rsidP="001B656B">
      <w:pPr>
        <w:pStyle w:val="Para1"/>
        <w:rPr>
          <w:color w:val="000000" w:themeColor="text1"/>
          <w:szCs w:val="22"/>
        </w:rPr>
      </w:pPr>
      <w:bookmarkStart w:id="4" w:name="_Hlk160115587"/>
      <w:r w:rsidRPr="00501C6D">
        <w:rPr>
          <w:color w:val="000000" w:themeColor="text1"/>
          <w:szCs w:val="22"/>
        </w:rPr>
        <w:t xml:space="preserve">The chaperone </w:t>
      </w:r>
      <w:r w:rsidR="00AD3AA1" w:rsidRPr="0061543B">
        <w:t xml:space="preserve">of the subgroup </w:t>
      </w:r>
      <w:r w:rsidRPr="00501C6D">
        <w:rPr>
          <w:color w:val="000000" w:themeColor="text1"/>
          <w:szCs w:val="22"/>
        </w:rPr>
        <w:t xml:space="preserve">responsible for headline indicator D.1 presented the work undertaken </w:t>
      </w:r>
      <w:r w:rsidR="00C038C5" w:rsidRPr="0061543B">
        <w:t xml:space="preserve">by the subgroup </w:t>
      </w:r>
      <w:r w:rsidRPr="00501C6D">
        <w:rPr>
          <w:color w:val="000000" w:themeColor="text1"/>
          <w:szCs w:val="22"/>
        </w:rPr>
        <w:t xml:space="preserve">during the intersessional period. </w:t>
      </w:r>
      <w:r w:rsidR="00AA2834" w:rsidRPr="00501C6D">
        <w:rPr>
          <w:color w:val="000000" w:themeColor="text1"/>
          <w:szCs w:val="22"/>
        </w:rPr>
        <w:t xml:space="preserve">Further to </w:t>
      </w:r>
      <w:r w:rsidRPr="00501C6D">
        <w:rPr>
          <w:color w:val="000000" w:themeColor="text1"/>
          <w:szCs w:val="22"/>
        </w:rPr>
        <w:t xml:space="preserve">the subsequent discussion, the chaperone, in consultation with the members of the subgroup, prepared an overview table of proposed indicators and a revised draft of the metadata fact sheet, for further consideration by the </w:t>
      </w:r>
      <w:r w:rsidR="006B2AD5" w:rsidRPr="0061543B">
        <w:t>Technical Expert Group</w:t>
      </w:r>
      <w:r w:rsidRPr="00501C6D">
        <w:rPr>
          <w:color w:val="000000" w:themeColor="text1"/>
          <w:szCs w:val="22"/>
        </w:rPr>
        <w:t xml:space="preserve">. </w:t>
      </w:r>
    </w:p>
    <w:bookmarkEnd w:id="4"/>
    <w:p w14:paraId="6C852962" w14:textId="3BB94C45" w:rsidR="00A0329C" w:rsidRPr="00501C6D" w:rsidRDefault="00A0329C" w:rsidP="00A0329C">
      <w:pPr>
        <w:pStyle w:val="Para1"/>
      </w:pPr>
      <w:r w:rsidRPr="00501C6D">
        <w:t xml:space="preserve">The </w:t>
      </w:r>
      <w:r w:rsidR="00F90F13" w:rsidRPr="0061543B">
        <w:t>Technical Expert Group</w:t>
      </w:r>
      <w:r w:rsidR="00F90F13" w:rsidRPr="00501C6D" w:rsidDel="00F90F13">
        <w:t xml:space="preserve"> </w:t>
      </w:r>
      <w:r w:rsidRPr="00501C6D">
        <w:t xml:space="preserve">considered </w:t>
      </w:r>
      <w:r w:rsidRPr="0061543B">
        <w:t xml:space="preserve">options for multilateral reporting on biodiversity and noted that collaboration with multilateral institutions (e.g. vertical funds, multilateral development banks </w:t>
      </w:r>
      <w:r w:rsidR="00243EA4" w:rsidRPr="0061543B">
        <w:t xml:space="preserve">and </w:t>
      </w:r>
      <w:r w:rsidRPr="0061543B">
        <w:t>international organi</w:t>
      </w:r>
      <w:r w:rsidR="004F672C" w:rsidRPr="0061543B">
        <w:t>z</w:t>
      </w:r>
      <w:r w:rsidRPr="0061543B">
        <w:t>ations) would be desirable.</w:t>
      </w:r>
    </w:p>
    <w:p w14:paraId="4B91764C" w14:textId="04F81D5B" w:rsidR="00A0329C" w:rsidRPr="00501C6D" w:rsidRDefault="00A0329C" w:rsidP="00A0329C">
      <w:pPr>
        <w:pStyle w:val="Para1"/>
      </w:pPr>
      <w:r w:rsidRPr="00501C6D">
        <w:t xml:space="preserve">The </w:t>
      </w:r>
      <w:r w:rsidR="00253A23" w:rsidRPr="0061543B">
        <w:t>Technical Expert Group</w:t>
      </w:r>
      <w:r w:rsidR="00253A23" w:rsidRPr="00501C6D" w:rsidDel="00253A23">
        <w:t xml:space="preserve"> </w:t>
      </w:r>
      <w:r w:rsidRPr="00501C6D">
        <w:t>note</w:t>
      </w:r>
      <w:r w:rsidR="007555C9" w:rsidRPr="00501C6D">
        <w:t>d</w:t>
      </w:r>
      <w:r w:rsidRPr="00501C6D">
        <w:t xml:space="preserve"> </w:t>
      </w:r>
      <w:r w:rsidR="00C63720" w:rsidRPr="00501C6D">
        <w:t xml:space="preserve">the </w:t>
      </w:r>
      <w:r w:rsidR="00F151AA" w:rsidRPr="00501C6D">
        <w:t xml:space="preserve">work of the </w:t>
      </w:r>
      <w:r w:rsidR="00253A23" w:rsidRPr="00501C6D">
        <w:t>I</w:t>
      </w:r>
      <w:r w:rsidRPr="00501C6D">
        <w:t xml:space="preserve">nformal </w:t>
      </w:r>
      <w:r w:rsidR="00253A23" w:rsidRPr="00501C6D">
        <w:t>A</w:t>
      </w:r>
      <w:r w:rsidRPr="00501C6D">
        <w:t xml:space="preserve">dvisory </w:t>
      </w:r>
      <w:r w:rsidR="00253A23" w:rsidRPr="00501C6D">
        <w:t>G</w:t>
      </w:r>
      <w:r w:rsidRPr="00501C6D">
        <w:t xml:space="preserve">roup on </w:t>
      </w:r>
      <w:r w:rsidR="009B16A7" w:rsidRPr="00501C6D">
        <w:t>T</w:t>
      </w:r>
      <w:r w:rsidRPr="00501C6D">
        <w:t xml:space="preserve">echnical </w:t>
      </w:r>
      <w:r w:rsidR="00C63720" w:rsidRPr="00501C6D">
        <w:t xml:space="preserve">and </w:t>
      </w:r>
      <w:r w:rsidR="009B16A7" w:rsidRPr="00501C6D">
        <w:t>S</w:t>
      </w:r>
      <w:r w:rsidRPr="00501C6D">
        <w:t xml:space="preserve">cientific </w:t>
      </w:r>
      <w:r w:rsidR="009B16A7" w:rsidRPr="00501C6D">
        <w:t>C</w:t>
      </w:r>
      <w:r w:rsidRPr="00501C6D">
        <w:t xml:space="preserve">ooperation </w:t>
      </w:r>
      <w:r w:rsidR="00C63720" w:rsidRPr="00501C6D">
        <w:t xml:space="preserve">and </w:t>
      </w:r>
      <w:r w:rsidRPr="00501C6D">
        <w:t xml:space="preserve">its mandate to </w:t>
      </w:r>
      <w:r w:rsidRPr="0061543B">
        <w:t>provide advice, guidance and recommendations on the development of indicators for capacity</w:t>
      </w:r>
      <w:r w:rsidR="00F151AA" w:rsidRPr="0061543B">
        <w:t>-</w:t>
      </w:r>
      <w:r w:rsidRPr="0061543B">
        <w:t xml:space="preserve">building and </w:t>
      </w:r>
      <w:r w:rsidR="00853BA1" w:rsidRPr="0061543B">
        <w:t xml:space="preserve">the </w:t>
      </w:r>
      <w:r w:rsidRPr="0061543B">
        <w:t xml:space="preserve">development </w:t>
      </w:r>
      <w:r w:rsidR="00212A5C" w:rsidRPr="0061543B">
        <w:t xml:space="preserve">and </w:t>
      </w:r>
      <w:r w:rsidRPr="0061543B">
        <w:t>technology</w:t>
      </w:r>
      <w:r w:rsidR="00DD0C7B" w:rsidRPr="0061543B">
        <w:t xml:space="preserve"> transfer related to monitoring the Framework</w:t>
      </w:r>
      <w:r w:rsidRPr="0061543B">
        <w:t xml:space="preserve">. The </w:t>
      </w:r>
      <w:r w:rsidR="00F46AA4" w:rsidRPr="0061543B">
        <w:t xml:space="preserve">Technical Expert </w:t>
      </w:r>
      <w:r w:rsidR="00F151AA" w:rsidRPr="0061543B">
        <w:t>Group</w:t>
      </w:r>
      <w:r w:rsidR="00036B7E" w:rsidRPr="0061543B">
        <w:t xml:space="preserve"> </w:t>
      </w:r>
      <w:r w:rsidRPr="00501C6D">
        <w:t xml:space="preserve">noted that the complementary indicators related to technological cooperation and technology could be more relevant </w:t>
      </w:r>
      <w:r w:rsidR="007D13BB" w:rsidRPr="00501C6D">
        <w:t xml:space="preserve">to </w:t>
      </w:r>
      <w:r w:rsidRPr="00501C6D">
        <w:t xml:space="preserve">Target 20 and recommended </w:t>
      </w:r>
      <w:r w:rsidR="007D13BB" w:rsidRPr="00501C6D">
        <w:t xml:space="preserve">that they be </w:t>
      </w:r>
      <w:r w:rsidRPr="00501C6D">
        <w:t>consider</w:t>
      </w:r>
      <w:r w:rsidR="007D13BB" w:rsidRPr="00501C6D">
        <w:t>ed</w:t>
      </w:r>
      <w:r w:rsidRPr="00501C6D">
        <w:t xml:space="preserve"> accordingly. </w:t>
      </w:r>
    </w:p>
    <w:p w14:paraId="5BBCB71D" w14:textId="39FB76B4" w:rsidR="1A0385A3" w:rsidRPr="0061543B" w:rsidRDefault="1A0385A3" w:rsidP="00501C6D">
      <w:pPr>
        <w:pStyle w:val="Para1"/>
        <w:numPr>
          <w:ilvl w:val="0"/>
          <w:numId w:val="0"/>
        </w:numPr>
        <w:jc w:val="left"/>
        <w:rPr>
          <w:i/>
          <w:iCs/>
        </w:rPr>
      </w:pPr>
      <w:r w:rsidRPr="0061543B">
        <w:rPr>
          <w:i/>
          <w:iCs/>
        </w:rPr>
        <w:t>Review of the work on headline indicator D.2 (domestic public funding</w:t>
      </w:r>
      <w:r w:rsidR="00FE4103" w:rsidRPr="0061543B">
        <w:t xml:space="preserve"> </w:t>
      </w:r>
      <w:r w:rsidR="00172143" w:rsidRPr="0061543B">
        <w:br/>
      </w:r>
      <w:r w:rsidR="00FE4103" w:rsidRPr="0061543B">
        <w:rPr>
          <w:i/>
          <w:iCs/>
        </w:rPr>
        <w:t>on conservation and sustainable use of biodiversity and ecosystems</w:t>
      </w:r>
      <w:r w:rsidRPr="0061543B">
        <w:rPr>
          <w:i/>
          <w:iCs/>
        </w:rPr>
        <w:t>)</w:t>
      </w:r>
    </w:p>
    <w:p w14:paraId="7273BCDD" w14:textId="459B4A96" w:rsidR="26A66A5C" w:rsidRPr="0061543B" w:rsidRDefault="00A31334" w:rsidP="006050B8">
      <w:pPr>
        <w:pStyle w:val="Para1"/>
      </w:pPr>
      <w:r w:rsidRPr="0061543B">
        <w:t xml:space="preserve">The chaperone </w:t>
      </w:r>
      <w:r w:rsidR="00AD3AA1" w:rsidRPr="0061543B">
        <w:t xml:space="preserve">of the subgroup </w:t>
      </w:r>
      <w:r w:rsidRPr="0061543B">
        <w:t xml:space="preserve">responsible for headline indicator D.2 presented the work undertaken </w:t>
      </w:r>
      <w:r w:rsidR="00C038C5" w:rsidRPr="0061543B">
        <w:t xml:space="preserve">of the subgroup </w:t>
      </w:r>
      <w:r w:rsidRPr="0061543B">
        <w:t xml:space="preserve">during the intersessional period. </w:t>
      </w:r>
      <w:r w:rsidR="00AA2834" w:rsidRPr="0061543B">
        <w:t xml:space="preserve">Further to </w:t>
      </w:r>
      <w:r w:rsidRPr="0061543B">
        <w:t xml:space="preserve">the subsequent discussion, the chaperone, in consultation with the members of the subgroup, prepared an overview table of proposed indicators and a revised draft of the metadata fact sheet, for further consideration by the </w:t>
      </w:r>
      <w:r w:rsidR="005E4693" w:rsidRPr="0061543B">
        <w:t>Technical Expert Group</w:t>
      </w:r>
      <w:r w:rsidRPr="0061543B">
        <w:t>.</w:t>
      </w:r>
    </w:p>
    <w:p w14:paraId="2CDBC052" w14:textId="42F00F73" w:rsidR="0064685A" w:rsidRPr="0061543B" w:rsidRDefault="00387E66" w:rsidP="00DB04C8">
      <w:pPr>
        <w:pStyle w:val="Para1"/>
      </w:pPr>
      <w:r w:rsidRPr="00501C6D">
        <w:t xml:space="preserve">The </w:t>
      </w:r>
      <w:r w:rsidR="0022124F" w:rsidRPr="0061543B">
        <w:t>Technical Expert Group</w:t>
      </w:r>
      <w:r w:rsidR="0022124F" w:rsidRPr="00501C6D" w:rsidDel="0022124F">
        <w:t xml:space="preserve"> </w:t>
      </w:r>
      <w:r w:rsidRPr="00501C6D">
        <w:t xml:space="preserve">decided that national reporting </w:t>
      </w:r>
      <w:r w:rsidR="007535CA" w:rsidRPr="00501C6D">
        <w:t xml:space="preserve">was </w:t>
      </w:r>
      <w:r w:rsidRPr="00501C6D">
        <w:t>the most appropriate way f</w:t>
      </w:r>
      <w:r w:rsidR="00FB5CB8">
        <w:t>or</w:t>
      </w:r>
      <w:r w:rsidRPr="00501C6D">
        <w:t xml:space="preserve"> collecting data for </w:t>
      </w:r>
      <w:r w:rsidR="002F5F39" w:rsidRPr="00501C6D">
        <w:t xml:space="preserve">headline indicator </w:t>
      </w:r>
      <w:r w:rsidRPr="00501C6D">
        <w:t>D</w:t>
      </w:r>
      <w:r w:rsidR="00C63720" w:rsidRPr="00501C6D">
        <w:t>.</w:t>
      </w:r>
      <w:r w:rsidRPr="00501C6D">
        <w:t>2</w:t>
      </w:r>
      <w:r w:rsidR="002F5F39" w:rsidRPr="00501C6D">
        <w:t>,</w:t>
      </w:r>
      <w:r w:rsidRPr="00501C6D">
        <w:t xml:space="preserve"> recognizing that there </w:t>
      </w:r>
      <w:r w:rsidR="007535CA" w:rsidRPr="00501C6D">
        <w:t xml:space="preserve">were </w:t>
      </w:r>
      <w:r w:rsidRPr="00501C6D">
        <w:t xml:space="preserve">three robust, consistent and transparent methodologies </w:t>
      </w:r>
      <w:r w:rsidR="005C3A4B" w:rsidRPr="00501C6D">
        <w:t xml:space="preserve">that </w:t>
      </w:r>
      <w:r w:rsidRPr="00501C6D">
        <w:t xml:space="preserve">countries </w:t>
      </w:r>
      <w:r w:rsidR="007535CA" w:rsidRPr="00501C6D">
        <w:t xml:space="preserve">could </w:t>
      </w:r>
      <w:r w:rsidRPr="00501C6D">
        <w:t>use to report on th</w:t>
      </w:r>
      <w:r w:rsidR="007535CA" w:rsidRPr="00501C6D">
        <w:t>e</w:t>
      </w:r>
      <w:r w:rsidRPr="00501C6D">
        <w:t xml:space="preserve"> indicator</w:t>
      </w:r>
      <w:r w:rsidR="00624606" w:rsidRPr="00501C6D">
        <w:t>,</w:t>
      </w:r>
      <w:r w:rsidR="00C4294F" w:rsidRPr="00501C6D">
        <w:t xml:space="preserve"> </w:t>
      </w:r>
      <w:r w:rsidR="00624606" w:rsidRPr="00501C6D">
        <w:t xml:space="preserve">namely, </w:t>
      </w:r>
      <w:r w:rsidRPr="00501C6D">
        <w:t>the</w:t>
      </w:r>
      <w:r w:rsidRPr="00501C6D">
        <w:rPr>
          <w:rFonts w:eastAsia="Calibri"/>
        </w:rPr>
        <w:t xml:space="preserve"> Classification of Environmental Purposes</w:t>
      </w:r>
      <w:r w:rsidR="00E0705D" w:rsidRPr="00501C6D">
        <w:rPr>
          <w:rFonts w:eastAsia="Calibri"/>
        </w:rPr>
        <w:t>,</w:t>
      </w:r>
      <w:r w:rsidRPr="00501C6D">
        <w:rPr>
          <w:rFonts w:eastAsia="Calibri"/>
        </w:rPr>
        <w:t xml:space="preserve"> </w:t>
      </w:r>
      <w:r w:rsidR="00125FA3" w:rsidRPr="00501C6D">
        <w:rPr>
          <w:rFonts w:eastAsia="Calibri"/>
        </w:rPr>
        <w:t>the methodolog</w:t>
      </w:r>
      <w:r w:rsidR="00837D6D" w:rsidRPr="00501C6D">
        <w:rPr>
          <w:rFonts w:eastAsia="Calibri"/>
        </w:rPr>
        <w:t>y</w:t>
      </w:r>
      <w:r w:rsidR="00125FA3" w:rsidRPr="00501C6D">
        <w:rPr>
          <w:rFonts w:eastAsia="Calibri"/>
        </w:rPr>
        <w:t xml:space="preserve"> developed by the </w:t>
      </w:r>
      <w:r w:rsidRPr="00501C6D">
        <w:rPr>
          <w:rFonts w:eastAsia="Calibri"/>
        </w:rPr>
        <w:t xml:space="preserve">Biodiversity Finance Initiative, in particular </w:t>
      </w:r>
      <w:r w:rsidR="003D58E0" w:rsidRPr="00501C6D">
        <w:rPr>
          <w:rFonts w:eastAsia="Calibri"/>
        </w:rPr>
        <w:t xml:space="preserve">to review </w:t>
      </w:r>
      <w:r w:rsidRPr="00501C6D">
        <w:rPr>
          <w:rFonts w:eastAsia="Calibri"/>
        </w:rPr>
        <w:t>biodiversity expenditure</w:t>
      </w:r>
      <w:r w:rsidR="003D58E0" w:rsidRPr="00501C6D">
        <w:rPr>
          <w:rFonts w:eastAsia="Calibri"/>
        </w:rPr>
        <w:t>,</w:t>
      </w:r>
      <w:r w:rsidRPr="00501C6D">
        <w:rPr>
          <w:rFonts w:eastAsia="Calibri"/>
        </w:rPr>
        <w:t xml:space="preserve"> </w:t>
      </w:r>
      <w:r w:rsidRPr="00501C6D">
        <w:t xml:space="preserve">and the </w:t>
      </w:r>
      <w:bookmarkStart w:id="5" w:name="_Hlk161916039"/>
      <w:r w:rsidRPr="00501C6D">
        <w:t xml:space="preserve">Classification of the </w:t>
      </w:r>
      <w:r w:rsidR="00A23CFF" w:rsidRPr="00501C6D">
        <w:t>F</w:t>
      </w:r>
      <w:r w:rsidRPr="00501C6D">
        <w:t>unctions of Government</w:t>
      </w:r>
      <w:bookmarkEnd w:id="5"/>
      <w:r w:rsidRPr="00501C6D">
        <w:t>. The metadata sheet include</w:t>
      </w:r>
      <w:r w:rsidR="00FD3CE4" w:rsidRPr="00501C6D">
        <w:t>d</w:t>
      </w:r>
      <w:r w:rsidRPr="00501C6D">
        <w:t xml:space="preserve"> information </w:t>
      </w:r>
      <w:r w:rsidR="0074028F" w:rsidRPr="00501C6D">
        <w:t>a</w:t>
      </w:r>
      <w:r w:rsidRPr="00501C6D">
        <w:t>nd guidance on each of the three approaches.</w:t>
      </w:r>
      <w:r w:rsidR="0074028F" w:rsidRPr="00501C6D">
        <w:t xml:space="preserve"> </w:t>
      </w:r>
      <w:r w:rsidR="0074028F" w:rsidRPr="0061543B">
        <w:rPr>
          <w:color w:val="242424"/>
          <w:shd w:val="clear" w:color="auto" w:fill="FFFFFF"/>
        </w:rPr>
        <w:t xml:space="preserve">While the </w:t>
      </w:r>
      <w:r w:rsidR="00C5218C">
        <w:rPr>
          <w:color w:val="242424"/>
          <w:shd w:val="clear" w:color="auto" w:fill="FFFFFF"/>
        </w:rPr>
        <w:t>G</w:t>
      </w:r>
      <w:r w:rsidR="0074028F" w:rsidRPr="0061543B">
        <w:rPr>
          <w:color w:val="242424"/>
          <w:shd w:val="clear" w:color="auto" w:fill="FFFFFF"/>
        </w:rPr>
        <w:t xml:space="preserve">roup agreed that all methodologies </w:t>
      </w:r>
      <w:r w:rsidR="00FD3CE4" w:rsidRPr="0061543B">
        <w:rPr>
          <w:color w:val="242424"/>
          <w:shd w:val="clear" w:color="auto" w:fill="FFFFFF"/>
        </w:rPr>
        <w:t xml:space="preserve">were </w:t>
      </w:r>
      <w:r w:rsidR="0074028F" w:rsidRPr="0061543B">
        <w:rPr>
          <w:color w:val="242424"/>
          <w:shd w:val="clear" w:color="auto" w:fill="FFFFFF"/>
        </w:rPr>
        <w:t xml:space="preserve">valid options, there was overall agreement that none </w:t>
      </w:r>
      <w:r w:rsidR="007613A5" w:rsidRPr="0061543B">
        <w:rPr>
          <w:color w:val="242424"/>
          <w:shd w:val="clear" w:color="auto" w:fill="FFFFFF"/>
        </w:rPr>
        <w:t xml:space="preserve">was </w:t>
      </w:r>
      <w:r w:rsidR="0074028F" w:rsidRPr="0061543B">
        <w:rPr>
          <w:color w:val="242424"/>
          <w:shd w:val="clear" w:color="auto" w:fill="FFFFFF"/>
        </w:rPr>
        <w:t>all-encompassing.</w:t>
      </w:r>
      <w:r w:rsidR="000449E8" w:rsidRPr="0061543B">
        <w:rPr>
          <w:color w:val="242424"/>
          <w:shd w:val="clear" w:color="auto" w:fill="FFFFFF"/>
        </w:rPr>
        <w:t xml:space="preserve"> </w:t>
      </w:r>
      <w:r w:rsidRPr="0061543B">
        <w:rPr>
          <w:color w:val="242424"/>
          <w:shd w:val="clear" w:color="auto" w:fill="FFFFFF"/>
        </w:rPr>
        <w:t xml:space="preserve">The </w:t>
      </w:r>
      <w:r w:rsidR="007613A5" w:rsidRPr="0061543B">
        <w:rPr>
          <w:color w:val="242424"/>
          <w:shd w:val="clear" w:color="auto" w:fill="FFFFFF"/>
        </w:rPr>
        <w:t xml:space="preserve">Group </w:t>
      </w:r>
      <w:r w:rsidRPr="0061543B">
        <w:rPr>
          <w:color w:val="242424"/>
          <w:shd w:val="clear" w:color="auto" w:fill="FFFFFF"/>
        </w:rPr>
        <w:t xml:space="preserve">also </w:t>
      </w:r>
      <w:r w:rsidR="00A23CFF" w:rsidRPr="0061543B">
        <w:rPr>
          <w:color w:val="242424"/>
          <w:shd w:val="clear" w:color="auto" w:fill="FFFFFF"/>
        </w:rPr>
        <w:t xml:space="preserve">identified </w:t>
      </w:r>
      <w:r w:rsidR="00C929B2" w:rsidRPr="0061543B">
        <w:rPr>
          <w:color w:val="242424"/>
          <w:shd w:val="clear" w:color="auto" w:fill="FFFFFF"/>
        </w:rPr>
        <w:t xml:space="preserve">several </w:t>
      </w:r>
      <w:r w:rsidRPr="0061543B">
        <w:rPr>
          <w:color w:val="242424"/>
          <w:shd w:val="clear" w:color="auto" w:fill="FFFFFF"/>
        </w:rPr>
        <w:t>complementary indicators</w:t>
      </w:r>
      <w:r w:rsidR="00C929B2" w:rsidRPr="0061543B">
        <w:rPr>
          <w:color w:val="242424"/>
          <w:shd w:val="clear" w:color="auto" w:fill="FFFFFF"/>
        </w:rPr>
        <w:t xml:space="preserve">, which are reflected in </w:t>
      </w:r>
      <w:r w:rsidR="00B87806" w:rsidRPr="0061543B">
        <w:rPr>
          <w:color w:val="242424"/>
          <w:shd w:val="clear" w:color="auto" w:fill="FFFFFF"/>
        </w:rPr>
        <w:t>a</w:t>
      </w:r>
      <w:r w:rsidR="00C929B2" w:rsidRPr="0061543B">
        <w:rPr>
          <w:color w:val="242424"/>
          <w:shd w:val="clear" w:color="auto" w:fill="FFFFFF"/>
        </w:rPr>
        <w:t>nnex I.</w:t>
      </w:r>
      <w:r w:rsidR="00623684" w:rsidRPr="0061543B">
        <w:rPr>
          <w:strike/>
          <w:color w:val="242424"/>
          <w:shd w:val="clear" w:color="auto" w:fill="FFFFFF"/>
        </w:rPr>
        <w:t xml:space="preserve"> </w:t>
      </w:r>
    </w:p>
    <w:p w14:paraId="05540745" w14:textId="0E8D7CEE" w:rsidR="006050B8" w:rsidRPr="0061543B" w:rsidRDefault="006050B8" w:rsidP="00501C6D">
      <w:pPr>
        <w:pStyle w:val="Para1"/>
        <w:numPr>
          <w:ilvl w:val="0"/>
          <w:numId w:val="0"/>
        </w:numPr>
        <w:jc w:val="left"/>
        <w:rPr>
          <w:i/>
          <w:iCs/>
        </w:rPr>
      </w:pPr>
      <w:r w:rsidRPr="0061543B">
        <w:rPr>
          <w:i/>
          <w:iCs/>
        </w:rPr>
        <w:t>Review of the work on headline indicator D.3 (private funding</w:t>
      </w:r>
      <w:r w:rsidR="00FE4103" w:rsidRPr="0061543B">
        <w:rPr>
          <w:i/>
          <w:iCs/>
        </w:rPr>
        <w:t xml:space="preserve"> (</w:t>
      </w:r>
      <w:r w:rsidRPr="0061543B">
        <w:rPr>
          <w:i/>
          <w:iCs/>
        </w:rPr>
        <w:t>domestic and international</w:t>
      </w:r>
      <w:r w:rsidR="00FE4103" w:rsidRPr="0061543B">
        <w:rPr>
          <w:i/>
          <w:iCs/>
        </w:rPr>
        <w:t xml:space="preserve">) </w:t>
      </w:r>
      <w:r w:rsidR="00172143" w:rsidRPr="0061543B">
        <w:rPr>
          <w:i/>
          <w:iCs/>
        </w:rPr>
        <w:br/>
      </w:r>
      <w:r w:rsidR="006223A7" w:rsidRPr="0061543B">
        <w:rPr>
          <w:i/>
          <w:iCs/>
        </w:rPr>
        <w:t>on conservation and sustainable use of biodiversity and ecosystems</w:t>
      </w:r>
      <w:r w:rsidRPr="0061543B">
        <w:rPr>
          <w:i/>
          <w:iCs/>
        </w:rPr>
        <w:t>)</w:t>
      </w:r>
    </w:p>
    <w:p w14:paraId="18462266" w14:textId="7816A794" w:rsidR="00A81C49" w:rsidRPr="0061543B" w:rsidRDefault="006050B8" w:rsidP="006050B8">
      <w:pPr>
        <w:pStyle w:val="Para1"/>
        <w:rPr>
          <w:szCs w:val="22"/>
        </w:rPr>
      </w:pPr>
      <w:r w:rsidRPr="0061543B">
        <w:t xml:space="preserve">The </w:t>
      </w:r>
      <w:r w:rsidR="00523FF2" w:rsidRPr="0061543B">
        <w:t xml:space="preserve">representative of the </w:t>
      </w:r>
      <w:r w:rsidR="00513A82" w:rsidRPr="0061543B">
        <w:t>Secretariat</w:t>
      </w:r>
      <w:r w:rsidRPr="0061543B">
        <w:t xml:space="preserve"> responsible </w:t>
      </w:r>
      <w:r w:rsidRPr="0061543B">
        <w:rPr>
          <w:szCs w:val="22"/>
        </w:rPr>
        <w:t xml:space="preserve">for </w:t>
      </w:r>
      <w:r w:rsidR="00D9703A" w:rsidRPr="0061543B">
        <w:rPr>
          <w:color w:val="000000"/>
          <w:szCs w:val="22"/>
          <w:shd w:val="clear" w:color="auto" w:fill="FFFFFF"/>
        </w:rPr>
        <w:t xml:space="preserve">assisting the </w:t>
      </w:r>
      <w:r w:rsidR="002745D3" w:rsidRPr="0061543B">
        <w:t>Technical Expert Group</w:t>
      </w:r>
      <w:r w:rsidR="002745D3" w:rsidRPr="0061543B" w:rsidDel="002745D3">
        <w:rPr>
          <w:color w:val="000000"/>
          <w:szCs w:val="22"/>
          <w:shd w:val="clear" w:color="auto" w:fill="FFFFFF"/>
        </w:rPr>
        <w:t xml:space="preserve"> </w:t>
      </w:r>
      <w:r w:rsidR="00D9703A" w:rsidRPr="0061543B">
        <w:rPr>
          <w:color w:val="000000"/>
          <w:szCs w:val="22"/>
          <w:shd w:val="clear" w:color="auto" w:fill="FFFFFF"/>
        </w:rPr>
        <w:t xml:space="preserve">in identifying approaches for measuring private funding </w:t>
      </w:r>
      <w:r w:rsidR="00677B6F" w:rsidRPr="0061543B">
        <w:rPr>
          <w:color w:val="000000"/>
          <w:szCs w:val="22"/>
          <w:shd w:val="clear" w:color="auto" w:fill="FFFFFF"/>
        </w:rPr>
        <w:t xml:space="preserve">for biodiversity </w:t>
      </w:r>
      <w:r w:rsidR="001A3B16" w:rsidRPr="0061543B">
        <w:rPr>
          <w:color w:val="000000"/>
          <w:szCs w:val="22"/>
          <w:shd w:val="clear" w:color="auto" w:fill="FFFFFF"/>
        </w:rPr>
        <w:t xml:space="preserve">made </w:t>
      </w:r>
      <w:r w:rsidR="00D9703A" w:rsidRPr="0061543B">
        <w:rPr>
          <w:color w:val="000000"/>
          <w:szCs w:val="22"/>
          <w:shd w:val="clear" w:color="auto" w:fill="FFFFFF"/>
        </w:rPr>
        <w:t xml:space="preserve">a presentation on the current private finance for biodiversity landscape, including existing methodological approaches </w:t>
      </w:r>
      <w:r w:rsidR="00DC3481" w:rsidRPr="0061543B">
        <w:rPr>
          <w:color w:val="000000"/>
          <w:szCs w:val="22"/>
          <w:shd w:val="clear" w:color="auto" w:fill="FFFFFF"/>
        </w:rPr>
        <w:t xml:space="preserve">for </w:t>
      </w:r>
      <w:r w:rsidR="00A81C49" w:rsidRPr="0061543B">
        <w:rPr>
          <w:color w:val="000000"/>
          <w:szCs w:val="22"/>
          <w:shd w:val="clear" w:color="auto" w:fill="FFFFFF"/>
        </w:rPr>
        <w:t>monitor</w:t>
      </w:r>
      <w:r w:rsidR="00DC3481" w:rsidRPr="0061543B">
        <w:rPr>
          <w:color w:val="000000"/>
          <w:szCs w:val="22"/>
          <w:shd w:val="clear" w:color="auto" w:fill="FFFFFF"/>
        </w:rPr>
        <w:t>ing</w:t>
      </w:r>
      <w:r w:rsidR="00A81C49" w:rsidRPr="0061543B">
        <w:rPr>
          <w:color w:val="000000"/>
          <w:szCs w:val="22"/>
          <w:shd w:val="clear" w:color="auto" w:fill="FFFFFF"/>
        </w:rPr>
        <w:t xml:space="preserve"> </w:t>
      </w:r>
      <w:r w:rsidR="00D9703A" w:rsidRPr="0061543B">
        <w:rPr>
          <w:color w:val="000000"/>
          <w:szCs w:val="22"/>
          <w:shd w:val="clear" w:color="auto" w:fill="FFFFFF"/>
        </w:rPr>
        <w:t>global private finance, critical gaps</w:t>
      </w:r>
      <w:r w:rsidR="00D9703A" w:rsidRPr="00501C6D">
        <w:rPr>
          <w:color w:val="000000"/>
          <w:szCs w:val="22"/>
          <w:shd w:val="clear" w:color="auto" w:fill="FFFFFF"/>
        </w:rPr>
        <w:t xml:space="preserve"> and</w:t>
      </w:r>
      <w:r w:rsidR="00D9703A" w:rsidRPr="0061543B">
        <w:rPr>
          <w:color w:val="000000"/>
          <w:szCs w:val="22"/>
          <w:shd w:val="clear" w:color="auto" w:fill="FFFFFF"/>
        </w:rPr>
        <w:t xml:space="preserve"> </w:t>
      </w:r>
      <w:r w:rsidR="00A81C49" w:rsidRPr="0061543B">
        <w:rPr>
          <w:color w:val="000000"/>
          <w:szCs w:val="22"/>
          <w:shd w:val="clear" w:color="auto" w:fill="FFFFFF"/>
        </w:rPr>
        <w:t xml:space="preserve">implications for </w:t>
      </w:r>
      <w:r w:rsidR="00D9703A" w:rsidRPr="0061543B">
        <w:rPr>
          <w:color w:val="000000"/>
          <w:szCs w:val="22"/>
          <w:shd w:val="clear" w:color="auto" w:fill="FFFFFF"/>
        </w:rPr>
        <w:t>indicators.</w:t>
      </w:r>
    </w:p>
    <w:p w14:paraId="3AA56408" w14:textId="6EA7A7CD" w:rsidR="002124CA" w:rsidRPr="0061543B" w:rsidRDefault="002124CA" w:rsidP="002124CA">
      <w:pPr>
        <w:pStyle w:val="Para1"/>
        <w:rPr>
          <w:szCs w:val="22"/>
        </w:rPr>
      </w:pPr>
      <w:r w:rsidRPr="0061543B">
        <w:rPr>
          <w:color w:val="000000"/>
          <w:szCs w:val="22"/>
          <w:shd w:val="clear" w:color="auto" w:fill="FFFFFF"/>
        </w:rPr>
        <w:t xml:space="preserve">Given the lack of comprehensive </w:t>
      </w:r>
      <w:r w:rsidRPr="00501C6D">
        <w:rPr>
          <w:color w:val="000000"/>
          <w:szCs w:val="22"/>
          <w:shd w:val="clear" w:color="auto" w:fill="FFFFFF"/>
        </w:rPr>
        <w:t>data</w:t>
      </w:r>
      <w:r w:rsidR="00CD6AC5" w:rsidRPr="00501C6D">
        <w:rPr>
          <w:color w:val="000000"/>
          <w:szCs w:val="22"/>
          <w:shd w:val="clear" w:color="auto" w:fill="FFFFFF"/>
        </w:rPr>
        <w:t xml:space="preserve"> </w:t>
      </w:r>
      <w:r w:rsidRPr="00501C6D">
        <w:rPr>
          <w:color w:val="000000"/>
          <w:szCs w:val="22"/>
          <w:shd w:val="clear" w:color="auto" w:fill="FFFFFF"/>
        </w:rPr>
        <w:t>set</w:t>
      </w:r>
      <w:r w:rsidRPr="0061543B">
        <w:rPr>
          <w:color w:val="000000"/>
          <w:szCs w:val="22"/>
          <w:shd w:val="clear" w:color="auto" w:fill="FFFFFF"/>
        </w:rPr>
        <w:t xml:space="preserve">s on private funding, </w:t>
      </w:r>
      <w:r w:rsidRPr="00501C6D">
        <w:rPr>
          <w:color w:val="000000" w:themeColor="text1"/>
          <w:szCs w:val="22"/>
        </w:rPr>
        <w:t xml:space="preserve">the </w:t>
      </w:r>
      <w:r w:rsidR="009721A1" w:rsidRPr="0061543B">
        <w:t>Technical Expert Group</w:t>
      </w:r>
      <w:r w:rsidR="009721A1" w:rsidRPr="00501C6D" w:rsidDel="009721A1">
        <w:rPr>
          <w:color w:val="000000" w:themeColor="text1"/>
          <w:szCs w:val="22"/>
        </w:rPr>
        <w:t xml:space="preserve"> </w:t>
      </w:r>
      <w:r w:rsidRPr="00501C6D">
        <w:rPr>
          <w:color w:val="000000" w:themeColor="text1"/>
          <w:szCs w:val="22"/>
        </w:rPr>
        <w:t xml:space="preserve">decided that national reporting </w:t>
      </w:r>
      <w:r w:rsidR="009721A1" w:rsidRPr="00501C6D">
        <w:rPr>
          <w:color w:val="000000" w:themeColor="text1"/>
          <w:szCs w:val="22"/>
        </w:rPr>
        <w:t xml:space="preserve">was </w:t>
      </w:r>
      <w:r w:rsidRPr="00501C6D">
        <w:rPr>
          <w:color w:val="000000" w:themeColor="text1"/>
          <w:szCs w:val="22"/>
        </w:rPr>
        <w:t>the most appropriate way f</w:t>
      </w:r>
      <w:r w:rsidR="002318EB">
        <w:rPr>
          <w:color w:val="000000" w:themeColor="text1"/>
          <w:szCs w:val="22"/>
        </w:rPr>
        <w:t>or</w:t>
      </w:r>
      <w:r w:rsidRPr="00501C6D">
        <w:rPr>
          <w:color w:val="000000" w:themeColor="text1"/>
          <w:szCs w:val="22"/>
        </w:rPr>
        <w:t xml:space="preserve"> collecting data for private funding. </w:t>
      </w:r>
      <w:r w:rsidR="00587274" w:rsidRPr="00501C6D">
        <w:rPr>
          <w:color w:val="000000" w:themeColor="text1"/>
          <w:szCs w:val="22"/>
        </w:rPr>
        <w:t>T</w:t>
      </w:r>
      <w:r w:rsidRPr="00501C6D">
        <w:rPr>
          <w:color w:val="000000" w:themeColor="text1"/>
          <w:szCs w:val="22"/>
        </w:rPr>
        <w:t xml:space="preserve">he </w:t>
      </w:r>
      <w:r w:rsidR="009721A1" w:rsidRPr="00501C6D">
        <w:rPr>
          <w:color w:val="000000" w:themeColor="text1"/>
          <w:szCs w:val="22"/>
        </w:rPr>
        <w:t xml:space="preserve">Group </w:t>
      </w:r>
      <w:r w:rsidRPr="00501C6D">
        <w:rPr>
          <w:color w:val="000000" w:themeColor="text1"/>
          <w:szCs w:val="22"/>
        </w:rPr>
        <w:t>also noted</w:t>
      </w:r>
      <w:r w:rsidR="00587274" w:rsidRPr="00501C6D">
        <w:rPr>
          <w:color w:val="000000" w:themeColor="text1"/>
          <w:szCs w:val="22"/>
        </w:rPr>
        <w:t>,</w:t>
      </w:r>
      <w:r w:rsidRPr="00501C6D">
        <w:rPr>
          <w:color w:val="000000" w:themeColor="text1"/>
          <w:szCs w:val="22"/>
        </w:rPr>
        <w:t xml:space="preserve"> </w:t>
      </w:r>
      <w:r w:rsidR="00587274" w:rsidRPr="00501C6D">
        <w:rPr>
          <w:color w:val="000000" w:themeColor="text1"/>
          <w:szCs w:val="22"/>
        </w:rPr>
        <w:t xml:space="preserve">however, </w:t>
      </w:r>
      <w:r w:rsidRPr="00501C6D">
        <w:rPr>
          <w:color w:val="000000" w:themeColor="text1"/>
          <w:szCs w:val="22"/>
        </w:rPr>
        <w:t xml:space="preserve">that certain </w:t>
      </w:r>
      <w:r w:rsidR="0032760D" w:rsidRPr="00501C6D">
        <w:rPr>
          <w:color w:val="000000" w:themeColor="text1"/>
          <w:szCs w:val="22"/>
        </w:rPr>
        <w:t xml:space="preserve">data </w:t>
      </w:r>
      <w:r w:rsidRPr="00501C6D">
        <w:rPr>
          <w:color w:val="000000" w:themeColor="text1"/>
          <w:szCs w:val="22"/>
        </w:rPr>
        <w:t>elements could be obtained from existing databases and established methodologies. Further</w:t>
      </w:r>
      <w:r w:rsidR="009721A1" w:rsidRPr="00501C6D">
        <w:rPr>
          <w:color w:val="000000" w:themeColor="text1"/>
          <w:szCs w:val="22"/>
        </w:rPr>
        <w:t>more</w:t>
      </w:r>
      <w:r w:rsidRPr="00501C6D">
        <w:rPr>
          <w:color w:val="000000" w:themeColor="text1"/>
          <w:szCs w:val="22"/>
        </w:rPr>
        <w:t xml:space="preserve">, some </w:t>
      </w:r>
      <w:r w:rsidR="00D853BC" w:rsidRPr="00501C6D">
        <w:rPr>
          <w:color w:val="000000" w:themeColor="text1"/>
          <w:szCs w:val="22"/>
        </w:rPr>
        <w:t xml:space="preserve">Group </w:t>
      </w:r>
      <w:r w:rsidRPr="00501C6D">
        <w:rPr>
          <w:color w:val="000000" w:themeColor="text1"/>
          <w:szCs w:val="22"/>
        </w:rPr>
        <w:t>members noted that, in</w:t>
      </w:r>
      <w:r w:rsidR="002B3EF4" w:rsidRPr="00501C6D">
        <w:rPr>
          <w:color w:val="000000" w:themeColor="text1"/>
          <w:szCs w:val="22"/>
        </w:rPr>
        <w:t xml:space="preserve"> the</w:t>
      </w:r>
      <w:r w:rsidRPr="00501C6D">
        <w:rPr>
          <w:color w:val="000000" w:themeColor="text1"/>
          <w:szCs w:val="22"/>
        </w:rPr>
        <w:t xml:space="preserve"> light of the methodological challenges identified, data could also be collected in the form of a global analytical study </w:t>
      </w:r>
      <w:r w:rsidR="001C6D19">
        <w:rPr>
          <w:color w:val="000000" w:themeColor="text1"/>
          <w:szCs w:val="22"/>
        </w:rPr>
        <w:t xml:space="preserve">of </w:t>
      </w:r>
      <w:r w:rsidRPr="00501C6D">
        <w:rPr>
          <w:color w:val="000000" w:themeColor="text1"/>
          <w:szCs w:val="22"/>
        </w:rPr>
        <w:t>countries’ private funding for biodiversity.</w:t>
      </w:r>
    </w:p>
    <w:p w14:paraId="7C9B9F65" w14:textId="5E134FC5" w:rsidR="00D9703A" w:rsidRPr="0061543B" w:rsidRDefault="00D9703A" w:rsidP="00D7453D">
      <w:pPr>
        <w:pStyle w:val="Para1"/>
        <w:rPr>
          <w:szCs w:val="22"/>
        </w:rPr>
      </w:pPr>
      <w:r w:rsidRPr="0061543B">
        <w:rPr>
          <w:color w:val="000000"/>
          <w:szCs w:val="22"/>
          <w:shd w:val="clear" w:color="auto" w:fill="FFFFFF"/>
        </w:rPr>
        <w:lastRenderedPageBreak/>
        <w:t xml:space="preserve">The </w:t>
      </w:r>
      <w:r w:rsidR="002B3EF4" w:rsidRPr="0061543B">
        <w:t>Technical Expert Group</w:t>
      </w:r>
      <w:r w:rsidR="002B3EF4" w:rsidRPr="0061543B" w:rsidDel="002B3EF4">
        <w:rPr>
          <w:color w:val="000000"/>
          <w:szCs w:val="22"/>
          <w:shd w:val="clear" w:color="auto" w:fill="FFFFFF"/>
        </w:rPr>
        <w:t xml:space="preserve"> </w:t>
      </w:r>
      <w:r w:rsidR="00A81C49" w:rsidRPr="0061543B">
        <w:rPr>
          <w:color w:val="000000"/>
          <w:szCs w:val="22"/>
          <w:shd w:val="clear" w:color="auto" w:fill="FFFFFF"/>
        </w:rPr>
        <w:t xml:space="preserve">reviewed </w:t>
      </w:r>
      <w:r w:rsidRPr="0061543B">
        <w:rPr>
          <w:color w:val="000000"/>
          <w:szCs w:val="22"/>
          <w:shd w:val="clear" w:color="auto" w:fill="FFFFFF"/>
        </w:rPr>
        <w:t xml:space="preserve">potential areas for disaggregation and used the </w:t>
      </w:r>
      <w:r w:rsidR="00BD5725" w:rsidRPr="00501C6D">
        <w:rPr>
          <w:color w:val="000000"/>
          <w:szCs w:val="22"/>
          <w:shd w:val="clear" w:color="auto" w:fill="FFFFFF"/>
        </w:rPr>
        <w:t>Secretariat’s</w:t>
      </w:r>
      <w:r w:rsidR="00BD5725" w:rsidRPr="0061543B">
        <w:rPr>
          <w:color w:val="000000"/>
          <w:szCs w:val="22"/>
          <w:shd w:val="clear" w:color="auto" w:fill="FFFFFF"/>
        </w:rPr>
        <w:t xml:space="preserve"> </w:t>
      </w:r>
      <w:r w:rsidR="00513A82" w:rsidRPr="0061543B">
        <w:rPr>
          <w:color w:val="000000"/>
          <w:szCs w:val="22"/>
          <w:shd w:val="clear" w:color="auto" w:fill="FFFFFF"/>
        </w:rPr>
        <w:t>work</w:t>
      </w:r>
      <w:r w:rsidRPr="0061543B">
        <w:rPr>
          <w:color w:val="000000"/>
          <w:szCs w:val="22"/>
          <w:shd w:val="clear" w:color="auto" w:fill="FFFFFF"/>
        </w:rPr>
        <w:t xml:space="preserve"> to </w:t>
      </w:r>
      <w:r w:rsidRPr="00501C6D">
        <w:rPr>
          <w:color w:val="000000" w:themeColor="text1"/>
          <w:szCs w:val="22"/>
        </w:rPr>
        <w:t xml:space="preserve">prepare </w:t>
      </w:r>
      <w:r w:rsidR="00A81C49" w:rsidRPr="00501C6D">
        <w:rPr>
          <w:color w:val="000000" w:themeColor="text1"/>
          <w:szCs w:val="22"/>
        </w:rPr>
        <w:t xml:space="preserve">an </w:t>
      </w:r>
      <w:r w:rsidRPr="00501C6D">
        <w:rPr>
          <w:color w:val="000000" w:themeColor="text1"/>
          <w:szCs w:val="22"/>
        </w:rPr>
        <w:t xml:space="preserve">overview table of </w:t>
      </w:r>
      <w:r w:rsidR="00A81C49" w:rsidRPr="00501C6D">
        <w:rPr>
          <w:color w:val="000000" w:themeColor="text1"/>
          <w:szCs w:val="22"/>
        </w:rPr>
        <w:t>possible methodologies</w:t>
      </w:r>
      <w:r w:rsidRPr="00501C6D">
        <w:rPr>
          <w:color w:val="000000" w:themeColor="text1"/>
          <w:szCs w:val="22"/>
        </w:rPr>
        <w:t xml:space="preserve"> </w:t>
      </w:r>
      <w:r w:rsidR="002124CA" w:rsidRPr="00501C6D">
        <w:rPr>
          <w:color w:val="000000" w:themeColor="text1"/>
          <w:szCs w:val="22"/>
        </w:rPr>
        <w:t>and databases</w:t>
      </w:r>
      <w:r w:rsidR="00513A82" w:rsidRPr="00501C6D">
        <w:rPr>
          <w:color w:val="000000" w:themeColor="text1"/>
          <w:szCs w:val="22"/>
        </w:rPr>
        <w:t>, as well</w:t>
      </w:r>
      <w:r w:rsidR="002124CA" w:rsidRPr="00501C6D">
        <w:rPr>
          <w:color w:val="000000" w:themeColor="text1"/>
          <w:szCs w:val="22"/>
        </w:rPr>
        <w:t xml:space="preserve"> </w:t>
      </w:r>
      <w:r w:rsidRPr="00501C6D">
        <w:rPr>
          <w:color w:val="000000" w:themeColor="text1"/>
          <w:szCs w:val="22"/>
        </w:rPr>
        <w:t>a</w:t>
      </w:r>
      <w:r w:rsidR="00513A82" w:rsidRPr="00501C6D">
        <w:rPr>
          <w:color w:val="000000" w:themeColor="text1"/>
          <w:szCs w:val="22"/>
        </w:rPr>
        <w:t>s a</w:t>
      </w:r>
      <w:r w:rsidRPr="00501C6D">
        <w:rPr>
          <w:color w:val="000000" w:themeColor="text1"/>
          <w:szCs w:val="22"/>
        </w:rPr>
        <w:t xml:space="preserve"> draft metadata fact sheet. </w:t>
      </w:r>
    </w:p>
    <w:p w14:paraId="7118B2C1" w14:textId="08A2EB8D" w:rsidR="00C56532" w:rsidRPr="0061543B" w:rsidRDefault="00C56532" w:rsidP="001D5473">
      <w:pPr>
        <w:rPr>
          <w:b/>
          <w:bCs/>
          <w:sz w:val="24"/>
        </w:rPr>
      </w:pPr>
      <w:r w:rsidRPr="0061543B">
        <w:rPr>
          <w:b/>
          <w:bCs/>
          <w:sz w:val="24"/>
        </w:rPr>
        <w:t>Item 5</w:t>
      </w:r>
    </w:p>
    <w:p w14:paraId="2FDF3378" w14:textId="1DAC2BCA" w:rsidR="001714EC" w:rsidRPr="0061543B" w:rsidRDefault="00264168" w:rsidP="001D5473">
      <w:pPr>
        <w:rPr>
          <w:b/>
          <w:sz w:val="24"/>
        </w:rPr>
      </w:pPr>
      <w:r w:rsidRPr="0061543B">
        <w:rPr>
          <w:b/>
          <w:bCs/>
          <w:sz w:val="24"/>
        </w:rPr>
        <w:t>Consolidation of the work of the subgroups</w:t>
      </w:r>
    </w:p>
    <w:p w14:paraId="27BAC52E" w14:textId="3150DB31" w:rsidR="00CB7363" w:rsidRPr="0061543B" w:rsidRDefault="00F948CB" w:rsidP="2FDB304F">
      <w:pPr>
        <w:pStyle w:val="Para1"/>
      </w:pPr>
      <w:r w:rsidRPr="0061543B">
        <w:t xml:space="preserve">Further to </w:t>
      </w:r>
      <w:r w:rsidR="00C56532" w:rsidRPr="0061543B">
        <w:t xml:space="preserve">the discussions under agenda item 4, the </w:t>
      </w:r>
      <w:r w:rsidR="000D7CC3" w:rsidRPr="0061543B">
        <w:t>C</w:t>
      </w:r>
      <w:r w:rsidR="00C56532" w:rsidRPr="0061543B">
        <w:t>o-</w:t>
      </w:r>
      <w:r w:rsidR="000D7CC3" w:rsidRPr="0061543B">
        <w:t>C</w:t>
      </w:r>
      <w:r w:rsidR="00C56532" w:rsidRPr="0061543B">
        <w:t>hairs</w:t>
      </w:r>
      <w:r w:rsidR="00892402" w:rsidRPr="0061543B">
        <w:t>,</w:t>
      </w:r>
      <w:r w:rsidR="00C56532" w:rsidRPr="0061543B">
        <w:t xml:space="preserve"> with the support of the Secr</w:t>
      </w:r>
      <w:r w:rsidR="00B23891" w:rsidRPr="0061543B">
        <w:t>e</w:t>
      </w:r>
      <w:r w:rsidR="00C56532" w:rsidRPr="0061543B">
        <w:t>tariat</w:t>
      </w:r>
      <w:r w:rsidR="00892402" w:rsidRPr="0061543B">
        <w:t>,</w:t>
      </w:r>
      <w:r w:rsidR="00C56532" w:rsidRPr="0061543B">
        <w:t xml:space="preserve"> prepared a draft recommendation</w:t>
      </w:r>
      <w:r w:rsidR="00B23891" w:rsidRPr="0061543B">
        <w:t xml:space="preserve"> </w:t>
      </w:r>
      <w:r w:rsidR="00D71B09" w:rsidRPr="0061543B">
        <w:t>(</w:t>
      </w:r>
      <w:r w:rsidR="00776B11" w:rsidRPr="0061543B">
        <w:t xml:space="preserve">see </w:t>
      </w:r>
      <w:r w:rsidR="00A81826">
        <w:t>below</w:t>
      </w:r>
      <w:r w:rsidR="00D71B09" w:rsidRPr="0061543B">
        <w:t>)</w:t>
      </w:r>
      <w:r w:rsidR="006C36CE" w:rsidRPr="0061543B">
        <w:t>,</w:t>
      </w:r>
      <w:r w:rsidR="007E609A" w:rsidRPr="0061543B">
        <w:t xml:space="preserve"> </w:t>
      </w:r>
      <w:r w:rsidR="00C5218C" w:rsidRPr="0061543B">
        <w:t>W</w:t>
      </w:r>
      <w:r w:rsidR="006C36CE" w:rsidRPr="0061543B">
        <w:t>hich t</w:t>
      </w:r>
      <w:r w:rsidR="007E609A" w:rsidRPr="0061543B">
        <w:t xml:space="preserve">he </w:t>
      </w:r>
      <w:r w:rsidR="006C36CE" w:rsidRPr="0061543B">
        <w:t xml:space="preserve">Technical Expert </w:t>
      </w:r>
      <w:r w:rsidR="00892402" w:rsidRPr="0061543B">
        <w:t xml:space="preserve">Group </w:t>
      </w:r>
      <w:r w:rsidR="007E609A" w:rsidRPr="0061543B">
        <w:t>reviewed and approved</w:t>
      </w:r>
      <w:r w:rsidR="006C36CE" w:rsidRPr="0061543B">
        <w:t>.</w:t>
      </w:r>
      <w:r w:rsidR="007E609A" w:rsidRPr="0061543B">
        <w:t xml:space="preserve"> </w:t>
      </w:r>
    </w:p>
    <w:p w14:paraId="1EC8CC1C" w14:textId="29B8544C" w:rsidR="005D4E6A" w:rsidRPr="0061543B" w:rsidRDefault="005D4E6A" w:rsidP="2FDB304F">
      <w:pPr>
        <w:pStyle w:val="Para1"/>
      </w:pPr>
      <w:r w:rsidRPr="0061543B">
        <w:t xml:space="preserve">The </w:t>
      </w:r>
      <w:r w:rsidR="00E7478D" w:rsidRPr="0061543B">
        <w:t>Technical Expert Group</w:t>
      </w:r>
      <w:r w:rsidR="00E7478D" w:rsidRPr="0061543B" w:rsidDel="00E7478D">
        <w:t xml:space="preserve"> </w:t>
      </w:r>
      <w:r w:rsidR="00E76C5F" w:rsidRPr="0061543B">
        <w:t xml:space="preserve">also </w:t>
      </w:r>
      <w:r w:rsidRPr="0061543B">
        <w:t xml:space="preserve">reviewed and approved </w:t>
      </w:r>
      <w:r w:rsidR="00CC7D34" w:rsidRPr="0061543B">
        <w:t>the indicator tables prepared by the subgroups</w:t>
      </w:r>
      <w:r w:rsidR="00F36A88" w:rsidRPr="0061543B">
        <w:t xml:space="preserve"> for the individual targets</w:t>
      </w:r>
      <w:r w:rsidR="00E660E3" w:rsidRPr="0061543B">
        <w:t>,</w:t>
      </w:r>
      <w:r w:rsidR="00F36A88" w:rsidRPr="0061543B">
        <w:t xml:space="preserve"> </w:t>
      </w:r>
      <w:r w:rsidR="00DA0E2A" w:rsidRPr="0061543B">
        <w:t xml:space="preserve">as </w:t>
      </w:r>
      <w:r w:rsidR="00F36A88" w:rsidRPr="0061543B">
        <w:t xml:space="preserve">consolidated </w:t>
      </w:r>
      <w:r w:rsidR="00C10AFE" w:rsidRPr="0061543B">
        <w:t xml:space="preserve">in </w:t>
      </w:r>
      <w:r w:rsidR="007C5196" w:rsidRPr="0061543B">
        <w:t>a</w:t>
      </w:r>
      <w:r w:rsidR="000E76B2" w:rsidRPr="0061543B">
        <w:t>nnex</w:t>
      </w:r>
      <w:r w:rsidR="004019AE" w:rsidRPr="0061543B">
        <w:t xml:space="preserve"> I</w:t>
      </w:r>
      <w:r w:rsidR="00C10AFE" w:rsidRPr="0061543B">
        <w:t xml:space="preserve"> to the draft recommendation</w:t>
      </w:r>
      <w:r w:rsidR="00E660E3" w:rsidRPr="0061543B">
        <w:t xml:space="preserve">, and </w:t>
      </w:r>
      <w:r w:rsidR="00C25D27" w:rsidRPr="0061543B">
        <w:t xml:space="preserve">the </w:t>
      </w:r>
      <w:r w:rsidR="004A3E2D" w:rsidRPr="0061543B">
        <w:t>overview table o</w:t>
      </w:r>
      <w:r w:rsidR="00C25D27" w:rsidRPr="0061543B">
        <w:t>n</w:t>
      </w:r>
      <w:r w:rsidR="004A3E2D" w:rsidRPr="0061543B">
        <w:t xml:space="preserve"> capacity-building and further methodological work needed</w:t>
      </w:r>
      <w:r w:rsidR="00E660E3" w:rsidRPr="0061543B">
        <w:t xml:space="preserve">, </w:t>
      </w:r>
      <w:r w:rsidR="00C25D27" w:rsidRPr="0061543B">
        <w:t xml:space="preserve">as </w:t>
      </w:r>
      <w:r w:rsidR="00E660E3" w:rsidRPr="0061543B">
        <w:t>contained in annex</w:t>
      </w:r>
      <w:r w:rsidR="00D72C10">
        <w:t> </w:t>
      </w:r>
      <w:r w:rsidR="00E660E3" w:rsidRPr="0061543B">
        <w:t>II to the draft recommendation</w:t>
      </w:r>
      <w:r w:rsidR="000E76B2" w:rsidRPr="0061543B">
        <w:t>.</w:t>
      </w:r>
    </w:p>
    <w:p w14:paraId="476C179A" w14:textId="6FC3F80E" w:rsidR="063ADBF5" w:rsidRPr="0061543B" w:rsidRDefault="000E76B2" w:rsidP="002D4D0D">
      <w:pPr>
        <w:pStyle w:val="Para1"/>
      </w:pPr>
      <w:r w:rsidRPr="0061543B">
        <w:t xml:space="preserve">The </w:t>
      </w:r>
      <w:r w:rsidR="00C9210A" w:rsidRPr="0061543B">
        <w:t>Technical Expert Group</w:t>
      </w:r>
      <w:r w:rsidR="00C9210A" w:rsidRPr="0061543B" w:rsidDel="00C9210A">
        <w:t xml:space="preserve"> </w:t>
      </w:r>
      <w:r w:rsidR="00211305" w:rsidRPr="0061543B">
        <w:t xml:space="preserve">further </w:t>
      </w:r>
      <w:r w:rsidRPr="0061543B">
        <w:t xml:space="preserve">reviewed and approved the metadata fact sheets for </w:t>
      </w:r>
      <w:r w:rsidR="00B91C94" w:rsidRPr="0061543B">
        <w:t xml:space="preserve">headline </w:t>
      </w:r>
      <w:r w:rsidRPr="0061543B">
        <w:t>indic</w:t>
      </w:r>
      <w:r w:rsidR="0041391C" w:rsidRPr="0061543B">
        <w:t>ato</w:t>
      </w:r>
      <w:r w:rsidRPr="0061543B">
        <w:t xml:space="preserve">rs </w:t>
      </w:r>
      <w:r w:rsidR="0041391C" w:rsidRPr="0061543B">
        <w:t>18.1, 18.2, D.</w:t>
      </w:r>
      <w:r w:rsidR="0041391C" w:rsidRPr="00501C6D">
        <w:t>1 and</w:t>
      </w:r>
      <w:r w:rsidR="0041391C" w:rsidRPr="0061543B">
        <w:t xml:space="preserve"> D.2</w:t>
      </w:r>
      <w:r w:rsidR="00F02BB9" w:rsidRPr="0061543B">
        <w:t xml:space="preserve">, </w:t>
      </w:r>
      <w:r w:rsidR="008C11CB" w:rsidRPr="0061543B">
        <w:t xml:space="preserve">which concern </w:t>
      </w:r>
      <w:r w:rsidR="00F02BB9" w:rsidRPr="0061543B">
        <w:t>Targets 18 and 19 of the Framework.</w:t>
      </w:r>
      <w:r w:rsidR="0041391C" w:rsidRPr="0061543B">
        <w:t xml:space="preserve"> </w:t>
      </w:r>
      <w:r w:rsidR="00DB60AE" w:rsidRPr="0061543B">
        <w:t xml:space="preserve">The </w:t>
      </w:r>
      <w:r w:rsidR="00D85755" w:rsidRPr="0061543B">
        <w:t xml:space="preserve">Group </w:t>
      </w:r>
      <w:r w:rsidR="00DB60AE" w:rsidRPr="0061543B">
        <w:t xml:space="preserve">also approved a draft metadata fact sheet for </w:t>
      </w:r>
      <w:r w:rsidR="001E6834" w:rsidRPr="0061543B">
        <w:t xml:space="preserve">headline </w:t>
      </w:r>
      <w:r w:rsidR="00DB60AE" w:rsidRPr="0061543B">
        <w:t>indicator D.3 and</w:t>
      </w:r>
      <w:r w:rsidR="006B4E70" w:rsidRPr="0061543B">
        <w:t xml:space="preserve"> authorized the </w:t>
      </w:r>
      <w:r w:rsidR="004B1E7F" w:rsidRPr="0061543B">
        <w:t>C</w:t>
      </w:r>
      <w:r w:rsidR="006B4E70" w:rsidRPr="0061543B">
        <w:t>o-</w:t>
      </w:r>
      <w:r w:rsidR="004B1E7F" w:rsidRPr="0061543B">
        <w:t>C</w:t>
      </w:r>
      <w:r w:rsidR="006B4E70" w:rsidRPr="0061543B">
        <w:t>hairs and chaperone</w:t>
      </w:r>
      <w:r w:rsidR="005A0458" w:rsidRPr="0061543B">
        <w:t xml:space="preserve">s to finalize </w:t>
      </w:r>
      <w:r w:rsidR="001E6834" w:rsidRPr="0061543B">
        <w:t>it</w:t>
      </w:r>
      <w:r w:rsidR="005A0458" w:rsidRPr="0061543B">
        <w:t>, with the support of the Secretariat</w:t>
      </w:r>
      <w:r w:rsidR="00C8158A" w:rsidRPr="0061543B">
        <w:t>.</w:t>
      </w:r>
    </w:p>
    <w:p w14:paraId="301D7034" w14:textId="61E67161" w:rsidR="001714EC" w:rsidRPr="0061543B" w:rsidRDefault="001714EC" w:rsidP="001D5473">
      <w:pPr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t>Item</w:t>
      </w:r>
      <w:r w:rsidRPr="0061543B">
        <w:rPr>
          <w:b/>
          <w:spacing w:val="-4"/>
          <w:sz w:val="24"/>
        </w:rPr>
        <w:t xml:space="preserve"> </w:t>
      </w:r>
      <w:r w:rsidR="00937C75" w:rsidRPr="0061543B">
        <w:rPr>
          <w:b/>
          <w:spacing w:val="-10"/>
          <w:sz w:val="24"/>
        </w:rPr>
        <w:t>6</w:t>
      </w:r>
    </w:p>
    <w:p w14:paraId="439AA692" w14:textId="3F8A1D74" w:rsidR="001977D3" w:rsidRPr="0061543B" w:rsidRDefault="00264168" w:rsidP="001D5473">
      <w:pPr>
        <w:rPr>
          <w:b/>
          <w:sz w:val="24"/>
        </w:rPr>
      </w:pPr>
      <w:r w:rsidRPr="0061543B">
        <w:rPr>
          <w:b/>
          <w:bCs/>
          <w:sz w:val="24"/>
        </w:rPr>
        <w:t>Next steps</w:t>
      </w:r>
    </w:p>
    <w:p w14:paraId="749DD344" w14:textId="18B2800A" w:rsidR="00FB6242" w:rsidRPr="0061543B" w:rsidRDefault="0031789C" w:rsidP="00264168">
      <w:pPr>
        <w:pStyle w:val="Para1"/>
      </w:pPr>
      <w:r>
        <w:t>A</w:t>
      </w:r>
      <w:r w:rsidRPr="0061543B">
        <w:t xml:space="preserve"> </w:t>
      </w:r>
      <w:r w:rsidR="002D4D0D" w:rsidRPr="0061543B">
        <w:t xml:space="preserve">representative of the Secretariat </w:t>
      </w:r>
      <w:r w:rsidR="009812C6" w:rsidRPr="0061543B">
        <w:t xml:space="preserve">referred to </w:t>
      </w:r>
      <w:r w:rsidR="00492C35" w:rsidRPr="0061543B">
        <w:t xml:space="preserve">the </w:t>
      </w:r>
      <w:r w:rsidR="00204F72" w:rsidRPr="0061543B">
        <w:t>forth</w:t>
      </w:r>
      <w:r w:rsidR="00492C35" w:rsidRPr="0061543B">
        <w:t xml:space="preserve">coming </w:t>
      </w:r>
      <w:r w:rsidR="000C61F3" w:rsidRPr="0061543B">
        <w:t xml:space="preserve">final </w:t>
      </w:r>
      <w:r w:rsidR="00492C35" w:rsidRPr="0061543B">
        <w:t xml:space="preserve">meeting of the </w:t>
      </w:r>
      <w:r w:rsidR="00E7057C" w:rsidRPr="0061543B">
        <w:t xml:space="preserve">Ad Hoc Technical Expert Group </w:t>
      </w:r>
      <w:r w:rsidR="00492C35" w:rsidRPr="0061543B">
        <w:t xml:space="preserve">on </w:t>
      </w:r>
      <w:r w:rsidR="00E414D4" w:rsidRPr="0061543B">
        <w:t>I</w:t>
      </w:r>
      <w:r w:rsidR="00492C35" w:rsidRPr="0061543B">
        <w:t xml:space="preserve">ndicators, </w:t>
      </w:r>
      <w:r w:rsidR="00E414D4" w:rsidRPr="0061543B">
        <w:t>to be held</w:t>
      </w:r>
      <w:r w:rsidR="000C61F3" w:rsidRPr="0061543B">
        <w:t xml:space="preserve"> from </w:t>
      </w:r>
      <w:r w:rsidR="00D75492" w:rsidRPr="0061543B">
        <w:t xml:space="preserve">12 </w:t>
      </w:r>
      <w:r w:rsidR="00346E0B" w:rsidRPr="0061543B">
        <w:t xml:space="preserve">to </w:t>
      </w:r>
      <w:r w:rsidR="00D75492" w:rsidRPr="0061543B">
        <w:t>15 March 2024</w:t>
      </w:r>
      <w:r w:rsidR="005E1DD2" w:rsidRPr="0061543B">
        <w:t>,</w:t>
      </w:r>
      <w:r w:rsidR="00D75492" w:rsidRPr="0061543B">
        <w:t xml:space="preserve"> and </w:t>
      </w:r>
      <w:r w:rsidR="009812C6" w:rsidRPr="0061543B">
        <w:t xml:space="preserve">underlined </w:t>
      </w:r>
      <w:r w:rsidR="00D75492" w:rsidRPr="0061543B">
        <w:t xml:space="preserve">the need to make the outcome </w:t>
      </w:r>
      <w:r w:rsidR="00A45532" w:rsidRPr="0061543B">
        <w:t xml:space="preserve">of the work of the </w:t>
      </w:r>
      <w:r w:rsidR="00FC77B3" w:rsidRPr="0061543B">
        <w:t xml:space="preserve">Technical Expert Group on Financial Reporting </w:t>
      </w:r>
      <w:r w:rsidR="00A45532" w:rsidRPr="0061543B">
        <w:t xml:space="preserve">available in an expeditious manner. </w:t>
      </w:r>
      <w:r w:rsidR="001C4FF5" w:rsidRPr="0061543B">
        <w:t xml:space="preserve">The outcome of the </w:t>
      </w:r>
      <w:r w:rsidR="00150CB5" w:rsidRPr="0061543B">
        <w:t xml:space="preserve">present meeting, </w:t>
      </w:r>
      <w:r w:rsidR="00C61A5A" w:rsidRPr="0061543B">
        <w:t xml:space="preserve">as contained in </w:t>
      </w:r>
      <w:r w:rsidR="00A36AC9" w:rsidRPr="0061543B">
        <w:t>a</w:t>
      </w:r>
      <w:r w:rsidR="00C61A5A" w:rsidRPr="0061543B">
        <w:t xml:space="preserve">nnex </w:t>
      </w:r>
      <w:r w:rsidR="00A36AC9" w:rsidRPr="0061543B">
        <w:t xml:space="preserve">I to </w:t>
      </w:r>
      <w:r w:rsidR="00C61A5A" w:rsidRPr="0061543B">
        <w:t>the present report,</w:t>
      </w:r>
      <w:r w:rsidR="001C4FF5" w:rsidRPr="0061543B">
        <w:t xml:space="preserve"> would therefore be made available to the </w:t>
      </w:r>
      <w:r w:rsidR="00A36AC9" w:rsidRPr="0061543B">
        <w:t xml:space="preserve">Ad Hoc Technical Expert Group on Indicators </w:t>
      </w:r>
      <w:r w:rsidR="00FB6242" w:rsidRPr="0061543B">
        <w:t xml:space="preserve">in an informal manner, </w:t>
      </w:r>
      <w:r w:rsidR="00150CB5" w:rsidRPr="0061543B">
        <w:t xml:space="preserve">before the report was </w:t>
      </w:r>
      <w:r w:rsidR="00FB6242" w:rsidRPr="0061543B">
        <w:t>finaliz</w:t>
      </w:r>
      <w:r w:rsidR="00150CB5" w:rsidRPr="0061543B">
        <w:t>ed</w:t>
      </w:r>
      <w:r w:rsidR="00FB6242" w:rsidRPr="0061543B">
        <w:t xml:space="preserve"> and </w:t>
      </w:r>
      <w:r w:rsidR="00150CB5" w:rsidRPr="0061543B">
        <w:t>issued.</w:t>
      </w:r>
    </w:p>
    <w:p w14:paraId="0CFBB131" w14:textId="4ADAD98B" w:rsidR="00264168" w:rsidRPr="0061543B" w:rsidRDefault="00FB6242" w:rsidP="00665599">
      <w:pPr>
        <w:pStyle w:val="Para1"/>
      </w:pPr>
      <w:r w:rsidRPr="0061543B">
        <w:t xml:space="preserve">The </w:t>
      </w:r>
      <w:r w:rsidR="00403762" w:rsidRPr="0061543B">
        <w:t>C</w:t>
      </w:r>
      <w:r w:rsidRPr="0061543B">
        <w:t>o-</w:t>
      </w:r>
      <w:r w:rsidR="00403762" w:rsidRPr="0061543B">
        <w:t>C</w:t>
      </w:r>
      <w:r w:rsidRPr="0061543B">
        <w:t xml:space="preserve">hairs informed </w:t>
      </w:r>
      <w:r w:rsidR="004D78CE" w:rsidRPr="0061543B">
        <w:t xml:space="preserve">the Group members </w:t>
      </w:r>
      <w:r w:rsidRPr="0061543B">
        <w:t>that they would attend</w:t>
      </w:r>
      <w:r w:rsidR="00C61A5A" w:rsidRPr="0061543B">
        <w:t xml:space="preserve"> the meeting of the </w:t>
      </w:r>
      <w:r w:rsidR="00403762" w:rsidRPr="0061543B">
        <w:t xml:space="preserve">Ad Hoc Technical Expert Group on Indicators </w:t>
      </w:r>
      <w:r w:rsidR="00C61A5A" w:rsidRPr="0061543B">
        <w:t xml:space="preserve">and present the outcomes </w:t>
      </w:r>
      <w:r w:rsidR="00665599" w:rsidRPr="0061543B">
        <w:t xml:space="preserve">of the work of the </w:t>
      </w:r>
      <w:r w:rsidR="00403762" w:rsidRPr="0061543B">
        <w:t>Technical Expert Group on Financial Reporting</w:t>
      </w:r>
      <w:r w:rsidR="00665599" w:rsidRPr="0061543B">
        <w:t>.</w:t>
      </w:r>
      <w:r w:rsidRPr="0061543B">
        <w:t xml:space="preserve"> </w:t>
      </w:r>
    </w:p>
    <w:p w14:paraId="2EC94B64" w14:textId="4BBBC4E6" w:rsidR="00264168" w:rsidRPr="0061543B" w:rsidRDefault="00264168" w:rsidP="00264168">
      <w:pPr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t>Item</w:t>
      </w:r>
      <w:r w:rsidRPr="0061543B">
        <w:rPr>
          <w:b/>
          <w:spacing w:val="-4"/>
          <w:sz w:val="24"/>
        </w:rPr>
        <w:t xml:space="preserve"> </w:t>
      </w:r>
      <w:r w:rsidRPr="0061543B">
        <w:rPr>
          <w:b/>
          <w:spacing w:val="-10"/>
          <w:sz w:val="24"/>
        </w:rPr>
        <w:t>7</w:t>
      </w:r>
    </w:p>
    <w:p w14:paraId="7B5E03B5" w14:textId="5F8FFD07" w:rsidR="00264168" w:rsidRPr="0061543B" w:rsidRDefault="00264168" w:rsidP="00264168">
      <w:pPr>
        <w:rPr>
          <w:b/>
          <w:sz w:val="24"/>
        </w:rPr>
      </w:pPr>
      <w:r w:rsidRPr="0061543B">
        <w:rPr>
          <w:b/>
          <w:sz w:val="24"/>
        </w:rPr>
        <w:t xml:space="preserve">Other matters </w:t>
      </w:r>
    </w:p>
    <w:p w14:paraId="0E834159" w14:textId="0AFD0F3E" w:rsidR="00264168" w:rsidRPr="0061543B" w:rsidRDefault="2A4ACBCB" w:rsidP="00264168">
      <w:pPr>
        <w:pStyle w:val="Para1"/>
      </w:pPr>
      <w:r w:rsidRPr="0061543B">
        <w:t xml:space="preserve">No issues were raised under agenda item 7. </w:t>
      </w:r>
    </w:p>
    <w:p w14:paraId="372E237C" w14:textId="1A8C75B0" w:rsidR="00264168" w:rsidRPr="0061543B" w:rsidRDefault="00264168" w:rsidP="00264168">
      <w:pPr>
        <w:spacing w:before="123"/>
        <w:rPr>
          <w:b/>
          <w:sz w:val="24"/>
          <w:szCs w:val="22"/>
        </w:rPr>
      </w:pPr>
      <w:r w:rsidRPr="0061543B">
        <w:rPr>
          <w:b/>
          <w:sz w:val="24"/>
        </w:rPr>
        <w:t>Item</w:t>
      </w:r>
      <w:r w:rsidRPr="0061543B">
        <w:rPr>
          <w:b/>
          <w:spacing w:val="-4"/>
          <w:sz w:val="24"/>
        </w:rPr>
        <w:t xml:space="preserve"> </w:t>
      </w:r>
      <w:r w:rsidRPr="0061543B">
        <w:rPr>
          <w:b/>
          <w:spacing w:val="-10"/>
          <w:sz w:val="24"/>
        </w:rPr>
        <w:t>8</w:t>
      </w:r>
    </w:p>
    <w:p w14:paraId="00142B36" w14:textId="35A7D468" w:rsidR="00264168" w:rsidRPr="0061543B" w:rsidRDefault="00264168" w:rsidP="00264168">
      <w:pPr>
        <w:rPr>
          <w:b/>
          <w:sz w:val="24"/>
        </w:rPr>
      </w:pPr>
      <w:r w:rsidRPr="0061543B">
        <w:rPr>
          <w:b/>
          <w:sz w:val="24"/>
        </w:rPr>
        <w:t xml:space="preserve">Adoption of report </w:t>
      </w:r>
    </w:p>
    <w:p w14:paraId="5F0625E9" w14:textId="27420B28" w:rsidR="00264168" w:rsidRPr="0061543B" w:rsidRDefault="00CA478A" w:rsidP="00264168">
      <w:pPr>
        <w:pStyle w:val="Para1"/>
      </w:pPr>
      <w:r w:rsidRPr="0061543B">
        <w:t>T</w:t>
      </w:r>
      <w:r w:rsidR="48EBE095" w:rsidRPr="0061543B">
        <w:t xml:space="preserve">he </w:t>
      </w:r>
      <w:r w:rsidR="00740460" w:rsidRPr="0061543B">
        <w:t>Technical Expert Group</w:t>
      </w:r>
      <w:r w:rsidR="00740460" w:rsidRPr="0061543B" w:rsidDel="00740460">
        <w:t xml:space="preserve"> </w:t>
      </w:r>
      <w:r w:rsidR="48EBE095" w:rsidRPr="0061543B">
        <w:t xml:space="preserve">considered </w:t>
      </w:r>
      <w:r w:rsidR="00C610C1" w:rsidRPr="0061543B">
        <w:t xml:space="preserve">a </w:t>
      </w:r>
      <w:r w:rsidRPr="0061543B">
        <w:t xml:space="preserve">draft report of the meeting prepared by the Secretariat </w:t>
      </w:r>
      <w:r w:rsidR="48EBE095" w:rsidRPr="0061543B">
        <w:t>and adopt</w:t>
      </w:r>
      <w:r w:rsidR="004F402B" w:rsidRPr="0061543B">
        <w:t>ed</w:t>
      </w:r>
      <w:r w:rsidR="48EBE095" w:rsidRPr="0061543B">
        <w:t xml:space="preserve"> </w:t>
      </w:r>
      <w:r w:rsidRPr="0061543B">
        <w:t>it</w:t>
      </w:r>
      <w:r w:rsidR="009F250C" w:rsidRPr="0061543B">
        <w:t>,</w:t>
      </w:r>
      <w:r w:rsidR="095B30F6" w:rsidRPr="0061543B">
        <w:t xml:space="preserve"> </w:t>
      </w:r>
      <w:r w:rsidR="009F250C" w:rsidRPr="0061543B">
        <w:t xml:space="preserve">as </w:t>
      </w:r>
      <w:r w:rsidR="004F402B" w:rsidRPr="0061543B">
        <w:t>oral</w:t>
      </w:r>
      <w:r w:rsidR="009F250C" w:rsidRPr="0061543B">
        <w:t>ly</w:t>
      </w:r>
      <w:r w:rsidR="004F402B" w:rsidRPr="0061543B">
        <w:t xml:space="preserve"> amend</w:t>
      </w:r>
      <w:r w:rsidR="009F250C" w:rsidRPr="0061543B">
        <w:t>ed</w:t>
      </w:r>
      <w:r w:rsidR="48EBE095" w:rsidRPr="0061543B">
        <w:t xml:space="preserve">. In accordance with established practice, </w:t>
      </w:r>
      <w:r w:rsidR="33175144" w:rsidRPr="0061543B">
        <w:t>the</w:t>
      </w:r>
      <w:r w:rsidR="48EBE095" w:rsidRPr="0061543B">
        <w:t xml:space="preserve"> </w:t>
      </w:r>
      <w:r w:rsidR="00EA7B9D" w:rsidRPr="0061543B">
        <w:t>G</w:t>
      </w:r>
      <w:r w:rsidR="33175144" w:rsidRPr="0061543B">
        <w:t xml:space="preserve">roup </w:t>
      </w:r>
      <w:r w:rsidR="48EBE095" w:rsidRPr="0061543B">
        <w:t>authorize</w:t>
      </w:r>
      <w:r w:rsidR="7EC8A345" w:rsidRPr="0061543B">
        <w:t>d</w:t>
      </w:r>
      <w:r w:rsidR="48EBE095" w:rsidRPr="0061543B">
        <w:t xml:space="preserve"> the Co-Chairs to finalize the report after the meeting, with the assistance of the Secretariat</w:t>
      </w:r>
      <w:r w:rsidR="00036021" w:rsidRPr="0061543B">
        <w:t>.</w:t>
      </w:r>
    </w:p>
    <w:p w14:paraId="539314C3" w14:textId="62AF853B" w:rsidR="00264168" w:rsidRPr="0061543B" w:rsidRDefault="00264168" w:rsidP="00264168">
      <w:pPr>
        <w:rPr>
          <w:b/>
          <w:sz w:val="24"/>
        </w:rPr>
      </w:pPr>
      <w:r w:rsidRPr="0061543B">
        <w:rPr>
          <w:b/>
          <w:sz w:val="24"/>
        </w:rPr>
        <w:t xml:space="preserve">Item 9 </w:t>
      </w:r>
    </w:p>
    <w:p w14:paraId="7BB6EA1E" w14:textId="006B8E1F" w:rsidR="00264168" w:rsidRPr="0061543B" w:rsidRDefault="00264168" w:rsidP="00264168">
      <w:pPr>
        <w:rPr>
          <w:b/>
          <w:sz w:val="24"/>
        </w:rPr>
      </w:pPr>
      <w:r w:rsidRPr="0061543B">
        <w:rPr>
          <w:b/>
          <w:sz w:val="24"/>
        </w:rPr>
        <w:t xml:space="preserve">Closure of the meeting </w:t>
      </w:r>
    </w:p>
    <w:p w14:paraId="14B1B90C" w14:textId="2BB2BFFF" w:rsidR="00036021" w:rsidRPr="0061543B" w:rsidRDefault="17A272C0" w:rsidP="00264168">
      <w:pPr>
        <w:pStyle w:val="Para1"/>
      </w:pPr>
      <w:r w:rsidRPr="0061543B">
        <w:t>The Co-Chairs thank</w:t>
      </w:r>
      <w:r w:rsidR="00036021" w:rsidRPr="0061543B">
        <w:t xml:space="preserve">ed </w:t>
      </w:r>
      <w:r w:rsidRPr="0061543B">
        <w:t xml:space="preserve">the participants and the organizers for </w:t>
      </w:r>
      <w:r w:rsidR="00DA327A" w:rsidRPr="0061543B">
        <w:t xml:space="preserve">their </w:t>
      </w:r>
      <w:r w:rsidRPr="0061543B">
        <w:t>contributi</w:t>
      </w:r>
      <w:r w:rsidR="00DA327A" w:rsidRPr="0061543B">
        <w:t>o</w:t>
      </w:r>
      <w:r w:rsidRPr="0061543B">
        <w:t>n</w:t>
      </w:r>
      <w:r w:rsidR="00ED7A21" w:rsidRPr="0061543B">
        <w:t>s</w:t>
      </w:r>
      <w:r w:rsidRPr="0061543B">
        <w:t xml:space="preserve"> to the fruitful discussions held over the course of the meeting.</w:t>
      </w:r>
    </w:p>
    <w:p w14:paraId="39103849" w14:textId="797C7CE0" w:rsidR="00264168" w:rsidRPr="0061543B" w:rsidRDefault="17A272C0" w:rsidP="00620411">
      <w:pPr>
        <w:pStyle w:val="Para1"/>
      </w:pPr>
      <w:r w:rsidRPr="0061543B">
        <w:t xml:space="preserve">After the usual exchange of courtesies, the meeting was closed at </w:t>
      </w:r>
      <w:r w:rsidR="00861D2D" w:rsidRPr="0061543B">
        <w:t>4</w:t>
      </w:r>
      <w:r w:rsidRPr="0061543B">
        <w:t xml:space="preserve"> p.m. on 1 March 2024.</w:t>
      </w:r>
    </w:p>
    <w:p w14:paraId="3B761C22" w14:textId="68C03F91" w:rsidR="00264168" w:rsidRPr="0061543B" w:rsidRDefault="00264168" w:rsidP="4BF6F05C">
      <w:pPr>
        <w:pStyle w:val="Para1"/>
        <w:numPr>
          <w:ilvl w:val="0"/>
          <w:numId w:val="0"/>
        </w:numPr>
        <w:sectPr w:rsidR="00264168" w:rsidRPr="0061543B" w:rsidSect="0064522E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09537B54" w14:textId="7C99C24F" w:rsidR="00DB04C8" w:rsidRPr="0061543B" w:rsidRDefault="00B86A90" w:rsidP="00DB04C8">
      <w:pPr>
        <w:pStyle w:val="Annex"/>
      </w:pPr>
      <w:r w:rsidRPr="0061543B">
        <w:lastRenderedPageBreak/>
        <w:t>Annex I</w:t>
      </w:r>
    </w:p>
    <w:p w14:paraId="62AEEE5A" w14:textId="0469112D" w:rsidR="00DB04C8" w:rsidRPr="00501C6D" w:rsidRDefault="00DB04C8" w:rsidP="00501C6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567"/>
        <w:rPr>
          <w:b/>
          <w:bCs/>
          <w:iCs/>
          <w:kern w:val="22"/>
          <w:sz w:val="28"/>
          <w:szCs w:val="28"/>
        </w:rPr>
      </w:pPr>
      <w:r w:rsidRPr="00501C6D">
        <w:rPr>
          <w:b/>
          <w:bCs/>
          <w:iCs/>
          <w:kern w:val="22"/>
          <w:sz w:val="28"/>
          <w:szCs w:val="28"/>
        </w:rPr>
        <w:t>Recommendation of the Technical Expert Group on Financial Reporting</w:t>
      </w:r>
      <w:r w:rsidR="00025630" w:rsidRPr="0061543B">
        <w:rPr>
          <w:rStyle w:val="FootnoteReference"/>
          <w:b/>
          <w:bCs/>
          <w:iCs/>
          <w:kern w:val="22"/>
          <w:sz w:val="28"/>
          <w:szCs w:val="28"/>
        </w:rPr>
        <w:footnoteReference w:customMarkFollows="1" w:id="3"/>
        <w:t>*</w:t>
      </w:r>
    </w:p>
    <w:p w14:paraId="4F2AC6C6" w14:textId="3156E122" w:rsidR="00A52661" w:rsidRPr="00501C6D" w:rsidRDefault="00A52661" w:rsidP="0003074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567" w:firstLine="567"/>
        <w:rPr>
          <w:iCs/>
          <w:kern w:val="22"/>
          <w:szCs w:val="22"/>
        </w:rPr>
      </w:pPr>
      <w:r w:rsidRPr="0061543B">
        <w:rPr>
          <w:iCs/>
          <w:kern w:val="22"/>
          <w:szCs w:val="22"/>
        </w:rPr>
        <w:t>T</w:t>
      </w:r>
      <w:r w:rsidRPr="00501C6D">
        <w:rPr>
          <w:iCs/>
          <w:kern w:val="22"/>
          <w:szCs w:val="22"/>
        </w:rPr>
        <w:t xml:space="preserve">he Technical Expert Group on Financial Reporting </w:t>
      </w:r>
      <w:r w:rsidRPr="0061543B">
        <w:rPr>
          <w:iCs/>
          <w:kern w:val="22"/>
          <w:szCs w:val="22"/>
        </w:rPr>
        <w:t xml:space="preserve">recommends that the Subsidiary Body on Scientific, Technical and Technological Advice adopt </w:t>
      </w:r>
      <w:r w:rsidR="00416F85">
        <w:rPr>
          <w:iCs/>
          <w:kern w:val="22"/>
          <w:szCs w:val="22"/>
        </w:rPr>
        <w:t xml:space="preserve">elements of </w:t>
      </w:r>
      <w:r w:rsidR="004F3F14" w:rsidRPr="0061543B">
        <w:rPr>
          <w:iCs/>
          <w:kern w:val="22"/>
          <w:szCs w:val="22"/>
        </w:rPr>
        <w:t>a recommendation along the following lines:</w:t>
      </w:r>
    </w:p>
    <w:p w14:paraId="0F7CD5D5" w14:textId="0B8A2E9C" w:rsidR="00DB04C8" w:rsidRPr="0061543B" w:rsidRDefault="00DB04C8" w:rsidP="00DB04C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567" w:firstLine="567"/>
        <w:rPr>
          <w:i/>
          <w:kern w:val="22"/>
          <w:szCs w:val="22"/>
        </w:rPr>
      </w:pPr>
      <w:r w:rsidRPr="0061543B">
        <w:rPr>
          <w:i/>
          <w:kern w:val="22"/>
          <w:szCs w:val="22"/>
        </w:rPr>
        <w:t xml:space="preserve">The </w:t>
      </w:r>
      <w:r w:rsidRPr="00501C6D">
        <w:rPr>
          <w:i/>
          <w:kern w:val="22"/>
          <w:szCs w:val="22"/>
        </w:rPr>
        <w:t xml:space="preserve">Subsidiary Body </w:t>
      </w:r>
      <w:bookmarkStart w:id="6" w:name="_Hlk143864472"/>
      <w:r w:rsidRPr="00501C6D">
        <w:rPr>
          <w:i/>
          <w:kern w:val="22"/>
          <w:szCs w:val="22"/>
        </w:rPr>
        <w:t>on Scientific, Technical and Technological Advice</w:t>
      </w:r>
      <w:bookmarkEnd w:id="6"/>
      <w:r w:rsidRPr="00501C6D">
        <w:rPr>
          <w:iCs/>
          <w:kern w:val="22"/>
          <w:szCs w:val="22"/>
        </w:rPr>
        <w:t>,</w:t>
      </w:r>
    </w:p>
    <w:p w14:paraId="43240BD8" w14:textId="77777777" w:rsidR="00DB04C8" w:rsidRPr="0061543B" w:rsidRDefault="00DB04C8" w:rsidP="00DB04C8">
      <w:pPr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567" w:firstLine="567"/>
        <w:rPr>
          <w:kern w:val="22"/>
          <w:szCs w:val="22"/>
        </w:rPr>
      </w:pPr>
      <w:r w:rsidRPr="0061543B">
        <w:rPr>
          <w:i/>
          <w:kern w:val="22"/>
          <w:szCs w:val="22"/>
        </w:rPr>
        <w:t>Recommends</w:t>
      </w:r>
      <w:r w:rsidRPr="0061543B">
        <w:rPr>
          <w:iCs/>
          <w:kern w:val="22"/>
          <w:szCs w:val="22"/>
        </w:rPr>
        <w:t xml:space="preserve"> that, at its sixteenth meeting, the Conference of the Parties adopt a decision along the </w:t>
      </w:r>
      <w:r w:rsidRPr="0061543B">
        <w:rPr>
          <w:kern w:val="22"/>
          <w:szCs w:val="22"/>
        </w:rPr>
        <w:t>following</w:t>
      </w:r>
      <w:r w:rsidRPr="0061543B">
        <w:rPr>
          <w:iCs/>
          <w:kern w:val="22"/>
          <w:szCs w:val="22"/>
        </w:rPr>
        <w:t xml:space="preserve"> lines:</w:t>
      </w:r>
    </w:p>
    <w:p w14:paraId="58E73189" w14:textId="7F93C597" w:rsidR="00DB04C8" w:rsidRPr="0061543B" w:rsidRDefault="00DB04C8" w:rsidP="00501C6D">
      <w:pPr>
        <w:snapToGrid w:val="0"/>
        <w:spacing w:before="120" w:after="120"/>
        <w:ind w:left="1134" w:firstLine="567"/>
        <w:rPr>
          <w:i/>
          <w:snapToGrid w:val="0"/>
          <w:kern w:val="22"/>
          <w:szCs w:val="22"/>
        </w:rPr>
      </w:pPr>
      <w:r w:rsidRPr="0061543B">
        <w:rPr>
          <w:i/>
          <w:snapToGrid w:val="0"/>
          <w:kern w:val="22"/>
          <w:szCs w:val="22"/>
        </w:rPr>
        <w:t>The Conference of the Parties</w:t>
      </w:r>
    </w:p>
    <w:p w14:paraId="38644D54" w14:textId="63101E0D" w:rsidR="00DB04C8" w:rsidRPr="00501C6D" w:rsidRDefault="00DB04C8" w:rsidP="00501C6D">
      <w:pPr>
        <w:suppressLineNumbers/>
        <w:tabs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noProof/>
          <w:kern w:val="22"/>
          <w:szCs w:val="22"/>
        </w:rPr>
      </w:pPr>
      <w:r w:rsidRPr="0061543B">
        <w:rPr>
          <w:kern w:val="22"/>
          <w:szCs w:val="22"/>
        </w:rPr>
        <w:t>1.</w:t>
      </w:r>
      <w:r w:rsidRPr="0061543B">
        <w:rPr>
          <w:kern w:val="22"/>
          <w:szCs w:val="22"/>
        </w:rPr>
        <w:tab/>
      </w:r>
      <w:r w:rsidRPr="00501C6D">
        <w:rPr>
          <w:i/>
          <w:noProof/>
          <w:kern w:val="22"/>
          <w:szCs w:val="22"/>
        </w:rPr>
        <w:t>Welcomes</w:t>
      </w:r>
      <w:r w:rsidRPr="00501C6D">
        <w:rPr>
          <w:noProof/>
          <w:kern w:val="22"/>
          <w:szCs w:val="22"/>
        </w:rPr>
        <w:t xml:space="preserve"> the work of the Ad Hoc Technical Expert Group on Indicators to the Kunming-Montreal Global Biodiversity Framework and the work of the Technical Expert Group on Financial Reporting;</w:t>
      </w:r>
      <w:r w:rsidRPr="00501C6D">
        <w:rPr>
          <w:rStyle w:val="FootnoteReference"/>
          <w:noProof/>
          <w:kern w:val="22"/>
          <w:szCs w:val="22"/>
        </w:rPr>
        <w:footnoteReference w:id="4"/>
      </w:r>
    </w:p>
    <w:p w14:paraId="7AF77351" w14:textId="725F47E7" w:rsidR="00DB04C8" w:rsidRPr="00501C6D" w:rsidRDefault="00DB04C8" w:rsidP="00501C6D">
      <w:pPr>
        <w:suppressLineNumbers/>
        <w:tabs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2.</w:t>
      </w:r>
      <w:r w:rsidRPr="00501C6D">
        <w:rPr>
          <w:szCs w:val="22"/>
          <w:shd w:val="clear" w:color="auto" w:fill="FFFFFF"/>
        </w:rPr>
        <w:tab/>
      </w:r>
      <w:r w:rsidRPr="00501C6D">
        <w:rPr>
          <w:i/>
          <w:iCs/>
          <w:szCs w:val="22"/>
          <w:shd w:val="clear" w:color="auto" w:fill="FFFFFF"/>
        </w:rPr>
        <w:t>Adopts</w:t>
      </w:r>
      <w:r w:rsidRPr="00501C6D">
        <w:rPr>
          <w:szCs w:val="22"/>
          <w:shd w:val="clear" w:color="auto" w:fill="FFFFFF"/>
        </w:rPr>
        <w:t xml:space="preserve"> the revised set of indicators provided in </w:t>
      </w:r>
      <w:r w:rsidR="004E3322" w:rsidRPr="00501C6D">
        <w:rPr>
          <w:szCs w:val="22"/>
          <w:shd w:val="clear" w:color="auto" w:fill="FFFFFF"/>
        </w:rPr>
        <w:t>annex </w:t>
      </w:r>
      <w:r w:rsidR="008D1D97" w:rsidRPr="00501C6D">
        <w:rPr>
          <w:szCs w:val="22"/>
          <w:shd w:val="clear" w:color="auto" w:fill="FFFFFF"/>
        </w:rPr>
        <w:t>I</w:t>
      </w:r>
      <w:r w:rsidRPr="00501C6D">
        <w:rPr>
          <w:szCs w:val="22"/>
          <w:shd w:val="clear" w:color="auto" w:fill="FFFFFF"/>
        </w:rPr>
        <w:t xml:space="preserve">, and invites Parties to report against the indicators in their national reports, making use of the metadata fact sheets available </w:t>
      </w:r>
      <w:r w:rsidR="00A061F9" w:rsidRPr="00501C6D">
        <w:rPr>
          <w:szCs w:val="22"/>
          <w:shd w:val="clear" w:color="auto" w:fill="FFFFFF"/>
        </w:rPr>
        <w:t>on the website</w:t>
      </w:r>
      <w:r w:rsidR="00A061F9" w:rsidRPr="00501C6D">
        <w:rPr>
          <w:rStyle w:val="FootnoteReference"/>
          <w:szCs w:val="22"/>
          <w:shd w:val="clear" w:color="auto" w:fill="FFFFFF"/>
        </w:rPr>
        <w:footnoteReference w:id="5"/>
      </w:r>
      <w:r w:rsidR="00A061F9" w:rsidRPr="00501C6D">
        <w:rPr>
          <w:szCs w:val="22"/>
          <w:shd w:val="clear" w:color="auto" w:fill="FFFFFF"/>
        </w:rPr>
        <w:t xml:space="preserve"> of the Secretariat of the Convention on Biological Diversity</w:t>
      </w:r>
      <w:r w:rsidRPr="00501C6D">
        <w:rPr>
          <w:szCs w:val="22"/>
          <w:shd w:val="clear" w:color="auto" w:fill="FFFFFF"/>
        </w:rPr>
        <w:t>;</w:t>
      </w:r>
      <w:r w:rsidR="00A061F9" w:rsidRPr="00501C6D">
        <w:rPr>
          <w:rStyle w:val="FootnoteReference"/>
          <w:szCs w:val="22"/>
          <w:shd w:val="clear" w:color="auto" w:fill="FFFFFF"/>
        </w:rPr>
        <w:footnoteReference w:id="6"/>
      </w:r>
    </w:p>
    <w:p w14:paraId="020FE889" w14:textId="2BE4C251" w:rsidR="00DB04C8" w:rsidRPr="00501C6D" w:rsidRDefault="00DB04C8" w:rsidP="00501C6D">
      <w:pPr>
        <w:suppressLineNumbers/>
        <w:tabs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3.</w:t>
      </w:r>
      <w:r w:rsidRPr="00501C6D">
        <w:rPr>
          <w:szCs w:val="22"/>
          <w:shd w:val="clear" w:color="auto" w:fill="FFFFFF"/>
        </w:rPr>
        <w:tab/>
      </w:r>
      <w:r w:rsidRPr="00501C6D">
        <w:rPr>
          <w:i/>
          <w:iCs/>
          <w:szCs w:val="22"/>
          <w:shd w:val="clear" w:color="auto" w:fill="FFFFFF"/>
        </w:rPr>
        <w:t>Welcomes</w:t>
      </w:r>
      <w:r w:rsidRPr="00501C6D">
        <w:rPr>
          <w:szCs w:val="22"/>
          <w:shd w:val="clear" w:color="auto" w:fill="FFFFFF"/>
        </w:rPr>
        <w:t xml:space="preserve"> the work of the international organizations and initiatives </w:t>
      </w:r>
      <w:r w:rsidR="008D58F5">
        <w:rPr>
          <w:szCs w:val="22"/>
          <w:shd w:val="clear" w:color="auto" w:fill="FFFFFF"/>
        </w:rPr>
        <w:t>listed</w:t>
      </w:r>
      <w:r w:rsidR="008D58F5" w:rsidRPr="00501C6D">
        <w:rPr>
          <w:szCs w:val="22"/>
          <w:shd w:val="clear" w:color="auto" w:fill="FFFFFF"/>
        </w:rPr>
        <w:t xml:space="preserve"> </w:t>
      </w:r>
      <w:r w:rsidRPr="00501C6D">
        <w:rPr>
          <w:szCs w:val="22"/>
          <w:shd w:val="clear" w:color="auto" w:fill="FFFFFF"/>
        </w:rPr>
        <w:t xml:space="preserve">in </w:t>
      </w:r>
      <w:r w:rsidR="007A2C59" w:rsidRPr="00501C6D">
        <w:rPr>
          <w:szCs w:val="22"/>
          <w:shd w:val="clear" w:color="auto" w:fill="FFFFFF"/>
        </w:rPr>
        <w:t>a</w:t>
      </w:r>
      <w:r w:rsidRPr="00501C6D">
        <w:rPr>
          <w:szCs w:val="22"/>
          <w:shd w:val="clear" w:color="auto" w:fill="FFFFFF"/>
        </w:rPr>
        <w:t xml:space="preserve">nnex II </w:t>
      </w:r>
      <w:r w:rsidR="00352D50" w:rsidRPr="00501C6D">
        <w:rPr>
          <w:szCs w:val="22"/>
          <w:shd w:val="clear" w:color="auto" w:fill="FFFFFF"/>
        </w:rPr>
        <w:t xml:space="preserve">to </w:t>
      </w:r>
      <w:r w:rsidRPr="00501C6D">
        <w:rPr>
          <w:szCs w:val="22"/>
          <w:shd w:val="clear" w:color="auto" w:fill="FFFFFF"/>
        </w:rPr>
        <w:t>th</w:t>
      </w:r>
      <w:r w:rsidR="00352D50" w:rsidRPr="00501C6D">
        <w:rPr>
          <w:szCs w:val="22"/>
          <w:shd w:val="clear" w:color="auto" w:fill="FFFFFF"/>
        </w:rPr>
        <w:t>e</w:t>
      </w:r>
      <w:r w:rsidRPr="00501C6D">
        <w:rPr>
          <w:szCs w:val="22"/>
          <w:shd w:val="clear" w:color="auto" w:fill="FFFFFF"/>
        </w:rPr>
        <w:t xml:space="preserve"> </w:t>
      </w:r>
      <w:r w:rsidR="00352D50" w:rsidRPr="00501C6D">
        <w:rPr>
          <w:szCs w:val="22"/>
          <w:shd w:val="clear" w:color="auto" w:fill="FFFFFF"/>
        </w:rPr>
        <w:t xml:space="preserve">present </w:t>
      </w:r>
      <w:r w:rsidRPr="00501C6D">
        <w:rPr>
          <w:szCs w:val="22"/>
          <w:shd w:val="clear" w:color="auto" w:fill="FFFFFF"/>
        </w:rPr>
        <w:t>decision, recognizes the</w:t>
      </w:r>
      <w:r w:rsidR="00ED022C" w:rsidRPr="00501C6D">
        <w:rPr>
          <w:szCs w:val="22"/>
          <w:shd w:val="clear" w:color="auto" w:fill="FFFFFF"/>
        </w:rPr>
        <w:t>ir</w:t>
      </w:r>
      <w:r w:rsidRPr="00501C6D">
        <w:rPr>
          <w:szCs w:val="22"/>
          <w:shd w:val="clear" w:color="auto" w:fill="FFFFFF"/>
        </w:rPr>
        <w:t xml:space="preserve"> contributions to </w:t>
      </w:r>
      <w:r w:rsidR="005603D2" w:rsidRPr="00501C6D">
        <w:rPr>
          <w:szCs w:val="22"/>
          <w:shd w:val="clear" w:color="auto" w:fill="FFFFFF"/>
        </w:rPr>
        <w:t xml:space="preserve">the </w:t>
      </w:r>
      <w:r w:rsidR="00C5218C">
        <w:rPr>
          <w:szCs w:val="22"/>
          <w:shd w:val="clear" w:color="auto" w:fill="FFFFFF"/>
        </w:rPr>
        <w:t xml:space="preserve">development </w:t>
      </w:r>
      <w:r w:rsidR="005603D2" w:rsidRPr="00501C6D">
        <w:rPr>
          <w:szCs w:val="22"/>
          <w:shd w:val="clear" w:color="auto" w:fill="FFFFFF"/>
        </w:rPr>
        <w:t xml:space="preserve">of </w:t>
      </w:r>
      <w:r w:rsidRPr="00501C6D">
        <w:rPr>
          <w:szCs w:val="22"/>
          <w:shd w:val="clear" w:color="auto" w:fill="FFFFFF"/>
        </w:rPr>
        <w:t xml:space="preserve">global methodologies and </w:t>
      </w:r>
      <w:r w:rsidR="00C5218C" w:rsidRPr="00483D64">
        <w:rPr>
          <w:szCs w:val="22"/>
          <w:shd w:val="clear" w:color="auto" w:fill="FFFFFF"/>
        </w:rPr>
        <w:t xml:space="preserve">maintenance </w:t>
      </w:r>
      <w:r w:rsidR="00C5218C">
        <w:rPr>
          <w:szCs w:val="22"/>
          <w:shd w:val="clear" w:color="auto" w:fill="FFFFFF"/>
        </w:rPr>
        <w:t xml:space="preserve">of </w:t>
      </w:r>
      <w:r w:rsidRPr="00501C6D">
        <w:rPr>
          <w:szCs w:val="22"/>
          <w:shd w:val="clear" w:color="auto" w:fill="FFFFFF"/>
        </w:rPr>
        <w:t xml:space="preserve">associated databases relevant </w:t>
      </w:r>
      <w:r w:rsidR="00ED022C" w:rsidRPr="00501C6D">
        <w:rPr>
          <w:szCs w:val="22"/>
          <w:shd w:val="clear" w:color="auto" w:fill="FFFFFF"/>
        </w:rPr>
        <w:t xml:space="preserve">to </w:t>
      </w:r>
      <w:r w:rsidRPr="00501C6D">
        <w:rPr>
          <w:szCs w:val="22"/>
          <w:shd w:val="clear" w:color="auto" w:fill="FFFFFF"/>
        </w:rPr>
        <w:t xml:space="preserve">reporting progress against the </w:t>
      </w:r>
      <w:r w:rsidR="00B75CC4" w:rsidRPr="00501C6D">
        <w:rPr>
          <w:szCs w:val="22"/>
          <w:shd w:val="clear" w:color="auto" w:fill="FFFFFF"/>
        </w:rPr>
        <w:t xml:space="preserve">Kunming-Montreal </w:t>
      </w:r>
      <w:r w:rsidRPr="00501C6D">
        <w:rPr>
          <w:szCs w:val="22"/>
          <w:shd w:val="clear" w:color="auto" w:fill="FFFFFF"/>
        </w:rPr>
        <w:t>Global Biodiversity Framework</w:t>
      </w:r>
      <w:r w:rsidR="004C16D0" w:rsidRPr="00501C6D">
        <w:rPr>
          <w:rStyle w:val="FootnoteReference"/>
          <w:szCs w:val="22"/>
          <w:shd w:val="clear" w:color="auto" w:fill="FFFFFF"/>
        </w:rPr>
        <w:footnoteReference w:id="7"/>
      </w:r>
      <w:r w:rsidRPr="00501C6D">
        <w:rPr>
          <w:szCs w:val="22"/>
          <w:shd w:val="clear" w:color="auto" w:fill="FFFFFF"/>
        </w:rPr>
        <w:t xml:space="preserve"> and its monitoring framework,</w:t>
      </w:r>
      <w:r w:rsidR="00741462" w:rsidRPr="00501C6D">
        <w:rPr>
          <w:rStyle w:val="FootnoteReference"/>
          <w:szCs w:val="22"/>
          <w:shd w:val="clear" w:color="auto" w:fill="FFFFFF"/>
        </w:rPr>
        <w:footnoteReference w:id="8"/>
      </w:r>
      <w:r w:rsidRPr="00501C6D">
        <w:rPr>
          <w:szCs w:val="22"/>
          <w:shd w:val="clear" w:color="auto" w:fill="FFFFFF"/>
        </w:rPr>
        <w:t xml:space="preserve"> and encourages the</w:t>
      </w:r>
      <w:r w:rsidR="00CE5FC9" w:rsidRPr="00501C6D">
        <w:rPr>
          <w:szCs w:val="22"/>
          <w:shd w:val="clear" w:color="auto" w:fill="FFFFFF"/>
        </w:rPr>
        <w:t>m</w:t>
      </w:r>
      <w:r w:rsidRPr="00501C6D">
        <w:rPr>
          <w:szCs w:val="22"/>
          <w:shd w:val="clear" w:color="auto" w:fill="FFFFFF"/>
        </w:rPr>
        <w:t xml:space="preserve"> to continue to improve the global methodologies and associated databases;</w:t>
      </w:r>
    </w:p>
    <w:p w14:paraId="375877DB" w14:textId="0888B7F1" w:rsidR="00DB04C8" w:rsidRPr="00501C6D" w:rsidRDefault="00057967" w:rsidP="00501C6D">
      <w:pPr>
        <w:suppressLineNumbers/>
        <w:tabs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4</w:t>
      </w:r>
      <w:r w:rsidR="00DB04C8" w:rsidRPr="00501C6D">
        <w:rPr>
          <w:szCs w:val="22"/>
          <w:shd w:val="clear" w:color="auto" w:fill="FFFFFF"/>
        </w:rPr>
        <w:t>.</w:t>
      </w:r>
      <w:r w:rsidR="00DB04C8" w:rsidRPr="00501C6D">
        <w:rPr>
          <w:szCs w:val="22"/>
          <w:shd w:val="clear" w:color="auto" w:fill="FFFFFF"/>
        </w:rPr>
        <w:tab/>
      </w:r>
      <w:r w:rsidR="00DB04C8" w:rsidRPr="00501C6D">
        <w:rPr>
          <w:i/>
          <w:iCs/>
          <w:szCs w:val="22"/>
          <w:shd w:val="clear" w:color="auto" w:fill="FFFFFF"/>
        </w:rPr>
        <w:t>Invites</w:t>
      </w:r>
      <w:r w:rsidR="00DB04C8" w:rsidRPr="00501C6D">
        <w:rPr>
          <w:szCs w:val="22"/>
          <w:shd w:val="clear" w:color="auto" w:fill="FFFFFF"/>
        </w:rPr>
        <w:t xml:space="preserve"> Parties in a position to do so and, as applicable, relevant international organizations, to start or strengthen </w:t>
      </w:r>
      <w:r w:rsidR="008019F1" w:rsidRPr="00501C6D">
        <w:rPr>
          <w:szCs w:val="22"/>
          <w:shd w:val="clear" w:color="auto" w:fill="FFFFFF"/>
        </w:rPr>
        <w:t xml:space="preserve">the </w:t>
      </w:r>
      <w:r w:rsidR="00DB04C8" w:rsidRPr="00501C6D">
        <w:rPr>
          <w:szCs w:val="22"/>
          <w:shd w:val="clear" w:color="auto" w:fill="FFFFFF"/>
        </w:rPr>
        <w:t xml:space="preserve">use of the global methodologies and associated databases </w:t>
      </w:r>
      <w:r w:rsidR="008019F1" w:rsidRPr="00501C6D">
        <w:rPr>
          <w:szCs w:val="22"/>
          <w:shd w:val="clear" w:color="auto" w:fill="FFFFFF"/>
        </w:rPr>
        <w:t xml:space="preserve">listed </w:t>
      </w:r>
      <w:r w:rsidR="00DB04C8" w:rsidRPr="00501C6D">
        <w:rPr>
          <w:szCs w:val="22"/>
          <w:shd w:val="clear" w:color="auto" w:fill="FFFFFF"/>
        </w:rPr>
        <w:t xml:space="preserve">in </w:t>
      </w:r>
      <w:r w:rsidR="008019F1" w:rsidRPr="00501C6D">
        <w:rPr>
          <w:szCs w:val="22"/>
          <w:shd w:val="clear" w:color="auto" w:fill="FFFFFF"/>
        </w:rPr>
        <w:t>a</w:t>
      </w:r>
      <w:r w:rsidR="00DB04C8" w:rsidRPr="00501C6D">
        <w:rPr>
          <w:szCs w:val="22"/>
          <w:shd w:val="clear" w:color="auto" w:fill="FFFFFF"/>
        </w:rPr>
        <w:t>nnex II;</w:t>
      </w:r>
    </w:p>
    <w:p w14:paraId="57FAED38" w14:textId="65E0BE9C" w:rsidR="00DB04C8" w:rsidRPr="00501C6D" w:rsidRDefault="00057967" w:rsidP="00FA5588">
      <w:pPr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5</w:t>
      </w:r>
      <w:r w:rsidR="00DB04C8" w:rsidRPr="00501C6D">
        <w:rPr>
          <w:szCs w:val="22"/>
          <w:shd w:val="clear" w:color="auto" w:fill="FFFFFF"/>
        </w:rPr>
        <w:t>.</w:t>
      </w:r>
      <w:r w:rsidR="00DB04C8" w:rsidRPr="00501C6D">
        <w:rPr>
          <w:szCs w:val="22"/>
          <w:shd w:val="clear" w:color="auto" w:fill="FFFFFF"/>
        </w:rPr>
        <w:tab/>
      </w:r>
      <w:r w:rsidR="00DB04C8" w:rsidRPr="00501C6D">
        <w:rPr>
          <w:i/>
          <w:iCs/>
          <w:szCs w:val="22"/>
          <w:shd w:val="clear" w:color="auto" w:fill="FFFFFF"/>
        </w:rPr>
        <w:t>Encourages</w:t>
      </w:r>
      <w:r w:rsidR="00DB04C8" w:rsidRPr="00501C6D">
        <w:rPr>
          <w:szCs w:val="22"/>
          <w:shd w:val="clear" w:color="auto" w:fill="FFFFFF"/>
        </w:rPr>
        <w:t xml:space="preserve"> Parties to improve their national monitoring systems, involving all relevant national institutions and collaborating with relevant international organizations and initiatives;</w:t>
      </w:r>
    </w:p>
    <w:p w14:paraId="506B53F6" w14:textId="056AFF15" w:rsidR="00DB04C8" w:rsidRPr="00501C6D" w:rsidRDefault="00057967" w:rsidP="009D28FF">
      <w:pPr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6</w:t>
      </w:r>
      <w:r w:rsidR="00DB04C8" w:rsidRPr="00501C6D">
        <w:rPr>
          <w:szCs w:val="22"/>
          <w:shd w:val="clear" w:color="auto" w:fill="FFFFFF"/>
        </w:rPr>
        <w:tab/>
      </w:r>
      <w:r w:rsidR="00DB04C8" w:rsidRPr="0061543B">
        <w:rPr>
          <w:i/>
          <w:iCs/>
          <w:kern w:val="22"/>
          <w:szCs w:val="22"/>
        </w:rPr>
        <w:t>Recognizes</w:t>
      </w:r>
      <w:r w:rsidR="00DB04C8" w:rsidRPr="0061543B">
        <w:rPr>
          <w:kern w:val="22"/>
          <w:szCs w:val="22"/>
        </w:rPr>
        <w:t xml:space="preserve"> the need </w:t>
      </w:r>
      <w:r w:rsidR="005823B4" w:rsidRPr="0061543B">
        <w:rPr>
          <w:kern w:val="22"/>
          <w:szCs w:val="22"/>
        </w:rPr>
        <w:t>for</w:t>
      </w:r>
      <w:r w:rsidR="00DB04C8" w:rsidRPr="0061543B">
        <w:rPr>
          <w:kern w:val="22"/>
          <w:szCs w:val="22"/>
        </w:rPr>
        <w:t xml:space="preserve"> further research and methodological work, including on indicators that currently do not have a global methodology and associated database</w:t>
      </w:r>
      <w:r w:rsidR="00DB04C8" w:rsidRPr="00501C6D">
        <w:rPr>
          <w:kern w:val="22"/>
          <w:szCs w:val="22"/>
        </w:rPr>
        <w:t>, and</w:t>
      </w:r>
      <w:r w:rsidR="00DB04C8" w:rsidRPr="0061543B">
        <w:rPr>
          <w:kern w:val="22"/>
          <w:szCs w:val="22"/>
        </w:rPr>
        <w:t xml:space="preserve"> encourages the organizations and initiatives </w:t>
      </w:r>
      <w:r w:rsidR="005823B4" w:rsidRPr="0061543B">
        <w:rPr>
          <w:kern w:val="22"/>
          <w:szCs w:val="22"/>
        </w:rPr>
        <w:t xml:space="preserve">listed </w:t>
      </w:r>
      <w:r w:rsidR="00DB04C8" w:rsidRPr="0061543B">
        <w:rPr>
          <w:kern w:val="22"/>
          <w:szCs w:val="22"/>
        </w:rPr>
        <w:t xml:space="preserve">in </w:t>
      </w:r>
      <w:r w:rsidR="007A2C59" w:rsidRPr="0061543B">
        <w:rPr>
          <w:kern w:val="22"/>
          <w:szCs w:val="22"/>
        </w:rPr>
        <w:t>a</w:t>
      </w:r>
      <w:r w:rsidR="00DB04C8" w:rsidRPr="0061543B">
        <w:rPr>
          <w:kern w:val="22"/>
          <w:szCs w:val="22"/>
        </w:rPr>
        <w:t>nnex II, as well as other interested Parties and relevant international organizations and initiatives, to expand their work in th</w:t>
      </w:r>
      <w:r w:rsidR="006E2C67" w:rsidRPr="0061543B">
        <w:rPr>
          <w:kern w:val="22"/>
          <w:szCs w:val="22"/>
        </w:rPr>
        <w:t>at</w:t>
      </w:r>
      <w:r w:rsidR="00DB04C8" w:rsidRPr="0061543B">
        <w:rPr>
          <w:kern w:val="22"/>
          <w:szCs w:val="22"/>
        </w:rPr>
        <w:t xml:space="preserve"> area;</w:t>
      </w:r>
    </w:p>
    <w:p w14:paraId="4080DD4F" w14:textId="0FBBE34D" w:rsidR="00DB04C8" w:rsidRPr="00501C6D" w:rsidRDefault="00057967" w:rsidP="00501C6D">
      <w:pPr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501C6D">
        <w:rPr>
          <w:szCs w:val="22"/>
          <w:shd w:val="clear" w:color="auto" w:fill="FFFFFF"/>
        </w:rPr>
        <w:t>7</w:t>
      </w:r>
      <w:r w:rsidR="00DB04C8" w:rsidRPr="00501C6D">
        <w:rPr>
          <w:szCs w:val="22"/>
          <w:shd w:val="clear" w:color="auto" w:fill="FFFFFF"/>
        </w:rPr>
        <w:t>.</w:t>
      </w:r>
      <w:r w:rsidR="00DB04C8" w:rsidRPr="00501C6D">
        <w:rPr>
          <w:szCs w:val="22"/>
          <w:shd w:val="clear" w:color="auto" w:fill="FFFFFF"/>
        </w:rPr>
        <w:tab/>
      </w:r>
      <w:r w:rsidR="00DB04C8" w:rsidRPr="00501C6D">
        <w:rPr>
          <w:i/>
          <w:iCs/>
          <w:szCs w:val="22"/>
          <w:shd w:val="clear" w:color="auto" w:fill="FFFFFF"/>
        </w:rPr>
        <w:t>Welcomes</w:t>
      </w:r>
      <w:r w:rsidR="00DB04C8" w:rsidRPr="00501C6D">
        <w:rPr>
          <w:szCs w:val="22"/>
          <w:shd w:val="clear" w:color="auto" w:fill="FFFFFF"/>
        </w:rPr>
        <w:t xml:space="preserve"> the capacity</w:t>
      </w:r>
      <w:r w:rsidR="00B2419E" w:rsidRPr="00501C6D">
        <w:rPr>
          <w:szCs w:val="22"/>
          <w:shd w:val="clear" w:color="auto" w:fill="FFFFFF"/>
        </w:rPr>
        <w:t>-</w:t>
      </w:r>
      <w:r w:rsidR="00DB04C8" w:rsidRPr="00501C6D">
        <w:rPr>
          <w:szCs w:val="22"/>
          <w:shd w:val="clear" w:color="auto" w:fill="FFFFFF"/>
        </w:rPr>
        <w:t xml:space="preserve">building </w:t>
      </w:r>
      <w:r w:rsidR="006E2C67" w:rsidRPr="00501C6D">
        <w:rPr>
          <w:szCs w:val="22"/>
          <w:shd w:val="clear" w:color="auto" w:fill="FFFFFF"/>
        </w:rPr>
        <w:t xml:space="preserve">activities </w:t>
      </w:r>
      <w:r w:rsidR="00DB04C8" w:rsidRPr="00501C6D">
        <w:rPr>
          <w:szCs w:val="22"/>
          <w:shd w:val="clear" w:color="auto" w:fill="FFFFFF"/>
        </w:rPr>
        <w:t xml:space="preserve">provided by the international organizations and initiatives, as referenced in </w:t>
      </w:r>
      <w:r w:rsidR="004764E6" w:rsidRPr="00501C6D">
        <w:rPr>
          <w:szCs w:val="22"/>
          <w:shd w:val="clear" w:color="auto" w:fill="FFFFFF"/>
        </w:rPr>
        <w:t>a</w:t>
      </w:r>
      <w:r w:rsidR="00DB04C8" w:rsidRPr="00501C6D">
        <w:rPr>
          <w:szCs w:val="22"/>
          <w:shd w:val="clear" w:color="auto" w:fill="FFFFFF"/>
        </w:rPr>
        <w:t>nnex II, and encourages Parties to use th</w:t>
      </w:r>
      <w:r w:rsidR="00C37081" w:rsidRPr="00501C6D">
        <w:rPr>
          <w:szCs w:val="22"/>
          <w:shd w:val="clear" w:color="auto" w:fill="FFFFFF"/>
        </w:rPr>
        <w:t>o</w:t>
      </w:r>
      <w:r w:rsidR="00DB04C8" w:rsidRPr="00501C6D">
        <w:rPr>
          <w:szCs w:val="22"/>
          <w:shd w:val="clear" w:color="auto" w:fill="FFFFFF"/>
        </w:rPr>
        <w:t>se opportunities, as appropriate;</w:t>
      </w:r>
    </w:p>
    <w:p w14:paraId="2AB6EA7B" w14:textId="2066D555" w:rsidR="00DB04C8" w:rsidRPr="0061543B" w:rsidRDefault="00057967" w:rsidP="00501C6D">
      <w:pPr>
        <w:suppressLineNumbers/>
        <w:tabs>
          <w:tab w:val="left" w:pos="1701"/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61543B">
        <w:rPr>
          <w:szCs w:val="22"/>
          <w:shd w:val="clear" w:color="auto" w:fill="FFFFFF"/>
        </w:rPr>
        <w:t>8</w:t>
      </w:r>
      <w:r w:rsidR="00DB04C8" w:rsidRPr="0061543B">
        <w:rPr>
          <w:szCs w:val="22"/>
          <w:shd w:val="clear" w:color="auto" w:fill="FFFFFF"/>
        </w:rPr>
        <w:t>.</w:t>
      </w:r>
      <w:r w:rsidR="00DB04C8" w:rsidRPr="0061543B">
        <w:rPr>
          <w:szCs w:val="22"/>
          <w:shd w:val="clear" w:color="auto" w:fill="FFFFFF"/>
        </w:rPr>
        <w:tab/>
      </w:r>
      <w:r w:rsidR="00DB04C8" w:rsidRPr="0061543B">
        <w:rPr>
          <w:i/>
          <w:iCs/>
          <w:szCs w:val="22"/>
          <w:shd w:val="clear" w:color="auto" w:fill="FFFFFF"/>
        </w:rPr>
        <w:t>Invites</w:t>
      </w:r>
      <w:r w:rsidR="00DB04C8" w:rsidRPr="0061543B">
        <w:rPr>
          <w:szCs w:val="22"/>
          <w:shd w:val="clear" w:color="auto" w:fill="FFFFFF"/>
        </w:rPr>
        <w:t xml:space="preserve"> Parties in a position to do so to support the activities of developing country Parties </w:t>
      </w:r>
      <w:r w:rsidR="0008706C" w:rsidRPr="0061543B">
        <w:rPr>
          <w:szCs w:val="22"/>
          <w:shd w:val="clear" w:color="auto" w:fill="FFFFFF"/>
        </w:rPr>
        <w:t xml:space="preserve">conducted </w:t>
      </w:r>
      <w:r w:rsidR="00DB04C8" w:rsidRPr="0061543B">
        <w:rPr>
          <w:szCs w:val="22"/>
          <w:shd w:val="clear" w:color="auto" w:fill="FFFFFF"/>
        </w:rPr>
        <w:t>pursuant to paragraphs 6 and 8</w:t>
      </w:r>
      <w:r w:rsidR="0008706C" w:rsidRPr="0061543B">
        <w:rPr>
          <w:szCs w:val="22"/>
          <w:shd w:val="clear" w:color="auto" w:fill="FFFFFF"/>
        </w:rPr>
        <w:t>;</w:t>
      </w:r>
    </w:p>
    <w:p w14:paraId="464E2ECD" w14:textId="38246C5F" w:rsidR="00DB04C8" w:rsidRPr="0061543B" w:rsidRDefault="00057967" w:rsidP="00501C6D">
      <w:pPr>
        <w:suppressLineNumbers/>
        <w:tabs>
          <w:tab w:val="left" w:pos="1701"/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61543B">
        <w:rPr>
          <w:szCs w:val="22"/>
          <w:shd w:val="clear" w:color="auto" w:fill="FFFFFF"/>
        </w:rPr>
        <w:t>9</w:t>
      </w:r>
      <w:r w:rsidR="00DB04C8" w:rsidRPr="0061543B">
        <w:rPr>
          <w:szCs w:val="22"/>
          <w:shd w:val="clear" w:color="auto" w:fill="FFFFFF"/>
        </w:rPr>
        <w:t>.</w:t>
      </w:r>
      <w:r w:rsidR="00DB04C8" w:rsidRPr="0061543B">
        <w:rPr>
          <w:szCs w:val="22"/>
          <w:shd w:val="clear" w:color="auto" w:fill="FFFFFF"/>
        </w:rPr>
        <w:tab/>
      </w:r>
      <w:r w:rsidR="00DB04C8" w:rsidRPr="0061543B">
        <w:rPr>
          <w:i/>
          <w:iCs/>
          <w:szCs w:val="22"/>
          <w:shd w:val="clear" w:color="auto" w:fill="FFFFFF"/>
        </w:rPr>
        <w:t>Requests</w:t>
      </w:r>
      <w:r w:rsidR="00DB04C8" w:rsidRPr="0061543B">
        <w:rPr>
          <w:szCs w:val="22"/>
          <w:shd w:val="clear" w:color="auto" w:fill="FFFFFF"/>
        </w:rPr>
        <w:t xml:space="preserve">, as applicable, the </w:t>
      </w:r>
      <w:r w:rsidR="00B463B3" w:rsidRPr="00501C6D">
        <w:rPr>
          <w:szCs w:val="22"/>
          <w:shd w:val="clear" w:color="auto" w:fill="FFFFFF"/>
        </w:rPr>
        <w:t>Global Environment Facility</w:t>
      </w:r>
      <w:r w:rsidR="00DB04C8" w:rsidRPr="00501C6D">
        <w:rPr>
          <w:szCs w:val="22"/>
          <w:shd w:val="clear" w:color="auto" w:fill="FFFFFF"/>
        </w:rPr>
        <w:t xml:space="preserve"> and</w:t>
      </w:r>
      <w:r w:rsidR="00DB04C8" w:rsidRPr="0061543B">
        <w:rPr>
          <w:szCs w:val="22"/>
          <w:shd w:val="clear" w:color="auto" w:fill="FFFFFF"/>
        </w:rPr>
        <w:t xml:space="preserve"> other relevant international organizations to support the activities of developing country Parties </w:t>
      </w:r>
      <w:r w:rsidR="0008706C" w:rsidRPr="0061543B">
        <w:rPr>
          <w:szCs w:val="22"/>
          <w:shd w:val="clear" w:color="auto" w:fill="FFFFFF"/>
        </w:rPr>
        <w:t xml:space="preserve">conducted </w:t>
      </w:r>
      <w:r w:rsidR="00DB04C8" w:rsidRPr="0061543B">
        <w:rPr>
          <w:szCs w:val="22"/>
          <w:shd w:val="clear" w:color="auto" w:fill="FFFFFF"/>
        </w:rPr>
        <w:t>pursuant to paragraphs 6 and 8</w:t>
      </w:r>
      <w:r w:rsidR="0008706C" w:rsidRPr="0061543B">
        <w:rPr>
          <w:szCs w:val="22"/>
          <w:shd w:val="clear" w:color="auto" w:fill="FFFFFF"/>
        </w:rPr>
        <w:t>;</w:t>
      </w:r>
    </w:p>
    <w:p w14:paraId="0628B9D5" w14:textId="21B2FAD6" w:rsidR="004C3BCA" w:rsidRPr="0061543B" w:rsidRDefault="00057967" w:rsidP="004C3BCA">
      <w:pPr>
        <w:suppressLineNumbers/>
        <w:tabs>
          <w:tab w:val="left" w:pos="1701"/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firstLine="567"/>
        <w:rPr>
          <w:szCs w:val="22"/>
          <w:shd w:val="clear" w:color="auto" w:fill="FFFFFF"/>
        </w:rPr>
      </w:pPr>
      <w:r w:rsidRPr="0061543B">
        <w:rPr>
          <w:szCs w:val="22"/>
          <w:shd w:val="clear" w:color="auto" w:fill="FFFFFF"/>
        </w:rPr>
        <w:lastRenderedPageBreak/>
        <w:t>10</w:t>
      </w:r>
      <w:r w:rsidR="00DB04C8" w:rsidRPr="0061543B">
        <w:rPr>
          <w:szCs w:val="22"/>
          <w:shd w:val="clear" w:color="auto" w:fill="FFFFFF"/>
        </w:rPr>
        <w:t>.</w:t>
      </w:r>
      <w:r w:rsidR="00DB04C8" w:rsidRPr="0061543B">
        <w:rPr>
          <w:szCs w:val="22"/>
          <w:shd w:val="clear" w:color="auto" w:fill="FFFFFF"/>
        </w:rPr>
        <w:tab/>
      </w:r>
      <w:r w:rsidR="00DB04C8" w:rsidRPr="0061543B">
        <w:rPr>
          <w:i/>
          <w:iCs/>
          <w:szCs w:val="22"/>
          <w:shd w:val="clear" w:color="auto" w:fill="FFFFFF"/>
        </w:rPr>
        <w:t>Requests</w:t>
      </w:r>
      <w:r w:rsidR="00DB04C8" w:rsidRPr="0061543B">
        <w:rPr>
          <w:szCs w:val="22"/>
          <w:shd w:val="clear" w:color="auto" w:fill="FFFFFF"/>
        </w:rPr>
        <w:t xml:space="preserve"> the Executive Secretary, in collaboration with the organizations and initiatives </w:t>
      </w:r>
      <w:r w:rsidR="0008706C" w:rsidRPr="0061543B">
        <w:rPr>
          <w:szCs w:val="22"/>
          <w:shd w:val="clear" w:color="auto" w:fill="FFFFFF"/>
        </w:rPr>
        <w:t xml:space="preserve">listed </w:t>
      </w:r>
      <w:r w:rsidR="00DB04C8" w:rsidRPr="0061543B">
        <w:rPr>
          <w:szCs w:val="22"/>
          <w:shd w:val="clear" w:color="auto" w:fill="FFFFFF"/>
        </w:rPr>
        <w:t xml:space="preserve">in </w:t>
      </w:r>
      <w:r w:rsidR="0008706C" w:rsidRPr="0061543B">
        <w:rPr>
          <w:szCs w:val="22"/>
          <w:shd w:val="clear" w:color="auto" w:fill="FFFFFF"/>
        </w:rPr>
        <w:t>a</w:t>
      </w:r>
      <w:r w:rsidR="00DB04C8" w:rsidRPr="0061543B">
        <w:rPr>
          <w:szCs w:val="22"/>
          <w:shd w:val="clear" w:color="auto" w:fill="FFFFFF"/>
        </w:rPr>
        <w:t xml:space="preserve">nnex II, to continue </w:t>
      </w:r>
      <w:r w:rsidR="00AD3E8E" w:rsidRPr="0061543B">
        <w:rPr>
          <w:szCs w:val="22"/>
          <w:shd w:val="clear" w:color="auto" w:fill="FFFFFF"/>
        </w:rPr>
        <w:t xml:space="preserve">to </w:t>
      </w:r>
      <w:r w:rsidR="00DB04C8" w:rsidRPr="0061543B">
        <w:rPr>
          <w:szCs w:val="22"/>
          <w:shd w:val="clear" w:color="auto" w:fill="FFFFFF"/>
        </w:rPr>
        <w:t>develop the online reporting tool on the indicators through the national report</w:t>
      </w:r>
      <w:r w:rsidR="00C5218C">
        <w:rPr>
          <w:szCs w:val="22"/>
          <w:shd w:val="clear" w:color="auto" w:fill="FFFFFF"/>
        </w:rPr>
        <w:t xml:space="preserve"> template</w:t>
      </w:r>
      <w:r w:rsidR="00DB04C8" w:rsidRPr="0061543B">
        <w:rPr>
          <w:szCs w:val="22"/>
          <w:shd w:val="clear" w:color="auto" w:fill="FFFFFF"/>
        </w:rPr>
        <w:t xml:space="preserve">. </w:t>
      </w:r>
    </w:p>
    <w:p w14:paraId="2C86F28A" w14:textId="6A4D9A83" w:rsidR="00DB04C8" w:rsidRPr="00501C6D" w:rsidRDefault="004E3322" w:rsidP="00FF3112">
      <w:pPr>
        <w:keepNext/>
        <w:suppressLineNumbers/>
        <w:tabs>
          <w:tab w:val="left" w:pos="1701"/>
          <w:tab w:val="left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-90" w:firstLine="562"/>
        <w:rPr>
          <w:rFonts w:asciiTheme="majorBidi" w:hAnsiTheme="majorBidi" w:cstheme="majorBidi"/>
          <w:b/>
          <w:bCs/>
          <w:sz w:val="24"/>
        </w:rPr>
      </w:pPr>
      <w:r w:rsidRPr="00501C6D">
        <w:rPr>
          <w:rFonts w:asciiTheme="majorBidi" w:hAnsiTheme="majorBidi" w:cstheme="majorBidi"/>
          <w:b/>
          <w:bCs/>
          <w:sz w:val="24"/>
        </w:rPr>
        <w:t xml:space="preserve">Annex </w:t>
      </w:r>
      <w:r w:rsidR="00DB04C8" w:rsidRPr="00501C6D">
        <w:rPr>
          <w:rFonts w:asciiTheme="majorBidi" w:hAnsiTheme="majorBidi" w:cstheme="majorBidi"/>
          <w:b/>
          <w:bCs/>
          <w:sz w:val="24"/>
        </w:rPr>
        <w:t>I</w:t>
      </w:r>
    </w:p>
    <w:p w14:paraId="1583C992" w14:textId="5C1AB89D" w:rsidR="00DB04C8" w:rsidRPr="00501C6D" w:rsidRDefault="00DB04C8" w:rsidP="00501C6D">
      <w:pPr>
        <w:spacing w:before="120" w:after="240"/>
        <w:ind w:left="468"/>
        <w:jc w:val="left"/>
        <w:rPr>
          <w:rFonts w:asciiTheme="majorBidi" w:hAnsiTheme="majorBidi" w:cstheme="majorBidi"/>
          <w:b/>
          <w:bCs/>
          <w:sz w:val="24"/>
        </w:rPr>
      </w:pPr>
      <w:r w:rsidRPr="00501C6D">
        <w:rPr>
          <w:rFonts w:asciiTheme="majorBidi" w:hAnsiTheme="majorBidi" w:cstheme="majorBidi"/>
          <w:b/>
          <w:bCs/>
          <w:sz w:val="24"/>
        </w:rPr>
        <w:t xml:space="preserve">Revised </w:t>
      </w:r>
      <w:r w:rsidR="006D218C" w:rsidRPr="00501C6D">
        <w:rPr>
          <w:rFonts w:asciiTheme="majorBidi" w:hAnsiTheme="majorBidi" w:cstheme="majorBidi"/>
          <w:b/>
          <w:bCs/>
          <w:sz w:val="24"/>
        </w:rPr>
        <w:t>i</w:t>
      </w:r>
      <w:r w:rsidRPr="00501C6D">
        <w:rPr>
          <w:rFonts w:asciiTheme="majorBidi" w:hAnsiTheme="majorBidi" w:cstheme="majorBidi"/>
          <w:b/>
          <w:bCs/>
          <w:sz w:val="24"/>
        </w:rPr>
        <w:t>ndicators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7"/>
        <w:gridCol w:w="1849"/>
        <w:gridCol w:w="2429"/>
        <w:gridCol w:w="1900"/>
        <w:gridCol w:w="1965"/>
      </w:tblGrid>
      <w:tr w:rsidR="00005AF6" w:rsidRPr="002C077D" w14:paraId="6822B9BA" w14:textId="77777777" w:rsidTr="00005AF6">
        <w:trPr>
          <w:tblHeader/>
        </w:trPr>
        <w:tc>
          <w:tcPr>
            <w:tcW w:w="645" w:type="pct"/>
          </w:tcPr>
          <w:p w14:paraId="7BD8A7AC" w14:textId="77777777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Goal/Target</w:t>
            </w:r>
          </w:p>
        </w:tc>
        <w:tc>
          <w:tcPr>
            <w:tcW w:w="989" w:type="pct"/>
          </w:tcPr>
          <w:p w14:paraId="41A5762F" w14:textId="6FED5382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Headline</w:t>
            </w:r>
            <w:r w:rsidR="0017778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</w:t>
            </w:r>
            <w:r w:rsidR="000D1AC2"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inary </w:t>
            </w:r>
            <w:r w:rsidR="003145EA"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ndicator</w:t>
            </w:r>
          </w:p>
        </w:tc>
        <w:tc>
          <w:tcPr>
            <w:tcW w:w="1299" w:type="pct"/>
          </w:tcPr>
          <w:p w14:paraId="03B3B6EE" w14:textId="2B16A4F3" w:rsidR="006C7672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Disaggregation</w:t>
            </w:r>
          </w:p>
        </w:tc>
        <w:tc>
          <w:tcPr>
            <w:tcW w:w="1016" w:type="pct"/>
          </w:tcPr>
          <w:p w14:paraId="207D7160" w14:textId="1EC2BA4C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Component </w:t>
            </w:r>
            <w:r w:rsidR="003145EA"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ndicators</w:t>
            </w:r>
          </w:p>
        </w:tc>
        <w:tc>
          <w:tcPr>
            <w:tcW w:w="1051" w:type="pct"/>
          </w:tcPr>
          <w:p w14:paraId="07732A19" w14:textId="2F71BC0B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Complementary </w:t>
            </w:r>
            <w:r w:rsidR="003145EA"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ndicator</w:t>
            </w:r>
          </w:p>
        </w:tc>
      </w:tr>
      <w:tr w:rsidR="00005AF6" w:rsidRPr="002C077D" w14:paraId="37C37681" w14:textId="77777777" w:rsidTr="00005AF6">
        <w:tc>
          <w:tcPr>
            <w:tcW w:w="645" w:type="pct"/>
          </w:tcPr>
          <w:p w14:paraId="173BFAB3" w14:textId="77777777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989" w:type="pct"/>
          </w:tcPr>
          <w:p w14:paraId="730D6E9B" w14:textId="10E8337D" w:rsidR="00DB04C8" w:rsidRPr="00501C6D" w:rsidRDefault="00DB04C8" w:rsidP="00D63AB9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18.1 Positive incentives in place to promote biodiversity conservation and sustainable use</w:t>
            </w:r>
          </w:p>
        </w:tc>
        <w:tc>
          <w:tcPr>
            <w:tcW w:w="1299" w:type="pct"/>
          </w:tcPr>
          <w:p w14:paraId="65591862" w14:textId="61DC0C03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Number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of biodiversity-relevant taxes, fees and charges</w:t>
            </w:r>
            <w:r w:rsidR="0081244F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26094CFB" w14:textId="2B3E5279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Number of biodiversity-positive subsidies</w:t>
            </w:r>
            <w:r w:rsidR="00A21BC7" w:rsidRPr="00501C6D">
              <w:rPr>
                <w:rStyle w:val="normaltextrun"/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4DDB09CE" w14:textId="31A5C61D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Number of biodiversity-relevant tradable permits</w:t>
            </w:r>
            <w:r w:rsidR="00A21BC7" w:rsidRPr="00501C6D">
              <w:rPr>
                <w:rStyle w:val="normaltextrun"/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67140EC2" w14:textId="4C2822CD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Number of </w:t>
            </w:r>
            <w:r w:rsidR="004A57E9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payment for ecosystem services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programmes</w:t>
            </w:r>
            <w:r w:rsidR="00A21BC7" w:rsidRPr="00501C6D">
              <w:rPr>
                <w:rStyle w:val="normaltextrun"/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07870A09" w14:textId="39F98479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Number of biodiversity offset schemes</w:t>
            </w:r>
            <w:r w:rsidR="00A21BC7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6" w:type="pct"/>
          </w:tcPr>
          <w:p w14:paraId="6298C1C6" w14:textId="426500D0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Revenue generated from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biodiversity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-relevant taxes, fees and charges</w:t>
            </w:r>
          </w:p>
          <w:p w14:paraId="194EC636" w14:textId="349278B0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Monetary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value of biodiversity-positive subsidies</w:t>
            </w:r>
          </w:p>
          <w:p w14:paraId="7E16D410" w14:textId="722CBD52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Revenue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generated by biodiversity-relevant tradable permits (if auctioned)</w:t>
            </w:r>
          </w:p>
          <w:p w14:paraId="4CD270D5" w14:textId="5F47410B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Monetary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value of payments for ecosystem services</w:t>
            </w:r>
          </w:p>
          <w:p w14:paraId="403F8182" w14:textId="00736152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Monetary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value of biodiversity offsets</w:t>
            </w:r>
          </w:p>
          <w:p w14:paraId="5F5821CE" w14:textId="128821E3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Number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of other positive incentives in place for biodiversity (by type)</w:t>
            </w:r>
          </w:p>
          <w:p w14:paraId="0509A6F4" w14:textId="3E7D066E" w:rsidR="00DB04C8" w:rsidRPr="00501C6D" w:rsidRDefault="00DB04C8" w:rsidP="00501C6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230" w:hanging="18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 w:eastAsia="en-US"/>
              </w:rPr>
              <w:t>Monetary value of other positive incentives in place for biodiversity</w:t>
            </w:r>
          </w:p>
        </w:tc>
        <w:tc>
          <w:tcPr>
            <w:tcW w:w="1051" w:type="pct"/>
          </w:tcPr>
          <w:p w14:paraId="5E5681EE" w14:textId="0B511A34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  <w:tr w:rsidR="00A7749C" w:rsidRPr="002C077D" w14:paraId="5B5499D0" w14:textId="77777777" w:rsidTr="00501C6D">
        <w:trPr>
          <w:trHeight w:val="983"/>
        </w:trPr>
        <w:tc>
          <w:tcPr>
            <w:tcW w:w="645" w:type="pct"/>
            <w:vMerge w:val="restart"/>
          </w:tcPr>
          <w:p w14:paraId="60A6140B" w14:textId="77777777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989" w:type="pct"/>
          </w:tcPr>
          <w:p w14:paraId="5E5BDA63" w14:textId="5D6C85AC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18.2 Value of subsidies and other incentives harmful to biodiversity</w:t>
            </w:r>
          </w:p>
        </w:tc>
        <w:tc>
          <w:tcPr>
            <w:tcW w:w="1299" w:type="pct"/>
          </w:tcPr>
          <w:p w14:paraId="04D5F37E" w14:textId="00AECBAD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Value of agricultural subsidies and other incentives potentially harmful to biodiversity</w:t>
            </w:r>
            <w:r w:rsidR="00B27272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 and the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environment</w:t>
            </w:r>
            <w:r w:rsidR="00A21BC7" w:rsidRPr="00501C6D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1EEACEFD" w14:textId="3FEF0E74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Value of subsidies to capture fisheries with a risk (moderate or high) of encouraging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unsustainable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 fishing</w:t>
            </w:r>
            <w:r w:rsidR="00A21BC7" w:rsidRPr="00501C6D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31138BD0" w14:textId="510A4697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Value of government fossil fuel subsidies and support measures</w:t>
            </w:r>
          </w:p>
          <w:p w14:paraId="55E7847A" w14:textId="011D2DB9" w:rsidR="00DB04C8" w:rsidRPr="002C077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Value of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subsidies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 and other incentives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harmful to biodiversity in other sectors</w:t>
            </w:r>
          </w:p>
        </w:tc>
        <w:tc>
          <w:tcPr>
            <w:tcW w:w="1016" w:type="pct"/>
          </w:tcPr>
          <w:p w14:paraId="2DD214F6" w14:textId="4B26C095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051" w:type="pct"/>
          </w:tcPr>
          <w:p w14:paraId="6F7AF6A2" w14:textId="7F54D071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  <w:tr w:rsidR="00A7749C" w:rsidRPr="002C077D" w14:paraId="4C798B0A" w14:textId="77777777" w:rsidTr="00501C6D">
        <w:trPr>
          <w:trHeight w:val="1520"/>
        </w:trPr>
        <w:tc>
          <w:tcPr>
            <w:tcW w:w="645" w:type="pct"/>
            <w:vMerge/>
          </w:tcPr>
          <w:p w14:paraId="579DAF3B" w14:textId="77777777" w:rsidR="00DB04C8" w:rsidRPr="002C077D" w:rsidRDefault="00DB04C8" w:rsidP="002B4897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pct"/>
          </w:tcPr>
          <w:p w14:paraId="58A5CFFB" w14:textId="2ACE0CF3" w:rsidR="00DB04C8" w:rsidRPr="00501C6D" w:rsidRDefault="00DB04C8" w:rsidP="00501C6D">
            <w:pPr>
              <w:pStyle w:val="paragraph"/>
              <w:spacing w:before="120" w:beforeAutospacing="0" w:after="0" w:afterAutospacing="0"/>
              <w:ind w:right="-30"/>
              <w:textAlignment w:val="baseline"/>
              <w:rPr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Has your country identified subsidies and other incentives harmful </w:t>
            </w:r>
            <w:r w:rsidR="00B86D1D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to 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biodiversity?</w:t>
            </w:r>
          </w:p>
          <w:p w14:paraId="6C28AE84" w14:textId="67CFEEC7" w:rsidR="00DB04C8" w:rsidRPr="00501C6D" w:rsidRDefault="00B86D1D" w:rsidP="00501C6D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ind w:right="-3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(a)</w:t>
            </w: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ab/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No, not yet</w:t>
            </w:r>
          </w:p>
          <w:p w14:paraId="6FBBF217" w14:textId="3DD37CFA" w:rsidR="00DB04C8" w:rsidRPr="00501C6D" w:rsidRDefault="00B86D1D" w:rsidP="00501C6D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ind w:right="-3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(b)</w:t>
            </w: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ab/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Analysis </w:t>
            </w:r>
            <w:r w:rsidR="0087366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nder</w:t>
            </w:r>
            <w:r w:rsidR="00233AC3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way</w:t>
            </w:r>
          </w:p>
          <w:p w14:paraId="18434B2D" w14:textId="637EE2B1" w:rsidR="00DB04C8" w:rsidRPr="00501C6D" w:rsidRDefault="00B86D1D" w:rsidP="00501C6D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ind w:right="-30"/>
              <w:textAlignment w:val="baseline"/>
              <w:rPr>
                <w:rStyle w:val="normaltextrun"/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(c)</w:t>
            </w:r>
            <w:r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ab/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Yes</w:t>
            </w:r>
            <w:r w:rsidR="00687A8C" w:rsidRPr="00501C6D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99" w:type="pct"/>
          </w:tcPr>
          <w:p w14:paraId="68A7C9B3" w14:textId="6A13BCA9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16" w:type="pct"/>
          </w:tcPr>
          <w:p w14:paraId="07F1B564" w14:textId="1F037DBF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51" w:type="pct"/>
          </w:tcPr>
          <w:p w14:paraId="5EC87D3E" w14:textId="4EA67E38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</w:tr>
      <w:tr w:rsidR="00A7749C" w:rsidRPr="002C077D" w14:paraId="12F3C1F3" w14:textId="77777777" w:rsidTr="00501C6D">
        <w:tc>
          <w:tcPr>
            <w:tcW w:w="645" w:type="pct"/>
          </w:tcPr>
          <w:p w14:paraId="6DD7DE77" w14:textId="756E4D39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62007E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89" w:type="pct"/>
          </w:tcPr>
          <w:p w14:paraId="52ECFDDC" w14:textId="52E8A5A8" w:rsidR="002D317D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D.1 International public funding, including official development assistance for conservation and sustainable use of biodiversity and ecosystems</w:t>
            </w:r>
            <w:r w:rsidR="0039473E" w:rsidRPr="00501C6D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</w:rPr>
              <w:t>c</w:t>
            </w:r>
          </w:p>
          <w:p w14:paraId="0D7E6149" w14:textId="245FB73A" w:rsidR="002D317D" w:rsidRPr="00501C6D" w:rsidRDefault="002D317D" w:rsidP="00096E1A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99" w:type="pct"/>
          </w:tcPr>
          <w:p w14:paraId="4466F048" w14:textId="7807B03F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16" w:type="pct"/>
          </w:tcPr>
          <w:p w14:paraId="3C1CCDED" w14:textId="316F9F22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51" w:type="pct"/>
          </w:tcPr>
          <w:p w14:paraId="3783116F" w14:textId="6561DD18" w:rsidR="004C2A15" w:rsidRPr="00501C6D" w:rsidRDefault="004C2A15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Amount of international funding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indigenous peoples and local communities within biodiversity-related activities</w:t>
            </w:r>
          </w:p>
          <w:p w14:paraId="3A40936F" w14:textId="1E91286A" w:rsidR="004C2A15" w:rsidRPr="00501C6D" w:rsidRDefault="004C2A15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international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youth within biodiversity-related activities</w:t>
            </w:r>
          </w:p>
          <w:p w14:paraId="3814D9C9" w14:textId="62D42CEF" w:rsidR="00DB04C8" w:rsidRPr="00501C6D" w:rsidRDefault="004C2A15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international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gender equality and women</w:t>
            </w:r>
            <w:r w:rsidR="00096E1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’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s rights policy objectives within biodiversity-related activities</w:t>
            </w:r>
          </w:p>
        </w:tc>
      </w:tr>
      <w:tr w:rsidR="00A7749C" w:rsidRPr="002C077D" w14:paraId="73EF2C62" w14:textId="77777777" w:rsidTr="00501C6D">
        <w:tc>
          <w:tcPr>
            <w:tcW w:w="645" w:type="pct"/>
          </w:tcPr>
          <w:p w14:paraId="2C643728" w14:textId="00CCC84F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62007E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89" w:type="pct"/>
          </w:tcPr>
          <w:p w14:paraId="5CCD1FA3" w14:textId="011A6993" w:rsidR="00DB04C8" w:rsidRPr="00501C6D" w:rsidRDefault="00DB04C8" w:rsidP="00C9167C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D.2 Domestic public funding on conservation and sustainable use of biodiversity and ecosystems</w:t>
            </w:r>
            <w:r w:rsidR="005E2F2D" w:rsidRPr="00501C6D">
              <w:rPr>
                <w:rFonts w:asciiTheme="majorBidi" w:hAnsiTheme="majorBidi" w:cstheme="majorBidi"/>
                <w:i/>
                <w:i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99" w:type="pct"/>
          </w:tcPr>
          <w:p w14:paraId="44438B8D" w14:textId="566E614B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16" w:type="pct"/>
          </w:tcPr>
          <w:p w14:paraId="6E4D8A2B" w14:textId="397AC470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51" w:type="pct"/>
          </w:tcPr>
          <w:p w14:paraId="5EF63AC6" w14:textId="77777777" w:rsidR="00CC7FC7" w:rsidRPr="00501C6D" w:rsidRDefault="00CC7FC7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Monetary value of the annual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budget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for biodiversity from total national budget</w:t>
            </w:r>
          </w:p>
          <w:p w14:paraId="6FEB6455" w14:textId="77777777" w:rsidR="009E34E1" w:rsidRPr="00501C6D" w:rsidRDefault="00CC7FC7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Percentage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of annual biodiversity expenditure of total national government budget</w:t>
            </w:r>
          </w:p>
          <w:p w14:paraId="3154E79E" w14:textId="51BDD704" w:rsidR="009E34E1" w:rsidRPr="00501C6D" w:rsidRDefault="009E34E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of domestic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</w:rPr>
              <w:t>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indigenous peoples and local communities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lastRenderedPageBreak/>
              <w:t>within biodiversity-related activities</w:t>
            </w:r>
          </w:p>
          <w:p w14:paraId="2146753D" w14:textId="2D655E74" w:rsidR="009E34E1" w:rsidRPr="00501C6D" w:rsidRDefault="009E34E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domestic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youth within biodiversity-related activities</w:t>
            </w:r>
          </w:p>
          <w:p w14:paraId="38C836E8" w14:textId="7B1C3AE7" w:rsidR="00DB04C8" w:rsidRPr="002C077D" w:rsidRDefault="009E34E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domestic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gender equality and women</w:t>
            </w:r>
            <w:r w:rsidR="00E83A17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’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s rights policy objectives within biodiversity-related activities</w:t>
            </w:r>
          </w:p>
        </w:tc>
      </w:tr>
      <w:tr w:rsidR="00005AF6" w:rsidRPr="002C077D" w14:paraId="6D9790A6" w14:textId="77777777" w:rsidTr="00005AF6">
        <w:trPr>
          <w:trHeight w:val="385"/>
        </w:trPr>
        <w:tc>
          <w:tcPr>
            <w:tcW w:w="645" w:type="pct"/>
          </w:tcPr>
          <w:p w14:paraId="39869E18" w14:textId="050CA70F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62007E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89" w:type="pct"/>
          </w:tcPr>
          <w:p w14:paraId="7C6BC72C" w14:textId="77777777" w:rsidR="00DB04C8" w:rsidRPr="00501C6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D.3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Private funding (domestic and international) on conservation and sustainable use of biodiversity and ecosystems</w:t>
            </w:r>
            <w:r w:rsidRPr="00501C6D">
              <w:rPr>
                <w:rFonts w:asciiTheme="majorBidi" w:hAnsiTheme="majorBidi" w:cstheme="majorBidi"/>
                <w:color w:val="D1343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9" w:type="pct"/>
          </w:tcPr>
          <w:p w14:paraId="4DC4D5A0" w14:textId="446FD4C3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International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</w:t>
            </w:r>
            <w:r w:rsidR="00451591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p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rivate </w:t>
            </w:r>
            <w:r w:rsidR="004522E1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p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hilanthrop</w:t>
            </w:r>
            <w:r w:rsidR="005370DA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ic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</w:t>
            </w:r>
            <w:r w:rsidR="000C41A7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f</w:t>
            </w:r>
            <w:r w:rsidR="000C41A7">
              <w:rPr>
                <w:rStyle w:val="normaltextrun"/>
                <w:rFonts w:eastAsiaTheme="majorEastAsia"/>
              </w:rPr>
              <w:t>unding</w:t>
            </w:r>
            <w:r w:rsidR="005370DA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for development</w:t>
            </w:r>
            <w:r w:rsidR="00A21BC7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134431AC" w14:textId="3094F590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Private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biodiversity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finance mobilized by official development finance (separate bilateral and multilateral indicators)</w:t>
            </w:r>
            <w:r w:rsidR="00A21BC7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3A323F18" w14:textId="7B4DE1E1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Biodiversity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offsets</w:t>
            </w:r>
            <w:r w:rsidR="00A21BC7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34AB4A9F" w14:textId="0379AEF8" w:rsidR="00DB04C8" w:rsidRPr="00501C6D" w:rsidRDefault="004904F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ayment for ecosystem services</w:t>
            </w:r>
            <w:r w:rsidR="00A21BC7" w:rsidRPr="00501C6D">
              <w:rPr>
                <w:rFonts w:asciiTheme="majorBidi" w:eastAsiaTheme="majorEastAsia" w:hAnsiTheme="majorBidi" w:cstheme="majorBidi"/>
                <w:i/>
                <w:iCs/>
                <w:sz w:val="20"/>
                <w:szCs w:val="20"/>
                <w:vertAlign w:val="superscript"/>
              </w:rPr>
              <w:t>a</w:t>
            </w:r>
          </w:p>
          <w:p w14:paraId="2A5A7381" w14:textId="10D1FB9F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Domestic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</w:t>
            </w:r>
            <w:r w:rsidR="00B046C2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p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rivate </w:t>
            </w:r>
            <w:r w:rsidR="00B046C2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d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onations</w:t>
            </w:r>
          </w:p>
          <w:p w14:paraId="6B0DE91D" w14:textId="6743C948" w:rsidR="00DB04C8" w:rsidRPr="00501C6D" w:rsidRDefault="00DB04C8" w:rsidP="00C9167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Sustainable </w:t>
            </w:r>
            <w:r w:rsidR="00B046C2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c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ommodities</w:t>
            </w:r>
          </w:p>
          <w:p w14:paraId="0FB4E1CB" w14:textId="0F508581" w:rsidR="00DB04C8" w:rsidRPr="00501C6D" w:rsidRDefault="00DB04C8" w:rsidP="00C9167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Private benefit</w:t>
            </w:r>
            <w:r w:rsidR="00B046C2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-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sharing schemes</w:t>
            </w:r>
          </w:p>
          <w:p w14:paraId="2946DDB9" w14:textId="1F1E69E7" w:rsidR="00DB04C8" w:rsidRPr="00501C6D" w:rsidRDefault="00DB04C8" w:rsidP="00C9167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Other instruments</w:t>
            </w:r>
            <w:r w:rsidR="0081219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:</w:t>
            </w:r>
          </w:p>
          <w:p w14:paraId="1EB4C5CB" w14:textId="3A505705" w:rsidR="00DB04C8" w:rsidRPr="00501C6D" w:rsidRDefault="00DB04C8" w:rsidP="00501C6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Biodiversity-relevant </w:t>
            </w:r>
            <w:r w:rsidR="004904F1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b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onds</w:t>
            </w:r>
          </w:p>
          <w:p w14:paraId="1814D072" w14:textId="754CEC03" w:rsidR="00DB04C8" w:rsidRPr="00501C6D" w:rsidRDefault="00DB04C8" w:rsidP="00501C6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Biodiversity-relevant </w:t>
            </w:r>
            <w:r w:rsidR="00F11139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i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mpact investing</w:t>
            </w:r>
          </w:p>
          <w:p w14:paraId="718D54C4" w14:textId="3B06AD2A" w:rsidR="00DB04C8" w:rsidRPr="00501C6D" w:rsidRDefault="00DB04C8" w:rsidP="00501C6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Biodiversity-relevant </w:t>
            </w:r>
            <w:r w:rsidR="004522E1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c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redit </w:t>
            </w:r>
            <w:r w:rsidR="004522E1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m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arkets</w:t>
            </w:r>
          </w:p>
          <w:p w14:paraId="55F9DB9D" w14:textId="0A2DF1BD" w:rsidR="00DB04C8" w:rsidRPr="00501C6D" w:rsidRDefault="00DB04C8" w:rsidP="00501C6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 xml:space="preserve">Biodiversity-relevant </w:t>
            </w:r>
            <w:r w:rsidR="00F11139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i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/>
              </w:rPr>
              <w:t>nsurance products</w:t>
            </w:r>
          </w:p>
          <w:p w14:paraId="6D6AEBFA" w14:textId="20168358" w:rsidR="00DB04C8" w:rsidRPr="002C077D" w:rsidRDefault="00DB04C8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9EBBCC6" w14:textId="599885C9" w:rsidR="00DB04C8" w:rsidRPr="002C077D" w:rsidRDefault="00C5218C" w:rsidP="00501C6D">
            <w:pPr>
              <w:tabs>
                <w:tab w:val="left" w:pos="0"/>
              </w:tabs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1051" w:type="pct"/>
          </w:tcPr>
          <w:p w14:paraId="2AC5EB34" w14:textId="46CE438B" w:rsidR="00BD1141" w:rsidRPr="00501C6D" w:rsidRDefault="00BD114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Amount of private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funding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</w:rPr>
              <w:t>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indigenous peoples and local communities within biodiversity-related activities</w:t>
            </w:r>
          </w:p>
          <w:p w14:paraId="05DCEC35" w14:textId="53120039" w:rsidR="00BD1141" w:rsidRPr="00501C6D" w:rsidRDefault="00BD114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private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youth within biodiversity-related activities</w:t>
            </w:r>
          </w:p>
          <w:p w14:paraId="6578FB60" w14:textId="6A121C13" w:rsidR="00B046C2" w:rsidRPr="00501C6D" w:rsidRDefault="00BD1141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Style w:val="normaltextrun"/>
                <w:rFonts w:asciiTheme="majorBidi" w:hAnsiTheme="majorBidi" w:cstheme="majorBidi"/>
                <w:sz w:val="20"/>
                <w:szCs w:val="20"/>
                <w:lang w:eastAsia="en-CA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Amount of private funding target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ed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F2D2A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at 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gender equality and women</w:t>
            </w:r>
            <w:r w:rsidR="00FC5747"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’</w:t>
            </w: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s rights policy objectives within biodiversity-related activities</w:t>
            </w:r>
          </w:p>
          <w:p w14:paraId="23B5C196" w14:textId="42D7064C" w:rsidR="00DB04C8" w:rsidRPr="00501C6D" w:rsidRDefault="00DB04C8" w:rsidP="00501C6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64" w:hanging="238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Private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 flows mobilized for </w:t>
            </w:r>
            <w:r w:rsidR="00FC5747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indigenous peoples and local communities</w:t>
            </w: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>, women and youth</w:t>
            </w:r>
          </w:p>
          <w:p w14:paraId="6B06592A" w14:textId="4D8D8789" w:rsidR="00DB04C8" w:rsidRPr="00501C6D" w:rsidRDefault="00DB04C8" w:rsidP="00501C6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240" w:hanging="180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  <w:lang w:val="en-GB" w:eastAsia="en-US"/>
              </w:rPr>
              <w:t>Application of a sustainable finance taxonomy related to biodiversity at the national level</w:t>
            </w:r>
          </w:p>
        </w:tc>
      </w:tr>
    </w:tbl>
    <w:p w14:paraId="6AE6E682" w14:textId="42DFF71E" w:rsidR="00DB04C8" w:rsidRDefault="00A21BC7">
      <w:pPr>
        <w:tabs>
          <w:tab w:val="left" w:pos="567"/>
        </w:tabs>
        <w:jc w:val="left"/>
        <w:rPr>
          <w:rFonts w:asciiTheme="majorBidi" w:hAnsiTheme="majorBidi" w:cstheme="majorBidi"/>
          <w:sz w:val="20"/>
          <w:szCs w:val="20"/>
        </w:rPr>
      </w:pPr>
      <w:r w:rsidRPr="00501C6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a</w:t>
      </w:r>
      <w:r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5D1B3B" w:rsidRPr="0061543B">
        <w:rPr>
          <w:rFonts w:asciiTheme="majorBidi" w:hAnsiTheme="majorBidi" w:cstheme="majorBidi"/>
          <w:sz w:val="20"/>
          <w:szCs w:val="20"/>
        </w:rPr>
        <w:t>There exists a</w:t>
      </w:r>
      <w:r w:rsidRPr="00501C6D">
        <w:rPr>
          <w:rFonts w:asciiTheme="majorBidi" w:hAnsiTheme="majorBidi" w:cstheme="majorBidi"/>
          <w:sz w:val="20"/>
          <w:szCs w:val="20"/>
        </w:rPr>
        <w:t xml:space="preserve"> global database.</w:t>
      </w:r>
    </w:p>
    <w:p w14:paraId="09E5369A" w14:textId="187CC2F2" w:rsidR="00687A8C" w:rsidRDefault="00687A8C">
      <w:pPr>
        <w:tabs>
          <w:tab w:val="left" w:pos="567"/>
        </w:tabs>
        <w:jc w:val="left"/>
        <w:rPr>
          <w:rFonts w:asciiTheme="majorBidi" w:hAnsiTheme="majorBidi" w:cstheme="majorBidi"/>
          <w:sz w:val="20"/>
          <w:szCs w:val="20"/>
        </w:rPr>
      </w:pPr>
      <w:r w:rsidRPr="00501C6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b</w:t>
      </w:r>
      <w:r w:rsidRPr="00687A8C">
        <w:rPr>
          <w:rFonts w:asciiTheme="majorBidi" w:hAnsiTheme="majorBidi" w:cstheme="majorBidi"/>
          <w:sz w:val="20"/>
          <w:szCs w:val="20"/>
        </w:rPr>
        <w:t xml:space="preserve"> </w:t>
      </w:r>
      <w:r w:rsidRPr="00501C6D">
        <w:rPr>
          <w:rFonts w:asciiTheme="majorBidi" w:hAnsiTheme="majorBidi" w:cstheme="majorBidi"/>
          <w:sz w:val="20"/>
          <w:szCs w:val="20"/>
        </w:rPr>
        <w:t>New binary indicator.</w:t>
      </w:r>
    </w:p>
    <w:p w14:paraId="69CC8FC5" w14:textId="3904957E" w:rsidR="0039473E" w:rsidRDefault="0039473E">
      <w:pPr>
        <w:tabs>
          <w:tab w:val="left" w:pos="567"/>
        </w:tabs>
        <w:jc w:val="left"/>
        <w:rPr>
          <w:rFonts w:asciiTheme="majorBidi" w:hAnsiTheme="majorBidi" w:cstheme="majorBidi"/>
          <w:sz w:val="20"/>
          <w:szCs w:val="20"/>
        </w:rPr>
      </w:pPr>
      <w:r w:rsidRPr="00501C6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c</w:t>
      </w:r>
      <w:r w:rsidRPr="00501C6D">
        <w:rPr>
          <w:rFonts w:asciiTheme="majorBidi" w:hAnsiTheme="majorBidi" w:cstheme="majorBidi"/>
          <w:sz w:val="20"/>
          <w:szCs w:val="20"/>
        </w:rPr>
        <w:t xml:space="preserve"> Monetary value of disbursements by providers (per year and in national currency).</w:t>
      </w:r>
    </w:p>
    <w:p w14:paraId="38060D69" w14:textId="3D322664" w:rsidR="005E2F2D" w:rsidRPr="005E2F2D" w:rsidRDefault="005E2F2D" w:rsidP="00501C6D">
      <w:pPr>
        <w:tabs>
          <w:tab w:val="left" w:pos="567"/>
        </w:tabs>
        <w:jc w:val="left"/>
        <w:rPr>
          <w:rFonts w:asciiTheme="majorBidi" w:hAnsiTheme="majorBidi" w:cstheme="majorBidi"/>
          <w:szCs w:val="22"/>
        </w:rPr>
      </w:pPr>
      <w:r w:rsidRPr="00501C6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d</w:t>
      </w:r>
      <w:r w:rsidRPr="005E2F2D">
        <w:rPr>
          <w:rFonts w:asciiTheme="majorBidi" w:hAnsiTheme="majorBidi" w:cstheme="majorBidi"/>
          <w:sz w:val="20"/>
          <w:szCs w:val="20"/>
        </w:rPr>
        <w:t xml:space="preserve"> M</w:t>
      </w:r>
      <w:r w:rsidRPr="00501C6D">
        <w:rPr>
          <w:rFonts w:asciiTheme="majorBidi" w:hAnsiTheme="majorBidi" w:cstheme="majorBidi"/>
          <w:sz w:val="20"/>
          <w:szCs w:val="20"/>
        </w:rPr>
        <w:t>onetary value of domestic public expenditure on biodiversity (per year and in national currency).</w:t>
      </w:r>
    </w:p>
    <w:p w14:paraId="755960AA" w14:textId="499580B0" w:rsidR="00DB04C8" w:rsidRPr="00501C6D" w:rsidRDefault="004E3322" w:rsidP="00501C6D">
      <w:pPr>
        <w:ind w:left="567"/>
        <w:jc w:val="left"/>
        <w:rPr>
          <w:rFonts w:asciiTheme="majorBidi" w:hAnsiTheme="majorBidi" w:cstheme="majorBidi"/>
          <w:b/>
          <w:bCs/>
          <w:sz w:val="24"/>
        </w:rPr>
      </w:pPr>
      <w:r w:rsidRPr="00501C6D">
        <w:rPr>
          <w:rFonts w:asciiTheme="majorBidi" w:hAnsiTheme="majorBidi" w:cstheme="majorBidi"/>
          <w:b/>
          <w:bCs/>
          <w:sz w:val="24"/>
        </w:rPr>
        <w:lastRenderedPageBreak/>
        <w:t xml:space="preserve">Annex </w:t>
      </w:r>
      <w:r w:rsidR="00DB04C8" w:rsidRPr="00501C6D">
        <w:rPr>
          <w:rFonts w:asciiTheme="majorBidi" w:hAnsiTheme="majorBidi" w:cstheme="majorBidi"/>
          <w:b/>
          <w:bCs/>
          <w:sz w:val="24"/>
        </w:rPr>
        <w:t>II</w:t>
      </w:r>
    </w:p>
    <w:p w14:paraId="6C22B037" w14:textId="77777777" w:rsidR="00DB04C8" w:rsidRPr="00501C6D" w:rsidRDefault="00DB04C8" w:rsidP="00501C6D">
      <w:pPr>
        <w:spacing w:after="240"/>
        <w:ind w:left="567"/>
        <w:rPr>
          <w:rFonts w:asciiTheme="majorBidi" w:hAnsiTheme="majorBidi" w:cstheme="majorBidi"/>
          <w:b/>
          <w:bCs/>
          <w:sz w:val="24"/>
        </w:rPr>
      </w:pPr>
      <w:r w:rsidRPr="00501C6D">
        <w:rPr>
          <w:rFonts w:asciiTheme="majorBidi" w:hAnsiTheme="majorBidi" w:cstheme="majorBidi"/>
          <w:b/>
          <w:bCs/>
          <w:sz w:val="24"/>
        </w:rPr>
        <w:t>Global methodologies and databases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4"/>
        <w:gridCol w:w="2667"/>
        <w:gridCol w:w="2532"/>
        <w:gridCol w:w="2857"/>
      </w:tblGrid>
      <w:tr w:rsidR="00551CE7" w:rsidRPr="002C077D" w14:paraId="059AA7F3" w14:textId="77777777" w:rsidTr="00EF7FA7">
        <w:trPr>
          <w:tblHeader/>
        </w:trPr>
        <w:tc>
          <w:tcPr>
            <w:tcW w:w="692" w:type="pct"/>
            <w:vMerge w:val="restart"/>
          </w:tcPr>
          <w:p w14:paraId="09CF14F0" w14:textId="77777777" w:rsidR="00551CE7" w:rsidRPr="00501C6D" w:rsidRDefault="00551CE7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Headline indicator</w:t>
            </w:r>
          </w:p>
        </w:tc>
        <w:tc>
          <w:tcPr>
            <w:tcW w:w="1426" w:type="pct"/>
            <w:vMerge w:val="restart"/>
          </w:tcPr>
          <w:p w14:paraId="6862E9DE" w14:textId="77777777" w:rsidR="00551CE7" w:rsidRPr="00501C6D" w:rsidRDefault="00551CE7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Global database or methodology </w:t>
            </w:r>
          </w:p>
        </w:tc>
        <w:tc>
          <w:tcPr>
            <w:tcW w:w="1354" w:type="pct"/>
          </w:tcPr>
          <w:p w14:paraId="35B2C9B5" w14:textId="43E634F3" w:rsidR="00551CE7" w:rsidRPr="00501C6D" w:rsidRDefault="00551CE7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Capacity</w:t>
            </w: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-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building </w:t>
            </w:r>
          </w:p>
        </w:tc>
        <w:tc>
          <w:tcPr>
            <w:tcW w:w="1528" w:type="pct"/>
            <w:vMerge w:val="restart"/>
          </w:tcPr>
          <w:p w14:paraId="26F0F95A" w14:textId="718A1C5A" w:rsidR="00551CE7" w:rsidRPr="00501C6D" w:rsidRDefault="00551CE7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Current</w:t>
            </w:r>
            <w:r w:rsidRPr="00501C6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future work</w:t>
            </w:r>
          </w:p>
        </w:tc>
      </w:tr>
      <w:tr w:rsidR="00551CE7" w:rsidRPr="002C077D" w14:paraId="5DBE71F0" w14:textId="77777777" w:rsidTr="00EF7FA7">
        <w:trPr>
          <w:tblHeader/>
        </w:trPr>
        <w:tc>
          <w:tcPr>
            <w:tcW w:w="692" w:type="pct"/>
            <w:vMerge/>
          </w:tcPr>
          <w:p w14:paraId="2E6142E8" w14:textId="77777777" w:rsidR="00551CE7" w:rsidRPr="00BF3286" w:rsidRDefault="00551CE7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426" w:type="pct"/>
            <w:vMerge/>
          </w:tcPr>
          <w:p w14:paraId="64507C9F" w14:textId="77777777" w:rsidR="00551CE7" w:rsidRPr="00BF3286" w:rsidRDefault="00551CE7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354" w:type="pct"/>
          </w:tcPr>
          <w:p w14:paraId="7EC9BE65" w14:textId="5D752CAA" w:rsidR="00551CE7" w:rsidRPr="00BF3286" w:rsidRDefault="00551CE7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036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Capacity</w:t>
            </w: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-</w:t>
            </w:r>
            <w:r w:rsidRPr="006036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building provided</w:t>
            </w:r>
          </w:p>
        </w:tc>
        <w:tc>
          <w:tcPr>
            <w:tcW w:w="1528" w:type="pct"/>
            <w:vMerge/>
          </w:tcPr>
          <w:p w14:paraId="1C9A1258" w14:textId="77777777" w:rsidR="00551CE7" w:rsidRPr="00BF3286" w:rsidDel="000D6A52" w:rsidRDefault="00551CE7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DB04C8" w:rsidRPr="002C077D" w14:paraId="23195EA0" w14:textId="77777777" w:rsidTr="00EF7FA7">
        <w:tc>
          <w:tcPr>
            <w:tcW w:w="692" w:type="pct"/>
          </w:tcPr>
          <w:p w14:paraId="1929B5E0" w14:textId="77777777" w:rsidR="00DB04C8" w:rsidRPr="002C077D" w:rsidRDefault="00DB04C8" w:rsidP="0060739A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18.1 Positive incentives in place to promote biodiversity conservation and sustainable use</w:t>
            </w:r>
          </w:p>
        </w:tc>
        <w:tc>
          <w:tcPr>
            <w:tcW w:w="1426" w:type="pct"/>
          </w:tcPr>
          <w:p w14:paraId="7033065F" w14:textId="5A6E8CE0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Methodology and database</w:t>
            </w:r>
          </w:p>
          <w:p w14:paraId="70886CF6" w14:textId="57B659E3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F12B9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PINE </w:t>
            </w:r>
            <w:r w:rsidR="00766C3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atabase</w:t>
            </w:r>
            <w:r w:rsidR="0081219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1219D" w:rsidRPr="0081219D">
              <w:rPr>
                <w:rFonts w:asciiTheme="majorBidi" w:hAnsiTheme="majorBidi" w:cstheme="majorBidi"/>
                <w:sz w:val="20"/>
                <w:szCs w:val="20"/>
              </w:rPr>
              <w:t>and underlying methodology</w:t>
            </w:r>
          </w:p>
        </w:tc>
        <w:tc>
          <w:tcPr>
            <w:tcW w:w="1354" w:type="pct"/>
          </w:tcPr>
          <w:p w14:paraId="3CC8FC59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0585BA3A" w14:textId="33106C4A" w:rsidR="00DB04C8" w:rsidRPr="002C077D" w:rsidRDefault="008713AB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Q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uality control of existing and new data reported</w:t>
            </w:r>
          </w:p>
          <w:p w14:paraId="7645F904" w14:textId="149EA663" w:rsidR="00DB04C8" w:rsidRPr="002C077D" w:rsidRDefault="008713AB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b)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ndividual, thematic and regional capacity</w:t>
            </w:r>
            <w:r w:rsidR="005F1DC2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noBreakHyphen/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building seminars</w:t>
            </w:r>
          </w:p>
          <w:p w14:paraId="756F0643" w14:textId="2561DE09" w:rsidR="00DB04C8" w:rsidRPr="002C077D" w:rsidRDefault="008713AB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c)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uidance and instructions for statistical reporters</w:t>
            </w:r>
          </w:p>
        </w:tc>
        <w:tc>
          <w:tcPr>
            <w:tcW w:w="1528" w:type="pct"/>
          </w:tcPr>
          <w:p w14:paraId="3F502343" w14:textId="22ECE3D5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766C32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country coverage </w:t>
            </w:r>
          </w:p>
          <w:p w14:paraId="5629F7EF" w14:textId="08CDB16D" w:rsidR="00DB04C8" w:rsidRPr="00501C6D" w:rsidRDefault="00DB04C8" w:rsidP="00501C6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Encourag</w:t>
            </w:r>
            <w:r w:rsidR="00766C32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further reporting by countries on biodiversity offsets and payments for ecosystem services</w:t>
            </w:r>
          </w:p>
        </w:tc>
      </w:tr>
      <w:tr w:rsidR="00DB04C8" w:rsidRPr="002C077D" w14:paraId="407D0844" w14:textId="77777777" w:rsidTr="00EF7FA7">
        <w:tc>
          <w:tcPr>
            <w:tcW w:w="692" w:type="pct"/>
          </w:tcPr>
          <w:p w14:paraId="1F4FD6FA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18.2 Value of subsidies and other incentives harmful to biodiversity</w:t>
            </w:r>
          </w:p>
        </w:tc>
        <w:tc>
          <w:tcPr>
            <w:tcW w:w="1426" w:type="pct"/>
          </w:tcPr>
          <w:p w14:paraId="54F6E6CC" w14:textId="561C6463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Databases</w:t>
            </w:r>
          </w:p>
          <w:p w14:paraId="1F00FFDF" w14:textId="54B92534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Fisheries Support Estimate database </w:t>
            </w:r>
          </w:p>
          <w:p w14:paraId="0464C6BD" w14:textId="5DD51102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Producer Support Estimate database </w:t>
            </w:r>
            <w:r w:rsidR="00563BB4" w:rsidRPr="002C077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for agriculture</w:t>
            </w:r>
            <w:r w:rsidR="00563BB4" w:rsidRPr="002C077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2928E108" w14:textId="01AA037B" w:rsidR="00DB04C8" w:rsidRPr="002C077D" w:rsidRDefault="00DB04C8" w:rsidP="0060739A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IEA/IMF S</w:t>
            </w:r>
            <w:r w:rsidR="00F00DCE" w:rsidRPr="002C077D">
              <w:rPr>
                <w:rFonts w:asciiTheme="majorBidi" w:hAnsiTheme="majorBidi" w:cstheme="majorBidi"/>
                <w:sz w:val="20"/>
                <w:szCs w:val="20"/>
              </w:rPr>
              <w:t>usta</w:t>
            </w:r>
            <w:r w:rsidR="004A5273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inable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4A5273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evelopment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4A5273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oal target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4A5273" w:rsidRPr="002C077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metadata for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2010B1" w:rsidRPr="002010B1">
              <w:rPr>
                <w:rFonts w:asciiTheme="majorBidi" w:hAnsiTheme="majorBidi" w:cstheme="majorBidi"/>
                <w:sz w:val="20"/>
                <w:szCs w:val="20"/>
              </w:rPr>
              <w:t xml:space="preserve">Inventory of Support Measures for Fossil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uel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>s database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(operators)</w:t>
            </w:r>
          </w:p>
        </w:tc>
        <w:tc>
          <w:tcPr>
            <w:tcW w:w="1354" w:type="pct"/>
          </w:tcPr>
          <w:p w14:paraId="204DB55E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368A7494" w14:textId="2781A88C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Can work with new countries to provide guidance and support on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81219D">
              <w:rPr>
                <w:rFonts w:asciiTheme="majorBidi" w:hAnsiTheme="majorBidi" w:cstheme="majorBidi"/>
                <w:sz w:val="20"/>
                <w:szCs w:val="20"/>
              </w:rPr>
              <w:t>provide data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to the databases</w:t>
            </w:r>
          </w:p>
        </w:tc>
        <w:tc>
          <w:tcPr>
            <w:tcW w:w="1528" w:type="pct"/>
          </w:tcPr>
          <w:p w14:paraId="78A72D2D" w14:textId="009A069C" w:rsidR="00DB04C8" w:rsidRPr="002C077D" w:rsidRDefault="00DB04C8" w:rsidP="0060739A">
            <w:pPr>
              <w:pStyle w:val="ListParagraph"/>
              <w:numPr>
                <w:ilvl w:val="0"/>
                <w:numId w:val="7"/>
              </w:num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766C32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country coverage</w:t>
            </w:r>
          </w:p>
        </w:tc>
      </w:tr>
      <w:tr w:rsidR="00DB04C8" w:rsidRPr="002C077D" w14:paraId="108EC0CC" w14:textId="77777777" w:rsidTr="00EF7FA7">
        <w:tc>
          <w:tcPr>
            <w:tcW w:w="692" w:type="pct"/>
          </w:tcPr>
          <w:p w14:paraId="17B2E85B" w14:textId="342BC6D2" w:rsidR="00DB04C8" w:rsidRPr="002C077D" w:rsidRDefault="00DB04C8" w:rsidP="0060739A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D.1 International public funding, including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official development assistance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for conservation and sustainable use of biodiversity and ecosystems</w:t>
            </w:r>
          </w:p>
        </w:tc>
        <w:tc>
          <w:tcPr>
            <w:tcW w:w="1426" w:type="pct"/>
          </w:tcPr>
          <w:p w14:paraId="4588A1C2" w14:textId="0E773677" w:rsidR="00DB04C8" w:rsidRPr="002C077D" w:rsidRDefault="00236A4E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 w:rsidR="00DB04C8"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atabase</w:t>
            </w: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</w:t>
            </w:r>
          </w:p>
          <w:p w14:paraId="25B259E2" w14:textId="27F1E7E4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F3FF0" w:rsidRPr="00501C6D">
              <w:rPr>
                <w:rFonts w:asciiTheme="majorBidi" w:hAnsiTheme="majorBidi" w:cstheme="majorBidi"/>
                <w:sz w:val="20"/>
                <w:szCs w:val="20"/>
              </w:rPr>
              <w:t>Development Assistance Committee</w:t>
            </w:r>
            <w:r w:rsidR="00FA3A58" w:rsidRPr="002C077D"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 w:rsidR="005F3FF0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Creditor Reporting System</w:t>
            </w:r>
          </w:p>
          <w:p w14:paraId="126FD4FF" w14:textId="50C0D8A0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International Forum on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TOSSD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54" w:type="pct"/>
          </w:tcPr>
          <w:p w14:paraId="674B0869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448E92D0" w14:textId="5D1C7C08" w:rsidR="00DB04C8" w:rsidRPr="002C077D" w:rsidRDefault="00FF17C2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Q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uality control of existing and new reported data</w:t>
            </w:r>
          </w:p>
          <w:p w14:paraId="2CA31A45" w14:textId="6DC34131" w:rsidR="00DB04C8" w:rsidRPr="002C077D" w:rsidRDefault="00FF17C2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b)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ndividual, thematic and regional capacity</w:t>
            </w:r>
            <w:r w:rsidR="00ED225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noBreakHyphen/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building seminars</w:t>
            </w:r>
          </w:p>
          <w:p w14:paraId="08338157" w14:textId="46C9C75B" w:rsidR="00DB04C8" w:rsidRPr="002C077D" w:rsidRDefault="00361A6A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c) </w:t>
            </w: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uidance and instructions for statistical reporters</w:t>
            </w:r>
          </w:p>
        </w:tc>
        <w:tc>
          <w:tcPr>
            <w:tcW w:w="1528" w:type="pct"/>
          </w:tcPr>
          <w:p w14:paraId="3AF5A9E4" w14:textId="45F1BC82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BB2635" w:rsidRPr="002C077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BB2635" w:rsidRPr="00501C6D">
              <w:rPr>
                <w:rFonts w:asciiTheme="majorBidi" w:hAnsiTheme="majorBidi" w:cstheme="majorBidi"/>
                <w:sz w:val="20"/>
                <w:szCs w:val="20"/>
              </w:rPr>
              <w:t>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coverage (provider countries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A71794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multilateral organizations) </w:t>
            </w:r>
          </w:p>
          <w:p w14:paraId="7D836E02" w14:textId="77777777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Further refinement of Rio marker methodology and other biodiversity-related development finance statistics </w:t>
            </w:r>
          </w:p>
          <w:p w14:paraId="36204F4B" w14:textId="77777777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Further refinement of biodiversity-related reporting in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the TOSSD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framework</w:t>
            </w:r>
          </w:p>
        </w:tc>
      </w:tr>
      <w:tr w:rsidR="00DB04C8" w:rsidRPr="002C077D" w14:paraId="4115705C" w14:textId="77777777" w:rsidTr="00EF7FA7">
        <w:trPr>
          <w:trHeight w:val="588"/>
        </w:trPr>
        <w:tc>
          <w:tcPr>
            <w:tcW w:w="692" w:type="pct"/>
            <w:vMerge w:val="restart"/>
          </w:tcPr>
          <w:p w14:paraId="4F870FB3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D.2 Domestic public funding on conservation and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sustainable use of biodiversity and ecosystems</w:t>
            </w:r>
          </w:p>
        </w:tc>
        <w:tc>
          <w:tcPr>
            <w:tcW w:w="1426" w:type="pct"/>
          </w:tcPr>
          <w:p w14:paraId="0B722BB5" w14:textId="65D9A7E2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Methodology</w:t>
            </w:r>
          </w:p>
          <w:p w14:paraId="360384E3" w14:textId="0106563C" w:rsidR="00DB04C8" w:rsidRPr="002C077D" w:rsidRDefault="00DB04C8" w:rsidP="0060739A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UNDP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BIOFIN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BIOFIN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methodology)</w:t>
            </w:r>
            <w:r w:rsidR="0036203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Countries can report national data to </w:t>
            </w:r>
            <w:r w:rsidR="008A4F9D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the Secretariat of </w:t>
            </w:r>
            <w:r w:rsidR="00020452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020452" w:rsidRPr="00501C6D">
              <w:rPr>
                <w:rFonts w:asciiTheme="majorBidi" w:hAnsiTheme="majorBidi" w:cstheme="majorBidi"/>
                <w:sz w:val="20"/>
                <w:szCs w:val="20"/>
              </w:rPr>
              <w:t>Convention on Biological Diversity</w:t>
            </w:r>
            <w:r w:rsidR="00020452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based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on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data developed through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the BIOFIN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process, in particular the </w:t>
            </w:r>
            <w:r w:rsidR="00362034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ational </w:t>
            </w:r>
            <w:r w:rsidR="00362034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iodiversity </w:t>
            </w:r>
            <w:r w:rsidR="00362034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xpenditure </w:t>
            </w:r>
            <w:r w:rsidR="00362034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eview </w:t>
            </w:r>
          </w:p>
        </w:tc>
        <w:tc>
          <w:tcPr>
            <w:tcW w:w="1354" w:type="pct"/>
          </w:tcPr>
          <w:p w14:paraId="400DD2E7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Yes</w:t>
            </w:r>
          </w:p>
          <w:p w14:paraId="6D60CAF9" w14:textId="41048D26" w:rsidR="00DB04C8" w:rsidRPr="002C077D" w:rsidRDefault="00342FE5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(a) 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</w:rPr>
              <w:t>BIOFIN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E6C78" w:rsidRPr="00501C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DB04C8" w:rsidRPr="00501C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ethodology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workbook</w:t>
            </w:r>
          </w:p>
          <w:p w14:paraId="3557913E" w14:textId="7B00FDAF" w:rsidR="00DB04C8" w:rsidRPr="002C077D" w:rsidRDefault="00342FE5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(b) </w:t>
            </w:r>
            <w:r w:rsidR="00DB04C8" w:rsidRPr="00501C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34151" w:rsidRPr="002C077D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assive </w:t>
            </w:r>
            <w:r w:rsidR="00634151" w:rsidRPr="002C077D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pen </w:t>
            </w:r>
            <w:r w:rsidR="00634151" w:rsidRPr="002C077D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nline </w:t>
            </w:r>
            <w:r w:rsidR="00634151" w:rsidRPr="002C077D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ourse on </w:t>
            </w:r>
            <w:r w:rsidR="00634151" w:rsidRPr="002C077D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iodiversity </w:t>
            </w:r>
            <w:r w:rsidR="00C05D5B" w:rsidRPr="002C077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>inance</w:t>
            </w:r>
          </w:p>
        </w:tc>
        <w:tc>
          <w:tcPr>
            <w:tcW w:w="1528" w:type="pct"/>
          </w:tcPr>
          <w:p w14:paraId="7B6BC8D1" w14:textId="70110E3E" w:rsidR="00DB04C8" w:rsidRPr="002C077D" w:rsidRDefault="00DB04C8" w:rsidP="0060739A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Expanding the number of countries using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the BIOFIN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methodology to assess national biodiversity expenditure</w:t>
            </w:r>
          </w:p>
          <w:p w14:paraId="7103FD33" w14:textId="595C6179" w:rsidR="00DB04C8" w:rsidRPr="002C077D" w:rsidRDefault="00DB04C8" w:rsidP="0060739A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Further work on the Global Biodiversity Expenditure Taxonomy</w:t>
            </w:r>
          </w:p>
        </w:tc>
      </w:tr>
      <w:tr w:rsidR="00DB04C8" w:rsidRPr="002C077D" w14:paraId="6E09DCBA" w14:textId="77777777" w:rsidTr="00EF7FA7">
        <w:trPr>
          <w:trHeight w:val="586"/>
        </w:trPr>
        <w:tc>
          <w:tcPr>
            <w:tcW w:w="692" w:type="pct"/>
            <w:vMerge/>
          </w:tcPr>
          <w:p w14:paraId="6E844360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63199E6D" w14:textId="48145006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Methodolog</w:t>
            </w:r>
            <w:r w:rsidR="00780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ies</w:t>
            </w:r>
          </w:p>
          <w:p w14:paraId="68DFB2CE" w14:textId="4F7DCF14" w:rsidR="00DB04C8" w:rsidRPr="002C077D" w:rsidRDefault="009B3073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Statisti</w:t>
            </w:r>
            <w:r w:rsidR="002135EA" w:rsidRPr="002C077D">
              <w:rPr>
                <w:rFonts w:asciiTheme="majorBidi" w:hAnsiTheme="majorBidi" w:cstheme="majorBidi"/>
                <w:sz w:val="20"/>
                <w:szCs w:val="20"/>
              </w:rPr>
              <w:t>cs Division</w:t>
            </w:r>
            <w:r w:rsidR="001663A4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</w:rPr>
              <w:t>SEEA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588A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2A5B11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SEEA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nvironment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rotection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xpenditure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>ccounts</w:t>
            </w:r>
          </w:p>
          <w:p w14:paraId="68DB88A9" w14:textId="287E13D3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Classification of Environmental Purposes</w:t>
            </w:r>
          </w:p>
          <w:p w14:paraId="49FAD6E1" w14:textId="1D3597D0" w:rsidR="0078020E" w:rsidRDefault="00DB04C8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Database</w:t>
            </w:r>
          </w:p>
          <w:p w14:paraId="4916B6F3" w14:textId="216FE95E" w:rsidR="00DB04C8" w:rsidRPr="002C077D" w:rsidRDefault="006F7570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ational accounts, 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</w:rPr>
              <w:t>Eurostat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(for </w:t>
            </w:r>
            <w:r w:rsidR="006F3B5E" w:rsidRPr="002C077D">
              <w:rPr>
                <w:rFonts w:asciiTheme="majorBidi" w:hAnsiTheme="majorBidi" w:cstheme="majorBidi"/>
                <w:sz w:val="20"/>
                <w:szCs w:val="20"/>
              </w:rPr>
              <w:t>States</w:t>
            </w:r>
            <w:r w:rsidR="006F3B5E" w:rsidRPr="002C077D" w:rsidDel="003D269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83570" w:rsidRPr="002C077D">
              <w:rPr>
                <w:rFonts w:asciiTheme="majorBidi" w:hAnsiTheme="majorBidi" w:cstheme="majorBidi"/>
                <w:sz w:val="20"/>
                <w:szCs w:val="20"/>
              </w:rPr>
              <w:t>members of the European Union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54" w:type="pct"/>
          </w:tcPr>
          <w:p w14:paraId="07757647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528" w:type="pct"/>
          </w:tcPr>
          <w:p w14:paraId="404727C8" w14:textId="044DA6B6" w:rsidR="00DB04C8" w:rsidRPr="002C077D" w:rsidRDefault="00DB04C8" w:rsidP="0060739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Expanding </w:t>
            </w:r>
            <w:r w:rsidR="0099079C" w:rsidRPr="002C077D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99079C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he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number of countries implementing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nvironment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rotection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xpenditure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ccounts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as part of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SEEA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76083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Central Framework </w:t>
            </w:r>
          </w:p>
          <w:p w14:paraId="04CE0105" w14:textId="32014126" w:rsidR="00DB04C8" w:rsidRPr="002C077D" w:rsidRDefault="00DB04C8" w:rsidP="0060739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Covering secondary purposes, as part of the work on the Classification of Environmental Purposes</w:t>
            </w:r>
          </w:p>
        </w:tc>
      </w:tr>
      <w:tr w:rsidR="00DB04C8" w:rsidRPr="002C077D" w14:paraId="26D8DF21" w14:textId="77777777" w:rsidTr="00EF7FA7">
        <w:trPr>
          <w:trHeight w:val="586"/>
        </w:trPr>
        <w:tc>
          <w:tcPr>
            <w:tcW w:w="692" w:type="pct"/>
            <w:vMerge/>
          </w:tcPr>
          <w:p w14:paraId="0B65C974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5AEE209C" w14:textId="752D2F02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Methodology and database</w:t>
            </w:r>
          </w:p>
          <w:p w14:paraId="7C65E6B9" w14:textId="146A4903" w:rsidR="00DB04C8" w:rsidRPr="002C077D" w:rsidRDefault="00DB04C8" w:rsidP="0060739A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IMF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C60D7B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Statistics Division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COFOG</w:t>
            </w:r>
            <w:r w:rsidR="00313A97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13A97" w:rsidRPr="002C077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overnment </w:t>
            </w:r>
            <w:r w:rsidR="00313A97" w:rsidRPr="002C077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inance </w:t>
            </w:r>
            <w:r w:rsidR="00313A97" w:rsidRPr="002C077D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tatistics)</w:t>
            </w:r>
          </w:p>
        </w:tc>
        <w:tc>
          <w:tcPr>
            <w:tcW w:w="1354" w:type="pct"/>
          </w:tcPr>
          <w:p w14:paraId="6C51302E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528" w:type="pct"/>
          </w:tcPr>
          <w:p w14:paraId="01B240FD" w14:textId="68069929" w:rsidR="00DB04C8" w:rsidRPr="002C077D" w:rsidRDefault="00DB04C8" w:rsidP="00A71794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Expanding </w:t>
            </w:r>
            <w:r w:rsidR="0099079C" w:rsidRPr="002C077D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99079C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he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number of countries reporting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A71794" w:rsidRPr="00501C6D">
              <w:rPr>
                <w:rFonts w:asciiTheme="majorBidi" w:hAnsiTheme="majorBidi" w:cstheme="majorBidi"/>
                <w:sz w:val="20"/>
                <w:szCs w:val="20"/>
              </w:rPr>
              <w:t>hrough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overnment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inance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tatistics </w:t>
            </w:r>
            <w:r w:rsidR="002010B1">
              <w:rPr>
                <w:rFonts w:asciiTheme="majorBidi" w:hAnsiTheme="majorBidi" w:cstheme="majorBidi"/>
                <w:sz w:val="20"/>
                <w:szCs w:val="20"/>
              </w:rPr>
              <w:t xml:space="preserve">database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ac</w:t>
            </w:r>
            <w:r w:rsidR="00A71794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cording to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COFOG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2E73C928" w14:textId="77777777" w:rsidR="00DB04C8" w:rsidRPr="002C077D" w:rsidRDefault="00DB04C8" w:rsidP="0060739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Expanding number of countries reporting on biodiversity-relevant classes</w:t>
            </w:r>
          </w:p>
          <w:p w14:paraId="2AF8D38F" w14:textId="7B1F08D4" w:rsidR="00DB04C8" w:rsidRPr="002C077D" w:rsidRDefault="00DB04C8" w:rsidP="0060739A">
            <w:pPr>
              <w:pStyle w:val="ListParagraph"/>
              <w:numPr>
                <w:ilvl w:val="0"/>
                <w:numId w:val="9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Addressing secondary purpose in the forthcoming revision of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COFOG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and link with </w:t>
            </w:r>
            <w:r w:rsidR="00D47CD7" w:rsidRPr="002C077D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D47CD7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he </w:t>
            </w:r>
            <w:r w:rsidR="0057497F" w:rsidRPr="002C077D">
              <w:rPr>
                <w:rFonts w:asciiTheme="majorBidi" w:hAnsiTheme="majorBidi" w:cstheme="majorBidi"/>
                <w:sz w:val="20"/>
                <w:szCs w:val="20"/>
              </w:rPr>
              <w:t>Classification of Environmental Purposes</w:t>
            </w:r>
          </w:p>
        </w:tc>
      </w:tr>
      <w:tr w:rsidR="00DB04C8" w:rsidRPr="002C077D" w14:paraId="1FAB3333" w14:textId="77777777" w:rsidTr="00EF7FA7">
        <w:trPr>
          <w:trHeight w:val="800"/>
        </w:trPr>
        <w:tc>
          <w:tcPr>
            <w:tcW w:w="692" w:type="pct"/>
            <w:vMerge w:val="restart"/>
          </w:tcPr>
          <w:p w14:paraId="68F4C815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D.3 Private funding (domestic and international) on conservation and sustainable use of biodiversity and ecosystems</w:t>
            </w:r>
          </w:p>
        </w:tc>
        <w:tc>
          <w:tcPr>
            <w:tcW w:w="1426" w:type="pct"/>
          </w:tcPr>
          <w:p w14:paraId="11ACB854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international funding</w:t>
            </w:r>
          </w:p>
          <w:p w14:paraId="2A283B2B" w14:textId="70A2AEA4" w:rsidR="00DB04C8" w:rsidRPr="002C077D" w:rsidRDefault="00DB04C8" w:rsidP="00501C6D">
            <w:pPr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Database</w:t>
            </w:r>
          </w:p>
          <w:p w14:paraId="6472B37D" w14:textId="308312D5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Creditor Reporting System coverage of private philanthrop</w:t>
            </w:r>
            <w:r w:rsidR="004364B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ic </w:t>
            </w:r>
            <w:r w:rsidR="00545805">
              <w:rPr>
                <w:rFonts w:asciiTheme="majorBidi" w:hAnsiTheme="majorBidi" w:cstheme="majorBidi"/>
                <w:sz w:val="20"/>
                <w:szCs w:val="20"/>
              </w:rPr>
              <w:t>funding</w:t>
            </w:r>
            <w:r w:rsidR="006D38A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and international private finance mobilized</w:t>
            </w:r>
            <w:r w:rsidR="00993F95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through official development finance</w:t>
            </w:r>
          </w:p>
        </w:tc>
        <w:tc>
          <w:tcPr>
            <w:tcW w:w="1354" w:type="pct"/>
          </w:tcPr>
          <w:p w14:paraId="1F5CBE92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440799B1" w14:textId="6714FCAC" w:rsidR="00DB04C8" w:rsidRPr="002C077D" w:rsidRDefault="00D76AC4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a) </w:t>
            </w:r>
            <w:r w:rsidR="00342FE5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Q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uality control of existing and new reported data</w:t>
            </w:r>
            <w:r w:rsidR="003B702B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14:paraId="729FED0B" w14:textId="4D4AA354" w:rsidR="00DB04C8" w:rsidRPr="002C077D" w:rsidRDefault="00D76AC4" w:rsidP="00501C6D">
            <w:pPr>
              <w:spacing w:before="120" w:after="120"/>
              <w:jc w:val="left"/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b) </w:t>
            </w:r>
            <w:r w:rsidR="00676D97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ndividual, thematic and regional capacity</w:t>
            </w:r>
            <w:r w:rsidR="00676D97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noBreakHyphen/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building seminars</w:t>
            </w:r>
            <w:r w:rsidR="003B702B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14:paraId="7C55C5B7" w14:textId="43C848B0" w:rsidR="00DB04C8" w:rsidRPr="002C077D" w:rsidRDefault="00D76AC4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 xml:space="preserve">c) </w:t>
            </w:r>
            <w:r w:rsidR="00676D97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uidance and instructions for statistical reporters</w:t>
            </w:r>
          </w:p>
        </w:tc>
        <w:tc>
          <w:tcPr>
            <w:tcW w:w="1528" w:type="pct"/>
          </w:tcPr>
          <w:p w14:paraId="018EEE1A" w14:textId="18D2DAC3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BB2635" w:rsidRPr="002C077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BB2635" w:rsidRPr="00501C6D">
              <w:rPr>
                <w:rFonts w:asciiTheme="majorBidi" w:hAnsiTheme="majorBidi" w:cstheme="majorBidi"/>
                <w:sz w:val="20"/>
                <w:szCs w:val="20"/>
              </w:rPr>
              <w:t>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coverage (provider countries </w:t>
            </w:r>
            <w:r w:rsidR="00BD2B56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BD2B56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nd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multilateral organizations)</w:t>
            </w:r>
          </w:p>
          <w:p w14:paraId="37C1C4E4" w14:textId="763689F7" w:rsidR="00DB04C8" w:rsidRPr="00501C6D" w:rsidRDefault="00DB04C8" w:rsidP="00501C6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Further refinement of biodiversity-related development finance statistics</w:t>
            </w:r>
          </w:p>
        </w:tc>
      </w:tr>
      <w:tr w:rsidR="00DB04C8" w:rsidRPr="002C077D" w14:paraId="168488A4" w14:textId="77777777" w:rsidTr="00EF7FA7">
        <w:trPr>
          <w:trHeight w:val="1583"/>
        </w:trPr>
        <w:tc>
          <w:tcPr>
            <w:tcW w:w="692" w:type="pct"/>
            <w:vMerge/>
          </w:tcPr>
          <w:p w14:paraId="05D7F33D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489B181E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domestic funding</w:t>
            </w:r>
          </w:p>
          <w:p w14:paraId="00F91024" w14:textId="2FCD984D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Methodolog</w:t>
            </w:r>
            <w:r w:rsidR="009E4EF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ies</w:t>
            </w:r>
          </w:p>
          <w:p w14:paraId="6DECF55D" w14:textId="7D587FDC" w:rsidR="00DB04C8" w:rsidRPr="002C077D" w:rsidRDefault="002138E6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Statistics Division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DB04C8" w:rsidRPr="00501C6D">
              <w:rPr>
                <w:rFonts w:asciiTheme="majorBidi" w:hAnsiTheme="majorBidi" w:cstheme="majorBidi"/>
                <w:sz w:val="20"/>
                <w:szCs w:val="20"/>
              </w:rPr>
              <w:t>SEEA</w:t>
            </w:r>
            <w:r w:rsidR="00DB04C8" w:rsidRPr="002C077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368DEB25" w14:textId="387DC8AB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Environment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rotection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xpenditure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ccounts of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the SEEA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76083" w:rsidRPr="002C077D">
              <w:rPr>
                <w:rFonts w:asciiTheme="majorBidi" w:hAnsiTheme="majorBidi" w:cstheme="majorBidi"/>
                <w:sz w:val="20"/>
                <w:szCs w:val="20"/>
              </w:rPr>
              <w:t>Central Framework</w:t>
            </w:r>
          </w:p>
        </w:tc>
        <w:tc>
          <w:tcPr>
            <w:tcW w:w="1354" w:type="pct"/>
          </w:tcPr>
          <w:p w14:paraId="7D82C148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528" w:type="pct"/>
          </w:tcPr>
          <w:p w14:paraId="1C3DD501" w14:textId="1E7DAFB2" w:rsidR="00DB04C8" w:rsidRPr="002C077D" w:rsidRDefault="00DB04C8" w:rsidP="0060739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Expanding </w:t>
            </w:r>
            <w:r w:rsidR="0099079C" w:rsidRPr="002C077D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99079C" w:rsidRPr="00501C6D">
              <w:rPr>
                <w:rFonts w:asciiTheme="majorBidi" w:hAnsiTheme="majorBidi" w:cstheme="majorBidi"/>
                <w:sz w:val="20"/>
                <w:szCs w:val="20"/>
              </w:rPr>
              <w:t xml:space="preserve">he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number of countries implementing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nvironment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rotection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xpenditure </w:t>
            </w:r>
            <w:r w:rsidR="00A71794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BA551A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ccounts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as part of </w:t>
            </w:r>
            <w:r w:rsidR="0015124C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SEEA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76083" w:rsidRPr="002C077D">
              <w:rPr>
                <w:rFonts w:asciiTheme="majorBidi" w:hAnsiTheme="majorBidi" w:cstheme="majorBidi"/>
                <w:sz w:val="20"/>
                <w:szCs w:val="20"/>
              </w:rPr>
              <w:t>Central Framework</w:t>
            </w:r>
          </w:p>
          <w:p w14:paraId="0B2145EF" w14:textId="56C9FF5A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Expanding coverage of private sector expenditure</w:t>
            </w:r>
          </w:p>
        </w:tc>
      </w:tr>
      <w:tr w:rsidR="00DB04C8" w:rsidRPr="002C077D" w14:paraId="3227CAC9" w14:textId="77777777" w:rsidTr="00EF7FA7">
        <w:trPr>
          <w:trHeight w:val="1320"/>
        </w:trPr>
        <w:tc>
          <w:tcPr>
            <w:tcW w:w="692" w:type="pct"/>
            <w:vMerge/>
          </w:tcPr>
          <w:p w14:paraId="757AB27F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7F1EB7CE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domestic funding</w:t>
            </w:r>
          </w:p>
          <w:p w14:paraId="587E5BD6" w14:textId="1E5608AC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Database</w:t>
            </w:r>
            <w:r w:rsidR="009E4EF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</w:t>
            </w:r>
          </w:p>
          <w:p w14:paraId="02960048" w14:textId="4AF06C3C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01C6D">
              <w:rPr>
                <w:rFonts w:asciiTheme="majorBidi" w:hAnsiTheme="majorBidi" w:cstheme="majorBidi"/>
                <w:sz w:val="20"/>
                <w:szCs w:val="20"/>
              </w:rPr>
              <w:t>OECD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Policy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Instruments for Environment</w:t>
            </w:r>
            <w:r w:rsidR="007912D6">
              <w:rPr>
                <w:rFonts w:asciiTheme="majorBidi" w:hAnsiTheme="majorBidi" w:cstheme="majorBidi"/>
                <w:sz w:val="20"/>
                <w:szCs w:val="20"/>
              </w:rPr>
              <w:t xml:space="preserve"> database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912D6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Pr="00501C6D">
              <w:rPr>
                <w:rFonts w:asciiTheme="majorBidi" w:hAnsiTheme="majorBidi" w:cstheme="majorBidi"/>
                <w:sz w:val="20"/>
                <w:szCs w:val="20"/>
              </w:rPr>
              <w:t>PINE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database for biodiversity offsets and payments for ecosystem services</w:t>
            </w:r>
          </w:p>
        </w:tc>
        <w:tc>
          <w:tcPr>
            <w:tcW w:w="1354" w:type="pct"/>
          </w:tcPr>
          <w:p w14:paraId="4F956DF9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0E566EED" w14:textId="66C96A93" w:rsidR="00DB04C8" w:rsidRPr="002C077D" w:rsidRDefault="00453D50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Q</w:t>
            </w:r>
            <w:r w:rsidR="00DB04C8" w:rsidRPr="002C077D">
              <w:rPr>
                <w:rStyle w:val="normaltextrun"/>
                <w:rFonts w:asciiTheme="majorBidi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uality control of existing and new reported data</w:t>
            </w:r>
          </w:p>
        </w:tc>
        <w:tc>
          <w:tcPr>
            <w:tcW w:w="1528" w:type="pct"/>
          </w:tcPr>
          <w:p w14:paraId="24EA3DAF" w14:textId="30B1E48F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E40B6C" w:rsidRPr="002C077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40B6C" w:rsidRPr="00501C6D">
              <w:rPr>
                <w:rFonts w:asciiTheme="majorBidi" w:hAnsiTheme="majorBidi" w:cstheme="majorBidi"/>
                <w:sz w:val="20"/>
                <w:szCs w:val="20"/>
              </w:rPr>
              <w:t>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country coverage</w:t>
            </w:r>
          </w:p>
          <w:p w14:paraId="494D3645" w14:textId="75690A15" w:rsidR="00DB04C8" w:rsidRPr="002C077D" w:rsidRDefault="00DB04C8" w:rsidP="0060739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Expand</w:t>
            </w:r>
            <w:r w:rsidR="00E40B6C" w:rsidRPr="002C077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40B6C" w:rsidRPr="00501C6D">
              <w:rPr>
                <w:rFonts w:asciiTheme="majorBidi" w:hAnsiTheme="majorBidi" w:cstheme="majorBidi"/>
                <w:sz w:val="20"/>
                <w:szCs w:val="20"/>
              </w:rPr>
              <w:t>ng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 coverage of monetary value of offsets and of private </w:t>
            </w:r>
            <w:r w:rsidR="00E40B6C" w:rsidRPr="00501C6D">
              <w:rPr>
                <w:rStyle w:val="normaltextrun"/>
                <w:rFonts w:asciiTheme="majorBidi" w:eastAsiaTheme="majorEastAsia" w:hAnsiTheme="majorBidi" w:cstheme="majorBidi"/>
                <w:sz w:val="20"/>
                <w:szCs w:val="20"/>
              </w:rPr>
              <w:t xml:space="preserve">payment for ecosystem services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schemes</w:t>
            </w:r>
          </w:p>
        </w:tc>
      </w:tr>
      <w:tr w:rsidR="005946B2" w:rsidRPr="002C077D" w14:paraId="37D95754" w14:textId="77777777" w:rsidTr="00501C6D">
        <w:trPr>
          <w:trHeight w:val="701"/>
        </w:trPr>
        <w:tc>
          <w:tcPr>
            <w:tcW w:w="692" w:type="pct"/>
            <w:vMerge/>
          </w:tcPr>
          <w:p w14:paraId="25364F6A" w14:textId="77777777" w:rsidR="005946B2" w:rsidRPr="002C077D" w:rsidRDefault="005946B2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2F916023" w14:textId="77777777" w:rsidR="005946B2" w:rsidRPr="002C077D" w:rsidRDefault="005946B2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354" w:type="pct"/>
          </w:tcPr>
          <w:p w14:paraId="7721F541" w14:textId="6081F90D" w:rsidR="005946B2" w:rsidRPr="002C077D" w:rsidRDefault="005946B2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General gaps and capacity needs</w:t>
            </w:r>
          </w:p>
        </w:tc>
        <w:tc>
          <w:tcPr>
            <w:tcW w:w="1528" w:type="pct"/>
          </w:tcPr>
          <w:p w14:paraId="6CCAB6F2" w14:textId="77777777" w:rsidR="005946B2" w:rsidRPr="00501C6D" w:rsidRDefault="005946B2" w:rsidP="00501C6D">
            <w:pPr>
              <w:spacing w:before="120" w:after="120"/>
              <w:ind w:left="36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04C8" w:rsidRPr="002C077D" w14:paraId="3BAF97AB" w14:textId="77777777" w:rsidTr="00EF7FA7">
        <w:trPr>
          <w:trHeight w:val="1320"/>
        </w:trPr>
        <w:tc>
          <w:tcPr>
            <w:tcW w:w="692" w:type="pct"/>
            <w:vMerge/>
          </w:tcPr>
          <w:p w14:paraId="3B9B5311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pct"/>
          </w:tcPr>
          <w:p w14:paraId="50CE890B" w14:textId="0682D238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354" w:type="pct"/>
          </w:tcPr>
          <w:p w14:paraId="1E6C4AFB" w14:textId="77777777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  <w:p w14:paraId="3B854CCF" w14:textId="74BCD803" w:rsidR="00DB04C8" w:rsidRPr="002C077D" w:rsidRDefault="00DB04C8" w:rsidP="00501C6D">
            <w:pPr>
              <w:spacing w:before="120" w:after="12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Support for the creation and implementation of national surveys targeted </w:t>
            </w:r>
            <w:r w:rsidR="00883BF3" w:rsidRPr="002C077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t philanthropic </w:t>
            </w:r>
            <w:r w:rsidR="00883BF3" w:rsidRPr="002C077D">
              <w:rPr>
                <w:rFonts w:asciiTheme="majorBidi" w:hAnsiTheme="majorBidi" w:cstheme="majorBidi"/>
                <w:sz w:val="20"/>
                <w:szCs w:val="20"/>
              </w:rPr>
              <w:t xml:space="preserve">organizations </w:t>
            </w:r>
            <w:r w:rsidRPr="002C077D">
              <w:rPr>
                <w:rFonts w:asciiTheme="majorBidi" w:hAnsiTheme="majorBidi" w:cstheme="majorBidi"/>
                <w:sz w:val="20"/>
                <w:szCs w:val="20"/>
              </w:rPr>
              <w:t>and private sector companies</w:t>
            </w:r>
          </w:p>
        </w:tc>
        <w:tc>
          <w:tcPr>
            <w:tcW w:w="1528" w:type="pct"/>
          </w:tcPr>
          <w:p w14:paraId="56E57468" w14:textId="7905DC5E" w:rsidR="00DB04C8" w:rsidRPr="00501C6D" w:rsidRDefault="00DB04C8" w:rsidP="00501C6D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C077D">
              <w:rPr>
                <w:rFonts w:asciiTheme="majorBidi" w:hAnsiTheme="majorBidi" w:cstheme="majorBidi"/>
                <w:sz w:val="20"/>
                <w:szCs w:val="20"/>
              </w:rPr>
              <w:t>Further work on definitions or taxonomies for private biodiversity finance</w:t>
            </w:r>
          </w:p>
        </w:tc>
      </w:tr>
    </w:tbl>
    <w:p w14:paraId="5A5A4573" w14:textId="77777777" w:rsidR="00DB04C8" w:rsidRPr="0061543B" w:rsidRDefault="00DB04C8" w:rsidP="00DB04C8">
      <w:pPr>
        <w:tabs>
          <w:tab w:val="left" w:pos="1710"/>
        </w:tabs>
        <w:ind w:left="567" w:firstLine="603"/>
        <w:rPr>
          <w:szCs w:val="22"/>
        </w:rPr>
      </w:pPr>
    </w:p>
    <w:p w14:paraId="5CA32336" w14:textId="0EFA46B9" w:rsidR="00D85889" w:rsidRPr="00501C6D" w:rsidRDefault="008962FD" w:rsidP="00501C6D">
      <w:pPr>
        <w:rPr>
          <w:rFonts w:asciiTheme="majorBidi" w:hAnsiTheme="majorBidi" w:cstheme="majorBidi"/>
          <w:sz w:val="20"/>
          <w:szCs w:val="20"/>
        </w:rPr>
      </w:pPr>
      <w:r w:rsidRPr="00501C6D">
        <w:rPr>
          <w:rFonts w:asciiTheme="majorBidi" w:hAnsiTheme="majorBidi" w:cstheme="majorBidi"/>
          <w:i/>
          <w:iCs/>
          <w:sz w:val="20"/>
          <w:szCs w:val="20"/>
        </w:rPr>
        <w:t>Abbreviations</w:t>
      </w:r>
      <w:r w:rsidRPr="00501C6D">
        <w:rPr>
          <w:rFonts w:asciiTheme="majorBidi" w:hAnsiTheme="majorBidi" w:cstheme="majorBidi"/>
          <w:sz w:val="20"/>
          <w:szCs w:val="20"/>
        </w:rPr>
        <w:t xml:space="preserve">: </w:t>
      </w:r>
      <w:r w:rsidR="002F28A9" w:rsidRPr="0061543B">
        <w:rPr>
          <w:rFonts w:asciiTheme="majorBidi" w:hAnsiTheme="majorBidi" w:cstheme="majorBidi"/>
          <w:sz w:val="20"/>
          <w:szCs w:val="20"/>
        </w:rPr>
        <w:t xml:space="preserve">BIOFIN, </w:t>
      </w:r>
      <w:r w:rsidR="002F28A9" w:rsidRPr="00501C6D">
        <w:rPr>
          <w:rFonts w:eastAsia="Calibri"/>
          <w:sz w:val="20"/>
          <w:szCs w:val="20"/>
        </w:rPr>
        <w:t>Biodiversity Finance Initiative</w:t>
      </w:r>
      <w:r w:rsidR="006D7AD8" w:rsidRPr="00501C6D">
        <w:rPr>
          <w:rFonts w:eastAsia="Calibri"/>
          <w:sz w:val="20"/>
          <w:szCs w:val="20"/>
        </w:rPr>
        <w:t>;</w:t>
      </w:r>
      <w:r w:rsidR="002F28A9" w:rsidRPr="00501C6D">
        <w:rPr>
          <w:rFonts w:eastAsia="Calibri"/>
          <w:sz w:val="20"/>
          <w:szCs w:val="20"/>
        </w:rPr>
        <w:t xml:space="preserve"> </w:t>
      </w:r>
      <w:r w:rsidR="008664D3" w:rsidRPr="00501C6D">
        <w:rPr>
          <w:rFonts w:asciiTheme="majorBidi" w:hAnsiTheme="majorBidi" w:cstheme="majorBidi"/>
          <w:sz w:val="20"/>
          <w:szCs w:val="20"/>
        </w:rPr>
        <w:t>COFOG</w:t>
      </w:r>
      <w:r w:rsidR="00521F2F" w:rsidRPr="00501C6D">
        <w:rPr>
          <w:rFonts w:asciiTheme="majorBidi" w:hAnsiTheme="majorBidi" w:cstheme="majorBidi"/>
          <w:sz w:val="20"/>
          <w:szCs w:val="20"/>
        </w:rPr>
        <w:t>,</w:t>
      </w:r>
      <w:r w:rsidR="008664D3"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32303B" w:rsidRPr="00501C6D">
        <w:rPr>
          <w:sz w:val="20"/>
          <w:szCs w:val="20"/>
        </w:rPr>
        <w:t>Classification of the Functions of Government;</w:t>
      </w:r>
      <w:r w:rsidR="0032303B"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CB70F8" w:rsidRPr="0061543B">
        <w:rPr>
          <w:rFonts w:asciiTheme="majorBidi" w:hAnsiTheme="majorBidi" w:cstheme="majorBidi"/>
          <w:sz w:val="20"/>
          <w:szCs w:val="20"/>
        </w:rPr>
        <w:t>IEA, International Energy Agency;</w:t>
      </w:r>
      <w:r w:rsidR="00CB70F8"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F954F4" w:rsidRPr="00501C6D">
        <w:rPr>
          <w:rFonts w:asciiTheme="majorBidi" w:hAnsiTheme="majorBidi" w:cstheme="majorBidi"/>
          <w:sz w:val="20"/>
          <w:szCs w:val="20"/>
        </w:rPr>
        <w:t xml:space="preserve">IMF, </w:t>
      </w:r>
      <w:r w:rsidR="00F954F4" w:rsidRPr="0061543B">
        <w:rPr>
          <w:rFonts w:asciiTheme="majorBidi" w:hAnsiTheme="majorBidi" w:cstheme="majorBidi"/>
          <w:sz w:val="20"/>
          <w:szCs w:val="20"/>
        </w:rPr>
        <w:t>International Monetary Fund;</w:t>
      </w:r>
      <w:r w:rsidR="00F954F4"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D51ECF" w:rsidRPr="00501C6D">
        <w:rPr>
          <w:rFonts w:asciiTheme="majorBidi" w:hAnsiTheme="majorBidi" w:cstheme="majorBidi"/>
          <w:sz w:val="20"/>
          <w:szCs w:val="20"/>
        </w:rPr>
        <w:t>OECD</w:t>
      </w:r>
      <w:r w:rsidR="00C12CCA" w:rsidRPr="00501C6D">
        <w:rPr>
          <w:rFonts w:asciiTheme="majorBidi" w:hAnsiTheme="majorBidi" w:cstheme="majorBidi"/>
          <w:sz w:val="20"/>
          <w:szCs w:val="20"/>
        </w:rPr>
        <w:t xml:space="preserve">, Organisation for </w:t>
      </w:r>
      <w:r w:rsidR="00521F2F" w:rsidRPr="00501C6D">
        <w:rPr>
          <w:rFonts w:asciiTheme="majorBidi" w:hAnsiTheme="majorBidi" w:cstheme="majorBidi"/>
          <w:sz w:val="20"/>
          <w:szCs w:val="20"/>
        </w:rPr>
        <w:t>Economic Co</w:t>
      </w:r>
      <w:r w:rsidR="00155239">
        <w:rPr>
          <w:rFonts w:asciiTheme="majorBidi" w:hAnsiTheme="majorBidi" w:cstheme="majorBidi"/>
          <w:sz w:val="20"/>
          <w:szCs w:val="20"/>
        </w:rPr>
        <w:noBreakHyphen/>
      </w:r>
      <w:r w:rsidR="00521F2F" w:rsidRPr="00501C6D">
        <w:rPr>
          <w:rFonts w:asciiTheme="majorBidi" w:hAnsiTheme="majorBidi" w:cstheme="majorBidi"/>
          <w:sz w:val="20"/>
          <w:szCs w:val="20"/>
        </w:rPr>
        <w:t xml:space="preserve">operation and Development; </w:t>
      </w:r>
      <w:r w:rsidR="009F12B9" w:rsidRPr="0061543B">
        <w:rPr>
          <w:rFonts w:asciiTheme="majorBidi" w:hAnsiTheme="majorBidi" w:cstheme="majorBidi"/>
          <w:sz w:val="20"/>
          <w:szCs w:val="20"/>
        </w:rPr>
        <w:t xml:space="preserve">PINE, Policy Instruments for the Environment; </w:t>
      </w:r>
      <w:r w:rsidR="00D62F4A" w:rsidRPr="00501C6D">
        <w:rPr>
          <w:rFonts w:asciiTheme="majorBidi" w:hAnsiTheme="majorBidi" w:cstheme="majorBidi"/>
          <w:sz w:val="20"/>
          <w:szCs w:val="20"/>
        </w:rPr>
        <w:t>UNDP</w:t>
      </w:r>
      <w:r w:rsidR="002F28A9" w:rsidRPr="0061543B">
        <w:rPr>
          <w:rFonts w:asciiTheme="majorBidi" w:hAnsiTheme="majorBidi" w:cstheme="majorBidi"/>
          <w:sz w:val="20"/>
          <w:szCs w:val="20"/>
        </w:rPr>
        <w:t>,</w:t>
      </w:r>
      <w:r w:rsidR="00D62F4A" w:rsidRPr="00501C6D">
        <w:rPr>
          <w:rFonts w:asciiTheme="majorBidi" w:hAnsiTheme="majorBidi" w:cstheme="majorBidi"/>
          <w:sz w:val="20"/>
          <w:szCs w:val="20"/>
        </w:rPr>
        <w:t xml:space="preserve"> </w:t>
      </w:r>
      <w:r w:rsidR="00C12CCA" w:rsidRPr="00501C6D">
        <w:rPr>
          <w:sz w:val="20"/>
          <w:szCs w:val="20"/>
        </w:rPr>
        <w:t>United Nations Development Programme</w:t>
      </w:r>
      <w:r w:rsidR="00C12CCA" w:rsidRPr="00501C6D">
        <w:rPr>
          <w:rFonts w:asciiTheme="majorBidi" w:hAnsiTheme="majorBidi" w:cstheme="majorBidi"/>
          <w:sz w:val="20"/>
          <w:szCs w:val="20"/>
        </w:rPr>
        <w:t xml:space="preserve">; </w:t>
      </w:r>
      <w:r w:rsidR="00D85889" w:rsidRPr="00501C6D">
        <w:rPr>
          <w:rFonts w:asciiTheme="majorBidi" w:hAnsiTheme="majorBidi" w:cstheme="majorBidi"/>
          <w:sz w:val="20"/>
          <w:szCs w:val="20"/>
        </w:rPr>
        <w:t>SEEA</w:t>
      </w:r>
      <w:r w:rsidR="00D36CE3" w:rsidRPr="00501C6D">
        <w:rPr>
          <w:rFonts w:asciiTheme="majorBidi" w:hAnsiTheme="majorBidi" w:cstheme="majorBidi"/>
          <w:sz w:val="20"/>
          <w:szCs w:val="20"/>
        </w:rPr>
        <w:t>, System of Environmental-Economic Accounting</w:t>
      </w:r>
      <w:r w:rsidR="00D71D77" w:rsidRPr="00501C6D">
        <w:rPr>
          <w:rFonts w:asciiTheme="majorBidi" w:hAnsiTheme="majorBidi" w:cstheme="majorBidi"/>
          <w:sz w:val="20"/>
          <w:szCs w:val="20"/>
        </w:rPr>
        <w:t>; TOSSD, Total Official Support for Sustainable Development</w:t>
      </w:r>
      <w:r w:rsidR="00D635BF" w:rsidRPr="00501C6D">
        <w:rPr>
          <w:rFonts w:asciiTheme="majorBidi" w:hAnsiTheme="majorBidi" w:cstheme="majorBidi"/>
          <w:sz w:val="20"/>
          <w:szCs w:val="20"/>
        </w:rPr>
        <w:t>.</w:t>
      </w:r>
    </w:p>
    <w:p w14:paraId="4DF02E5C" w14:textId="071A95FB" w:rsidR="00B86A90" w:rsidRPr="0061543B" w:rsidRDefault="00B86A90">
      <w:pPr>
        <w:spacing w:after="160" w:line="259" w:lineRule="auto"/>
        <w:jc w:val="left"/>
        <w:rPr>
          <w:b/>
          <w:sz w:val="28"/>
        </w:rPr>
      </w:pPr>
    </w:p>
    <w:p w14:paraId="4083C2B3" w14:textId="77777777" w:rsidR="00967625" w:rsidRPr="0061543B" w:rsidRDefault="00967625" w:rsidP="001D5473">
      <w:pPr>
        <w:pStyle w:val="Annex"/>
        <w:sectPr w:rsidR="00967625" w:rsidRPr="0061543B" w:rsidSect="0064522E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118A2C07" w14:textId="4A558585" w:rsidR="006C39D1" w:rsidRPr="0061543B" w:rsidRDefault="00EE003F" w:rsidP="001D5473">
      <w:pPr>
        <w:pStyle w:val="Annex"/>
      </w:pPr>
      <w:r w:rsidRPr="0061543B">
        <w:lastRenderedPageBreak/>
        <w:t>Annex I</w:t>
      </w:r>
      <w:r w:rsidR="00C6214C" w:rsidRPr="0061543B">
        <w:t>I</w:t>
      </w:r>
    </w:p>
    <w:p w14:paraId="1E8A189E" w14:textId="6C0A4162" w:rsidR="006C39D1" w:rsidRPr="0061543B" w:rsidRDefault="006C39D1" w:rsidP="00501C6D">
      <w:pPr>
        <w:pStyle w:val="Title"/>
        <w:spacing w:before="120" w:after="120"/>
      </w:pPr>
      <w:r w:rsidRPr="0061543B">
        <w:t>List of participants</w:t>
      </w:r>
    </w:p>
    <w:p w14:paraId="46F18CC9" w14:textId="75863DF4" w:rsidR="00FA56B5" w:rsidRPr="0061543B" w:rsidRDefault="0066417A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African States</w:t>
      </w:r>
    </w:p>
    <w:p w14:paraId="65383361" w14:textId="74975B52" w:rsidR="4C38C33B" w:rsidRPr="0061543B" w:rsidRDefault="4C38C33B" w:rsidP="7F4845EC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lang w:eastAsia="zh-CN"/>
        </w:rPr>
      </w:pPr>
      <w:r w:rsidRPr="0061543B">
        <w:rPr>
          <w:rFonts w:asciiTheme="majorBidi" w:eastAsiaTheme="minorEastAsia" w:hAnsiTheme="majorBidi" w:cstheme="majorBidi"/>
          <w:b/>
          <w:bCs/>
          <w:lang w:eastAsia="zh-CN"/>
        </w:rPr>
        <w:t>Cameroon</w:t>
      </w:r>
      <w:r w:rsidRPr="0061543B">
        <w:br/>
      </w:r>
      <w:r w:rsidRPr="0061543B">
        <w:rPr>
          <w:rFonts w:asciiTheme="majorBidi" w:eastAsiaTheme="minorEastAsia" w:hAnsiTheme="majorBidi" w:cstheme="majorBidi"/>
          <w:lang w:eastAsia="zh-CN"/>
        </w:rPr>
        <w:t xml:space="preserve">Josephine Therese Eloundou Beyala </w:t>
      </w:r>
      <w:r w:rsidRPr="0061543B">
        <w:br/>
      </w:r>
      <w:r w:rsidRPr="0061543B">
        <w:rPr>
          <w:rFonts w:asciiTheme="majorBidi" w:eastAsiaTheme="minorEastAsia" w:hAnsiTheme="majorBidi" w:cstheme="majorBidi"/>
          <w:lang w:eastAsia="zh-CN"/>
        </w:rPr>
        <w:t>Technical A</w:t>
      </w:r>
      <w:r w:rsidR="7BEE16C7" w:rsidRPr="0061543B">
        <w:rPr>
          <w:rFonts w:asciiTheme="majorBidi" w:eastAsiaTheme="minorEastAsia" w:hAnsiTheme="majorBidi" w:cstheme="majorBidi"/>
          <w:lang w:eastAsia="zh-CN"/>
        </w:rPr>
        <w:t>dvis</w:t>
      </w:r>
      <w:r w:rsidR="00206B71">
        <w:rPr>
          <w:rFonts w:asciiTheme="majorBidi" w:eastAsiaTheme="minorEastAsia" w:hAnsiTheme="majorBidi" w:cstheme="majorBidi"/>
          <w:lang w:eastAsia="zh-CN"/>
        </w:rPr>
        <w:t>e</w:t>
      </w:r>
      <w:r w:rsidR="7BEE16C7" w:rsidRPr="0061543B">
        <w:rPr>
          <w:rFonts w:asciiTheme="majorBidi" w:eastAsiaTheme="minorEastAsia" w:hAnsiTheme="majorBidi" w:cstheme="majorBidi"/>
          <w:lang w:eastAsia="zh-CN"/>
        </w:rPr>
        <w:t>r, Minister</w:t>
      </w:r>
      <w:r w:rsidR="00F87CC1" w:rsidRPr="00501C6D">
        <w:rPr>
          <w:rFonts w:asciiTheme="majorBidi" w:eastAsiaTheme="minorEastAsia" w:hAnsiTheme="majorBidi" w:cstheme="majorBidi"/>
          <w:lang w:eastAsia="zh-CN"/>
        </w:rPr>
        <w:t>’</w:t>
      </w:r>
      <w:r w:rsidR="7BEE16C7" w:rsidRPr="0061543B">
        <w:rPr>
          <w:rFonts w:asciiTheme="majorBidi" w:eastAsiaTheme="minorEastAsia" w:hAnsiTheme="majorBidi" w:cstheme="majorBidi"/>
          <w:lang w:eastAsia="zh-CN"/>
        </w:rPr>
        <w:t>s Cabinet</w:t>
      </w:r>
      <w:r w:rsidRPr="0061543B">
        <w:br/>
      </w:r>
      <w:r w:rsidR="05436B32" w:rsidRPr="0061543B">
        <w:rPr>
          <w:rFonts w:asciiTheme="majorBidi" w:eastAsiaTheme="minorEastAsia" w:hAnsiTheme="majorBidi" w:cstheme="majorBidi"/>
          <w:lang w:eastAsia="zh-CN"/>
        </w:rPr>
        <w:t xml:space="preserve">Ministry of Environment Protection of Nature and Sustainable Development </w:t>
      </w:r>
      <w:r w:rsidRPr="0061543B">
        <w:br/>
      </w:r>
      <w:r w:rsidR="1C9BA42F" w:rsidRPr="0061543B">
        <w:rPr>
          <w:rFonts w:asciiTheme="majorBidi" w:eastAsiaTheme="minorEastAsia" w:hAnsiTheme="majorBidi" w:cstheme="majorBidi"/>
          <w:lang w:eastAsia="zh-CN"/>
        </w:rPr>
        <w:t>Yaoundé</w:t>
      </w:r>
    </w:p>
    <w:p w14:paraId="56B3CC8F" w14:textId="4D7FE1D6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Egypt</w:t>
      </w:r>
      <w:r w:rsidR="0012164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Ahmed Mohamed Abdelmaksoud Abdallah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National Project Coordinator of the Biodiversity Finance Initiative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C</w:t>
      </w:r>
      <w:r w:rsidR="00EC0AD2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onvention on </w:t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B</w:t>
      </w:r>
      <w:r w:rsidR="00EC0AD2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iological </w:t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D</w:t>
      </w:r>
      <w:r w:rsidR="00EC0AD2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iversity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National Focal Point for Financial Resources Mobilization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Egyptian Environmental Affairs Agency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Cairo</w:t>
      </w:r>
    </w:p>
    <w:p w14:paraId="57047B14" w14:textId="301C34C2" w:rsidR="006077A0" w:rsidRPr="0061543B" w:rsidRDefault="00FA56B5" w:rsidP="006077A0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Madagascar</w:t>
      </w:r>
      <w:r w:rsidR="0012164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Hanitra Lalaina Randrianasolo 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Technical Assistant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Directorate of the Protected Areas System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General Directorate of Forests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Antananarivo</w:t>
      </w:r>
    </w:p>
    <w:p w14:paraId="0C2E92F8" w14:textId="69148DF4" w:rsidR="00FA56B5" w:rsidRPr="0061543B" w:rsidRDefault="0066417A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Asia-Pacific States</w:t>
      </w:r>
    </w:p>
    <w:p w14:paraId="71C8EED6" w14:textId="6829867C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China</w:t>
      </w:r>
      <w:r w:rsidR="00FB370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Jing Xu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Professor Engineer, Institute of Ecology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Chinese Research Academy of Environmental Sciences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Beijing</w:t>
      </w:r>
      <w:r w:rsidR="005123FD" w:rsidRPr="0061543B" w:rsidDel="005123F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</w:t>
      </w:r>
    </w:p>
    <w:p w14:paraId="6EC092A1" w14:textId="7E4F57B4" w:rsidR="00282C39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 w:rsidRPr="00501C6D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Lao People</w:t>
      </w:r>
      <w:r w:rsidR="00C10C65" w:rsidRPr="00501C6D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’</w:t>
      </w:r>
      <w:r w:rsidRPr="00501C6D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s Democratic Republic</w:t>
      </w:r>
      <w:r w:rsidR="00FB370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Soukvilay Vilavong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Deputy Director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 xml:space="preserve">Environmental </w:t>
      </w:r>
      <w:r w:rsidRPr="00501C6D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Policy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 xml:space="preserve"> Division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Ministry of Natural Resources and Environment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Vientiane</w:t>
      </w:r>
      <w:r w:rsidR="00DB62C1" w:rsidRPr="0061543B" w:rsidDel="00DB62C1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 xml:space="preserve"> </w:t>
      </w:r>
    </w:p>
    <w:p w14:paraId="53C1C97C" w14:textId="44E48229" w:rsidR="00FA56B5" w:rsidRPr="0061543B" w:rsidRDefault="00002490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Latin America</w:t>
      </w:r>
      <w:r w:rsidR="00DD6411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n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and Caribbean States</w:t>
      </w:r>
    </w:p>
    <w:p w14:paraId="6A010E13" w14:textId="6D975372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Brazil</w:t>
      </w:r>
      <w:r w:rsidR="00FB370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Livia Farias Ferreira </w:t>
      </w:r>
      <w:r w:rsidR="00D05DB1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d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e Oliveira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</w:r>
      <w:r w:rsidR="00724243" w:rsidRPr="0061543B">
        <w:rPr>
          <w:rFonts w:asciiTheme="majorBidi" w:hAnsiTheme="majorBidi" w:cstheme="majorBidi"/>
        </w:rPr>
        <w:t>Deputy Undersecretary for Sustainable Development</w:t>
      </w:r>
      <w:r w:rsidR="00724243" w:rsidRPr="0061543B">
        <w:rPr>
          <w:rFonts w:asciiTheme="majorBidi" w:hAnsiTheme="majorBidi" w:cstheme="majorBidi"/>
        </w:rPr>
        <w:br/>
        <w:t>Ministry of Finance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Brasilia</w:t>
      </w:r>
    </w:p>
    <w:p w14:paraId="3FE1E220" w14:textId="61692397" w:rsidR="006B611E" w:rsidRPr="00501C6D" w:rsidRDefault="00FA56B5" w:rsidP="001D5473">
      <w:pPr>
        <w:spacing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</w:pPr>
      <w:r w:rsidRPr="00501C6D">
        <w:rPr>
          <w:rFonts w:asciiTheme="majorBidi" w:eastAsiaTheme="minorEastAsia" w:hAnsiTheme="majorBidi" w:cstheme="majorBidi"/>
          <w:b/>
          <w:bCs/>
          <w:kern w:val="2"/>
          <w:szCs w:val="22"/>
          <w:lang w:val="es-ES" w:eastAsia="zh-CN"/>
          <w14:ligatures w14:val="standardContextual"/>
        </w:rPr>
        <w:t>Colombia</w:t>
      </w:r>
      <w:r w:rsidR="00FB3701" w:rsidRPr="00501C6D">
        <w:rPr>
          <w:rFonts w:asciiTheme="majorBidi" w:eastAsiaTheme="minorEastAsia" w:hAnsiTheme="majorBidi" w:cstheme="majorBidi"/>
          <w:b/>
          <w:bCs/>
          <w:kern w:val="2"/>
          <w:szCs w:val="22"/>
          <w:lang w:val="es-ES" w:eastAsia="zh-CN"/>
          <w14:ligatures w14:val="standardContextual"/>
        </w:rPr>
        <w:br/>
      </w:r>
      <w:r w:rsidRPr="00501C6D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t>Juan Camilo Pinto Ojeda</w:t>
      </w:r>
      <w:r w:rsidRPr="00501C6D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br/>
      </w:r>
      <w:r w:rsidR="0012191F" w:rsidRPr="00501C6D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t xml:space="preserve">Special </w:t>
      </w:r>
      <w:r w:rsidRPr="00501C6D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t>Advis</w:t>
      </w:r>
      <w:r w:rsidR="00206B71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t>e</w:t>
      </w:r>
      <w:r w:rsidR="0012191F" w:rsidRPr="00501C6D">
        <w:rPr>
          <w:rFonts w:asciiTheme="majorBidi" w:eastAsiaTheme="minorEastAsia" w:hAnsiTheme="majorBidi" w:cstheme="majorBidi"/>
          <w:kern w:val="2"/>
          <w:szCs w:val="22"/>
          <w:lang w:val="es-ES" w:eastAsia="zh-CN"/>
          <w14:ligatures w14:val="standardContextual"/>
        </w:rPr>
        <w:t>r</w:t>
      </w:r>
    </w:p>
    <w:p w14:paraId="4585F16D" w14:textId="779FFCEB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Office of the Vice</w:t>
      </w:r>
      <w:r w:rsidR="00B60742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-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Minister of Environmental Policies and Standardization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Ministry of Environment and Sustainable Development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Bogot</w:t>
      </w:r>
      <w:r w:rsidR="00DB62C1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á</w:t>
      </w:r>
    </w:p>
    <w:p w14:paraId="3E8BCC79" w14:textId="57B43499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lastRenderedPageBreak/>
        <w:t>Peru</w:t>
      </w: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Luis Guillermo Marino Nava 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National Director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Business Alliance for the Amazon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Conservation International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Lima</w:t>
      </w:r>
    </w:p>
    <w:p w14:paraId="1216B56B" w14:textId="1F2903D0" w:rsidR="00FA56B5" w:rsidRPr="0061543B" w:rsidRDefault="0066417A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Western Europe</w:t>
      </w:r>
      <w:r w:rsidR="00DD6411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an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and other</w:t>
      </w:r>
      <w:r w:rsidR="00FA56B5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</w:t>
      </w:r>
      <w:r w:rsidR="00A13790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S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tates</w:t>
      </w:r>
    </w:p>
    <w:p w14:paraId="01A7C037" w14:textId="543A2300" w:rsidR="00FA56B5" w:rsidRPr="0061543B" w:rsidRDefault="00FA56B5" w:rsidP="001D5473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t>France</w:t>
      </w:r>
      <w:r w:rsidR="00121641" w:rsidRPr="0061543B"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Alexandra Matas Calderon</w:t>
      </w:r>
      <w:r w:rsidR="00121641"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</w:r>
      <w:r w:rsidR="00121641" w:rsidRPr="0061543B">
        <w:rPr>
          <w:rFonts w:asciiTheme="majorBidi" w:hAnsiTheme="majorBidi" w:cstheme="majorBidi"/>
          <w:color w:val="000000"/>
        </w:rPr>
        <w:t>Deputy Head of the Official Development Assistance Unit</w:t>
      </w:r>
      <w:r w:rsidR="00121641" w:rsidRPr="0061543B">
        <w:rPr>
          <w:rFonts w:asciiTheme="majorBidi" w:hAnsiTheme="majorBidi" w:cstheme="majorBidi"/>
          <w:color w:val="000000"/>
        </w:rPr>
        <w:br/>
        <w:t>Directorate-General of the Treasury</w:t>
      </w:r>
      <w:r w:rsidR="00121641" w:rsidRPr="0061543B">
        <w:rPr>
          <w:rFonts w:asciiTheme="majorBidi" w:hAnsiTheme="majorBidi" w:cstheme="majorBidi"/>
          <w:color w:val="000000"/>
        </w:rPr>
        <w:br/>
        <w:t>Ministry of Economy, Finance and Industrial and Digital Sovereignty</w:t>
      </w:r>
      <w:r w:rsidR="00121641" w:rsidRPr="0061543B">
        <w:rPr>
          <w:rFonts w:asciiTheme="majorBidi" w:hAnsiTheme="majorBidi" w:cstheme="majorBidi"/>
          <w:color w:val="000000"/>
        </w:rPr>
        <w:br/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Paris</w:t>
      </w:r>
    </w:p>
    <w:p w14:paraId="750F2EFD" w14:textId="733ED20A" w:rsidR="00FA56B5" w:rsidRPr="0061543B" w:rsidRDefault="001674EE" w:rsidP="001D5473">
      <w:pPr>
        <w:ind w:left="284" w:right="44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61543B">
        <w:rPr>
          <w:rFonts w:asciiTheme="majorBidi" w:hAnsiTheme="majorBidi" w:cstheme="majorBidi"/>
          <w:b/>
          <w:bCs/>
          <w:color w:val="000000"/>
          <w:szCs w:val="22"/>
        </w:rPr>
        <w:t>S</w:t>
      </w:r>
      <w:r w:rsidR="00FA56B5" w:rsidRPr="0061543B">
        <w:rPr>
          <w:rFonts w:asciiTheme="majorBidi" w:hAnsiTheme="majorBidi" w:cstheme="majorBidi"/>
          <w:b/>
          <w:bCs/>
          <w:color w:val="000000"/>
          <w:szCs w:val="22"/>
        </w:rPr>
        <w:t>witzerland</w:t>
      </w:r>
    </w:p>
    <w:p w14:paraId="7C53ECFC" w14:textId="555DA837" w:rsidR="00FA56B5" w:rsidRPr="0061543B" w:rsidRDefault="00FA56B5" w:rsidP="001D5473">
      <w:pPr>
        <w:ind w:left="284" w:right="44"/>
        <w:jc w:val="left"/>
        <w:rPr>
          <w:rFonts w:asciiTheme="majorBidi" w:hAnsiTheme="majorBidi" w:cstheme="majorBidi"/>
          <w:color w:val="000000"/>
          <w:szCs w:val="22"/>
        </w:rPr>
      </w:pPr>
      <w:r w:rsidRPr="0061543B">
        <w:rPr>
          <w:rFonts w:asciiTheme="majorBidi" w:hAnsiTheme="majorBidi" w:cstheme="majorBidi"/>
          <w:color w:val="000000"/>
          <w:szCs w:val="22"/>
        </w:rPr>
        <w:t>Lucretia Landmann</w:t>
      </w:r>
    </w:p>
    <w:p w14:paraId="3AB7825F" w14:textId="77777777" w:rsidR="00FA56B5" w:rsidRPr="0061543B" w:rsidRDefault="00FA56B5" w:rsidP="001D5473">
      <w:pPr>
        <w:ind w:left="284" w:right="44"/>
        <w:jc w:val="left"/>
        <w:rPr>
          <w:rFonts w:asciiTheme="majorBidi" w:hAnsiTheme="majorBidi" w:cstheme="majorBidi"/>
          <w:color w:val="000000"/>
          <w:szCs w:val="22"/>
        </w:rPr>
      </w:pPr>
      <w:r w:rsidRPr="0061543B">
        <w:rPr>
          <w:rFonts w:asciiTheme="majorBidi" w:hAnsiTheme="majorBidi" w:cstheme="majorBidi"/>
          <w:color w:val="000000"/>
          <w:szCs w:val="22"/>
        </w:rPr>
        <w:t xml:space="preserve">Senior </w:t>
      </w:r>
      <w:r w:rsidRPr="00501C6D">
        <w:rPr>
          <w:rFonts w:asciiTheme="majorBidi" w:hAnsiTheme="majorBidi" w:cstheme="majorBidi"/>
          <w:color w:val="000000"/>
          <w:szCs w:val="22"/>
        </w:rPr>
        <w:t>Policy</w:t>
      </w:r>
      <w:r w:rsidRPr="0061543B">
        <w:rPr>
          <w:rFonts w:asciiTheme="majorBidi" w:hAnsiTheme="majorBidi" w:cstheme="majorBidi"/>
          <w:color w:val="000000"/>
          <w:szCs w:val="22"/>
        </w:rPr>
        <w:t xml:space="preserve"> Adviser</w:t>
      </w:r>
    </w:p>
    <w:p w14:paraId="2D11560C" w14:textId="77777777" w:rsidR="00FA56B5" w:rsidRPr="0061543B" w:rsidRDefault="00FA56B5" w:rsidP="001D5473">
      <w:pPr>
        <w:ind w:left="284" w:right="44"/>
        <w:jc w:val="left"/>
        <w:rPr>
          <w:rFonts w:asciiTheme="majorBidi" w:hAnsiTheme="majorBidi" w:cstheme="majorBidi"/>
          <w:color w:val="000000"/>
          <w:szCs w:val="22"/>
        </w:rPr>
      </w:pPr>
      <w:r w:rsidRPr="0061543B">
        <w:rPr>
          <w:rFonts w:asciiTheme="majorBidi" w:hAnsiTheme="majorBidi" w:cstheme="majorBidi"/>
          <w:color w:val="000000"/>
          <w:szCs w:val="22"/>
        </w:rPr>
        <w:t>International Affairs Division</w:t>
      </w:r>
    </w:p>
    <w:p w14:paraId="0D1ED48B" w14:textId="050B316E" w:rsidR="00FA56B5" w:rsidRPr="0061543B" w:rsidRDefault="00FA56B5" w:rsidP="001D5473">
      <w:pPr>
        <w:ind w:left="284" w:right="44"/>
        <w:jc w:val="left"/>
        <w:rPr>
          <w:rFonts w:asciiTheme="majorBidi" w:hAnsiTheme="majorBidi" w:cstheme="majorBidi"/>
          <w:color w:val="000000"/>
          <w:szCs w:val="22"/>
        </w:rPr>
      </w:pPr>
      <w:r w:rsidRPr="0061543B">
        <w:rPr>
          <w:rFonts w:asciiTheme="majorBidi" w:hAnsiTheme="majorBidi" w:cstheme="majorBidi"/>
          <w:color w:val="000000"/>
          <w:szCs w:val="22"/>
        </w:rPr>
        <w:t>Federal Office for the Environment</w:t>
      </w:r>
    </w:p>
    <w:p w14:paraId="21546D60" w14:textId="7886FE64" w:rsidR="006425FD" w:rsidRPr="0061543B" w:rsidRDefault="00FA56B5" w:rsidP="001D5473">
      <w:pPr>
        <w:ind w:left="284" w:right="44"/>
        <w:jc w:val="left"/>
        <w:rPr>
          <w:rFonts w:asciiTheme="majorBidi" w:hAnsiTheme="majorBidi" w:cstheme="majorBidi"/>
          <w:color w:val="000000"/>
          <w:szCs w:val="22"/>
        </w:rPr>
      </w:pPr>
      <w:r w:rsidRPr="0061543B">
        <w:rPr>
          <w:rFonts w:asciiTheme="majorBidi" w:hAnsiTheme="majorBidi" w:cstheme="majorBidi"/>
          <w:color w:val="000000"/>
          <w:szCs w:val="22"/>
        </w:rPr>
        <w:t>Bern</w:t>
      </w:r>
    </w:p>
    <w:p w14:paraId="4D1D142D" w14:textId="6DDA2A2D" w:rsidR="006425FD" w:rsidRPr="0061543B" w:rsidRDefault="00235082" w:rsidP="00501C6D">
      <w:pPr>
        <w:spacing w:before="120"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United </w:t>
      </w:r>
      <w:r w:rsidR="000F6B36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N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ations</w:t>
      </w:r>
      <w:r w:rsidR="00A56D38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</w:t>
      </w:r>
      <w:r w:rsidR="00564F2B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and its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</w:t>
      </w:r>
      <w:r w:rsidR="00564F2B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funds, programmes 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and specialized agencies</w:t>
      </w:r>
    </w:p>
    <w:p w14:paraId="195C87F7" w14:textId="19873658" w:rsidR="001D1276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501C6D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United Nations Development Programme</w:t>
      </w: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Mariana Bellot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Senior Technical Advis</w:t>
      </w:r>
      <w:r w:rsidR="00206B71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e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r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Biodiversity Finance Initiative</w:t>
      </w:r>
    </w:p>
    <w:p w14:paraId="1291CE1C" w14:textId="6A946AAB" w:rsidR="00235082" w:rsidRPr="0061543B" w:rsidRDefault="00235082" w:rsidP="00501C6D">
      <w:pPr>
        <w:spacing w:before="120" w:after="120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Intergovernmental organizations</w:t>
      </w:r>
    </w:p>
    <w:p w14:paraId="2070AFD8" w14:textId="3B42FB83" w:rsidR="00BE4998" w:rsidRPr="00501C6D" w:rsidRDefault="004C7D47" w:rsidP="001D5473">
      <w:pPr>
        <w:spacing w:before="120" w:after="160"/>
        <w:ind w:left="284"/>
        <w:jc w:val="left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 w:rsidRPr="00501C6D">
        <w:rPr>
          <w:rFonts w:asciiTheme="majorBidi" w:eastAsiaTheme="minorEastAsia" w:hAnsiTheme="majorBidi" w:cstheme="majorBidi"/>
          <w:b/>
          <w:bCs/>
          <w:color w:val="000000"/>
          <w:kern w:val="2"/>
          <w14:ligatures w14:val="standardContextual"/>
        </w:rPr>
        <w:t>Organisation for Economic Co-operation and Development</w:t>
      </w:r>
    </w:p>
    <w:p w14:paraId="70EC30C9" w14:textId="66E3A85B" w:rsidR="2D5F7F50" w:rsidRPr="0061543B" w:rsidRDefault="2D5F7F50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</w:rPr>
      </w:pPr>
      <w:r w:rsidRPr="0061543B">
        <w:rPr>
          <w:rFonts w:asciiTheme="majorBidi" w:eastAsiaTheme="minorEastAsia" w:hAnsiTheme="majorBidi" w:cstheme="majorBidi"/>
        </w:rPr>
        <w:t>Katia Karousakis</w:t>
      </w:r>
      <w:r w:rsidRPr="0061543B">
        <w:br/>
      </w:r>
      <w:r w:rsidRPr="0061543B">
        <w:rPr>
          <w:rFonts w:asciiTheme="majorBidi" w:eastAsiaTheme="minorEastAsia" w:hAnsiTheme="majorBidi" w:cstheme="majorBidi"/>
        </w:rPr>
        <w:t xml:space="preserve">Biodiversity Programme Lead </w:t>
      </w:r>
      <w:r w:rsidRPr="0061543B">
        <w:br/>
      </w:r>
      <w:r w:rsidRPr="0061543B">
        <w:rPr>
          <w:rFonts w:asciiTheme="majorBidi" w:eastAsiaTheme="minorEastAsia" w:hAnsiTheme="majorBidi" w:cstheme="majorBidi"/>
        </w:rPr>
        <w:t>Climate, Biodiversity and Water Division, Environment Directorate</w:t>
      </w:r>
    </w:p>
    <w:p w14:paraId="7F70B6E2" w14:textId="2AE89BBE" w:rsidR="006425FD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Juan Casado-Asensio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Policy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Analyst 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Development </w:t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Co-operat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ion Directorate</w:t>
      </w:r>
    </w:p>
    <w:p w14:paraId="22250BBE" w14:textId="61FE012D" w:rsidR="006425FD" w:rsidRPr="0061543B" w:rsidRDefault="00BE4998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Non-governmental organizations</w:t>
      </w:r>
    </w:p>
    <w:p w14:paraId="17FC0CCA" w14:textId="28E6241B" w:rsidR="006425FD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Campaign for Nature</w:t>
      </w:r>
      <w:r w:rsidR="00FB3701"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t>Mark Opel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Finance Lead</w:t>
      </w:r>
      <w:r w:rsidRPr="0061543B">
        <w:rPr>
          <w:rFonts w:asciiTheme="majorBidi" w:eastAsiaTheme="minorEastAsia" w:hAnsiTheme="majorBidi" w:cstheme="majorBidi"/>
          <w:color w:val="000000"/>
          <w:kern w:val="2"/>
          <w:szCs w:val="22"/>
          <w14:ligatures w14:val="standardContextual"/>
        </w:rPr>
        <w:br/>
        <w:t>Boulder, United States of America</w:t>
      </w:r>
    </w:p>
    <w:p w14:paraId="1A532F1F" w14:textId="5CCDBD6A" w:rsidR="008D0A16" w:rsidRPr="0061543B" w:rsidRDefault="006425FD" w:rsidP="00464256">
      <w:pPr>
        <w:spacing w:before="120" w:after="16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Fundación Ambiente y Recursos Naturales</w:t>
      </w:r>
      <w:r w:rsidR="00FB3701"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Cathy Yitong Li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Sustainable Finance Consultant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London, United Kingdom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of Great Britain and </w:t>
      </w:r>
      <w:r w:rsidRPr="00501C6D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Northern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 xml:space="preserve"> Irland</w:t>
      </w:r>
    </w:p>
    <w:p w14:paraId="2D5D373C" w14:textId="7386A0DA" w:rsidR="008D0A16" w:rsidRPr="0061543B" w:rsidRDefault="008D0A16" w:rsidP="7F4845EC">
      <w:pPr>
        <w:spacing w:before="120" w:after="16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lang w:eastAsia="zh-CN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14:ligatures w14:val="standardContextual"/>
        </w:rPr>
        <w:lastRenderedPageBreak/>
        <w:t>Wilderness Foundation Africa</w:t>
      </w: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14:ligatures w14:val="standardContextual"/>
        </w:rPr>
        <w:t xml:space="preserve">Candice Stevens 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</w:r>
      <w:r w:rsidR="050AE2C9" w:rsidRPr="0061543B">
        <w:rPr>
          <w:rFonts w:asciiTheme="majorBidi" w:eastAsiaTheme="minorEastAsia" w:hAnsiTheme="majorBidi" w:cstheme="majorBidi"/>
        </w:rPr>
        <w:t xml:space="preserve">Head, Innovative Finance </w:t>
      </w:r>
      <w:r w:rsidR="008B18C4" w:rsidRPr="0061543B">
        <w:rPr>
          <w:rFonts w:asciiTheme="majorBidi" w:eastAsiaTheme="minorEastAsia" w:hAnsiTheme="majorBidi" w:cstheme="majorBidi"/>
        </w:rPr>
        <w:t>and</w:t>
      </w:r>
      <w:r w:rsidR="050AE2C9" w:rsidRPr="00501C6D">
        <w:rPr>
          <w:rFonts w:asciiTheme="majorBidi" w:eastAsiaTheme="minorEastAsia" w:hAnsiTheme="majorBidi" w:cstheme="majorBidi"/>
        </w:rPr>
        <w:t xml:space="preserve"> Policy</w:t>
      </w:r>
      <w:r w:rsidR="050AE2C9" w:rsidRPr="0061543B">
        <w:rPr>
          <w:rFonts w:asciiTheme="majorBidi" w:eastAsiaTheme="minorEastAsia" w:hAnsiTheme="majorBidi" w:cstheme="majorBidi"/>
        </w:rPr>
        <w:t xml:space="preserve"> </w:t>
      </w:r>
      <w:r w:rsidRPr="0061543B">
        <w:rPr>
          <w:rFonts w:asciiTheme="majorBidi" w:eastAsiaTheme="minorEastAsia" w:hAnsiTheme="majorBidi" w:cstheme="majorBidi"/>
          <w:kern w:val="2"/>
          <w14:ligatures w14:val="standardContextual"/>
        </w:rPr>
        <w:t>Johannesburg, South Africa</w:t>
      </w:r>
    </w:p>
    <w:p w14:paraId="5C7EEB05" w14:textId="0443854B" w:rsidR="006425FD" w:rsidRPr="0061543B" w:rsidRDefault="006425FD" w:rsidP="00501C6D">
      <w:pPr>
        <w:spacing w:before="120"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World Benchmarking Alliance</w:t>
      </w:r>
      <w:r w:rsidR="00FB3701"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Nicolas Sauviat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Senior Researcher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 xml:space="preserve">Amsterdam, Kingdom of the Netherlands </w:t>
      </w:r>
    </w:p>
    <w:p w14:paraId="6BA5C30E" w14:textId="595F95F7" w:rsidR="00FB3701" w:rsidRPr="0061543B" w:rsidRDefault="00BE4998" w:rsidP="00501C6D">
      <w:pPr>
        <w:keepNext/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Cs w:val="22"/>
          <w:highlight w:val="yellow"/>
          <w:u w:val="single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Indigenous people and local community organizations</w:t>
      </w:r>
    </w:p>
    <w:p w14:paraId="18703A25" w14:textId="64F6F5DC" w:rsidR="006425FD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Ogiek Peoples</w:t>
      </w:r>
      <w:r w:rsidR="00803633"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’</w:t>
      </w: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 xml:space="preserve"> Development Program</w:t>
      </w: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Daniel Mpoiko Kobei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 xml:space="preserve">Executive Director 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Egerton, Kenya</w:t>
      </w:r>
    </w:p>
    <w:p w14:paraId="7D695C69" w14:textId="0ED5B0BA" w:rsidR="006425FD" w:rsidRPr="0061543B" w:rsidRDefault="00BE4998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Academic</w:t>
      </w:r>
      <w:r w:rsidR="00A13790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s</w:t>
      </w:r>
      <w:r w:rsidR="00A571FE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and </w:t>
      </w: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research</w:t>
      </w:r>
      <w:r w:rsidR="00A13790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entities</w:t>
      </w:r>
    </w:p>
    <w:p w14:paraId="1DC7081E" w14:textId="36E987D8" w:rsidR="006425FD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Cornell University</w:t>
      </w: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John Tobin-de la Puente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Professor of Practice of Corporate Sustainability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 xml:space="preserve">Academic Director, Cornell </w:t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CEMS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 xml:space="preserve"> </w:t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MPS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/</w:t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MIM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 xml:space="preserve"> </w:t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 xml:space="preserve">Program 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Director, Grand Challenges Program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Founding Co-Director, Initiative on Responsible Finance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 xml:space="preserve">Senior Faculty Fellow, Cornell Atkinson </w:t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Center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 xml:space="preserve"> for Sustainability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Charles H. Dyson School of Applied Economics and Management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Cornell S.C. Johnson College of Business, College of Agriculture and Life Sciences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  <w:t>Cornell University</w:t>
      </w:r>
      <w:r w:rsidRPr="0061543B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br/>
      </w:r>
      <w:r w:rsidRPr="00501C6D">
        <w:rPr>
          <w:rFonts w:asciiTheme="majorBidi" w:eastAsiaTheme="minorEastAsia" w:hAnsiTheme="majorBidi" w:cstheme="majorBidi"/>
          <w:kern w:val="2"/>
          <w:szCs w:val="22"/>
          <w14:ligatures w14:val="standardContextual"/>
        </w:rPr>
        <w:t>New York, United States</w:t>
      </w:r>
    </w:p>
    <w:p w14:paraId="4A74A9B5" w14:textId="6BBEC0A2" w:rsidR="006425FD" w:rsidRPr="0061543B" w:rsidRDefault="00532002" w:rsidP="00501C6D">
      <w:pPr>
        <w:spacing w:after="120" w:line="259" w:lineRule="auto"/>
        <w:jc w:val="left"/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Youth</w:t>
      </w:r>
      <w:r w:rsidR="006616C4" w:rsidRPr="0061543B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 xml:space="preserve"> organizations</w:t>
      </w:r>
    </w:p>
    <w:p w14:paraId="6CB7F676" w14:textId="1867F71D" w:rsidR="00FB3701" w:rsidRPr="0061543B" w:rsidRDefault="006425FD" w:rsidP="00501C6D">
      <w:pPr>
        <w:spacing w:after="120" w:line="259" w:lineRule="auto"/>
        <w:ind w:left="284"/>
        <w:jc w:val="left"/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</w:pPr>
      <w:r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t>Global Youth Biodiversity Network</w:t>
      </w:r>
      <w:r w:rsidR="00FB3701" w:rsidRPr="0061543B">
        <w:rPr>
          <w:rFonts w:asciiTheme="majorBidi" w:eastAsiaTheme="minorEastAsia" w:hAnsiTheme="majorBidi" w:cstheme="majorBidi"/>
          <w:b/>
          <w:bCs/>
          <w:color w:val="000000"/>
          <w:kern w:val="2"/>
          <w:szCs w:val="22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t>Ronja Fischer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Global Youth Biodiversity Network</w:t>
      </w:r>
      <w:r w:rsidRPr="0061543B">
        <w:rPr>
          <w:rFonts w:asciiTheme="majorBidi" w:eastAsiaTheme="minorEastAsia" w:hAnsiTheme="majorBidi" w:cstheme="majorBidi"/>
          <w:kern w:val="2"/>
          <w:szCs w:val="22"/>
          <w:lang w:eastAsia="zh-CN"/>
          <w14:ligatures w14:val="standardContextual"/>
        </w:rPr>
        <w:br/>
        <w:t>Istanbul, Türkiye</w:t>
      </w:r>
    </w:p>
    <w:p w14:paraId="592BCA07" w14:textId="3B4285DB" w:rsidR="00FA56B5" w:rsidRPr="00501C6D" w:rsidRDefault="00803633" w:rsidP="00501C6D">
      <w:pPr>
        <w:spacing w:before="120" w:after="120" w:line="259" w:lineRule="auto"/>
        <w:jc w:val="left"/>
        <w:rPr>
          <w:b/>
          <w:bCs/>
          <w:szCs w:val="22"/>
          <w:u w:val="single"/>
          <w:lang w:eastAsia="en-CA"/>
        </w:rPr>
      </w:pPr>
      <w:r w:rsidRPr="00501C6D">
        <w:rPr>
          <w:rFonts w:asciiTheme="majorBidi" w:eastAsiaTheme="minorEastAsia" w:hAnsiTheme="majorBidi" w:cstheme="majorBidi"/>
          <w:b/>
          <w:bCs/>
          <w:kern w:val="2"/>
          <w:sz w:val="24"/>
          <w:lang w:eastAsia="zh-CN"/>
          <w14:ligatures w14:val="standardContextual"/>
        </w:rPr>
        <w:t>Secretariat of the Convention on Biological Diversity</w:t>
      </w:r>
    </w:p>
    <w:p w14:paraId="25CD43F5" w14:textId="2073DC79" w:rsidR="00A47A95" w:rsidRPr="0061543B" w:rsidRDefault="002F1F43" w:rsidP="00501C6D">
      <w:pPr>
        <w:spacing w:before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>Markus Lehmann</w:t>
      </w:r>
    </w:p>
    <w:p w14:paraId="596CC70A" w14:textId="6AF63C9A" w:rsidR="002F1F43" w:rsidRPr="0061543B" w:rsidRDefault="002F1F43" w:rsidP="00501C6D">
      <w:pPr>
        <w:spacing w:after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>Senior Programme Management Officer</w:t>
      </w:r>
    </w:p>
    <w:p w14:paraId="1D6844D7" w14:textId="12981B68" w:rsidR="002F1F43" w:rsidRPr="0061543B" w:rsidRDefault="002F1F43" w:rsidP="00501C6D">
      <w:pPr>
        <w:spacing w:before="80" w:after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>Jillian Campbell</w:t>
      </w:r>
      <w:r w:rsidRPr="0061543B">
        <w:rPr>
          <w:rFonts w:asciiTheme="majorBidi" w:hAnsiTheme="majorBidi" w:cstheme="majorBidi"/>
          <w:szCs w:val="22"/>
          <w:lang w:eastAsia="en-CA"/>
        </w:rPr>
        <w:br/>
        <w:t>Senior Programme Management Officer</w:t>
      </w:r>
    </w:p>
    <w:p w14:paraId="53E0ED2A" w14:textId="6CFD468E" w:rsidR="002F1F43" w:rsidRPr="00501C6D" w:rsidRDefault="002F1F43" w:rsidP="00501C6D">
      <w:pPr>
        <w:spacing w:before="80" w:after="80"/>
        <w:ind w:left="284" w:right="44"/>
        <w:jc w:val="left"/>
        <w:rPr>
          <w:rFonts w:asciiTheme="majorBidi" w:hAnsiTheme="majorBidi" w:cstheme="majorBidi"/>
          <w:lang w:eastAsia="en-CA"/>
        </w:rPr>
      </w:pPr>
      <w:r w:rsidRPr="00501C6D">
        <w:rPr>
          <w:rFonts w:asciiTheme="majorBidi" w:hAnsiTheme="majorBidi" w:cstheme="majorBidi"/>
          <w:lang w:eastAsia="en-CA"/>
        </w:rPr>
        <w:t>Lijie Cai</w:t>
      </w:r>
      <w:r w:rsidRPr="0061543B">
        <w:br/>
      </w:r>
      <w:r w:rsidRPr="00501C6D">
        <w:rPr>
          <w:rFonts w:asciiTheme="majorBidi" w:hAnsiTheme="majorBidi" w:cstheme="majorBidi"/>
          <w:lang w:eastAsia="en-CA"/>
        </w:rPr>
        <w:t>Programme Management Officer</w:t>
      </w:r>
    </w:p>
    <w:p w14:paraId="3AE4EAD0" w14:textId="77777777" w:rsidR="00370DF0" w:rsidRPr="0061543B" w:rsidRDefault="00370DF0" w:rsidP="00501C6D">
      <w:pPr>
        <w:spacing w:before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>Guilherme Patury</w:t>
      </w:r>
    </w:p>
    <w:p w14:paraId="074ACB20" w14:textId="79B9E402" w:rsidR="006C39D1" w:rsidRPr="0061543B" w:rsidRDefault="00370DF0" w:rsidP="00501C6D">
      <w:pPr>
        <w:spacing w:after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>Individual contractor</w:t>
      </w:r>
    </w:p>
    <w:p w14:paraId="4D6C3EC1" w14:textId="3D0D5D01" w:rsidR="00F014CC" w:rsidRPr="0061543B" w:rsidRDefault="006077A0" w:rsidP="00501C6D">
      <w:pPr>
        <w:spacing w:before="80"/>
        <w:ind w:left="284" w:right="44"/>
        <w:jc w:val="left"/>
        <w:rPr>
          <w:rFonts w:asciiTheme="majorBidi" w:hAnsiTheme="majorBidi" w:cstheme="majorBidi"/>
          <w:szCs w:val="22"/>
          <w:lang w:eastAsia="en-CA"/>
        </w:rPr>
      </w:pPr>
      <w:r w:rsidRPr="0061543B">
        <w:rPr>
          <w:rFonts w:asciiTheme="majorBidi" w:hAnsiTheme="majorBidi" w:cstheme="majorBidi"/>
          <w:szCs w:val="22"/>
          <w:lang w:eastAsia="en-CA"/>
        </w:rPr>
        <w:t xml:space="preserve">Christina Van Winkle </w:t>
      </w:r>
    </w:p>
    <w:p w14:paraId="6E087AE6" w14:textId="5DF42A2C" w:rsidR="00F014CC" w:rsidRPr="0061543B" w:rsidRDefault="00F014CC" w:rsidP="00501C6D">
      <w:pPr>
        <w:spacing w:after="80"/>
        <w:ind w:left="284" w:right="44"/>
        <w:jc w:val="left"/>
      </w:pPr>
      <w:r w:rsidRPr="0061543B">
        <w:rPr>
          <w:rFonts w:asciiTheme="majorBidi" w:hAnsiTheme="majorBidi" w:cstheme="majorBidi"/>
          <w:szCs w:val="22"/>
          <w:lang w:eastAsia="en-CA"/>
        </w:rPr>
        <w:t>Consultant</w:t>
      </w:r>
    </w:p>
    <w:p w14:paraId="4817EB1F" w14:textId="013FABF6" w:rsidR="00AC58C7" w:rsidRPr="0061543B" w:rsidRDefault="006A6152" w:rsidP="00501C6D">
      <w:pPr>
        <w:pStyle w:val="Para1"/>
        <w:numPr>
          <w:ilvl w:val="0"/>
          <w:numId w:val="0"/>
        </w:numPr>
        <w:spacing w:before="0" w:after="0"/>
        <w:jc w:val="center"/>
      </w:pPr>
      <w:r w:rsidRPr="0061543B">
        <w:t>__________</w:t>
      </w:r>
    </w:p>
    <w:sectPr w:rsidR="00AC58C7" w:rsidRPr="0061543B" w:rsidSect="0064522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89F" w14:textId="77777777" w:rsidR="0064522E" w:rsidRDefault="0064522E" w:rsidP="00A96B21">
      <w:r>
        <w:separator/>
      </w:r>
    </w:p>
  </w:endnote>
  <w:endnote w:type="continuationSeparator" w:id="0">
    <w:p w14:paraId="76901D94" w14:textId="77777777" w:rsidR="0064522E" w:rsidRDefault="0064522E" w:rsidP="00A96B21">
      <w:r>
        <w:continuationSeparator/>
      </w:r>
    </w:p>
  </w:endnote>
  <w:endnote w:type="continuationNotice" w:id="1">
    <w:p w14:paraId="4D29116F" w14:textId="77777777" w:rsidR="0064522E" w:rsidRDefault="00645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BA8C5A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92E2BE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A201" w14:textId="129FADB7" w:rsidR="001D5473" w:rsidRDefault="00000000" w:rsidP="001D5473">
    <w:pPr>
      <w:pStyle w:val="Footer"/>
      <w:jc w:val="left"/>
    </w:pPr>
    <w:sdt>
      <w:sdtPr>
        <w:id w:val="2065830978"/>
        <w:docPartObj>
          <w:docPartGallery w:val="Page Numbers (Top of Page)"/>
          <w:docPartUnique/>
        </w:docPartObj>
      </w:sdtPr>
      <w:sdtContent>
        <w:r w:rsidR="001D5473" w:rsidRPr="002B559C">
          <w:rPr>
            <w:sz w:val="20"/>
            <w:szCs w:val="20"/>
          </w:rPr>
          <w:fldChar w:fldCharType="begin"/>
        </w:r>
        <w:r w:rsidR="001D5473" w:rsidRPr="002B559C">
          <w:rPr>
            <w:sz w:val="20"/>
            <w:szCs w:val="20"/>
          </w:rPr>
          <w:instrText xml:space="preserve"> PAGE </w:instrText>
        </w:r>
        <w:r w:rsidR="001D5473" w:rsidRPr="002B559C">
          <w:rPr>
            <w:sz w:val="20"/>
            <w:szCs w:val="20"/>
          </w:rPr>
          <w:fldChar w:fldCharType="separate"/>
        </w:r>
        <w:r w:rsidR="001D5473">
          <w:rPr>
            <w:sz w:val="20"/>
            <w:szCs w:val="20"/>
          </w:rPr>
          <w:t>3</w:t>
        </w:r>
        <w:r w:rsidR="001D5473" w:rsidRPr="002B559C">
          <w:rPr>
            <w:sz w:val="20"/>
            <w:szCs w:val="20"/>
          </w:rPr>
          <w:fldChar w:fldCharType="end"/>
        </w:r>
        <w:r w:rsidR="001D5473" w:rsidRPr="002B559C">
          <w:rPr>
            <w:sz w:val="20"/>
            <w:szCs w:val="20"/>
          </w:rPr>
          <w:t>/</w:t>
        </w:r>
        <w:r w:rsidR="001D5473" w:rsidRPr="002B559C">
          <w:rPr>
            <w:sz w:val="20"/>
            <w:szCs w:val="20"/>
          </w:rPr>
          <w:fldChar w:fldCharType="begin"/>
        </w:r>
        <w:r w:rsidR="001D5473" w:rsidRPr="002B559C">
          <w:rPr>
            <w:sz w:val="20"/>
            <w:szCs w:val="20"/>
          </w:rPr>
          <w:instrText xml:space="preserve"> NUMPAGES  </w:instrText>
        </w:r>
        <w:r w:rsidR="001D5473" w:rsidRPr="002B559C">
          <w:rPr>
            <w:sz w:val="20"/>
            <w:szCs w:val="20"/>
          </w:rPr>
          <w:fldChar w:fldCharType="separate"/>
        </w:r>
        <w:r w:rsidR="001D5473">
          <w:rPr>
            <w:sz w:val="20"/>
            <w:szCs w:val="20"/>
          </w:rPr>
          <w:t>16</w:t>
        </w:r>
        <w:r w:rsidR="001D5473" w:rsidRPr="002B559C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D988" w14:textId="77777777" w:rsidR="0064522E" w:rsidRDefault="0064522E" w:rsidP="00A96B21">
      <w:r>
        <w:separator/>
      </w:r>
    </w:p>
  </w:footnote>
  <w:footnote w:type="continuationSeparator" w:id="0">
    <w:p w14:paraId="46AD741D" w14:textId="77777777" w:rsidR="0064522E" w:rsidRDefault="0064522E" w:rsidP="00A96B21">
      <w:r>
        <w:continuationSeparator/>
      </w:r>
    </w:p>
  </w:footnote>
  <w:footnote w:type="continuationNotice" w:id="1">
    <w:p w14:paraId="158F1E94" w14:textId="77777777" w:rsidR="0064522E" w:rsidRDefault="0064522E"/>
  </w:footnote>
  <w:footnote w:id="2">
    <w:p w14:paraId="441BF26C" w14:textId="7E5F0537" w:rsidR="006B2E5E" w:rsidRPr="00501C6D" w:rsidRDefault="006B2E5E">
      <w:pPr>
        <w:pStyle w:val="FootnoteText"/>
        <w:rPr>
          <w:sz w:val="18"/>
          <w:szCs w:val="18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See </w:t>
      </w:r>
      <w:hyperlink r:id="rId1" w:history="1">
        <w:r w:rsidRPr="00501C6D">
          <w:rPr>
            <w:rStyle w:val="Hyperlink"/>
            <w:sz w:val="18"/>
            <w:szCs w:val="18"/>
          </w:rPr>
          <w:t>CBD/FM/TEG/2023/1/3</w:t>
        </w:r>
      </w:hyperlink>
      <w:r w:rsidR="00113926" w:rsidRPr="00501C6D">
        <w:rPr>
          <w:rStyle w:val="Hyperlink"/>
          <w:color w:val="auto"/>
          <w:sz w:val="18"/>
          <w:szCs w:val="18"/>
          <w:u w:val="none"/>
        </w:rPr>
        <w:t xml:space="preserve"> for the report of the meeting</w:t>
      </w:r>
      <w:r w:rsidRPr="00501C6D">
        <w:rPr>
          <w:sz w:val="18"/>
          <w:szCs w:val="18"/>
        </w:rPr>
        <w:t>.</w:t>
      </w:r>
    </w:p>
  </w:footnote>
  <w:footnote w:id="3">
    <w:p w14:paraId="4DC48BCB" w14:textId="3658F6A3" w:rsidR="00025630" w:rsidRPr="00501C6D" w:rsidRDefault="00025630">
      <w:pPr>
        <w:pStyle w:val="FootnoteText"/>
        <w:rPr>
          <w:sz w:val="18"/>
          <w:szCs w:val="18"/>
        </w:rPr>
      </w:pPr>
      <w:r w:rsidRPr="00501C6D">
        <w:rPr>
          <w:rStyle w:val="FootnoteReference"/>
          <w:sz w:val="18"/>
          <w:szCs w:val="18"/>
        </w:rPr>
        <w:t>*</w:t>
      </w:r>
      <w:r w:rsidRPr="00501C6D">
        <w:rPr>
          <w:sz w:val="18"/>
          <w:szCs w:val="18"/>
        </w:rPr>
        <w:t xml:space="preserve"> For consolidation by the Ad Hoc Technical Expert Group on Indicators.</w:t>
      </w:r>
    </w:p>
  </w:footnote>
  <w:footnote w:id="4">
    <w:p w14:paraId="105E3A6F" w14:textId="0D46C5E2" w:rsidR="00DB04C8" w:rsidRPr="00501C6D" w:rsidRDefault="00DB04C8" w:rsidP="00DB04C8">
      <w:pPr>
        <w:pStyle w:val="FootnoteText"/>
        <w:rPr>
          <w:sz w:val="18"/>
          <w:szCs w:val="18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</w:t>
      </w:r>
      <w:r w:rsidR="009A251F" w:rsidRPr="0008706C">
        <w:rPr>
          <w:rFonts w:asciiTheme="majorBidi" w:hAnsiTheme="majorBidi" w:cstheme="majorBidi"/>
          <w:sz w:val="18"/>
          <w:szCs w:val="18"/>
        </w:rPr>
        <w:t xml:space="preserve">[Symbols of the </w:t>
      </w:r>
      <w:r w:rsidR="009A251F" w:rsidRPr="00501C6D">
        <w:rPr>
          <w:rFonts w:asciiTheme="majorBidi" w:hAnsiTheme="majorBidi" w:cstheme="majorBidi"/>
          <w:sz w:val="18"/>
          <w:szCs w:val="18"/>
        </w:rPr>
        <w:t>final reports of the groups</w:t>
      </w:r>
      <w:r w:rsidR="009A251F" w:rsidRPr="0008706C">
        <w:rPr>
          <w:rFonts w:asciiTheme="majorBidi" w:hAnsiTheme="majorBidi" w:cstheme="majorBidi"/>
          <w:sz w:val="18"/>
          <w:szCs w:val="18"/>
        </w:rPr>
        <w:t xml:space="preserve"> to be added.]</w:t>
      </w:r>
    </w:p>
  </w:footnote>
  <w:footnote w:id="5">
    <w:p w14:paraId="6722F65A" w14:textId="69F9E941" w:rsidR="00A061F9" w:rsidRPr="00501C6D" w:rsidRDefault="00A061F9">
      <w:pPr>
        <w:pStyle w:val="FootnoteText"/>
        <w:rPr>
          <w:sz w:val="18"/>
          <w:szCs w:val="18"/>
          <w:lang w:val="en-US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Relevant </w:t>
      </w:r>
      <w:r w:rsidRPr="00501C6D">
        <w:rPr>
          <w:sz w:val="18"/>
          <w:szCs w:val="18"/>
          <w:lang w:val="en-US"/>
        </w:rPr>
        <w:t>URL to be added.</w:t>
      </w:r>
    </w:p>
  </w:footnote>
  <w:footnote w:id="6">
    <w:p w14:paraId="62872C95" w14:textId="15E4B028" w:rsidR="00A061F9" w:rsidRPr="00501C6D" w:rsidRDefault="00A061F9">
      <w:pPr>
        <w:pStyle w:val="FootnoteText"/>
        <w:rPr>
          <w:sz w:val="18"/>
          <w:szCs w:val="18"/>
          <w:lang w:val="en-US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</w:t>
      </w:r>
      <w:r w:rsidR="00606094" w:rsidRPr="00501C6D">
        <w:rPr>
          <w:color w:val="000000"/>
          <w:sz w:val="18"/>
          <w:szCs w:val="18"/>
        </w:rPr>
        <w:t xml:space="preserve">United Nations, </w:t>
      </w:r>
      <w:r w:rsidR="00606094" w:rsidRPr="00501C6D">
        <w:rPr>
          <w:i/>
          <w:iCs/>
          <w:color w:val="000000"/>
          <w:sz w:val="18"/>
          <w:szCs w:val="18"/>
        </w:rPr>
        <w:t>Treaty Series</w:t>
      </w:r>
      <w:r w:rsidR="00606094" w:rsidRPr="00501C6D">
        <w:rPr>
          <w:iCs/>
          <w:color w:val="000000"/>
          <w:sz w:val="18"/>
          <w:szCs w:val="18"/>
        </w:rPr>
        <w:t>,</w:t>
      </w:r>
      <w:r w:rsidR="00606094" w:rsidRPr="00501C6D">
        <w:rPr>
          <w:i/>
          <w:iCs/>
          <w:color w:val="000000"/>
          <w:sz w:val="18"/>
          <w:szCs w:val="18"/>
        </w:rPr>
        <w:t xml:space="preserve"> </w:t>
      </w:r>
      <w:r w:rsidR="00606094" w:rsidRPr="00501C6D">
        <w:rPr>
          <w:color w:val="000000"/>
          <w:sz w:val="18"/>
          <w:szCs w:val="18"/>
        </w:rPr>
        <w:t>vol. 1760, No. 30619.</w:t>
      </w:r>
    </w:p>
  </w:footnote>
  <w:footnote w:id="7">
    <w:p w14:paraId="20FD92B5" w14:textId="67806303" w:rsidR="004C16D0" w:rsidRPr="00501C6D" w:rsidRDefault="004C16D0">
      <w:pPr>
        <w:pStyle w:val="FootnoteText"/>
        <w:rPr>
          <w:sz w:val="18"/>
          <w:szCs w:val="18"/>
          <w:lang w:val="en-US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</w:t>
      </w:r>
      <w:r w:rsidRPr="00501C6D">
        <w:rPr>
          <w:sz w:val="18"/>
          <w:szCs w:val="18"/>
          <w:lang w:val="en-US"/>
        </w:rPr>
        <w:t>Decision 15/4, annex.</w:t>
      </w:r>
    </w:p>
  </w:footnote>
  <w:footnote w:id="8">
    <w:p w14:paraId="6E06156E" w14:textId="0A04E360" w:rsidR="00741462" w:rsidRPr="00501C6D" w:rsidRDefault="00741462">
      <w:pPr>
        <w:pStyle w:val="FootnoteText"/>
        <w:rPr>
          <w:sz w:val="18"/>
          <w:szCs w:val="18"/>
          <w:lang w:val="en-US"/>
        </w:rPr>
      </w:pPr>
      <w:r w:rsidRPr="00501C6D">
        <w:rPr>
          <w:rStyle w:val="FootnoteReference"/>
          <w:sz w:val="18"/>
          <w:szCs w:val="18"/>
        </w:rPr>
        <w:footnoteRef/>
      </w:r>
      <w:r w:rsidRPr="00501C6D">
        <w:rPr>
          <w:sz w:val="18"/>
          <w:szCs w:val="18"/>
        </w:rPr>
        <w:t xml:space="preserve"> </w:t>
      </w:r>
      <w:r w:rsidRPr="00501C6D">
        <w:rPr>
          <w:sz w:val="18"/>
          <w:szCs w:val="18"/>
          <w:lang w:val="en-US"/>
        </w:rPr>
        <w:t>Decision 15/5, annex</w:t>
      </w:r>
      <w:r w:rsidR="007A44F2" w:rsidRPr="00501C6D">
        <w:rPr>
          <w:sz w:val="18"/>
          <w:szCs w:val="18"/>
          <w:lang w:val="en-US"/>
        </w:rPr>
        <w:t xml:space="preserve"> I</w:t>
      </w:r>
      <w:r w:rsidRPr="00501C6D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44A4AA80" w14:textId="4F38DF6B" w:rsidR="002B559C" w:rsidRPr="0012010F" w:rsidRDefault="00000000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de-DE"/>
      </w:rPr>
    </w:pPr>
    <w:sdt>
      <w:sdtPr>
        <w:rPr>
          <w:sz w:val="20"/>
          <w:szCs w:val="20"/>
          <w:lang w:val="de-DE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358F1" w:rsidRPr="0012010F">
          <w:rPr>
            <w:sz w:val="20"/>
            <w:szCs w:val="20"/>
            <w:lang w:val="de-DE"/>
          </w:rPr>
          <w:t>CBD/FM/TEG/202</w:t>
        </w:r>
        <w:r w:rsidR="006B6624">
          <w:rPr>
            <w:sz w:val="20"/>
            <w:szCs w:val="20"/>
            <w:lang w:val="de-DE"/>
          </w:rPr>
          <w:t>4</w:t>
        </w:r>
        <w:r w:rsidR="006358F1" w:rsidRPr="0012010F">
          <w:rPr>
            <w:sz w:val="20"/>
            <w:szCs w:val="20"/>
            <w:lang w:val="de-DE"/>
          </w:rPr>
          <w:t>/1/</w:t>
        </w:r>
        <w:r w:rsidR="006B6624">
          <w:rPr>
            <w:sz w:val="20"/>
            <w:szCs w:val="20"/>
            <w:lang w:val="de-DE"/>
          </w:rPr>
          <w:t>2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0D8933E2" w14:textId="3F59B55A" w:rsidR="002B559C" w:rsidRPr="002B559C" w:rsidRDefault="006B6624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CBD/FM/TEG/2024/1/2</w: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3D"/>
    <w:multiLevelType w:val="hybridMultilevel"/>
    <w:tmpl w:val="2370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2A3"/>
    <w:multiLevelType w:val="hybridMultilevel"/>
    <w:tmpl w:val="692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8E6"/>
    <w:multiLevelType w:val="hybridMultilevel"/>
    <w:tmpl w:val="ED6A9B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2B8"/>
    <w:multiLevelType w:val="hybridMultilevel"/>
    <w:tmpl w:val="0F242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09F9"/>
    <w:multiLevelType w:val="hybridMultilevel"/>
    <w:tmpl w:val="059220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E1D1C"/>
    <w:multiLevelType w:val="hybridMultilevel"/>
    <w:tmpl w:val="07E89068"/>
    <w:lvl w:ilvl="0" w:tplc="8FECDC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C1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6C0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2EA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CEAB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70A1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DEE7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6C63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5053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5D276FF"/>
    <w:multiLevelType w:val="multilevel"/>
    <w:tmpl w:val="C5607998"/>
    <w:lvl w:ilvl="0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D6A4B3E"/>
    <w:multiLevelType w:val="hybridMultilevel"/>
    <w:tmpl w:val="9C96A1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D631D"/>
    <w:multiLevelType w:val="hybridMultilevel"/>
    <w:tmpl w:val="ACEAFAE8"/>
    <w:lvl w:ilvl="0" w:tplc="EDE637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2522F"/>
    <w:multiLevelType w:val="hybridMultilevel"/>
    <w:tmpl w:val="1F02FC98"/>
    <w:lvl w:ilvl="0" w:tplc="DC96FD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CD087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C38FB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E9672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6283D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9600A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91217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D46A5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4C422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7C7C"/>
    <w:multiLevelType w:val="hybridMultilevel"/>
    <w:tmpl w:val="C1B240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8B70991"/>
    <w:multiLevelType w:val="hybridMultilevel"/>
    <w:tmpl w:val="47E23F9A"/>
    <w:lvl w:ilvl="0" w:tplc="FFFFFFFF">
      <w:start w:val="1"/>
      <w:numFmt w:val="decimal"/>
      <w:pStyle w:val="Para1"/>
      <w:lvlText w:val="%1."/>
      <w:lvlJc w:val="left"/>
      <w:pPr>
        <w:ind w:left="1800" w:hanging="360"/>
      </w:pPr>
      <w:rPr>
        <w:b w:val="0"/>
        <w:bCs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9519D9"/>
    <w:multiLevelType w:val="hybridMultilevel"/>
    <w:tmpl w:val="8D1C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414B0"/>
    <w:multiLevelType w:val="hybridMultilevel"/>
    <w:tmpl w:val="693A4304"/>
    <w:lvl w:ilvl="0" w:tplc="18F01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0638A"/>
    <w:multiLevelType w:val="hybridMultilevel"/>
    <w:tmpl w:val="FFF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63E2"/>
    <w:multiLevelType w:val="hybridMultilevel"/>
    <w:tmpl w:val="54A6D3C2"/>
    <w:lvl w:ilvl="0" w:tplc="53568A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252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A1C76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D7803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4D8F5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3D60C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BACC9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16E3A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F0887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693270093">
    <w:abstractNumId w:val="10"/>
  </w:num>
  <w:num w:numId="2" w16cid:durableId="1624268559">
    <w:abstractNumId w:val="14"/>
  </w:num>
  <w:num w:numId="3" w16cid:durableId="383216668">
    <w:abstractNumId w:val="12"/>
  </w:num>
  <w:num w:numId="4" w16cid:durableId="1815951502">
    <w:abstractNumId w:val="13"/>
  </w:num>
  <w:num w:numId="5" w16cid:durableId="1705055118">
    <w:abstractNumId w:val="18"/>
  </w:num>
  <w:num w:numId="6" w16cid:durableId="1532305489">
    <w:abstractNumId w:val="17"/>
  </w:num>
  <w:num w:numId="7" w16cid:durableId="613754416">
    <w:abstractNumId w:val="3"/>
  </w:num>
  <w:num w:numId="8" w16cid:durableId="967585772">
    <w:abstractNumId w:val="1"/>
  </w:num>
  <w:num w:numId="9" w16cid:durableId="984508385">
    <w:abstractNumId w:val="15"/>
  </w:num>
  <w:num w:numId="10" w16cid:durableId="1986622498">
    <w:abstractNumId w:val="0"/>
  </w:num>
  <w:num w:numId="11" w16cid:durableId="1477182430">
    <w:abstractNumId w:val="8"/>
  </w:num>
  <w:num w:numId="12" w16cid:durableId="1052655168">
    <w:abstractNumId w:val="11"/>
  </w:num>
  <w:num w:numId="13" w16cid:durableId="230821785">
    <w:abstractNumId w:val="16"/>
  </w:num>
  <w:num w:numId="14" w16cid:durableId="1466192078">
    <w:abstractNumId w:val="2"/>
  </w:num>
  <w:num w:numId="15" w16cid:durableId="344864112">
    <w:abstractNumId w:val="7"/>
  </w:num>
  <w:num w:numId="16" w16cid:durableId="2124953535">
    <w:abstractNumId w:val="5"/>
  </w:num>
  <w:num w:numId="17" w16cid:durableId="272634824">
    <w:abstractNumId w:val="6"/>
  </w:num>
  <w:num w:numId="18" w16cid:durableId="33359506">
    <w:abstractNumId w:val="4"/>
  </w:num>
  <w:num w:numId="19" w16cid:durableId="952713638">
    <w:abstractNumId w:val="9"/>
  </w:num>
  <w:num w:numId="20" w16cid:durableId="14536119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ECDDocumentId" w:val="516F8E5917C85610C6A454C332DB43A2C7622FF448154E4A13F895DF55CDE6C9"/>
  </w:docVars>
  <w:rsids>
    <w:rsidRoot w:val="0017531D"/>
    <w:rsid w:val="000021E4"/>
    <w:rsid w:val="0000247F"/>
    <w:rsid w:val="00002490"/>
    <w:rsid w:val="00003128"/>
    <w:rsid w:val="00004551"/>
    <w:rsid w:val="00005653"/>
    <w:rsid w:val="00005AF6"/>
    <w:rsid w:val="00006EF2"/>
    <w:rsid w:val="00007030"/>
    <w:rsid w:val="000073B1"/>
    <w:rsid w:val="000073D9"/>
    <w:rsid w:val="000074C0"/>
    <w:rsid w:val="00010C86"/>
    <w:rsid w:val="00010F9A"/>
    <w:rsid w:val="00012288"/>
    <w:rsid w:val="00012683"/>
    <w:rsid w:val="00012AE5"/>
    <w:rsid w:val="000131B9"/>
    <w:rsid w:val="0001373F"/>
    <w:rsid w:val="00013791"/>
    <w:rsid w:val="00013957"/>
    <w:rsid w:val="00014355"/>
    <w:rsid w:val="000178E5"/>
    <w:rsid w:val="00020452"/>
    <w:rsid w:val="000214CD"/>
    <w:rsid w:val="00021565"/>
    <w:rsid w:val="00021988"/>
    <w:rsid w:val="00021C09"/>
    <w:rsid w:val="0002409E"/>
    <w:rsid w:val="0002463A"/>
    <w:rsid w:val="00024DFC"/>
    <w:rsid w:val="00025630"/>
    <w:rsid w:val="000258F6"/>
    <w:rsid w:val="00027225"/>
    <w:rsid w:val="000273C5"/>
    <w:rsid w:val="00027520"/>
    <w:rsid w:val="00027649"/>
    <w:rsid w:val="000302A3"/>
    <w:rsid w:val="0003074E"/>
    <w:rsid w:val="000307D2"/>
    <w:rsid w:val="000309BA"/>
    <w:rsid w:val="00030E47"/>
    <w:rsid w:val="0003225A"/>
    <w:rsid w:val="0003279D"/>
    <w:rsid w:val="0003330D"/>
    <w:rsid w:val="00033730"/>
    <w:rsid w:val="00035726"/>
    <w:rsid w:val="0003573D"/>
    <w:rsid w:val="00035DAC"/>
    <w:rsid w:val="00036021"/>
    <w:rsid w:val="00036721"/>
    <w:rsid w:val="00036A98"/>
    <w:rsid w:val="00036B7E"/>
    <w:rsid w:val="00036DB9"/>
    <w:rsid w:val="00037912"/>
    <w:rsid w:val="00037CD0"/>
    <w:rsid w:val="00040598"/>
    <w:rsid w:val="00040FC1"/>
    <w:rsid w:val="00041E93"/>
    <w:rsid w:val="000421FB"/>
    <w:rsid w:val="000449E8"/>
    <w:rsid w:val="00046BCC"/>
    <w:rsid w:val="00046DA5"/>
    <w:rsid w:val="00047DD5"/>
    <w:rsid w:val="000517C5"/>
    <w:rsid w:val="000522D7"/>
    <w:rsid w:val="00053070"/>
    <w:rsid w:val="000535A9"/>
    <w:rsid w:val="00053698"/>
    <w:rsid w:val="00053A89"/>
    <w:rsid w:val="00053C63"/>
    <w:rsid w:val="00053C76"/>
    <w:rsid w:val="00053D9A"/>
    <w:rsid w:val="000545FC"/>
    <w:rsid w:val="00054958"/>
    <w:rsid w:val="00054B38"/>
    <w:rsid w:val="00054B81"/>
    <w:rsid w:val="00054D08"/>
    <w:rsid w:val="000572D7"/>
    <w:rsid w:val="00057737"/>
    <w:rsid w:val="00057967"/>
    <w:rsid w:val="00057984"/>
    <w:rsid w:val="00057F4B"/>
    <w:rsid w:val="000608DA"/>
    <w:rsid w:val="00060E7E"/>
    <w:rsid w:val="000635FC"/>
    <w:rsid w:val="0006586B"/>
    <w:rsid w:val="000665FA"/>
    <w:rsid w:val="00066B48"/>
    <w:rsid w:val="00067180"/>
    <w:rsid w:val="0006787F"/>
    <w:rsid w:val="00067DFD"/>
    <w:rsid w:val="000707D0"/>
    <w:rsid w:val="0007148A"/>
    <w:rsid w:val="000717BE"/>
    <w:rsid w:val="000729FA"/>
    <w:rsid w:val="000730FC"/>
    <w:rsid w:val="00076083"/>
    <w:rsid w:val="00076378"/>
    <w:rsid w:val="000767F0"/>
    <w:rsid w:val="00076A08"/>
    <w:rsid w:val="00076A67"/>
    <w:rsid w:val="00077232"/>
    <w:rsid w:val="000803DC"/>
    <w:rsid w:val="00080DE7"/>
    <w:rsid w:val="0008149F"/>
    <w:rsid w:val="000816FC"/>
    <w:rsid w:val="00081953"/>
    <w:rsid w:val="00082403"/>
    <w:rsid w:val="00083197"/>
    <w:rsid w:val="000847CB"/>
    <w:rsid w:val="0008594C"/>
    <w:rsid w:val="0008632F"/>
    <w:rsid w:val="000865E3"/>
    <w:rsid w:val="000865EE"/>
    <w:rsid w:val="0008706C"/>
    <w:rsid w:val="0008732C"/>
    <w:rsid w:val="0008793B"/>
    <w:rsid w:val="00090771"/>
    <w:rsid w:val="000923CB"/>
    <w:rsid w:val="000924D6"/>
    <w:rsid w:val="00094FB4"/>
    <w:rsid w:val="00095273"/>
    <w:rsid w:val="000952C6"/>
    <w:rsid w:val="00095794"/>
    <w:rsid w:val="000962EE"/>
    <w:rsid w:val="0009635F"/>
    <w:rsid w:val="00096D90"/>
    <w:rsid w:val="00096E1A"/>
    <w:rsid w:val="000A086A"/>
    <w:rsid w:val="000A140F"/>
    <w:rsid w:val="000A1967"/>
    <w:rsid w:val="000A212F"/>
    <w:rsid w:val="000A2D12"/>
    <w:rsid w:val="000A311D"/>
    <w:rsid w:val="000A3278"/>
    <w:rsid w:val="000A391A"/>
    <w:rsid w:val="000A4C79"/>
    <w:rsid w:val="000A5CB1"/>
    <w:rsid w:val="000A6BC1"/>
    <w:rsid w:val="000A771A"/>
    <w:rsid w:val="000A7D55"/>
    <w:rsid w:val="000B0AFC"/>
    <w:rsid w:val="000B1CB3"/>
    <w:rsid w:val="000B4ED9"/>
    <w:rsid w:val="000B50D3"/>
    <w:rsid w:val="000B6DDC"/>
    <w:rsid w:val="000B71CC"/>
    <w:rsid w:val="000B7AD2"/>
    <w:rsid w:val="000C1219"/>
    <w:rsid w:val="000C209C"/>
    <w:rsid w:val="000C2FED"/>
    <w:rsid w:val="000C3237"/>
    <w:rsid w:val="000C3259"/>
    <w:rsid w:val="000C3E9F"/>
    <w:rsid w:val="000C4010"/>
    <w:rsid w:val="000C4128"/>
    <w:rsid w:val="000C41A7"/>
    <w:rsid w:val="000C61F3"/>
    <w:rsid w:val="000C764A"/>
    <w:rsid w:val="000D061F"/>
    <w:rsid w:val="000D0BB4"/>
    <w:rsid w:val="000D1AC2"/>
    <w:rsid w:val="000D2232"/>
    <w:rsid w:val="000D2D05"/>
    <w:rsid w:val="000D2F38"/>
    <w:rsid w:val="000D31CB"/>
    <w:rsid w:val="000D3208"/>
    <w:rsid w:val="000D48D6"/>
    <w:rsid w:val="000D4F85"/>
    <w:rsid w:val="000D6A52"/>
    <w:rsid w:val="000D7CC3"/>
    <w:rsid w:val="000E061D"/>
    <w:rsid w:val="000E1112"/>
    <w:rsid w:val="000E2A09"/>
    <w:rsid w:val="000E4DB3"/>
    <w:rsid w:val="000E5BBB"/>
    <w:rsid w:val="000E76B2"/>
    <w:rsid w:val="000F06EB"/>
    <w:rsid w:val="000F18E2"/>
    <w:rsid w:val="000F1D6F"/>
    <w:rsid w:val="000F2104"/>
    <w:rsid w:val="000F22DB"/>
    <w:rsid w:val="000F2C28"/>
    <w:rsid w:val="000F4299"/>
    <w:rsid w:val="000F4EDF"/>
    <w:rsid w:val="000F6B36"/>
    <w:rsid w:val="000F6DFB"/>
    <w:rsid w:val="000F78A7"/>
    <w:rsid w:val="001002CD"/>
    <w:rsid w:val="00101B16"/>
    <w:rsid w:val="001025EF"/>
    <w:rsid w:val="00102726"/>
    <w:rsid w:val="00103A3C"/>
    <w:rsid w:val="00104068"/>
    <w:rsid w:val="00104076"/>
    <w:rsid w:val="00104801"/>
    <w:rsid w:val="00104863"/>
    <w:rsid w:val="00105211"/>
    <w:rsid w:val="0010618F"/>
    <w:rsid w:val="00106831"/>
    <w:rsid w:val="001068AC"/>
    <w:rsid w:val="0010751D"/>
    <w:rsid w:val="00112E5F"/>
    <w:rsid w:val="00112F9E"/>
    <w:rsid w:val="00113216"/>
    <w:rsid w:val="00113513"/>
    <w:rsid w:val="00113926"/>
    <w:rsid w:val="001147D0"/>
    <w:rsid w:val="00114FF3"/>
    <w:rsid w:val="00115207"/>
    <w:rsid w:val="00115FB6"/>
    <w:rsid w:val="001162BC"/>
    <w:rsid w:val="00116C1B"/>
    <w:rsid w:val="00116C54"/>
    <w:rsid w:val="0011792F"/>
    <w:rsid w:val="00117F1B"/>
    <w:rsid w:val="0012010F"/>
    <w:rsid w:val="00120C4F"/>
    <w:rsid w:val="00120DFD"/>
    <w:rsid w:val="0012118A"/>
    <w:rsid w:val="00121641"/>
    <w:rsid w:val="001218CA"/>
    <w:rsid w:val="0012191F"/>
    <w:rsid w:val="00122036"/>
    <w:rsid w:val="0012227A"/>
    <w:rsid w:val="0012428F"/>
    <w:rsid w:val="00124826"/>
    <w:rsid w:val="00124AD0"/>
    <w:rsid w:val="00124BEB"/>
    <w:rsid w:val="00124C2E"/>
    <w:rsid w:val="00124D67"/>
    <w:rsid w:val="00125DAB"/>
    <w:rsid w:val="00125FA3"/>
    <w:rsid w:val="00127A7C"/>
    <w:rsid w:val="00130805"/>
    <w:rsid w:val="00130E04"/>
    <w:rsid w:val="001315FD"/>
    <w:rsid w:val="00131B58"/>
    <w:rsid w:val="00132246"/>
    <w:rsid w:val="00132581"/>
    <w:rsid w:val="00132FEE"/>
    <w:rsid w:val="00133D40"/>
    <w:rsid w:val="00134026"/>
    <w:rsid w:val="0013403B"/>
    <w:rsid w:val="00134116"/>
    <w:rsid w:val="0013453D"/>
    <w:rsid w:val="0013470F"/>
    <w:rsid w:val="00134977"/>
    <w:rsid w:val="00137572"/>
    <w:rsid w:val="00137AA4"/>
    <w:rsid w:val="001400BF"/>
    <w:rsid w:val="00141B89"/>
    <w:rsid w:val="001426F7"/>
    <w:rsid w:val="0014371A"/>
    <w:rsid w:val="00144ECD"/>
    <w:rsid w:val="00145880"/>
    <w:rsid w:val="00147069"/>
    <w:rsid w:val="00147BDF"/>
    <w:rsid w:val="00147FAA"/>
    <w:rsid w:val="00150CB5"/>
    <w:rsid w:val="00150E40"/>
    <w:rsid w:val="0015124C"/>
    <w:rsid w:val="00152DEA"/>
    <w:rsid w:val="001532F4"/>
    <w:rsid w:val="001533C9"/>
    <w:rsid w:val="0015370B"/>
    <w:rsid w:val="00153E25"/>
    <w:rsid w:val="001540C0"/>
    <w:rsid w:val="00154898"/>
    <w:rsid w:val="001548B0"/>
    <w:rsid w:val="00155239"/>
    <w:rsid w:val="001558DF"/>
    <w:rsid w:val="00155B5F"/>
    <w:rsid w:val="001562C5"/>
    <w:rsid w:val="001576F4"/>
    <w:rsid w:val="00157C06"/>
    <w:rsid w:val="00157D5F"/>
    <w:rsid w:val="00160031"/>
    <w:rsid w:val="00160B44"/>
    <w:rsid w:val="001643D9"/>
    <w:rsid w:val="001663A4"/>
    <w:rsid w:val="001674EE"/>
    <w:rsid w:val="00167C33"/>
    <w:rsid w:val="001708AA"/>
    <w:rsid w:val="00170DA3"/>
    <w:rsid w:val="001714EC"/>
    <w:rsid w:val="00171659"/>
    <w:rsid w:val="00172143"/>
    <w:rsid w:val="00172B35"/>
    <w:rsid w:val="00173013"/>
    <w:rsid w:val="0017531D"/>
    <w:rsid w:val="00175A05"/>
    <w:rsid w:val="00175F1E"/>
    <w:rsid w:val="001765FF"/>
    <w:rsid w:val="0017681A"/>
    <w:rsid w:val="0017778B"/>
    <w:rsid w:val="00177FA6"/>
    <w:rsid w:val="00180B33"/>
    <w:rsid w:val="00181277"/>
    <w:rsid w:val="00182663"/>
    <w:rsid w:val="00183C65"/>
    <w:rsid w:val="00184909"/>
    <w:rsid w:val="00185F6E"/>
    <w:rsid w:val="001865EB"/>
    <w:rsid w:val="0018682C"/>
    <w:rsid w:val="0018718E"/>
    <w:rsid w:val="001878BF"/>
    <w:rsid w:val="00190A30"/>
    <w:rsid w:val="00191C42"/>
    <w:rsid w:val="00192D8D"/>
    <w:rsid w:val="00194DCF"/>
    <w:rsid w:val="0019710C"/>
    <w:rsid w:val="00197516"/>
    <w:rsid w:val="001977D3"/>
    <w:rsid w:val="001A01A8"/>
    <w:rsid w:val="001A03A7"/>
    <w:rsid w:val="001A07C5"/>
    <w:rsid w:val="001A134A"/>
    <w:rsid w:val="001A1E5C"/>
    <w:rsid w:val="001A2347"/>
    <w:rsid w:val="001A34C5"/>
    <w:rsid w:val="001A3701"/>
    <w:rsid w:val="001A3B16"/>
    <w:rsid w:val="001A435F"/>
    <w:rsid w:val="001A6156"/>
    <w:rsid w:val="001A624D"/>
    <w:rsid w:val="001A6444"/>
    <w:rsid w:val="001A64D7"/>
    <w:rsid w:val="001A755E"/>
    <w:rsid w:val="001A7644"/>
    <w:rsid w:val="001B00AD"/>
    <w:rsid w:val="001B0A81"/>
    <w:rsid w:val="001B104D"/>
    <w:rsid w:val="001B1452"/>
    <w:rsid w:val="001B21E2"/>
    <w:rsid w:val="001B26F8"/>
    <w:rsid w:val="001B46E9"/>
    <w:rsid w:val="001B4F44"/>
    <w:rsid w:val="001B600B"/>
    <w:rsid w:val="001B6486"/>
    <w:rsid w:val="001B656B"/>
    <w:rsid w:val="001B7824"/>
    <w:rsid w:val="001B7D8C"/>
    <w:rsid w:val="001C01BF"/>
    <w:rsid w:val="001C1092"/>
    <w:rsid w:val="001C177D"/>
    <w:rsid w:val="001C1842"/>
    <w:rsid w:val="001C2684"/>
    <w:rsid w:val="001C30D8"/>
    <w:rsid w:val="001C3120"/>
    <w:rsid w:val="001C3FAC"/>
    <w:rsid w:val="001C456E"/>
    <w:rsid w:val="001C4FF5"/>
    <w:rsid w:val="001C6447"/>
    <w:rsid w:val="001C6D19"/>
    <w:rsid w:val="001C6E9D"/>
    <w:rsid w:val="001C6EB0"/>
    <w:rsid w:val="001D0240"/>
    <w:rsid w:val="001D1276"/>
    <w:rsid w:val="001D2C9B"/>
    <w:rsid w:val="001D2F52"/>
    <w:rsid w:val="001D3A16"/>
    <w:rsid w:val="001D3DB5"/>
    <w:rsid w:val="001D3E1F"/>
    <w:rsid w:val="001D3FF9"/>
    <w:rsid w:val="001D5473"/>
    <w:rsid w:val="001D7501"/>
    <w:rsid w:val="001D797E"/>
    <w:rsid w:val="001E0DB0"/>
    <w:rsid w:val="001E16B0"/>
    <w:rsid w:val="001E1BA0"/>
    <w:rsid w:val="001E1F35"/>
    <w:rsid w:val="001E2845"/>
    <w:rsid w:val="001E3087"/>
    <w:rsid w:val="001E41E3"/>
    <w:rsid w:val="001E6834"/>
    <w:rsid w:val="001E6DCF"/>
    <w:rsid w:val="001E7242"/>
    <w:rsid w:val="001E78F2"/>
    <w:rsid w:val="001E7D49"/>
    <w:rsid w:val="001E7DD3"/>
    <w:rsid w:val="001F00E3"/>
    <w:rsid w:val="001F138A"/>
    <w:rsid w:val="001F167A"/>
    <w:rsid w:val="001F16F0"/>
    <w:rsid w:val="001F1CA8"/>
    <w:rsid w:val="001F1D70"/>
    <w:rsid w:val="001F2C0D"/>
    <w:rsid w:val="001F2E01"/>
    <w:rsid w:val="001F377C"/>
    <w:rsid w:val="001F3B0A"/>
    <w:rsid w:val="001F4571"/>
    <w:rsid w:val="001F531D"/>
    <w:rsid w:val="001F5E24"/>
    <w:rsid w:val="001F629B"/>
    <w:rsid w:val="001F69CF"/>
    <w:rsid w:val="001F7300"/>
    <w:rsid w:val="001F791D"/>
    <w:rsid w:val="001F7B4E"/>
    <w:rsid w:val="002010B1"/>
    <w:rsid w:val="002020EE"/>
    <w:rsid w:val="00202340"/>
    <w:rsid w:val="00202461"/>
    <w:rsid w:val="00202618"/>
    <w:rsid w:val="00202C4B"/>
    <w:rsid w:val="002036D4"/>
    <w:rsid w:val="0020419F"/>
    <w:rsid w:val="00204322"/>
    <w:rsid w:val="00204554"/>
    <w:rsid w:val="0020482B"/>
    <w:rsid w:val="00204F72"/>
    <w:rsid w:val="00205793"/>
    <w:rsid w:val="00206542"/>
    <w:rsid w:val="00206B71"/>
    <w:rsid w:val="0020729E"/>
    <w:rsid w:val="00207A1C"/>
    <w:rsid w:val="00207C09"/>
    <w:rsid w:val="00211305"/>
    <w:rsid w:val="00211332"/>
    <w:rsid w:val="00211BA6"/>
    <w:rsid w:val="002124CA"/>
    <w:rsid w:val="00212A5C"/>
    <w:rsid w:val="00212D4D"/>
    <w:rsid w:val="00212FA7"/>
    <w:rsid w:val="002135EA"/>
    <w:rsid w:val="002138E6"/>
    <w:rsid w:val="0021395C"/>
    <w:rsid w:val="002148FA"/>
    <w:rsid w:val="00214BDD"/>
    <w:rsid w:val="00214DA2"/>
    <w:rsid w:val="002151CD"/>
    <w:rsid w:val="002158A0"/>
    <w:rsid w:val="00215AED"/>
    <w:rsid w:val="00216285"/>
    <w:rsid w:val="002164D6"/>
    <w:rsid w:val="00216608"/>
    <w:rsid w:val="002167FD"/>
    <w:rsid w:val="0022124F"/>
    <w:rsid w:val="00221A68"/>
    <w:rsid w:val="00223305"/>
    <w:rsid w:val="002242E6"/>
    <w:rsid w:val="00224E7C"/>
    <w:rsid w:val="0022509A"/>
    <w:rsid w:val="00225B26"/>
    <w:rsid w:val="002270B7"/>
    <w:rsid w:val="0022783D"/>
    <w:rsid w:val="00230700"/>
    <w:rsid w:val="00230DDD"/>
    <w:rsid w:val="002318EB"/>
    <w:rsid w:val="0023307E"/>
    <w:rsid w:val="00233AC3"/>
    <w:rsid w:val="00234C13"/>
    <w:rsid w:val="00235082"/>
    <w:rsid w:val="00235628"/>
    <w:rsid w:val="00235921"/>
    <w:rsid w:val="00235E4C"/>
    <w:rsid w:val="00235EB5"/>
    <w:rsid w:val="00236648"/>
    <w:rsid w:val="002366EE"/>
    <w:rsid w:val="0023692C"/>
    <w:rsid w:val="00236A4E"/>
    <w:rsid w:val="00236C7D"/>
    <w:rsid w:val="00236DE9"/>
    <w:rsid w:val="0023726B"/>
    <w:rsid w:val="002401AC"/>
    <w:rsid w:val="00240495"/>
    <w:rsid w:val="0024398B"/>
    <w:rsid w:val="00243EA4"/>
    <w:rsid w:val="00244E4A"/>
    <w:rsid w:val="00245957"/>
    <w:rsid w:val="002469EE"/>
    <w:rsid w:val="0025020F"/>
    <w:rsid w:val="00250609"/>
    <w:rsid w:val="00252283"/>
    <w:rsid w:val="00253A23"/>
    <w:rsid w:val="002548A3"/>
    <w:rsid w:val="002548C6"/>
    <w:rsid w:val="00255470"/>
    <w:rsid w:val="00255AD7"/>
    <w:rsid w:val="00257559"/>
    <w:rsid w:val="00257D75"/>
    <w:rsid w:val="00257F75"/>
    <w:rsid w:val="00260041"/>
    <w:rsid w:val="002608ED"/>
    <w:rsid w:val="00261227"/>
    <w:rsid w:val="00261DFB"/>
    <w:rsid w:val="00261FA9"/>
    <w:rsid w:val="00262313"/>
    <w:rsid w:val="00262E49"/>
    <w:rsid w:val="00264168"/>
    <w:rsid w:val="00264800"/>
    <w:rsid w:val="0026493B"/>
    <w:rsid w:val="002649A2"/>
    <w:rsid w:val="00266A42"/>
    <w:rsid w:val="00267151"/>
    <w:rsid w:val="00270157"/>
    <w:rsid w:val="002706B8"/>
    <w:rsid w:val="002706CA"/>
    <w:rsid w:val="00270ECE"/>
    <w:rsid w:val="0027120B"/>
    <w:rsid w:val="00271D70"/>
    <w:rsid w:val="00271E5B"/>
    <w:rsid w:val="00272480"/>
    <w:rsid w:val="00272B1F"/>
    <w:rsid w:val="0027370D"/>
    <w:rsid w:val="002745A4"/>
    <w:rsid w:val="002745D3"/>
    <w:rsid w:val="00274658"/>
    <w:rsid w:val="002751BE"/>
    <w:rsid w:val="0027524F"/>
    <w:rsid w:val="0027560B"/>
    <w:rsid w:val="00275EBC"/>
    <w:rsid w:val="00276465"/>
    <w:rsid w:val="00277232"/>
    <w:rsid w:val="00277C17"/>
    <w:rsid w:val="002812C7"/>
    <w:rsid w:val="002824B9"/>
    <w:rsid w:val="00282A6B"/>
    <w:rsid w:val="00282C39"/>
    <w:rsid w:val="0028325E"/>
    <w:rsid w:val="00283544"/>
    <w:rsid w:val="0028487F"/>
    <w:rsid w:val="00284F85"/>
    <w:rsid w:val="0028584E"/>
    <w:rsid w:val="00286DED"/>
    <w:rsid w:val="002874BB"/>
    <w:rsid w:val="002876B9"/>
    <w:rsid w:val="0029014D"/>
    <w:rsid w:val="00290341"/>
    <w:rsid w:val="00291CD2"/>
    <w:rsid w:val="00293009"/>
    <w:rsid w:val="002944D9"/>
    <w:rsid w:val="00297844"/>
    <w:rsid w:val="00297BAE"/>
    <w:rsid w:val="002A2B07"/>
    <w:rsid w:val="002A32FA"/>
    <w:rsid w:val="002A3CFD"/>
    <w:rsid w:val="002A3DBD"/>
    <w:rsid w:val="002A48C9"/>
    <w:rsid w:val="002A524B"/>
    <w:rsid w:val="002A5B11"/>
    <w:rsid w:val="002A5BC5"/>
    <w:rsid w:val="002A7596"/>
    <w:rsid w:val="002A7715"/>
    <w:rsid w:val="002A7A06"/>
    <w:rsid w:val="002B00CA"/>
    <w:rsid w:val="002B1A9E"/>
    <w:rsid w:val="002B235F"/>
    <w:rsid w:val="002B2AA1"/>
    <w:rsid w:val="002B318C"/>
    <w:rsid w:val="002B38E6"/>
    <w:rsid w:val="002B3EF4"/>
    <w:rsid w:val="002B4A83"/>
    <w:rsid w:val="002B559C"/>
    <w:rsid w:val="002B57E0"/>
    <w:rsid w:val="002B5ED6"/>
    <w:rsid w:val="002B66AD"/>
    <w:rsid w:val="002B7195"/>
    <w:rsid w:val="002B719F"/>
    <w:rsid w:val="002C077D"/>
    <w:rsid w:val="002C1767"/>
    <w:rsid w:val="002C180E"/>
    <w:rsid w:val="002C1D05"/>
    <w:rsid w:val="002C38A9"/>
    <w:rsid w:val="002C4596"/>
    <w:rsid w:val="002C5042"/>
    <w:rsid w:val="002C637C"/>
    <w:rsid w:val="002C6708"/>
    <w:rsid w:val="002C6E8A"/>
    <w:rsid w:val="002D06D9"/>
    <w:rsid w:val="002D0A27"/>
    <w:rsid w:val="002D1C63"/>
    <w:rsid w:val="002D21BF"/>
    <w:rsid w:val="002D247D"/>
    <w:rsid w:val="002D312D"/>
    <w:rsid w:val="002D317D"/>
    <w:rsid w:val="002D37B8"/>
    <w:rsid w:val="002D450E"/>
    <w:rsid w:val="002D4A32"/>
    <w:rsid w:val="002D4D0D"/>
    <w:rsid w:val="002D5146"/>
    <w:rsid w:val="002D5650"/>
    <w:rsid w:val="002D6030"/>
    <w:rsid w:val="002E0B1B"/>
    <w:rsid w:val="002E0F03"/>
    <w:rsid w:val="002E31DB"/>
    <w:rsid w:val="002E3AF6"/>
    <w:rsid w:val="002E41BE"/>
    <w:rsid w:val="002E4468"/>
    <w:rsid w:val="002E5205"/>
    <w:rsid w:val="002E5522"/>
    <w:rsid w:val="002E5994"/>
    <w:rsid w:val="002E5DDE"/>
    <w:rsid w:val="002E6043"/>
    <w:rsid w:val="002E6117"/>
    <w:rsid w:val="002E6540"/>
    <w:rsid w:val="002E7A28"/>
    <w:rsid w:val="002F121C"/>
    <w:rsid w:val="002F1F43"/>
    <w:rsid w:val="002F28A9"/>
    <w:rsid w:val="002F2BDB"/>
    <w:rsid w:val="002F3966"/>
    <w:rsid w:val="002F3BD0"/>
    <w:rsid w:val="002F4694"/>
    <w:rsid w:val="002F4E52"/>
    <w:rsid w:val="002F5F2E"/>
    <w:rsid w:val="002F5F39"/>
    <w:rsid w:val="002F67ED"/>
    <w:rsid w:val="002F730F"/>
    <w:rsid w:val="00301D49"/>
    <w:rsid w:val="00302717"/>
    <w:rsid w:val="00302BE4"/>
    <w:rsid w:val="00302F3D"/>
    <w:rsid w:val="00303BB8"/>
    <w:rsid w:val="00304CDC"/>
    <w:rsid w:val="00304E7F"/>
    <w:rsid w:val="00304F62"/>
    <w:rsid w:val="0030547A"/>
    <w:rsid w:val="00305EB7"/>
    <w:rsid w:val="00305F54"/>
    <w:rsid w:val="00306A8A"/>
    <w:rsid w:val="00306CB3"/>
    <w:rsid w:val="00310608"/>
    <w:rsid w:val="003124EB"/>
    <w:rsid w:val="00313A97"/>
    <w:rsid w:val="00313AFD"/>
    <w:rsid w:val="003145EA"/>
    <w:rsid w:val="00315BA1"/>
    <w:rsid w:val="0031739B"/>
    <w:rsid w:val="0031743B"/>
    <w:rsid w:val="0031789C"/>
    <w:rsid w:val="00317A48"/>
    <w:rsid w:val="00317C02"/>
    <w:rsid w:val="00317E6C"/>
    <w:rsid w:val="00320024"/>
    <w:rsid w:val="003209F8"/>
    <w:rsid w:val="00321BBF"/>
    <w:rsid w:val="0032265A"/>
    <w:rsid w:val="0032303B"/>
    <w:rsid w:val="00323F22"/>
    <w:rsid w:val="00324CD9"/>
    <w:rsid w:val="003257AF"/>
    <w:rsid w:val="0032760D"/>
    <w:rsid w:val="00330DDF"/>
    <w:rsid w:val="00332C72"/>
    <w:rsid w:val="0033367D"/>
    <w:rsid w:val="00335D97"/>
    <w:rsid w:val="0033775C"/>
    <w:rsid w:val="00337855"/>
    <w:rsid w:val="00337C12"/>
    <w:rsid w:val="00337C19"/>
    <w:rsid w:val="00337C3D"/>
    <w:rsid w:val="00337DB1"/>
    <w:rsid w:val="00342FE5"/>
    <w:rsid w:val="00343606"/>
    <w:rsid w:val="00343C57"/>
    <w:rsid w:val="00343C9F"/>
    <w:rsid w:val="003442FE"/>
    <w:rsid w:val="0034542C"/>
    <w:rsid w:val="00346B66"/>
    <w:rsid w:val="00346E0B"/>
    <w:rsid w:val="00347682"/>
    <w:rsid w:val="003476A9"/>
    <w:rsid w:val="00347B5D"/>
    <w:rsid w:val="00350F4C"/>
    <w:rsid w:val="00350FD1"/>
    <w:rsid w:val="00351250"/>
    <w:rsid w:val="00352D50"/>
    <w:rsid w:val="00354289"/>
    <w:rsid w:val="00354DAE"/>
    <w:rsid w:val="0035549F"/>
    <w:rsid w:val="00356279"/>
    <w:rsid w:val="003563E5"/>
    <w:rsid w:val="003573FD"/>
    <w:rsid w:val="003606FC"/>
    <w:rsid w:val="00360FDF"/>
    <w:rsid w:val="003616C2"/>
    <w:rsid w:val="00361A6A"/>
    <w:rsid w:val="00362034"/>
    <w:rsid w:val="0036261E"/>
    <w:rsid w:val="003638C4"/>
    <w:rsid w:val="00363B40"/>
    <w:rsid w:val="00363E88"/>
    <w:rsid w:val="00364181"/>
    <w:rsid w:val="00364307"/>
    <w:rsid w:val="00365450"/>
    <w:rsid w:val="00365ACB"/>
    <w:rsid w:val="0036600E"/>
    <w:rsid w:val="003667AE"/>
    <w:rsid w:val="003675EB"/>
    <w:rsid w:val="00370388"/>
    <w:rsid w:val="00370B64"/>
    <w:rsid w:val="00370DF0"/>
    <w:rsid w:val="00371234"/>
    <w:rsid w:val="0037254F"/>
    <w:rsid w:val="00372FC9"/>
    <w:rsid w:val="00374007"/>
    <w:rsid w:val="00374491"/>
    <w:rsid w:val="00375087"/>
    <w:rsid w:val="003752D5"/>
    <w:rsid w:val="003765EE"/>
    <w:rsid w:val="00377801"/>
    <w:rsid w:val="00377A2D"/>
    <w:rsid w:val="00380395"/>
    <w:rsid w:val="0038144C"/>
    <w:rsid w:val="00381D93"/>
    <w:rsid w:val="00384DA2"/>
    <w:rsid w:val="00384EE1"/>
    <w:rsid w:val="00384F1C"/>
    <w:rsid w:val="00385444"/>
    <w:rsid w:val="00387E66"/>
    <w:rsid w:val="00387F95"/>
    <w:rsid w:val="003902DD"/>
    <w:rsid w:val="003902F0"/>
    <w:rsid w:val="003904C8"/>
    <w:rsid w:val="00392E21"/>
    <w:rsid w:val="0039304B"/>
    <w:rsid w:val="0039473E"/>
    <w:rsid w:val="0039491C"/>
    <w:rsid w:val="0039602D"/>
    <w:rsid w:val="003971E5"/>
    <w:rsid w:val="003A033E"/>
    <w:rsid w:val="003A1474"/>
    <w:rsid w:val="003A1533"/>
    <w:rsid w:val="003A2021"/>
    <w:rsid w:val="003A2885"/>
    <w:rsid w:val="003A33F7"/>
    <w:rsid w:val="003A36BE"/>
    <w:rsid w:val="003A4041"/>
    <w:rsid w:val="003A5E9D"/>
    <w:rsid w:val="003A6862"/>
    <w:rsid w:val="003A74F7"/>
    <w:rsid w:val="003A776C"/>
    <w:rsid w:val="003A7BEE"/>
    <w:rsid w:val="003B0E24"/>
    <w:rsid w:val="003B1819"/>
    <w:rsid w:val="003B1982"/>
    <w:rsid w:val="003B256A"/>
    <w:rsid w:val="003B26BD"/>
    <w:rsid w:val="003B2E4C"/>
    <w:rsid w:val="003B37EA"/>
    <w:rsid w:val="003B4CA0"/>
    <w:rsid w:val="003B6404"/>
    <w:rsid w:val="003B6512"/>
    <w:rsid w:val="003B702B"/>
    <w:rsid w:val="003B7EBF"/>
    <w:rsid w:val="003C01B1"/>
    <w:rsid w:val="003C06B4"/>
    <w:rsid w:val="003C112B"/>
    <w:rsid w:val="003C4421"/>
    <w:rsid w:val="003C530E"/>
    <w:rsid w:val="003C58D7"/>
    <w:rsid w:val="003C5C04"/>
    <w:rsid w:val="003C6527"/>
    <w:rsid w:val="003C660C"/>
    <w:rsid w:val="003C6F10"/>
    <w:rsid w:val="003C7206"/>
    <w:rsid w:val="003C784E"/>
    <w:rsid w:val="003C7FB8"/>
    <w:rsid w:val="003C7FBF"/>
    <w:rsid w:val="003D14E0"/>
    <w:rsid w:val="003D1885"/>
    <w:rsid w:val="003D1A8B"/>
    <w:rsid w:val="003D1F1E"/>
    <w:rsid w:val="003D216A"/>
    <w:rsid w:val="003D2693"/>
    <w:rsid w:val="003D3C7F"/>
    <w:rsid w:val="003D3CF1"/>
    <w:rsid w:val="003D3FBB"/>
    <w:rsid w:val="003D4BB7"/>
    <w:rsid w:val="003D58E0"/>
    <w:rsid w:val="003D5DCD"/>
    <w:rsid w:val="003D669A"/>
    <w:rsid w:val="003D68A6"/>
    <w:rsid w:val="003E0761"/>
    <w:rsid w:val="003E1077"/>
    <w:rsid w:val="003E1944"/>
    <w:rsid w:val="003E331B"/>
    <w:rsid w:val="003E3CE4"/>
    <w:rsid w:val="003E4E07"/>
    <w:rsid w:val="003E5D68"/>
    <w:rsid w:val="003E6071"/>
    <w:rsid w:val="003E6ACC"/>
    <w:rsid w:val="003F01DD"/>
    <w:rsid w:val="003F023C"/>
    <w:rsid w:val="003F0EB8"/>
    <w:rsid w:val="003F1456"/>
    <w:rsid w:val="003F2ABB"/>
    <w:rsid w:val="003F2D02"/>
    <w:rsid w:val="003F332F"/>
    <w:rsid w:val="003F76E2"/>
    <w:rsid w:val="00400C7D"/>
    <w:rsid w:val="0040165B"/>
    <w:rsid w:val="004019AE"/>
    <w:rsid w:val="00402310"/>
    <w:rsid w:val="00402571"/>
    <w:rsid w:val="00403580"/>
    <w:rsid w:val="0040372D"/>
    <w:rsid w:val="00403762"/>
    <w:rsid w:val="004037B6"/>
    <w:rsid w:val="0040602C"/>
    <w:rsid w:val="004110DE"/>
    <w:rsid w:val="00411192"/>
    <w:rsid w:val="0041154E"/>
    <w:rsid w:val="00412F1C"/>
    <w:rsid w:val="0041308C"/>
    <w:rsid w:val="0041391C"/>
    <w:rsid w:val="00413DBA"/>
    <w:rsid w:val="0041483D"/>
    <w:rsid w:val="00415272"/>
    <w:rsid w:val="0041588F"/>
    <w:rsid w:val="00415B75"/>
    <w:rsid w:val="00415C6D"/>
    <w:rsid w:val="00415D68"/>
    <w:rsid w:val="00416CC6"/>
    <w:rsid w:val="00416F85"/>
    <w:rsid w:val="00417D38"/>
    <w:rsid w:val="004204DA"/>
    <w:rsid w:val="00420AAF"/>
    <w:rsid w:val="00421BBF"/>
    <w:rsid w:val="00422292"/>
    <w:rsid w:val="0042263D"/>
    <w:rsid w:val="00423153"/>
    <w:rsid w:val="004238F0"/>
    <w:rsid w:val="0042539D"/>
    <w:rsid w:val="0042592F"/>
    <w:rsid w:val="00426731"/>
    <w:rsid w:val="00426773"/>
    <w:rsid w:val="00426CF2"/>
    <w:rsid w:val="00427C83"/>
    <w:rsid w:val="00427FCC"/>
    <w:rsid w:val="004315A2"/>
    <w:rsid w:val="00432BE8"/>
    <w:rsid w:val="00432D2C"/>
    <w:rsid w:val="004343EC"/>
    <w:rsid w:val="004352B7"/>
    <w:rsid w:val="004353E9"/>
    <w:rsid w:val="00436066"/>
    <w:rsid w:val="004364B8"/>
    <w:rsid w:val="00441498"/>
    <w:rsid w:val="00441787"/>
    <w:rsid w:val="00442546"/>
    <w:rsid w:val="00443888"/>
    <w:rsid w:val="0044388E"/>
    <w:rsid w:val="00443C9F"/>
    <w:rsid w:val="00443EDA"/>
    <w:rsid w:val="00443F79"/>
    <w:rsid w:val="004449FA"/>
    <w:rsid w:val="00446077"/>
    <w:rsid w:val="00446615"/>
    <w:rsid w:val="00447380"/>
    <w:rsid w:val="004477D9"/>
    <w:rsid w:val="00447C27"/>
    <w:rsid w:val="0045002C"/>
    <w:rsid w:val="0045012B"/>
    <w:rsid w:val="00451591"/>
    <w:rsid w:val="004515C2"/>
    <w:rsid w:val="00452075"/>
    <w:rsid w:val="004522E1"/>
    <w:rsid w:val="004524E1"/>
    <w:rsid w:val="004528FA"/>
    <w:rsid w:val="004537C0"/>
    <w:rsid w:val="00453C15"/>
    <w:rsid w:val="00453D50"/>
    <w:rsid w:val="004550D0"/>
    <w:rsid w:val="0045564D"/>
    <w:rsid w:val="00455D04"/>
    <w:rsid w:val="00455DAA"/>
    <w:rsid w:val="00456880"/>
    <w:rsid w:val="0045757E"/>
    <w:rsid w:val="00457DEF"/>
    <w:rsid w:val="004615CB"/>
    <w:rsid w:val="00461D03"/>
    <w:rsid w:val="0046222E"/>
    <w:rsid w:val="0046223B"/>
    <w:rsid w:val="00463B76"/>
    <w:rsid w:val="00464256"/>
    <w:rsid w:val="00464850"/>
    <w:rsid w:val="00464A71"/>
    <w:rsid w:val="004659BA"/>
    <w:rsid w:val="00466121"/>
    <w:rsid w:val="004678D3"/>
    <w:rsid w:val="0046797D"/>
    <w:rsid w:val="004701EE"/>
    <w:rsid w:val="004703BD"/>
    <w:rsid w:val="00470A7A"/>
    <w:rsid w:val="0047177C"/>
    <w:rsid w:val="0047373D"/>
    <w:rsid w:val="004745D0"/>
    <w:rsid w:val="004749A4"/>
    <w:rsid w:val="00474C94"/>
    <w:rsid w:val="004755C8"/>
    <w:rsid w:val="004764E6"/>
    <w:rsid w:val="004777AC"/>
    <w:rsid w:val="00477B56"/>
    <w:rsid w:val="00477F0E"/>
    <w:rsid w:val="00480A8D"/>
    <w:rsid w:val="0048152B"/>
    <w:rsid w:val="00484471"/>
    <w:rsid w:val="00484E5D"/>
    <w:rsid w:val="00486DF8"/>
    <w:rsid w:val="004878B7"/>
    <w:rsid w:val="00487B49"/>
    <w:rsid w:val="004904F1"/>
    <w:rsid w:val="0049052B"/>
    <w:rsid w:val="00490708"/>
    <w:rsid w:val="00492C35"/>
    <w:rsid w:val="00493947"/>
    <w:rsid w:val="004939A2"/>
    <w:rsid w:val="004979B3"/>
    <w:rsid w:val="004A0B48"/>
    <w:rsid w:val="004A1DAA"/>
    <w:rsid w:val="004A2240"/>
    <w:rsid w:val="004A2297"/>
    <w:rsid w:val="004A2375"/>
    <w:rsid w:val="004A243F"/>
    <w:rsid w:val="004A2A2D"/>
    <w:rsid w:val="004A2C61"/>
    <w:rsid w:val="004A2C9B"/>
    <w:rsid w:val="004A2F40"/>
    <w:rsid w:val="004A363B"/>
    <w:rsid w:val="004A3C4C"/>
    <w:rsid w:val="004A3E2D"/>
    <w:rsid w:val="004A3F26"/>
    <w:rsid w:val="004A48F5"/>
    <w:rsid w:val="004A49BD"/>
    <w:rsid w:val="004A5148"/>
    <w:rsid w:val="004A5273"/>
    <w:rsid w:val="004A5559"/>
    <w:rsid w:val="004A57E9"/>
    <w:rsid w:val="004A7413"/>
    <w:rsid w:val="004A7A84"/>
    <w:rsid w:val="004B0089"/>
    <w:rsid w:val="004B0ADA"/>
    <w:rsid w:val="004B0AED"/>
    <w:rsid w:val="004B1377"/>
    <w:rsid w:val="004B1E7F"/>
    <w:rsid w:val="004B4D1C"/>
    <w:rsid w:val="004B578A"/>
    <w:rsid w:val="004B5AEB"/>
    <w:rsid w:val="004C13C5"/>
    <w:rsid w:val="004C16D0"/>
    <w:rsid w:val="004C1B7A"/>
    <w:rsid w:val="004C1C32"/>
    <w:rsid w:val="004C27B0"/>
    <w:rsid w:val="004C2A15"/>
    <w:rsid w:val="004C2C3B"/>
    <w:rsid w:val="004C3BCA"/>
    <w:rsid w:val="004C417A"/>
    <w:rsid w:val="004C485A"/>
    <w:rsid w:val="004C4ABD"/>
    <w:rsid w:val="004C4B82"/>
    <w:rsid w:val="004C5112"/>
    <w:rsid w:val="004C75CD"/>
    <w:rsid w:val="004C7D47"/>
    <w:rsid w:val="004C7F72"/>
    <w:rsid w:val="004D222B"/>
    <w:rsid w:val="004D3012"/>
    <w:rsid w:val="004D4943"/>
    <w:rsid w:val="004D52D8"/>
    <w:rsid w:val="004D6062"/>
    <w:rsid w:val="004D661C"/>
    <w:rsid w:val="004D78CE"/>
    <w:rsid w:val="004D7ACC"/>
    <w:rsid w:val="004E0344"/>
    <w:rsid w:val="004E042D"/>
    <w:rsid w:val="004E24EA"/>
    <w:rsid w:val="004E3322"/>
    <w:rsid w:val="004E44C5"/>
    <w:rsid w:val="004E7120"/>
    <w:rsid w:val="004E7FF8"/>
    <w:rsid w:val="004F125D"/>
    <w:rsid w:val="004F1328"/>
    <w:rsid w:val="004F1912"/>
    <w:rsid w:val="004F29F3"/>
    <w:rsid w:val="004F2FE4"/>
    <w:rsid w:val="004F3D28"/>
    <w:rsid w:val="004F3F14"/>
    <w:rsid w:val="004F402B"/>
    <w:rsid w:val="004F5568"/>
    <w:rsid w:val="004F5984"/>
    <w:rsid w:val="004F5A95"/>
    <w:rsid w:val="004F5B57"/>
    <w:rsid w:val="004F672C"/>
    <w:rsid w:val="004F67AD"/>
    <w:rsid w:val="004F6B9A"/>
    <w:rsid w:val="00500886"/>
    <w:rsid w:val="005010B3"/>
    <w:rsid w:val="00501C6D"/>
    <w:rsid w:val="00501D24"/>
    <w:rsid w:val="00501D5C"/>
    <w:rsid w:val="00503717"/>
    <w:rsid w:val="00503907"/>
    <w:rsid w:val="00503D78"/>
    <w:rsid w:val="00504F01"/>
    <w:rsid w:val="00505C85"/>
    <w:rsid w:val="005123FD"/>
    <w:rsid w:val="005128FA"/>
    <w:rsid w:val="00512B27"/>
    <w:rsid w:val="00512EDC"/>
    <w:rsid w:val="00513A82"/>
    <w:rsid w:val="00514D47"/>
    <w:rsid w:val="005153C1"/>
    <w:rsid w:val="0051571C"/>
    <w:rsid w:val="00515F99"/>
    <w:rsid w:val="00516745"/>
    <w:rsid w:val="0051709E"/>
    <w:rsid w:val="0051714C"/>
    <w:rsid w:val="005179E0"/>
    <w:rsid w:val="0052034E"/>
    <w:rsid w:val="00521903"/>
    <w:rsid w:val="00521F2F"/>
    <w:rsid w:val="00523FF2"/>
    <w:rsid w:val="0052493F"/>
    <w:rsid w:val="00524BA8"/>
    <w:rsid w:val="00526D86"/>
    <w:rsid w:val="005313CC"/>
    <w:rsid w:val="00531867"/>
    <w:rsid w:val="00532002"/>
    <w:rsid w:val="00532E14"/>
    <w:rsid w:val="0053305C"/>
    <w:rsid w:val="00533A1E"/>
    <w:rsid w:val="00533BC3"/>
    <w:rsid w:val="005370DA"/>
    <w:rsid w:val="00537248"/>
    <w:rsid w:val="00543A4C"/>
    <w:rsid w:val="0054402B"/>
    <w:rsid w:val="0054409E"/>
    <w:rsid w:val="00545805"/>
    <w:rsid w:val="005458D8"/>
    <w:rsid w:val="00545CF8"/>
    <w:rsid w:val="0054628F"/>
    <w:rsid w:val="00550C85"/>
    <w:rsid w:val="00550CA6"/>
    <w:rsid w:val="00551CE7"/>
    <w:rsid w:val="00552338"/>
    <w:rsid w:val="00552917"/>
    <w:rsid w:val="005532FC"/>
    <w:rsid w:val="00553797"/>
    <w:rsid w:val="00553C13"/>
    <w:rsid w:val="00554795"/>
    <w:rsid w:val="0055511F"/>
    <w:rsid w:val="00555738"/>
    <w:rsid w:val="0055596E"/>
    <w:rsid w:val="00555E3B"/>
    <w:rsid w:val="00556970"/>
    <w:rsid w:val="00556975"/>
    <w:rsid w:val="005603D2"/>
    <w:rsid w:val="0056053A"/>
    <w:rsid w:val="005607DC"/>
    <w:rsid w:val="00560969"/>
    <w:rsid w:val="00561049"/>
    <w:rsid w:val="005621F1"/>
    <w:rsid w:val="00563BB4"/>
    <w:rsid w:val="00563C30"/>
    <w:rsid w:val="00563FEE"/>
    <w:rsid w:val="005647F2"/>
    <w:rsid w:val="00564A27"/>
    <w:rsid w:val="00564F2B"/>
    <w:rsid w:val="0056541D"/>
    <w:rsid w:val="0056547F"/>
    <w:rsid w:val="00565903"/>
    <w:rsid w:val="00565B6B"/>
    <w:rsid w:val="00565DF4"/>
    <w:rsid w:val="00565EB0"/>
    <w:rsid w:val="00566DC7"/>
    <w:rsid w:val="00567548"/>
    <w:rsid w:val="0057155E"/>
    <w:rsid w:val="00571572"/>
    <w:rsid w:val="00571792"/>
    <w:rsid w:val="005719F1"/>
    <w:rsid w:val="0057497F"/>
    <w:rsid w:val="005753E7"/>
    <w:rsid w:val="00576131"/>
    <w:rsid w:val="00577B9E"/>
    <w:rsid w:val="00580C76"/>
    <w:rsid w:val="005823B4"/>
    <w:rsid w:val="00582AA1"/>
    <w:rsid w:val="0058330B"/>
    <w:rsid w:val="00583799"/>
    <w:rsid w:val="005859EC"/>
    <w:rsid w:val="00585CB8"/>
    <w:rsid w:val="00587274"/>
    <w:rsid w:val="0059015B"/>
    <w:rsid w:val="005913CE"/>
    <w:rsid w:val="00591631"/>
    <w:rsid w:val="0059176F"/>
    <w:rsid w:val="005925A3"/>
    <w:rsid w:val="0059344D"/>
    <w:rsid w:val="00593FC1"/>
    <w:rsid w:val="005946B2"/>
    <w:rsid w:val="00596FD5"/>
    <w:rsid w:val="00597EC2"/>
    <w:rsid w:val="005A0458"/>
    <w:rsid w:val="005A0D5E"/>
    <w:rsid w:val="005A206E"/>
    <w:rsid w:val="005A2A37"/>
    <w:rsid w:val="005A3566"/>
    <w:rsid w:val="005A4F2E"/>
    <w:rsid w:val="005A5BC6"/>
    <w:rsid w:val="005A6905"/>
    <w:rsid w:val="005A6C0B"/>
    <w:rsid w:val="005A7D29"/>
    <w:rsid w:val="005B0E15"/>
    <w:rsid w:val="005B145B"/>
    <w:rsid w:val="005B244F"/>
    <w:rsid w:val="005B2FC7"/>
    <w:rsid w:val="005B3751"/>
    <w:rsid w:val="005B46B5"/>
    <w:rsid w:val="005B5202"/>
    <w:rsid w:val="005B5DD1"/>
    <w:rsid w:val="005B62A8"/>
    <w:rsid w:val="005B6AA9"/>
    <w:rsid w:val="005C0D4D"/>
    <w:rsid w:val="005C1E60"/>
    <w:rsid w:val="005C2AD2"/>
    <w:rsid w:val="005C3236"/>
    <w:rsid w:val="005C3A4B"/>
    <w:rsid w:val="005C3D79"/>
    <w:rsid w:val="005C3E06"/>
    <w:rsid w:val="005C4A1D"/>
    <w:rsid w:val="005C5674"/>
    <w:rsid w:val="005C5B1F"/>
    <w:rsid w:val="005C5C34"/>
    <w:rsid w:val="005D007D"/>
    <w:rsid w:val="005D0FB0"/>
    <w:rsid w:val="005D1384"/>
    <w:rsid w:val="005D1B3B"/>
    <w:rsid w:val="005D1E0B"/>
    <w:rsid w:val="005D1E2D"/>
    <w:rsid w:val="005D3921"/>
    <w:rsid w:val="005D4E6A"/>
    <w:rsid w:val="005D607C"/>
    <w:rsid w:val="005D70D3"/>
    <w:rsid w:val="005D72B7"/>
    <w:rsid w:val="005E1515"/>
    <w:rsid w:val="005E161E"/>
    <w:rsid w:val="005E1A17"/>
    <w:rsid w:val="005E1DD2"/>
    <w:rsid w:val="005E2605"/>
    <w:rsid w:val="005E2F2D"/>
    <w:rsid w:val="005E4693"/>
    <w:rsid w:val="005E4E83"/>
    <w:rsid w:val="005E747B"/>
    <w:rsid w:val="005E7671"/>
    <w:rsid w:val="005E7DAE"/>
    <w:rsid w:val="005E7DC7"/>
    <w:rsid w:val="005F1821"/>
    <w:rsid w:val="005F1DC1"/>
    <w:rsid w:val="005F1DC2"/>
    <w:rsid w:val="005F1F83"/>
    <w:rsid w:val="005F25B3"/>
    <w:rsid w:val="005F3FF0"/>
    <w:rsid w:val="005F410D"/>
    <w:rsid w:val="005F4383"/>
    <w:rsid w:val="005F43FB"/>
    <w:rsid w:val="005F4646"/>
    <w:rsid w:val="005F466C"/>
    <w:rsid w:val="005F6219"/>
    <w:rsid w:val="005F6259"/>
    <w:rsid w:val="005F782B"/>
    <w:rsid w:val="00601198"/>
    <w:rsid w:val="00603275"/>
    <w:rsid w:val="006050B8"/>
    <w:rsid w:val="0060578A"/>
    <w:rsid w:val="00605C37"/>
    <w:rsid w:val="00606094"/>
    <w:rsid w:val="00606A28"/>
    <w:rsid w:val="0060739A"/>
    <w:rsid w:val="006077A0"/>
    <w:rsid w:val="0061159F"/>
    <w:rsid w:val="00611A43"/>
    <w:rsid w:val="0061266F"/>
    <w:rsid w:val="006132C7"/>
    <w:rsid w:val="00614F15"/>
    <w:rsid w:val="00615015"/>
    <w:rsid w:val="0061543B"/>
    <w:rsid w:val="00615460"/>
    <w:rsid w:val="00616070"/>
    <w:rsid w:val="006167C3"/>
    <w:rsid w:val="00617677"/>
    <w:rsid w:val="0062007E"/>
    <w:rsid w:val="00621CB1"/>
    <w:rsid w:val="006223A7"/>
    <w:rsid w:val="006234AA"/>
    <w:rsid w:val="0062354C"/>
    <w:rsid w:val="00623684"/>
    <w:rsid w:val="006240FF"/>
    <w:rsid w:val="006244E3"/>
    <w:rsid w:val="00624606"/>
    <w:rsid w:val="00626C8A"/>
    <w:rsid w:val="00631CEE"/>
    <w:rsid w:val="0063245D"/>
    <w:rsid w:val="00632C95"/>
    <w:rsid w:val="00633EB7"/>
    <w:rsid w:val="00634151"/>
    <w:rsid w:val="00634D8D"/>
    <w:rsid w:val="006358F1"/>
    <w:rsid w:val="00635971"/>
    <w:rsid w:val="006368DC"/>
    <w:rsid w:val="00636B72"/>
    <w:rsid w:val="00636B83"/>
    <w:rsid w:val="00636F0B"/>
    <w:rsid w:val="006370C7"/>
    <w:rsid w:val="0064049C"/>
    <w:rsid w:val="006425FD"/>
    <w:rsid w:val="006435D8"/>
    <w:rsid w:val="00643A49"/>
    <w:rsid w:val="00644D34"/>
    <w:rsid w:val="0064522E"/>
    <w:rsid w:val="00645C07"/>
    <w:rsid w:val="00646169"/>
    <w:rsid w:val="006462DD"/>
    <w:rsid w:val="0064685A"/>
    <w:rsid w:val="00646945"/>
    <w:rsid w:val="00647BD8"/>
    <w:rsid w:val="00650169"/>
    <w:rsid w:val="006503A1"/>
    <w:rsid w:val="006519E9"/>
    <w:rsid w:val="00651FDF"/>
    <w:rsid w:val="0065208D"/>
    <w:rsid w:val="00652A84"/>
    <w:rsid w:val="00652BDA"/>
    <w:rsid w:val="00654127"/>
    <w:rsid w:val="006554F1"/>
    <w:rsid w:val="0065586C"/>
    <w:rsid w:val="00655949"/>
    <w:rsid w:val="006568A9"/>
    <w:rsid w:val="00656B57"/>
    <w:rsid w:val="00656BC1"/>
    <w:rsid w:val="006570E3"/>
    <w:rsid w:val="006572BC"/>
    <w:rsid w:val="00657ED6"/>
    <w:rsid w:val="0066010B"/>
    <w:rsid w:val="00660462"/>
    <w:rsid w:val="006615ED"/>
    <w:rsid w:val="006616C4"/>
    <w:rsid w:val="0066219D"/>
    <w:rsid w:val="00663622"/>
    <w:rsid w:val="00663854"/>
    <w:rsid w:val="0066385E"/>
    <w:rsid w:val="0066417A"/>
    <w:rsid w:val="00664B6F"/>
    <w:rsid w:val="00665599"/>
    <w:rsid w:val="00665634"/>
    <w:rsid w:val="00665DAE"/>
    <w:rsid w:val="00666156"/>
    <w:rsid w:val="00666494"/>
    <w:rsid w:val="00666F0F"/>
    <w:rsid w:val="006701BA"/>
    <w:rsid w:val="006711FC"/>
    <w:rsid w:val="00671D23"/>
    <w:rsid w:val="006736B2"/>
    <w:rsid w:val="00673C91"/>
    <w:rsid w:val="0067440D"/>
    <w:rsid w:val="0067455A"/>
    <w:rsid w:val="00674C33"/>
    <w:rsid w:val="006755E5"/>
    <w:rsid w:val="00675BEE"/>
    <w:rsid w:val="00676586"/>
    <w:rsid w:val="0067678A"/>
    <w:rsid w:val="00676D97"/>
    <w:rsid w:val="00677B6F"/>
    <w:rsid w:val="00680111"/>
    <w:rsid w:val="00680576"/>
    <w:rsid w:val="0068064F"/>
    <w:rsid w:val="0068075F"/>
    <w:rsid w:val="00680784"/>
    <w:rsid w:val="006811BA"/>
    <w:rsid w:val="006816CB"/>
    <w:rsid w:val="00681BB9"/>
    <w:rsid w:val="00682A2D"/>
    <w:rsid w:val="00682D24"/>
    <w:rsid w:val="00683B16"/>
    <w:rsid w:val="00685923"/>
    <w:rsid w:val="00685F02"/>
    <w:rsid w:val="00686E33"/>
    <w:rsid w:val="00687A8C"/>
    <w:rsid w:val="00691282"/>
    <w:rsid w:val="0069165D"/>
    <w:rsid w:val="00691D74"/>
    <w:rsid w:val="00692BBF"/>
    <w:rsid w:val="006952BA"/>
    <w:rsid w:val="0069575A"/>
    <w:rsid w:val="006969B2"/>
    <w:rsid w:val="00696DCD"/>
    <w:rsid w:val="00696F62"/>
    <w:rsid w:val="006977F5"/>
    <w:rsid w:val="006A1339"/>
    <w:rsid w:val="006A3757"/>
    <w:rsid w:val="006A475C"/>
    <w:rsid w:val="006A47D3"/>
    <w:rsid w:val="006A48C5"/>
    <w:rsid w:val="006A6145"/>
    <w:rsid w:val="006A6152"/>
    <w:rsid w:val="006B00FF"/>
    <w:rsid w:val="006B143B"/>
    <w:rsid w:val="006B293D"/>
    <w:rsid w:val="006B2AD5"/>
    <w:rsid w:val="006B2E5E"/>
    <w:rsid w:val="006B33CB"/>
    <w:rsid w:val="006B4E70"/>
    <w:rsid w:val="006B611E"/>
    <w:rsid w:val="006B64A6"/>
    <w:rsid w:val="006B6624"/>
    <w:rsid w:val="006B692F"/>
    <w:rsid w:val="006B6B81"/>
    <w:rsid w:val="006B7644"/>
    <w:rsid w:val="006C0AD2"/>
    <w:rsid w:val="006C1ADD"/>
    <w:rsid w:val="006C2911"/>
    <w:rsid w:val="006C2E6B"/>
    <w:rsid w:val="006C314E"/>
    <w:rsid w:val="006C3224"/>
    <w:rsid w:val="006C33D9"/>
    <w:rsid w:val="006C36CE"/>
    <w:rsid w:val="006C38E7"/>
    <w:rsid w:val="006C39D1"/>
    <w:rsid w:val="006C46C7"/>
    <w:rsid w:val="006C5187"/>
    <w:rsid w:val="006C5224"/>
    <w:rsid w:val="006C57F5"/>
    <w:rsid w:val="006C5937"/>
    <w:rsid w:val="006C6DF1"/>
    <w:rsid w:val="006C7575"/>
    <w:rsid w:val="006C7672"/>
    <w:rsid w:val="006C7BBE"/>
    <w:rsid w:val="006D0CAD"/>
    <w:rsid w:val="006D109D"/>
    <w:rsid w:val="006D1522"/>
    <w:rsid w:val="006D218C"/>
    <w:rsid w:val="006D3595"/>
    <w:rsid w:val="006D38A4"/>
    <w:rsid w:val="006D4730"/>
    <w:rsid w:val="006D60F7"/>
    <w:rsid w:val="006D621B"/>
    <w:rsid w:val="006D7AD8"/>
    <w:rsid w:val="006D7E4B"/>
    <w:rsid w:val="006E0416"/>
    <w:rsid w:val="006E061E"/>
    <w:rsid w:val="006E11A2"/>
    <w:rsid w:val="006E19C3"/>
    <w:rsid w:val="006E2C67"/>
    <w:rsid w:val="006E30EB"/>
    <w:rsid w:val="006E512D"/>
    <w:rsid w:val="006E5376"/>
    <w:rsid w:val="006E7BD2"/>
    <w:rsid w:val="006E7EF8"/>
    <w:rsid w:val="006F1223"/>
    <w:rsid w:val="006F1AFF"/>
    <w:rsid w:val="006F1CA7"/>
    <w:rsid w:val="006F37A4"/>
    <w:rsid w:val="006F37AE"/>
    <w:rsid w:val="006F3B5E"/>
    <w:rsid w:val="006F42F5"/>
    <w:rsid w:val="006F55B8"/>
    <w:rsid w:val="006F5AFF"/>
    <w:rsid w:val="006F664B"/>
    <w:rsid w:val="006F7570"/>
    <w:rsid w:val="006F7705"/>
    <w:rsid w:val="0070097A"/>
    <w:rsid w:val="007018DC"/>
    <w:rsid w:val="0070464A"/>
    <w:rsid w:val="00704EFC"/>
    <w:rsid w:val="007059A7"/>
    <w:rsid w:val="00706D32"/>
    <w:rsid w:val="007072CC"/>
    <w:rsid w:val="00707E30"/>
    <w:rsid w:val="00710381"/>
    <w:rsid w:val="00710693"/>
    <w:rsid w:val="00710A8A"/>
    <w:rsid w:val="0071190D"/>
    <w:rsid w:val="0071199A"/>
    <w:rsid w:val="00711F74"/>
    <w:rsid w:val="00712917"/>
    <w:rsid w:val="00713170"/>
    <w:rsid w:val="00713B0E"/>
    <w:rsid w:val="00714110"/>
    <w:rsid w:val="00714A45"/>
    <w:rsid w:val="0071572D"/>
    <w:rsid w:val="00720196"/>
    <w:rsid w:val="00720C35"/>
    <w:rsid w:val="007225F2"/>
    <w:rsid w:val="00722AE2"/>
    <w:rsid w:val="00723A75"/>
    <w:rsid w:val="007240CF"/>
    <w:rsid w:val="00724243"/>
    <w:rsid w:val="007244D6"/>
    <w:rsid w:val="00725328"/>
    <w:rsid w:val="00725B24"/>
    <w:rsid w:val="00725E7F"/>
    <w:rsid w:val="00726057"/>
    <w:rsid w:val="00726F91"/>
    <w:rsid w:val="00731176"/>
    <w:rsid w:val="00731E02"/>
    <w:rsid w:val="00731E29"/>
    <w:rsid w:val="00734538"/>
    <w:rsid w:val="007347CB"/>
    <w:rsid w:val="00734E73"/>
    <w:rsid w:val="00734F19"/>
    <w:rsid w:val="00735E67"/>
    <w:rsid w:val="00735FA6"/>
    <w:rsid w:val="00737E63"/>
    <w:rsid w:val="0074028F"/>
    <w:rsid w:val="00740460"/>
    <w:rsid w:val="00741462"/>
    <w:rsid w:val="00742633"/>
    <w:rsid w:val="0074322A"/>
    <w:rsid w:val="00744D9F"/>
    <w:rsid w:val="00745AE2"/>
    <w:rsid w:val="00745F44"/>
    <w:rsid w:val="0074613D"/>
    <w:rsid w:val="00746573"/>
    <w:rsid w:val="0074772B"/>
    <w:rsid w:val="0075115E"/>
    <w:rsid w:val="007511E6"/>
    <w:rsid w:val="007516D9"/>
    <w:rsid w:val="00752DF0"/>
    <w:rsid w:val="00752F30"/>
    <w:rsid w:val="007535CA"/>
    <w:rsid w:val="0075378D"/>
    <w:rsid w:val="00755066"/>
    <w:rsid w:val="007550EA"/>
    <w:rsid w:val="007555C9"/>
    <w:rsid w:val="007557AE"/>
    <w:rsid w:val="0075644C"/>
    <w:rsid w:val="0075688D"/>
    <w:rsid w:val="007573DF"/>
    <w:rsid w:val="00760870"/>
    <w:rsid w:val="00760CD4"/>
    <w:rsid w:val="00760E17"/>
    <w:rsid w:val="007610A8"/>
    <w:rsid w:val="007613A5"/>
    <w:rsid w:val="0076182C"/>
    <w:rsid w:val="00762243"/>
    <w:rsid w:val="00763BDC"/>
    <w:rsid w:val="00763FCF"/>
    <w:rsid w:val="00764360"/>
    <w:rsid w:val="00764A62"/>
    <w:rsid w:val="007664CC"/>
    <w:rsid w:val="00766A1D"/>
    <w:rsid w:val="00766C32"/>
    <w:rsid w:val="007670A4"/>
    <w:rsid w:val="00767337"/>
    <w:rsid w:val="00770FDE"/>
    <w:rsid w:val="00772096"/>
    <w:rsid w:val="007730FA"/>
    <w:rsid w:val="007741EC"/>
    <w:rsid w:val="00774F1D"/>
    <w:rsid w:val="0077608E"/>
    <w:rsid w:val="00776A73"/>
    <w:rsid w:val="00776B11"/>
    <w:rsid w:val="00776EB9"/>
    <w:rsid w:val="00777628"/>
    <w:rsid w:val="007801CC"/>
    <w:rsid w:val="0078020E"/>
    <w:rsid w:val="0078097C"/>
    <w:rsid w:val="00782CC4"/>
    <w:rsid w:val="0078303E"/>
    <w:rsid w:val="00785F03"/>
    <w:rsid w:val="007862FD"/>
    <w:rsid w:val="00786887"/>
    <w:rsid w:val="007869E6"/>
    <w:rsid w:val="00787986"/>
    <w:rsid w:val="00790010"/>
    <w:rsid w:val="00790075"/>
    <w:rsid w:val="00790250"/>
    <w:rsid w:val="0079068B"/>
    <w:rsid w:val="00790BA4"/>
    <w:rsid w:val="0079124B"/>
    <w:rsid w:val="007912D6"/>
    <w:rsid w:val="007914A2"/>
    <w:rsid w:val="0079239D"/>
    <w:rsid w:val="007938A5"/>
    <w:rsid w:val="00793D0A"/>
    <w:rsid w:val="007946F1"/>
    <w:rsid w:val="007950E7"/>
    <w:rsid w:val="00795ABF"/>
    <w:rsid w:val="00795E78"/>
    <w:rsid w:val="00796C01"/>
    <w:rsid w:val="007A0470"/>
    <w:rsid w:val="007A0ADE"/>
    <w:rsid w:val="007A10A1"/>
    <w:rsid w:val="007A14A9"/>
    <w:rsid w:val="007A2C59"/>
    <w:rsid w:val="007A30E5"/>
    <w:rsid w:val="007A425C"/>
    <w:rsid w:val="007A44F2"/>
    <w:rsid w:val="007A5476"/>
    <w:rsid w:val="007A6D89"/>
    <w:rsid w:val="007B136D"/>
    <w:rsid w:val="007B148E"/>
    <w:rsid w:val="007B1B15"/>
    <w:rsid w:val="007B2743"/>
    <w:rsid w:val="007B46EB"/>
    <w:rsid w:val="007B506B"/>
    <w:rsid w:val="007B5BD0"/>
    <w:rsid w:val="007B7EC6"/>
    <w:rsid w:val="007C0D2C"/>
    <w:rsid w:val="007C1399"/>
    <w:rsid w:val="007C1B72"/>
    <w:rsid w:val="007C26AE"/>
    <w:rsid w:val="007C2720"/>
    <w:rsid w:val="007C31B5"/>
    <w:rsid w:val="007C503A"/>
    <w:rsid w:val="007C5196"/>
    <w:rsid w:val="007C5A28"/>
    <w:rsid w:val="007C5EC2"/>
    <w:rsid w:val="007C65EA"/>
    <w:rsid w:val="007C673B"/>
    <w:rsid w:val="007C748C"/>
    <w:rsid w:val="007C77BC"/>
    <w:rsid w:val="007D086E"/>
    <w:rsid w:val="007D13BB"/>
    <w:rsid w:val="007D17BE"/>
    <w:rsid w:val="007D1EF7"/>
    <w:rsid w:val="007D3FF0"/>
    <w:rsid w:val="007D5522"/>
    <w:rsid w:val="007D5626"/>
    <w:rsid w:val="007D5FD0"/>
    <w:rsid w:val="007D6195"/>
    <w:rsid w:val="007E07E5"/>
    <w:rsid w:val="007E0E79"/>
    <w:rsid w:val="007E2CF1"/>
    <w:rsid w:val="007E5930"/>
    <w:rsid w:val="007E609A"/>
    <w:rsid w:val="007E6B08"/>
    <w:rsid w:val="007E6B4A"/>
    <w:rsid w:val="007E7205"/>
    <w:rsid w:val="007E76B6"/>
    <w:rsid w:val="007F0030"/>
    <w:rsid w:val="007F0BA3"/>
    <w:rsid w:val="007F132A"/>
    <w:rsid w:val="007F16F3"/>
    <w:rsid w:val="007F1E2D"/>
    <w:rsid w:val="007F1F1F"/>
    <w:rsid w:val="007F23BA"/>
    <w:rsid w:val="007F494F"/>
    <w:rsid w:val="007F4F19"/>
    <w:rsid w:val="007F5434"/>
    <w:rsid w:val="007F5FEB"/>
    <w:rsid w:val="007F6725"/>
    <w:rsid w:val="007F7237"/>
    <w:rsid w:val="007F7E40"/>
    <w:rsid w:val="00800B2B"/>
    <w:rsid w:val="008019F1"/>
    <w:rsid w:val="00801A99"/>
    <w:rsid w:val="00802128"/>
    <w:rsid w:val="00803633"/>
    <w:rsid w:val="0080403D"/>
    <w:rsid w:val="008041E8"/>
    <w:rsid w:val="008052DD"/>
    <w:rsid w:val="00806564"/>
    <w:rsid w:val="008103BC"/>
    <w:rsid w:val="0081069F"/>
    <w:rsid w:val="008106B2"/>
    <w:rsid w:val="00810C04"/>
    <w:rsid w:val="008113E2"/>
    <w:rsid w:val="00811B86"/>
    <w:rsid w:val="0081214C"/>
    <w:rsid w:val="0081219D"/>
    <w:rsid w:val="0081244F"/>
    <w:rsid w:val="00812860"/>
    <w:rsid w:val="00812E58"/>
    <w:rsid w:val="00813E6C"/>
    <w:rsid w:val="00814342"/>
    <w:rsid w:val="008145DD"/>
    <w:rsid w:val="00814953"/>
    <w:rsid w:val="0081548D"/>
    <w:rsid w:val="00816000"/>
    <w:rsid w:val="00816122"/>
    <w:rsid w:val="008169C1"/>
    <w:rsid w:val="008216EF"/>
    <w:rsid w:val="00821C90"/>
    <w:rsid w:val="00821F56"/>
    <w:rsid w:val="00822834"/>
    <w:rsid w:val="00822F13"/>
    <w:rsid w:val="00822F51"/>
    <w:rsid w:val="00823BEC"/>
    <w:rsid w:val="00826D02"/>
    <w:rsid w:val="0083162D"/>
    <w:rsid w:val="0083249B"/>
    <w:rsid w:val="00832574"/>
    <w:rsid w:val="00837039"/>
    <w:rsid w:val="00837D6D"/>
    <w:rsid w:val="008407F8"/>
    <w:rsid w:val="0084097C"/>
    <w:rsid w:val="00840B1F"/>
    <w:rsid w:val="00842F67"/>
    <w:rsid w:val="0084426A"/>
    <w:rsid w:val="00844BC3"/>
    <w:rsid w:val="00844D44"/>
    <w:rsid w:val="008453B2"/>
    <w:rsid w:val="008461E0"/>
    <w:rsid w:val="00847D8F"/>
    <w:rsid w:val="00847F52"/>
    <w:rsid w:val="00851051"/>
    <w:rsid w:val="0085243A"/>
    <w:rsid w:val="00853BA1"/>
    <w:rsid w:val="00854E9B"/>
    <w:rsid w:val="008561C2"/>
    <w:rsid w:val="008574FE"/>
    <w:rsid w:val="00857C9D"/>
    <w:rsid w:val="00861D2D"/>
    <w:rsid w:val="00862E63"/>
    <w:rsid w:val="0086324C"/>
    <w:rsid w:val="008638CA"/>
    <w:rsid w:val="00863DB3"/>
    <w:rsid w:val="0086444C"/>
    <w:rsid w:val="008655B9"/>
    <w:rsid w:val="008664D3"/>
    <w:rsid w:val="00866B82"/>
    <w:rsid w:val="00866EF6"/>
    <w:rsid w:val="00867E00"/>
    <w:rsid w:val="0087108A"/>
    <w:rsid w:val="008713AB"/>
    <w:rsid w:val="00871613"/>
    <w:rsid w:val="00871D48"/>
    <w:rsid w:val="008735FE"/>
    <w:rsid w:val="00873668"/>
    <w:rsid w:val="00874541"/>
    <w:rsid w:val="008746E1"/>
    <w:rsid w:val="00874DA2"/>
    <w:rsid w:val="0087666A"/>
    <w:rsid w:val="008773FA"/>
    <w:rsid w:val="00877F18"/>
    <w:rsid w:val="00877FF7"/>
    <w:rsid w:val="00880476"/>
    <w:rsid w:val="00881716"/>
    <w:rsid w:val="00881972"/>
    <w:rsid w:val="00882F00"/>
    <w:rsid w:val="00883BF3"/>
    <w:rsid w:val="00883FB3"/>
    <w:rsid w:val="0088542C"/>
    <w:rsid w:val="00885571"/>
    <w:rsid w:val="008860FF"/>
    <w:rsid w:val="008861E4"/>
    <w:rsid w:val="008870DD"/>
    <w:rsid w:val="0088750B"/>
    <w:rsid w:val="00887F2F"/>
    <w:rsid w:val="0089057C"/>
    <w:rsid w:val="00890633"/>
    <w:rsid w:val="00890A60"/>
    <w:rsid w:val="00890EA8"/>
    <w:rsid w:val="00891489"/>
    <w:rsid w:val="00892402"/>
    <w:rsid w:val="00892571"/>
    <w:rsid w:val="0089259F"/>
    <w:rsid w:val="00892BA7"/>
    <w:rsid w:val="00892DAD"/>
    <w:rsid w:val="0089376F"/>
    <w:rsid w:val="00893907"/>
    <w:rsid w:val="00893B4E"/>
    <w:rsid w:val="00894E49"/>
    <w:rsid w:val="00895894"/>
    <w:rsid w:val="0089589D"/>
    <w:rsid w:val="008962FD"/>
    <w:rsid w:val="00896964"/>
    <w:rsid w:val="00896D9A"/>
    <w:rsid w:val="00897446"/>
    <w:rsid w:val="00897B5A"/>
    <w:rsid w:val="008A27C0"/>
    <w:rsid w:val="008A4F9D"/>
    <w:rsid w:val="008A5631"/>
    <w:rsid w:val="008A5C56"/>
    <w:rsid w:val="008A62EE"/>
    <w:rsid w:val="008A719B"/>
    <w:rsid w:val="008A7CCC"/>
    <w:rsid w:val="008B0A76"/>
    <w:rsid w:val="008B1430"/>
    <w:rsid w:val="008B15BA"/>
    <w:rsid w:val="008B18C4"/>
    <w:rsid w:val="008B2263"/>
    <w:rsid w:val="008B49B1"/>
    <w:rsid w:val="008B5046"/>
    <w:rsid w:val="008B5AAC"/>
    <w:rsid w:val="008B60B4"/>
    <w:rsid w:val="008B71D8"/>
    <w:rsid w:val="008B7CF1"/>
    <w:rsid w:val="008B7D8B"/>
    <w:rsid w:val="008C0035"/>
    <w:rsid w:val="008C04F3"/>
    <w:rsid w:val="008C11CB"/>
    <w:rsid w:val="008C1F9A"/>
    <w:rsid w:val="008C2235"/>
    <w:rsid w:val="008C2245"/>
    <w:rsid w:val="008C3BE8"/>
    <w:rsid w:val="008C3BEA"/>
    <w:rsid w:val="008C3D6B"/>
    <w:rsid w:val="008C3D73"/>
    <w:rsid w:val="008C3EE4"/>
    <w:rsid w:val="008C5ABF"/>
    <w:rsid w:val="008C64CB"/>
    <w:rsid w:val="008C7552"/>
    <w:rsid w:val="008D026A"/>
    <w:rsid w:val="008D0790"/>
    <w:rsid w:val="008D098B"/>
    <w:rsid w:val="008D0A16"/>
    <w:rsid w:val="008D0DF3"/>
    <w:rsid w:val="008D1D97"/>
    <w:rsid w:val="008D2933"/>
    <w:rsid w:val="008D3810"/>
    <w:rsid w:val="008D3F29"/>
    <w:rsid w:val="008D4797"/>
    <w:rsid w:val="008D5796"/>
    <w:rsid w:val="008D58F5"/>
    <w:rsid w:val="008D5EAA"/>
    <w:rsid w:val="008D7C79"/>
    <w:rsid w:val="008E0581"/>
    <w:rsid w:val="008E0607"/>
    <w:rsid w:val="008E0949"/>
    <w:rsid w:val="008E0B9D"/>
    <w:rsid w:val="008E1360"/>
    <w:rsid w:val="008E148D"/>
    <w:rsid w:val="008E1ED2"/>
    <w:rsid w:val="008E3030"/>
    <w:rsid w:val="008E3779"/>
    <w:rsid w:val="008E4E6C"/>
    <w:rsid w:val="008E54E6"/>
    <w:rsid w:val="008E5561"/>
    <w:rsid w:val="008E6C78"/>
    <w:rsid w:val="008E76A4"/>
    <w:rsid w:val="008E78C8"/>
    <w:rsid w:val="008F04B7"/>
    <w:rsid w:val="008F07C5"/>
    <w:rsid w:val="008F0837"/>
    <w:rsid w:val="008F0CC7"/>
    <w:rsid w:val="008F1B2C"/>
    <w:rsid w:val="008F1FEF"/>
    <w:rsid w:val="008F25BA"/>
    <w:rsid w:val="008F298C"/>
    <w:rsid w:val="008F3663"/>
    <w:rsid w:val="008F44BC"/>
    <w:rsid w:val="008F47A4"/>
    <w:rsid w:val="008F48C4"/>
    <w:rsid w:val="008F55A4"/>
    <w:rsid w:val="008F7152"/>
    <w:rsid w:val="009003E6"/>
    <w:rsid w:val="00900788"/>
    <w:rsid w:val="0090152A"/>
    <w:rsid w:val="00901B94"/>
    <w:rsid w:val="00901FE0"/>
    <w:rsid w:val="009022CD"/>
    <w:rsid w:val="009039EC"/>
    <w:rsid w:val="009049F9"/>
    <w:rsid w:val="00905CAA"/>
    <w:rsid w:val="009062A3"/>
    <w:rsid w:val="009075DE"/>
    <w:rsid w:val="00913215"/>
    <w:rsid w:val="00913E7F"/>
    <w:rsid w:val="009147D9"/>
    <w:rsid w:val="00914AC5"/>
    <w:rsid w:val="00914D56"/>
    <w:rsid w:val="00915137"/>
    <w:rsid w:val="00916B2A"/>
    <w:rsid w:val="00917018"/>
    <w:rsid w:val="009171C9"/>
    <w:rsid w:val="0091721D"/>
    <w:rsid w:val="009178ED"/>
    <w:rsid w:val="00920F9E"/>
    <w:rsid w:val="0092149A"/>
    <w:rsid w:val="00921B2A"/>
    <w:rsid w:val="00921D13"/>
    <w:rsid w:val="00922205"/>
    <w:rsid w:val="00922A11"/>
    <w:rsid w:val="00922B9E"/>
    <w:rsid w:val="00922C25"/>
    <w:rsid w:val="00922FCB"/>
    <w:rsid w:val="00924C0D"/>
    <w:rsid w:val="00924D8F"/>
    <w:rsid w:val="00925291"/>
    <w:rsid w:val="009256B2"/>
    <w:rsid w:val="00925CFD"/>
    <w:rsid w:val="009264F3"/>
    <w:rsid w:val="00926BBA"/>
    <w:rsid w:val="00927117"/>
    <w:rsid w:val="0092733B"/>
    <w:rsid w:val="00930D40"/>
    <w:rsid w:val="00931AC6"/>
    <w:rsid w:val="00932D95"/>
    <w:rsid w:val="009346BD"/>
    <w:rsid w:val="009350A5"/>
    <w:rsid w:val="009353AD"/>
    <w:rsid w:val="00935461"/>
    <w:rsid w:val="00935829"/>
    <w:rsid w:val="00936E80"/>
    <w:rsid w:val="009372CB"/>
    <w:rsid w:val="00937C75"/>
    <w:rsid w:val="00942161"/>
    <w:rsid w:val="009421B6"/>
    <w:rsid w:val="009426F9"/>
    <w:rsid w:val="00943605"/>
    <w:rsid w:val="0094373C"/>
    <w:rsid w:val="00944FC4"/>
    <w:rsid w:val="00945651"/>
    <w:rsid w:val="009459E3"/>
    <w:rsid w:val="00945FA5"/>
    <w:rsid w:val="00947128"/>
    <w:rsid w:val="0094720B"/>
    <w:rsid w:val="00947477"/>
    <w:rsid w:val="00947CCF"/>
    <w:rsid w:val="00950342"/>
    <w:rsid w:val="009520F6"/>
    <w:rsid w:val="0095233F"/>
    <w:rsid w:val="009529DD"/>
    <w:rsid w:val="00956620"/>
    <w:rsid w:val="00956806"/>
    <w:rsid w:val="0095798C"/>
    <w:rsid w:val="0096037B"/>
    <w:rsid w:val="009603B7"/>
    <w:rsid w:val="00960D8C"/>
    <w:rsid w:val="009615AD"/>
    <w:rsid w:val="0096398E"/>
    <w:rsid w:val="00963F91"/>
    <w:rsid w:val="0096447B"/>
    <w:rsid w:val="0096461A"/>
    <w:rsid w:val="00964CF5"/>
    <w:rsid w:val="0096699F"/>
    <w:rsid w:val="00966D11"/>
    <w:rsid w:val="00966DDA"/>
    <w:rsid w:val="00966EBA"/>
    <w:rsid w:val="00967625"/>
    <w:rsid w:val="00967746"/>
    <w:rsid w:val="00967EF5"/>
    <w:rsid w:val="00970228"/>
    <w:rsid w:val="00971847"/>
    <w:rsid w:val="009721A1"/>
    <w:rsid w:val="00973CD0"/>
    <w:rsid w:val="0097551C"/>
    <w:rsid w:val="009756E9"/>
    <w:rsid w:val="00976539"/>
    <w:rsid w:val="00976FB3"/>
    <w:rsid w:val="00977104"/>
    <w:rsid w:val="009810B9"/>
    <w:rsid w:val="009812C6"/>
    <w:rsid w:val="00981C9A"/>
    <w:rsid w:val="009826E1"/>
    <w:rsid w:val="0098307A"/>
    <w:rsid w:val="0098362E"/>
    <w:rsid w:val="00983C79"/>
    <w:rsid w:val="0098666F"/>
    <w:rsid w:val="009866BD"/>
    <w:rsid w:val="00986CE0"/>
    <w:rsid w:val="00987913"/>
    <w:rsid w:val="00987978"/>
    <w:rsid w:val="00987D38"/>
    <w:rsid w:val="0099079C"/>
    <w:rsid w:val="00991B83"/>
    <w:rsid w:val="00991CB9"/>
    <w:rsid w:val="009922ED"/>
    <w:rsid w:val="009924CC"/>
    <w:rsid w:val="00992BCC"/>
    <w:rsid w:val="00992C34"/>
    <w:rsid w:val="00993953"/>
    <w:rsid w:val="00993F95"/>
    <w:rsid w:val="00994A2C"/>
    <w:rsid w:val="0099533B"/>
    <w:rsid w:val="0099553F"/>
    <w:rsid w:val="0099573C"/>
    <w:rsid w:val="00995C8D"/>
    <w:rsid w:val="00995DDC"/>
    <w:rsid w:val="0099601E"/>
    <w:rsid w:val="0099668E"/>
    <w:rsid w:val="0099675B"/>
    <w:rsid w:val="00996A94"/>
    <w:rsid w:val="00996D20"/>
    <w:rsid w:val="00996DDF"/>
    <w:rsid w:val="00996ECF"/>
    <w:rsid w:val="00997170"/>
    <w:rsid w:val="009A2264"/>
    <w:rsid w:val="009A251F"/>
    <w:rsid w:val="009A4381"/>
    <w:rsid w:val="009A4ACF"/>
    <w:rsid w:val="009A79B7"/>
    <w:rsid w:val="009A7B3C"/>
    <w:rsid w:val="009B10D0"/>
    <w:rsid w:val="009B16A7"/>
    <w:rsid w:val="009B2121"/>
    <w:rsid w:val="009B3073"/>
    <w:rsid w:val="009B31F8"/>
    <w:rsid w:val="009B581C"/>
    <w:rsid w:val="009B633C"/>
    <w:rsid w:val="009B6DC4"/>
    <w:rsid w:val="009C1114"/>
    <w:rsid w:val="009C1B4B"/>
    <w:rsid w:val="009C1C9C"/>
    <w:rsid w:val="009C1FC1"/>
    <w:rsid w:val="009C31A5"/>
    <w:rsid w:val="009C3535"/>
    <w:rsid w:val="009C37E7"/>
    <w:rsid w:val="009C3971"/>
    <w:rsid w:val="009D026B"/>
    <w:rsid w:val="009D12D4"/>
    <w:rsid w:val="009D1A17"/>
    <w:rsid w:val="009D1B63"/>
    <w:rsid w:val="009D1CBC"/>
    <w:rsid w:val="009D1D27"/>
    <w:rsid w:val="009D2789"/>
    <w:rsid w:val="009D28E4"/>
    <w:rsid w:val="009D28FF"/>
    <w:rsid w:val="009D2C67"/>
    <w:rsid w:val="009D2DB7"/>
    <w:rsid w:val="009D3301"/>
    <w:rsid w:val="009D4CC6"/>
    <w:rsid w:val="009D69EA"/>
    <w:rsid w:val="009D7726"/>
    <w:rsid w:val="009D7F85"/>
    <w:rsid w:val="009E01F1"/>
    <w:rsid w:val="009E1567"/>
    <w:rsid w:val="009E15CF"/>
    <w:rsid w:val="009E1D01"/>
    <w:rsid w:val="009E2744"/>
    <w:rsid w:val="009E282F"/>
    <w:rsid w:val="009E34E1"/>
    <w:rsid w:val="009E37DF"/>
    <w:rsid w:val="009E4EFD"/>
    <w:rsid w:val="009E53B6"/>
    <w:rsid w:val="009E5DD0"/>
    <w:rsid w:val="009E628D"/>
    <w:rsid w:val="009E65E8"/>
    <w:rsid w:val="009E69D3"/>
    <w:rsid w:val="009E7A79"/>
    <w:rsid w:val="009F0B52"/>
    <w:rsid w:val="009F12B9"/>
    <w:rsid w:val="009F1833"/>
    <w:rsid w:val="009F250C"/>
    <w:rsid w:val="009F2804"/>
    <w:rsid w:val="009F2B0E"/>
    <w:rsid w:val="009F2D2A"/>
    <w:rsid w:val="009F3C50"/>
    <w:rsid w:val="009F493D"/>
    <w:rsid w:val="009F5AE8"/>
    <w:rsid w:val="009F6273"/>
    <w:rsid w:val="009F6A41"/>
    <w:rsid w:val="009F70DE"/>
    <w:rsid w:val="00A00EC5"/>
    <w:rsid w:val="00A03010"/>
    <w:rsid w:val="00A031B2"/>
    <w:rsid w:val="00A0329C"/>
    <w:rsid w:val="00A04C98"/>
    <w:rsid w:val="00A052D9"/>
    <w:rsid w:val="00A0555B"/>
    <w:rsid w:val="00A0617E"/>
    <w:rsid w:val="00A061F9"/>
    <w:rsid w:val="00A063E6"/>
    <w:rsid w:val="00A065BF"/>
    <w:rsid w:val="00A076B5"/>
    <w:rsid w:val="00A1060B"/>
    <w:rsid w:val="00A10650"/>
    <w:rsid w:val="00A11EBB"/>
    <w:rsid w:val="00A13790"/>
    <w:rsid w:val="00A13A43"/>
    <w:rsid w:val="00A14975"/>
    <w:rsid w:val="00A14A52"/>
    <w:rsid w:val="00A14E0F"/>
    <w:rsid w:val="00A15007"/>
    <w:rsid w:val="00A155BA"/>
    <w:rsid w:val="00A15C6B"/>
    <w:rsid w:val="00A15EBA"/>
    <w:rsid w:val="00A16C12"/>
    <w:rsid w:val="00A17572"/>
    <w:rsid w:val="00A20D98"/>
    <w:rsid w:val="00A216A2"/>
    <w:rsid w:val="00A21BC7"/>
    <w:rsid w:val="00A2320F"/>
    <w:rsid w:val="00A23CFF"/>
    <w:rsid w:val="00A23F31"/>
    <w:rsid w:val="00A2679A"/>
    <w:rsid w:val="00A27116"/>
    <w:rsid w:val="00A27692"/>
    <w:rsid w:val="00A3050E"/>
    <w:rsid w:val="00A31334"/>
    <w:rsid w:val="00A32255"/>
    <w:rsid w:val="00A33279"/>
    <w:rsid w:val="00A33742"/>
    <w:rsid w:val="00A33BD5"/>
    <w:rsid w:val="00A341EB"/>
    <w:rsid w:val="00A349F0"/>
    <w:rsid w:val="00A36045"/>
    <w:rsid w:val="00A36AC9"/>
    <w:rsid w:val="00A36F5D"/>
    <w:rsid w:val="00A3741C"/>
    <w:rsid w:val="00A376AD"/>
    <w:rsid w:val="00A377C1"/>
    <w:rsid w:val="00A4074B"/>
    <w:rsid w:val="00A44E14"/>
    <w:rsid w:val="00A45532"/>
    <w:rsid w:val="00A460AE"/>
    <w:rsid w:val="00A47296"/>
    <w:rsid w:val="00A4742B"/>
    <w:rsid w:val="00A47A95"/>
    <w:rsid w:val="00A517E3"/>
    <w:rsid w:val="00A52661"/>
    <w:rsid w:val="00A532C6"/>
    <w:rsid w:val="00A54FA0"/>
    <w:rsid w:val="00A55358"/>
    <w:rsid w:val="00A554A6"/>
    <w:rsid w:val="00A557FC"/>
    <w:rsid w:val="00A55B56"/>
    <w:rsid w:val="00A5647F"/>
    <w:rsid w:val="00A566EC"/>
    <w:rsid w:val="00A56709"/>
    <w:rsid w:val="00A5673C"/>
    <w:rsid w:val="00A56D38"/>
    <w:rsid w:val="00A571FE"/>
    <w:rsid w:val="00A604CF"/>
    <w:rsid w:val="00A6315D"/>
    <w:rsid w:val="00A63245"/>
    <w:rsid w:val="00A63600"/>
    <w:rsid w:val="00A63BF8"/>
    <w:rsid w:val="00A645BB"/>
    <w:rsid w:val="00A64EBE"/>
    <w:rsid w:val="00A65498"/>
    <w:rsid w:val="00A66476"/>
    <w:rsid w:val="00A66962"/>
    <w:rsid w:val="00A67743"/>
    <w:rsid w:val="00A67F9E"/>
    <w:rsid w:val="00A71794"/>
    <w:rsid w:val="00A71FBB"/>
    <w:rsid w:val="00A730D3"/>
    <w:rsid w:val="00A73551"/>
    <w:rsid w:val="00A73E23"/>
    <w:rsid w:val="00A74B5E"/>
    <w:rsid w:val="00A76396"/>
    <w:rsid w:val="00A76E7D"/>
    <w:rsid w:val="00A7749C"/>
    <w:rsid w:val="00A77A15"/>
    <w:rsid w:val="00A77B5D"/>
    <w:rsid w:val="00A80DD9"/>
    <w:rsid w:val="00A817CF"/>
    <w:rsid w:val="00A81826"/>
    <w:rsid w:val="00A81836"/>
    <w:rsid w:val="00A81C49"/>
    <w:rsid w:val="00A83124"/>
    <w:rsid w:val="00A83152"/>
    <w:rsid w:val="00A83570"/>
    <w:rsid w:val="00A8534D"/>
    <w:rsid w:val="00A85547"/>
    <w:rsid w:val="00A85CDB"/>
    <w:rsid w:val="00A868A0"/>
    <w:rsid w:val="00A87BA5"/>
    <w:rsid w:val="00A87E9F"/>
    <w:rsid w:val="00A9110F"/>
    <w:rsid w:val="00A926FA"/>
    <w:rsid w:val="00A9271E"/>
    <w:rsid w:val="00A92C28"/>
    <w:rsid w:val="00A93378"/>
    <w:rsid w:val="00A93EA1"/>
    <w:rsid w:val="00A949F9"/>
    <w:rsid w:val="00A94F1E"/>
    <w:rsid w:val="00A953FA"/>
    <w:rsid w:val="00A95823"/>
    <w:rsid w:val="00A95E5C"/>
    <w:rsid w:val="00A9679F"/>
    <w:rsid w:val="00A9690C"/>
    <w:rsid w:val="00A96B21"/>
    <w:rsid w:val="00A96CD0"/>
    <w:rsid w:val="00A97210"/>
    <w:rsid w:val="00A97211"/>
    <w:rsid w:val="00AA0079"/>
    <w:rsid w:val="00AA0E3B"/>
    <w:rsid w:val="00AA0E79"/>
    <w:rsid w:val="00AA2834"/>
    <w:rsid w:val="00AA32FF"/>
    <w:rsid w:val="00AA4D56"/>
    <w:rsid w:val="00AA5125"/>
    <w:rsid w:val="00AA58E2"/>
    <w:rsid w:val="00AA5A97"/>
    <w:rsid w:val="00AA64CC"/>
    <w:rsid w:val="00AA777B"/>
    <w:rsid w:val="00AB1B62"/>
    <w:rsid w:val="00AB23DF"/>
    <w:rsid w:val="00AB2640"/>
    <w:rsid w:val="00AB4289"/>
    <w:rsid w:val="00AB4E2E"/>
    <w:rsid w:val="00AB560C"/>
    <w:rsid w:val="00AB5FD4"/>
    <w:rsid w:val="00AB6851"/>
    <w:rsid w:val="00AB69AB"/>
    <w:rsid w:val="00AB719A"/>
    <w:rsid w:val="00AB7825"/>
    <w:rsid w:val="00AB7974"/>
    <w:rsid w:val="00AC0FE5"/>
    <w:rsid w:val="00AC11F6"/>
    <w:rsid w:val="00AC18E7"/>
    <w:rsid w:val="00AC239E"/>
    <w:rsid w:val="00AC23B0"/>
    <w:rsid w:val="00AC2E95"/>
    <w:rsid w:val="00AC3831"/>
    <w:rsid w:val="00AC498E"/>
    <w:rsid w:val="00AC4F03"/>
    <w:rsid w:val="00AC51F3"/>
    <w:rsid w:val="00AC58C7"/>
    <w:rsid w:val="00AC59C6"/>
    <w:rsid w:val="00AC682E"/>
    <w:rsid w:val="00AC6AA7"/>
    <w:rsid w:val="00AC6B99"/>
    <w:rsid w:val="00AD0C6C"/>
    <w:rsid w:val="00AD1923"/>
    <w:rsid w:val="00AD2283"/>
    <w:rsid w:val="00AD2CC3"/>
    <w:rsid w:val="00AD3AA1"/>
    <w:rsid w:val="00AD3B1D"/>
    <w:rsid w:val="00AD3E8E"/>
    <w:rsid w:val="00AD58E8"/>
    <w:rsid w:val="00AD601F"/>
    <w:rsid w:val="00AD65E9"/>
    <w:rsid w:val="00AD716A"/>
    <w:rsid w:val="00AD7615"/>
    <w:rsid w:val="00AE0F6D"/>
    <w:rsid w:val="00AE1A1E"/>
    <w:rsid w:val="00AE1A95"/>
    <w:rsid w:val="00AE1D3B"/>
    <w:rsid w:val="00AE1F8E"/>
    <w:rsid w:val="00AE4797"/>
    <w:rsid w:val="00AE4C14"/>
    <w:rsid w:val="00AE6C78"/>
    <w:rsid w:val="00AE758B"/>
    <w:rsid w:val="00AE76C8"/>
    <w:rsid w:val="00AF0266"/>
    <w:rsid w:val="00AF0728"/>
    <w:rsid w:val="00AF2FC6"/>
    <w:rsid w:val="00AF306D"/>
    <w:rsid w:val="00AF4AF2"/>
    <w:rsid w:val="00AF6F6B"/>
    <w:rsid w:val="00B00BEE"/>
    <w:rsid w:val="00B00CB8"/>
    <w:rsid w:val="00B01080"/>
    <w:rsid w:val="00B046C2"/>
    <w:rsid w:val="00B04746"/>
    <w:rsid w:val="00B05C4C"/>
    <w:rsid w:val="00B06134"/>
    <w:rsid w:val="00B07EF8"/>
    <w:rsid w:val="00B119D2"/>
    <w:rsid w:val="00B11D27"/>
    <w:rsid w:val="00B125F2"/>
    <w:rsid w:val="00B13A1C"/>
    <w:rsid w:val="00B14404"/>
    <w:rsid w:val="00B1444B"/>
    <w:rsid w:val="00B146E7"/>
    <w:rsid w:val="00B14CE0"/>
    <w:rsid w:val="00B14FDA"/>
    <w:rsid w:val="00B1588A"/>
    <w:rsid w:val="00B15EC6"/>
    <w:rsid w:val="00B16E2D"/>
    <w:rsid w:val="00B17209"/>
    <w:rsid w:val="00B17F93"/>
    <w:rsid w:val="00B2080F"/>
    <w:rsid w:val="00B20CCE"/>
    <w:rsid w:val="00B20DA2"/>
    <w:rsid w:val="00B210C2"/>
    <w:rsid w:val="00B21B21"/>
    <w:rsid w:val="00B22618"/>
    <w:rsid w:val="00B22E7F"/>
    <w:rsid w:val="00B23891"/>
    <w:rsid w:val="00B2419E"/>
    <w:rsid w:val="00B24A85"/>
    <w:rsid w:val="00B24F6C"/>
    <w:rsid w:val="00B25F78"/>
    <w:rsid w:val="00B25F98"/>
    <w:rsid w:val="00B26E7F"/>
    <w:rsid w:val="00B26FF6"/>
    <w:rsid w:val="00B27272"/>
    <w:rsid w:val="00B2734E"/>
    <w:rsid w:val="00B2745D"/>
    <w:rsid w:val="00B30A0F"/>
    <w:rsid w:val="00B313ED"/>
    <w:rsid w:val="00B31AF4"/>
    <w:rsid w:val="00B33CCE"/>
    <w:rsid w:val="00B3433F"/>
    <w:rsid w:val="00B349A5"/>
    <w:rsid w:val="00B34BD8"/>
    <w:rsid w:val="00B3507A"/>
    <w:rsid w:val="00B359DB"/>
    <w:rsid w:val="00B35D5F"/>
    <w:rsid w:val="00B36EA9"/>
    <w:rsid w:val="00B37122"/>
    <w:rsid w:val="00B40DCA"/>
    <w:rsid w:val="00B40F29"/>
    <w:rsid w:val="00B4211B"/>
    <w:rsid w:val="00B42C78"/>
    <w:rsid w:val="00B43082"/>
    <w:rsid w:val="00B432DE"/>
    <w:rsid w:val="00B44398"/>
    <w:rsid w:val="00B44C99"/>
    <w:rsid w:val="00B45029"/>
    <w:rsid w:val="00B45ACC"/>
    <w:rsid w:val="00B463B3"/>
    <w:rsid w:val="00B467E5"/>
    <w:rsid w:val="00B46B12"/>
    <w:rsid w:val="00B500BD"/>
    <w:rsid w:val="00B50A3D"/>
    <w:rsid w:val="00B52854"/>
    <w:rsid w:val="00B52B26"/>
    <w:rsid w:val="00B52CF6"/>
    <w:rsid w:val="00B52D8F"/>
    <w:rsid w:val="00B532A1"/>
    <w:rsid w:val="00B53468"/>
    <w:rsid w:val="00B545BE"/>
    <w:rsid w:val="00B5466B"/>
    <w:rsid w:val="00B549F5"/>
    <w:rsid w:val="00B54A14"/>
    <w:rsid w:val="00B55578"/>
    <w:rsid w:val="00B5633C"/>
    <w:rsid w:val="00B57BC2"/>
    <w:rsid w:val="00B604B2"/>
    <w:rsid w:val="00B60742"/>
    <w:rsid w:val="00B6151D"/>
    <w:rsid w:val="00B617D7"/>
    <w:rsid w:val="00B61B2D"/>
    <w:rsid w:val="00B628C2"/>
    <w:rsid w:val="00B628DA"/>
    <w:rsid w:val="00B62926"/>
    <w:rsid w:val="00B629DA"/>
    <w:rsid w:val="00B6410E"/>
    <w:rsid w:val="00B64970"/>
    <w:rsid w:val="00B659B4"/>
    <w:rsid w:val="00B671A6"/>
    <w:rsid w:val="00B67785"/>
    <w:rsid w:val="00B678D9"/>
    <w:rsid w:val="00B6797C"/>
    <w:rsid w:val="00B7103A"/>
    <w:rsid w:val="00B71987"/>
    <w:rsid w:val="00B71B00"/>
    <w:rsid w:val="00B71E05"/>
    <w:rsid w:val="00B72A5E"/>
    <w:rsid w:val="00B72AA3"/>
    <w:rsid w:val="00B72D8B"/>
    <w:rsid w:val="00B75370"/>
    <w:rsid w:val="00B75CC4"/>
    <w:rsid w:val="00B76FA4"/>
    <w:rsid w:val="00B77DFC"/>
    <w:rsid w:val="00B801C4"/>
    <w:rsid w:val="00B80BBA"/>
    <w:rsid w:val="00B81593"/>
    <w:rsid w:val="00B81622"/>
    <w:rsid w:val="00B8341D"/>
    <w:rsid w:val="00B83F1A"/>
    <w:rsid w:val="00B85ACB"/>
    <w:rsid w:val="00B85BFB"/>
    <w:rsid w:val="00B86A90"/>
    <w:rsid w:val="00B86D1D"/>
    <w:rsid w:val="00B87806"/>
    <w:rsid w:val="00B87A04"/>
    <w:rsid w:val="00B87F9A"/>
    <w:rsid w:val="00B9051C"/>
    <w:rsid w:val="00B913A0"/>
    <w:rsid w:val="00B918FE"/>
    <w:rsid w:val="00B91C94"/>
    <w:rsid w:val="00B91CC5"/>
    <w:rsid w:val="00B91F38"/>
    <w:rsid w:val="00B91F50"/>
    <w:rsid w:val="00B92177"/>
    <w:rsid w:val="00B92B55"/>
    <w:rsid w:val="00B92E0B"/>
    <w:rsid w:val="00B92EF5"/>
    <w:rsid w:val="00B9325D"/>
    <w:rsid w:val="00B93777"/>
    <w:rsid w:val="00B9427B"/>
    <w:rsid w:val="00B94B0F"/>
    <w:rsid w:val="00B94B1C"/>
    <w:rsid w:val="00B95C08"/>
    <w:rsid w:val="00B95E0D"/>
    <w:rsid w:val="00B9613E"/>
    <w:rsid w:val="00B96DF1"/>
    <w:rsid w:val="00B97123"/>
    <w:rsid w:val="00B974DD"/>
    <w:rsid w:val="00B97EBD"/>
    <w:rsid w:val="00BA0F90"/>
    <w:rsid w:val="00BA1060"/>
    <w:rsid w:val="00BA2586"/>
    <w:rsid w:val="00BA26BC"/>
    <w:rsid w:val="00BA4A0E"/>
    <w:rsid w:val="00BA551A"/>
    <w:rsid w:val="00BA5B3D"/>
    <w:rsid w:val="00BA617F"/>
    <w:rsid w:val="00BA6ECE"/>
    <w:rsid w:val="00BA6ED1"/>
    <w:rsid w:val="00BB0299"/>
    <w:rsid w:val="00BB2635"/>
    <w:rsid w:val="00BB28F0"/>
    <w:rsid w:val="00BB303A"/>
    <w:rsid w:val="00BB339B"/>
    <w:rsid w:val="00BB3828"/>
    <w:rsid w:val="00BB4239"/>
    <w:rsid w:val="00BB4C6C"/>
    <w:rsid w:val="00BB58D4"/>
    <w:rsid w:val="00BB62B9"/>
    <w:rsid w:val="00BB6CE5"/>
    <w:rsid w:val="00BB7D83"/>
    <w:rsid w:val="00BB7F0A"/>
    <w:rsid w:val="00BC0D66"/>
    <w:rsid w:val="00BC1686"/>
    <w:rsid w:val="00BC3C13"/>
    <w:rsid w:val="00BC3F0B"/>
    <w:rsid w:val="00BC4D63"/>
    <w:rsid w:val="00BC4FEA"/>
    <w:rsid w:val="00BC7624"/>
    <w:rsid w:val="00BC7EC3"/>
    <w:rsid w:val="00BD06FA"/>
    <w:rsid w:val="00BD0718"/>
    <w:rsid w:val="00BD1141"/>
    <w:rsid w:val="00BD1B67"/>
    <w:rsid w:val="00BD1E7C"/>
    <w:rsid w:val="00BD2413"/>
    <w:rsid w:val="00BD277E"/>
    <w:rsid w:val="00BD2A52"/>
    <w:rsid w:val="00BD2B56"/>
    <w:rsid w:val="00BD362D"/>
    <w:rsid w:val="00BD37C7"/>
    <w:rsid w:val="00BD555E"/>
    <w:rsid w:val="00BD5725"/>
    <w:rsid w:val="00BD632B"/>
    <w:rsid w:val="00BD7134"/>
    <w:rsid w:val="00BD7AB5"/>
    <w:rsid w:val="00BD7ACC"/>
    <w:rsid w:val="00BE0145"/>
    <w:rsid w:val="00BE04F1"/>
    <w:rsid w:val="00BE09B1"/>
    <w:rsid w:val="00BE0C0A"/>
    <w:rsid w:val="00BE1E06"/>
    <w:rsid w:val="00BE23D0"/>
    <w:rsid w:val="00BE3F9D"/>
    <w:rsid w:val="00BE4998"/>
    <w:rsid w:val="00BE4A87"/>
    <w:rsid w:val="00BE4CE2"/>
    <w:rsid w:val="00BE4FF5"/>
    <w:rsid w:val="00BE5336"/>
    <w:rsid w:val="00BE53B1"/>
    <w:rsid w:val="00BE5430"/>
    <w:rsid w:val="00BE5F01"/>
    <w:rsid w:val="00BE65C1"/>
    <w:rsid w:val="00BF0B9A"/>
    <w:rsid w:val="00BF0D73"/>
    <w:rsid w:val="00BF11D3"/>
    <w:rsid w:val="00BF135F"/>
    <w:rsid w:val="00BF14D2"/>
    <w:rsid w:val="00BF3286"/>
    <w:rsid w:val="00BF356D"/>
    <w:rsid w:val="00BF38F7"/>
    <w:rsid w:val="00BF3E72"/>
    <w:rsid w:val="00BF3EF0"/>
    <w:rsid w:val="00BF407E"/>
    <w:rsid w:val="00BF4377"/>
    <w:rsid w:val="00BF54EC"/>
    <w:rsid w:val="00BF5929"/>
    <w:rsid w:val="00BF5CA1"/>
    <w:rsid w:val="00BF5F0E"/>
    <w:rsid w:val="00C00045"/>
    <w:rsid w:val="00C0043B"/>
    <w:rsid w:val="00C00588"/>
    <w:rsid w:val="00C038C5"/>
    <w:rsid w:val="00C05503"/>
    <w:rsid w:val="00C05D5B"/>
    <w:rsid w:val="00C072AA"/>
    <w:rsid w:val="00C07558"/>
    <w:rsid w:val="00C10AFE"/>
    <w:rsid w:val="00C10C65"/>
    <w:rsid w:val="00C110BA"/>
    <w:rsid w:val="00C11C3B"/>
    <w:rsid w:val="00C12C6A"/>
    <w:rsid w:val="00C12CCA"/>
    <w:rsid w:val="00C12CD7"/>
    <w:rsid w:val="00C13CC7"/>
    <w:rsid w:val="00C15D6A"/>
    <w:rsid w:val="00C1666B"/>
    <w:rsid w:val="00C16839"/>
    <w:rsid w:val="00C168B9"/>
    <w:rsid w:val="00C17217"/>
    <w:rsid w:val="00C17AF6"/>
    <w:rsid w:val="00C17EEE"/>
    <w:rsid w:val="00C20DBD"/>
    <w:rsid w:val="00C211CA"/>
    <w:rsid w:val="00C222DF"/>
    <w:rsid w:val="00C229CB"/>
    <w:rsid w:val="00C23372"/>
    <w:rsid w:val="00C2354A"/>
    <w:rsid w:val="00C2420C"/>
    <w:rsid w:val="00C242A2"/>
    <w:rsid w:val="00C25776"/>
    <w:rsid w:val="00C257CE"/>
    <w:rsid w:val="00C25D27"/>
    <w:rsid w:val="00C27073"/>
    <w:rsid w:val="00C303E4"/>
    <w:rsid w:val="00C30D8C"/>
    <w:rsid w:val="00C31705"/>
    <w:rsid w:val="00C31742"/>
    <w:rsid w:val="00C31E0E"/>
    <w:rsid w:val="00C31E17"/>
    <w:rsid w:val="00C32D20"/>
    <w:rsid w:val="00C336CA"/>
    <w:rsid w:val="00C349D7"/>
    <w:rsid w:val="00C34D84"/>
    <w:rsid w:val="00C34E6B"/>
    <w:rsid w:val="00C35402"/>
    <w:rsid w:val="00C3656B"/>
    <w:rsid w:val="00C36607"/>
    <w:rsid w:val="00C368DC"/>
    <w:rsid w:val="00C37081"/>
    <w:rsid w:val="00C40876"/>
    <w:rsid w:val="00C41524"/>
    <w:rsid w:val="00C4185D"/>
    <w:rsid w:val="00C42049"/>
    <w:rsid w:val="00C4294F"/>
    <w:rsid w:val="00C43420"/>
    <w:rsid w:val="00C44602"/>
    <w:rsid w:val="00C446E9"/>
    <w:rsid w:val="00C44B5B"/>
    <w:rsid w:val="00C4569C"/>
    <w:rsid w:val="00C45B03"/>
    <w:rsid w:val="00C47F94"/>
    <w:rsid w:val="00C5006B"/>
    <w:rsid w:val="00C5006F"/>
    <w:rsid w:val="00C5070A"/>
    <w:rsid w:val="00C50F85"/>
    <w:rsid w:val="00C510A1"/>
    <w:rsid w:val="00C51799"/>
    <w:rsid w:val="00C5204A"/>
    <w:rsid w:val="00C5218C"/>
    <w:rsid w:val="00C542F7"/>
    <w:rsid w:val="00C562E5"/>
    <w:rsid w:val="00C56327"/>
    <w:rsid w:val="00C56532"/>
    <w:rsid w:val="00C56D3F"/>
    <w:rsid w:val="00C572B3"/>
    <w:rsid w:val="00C60D7B"/>
    <w:rsid w:val="00C610C1"/>
    <w:rsid w:val="00C61A5A"/>
    <w:rsid w:val="00C61BE9"/>
    <w:rsid w:val="00C6214C"/>
    <w:rsid w:val="00C63720"/>
    <w:rsid w:val="00C6529D"/>
    <w:rsid w:val="00C674A3"/>
    <w:rsid w:val="00C67676"/>
    <w:rsid w:val="00C71CD5"/>
    <w:rsid w:val="00C71CD9"/>
    <w:rsid w:val="00C7221F"/>
    <w:rsid w:val="00C730D9"/>
    <w:rsid w:val="00C732FA"/>
    <w:rsid w:val="00C7461E"/>
    <w:rsid w:val="00C75634"/>
    <w:rsid w:val="00C761BC"/>
    <w:rsid w:val="00C7640A"/>
    <w:rsid w:val="00C76F32"/>
    <w:rsid w:val="00C77067"/>
    <w:rsid w:val="00C775DB"/>
    <w:rsid w:val="00C800BB"/>
    <w:rsid w:val="00C8158A"/>
    <w:rsid w:val="00C825E9"/>
    <w:rsid w:val="00C83148"/>
    <w:rsid w:val="00C83363"/>
    <w:rsid w:val="00C84537"/>
    <w:rsid w:val="00C85BAF"/>
    <w:rsid w:val="00C85E73"/>
    <w:rsid w:val="00C85F03"/>
    <w:rsid w:val="00C85FF4"/>
    <w:rsid w:val="00C87BA8"/>
    <w:rsid w:val="00C90F4A"/>
    <w:rsid w:val="00C91047"/>
    <w:rsid w:val="00C9167C"/>
    <w:rsid w:val="00C91906"/>
    <w:rsid w:val="00C9210A"/>
    <w:rsid w:val="00C9269C"/>
    <w:rsid w:val="00C929B2"/>
    <w:rsid w:val="00C92D5A"/>
    <w:rsid w:val="00C94208"/>
    <w:rsid w:val="00C9445D"/>
    <w:rsid w:val="00C95021"/>
    <w:rsid w:val="00C954A3"/>
    <w:rsid w:val="00C95979"/>
    <w:rsid w:val="00C95CA1"/>
    <w:rsid w:val="00C96CE1"/>
    <w:rsid w:val="00C9717E"/>
    <w:rsid w:val="00CA0757"/>
    <w:rsid w:val="00CA1B56"/>
    <w:rsid w:val="00CA3F76"/>
    <w:rsid w:val="00CA478A"/>
    <w:rsid w:val="00CA5927"/>
    <w:rsid w:val="00CA7B47"/>
    <w:rsid w:val="00CB0050"/>
    <w:rsid w:val="00CB0A09"/>
    <w:rsid w:val="00CB0E84"/>
    <w:rsid w:val="00CB133F"/>
    <w:rsid w:val="00CB1A08"/>
    <w:rsid w:val="00CB20DF"/>
    <w:rsid w:val="00CB3150"/>
    <w:rsid w:val="00CB332E"/>
    <w:rsid w:val="00CB3D9E"/>
    <w:rsid w:val="00CB47D6"/>
    <w:rsid w:val="00CB495E"/>
    <w:rsid w:val="00CB49EB"/>
    <w:rsid w:val="00CB566A"/>
    <w:rsid w:val="00CB6E4E"/>
    <w:rsid w:val="00CB70F8"/>
    <w:rsid w:val="00CB7363"/>
    <w:rsid w:val="00CC04E5"/>
    <w:rsid w:val="00CC1361"/>
    <w:rsid w:val="00CC1579"/>
    <w:rsid w:val="00CC21F8"/>
    <w:rsid w:val="00CC277D"/>
    <w:rsid w:val="00CC4124"/>
    <w:rsid w:val="00CC4605"/>
    <w:rsid w:val="00CC48B3"/>
    <w:rsid w:val="00CC4FBB"/>
    <w:rsid w:val="00CC5745"/>
    <w:rsid w:val="00CC6B4B"/>
    <w:rsid w:val="00CC6D2C"/>
    <w:rsid w:val="00CC7AA5"/>
    <w:rsid w:val="00CC7C19"/>
    <w:rsid w:val="00CC7D34"/>
    <w:rsid w:val="00CC7FC7"/>
    <w:rsid w:val="00CC7FCE"/>
    <w:rsid w:val="00CD0DAD"/>
    <w:rsid w:val="00CD1DED"/>
    <w:rsid w:val="00CD30D5"/>
    <w:rsid w:val="00CD3629"/>
    <w:rsid w:val="00CD3BD0"/>
    <w:rsid w:val="00CD442A"/>
    <w:rsid w:val="00CD6AC5"/>
    <w:rsid w:val="00CD6AD6"/>
    <w:rsid w:val="00CD6EC5"/>
    <w:rsid w:val="00CD71BB"/>
    <w:rsid w:val="00CD7363"/>
    <w:rsid w:val="00CE0812"/>
    <w:rsid w:val="00CE18E0"/>
    <w:rsid w:val="00CE2738"/>
    <w:rsid w:val="00CE3E72"/>
    <w:rsid w:val="00CE4647"/>
    <w:rsid w:val="00CE5A53"/>
    <w:rsid w:val="00CE5FC9"/>
    <w:rsid w:val="00CE7FBD"/>
    <w:rsid w:val="00CF11D2"/>
    <w:rsid w:val="00CF19A0"/>
    <w:rsid w:val="00CF1CF4"/>
    <w:rsid w:val="00CF1ED7"/>
    <w:rsid w:val="00CF21D8"/>
    <w:rsid w:val="00CF2877"/>
    <w:rsid w:val="00CF3023"/>
    <w:rsid w:val="00CF3338"/>
    <w:rsid w:val="00CF3A46"/>
    <w:rsid w:val="00CF3BE8"/>
    <w:rsid w:val="00CF4697"/>
    <w:rsid w:val="00CF59B9"/>
    <w:rsid w:val="00CF5A68"/>
    <w:rsid w:val="00CF6008"/>
    <w:rsid w:val="00CF6DD4"/>
    <w:rsid w:val="00CF70AB"/>
    <w:rsid w:val="00CF733E"/>
    <w:rsid w:val="00CF7409"/>
    <w:rsid w:val="00CF755B"/>
    <w:rsid w:val="00D00155"/>
    <w:rsid w:val="00D00F39"/>
    <w:rsid w:val="00D020CA"/>
    <w:rsid w:val="00D0218C"/>
    <w:rsid w:val="00D02A32"/>
    <w:rsid w:val="00D0329E"/>
    <w:rsid w:val="00D032FA"/>
    <w:rsid w:val="00D043C5"/>
    <w:rsid w:val="00D05DB1"/>
    <w:rsid w:val="00D05F58"/>
    <w:rsid w:val="00D0635B"/>
    <w:rsid w:val="00D070F2"/>
    <w:rsid w:val="00D07552"/>
    <w:rsid w:val="00D075CD"/>
    <w:rsid w:val="00D07F5B"/>
    <w:rsid w:val="00D1047E"/>
    <w:rsid w:val="00D10B2E"/>
    <w:rsid w:val="00D11CE7"/>
    <w:rsid w:val="00D125A9"/>
    <w:rsid w:val="00D13206"/>
    <w:rsid w:val="00D136EE"/>
    <w:rsid w:val="00D1375B"/>
    <w:rsid w:val="00D13E6E"/>
    <w:rsid w:val="00D14B3C"/>
    <w:rsid w:val="00D15226"/>
    <w:rsid w:val="00D15306"/>
    <w:rsid w:val="00D163BE"/>
    <w:rsid w:val="00D16623"/>
    <w:rsid w:val="00D16840"/>
    <w:rsid w:val="00D1698A"/>
    <w:rsid w:val="00D21B96"/>
    <w:rsid w:val="00D220B4"/>
    <w:rsid w:val="00D2280F"/>
    <w:rsid w:val="00D244FB"/>
    <w:rsid w:val="00D3059B"/>
    <w:rsid w:val="00D309CE"/>
    <w:rsid w:val="00D317E4"/>
    <w:rsid w:val="00D32C69"/>
    <w:rsid w:val="00D32D84"/>
    <w:rsid w:val="00D337E1"/>
    <w:rsid w:val="00D34A3D"/>
    <w:rsid w:val="00D355DF"/>
    <w:rsid w:val="00D35708"/>
    <w:rsid w:val="00D35AC9"/>
    <w:rsid w:val="00D35AD5"/>
    <w:rsid w:val="00D35B2A"/>
    <w:rsid w:val="00D35CAE"/>
    <w:rsid w:val="00D36493"/>
    <w:rsid w:val="00D36CE3"/>
    <w:rsid w:val="00D4003C"/>
    <w:rsid w:val="00D40376"/>
    <w:rsid w:val="00D4041F"/>
    <w:rsid w:val="00D40A1C"/>
    <w:rsid w:val="00D41B1C"/>
    <w:rsid w:val="00D428DC"/>
    <w:rsid w:val="00D429A6"/>
    <w:rsid w:val="00D434BC"/>
    <w:rsid w:val="00D43E44"/>
    <w:rsid w:val="00D44B55"/>
    <w:rsid w:val="00D45ADB"/>
    <w:rsid w:val="00D460C0"/>
    <w:rsid w:val="00D46EFF"/>
    <w:rsid w:val="00D47CD7"/>
    <w:rsid w:val="00D47CDA"/>
    <w:rsid w:val="00D5018B"/>
    <w:rsid w:val="00D50316"/>
    <w:rsid w:val="00D515C9"/>
    <w:rsid w:val="00D51ECF"/>
    <w:rsid w:val="00D51FC9"/>
    <w:rsid w:val="00D520E9"/>
    <w:rsid w:val="00D52134"/>
    <w:rsid w:val="00D5257A"/>
    <w:rsid w:val="00D53057"/>
    <w:rsid w:val="00D53168"/>
    <w:rsid w:val="00D5418F"/>
    <w:rsid w:val="00D54710"/>
    <w:rsid w:val="00D5733D"/>
    <w:rsid w:val="00D57358"/>
    <w:rsid w:val="00D57D59"/>
    <w:rsid w:val="00D60046"/>
    <w:rsid w:val="00D60868"/>
    <w:rsid w:val="00D60A5F"/>
    <w:rsid w:val="00D6152B"/>
    <w:rsid w:val="00D618DF"/>
    <w:rsid w:val="00D619E8"/>
    <w:rsid w:val="00D62F4A"/>
    <w:rsid w:val="00D635BF"/>
    <w:rsid w:val="00D63AB9"/>
    <w:rsid w:val="00D63B58"/>
    <w:rsid w:val="00D64026"/>
    <w:rsid w:val="00D65732"/>
    <w:rsid w:val="00D65BE9"/>
    <w:rsid w:val="00D66761"/>
    <w:rsid w:val="00D66D31"/>
    <w:rsid w:val="00D66EBC"/>
    <w:rsid w:val="00D67CF6"/>
    <w:rsid w:val="00D70703"/>
    <w:rsid w:val="00D719F2"/>
    <w:rsid w:val="00D71B09"/>
    <w:rsid w:val="00D71D77"/>
    <w:rsid w:val="00D71FFB"/>
    <w:rsid w:val="00D72237"/>
    <w:rsid w:val="00D7225D"/>
    <w:rsid w:val="00D72C10"/>
    <w:rsid w:val="00D73047"/>
    <w:rsid w:val="00D737DE"/>
    <w:rsid w:val="00D73932"/>
    <w:rsid w:val="00D73CDE"/>
    <w:rsid w:val="00D74287"/>
    <w:rsid w:val="00D7485C"/>
    <w:rsid w:val="00D75492"/>
    <w:rsid w:val="00D7655A"/>
    <w:rsid w:val="00D76AC4"/>
    <w:rsid w:val="00D77C9E"/>
    <w:rsid w:val="00D80E0E"/>
    <w:rsid w:val="00D81F0F"/>
    <w:rsid w:val="00D8321D"/>
    <w:rsid w:val="00D83CC4"/>
    <w:rsid w:val="00D847AA"/>
    <w:rsid w:val="00D84FD3"/>
    <w:rsid w:val="00D851FA"/>
    <w:rsid w:val="00D853BC"/>
    <w:rsid w:val="00D85755"/>
    <w:rsid w:val="00D85889"/>
    <w:rsid w:val="00D91202"/>
    <w:rsid w:val="00D91EE4"/>
    <w:rsid w:val="00D92D59"/>
    <w:rsid w:val="00D92D8A"/>
    <w:rsid w:val="00D93863"/>
    <w:rsid w:val="00D93915"/>
    <w:rsid w:val="00D93DFD"/>
    <w:rsid w:val="00D9446E"/>
    <w:rsid w:val="00D95704"/>
    <w:rsid w:val="00D96354"/>
    <w:rsid w:val="00D9703A"/>
    <w:rsid w:val="00D97096"/>
    <w:rsid w:val="00D970E9"/>
    <w:rsid w:val="00D978DE"/>
    <w:rsid w:val="00DA0B34"/>
    <w:rsid w:val="00DA0E2A"/>
    <w:rsid w:val="00DA1323"/>
    <w:rsid w:val="00DA24BE"/>
    <w:rsid w:val="00DA2649"/>
    <w:rsid w:val="00DA2DD7"/>
    <w:rsid w:val="00DA2E4E"/>
    <w:rsid w:val="00DA3039"/>
    <w:rsid w:val="00DA327A"/>
    <w:rsid w:val="00DA3768"/>
    <w:rsid w:val="00DA3B77"/>
    <w:rsid w:val="00DA4F1D"/>
    <w:rsid w:val="00DA6AE0"/>
    <w:rsid w:val="00DB02F6"/>
    <w:rsid w:val="00DB046E"/>
    <w:rsid w:val="00DB04C8"/>
    <w:rsid w:val="00DB2B9B"/>
    <w:rsid w:val="00DB428C"/>
    <w:rsid w:val="00DB59F4"/>
    <w:rsid w:val="00DB60AE"/>
    <w:rsid w:val="00DB62C1"/>
    <w:rsid w:val="00DB6903"/>
    <w:rsid w:val="00DB7F51"/>
    <w:rsid w:val="00DC1688"/>
    <w:rsid w:val="00DC1A56"/>
    <w:rsid w:val="00DC2380"/>
    <w:rsid w:val="00DC3012"/>
    <w:rsid w:val="00DC3481"/>
    <w:rsid w:val="00DC356E"/>
    <w:rsid w:val="00DC38E8"/>
    <w:rsid w:val="00DC441B"/>
    <w:rsid w:val="00DC49BD"/>
    <w:rsid w:val="00DC4D55"/>
    <w:rsid w:val="00DC614A"/>
    <w:rsid w:val="00DC6941"/>
    <w:rsid w:val="00DC74DA"/>
    <w:rsid w:val="00DC7EE8"/>
    <w:rsid w:val="00DD0567"/>
    <w:rsid w:val="00DD0A47"/>
    <w:rsid w:val="00DD0C7B"/>
    <w:rsid w:val="00DD1901"/>
    <w:rsid w:val="00DD1ED4"/>
    <w:rsid w:val="00DD20E1"/>
    <w:rsid w:val="00DD26ED"/>
    <w:rsid w:val="00DD2B74"/>
    <w:rsid w:val="00DD2FEF"/>
    <w:rsid w:val="00DD3033"/>
    <w:rsid w:val="00DD34F2"/>
    <w:rsid w:val="00DD36BF"/>
    <w:rsid w:val="00DD3CC9"/>
    <w:rsid w:val="00DD3E91"/>
    <w:rsid w:val="00DD4A8B"/>
    <w:rsid w:val="00DD4F1F"/>
    <w:rsid w:val="00DD6411"/>
    <w:rsid w:val="00DD6B94"/>
    <w:rsid w:val="00DE0874"/>
    <w:rsid w:val="00DE2D17"/>
    <w:rsid w:val="00DE34C3"/>
    <w:rsid w:val="00DE3507"/>
    <w:rsid w:val="00DE350C"/>
    <w:rsid w:val="00DE4538"/>
    <w:rsid w:val="00DE4BA2"/>
    <w:rsid w:val="00DE56BC"/>
    <w:rsid w:val="00DE5F4E"/>
    <w:rsid w:val="00DE6317"/>
    <w:rsid w:val="00DE6D0D"/>
    <w:rsid w:val="00DE7A89"/>
    <w:rsid w:val="00DF0F0A"/>
    <w:rsid w:val="00DF136B"/>
    <w:rsid w:val="00DF1545"/>
    <w:rsid w:val="00DF1F69"/>
    <w:rsid w:val="00DF2D59"/>
    <w:rsid w:val="00DF2DEA"/>
    <w:rsid w:val="00DF3482"/>
    <w:rsid w:val="00DF3B6B"/>
    <w:rsid w:val="00DF457F"/>
    <w:rsid w:val="00DF4642"/>
    <w:rsid w:val="00DF483C"/>
    <w:rsid w:val="00DF4894"/>
    <w:rsid w:val="00DF48DE"/>
    <w:rsid w:val="00DF4B69"/>
    <w:rsid w:val="00DF5B9F"/>
    <w:rsid w:val="00DF72F6"/>
    <w:rsid w:val="00E0056B"/>
    <w:rsid w:val="00E0269F"/>
    <w:rsid w:val="00E02D25"/>
    <w:rsid w:val="00E03974"/>
    <w:rsid w:val="00E03D9E"/>
    <w:rsid w:val="00E0431B"/>
    <w:rsid w:val="00E044AD"/>
    <w:rsid w:val="00E0485A"/>
    <w:rsid w:val="00E04C78"/>
    <w:rsid w:val="00E04E50"/>
    <w:rsid w:val="00E05139"/>
    <w:rsid w:val="00E05D23"/>
    <w:rsid w:val="00E0656B"/>
    <w:rsid w:val="00E0705D"/>
    <w:rsid w:val="00E07147"/>
    <w:rsid w:val="00E07269"/>
    <w:rsid w:val="00E07BB7"/>
    <w:rsid w:val="00E10247"/>
    <w:rsid w:val="00E10A73"/>
    <w:rsid w:val="00E10C06"/>
    <w:rsid w:val="00E122FB"/>
    <w:rsid w:val="00E1378A"/>
    <w:rsid w:val="00E13957"/>
    <w:rsid w:val="00E13FDD"/>
    <w:rsid w:val="00E14957"/>
    <w:rsid w:val="00E1513C"/>
    <w:rsid w:val="00E1597C"/>
    <w:rsid w:val="00E164E0"/>
    <w:rsid w:val="00E16E15"/>
    <w:rsid w:val="00E172DE"/>
    <w:rsid w:val="00E177C4"/>
    <w:rsid w:val="00E17A43"/>
    <w:rsid w:val="00E17B09"/>
    <w:rsid w:val="00E206C5"/>
    <w:rsid w:val="00E2137C"/>
    <w:rsid w:val="00E21D4E"/>
    <w:rsid w:val="00E23C6B"/>
    <w:rsid w:val="00E23E06"/>
    <w:rsid w:val="00E25FF0"/>
    <w:rsid w:val="00E278F2"/>
    <w:rsid w:val="00E27958"/>
    <w:rsid w:val="00E27BAB"/>
    <w:rsid w:val="00E27CC0"/>
    <w:rsid w:val="00E333E4"/>
    <w:rsid w:val="00E335DD"/>
    <w:rsid w:val="00E337BB"/>
    <w:rsid w:val="00E34C46"/>
    <w:rsid w:val="00E356FC"/>
    <w:rsid w:val="00E35906"/>
    <w:rsid w:val="00E366B2"/>
    <w:rsid w:val="00E37D8B"/>
    <w:rsid w:val="00E40672"/>
    <w:rsid w:val="00E40B6C"/>
    <w:rsid w:val="00E414D4"/>
    <w:rsid w:val="00E4184A"/>
    <w:rsid w:val="00E427A4"/>
    <w:rsid w:val="00E43524"/>
    <w:rsid w:val="00E43A18"/>
    <w:rsid w:val="00E4480E"/>
    <w:rsid w:val="00E44C41"/>
    <w:rsid w:val="00E45585"/>
    <w:rsid w:val="00E473A5"/>
    <w:rsid w:val="00E51A08"/>
    <w:rsid w:val="00E5267A"/>
    <w:rsid w:val="00E52C96"/>
    <w:rsid w:val="00E54784"/>
    <w:rsid w:val="00E55451"/>
    <w:rsid w:val="00E555FC"/>
    <w:rsid w:val="00E55F34"/>
    <w:rsid w:val="00E60DBA"/>
    <w:rsid w:val="00E62980"/>
    <w:rsid w:val="00E634C0"/>
    <w:rsid w:val="00E64026"/>
    <w:rsid w:val="00E642B1"/>
    <w:rsid w:val="00E64CEA"/>
    <w:rsid w:val="00E6511E"/>
    <w:rsid w:val="00E660E3"/>
    <w:rsid w:val="00E66BE4"/>
    <w:rsid w:val="00E66DD5"/>
    <w:rsid w:val="00E66E2E"/>
    <w:rsid w:val="00E66E71"/>
    <w:rsid w:val="00E67271"/>
    <w:rsid w:val="00E70110"/>
    <w:rsid w:val="00E7057C"/>
    <w:rsid w:val="00E70F9E"/>
    <w:rsid w:val="00E71FA2"/>
    <w:rsid w:val="00E72045"/>
    <w:rsid w:val="00E721A8"/>
    <w:rsid w:val="00E7363E"/>
    <w:rsid w:val="00E73694"/>
    <w:rsid w:val="00E7397D"/>
    <w:rsid w:val="00E73CF5"/>
    <w:rsid w:val="00E74692"/>
    <w:rsid w:val="00E7478D"/>
    <w:rsid w:val="00E74B8F"/>
    <w:rsid w:val="00E75961"/>
    <w:rsid w:val="00E75F22"/>
    <w:rsid w:val="00E76C5F"/>
    <w:rsid w:val="00E76D07"/>
    <w:rsid w:val="00E76EBE"/>
    <w:rsid w:val="00E7732A"/>
    <w:rsid w:val="00E77F50"/>
    <w:rsid w:val="00E80C82"/>
    <w:rsid w:val="00E81B7D"/>
    <w:rsid w:val="00E820FE"/>
    <w:rsid w:val="00E82665"/>
    <w:rsid w:val="00E83175"/>
    <w:rsid w:val="00E83A17"/>
    <w:rsid w:val="00E83BBF"/>
    <w:rsid w:val="00E844D2"/>
    <w:rsid w:val="00E8496F"/>
    <w:rsid w:val="00E8609E"/>
    <w:rsid w:val="00E87990"/>
    <w:rsid w:val="00E87AF7"/>
    <w:rsid w:val="00E9090D"/>
    <w:rsid w:val="00E90EF6"/>
    <w:rsid w:val="00E91AC3"/>
    <w:rsid w:val="00E929E5"/>
    <w:rsid w:val="00E92E3C"/>
    <w:rsid w:val="00E92F5E"/>
    <w:rsid w:val="00E94D9E"/>
    <w:rsid w:val="00E95B48"/>
    <w:rsid w:val="00E968ED"/>
    <w:rsid w:val="00E96D4B"/>
    <w:rsid w:val="00E978AB"/>
    <w:rsid w:val="00E978FB"/>
    <w:rsid w:val="00EA0A11"/>
    <w:rsid w:val="00EA131D"/>
    <w:rsid w:val="00EA1EFC"/>
    <w:rsid w:val="00EA2EC3"/>
    <w:rsid w:val="00EA301A"/>
    <w:rsid w:val="00EA326A"/>
    <w:rsid w:val="00EA3826"/>
    <w:rsid w:val="00EA390C"/>
    <w:rsid w:val="00EA3D0A"/>
    <w:rsid w:val="00EA46E4"/>
    <w:rsid w:val="00EA4C03"/>
    <w:rsid w:val="00EA56B4"/>
    <w:rsid w:val="00EA6576"/>
    <w:rsid w:val="00EA7B9D"/>
    <w:rsid w:val="00EA7FD7"/>
    <w:rsid w:val="00EB0D61"/>
    <w:rsid w:val="00EB0F3E"/>
    <w:rsid w:val="00EB10C2"/>
    <w:rsid w:val="00EB2216"/>
    <w:rsid w:val="00EB278C"/>
    <w:rsid w:val="00EB2865"/>
    <w:rsid w:val="00EB362B"/>
    <w:rsid w:val="00EB3837"/>
    <w:rsid w:val="00EB3F3E"/>
    <w:rsid w:val="00EB45F8"/>
    <w:rsid w:val="00EB4B1F"/>
    <w:rsid w:val="00EB52FC"/>
    <w:rsid w:val="00EB60C6"/>
    <w:rsid w:val="00EB6834"/>
    <w:rsid w:val="00EB6F3C"/>
    <w:rsid w:val="00EC0065"/>
    <w:rsid w:val="00EC0AD2"/>
    <w:rsid w:val="00EC0F72"/>
    <w:rsid w:val="00EC38E2"/>
    <w:rsid w:val="00EC4585"/>
    <w:rsid w:val="00EC486D"/>
    <w:rsid w:val="00EC535A"/>
    <w:rsid w:val="00EC5BBD"/>
    <w:rsid w:val="00EC65B6"/>
    <w:rsid w:val="00EC695A"/>
    <w:rsid w:val="00EC6F49"/>
    <w:rsid w:val="00EC77A9"/>
    <w:rsid w:val="00ED0047"/>
    <w:rsid w:val="00ED022C"/>
    <w:rsid w:val="00ED03DD"/>
    <w:rsid w:val="00ED0C21"/>
    <w:rsid w:val="00ED0DDF"/>
    <w:rsid w:val="00ED152F"/>
    <w:rsid w:val="00ED178E"/>
    <w:rsid w:val="00ED1EA5"/>
    <w:rsid w:val="00ED2258"/>
    <w:rsid w:val="00ED255B"/>
    <w:rsid w:val="00ED3849"/>
    <w:rsid w:val="00ED3B72"/>
    <w:rsid w:val="00ED4C31"/>
    <w:rsid w:val="00ED5318"/>
    <w:rsid w:val="00ED575B"/>
    <w:rsid w:val="00ED5A74"/>
    <w:rsid w:val="00ED627E"/>
    <w:rsid w:val="00ED692C"/>
    <w:rsid w:val="00ED6BE5"/>
    <w:rsid w:val="00ED7A21"/>
    <w:rsid w:val="00EE003F"/>
    <w:rsid w:val="00EE2625"/>
    <w:rsid w:val="00EE34C5"/>
    <w:rsid w:val="00EE3649"/>
    <w:rsid w:val="00EE5135"/>
    <w:rsid w:val="00EE72CD"/>
    <w:rsid w:val="00EF0808"/>
    <w:rsid w:val="00EF314D"/>
    <w:rsid w:val="00EF3268"/>
    <w:rsid w:val="00EF45C0"/>
    <w:rsid w:val="00EF46BE"/>
    <w:rsid w:val="00EF4D93"/>
    <w:rsid w:val="00EF5111"/>
    <w:rsid w:val="00EF5A1A"/>
    <w:rsid w:val="00EF6CC4"/>
    <w:rsid w:val="00EF6DFB"/>
    <w:rsid w:val="00EF7522"/>
    <w:rsid w:val="00EF775B"/>
    <w:rsid w:val="00EF78DB"/>
    <w:rsid w:val="00EF7FA7"/>
    <w:rsid w:val="00F00A86"/>
    <w:rsid w:val="00F00DCE"/>
    <w:rsid w:val="00F01358"/>
    <w:rsid w:val="00F014CC"/>
    <w:rsid w:val="00F02530"/>
    <w:rsid w:val="00F02BB9"/>
    <w:rsid w:val="00F02C71"/>
    <w:rsid w:val="00F02C8B"/>
    <w:rsid w:val="00F0354C"/>
    <w:rsid w:val="00F0520E"/>
    <w:rsid w:val="00F05A0D"/>
    <w:rsid w:val="00F07128"/>
    <w:rsid w:val="00F073C2"/>
    <w:rsid w:val="00F07538"/>
    <w:rsid w:val="00F10C6D"/>
    <w:rsid w:val="00F11139"/>
    <w:rsid w:val="00F11151"/>
    <w:rsid w:val="00F11834"/>
    <w:rsid w:val="00F126BD"/>
    <w:rsid w:val="00F13149"/>
    <w:rsid w:val="00F1502C"/>
    <w:rsid w:val="00F151AA"/>
    <w:rsid w:val="00F157BF"/>
    <w:rsid w:val="00F157CE"/>
    <w:rsid w:val="00F16500"/>
    <w:rsid w:val="00F16844"/>
    <w:rsid w:val="00F16B34"/>
    <w:rsid w:val="00F17960"/>
    <w:rsid w:val="00F17983"/>
    <w:rsid w:val="00F17EE7"/>
    <w:rsid w:val="00F2125E"/>
    <w:rsid w:val="00F21B2A"/>
    <w:rsid w:val="00F22A3C"/>
    <w:rsid w:val="00F22AD8"/>
    <w:rsid w:val="00F233D1"/>
    <w:rsid w:val="00F23507"/>
    <w:rsid w:val="00F2449A"/>
    <w:rsid w:val="00F24C1A"/>
    <w:rsid w:val="00F258FB"/>
    <w:rsid w:val="00F26A3A"/>
    <w:rsid w:val="00F31154"/>
    <w:rsid w:val="00F3143F"/>
    <w:rsid w:val="00F31498"/>
    <w:rsid w:val="00F31A26"/>
    <w:rsid w:val="00F3215E"/>
    <w:rsid w:val="00F32666"/>
    <w:rsid w:val="00F333A0"/>
    <w:rsid w:val="00F33751"/>
    <w:rsid w:val="00F33A2D"/>
    <w:rsid w:val="00F33D5A"/>
    <w:rsid w:val="00F33E9C"/>
    <w:rsid w:val="00F3465E"/>
    <w:rsid w:val="00F355D6"/>
    <w:rsid w:val="00F3644F"/>
    <w:rsid w:val="00F36A88"/>
    <w:rsid w:val="00F37185"/>
    <w:rsid w:val="00F372E0"/>
    <w:rsid w:val="00F37362"/>
    <w:rsid w:val="00F40EAC"/>
    <w:rsid w:val="00F4142C"/>
    <w:rsid w:val="00F4157B"/>
    <w:rsid w:val="00F41EC0"/>
    <w:rsid w:val="00F427D9"/>
    <w:rsid w:val="00F43C3F"/>
    <w:rsid w:val="00F43F20"/>
    <w:rsid w:val="00F440CE"/>
    <w:rsid w:val="00F44E8C"/>
    <w:rsid w:val="00F46AA4"/>
    <w:rsid w:val="00F46B08"/>
    <w:rsid w:val="00F47C18"/>
    <w:rsid w:val="00F50140"/>
    <w:rsid w:val="00F502F6"/>
    <w:rsid w:val="00F521D0"/>
    <w:rsid w:val="00F52B09"/>
    <w:rsid w:val="00F5351C"/>
    <w:rsid w:val="00F53DD4"/>
    <w:rsid w:val="00F547D3"/>
    <w:rsid w:val="00F54D22"/>
    <w:rsid w:val="00F567C9"/>
    <w:rsid w:val="00F575B9"/>
    <w:rsid w:val="00F57E3E"/>
    <w:rsid w:val="00F61307"/>
    <w:rsid w:val="00F61829"/>
    <w:rsid w:val="00F61FE9"/>
    <w:rsid w:val="00F640FC"/>
    <w:rsid w:val="00F66106"/>
    <w:rsid w:val="00F66638"/>
    <w:rsid w:val="00F70196"/>
    <w:rsid w:val="00F70702"/>
    <w:rsid w:val="00F717B5"/>
    <w:rsid w:val="00F71E2E"/>
    <w:rsid w:val="00F71F18"/>
    <w:rsid w:val="00F72C39"/>
    <w:rsid w:val="00F72E45"/>
    <w:rsid w:val="00F7408C"/>
    <w:rsid w:val="00F74847"/>
    <w:rsid w:val="00F75A5F"/>
    <w:rsid w:val="00F75ED5"/>
    <w:rsid w:val="00F75F90"/>
    <w:rsid w:val="00F76223"/>
    <w:rsid w:val="00F769FB"/>
    <w:rsid w:val="00F76B37"/>
    <w:rsid w:val="00F77E29"/>
    <w:rsid w:val="00F804D5"/>
    <w:rsid w:val="00F81DAE"/>
    <w:rsid w:val="00F81DFA"/>
    <w:rsid w:val="00F82182"/>
    <w:rsid w:val="00F82A60"/>
    <w:rsid w:val="00F83FD3"/>
    <w:rsid w:val="00F84585"/>
    <w:rsid w:val="00F851D3"/>
    <w:rsid w:val="00F86FEF"/>
    <w:rsid w:val="00F8725D"/>
    <w:rsid w:val="00F87CC1"/>
    <w:rsid w:val="00F900B2"/>
    <w:rsid w:val="00F909FB"/>
    <w:rsid w:val="00F90F13"/>
    <w:rsid w:val="00F922AA"/>
    <w:rsid w:val="00F92E9A"/>
    <w:rsid w:val="00F93838"/>
    <w:rsid w:val="00F9423E"/>
    <w:rsid w:val="00F948CB"/>
    <w:rsid w:val="00F954F4"/>
    <w:rsid w:val="00F95663"/>
    <w:rsid w:val="00F95AD0"/>
    <w:rsid w:val="00F95D18"/>
    <w:rsid w:val="00F9623E"/>
    <w:rsid w:val="00F975BA"/>
    <w:rsid w:val="00FA15CD"/>
    <w:rsid w:val="00FA15EC"/>
    <w:rsid w:val="00FA18C9"/>
    <w:rsid w:val="00FA238A"/>
    <w:rsid w:val="00FA23FB"/>
    <w:rsid w:val="00FA2FBD"/>
    <w:rsid w:val="00FA38BF"/>
    <w:rsid w:val="00FA3950"/>
    <w:rsid w:val="00FA3A58"/>
    <w:rsid w:val="00FA4F80"/>
    <w:rsid w:val="00FA5588"/>
    <w:rsid w:val="00FA56B5"/>
    <w:rsid w:val="00FA65CE"/>
    <w:rsid w:val="00FA65F7"/>
    <w:rsid w:val="00FA6DD8"/>
    <w:rsid w:val="00FA74DC"/>
    <w:rsid w:val="00FA76F7"/>
    <w:rsid w:val="00FA7D40"/>
    <w:rsid w:val="00FA7ED2"/>
    <w:rsid w:val="00FA7FD9"/>
    <w:rsid w:val="00FB24F8"/>
    <w:rsid w:val="00FB25AA"/>
    <w:rsid w:val="00FB2C83"/>
    <w:rsid w:val="00FB2F5C"/>
    <w:rsid w:val="00FB31ED"/>
    <w:rsid w:val="00FB3701"/>
    <w:rsid w:val="00FB4334"/>
    <w:rsid w:val="00FB4720"/>
    <w:rsid w:val="00FB50FB"/>
    <w:rsid w:val="00FB5CB8"/>
    <w:rsid w:val="00FB5CC4"/>
    <w:rsid w:val="00FB6242"/>
    <w:rsid w:val="00FB6449"/>
    <w:rsid w:val="00FB6EE6"/>
    <w:rsid w:val="00FB7F1A"/>
    <w:rsid w:val="00FC191B"/>
    <w:rsid w:val="00FC1A96"/>
    <w:rsid w:val="00FC221C"/>
    <w:rsid w:val="00FC251F"/>
    <w:rsid w:val="00FC25D7"/>
    <w:rsid w:val="00FC2B27"/>
    <w:rsid w:val="00FC2B6E"/>
    <w:rsid w:val="00FC3FD7"/>
    <w:rsid w:val="00FC4052"/>
    <w:rsid w:val="00FC4976"/>
    <w:rsid w:val="00FC5747"/>
    <w:rsid w:val="00FC588C"/>
    <w:rsid w:val="00FC5AB0"/>
    <w:rsid w:val="00FC5E61"/>
    <w:rsid w:val="00FC5EE8"/>
    <w:rsid w:val="00FC681F"/>
    <w:rsid w:val="00FC6E51"/>
    <w:rsid w:val="00FC77B3"/>
    <w:rsid w:val="00FC7C3A"/>
    <w:rsid w:val="00FD120E"/>
    <w:rsid w:val="00FD18D7"/>
    <w:rsid w:val="00FD1F96"/>
    <w:rsid w:val="00FD3CE4"/>
    <w:rsid w:val="00FD588B"/>
    <w:rsid w:val="00FD5BCD"/>
    <w:rsid w:val="00FD5DB7"/>
    <w:rsid w:val="00FD5DF4"/>
    <w:rsid w:val="00FD7D33"/>
    <w:rsid w:val="00FE0A35"/>
    <w:rsid w:val="00FE0FA1"/>
    <w:rsid w:val="00FE1B76"/>
    <w:rsid w:val="00FE1BDE"/>
    <w:rsid w:val="00FE2196"/>
    <w:rsid w:val="00FE2579"/>
    <w:rsid w:val="00FE2F08"/>
    <w:rsid w:val="00FE3B5B"/>
    <w:rsid w:val="00FE4103"/>
    <w:rsid w:val="00FE4B98"/>
    <w:rsid w:val="00FE5C73"/>
    <w:rsid w:val="00FE6F27"/>
    <w:rsid w:val="00FE7733"/>
    <w:rsid w:val="00FE78BD"/>
    <w:rsid w:val="00FE79D2"/>
    <w:rsid w:val="00FF065C"/>
    <w:rsid w:val="00FF0EDC"/>
    <w:rsid w:val="00FF1184"/>
    <w:rsid w:val="00FF17C2"/>
    <w:rsid w:val="00FF1870"/>
    <w:rsid w:val="00FF25D6"/>
    <w:rsid w:val="00FF3112"/>
    <w:rsid w:val="00FF40C0"/>
    <w:rsid w:val="00FF4C3A"/>
    <w:rsid w:val="00FF4EBE"/>
    <w:rsid w:val="00FF512A"/>
    <w:rsid w:val="00FF591C"/>
    <w:rsid w:val="00FF5D18"/>
    <w:rsid w:val="00FF6570"/>
    <w:rsid w:val="00FF693D"/>
    <w:rsid w:val="00FF7673"/>
    <w:rsid w:val="00FF777C"/>
    <w:rsid w:val="011319A2"/>
    <w:rsid w:val="01486C3E"/>
    <w:rsid w:val="0185F555"/>
    <w:rsid w:val="02420C6B"/>
    <w:rsid w:val="0264CB31"/>
    <w:rsid w:val="026D9190"/>
    <w:rsid w:val="02CE3A67"/>
    <w:rsid w:val="02D89370"/>
    <w:rsid w:val="03E24BFF"/>
    <w:rsid w:val="042A01AC"/>
    <w:rsid w:val="043E82B8"/>
    <w:rsid w:val="04735951"/>
    <w:rsid w:val="04E5C745"/>
    <w:rsid w:val="04E7043A"/>
    <w:rsid w:val="050AE2C9"/>
    <w:rsid w:val="05436B32"/>
    <w:rsid w:val="055EA8CE"/>
    <w:rsid w:val="057E1C60"/>
    <w:rsid w:val="05AF9F08"/>
    <w:rsid w:val="05CCCED8"/>
    <w:rsid w:val="05DA5319"/>
    <w:rsid w:val="05F10DB5"/>
    <w:rsid w:val="05F57421"/>
    <w:rsid w:val="06103432"/>
    <w:rsid w:val="063ADBF5"/>
    <w:rsid w:val="0726B732"/>
    <w:rsid w:val="07A8968A"/>
    <w:rsid w:val="07E7C559"/>
    <w:rsid w:val="092431F8"/>
    <w:rsid w:val="095B30F6"/>
    <w:rsid w:val="095EE271"/>
    <w:rsid w:val="097AEBFF"/>
    <w:rsid w:val="09D4F2E4"/>
    <w:rsid w:val="0A379BD8"/>
    <w:rsid w:val="0A3A9088"/>
    <w:rsid w:val="0A8DECB6"/>
    <w:rsid w:val="0B8B82CD"/>
    <w:rsid w:val="0BB9A745"/>
    <w:rsid w:val="0BDBD964"/>
    <w:rsid w:val="0BEF66C8"/>
    <w:rsid w:val="0BF2851A"/>
    <w:rsid w:val="0C4FC801"/>
    <w:rsid w:val="0C8BF68A"/>
    <w:rsid w:val="0C8E04EF"/>
    <w:rsid w:val="0CA20D72"/>
    <w:rsid w:val="0CD7757F"/>
    <w:rsid w:val="0DAE0719"/>
    <w:rsid w:val="0DFC1640"/>
    <w:rsid w:val="0E74BE23"/>
    <w:rsid w:val="0E82C001"/>
    <w:rsid w:val="0EAA59DC"/>
    <w:rsid w:val="0F0B0CFB"/>
    <w:rsid w:val="0F22756B"/>
    <w:rsid w:val="0F27078A"/>
    <w:rsid w:val="100F1641"/>
    <w:rsid w:val="10701E86"/>
    <w:rsid w:val="1124EA3B"/>
    <w:rsid w:val="11AC5EE5"/>
    <w:rsid w:val="11BDA579"/>
    <w:rsid w:val="122406B6"/>
    <w:rsid w:val="12248E81"/>
    <w:rsid w:val="124EC455"/>
    <w:rsid w:val="12C9A226"/>
    <w:rsid w:val="12D72A27"/>
    <w:rsid w:val="13494F8D"/>
    <w:rsid w:val="13659644"/>
    <w:rsid w:val="1382DBCA"/>
    <w:rsid w:val="13C05EE2"/>
    <w:rsid w:val="13E75528"/>
    <w:rsid w:val="13FF44E4"/>
    <w:rsid w:val="142DF9E4"/>
    <w:rsid w:val="1433CBEC"/>
    <w:rsid w:val="144AF230"/>
    <w:rsid w:val="14784244"/>
    <w:rsid w:val="157A4E7F"/>
    <w:rsid w:val="1605D66F"/>
    <w:rsid w:val="1617B41C"/>
    <w:rsid w:val="169D8AC5"/>
    <w:rsid w:val="17698C1D"/>
    <w:rsid w:val="17A272C0"/>
    <w:rsid w:val="18564CED"/>
    <w:rsid w:val="1899C888"/>
    <w:rsid w:val="18AB4A6F"/>
    <w:rsid w:val="192A2A23"/>
    <w:rsid w:val="19354F27"/>
    <w:rsid w:val="19552494"/>
    <w:rsid w:val="19CA8D94"/>
    <w:rsid w:val="1A0385A3"/>
    <w:rsid w:val="1A6FE14F"/>
    <w:rsid w:val="1A828518"/>
    <w:rsid w:val="1B0AF3C2"/>
    <w:rsid w:val="1B7BB6F4"/>
    <w:rsid w:val="1B8A0190"/>
    <w:rsid w:val="1B8D9B70"/>
    <w:rsid w:val="1BD25DE2"/>
    <w:rsid w:val="1BFC6F68"/>
    <w:rsid w:val="1C0BB1B0"/>
    <w:rsid w:val="1C458BDB"/>
    <w:rsid w:val="1C9BA42F"/>
    <w:rsid w:val="1D178755"/>
    <w:rsid w:val="1D6C3D8C"/>
    <w:rsid w:val="1E553D87"/>
    <w:rsid w:val="1EB357B6"/>
    <w:rsid w:val="1EF724D2"/>
    <w:rsid w:val="1F73582E"/>
    <w:rsid w:val="1FE27F1C"/>
    <w:rsid w:val="2063C147"/>
    <w:rsid w:val="207350E9"/>
    <w:rsid w:val="2092F533"/>
    <w:rsid w:val="211B3F8A"/>
    <w:rsid w:val="21A740FA"/>
    <w:rsid w:val="21DD1C2C"/>
    <w:rsid w:val="222EC594"/>
    <w:rsid w:val="225DD030"/>
    <w:rsid w:val="22CDCC5F"/>
    <w:rsid w:val="22EA3980"/>
    <w:rsid w:val="23CA95F5"/>
    <w:rsid w:val="2453924C"/>
    <w:rsid w:val="24A734FC"/>
    <w:rsid w:val="24B87350"/>
    <w:rsid w:val="24CF3C7E"/>
    <w:rsid w:val="25637C91"/>
    <w:rsid w:val="259EEB35"/>
    <w:rsid w:val="25B2DC86"/>
    <w:rsid w:val="266B0CDF"/>
    <w:rsid w:val="2687076E"/>
    <w:rsid w:val="26A66A5C"/>
    <w:rsid w:val="2700D0D2"/>
    <w:rsid w:val="2839B1B9"/>
    <w:rsid w:val="286662EF"/>
    <w:rsid w:val="28D49DB5"/>
    <w:rsid w:val="2925695D"/>
    <w:rsid w:val="29481B9E"/>
    <w:rsid w:val="2970AA66"/>
    <w:rsid w:val="29777B11"/>
    <w:rsid w:val="2978AAF7"/>
    <w:rsid w:val="29A47EA1"/>
    <w:rsid w:val="2A1506B9"/>
    <w:rsid w:val="2A4ACBCB"/>
    <w:rsid w:val="2AA511E4"/>
    <w:rsid w:val="2ADB32B0"/>
    <w:rsid w:val="2B277EB2"/>
    <w:rsid w:val="2B8DF9C8"/>
    <w:rsid w:val="2BFC89A2"/>
    <w:rsid w:val="2C589CB4"/>
    <w:rsid w:val="2C5B3B9E"/>
    <w:rsid w:val="2C9193BB"/>
    <w:rsid w:val="2CA16008"/>
    <w:rsid w:val="2CFDFD99"/>
    <w:rsid w:val="2D299638"/>
    <w:rsid w:val="2D3E02D5"/>
    <w:rsid w:val="2D5F7F50"/>
    <w:rsid w:val="2F291D0A"/>
    <w:rsid w:val="2F2B82FF"/>
    <w:rsid w:val="2F424785"/>
    <w:rsid w:val="2FDB304F"/>
    <w:rsid w:val="307F7022"/>
    <w:rsid w:val="30BC3E8D"/>
    <w:rsid w:val="30DE17E6"/>
    <w:rsid w:val="31660108"/>
    <w:rsid w:val="31A43C67"/>
    <w:rsid w:val="31BE03C3"/>
    <w:rsid w:val="31C784DB"/>
    <w:rsid w:val="32A75033"/>
    <w:rsid w:val="32A943A9"/>
    <w:rsid w:val="32F535DB"/>
    <w:rsid w:val="3305F9BE"/>
    <w:rsid w:val="33175144"/>
    <w:rsid w:val="333E14F5"/>
    <w:rsid w:val="33A9E964"/>
    <w:rsid w:val="33BFE727"/>
    <w:rsid w:val="33DA6F80"/>
    <w:rsid w:val="352792AE"/>
    <w:rsid w:val="354F8620"/>
    <w:rsid w:val="357E973A"/>
    <w:rsid w:val="35AF2091"/>
    <w:rsid w:val="36C65884"/>
    <w:rsid w:val="371BFF4F"/>
    <w:rsid w:val="374BEC56"/>
    <w:rsid w:val="37F8EC32"/>
    <w:rsid w:val="38500027"/>
    <w:rsid w:val="38F6DEA6"/>
    <w:rsid w:val="39600BD2"/>
    <w:rsid w:val="396A4C6E"/>
    <w:rsid w:val="399610A3"/>
    <w:rsid w:val="39A24B69"/>
    <w:rsid w:val="3AE86ED7"/>
    <w:rsid w:val="3B38A982"/>
    <w:rsid w:val="3B39E30A"/>
    <w:rsid w:val="3BAE05AF"/>
    <w:rsid w:val="3BB704C9"/>
    <w:rsid w:val="3BED8485"/>
    <w:rsid w:val="3C11A5E9"/>
    <w:rsid w:val="3C39A6FF"/>
    <w:rsid w:val="3C3BAFDA"/>
    <w:rsid w:val="3C75B35F"/>
    <w:rsid w:val="3D493196"/>
    <w:rsid w:val="3D959FA5"/>
    <w:rsid w:val="3E20FFE2"/>
    <w:rsid w:val="3E9BD292"/>
    <w:rsid w:val="3F164F84"/>
    <w:rsid w:val="3F2CFAE9"/>
    <w:rsid w:val="3F30B98F"/>
    <w:rsid w:val="3F799552"/>
    <w:rsid w:val="401D6B1E"/>
    <w:rsid w:val="408D007C"/>
    <w:rsid w:val="40C0338E"/>
    <w:rsid w:val="40ED615F"/>
    <w:rsid w:val="412290AF"/>
    <w:rsid w:val="4147C7D5"/>
    <w:rsid w:val="4196D758"/>
    <w:rsid w:val="42A69AE5"/>
    <w:rsid w:val="42B5E656"/>
    <w:rsid w:val="42D2072D"/>
    <w:rsid w:val="439412D2"/>
    <w:rsid w:val="439E82CA"/>
    <w:rsid w:val="43CE549B"/>
    <w:rsid w:val="43D40946"/>
    <w:rsid w:val="4401655D"/>
    <w:rsid w:val="443561AC"/>
    <w:rsid w:val="446DD78E"/>
    <w:rsid w:val="4563898A"/>
    <w:rsid w:val="45814CC9"/>
    <w:rsid w:val="45927F60"/>
    <w:rsid w:val="45D1320D"/>
    <w:rsid w:val="468A15AB"/>
    <w:rsid w:val="4739061F"/>
    <w:rsid w:val="4803C7A2"/>
    <w:rsid w:val="4822EBA1"/>
    <w:rsid w:val="48808EA3"/>
    <w:rsid w:val="48EBE095"/>
    <w:rsid w:val="49D36F00"/>
    <w:rsid w:val="4A4E95AB"/>
    <w:rsid w:val="4A70A6E1"/>
    <w:rsid w:val="4A89E31F"/>
    <w:rsid w:val="4AA7F966"/>
    <w:rsid w:val="4AF85932"/>
    <w:rsid w:val="4B062C93"/>
    <w:rsid w:val="4B341B9C"/>
    <w:rsid w:val="4BACF7FC"/>
    <w:rsid w:val="4BF6F05C"/>
    <w:rsid w:val="4C24D810"/>
    <w:rsid w:val="4C38C33B"/>
    <w:rsid w:val="4C580932"/>
    <w:rsid w:val="4CC58EF5"/>
    <w:rsid w:val="4D6CAC66"/>
    <w:rsid w:val="4D92C0BD"/>
    <w:rsid w:val="4E721026"/>
    <w:rsid w:val="4E87A862"/>
    <w:rsid w:val="4EB4DAB7"/>
    <w:rsid w:val="4F1D40A5"/>
    <w:rsid w:val="4F89DFA8"/>
    <w:rsid w:val="50C6C008"/>
    <w:rsid w:val="50C8EBE7"/>
    <w:rsid w:val="50DABD74"/>
    <w:rsid w:val="520116CA"/>
    <w:rsid w:val="523BD2F8"/>
    <w:rsid w:val="52A91DBD"/>
    <w:rsid w:val="52ED5EE7"/>
    <w:rsid w:val="539CE72B"/>
    <w:rsid w:val="53B6A082"/>
    <w:rsid w:val="543B9B00"/>
    <w:rsid w:val="547C0435"/>
    <w:rsid w:val="54857856"/>
    <w:rsid w:val="54ABF80E"/>
    <w:rsid w:val="54B9D7E5"/>
    <w:rsid w:val="556FB84B"/>
    <w:rsid w:val="55787322"/>
    <w:rsid w:val="55BAF021"/>
    <w:rsid w:val="5627B93F"/>
    <w:rsid w:val="56308CB8"/>
    <w:rsid w:val="563EC8D7"/>
    <w:rsid w:val="56C058B9"/>
    <w:rsid w:val="56C1E2D8"/>
    <w:rsid w:val="56EF8128"/>
    <w:rsid w:val="57900059"/>
    <w:rsid w:val="585DC0CE"/>
    <w:rsid w:val="585FA780"/>
    <w:rsid w:val="58B17141"/>
    <w:rsid w:val="590077E2"/>
    <w:rsid w:val="5912A85D"/>
    <w:rsid w:val="594AE99B"/>
    <w:rsid w:val="59F71221"/>
    <w:rsid w:val="59F9912F"/>
    <w:rsid w:val="5A6CA6FB"/>
    <w:rsid w:val="5A90E245"/>
    <w:rsid w:val="5AAE78BE"/>
    <w:rsid w:val="5B24D438"/>
    <w:rsid w:val="5B94258A"/>
    <w:rsid w:val="5BDD9FE6"/>
    <w:rsid w:val="5C52413D"/>
    <w:rsid w:val="5C9124C8"/>
    <w:rsid w:val="5D328551"/>
    <w:rsid w:val="5D37EF8C"/>
    <w:rsid w:val="5D5DBC6B"/>
    <w:rsid w:val="5D5EDC3B"/>
    <w:rsid w:val="5DA447BD"/>
    <w:rsid w:val="5DBC989A"/>
    <w:rsid w:val="5DDD957D"/>
    <w:rsid w:val="5DE90B0F"/>
    <w:rsid w:val="5E0DAC83"/>
    <w:rsid w:val="5E154B9E"/>
    <w:rsid w:val="5EB1A24C"/>
    <w:rsid w:val="5EEF467E"/>
    <w:rsid w:val="5FB56E93"/>
    <w:rsid w:val="601629F4"/>
    <w:rsid w:val="6062D2D3"/>
    <w:rsid w:val="60C48F07"/>
    <w:rsid w:val="61157194"/>
    <w:rsid w:val="621C408F"/>
    <w:rsid w:val="62B9B8AA"/>
    <w:rsid w:val="62D8A384"/>
    <w:rsid w:val="630AFD87"/>
    <w:rsid w:val="6415F1B9"/>
    <w:rsid w:val="641B9DC3"/>
    <w:rsid w:val="6441A039"/>
    <w:rsid w:val="646CC374"/>
    <w:rsid w:val="647CD1F6"/>
    <w:rsid w:val="6534B5B7"/>
    <w:rsid w:val="65A14A71"/>
    <w:rsid w:val="65BBE3F2"/>
    <w:rsid w:val="6660D47B"/>
    <w:rsid w:val="66A16625"/>
    <w:rsid w:val="66DD942D"/>
    <w:rsid w:val="673A37F1"/>
    <w:rsid w:val="676B4F66"/>
    <w:rsid w:val="6790F7D5"/>
    <w:rsid w:val="67F20100"/>
    <w:rsid w:val="6840F2C9"/>
    <w:rsid w:val="684B0766"/>
    <w:rsid w:val="6855ED4C"/>
    <w:rsid w:val="686E8E3E"/>
    <w:rsid w:val="687DE80C"/>
    <w:rsid w:val="68B7AC97"/>
    <w:rsid w:val="692E1C0A"/>
    <w:rsid w:val="69569E54"/>
    <w:rsid w:val="6A8C27B2"/>
    <w:rsid w:val="6AE2C38E"/>
    <w:rsid w:val="6B52C931"/>
    <w:rsid w:val="6BD67A85"/>
    <w:rsid w:val="6BDE6922"/>
    <w:rsid w:val="6BEE1EC6"/>
    <w:rsid w:val="6BF293DA"/>
    <w:rsid w:val="6C68E62E"/>
    <w:rsid w:val="6C70B126"/>
    <w:rsid w:val="6CA605E8"/>
    <w:rsid w:val="6D71F55D"/>
    <w:rsid w:val="6D858C12"/>
    <w:rsid w:val="6DCE737D"/>
    <w:rsid w:val="6DF0D626"/>
    <w:rsid w:val="6E0C8187"/>
    <w:rsid w:val="6EF958DB"/>
    <w:rsid w:val="6EF97854"/>
    <w:rsid w:val="6F546357"/>
    <w:rsid w:val="6FA2ECC0"/>
    <w:rsid w:val="701D1D45"/>
    <w:rsid w:val="7048CAD8"/>
    <w:rsid w:val="70F5CA23"/>
    <w:rsid w:val="719D0B43"/>
    <w:rsid w:val="71C0FBD9"/>
    <w:rsid w:val="71CDA232"/>
    <w:rsid w:val="71F89DFE"/>
    <w:rsid w:val="721E1DE0"/>
    <w:rsid w:val="724A0C8E"/>
    <w:rsid w:val="727ACE53"/>
    <w:rsid w:val="727D09CB"/>
    <w:rsid w:val="729521FC"/>
    <w:rsid w:val="72AA69FC"/>
    <w:rsid w:val="72BFD1A6"/>
    <w:rsid w:val="73697293"/>
    <w:rsid w:val="73A2270D"/>
    <w:rsid w:val="73B24121"/>
    <w:rsid w:val="742D805B"/>
    <w:rsid w:val="7493539B"/>
    <w:rsid w:val="74A2BC8C"/>
    <w:rsid w:val="752F5036"/>
    <w:rsid w:val="75AEBD87"/>
    <w:rsid w:val="75C2F633"/>
    <w:rsid w:val="768195CD"/>
    <w:rsid w:val="7690665B"/>
    <w:rsid w:val="76A9BB56"/>
    <w:rsid w:val="774A8DE8"/>
    <w:rsid w:val="78A7E8FC"/>
    <w:rsid w:val="78DAAA82"/>
    <w:rsid w:val="79101EA1"/>
    <w:rsid w:val="7949E2E7"/>
    <w:rsid w:val="795F1150"/>
    <w:rsid w:val="7964A2F8"/>
    <w:rsid w:val="79E0A19D"/>
    <w:rsid w:val="7A4F72FD"/>
    <w:rsid w:val="7A74E54A"/>
    <w:rsid w:val="7ABE02EE"/>
    <w:rsid w:val="7B0A7E59"/>
    <w:rsid w:val="7B4B0190"/>
    <w:rsid w:val="7B8AED1C"/>
    <w:rsid w:val="7BAA326F"/>
    <w:rsid w:val="7BEE16C7"/>
    <w:rsid w:val="7C22DBE5"/>
    <w:rsid w:val="7C5767EB"/>
    <w:rsid w:val="7CC5E513"/>
    <w:rsid w:val="7D50126E"/>
    <w:rsid w:val="7D552758"/>
    <w:rsid w:val="7D57A0D7"/>
    <w:rsid w:val="7DAC860C"/>
    <w:rsid w:val="7DFE8826"/>
    <w:rsid w:val="7E0675AC"/>
    <w:rsid w:val="7E1D540A"/>
    <w:rsid w:val="7EC8A345"/>
    <w:rsid w:val="7EE4BCCB"/>
    <w:rsid w:val="7EECFBAA"/>
    <w:rsid w:val="7F4845EC"/>
    <w:rsid w:val="7FB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6983F"/>
  <w15:chartTrackingRefBased/>
  <w15:docId w15:val="{92E9CC77-9BBB-47CB-8C93-36EA01E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1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F31A26"/>
    <w:pPr>
      <w:numPr>
        <w:numId w:val="2"/>
      </w:numPr>
      <w:tabs>
        <w:tab w:val="left" w:pos="1134"/>
      </w:tabs>
      <w:spacing w:before="120" w:after="120"/>
      <w:ind w:left="567"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5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86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F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1579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A0F90"/>
    <w:pPr>
      <w:spacing w:after="0" w:line="240" w:lineRule="auto"/>
    </w:pPr>
    <w:rPr>
      <w:rFonts w:eastAsia="DengXian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4571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4685A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normaltextrun">
    <w:name w:val="normaltextrun"/>
    <w:basedOn w:val="DefaultParagraphFont"/>
    <w:rsid w:val="00B86A90"/>
  </w:style>
  <w:style w:type="paragraph" w:customStyle="1" w:styleId="paragraph">
    <w:name w:val="paragraph"/>
    <w:basedOn w:val="Normal"/>
    <w:rsid w:val="00B86A90"/>
    <w:pPr>
      <w:spacing w:before="100" w:beforeAutospacing="1" w:after="100" w:afterAutospacing="1"/>
      <w:jc w:val="left"/>
    </w:pPr>
    <w:rPr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c/8e12/ded3/9586fda9b3e288ca9d74e8ff/fm-teg-2024-01-01-add1-en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cbd.int/doc/c/9e1f/98c4/f15f27398031d1bc34a561b6/fm-teg-2024-01-01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5/cop-15-dec-07-en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342f/f10b/16d3a19af44b54a64ca357ed/fm-teg-2023-01-03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herme.patury\Downloads\template-general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4F26E14614BC5B6C202D6AA72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3028-0F58-4B8B-B953-9CB2E87D94A6}"/>
      </w:docPartPr>
      <w:docPartBody>
        <w:p w:rsidR="002B2941" w:rsidRDefault="007D00C2">
          <w:pPr>
            <w:pStyle w:val="5974F26E14614BC5B6C202D6AA72BA76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1"/>
    <w:rsid w:val="00033E0A"/>
    <w:rsid w:val="000F2F63"/>
    <w:rsid w:val="000F64E0"/>
    <w:rsid w:val="00152A8F"/>
    <w:rsid w:val="001846F5"/>
    <w:rsid w:val="00237350"/>
    <w:rsid w:val="002B2941"/>
    <w:rsid w:val="00343E0F"/>
    <w:rsid w:val="003B5AA1"/>
    <w:rsid w:val="004704C8"/>
    <w:rsid w:val="004B00BD"/>
    <w:rsid w:val="004E3A6A"/>
    <w:rsid w:val="0051498A"/>
    <w:rsid w:val="0055043D"/>
    <w:rsid w:val="005F41C8"/>
    <w:rsid w:val="006D7BE3"/>
    <w:rsid w:val="007D00C2"/>
    <w:rsid w:val="007D7490"/>
    <w:rsid w:val="007E5C33"/>
    <w:rsid w:val="0085444E"/>
    <w:rsid w:val="008C3606"/>
    <w:rsid w:val="00A379C8"/>
    <w:rsid w:val="00A40A5A"/>
    <w:rsid w:val="00A85D77"/>
    <w:rsid w:val="00C207ED"/>
    <w:rsid w:val="00CC41CE"/>
    <w:rsid w:val="00CE3845"/>
    <w:rsid w:val="00D17A72"/>
    <w:rsid w:val="00D636FD"/>
    <w:rsid w:val="00DC62FB"/>
    <w:rsid w:val="00E95C35"/>
    <w:rsid w:val="00EB1897"/>
    <w:rsid w:val="00EC53C1"/>
    <w:rsid w:val="00F22732"/>
    <w:rsid w:val="00F45307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74F26E14614BC5B6C202D6AA72BA76">
    <w:name w:val="5974F26E14614BC5B6C202D6AA72BA76"/>
    <w:pPr>
      <w:spacing w:line="278" w:lineRule="auto"/>
    </w:pPr>
    <w:rPr>
      <w:sz w:val="24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C045-B28A-415B-BB88-1E35DFE1E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61236-FCE9-4213-8DD3-BB7C9227E6A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(1).dotm</Template>
  <TotalTime>3</TotalTime>
  <Pages>14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Technical Expert Group on Financial Reporting on its second meeting</vt:lpstr>
    </vt:vector>
  </TitlesOfParts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Technical Expert Group on Financial Reporting on its second meeting</dc:title>
  <dc:subject>CBD/FM/TEG/2024/1/2</dc:subject>
  <dc:creator>guilherme.patury</dc:creator>
  <cp:keywords/>
  <dc:description/>
  <cp:lastModifiedBy>Veronique Lefebvre</cp:lastModifiedBy>
  <cp:revision>4</cp:revision>
  <cp:lastPrinted>2024-01-09T10:58:00Z</cp:lastPrinted>
  <dcterms:created xsi:type="dcterms:W3CDTF">2024-04-22T15:34:00Z</dcterms:created>
  <dcterms:modified xsi:type="dcterms:W3CDTF">2024-04-22T15:36:00Z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  <property fmtid="{D5CDD505-2E9C-101B-9397-08002B2CF9AE}" pid="4" name="OECDDocumentId">
    <vt:lpwstr>516F8E5917C85610C6A454C332DB43A2C7622FF448154E4A13F895DF55CDE6C9</vt:lpwstr>
  </property>
  <property fmtid="{D5CDD505-2E9C-101B-9397-08002B2CF9AE}" pid="5" name="OecdDocumentCoteLangHash">
    <vt:lpwstr/>
  </property>
</Properties>
</file>