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127"/>
        <w:gridCol w:w="5244"/>
      </w:tblGrid>
      <w:tr w:rsidR="00A96B21" w:rsidRPr="0062628C" w14:paraId="2724E786" w14:textId="77777777" w:rsidTr="00324E62">
        <w:trPr>
          <w:trHeight w:val="851"/>
        </w:trPr>
        <w:tc>
          <w:tcPr>
            <w:tcW w:w="472" w:type="pct"/>
            <w:tcBorders>
              <w:bottom w:val="single" w:sz="8" w:space="0" w:color="auto"/>
            </w:tcBorders>
            <w:vAlign w:val="bottom"/>
          </w:tcPr>
          <w:p w14:paraId="43399B3D" w14:textId="77777777" w:rsidR="00A96B21" w:rsidRPr="0062628C" w:rsidRDefault="00A96B21" w:rsidP="00695A97">
            <w:pPr>
              <w:spacing w:after="120"/>
              <w:jc w:val="left"/>
            </w:pPr>
            <w:bookmarkStart w:id="0" w:name="_Hlk137651738"/>
            <w:r>
              <w:rPr>
                <w:noProof/>
                <w:lang w:val="en-US"/>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94" w:type="pct"/>
            <w:tcBorders>
              <w:bottom w:val="single" w:sz="8" w:space="0" w:color="auto"/>
            </w:tcBorders>
            <w:tcFitText/>
            <w:vAlign w:val="bottom"/>
          </w:tcPr>
          <w:p w14:paraId="1405570B" w14:textId="3FCE6BE7" w:rsidR="00A96B21" w:rsidRPr="0062628C" w:rsidRDefault="00DB37B1" w:rsidP="00695A97">
            <w:pPr>
              <w:spacing w:after="120"/>
              <w:jc w:val="left"/>
            </w:pPr>
            <w:r w:rsidRPr="00FA6F1D">
              <w:rPr>
                <w:noProof/>
                <w:lang w:val="en-US"/>
              </w:rPr>
              <w:drawing>
                <wp:inline distT="0" distB="0" distL="0" distR="0" wp14:anchorId="6D0E619F" wp14:editId="5BC3EF65">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a:stretch>
                            <a:fillRect/>
                          </a:stretch>
                        </pic:blipFill>
                        <pic:spPr>
                          <a:xfrm>
                            <a:off x="0" y="0"/>
                            <a:ext cx="498788" cy="285021"/>
                          </a:xfrm>
                          <a:prstGeom prst="rect">
                            <a:avLst/>
                          </a:prstGeom>
                        </pic:spPr>
                      </pic:pic>
                    </a:graphicData>
                  </a:graphic>
                </wp:inline>
              </w:drawing>
            </w:r>
          </w:p>
        </w:tc>
        <w:tc>
          <w:tcPr>
            <w:tcW w:w="2534" w:type="pct"/>
            <w:tcBorders>
              <w:bottom w:val="single" w:sz="8" w:space="0" w:color="auto"/>
            </w:tcBorders>
            <w:vAlign w:val="bottom"/>
          </w:tcPr>
          <w:p w14:paraId="2BE91059" w14:textId="603B0672" w:rsidR="00A96B21" w:rsidRPr="0062628C" w:rsidRDefault="00633610" w:rsidP="009477BD">
            <w:pPr>
              <w:pStyle w:val="ABSymbol"/>
              <w:tabs>
                <w:tab w:val="clear" w:pos="1871"/>
              </w:tabs>
              <w:ind w:left="0"/>
            </w:pPr>
            <w:r>
              <w:rPr>
                <w:sz w:val="40"/>
              </w:rPr>
              <w:t>CBD</w:t>
            </w:r>
            <w:r>
              <w:t>/NP/CC/5/4/Add.2-</w:t>
            </w:r>
            <w:r>
              <w:rPr>
                <w:sz w:val="40"/>
              </w:rPr>
              <w:t>CBD</w:t>
            </w:r>
            <w:r>
              <w:t>/SBI/7/7/Add.2</w:t>
            </w:r>
          </w:p>
        </w:tc>
      </w:tr>
      <w:tr w:rsidR="00A96B21" w:rsidRPr="0062628C" w14:paraId="026E5D1A" w14:textId="77777777" w:rsidTr="00324E62">
        <w:tc>
          <w:tcPr>
            <w:tcW w:w="2466" w:type="pct"/>
            <w:gridSpan w:val="2"/>
            <w:tcBorders>
              <w:top w:val="single" w:sz="8" w:space="0" w:color="auto"/>
              <w:bottom w:val="single" w:sz="12" w:space="0" w:color="auto"/>
            </w:tcBorders>
          </w:tcPr>
          <w:p w14:paraId="4DD2B434" w14:textId="155C4111" w:rsidR="00A96B21" w:rsidRPr="0062628C" w:rsidRDefault="00DB37B1" w:rsidP="00695A97">
            <w:pPr>
              <w:pStyle w:val="Cornernotation"/>
              <w:suppressLineNumbers/>
              <w:suppressAutoHyphens/>
              <w:spacing w:before="120" w:after="120"/>
              <w:ind w:left="0" w:right="0" w:firstLine="0"/>
            </w:pPr>
            <w:r w:rsidRPr="00D338A4">
              <w:rPr>
                <w:noProof/>
                <w:lang w:val="en-US"/>
              </w:rPr>
              <w:drawing>
                <wp:inline distT="0" distB="0" distL="0" distR="0" wp14:anchorId="0F38EDBD" wp14:editId="160526DB">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stretch>
                            <a:fillRect/>
                          </a:stretch>
                        </pic:blipFill>
                        <pic:spPr>
                          <a:xfrm>
                            <a:off x="0" y="0"/>
                            <a:ext cx="2755631" cy="1013099"/>
                          </a:xfrm>
                          <a:prstGeom prst="rect">
                            <a:avLst/>
                          </a:prstGeom>
                        </pic:spPr>
                      </pic:pic>
                    </a:graphicData>
                  </a:graphic>
                </wp:inline>
              </w:drawing>
            </w:r>
          </w:p>
        </w:tc>
        <w:tc>
          <w:tcPr>
            <w:tcW w:w="2534" w:type="pct"/>
            <w:tcBorders>
              <w:top w:val="single" w:sz="8" w:space="0" w:color="auto"/>
              <w:bottom w:val="single" w:sz="12" w:space="0" w:color="auto"/>
            </w:tcBorders>
          </w:tcPr>
          <w:p w14:paraId="27581565" w14:textId="77777777" w:rsidR="00A96B21" w:rsidRPr="0062628C" w:rsidRDefault="00A96B21" w:rsidP="003C6F10">
            <w:pPr>
              <w:ind w:left="2584"/>
              <w:rPr>
                <w:sz w:val="22"/>
                <w:szCs w:val="22"/>
              </w:rPr>
            </w:pPr>
            <w:r>
              <w:rPr>
                <w:sz w:val="22"/>
              </w:rPr>
              <w:t>Distr. general</w:t>
            </w:r>
          </w:p>
          <w:p w14:paraId="793989BF" w14:textId="1C75C700" w:rsidR="00A96B21" w:rsidRPr="009477BD" w:rsidRDefault="00597D14" w:rsidP="003C6F10">
            <w:pPr>
              <w:ind w:left="2584"/>
              <w:rPr>
                <w:sz w:val="22"/>
                <w:szCs w:val="22"/>
              </w:rPr>
            </w:pPr>
            <w:r>
              <w:rPr>
                <w:sz w:val="22"/>
              </w:rPr>
              <w:t>20 de abril de 2026</w:t>
            </w:r>
          </w:p>
          <w:p w14:paraId="053971AC" w14:textId="43B8FB9F" w:rsidR="00A96B21" w:rsidRPr="0062628C" w:rsidRDefault="00E561C8" w:rsidP="003C6F10">
            <w:pPr>
              <w:ind w:left="2584"/>
              <w:rPr>
                <w:sz w:val="22"/>
                <w:szCs w:val="22"/>
              </w:rPr>
            </w:pPr>
            <w:r>
              <w:rPr>
                <w:sz w:val="22"/>
              </w:rPr>
              <w:t>Español</w:t>
            </w:r>
            <w:r>
              <w:rPr>
                <w:sz w:val="22"/>
              </w:rPr>
              <w:br/>
              <w:t>Original: inglés</w:t>
            </w:r>
          </w:p>
          <w:p w14:paraId="07CA9979" w14:textId="77777777" w:rsidR="00A96B21" w:rsidRPr="0062628C" w:rsidRDefault="00A96B21" w:rsidP="00695A97"/>
        </w:tc>
      </w:tr>
    </w:tbl>
    <w:p w14:paraId="692BABBD" w14:textId="77777777" w:rsidR="00B347D9" w:rsidRPr="009477BD" w:rsidRDefault="00B347D9" w:rsidP="009477BD">
      <w:pPr>
        <w:rPr>
          <w:sz w:val="4"/>
          <w:szCs w:val="4"/>
        </w:rPr>
      </w:pPr>
    </w:p>
    <w:tbl>
      <w:tblPr>
        <w:tblW w:w="10348" w:type="dxa"/>
        <w:tblInd w:w="-283" w:type="dxa"/>
        <w:tblLayout w:type="fixed"/>
        <w:tblCellMar>
          <w:left w:w="283" w:type="dxa"/>
        </w:tblCellMar>
        <w:tblLook w:val="0000" w:firstRow="0" w:lastRow="0" w:firstColumn="0" w:lastColumn="0" w:noHBand="0" w:noVBand="0"/>
      </w:tblPr>
      <w:tblGrid>
        <w:gridCol w:w="5103"/>
        <w:gridCol w:w="5245"/>
      </w:tblGrid>
      <w:tr w:rsidR="00B347D9" w:rsidRPr="0062628C" w14:paraId="04E9B171" w14:textId="77777777" w:rsidTr="00324E62">
        <w:trPr>
          <w:trHeight w:val="57"/>
        </w:trPr>
        <w:tc>
          <w:tcPr>
            <w:tcW w:w="5103" w:type="dxa"/>
          </w:tcPr>
          <w:p w14:paraId="5B9876BD" w14:textId="2B3804F2" w:rsidR="0009745C" w:rsidRPr="0062628C" w:rsidRDefault="0009745C" w:rsidP="009477BD">
            <w:pPr>
              <w:pStyle w:val="AFCorN12Bold"/>
            </w:pPr>
            <w:r>
              <w:t>Comité de Cumplimiento establecido en</w:t>
            </w:r>
            <w:r w:rsidR="0048562D">
              <w:br/>
            </w:r>
            <w:r>
              <w:t>el marco del Protocolo de Nagoya sobre Acceso y Participación en los Beneficios</w:t>
            </w:r>
          </w:p>
          <w:p w14:paraId="03102879" w14:textId="7F28E5EE" w:rsidR="0009745C" w:rsidRPr="0062628C" w:rsidRDefault="005D3E2B" w:rsidP="009477BD">
            <w:pPr>
              <w:pStyle w:val="AFCorNBold"/>
            </w:pPr>
            <w:r>
              <w:t>Quinta reunión</w:t>
            </w:r>
            <w:bookmarkStart w:id="1" w:name="_GoBack"/>
            <w:bookmarkEnd w:id="1"/>
          </w:p>
          <w:p w14:paraId="1DED6E72" w14:textId="77777777" w:rsidR="0009745C" w:rsidRPr="009477BD" w:rsidRDefault="0009745C" w:rsidP="009477BD">
            <w:pPr>
              <w:pStyle w:val="AFCorNNormal"/>
            </w:pPr>
            <w:r>
              <w:t>Montreal (Canadá), 27 a 29 de mayo de 2026</w:t>
            </w:r>
          </w:p>
          <w:p w14:paraId="3832E661" w14:textId="3220C959" w:rsidR="00B347D9" w:rsidRPr="009477BD" w:rsidRDefault="00345C00" w:rsidP="009477BD">
            <w:pPr>
              <w:pStyle w:val="AFCorNNormal"/>
            </w:pPr>
            <w:r>
              <w:t>Tema 5 del programa provisional</w:t>
            </w:r>
            <w:r>
              <w:rPr>
                <w:rStyle w:val="FootnoteReference"/>
              </w:rPr>
              <w:footnoteReference w:customMarkFollows="1" w:id="2"/>
              <w:t>*</w:t>
            </w:r>
          </w:p>
          <w:p w14:paraId="12E02C2F" w14:textId="2326E94D" w:rsidR="00345C00" w:rsidRPr="0062628C" w:rsidRDefault="00345C00" w:rsidP="0048562D">
            <w:pPr>
              <w:pStyle w:val="AFCorNBold"/>
            </w:pPr>
            <w:r>
              <w:t>Insumos para la segunda evaluación y revisión</w:t>
            </w:r>
            <w:r w:rsidR="0048562D">
              <w:br/>
            </w:r>
            <w:r>
              <w:t>de la eficacia del Protocolo de Nagoya</w:t>
            </w:r>
          </w:p>
        </w:tc>
        <w:tc>
          <w:tcPr>
            <w:tcW w:w="5245" w:type="dxa"/>
          </w:tcPr>
          <w:p w14:paraId="7D3371BA" w14:textId="77777777" w:rsidR="000F0DBE" w:rsidRPr="0062628C" w:rsidRDefault="000F0DBE" w:rsidP="009477BD">
            <w:pPr>
              <w:pStyle w:val="Cornernotation"/>
              <w:ind w:right="0"/>
              <w:rPr>
                <w:bCs/>
              </w:rPr>
            </w:pPr>
            <w:r>
              <w:t>Órgano Subsidiario sobre la Aplicación</w:t>
            </w:r>
          </w:p>
          <w:p w14:paraId="399EF05F" w14:textId="77777777" w:rsidR="000F0DBE" w:rsidRPr="0062628C" w:rsidRDefault="000F0DBE" w:rsidP="000F0DBE">
            <w:pPr>
              <w:pStyle w:val="AFCorNBold"/>
            </w:pPr>
            <w:r>
              <w:t xml:space="preserve">Séptima reunión </w:t>
            </w:r>
          </w:p>
          <w:p w14:paraId="21783379" w14:textId="77777777" w:rsidR="000F0DBE" w:rsidRPr="0062628C" w:rsidRDefault="000F0DBE" w:rsidP="000F0DBE">
            <w:pPr>
              <w:pStyle w:val="AFCorNNormal"/>
            </w:pPr>
            <w:r>
              <w:t>Nairobi, 4 a 12 de agosto de 2026</w:t>
            </w:r>
          </w:p>
          <w:p w14:paraId="1B5B5CF6" w14:textId="751BBC02" w:rsidR="000F0DBE" w:rsidRPr="0062628C" w:rsidRDefault="000F0DBE" w:rsidP="000F0DBE">
            <w:pPr>
              <w:pStyle w:val="AFCorNNormal"/>
            </w:pPr>
            <w:r>
              <w:t>Tema 7 del programa provisional</w:t>
            </w:r>
            <w:r>
              <w:rPr>
                <w:vertAlign w:val="superscript"/>
              </w:rPr>
              <w:t>*</w:t>
            </w:r>
            <w:r w:rsidRPr="0062628C">
              <w:rPr>
                <w:rStyle w:val="FootnoteReference"/>
              </w:rPr>
              <w:footnoteReference w:customMarkFollows="1" w:id="3"/>
              <w:t>*</w:t>
            </w:r>
            <w:r>
              <w:t xml:space="preserve"> </w:t>
            </w:r>
          </w:p>
          <w:p w14:paraId="3D0BB348" w14:textId="70CF8E3F" w:rsidR="00B347D9" w:rsidRPr="0062628C" w:rsidRDefault="000F0DBE" w:rsidP="0048562D">
            <w:pPr>
              <w:pStyle w:val="AFCorNBold"/>
            </w:pPr>
            <w:r>
              <w:t>Segunda evaluación y revisión de la eficacia</w:t>
            </w:r>
            <w:r w:rsidR="0048562D">
              <w:br/>
            </w:r>
            <w:r>
              <w:t>del Protocolo de Nagoya</w:t>
            </w:r>
          </w:p>
        </w:tc>
      </w:tr>
    </w:tbl>
    <w:p w14:paraId="31B084E7" w14:textId="1857AF78" w:rsidR="00B347D9" w:rsidRPr="0062628C" w:rsidDel="00071E9E" w:rsidRDefault="00D36F8E" w:rsidP="009477BD">
      <w:pPr>
        <w:pStyle w:val="CBDTitle"/>
        <w:rPr>
          <w:bCs/>
        </w:rPr>
      </w:pPr>
      <w:sdt>
        <w:sdtPr>
          <w:alias w:val="Title"/>
          <w:tag w:val=""/>
          <w:id w:val="1293490635"/>
          <w:placeholder>
            <w:docPart w:val="06C935864A314DF8BDB799161515BB81"/>
          </w:placeholder>
          <w:dataBinding w:prefixMappings="xmlns:ns0='http://purl.org/dc/elements/1.1/' xmlns:ns1='http://schemas.openxmlformats.org/package/2006/metadata/core-properties' " w:xpath="/ns1:coreProperties[1]/ns0:title[1]" w:storeItemID="{6C3C8BC8-F283-45AE-878A-BAB7291924A1}"/>
          <w:text/>
        </w:sdtPr>
        <w:sdtEndPr/>
        <w:sdtContent>
          <w:r w:rsidR="00BE7030" w:rsidRPr="0062628C">
            <w:t>S</w:t>
          </w:r>
          <w:r w:rsidR="00475E24">
            <w:t>í</w:t>
          </w:r>
          <w:r w:rsidR="00BE7030" w:rsidRPr="0062628C">
            <w:t>nt</w:t>
          </w:r>
          <w:r w:rsidR="00475E24">
            <w:t>e</w:t>
          </w:r>
          <w:r w:rsidR="00BE7030" w:rsidRPr="0062628C">
            <w:t xml:space="preserve">sis </w:t>
          </w:r>
          <w:r w:rsidR="00475E24">
            <w:t>de</w:t>
          </w:r>
          <w:r w:rsidR="00BE7030" w:rsidRPr="0062628C">
            <w:t xml:space="preserve"> </w:t>
          </w:r>
          <w:r w:rsidR="00475E24">
            <w:t xml:space="preserve">opiniones para </w:t>
          </w:r>
          <w:r w:rsidR="001E75D1">
            <w:t>fundamen</w:t>
          </w:r>
          <w:r w:rsidR="00475E24">
            <w:t xml:space="preserve">tar una revisión </w:t>
          </w:r>
          <w:r w:rsidR="00BE7030" w:rsidRPr="0062628C">
            <w:t>preliminar</w:t>
          </w:r>
          <w:r w:rsidR="00475E24">
            <w:t xml:space="preserve"> de los procedimientos y mecanismos de cumplimiento d</w:t>
          </w:r>
          <w:r w:rsidR="00BE7030" w:rsidRPr="0062628C">
            <w:t>e</w:t>
          </w:r>
          <w:r w:rsidR="00475E24">
            <w:t>l Protocolo de</w:t>
          </w:r>
          <w:r w:rsidR="00BE7030" w:rsidRPr="0062628C">
            <w:t xml:space="preserve"> Nagoya </w:t>
          </w:r>
          <w:r w:rsidR="00475E24">
            <w:t>sobre</w:t>
          </w:r>
          <w:r w:rsidR="00BE7030" w:rsidRPr="0062628C">
            <w:t xml:space="preserve"> Acceso </w:t>
          </w:r>
          <w:r w:rsidR="00475E24">
            <w:t xml:space="preserve">a los Recursos </w:t>
          </w:r>
          <w:r w:rsidR="00BE7030" w:rsidRPr="0062628C">
            <w:t>Gen</w:t>
          </w:r>
          <w:r w:rsidR="00475E24">
            <w:t>é</w:t>
          </w:r>
          <w:r w:rsidR="00BE7030" w:rsidRPr="0062628C">
            <w:t xml:space="preserve">ticos </w:t>
          </w:r>
          <w:r w:rsidR="00475E24">
            <w:t>y P</w:t>
          </w:r>
          <w:r w:rsidR="00BE7030" w:rsidRPr="0062628C">
            <w:t>a</w:t>
          </w:r>
          <w:r w:rsidR="00475E24">
            <w:t>rticipació</w:t>
          </w:r>
          <w:r w:rsidR="00BE7030" w:rsidRPr="0062628C">
            <w:t>n</w:t>
          </w:r>
          <w:r w:rsidR="00475E24">
            <w:t xml:space="preserve"> Justa y Equitativa en los Beneficios que se Deriven de su Utilización</w:t>
          </w:r>
        </w:sdtContent>
      </w:sdt>
    </w:p>
    <w:bookmarkEnd w:id="0"/>
    <w:p w14:paraId="61487005" w14:textId="524CEEF4" w:rsidR="002219C2" w:rsidRPr="0062628C" w:rsidRDefault="002219C2" w:rsidP="009477BD">
      <w:pPr>
        <w:pStyle w:val="CBDSubTitle"/>
      </w:pPr>
      <w:r>
        <w:t>Nota de la Secretaría</w:t>
      </w:r>
    </w:p>
    <w:p w14:paraId="125AF2E4" w14:textId="7A962CD6" w:rsidR="004E1D61" w:rsidRPr="0062628C" w:rsidRDefault="004E1D61" w:rsidP="009477BD">
      <w:pPr>
        <w:pStyle w:val="CBDH1"/>
      </w:pPr>
      <w:r>
        <w:t>I.</w:t>
      </w:r>
      <w:r>
        <w:tab/>
        <w:t>Introducción</w:t>
      </w:r>
    </w:p>
    <w:p w14:paraId="7F03F9B3" w14:textId="68027773" w:rsidR="005770B6" w:rsidRPr="0062628C" w:rsidRDefault="00885351" w:rsidP="009477BD">
      <w:pPr>
        <w:pStyle w:val="CBDNormalNumber"/>
      </w:pPr>
      <w:r>
        <w:t>En su quinta reunión, la Conferencia de las Partes que actúa como reunión de las Partes en el Protocolo de Nagoya sobre Acceso a los Recursos Genéticos y Participación Justa y Equitativa en los Beneficios que se Deriven de su Utilización r</w:t>
      </w:r>
      <w:r w:rsidR="00E759ED">
        <w:t>e</w:t>
      </w:r>
      <w:r>
        <w:t>solv</w:t>
      </w:r>
      <w:r w:rsidR="00E759ED">
        <w:t xml:space="preserve">ió </w:t>
      </w:r>
      <w:r>
        <w:t>por decisión </w:t>
      </w:r>
      <w:hyperlink r:id="rId14" w:history="1">
        <w:r>
          <w:rPr>
            <w:rStyle w:val="Hyperlink"/>
          </w:rPr>
          <w:t>NP-5/5</w:t>
        </w:r>
      </w:hyperlink>
      <w:r>
        <w:t xml:space="preserve"> que </w:t>
      </w:r>
      <w:r w:rsidR="00E759ED">
        <w:t xml:space="preserve">la segunda evaluación y revisión de la eficacia del Protocolo </w:t>
      </w:r>
      <w:r>
        <w:t xml:space="preserve">se realizaría </w:t>
      </w:r>
      <w:r w:rsidR="00E759ED">
        <w:t xml:space="preserve">sobre la base de los elementos que figuraban en el anexo de la decisión. </w:t>
      </w:r>
      <w:r w:rsidR="003F31E6">
        <w:t>Conforme a</w:t>
      </w:r>
      <w:r w:rsidR="00E759ED">
        <w:t xml:space="preserve">l elemento j) </w:t>
      </w:r>
      <w:r>
        <w:t>d</w:t>
      </w:r>
      <w:r w:rsidR="00E759ED">
        <w:t>e</w:t>
      </w:r>
      <w:r w:rsidR="003F31E6">
        <w:t>l</w:t>
      </w:r>
      <w:r w:rsidR="00E759ED">
        <w:t xml:space="preserve"> anexo </w:t>
      </w:r>
      <w:r w:rsidR="003F31E6">
        <w:t>se deb</w:t>
      </w:r>
      <w:r>
        <w:t>ía</w:t>
      </w:r>
      <w:r w:rsidR="00E759ED">
        <w:t xml:space="preserve"> </w:t>
      </w:r>
      <w:r w:rsidR="003F31E6">
        <w:t>llevar a cabo</w:t>
      </w:r>
      <w:r w:rsidR="00E759ED">
        <w:t xml:space="preserve"> una revisión preliminar de los procedimientos y mecanismos de cumplimiento. </w:t>
      </w:r>
      <w:r>
        <w:t>Las fuentes de información que servirían de insumo para la revisión preliminar serían l</w:t>
      </w:r>
      <w:r w:rsidR="00E759ED">
        <w:t>a presentación de opiniones y el informe del Comité de Cumplimiento.</w:t>
      </w:r>
    </w:p>
    <w:p w14:paraId="7C3611E7" w14:textId="2B802D75" w:rsidR="0085136F" w:rsidRPr="0062628C" w:rsidRDefault="00D93AAB" w:rsidP="009477BD">
      <w:pPr>
        <w:pStyle w:val="CBDNormalNumber"/>
        <w:rPr>
          <w:kern w:val="22"/>
        </w:rPr>
      </w:pPr>
      <w:r>
        <w:t xml:space="preserve">En la sección II del presente documento se brindan antecedentes sobre la elaboración de los procedimientos y mecanismos de cumplimiento, así como un breve resumen de la labor realizada por el Comité de Cumplimiento hasta la fecha. La sección III contiene una síntesis de las </w:t>
      </w:r>
      <w:r>
        <w:rPr>
          <w:color w:val="000000"/>
          <w:u w:color="000000"/>
          <w:bdr w:val="nil"/>
        </w:rPr>
        <w:t>opiniones presentadas como insumo para la revisión preliminar de los procedimientos y mecanismos de cumplimiento</w:t>
      </w:r>
      <w:r>
        <w:t xml:space="preserve">. </w:t>
      </w:r>
    </w:p>
    <w:p w14:paraId="7970FEB3" w14:textId="148671F4" w:rsidR="00853A7B" w:rsidRPr="0062628C" w:rsidRDefault="00192D05" w:rsidP="009477BD">
      <w:pPr>
        <w:pStyle w:val="CBDH1"/>
        <w:rPr>
          <w:rFonts w:eastAsia="Arial Unicode MS"/>
          <w:bCs/>
          <w:color w:val="000000"/>
          <w:kern w:val="22"/>
          <w:u w:color="000000"/>
          <w:bdr w:val="nil"/>
        </w:rPr>
      </w:pPr>
      <w:bookmarkStart w:id="2" w:name="_Hlk153269236"/>
      <w:r>
        <w:t>II.</w:t>
      </w:r>
      <w:r>
        <w:tab/>
        <w:t>Antecedentes e historia de los procedimientos y mecanismos</w:t>
      </w:r>
      <w:r w:rsidR="008617B3">
        <w:br/>
      </w:r>
      <w:r>
        <w:t>de cumplimiento y la labor del Comité de Cumplimiento</w:t>
      </w:r>
    </w:p>
    <w:bookmarkEnd w:id="2"/>
    <w:p w14:paraId="1F172285" w14:textId="4BF8C006" w:rsidR="00261A84" w:rsidRPr="0062628C" w:rsidRDefault="00E33649" w:rsidP="009477BD">
      <w:pPr>
        <w:pStyle w:val="CBDNormalNumber"/>
        <w:rPr>
          <w:rFonts w:eastAsia="Arial Unicode MS"/>
          <w:color w:val="000000"/>
          <w:kern w:val="22"/>
          <w:u w:color="000000"/>
          <w:bdr w:val="nil"/>
        </w:rPr>
      </w:pPr>
      <w:r>
        <w:t xml:space="preserve">El artículo 30 del Protocolo de Nagoya establece que en su primera reunión la Conferencia de las Partes que actúa como reunión de las Partes en el Protocolo examinará y aprobará procedimientos de cooperación y mecanismos institucionales para promover el cumplimiento </w:t>
      </w:r>
      <w:r w:rsidR="005F72DD">
        <w:t xml:space="preserve">por las Partes </w:t>
      </w:r>
      <w:r>
        <w:t xml:space="preserve">de las </w:t>
      </w:r>
      <w:r>
        <w:lastRenderedPageBreak/>
        <w:t>disposiciones del Protocolo, a saber, las obliga</w:t>
      </w:r>
      <w:r w:rsidR="005F72DD">
        <w:t>ciones asumidas por los países c</w:t>
      </w:r>
      <w:r>
        <w:t>uan</w:t>
      </w:r>
      <w:r w:rsidR="005F72DD">
        <w:t>do</w:t>
      </w:r>
      <w:r>
        <w:t xml:space="preserve"> ratifica</w:t>
      </w:r>
      <w:r w:rsidR="005F72DD">
        <w:t>r</w:t>
      </w:r>
      <w:r>
        <w:t>o</w:t>
      </w:r>
      <w:r w:rsidR="005F72DD">
        <w:t>n</w:t>
      </w:r>
      <w:r>
        <w:t xml:space="preserve"> el Protocolo, y para tratar los casos de incumplimiento.</w:t>
      </w:r>
    </w:p>
    <w:p w14:paraId="6F010D29" w14:textId="7E0F7651" w:rsidR="00AA7B79" w:rsidRPr="0062628C" w:rsidRDefault="00A94BAB" w:rsidP="009477BD">
      <w:pPr>
        <w:pStyle w:val="CBDNormalNumber"/>
        <w:rPr>
          <w:rFonts w:eastAsia="Arial Unicode MS"/>
          <w:color w:val="000000"/>
          <w:kern w:val="22"/>
          <w:u w:color="000000"/>
          <w:bdr w:val="nil"/>
        </w:rPr>
      </w:pPr>
      <w:r>
        <w:t xml:space="preserve">El Comité Intergubernamental </w:t>
      </w:r>
      <w:r w:rsidR="00630CC6">
        <w:t>E</w:t>
      </w:r>
      <w:r>
        <w:t xml:space="preserve">special de </w:t>
      </w:r>
      <w:r w:rsidR="00630CC6">
        <w:t>C</w:t>
      </w:r>
      <w:r>
        <w:t xml:space="preserve">omposición </w:t>
      </w:r>
      <w:r w:rsidR="00630CC6">
        <w:t>A</w:t>
      </w:r>
      <w:r>
        <w:t xml:space="preserve">bierta para el Protocolo de Nagoya, establecido por la </w:t>
      </w:r>
      <w:r>
        <w:rPr>
          <w:color w:val="000000"/>
          <w:u w:color="000000"/>
          <w:bdr w:val="nil"/>
        </w:rPr>
        <w:t>Conferencia de las Partes por decisión </w:t>
      </w:r>
      <w:hyperlink r:id="rId15" w:history="1">
        <w:r>
          <w:rPr>
            <w:rStyle w:val="Hyperlink"/>
            <w:bdr w:val="nil"/>
          </w:rPr>
          <w:t>X/1</w:t>
        </w:r>
      </w:hyperlink>
      <w:r>
        <w:rPr>
          <w:color w:val="000000"/>
          <w:u w:color="000000"/>
          <w:bdr w:val="nil"/>
        </w:rPr>
        <w:t>,</w:t>
      </w:r>
      <w:r>
        <w:t xml:space="preserve"> consideró la cuestión de la elaboración de procedimientos y mecanismos de cumplimiento en su primera reunión. En su recomendación </w:t>
      </w:r>
      <w:hyperlink r:id="rId16" w:history="1">
        <w:r>
          <w:rPr>
            <w:rStyle w:val="Hyperlink"/>
          </w:rPr>
          <w:t>1/4</w:t>
        </w:r>
      </w:hyperlink>
      <w:r>
        <w:t>, el Comité pidió a la Secretaria Ejecutiva que, entre otras cosas: a) elaborar</w:t>
      </w:r>
      <w:r w:rsidR="005F72DD">
        <w:t>a</w:t>
      </w:r>
      <w:r>
        <w:t xml:space="preserve"> un proyecto de elementos y opciones de procedimientos de cooperación y mecanismos institucionales para </w:t>
      </w:r>
      <w:r w:rsidR="00630CC6">
        <w:t>promover</w:t>
      </w:r>
      <w:r>
        <w:t xml:space="preserve"> el cumplimiento; y b) convocar</w:t>
      </w:r>
      <w:r w:rsidR="005F72DD">
        <w:t>a</w:t>
      </w:r>
      <w:r>
        <w:t xml:space="preserve"> una reunión de expertos para </w:t>
      </w:r>
      <w:r w:rsidR="00F30642">
        <w:t>s</w:t>
      </w:r>
      <w:r>
        <w:t>e</w:t>
      </w:r>
      <w:r w:rsidR="00F30642">
        <w:t>gui</w:t>
      </w:r>
      <w:r>
        <w:t>r af</w:t>
      </w:r>
      <w:r w:rsidR="00F30642">
        <w:t>i</w:t>
      </w:r>
      <w:r>
        <w:t>n</w:t>
      </w:r>
      <w:r w:rsidR="00F30642">
        <w:t>an</w:t>
      </w:r>
      <w:r>
        <w:t>do los elementos y opciones. Los resultados de la labor de la reunión de expertos se presentaron al Comité, que examinó el proyecto de procedimientos y mecanismos en sus reuniones segunda y tercera.</w:t>
      </w:r>
    </w:p>
    <w:p w14:paraId="23E26EC4" w14:textId="24993E24" w:rsidR="008D73B6" w:rsidRPr="0062628C" w:rsidRDefault="008D73B6" w:rsidP="009477BD">
      <w:pPr>
        <w:pStyle w:val="CBDNormalNumber"/>
        <w:rPr>
          <w:rFonts w:eastAsia="Arial Unicode MS"/>
          <w:color w:val="000000"/>
          <w:kern w:val="22"/>
          <w:u w:color="000000"/>
          <w:bdr w:val="nil"/>
        </w:rPr>
      </w:pPr>
      <w:r>
        <w:t>Las deliberaciones sobre la elaboración de procedimientos y mecanismos de cumplimiento se nutrieron de experiencias pertinentes adquiridas en el marco de otros acuerdos ambientales multilaterales, en particular el Protocolo de Cartagena sobre Seguridad de la Biotecnología. Para la primera reunión del Comité Intergubernamental para el Protocolo de Nagoya se preparó un informe general sobre procedimientos y mecanismos de cumplimiento establecidos por otros acuerdos ambientales multilaterales</w:t>
      </w:r>
      <w:r w:rsidR="005F3D03" w:rsidRPr="0062628C">
        <w:rPr>
          <w:rStyle w:val="FootnoteReference"/>
        </w:rPr>
        <w:footnoteReference w:id="4"/>
      </w:r>
      <w:r>
        <w:t xml:space="preserve"> y en la reunión de expertos se brindaron presentaciones sobre distintos regímenes de cumplimiento. Con el fin de contribuir a las deliberaciones actuales, en el anexo de la presente nota se proporciona información sobre</w:t>
      </w:r>
      <w:r w:rsidR="00F30642">
        <w:t xml:space="preserve"> la experiencia</w:t>
      </w:r>
      <w:r>
        <w:t xml:space="preserve"> </w:t>
      </w:r>
      <w:r w:rsidR="00F30642">
        <w:t>con los</w:t>
      </w:r>
      <w:r>
        <w:t xml:space="preserve"> procedimientos y mecanismos de cumplimiento establecidos en el marco del Protocolo de Cartagena, con especial atención a la evolución de la labor del Comité de Cumplimiento.</w:t>
      </w:r>
    </w:p>
    <w:p w14:paraId="7D90CFDD" w14:textId="12BAE002" w:rsidR="002374B3" w:rsidRPr="00D95BFE" w:rsidRDefault="00962EFD" w:rsidP="009477BD">
      <w:pPr>
        <w:pStyle w:val="CBDNormalNumber"/>
        <w:rPr>
          <w:rFonts w:eastAsia="Arial Unicode MS"/>
          <w:color w:val="000000"/>
          <w:spacing w:val="-2"/>
          <w:kern w:val="22"/>
          <w:u w:color="000000"/>
          <w:bdr w:val="nil"/>
        </w:rPr>
      </w:pPr>
      <w:r w:rsidRPr="00D95BFE">
        <w:rPr>
          <w:spacing w:val="-2"/>
        </w:rPr>
        <w:t xml:space="preserve">En su decisión </w:t>
      </w:r>
      <w:hyperlink r:id="rId17" w:history="1">
        <w:r w:rsidRPr="00D95BFE">
          <w:rPr>
            <w:rStyle w:val="Hyperlink"/>
            <w:spacing w:val="-2"/>
          </w:rPr>
          <w:t>NP-1/4</w:t>
        </w:r>
      </w:hyperlink>
      <w:r w:rsidRPr="00D95BFE">
        <w:rPr>
          <w:spacing w:val="-2"/>
        </w:rPr>
        <w:t xml:space="preserve">, la Conferencia de las Partes que actúa como reunión de las Partes en el Protocolo adoptó los procedimientos de cooperación y mecanismos institucionales para promover el cumplimiento de las disposiciones del Protocolo de Nagoya y para tratar los casos de incumplimiento, </w:t>
      </w:r>
      <w:r w:rsidR="00D85B46">
        <w:rPr>
          <w:spacing w:val="-2"/>
        </w:rPr>
        <w:t>s</w:t>
      </w:r>
      <w:r w:rsidR="00E243A2" w:rsidRPr="00D95BFE">
        <w:rPr>
          <w:spacing w:val="-2"/>
        </w:rPr>
        <w:t>e</w:t>
      </w:r>
      <w:r w:rsidR="00D85B46">
        <w:rPr>
          <w:spacing w:val="-2"/>
        </w:rPr>
        <w:t>gún</w:t>
      </w:r>
      <w:r w:rsidR="00E243A2" w:rsidRPr="00D95BFE">
        <w:rPr>
          <w:spacing w:val="-2"/>
        </w:rPr>
        <w:t xml:space="preserve"> </w:t>
      </w:r>
      <w:r w:rsidR="00D85B46">
        <w:rPr>
          <w:spacing w:val="-2"/>
        </w:rPr>
        <w:t>lo expuesto</w:t>
      </w:r>
      <w:r w:rsidR="00E243A2" w:rsidRPr="00D95BFE">
        <w:rPr>
          <w:spacing w:val="-2"/>
        </w:rPr>
        <w:t xml:space="preserve"> </w:t>
      </w:r>
      <w:r w:rsidRPr="00D95BFE">
        <w:rPr>
          <w:spacing w:val="-2"/>
        </w:rPr>
        <w:t>en el anexo de la decisión, y estableció el Comité de Cumplimiento del Protocolo.</w:t>
      </w:r>
    </w:p>
    <w:p w14:paraId="735D458E" w14:textId="561993D1" w:rsidR="007C7A5E" w:rsidRPr="0062628C" w:rsidRDefault="00D85B46" w:rsidP="009477BD">
      <w:pPr>
        <w:pStyle w:val="CBDNormalNumber"/>
        <w:rPr>
          <w:rFonts w:eastAsia="Arial Unicode MS"/>
          <w:color w:val="000000"/>
          <w:kern w:val="22"/>
          <w:u w:color="000000"/>
          <w:bdr w:val="nil"/>
        </w:rPr>
      </w:pPr>
      <w:r>
        <w:rPr>
          <w:color w:val="000000"/>
          <w:u w:color="000000"/>
          <w:bdr w:val="nil"/>
        </w:rPr>
        <w:t>Co</w:t>
      </w:r>
      <w:r w:rsidR="00E47564">
        <w:rPr>
          <w:color w:val="000000"/>
          <w:u w:color="000000"/>
          <w:bdr w:val="nil"/>
        </w:rPr>
        <w:t>n</w:t>
      </w:r>
      <w:r>
        <w:rPr>
          <w:color w:val="000000"/>
          <w:u w:color="000000"/>
          <w:bdr w:val="nil"/>
        </w:rPr>
        <w:t>forme a</w:t>
      </w:r>
      <w:r w:rsidR="00E47564">
        <w:rPr>
          <w:color w:val="000000"/>
          <w:u w:color="000000"/>
          <w:bdr w:val="nil"/>
        </w:rPr>
        <w:t xml:space="preserve"> lo dispuesto en los procedimientos y mecanismos de cumplimiento, el Comité de Cumplimiento </w:t>
      </w:r>
      <w:r w:rsidR="00E243A2">
        <w:rPr>
          <w:color w:val="000000"/>
          <w:u w:color="000000"/>
          <w:bdr w:val="nil"/>
        </w:rPr>
        <w:t>se</w:t>
      </w:r>
      <w:r w:rsidR="00E47564">
        <w:rPr>
          <w:color w:val="000000"/>
          <w:u w:color="000000"/>
          <w:bdr w:val="nil"/>
        </w:rPr>
        <w:t xml:space="preserve"> compo</w:t>
      </w:r>
      <w:r w:rsidR="00E243A2">
        <w:rPr>
          <w:color w:val="000000"/>
          <w:u w:color="000000"/>
          <w:bdr w:val="nil"/>
        </w:rPr>
        <w:t>ne de</w:t>
      </w:r>
      <w:r w:rsidR="00E47564">
        <w:rPr>
          <w:color w:val="000000"/>
          <w:u w:color="000000"/>
          <w:bdr w:val="nil"/>
        </w:rPr>
        <w:t xml:space="preserve"> 15 </w:t>
      </w:r>
      <w:r>
        <w:rPr>
          <w:color w:val="000000"/>
          <w:u w:color="000000"/>
          <w:bdr w:val="nil"/>
        </w:rPr>
        <w:t>miembros</w:t>
      </w:r>
      <w:r w:rsidR="00E47564">
        <w:rPr>
          <w:color w:val="000000"/>
          <w:u w:color="000000"/>
          <w:bdr w:val="nil"/>
        </w:rPr>
        <w:t xml:space="preserve"> (3 por región) y 2 representantes de pueblos indígenas y comunidades locales que participan en calidad de observadores. Los </w:t>
      </w:r>
      <w:r>
        <w:rPr>
          <w:color w:val="000000"/>
          <w:u w:color="000000"/>
          <w:bdr w:val="nil"/>
        </w:rPr>
        <w:t xml:space="preserve">miembros </w:t>
      </w:r>
      <w:r w:rsidR="00E47564">
        <w:rPr>
          <w:color w:val="000000"/>
          <w:u w:color="000000"/>
          <w:bdr w:val="nil"/>
        </w:rPr>
        <w:t xml:space="preserve">son nominados por sus regiones y los observadores por pueblos indígenas y comunidades locales, y todos los candidatos son elegidos por </w:t>
      </w:r>
      <w:r w:rsidR="001D5C8F">
        <w:rPr>
          <w:color w:val="000000"/>
          <w:u w:color="000000"/>
          <w:bdr w:val="nil"/>
        </w:rPr>
        <w:t>la</w:t>
      </w:r>
      <w:r w:rsidR="001D5C8F">
        <w:t xml:space="preserve"> Conferencia</w:t>
      </w:r>
      <w:r w:rsidR="00E47564">
        <w:t xml:space="preserve"> de las Partes que actúa como reunión de las Partes en el Protocolo.</w:t>
      </w:r>
      <w:r w:rsidR="00E47564">
        <w:rPr>
          <w:color w:val="000000"/>
          <w:u w:color="000000"/>
          <w:bdr w:val="nil"/>
        </w:rPr>
        <w:t xml:space="preserve"> Los </w:t>
      </w:r>
      <w:r>
        <w:rPr>
          <w:color w:val="000000"/>
          <w:u w:color="000000"/>
          <w:bdr w:val="nil"/>
        </w:rPr>
        <w:t xml:space="preserve">miembros </w:t>
      </w:r>
      <w:r w:rsidR="00E47564">
        <w:rPr>
          <w:color w:val="000000"/>
          <w:u w:color="000000"/>
          <w:bdr w:val="nil"/>
        </w:rPr>
        <w:t xml:space="preserve">y observadores </w:t>
      </w:r>
      <w:r w:rsidR="00E243A2">
        <w:rPr>
          <w:color w:val="000000"/>
          <w:u w:color="000000"/>
          <w:bdr w:val="nil"/>
        </w:rPr>
        <w:t>se desempeñ</w:t>
      </w:r>
      <w:r w:rsidR="00E47564">
        <w:rPr>
          <w:color w:val="000000"/>
          <w:u w:color="000000"/>
          <w:bdr w:val="nil"/>
        </w:rPr>
        <w:t xml:space="preserve">an en calidad de expertos a título </w:t>
      </w:r>
      <w:r w:rsidR="00FC2E27">
        <w:rPr>
          <w:color w:val="000000"/>
          <w:u w:color="000000"/>
          <w:bdr w:val="nil"/>
        </w:rPr>
        <w:t>personal</w:t>
      </w:r>
      <w:r w:rsidR="00E47564">
        <w:rPr>
          <w:color w:val="000000"/>
          <w:u w:color="000000"/>
          <w:bdr w:val="nil"/>
        </w:rPr>
        <w:t>.</w:t>
      </w:r>
    </w:p>
    <w:p w14:paraId="7F053A16" w14:textId="11FC23A3" w:rsidR="00005570" w:rsidRPr="0062628C" w:rsidRDefault="00296D1F" w:rsidP="009477BD">
      <w:pPr>
        <w:pStyle w:val="CBDNormalNumber"/>
        <w:rPr>
          <w:rFonts w:eastAsia="Arial Unicode MS"/>
          <w:color w:val="000000"/>
          <w:kern w:val="22"/>
          <w:u w:color="000000"/>
          <w:bdr w:val="nil"/>
        </w:rPr>
      </w:pPr>
      <w:r>
        <w:rPr>
          <w:color w:val="000000"/>
          <w:u w:color="000000"/>
          <w:bdr w:val="nil"/>
        </w:rPr>
        <w:t xml:space="preserve">En los procedimientos y mecanismos de cumplimiento también se dispone que el Comité podrá recibir notificaciones referidas a cuestiones de cumplimiento </w:t>
      </w:r>
      <w:r w:rsidR="006E4C75">
        <w:rPr>
          <w:color w:val="000000"/>
          <w:u w:color="000000"/>
          <w:bdr w:val="nil"/>
        </w:rPr>
        <w:t>o</w:t>
      </w:r>
      <w:r>
        <w:rPr>
          <w:color w:val="000000"/>
          <w:u w:color="000000"/>
          <w:bdr w:val="nil"/>
        </w:rPr>
        <w:t xml:space="preserve"> incumplimiento de las disposiciones del Protocolo presentadas por cualquier Parte con respecto a otra Parte o de la Conferencia de las Partes que actúa como reunión de las Partes en el Protocolo. El Comité podrá </w:t>
      </w:r>
      <w:r w:rsidR="006E4C75">
        <w:rPr>
          <w:color w:val="000000"/>
          <w:u w:color="000000"/>
          <w:bdr w:val="nil"/>
        </w:rPr>
        <w:t>además</w:t>
      </w:r>
      <w:r>
        <w:rPr>
          <w:color w:val="000000"/>
          <w:u w:color="000000"/>
          <w:bdr w:val="nil"/>
        </w:rPr>
        <w:t xml:space="preserve"> examinar una situación en la que una Parte no</w:t>
      </w:r>
      <w:r w:rsidR="00FC2E27">
        <w:rPr>
          <w:color w:val="000000"/>
          <w:u w:color="000000"/>
          <w:bdr w:val="nil"/>
        </w:rPr>
        <w:t xml:space="preserve"> haya</w:t>
      </w:r>
      <w:r>
        <w:rPr>
          <w:color w:val="000000"/>
          <w:u w:color="000000"/>
          <w:bdr w:val="nil"/>
        </w:rPr>
        <w:t xml:space="preserve"> present</w:t>
      </w:r>
      <w:r w:rsidR="00FC2E27">
        <w:rPr>
          <w:color w:val="000000"/>
          <w:u w:color="000000"/>
          <w:bdr w:val="nil"/>
        </w:rPr>
        <w:t>ado</w:t>
      </w:r>
      <w:r>
        <w:rPr>
          <w:color w:val="000000"/>
          <w:u w:color="000000"/>
          <w:bdr w:val="nil"/>
        </w:rPr>
        <w:t xml:space="preserve"> su informe nacional o en la que haya información que indique que la Parte en cuestión enfrenta dificultades para cumplir sus obligaciones en virtud del Protocolo. Tal información podrá recibi</w:t>
      </w:r>
      <w:r w:rsidR="00E91330">
        <w:rPr>
          <w:color w:val="000000"/>
          <w:u w:color="000000"/>
          <w:bdr w:val="nil"/>
        </w:rPr>
        <w:t>rse mediant</w:t>
      </w:r>
      <w:r w:rsidR="00FC2E27">
        <w:rPr>
          <w:color w:val="000000"/>
          <w:u w:color="000000"/>
          <w:bdr w:val="nil"/>
        </w:rPr>
        <w:t>e</w:t>
      </w:r>
      <w:r>
        <w:rPr>
          <w:color w:val="000000"/>
          <w:u w:color="000000"/>
          <w:bdr w:val="nil"/>
        </w:rPr>
        <w:t xml:space="preserve"> un informe nacional, a través del Centro de Intercambio de Información sobre Acceso y Participación en los Beneficios o de la Secretaría </w:t>
      </w:r>
      <w:r w:rsidR="00FC2E27">
        <w:rPr>
          <w:color w:val="000000"/>
          <w:u w:color="000000"/>
          <w:bdr w:val="nil"/>
        </w:rPr>
        <w:t>sobre la base de</w:t>
      </w:r>
      <w:r>
        <w:rPr>
          <w:color w:val="000000"/>
          <w:u w:color="000000"/>
          <w:bdr w:val="nil"/>
        </w:rPr>
        <w:t xml:space="preserve"> ciertas categorías de información proporcionada por un pueblo indígena o comunidad local directamente afectado.</w:t>
      </w:r>
    </w:p>
    <w:p w14:paraId="1649C445" w14:textId="3E1D5BDE" w:rsidR="00FB7A1D" w:rsidRPr="0062628C" w:rsidRDefault="00EE5FED" w:rsidP="009477BD">
      <w:pPr>
        <w:pStyle w:val="CBDNormalNumber"/>
        <w:rPr>
          <w:rFonts w:eastAsia="Arial Unicode MS"/>
          <w:color w:val="000000"/>
          <w:kern w:val="22"/>
          <w:u w:color="000000"/>
          <w:bdr w:val="nil"/>
        </w:rPr>
      </w:pPr>
      <w:r>
        <w:rPr>
          <w:color w:val="000000"/>
          <w:u w:color="000000"/>
          <w:bdr w:val="nil"/>
        </w:rPr>
        <w:t>Durante las negociaciones de los procedimientos y mecanismos de cumplimiento, se consideró la posibilidad de que los procedimientos de cumplimiento p</w:t>
      </w:r>
      <w:r w:rsidR="00E91330">
        <w:rPr>
          <w:color w:val="000000"/>
          <w:u w:color="000000"/>
          <w:bdr w:val="nil"/>
        </w:rPr>
        <w:t>u</w:t>
      </w:r>
      <w:r>
        <w:rPr>
          <w:color w:val="000000"/>
          <w:u w:color="000000"/>
          <w:bdr w:val="nil"/>
        </w:rPr>
        <w:t>d</w:t>
      </w:r>
      <w:r w:rsidR="00E91330">
        <w:rPr>
          <w:color w:val="000000"/>
          <w:u w:color="000000"/>
          <w:bdr w:val="nil"/>
        </w:rPr>
        <w:t>ier</w:t>
      </w:r>
      <w:r>
        <w:rPr>
          <w:color w:val="000000"/>
          <w:u w:color="000000"/>
          <w:bdr w:val="nil"/>
        </w:rPr>
        <w:t xml:space="preserve">an </w:t>
      </w:r>
      <w:r w:rsidR="00E91330">
        <w:rPr>
          <w:color w:val="000000"/>
          <w:u w:color="000000"/>
          <w:bdr w:val="nil"/>
        </w:rPr>
        <w:t>s</w:t>
      </w:r>
      <w:r>
        <w:rPr>
          <w:color w:val="000000"/>
          <w:u w:color="000000"/>
          <w:bdr w:val="nil"/>
        </w:rPr>
        <w:t>er puestos en marcha por otros actores, entre ellos, miembros del público; sin embargo, en la versión definitiva de los procedimientos y mecanismos no se incluyó dicha posibilidad.</w:t>
      </w:r>
    </w:p>
    <w:p w14:paraId="20C82B40" w14:textId="3F727CAE" w:rsidR="00F35C8E" w:rsidRPr="0062628C" w:rsidRDefault="00E91330" w:rsidP="00662463">
      <w:pPr>
        <w:pStyle w:val="CBDNormalNumber"/>
        <w:rPr>
          <w:rFonts w:eastAsia="Arial Unicode MS"/>
          <w:kern w:val="22"/>
          <w:u w:color="000000"/>
          <w:bdr w:val="nil"/>
        </w:rPr>
      </w:pPr>
      <w:r>
        <w:rPr>
          <w:u w:color="000000"/>
          <w:bdr w:val="nil"/>
        </w:rPr>
        <w:t>En l</w:t>
      </w:r>
      <w:r w:rsidR="009D29D3">
        <w:rPr>
          <w:u w:color="000000"/>
          <w:bdr w:val="nil"/>
        </w:rPr>
        <w:t xml:space="preserve">os procedimientos y mecanismos de cumplimiento </w:t>
      </w:r>
      <w:r>
        <w:rPr>
          <w:u w:color="000000"/>
          <w:bdr w:val="nil"/>
        </w:rPr>
        <w:t xml:space="preserve">se </w:t>
      </w:r>
      <w:r w:rsidR="009D29D3">
        <w:rPr>
          <w:u w:color="000000"/>
          <w:bdr w:val="nil"/>
        </w:rPr>
        <w:t xml:space="preserve">dispone que el Comité se reunirá por lo menos una vez durante cada </w:t>
      </w:r>
      <w:r w:rsidR="009D29D3">
        <w:t xml:space="preserve">período entre </w:t>
      </w:r>
      <w:r w:rsidR="00662463">
        <w:t>s</w:t>
      </w:r>
      <w:r w:rsidR="009D29D3">
        <w:t>e</w:t>
      </w:r>
      <w:r w:rsidR="00662463">
        <w:t>s</w:t>
      </w:r>
      <w:r w:rsidR="009D29D3">
        <w:t>iones</w:t>
      </w:r>
      <w:r w:rsidR="009D29D3">
        <w:rPr>
          <w:u w:color="000000"/>
          <w:bdr w:val="nil"/>
        </w:rPr>
        <w:t xml:space="preserve">. </w:t>
      </w:r>
      <w:r w:rsidR="00662463" w:rsidRPr="00662463">
        <w:rPr>
          <w:color w:val="000000"/>
          <w:u w:color="000000"/>
          <w:bdr w:val="nil"/>
        </w:rPr>
        <w:t>A tales efectos se asignan fondos con cargo al presupuesto básico</w:t>
      </w:r>
      <w:r w:rsidR="009D29D3">
        <w:rPr>
          <w:u w:color="000000"/>
          <w:bdr w:val="nil"/>
        </w:rPr>
        <w:t>.</w:t>
      </w:r>
    </w:p>
    <w:p w14:paraId="4D33E025" w14:textId="1F01B080" w:rsidR="00AA47C5" w:rsidRPr="0062628C" w:rsidRDefault="00A91797" w:rsidP="009477BD">
      <w:pPr>
        <w:pStyle w:val="CBDNormalNumber"/>
        <w:rPr>
          <w:u w:color="000000"/>
          <w:bdr w:val="nil"/>
        </w:rPr>
      </w:pPr>
      <w:r>
        <w:rPr>
          <w:u w:color="000000"/>
          <w:bdr w:val="nil"/>
        </w:rPr>
        <w:lastRenderedPageBreak/>
        <w:t>En su primera reunión, celebrada en abril de 2016, el Comité de Cumplimiento se centró en la elaboración de un proyecto de regla</w:t>
      </w:r>
      <w:r w:rsidR="00D95BFE">
        <w:rPr>
          <w:u w:color="000000"/>
          <w:bdr w:val="nil"/>
        </w:rPr>
        <w:t>m</w:t>
      </w:r>
      <w:r>
        <w:rPr>
          <w:u w:color="000000"/>
          <w:bdr w:val="nil"/>
        </w:rPr>
        <w:t xml:space="preserve">ento, que luego fue presentado a la </w:t>
      </w:r>
      <w:r w:rsidR="00D95BFE">
        <w:rPr>
          <w:u w:color="000000"/>
          <w:bdr w:val="nil"/>
        </w:rPr>
        <w:t xml:space="preserve">segunda reunión de la </w:t>
      </w:r>
      <w:r>
        <w:rPr>
          <w:u w:color="000000"/>
          <w:bdr w:val="nil"/>
        </w:rPr>
        <w:t xml:space="preserve">Conferencia de Partes que actúa como reunión de las Partes en el Protocolo, </w:t>
      </w:r>
      <w:r w:rsidR="00D95BFE">
        <w:rPr>
          <w:u w:color="000000"/>
          <w:bdr w:val="nil"/>
        </w:rPr>
        <w:t>que lo</w:t>
      </w:r>
      <w:r>
        <w:rPr>
          <w:u w:color="000000"/>
          <w:bdr w:val="nil"/>
        </w:rPr>
        <w:t xml:space="preserve"> adoptó con algunas enmiendas.</w:t>
      </w:r>
    </w:p>
    <w:p w14:paraId="776E262C" w14:textId="724DE85E" w:rsidR="00BD0585" w:rsidRPr="0062628C" w:rsidRDefault="001572C4" w:rsidP="009477BD">
      <w:pPr>
        <w:pStyle w:val="CBDNormalNumber"/>
        <w:rPr>
          <w:rFonts w:eastAsia="Arial Unicode MS"/>
          <w:color w:val="000000"/>
          <w:kern w:val="22"/>
          <w:u w:color="000000"/>
          <w:bdr w:val="nil"/>
        </w:rPr>
      </w:pPr>
      <w:r>
        <w:rPr>
          <w:color w:val="000000"/>
          <w:u w:color="000000"/>
          <w:bdr w:val="nil"/>
        </w:rPr>
        <w:t>En su segunda reunión, celebrada en mayo de 2018, el Comité, entre otras cosas, brindó información y o</w:t>
      </w:r>
      <w:r w:rsidR="00D830EA">
        <w:rPr>
          <w:color w:val="000000"/>
          <w:u w:color="000000"/>
          <w:bdr w:val="nil"/>
        </w:rPr>
        <w:t>b</w:t>
      </w:r>
      <w:r>
        <w:rPr>
          <w:color w:val="000000"/>
          <w:u w:color="000000"/>
          <w:bdr w:val="nil"/>
        </w:rPr>
        <w:t>s</w:t>
      </w:r>
      <w:r w:rsidR="00D830EA">
        <w:rPr>
          <w:color w:val="000000"/>
          <w:u w:color="000000"/>
          <w:bdr w:val="nil"/>
        </w:rPr>
        <w:t>ervac</w:t>
      </w:r>
      <w:r>
        <w:rPr>
          <w:color w:val="000000"/>
          <w:u w:color="000000"/>
          <w:bdr w:val="nil"/>
        </w:rPr>
        <w:t xml:space="preserve">iones sobre cuestiones generales de cumplimiento como insumos para la primera evaluación y revisión del Protocolo. Asimismo, consideró la tasa de presentación de </w:t>
      </w:r>
      <w:r>
        <w:t>los</w:t>
      </w:r>
      <w:r>
        <w:rPr>
          <w:color w:val="000000"/>
          <w:u w:color="000000"/>
          <w:bdr w:val="nil"/>
        </w:rPr>
        <w:t xml:space="preserve"> informes nacionales provisionales, cuya presentación estaba prevista para noviembre de 2017. El Comité pidió a la Secretaria Ejecutiva que se comunicara con las Partes que </w:t>
      </w:r>
      <w:r w:rsidR="00025F33">
        <w:rPr>
          <w:color w:val="000000"/>
          <w:u w:color="000000"/>
          <w:bdr w:val="nil"/>
        </w:rPr>
        <w:t>aún</w:t>
      </w:r>
      <w:r>
        <w:rPr>
          <w:color w:val="000000"/>
          <w:u w:color="000000"/>
          <w:bdr w:val="nil"/>
        </w:rPr>
        <w:t xml:space="preserve"> no h</w:t>
      </w:r>
      <w:r w:rsidR="00025F33">
        <w:rPr>
          <w:color w:val="000000"/>
          <w:u w:color="000000"/>
          <w:bdr w:val="nil"/>
        </w:rPr>
        <w:t>u</w:t>
      </w:r>
      <w:r>
        <w:rPr>
          <w:color w:val="000000"/>
          <w:u w:color="000000"/>
          <w:bdr w:val="nil"/>
        </w:rPr>
        <w:t>b</w:t>
      </w:r>
      <w:r w:rsidR="00025F33">
        <w:rPr>
          <w:color w:val="000000"/>
          <w:u w:color="000000"/>
          <w:bdr w:val="nil"/>
        </w:rPr>
        <w:t>ier</w:t>
      </w:r>
      <w:r>
        <w:rPr>
          <w:color w:val="000000"/>
          <w:u w:color="000000"/>
          <w:bdr w:val="nil"/>
        </w:rPr>
        <w:t xml:space="preserve">an </w:t>
      </w:r>
      <w:r w:rsidR="001D5C8F">
        <w:rPr>
          <w:color w:val="000000"/>
          <w:u w:color="000000"/>
          <w:bdr w:val="nil"/>
        </w:rPr>
        <w:t xml:space="preserve">presentado </w:t>
      </w:r>
      <w:r>
        <w:rPr>
          <w:color w:val="000000"/>
          <w:u w:color="000000"/>
          <w:bdr w:val="nil"/>
        </w:rPr>
        <w:t>sus informes y les instara a hacerlo lo antes posible.</w:t>
      </w:r>
    </w:p>
    <w:p w14:paraId="45AE8432" w14:textId="2B30182D" w:rsidR="00E5440A" w:rsidRPr="0062628C" w:rsidRDefault="00E03032" w:rsidP="00D830EA">
      <w:pPr>
        <w:pStyle w:val="CBDNormalNumber"/>
        <w:rPr>
          <w:rFonts w:eastAsia="Arial Unicode MS"/>
          <w:kern w:val="22"/>
          <w:u w:color="000000"/>
          <w:bdr w:val="nil"/>
        </w:rPr>
      </w:pPr>
      <w:r>
        <w:rPr>
          <w:u w:color="000000"/>
          <w:bdr w:val="nil"/>
        </w:rPr>
        <w:t xml:space="preserve">Debido al inicio de la pandemia mundial de </w:t>
      </w:r>
      <w:r w:rsidR="00D830EA">
        <w:rPr>
          <w:u w:color="000000"/>
          <w:bdr w:val="nil"/>
        </w:rPr>
        <w:t xml:space="preserve">la </w:t>
      </w:r>
      <w:r>
        <w:rPr>
          <w:u w:color="000000"/>
          <w:bdr w:val="nil"/>
        </w:rPr>
        <w:t xml:space="preserve">enfermedad por coronavirus (COVID-19), la tercera reunión del Comité debió realizarse en línea y se celebró en abril de 2020. En esa reunión, el Comité examinó cuestiones generales de cumplimiento, tales como la presentación de informes nacionales provisionales y la obligación de implementar medidas legislativas, administrativas o de políticas adecuadas para la aplicación del </w:t>
      </w:r>
      <w:r>
        <w:t>Protocolo</w:t>
      </w:r>
      <w:r>
        <w:rPr>
          <w:u w:color="000000"/>
          <w:bdr w:val="nil"/>
        </w:rPr>
        <w:t xml:space="preserve">. El Comité pidió a la Secretaria Ejecutiva que hiciera un seguimiento con las Partes a las que se había enviado comunicaciones por no haber presentado sus informes nacionales provisionales. También pidió a la Secretaria Ejecutiva que se comunicara con las Partes </w:t>
      </w:r>
      <w:r w:rsidR="00D830EA" w:rsidRPr="00D830EA">
        <w:rPr>
          <w:color w:val="000000"/>
          <w:u w:color="000000"/>
          <w:bdr w:val="nil"/>
        </w:rPr>
        <w:t>que aún no hubieran</w:t>
      </w:r>
      <w:r>
        <w:rPr>
          <w:u w:color="000000"/>
          <w:bdr w:val="nil"/>
        </w:rPr>
        <w:t xml:space="preserve"> establecido medidas de acceso y participación en los beneficios o arreglos institucionales, o que t</w:t>
      </w:r>
      <w:r w:rsidR="00D830EA">
        <w:rPr>
          <w:u w:color="000000"/>
          <w:bdr w:val="nil"/>
        </w:rPr>
        <w:t>uvier</w:t>
      </w:r>
      <w:r>
        <w:rPr>
          <w:u w:color="000000"/>
          <w:bdr w:val="nil"/>
        </w:rPr>
        <w:t xml:space="preserve">an información pertinente que debía </w:t>
      </w:r>
      <w:r w:rsidR="00D830EA">
        <w:rPr>
          <w:u w:color="000000"/>
          <w:bdr w:val="nil"/>
        </w:rPr>
        <w:t>facilitarse a través</w:t>
      </w:r>
      <w:r>
        <w:rPr>
          <w:u w:color="000000"/>
          <w:bdr w:val="nil"/>
        </w:rPr>
        <w:t xml:space="preserve"> del Centro de Intercambio de Información sobre Acceso y Participación en los Beneficios y que hasta ese momento no</w:t>
      </w:r>
      <w:r w:rsidR="00D830EA">
        <w:rPr>
          <w:u w:color="000000"/>
          <w:bdr w:val="nil"/>
        </w:rPr>
        <w:t xml:space="preserve"> </w:t>
      </w:r>
      <w:r>
        <w:rPr>
          <w:u w:color="000000"/>
          <w:bdr w:val="nil"/>
        </w:rPr>
        <w:t>h</w:t>
      </w:r>
      <w:r w:rsidR="00D830EA">
        <w:rPr>
          <w:u w:color="000000"/>
          <w:bdr w:val="nil"/>
        </w:rPr>
        <w:t>u</w:t>
      </w:r>
      <w:r>
        <w:rPr>
          <w:u w:color="000000"/>
          <w:bdr w:val="nil"/>
        </w:rPr>
        <w:t>b</w:t>
      </w:r>
      <w:r w:rsidR="00D830EA">
        <w:rPr>
          <w:u w:color="000000"/>
          <w:bdr w:val="nil"/>
        </w:rPr>
        <w:t>iera</w:t>
      </w:r>
      <w:r>
        <w:rPr>
          <w:u w:color="000000"/>
          <w:bdr w:val="nil"/>
        </w:rPr>
        <w:t>n presentado o publicado dicha información, instándolas a hacerlo lo antes posible e invitándolas a proporcionar información sobre las dificultades que h</w:t>
      </w:r>
      <w:r w:rsidR="00D830EA">
        <w:rPr>
          <w:u w:color="000000"/>
          <w:bdr w:val="nil"/>
        </w:rPr>
        <w:t>u</w:t>
      </w:r>
      <w:r>
        <w:rPr>
          <w:u w:color="000000"/>
          <w:bdr w:val="nil"/>
        </w:rPr>
        <w:t>b</w:t>
      </w:r>
      <w:r w:rsidR="00D830EA">
        <w:rPr>
          <w:u w:color="000000"/>
          <w:bdr w:val="nil"/>
        </w:rPr>
        <w:t>ier</w:t>
      </w:r>
      <w:r>
        <w:rPr>
          <w:u w:color="000000"/>
          <w:bdr w:val="nil"/>
        </w:rPr>
        <w:t>an enfrentado en sus esfuerzos por cumplir esas obligaciones. El Comité brindó asimismo insumos para el proyecto de formato de primer informe nacional sobre la aplicación del Protocolo.</w:t>
      </w:r>
    </w:p>
    <w:p w14:paraId="3159455C" w14:textId="2B21F29F" w:rsidR="00BB4805" w:rsidRPr="0062628C" w:rsidRDefault="00503719" w:rsidP="009477BD">
      <w:pPr>
        <w:pStyle w:val="CBDNormalNumber"/>
        <w:keepNext/>
        <w:rPr>
          <w:rFonts w:eastAsia="Arial Unicode MS"/>
          <w:color w:val="000000"/>
          <w:kern w:val="22"/>
          <w:u w:color="000000"/>
          <w:bdr w:val="nil"/>
        </w:rPr>
      </w:pPr>
      <w:r>
        <w:t>La pandemia de la enfermedad por coronavirus (COVID-19) alteró los tiempos del trabajo desarrollado en el marco del Protocolo, incluida la labor del Comité de Cumplimiento, lo cual tuvo los siguientes efectos:</w:t>
      </w:r>
      <w:r>
        <w:rPr>
          <w:color w:val="000000"/>
          <w:u w:color="000000"/>
          <w:bdr w:val="nil"/>
        </w:rPr>
        <w:t xml:space="preserve"> </w:t>
      </w:r>
    </w:p>
    <w:p w14:paraId="48C025E2" w14:textId="196D731E" w:rsidR="00BB4805" w:rsidRPr="0062628C" w:rsidRDefault="00026D10" w:rsidP="00630CC6">
      <w:pPr>
        <w:pStyle w:val="CBDNormalNumber"/>
        <w:numPr>
          <w:ilvl w:val="1"/>
          <w:numId w:val="20"/>
        </w:numPr>
        <w:rPr>
          <w:u w:color="000000"/>
          <w:bdr w:val="nil"/>
        </w:rPr>
      </w:pPr>
      <w:r>
        <w:rPr>
          <w:u w:color="000000"/>
          <w:bdr w:val="nil"/>
        </w:rPr>
        <w:t>La cuarta reunión de la Conferencia de las Partes que actúa como reunión de las Partes en el Protocolo de Nagoya, originalmente prevista para 2020, se pos</w:t>
      </w:r>
      <w:r w:rsidR="00933BCC">
        <w:rPr>
          <w:u w:color="000000"/>
          <w:bdr w:val="nil"/>
        </w:rPr>
        <w:t>tergó hasta</w:t>
      </w:r>
      <w:r>
        <w:rPr>
          <w:u w:color="000000"/>
          <w:bdr w:val="nil"/>
        </w:rPr>
        <w:t xml:space="preserve"> 2022; </w:t>
      </w:r>
    </w:p>
    <w:p w14:paraId="50CBA495" w14:textId="221AEBD8" w:rsidR="00BB4805" w:rsidRPr="0062628C" w:rsidRDefault="004A0201" w:rsidP="00630CC6">
      <w:pPr>
        <w:pStyle w:val="CBDNormalNumber"/>
        <w:numPr>
          <w:ilvl w:val="1"/>
          <w:numId w:val="20"/>
        </w:numPr>
        <w:rPr>
          <w:u w:color="000000"/>
          <w:bdr w:val="nil"/>
        </w:rPr>
      </w:pPr>
      <w:r>
        <w:rPr>
          <w:u w:color="000000"/>
          <w:bdr w:val="nil"/>
        </w:rPr>
        <w:t xml:space="preserve">El año de presentación de los primeros informes nacionales sobre la aplicación del Protocolo se </w:t>
      </w:r>
      <w:r w:rsidR="00933BCC">
        <w:rPr>
          <w:u w:color="000000"/>
          <w:bdr w:val="nil"/>
        </w:rPr>
        <w:t>c</w:t>
      </w:r>
      <w:r>
        <w:rPr>
          <w:u w:color="000000"/>
          <w:bdr w:val="nil"/>
        </w:rPr>
        <w:t>a</w:t>
      </w:r>
      <w:r w:rsidR="00933BCC">
        <w:rPr>
          <w:u w:color="000000"/>
          <w:bdr w:val="nil"/>
        </w:rPr>
        <w:t>mbi</w:t>
      </w:r>
      <w:r>
        <w:rPr>
          <w:u w:color="000000"/>
          <w:bdr w:val="nil"/>
        </w:rPr>
        <w:t xml:space="preserve">ó de 2021 a 2026, debido </w:t>
      </w:r>
      <w:r w:rsidR="00933BCC">
        <w:rPr>
          <w:u w:color="000000"/>
          <w:bdr w:val="nil"/>
        </w:rPr>
        <w:t>también</w:t>
      </w:r>
      <w:r>
        <w:rPr>
          <w:u w:color="000000"/>
          <w:bdr w:val="nil"/>
        </w:rPr>
        <w:t xml:space="preserve"> a la sincronización de los ciclos de presentación de informes del Convenio sobre la Diversidad Biológica, el Protocolo de Nagoya y el Protocolo de Cartagena; </w:t>
      </w:r>
    </w:p>
    <w:p w14:paraId="7F7ED827" w14:textId="51E4861A" w:rsidR="00BB4805" w:rsidRPr="0062628C" w:rsidRDefault="00933BCC" w:rsidP="00630CC6">
      <w:pPr>
        <w:pStyle w:val="CBDNormalNumber"/>
        <w:numPr>
          <w:ilvl w:val="1"/>
          <w:numId w:val="20"/>
        </w:numPr>
        <w:rPr>
          <w:u w:color="000000"/>
          <w:bdr w:val="nil"/>
        </w:rPr>
      </w:pPr>
      <w:r>
        <w:rPr>
          <w:u w:color="000000"/>
          <w:bdr w:val="nil"/>
        </w:rPr>
        <w:t>A raíz</w:t>
      </w:r>
      <w:r w:rsidR="00BB4736">
        <w:rPr>
          <w:u w:color="000000"/>
          <w:bdr w:val="nil"/>
        </w:rPr>
        <w:t xml:space="preserve"> </w:t>
      </w:r>
      <w:r>
        <w:rPr>
          <w:u w:color="000000"/>
          <w:bdr w:val="nil"/>
        </w:rPr>
        <w:t>de que se</w:t>
      </w:r>
      <w:r w:rsidR="00BB4736">
        <w:rPr>
          <w:u w:color="000000"/>
          <w:bdr w:val="nil"/>
        </w:rPr>
        <w:t xml:space="preserve"> postergó la presentación de los primeros informes nacionales, la segunda evaluación y revisión que estaba prevista originalmente para 2022 recién s</w:t>
      </w:r>
      <w:r>
        <w:rPr>
          <w:u w:color="000000"/>
          <w:bdr w:val="nil"/>
        </w:rPr>
        <w:t>e está llevando a cabo en 2026;</w:t>
      </w:r>
    </w:p>
    <w:p w14:paraId="04C40494" w14:textId="3D50A65A" w:rsidR="00BC4AA9" w:rsidRPr="0062628C" w:rsidRDefault="000658B4" w:rsidP="00630CC6">
      <w:pPr>
        <w:pStyle w:val="CBDNormalNumber"/>
        <w:numPr>
          <w:ilvl w:val="1"/>
          <w:numId w:val="20"/>
        </w:numPr>
        <w:rPr>
          <w:u w:color="000000"/>
          <w:bdr w:val="nil"/>
        </w:rPr>
      </w:pPr>
      <w:r>
        <w:rPr>
          <w:u w:color="000000"/>
          <w:bdr w:val="nil"/>
        </w:rPr>
        <w:t>El Comité de Cumplimiento debió</w:t>
      </w:r>
      <w:r w:rsidR="00933BCC">
        <w:rPr>
          <w:u w:color="000000"/>
          <w:bdr w:val="nil"/>
        </w:rPr>
        <w:t xml:space="preserve"> haberse</w:t>
      </w:r>
      <w:r>
        <w:rPr>
          <w:u w:color="000000"/>
          <w:bdr w:val="nil"/>
        </w:rPr>
        <w:t xml:space="preserve"> reuni</w:t>
      </w:r>
      <w:r w:rsidR="00933BCC">
        <w:rPr>
          <w:u w:color="000000"/>
          <w:bdr w:val="nil"/>
        </w:rPr>
        <w:t>do</w:t>
      </w:r>
      <w:r>
        <w:rPr>
          <w:u w:color="000000"/>
          <w:bdr w:val="nil"/>
        </w:rPr>
        <w:t xml:space="preserve"> normalmente en 2022, pero, sin embargo, hubo un intervalo de cuatro años entre sus reuniones tercera y cuarta, celebrándose esta última finalmente en marzo de 2024.</w:t>
      </w:r>
    </w:p>
    <w:p w14:paraId="6878CEC0" w14:textId="3345AAF6" w:rsidR="00345EFF" w:rsidRPr="0062628C" w:rsidRDefault="00345EFF" w:rsidP="009477BD">
      <w:pPr>
        <w:pStyle w:val="CBDNormalNumber"/>
        <w:rPr>
          <w:rFonts w:eastAsia="Arial Unicode MS"/>
          <w:color w:val="000000"/>
          <w:kern w:val="22"/>
          <w:u w:color="000000"/>
          <w:bdr w:val="nil"/>
        </w:rPr>
      </w:pPr>
      <w:r>
        <w:rPr>
          <w:color w:val="000000"/>
          <w:u w:color="000000"/>
          <w:bdr w:val="nil"/>
        </w:rPr>
        <w:t xml:space="preserve">En su cuarta reunión, </w:t>
      </w:r>
      <w:r w:rsidR="001D5C8F">
        <w:rPr>
          <w:color w:val="000000"/>
          <w:u w:color="000000"/>
          <w:bdr w:val="nil"/>
        </w:rPr>
        <w:t>el Comité</w:t>
      </w:r>
      <w:r>
        <w:rPr>
          <w:color w:val="000000"/>
          <w:u w:color="000000"/>
          <w:bdr w:val="nil"/>
        </w:rPr>
        <w:t xml:space="preserve"> consideró, entre otras cosas, cuestiones generales de cumplimiento, a saber, la presentación de informes nacionales, los progresos en la adopción de medidas, el establecimiento de arreglos institucionales y la publicación de información </w:t>
      </w:r>
      <w:r w:rsidR="00933BCC">
        <w:rPr>
          <w:color w:val="000000"/>
          <w:u w:color="000000"/>
          <w:bdr w:val="nil"/>
        </w:rPr>
        <w:t xml:space="preserve">en </w:t>
      </w:r>
      <w:r>
        <w:rPr>
          <w:color w:val="000000"/>
          <w:u w:color="000000"/>
          <w:bdr w:val="nil"/>
        </w:rPr>
        <w:t>el Centro de Intercambio de Información sobre Acceso y Participación en los Beneficios.</w:t>
      </w:r>
    </w:p>
    <w:p w14:paraId="31094871" w14:textId="58BBC03F" w:rsidR="00173A73" w:rsidRPr="0062628C" w:rsidRDefault="008023FE" w:rsidP="009477BD">
      <w:pPr>
        <w:pStyle w:val="CBDNormalNumber"/>
        <w:rPr>
          <w:rFonts w:eastAsia="Arial Unicode MS"/>
          <w:color w:val="000000"/>
          <w:kern w:val="22"/>
          <w:u w:color="000000"/>
          <w:bdr w:val="nil"/>
        </w:rPr>
      </w:pPr>
      <w:r>
        <w:rPr>
          <w:color w:val="000000"/>
          <w:u w:color="000000"/>
          <w:bdr w:val="nil"/>
        </w:rPr>
        <w:t xml:space="preserve">Hasta </w:t>
      </w:r>
      <w:r w:rsidR="000D563E">
        <w:rPr>
          <w:color w:val="000000"/>
          <w:u w:color="000000"/>
          <w:bdr w:val="nil"/>
        </w:rPr>
        <w:t>la fecha</w:t>
      </w:r>
      <w:r>
        <w:rPr>
          <w:color w:val="000000"/>
          <w:u w:color="000000"/>
          <w:bdr w:val="nil"/>
        </w:rPr>
        <w:t xml:space="preserve">, no ha </w:t>
      </w:r>
      <w:r w:rsidR="000D563E">
        <w:rPr>
          <w:color w:val="000000"/>
          <w:u w:color="000000"/>
          <w:bdr w:val="nil"/>
        </w:rPr>
        <w:t>hab</w:t>
      </w:r>
      <w:r>
        <w:rPr>
          <w:color w:val="000000"/>
          <w:u w:color="000000"/>
          <w:bdr w:val="nil"/>
        </w:rPr>
        <w:t xml:space="preserve">ido </w:t>
      </w:r>
      <w:r w:rsidR="000D563E">
        <w:rPr>
          <w:color w:val="000000"/>
          <w:u w:color="000000"/>
          <w:bdr w:val="nil"/>
        </w:rPr>
        <w:t>nunca una instancia en la que los procedimientos y mecanismos de cumplimiento fueran accionados por</w:t>
      </w:r>
      <w:r>
        <w:rPr>
          <w:color w:val="000000"/>
          <w:u w:color="000000"/>
          <w:bdr w:val="nil"/>
        </w:rPr>
        <w:t xml:space="preserve"> una notificación.</w:t>
      </w:r>
    </w:p>
    <w:p w14:paraId="2F1EEA73" w14:textId="3FE8ECA7" w:rsidR="00BC259F" w:rsidRPr="0062628C" w:rsidRDefault="002D6FDC" w:rsidP="009477BD">
      <w:pPr>
        <w:pStyle w:val="CBDNormalNumber"/>
        <w:rPr>
          <w:rFonts w:eastAsia="Arial Unicode MS"/>
          <w:color w:val="000000"/>
          <w:kern w:val="22"/>
          <w:u w:color="000000"/>
          <w:bdr w:val="nil"/>
        </w:rPr>
      </w:pPr>
      <w:r>
        <w:rPr>
          <w:color w:val="000000"/>
          <w:u w:color="000000"/>
          <w:bdr w:val="nil"/>
        </w:rPr>
        <w:t>Las alteraciones en los tiempos de</w:t>
      </w:r>
      <w:r w:rsidR="000D563E">
        <w:rPr>
          <w:color w:val="000000"/>
          <w:u w:color="000000"/>
          <w:bdr w:val="nil"/>
        </w:rPr>
        <w:t>l</w:t>
      </w:r>
      <w:r>
        <w:rPr>
          <w:color w:val="000000"/>
          <w:u w:color="000000"/>
          <w:bdr w:val="nil"/>
        </w:rPr>
        <w:t xml:space="preserve"> trabajo de</w:t>
      </w:r>
      <w:r w:rsidR="000D563E">
        <w:rPr>
          <w:color w:val="000000"/>
          <w:u w:color="000000"/>
          <w:bdr w:val="nil"/>
        </w:rPr>
        <w:t>sarrollado en el marco de</w:t>
      </w:r>
      <w:r>
        <w:rPr>
          <w:color w:val="000000"/>
          <w:u w:color="000000"/>
          <w:bdr w:val="nil"/>
        </w:rPr>
        <w:t xml:space="preserve">l Protocolo significan </w:t>
      </w:r>
      <w:r w:rsidR="006D6996">
        <w:rPr>
          <w:color w:val="000000"/>
          <w:u w:color="000000"/>
          <w:bdr w:val="nil"/>
        </w:rPr>
        <w:t>que</w:t>
      </w:r>
      <w:r>
        <w:rPr>
          <w:color w:val="000000"/>
          <w:u w:color="000000"/>
          <w:bdr w:val="nil"/>
        </w:rPr>
        <w:t xml:space="preserve"> por primera vez en más de ocho años las Partes están </w:t>
      </w:r>
      <w:r>
        <w:t>presentando</w:t>
      </w:r>
      <w:r>
        <w:rPr>
          <w:color w:val="000000"/>
          <w:u w:color="000000"/>
          <w:bdr w:val="nil"/>
        </w:rPr>
        <w:t xml:space="preserve"> información oficial exhaustiva </w:t>
      </w:r>
      <w:r>
        <w:rPr>
          <w:color w:val="000000"/>
          <w:u w:color="000000"/>
          <w:bdr w:val="nil"/>
        </w:rPr>
        <w:lastRenderedPageBreak/>
        <w:t xml:space="preserve">sobre el estado de aplicación. Se prevé que la información así recibida permitirá al Comité emprender más activamente la revisión del cumplimiento del Protocolo. </w:t>
      </w:r>
    </w:p>
    <w:p w14:paraId="52BF6B5B" w14:textId="14010144" w:rsidR="0020478B" w:rsidRPr="0062628C" w:rsidRDefault="0020478B" w:rsidP="009477BD">
      <w:pPr>
        <w:pStyle w:val="CBDH1"/>
        <w:rPr>
          <w:rFonts w:eastAsia="Arial Unicode MS"/>
          <w:bCs/>
          <w:color w:val="000000"/>
          <w:kern w:val="22"/>
          <w:u w:color="000000"/>
          <w:bdr w:val="nil"/>
        </w:rPr>
      </w:pPr>
      <w:r>
        <w:t>III.</w:t>
      </w:r>
      <w:r>
        <w:tab/>
        <w:t>Síntesis de opiniones</w:t>
      </w:r>
    </w:p>
    <w:p w14:paraId="647C75BB" w14:textId="42F7A7FE" w:rsidR="00E62EA1" w:rsidRPr="0062628C" w:rsidRDefault="0004294D" w:rsidP="009477BD">
      <w:pPr>
        <w:pStyle w:val="CBDNormalNumber"/>
        <w:rPr>
          <w:rFonts w:eastAsia="Arial Unicode MS"/>
          <w:color w:val="000000"/>
          <w:kern w:val="22"/>
          <w:u w:color="000000"/>
          <w:bdr w:val="nil"/>
        </w:rPr>
      </w:pPr>
      <w:r>
        <w:rPr>
          <w:color w:val="000000"/>
          <w:u w:color="000000"/>
          <w:bdr w:val="nil"/>
        </w:rPr>
        <w:t>Por notificación núm. </w:t>
      </w:r>
      <w:hyperlink r:id="rId18" w:history="1">
        <w:r>
          <w:rPr>
            <w:rStyle w:val="Hyperlink"/>
            <w:bdr w:val="nil"/>
          </w:rPr>
          <w:t>2025-080</w:t>
        </w:r>
      </w:hyperlink>
      <w:r>
        <w:rPr>
          <w:color w:val="000000"/>
          <w:u w:color="000000"/>
          <w:bdr w:val="nil"/>
        </w:rPr>
        <w:t xml:space="preserve">, de 17 de junio de 2025, la Secretaria Ejecutiva invitó a presentar opiniones </w:t>
      </w:r>
      <w:r w:rsidR="006D6996">
        <w:rPr>
          <w:color w:val="000000"/>
          <w:u w:color="000000"/>
          <w:bdr w:val="nil"/>
        </w:rPr>
        <w:t>como</w:t>
      </w:r>
      <w:r>
        <w:rPr>
          <w:color w:val="000000"/>
          <w:u w:color="000000"/>
          <w:bdr w:val="nil"/>
        </w:rPr>
        <w:t xml:space="preserve"> insumos para </w:t>
      </w:r>
      <w:r>
        <w:t>la</w:t>
      </w:r>
      <w:r>
        <w:rPr>
          <w:color w:val="000000"/>
          <w:u w:color="000000"/>
          <w:bdr w:val="nil"/>
        </w:rPr>
        <w:t xml:space="preserve"> revisión preliminar de los procedimientos y mecanismos de cumplimiento. En respuesta a dicha invitación se recibieron 15 comunicaciones, 6</w:t>
      </w:r>
      <w:r w:rsidR="004C0E98">
        <w:rPr>
          <w:color w:val="000000"/>
          <w:u w:color="000000"/>
          <w:bdr w:val="nil"/>
        </w:rPr>
        <w:t> </w:t>
      </w:r>
      <w:r>
        <w:rPr>
          <w:color w:val="000000"/>
          <w:u w:color="000000"/>
          <w:bdr w:val="nil"/>
        </w:rPr>
        <w:t>de</w:t>
      </w:r>
      <w:r w:rsidR="004C0E98">
        <w:rPr>
          <w:color w:val="000000"/>
          <w:u w:color="000000"/>
          <w:bdr w:val="nil"/>
        </w:rPr>
        <w:t> </w:t>
      </w:r>
      <w:r>
        <w:rPr>
          <w:color w:val="000000"/>
          <w:u w:color="000000"/>
          <w:bdr w:val="nil"/>
        </w:rPr>
        <w:t>las cuales provenían de Partes en el Protocolo</w:t>
      </w:r>
      <w:r w:rsidR="009E5F47" w:rsidRPr="0062628C">
        <w:rPr>
          <w:rStyle w:val="FootnoteReference"/>
          <w:rFonts w:eastAsia="Arial Unicode MS"/>
          <w:color w:val="000000"/>
          <w:kern w:val="22"/>
          <w:u w:color="000000"/>
          <w:bdr w:val="nil"/>
        </w:rPr>
        <w:footnoteReference w:id="5"/>
      </w:r>
      <w:r w:rsidR="004C0E98">
        <w:rPr>
          <w:color w:val="000000"/>
          <w:u w:color="000000"/>
          <w:bdr w:val="nil"/>
        </w:rPr>
        <w:t>,</w:t>
      </w:r>
      <w:r>
        <w:rPr>
          <w:color w:val="000000"/>
          <w:u w:color="000000"/>
          <w:bdr w:val="nil"/>
        </w:rPr>
        <w:t xml:space="preserve"> </w:t>
      </w:r>
      <w:r w:rsidR="006D6996">
        <w:rPr>
          <w:color w:val="000000"/>
          <w:u w:color="000000"/>
          <w:bdr w:val="nil"/>
        </w:rPr>
        <w:t>1</w:t>
      </w:r>
      <w:r>
        <w:rPr>
          <w:color w:val="000000"/>
          <w:u w:color="000000"/>
          <w:bdr w:val="nil"/>
        </w:rPr>
        <w:t xml:space="preserve"> de un Estado que no es Parte</w:t>
      </w:r>
      <w:r w:rsidR="003432DD" w:rsidRPr="0062628C">
        <w:rPr>
          <w:rStyle w:val="FootnoteReference"/>
          <w:rFonts w:eastAsia="Arial Unicode MS"/>
          <w:color w:val="000000"/>
          <w:kern w:val="22"/>
          <w:u w:color="000000"/>
          <w:bdr w:val="nil"/>
        </w:rPr>
        <w:footnoteReference w:id="6"/>
      </w:r>
      <w:r>
        <w:rPr>
          <w:color w:val="000000"/>
          <w:u w:color="000000"/>
          <w:bdr w:val="nil"/>
        </w:rPr>
        <w:t xml:space="preserve"> y</w:t>
      </w:r>
      <w:r w:rsidR="004C0E98">
        <w:rPr>
          <w:color w:val="000000"/>
          <w:u w:color="000000"/>
          <w:bdr w:val="nil"/>
        </w:rPr>
        <w:t> </w:t>
      </w:r>
      <w:r>
        <w:rPr>
          <w:color w:val="000000"/>
          <w:u w:color="000000"/>
          <w:bdr w:val="nil"/>
        </w:rPr>
        <w:t>8</w:t>
      </w:r>
      <w:r w:rsidR="004C0E98">
        <w:rPr>
          <w:color w:val="000000"/>
          <w:u w:color="000000"/>
          <w:bdr w:val="nil"/>
        </w:rPr>
        <w:t> </w:t>
      </w:r>
      <w:r>
        <w:rPr>
          <w:color w:val="000000"/>
          <w:u w:color="000000"/>
          <w:bdr w:val="nil"/>
        </w:rPr>
        <w:t>de</w:t>
      </w:r>
      <w:r w:rsidR="004C0E98">
        <w:rPr>
          <w:color w:val="000000"/>
          <w:u w:color="000000"/>
          <w:bdr w:val="nil"/>
        </w:rPr>
        <w:t> </w:t>
      </w:r>
      <w:r>
        <w:rPr>
          <w:color w:val="000000"/>
          <w:u w:color="000000"/>
          <w:bdr w:val="nil"/>
        </w:rPr>
        <w:t>organizaciones</w:t>
      </w:r>
      <w:r w:rsidR="00297F5A" w:rsidRPr="0062628C">
        <w:rPr>
          <w:rStyle w:val="FootnoteReference"/>
          <w:rFonts w:eastAsia="Arial Unicode MS"/>
          <w:color w:val="000000"/>
          <w:kern w:val="22"/>
          <w:u w:color="000000"/>
          <w:bdr w:val="nil"/>
        </w:rPr>
        <w:footnoteReference w:id="7"/>
      </w:r>
      <w:r>
        <w:rPr>
          <w:color w:val="000000"/>
          <w:u w:color="000000"/>
          <w:bdr w:val="nil"/>
        </w:rPr>
        <w:t xml:space="preserve">. Todas las comunicaciones están disponibles en la página </w:t>
      </w:r>
      <w:r w:rsidR="001D5C8F">
        <w:rPr>
          <w:color w:val="000000"/>
          <w:u w:color="000000"/>
          <w:bdr w:val="nil"/>
        </w:rPr>
        <w:t xml:space="preserve">de </w:t>
      </w:r>
      <w:r w:rsidR="001D5C8F">
        <w:rPr>
          <w:bdr w:val="nil"/>
        </w:rPr>
        <w:t>notificaciones</w:t>
      </w:r>
      <w:r>
        <w:rPr>
          <w:color w:val="000000"/>
          <w:u w:color="000000"/>
          <w:bdr w:val="nil"/>
        </w:rPr>
        <w:t>.</w:t>
      </w:r>
    </w:p>
    <w:p w14:paraId="038C7AE4" w14:textId="77777777" w:rsidR="00F27169" w:rsidRDefault="008666C5" w:rsidP="00F27169">
      <w:pPr>
        <w:pStyle w:val="CBDNormalNumber"/>
        <w:ind w:left="540"/>
        <w:rPr>
          <w:rFonts w:eastAsia="Arial Unicode MS"/>
          <w:kern w:val="22"/>
          <w:u w:color="000000"/>
          <w:bdr w:val="nil"/>
        </w:rPr>
      </w:pPr>
      <w:r w:rsidRPr="00630CC6">
        <w:rPr>
          <w:color w:val="000000"/>
          <w:u w:color="000000"/>
          <w:bdr w:val="nil"/>
        </w:rPr>
        <w:t>En varias de las comunicaciones se aborda la aplicación del Protocolo desde una perspectiva amplia. Se señalan diversas cuestiones relacionadas con el Protocolo y su aplicación</w:t>
      </w:r>
      <w:r w:rsidR="009C3DCC" w:rsidRPr="0062628C">
        <w:rPr>
          <w:rStyle w:val="FootnoteReference"/>
          <w:rFonts w:eastAsia="Arial Unicode MS"/>
          <w:color w:val="000000"/>
          <w:kern w:val="22"/>
          <w:u w:color="000000"/>
          <w:bdr w:val="nil"/>
        </w:rPr>
        <w:footnoteReference w:id="8"/>
      </w:r>
      <w:r w:rsidRPr="00630CC6">
        <w:rPr>
          <w:color w:val="000000"/>
          <w:u w:color="000000"/>
          <w:bdr w:val="nil"/>
        </w:rPr>
        <w:t>, se brinda información sobre los pasos que se está</w:t>
      </w:r>
      <w:r w:rsidR="004C0E98">
        <w:rPr>
          <w:color w:val="000000"/>
          <w:u w:color="000000"/>
          <w:bdr w:val="nil"/>
        </w:rPr>
        <w:t>n</w:t>
      </w:r>
      <w:r w:rsidRPr="00630CC6">
        <w:rPr>
          <w:color w:val="000000"/>
          <w:u w:color="000000"/>
          <w:bdr w:val="nil"/>
        </w:rPr>
        <w:t xml:space="preserve"> tomando para aplicar el Protocolo</w:t>
      </w:r>
      <w:r w:rsidR="0039580B" w:rsidRPr="0062628C">
        <w:rPr>
          <w:rStyle w:val="FootnoteReference"/>
          <w:rFonts w:eastAsia="Arial Unicode MS"/>
          <w:color w:val="000000"/>
          <w:kern w:val="22"/>
          <w:u w:color="000000"/>
          <w:bdr w:val="nil"/>
        </w:rPr>
        <w:footnoteReference w:id="9"/>
      </w:r>
      <w:r w:rsidRPr="00630CC6">
        <w:rPr>
          <w:color w:val="000000"/>
          <w:u w:color="000000"/>
          <w:bdr w:val="nil"/>
        </w:rPr>
        <w:t xml:space="preserve"> y las dificultades enfrentadas</w:t>
      </w:r>
      <w:r w:rsidR="0039580B" w:rsidRPr="0062628C">
        <w:rPr>
          <w:rStyle w:val="FootnoteReference"/>
          <w:rFonts w:eastAsia="Arial Unicode MS"/>
          <w:color w:val="000000"/>
          <w:kern w:val="22"/>
          <w:u w:color="000000"/>
          <w:bdr w:val="nil"/>
        </w:rPr>
        <w:footnoteReference w:id="10"/>
      </w:r>
      <w:r w:rsidRPr="00630CC6">
        <w:rPr>
          <w:color w:val="000000"/>
          <w:u w:color="000000"/>
          <w:bdr w:val="nil"/>
        </w:rPr>
        <w:t>. En algunas comunicaciones se resaltan actividades que se han emprendido para apoyar la aplicación del Protocolo</w:t>
      </w:r>
      <w:r w:rsidR="0039580B" w:rsidRPr="0062628C">
        <w:rPr>
          <w:rStyle w:val="FootnoteReference"/>
          <w:rFonts w:eastAsia="Arial Unicode MS"/>
          <w:color w:val="000000"/>
          <w:kern w:val="22"/>
          <w:u w:color="000000"/>
          <w:bdr w:val="nil"/>
        </w:rPr>
        <w:footnoteReference w:id="11"/>
      </w:r>
      <w:r w:rsidRPr="00630CC6">
        <w:rPr>
          <w:color w:val="000000"/>
          <w:u w:color="000000"/>
          <w:bdr w:val="nil"/>
        </w:rPr>
        <w:t>. En dos comunicaciones</w:t>
      </w:r>
      <w:r w:rsidR="00C06351" w:rsidRPr="0062628C">
        <w:rPr>
          <w:rStyle w:val="FootnoteReference"/>
          <w:rFonts w:eastAsia="Arial Unicode MS"/>
          <w:color w:val="000000"/>
          <w:kern w:val="22"/>
          <w:u w:color="000000"/>
          <w:bdr w:val="nil"/>
        </w:rPr>
        <w:footnoteReference w:id="12"/>
      </w:r>
      <w:r w:rsidR="006D6996">
        <w:rPr>
          <w:color w:val="000000"/>
          <w:u w:color="000000"/>
          <w:bdr w:val="nil"/>
        </w:rPr>
        <w:t> </w:t>
      </w:r>
      <w:r w:rsidRPr="00630CC6">
        <w:rPr>
          <w:color w:val="000000"/>
          <w:u w:color="000000"/>
          <w:bdr w:val="nil"/>
        </w:rPr>
        <w:t xml:space="preserve">se sugieren actividades de apoyo al </w:t>
      </w:r>
      <w:r>
        <w:t xml:space="preserve">cumplimiento </w:t>
      </w:r>
      <w:r w:rsidRPr="00630CC6">
        <w:rPr>
          <w:color w:val="000000"/>
          <w:u w:color="000000"/>
          <w:bdr w:val="nil"/>
        </w:rPr>
        <w:t>y se recomienda la creación de foros para que los interesados compartan experiencias y dificultades</w:t>
      </w:r>
      <w:r w:rsidR="004C0E98" w:rsidRPr="00630CC6">
        <w:rPr>
          <w:color w:val="000000"/>
          <w:u w:color="000000"/>
          <w:bdr w:val="nil"/>
        </w:rPr>
        <w:t xml:space="preserve"> </w:t>
      </w:r>
      <w:r w:rsidR="004C0E98">
        <w:rPr>
          <w:color w:val="000000"/>
          <w:u w:color="000000"/>
          <w:bdr w:val="nil"/>
        </w:rPr>
        <w:t>d</w:t>
      </w:r>
      <w:r w:rsidR="004C0E98" w:rsidRPr="00630CC6">
        <w:rPr>
          <w:color w:val="000000"/>
          <w:u w:color="000000"/>
          <w:bdr w:val="nil"/>
        </w:rPr>
        <w:t>e distintos países</w:t>
      </w:r>
      <w:r w:rsidRPr="00630CC6">
        <w:rPr>
          <w:color w:val="000000"/>
          <w:u w:color="000000"/>
          <w:bdr w:val="nil"/>
        </w:rPr>
        <w:t xml:space="preserve"> en materia de acceso y participación en los beneficios. Todos estos puntos se abordan más a fondo en el análisis de la información para la segunda evaluación y revisión de la eficacia del Protocolo</w:t>
      </w:r>
      <w:r w:rsidR="00B94309" w:rsidRPr="0062628C">
        <w:rPr>
          <w:rStyle w:val="FootnoteReference"/>
          <w:rFonts w:eastAsia="Arial Unicode MS"/>
          <w:color w:val="000000"/>
          <w:kern w:val="22"/>
          <w:u w:color="000000"/>
          <w:bdr w:val="nil"/>
        </w:rPr>
        <w:footnoteReference w:id="13"/>
      </w:r>
      <w:r w:rsidRPr="00630CC6">
        <w:rPr>
          <w:color w:val="000000"/>
          <w:u w:color="000000"/>
          <w:bdr w:val="nil"/>
        </w:rPr>
        <w:t>.</w:t>
      </w:r>
    </w:p>
    <w:p w14:paraId="6A85DA69" w14:textId="7F7340DE" w:rsidR="0099216F" w:rsidRPr="00F27169" w:rsidRDefault="0099216F" w:rsidP="00F27169">
      <w:pPr>
        <w:pStyle w:val="CBDNormalNumber"/>
        <w:ind w:left="540"/>
        <w:rPr>
          <w:rFonts w:eastAsia="Arial Unicode MS"/>
          <w:kern w:val="22"/>
          <w:u w:color="000000"/>
          <w:bdr w:val="nil"/>
        </w:rPr>
      </w:pPr>
      <w:r w:rsidRPr="00F27169">
        <w:rPr>
          <w:u w:color="000000"/>
          <w:bdr w:val="nil"/>
        </w:rPr>
        <w:t>Algunas comunicaciones contienen sugerencias relacionadas con la labor del Comité que podrí</w:t>
      </w:r>
      <w:r w:rsidR="00F27169" w:rsidRPr="00F27169">
        <w:rPr>
          <w:u w:color="000000"/>
          <w:bdr w:val="nil"/>
        </w:rPr>
        <w:t>1</w:t>
      </w:r>
      <w:r w:rsidRPr="00F27169">
        <w:rPr>
          <w:u w:color="000000"/>
          <w:bdr w:val="nil"/>
        </w:rPr>
        <w:t>an abordarse sin necesidad de cambiar los procedimientos y mecanismos de cumplimiento. Por</w:t>
      </w:r>
      <w:r w:rsidR="006D6996" w:rsidRPr="00F27169">
        <w:rPr>
          <w:u w:color="000000"/>
          <w:bdr w:val="nil"/>
        </w:rPr>
        <w:t> </w:t>
      </w:r>
      <w:r w:rsidRPr="00F27169">
        <w:rPr>
          <w:u w:color="000000"/>
          <w:bdr w:val="nil"/>
        </w:rPr>
        <w:t>ejemplo, en una comunicación</w:t>
      </w:r>
      <w:r w:rsidRPr="0062628C">
        <w:rPr>
          <w:rStyle w:val="FootnoteReference"/>
          <w:rFonts w:eastAsia="Arial Unicode MS"/>
          <w:kern w:val="22"/>
          <w:u w:color="000000"/>
          <w:bdr w:val="nil"/>
        </w:rPr>
        <w:footnoteReference w:id="14"/>
      </w:r>
      <w:r w:rsidRPr="00F27169">
        <w:rPr>
          <w:u w:color="000000"/>
          <w:bdr w:val="nil"/>
        </w:rPr>
        <w:t xml:space="preserve"> se propone que el Comité aliente a la Secretaría, con sujeción a la disponibilidad de recursos, a realizar auditorías periódicas del Centro de Intercambio de Información sobre Acceso y Participación en los Beneficios</w:t>
      </w:r>
      <w:r w:rsidR="006D6996" w:rsidRPr="00F27169">
        <w:rPr>
          <w:u w:color="000000"/>
          <w:bdr w:val="nil"/>
        </w:rPr>
        <w:t>,</w:t>
      </w:r>
      <w:r w:rsidRPr="00F27169">
        <w:rPr>
          <w:u w:color="000000"/>
          <w:bdr w:val="nil"/>
        </w:rPr>
        <w:t xml:space="preserve"> de manera de garantizar que la información que contiene esté actualizada. En otra comunicación</w:t>
      </w:r>
      <w:r w:rsidR="00D3261A" w:rsidRPr="0062628C">
        <w:rPr>
          <w:rStyle w:val="FootnoteReference"/>
          <w:rFonts w:eastAsia="Arial Unicode MS"/>
          <w:kern w:val="22"/>
          <w:u w:color="000000"/>
          <w:bdr w:val="nil"/>
        </w:rPr>
        <w:footnoteReference w:id="15"/>
      </w:r>
      <w:r w:rsidRPr="00F27169">
        <w:rPr>
          <w:u w:color="000000"/>
          <w:bdr w:val="nil"/>
        </w:rPr>
        <w:t xml:space="preserve"> se sugiere que se adopten medidas </w:t>
      </w:r>
      <w:r w:rsidR="00535C76" w:rsidRPr="00F27169">
        <w:rPr>
          <w:u w:color="000000"/>
          <w:bdr w:val="nil"/>
        </w:rPr>
        <w:t xml:space="preserve">adicionales </w:t>
      </w:r>
      <w:r w:rsidRPr="00F27169">
        <w:rPr>
          <w:u w:color="000000"/>
          <w:bdr w:val="nil"/>
        </w:rPr>
        <w:t xml:space="preserve">para aumentar la visibilidad </w:t>
      </w:r>
      <w:r w:rsidR="00535C76" w:rsidRPr="00F27169">
        <w:rPr>
          <w:u w:color="000000"/>
          <w:bdr w:val="nil"/>
        </w:rPr>
        <w:t>y difusión de</w:t>
      </w:r>
      <w:r w:rsidRPr="00F27169">
        <w:rPr>
          <w:u w:color="000000"/>
          <w:bdr w:val="nil"/>
        </w:rPr>
        <w:t xml:space="preserve"> la labor del</w:t>
      </w:r>
      <w:r w:rsidR="00535C76" w:rsidRPr="00F27169">
        <w:rPr>
          <w:u w:color="000000"/>
          <w:bdr w:val="nil"/>
        </w:rPr>
        <w:t xml:space="preserve"> Comité </w:t>
      </w:r>
      <w:r w:rsidRPr="00F27169">
        <w:rPr>
          <w:u w:color="000000"/>
          <w:bdr w:val="nil"/>
        </w:rPr>
        <w:t xml:space="preserve">y que se celebren sesiones introductorias sobre la labor y el mandato del Comité para que los </w:t>
      </w:r>
      <w:r w:rsidR="006D6996" w:rsidRPr="00F27169">
        <w:rPr>
          <w:u w:color="000000"/>
          <w:bdr w:val="nil"/>
        </w:rPr>
        <w:t>miembros</w:t>
      </w:r>
      <w:r w:rsidRPr="00F27169">
        <w:rPr>
          <w:u w:color="000000"/>
          <w:bdr w:val="nil"/>
        </w:rPr>
        <w:t xml:space="preserve"> del Comité cuenten con la información necesaria para desempeña</w:t>
      </w:r>
      <w:r w:rsidR="00535C76" w:rsidRPr="00F27169">
        <w:rPr>
          <w:u w:color="000000"/>
          <w:bdr w:val="nil"/>
        </w:rPr>
        <w:t>r</w:t>
      </w:r>
      <w:r w:rsidRPr="00F27169">
        <w:rPr>
          <w:u w:color="000000"/>
          <w:bdr w:val="nil"/>
        </w:rPr>
        <w:t xml:space="preserve"> sus funciones.</w:t>
      </w:r>
    </w:p>
    <w:p w14:paraId="4A0DD213" w14:textId="588589DC" w:rsidR="000A5C42" w:rsidRPr="0062628C" w:rsidRDefault="00964F6D" w:rsidP="009477BD">
      <w:pPr>
        <w:pStyle w:val="CBDNormalNumber"/>
        <w:rPr>
          <w:rFonts w:eastAsia="Arial Unicode MS"/>
          <w:kern w:val="22"/>
          <w:u w:color="000000"/>
          <w:bdr w:val="nil"/>
        </w:rPr>
      </w:pPr>
      <w:r>
        <w:rPr>
          <w:u w:color="000000"/>
          <w:bdr w:val="nil"/>
        </w:rPr>
        <w:t>En una comunicación</w:t>
      </w:r>
      <w:r w:rsidR="00FB58F4" w:rsidRPr="0062628C">
        <w:rPr>
          <w:rStyle w:val="FootnoteReference"/>
          <w:rFonts w:eastAsia="Arial Unicode MS"/>
          <w:kern w:val="22"/>
          <w:u w:color="000000"/>
          <w:bdr w:val="nil"/>
        </w:rPr>
        <w:footnoteReference w:id="16"/>
      </w:r>
      <w:r>
        <w:rPr>
          <w:u w:color="000000"/>
          <w:bdr w:val="nil"/>
        </w:rPr>
        <w:t xml:space="preserve"> se manifiesta apoyo para </w:t>
      </w:r>
      <w:r w:rsidR="007B096D">
        <w:rPr>
          <w:u w:color="000000"/>
          <w:bdr w:val="nil"/>
        </w:rPr>
        <w:t>muchas</w:t>
      </w:r>
      <w:r>
        <w:rPr>
          <w:u w:color="000000"/>
          <w:bdr w:val="nil"/>
        </w:rPr>
        <w:t xml:space="preserve"> parte</w:t>
      </w:r>
      <w:r w:rsidR="007B096D">
        <w:rPr>
          <w:u w:color="000000"/>
          <w:bdr w:val="nil"/>
        </w:rPr>
        <w:t>s</w:t>
      </w:r>
      <w:r>
        <w:rPr>
          <w:u w:color="000000"/>
          <w:bdr w:val="nil"/>
        </w:rPr>
        <w:t xml:space="preserve"> de los procedimientos y mecanismos de cumplimiento</w:t>
      </w:r>
      <w:r w:rsidR="007B096D" w:rsidRPr="007B096D">
        <w:rPr>
          <w:u w:color="000000"/>
          <w:bdr w:val="nil"/>
        </w:rPr>
        <w:t xml:space="preserve"> </w:t>
      </w:r>
      <w:r w:rsidR="007B096D">
        <w:rPr>
          <w:u w:color="000000"/>
          <w:bdr w:val="nil"/>
        </w:rPr>
        <w:t>actuales</w:t>
      </w:r>
      <w:r>
        <w:rPr>
          <w:u w:color="000000"/>
          <w:bdr w:val="nil"/>
        </w:rPr>
        <w:t xml:space="preserve">, mientras que </w:t>
      </w:r>
      <w:r w:rsidR="00535C76">
        <w:rPr>
          <w:u w:color="000000"/>
          <w:bdr w:val="nil"/>
        </w:rPr>
        <w:t xml:space="preserve">en </w:t>
      </w:r>
      <w:r>
        <w:rPr>
          <w:u w:color="000000"/>
          <w:bdr w:val="nil"/>
        </w:rPr>
        <w:t xml:space="preserve">otras </w:t>
      </w:r>
      <w:r w:rsidR="00535C76">
        <w:rPr>
          <w:u w:color="000000"/>
          <w:bdr w:val="nil"/>
        </w:rPr>
        <w:t xml:space="preserve">se </w:t>
      </w:r>
      <w:r>
        <w:rPr>
          <w:u w:color="000000"/>
          <w:bdr w:val="nil"/>
        </w:rPr>
        <w:t>sugieren cambi</w:t>
      </w:r>
      <w:r w:rsidR="00535C76">
        <w:rPr>
          <w:u w:color="000000"/>
          <w:bdr w:val="nil"/>
        </w:rPr>
        <w:t>os</w:t>
      </w:r>
      <w:r>
        <w:rPr>
          <w:u w:color="000000"/>
          <w:bdr w:val="nil"/>
        </w:rPr>
        <w:t>.</w:t>
      </w:r>
    </w:p>
    <w:p w14:paraId="1B82D1F0" w14:textId="70785989" w:rsidR="008D3C6F" w:rsidRPr="0062628C" w:rsidRDefault="00BB0204" w:rsidP="00132C94">
      <w:pPr>
        <w:pStyle w:val="CBDNormalNumber"/>
        <w:rPr>
          <w:rFonts w:eastAsia="Arial Unicode MS"/>
          <w:kern w:val="22"/>
          <w:u w:color="000000"/>
          <w:bdr w:val="nil"/>
        </w:rPr>
      </w:pPr>
      <w:r>
        <w:t>En varias comunicaciones</w:t>
      </w:r>
      <w:r w:rsidR="00DE48E7" w:rsidRPr="0062628C">
        <w:rPr>
          <w:rStyle w:val="FootnoteReference"/>
        </w:rPr>
        <w:footnoteReference w:id="17"/>
      </w:r>
      <w:r>
        <w:t xml:space="preserve"> se sugiere que se podría fortalecer el papel </w:t>
      </w:r>
      <w:r w:rsidR="007B096D">
        <w:t>d</w:t>
      </w:r>
      <w:r>
        <w:t xml:space="preserve">el Comité habilitándolo a prestar asistencia financiera, técnica y jurídica. En ese sentido se menciona </w:t>
      </w:r>
      <w:r w:rsidR="00132C94">
        <w:t xml:space="preserve">como ejemplo </w:t>
      </w:r>
      <w:r>
        <w:t xml:space="preserve">el Programa de Asistencia para el Cumplimiento de la Convención sobre el Comercio </w:t>
      </w:r>
      <w:r>
        <w:lastRenderedPageBreak/>
        <w:t>Internacional de Especies Amenazadas de Fauna y Flora Silvestres. En algunas comunicaciones</w:t>
      </w:r>
      <w:r w:rsidR="00CB646A" w:rsidRPr="0062628C">
        <w:rPr>
          <w:rStyle w:val="FootnoteReference"/>
        </w:rPr>
        <w:footnoteReference w:id="18"/>
      </w:r>
      <w:r>
        <w:t xml:space="preserve"> se sugiere </w:t>
      </w:r>
      <w:r w:rsidR="00132C94" w:rsidRPr="00132C94">
        <w:t xml:space="preserve">también que se podría permitir que </w:t>
      </w:r>
      <w:r w:rsidR="00132C94">
        <w:t xml:space="preserve">el </w:t>
      </w:r>
      <w:r w:rsidR="00132C94" w:rsidRPr="00132C94">
        <w:t>Comité realizara</w:t>
      </w:r>
      <w:r>
        <w:t xml:space="preserve"> evaluaciones técnicas o visitas sobre el terreno, cuando </w:t>
      </w:r>
      <w:r w:rsidR="00132C94">
        <w:t>fu</w:t>
      </w:r>
      <w:r>
        <w:t>e</w:t>
      </w:r>
      <w:r w:rsidR="00132C94">
        <w:t>r</w:t>
      </w:r>
      <w:r>
        <w:t>a necesario, a efectos de verificar el cumplimiento de las disposiciones del Protocolo, especialmente en situaciones en las que h</w:t>
      </w:r>
      <w:r w:rsidR="00132C94">
        <w:t>ubier</w:t>
      </w:r>
      <w:r>
        <w:t>a indicios razonables de incumplimiento o carencias de información. En una comunicación</w:t>
      </w:r>
      <w:r w:rsidR="000C5F76" w:rsidRPr="0062628C">
        <w:rPr>
          <w:rStyle w:val="FootnoteReference"/>
        </w:rPr>
        <w:footnoteReference w:id="19"/>
      </w:r>
      <w:r>
        <w:t xml:space="preserve"> se mencionan experiencias pertinentes en el marco de la misma Convención, así como en</w:t>
      </w:r>
      <w:r w:rsidR="000C67C8">
        <w:t xml:space="preserve"> el marco</w:t>
      </w:r>
      <w:r>
        <w:t xml:space="preserve"> </w:t>
      </w:r>
      <w:r w:rsidR="000C67C8">
        <w:t>d</w:t>
      </w:r>
      <w:r>
        <w:t xml:space="preserve">el Convenio relativo a la Conservación de la Vida Silvestre y del Medio Natural de Europa, pero se subraya que las visitas sobre el terreno podrían tener </w:t>
      </w:r>
      <w:r w:rsidR="007B096D">
        <w:t>repercus</w:t>
      </w:r>
      <w:r>
        <w:t>iones presupuestarias.</w:t>
      </w:r>
    </w:p>
    <w:p w14:paraId="55555910" w14:textId="51257FA3" w:rsidR="003E0626" w:rsidRPr="0062628C" w:rsidRDefault="006E6CDC" w:rsidP="009477BD">
      <w:pPr>
        <w:pStyle w:val="CBDNormalNumber"/>
        <w:rPr>
          <w:rFonts w:eastAsia="Arial Unicode MS"/>
          <w:kern w:val="22"/>
          <w:u w:color="000000"/>
          <w:bdr w:val="nil"/>
        </w:rPr>
      </w:pPr>
      <w:r>
        <w:t xml:space="preserve">En varias comunicaciones se aborda el tema del papel </w:t>
      </w:r>
      <w:r w:rsidR="002A6313">
        <w:t>d</w:t>
      </w:r>
      <w:r>
        <w:t>e las organizaciones en los procedimientos y mecanismos de cumplimiento. En una comunicación</w:t>
      </w:r>
      <w:r w:rsidR="003E0626" w:rsidRPr="0062628C">
        <w:rPr>
          <w:rStyle w:val="FootnoteReference"/>
        </w:rPr>
        <w:footnoteReference w:id="20"/>
      </w:r>
      <w:r>
        <w:t xml:space="preserve"> se señala que, conforme a la sección E de los procedimientos y mecanismos de cumplimiento, referida a información para el Comité y consultas por parte del Comité luego de la puesta en marcha de los procedimientos, las fuentes pertinentes de las cuales el Comité podría procurar información podrían incluir organizaciones afectad</w:t>
      </w:r>
      <w:r w:rsidR="002A6313">
        <w:t>a</w:t>
      </w:r>
      <w:r>
        <w:t>s</w:t>
      </w:r>
      <w:r w:rsidR="002A6313">
        <w:t xml:space="preserve"> e investigadores</w:t>
      </w:r>
      <w:r>
        <w:t>. En otras</w:t>
      </w:r>
      <w:r w:rsidR="003E0626" w:rsidRPr="0062628C">
        <w:rPr>
          <w:rStyle w:val="FootnoteReference"/>
        </w:rPr>
        <w:footnoteReference w:id="21"/>
      </w:r>
      <w:r>
        <w:t xml:space="preserve"> se propone que en la composición del Comité</w:t>
      </w:r>
      <w:r w:rsidR="002A6313">
        <w:t>,</w:t>
      </w:r>
      <w:r>
        <w:t xml:space="preserve"> establecida en la sección B </w:t>
      </w:r>
      <w:r w:rsidR="002A6313">
        <w:t>sobre</w:t>
      </w:r>
      <w:r>
        <w:t xml:space="preserve"> mecanismos institucionales, se incluyan representantes de la sociedad civil, así como interesados de los sectores público y privado que sean usuarios de recursos genéticos y conocimientos tradicionales relacionados, y que se les permita presentar al Comité casos de incumplimiento con arreglo a la sección D, referida a procedimientos.</w:t>
      </w:r>
    </w:p>
    <w:p w14:paraId="56789B78" w14:textId="5934FBFB" w:rsidR="000803F5" w:rsidRPr="0062628C" w:rsidRDefault="00C90336" w:rsidP="009477BD">
      <w:pPr>
        <w:pStyle w:val="CBDNormalNumber"/>
        <w:rPr>
          <w:rFonts w:eastAsia="Arial Unicode MS"/>
          <w:kern w:val="22"/>
          <w:u w:color="000000"/>
          <w:bdr w:val="nil"/>
        </w:rPr>
      </w:pPr>
      <w:r>
        <w:rPr>
          <w:u w:color="000000"/>
          <w:bdr w:val="nil"/>
        </w:rPr>
        <w:t>En una comunicación</w:t>
      </w:r>
      <w:r w:rsidR="00BE1261" w:rsidRPr="0062628C">
        <w:rPr>
          <w:rStyle w:val="FootnoteReference"/>
          <w:rFonts w:eastAsia="Arial Unicode MS"/>
          <w:kern w:val="22"/>
          <w:u w:color="000000"/>
          <w:bdr w:val="nil"/>
        </w:rPr>
        <w:footnoteReference w:id="22"/>
      </w:r>
      <w:r w:rsidR="002A6313">
        <w:rPr>
          <w:u w:color="000000"/>
          <w:bdr w:val="nil"/>
        </w:rPr>
        <w:t> </w:t>
      </w:r>
      <w:r>
        <w:rPr>
          <w:u w:color="000000"/>
          <w:bdr w:val="nil"/>
        </w:rPr>
        <w:t>se propone que se considere la posibilidad de que el Comité celebre reuniones en línea e híbridas. Cabe señalar que esto requeriría cambiar el reglamento para las reuniones del Comité, que fue aprobad</w:t>
      </w:r>
      <w:r w:rsidR="002A6313">
        <w:rPr>
          <w:u w:color="000000"/>
          <w:bdr w:val="nil"/>
        </w:rPr>
        <w:t>o</w:t>
      </w:r>
      <w:r>
        <w:rPr>
          <w:u w:color="000000"/>
          <w:bdr w:val="nil"/>
        </w:rPr>
        <w:t xml:space="preserve"> por la Conferencia de las Partes que actúa como reunión de las Partes en el Protocolo por </w:t>
      </w:r>
      <w:hyperlink r:id="rId19" w:history="1">
        <w:r>
          <w:rPr>
            <w:rStyle w:val="Hyperlink"/>
            <w:color w:val="auto"/>
            <w:u w:val="none"/>
            <w:bdr w:val="nil"/>
          </w:rPr>
          <w:t>decisión </w:t>
        </w:r>
        <w:r>
          <w:rPr>
            <w:rStyle w:val="Hyperlink"/>
            <w:bdr w:val="nil"/>
          </w:rPr>
          <w:t>NP-2/3</w:t>
        </w:r>
      </w:hyperlink>
      <w:r>
        <w:rPr>
          <w:u w:color="000000"/>
          <w:bdr w:val="nil"/>
        </w:rPr>
        <w:t>. Actualmente, el artículo 14 del reglamento establece que el Comité podrá utilizar medios electrónicos de comunicación con el fin de llevar a cabo consultas oficiosas sobre las cuestiones que esté examinando, así como para tomar decisiones, excepto en el caso de decisiones de fondo, tales como las notificaciones relacionadas con cuestiones de cumplimiento e incumplimiento de las disposiciones del Protocolo.</w:t>
      </w:r>
    </w:p>
    <w:p w14:paraId="5F8C9D5C" w14:textId="5E85AD87" w:rsidR="005F3BAC" w:rsidRPr="0062628C" w:rsidRDefault="006E6CDC" w:rsidP="00476331">
      <w:pPr>
        <w:pStyle w:val="CBDNormalNumber"/>
        <w:rPr>
          <w:rFonts w:eastAsia="Arial Unicode MS"/>
          <w:kern w:val="22"/>
          <w:u w:color="000000"/>
          <w:bdr w:val="nil"/>
        </w:rPr>
      </w:pPr>
      <w:r>
        <w:rPr>
          <w:u w:color="000000"/>
          <w:bdr w:val="nil"/>
        </w:rPr>
        <w:t xml:space="preserve">En la misma comunicación se propone que la disposición </w:t>
      </w:r>
      <w:r w:rsidR="00DD34A4">
        <w:rPr>
          <w:u w:color="000000"/>
          <w:bdr w:val="nil"/>
        </w:rPr>
        <w:t xml:space="preserve">referida a </w:t>
      </w:r>
      <w:r w:rsidR="00C948F5">
        <w:rPr>
          <w:u w:color="000000"/>
          <w:bdr w:val="nil"/>
        </w:rPr>
        <w:t>la forma de</w:t>
      </w:r>
      <w:r w:rsidR="00DD34A4">
        <w:rPr>
          <w:u w:color="000000"/>
          <w:bdr w:val="nil"/>
        </w:rPr>
        <w:t xml:space="preserve"> constitu</w:t>
      </w:r>
      <w:r w:rsidR="00C948F5">
        <w:rPr>
          <w:u w:color="000000"/>
          <w:bdr w:val="nil"/>
        </w:rPr>
        <w:t>irs</w:t>
      </w:r>
      <w:r w:rsidR="00DD34A4">
        <w:rPr>
          <w:u w:color="000000"/>
          <w:bdr w:val="nil"/>
        </w:rPr>
        <w:t xml:space="preserve">e el quórum, establecida en </w:t>
      </w:r>
      <w:r>
        <w:rPr>
          <w:u w:color="000000"/>
          <w:bdr w:val="nil"/>
        </w:rPr>
        <w:t>el párrafo 10 de la sección B de los procedimientos y mecanismos</w:t>
      </w:r>
      <w:r w:rsidR="00DD34A4">
        <w:rPr>
          <w:u w:color="000000"/>
          <w:bdr w:val="nil"/>
        </w:rPr>
        <w:t>,</w:t>
      </w:r>
      <w:r w:rsidR="002A6313">
        <w:rPr>
          <w:u w:color="000000"/>
          <w:bdr w:val="nil"/>
        </w:rPr>
        <w:t xml:space="preserve"> </w:t>
      </w:r>
      <w:r>
        <w:rPr>
          <w:u w:color="000000"/>
          <w:bdr w:val="nil"/>
        </w:rPr>
        <w:t xml:space="preserve">sea enmendada </w:t>
      </w:r>
      <w:r w:rsidR="00476331">
        <w:rPr>
          <w:u w:color="000000"/>
          <w:bdr w:val="nil"/>
        </w:rPr>
        <w:t>a fin</w:t>
      </w:r>
      <w:r w:rsidR="00DD34A4">
        <w:rPr>
          <w:u w:color="000000"/>
          <w:bdr w:val="nil"/>
        </w:rPr>
        <w:t xml:space="preserve"> de</w:t>
      </w:r>
      <w:r>
        <w:rPr>
          <w:u w:color="000000"/>
          <w:bdr w:val="nil"/>
        </w:rPr>
        <w:t xml:space="preserve"> garantizar una representación </w:t>
      </w:r>
      <w:r>
        <w:t>regional</w:t>
      </w:r>
      <w:r>
        <w:rPr>
          <w:u w:color="000000"/>
          <w:bdr w:val="nil"/>
        </w:rPr>
        <w:t xml:space="preserve"> adecuada en la toma de decisiones del Comité. El </w:t>
      </w:r>
      <w:r w:rsidR="00476331" w:rsidRPr="00476331">
        <w:rPr>
          <w:u w:color="000000"/>
          <w:bdr w:val="nil"/>
        </w:rPr>
        <w:t xml:space="preserve">párrafo </w:t>
      </w:r>
      <w:r>
        <w:rPr>
          <w:u w:color="000000"/>
          <w:bdr w:val="nil"/>
        </w:rPr>
        <w:t xml:space="preserve">enmendado </w:t>
      </w:r>
      <w:r w:rsidR="00DD34A4">
        <w:rPr>
          <w:u w:color="000000"/>
          <w:bdr w:val="nil"/>
        </w:rPr>
        <w:t>qu</w:t>
      </w:r>
      <w:r>
        <w:rPr>
          <w:u w:color="000000"/>
          <w:bdr w:val="nil"/>
        </w:rPr>
        <w:t>e</w:t>
      </w:r>
      <w:r w:rsidR="00DD34A4">
        <w:rPr>
          <w:u w:color="000000"/>
          <w:bdr w:val="nil"/>
        </w:rPr>
        <w:t>da</w:t>
      </w:r>
      <w:r>
        <w:rPr>
          <w:u w:color="000000"/>
          <w:bdr w:val="nil"/>
        </w:rPr>
        <w:t xml:space="preserve">ría </w:t>
      </w:r>
      <w:r w:rsidR="00476331">
        <w:rPr>
          <w:u w:color="000000"/>
          <w:bdr w:val="nil"/>
        </w:rPr>
        <w:t>de la siguiente manera</w:t>
      </w:r>
      <w:r w:rsidR="00DD34A4">
        <w:rPr>
          <w:u w:color="000000"/>
          <w:bdr w:val="nil"/>
        </w:rPr>
        <w:t xml:space="preserve"> </w:t>
      </w:r>
      <w:r>
        <w:rPr>
          <w:u w:color="000000"/>
          <w:bdr w:val="nil"/>
        </w:rPr>
        <w:t>(el agregado propuesto está subrayado): “</w:t>
      </w:r>
      <w:r>
        <w:t>El quórum se constituirá con dos tercios de los miembros del Comité</w:t>
      </w:r>
      <w:r>
        <w:rPr>
          <w:u w:val="single"/>
        </w:rPr>
        <w:t xml:space="preserve">, siempre y cuando esté presente por lo menos un </w:t>
      </w:r>
      <w:r w:rsidR="00DD34A4">
        <w:rPr>
          <w:u w:val="single"/>
        </w:rPr>
        <w:t>miembro</w:t>
      </w:r>
      <w:r>
        <w:rPr>
          <w:u w:val="single"/>
        </w:rPr>
        <w:t xml:space="preserve"> de cada grupo regional</w:t>
      </w:r>
      <w:r>
        <w:t>.”</w:t>
      </w:r>
    </w:p>
    <w:p w14:paraId="636760F5" w14:textId="0CAB8155" w:rsidR="00A27F7A" w:rsidRPr="0062628C" w:rsidRDefault="00460038" w:rsidP="00CA0246">
      <w:pPr>
        <w:pStyle w:val="CBDNormalNumber"/>
        <w:rPr>
          <w:rFonts w:eastAsia="Arial Unicode MS"/>
          <w:kern w:val="22"/>
          <w:u w:color="000000"/>
          <w:bdr w:val="nil"/>
        </w:rPr>
      </w:pPr>
      <w:r>
        <w:rPr>
          <w:u w:color="000000"/>
          <w:bdr w:val="nil"/>
        </w:rPr>
        <w:t xml:space="preserve">En la misma comunicación también se hace una sugerencia </w:t>
      </w:r>
      <w:r w:rsidR="00476331">
        <w:rPr>
          <w:u w:color="000000"/>
          <w:bdr w:val="nil"/>
        </w:rPr>
        <w:t>con respecto a</w:t>
      </w:r>
      <w:r>
        <w:rPr>
          <w:u w:color="000000"/>
          <w:bdr w:val="nil"/>
        </w:rPr>
        <w:t xml:space="preserve"> la sección</w:t>
      </w:r>
      <w:r w:rsidR="00DD34A4">
        <w:rPr>
          <w:u w:color="000000"/>
          <w:bdr w:val="nil"/>
        </w:rPr>
        <w:t xml:space="preserve"> </w:t>
      </w:r>
      <w:r>
        <w:rPr>
          <w:u w:color="000000"/>
          <w:bdr w:val="nil"/>
        </w:rPr>
        <w:t xml:space="preserve">F de los procedimientos y mecanismos de cumplimiento, referida a medidas para promover el cumplimiento y tratar casos de incumplimiento. En el párrafo 3 d) de la sección F se establece que la Conferencia </w:t>
      </w:r>
      <w:r w:rsidR="00476331">
        <w:rPr>
          <w:u w:color="000000"/>
          <w:bdr w:val="nil"/>
        </w:rPr>
        <w:t xml:space="preserve">de las </w:t>
      </w:r>
      <w:r>
        <w:rPr>
          <w:u w:color="000000"/>
          <w:bdr w:val="nil"/>
        </w:rPr>
        <w:t>Partes que actúa como reunión de las Partes en el Protocolo, ante re</w:t>
      </w:r>
      <w:r w:rsidR="00DD34A4">
        <w:rPr>
          <w:u w:color="000000"/>
          <w:bdr w:val="nil"/>
        </w:rPr>
        <w:t>comendaciones del Comité</w:t>
      </w:r>
      <w:r w:rsidR="00B05866">
        <w:rPr>
          <w:u w:color="000000"/>
          <w:bdr w:val="nil"/>
        </w:rPr>
        <w:t xml:space="preserve"> y</w:t>
      </w:r>
      <w:r w:rsidR="00CA0246" w:rsidRPr="00CA0246">
        <w:rPr>
          <w:u w:color="000000"/>
          <w:bdr w:val="nil"/>
        </w:rPr>
        <w:t xml:space="preserve"> con miras a promover el cumplimiento y tratar casos de incumplimiento,</w:t>
      </w:r>
      <w:r w:rsidR="00B05866">
        <w:rPr>
          <w:u w:color="000000"/>
          <w:bdr w:val="nil"/>
        </w:rPr>
        <w:t xml:space="preserve"> podrá </w:t>
      </w:r>
      <w:r w:rsidR="00476331">
        <w:rPr>
          <w:u w:color="000000"/>
          <w:bdr w:val="nil"/>
        </w:rPr>
        <w:t>además</w:t>
      </w:r>
      <w:r w:rsidR="00B05866">
        <w:rPr>
          <w:u w:color="000000"/>
          <w:bdr w:val="nil"/>
        </w:rPr>
        <w:t xml:space="preserve"> </w:t>
      </w:r>
      <w:r>
        <w:rPr>
          <w:u w:color="000000"/>
          <w:bdr w:val="nil"/>
        </w:rPr>
        <w:t xml:space="preserve">decidir respecto de cualquier otra medida, según proceda, de conformidad con el párrafo 4 del artículo 26 del Protocolo y las normas aplicables de derecho internacional, teniendo presente la necesidad de tomar medidas enérgicas en casos de incumplimiento grave o repetido. En la comunicación se señala que esta disposición no se ha aplicado y se propone que </w:t>
      </w:r>
      <w:r w:rsidR="00476331">
        <w:rPr>
          <w:u w:color="000000"/>
          <w:bdr w:val="nil"/>
        </w:rPr>
        <w:t xml:space="preserve">se aclare o se elimine </w:t>
      </w:r>
      <w:r>
        <w:rPr>
          <w:u w:color="000000"/>
          <w:bdr w:val="nil"/>
        </w:rPr>
        <w:t>la frase “teniendo presente la necesidad de tomar medidas enérgicas en casos de incumplimiento grave o repetido”.</w:t>
      </w:r>
    </w:p>
    <w:p w14:paraId="06D1BB45" w14:textId="370A072E" w:rsidR="00CD1BA4" w:rsidRPr="0062628C" w:rsidRDefault="00CD1BA4">
      <w:pPr>
        <w:spacing w:after="160" w:line="259" w:lineRule="auto"/>
        <w:jc w:val="left"/>
        <w:rPr>
          <w:rFonts w:eastAsia="Arial Unicode MS"/>
          <w:snapToGrid w:val="0"/>
          <w:kern w:val="22"/>
          <w:u w:color="000000"/>
          <w:bdr w:val="nil"/>
        </w:rPr>
      </w:pPr>
      <w:r>
        <w:br w:type="page"/>
      </w:r>
    </w:p>
    <w:p w14:paraId="16C243A2" w14:textId="1084F2EF" w:rsidR="00CD1BA4" w:rsidRPr="0062628C" w:rsidRDefault="00CD1BA4" w:rsidP="009477BD">
      <w:pPr>
        <w:pStyle w:val="CBDAnnex"/>
        <w:rPr>
          <w:u w:color="000000"/>
          <w:bdr w:val="nil"/>
        </w:rPr>
      </w:pPr>
      <w:r>
        <w:rPr>
          <w:u w:color="000000"/>
          <w:bdr w:val="nil"/>
        </w:rPr>
        <w:lastRenderedPageBreak/>
        <w:t>Anexo</w:t>
      </w:r>
    </w:p>
    <w:p w14:paraId="5E3C5C0C" w14:textId="34D60425" w:rsidR="00CD1BA4" w:rsidRPr="0062628C" w:rsidRDefault="00FA50C4" w:rsidP="009477BD">
      <w:pPr>
        <w:pStyle w:val="CBDTitle"/>
        <w:rPr>
          <w:u w:color="000000"/>
          <w:bdr w:val="nil"/>
        </w:rPr>
      </w:pPr>
      <w:r>
        <w:rPr>
          <w:u w:color="000000"/>
          <w:bdr w:val="nil"/>
        </w:rPr>
        <w:t>Experiencia con los procedimientos y mecanismos de cumplimiento establecidos en el marco del Protocolo de Cartagena sobre Seguridad</w:t>
      </w:r>
      <w:r w:rsidR="00B05866">
        <w:rPr>
          <w:u w:color="000000"/>
          <w:bdr w:val="nil"/>
        </w:rPr>
        <w:br/>
      </w:r>
      <w:r>
        <w:rPr>
          <w:u w:color="000000"/>
          <w:bdr w:val="nil"/>
        </w:rPr>
        <w:t>de la Biotecnología</w:t>
      </w:r>
    </w:p>
    <w:p w14:paraId="194F2A1A" w14:textId="076588A8" w:rsidR="006C73F3" w:rsidRPr="0062628C" w:rsidRDefault="006C73F3" w:rsidP="00E16AAB">
      <w:pPr>
        <w:pStyle w:val="CBDNormalNumber"/>
        <w:numPr>
          <w:ilvl w:val="0"/>
          <w:numId w:val="19"/>
        </w:numPr>
        <w:rPr>
          <w:u w:color="000000"/>
          <w:bdr w:val="nil"/>
        </w:rPr>
      </w:pPr>
      <w:r>
        <w:rPr>
          <w:u w:color="000000"/>
          <w:bdr w:val="nil"/>
        </w:rPr>
        <w:t xml:space="preserve">El presente anexo brinda un breve panorama general de los aspectos más importantes referidos a los procedimientos y mecanismos de cumplimiento del Protocolo de Cartagena sobre Seguridad de la Biotecnología. </w:t>
      </w:r>
      <w:r w:rsidR="00F240CD">
        <w:rPr>
          <w:u w:color="000000"/>
          <w:bdr w:val="nil"/>
        </w:rPr>
        <w:t>Sin embargo, n</w:t>
      </w:r>
      <w:r>
        <w:rPr>
          <w:u w:color="000000"/>
          <w:bdr w:val="nil"/>
        </w:rPr>
        <w:t xml:space="preserve">o </w:t>
      </w:r>
      <w:r w:rsidR="00F240CD">
        <w:rPr>
          <w:u w:color="000000"/>
          <w:bdr w:val="nil"/>
        </w:rPr>
        <w:t xml:space="preserve">se </w:t>
      </w:r>
      <w:r>
        <w:rPr>
          <w:u w:color="000000"/>
          <w:bdr w:val="nil"/>
        </w:rPr>
        <w:t>ab</w:t>
      </w:r>
      <w:r w:rsidR="00F240CD">
        <w:rPr>
          <w:u w:color="000000"/>
          <w:bdr w:val="nil"/>
        </w:rPr>
        <w:t>arcan todas las áreas de trabajo, por lo que</w:t>
      </w:r>
      <w:r>
        <w:rPr>
          <w:u w:color="000000"/>
          <w:bdr w:val="nil"/>
        </w:rPr>
        <w:t xml:space="preserve"> se </w:t>
      </w:r>
      <w:r w:rsidR="00F240CD">
        <w:rPr>
          <w:u w:color="000000"/>
          <w:bdr w:val="nil"/>
        </w:rPr>
        <w:t>recomienda consultar</w:t>
      </w:r>
      <w:r>
        <w:rPr>
          <w:u w:color="000000"/>
          <w:bdr w:val="nil"/>
        </w:rPr>
        <w:t xml:space="preserve"> el sitio web del Protocolo y </w:t>
      </w:r>
      <w:r w:rsidR="00F240CD">
        <w:rPr>
          <w:u w:color="000000"/>
          <w:bdr w:val="nil"/>
        </w:rPr>
        <w:t xml:space="preserve">los </w:t>
      </w:r>
      <w:r>
        <w:rPr>
          <w:u w:color="000000"/>
          <w:bdr w:val="nil"/>
        </w:rPr>
        <w:t>informes del Comité de Cumplimiento del Protocolo</w:t>
      </w:r>
      <w:r w:rsidR="00F240CD">
        <w:rPr>
          <w:u w:color="000000"/>
          <w:bdr w:val="nil"/>
        </w:rPr>
        <w:t xml:space="preserve"> para más información</w:t>
      </w:r>
      <w:r w:rsidR="00725030" w:rsidRPr="0062628C">
        <w:rPr>
          <w:rStyle w:val="FootnoteReference"/>
          <w:u w:color="000000"/>
          <w:bdr w:val="nil"/>
        </w:rPr>
        <w:footnoteReference w:id="23"/>
      </w:r>
      <w:r>
        <w:rPr>
          <w:u w:color="000000"/>
          <w:bdr w:val="nil"/>
        </w:rPr>
        <w:t>.</w:t>
      </w:r>
    </w:p>
    <w:p w14:paraId="64835394" w14:textId="1D3881EC" w:rsidR="006F7257" w:rsidRPr="0062628C" w:rsidRDefault="008542CA" w:rsidP="009477BD">
      <w:pPr>
        <w:pStyle w:val="CBDNormalNumber"/>
        <w:rPr>
          <w:rFonts w:eastAsia="Arial Unicode MS"/>
          <w:kern w:val="22"/>
          <w:u w:color="000000"/>
          <w:bdr w:val="nil"/>
        </w:rPr>
      </w:pPr>
      <w:r>
        <w:rPr>
          <w:u w:color="000000"/>
          <w:bdr w:val="nil"/>
        </w:rPr>
        <w:t>Conforme al artículo 34 del Protocolo, la Conferencia de las Partes que actúa como reunión de las Partes en el Protocolo adoptó procedimientos y mecanismos de cumplimiento en su primera reunión, celebrada en febrero de 2004, por decisión </w:t>
      </w:r>
      <w:hyperlink r:id="rId20" w:history="1">
        <w:r>
          <w:rPr>
            <w:rStyle w:val="Hyperlink"/>
            <w:bdr w:val="nil"/>
          </w:rPr>
          <w:t>BS-I/7</w:t>
        </w:r>
      </w:hyperlink>
      <w:r>
        <w:rPr>
          <w:u w:color="000000"/>
          <w:bdr w:val="nil"/>
        </w:rPr>
        <w:t>.</w:t>
      </w:r>
    </w:p>
    <w:p w14:paraId="762AD859" w14:textId="262E0265" w:rsidR="004D4616" w:rsidRPr="0062628C" w:rsidRDefault="006F7257" w:rsidP="009477BD">
      <w:pPr>
        <w:pStyle w:val="CBDNormalNumber"/>
        <w:rPr>
          <w:rFonts w:eastAsia="Arial Unicode MS"/>
          <w:kern w:val="22"/>
          <w:u w:color="000000"/>
          <w:bdr w:val="nil"/>
        </w:rPr>
      </w:pPr>
      <w:r>
        <w:rPr>
          <w:u w:color="000000"/>
          <w:bdr w:val="nil"/>
        </w:rPr>
        <w:t>Los procedimientos y mecanismos incluyen el establecimiento de un comité de cumplimiento y disponen que el Comité se reunirá dos veces al año, a menos que decida otra cosa. En su cuarta reunión, la Conferencia de las Partes que actúa como reunión de las Partes en el Protocolo alentó al Comité a reunirse con una frecuencia menor a dos veces al año</w:t>
      </w:r>
      <w:r w:rsidR="00C45089">
        <w:rPr>
          <w:u w:color="000000"/>
          <w:bdr w:val="nil"/>
        </w:rPr>
        <w:t>,</w:t>
      </w:r>
      <w:r>
        <w:rPr>
          <w:u w:color="000000"/>
          <w:bdr w:val="nil"/>
        </w:rPr>
        <w:t xml:space="preserve"> si</w:t>
      </w:r>
      <w:r w:rsidR="009E2EDA">
        <w:rPr>
          <w:u w:color="000000"/>
          <w:bdr w:val="nil"/>
        </w:rPr>
        <w:t xml:space="preserve"> este lo</w:t>
      </w:r>
      <w:r w:rsidR="00C45089">
        <w:rPr>
          <w:u w:color="000000"/>
          <w:bdr w:val="nil"/>
        </w:rPr>
        <w:t xml:space="preserve"> </w:t>
      </w:r>
      <w:r w:rsidR="009E2EDA">
        <w:rPr>
          <w:u w:color="000000"/>
          <w:bdr w:val="nil"/>
        </w:rPr>
        <w:t>considera</w:t>
      </w:r>
      <w:r w:rsidR="00974D9A">
        <w:rPr>
          <w:u w:color="000000"/>
          <w:bdr w:val="nil"/>
        </w:rPr>
        <w:t>se</w:t>
      </w:r>
      <w:r>
        <w:rPr>
          <w:u w:color="000000"/>
          <w:bdr w:val="nil"/>
        </w:rPr>
        <w:t xml:space="preserve"> suficiente y dentro del presupuesto aprobado. Posteriormente, en el presupuesto aprobado por la Conferencia de las Partes que actúa como reunión de las Partes en el Protocolo se </w:t>
      </w:r>
      <w:r w:rsidR="009E2EDA">
        <w:rPr>
          <w:u w:color="000000"/>
          <w:bdr w:val="nil"/>
        </w:rPr>
        <w:t>asignaron fondos para</w:t>
      </w:r>
      <w:r>
        <w:rPr>
          <w:u w:color="000000"/>
          <w:bdr w:val="nil"/>
        </w:rPr>
        <w:t xml:space="preserve"> una reunión al año y desde 2008 el Comité se ha reunido una vez al año</w:t>
      </w:r>
      <w:r w:rsidR="00416939" w:rsidRPr="0062628C">
        <w:rPr>
          <w:rStyle w:val="FootnoteReference"/>
          <w:rFonts w:eastAsia="Arial Unicode MS"/>
          <w:kern w:val="22"/>
          <w:u w:color="000000"/>
          <w:bdr w:val="nil"/>
        </w:rPr>
        <w:footnoteReference w:id="24"/>
      </w:r>
      <w:r>
        <w:rPr>
          <w:u w:color="000000"/>
          <w:bdr w:val="nil"/>
        </w:rPr>
        <w:t>.</w:t>
      </w:r>
    </w:p>
    <w:p w14:paraId="2ADF1268" w14:textId="1BDCFE19" w:rsidR="000308B7" w:rsidRPr="0062628C" w:rsidRDefault="00281A86" w:rsidP="009477BD">
      <w:pPr>
        <w:pStyle w:val="CBDNormalNumber"/>
        <w:rPr>
          <w:rFonts w:eastAsia="Arial Unicode MS"/>
          <w:kern w:val="22"/>
          <w:u w:color="000000"/>
          <w:bdr w:val="nil"/>
        </w:rPr>
      </w:pPr>
      <w:r>
        <w:t xml:space="preserve">Por decisión </w:t>
      </w:r>
      <w:hyperlink r:id="rId21" w:history="1">
        <w:r>
          <w:rPr>
            <w:rStyle w:val="Hyperlink"/>
            <w:bdr w:val="nil"/>
          </w:rPr>
          <w:t>BS-II/1</w:t>
        </w:r>
      </w:hyperlink>
      <w:r>
        <w:t>, la Conferencia de Partes que actúa como reunión de las Partes en el Protocolo aprobó el reglamento de las reuniones del Comité de Cumplimiento.</w:t>
      </w:r>
    </w:p>
    <w:p w14:paraId="3C3D4897" w14:textId="1FF59B3D" w:rsidR="00C3055B" w:rsidRPr="0062628C" w:rsidRDefault="00530DDA" w:rsidP="009477BD">
      <w:pPr>
        <w:pStyle w:val="CBDNormalNumber"/>
        <w:rPr>
          <w:rFonts w:eastAsia="Arial Unicode MS"/>
          <w:kern w:val="22"/>
          <w:u w:color="000000"/>
          <w:bdr w:val="nil"/>
        </w:rPr>
      </w:pPr>
      <w:r>
        <w:rPr>
          <w:u w:color="000000"/>
          <w:bdr w:val="nil"/>
        </w:rPr>
        <w:t>Al año 2010, esto es, seis años después de la adopción de los procedimientos de cumplimiento, no había habido notificaciones referidas a incumplimiento presentadas por Partes para consideración del Comité de Cumplimiento.</w:t>
      </w:r>
    </w:p>
    <w:p w14:paraId="4F5187A6" w14:textId="29F34B5A" w:rsidR="00C3055B" w:rsidRPr="0062628C" w:rsidRDefault="00C3055B" w:rsidP="009477BD">
      <w:pPr>
        <w:pStyle w:val="CBDNormalNumber"/>
        <w:rPr>
          <w:rFonts w:eastAsia="Arial Unicode MS"/>
          <w:kern w:val="22"/>
          <w:u w:color="000000"/>
          <w:bdr w:val="nil"/>
        </w:rPr>
      </w:pPr>
      <w:r>
        <w:rPr>
          <w:u w:color="000000"/>
          <w:bdr w:val="nil"/>
        </w:rPr>
        <w:t>Reconociendo las dificultades que podrían tener las Partes en la aplicación efectiva del Protocolo, y ante la ausencia de notificaciones presentadas por Partes, el Comité</w:t>
      </w:r>
      <w:r w:rsidR="00974D9A">
        <w:rPr>
          <w:u w:color="000000"/>
          <w:bdr w:val="nil"/>
        </w:rPr>
        <w:t>,</w:t>
      </w:r>
      <w:r>
        <w:rPr>
          <w:u w:color="000000"/>
          <w:bdr w:val="nil"/>
        </w:rPr>
        <w:t xml:space="preserve"> </w:t>
      </w:r>
      <w:r w:rsidR="00974D9A">
        <w:rPr>
          <w:u w:color="000000"/>
          <w:bdr w:val="nil"/>
        </w:rPr>
        <w:t xml:space="preserve">en el marco de la evaluación general de la eficacia del Protocolo realizada con arreglo al artículo 35, </w:t>
      </w:r>
      <w:r>
        <w:rPr>
          <w:u w:color="000000"/>
          <w:bdr w:val="nil"/>
        </w:rPr>
        <w:t xml:space="preserve">emprendió una evaluación de las limitaciones percibidas </w:t>
      </w:r>
      <w:r w:rsidR="00974D9A">
        <w:rPr>
          <w:u w:color="000000"/>
          <w:bdr w:val="nil"/>
        </w:rPr>
        <w:t>en</w:t>
      </w:r>
      <w:r>
        <w:rPr>
          <w:u w:color="000000"/>
          <w:bdr w:val="nil"/>
        </w:rPr>
        <w:t xml:space="preserve"> los procedimientos. En su cuarta reunión, por decisión </w:t>
      </w:r>
      <w:hyperlink r:id="rId22" w:history="1">
        <w:r>
          <w:rPr>
            <w:rStyle w:val="Hyperlink"/>
            <w:bdr w:val="nil"/>
          </w:rPr>
          <w:t>BS-IV/1</w:t>
        </w:r>
      </w:hyperlink>
      <w:r>
        <w:rPr>
          <w:u w:color="000000"/>
          <w:bdr w:val="nil"/>
        </w:rPr>
        <w:t>, la Conferencia de las Partes que actúa como reunión de las Partes en el Protocolo invitó a las Partes a presentar sugerencias para mejorar la función de apoyo del Comité de Cumplimiento.</w:t>
      </w:r>
    </w:p>
    <w:p w14:paraId="52ED06AE" w14:textId="10AF85B8" w:rsidR="009B0AE2" w:rsidRPr="0062628C" w:rsidRDefault="00811D0A" w:rsidP="009477BD">
      <w:pPr>
        <w:pStyle w:val="CBDNormalNumber"/>
        <w:rPr>
          <w:rFonts w:eastAsia="Arial Unicode MS"/>
          <w:kern w:val="22"/>
          <w:u w:color="000000"/>
          <w:bdr w:val="nil"/>
        </w:rPr>
      </w:pPr>
      <w:r>
        <w:t>Posteriormente, por decisión </w:t>
      </w:r>
      <w:hyperlink r:id="rId23" w:history="1">
        <w:r>
          <w:rPr>
            <w:rStyle w:val="Hyperlink"/>
            <w:bdr w:val="nil"/>
          </w:rPr>
          <w:t>BS-V/1</w:t>
        </w:r>
      </w:hyperlink>
      <w:r>
        <w:t xml:space="preserve">, la Conferencia de las Partes que actúa como reunión de las Partes en el Protocolo dispuso que, en caso de recibir una propuesta de una Parte referida al cumplimiento de esa misma Parte, el Comité de Cumplimiento consideraría adoptar solo aquellas medidas referidas a la prestación de asesoramiento o asistencia o </w:t>
      </w:r>
      <w:r w:rsidR="00974D9A">
        <w:t xml:space="preserve">a </w:t>
      </w:r>
      <w:r>
        <w:t>la formulación de recomendaciones sobre el suministro de asistencia financiera y técnica, transferencia de tecnología, capacitación y otras medidas de creación de capacidad.</w:t>
      </w:r>
      <w:r>
        <w:rPr>
          <w:u w:color="000000"/>
          <w:bdr w:val="nil"/>
        </w:rPr>
        <w:t xml:space="preserve"> </w:t>
      </w:r>
    </w:p>
    <w:p w14:paraId="77D4047B" w14:textId="3985A6A2" w:rsidR="00BB2F21" w:rsidRPr="0062628C" w:rsidRDefault="00C3055B" w:rsidP="009477BD">
      <w:pPr>
        <w:pStyle w:val="CBDNormalNumber"/>
        <w:rPr>
          <w:rFonts w:eastAsia="Arial Unicode MS"/>
          <w:kern w:val="22"/>
          <w:u w:color="000000"/>
          <w:bdr w:val="nil"/>
        </w:rPr>
      </w:pPr>
      <w:r>
        <w:rPr>
          <w:u w:color="000000"/>
          <w:bdr w:val="nil"/>
        </w:rPr>
        <w:t>En la misma decisión, la Conferencia de las Partes que actúa como reunión de las Partes en el Protocolo también dispuso que el Comité de Cumplimiento pudiera considerar la adopción de las mismas medidas en situaciones en que una Parte no present</w:t>
      </w:r>
      <w:r w:rsidR="00D22D4F">
        <w:rPr>
          <w:u w:color="000000"/>
          <w:bdr w:val="nil"/>
        </w:rPr>
        <w:t>ara</w:t>
      </w:r>
      <w:r>
        <w:rPr>
          <w:u w:color="000000"/>
          <w:bdr w:val="nil"/>
        </w:rPr>
        <w:t xml:space="preserve"> su informe nacional o cuando se h</w:t>
      </w:r>
      <w:r w:rsidR="00D22D4F">
        <w:rPr>
          <w:u w:color="000000"/>
          <w:bdr w:val="nil"/>
        </w:rPr>
        <w:t>ubier</w:t>
      </w:r>
      <w:r>
        <w:rPr>
          <w:u w:color="000000"/>
          <w:bdr w:val="nil"/>
        </w:rPr>
        <w:t xml:space="preserve">a recibido información </w:t>
      </w:r>
      <w:r w:rsidR="00D22D4F">
        <w:rPr>
          <w:u w:color="000000"/>
          <w:bdr w:val="nil"/>
        </w:rPr>
        <w:t>a través de un informe nacional o a través de la Secretaría</w:t>
      </w:r>
      <w:r w:rsidR="00025F33">
        <w:rPr>
          <w:u w:color="000000"/>
          <w:bdr w:val="nil"/>
        </w:rPr>
        <w:t>,</w:t>
      </w:r>
      <w:r w:rsidR="00D22D4F">
        <w:rPr>
          <w:u w:color="000000"/>
          <w:bdr w:val="nil"/>
        </w:rPr>
        <w:t xml:space="preserve"> sobre la base de información </w:t>
      </w:r>
      <w:r>
        <w:rPr>
          <w:u w:color="000000"/>
          <w:bdr w:val="nil"/>
        </w:rPr>
        <w:t xml:space="preserve">proveniente del Centro de Intercambio de Información sobre Seguridad de la </w:t>
      </w:r>
      <w:r>
        <w:rPr>
          <w:u w:color="000000"/>
          <w:bdr w:val="nil"/>
        </w:rPr>
        <w:lastRenderedPageBreak/>
        <w:t>Biotecnología</w:t>
      </w:r>
      <w:r w:rsidR="00974D9A">
        <w:rPr>
          <w:u w:color="000000"/>
          <w:bdr w:val="nil"/>
        </w:rPr>
        <w:t>,</w:t>
      </w:r>
      <w:r>
        <w:rPr>
          <w:u w:color="000000"/>
          <w:bdr w:val="nil"/>
        </w:rPr>
        <w:t xml:space="preserve"> que revel</w:t>
      </w:r>
      <w:r w:rsidR="00D22D4F">
        <w:rPr>
          <w:u w:color="000000"/>
          <w:bdr w:val="nil"/>
        </w:rPr>
        <w:t xml:space="preserve">ase que la Parte en cuestión </w:t>
      </w:r>
      <w:r>
        <w:rPr>
          <w:u w:color="000000"/>
          <w:bdr w:val="nil"/>
        </w:rPr>
        <w:t>enfrenta a dificultades en el cumplimiento de sus obligaciones en virtud del Protocolo.</w:t>
      </w:r>
    </w:p>
    <w:p w14:paraId="11874E77" w14:textId="3800653F" w:rsidR="008542CA" w:rsidRPr="0062628C" w:rsidRDefault="006E067E" w:rsidP="009477BD">
      <w:pPr>
        <w:pStyle w:val="CBDNormalNumber"/>
        <w:rPr>
          <w:rFonts w:eastAsia="Arial Unicode MS"/>
          <w:kern w:val="22"/>
          <w:u w:color="000000"/>
          <w:bdr w:val="nil"/>
        </w:rPr>
      </w:pPr>
      <w:r>
        <w:rPr>
          <w:u w:color="000000"/>
          <w:bdr w:val="nil"/>
        </w:rPr>
        <w:t>En su octava reunión, en octubre de 2011, el Comité consideró su mandato revisado y convino en un enfoque para orientar sus funciones en el contexto de la decisión </w:t>
      </w:r>
      <w:hyperlink r:id="rId24" w:history="1">
        <w:r>
          <w:rPr>
            <w:rStyle w:val="Hyperlink"/>
            <w:bdr w:val="nil"/>
          </w:rPr>
          <w:t>BS-V/1</w:t>
        </w:r>
        <w:r w:rsidR="007B780C" w:rsidRPr="0062628C">
          <w:rPr>
            <w:rStyle w:val="FootnoteReference"/>
            <w:rFonts w:eastAsia="Arial Unicode MS"/>
            <w:kern w:val="22"/>
            <w:u w:color="000000"/>
            <w:bdr w:val="nil"/>
          </w:rPr>
          <w:footnoteReference w:id="25"/>
        </w:r>
      </w:hyperlink>
      <w:r>
        <w:rPr>
          <w:u w:color="000000"/>
          <w:bdr w:val="nil"/>
        </w:rPr>
        <w:t xml:space="preserve"> y adoptó una organización de los trabajos para la implementación de la decisión. La organización de los trabajos sigue un ciclo de presentación de informes de </w:t>
      </w:r>
      <w:r w:rsidR="001D5C8F">
        <w:rPr>
          <w:u w:color="000000"/>
          <w:bdr w:val="nil"/>
        </w:rPr>
        <w:t>cuatro años</w:t>
      </w:r>
      <w:r>
        <w:rPr>
          <w:u w:color="000000"/>
          <w:bdr w:val="nil"/>
        </w:rPr>
        <w:t xml:space="preserve">, que se ilustra en la figura que obra a continuación. </w:t>
      </w:r>
    </w:p>
    <w:p w14:paraId="221D669B" w14:textId="3CC2E9D4" w:rsidR="00F91089" w:rsidRPr="0012709E" w:rsidRDefault="002C32FB" w:rsidP="0012709E">
      <w:pPr>
        <w:pStyle w:val="Para1"/>
        <w:keepNext/>
        <w:numPr>
          <w:ilvl w:val="0"/>
          <w:numId w:val="0"/>
        </w:numPr>
        <w:ind w:left="547"/>
        <w:jc w:val="left"/>
        <w:rPr>
          <w:rFonts w:eastAsia="Arial Unicode MS"/>
          <w:b/>
          <w:bCs/>
          <w:kern w:val="22"/>
          <w:szCs w:val="22"/>
          <w:u w:color="000000"/>
          <w:bdr w:val="nil"/>
        </w:rPr>
      </w:pPr>
      <w:r>
        <w:rPr>
          <w:b/>
          <w:u w:color="000000"/>
          <w:bdr w:val="nil"/>
        </w:rPr>
        <w:t>Organización cíclica de los trabajos del</w:t>
      </w:r>
      <w:r w:rsidR="00D37F84">
        <w:rPr>
          <w:b/>
          <w:u w:color="000000"/>
          <w:bdr w:val="nil"/>
        </w:rPr>
        <w:br/>
      </w:r>
      <w:r>
        <w:rPr>
          <w:b/>
          <w:u w:color="000000"/>
          <w:bdr w:val="nil"/>
        </w:rPr>
        <w:t xml:space="preserve">Comité de Cumplimiento del Protocolo de Cartagena </w:t>
      </w:r>
    </w:p>
    <w:p w14:paraId="64C6144F" w14:textId="488EA90F" w:rsidR="00F91089" w:rsidRPr="009477BD" w:rsidRDefault="00667318" w:rsidP="00565579">
      <w:pPr>
        <w:pStyle w:val="Para1"/>
        <w:keepNext/>
        <w:numPr>
          <w:ilvl w:val="0"/>
          <w:numId w:val="0"/>
        </w:numPr>
        <w:ind w:left="547"/>
        <w:rPr>
          <w:rFonts w:eastAsia="Arial Unicode MS"/>
          <w:kern w:val="22"/>
          <w:szCs w:val="22"/>
          <w:u w:color="000000"/>
          <w:bdr w:val="nil"/>
        </w:rPr>
      </w:pPr>
      <w:r>
        <w:rPr>
          <w:rFonts w:eastAsia="Arial Unicode MS"/>
          <w:noProof/>
          <w:snapToGrid/>
          <w:kern w:val="22"/>
          <w:szCs w:val="22"/>
          <w:u w:color="000000"/>
          <w:bdr w:val="nil"/>
          <w:lang w:val="en-US" w:eastAsia="en-US"/>
          <w14:ligatures w14:val="standardContextual"/>
        </w:rPr>
        <w:drawing>
          <wp:inline distT="0" distB="0" distL="0" distR="0" wp14:anchorId="23F86F74" wp14:editId="08D49787">
            <wp:extent cx="5943600" cy="445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bi-07-07-add2-figure-es.jpg"/>
                    <pic:cNvPicPr/>
                  </pic:nvPicPr>
                  <pic:blipFill>
                    <a:blip r:embed="rId2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6896C05E" w14:textId="77777777" w:rsidR="00F91089" w:rsidRPr="0062628C" w:rsidRDefault="00F91089" w:rsidP="00360DAF">
      <w:pPr>
        <w:pStyle w:val="Para1"/>
        <w:numPr>
          <w:ilvl w:val="0"/>
          <w:numId w:val="0"/>
        </w:numPr>
        <w:ind w:left="540"/>
        <w:rPr>
          <w:rFonts w:eastAsia="Arial Unicode MS"/>
          <w:kern w:val="22"/>
          <w:szCs w:val="22"/>
          <w:u w:color="000000"/>
          <w:bdr w:val="nil"/>
        </w:rPr>
      </w:pPr>
    </w:p>
    <w:p w14:paraId="75B40C22" w14:textId="0D262CCE" w:rsidR="00F91089" w:rsidRPr="009477BD" w:rsidRDefault="004274F4" w:rsidP="009477BD">
      <w:pPr>
        <w:pStyle w:val="Para1"/>
        <w:numPr>
          <w:ilvl w:val="0"/>
          <w:numId w:val="0"/>
        </w:numPr>
        <w:ind w:left="1134"/>
        <w:rPr>
          <w:rFonts w:eastAsia="Arial Unicode MS"/>
          <w:kern w:val="22"/>
          <w:sz w:val="18"/>
          <w:u w:color="000000"/>
          <w:bdr w:val="nil"/>
        </w:rPr>
      </w:pPr>
      <w:r>
        <w:rPr>
          <w:i/>
          <w:sz w:val="18"/>
          <w:u w:color="000000"/>
          <w:bdr w:val="nil"/>
        </w:rPr>
        <w:t>Abreviatura</w:t>
      </w:r>
      <w:r>
        <w:rPr>
          <w:sz w:val="18"/>
          <w:u w:color="000000"/>
          <w:bdr w:val="nil"/>
        </w:rPr>
        <w:t>:</w:t>
      </w:r>
      <w:r w:rsidR="003C4ED6">
        <w:rPr>
          <w:sz w:val="18"/>
          <w:u w:color="000000"/>
          <w:bdr w:val="nil"/>
        </w:rPr>
        <w:t xml:space="preserve"> CP</w:t>
      </w:r>
      <w:r>
        <w:rPr>
          <w:sz w:val="18"/>
          <w:u w:color="000000"/>
          <w:bdr w:val="nil"/>
        </w:rPr>
        <w:t xml:space="preserve"> CoP-MoP</w:t>
      </w:r>
      <w:r w:rsidR="003C4ED6">
        <w:rPr>
          <w:sz w:val="18"/>
          <w:u w:color="000000"/>
          <w:bdr w:val="nil"/>
        </w:rPr>
        <w:t xml:space="preserve"> </w:t>
      </w:r>
      <w:r w:rsidR="00885351">
        <w:rPr>
          <w:sz w:val="18"/>
          <w:u w:color="000000"/>
          <w:bdr w:val="nil"/>
        </w:rPr>
        <w:t>=</w:t>
      </w:r>
      <w:r>
        <w:rPr>
          <w:sz w:val="18"/>
          <w:u w:color="000000"/>
          <w:bdr w:val="nil"/>
        </w:rPr>
        <w:t xml:space="preserve"> Conferencia de las Partes que actúa como reunión de las Partes en el Protocolo de Cartagena.</w:t>
      </w:r>
    </w:p>
    <w:p w14:paraId="046A4E67" w14:textId="2852C842" w:rsidR="0056657D" w:rsidRPr="0062628C" w:rsidRDefault="003E1417" w:rsidP="009477BD">
      <w:pPr>
        <w:pStyle w:val="CBDNormalNumber"/>
        <w:rPr>
          <w:rFonts w:eastAsia="Arial Unicode MS"/>
          <w:kern w:val="22"/>
          <w:u w:color="000000"/>
          <w:bdr w:val="nil"/>
        </w:rPr>
      </w:pPr>
      <w:r>
        <w:rPr>
          <w:u w:color="000000"/>
          <w:bdr w:val="nil"/>
        </w:rPr>
        <w:t>La organización cíclica de los trabajos ilustrada en la figura anterior se aplica desde 2012 y ha facilitado enormemente la planificación y preparación de las reuniones del Comité.</w:t>
      </w:r>
    </w:p>
    <w:p w14:paraId="306AEB69" w14:textId="2881A771" w:rsidR="00F110DB" w:rsidRPr="0062628C" w:rsidRDefault="00F110DB" w:rsidP="009477BD">
      <w:pPr>
        <w:pStyle w:val="CBDNormalNumber"/>
        <w:rPr>
          <w:u w:color="000000"/>
          <w:bdr w:val="nil"/>
        </w:rPr>
      </w:pPr>
      <w:r>
        <w:rPr>
          <w:u w:color="000000"/>
          <w:bdr w:val="nil"/>
        </w:rPr>
        <w:t>Tras la adopción de su mandato revisado por decisión </w:t>
      </w:r>
      <w:hyperlink r:id="rId26" w:history="1">
        <w:r>
          <w:rPr>
            <w:rStyle w:val="Hyperlink"/>
            <w:bdr w:val="nil"/>
          </w:rPr>
          <w:t>BS-V/1</w:t>
        </w:r>
      </w:hyperlink>
      <w:r>
        <w:rPr>
          <w:u w:color="000000"/>
          <w:bdr w:val="nil"/>
        </w:rPr>
        <w:t xml:space="preserve">, el Comité ha avanzado progresivamente en diversas cuestiones de cumplimiento que han surgido de sus deliberaciones en distintas etapas de su organización cíclica de los trabajos. En todos los casos, la labor se ha basado en información oficial proporcionada por las Partes o en la ausencia de dicha información cuando se requiere que compartan información específica. El Comité suele empezar por pedir a la Secretaría que haga un seguimiento con las Partes </w:t>
      </w:r>
      <w:r w:rsidR="003C4ED6">
        <w:rPr>
          <w:u w:color="000000"/>
          <w:bdr w:val="nil"/>
        </w:rPr>
        <w:t>sobre</w:t>
      </w:r>
      <w:r>
        <w:rPr>
          <w:u w:color="000000"/>
          <w:bdr w:val="nil"/>
        </w:rPr>
        <w:t xml:space="preserve"> diversos temas. El seguimiento generalmente se da en </w:t>
      </w:r>
      <w:r>
        <w:rPr>
          <w:u w:color="000000"/>
          <w:bdr w:val="nil"/>
        </w:rPr>
        <w:lastRenderedPageBreak/>
        <w:t xml:space="preserve">forma de correos electrónicos enviados por la Secretaría a las Partes para alentarlas a </w:t>
      </w:r>
      <w:r w:rsidR="003C4ED6">
        <w:rPr>
          <w:u w:color="000000"/>
          <w:bdr w:val="nil"/>
        </w:rPr>
        <w:t xml:space="preserve">tomar medidas con </w:t>
      </w:r>
      <w:r>
        <w:rPr>
          <w:u w:color="000000"/>
          <w:bdr w:val="nil"/>
        </w:rPr>
        <w:t>re</w:t>
      </w:r>
      <w:r w:rsidR="003C4ED6">
        <w:rPr>
          <w:u w:color="000000"/>
          <w:bdr w:val="nil"/>
        </w:rPr>
        <w:t>specto a</w:t>
      </w:r>
      <w:r>
        <w:rPr>
          <w:u w:color="000000"/>
          <w:bdr w:val="nil"/>
        </w:rPr>
        <w:t xml:space="preserve"> una cuestión específica. Como siguiente paso, el Comité puede pedir a la Secretaria Ejecutiva que le</w:t>
      </w:r>
      <w:r w:rsidR="003C4ED6">
        <w:rPr>
          <w:u w:color="000000"/>
          <w:bdr w:val="nil"/>
        </w:rPr>
        <w:t>s</w:t>
      </w:r>
      <w:r>
        <w:rPr>
          <w:u w:color="000000"/>
          <w:bdr w:val="nil"/>
        </w:rPr>
        <w:t xml:space="preserve"> escriba a las Partes en cuestión.</w:t>
      </w:r>
    </w:p>
    <w:p w14:paraId="0BE4E7DF" w14:textId="44C9256C" w:rsidR="0089098D" w:rsidRPr="0062628C" w:rsidRDefault="003C4ED6" w:rsidP="003C4ED6">
      <w:pPr>
        <w:pStyle w:val="CBDNormalNumber"/>
        <w:rPr>
          <w:rFonts w:eastAsia="Arial Unicode MS"/>
          <w:kern w:val="22"/>
          <w:u w:color="000000"/>
          <w:bdr w:val="nil"/>
        </w:rPr>
      </w:pPr>
      <w:r>
        <w:rPr>
          <w:u w:color="000000"/>
          <w:bdr w:val="nil"/>
        </w:rPr>
        <w:t>En los casos en que</w:t>
      </w:r>
      <w:r w:rsidR="0089098D">
        <w:rPr>
          <w:u w:color="000000"/>
          <w:bdr w:val="nil"/>
        </w:rPr>
        <w:t xml:space="preserve"> estos pasos </w:t>
      </w:r>
      <w:r w:rsidRPr="003C4ED6">
        <w:rPr>
          <w:u w:color="000000"/>
          <w:bdr w:val="nil"/>
        </w:rPr>
        <w:t>no cond</w:t>
      </w:r>
      <w:r>
        <w:rPr>
          <w:u w:color="000000"/>
          <w:bdr w:val="nil"/>
        </w:rPr>
        <w:t>uzcan a que las Partes tomen</w:t>
      </w:r>
      <w:r w:rsidR="0089098D">
        <w:rPr>
          <w:u w:color="000000"/>
          <w:bdr w:val="nil"/>
        </w:rPr>
        <w:t xml:space="preserve"> </w:t>
      </w:r>
      <w:r>
        <w:rPr>
          <w:u w:color="000000"/>
          <w:bdr w:val="nil"/>
        </w:rPr>
        <w:t>las</w:t>
      </w:r>
      <w:r w:rsidR="0089098D">
        <w:rPr>
          <w:u w:color="000000"/>
          <w:bdr w:val="nil"/>
        </w:rPr>
        <w:t xml:space="preserve"> medidas necesarias, el Comité pedirá muchas veces a su Presidencia que le</w:t>
      </w:r>
      <w:r>
        <w:rPr>
          <w:u w:color="000000"/>
          <w:bdr w:val="nil"/>
        </w:rPr>
        <w:t>s</w:t>
      </w:r>
      <w:r w:rsidR="0089098D">
        <w:rPr>
          <w:u w:color="000000"/>
          <w:bdr w:val="nil"/>
        </w:rPr>
        <w:t xml:space="preserve"> escriba a las Partes en cuestión instándolas a </w:t>
      </w:r>
      <w:r>
        <w:rPr>
          <w:u w:color="000000"/>
          <w:bdr w:val="nil"/>
        </w:rPr>
        <w:t>t</w:t>
      </w:r>
      <w:r w:rsidR="0089098D">
        <w:rPr>
          <w:u w:color="000000"/>
          <w:bdr w:val="nil"/>
        </w:rPr>
        <w:t>o</w:t>
      </w:r>
      <w:r>
        <w:rPr>
          <w:u w:color="000000"/>
          <w:bdr w:val="nil"/>
        </w:rPr>
        <w:t>m</w:t>
      </w:r>
      <w:r w:rsidR="0089098D">
        <w:rPr>
          <w:u w:color="000000"/>
          <w:bdr w:val="nil"/>
        </w:rPr>
        <w:t xml:space="preserve">ar medidas. En aquellos casos en que esto no ha dado resultados, en ciertas instancias, el Comité ha pedido a su Presidencia que le escriba al ministro encargado de supervisar al punto focal nacional del Protocolo, mientras </w:t>
      </w:r>
      <w:r w:rsidR="001D5C8F">
        <w:rPr>
          <w:u w:color="000000"/>
          <w:bdr w:val="nil"/>
        </w:rPr>
        <w:t>que</w:t>
      </w:r>
      <w:r w:rsidR="0089098D">
        <w:rPr>
          <w:u w:color="000000"/>
          <w:bdr w:val="nil"/>
        </w:rPr>
        <w:t xml:space="preserve"> en otros le ha pedido a su Presidencia que le escriba al Ministerio de Relaciones Exteriores de la Parte en cuestión.</w:t>
      </w:r>
    </w:p>
    <w:p w14:paraId="53BF3086" w14:textId="6BAA0486" w:rsidR="006D7B5A" w:rsidRPr="0062628C" w:rsidRDefault="00121B43" w:rsidP="009477BD">
      <w:pPr>
        <w:pStyle w:val="CBDNormalNumber"/>
        <w:rPr>
          <w:rFonts w:eastAsia="Arial Unicode MS"/>
          <w:kern w:val="22"/>
          <w:u w:color="000000"/>
          <w:bdr w:val="nil"/>
        </w:rPr>
      </w:pPr>
      <w:r>
        <w:rPr>
          <w:u w:color="000000"/>
          <w:bdr w:val="nil"/>
        </w:rPr>
        <w:t>En casos de Partes que llevan varios ciclos de presentación de informes sin cumplir su obligación de presentar un informe nacional, el Comité ha recomendado a la Conferencia de las Partes que actúa como reunión de las Partes en el Protocolo que emit</w:t>
      </w:r>
      <w:r w:rsidR="003C4ED6">
        <w:rPr>
          <w:u w:color="000000"/>
          <w:bdr w:val="nil"/>
        </w:rPr>
        <w:t>ier</w:t>
      </w:r>
      <w:r>
        <w:rPr>
          <w:u w:color="000000"/>
          <w:bdr w:val="nil"/>
        </w:rPr>
        <w:t xml:space="preserve">a una advertencia a las Partes en cuestión. Cuando ha formulado una recomendación en ese sentido, el Comité también ha pedido a su Presidencia que notificara dicha recomendación </w:t>
      </w:r>
      <w:r w:rsidR="003E3D01">
        <w:rPr>
          <w:u w:color="000000"/>
          <w:bdr w:val="nil"/>
        </w:rPr>
        <w:t xml:space="preserve">a las Partes en cuestión </w:t>
      </w:r>
      <w:r>
        <w:rPr>
          <w:u w:color="000000"/>
          <w:bdr w:val="nil"/>
        </w:rPr>
        <w:t>y las instara a presentar un informe nacional lo antes posible. Las tres advertencias que ha rec</w:t>
      </w:r>
      <w:r w:rsidR="003E3D01">
        <w:rPr>
          <w:u w:color="000000"/>
          <w:bdr w:val="nil"/>
        </w:rPr>
        <w:t xml:space="preserve">omendado en este sentido hasta </w:t>
      </w:r>
      <w:r>
        <w:rPr>
          <w:u w:color="000000"/>
          <w:bdr w:val="nil"/>
        </w:rPr>
        <w:t>l</w:t>
      </w:r>
      <w:r w:rsidR="003E3D01">
        <w:rPr>
          <w:u w:color="000000"/>
          <w:bdr w:val="nil"/>
        </w:rPr>
        <w:t>a</w:t>
      </w:r>
      <w:r>
        <w:rPr>
          <w:u w:color="000000"/>
          <w:bdr w:val="nil"/>
        </w:rPr>
        <w:t xml:space="preserve"> </w:t>
      </w:r>
      <w:r w:rsidR="003E3D01">
        <w:rPr>
          <w:u w:color="000000"/>
          <w:bdr w:val="nil"/>
        </w:rPr>
        <w:t>fecha</w:t>
      </w:r>
      <w:r>
        <w:rPr>
          <w:u w:color="000000"/>
          <w:bdr w:val="nil"/>
        </w:rPr>
        <w:t xml:space="preserve"> han estado dirigidas a un total de 13 Partes. Todas esas Partes</w:t>
      </w:r>
      <w:r w:rsidR="001D5C8F">
        <w:rPr>
          <w:u w:color="000000"/>
          <w:bdr w:val="nil"/>
        </w:rPr>
        <w:t>,</w:t>
      </w:r>
      <w:r>
        <w:rPr>
          <w:u w:color="000000"/>
          <w:bdr w:val="nil"/>
        </w:rPr>
        <w:t xml:space="preserve"> </w:t>
      </w:r>
      <w:r w:rsidR="001D5C8F">
        <w:rPr>
          <w:u w:color="000000"/>
          <w:bdr w:val="nil"/>
        </w:rPr>
        <w:t xml:space="preserve">salvo una, </w:t>
      </w:r>
      <w:r>
        <w:rPr>
          <w:u w:color="000000"/>
          <w:bdr w:val="nil"/>
        </w:rPr>
        <w:t>presentaron posteriormente un informe nacional.</w:t>
      </w:r>
    </w:p>
    <w:p w14:paraId="494C6DC8" w14:textId="2B8B59F9" w:rsidR="00ED5A4C" w:rsidRPr="003E3D01" w:rsidRDefault="00816E0F" w:rsidP="009477BD">
      <w:pPr>
        <w:pStyle w:val="CBDNormalNumber"/>
        <w:rPr>
          <w:rFonts w:eastAsia="Arial Unicode MS"/>
          <w:spacing w:val="2"/>
          <w:kern w:val="22"/>
          <w:u w:color="000000"/>
          <w:bdr w:val="nil"/>
        </w:rPr>
      </w:pPr>
      <w:r w:rsidRPr="003E3D01">
        <w:rPr>
          <w:spacing w:val="2"/>
          <w:u w:color="000000"/>
          <w:bdr w:val="nil"/>
        </w:rPr>
        <w:t>El Comité también ha avanzado gradualmente en su consideración del cumplimiento de la obligación de introducir medidas para la aplicación del Protocolo. El cumplimiento de la obligación de adoptar medidas para aplicar el Protocolo surgió como una cuestión clave a partir de la tercera evaluación y revisión del Protocolo, en 2016, y el Comité trató el tema en su 14</w:t>
      </w:r>
      <w:r w:rsidRPr="003E3D01">
        <w:rPr>
          <w:spacing w:val="2"/>
          <w:u w:color="000000"/>
          <w:bdr w:val="nil"/>
          <w:vertAlign w:val="superscript"/>
        </w:rPr>
        <w:t>a</w:t>
      </w:r>
      <w:r w:rsidRPr="003E3D01">
        <w:rPr>
          <w:spacing w:val="2"/>
          <w:u w:color="000000"/>
          <w:bdr w:val="nil"/>
        </w:rPr>
        <w:t xml:space="preserve"> reunión, en mayo de 2017. </w:t>
      </w:r>
    </w:p>
    <w:p w14:paraId="16385655" w14:textId="2041D24D" w:rsidR="000E1D54" w:rsidRPr="0062628C" w:rsidRDefault="000E1D54" w:rsidP="009477BD">
      <w:pPr>
        <w:pStyle w:val="CBDNormalNumber"/>
        <w:rPr>
          <w:rFonts w:eastAsia="Arial Unicode MS"/>
          <w:kern w:val="22"/>
          <w:u w:color="000000"/>
          <w:bdr w:val="nil"/>
        </w:rPr>
      </w:pPr>
      <w:r>
        <w:rPr>
          <w:u w:color="000000"/>
          <w:bdr w:val="nil"/>
        </w:rPr>
        <w:t xml:space="preserve">El Comité pidió a la Secretaría que solicitara información a las Partes que habían indicado en sus terceros informes nacionales que solo tenían proyectos de marcos o marcos provisorios o parciales de seguridad de la biotecnología, o que no habían introducido ninguna medida jurídica, administrativa o de otro tipo para la aplicación del Protocolo, y </w:t>
      </w:r>
      <w:r w:rsidR="00C27B2F">
        <w:rPr>
          <w:u w:color="000000"/>
          <w:bdr w:val="nil"/>
        </w:rPr>
        <w:t xml:space="preserve">le pidió también </w:t>
      </w:r>
      <w:r>
        <w:rPr>
          <w:u w:color="000000"/>
          <w:bdr w:val="nil"/>
        </w:rPr>
        <w:t>que re</w:t>
      </w:r>
      <w:r w:rsidR="00C27B2F">
        <w:rPr>
          <w:u w:color="000000"/>
          <w:bdr w:val="nil"/>
        </w:rPr>
        <w:t>caba</w:t>
      </w:r>
      <w:r>
        <w:rPr>
          <w:u w:color="000000"/>
          <w:bdr w:val="nil"/>
        </w:rPr>
        <w:t>ra información sobre las dificultades que enfrentaban esas Partes en ese sentido.</w:t>
      </w:r>
    </w:p>
    <w:p w14:paraId="0A54AF1C" w14:textId="568A8CDC" w:rsidR="000E1D54" w:rsidRPr="0062628C" w:rsidRDefault="000E1D54" w:rsidP="009477BD">
      <w:pPr>
        <w:pStyle w:val="CBDNormalNumber"/>
        <w:rPr>
          <w:rFonts w:eastAsia="Arial Unicode MS"/>
          <w:kern w:val="22"/>
          <w:u w:color="000000"/>
          <w:bdr w:val="nil"/>
        </w:rPr>
      </w:pPr>
      <w:r>
        <w:rPr>
          <w:u w:color="000000"/>
          <w:bdr w:val="nil"/>
        </w:rPr>
        <w:t>En su 15</w:t>
      </w:r>
      <w:r>
        <w:rPr>
          <w:u w:color="000000"/>
          <w:bdr w:val="nil"/>
          <w:vertAlign w:val="superscript"/>
        </w:rPr>
        <w:t>a</w:t>
      </w:r>
      <w:r>
        <w:rPr>
          <w:u w:color="000000"/>
          <w:bdr w:val="nil"/>
        </w:rPr>
        <w:t> reunión, en mayo de 2018, a la luz de la información recabada en respuesta a ese pedido, el Comité consideró posibles medidas adicionales que podría</w:t>
      </w:r>
      <w:r w:rsidR="003E3D01">
        <w:rPr>
          <w:u w:color="000000"/>
          <w:bdr w:val="nil"/>
        </w:rPr>
        <w:t>n</w:t>
      </w:r>
      <w:r>
        <w:rPr>
          <w:u w:color="000000"/>
          <w:bdr w:val="nil"/>
        </w:rPr>
        <w:t xml:space="preserve"> tomar</w:t>
      </w:r>
      <w:r w:rsidR="003E3D01">
        <w:rPr>
          <w:u w:color="000000"/>
          <w:bdr w:val="nil"/>
        </w:rPr>
        <w:t>se</w:t>
      </w:r>
      <w:r>
        <w:rPr>
          <w:u w:color="000000"/>
          <w:bdr w:val="nil"/>
        </w:rPr>
        <w:t xml:space="preserve"> para ayudar a las Partes en cuestión y convino en solicitarles que elaboraran un plan de acción para el cumplimiento, de conformidad con la sección VI, párrafo 1 c), de los procedimientos y mecanismos de cumplimiento.</w:t>
      </w:r>
    </w:p>
    <w:p w14:paraId="05F2D20F" w14:textId="7E99B28D" w:rsidR="008009A3" w:rsidRPr="0062628C" w:rsidRDefault="000E1D54" w:rsidP="009477BD">
      <w:pPr>
        <w:pStyle w:val="CBDNormalNumber"/>
        <w:rPr>
          <w:rFonts w:eastAsia="Arial Unicode MS"/>
          <w:kern w:val="22"/>
          <w:u w:color="000000"/>
          <w:bdr w:val="nil"/>
        </w:rPr>
      </w:pPr>
      <w:r>
        <w:rPr>
          <w:u w:color="000000"/>
          <w:bdr w:val="nil"/>
        </w:rPr>
        <w:t xml:space="preserve">Tras la presentación de los cuartos informes nacionales, prevista para 2019, se identificaron otras Partes que indicaban que no habían adoptado medidas para aplicar el Protocolo o bien solo habían adoptado proyectos de medidas o medidas provisionales. El Comité pidió a esas Partes que elaboraran un plan de acción para el cumplimiento o brindaran información, según procediera. </w:t>
      </w:r>
    </w:p>
    <w:p w14:paraId="41EBE699" w14:textId="3151F046" w:rsidR="004B4F77" w:rsidRPr="0062628C" w:rsidRDefault="00553A94" w:rsidP="003143DB">
      <w:pPr>
        <w:pStyle w:val="CBDNormalNumber"/>
        <w:rPr>
          <w:rFonts w:eastAsia="Arial Unicode MS"/>
          <w:kern w:val="22"/>
          <w:u w:color="000000"/>
          <w:bdr w:val="nil"/>
        </w:rPr>
      </w:pPr>
      <w:r>
        <w:rPr>
          <w:u w:color="000000"/>
          <w:bdr w:val="nil"/>
        </w:rPr>
        <w:t xml:space="preserve">A la fecha, se ha solicitado a 34 Partes que elaboraran un plan de acción para el cumplimiento y 19 de ellas lo han hecho. Una de esas 19 Partes ha completado con éxito las actividades de su plan. Los 18 planes restantes están siendo considerados activamente por el Comité. De las otras 15 Partes, </w:t>
      </w:r>
      <w:r w:rsidR="003143DB" w:rsidRPr="003143DB">
        <w:rPr>
          <w:u w:color="000000"/>
          <w:bdr w:val="nil"/>
        </w:rPr>
        <w:t>a 7 ya no se les requiere que elaboren</w:t>
      </w:r>
      <w:r>
        <w:rPr>
          <w:u w:color="000000"/>
          <w:bdr w:val="nil"/>
        </w:rPr>
        <w:t xml:space="preserve"> un plan de acción para el cumplimiento, dado que información obtenida posteriormente indica que han avanzado en la adopción de medidas. Las restantes ocho Partes aún no han presentado un plan de acción para el cumplimiento.</w:t>
      </w:r>
    </w:p>
    <w:p w14:paraId="7EF8F65F" w14:textId="19D2EA9B" w:rsidR="00A60591" w:rsidRPr="0062628C" w:rsidRDefault="00102A35" w:rsidP="009477BD">
      <w:pPr>
        <w:pStyle w:val="CBDNormalNumber"/>
        <w:rPr>
          <w:rFonts w:eastAsia="Arial Unicode MS"/>
          <w:kern w:val="22"/>
          <w:u w:color="000000"/>
          <w:bdr w:val="nil"/>
        </w:rPr>
      </w:pPr>
      <w:r>
        <w:rPr>
          <w:u w:color="000000"/>
          <w:bdr w:val="nil"/>
        </w:rPr>
        <w:t xml:space="preserve">Al reconocer los planes de acción para el cumplimiento presentados por las Partes, la Presidencia informó a las Partes en nombre del Comité que para avanzar en la </w:t>
      </w:r>
      <w:r w:rsidR="003143DB">
        <w:rPr>
          <w:u w:color="000000"/>
          <w:bdr w:val="nil"/>
        </w:rPr>
        <w:t>ejecu</w:t>
      </w:r>
      <w:r>
        <w:rPr>
          <w:u w:color="000000"/>
          <w:bdr w:val="nil"/>
        </w:rPr>
        <w:t xml:space="preserve">ción de sus planes de acción para el cumplimiento </w:t>
      </w:r>
      <w:r w:rsidR="003143DB">
        <w:rPr>
          <w:u w:color="000000"/>
          <w:bdr w:val="nil"/>
        </w:rPr>
        <w:t xml:space="preserve">podrían obtener asistencia técnica </w:t>
      </w:r>
      <w:r>
        <w:rPr>
          <w:u w:color="000000"/>
          <w:bdr w:val="nil"/>
        </w:rPr>
        <w:t>de la Plataforma de Asistencia Jurídica y Medioambiental en el marco del Programa de Desarrollo y Examen Periódico del Derecho Ambiental de Montevideo gestionado por el Programa de las Naciones Unidas para el Medio Ambiente. Algunas Partes han solicitado y se les ha concedido financiación de la Plataforma para ayudarlas con sus planes.</w:t>
      </w:r>
    </w:p>
    <w:p w14:paraId="751B8D34" w14:textId="09F5ABB0" w:rsidR="00CF278D" w:rsidRPr="0062628C" w:rsidRDefault="00CF278D" w:rsidP="009477BD">
      <w:pPr>
        <w:pStyle w:val="CBDNormalNumber"/>
        <w:rPr>
          <w:rFonts w:eastAsia="Arial Unicode MS"/>
          <w:kern w:val="22"/>
          <w:u w:color="000000"/>
          <w:bdr w:val="nil"/>
        </w:rPr>
      </w:pPr>
      <w:r>
        <w:rPr>
          <w:u w:color="000000"/>
          <w:bdr w:val="nil"/>
        </w:rPr>
        <w:lastRenderedPageBreak/>
        <w:t>El Comité también ha mantenido intercambios electrónicos oficiosos con algunas Partes que elaboraron planes de acción para el cumplimiento</w:t>
      </w:r>
      <w:r w:rsidR="00C27B2F">
        <w:rPr>
          <w:u w:color="000000"/>
          <w:bdr w:val="nil"/>
        </w:rPr>
        <w:t>,</w:t>
      </w:r>
      <w:r>
        <w:rPr>
          <w:u w:color="000000"/>
          <w:bdr w:val="nil"/>
        </w:rPr>
        <w:t xml:space="preserve"> como parte del seguimiento de la ejecución de actividades previstas en los planes. El Comité considero que dichos intercambios oficiosos resultaron útiles tanto para el Comité como para las Partes en cuestión. Los intercambios han permitido al Comité tener una idea más precisa de los progresos logrados por las Partes en la elaboración de medidas para la aplicación del Protocolo y </w:t>
      </w:r>
      <w:r w:rsidR="003143DB">
        <w:rPr>
          <w:u w:color="000000"/>
          <w:bdr w:val="nil"/>
        </w:rPr>
        <w:t xml:space="preserve">de </w:t>
      </w:r>
      <w:r>
        <w:rPr>
          <w:u w:color="000000"/>
          <w:bdr w:val="nil"/>
        </w:rPr>
        <w:t xml:space="preserve">las acciones que aún deben tomar, así como </w:t>
      </w:r>
      <w:r w:rsidR="003143DB">
        <w:rPr>
          <w:u w:color="000000"/>
          <w:bdr w:val="nil"/>
        </w:rPr>
        <w:t xml:space="preserve">de </w:t>
      </w:r>
      <w:r>
        <w:rPr>
          <w:u w:color="000000"/>
          <w:bdr w:val="nil"/>
        </w:rPr>
        <w:t xml:space="preserve">las dificultades que han enfrentado en ese sentido. Al mismo tiempo, los intercambios han permitido a las Partes en cuestión discutir sus planes y dificultades directamente con el Comité y pedirle al Comité orientaciones adicionales. Los intercambios han ayudado además a establecer contactos directos entre </w:t>
      </w:r>
      <w:r w:rsidR="00C27B2F">
        <w:rPr>
          <w:u w:color="000000"/>
          <w:bdr w:val="nil"/>
        </w:rPr>
        <w:t>miembros</w:t>
      </w:r>
      <w:r>
        <w:rPr>
          <w:u w:color="000000"/>
          <w:bdr w:val="nil"/>
        </w:rPr>
        <w:t xml:space="preserve"> del Comité y los funcionarios nacionales responsables, lo que podría facilitar el seguimiento en cuestiones de cumplimiento. </w:t>
      </w:r>
    </w:p>
    <w:p w14:paraId="2CEDFB6D" w14:textId="1AF9A3C3" w:rsidR="00C27FE3" w:rsidRPr="0062628C" w:rsidRDefault="00DF07FE" w:rsidP="009477BD">
      <w:pPr>
        <w:pStyle w:val="Para1"/>
        <w:keepNext/>
        <w:numPr>
          <w:ilvl w:val="0"/>
          <w:numId w:val="0"/>
        </w:numPr>
        <w:rPr>
          <w:rFonts w:eastAsia="Arial Unicode MS"/>
          <w:i/>
          <w:iCs/>
          <w:kern w:val="22"/>
          <w:szCs w:val="22"/>
          <w:u w:color="000000"/>
          <w:bdr w:val="nil"/>
        </w:rPr>
      </w:pPr>
      <w:r>
        <w:rPr>
          <w:i/>
          <w:u w:color="000000"/>
          <w:bdr w:val="nil"/>
        </w:rPr>
        <w:t>Observaciones adicionales</w:t>
      </w:r>
    </w:p>
    <w:p w14:paraId="75192CDA" w14:textId="241C5277" w:rsidR="00B82545" w:rsidRPr="0062628C" w:rsidRDefault="00B82545" w:rsidP="009477BD">
      <w:pPr>
        <w:pStyle w:val="CBDNormalNumber"/>
        <w:rPr>
          <w:rFonts w:eastAsia="Arial Unicode MS"/>
          <w:kern w:val="22"/>
          <w:u w:color="000000"/>
          <w:bdr w:val="nil"/>
        </w:rPr>
      </w:pPr>
      <w:r>
        <w:rPr>
          <w:u w:color="000000"/>
          <w:bdr w:val="nil"/>
        </w:rPr>
        <w:t xml:space="preserve">Como ya se mencionó, el Comité de Cumplimiento del Protocolo de Cartagena se reúne una vez al año. Este ritmo permite al Comité llevar a cabo una revisión y seguimiento </w:t>
      </w:r>
      <w:r w:rsidR="003143DB">
        <w:rPr>
          <w:u w:color="000000"/>
          <w:bdr w:val="nil"/>
        </w:rPr>
        <w:t xml:space="preserve">periódicos </w:t>
      </w:r>
      <w:r>
        <w:rPr>
          <w:u w:color="000000"/>
          <w:bdr w:val="nil"/>
        </w:rPr>
        <w:t xml:space="preserve">de las cuestiones que están a consideración suya y le ayuda a mantener el impulso de su trabajo. Las medidas solicitadas por el Comité en una reunión se consideran nuevamente en su próxima reunión, el año siguiente, para que determine las medidas que debe adoptar, según sea necesario. Las recomendaciones formuladas por el Comité a la Conferencia de las Parte que actúa como reunión de las Partes en el Protocolo también se nutren de las deliberaciones de sus dos reuniones celebradas entre períodos de sesiones. Por último, las reuniones del Comité fomentan un sentido de propósito común entre los integrantes del Comité. </w:t>
      </w:r>
    </w:p>
    <w:p w14:paraId="4359EB12" w14:textId="4DF51E27" w:rsidR="002B05D9" w:rsidRPr="0062628C" w:rsidRDefault="00804B13" w:rsidP="00F918B5">
      <w:pPr>
        <w:pStyle w:val="CBDNormalNumber"/>
        <w:rPr>
          <w:rFonts w:eastAsia="Arial Unicode MS"/>
          <w:kern w:val="22"/>
          <w:u w:color="000000"/>
          <w:bdr w:val="nil"/>
        </w:rPr>
      </w:pPr>
      <w:r>
        <w:rPr>
          <w:u w:color="000000"/>
          <w:bdr w:val="nil"/>
        </w:rPr>
        <w:t>El trabajo de fondo del Comité recibe apoyo de 2,5 </w:t>
      </w:r>
      <w:r w:rsidR="003143DB">
        <w:rPr>
          <w:u w:color="000000"/>
          <w:bdr w:val="nil"/>
        </w:rPr>
        <w:t>miembros</w:t>
      </w:r>
      <w:r>
        <w:rPr>
          <w:u w:color="000000"/>
          <w:bdr w:val="nil"/>
        </w:rPr>
        <w:t xml:space="preserve"> del personal de la Secretaría – un </w:t>
      </w:r>
      <w:r w:rsidR="00763EF3">
        <w:rPr>
          <w:u w:color="000000"/>
          <w:bdr w:val="nil"/>
        </w:rPr>
        <w:t>a</w:t>
      </w:r>
      <w:r>
        <w:rPr>
          <w:u w:color="000000"/>
          <w:bdr w:val="nil"/>
        </w:rPr>
        <w:t xml:space="preserve">uxiliar </w:t>
      </w:r>
      <w:r w:rsidR="00763EF3">
        <w:rPr>
          <w:u w:color="000000"/>
          <w:bdr w:val="nil"/>
        </w:rPr>
        <w:t>s</w:t>
      </w:r>
      <w:r>
        <w:rPr>
          <w:u w:color="000000"/>
          <w:bdr w:val="nil"/>
        </w:rPr>
        <w:t xml:space="preserve">uperior de </w:t>
      </w:r>
      <w:r w:rsidR="00763EF3">
        <w:rPr>
          <w:u w:color="000000"/>
          <w:bdr w:val="nil"/>
        </w:rPr>
        <w:t>g</w:t>
      </w:r>
      <w:r>
        <w:rPr>
          <w:u w:color="000000"/>
          <w:bdr w:val="nil"/>
        </w:rPr>
        <w:t xml:space="preserve">estión de </w:t>
      </w:r>
      <w:r w:rsidR="00763EF3">
        <w:rPr>
          <w:u w:color="000000"/>
          <w:bdr w:val="nil"/>
        </w:rPr>
        <w:t>p</w:t>
      </w:r>
      <w:r>
        <w:rPr>
          <w:u w:color="000000"/>
          <w:bdr w:val="nil"/>
        </w:rPr>
        <w:t xml:space="preserve">rogramas de categoría G-7 y un </w:t>
      </w:r>
      <w:r w:rsidR="003143DB">
        <w:rPr>
          <w:u w:color="000000"/>
          <w:bdr w:val="nil"/>
        </w:rPr>
        <w:t>o</w:t>
      </w:r>
      <w:r>
        <w:rPr>
          <w:u w:color="000000"/>
          <w:bdr w:val="nil"/>
        </w:rPr>
        <w:t xml:space="preserve">ficial </w:t>
      </w:r>
      <w:r w:rsidR="003143DB">
        <w:rPr>
          <w:u w:color="000000"/>
          <w:bdr w:val="nil"/>
        </w:rPr>
        <w:t>j</w:t>
      </w:r>
      <w:r>
        <w:rPr>
          <w:u w:color="000000"/>
          <w:bdr w:val="nil"/>
        </w:rPr>
        <w:t xml:space="preserve">urídico de categoría P-3 que trabaja a tiempo completo prestando apoyo sobre cuestiones jurídicas en el marco del Protocolo de Cartagena. </w:t>
      </w:r>
      <w:r w:rsidR="00F918B5" w:rsidRPr="00F918B5">
        <w:rPr>
          <w:u w:color="000000"/>
          <w:bdr w:val="nil"/>
        </w:rPr>
        <w:t>Los dos funcionarios dependen directamente de un oficial jurídico de categoría P-4 que cumple funciones para el Protocolo de Cartagena y el Protocolo de Nagoya en igual medida</w:t>
      </w:r>
      <w:r>
        <w:rPr>
          <w:u w:color="000000"/>
          <w:bdr w:val="nil"/>
        </w:rPr>
        <w:t xml:space="preserve">. </w:t>
      </w:r>
    </w:p>
    <w:p w14:paraId="3E5CDF31" w14:textId="7C3CB7FF" w:rsidR="00AB60EF" w:rsidRPr="0062628C" w:rsidRDefault="0057280F" w:rsidP="00F00522">
      <w:pPr>
        <w:pStyle w:val="Para1"/>
        <w:numPr>
          <w:ilvl w:val="0"/>
          <w:numId w:val="0"/>
        </w:numPr>
        <w:tabs>
          <w:tab w:val="left" w:pos="1080"/>
        </w:tabs>
        <w:ind w:left="426"/>
        <w:jc w:val="center"/>
        <w:rPr>
          <w:bCs/>
          <w:caps/>
          <w:kern w:val="22"/>
        </w:rPr>
      </w:pPr>
      <w:r>
        <w:rPr>
          <w:caps/>
        </w:rPr>
        <w:t>_________</w:t>
      </w:r>
    </w:p>
    <w:sectPr w:rsidR="00AB60EF" w:rsidRPr="0062628C" w:rsidSect="00687928">
      <w:headerReference w:type="even" r:id="rId27"/>
      <w:headerReference w:type="default" r:id="rId28"/>
      <w:footerReference w:type="even" r:id="rId29"/>
      <w:footerReference w:type="default" r:id="rId30"/>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70A5F" w14:textId="77777777" w:rsidR="00D36F8E" w:rsidRPr="00E561C8" w:rsidRDefault="00D36F8E" w:rsidP="00A96B21">
      <w:r w:rsidRPr="00E561C8">
        <w:separator/>
      </w:r>
    </w:p>
  </w:endnote>
  <w:endnote w:type="continuationSeparator" w:id="0">
    <w:p w14:paraId="47F954FB" w14:textId="77777777" w:rsidR="00D36F8E" w:rsidRPr="00E561C8" w:rsidRDefault="00D36F8E" w:rsidP="00A96B21">
      <w:r w:rsidRPr="00E561C8">
        <w:continuationSeparator/>
      </w:r>
    </w:p>
  </w:endnote>
  <w:endnote w:type="continuationNotice" w:id="1">
    <w:p w14:paraId="3C919E51" w14:textId="77777777" w:rsidR="00D36F8E" w:rsidRPr="00E561C8" w:rsidRDefault="00D36F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0B336" w14:textId="21C89867" w:rsidR="00DD34A4" w:rsidRPr="00E561C8" w:rsidRDefault="00DD34A4">
    <w:pPr>
      <w:pStyle w:val="Footer"/>
    </w:pPr>
    <w:r w:rsidRPr="00E561C8">
      <w:fldChar w:fldCharType="begin"/>
    </w:r>
    <w:r w:rsidRPr="00E561C8">
      <w:instrText xml:space="preserve"> PAGE </w:instrText>
    </w:r>
    <w:r w:rsidRPr="00E561C8">
      <w:fldChar w:fldCharType="separate"/>
    </w:r>
    <w:r w:rsidR="006A48AB">
      <w:rPr>
        <w:noProof/>
      </w:rPr>
      <w:t>8</w:t>
    </w:r>
    <w:r w:rsidRPr="00E561C8">
      <w:fldChar w:fldCharType="end"/>
    </w:r>
    <w:r>
      <w:t>/</w:t>
    </w:r>
    <w:r w:rsidR="00D36F8E">
      <w:fldChar w:fldCharType="begin"/>
    </w:r>
    <w:r w:rsidR="00D36F8E">
      <w:instrText xml:space="preserve"> NUMPAGES  </w:instrText>
    </w:r>
    <w:r w:rsidR="00D36F8E">
      <w:fldChar w:fldCharType="separate"/>
    </w:r>
    <w:r w:rsidR="006A48AB">
      <w:rPr>
        <w:noProof/>
      </w:rPr>
      <w:t>9</w:t>
    </w:r>
    <w:r w:rsidR="00D36F8E">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537F705" w14:textId="7C950745" w:rsidR="00DD34A4" w:rsidRPr="00E561C8" w:rsidRDefault="00DD34A4" w:rsidP="002B559C">
            <w:pPr>
              <w:pStyle w:val="Footer"/>
              <w:jc w:val="right"/>
            </w:pPr>
            <w:r w:rsidRPr="00E561C8">
              <w:fldChar w:fldCharType="begin"/>
            </w:r>
            <w:r w:rsidRPr="00E561C8">
              <w:instrText xml:space="preserve"> PAGE </w:instrText>
            </w:r>
            <w:r w:rsidRPr="00E561C8">
              <w:fldChar w:fldCharType="separate"/>
            </w:r>
            <w:r w:rsidR="006A48AB">
              <w:rPr>
                <w:noProof/>
              </w:rPr>
              <w:t>9</w:t>
            </w:r>
            <w:r w:rsidRPr="00E561C8">
              <w:fldChar w:fldCharType="end"/>
            </w:r>
            <w:r>
              <w:t>/</w:t>
            </w:r>
            <w:r w:rsidR="00D36F8E">
              <w:fldChar w:fldCharType="begin"/>
            </w:r>
            <w:r w:rsidR="00D36F8E">
              <w:instrText xml:space="preserve"> NUMPAGES  </w:instrText>
            </w:r>
            <w:r w:rsidR="00D36F8E">
              <w:fldChar w:fldCharType="separate"/>
            </w:r>
            <w:r w:rsidR="006A48AB">
              <w:rPr>
                <w:noProof/>
              </w:rPr>
              <w:t>9</w:t>
            </w:r>
            <w:r w:rsidR="00D36F8E">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406D1F" w14:textId="77777777" w:rsidR="00D36F8E" w:rsidRPr="00E561C8" w:rsidRDefault="00D36F8E" w:rsidP="00A96B21">
      <w:r w:rsidRPr="00E561C8">
        <w:separator/>
      </w:r>
    </w:p>
  </w:footnote>
  <w:footnote w:type="continuationSeparator" w:id="0">
    <w:p w14:paraId="3AF1AE74" w14:textId="77777777" w:rsidR="00D36F8E" w:rsidRPr="00E561C8" w:rsidRDefault="00D36F8E" w:rsidP="00A96B21">
      <w:r w:rsidRPr="00E561C8">
        <w:continuationSeparator/>
      </w:r>
    </w:p>
  </w:footnote>
  <w:footnote w:type="continuationNotice" w:id="1">
    <w:p w14:paraId="7ABFA97D" w14:textId="77777777" w:rsidR="00D36F8E" w:rsidRPr="00E561C8" w:rsidRDefault="00D36F8E"/>
  </w:footnote>
  <w:footnote w:id="2">
    <w:p w14:paraId="2ED9352C" w14:textId="5DCD49CE" w:rsidR="00DD34A4" w:rsidRPr="009477BD" w:rsidRDefault="00DD34A4">
      <w:pPr>
        <w:pStyle w:val="FootnoteText"/>
      </w:pPr>
      <w:r>
        <w:rPr>
          <w:rStyle w:val="FootnoteReference"/>
        </w:rPr>
        <w:t>*</w:t>
      </w:r>
      <w:r>
        <w:t xml:space="preserve"> </w:t>
      </w:r>
      <w:hyperlink r:id="rId1" w:history="1">
        <w:r>
          <w:rPr>
            <w:rStyle w:val="Hyperlink"/>
          </w:rPr>
          <w:t>CBD/NP/CC/5/1</w:t>
        </w:r>
      </w:hyperlink>
      <w:r>
        <w:t>.</w:t>
      </w:r>
    </w:p>
  </w:footnote>
  <w:footnote w:id="3">
    <w:p w14:paraId="55E2BDF9" w14:textId="6C20F855" w:rsidR="00DD34A4" w:rsidRPr="00866063" w:rsidRDefault="00DD34A4" w:rsidP="000F0DBE">
      <w:pPr>
        <w:pStyle w:val="FootnoteText"/>
      </w:pPr>
      <w:r w:rsidRPr="00FA6F1D">
        <w:rPr>
          <w:vertAlign w:val="superscript"/>
        </w:rPr>
        <w:t>**</w:t>
      </w:r>
      <w:r w:rsidRPr="00FA6F1D">
        <w:t xml:space="preserve"> </w:t>
      </w:r>
      <w:hyperlink r:id="rId2" w:history="1">
        <w:r w:rsidRPr="00FA6F1D">
          <w:rPr>
            <w:rStyle w:val="Hyperlink"/>
          </w:rPr>
          <w:t>CBD/SBI/7/1</w:t>
        </w:r>
      </w:hyperlink>
      <w:r>
        <w:t>.</w:t>
      </w:r>
    </w:p>
  </w:footnote>
  <w:footnote w:id="4">
    <w:p w14:paraId="680898B5" w14:textId="30DD11CA" w:rsidR="00DD34A4" w:rsidRPr="005F3D03" w:rsidRDefault="00DD34A4">
      <w:pPr>
        <w:pStyle w:val="FootnoteText"/>
      </w:pPr>
      <w:r>
        <w:rPr>
          <w:rStyle w:val="FootnoteReference"/>
        </w:rPr>
        <w:footnoteRef/>
      </w:r>
      <w:r>
        <w:t xml:space="preserve"> </w:t>
      </w:r>
      <w:hyperlink r:id="rId3" w:history="1">
        <w:r>
          <w:rPr>
            <w:rStyle w:val="Hyperlink"/>
          </w:rPr>
          <w:t>UNEP/CBD/ICNP/1/INF/1</w:t>
        </w:r>
      </w:hyperlink>
      <w:r>
        <w:t>.</w:t>
      </w:r>
    </w:p>
  </w:footnote>
  <w:footnote w:id="5">
    <w:p w14:paraId="595D17E1" w14:textId="57A63F47" w:rsidR="00DD34A4" w:rsidRPr="00E561C8" w:rsidRDefault="00DD34A4">
      <w:pPr>
        <w:pStyle w:val="FootnoteText"/>
      </w:pPr>
      <w:r>
        <w:rPr>
          <w:rStyle w:val="FootnoteReference"/>
        </w:rPr>
        <w:footnoteRef/>
      </w:r>
      <w:r>
        <w:t xml:space="preserve"> India, Nigeria, Perú, Reino Unido de Gran Bretaña e Irlanda del Norte, República Dominicana y Unión Europea y sus Estados miembros. </w:t>
      </w:r>
    </w:p>
  </w:footnote>
  <w:footnote w:id="6">
    <w:p w14:paraId="1D08B886" w14:textId="09AB34C4" w:rsidR="00DD34A4" w:rsidRPr="009477BD" w:rsidRDefault="00DD34A4">
      <w:pPr>
        <w:pStyle w:val="FootnoteText"/>
      </w:pPr>
      <w:r>
        <w:rPr>
          <w:rStyle w:val="FootnoteReference"/>
        </w:rPr>
        <w:footnoteRef/>
      </w:r>
      <w:r>
        <w:t xml:space="preserve"> Armenia.</w:t>
      </w:r>
    </w:p>
  </w:footnote>
  <w:footnote w:id="7">
    <w:p w14:paraId="5500AEF5" w14:textId="0CC81520" w:rsidR="00DD34A4" w:rsidRPr="009477BD" w:rsidRDefault="00DD34A4" w:rsidP="00D23C2B">
      <w:pPr>
        <w:pStyle w:val="FootnoteText"/>
      </w:pPr>
      <w:r>
        <w:rPr>
          <w:rStyle w:val="FootnoteReference"/>
        </w:rPr>
        <w:footnoteRef/>
      </w:r>
      <w:r>
        <w:t xml:space="preserve"> Asociación Indígena Jieyuu Yala’yalaa A’inruu, </w:t>
      </w:r>
      <w:r w:rsidR="000C67C8">
        <w:t>Cámara de Comercio Internacional, Centro para la Investigación Forestal Internacional y Agroforestería Mundial, Federación Internacional de Asociaciones de Fabricantes de Productos Farmacéuticos,</w:t>
      </w:r>
      <w:r w:rsidR="00285E43">
        <w:t xml:space="preserve"> </w:t>
      </w:r>
      <w:r>
        <w:t xml:space="preserve">Grupo Consultivo para la Investigación Agrícola Internacional, INGRECOS, </w:t>
      </w:r>
      <w:r>
        <w:rPr>
          <w:color w:val="000000"/>
          <w:u w:color="000000"/>
          <w:bdr w:val="nil"/>
        </w:rPr>
        <w:t>Instituto Leibniz DSMZ (Colección Alemana de Microorganismos y Cultivos Celulares)</w:t>
      </w:r>
      <w:r>
        <w:t xml:space="preserve"> y Wellcome Sanger Institute.</w:t>
      </w:r>
    </w:p>
  </w:footnote>
  <w:footnote w:id="8">
    <w:p w14:paraId="4BCC3FD8" w14:textId="7B746621" w:rsidR="00DD34A4" w:rsidRPr="009477BD" w:rsidRDefault="00DD34A4" w:rsidP="009C3DCC">
      <w:pPr>
        <w:pStyle w:val="FootnoteText"/>
      </w:pPr>
      <w:r>
        <w:rPr>
          <w:rStyle w:val="FootnoteReference"/>
        </w:rPr>
        <w:footnoteRef/>
      </w:r>
      <w:r>
        <w:t xml:space="preserve"> Asociación Indígena Jieyuu Yala’yalaa A’inruu, </w:t>
      </w:r>
      <w:r w:rsidR="00285E43">
        <w:rPr>
          <w:color w:val="000000"/>
          <w:u w:color="000000"/>
          <w:bdr w:val="nil"/>
        </w:rPr>
        <w:t xml:space="preserve">Cámara de Comercio Internacional, </w:t>
      </w:r>
      <w:r>
        <w:t>Centro para la Investigación Forestal Internacional y Agroforestería Mundial</w:t>
      </w:r>
      <w:r>
        <w:rPr>
          <w:color w:val="000000"/>
          <w:u w:color="000000"/>
          <w:bdr w:val="nil"/>
        </w:rPr>
        <w:t xml:space="preserve">, </w:t>
      </w:r>
      <w:r>
        <w:t>Federación Internacional de Asociaciones de Fabricantes de Productos Farmacéuticos</w:t>
      </w:r>
      <w:r w:rsidR="00285E43">
        <w:rPr>
          <w:color w:val="000000"/>
          <w:u w:color="000000"/>
          <w:bdr w:val="nil"/>
        </w:rPr>
        <w:t>,</w:t>
      </w:r>
      <w:r>
        <w:rPr>
          <w:color w:val="000000"/>
          <w:u w:color="000000"/>
          <w:bdr w:val="nil"/>
        </w:rPr>
        <w:t xml:space="preserve"> </w:t>
      </w:r>
      <w:r w:rsidR="00285E43">
        <w:rPr>
          <w:color w:val="000000"/>
          <w:u w:color="000000"/>
          <w:bdr w:val="nil"/>
        </w:rPr>
        <w:t xml:space="preserve">INGRECOS, </w:t>
      </w:r>
      <w:r>
        <w:rPr>
          <w:color w:val="000000"/>
          <w:u w:color="000000"/>
          <w:bdr w:val="nil"/>
        </w:rPr>
        <w:t>Instituto Leibniz DSMZ</w:t>
      </w:r>
      <w:r w:rsidR="00285E43">
        <w:rPr>
          <w:color w:val="000000"/>
          <w:u w:color="000000"/>
          <w:bdr w:val="nil"/>
        </w:rPr>
        <w:t xml:space="preserve">, Nigeria y Unión Europea </w:t>
      </w:r>
      <w:r w:rsidR="00285E43">
        <w:t>y sus Estados miembros</w:t>
      </w:r>
      <w:r>
        <w:t>.</w:t>
      </w:r>
    </w:p>
  </w:footnote>
  <w:footnote w:id="9">
    <w:p w14:paraId="31E43AC0" w14:textId="2D7A8597" w:rsidR="00DD34A4" w:rsidRPr="009477BD" w:rsidRDefault="00DD34A4" w:rsidP="0039580B">
      <w:pPr>
        <w:pStyle w:val="FootnoteText"/>
      </w:pPr>
      <w:r>
        <w:rPr>
          <w:rStyle w:val="FootnoteReference"/>
        </w:rPr>
        <w:footnoteRef/>
      </w:r>
      <w:r>
        <w:t xml:space="preserve"> India, Perú y República Dominicana.</w:t>
      </w:r>
    </w:p>
  </w:footnote>
  <w:footnote w:id="10">
    <w:p w14:paraId="1BAEB09E" w14:textId="77777777" w:rsidR="00DD34A4" w:rsidRPr="009477BD" w:rsidRDefault="00DD34A4" w:rsidP="0039580B">
      <w:pPr>
        <w:pStyle w:val="FootnoteText"/>
      </w:pPr>
      <w:r>
        <w:rPr>
          <w:rStyle w:val="FootnoteReference"/>
        </w:rPr>
        <w:footnoteRef/>
      </w:r>
      <w:r>
        <w:t xml:space="preserve"> India.</w:t>
      </w:r>
    </w:p>
  </w:footnote>
  <w:footnote w:id="11">
    <w:p w14:paraId="17BA6136" w14:textId="1B686CEE" w:rsidR="00DD34A4" w:rsidRPr="009477BD" w:rsidRDefault="00DD34A4" w:rsidP="0039580B">
      <w:pPr>
        <w:pStyle w:val="FootnoteText"/>
      </w:pPr>
      <w:r>
        <w:rPr>
          <w:rStyle w:val="FootnoteReference"/>
        </w:rPr>
        <w:footnoteRef/>
      </w:r>
      <w:r>
        <w:t xml:space="preserve"> Grupo Consultivo sobre Investigación Agrícola Internacional</w:t>
      </w:r>
      <w:r>
        <w:rPr>
          <w:color w:val="000000"/>
          <w:u w:color="000000"/>
          <w:bdr w:val="nil"/>
        </w:rPr>
        <w:t xml:space="preserve"> e Instituto Leibniz DSMZ.</w:t>
      </w:r>
    </w:p>
  </w:footnote>
  <w:footnote w:id="12">
    <w:p w14:paraId="32DE6F83" w14:textId="5D45FB75" w:rsidR="00DD34A4" w:rsidRPr="009477BD" w:rsidRDefault="00DD34A4">
      <w:pPr>
        <w:pStyle w:val="FootnoteText"/>
      </w:pPr>
      <w:r>
        <w:rPr>
          <w:rStyle w:val="FootnoteReference"/>
        </w:rPr>
        <w:footnoteRef/>
      </w:r>
      <w:r>
        <w:t xml:space="preserve"> Reino Unido y Wellcome Sanger Institute.</w:t>
      </w:r>
    </w:p>
  </w:footnote>
  <w:footnote w:id="13">
    <w:p w14:paraId="4B2EEDFE" w14:textId="60CCA13A" w:rsidR="00DD34A4" w:rsidRPr="009477BD" w:rsidRDefault="00DD34A4">
      <w:pPr>
        <w:pStyle w:val="FootnoteText"/>
      </w:pPr>
      <w:r>
        <w:rPr>
          <w:rStyle w:val="FootnoteReference"/>
        </w:rPr>
        <w:footnoteRef/>
      </w:r>
      <w:r>
        <w:t xml:space="preserve"> </w:t>
      </w:r>
      <w:r>
        <w:rPr>
          <w:color w:val="000000"/>
          <w:u w:color="000000"/>
          <w:bdr w:val="nil"/>
        </w:rPr>
        <w:t>CBD/SBI/7/7/Add.1.</w:t>
      </w:r>
    </w:p>
  </w:footnote>
  <w:footnote w:id="14">
    <w:p w14:paraId="2C18CF07" w14:textId="58B853C9" w:rsidR="00DD34A4" w:rsidRPr="009477BD" w:rsidRDefault="00DD34A4" w:rsidP="0099216F">
      <w:pPr>
        <w:pStyle w:val="FootnoteText"/>
      </w:pPr>
      <w:r>
        <w:rPr>
          <w:rStyle w:val="FootnoteReference"/>
        </w:rPr>
        <w:footnoteRef/>
      </w:r>
      <w:r>
        <w:t xml:space="preserve"> Reino Unido.</w:t>
      </w:r>
    </w:p>
  </w:footnote>
  <w:footnote w:id="15">
    <w:p w14:paraId="6440DC96" w14:textId="606E74D5" w:rsidR="00DD34A4" w:rsidRPr="009477BD" w:rsidRDefault="00DD34A4">
      <w:pPr>
        <w:pStyle w:val="FootnoteText"/>
      </w:pPr>
      <w:r>
        <w:rPr>
          <w:rStyle w:val="FootnoteReference"/>
        </w:rPr>
        <w:footnoteRef/>
      </w:r>
      <w:r>
        <w:t xml:space="preserve"> </w:t>
      </w:r>
      <w:r>
        <w:rPr>
          <w:color w:val="000000"/>
          <w:u w:color="000000"/>
          <w:bdr w:val="nil"/>
        </w:rPr>
        <w:t>Unión Europea</w:t>
      </w:r>
      <w:r>
        <w:t xml:space="preserve"> y sus Estados miembros.</w:t>
      </w:r>
    </w:p>
  </w:footnote>
  <w:footnote w:id="16">
    <w:p w14:paraId="1D3FDC28" w14:textId="77777777" w:rsidR="00DD34A4" w:rsidRPr="009477BD" w:rsidRDefault="00DD34A4" w:rsidP="00FB58F4">
      <w:pPr>
        <w:pStyle w:val="FootnoteText"/>
      </w:pPr>
      <w:r>
        <w:rPr>
          <w:rStyle w:val="FootnoteReference"/>
        </w:rPr>
        <w:footnoteRef/>
      </w:r>
      <w:r>
        <w:t xml:space="preserve"> República Dominicana.</w:t>
      </w:r>
    </w:p>
  </w:footnote>
  <w:footnote w:id="17">
    <w:p w14:paraId="7608318B" w14:textId="1292EF9D" w:rsidR="00DD34A4" w:rsidRPr="009477BD" w:rsidRDefault="00DD34A4">
      <w:pPr>
        <w:pStyle w:val="FootnoteText"/>
      </w:pPr>
      <w:r>
        <w:rPr>
          <w:rStyle w:val="FootnoteReference"/>
        </w:rPr>
        <w:footnoteRef/>
      </w:r>
      <w:r>
        <w:t xml:space="preserve"> </w:t>
      </w:r>
      <w:r>
        <w:rPr>
          <w:color w:val="000000"/>
          <w:u w:color="000000"/>
          <w:bdr w:val="nil"/>
        </w:rPr>
        <w:t>India, Perú y Unión Europea</w:t>
      </w:r>
      <w:r>
        <w:t xml:space="preserve"> y sus Estados miembros.</w:t>
      </w:r>
    </w:p>
  </w:footnote>
  <w:footnote w:id="18">
    <w:p w14:paraId="1DC22075" w14:textId="77777777" w:rsidR="00DD34A4" w:rsidRPr="003C7C8D" w:rsidRDefault="00DD34A4" w:rsidP="00CB646A">
      <w:pPr>
        <w:pStyle w:val="FootnoteText"/>
      </w:pPr>
      <w:r>
        <w:rPr>
          <w:rStyle w:val="FootnoteReference"/>
        </w:rPr>
        <w:footnoteRef/>
      </w:r>
      <w:r>
        <w:t xml:space="preserve"> República Dominicana y </w:t>
      </w:r>
      <w:r>
        <w:rPr>
          <w:color w:val="000000"/>
          <w:u w:color="000000"/>
          <w:bdr w:val="nil"/>
        </w:rPr>
        <w:t>Unión Europea</w:t>
      </w:r>
      <w:r>
        <w:t xml:space="preserve"> y sus Estados miembros.</w:t>
      </w:r>
    </w:p>
  </w:footnote>
  <w:footnote w:id="19">
    <w:p w14:paraId="17C8E423" w14:textId="648601F4" w:rsidR="00DD34A4" w:rsidRPr="003C7C8D" w:rsidRDefault="00DD34A4" w:rsidP="000C5F76">
      <w:pPr>
        <w:pStyle w:val="FootnoteText"/>
      </w:pPr>
      <w:r>
        <w:rPr>
          <w:rStyle w:val="FootnoteReference"/>
        </w:rPr>
        <w:footnoteRef/>
      </w:r>
      <w:r>
        <w:t xml:space="preserve"> </w:t>
      </w:r>
      <w:r>
        <w:rPr>
          <w:color w:val="000000"/>
          <w:u w:color="000000"/>
          <w:bdr w:val="nil"/>
        </w:rPr>
        <w:t>Unión Europea</w:t>
      </w:r>
      <w:r>
        <w:t xml:space="preserve"> y sus Estados miembros.</w:t>
      </w:r>
    </w:p>
  </w:footnote>
  <w:footnote w:id="20">
    <w:p w14:paraId="4646AE94" w14:textId="77777777" w:rsidR="00DD34A4" w:rsidRPr="009477BD" w:rsidRDefault="00DD34A4" w:rsidP="003E0626">
      <w:pPr>
        <w:pStyle w:val="FootnoteText"/>
      </w:pPr>
      <w:r>
        <w:rPr>
          <w:rStyle w:val="FootnoteReference"/>
        </w:rPr>
        <w:footnoteRef/>
      </w:r>
      <w:r>
        <w:t xml:space="preserve"> República Dominicana.</w:t>
      </w:r>
    </w:p>
  </w:footnote>
  <w:footnote w:id="21">
    <w:p w14:paraId="20A42F98" w14:textId="524CB23E" w:rsidR="00DD34A4" w:rsidRPr="009477BD" w:rsidRDefault="00DD34A4" w:rsidP="003E0626">
      <w:pPr>
        <w:pStyle w:val="FootnoteText"/>
      </w:pPr>
      <w:r>
        <w:rPr>
          <w:rStyle w:val="FootnoteReference"/>
        </w:rPr>
        <w:footnoteRef/>
      </w:r>
      <w:r>
        <w:t xml:space="preserve"> </w:t>
      </w:r>
      <w:r w:rsidR="00476331">
        <w:rPr>
          <w:u w:color="000000"/>
          <w:bdr w:val="nil"/>
        </w:rPr>
        <w:t xml:space="preserve">Cámara de Comercio Internacional, </w:t>
      </w:r>
      <w:r w:rsidR="00476331">
        <w:t>Federación Internacional de Asociaciones de Fabricantes de Productos Farmacéuticos,</w:t>
      </w:r>
      <w:r w:rsidR="00476331">
        <w:rPr>
          <w:u w:color="000000"/>
          <w:bdr w:val="nil"/>
        </w:rPr>
        <w:t xml:space="preserve"> Instituto Leibniz DSMZ y </w:t>
      </w:r>
      <w:r>
        <w:rPr>
          <w:u w:color="000000"/>
          <w:bdr w:val="nil"/>
        </w:rPr>
        <w:t>Unión Europea y sus Estados miembros</w:t>
      </w:r>
      <w:r>
        <w:t>.</w:t>
      </w:r>
    </w:p>
  </w:footnote>
  <w:footnote w:id="22">
    <w:p w14:paraId="70C084FF" w14:textId="7D525E4C" w:rsidR="00DD34A4" w:rsidRPr="009477BD" w:rsidRDefault="00DD34A4">
      <w:pPr>
        <w:pStyle w:val="FootnoteText"/>
      </w:pPr>
      <w:r>
        <w:rPr>
          <w:rStyle w:val="FootnoteReference"/>
        </w:rPr>
        <w:footnoteRef/>
      </w:r>
      <w:r>
        <w:t xml:space="preserve"> </w:t>
      </w:r>
      <w:r>
        <w:rPr>
          <w:u w:color="000000"/>
          <w:bdr w:val="nil"/>
        </w:rPr>
        <w:t>Unión Europea</w:t>
      </w:r>
      <w:r>
        <w:t xml:space="preserve"> y sus Estados miembros.</w:t>
      </w:r>
    </w:p>
  </w:footnote>
  <w:footnote w:id="23">
    <w:p w14:paraId="4657E9AB" w14:textId="2C003255" w:rsidR="00DD34A4" w:rsidRPr="00725030" w:rsidRDefault="00DD34A4">
      <w:pPr>
        <w:pStyle w:val="FootnoteText"/>
      </w:pPr>
      <w:r>
        <w:rPr>
          <w:rStyle w:val="FootnoteReference"/>
        </w:rPr>
        <w:footnoteRef/>
      </w:r>
      <w:r>
        <w:t xml:space="preserve"> Véase: </w:t>
      </w:r>
      <w:hyperlink r:id="rId4" w:history="1">
        <w:r>
          <w:rPr>
            <w:rStyle w:val="Hyperlink"/>
          </w:rPr>
          <w:t>https://bch.cbd.int/protocol/cpb_art34_info.shtml</w:t>
        </w:r>
      </w:hyperlink>
      <w:r>
        <w:t xml:space="preserve">. </w:t>
      </w:r>
    </w:p>
  </w:footnote>
  <w:footnote w:id="24">
    <w:p w14:paraId="112A2D13" w14:textId="468336BD" w:rsidR="00DD34A4" w:rsidRPr="00E561C8" w:rsidRDefault="00DD34A4" w:rsidP="00947766">
      <w:pPr>
        <w:pStyle w:val="FootnoteText"/>
      </w:pPr>
      <w:r>
        <w:rPr>
          <w:rStyle w:val="FootnoteReference"/>
        </w:rPr>
        <w:footnoteRef/>
      </w:r>
      <w:r>
        <w:t xml:space="preserve"> A excepción de los años 2021 y 2022, durante la pandemia de la enfermedad por coronavirus (COVID-19), en los que no se celebraron reuniones.</w:t>
      </w:r>
    </w:p>
  </w:footnote>
  <w:footnote w:id="25">
    <w:p w14:paraId="159B5ACC" w14:textId="1E97A70F" w:rsidR="00DD34A4" w:rsidRPr="009477BD" w:rsidRDefault="00DD34A4">
      <w:pPr>
        <w:pStyle w:val="FootnoteText"/>
      </w:pPr>
      <w:r>
        <w:rPr>
          <w:rStyle w:val="FootnoteReference"/>
        </w:rPr>
        <w:footnoteRef/>
      </w:r>
      <w:r>
        <w:t xml:space="preserve"> Véase: </w:t>
      </w:r>
      <w:hyperlink r:id="rId5" w:history="1">
        <w:r>
          <w:rPr>
            <w:rStyle w:val="Hyperlink"/>
          </w:rPr>
          <w:t>UNEP/CBD/BS/CC/8/3</w:t>
        </w:r>
      </w:hyperlink>
      <w:r>
        <w:t>, figura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3" w:name="_Hlk137802784"/>
  <w:bookmarkStart w:id="4" w:name="_Hlk137802785"/>
  <w:p w14:paraId="16343F9E" w14:textId="5FDC13C1" w:rsidR="00DD34A4" w:rsidRPr="009477BD" w:rsidRDefault="00D36F8E" w:rsidP="009477B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D34A4" w:rsidRPr="000976BF">
          <w:t>CBD/NP/CC/5/4/Add.2</w:t>
        </w:r>
        <w:r w:rsidR="00DD34A4">
          <w:t>-</w:t>
        </w:r>
        <w:r w:rsidR="00DD34A4" w:rsidRPr="000976BF">
          <w:t>CBD/SBI/7/7/Add.2</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23322C4" w14:textId="18EEC635" w:rsidR="00DD34A4" w:rsidRPr="009477BD" w:rsidRDefault="00DD34A4" w:rsidP="009477BD">
        <w:pPr>
          <w:pStyle w:val="CBDHeader"/>
          <w:spacing w:after="240"/>
          <w:jc w:val="right"/>
        </w:pPr>
        <w:r w:rsidRPr="009477BD">
          <w:t>CBD/NP/CC/5/4/Add.2-CBD/SBI/7/7/Add.2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1D90572"/>
    <w:multiLevelType w:val="hybridMultilevel"/>
    <w:tmpl w:val="34C00AB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48E131DD"/>
    <w:multiLevelType w:val="hybridMultilevel"/>
    <w:tmpl w:val="3A88E4D2"/>
    <w:lvl w:ilvl="0" w:tplc="0409000F">
      <w:start w:val="1"/>
      <w:numFmt w:val="decimal"/>
      <w:lvlText w:val="%1."/>
      <w:lvlJc w:val="left"/>
      <w:pPr>
        <w:ind w:left="1260" w:hanging="360"/>
      </w:pPr>
      <w:rPr>
        <w:rFont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D0D33C3"/>
    <w:multiLevelType w:val="multilevel"/>
    <w:tmpl w:val="E9E8EA3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abstractNumId w:val="16"/>
  </w:num>
  <w:num w:numId="2">
    <w:abstractNumId w:val="19"/>
  </w:num>
  <w:num w:numId="3">
    <w:abstractNumId w:val="14"/>
  </w:num>
  <w:num w:numId="4">
    <w:abstractNumId w:val="18"/>
  </w:num>
  <w:num w:numId="5">
    <w:abstractNumId w:val="9"/>
  </w:num>
  <w:num w:numId="6">
    <w:abstractNumId w:val="7"/>
  </w:num>
  <w:num w:numId="7">
    <w:abstractNumId w:val="6"/>
  </w:num>
  <w:num w:numId="8">
    <w:abstractNumId w:val="5"/>
  </w:num>
  <w:num w:numId="9">
    <w:abstractNumId w:val="4"/>
  </w:num>
  <w:num w:numId="10">
    <w:abstractNumId w:val="13"/>
  </w:num>
  <w:num w:numId="11">
    <w:abstractNumId w:val="17"/>
  </w:num>
  <w:num w:numId="12">
    <w:abstractNumId w:val="15"/>
  </w:num>
  <w:num w:numId="13">
    <w:abstractNumId w:val="8"/>
  </w:num>
  <w:num w:numId="14">
    <w:abstractNumId w:val="3"/>
  </w:num>
  <w:num w:numId="15">
    <w:abstractNumId w:val="2"/>
  </w:num>
  <w:num w:numId="16">
    <w:abstractNumId w:val="1"/>
  </w:num>
  <w:num w:numId="17">
    <w:abstractNumId w:val="0"/>
  </w:num>
  <w:num w:numId="18">
    <w:abstractNumId w:val="12"/>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0"/>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EB6"/>
    <w:rsid w:val="0000031D"/>
    <w:rsid w:val="0000093C"/>
    <w:rsid w:val="00000DEE"/>
    <w:rsid w:val="00001504"/>
    <w:rsid w:val="00001B91"/>
    <w:rsid w:val="00001E0C"/>
    <w:rsid w:val="00005570"/>
    <w:rsid w:val="000061A0"/>
    <w:rsid w:val="00006631"/>
    <w:rsid w:val="00006A52"/>
    <w:rsid w:val="00006DD6"/>
    <w:rsid w:val="0000754D"/>
    <w:rsid w:val="0001034C"/>
    <w:rsid w:val="00010B2E"/>
    <w:rsid w:val="00010CF1"/>
    <w:rsid w:val="00011C67"/>
    <w:rsid w:val="00011DB4"/>
    <w:rsid w:val="00011F10"/>
    <w:rsid w:val="00012077"/>
    <w:rsid w:val="0001294D"/>
    <w:rsid w:val="0001364A"/>
    <w:rsid w:val="0001365F"/>
    <w:rsid w:val="000139C8"/>
    <w:rsid w:val="0001481E"/>
    <w:rsid w:val="00014C3F"/>
    <w:rsid w:val="000170E0"/>
    <w:rsid w:val="0001725E"/>
    <w:rsid w:val="00017B01"/>
    <w:rsid w:val="000204C0"/>
    <w:rsid w:val="000207FF"/>
    <w:rsid w:val="000210B6"/>
    <w:rsid w:val="00021274"/>
    <w:rsid w:val="000218E7"/>
    <w:rsid w:val="00021D0E"/>
    <w:rsid w:val="00022497"/>
    <w:rsid w:val="00023ECD"/>
    <w:rsid w:val="00024160"/>
    <w:rsid w:val="00024505"/>
    <w:rsid w:val="00024FF9"/>
    <w:rsid w:val="00025173"/>
    <w:rsid w:val="000255C4"/>
    <w:rsid w:val="00025A88"/>
    <w:rsid w:val="00025F33"/>
    <w:rsid w:val="0002604F"/>
    <w:rsid w:val="00026B9D"/>
    <w:rsid w:val="00026D10"/>
    <w:rsid w:val="00030363"/>
    <w:rsid w:val="0003049A"/>
    <w:rsid w:val="0003063A"/>
    <w:rsid w:val="000308B5"/>
    <w:rsid w:val="000308B7"/>
    <w:rsid w:val="00031493"/>
    <w:rsid w:val="00033E27"/>
    <w:rsid w:val="00034589"/>
    <w:rsid w:val="000349E1"/>
    <w:rsid w:val="00034AF1"/>
    <w:rsid w:val="00034E1E"/>
    <w:rsid w:val="00034EA9"/>
    <w:rsid w:val="0003513F"/>
    <w:rsid w:val="000353D3"/>
    <w:rsid w:val="000356FE"/>
    <w:rsid w:val="0003652C"/>
    <w:rsid w:val="0003655F"/>
    <w:rsid w:val="000369B0"/>
    <w:rsid w:val="00036A7E"/>
    <w:rsid w:val="00036B7F"/>
    <w:rsid w:val="00036CA3"/>
    <w:rsid w:val="00037185"/>
    <w:rsid w:val="00037244"/>
    <w:rsid w:val="00037412"/>
    <w:rsid w:val="00040598"/>
    <w:rsid w:val="0004099B"/>
    <w:rsid w:val="00041850"/>
    <w:rsid w:val="000419E8"/>
    <w:rsid w:val="00041D4F"/>
    <w:rsid w:val="0004294D"/>
    <w:rsid w:val="0004297D"/>
    <w:rsid w:val="00042DF7"/>
    <w:rsid w:val="00042E00"/>
    <w:rsid w:val="00043766"/>
    <w:rsid w:val="00044124"/>
    <w:rsid w:val="00044E11"/>
    <w:rsid w:val="00045A22"/>
    <w:rsid w:val="00046065"/>
    <w:rsid w:val="000473CD"/>
    <w:rsid w:val="00047760"/>
    <w:rsid w:val="000506D3"/>
    <w:rsid w:val="00050C58"/>
    <w:rsid w:val="00051004"/>
    <w:rsid w:val="000510A6"/>
    <w:rsid w:val="00051399"/>
    <w:rsid w:val="00051803"/>
    <w:rsid w:val="00051996"/>
    <w:rsid w:val="00051E62"/>
    <w:rsid w:val="00052A01"/>
    <w:rsid w:val="00053226"/>
    <w:rsid w:val="00053512"/>
    <w:rsid w:val="00053968"/>
    <w:rsid w:val="00053F7D"/>
    <w:rsid w:val="000544B8"/>
    <w:rsid w:val="00054B26"/>
    <w:rsid w:val="0005570A"/>
    <w:rsid w:val="000576E7"/>
    <w:rsid w:val="000577C2"/>
    <w:rsid w:val="0006005D"/>
    <w:rsid w:val="0006007F"/>
    <w:rsid w:val="00060098"/>
    <w:rsid w:val="00060759"/>
    <w:rsid w:val="0006395F"/>
    <w:rsid w:val="00063BB3"/>
    <w:rsid w:val="00063DB4"/>
    <w:rsid w:val="00063F2A"/>
    <w:rsid w:val="00065686"/>
    <w:rsid w:val="00065789"/>
    <w:rsid w:val="000658B4"/>
    <w:rsid w:val="00065B07"/>
    <w:rsid w:val="00066BEA"/>
    <w:rsid w:val="00066F48"/>
    <w:rsid w:val="000674E3"/>
    <w:rsid w:val="00070029"/>
    <w:rsid w:val="0007005B"/>
    <w:rsid w:val="00070410"/>
    <w:rsid w:val="00070B0D"/>
    <w:rsid w:val="00070CFA"/>
    <w:rsid w:val="0007143F"/>
    <w:rsid w:val="00071883"/>
    <w:rsid w:val="00071E9E"/>
    <w:rsid w:val="00072A0C"/>
    <w:rsid w:val="0007413A"/>
    <w:rsid w:val="00074779"/>
    <w:rsid w:val="000747A6"/>
    <w:rsid w:val="000747DE"/>
    <w:rsid w:val="00075257"/>
    <w:rsid w:val="0007577C"/>
    <w:rsid w:val="000758B8"/>
    <w:rsid w:val="00075E6A"/>
    <w:rsid w:val="00075F29"/>
    <w:rsid w:val="00076326"/>
    <w:rsid w:val="00077304"/>
    <w:rsid w:val="000774CB"/>
    <w:rsid w:val="000776D9"/>
    <w:rsid w:val="0007793E"/>
    <w:rsid w:val="00077E28"/>
    <w:rsid w:val="0008007F"/>
    <w:rsid w:val="000802CE"/>
    <w:rsid w:val="00080361"/>
    <w:rsid w:val="000803F5"/>
    <w:rsid w:val="00080A20"/>
    <w:rsid w:val="000816A7"/>
    <w:rsid w:val="0008199D"/>
    <w:rsid w:val="00082029"/>
    <w:rsid w:val="0008359F"/>
    <w:rsid w:val="00083FA1"/>
    <w:rsid w:val="000851E1"/>
    <w:rsid w:val="00085AB3"/>
    <w:rsid w:val="00085BB8"/>
    <w:rsid w:val="00085F04"/>
    <w:rsid w:val="00086876"/>
    <w:rsid w:val="0008693F"/>
    <w:rsid w:val="00087018"/>
    <w:rsid w:val="00087326"/>
    <w:rsid w:val="000879AE"/>
    <w:rsid w:val="00090592"/>
    <w:rsid w:val="000910D1"/>
    <w:rsid w:val="00092EAD"/>
    <w:rsid w:val="0009342D"/>
    <w:rsid w:val="00094A17"/>
    <w:rsid w:val="00095C22"/>
    <w:rsid w:val="00096B23"/>
    <w:rsid w:val="00096B29"/>
    <w:rsid w:val="0009745C"/>
    <w:rsid w:val="000976BF"/>
    <w:rsid w:val="00097F8F"/>
    <w:rsid w:val="000A0095"/>
    <w:rsid w:val="000A0259"/>
    <w:rsid w:val="000A0E17"/>
    <w:rsid w:val="000A14E3"/>
    <w:rsid w:val="000A1875"/>
    <w:rsid w:val="000A1A4F"/>
    <w:rsid w:val="000A27F6"/>
    <w:rsid w:val="000A3C1D"/>
    <w:rsid w:val="000A3C73"/>
    <w:rsid w:val="000A45E0"/>
    <w:rsid w:val="000A4817"/>
    <w:rsid w:val="000A4A91"/>
    <w:rsid w:val="000A4B92"/>
    <w:rsid w:val="000A4ECA"/>
    <w:rsid w:val="000A50A4"/>
    <w:rsid w:val="000A5602"/>
    <w:rsid w:val="000A58D2"/>
    <w:rsid w:val="000A5C42"/>
    <w:rsid w:val="000A6556"/>
    <w:rsid w:val="000A78A3"/>
    <w:rsid w:val="000A7C3A"/>
    <w:rsid w:val="000A7DAA"/>
    <w:rsid w:val="000A7F5E"/>
    <w:rsid w:val="000B0341"/>
    <w:rsid w:val="000B1874"/>
    <w:rsid w:val="000B1ED2"/>
    <w:rsid w:val="000B225C"/>
    <w:rsid w:val="000B2260"/>
    <w:rsid w:val="000B3E44"/>
    <w:rsid w:val="000B3E58"/>
    <w:rsid w:val="000B429E"/>
    <w:rsid w:val="000B43B6"/>
    <w:rsid w:val="000B4588"/>
    <w:rsid w:val="000B4706"/>
    <w:rsid w:val="000B4D24"/>
    <w:rsid w:val="000B58C5"/>
    <w:rsid w:val="000B5D35"/>
    <w:rsid w:val="000B628B"/>
    <w:rsid w:val="000B77E7"/>
    <w:rsid w:val="000B78DF"/>
    <w:rsid w:val="000C0868"/>
    <w:rsid w:val="000C0F75"/>
    <w:rsid w:val="000C173A"/>
    <w:rsid w:val="000C182C"/>
    <w:rsid w:val="000C1D13"/>
    <w:rsid w:val="000C223F"/>
    <w:rsid w:val="000C24B0"/>
    <w:rsid w:val="000C28CE"/>
    <w:rsid w:val="000C4245"/>
    <w:rsid w:val="000C5F76"/>
    <w:rsid w:val="000C65DA"/>
    <w:rsid w:val="000C67C8"/>
    <w:rsid w:val="000C6B2C"/>
    <w:rsid w:val="000C7131"/>
    <w:rsid w:val="000D00B4"/>
    <w:rsid w:val="000D02E6"/>
    <w:rsid w:val="000D1989"/>
    <w:rsid w:val="000D1A5A"/>
    <w:rsid w:val="000D1A62"/>
    <w:rsid w:val="000D1D3F"/>
    <w:rsid w:val="000D2CA8"/>
    <w:rsid w:val="000D3042"/>
    <w:rsid w:val="000D410D"/>
    <w:rsid w:val="000D5344"/>
    <w:rsid w:val="000D563E"/>
    <w:rsid w:val="000D5AFA"/>
    <w:rsid w:val="000D5EC8"/>
    <w:rsid w:val="000D7092"/>
    <w:rsid w:val="000E1541"/>
    <w:rsid w:val="000E1D54"/>
    <w:rsid w:val="000E2007"/>
    <w:rsid w:val="000E22E0"/>
    <w:rsid w:val="000E2531"/>
    <w:rsid w:val="000E2822"/>
    <w:rsid w:val="000E300F"/>
    <w:rsid w:val="000E363E"/>
    <w:rsid w:val="000E4D78"/>
    <w:rsid w:val="000E5635"/>
    <w:rsid w:val="000E62C8"/>
    <w:rsid w:val="000E634C"/>
    <w:rsid w:val="000E6A83"/>
    <w:rsid w:val="000E72C0"/>
    <w:rsid w:val="000E7BFC"/>
    <w:rsid w:val="000F020D"/>
    <w:rsid w:val="000F0DBE"/>
    <w:rsid w:val="000F1803"/>
    <w:rsid w:val="000F1E55"/>
    <w:rsid w:val="000F220E"/>
    <w:rsid w:val="000F22D1"/>
    <w:rsid w:val="000F3C52"/>
    <w:rsid w:val="000F3EFD"/>
    <w:rsid w:val="000F45F4"/>
    <w:rsid w:val="000F5059"/>
    <w:rsid w:val="000F5256"/>
    <w:rsid w:val="000F5866"/>
    <w:rsid w:val="000F5C50"/>
    <w:rsid w:val="000F61F5"/>
    <w:rsid w:val="000F6626"/>
    <w:rsid w:val="000F69A0"/>
    <w:rsid w:val="000F7AB8"/>
    <w:rsid w:val="00100784"/>
    <w:rsid w:val="00100C29"/>
    <w:rsid w:val="001015D3"/>
    <w:rsid w:val="00101700"/>
    <w:rsid w:val="00101E4E"/>
    <w:rsid w:val="00102401"/>
    <w:rsid w:val="0010285C"/>
    <w:rsid w:val="00102A35"/>
    <w:rsid w:val="00103CEF"/>
    <w:rsid w:val="00103E1B"/>
    <w:rsid w:val="00104649"/>
    <w:rsid w:val="0010473A"/>
    <w:rsid w:val="00104991"/>
    <w:rsid w:val="00104E4F"/>
    <w:rsid w:val="00105C4F"/>
    <w:rsid w:val="00105DD2"/>
    <w:rsid w:val="00107136"/>
    <w:rsid w:val="00110FEF"/>
    <w:rsid w:val="001116B1"/>
    <w:rsid w:val="00111BA3"/>
    <w:rsid w:val="001124FA"/>
    <w:rsid w:val="00112A51"/>
    <w:rsid w:val="001138EB"/>
    <w:rsid w:val="00113E98"/>
    <w:rsid w:val="00114F69"/>
    <w:rsid w:val="001151AF"/>
    <w:rsid w:val="0011536A"/>
    <w:rsid w:val="00115480"/>
    <w:rsid w:val="00115685"/>
    <w:rsid w:val="00116322"/>
    <w:rsid w:val="00116FB2"/>
    <w:rsid w:val="00117DE9"/>
    <w:rsid w:val="001213E8"/>
    <w:rsid w:val="00121430"/>
    <w:rsid w:val="0012166C"/>
    <w:rsid w:val="00121B43"/>
    <w:rsid w:val="00122924"/>
    <w:rsid w:val="00123173"/>
    <w:rsid w:val="00123ACE"/>
    <w:rsid w:val="00125224"/>
    <w:rsid w:val="00125590"/>
    <w:rsid w:val="001257E3"/>
    <w:rsid w:val="00125A04"/>
    <w:rsid w:val="00126817"/>
    <w:rsid w:val="00126ECC"/>
    <w:rsid w:val="00126F18"/>
    <w:rsid w:val="0012709E"/>
    <w:rsid w:val="001274C9"/>
    <w:rsid w:val="0012770E"/>
    <w:rsid w:val="00127CD0"/>
    <w:rsid w:val="00127D96"/>
    <w:rsid w:val="00130B44"/>
    <w:rsid w:val="0013141F"/>
    <w:rsid w:val="00131B04"/>
    <w:rsid w:val="00131F59"/>
    <w:rsid w:val="00132581"/>
    <w:rsid w:val="00132C94"/>
    <w:rsid w:val="00132F07"/>
    <w:rsid w:val="0013322A"/>
    <w:rsid w:val="001341A1"/>
    <w:rsid w:val="001341F2"/>
    <w:rsid w:val="00134AA9"/>
    <w:rsid w:val="00135B02"/>
    <w:rsid w:val="00135E2F"/>
    <w:rsid w:val="001362C4"/>
    <w:rsid w:val="001363D6"/>
    <w:rsid w:val="0013727E"/>
    <w:rsid w:val="00137581"/>
    <w:rsid w:val="00137799"/>
    <w:rsid w:val="00137B00"/>
    <w:rsid w:val="001412B4"/>
    <w:rsid w:val="0014195A"/>
    <w:rsid w:val="001426A8"/>
    <w:rsid w:val="00142F4A"/>
    <w:rsid w:val="0014335A"/>
    <w:rsid w:val="00143452"/>
    <w:rsid w:val="001434D9"/>
    <w:rsid w:val="00144703"/>
    <w:rsid w:val="0014516B"/>
    <w:rsid w:val="001460C5"/>
    <w:rsid w:val="001466CC"/>
    <w:rsid w:val="00146E5A"/>
    <w:rsid w:val="0014749C"/>
    <w:rsid w:val="00147926"/>
    <w:rsid w:val="001506C4"/>
    <w:rsid w:val="001518CF"/>
    <w:rsid w:val="00151D3D"/>
    <w:rsid w:val="00152322"/>
    <w:rsid w:val="0015238F"/>
    <w:rsid w:val="00152694"/>
    <w:rsid w:val="00154145"/>
    <w:rsid w:val="001551AE"/>
    <w:rsid w:val="001558DE"/>
    <w:rsid w:val="00155A44"/>
    <w:rsid w:val="001572C4"/>
    <w:rsid w:val="001575FF"/>
    <w:rsid w:val="00157C89"/>
    <w:rsid w:val="001601B9"/>
    <w:rsid w:val="00160248"/>
    <w:rsid w:val="0016043B"/>
    <w:rsid w:val="00161E66"/>
    <w:rsid w:val="001626EE"/>
    <w:rsid w:val="00162A4E"/>
    <w:rsid w:val="001637C0"/>
    <w:rsid w:val="00163C15"/>
    <w:rsid w:val="001645CC"/>
    <w:rsid w:val="00164FE5"/>
    <w:rsid w:val="001650AE"/>
    <w:rsid w:val="00165495"/>
    <w:rsid w:val="0016778D"/>
    <w:rsid w:val="00167CB7"/>
    <w:rsid w:val="00167D0A"/>
    <w:rsid w:val="001700D8"/>
    <w:rsid w:val="00170694"/>
    <w:rsid w:val="001712BC"/>
    <w:rsid w:val="00171921"/>
    <w:rsid w:val="00171A01"/>
    <w:rsid w:val="00171CB3"/>
    <w:rsid w:val="0017288E"/>
    <w:rsid w:val="00172E69"/>
    <w:rsid w:val="00172E95"/>
    <w:rsid w:val="00173659"/>
    <w:rsid w:val="00173A73"/>
    <w:rsid w:val="00174875"/>
    <w:rsid w:val="00174D20"/>
    <w:rsid w:val="0017587C"/>
    <w:rsid w:val="00175B58"/>
    <w:rsid w:val="00175BAF"/>
    <w:rsid w:val="00176F0E"/>
    <w:rsid w:val="00177C9E"/>
    <w:rsid w:val="00180197"/>
    <w:rsid w:val="00180EEF"/>
    <w:rsid w:val="00181692"/>
    <w:rsid w:val="00181898"/>
    <w:rsid w:val="00182369"/>
    <w:rsid w:val="00184241"/>
    <w:rsid w:val="001846E2"/>
    <w:rsid w:val="00184909"/>
    <w:rsid w:val="001852E6"/>
    <w:rsid w:val="00185D2B"/>
    <w:rsid w:val="00186D61"/>
    <w:rsid w:val="00187959"/>
    <w:rsid w:val="001903A0"/>
    <w:rsid w:val="001907D3"/>
    <w:rsid w:val="00190CEB"/>
    <w:rsid w:val="0019129D"/>
    <w:rsid w:val="00191957"/>
    <w:rsid w:val="00191965"/>
    <w:rsid w:val="00191980"/>
    <w:rsid w:val="00192447"/>
    <w:rsid w:val="001924EC"/>
    <w:rsid w:val="00192724"/>
    <w:rsid w:val="001929B8"/>
    <w:rsid w:val="00192D05"/>
    <w:rsid w:val="00192D5F"/>
    <w:rsid w:val="001934A2"/>
    <w:rsid w:val="00193A7C"/>
    <w:rsid w:val="001941DA"/>
    <w:rsid w:val="001942F8"/>
    <w:rsid w:val="001969EC"/>
    <w:rsid w:val="00196B76"/>
    <w:rsid w:val="001970CB"/>
    <w:rsid w:val="0019745A"/>
    <w:rsid w:val="001976BD"/>
    <w:rsid w:val="0019787E"/>
    <w:rsid w:val="001A0136"/>
    <w:rsid w:val="001A0349"/>
    <w:rsid w:val="001A0C6A"/>
    <w:rsid w:val="001A24E9"/>
    <w:rsid w:val="001A2FD4"/>
    <w:rsid w:val="001A3D5F"/>
    <w:rsid w:val="001A4D5C"/>
    <w:rsid w:val="001A5386"/>
    <w:rsid w:val="001A616E"/>
    <w:rsid w:val="001A6D79"/>
    <w:rsid w:val="001A7781"/>
    <w:rsid w:val="001A7E1C"/>
    <w:rsid w:val="001B08F5"/>
    <w:rsid w:val="001B0E91"/>
    <w:rsid w:val="001B11C7"/>
    <w:rsid w:val="001B177A"/>
    <w:rsid w:val="001B191D"/>
    <w:rsid w:val="001B1993"/>
    <w:rsid w:val="001B32D3"/>
    <w:rsid w:val="001B386E"/>
    <w:rsid w:val="001B3B34"/>
    <w:rsid w:val="001B3E96"/>
    <w:rsid w:val="001B40BF"/>
    <w:rsid w:val="001B5520"/>
    <w:rsid w:val="001B57AC"/>
    <w:rsid w:val="001B6131"/>
    <w:rsid w:val="001B67F2"/>
    <w:rsid w:val="001B6A9D"/>
    <w:rsid w:val="001B7C56"/>
    <w:rsid w:val="001C0328"/>
    <w:rsid w:val="001C053E"/>
    <w:rsid w:val="001C0C30"/>
    <w:rsid w:val="001C138E"/>
    <w:rsid w:val="001C1D59"/>
    <w:rsid w:val="001C26BA"/>
    <w:rsid w:val="001C2D42"/>
    <w:rsid w:val="001C3860"/>
    <w:rsid w:val="001C3BCF"/>
    <w:rsid w:val="001C41D1"/>
    <w:rsid w:val="001C41E6"/>
    <w:rsid w:val="001C45BF"/>
    <w:rsid w:val="001C5680"/>
    <w:rsid w:val="001C6C63"/>
    <w:rsid w:val="001C7211"/>
    <w:rsid w:val="001C7221"/>
    <w:rsid w:val="001C7900"/>
    <w:rsid w:val="001C7ACF"/>
    <w:rsid w:val="001D11E0"/>
    <w:rsid w:val="001D11E5"/>
    <w:rsid w:val="001D136A"/>
    <w:rsid w:val="001D1B43"/>
    <w:rsid w:val="001D2836"/>
    <w:rsid w:val="001D28F2"/>
    <w:rsid w:val="001D32AB"/>
    <w:rsid w:val="001D33B1"/>
    <w:rsid w:val="001D3561"/>
    <w:rsid w:val="001D3BA2"/>
    <w:rsid w:val="001D4228"/>
    <w:rsid w:val="001D44C9"/>
    <w:rsid w:val="001D44DC"/>
    <w:rsid w:val="001D4ADF"/>
    <w:rsid w:val="001D5505"/>
    <w:rsid w:val="001D5AA2"/>
    <w:rsid w:val="001D5C8F"/>
    <w:rsid w:val="001D6592"/>
    <w:rsid w:val="001D69B7"/>
    <w:rsid w:val="001D72CE"/>
    <w:rsid w:val="001E05D1"/>
    <w:rsid w:val="001E09DC"/>
    <w:rsid w:val="001E1363"/>
    <w:rsid w:val="001E14E7"/>
    <w:rsid w:val="001E155D"/>
    <w:rsid w:val="001E223D"/>
    <w:rsid w:val="001E3726"/>
    <w:rsid w:val="001E3BAD"/>
    <w:rsid w:val="001E73D4"/>
    <w:rsid w:val="001E75D1"/>
    <w:rsid w:val="001E7F50"/>
    <w:rsid w:val="001F0C12"/>
    <w:rsid w:val="001F164F"/>
    <w:rsid w:val="001F1D5C"/>
    <w:rsid w:val="001F1F98"/>
    <w:rsid w:val="001F222B"/>
    <w:rsid w:val="001F248E"/>
    <w:rsid w:val="001F286D"/>
    <w:rsid w:val="001F2BD8"/>
    <w:rsid w:val="001F3E06"/>
    <w:rsid w:val="001F58EC"/>
    <w:rsid w:val="001F7D54"/>
    <w:rsid w:val="002006FA"/>
    <w:rsid w:val="00200E47"/>
    <w:rsid w:val="00201B05"/>
    <w:rsid w:val="002027C2"/>
    <w:rsid w:val="00202809"/>
    <w:rsid w:val="00203013"/>
    <w:rsid w:val="00203764"/>
    <w:rsid w:val="00203B86"/>
    <w:rsid w:val="0020478B"/>
    <w:rsid w:val="002060CF"/>
    <w:rsid w:val="002068E5"/>
    <w:rsid w:val="002074A7"/>
    <w:rsid w:val="00210987"/>
    <w:rsid w:val="00210B93"/>
    <w:rsid w:val="002116D0"/>
    <w:rsid w:val="00211FF4"/>
    <w:rsid w:val="00212932"/>
    <w:rsid w:val="00213D63"/>
    <w:rsid w:val="0021401F"/>
    <w:rsid w:val="00214AFA"/>
    <w:rsid w:val="00214CED"/>
    <w:rsid w:val="00214EFC"/>
    <w:rsid w:val="00214F81"/>
    <w:rsid w:val="002155E9"/>
    <w:rsid w:val="00215F63"/>
    <w:rsid w:val="002163A4"/>
    <w:rsid w:val="00216900"/>
    <w:rsid w:val="0021755A"/>
    <w:rsid w:val="00217ECC"/>
    <w:rsid w:val="00217EFD"/>
    <w:rsid w:val="00220046"/>
    <w:rsid w:val="00220798"/>
    <w:rsid w:val="00220950"/>
    <w:rsid w:val="002219C2"/>
    <w:rsid w:val="00221AE3"/>
    <w:rsid w:val="00222EEB"/>
    <w:rsid w:val="00223258"/>
    <w:rsid w:val="002237A4"/>
    <w:rsid w:val="002237B7"/>
    <w:rsid w:val="00224215"/>
    <w:rsid w:val="0022428C"/>
    <w:rsid w:val="002242BC"/>
    <w:rsid w:val="00226193"/>
    <w:rsid w:val="00226463"/>
    <w:rsid w:val="002264B0"/>
    <w:rsid w:val="0022684E"/>
    <w:rsid w:val="00226B10"/>
    <w:rsid w:val="00227A37"/>
    <w:rsid w:val="00227D6F"/>
    <w:rsid w:val="002316DC"/>
    <w:rsid w:val="00231F38"/>
    <w:rsid w:val="00232466"/>
    <w:rsid w:val="00233227"/>
    <w:rsid w:val="00233DE8"/>
    <w:rsid w:val="002340DE"/>
    <w:rsid w:val="002341CD"/>
    <w:rsid w:val="00234B3F"/>
    <w:rsid w:val="00234DD6"/>
    <w:rsid w:val="00235749"/>
    <w:rsid w:val="002364BD"/>
    <w:rsid w:val="002366DA"/>
    <w:rsid w:val="00236F38"/>
    <w:rsid w:val="00237274"/>
    <w:rsid w:val="002374B3"/>
    <w:rsid w:val="00237EDF"/>
    <w:rsid w:val="002403C1"/>
    <w:rsid w:val="00240DC1"/>
    <w:rsid w:val="00241D18"/>
    <w:rsid w:val="00241E41"/>
    <w:rsid w:val="00241ED3"/>
    <w:rsid w:val="002421A1"/>
    <w:rsid w:val="0024369A"/>
    <w:rsid w:val="002437AC"/>
    <w:rsid w:val="00243AA3"/>
    <w:rsid w:val="00243E5D"/>
    <w:rsid w:val="00244932"/>
    <w:rsid w:val="00245256"/>
    <w:rsid w:val="00245279"/>
    <w:rsid w:val="0024535B"/>
    <w:rsid w:val="00245A2B"/>
    <w:rsid w:val="00245DC7"/>
    <w:rsid w:val="00246685"/>
    <w:rsid w:val="002466A4"/>
    <w:rsid w:val="0024680D"/>
    <w:rsid w:val="00246D90"/>
    <w:rsid w:val="00247137"/>
    <w:rsid w:val="002471F5"/>
    <w:rsid w:val="002475DE"/>
    <w:rsid w:val="00247CAB"/>
    <w:rsid w:val="00250266"/>
    <w:rsid w:val="0025052C"/>
    <w:rsid w:val="00251597"/>
    <w:rsid w:val="00251C4D"/>
    <w:rsid w:val="0025490A"/>
    <w:rsid w:val="00254FB5"/>
    <w:rsid w:val="00255500"/>
    <w:rsid w:val="002562B7"/>
    <w:rsid w:val="00256791"/>
    <w:rsid w:val="00256A54"/>
    <w:rsid w:val="00256D53"/>
    <w:rsid w:val="00256FD7"/>
    <w:rsid w:val="002579DA"/>
    <w:rsid w:val="0026006F"/>
    <w:rsid w:val="00260A20"/>
    <w:rsid w:val="0026155B"/>
    <w:rsid w:val="00261A84"/>
    <w:rsid w:val="00261FB4"/>
    <w:rsid w:val="002627D8"/>
    <w:rsid w:val="00262999"/>
    <w:rsid w:val="00262BBF"/>
    <w:rsid w:val="002634AA"/>
    <w:rsid w:val="00263663"/>
    <w:rsid w:val="002638B8"/>
    <w:rsid w:val="002652DA"/>
    <w:rsid w:val="0026542C"/>
    <w:rsid w:val="0026552C"/>
    <w:rsid w:val="002666FF"/>
    <w:rsid w:val="00266FAE"/>
    <w:rsid w:val="00267668"/>
    <w:rsid w:val="002677C6"/>
    <w:rsid w:val="002677DF"/>
    <w:rsid w:val="00267CBB"/>
    <w:rsid w:val="00270141"/>
    <w:rsid w:val="002707C5"/>
    <w:rsid w:val="00271733"/>
    <w:rsid w:val="00271A55"/>
    <w:rsid w:val="002725AA"/>
    <w:rsid w:val="00273153"/>
    <w:rsid w:val="00276469"/>
    <w:rsid w:val="002772ED"/>
    <w:rsid w:val="00280A7C"/>
    <w:rsid w:val="0028180B"/>
    <w:rsid w:val="00281948"/>
    <w:rsid w:val="00281A00"/>
    <w:rsid w:val="00281A86"/>
    <w:rsid w:val="00281AF8"/>
    <w:rsid w:val="00282097"/>
    <w:rsid w:val="002822BB"/>
    <w:rsid w:val="00283A3F"/>
    <w:rsid w:val="00283ACC"/>
    <w:rsid w:val="00284FA3"/>
    <w:rsid w:val="0028525A"/>
    <w:rsid w:val="00285706"/>
    <w:rsid w:val="0028579C"/>
    <w:rsid w:val="00285D2B"/>
    <w:rsid w:val="00285E43"/>
    <w:rsid w:val="00287E57"/>
    <w:rsid w:val="002913F6"/>
    <w:rsid w:val="002917D4"/>
    <w:rsid w:val="00291C8D"/>
    <w:rsid w:val="00291CAB"/>
    <w:rsid w:val="00292966"/>
    <w:rsid w:val="00292EBA"/>
    <w:rsid w:val="00292EE7"/>
    <w:rsid w:val="00293248"/>
    <w:rsid w:val="0029333D"/>
    <w:rsid w:val="00293625"/>
    <w:rsid w:val="00293784"/>
    <w:rsid w:val="002937C9"/>
    <w:rsid w:val="0029387C"/>
    <w:rsid w:val="00294440"/>
    <w:rsid w:val="00294773"/>
    <w:rsid w:val="00295445"/>
    <w:rsid w:val="00295ED5"/>
    <w:rsid w:val="00296221"/>
    <w:rsid w:val="00296D1F"/>
    <w:rsid w:val="002972E7"/>
    <w:rsid w:val="0029739C"/>
    <w:rsid w:val="002974E4"/>
    <w:rsid w:val="00297A0D"/>
    <w:rsid w:val="00297F5A"/>
    <w:rsid w:val="002A0239"/>
    <w:rsid w:val="002A1478"/>
    <w:rsid w:val="002A161C"/>
    <w:rsid w:val="002A1AD9"/>
    <w:rsid w:val="002A1C52"/>
    <w:rsid w:val="002A2EC0"/>
    <w:rsid w:val="002A3445"/>
    <w:rsid w:val="002A479B"/>
    <w:rsid w:val="002A4A74"/>
    <w:rsid w:val="002A4FC2"/>
    <w:rsid w:val="002A5BC8"/>
    <w:rsid w:val="002A5CEB"/>
    <w:rsid w:val="002A6313"/>
    <w:rsid w:val="002A66D0"/>
    <w:rsid w:val="002A6A29"/>
    <w:rsid w:val="002A6CD1"/>
    <w:rsid w:val="002A6FB9"/>
    <w:rsid w:val="002A6FE8"/>
    <w:rsid w:val="002A701B"/>
    <w:rsid w:val="002B00CA"/>
    <w:rsid w:val="002B05D9"/>
    <w:rsid w:val="002B0F8F"/>
    <w:rsid w:val="002B1697"/>
    <w:rsid w:val="002B1AFF"/>
    <w:rsid w:val="002B1F13"/>
    <w:rsid w:val="002B1FA9"/>
    <w:rsid w:val="002B3311"/>
    <w:rsid w:val="002B3B37"/>
    <w:rsid w:val="002B3C12"/>
    <w:rsid w:val="002B3F77"/>
    <w:rsid w:val="002B46A5"/>
    <w:rsid w:val="002B4925"/>
    <w:rsid w:val="002B4ADC"/>
    <w:rsid w:val="002B552E"/>
    <w:rsid w:val="002B559C"/>
    <w:rsid w:val="002B5912"/>
    <w:rsid w:val="002B6306"/>
    <w:rsid w:val="002B6AA4"/>
    <w:rsid w:val="002B6F2A"/>
    <w:rsid w:val="002C01F4"/>
    <w:rsid w:val="002C0624"/>
    <w:rsid w:val="002C099D"/>
    <w:rsid w:val="002C16F6"/>
    <w:rsid w:val="002C21C0"/>
    <w:rsid w:val="002C3195"/>
    <w:rsid w:val="002C32FB"/>
    <w:rsid w:val="002C3AAC"/>
    <w:rsid w:val="002C3BC5"/>
    <w:rsid w:val="002C3D6C"/>
    <w:rsid w:val="002C47AF"/>
    <w:rsid w:val="002C49D3"/>
    <w:rsid w:val="002C5211"/>
    <w:rsid w:val="002C53F1"/>
    <w:rsid w:val="002C54EB"/>
    <w:rsid w:val="002C5502"/>
    <w:rsid w:val="002C56B8"/>
    <w:rsid w:val="002C637B"/>
    <w:rsid w:val="002C6418"/>
    <w:rsid w:val="002C6845"/>
    <w:rsid w:val="002C6C6D"/>
    <w:rsid w:val="002D03B2"/>
    <w:rsid w:val="002D0973"/>
    <w:rsid w:val="002D1819"/>
    <w:rsid w:val="002D1DDE"/>
    <w:rsid w:val="002D1FF5"/>
    <w:rsid w:val="002D27A8"/>
    <w:rsid w:val="002D2BB2"/>
    <w:rsid w:val="002D312F"/>
    <w:rsid w:val="002D3937"/>
    <w:rsid w:val="002D3CCD"/>
    <w:rsid w:val="002D3D95"/>
    <w:rsid w:val="002D3E31"/>
    <w:rsid w:val="002D4A72"/>
    <w:rsid w:val="002D4B2F"/>
    <w:rsid w:val="002D4BD0"/>
    <w:rsid w:val="002D6BFF"/>
    <w:rsid w:val="002D6FDC"/>
    <w:rsid w:val="002D70E4"/>
    <w:rsid w:val="002D723A"/>
    <w:rsid w:val="002D7F16"/>
    <w:rsid w:val="002E123B"/>
    <w:rsid w:val="002E1F06"/>
    <w:rsid w:val="002E2B88"/>
    <w:rsid w:val="002E2D3F"/>
    <w:rsid w:val="002E477C"/>
    <w:rsid w:val="002E47CE"/>
    <w:rsid w:val="002E535F"/>
    <w:rsid w:val="002E606B"/>
    <w:rsid w:val="002E6EA6"/>
    <w:rsid w:val="002E7306"/>
    <w:rsid w:val="002E798B"/>
    <w:rsid w:val="002E7E68"/>
    <w:rsid w:val="002F0014"/>
    <w:rsid w:val="002F1860"/>
    <w:rsid w:val="002F2567"/>
    <w:rsid w:val="002F2761"/>
    <w:rsid w:val="002F2C0C"/>
    <w:rsid w:val="002F2F1B"/>
    <w:rsid w:val="002F3B30"/>
    <w:rsid w:val="002F41E0"/>
    <w:rsid w:val="002F444D"/>
    <w:rsid w:val="002F4A2B"/>
    <w:rsid w:val="002F5B33"/>
    <w:rsid w:val="002F6491"/>
    <w:rsid w:val="002F66A4"/>
    <w:rsid w:val="002F6F7C"/>
    <w:rsid w:val="002F751C"/>
    <w:rsid w:val="002F7646"/>
    <w:rsid w:val="002F7745"/>
    <w:rsid w:val="002F7B7E"/>
    <w:rsid w:val="00300FE3"/>
    <w:rsid w:val="003014C1"/>
    <w:rsid w:val="0030161F"/>
    <w:rsid w:val="00301D73"/>
    <w:rsid w:val="003024A4"/>
    <w:rsid w:val="0030260F"/>
    <w:rsid w:val="00302AA6"/>
    <w:rsid w:val="00302B3F"/>
    <w:rsid w:val="00302CAF"/>
    <w:rsid w:val="00302D80"/>
    <w:rsid w:val="003038F0"/>
    <w:rsid w:val="00303DE3"/>
    <w:rsid w:val="00303F2A"/>
    <w:rsid w:val="0030413A"/>
    <w:rsid w:val="003055C7"/>
    <w:rsid w:val="00305812"/>
    <w:rsid w:val="00305AC9"/>
    <w:rsid w:val="003064A3"/>
    <w:rsid w:val="00306A49"/>
    <w:rsid w:val="00306DBF"/>
    <w:rsid w:val="003071B6"/>
    <w:rsid w:val="00307E19"/>
    <w:rsid w:val="003105E2"/>
    <w:rsid w:val="00310608"/>
    <w:rsid w:val="00310B98"/>
    <w:rsid w:val="00310DE4"/>
    <w:rsid w:val="00310F83"/>
    <w:rsid w:val="00312831"/>
    <w:rsid w:val="0031338C"/>
    <w:rsid w:val="00313F9A"/>
    <w:rsid w:val="003143DB"/>
    <w:rsid w:val="00314C28"/>
    <w:rsid w:val="003153CA"/>
    <w:rsid w:val="003156B1"/>
    <w:rsid w:val="00316249"/>
    <w:rsid w:val="0031689A"/>
    <w:rsid w:val="00316D77"/>
    <w:rsid w:val="00321701"/>
    <w:rsid w:val="0032330D"/>
    <w:rsid w:val="00323534"/>
    <w:rsid w:val="00323F22"/>
    <w:rsid w:val="003249D0"/>
    <w:rsid w:val="00324E62"/>
    <w:rsid w:val="00325B22"/>
    <w:rsid w:val="00325D4E"/>
    <w:rsid w:val="00326195"/>
    <w:rsid w:val="00326196"/>
    <w:rsid w:val="00326AFB"/>
    <w:rsid w:val="003303BA"/>
    <w:rsid w:val="00330F55"/>
    <w:rsid w:val="00331D48"/>
    <w:rsid w:val="003323A3"/>
    <w:rsid w:val="00332DB5"/>
    <w:rsid w:val="0033306C"/>
    <w:rsid w:val="00333C3B"/>
    <w:rsid w:val="00333EBA"/>
    <w:rsid w:val="003347F5"/>
    <w:rsid w:val="00334F73"/>
    <w:rsid w:val="0033503B"/>
    <w:rsid w:val="00335278"/>
    <w:rsid w:val="00335C0F"/>
    <w:rsid w:val="00335D7D"/>
    <w:rsid w:val="00336346"/>
    <w:rsid w:val="0033779A"/>
    <w:rsid w:val="003405C7"/>
    <w:rsid w:val="003413DE"/>
    <w:rsid w:val="00341868"/>
    <w:rsid w:val="003424C8"/>
    <w:rsid w:val="00342FD0"/>
    <w:rsid w:val="00343152"/>
    <w:rsid w:val="003432DD"/>
    <w:rsid w:val="003437DF"/>
    <w:rsid w:val="003441DE"/>
    <w:rsid w:val="003447A8"/>
    <w:rsid w:val="003450EF"/>
    <w:rsid w:val="003453FA"/>
    <w:rsid w:val="00345AAF"/>
    <w:rsid w:val="00345C00"/>
    <w:rsid w:val="00345D20"/>
    <w:rsid w:val="00345EFF"/>
    <w:rsid w:val="003460D8"/>
    <w:rsid w:val="0034680E"/>
    <w:rsid w:val="0034701E"/>
    <w:rsid w:val="00347020"/>
    <w:rsid w:val="00347357"/>
    <w:rsid w:val="00347579"/>
    <w:rsid w:val="003476A9"/>
    <w:rsid w:val="003479A3"/>
    <w:rsid w:val="00347DC3"/>
    <w:rsid w:val="00350433"/>
    <w:rsid w:val="00351357"/>
    <w:rsid w:val="003514EE"/>
    <w:rsid w:val="003517CD"/>
    <w:rsid w:val="0035189E"/>
    <w:rsid w:val="003518C8"/>
    <w:rsid w:val="0035274A"/>
    <w:rsid w:val="00353160"/>
    <w:rsid w:val="00353982"/>
    <w:rsid w:val="00353B08"/>
    <w:rsid w:val="0035417F"/>
    <w:rsid w:val="003542F2"/>
    <w:rsid w:val="003544DC"/>
    <w:rsid w:val="003548B4"/>
    <w:rsid w:val="00355DF2"/>
    <w:rsid w:val="00356524"/>
    <w:rsid w:val="0035698C"/>
    <w:rsid w:val="003576EA"/>
    <w:rsid w:val="00357D0E"/>
    <w:rsid w:val="00360DAF"/>
    <w:rsid w:val="003614AA"/>
    <w:rsid w:val="00361DBF"/>
    <w:rsid w:val="0036224C"/>
    <w:rsid w:val="003626F0"/>
    <w:rsid w:val="003629F2"/>
    <w:rsid w:val="00362B2F"/>
    <w:rsid w:val="0036380F"/>
    <w:rsid w:val="00364D5A"/>
    <w:rsid w:val="003659CB"/>
    <w:rsid w:val="00365AB1"/>
    <w:rsid w:val="00366935"/>
    <w:rsid w:val="00366A93"/>
    <w:rsid w:val="00366AE1"/>
    <w:rsid w:val="00366D5E"/>
    <w:rsid w:val="003705E0"/>
    <w:rsid w:val="0037147D"/>
    <w:rsid w:val="00371AAA"/>
    <w:rsid w:val="00373E31"/>
    <w:rsid w:val="00374D4A"/>
    <w:rsid w:val="00376459"/>
    <w:rsid w:val="00376C81"/>
    <w:rsid w:val="00376DEA"/>
    <w:rsid w:val="003777EB"/>
    <w:rsid w:val="00377E7E"/>
    <w:rsid w:val="003800B2"/>
    <w:rsid w:val="003803E6"/>
    <w:rsid w:val="00380657"/>
    <w:rsid w:val="003806C7"/>
    <w:rsid w:val="0038079C"/>
    <w:rsid w:val="0038098D"/>
    <w:rsid w:val="00380A8C"/>
    <w:rsid w:val="003811B8"/>
    <w:rsid w:val="003812C1"/>
    <w:rsid w:val="003816B7"/>
    <w:rsid w:val="00381BB4"/>
    <w:rsid w:val="00383441"/>
    <w:rsid w:val="00383D96"/>
    <w:rsid w:val="0038431B"/>
    <w:rsid w:val="00384418"/>
    <w:rsid w:val="00384CFA"/>
    <w:rsid w:val="003850A3"/>
    <w:rsid w:val="00385C7D"/>
    <w:rsid w:val="003867EC"/>
    <w:rsid w:val="00386F98"/>
    <w:rsid w:val="0038708F"/>
    <w:rsid w:val="00390759"/>
    <w:rsid w:val="00390885"/>
    <w:rsid w:val="00390FA5"/>
    <w:rsid w:val="00391D52"/>
    <w:rsid w:val="00392163"/>
    <w:rsid w:val="0039236B"/>
    <w:rsid w:val="00393433"/>
    <w:rsid w:val="0039370A"/>
    <w:rsid w:val="0039580B"/>
    <w:rsid w:val="00395D5F"/>
    <w:rsid w:val="00396307"/>
    <w:rsid w:val="003973FA"/>
    <w:rsid w:val="00397613"/>
    <w:rsid w:val="003A1AE7"/>
    <w:rsid w:val="003A290E"/>
    <w:rsid w:val="003A5132"/>
    <w:rsid w:val="003A67B1"/>
    <w:rsid w:val="003A68FF"/>
    <w:rsid w:val="003A699A"/>
    <w:rsid w:val="003A6F30"/>
    <w:rsid w:val="003A794F"/>
    <w:rsid w:val="003B0853"/>
    <w:rsid w:val="003B1062"/>
    <w:rsid w:val="003B1435"/>
    <w:rsid w:val="003B1946"/>
    <w:rsid w:val="003B1E1E"/>
    <w:rsid w:val="003B2BFA"/>
    <w:rsid w:val="003B336C"/>
    <w:rsid w:val="003B34CD"/>
    <w:rsid w:val="003B4330"/>
    <w:rsid w:val="003B439E"/>
    <w:rsid w:val="003B46B7"/>
    <w:rsid w:val="003B4C2D"/>
    <w:rsid w:val="003B51AD"/>
    <w:rsid w:val="003B5BF9"/>
    <w:rsid w:val="003B5C6F"/>
    <w:rsid w:val="003B6971"/>
    <w:rsid w:val="003B69B4"/>
    <w:rsid w:val="003B7EBD"/>
    <w:rsid w:val="003C068E"/>
    <w:rsid w:val="003C1F46"/>
    <w:rsid w:val="003C2A89"/>
    <w:rsid w:val="003C2B53"/>
    <w:rsid w:val="003C2F77"/>
    <w:rsid w:val="003C4937"/>
    <w:rsid w:val="003C4ED6"/>
    <w:rsid w:val="003C4F02"/>
    <w:rsid w:val="003C5095"/>
    <w:rsid w:val="003C5543"/>
    <w:rsid w:val="003C5B1A"/>
    <w:rsid w:val="003C6110"/>
    <w:rsid w:val="003C694B"/>
    <w:rsid w:val="003C6963"/>
    <w:rsid w:val="003C6C19"/>
    <w:rsid w:val="003C6F10"/>
    <w:rsid w:val="003C6FA5"/>
    <w:rsid w:val="003C712B"/>
    <w:rsid w:val="003D025B"/>
    <w:rsid w:val="003D0C84"/>
    <w:rsid w:val="003D0F4D"/>
    <w:rsid w:val="003D0FE3"/>
    <w:rsid w:val="003D1060"/>
    <w:rsid w:val="003D1322"/>
    <w:rsid w:val="003D2119"/>
    <w:rsid w:val="003D23A4"/>
    <w:rsid w:val="003D3C91"/>
    <w:rsid w:val="003D4DAA"/>
    <w:rsid w:val="003D5D1D"/>
    <w:rsid w:val="003D5ED8"/>
    <w:rsid w:val="003D6896"/>
    <w:rsid w:val="003D6AA2"/>
    <w:rsid w:val="003D74A2"/>
    <w:rsid w:val="003E0146"/>
    <w:rsid w:val="003E01F4"/>
    <w:rsid w:val="003E0626"/>
    <w:rsid w:val="003E12E1"/>
    <w:rsid w:val="003E1417"/>
    <w:rsid w:val="003E1C5A"/>
    <w:rsid w:val="003E3074"/>
    <w:rsid w:val="003E3D01"/>
    <w:rsid w:val="003E402E"/>
    <w:rsid w:val="003E41AA"/>
    <w:rsid w:val="003E46A0"/>
    <w:rsid w:val="003E481E"/>
    <w:rsid w:val="003E5C8C"/>
    <w:rsid w:val="003E6027"/>
    <w:rsid w:val="003E6F1A"/>
    <w:rsid w:val="003E793F"/>
    <w:rsid w:val="003F0DBE"/>
    <w:rsid w:val="003F1410"/>
    <w:rsid w:val="003F15B2"/>
    <w:rsid w:val="003F2216"/>
    <w:rsid w:val="003F300E"/>
    <w:rsid w:val="003F3117"/>
    <w:rsid w:val="003F31E6"/>
    <w:rsid w:val="003F3EC9"/>
    <w:rsid w:val="003F4BA7"/>
    <w:rsid w:val="003F58CE"/>
    <w:rsid w:val="003F59F1"/>
    <w:rsid w:val="003F68DA"/>
    <w:rsid w:val="003F748D"/>
    <w:rsid w:val="00400308"/>
    <w:rsid w:val="0040110B"/>
    <w:rsid w:val="0040250A"/>
    <w:rsid w:val="004025EE"/>
    <w:rsid w:val="004028B5"/>
    <w:rsid w:val="00402924"/>
    <w:rsid w:val="00402AFA"/>
    <w:rsid w:val="00402D12"/>
    <w:rsid w:val="004034B2"/>
    <w:rsid w:val="00404EC1"/>
    <w:rsid w:val="00405CAE"/>
    <w:rsid w:val="00405CEA"/>
    <w:rsid w:val="0041025A"/>
    <w:rsid w:val="00410D35"/>
    <w:rsid w:val="004113DE"/>
    <w:rsid w:val="0041197A"/>
    <w:rsid w:val="004127CD"/>
    <w:rsid w:val="00413675"/>
    <w:rsid w:val="00413C97"/>
    <w:rsid w:val="00413D04"/>
    <w:rsid w:val="004143B0"/>
    <w:rsid w:val="00414627"/>
    <w:rsid w:val="00414BEF"/>
    <w:rsid w:val="00415E55"/>
    <w:rsid w:val="00416894"/>
    <w:rsid w:val="00416939"/>
    <w:rsid w:val="00416A96"/>
    <w:rsid w:val="00416B7A"/>
    <w:rsid w:val="00416BC6"/>
    <w:rsid w:val="00416E3E"/>
    <w:rsid w:val="004178AD"/>
    <w:rsid w:val="00417989"/>
    <w:rsid w:val="00420811"/>
    <w:rsid w:val="00421C94"/>
    <w:rsid w:val="004220D7"/>
    <w:rsid w:val="00422C7D"/>
    <w:rsid w:val="00422F62"/>
    <w:rsid w:val="00423ACE"/>
    <w:rsid w:val="00423F60"/>
    <w:rsid w:val="00424B75"/>
    <w:rsid w:val="004250FC"/>
    <w:rsid w:val="0042554D"/>
    <w:rsid w:val="004255EC"/>
    <w:rsid w:val="00425864"/>
    <w:rsid w:val="00425EB3"/>
    <w:rsid w:val="00426A5F"/>
    <w:rsid w:val="004274F4"/>
    <w:rsid w:val="004300FA"/>
    <w:rsid w:val="0043016A"/>
    <w:rsid w:val="004322E0"/>
    <w:rsid w:val="00432C98"/>
    <w:rsid w:val="00433855"/>
    <w:rsid w:val="0043412F"/>
    <w:rsid w:val="0043488A"/>
    <w:rsid w:val="0043525D"/>
    <w:rsid w:val="00435825"/>
    <w:rsid w:val="004358E7"/>
    <w:rsid w:val="004364B8"/>
    <w:rsid w:val="0043669C"/>
    <w:rsid w:val="0043699E"/>
    <w:rsid w:val="00436B80"/>
    <w:rsid w:val="00437880"/>
    <w:rsid w:val="004403C0"/>
    <w:rsid w:val="00442870"/>
    <w:rsid w:val="0044360D"/>
    <w:rsid w:val="00443687"/>
    <w:rsid w:val="004437CD"/>
    <w:rsid w:val="00443966"/>
    <w:rsid w:val="0044553D"/>
    <w:rsid w:val="0044554C"/>
    <w:rsid w:val="004458DF"/>
    <w:rsid w:val="004466C0"/>
    <w:rsid w:val="00446F75"/>
    <w:rsid w:val="00447C39"/>
    <w:rsid w:val="00447E2C"/>
    <w:rsid w:val="0045024F"/>
    <w:rsid w:val="00450490"/>
    <w:rsid w:val="00450A4C"/>
    <w:rsid w:val="00450CD1"/>
    <w:rsid w:val="00450D91"/>
    <w:rsid w:val="00450F5C"/>
    <w:rsid w:val="004515F5"/>
    <w:rsid w:val="004516AC"/>
    <w:rsid w:val="00451B65"/>
    <w:rsid w:val="004529B5"/>
    <w:rsid w:val="004530DC"/>
    <w:rsid w:val="00454295"/>
    <w:rsid w:val="004546D1"/>
    <w:rsid w:val="004556BE"/>
    <w:rsid w:val="00456F8B"/>
    <w:rsid w:val="0045780E"/>
    <w:rsid w:val="00460038"/>
    <w:rsid w:val="00460C15"/>
    <w:rsid w:val="00460E21"/>
    <w:rsid w:val="00461295"/>
    <w:rsid w:val="004627DC"/>
    <w:rsid w:val="00462C0B"/>
    <w:rsid w:val="00463791"/>
    <w:rsid w:val="00463E47"/>
    <w:rsid w:val="00463FF4"/>
    <w:rsid w:val="004647E8"/>
    <w:rsid w:val="00464B29"/>
    <w:rsid w:val="0046620F"/>
    <w:rsid w:val="004663CA"/>
    <w:rsid w:val="004678CC"/>
    <w:rsid w:val="00467B25"/>
    <w:rsid w:val="004701EE"/>
    <w:rsid w:val="0047038F"/>
    <w:rsid w:val="00470777"/>
    <w:rsid w:val="00470B27"/>
    <w:rsid w:val="00470B92"/>
    <w:rsid w:val="00470DD8"/>
    <w:rsid w:val="004715E6"/>
    <w:rsid w:val="004716A4"/>
    <w:rsid w:val="00471A6B"/>
    <w:rsid w:val="004728FD"/>
    <w:rsid w:val="00472A18"/>
    <w:rsid w:val="00472CB1"/>
    <w:rsid w:val="00473382"/>
    <w:rsid w:val="004745F9"/>
    <w:rsid w:val="00475E24"/>
    <w:rsid w:val="00476331"/>
    <w:rsid w:val="00477013"/>
    <w:rsid w:val="00477222"/>
    <w:rsid w:val="0048055E"/>
    <w:rsid w:val="004805AA"/>
    <w:rsid w:val="00480F9B"/>
    <w:rsid w:val="0048161B"/>
    <w:rsid w:val="0048562D"/>
    <w:rsid w:val="00485F3A"/>
    <w:rsid w:val="004863A0"/>
    <w:rsid w:val="00486484"/>
    <w:rsid w:val="004868FE"/>
    <w:rsid w:val="00486AE9"/>
    <w:rsid w:val="00487613"/>
    <w:rsid w:val="004908B0"/>
    <w:rsid w:val="004911C1"/>
    <w:rsid w:val="00491EEA"/>
    <w:rsid w:val="00492AA1"/>
    <w:rsid w:val="00492BBD"/>
    <w:rsid w:val="004941EE"/>
    <w:rsid w:val="004946BD"/>
    <w:rsid w:val="00495391"/>
    <w:rsid w:val="00496196"/>
    <w:rsid w:val="00496A82"/>
    <w:rsid w:val="00496F12"/>
    <w:rsid w:val="00497B39"/>
    <w:rsid w:val="004A0201"/>
    <w:rsid w:val="004A0610"/>
    <w:rsid w:val="004A0CF8"/>
    <w:rsid w:val="004A1027"/>
    <w:rsid w:val="004A14E4"/>
    <w:rsid w:val="004A17ED"/>
    <w:rsid w:val="004A1B9E"/>
    <w:rsid w:val="004A26FB"/>
    <w:rsid w:val="004A2A2D"/>
    <w:rsid w:val="004A2F6E"/>
    <w:rsid w:val="004A36A0"/>
    <w:rsid w:val="004A4120"/>
    <w:rsid w:val="004A429C"/>
    <w:rsid w:val="004A45B1"/>
    <w:rsid w:val="004A473B"/>
    <w:rsid w:val="004A51F9"/>
    <w:rsid w:val="004A5909"/>
    <w:rsid w:val="004A6097"/>
    <w:rsid w:val="004A7A7C"/>
    <w:rsid w:val="004A7B91"/>
    <w:rsid w:val="004A7B94"/>
    <w:rsid w:val="004A7D05"/>
    <w:rsid w:val="004B102E"/>
    <w:rsid w:val="004B222E"/>
    <w:rsid w:val="004B2EDD"/>
    <w:rsid w:val="004B3016"/>
    <w:rsid w:val="004B3051"/>
    <w:rsid w:val="004B489B"/>
    <w:rsid w:val="004B4F77"/>
    <w:rsid w:val="004B5E73"/>
    <w:rsid w:val="004B61E1"/>
    <w:rsid w:val="004B6428"/>
    <w:rsid w:val="004B7290"/>
    <w:rsid w:val="004B7AE4"/>
    <w:rsid w:val="004B7DAF"/>
    <w:rsid w:val="004C02CC"/>
    <w:rsid w:val="004C07F8"/>
    <w:rsid w:val="004C0DE1"/>
    <w:rsid w:val="004C0E98"/>
    <w:rsid w:val="004C1060"/>
    <w:rsid w:val="004C171B"/>
    <w:rsid w:val="004C18B9"/>
    <w:rsid w:val="004C29E7"/>
    <w:rsid w:val="004C3700"/>
    <w:rsid w:val="004C396C"/>
    <w:rsid w:val="004C39B7"/>
    <w:rsid w:val="004C3C23"/>
    <w:rsid w:val="004C4A05"/>
    <w:rsid w:val="004C4C2B"/>
    <w:rsid w:val="004C4D67"/>
    <w:rsid w:val="004C57CC"/>
    <w:rsid w:val="004C6DDA"/>
    <w:rsid w:val="004C74FE"/>
    <w:rsid w:val="004C7F9B"/>
    <w:rsid w:val="004D070E"/>
    <w:rsid w:val="004D0A07"/>
    <w:rsid w:val="004D23F5"/>
    <w:rsid w:val="004D29A0"/>
    <w:rsid w:val="004D2C02"/>
    <w:rsid w:val="004D33F7"/>
    <w:rsid w:val="004D3771"/>
    <w:rsid w:val="004D42F8"/>
    <w:rsid w:val="004D4616"/>
    <w:rsid w:val="004D46D6"/>
    <w:rsid w:val="004D539C"/>
    <w:rsid w:val="004D5532"/>
    <w:rsid w:val="004D5D36"/>
    <w:rsid w:val="004D605B"/>
    <w:rsid w:val="004D6CFC"/>
    <w:rsid w:val="004D7109"/>
    <w:rsid w:val="004D76D3"/>
    <w:rsid w:val="004D7748"/>
    <w:rsid w:val="004D7771"/>
    <w:rsid w:val="004D795C"/>
    <w:rsid w:val="004E0370"/>
    <w:rsid w:val="004E1093"/>
    <w:rsid w:val="004E18D9"/>
    <w:rsid w:val="004E1C93"/>
    <w:rsid w:val="004E1D61"/>
    <w:rsid w:val="004E1E55"/>
    <w:rsid w:val="004E2538"/>
    <w:rsid w:val="004E2891"/>
    <w:rsid w:val="004E28C1"/>
    <w:rsid w:val="004E323C"/>
    <w:rsid w:val="004E38DD"/>
    <w:rsid w:val="004E4893"/>
    <w:rsid w:val="004E48FE"/>
    <w:rsid w:val="004E5B84"/>
    <w:rsid w:val="004E5C6C"/>
    <w:rsid w:val="004E6416"/>
    <w:rsid w:val="004E66D4"/>
    <w:rsid w:val="004E770B"/>
    <w:rsid w:val="004E77D9"/>
    <w:rsid w:val="004F0A29"/>
    <w:rsid w:val="004F0FF7"/>
    <w:rsid w:val="004F202E"/>
    <w:rsid w:val="004F2779"/>
    <w:rsid w:val="004F2EF3"/>
    <w:rsid w:val="004F5E42"/>
    <w:rsid w:val="004F6813"/>
    <w:rsid w:val="004F6E9D"/>
    <w:rsid w:val="004F71C4"/>
    <w:rsid w:val="004F788C"/>
    <w:rsid w:val="004F78D0"/>
    <w:rsid w:val="004F7E72"/>
    <w:rsid w:val="004F7FEB"/>
    <w:rsid w:val="00502557"/>
    <w:rsid w:val="0050329C"/>
    <w:rsid w:val="00503719"/>
    <w:rsid w:val="00503960"/>
    <w:rsid w:val="00503CD7"/>
    <w:rsid w:val="00505129"/>
    <w:rsid w:val="0050518C"/>
    <w:rsid w:val="00505261"/>
    <w:rsid w:val="00505431"/>
    <w:rsid w:val="00505904"/>
    <w:rsid w:val="00505A74"/>
    <w:rsid w:val="00505B5E"/>
    <w:rsid w:val="00510791"/>
    <w:rsid w:val="005108EE"/>
    <w:rsid w:val="00511867"/>
    <w:rsid w:val="00511EE2"/>
    <w:rsid w:val="0051216C"/>
    <w:rsid w:val="00512BB0"/>
    <w:rsid w:val="005131E7"/>
    <w:rsid w:val="005132D4"/>
    <w:rsid w:val="00513623"/>
    <w:rsid w:val="00513D0C"/>
    <w:rsid w:val="005147A4"/>
    <w:rsid w:val="00515999"/>
    <w:rsid w:val="00516138"/>
    <w:rsid w:val="005169CE"/>
    <w:rsid w:val="00516B35"/>
    <w:rsid w:val="00516B83"/>
    <w:rsid w:val="005177D5"/>
    <w:rsid w:val="00520FF3"/>
    <w:rsid w:val="00521A08"/>
    <w:rsid w:val="00521F81"/>
    <w:rsid w:val="005222B2"/>
    <w:rsid w:val="005225A4"/>
    <w:rsid w:val="005225D5"/>
    <w:rsid w:val="005228F0"/>
    <w:rsid w:val="00523489"/>
    <w:rsid w:val="005242A8"/>
    <w:rsid w:val="00524466"/>
    <w:rsid w:val="00525177"/>
    <w:rsid w:val="0052555A"/>
    <w:rsid w:val="00526C19"/>
    <w:rsid w:val="00530A35"/>
    <w:rsid w:val="00530C53"/>
    <w:rsid w:val="00530D6D"/>
    <w:rsid w:val="00530DDA"/>
    <w:rsid w:val="0053114B"/>
    <w:rsid w:val="00532B57"/>
    <w:rsid w:val="005334A9"/>
    <w:rsid w:val="005340E5"/>
    <w:rsid w:val="00534EB0"/>
    <w:rsid w:val="00535C76"/>
    <w:rsid w:val="00535EDB"/>
    <w:rsid w:val="00536296"/>
    <w:rsid w:val="005365FC"/>
    <w:rsid w:val="00537248"/>
    <w:rsid w:val="005376CD"/>
    <w:rsid w:val="005405BE"/>
    <w:rsid w:val="00540A30"/>
    <w:rsid w:val="005414B5"/>
    <w:rsid w:val="00541BA4"/>
    <w:rsid w:val="00543BD8"/>
    <w:rsid w:val="0054406A"/>
    <w:rsid w:val="005440B6"/>
    <w:rsid w:val="0054538A"/>
    <w:rsid w:val="00545E48"/>
    <w:rsid w:val="005464B9"/>
    <w:rsid w:val="00546C82"/>
    <w:rsid w:val="005472E1"/>
    <w:rsid w:val="005476E8"/>
    <w:rsid w:val="00550026"/>
    <w:rsid w:val="0055038C"/>
    <w:rsid w:val="005508AD"/>
    <w:rsid w:val="00550EF2"/>
    <w:rsid w:val="005510A3"/>
    <w:rsid w:val="005514D0"/>
    <w:rsid w:val="00551671"/>
    <w:rsid w:val="005520E4"/>
    <w:rsid w:val="005529B5"/>
    <w:rsid w:val="00553794"/>
    <w:rsid w:val="00553A94"/>
    <w:rsid w:val="00553D69"/>
    <w:rsid w:val="00554657"/>
    <w:rsid w:val="00554FA2"/>
    <w:rsid w:val="005550F3"/>
    <w:rsid w:val="005552BD"/>
    <w:rsid w:val="00555B6E"/>
    <w:rsid w:val="00555D91"/>
    <w:rsid w:val="00556676"/>
    <w:rsid w:val="005573D6"/>
    <w:rsid w:val="00557C90"/>
    <w:rsid w:val="00557E37"/>
    <w:rsid w:val="0056029B"/>
    <w:rsid w:val="00560E83"/>
    <w:rsid w:val="00560F26"/>
    <w:rsid w:val="005626DA"/>
    <w:rsid w:val="0056432E"/>
    <w:rsid w:val="00564E90"/>
    <w:rsid w:val="00565198"/>
    <w:rsid w:val="0056538C"/>
    <w:rsid w:val="00565579"/>
    <w:rsid w:val="00565A0C"/>
    <w:rsid w:val="00565DFC"/>
    <w:rsid w:val="00565FE1"/>
    <w:rsid w:val="005660D3"/>
    <w:rsid w:val="0056657D"/>
    <w:rsid w:val="00566588"/>
    <w:rsid w:val="00566A78"/>
    <w:rsid w:val="00566CC5"/>
    <w:rsid w:val="00567F85"/>
    <w:rsid w:val="005704BA"/>
    <w:rsid w:val="0057107C"/>
    <w:rsid w:val="005717E1"/>
    <w:rsid w:val="005719BA"/>
    <w:rsid w:val="00571A7C"/>
    <w:rsid w:val="00572356"/>
    <w:rsid w:val="0057280F"/>
    <w:rsid w:val="005732B2"/>
    <w:rsid w:val="00573A53"/>
    <w:rsid w:val="005746E5"/>
    <w:rsid w:val="00574ED2"/>
    <w:rsid w:val="00575293"/>
    <w:rsid w:val="005752C0"/>
    <w:rsid w:val="0057542E"/>
    <w:rsid w:val="00576950"/>
    <w:rsid w:val="005770B6"/>
    <w:rsid w:val="0057730B"/>
    <w:rsid w:val="005773DA"/>
    <w:rsid w:val="005779D7"/>
    <w:rsid w:val="00580122"/>
    <w:rsid w:val="00581186"/>
    <w:rsid w:val="0058137D"/>
    <w:rsid w:val="005814C9"/>
    <w:rsid w:val="005818BE"/>
    <w:rsid w:val="00582489"/>
    <w:rsid w:val="005829BB"/>
    <w:rsid w:val="00582D13"/>
    <w:rsid w:val="00583518"/>
    <w:rsid w:val="00583DAA"/>
    <w:rsid w:val="00584F50"/>
    <w:rsid w:val="00585250"/>
    <w:rsid w:val="0058544C"/>
    <w:rsid w:val="00585ECA"/>
    <w:rsid w:val="00586149"/>
    <w:rsid w:val="0058678E"/>
    <w:rsid w:val="00586A05"/>
    <w:rsid w:val="0058761F"/>
    <w:rsid w:val="005904CC"/>
    <w:rsid w:val="00590812"/>
    <w:rsid w:val="00590FE1"/>
    <w:rsid w:val="00591ADC"/>
    <w:rsid w:val="00591BB5"/>
    <w:rsid w:val="00591D7E"/>
    <w:rsid w:val="00592A2E"/>
    <w:rsid w:val="00592CAC"/>
    <w:rsid w:val="0059327F"/>
    <w:rsid w:val="00594552"/>
    <w:rsid w:val="00594703"/>
    <w:rsid w:val="0059531E"/>
    <w:rsid w:val="005956AC"/>
    <w:rsid w:val="00596493"/>
    <w:rsid w:val="00597108"/>
    <w:rsid w:val="0059741E"/>
    <w:rsid w:val="005979E3"/>
    <w:rsid w:val="00597D14"/>
    <w:rsid w:val="005A0D77"/>
    <w:rsid w:val="005A1F7D"/>
    <w:rsid w:val="005A206E"/>
    <w:rsid w:val="005A2942"/>
    <w:rsid w:val="005A2982"/>
    <w:rsid w:val="005A2A2C"/>
    <w:rsid w:val="005A40F9"/>
    <w:rsid w:val="005A484C"/>
    <w:rsid w:val="005A5171"/>
    <w:rsid w:val="005A59AB"/>
    <w:rsid w:val="005A6919"/>
    <w:rsid w:val="005B0349"/>
    <w:rsid w:val="005B117D"/>
    <w:rsid w:val="005B15E2"/>
    <w:rsid w:val="005B1BD3"/>
    <w:rsid w:val="005B2A66"/>
    <w:rsid w:val="005B3069"/>
    <w:rsid w:val="005B31F0"/>
    <w:rsid w:val="005B3880"/>
    <w:rsid w:val="005B4373"/>
    <w:rsid w:val="005B5354"/>
    <w:rsid w:val="005B5C71"/>
    <w:rsid w:val="005B6163"/>
    <w:rsid w:val="005B69AC"/>
    <w:rsid w:val="005B7512"/>
    <w:rsid w:val="005C041A"/>
    <w:rsid w:val="005C0735"/>
    <w:rsid w:val="005C0750"/>
    <w:rsid w:val="005C0D28"/>
    <w:rsid w:val="005C1D2E"/>
    <w:rsid w:val="005C2026"/>
    <w:rsid w:val="005C2076"/>
    <w:rsid w:val="005C3844"/>
    <w:rsid w:val="005C39BC"/>
    <w:rsid w:val="005C3CB8"/>
    <w:rsid w:val="005C5AE3"/>
    <w:rsid w:val="005C5B46"/>
    <w:rsid w:val="005C5F34"/>
    <w:rsid w:val="005C617F"/>
    <w:rsid w:val="005C6F5E"/>
    <w:rsid w:val="005C70A8"/>
    <w:rsid w:val="005C7A14"/>
    <w:rsid w:val="005C7ADA"/>
    <w:rsid w:val="005D0651"/>
    <w:rsid w:val="005D08AF"/>
    <w:rsid w:val="005D0FA2"/>
    <w:rsid w:val="005D1D8B"/>
    <w:rsid w:val="005D1F59"/>
    <w:rsid w:val="005D3023"/>
    <w:rsid w:val="005D37A9"/>
    <w:rsid w:val="005D3E2B"/>
    <w:rsid w:val="005D4787"/>
    <w:rsid w:val="005D4952"/>
    <w:rsid w:val="005D4C63"/>
    <w:rsid w:val="005D53E3"/>
    <w:rsid w:val="005D5FB1"/>
    <w:rsid w:val="005D77A0"/>
    <w:rsid w:val="005D7FB9"/>
    <w:rsid w:val="005E07A3"/>
    <w:rsid w:val="005E12DC"/>
    <w:rsid w:val="005E14AB"/>
    <w:rsid w:val="005E1919"/>
    <w:rsid w:val="005E2605"/>
    <w:rsid w:val="005E262A"/>
    <w:rsid w:val="005E6D57"/>
    <w:rsid w:val="005E6ED2"/>
    <w:rsid w:val="005E7051"/>
    <w:rsid w:val="005E784A"/>
    <w:rsid w:val="005E7E9A"/>
    <w:rsid w:val="005F06A4"/>
    <w:rsid w:val="005F0C79"/>
    <w:rsid w:val="005F100A"/>
    <w:rsid w:val="005F12A9"/>
    <w:rsid w:val="005F157C"/>
    <w:rsid w:val="005F1838"/>
    <w:rsid w:val="005F1C63"/>
    <w:rsid w:val="005F2586"/>
    <w:rsid w:val="005F2F6B"/>
    <w:rsid w:val="005F3BAC"/>
    <w:rsid w:val="005F3D03"/>
    <w:rsid w:val="005F3F53"/>
    <w:rsid w:val="005F571A"/>
    <w:rsid w:val="005F5F8C"/>
    <w:rsid w:val="005F6436"/>
    <w:rsid w:val="005F728C"/>
    <w:rsid w:val="005F72DD"/>
    <w:rsid w:val="0060016C"/>
    <w:rsid w:val="00600CF4"/>
    <w:rsid w:val="006018D3"/>
    <w:rsid w:val="00601B2A"/>
    <w:rsid w:val="00602780"/>
    <w:rsid w:val="00602AC1"/>
    <w:rsid w:val="00604ACD"/>
    <w:rsid w:val="006052D1"/>
    <w:rsid w:val="00605409"/>
    <w:rsid w:val="006056E4"/>
    <w:rsid w:val="006059A5"/>
    <w:rsid w:val="00605C52"/>
    <w:rsid w:val="006069C1"/>
    <w:rsid w:val="0060780C"/>
    <w:rsid w:val="00607989"/>
    <w:rsid w:val="00607AC6"/>
    <w:rsid w:val="00607E0D"/>
    <w:rsid w:val="00607F02"/>
    <w:rsid w:val="00610049"/>
    <w:rsid w:val="0061058C"/>
    <w:rsid w:val="00610AA3"/>
    <w:rsid w:val="00612171"/>
    <w:rsid w:val="00612BAD"/>
    <w:rsid w:val="00612C3C"/>
    <w:rsid w:val="00612CDD"/>
    <w:rsid w:val="006134E8"/>
    <w:rsid w:val="00614115"/>
    <w:rsid w:val="00614764"/>
    <w:rsid w:val="00614B72"/>
    <w:rsid w:val="00614B8C"/>
    <w:rsid w:val="006161AE"/>
    <w:rsid w:val="00616288"/>
    <w:rsid w:val="0061695F"/>
    <w:rsid w:val="00616D45"/>
    <w:rsid w:val="006173D7"/>
    <w:rsid w:val="00617D92"/>
    <w:rsid w:val="00620B73"/>
    <w:rsid w:val="00620BC2"/>
    <w:rsid w:val="006213B8"/>
    <w:rsid w:val="0062155A"/>
    <w:rsid w:val="00622928"/>
    <w:rsid w:val="00623577"/>
    <w:rsid w:val="0062529F"/>
    <w:rsid w:val="00625A52"/>
    <w:rsid w:val="00626267"/>
    <w:rsid w:val="0062628C"/>
    <w:rsid w:val="006262DA"/>
    <w:rsid w:val="00627339"/>
    <w:rsid w:val="00630730"/>
    <w:rsid w:val="00630A18"/>
    <w:rsid w:val="00630CC6"/>
    <w:rsid w:val="00630DB8"/>
    <w:rsid w:val="0063142F"/>
    <w:rsid w:val="006318D8"/>
    <w:rsid w:val="006322EA"/>
    <w:rsid w:val="006326CB"/>
    <w:rsid w:val="006327E0"/>
    <w:rsid w:val="00633360"/>
    <w:rsid w:val="00633610"/>
    <w:rsid w:val="006340D3"/>
    <w:rsid w:val="00635748"/>
    <w:rsid w:val="0063629B"/>
    <w:rsid w:val="006365CA"/>
    <w:rsid w:val="00637307"/>
    <w:rsid w:val="006402F8"/>
    <w:rsid w:val="00642988"/>
    <w:rsid w:val="00643B12"/>
    <w:rsid w:val="0064428B"/>
    <w:rsid w:val="0064565B"/>
    <w:rsid w:val="00645A43"/>
    <w:rsid w:val="00646A0E"/>
    <w:rsid w:val="00646CF3"/>
    <w:rsid w:val="00647283"/>
    <w:rsid w:val="006478E0"/>
    <w:rsid w:val="006501C8"/>
    <w:rsid w:val="006504A3"/>
    <w:rsid w:val="00650B3B"/>
    <w:rsid w:val="006510A6"/>
    <w:rsid w:val="00651E62"/>
    <w:rsid w:val="006520BB"/>
    <w:rsid w:val="006529B9"/>
    <w:rsid w:val="006539F5"/>
    <w:rsid w:val="00654FFB"/>
    <w:rsid w:val="00655932"/>
    <w:rsid w:val="0065655F"/>
    <w:rsid w:val="00656F3B"/>
    <w:rsid w:val="00657230"/>
    <w:rsid w:val="0065743C"/>
    <w:rsid w:val="00657ED6"/>
    <w:rsid w:val="0066030B"/>
    <w:rsid w:val="00660931"/>
    <w:rsid w:val="00660DB8"/>
    <w:rsid w:val="00661F81"/>
    <w:rsid w:val="00662463"/>
    <w:rsid w:val="00662B96"/>
    <w:rsid w:val="00663724"/>
    <w:rsid w:val="006639B9"/>
    <w:rsid w:val="0066429C"/>
    <w:rsid w:val="006649EE"/>
    <w:rsid w:val="006657AD"/>
    <w:rsid w:val="00665FDC"/>
    <w:rsid w:val="0066665D"/>
    <w:rsid w:val="00666711"/>
    <w:rsid w:val="006668FD"/>
    <w:rsid w:val="006672BB"/>
    <w:rsid w:val="00667318"/>
    <w:rsid w:val="00670AFB"/>
    <w:rsid w:val="00670D05"/>
    <w:rsid w:val="006717E0"/>
    <w:rsid w:val="00671FCC"/>
    <w:rsid w:val="006721FB"/>
    <w:rsid w:val="00672470"/>
    <w:rsid w:val="00673475"/>
    <w:rsid w:val="00674265"/>
    <w:rsid w:val="00674B48"/>
    <w:rsid w:val="006753EF"/>
    <w:rsid w:val="00675466"/>
    <w:rsid w:val="00675B50"/>
    <w:rsid w:val="00676560"/>
    <w:rsid w:val="00676A41"/>
    <w:rsid w:val="00677D3C"/>
    <w:rsid w:val="00682E81"/>
    <w:rsid w:val="00682EE5"/>
    <w:rsid w:val="006834C8"/>
    <w:rsid w:val="0068461E"/>
    <w:rsid w:val="00684640"/>
    <w:rsid w:val="00684910"/>
    <w:rsid w:val="006854D5"/>
    <w:rsid w:val="00687928"/>
    <w:rsid w:val="00687FE0"/>
    <w:rsid w:val="00690A7A"/>
    <w:rsid w:val="00690A96"/>
    <w:rsid w:val="00691581"/>
    <w:rsid w:val="006927B9"/>
    <w:rsid w:val="006927F4"/>
    <w:rsid w:val="006928B0"/>
    <w:rsid w:val="006942D7"/>
    <w:rsid w:val="0069543B"/>
    <w:rsid w:val="00695602"/>
    <w:rsid w:val="00695A97"/>
    <w:rsid w:val="00696BD7"/>
    <w:rsid w:val="00697379"/>
    <w:rsid w:val="00697724"/>
    <w:rsid w:val="00697732"/>
    <w:rsid w:val="00697FE2"/>
    <w:rsid w:val="006A1087"/>
    <w:rsid w:val="006A18ED"/>
    <w:rsid w:val="006A31F2"/>
    <w:rsid w:val="006A3D7C"/>
    <w:rsid w:val="006A46C7"/>
    <w:rsid w:val="006A48AB"/>
    <w:rsid w:val="006A5066"/>
    <w:rsid w:val="006A57B0"/>
    <w:rsid w:val="006A5C6F"/>
    <w:rsid w:val="006A5DDE"/>
    <w:rsid w:val="006A6930"/>
    <w:rsid w:val="006A6C9D"/>
    <w:rsid w:val="006A6D2D"/>
    <w:rsid w:val="006A7318"/>
    <w:rsid w:val="006B0544"/>
    <w:rsid w:val="006B0A0D"/>
    <w:rsid w:val="006B1203"/>
    <w:rsid w:val="006B2897"/>
    <w:rsid w:val="006B293D"/>
    <w:rsid w:val="006B494E"/>
    <w:rsid w:val="006B4A0E"/>
    <w:rsid w:val="006B5F89"/>
    <w:rsid w:val="006B662C"/>
    <w:rsid w:val="006B7245"/>
    <w:rsid w:val="006C142C"/>
    <w:rsid w:val="006C14B7"/>
    <w:rsid w:val="006C1D4B"/>
    <w:rsid w:val="006C39B3"/>
    <w:rsid w:val="006C4542"/>
    <w:rsid w:val="006C46DC"/>
    <w:rsid w:val="006C5844"/>
    <w:rsid w:val="006C5C10"/>
    <w:rsid w:val="006C6F57"/>
    <w:rsid w:val="006C73F3"/>
    <w:rsid w:val="006C7595"/>
    <w:rsid w:val="006C770F"/>
    <w:rsid w:val="006C7F3E"/>
    <w:rsid w:val="006D0F94"/>
    <w:rsid w:val="006D1528"/>
    <w:rsid w:val="006D16EB"/>
    <w:rsid w:val="006D2C5C"/>
    <w:rsid w:val="006D30F7"/>
    <w:rsid w:val="006D3167"/>
    <w:rsid w:val="006D402F"/>
    <w:rsid w:val="006D42A3"/>
    <w:rsid w:val="006D4D32"/>
    <w:rsid w:val="006D4E98"/>
    <w:rsid w:val="006D5113"/>
    <w:rsid w:val="006D55E1"/>
    <w:rsid w:val="006D5816"/>
    <w:rsid w:val="006D6948"/>
    <w:rsid w:val="006D6996"/>
    <w:rsid w:val="006D7621"/>
    <w:rsid w:val="006D7B5A"/>
    <w:rsid w:val="006E03C3"/>
    <w:rsid w:val="006E067E"/>
    <w:rsid w:val="006E0E56"/>
    <w:rsid w:val="006E12C6"/>
    <w:rsid w:val="006E1869"/>
    <w:rsid w:val="006E20CD"/>
    <w:rsid w:val="006E2E25"/>
    <w:rsid w:val="006E3034"/>
    <w:rsid w:val="006E3218"/>
    <w:rsid w:val="006E334A"/>
    <w:rsid w:val="006E3A41"/>
    <w:rsid w:val="006E48E0"/>
    <w:rsid w:val="006E4C75"/>
    <w:rsid w:val="006E4CC8"/>
    <w:rsid w:val="006E554C"/>
    <w:rsid w:val="006E5E7E"/>
    <w:rsid w:val="006E5F7C"/>
    <w:rsid w:val="006E6231"/>
    <w:rsid w:val="006E63A1"/>
    <w:rsid w:val="006E65F1"/>
    <w:rsid w:val="006E68E4"/>
    <w:rsid w:val="006E6922"/>
    <w:rsid w:val="006E6CDC"/>
    <w:rsid w:val="006E76EC"/>
    <w:rsid w:val="006F0C12"/>
    <w:rsid w:val="006F0EB8"/>
    <w:rsid w:val="006F1848"/>
    <w:rsid w:val="006F18B2"/>
    <w:rsid w:val="006F1D59"/>
    <w:rsid w:val="006F2824"/>
    <w:rsid w:val="006F3571"/>
    <w:rsid w:val="006F4DFF"/>
    <w:rsid w:val="006F4E1E"/>
    <w:rsid w:val="006F51D6"/>
    <w:rsid w:val="006F5396"/>
    <w:rsid w:val="006F5496"/>
    <w:rsid w:val="006F5703"/>
    <w:rsid w:val="006F5745"/>
    <w:rsid w:val="006F5A87"/>
    <w:rsid w:val="006F5CF3"/>
    <w:rsid w:val="006F6D29"/>
    <w:rsid w:val="006F6F10"/>
    <w:rsid w:val="006F7257"/>
    <w:rsid w:val="006F77B3"/>
    <w:rsid w:val="006F7923"/>
    <w:rsid w:val="006F7F55"/>
    <w:rsid w:val="0070053B"/>
    <w:rsid w:val="00700B93"/>
    <w:rsid w:val="00701AE0"/>
    <w:rsid w:val="007020BB"/>
    <w:rsid w:val="00702B4F"/>
    <w:rsid w:val="00702E1B"/>
    <w:rsid w:val="00703958"/>
    <w:rsid w:val="00703991"/>
    <w:rsid w:val="00703A14"/>
    <w:rsid w:val="00704685"/>
    <w:rsid w:val="00704CD9"/>
    <w:rsid w:val="00705158"/>
    <w:rsid w:val="007056BA"/>
    <w:rsid w:val="007064C5"/>
    <w:rsid w:val="00706CEA"/>
    <w:rsid w:val="00706F31"/>
    <w:rsid w:val="0070718F"/>
    <w:rsid w:val="00707913"/>
    <w:rsid w:val="00707AD7"/>
    <w:rsid w:val="00707D2F"/>
    <w:rsid w:val="00710281"/>
    <w:rsid w:val="00711760"/>
    <w:rsid w:val="00713E45"/>
    <w:rsid w:val="00715755"/>
    <w:rsid w:val="00715F34"/>
    <w:rsid w:val="00715FB5"/>
    <w:rsid w:val="00716D24"/>
    <w:rsid w:val="00716D39"/>
    <w:rsid w:val="00716E47"/>
    <w:rsid w:val="00716EBF"/>
    <w:rsid w:val="00717363"/>
    <w:rsid w:val="0071755F"/>
    <w:rsid w:val="00717829"/>
    <w:rsid w:val="00717EC4"/>
    <w:rsid w:val="0072001E"/>
    <w:rsid w:val="00720F34"/>
    <w:rsid w:val="00720F99"/>
    <w:rsid w:val="0072202B"/>
    <w:rsid w:val="00722A5A"/>
    <w:rsid w:val="00723040"/>
    <w:rsid w:val="00723BA4"/>
    <w:rsid w:val="00723F17"/>
    <w:rsid w:val="00724E6C"/>
    <w:rsid w:val="00725030"/>
    <w:rsid w:val="00725FFA"/>
    <w:rsid w:val="007261D7"/>
    <w:rsid w:val="0072652E"/>
    <w:rsid w:val="00726A6F"/>
    <w:rsid w:val="007273DA"/>
    <w:rsid w:val="007277B0"/>
    <w:rsid w:val="00727E66"/>
    <w:rsid w:val="00727F47"/>
    <w:rsid w:val="00730290"/>
    <w:rsid w:val="0073048E"/>
    <w:rsid w:val="007329E0"/>
    <w:rsid w:val="007341B2"/>
    <w:rsid w:val="0073497B"/>
    <w:rsid w:val="0073503F"/>
    <w:rsid w:val="007357AA"/>
    <w:rsid w:val="007360D3"/>
    <w:rsid w:val="007363D3"/>
    <w:rsid w:val="0073684D"/>
    <w:rsid w:val="00736BA1"/>
    <w:rsid w:val="00736FC4"/>
    <w:rsid w:val="00737131"/>
    <w:rsid w:val="007372ED"/>
    <w:rsid w:val="0073746C"/>
    <w:rsid w:val="00737671"/>
    <w:rsid w:val="00741106"/>
    <w:rsid w:val="007413B5"/>
    <w:rsid w:val="00741F0A"/>
    <w:rsid w:val="00741F51"/>
    <w:rsid w:val="00742442"/>
    <w:rsid w:val="007426ED"/>
    <w:rsid w:val="0074338E"/>
    <w:rsid w:val="00743C1A"/>
    <w:rsid w:val="00744578"/>
    <w:rsid w:val="007462EE"/>
    <w:rsid w:val="00746406"/>
    <w:rsid w:val="007500EE"/>
    <w:rsid w:val="0075072B"/>
    <w:rsid w:val="0075117C"/>
    <w:rsid w:val="007532C4"/>
    <w:rsid w:val="00753DA0"/>
    <w:rsid w:val="00753DB4"/>
    <w:rsid w:val="00754366"/>
    <w:rsid w:val="00754688"/>
    <w:rsid w:val="0075685D"/>
    <w:rsid w:val="00757024"/>
    <w:rsid w:val="007578E1"/>
    <w:rsid w:val="007579B5"/>
    <w:rsid w:val="00760274"/>
    <w:rsid w:val="00760ED0"/>
    <w:rsid w:val="00760FCD"/>
    <w:rsid w:val="007612AA"/>
    <w:rsid w:val="007612C8"/>
    <w:rsid w:val="00761C9E"/>
    <w:rsid w:val="0076230F"/>
    <w:rsid w:val="0076284A"/>
    <w:rsid w:val="00763E4A"/>
    <w:rsid w:val="00763EF3"/>
    <w:rsid w:val="007646B4"/>
    <w:rsid w:val="007655C0"/>
    <w:rsid w:val="00765663"/>
    <w:rsid w:val="00765692"/>
    <w:rsid w:val="007657D5"/>
    <w:rsid w:val="00766840"/>
    <w:rsid w:val="00767368"/>
    <w:rsid w:val="00767569"/>
    <w:rsid w:val="007678BD"/>
    <w:rsid w:val="00767F39"/>
    <w:rsid w:val="00767FE1"/>
    <w:rsid w:val="0077023C"/>
    <w:rsid w:val="007715C6"/>
    <w:rsid w:val="007716D5"/>
    <w:rsid w:val="00771E3D"/>
    <w:rsid w:val="0077262F"/>
    <w:rsid w:val="007729AA"/>
    <w:rsid w:val="00772C1D"/>
    <w:rsid w:val="00772C2A"/>
    <w:rsid w:val="007731A1"/>
    <w:rsid w:val="00773588"/>
    <w:rsid w:val="00773F88"/>
    <w:rsid w:val="00774059"/>
    <w:rsid w:val="0077428C"/>
    <w:rsid w:val="00774563"/>
    <w:rsid w:val="00774AAC"/>
    <w:rsid w:val="00775E5E"/>
    <w:rsid w:val="00776DA4"/>
    <w:rsid w:val="007771A5"/>
    <w:rsid w:val="007771D9"/>
    <w:rsid w:val="00780604"/>
    <w:rsid w:val="00780FB9"/>
    <w:rsid w:val="0078196A"/>
    <w:rsid w:val="00781D5C"/>
    <w:rsid w:val="0078267F"/>
    <w:rsid w:val="00782F31"/>
    <w:rsid w:val="00783065"/>
    <w:rsid w:val="00783818"/>
    <w:rsid w:val="00784754"/>
    <w:rsid w:val="00784EF6"/>
    <w:rsid w:val="00785B2F"/>
    <w:rsid w:val="00785D58"/>
    <w:rsid w:val="007873B2"/>
    <w:rsid w:val="00790DB7"/>
    <w:rsid w:val="00791090"/>
    <w:rsid w:val="00791562"/>
    <w:rsid w:val="007917B6"/>
    <w:rsid w:val="00791D4E"/>
    <w:rsid w:val="007921E6"/>
    <w:rsid w:val="007927FE"/>
    <w:rsid w:val="00792DE5"/>
    <w:rsid w:val="00793CE1"/>
    <w:rsid w:val="00794019"/>
    <w:rsid w:val="007956D1"/>
    <w:rsid w:val="00795E49"/>
    <w:rsid w:val="00795FFC"/>
    <w:rsid w:val="00797104"/>
    <w:rsid w:val="007973F2"/>
    <w:rsid w:val="00797403"/>
    <w:rsid w:val="007975CB"/>
    <w:rsid w:val="007A03BA"/>
    <w:rsid w:val="007A07DD"/>
    <w:rsid w:val="007A1138"/>
    <w:rsid w:val="007A13E4"/>
    <w:rsid w:val="007A1813"/>
    <w:rsid w:val="007A3E4B"/>
    <w:rsid w:val="007A4067"/>
    <w:rsid w:val="007A450B"/>
    <w:rsid w:val="007A4761"/>
    <w:rsid w:val="007A505E"/>
    <w:rsid w:val="007A58AF"/>
    <w:rsid w:val="007A5C7F"/>
    <w:rsid w:val="007A5D80"/>
    <w:rsid w:val="007A62AB"/>
    <w:rsid w:val="007A692F"/>
    <w:rsid w:val="007A6E32"/>
    <w:rsid w:val="007A7306"/>
    <w:rsid w:val="007A7BC0"/>
    <w:rsid w:val="007A7CA1"/>
    <w:rsid w:val="007B096D"/>
    <w:rsid w:val="007B0F83"/>
    <w:rsid w:val="007B19F1"/>
    <w:rsid w:val="007B3407"/>
    <w:rsid w:val="007B389E"/>
    <w:rsid w:val="007B4AAA"/>
    <w:rsid w:val="007B545E"/>
    <w:rsid w:val="007B780C"/>
    <w:rsid w:val="007C0418"/>
    <w:rsid w:val="007C0812"/>
    <w:rsid w:val="007C1A58"/>
    <w:rsid w:val="007C2549"/>
    <w:rsid w:val="007C338B"/>
    <w:rsid w:val="007C4C5A"/>
    <w:rsid w:val="007C5358"/>
    <w:rsid w:val="007C5528"/>
    <w:rsid w:val="007C55AF"/>
    <w:rsid w:val="007C5691"/>
    <w:rsid w:val="007C70CE"/>
    <w:rsid w:val="007C7573"/>
    <w:rsid w:val="007C77BC"/>
    <w:rsid w:val="007C7A5E"/>
    <w:rsid w:val="007C7C11"/>
    <w:rsid w:val="007D0032"/>
    <w:rsid w:val="007D0165"/>
    <w:rsid w:val="007D079E"/>
    <w:rsid w:val="007D0AC1"/>
    <w:rsid w:val="007D15C5"/>
    <w:rsid w:val="007D17F5"/>
    <w:rsid w:val="007D2AA6"/>
    <w:rsid w:val="007D2BA3"/>
    <w:rsid w:val="007D302A"/>
    <w:rsid w:val="007D3119"/>
    <w:rsid w:val="007D3558"/>
    <w:rsid w:val="007D36BA"/>
    <w:rsid w:val="007D371C"/>
    <w:rsid w:val="007D453E"/>
    <w:rsid w:val="007D4A46"/>
    <w:rsid w:val="007D4D0C"/>
    <w:rsid w:val="007D608B"/>
    <w:rsid w:val="007D6833"/>
    <w:rsid w:val="007D7055"/>
    <w:rsid w:val="007D73EF"/>
    <w:rsid w:val="007D7685"/>
    <w:rsid w:val="007D78D0"/>
    <w:rsid w:val="007E4033"/>
    <w:rsid w:val="007E464C"/>
    <w:rsid w:val="007E48AD"/>
    <w:rsid w:val="007E4918"/>
    <w:rsid w:val="007E4F3F"/>
    <w:rsid w:val="007E5151"/>
    <w:rsid w:val="007E5C5A"/>
    <w:rsid w:val="007E6181"/>
    <w:rsid w:val="007E6344"/>
    <w:rsid w:val="007E6C15"/>
    <w:rsid w:val="007E6F02"/>
    <w:rsid w:val="007E7183"/>
    <w:rsid w:val="007E7545"/>
    <w:rsid w:val="007E7A13"/>
    <w:rsid w:val="007E7FBF"/>
    <w:rsid w:val="007F0230"/>
    <w:rsid w:val="007F0751"/>
    <w:rsid w:val="007F0864"/>
    <w:rsid w:val="007F16CB"/>
    <w:rsid w:val="007F188D"/>
    <w:rsid w:val="007F2656"/>
    <w:rsid w:val="007F26C4"/>
    <w:rsid w:val="007F3B96"/>
    <w:rsid w:val="007F3D87"/>
    <w:rsid w:val="007F3EC6"/>
    <w:rsid w:val="007F464F"/>
    <w:rsid w:val="007F4669"/>
    <w:rsid w:val="007F48A0"/>
    <w:rsid w:val="007F49D8"/>
    <w:rsid w:val="007F65DA"/>
    <w:rsid w:val="007F6CCB"/>
    <w:rsid w:val="007F73F2"/>
    <w:rsid w:val="007F75FF"/>
    <w:rsid w:val="007F7829"/>
    <w:rsid w:val="007F79EB"/>
    <w:rsid w:val="007F7D0F"/>
    <w:rsid w:val="008003B7"/>
    <w:rsid w:val="008009A3"/>
    <w:rsid w:val="00800C3C"/>
    <w:rsid w:val="0080162F"/>
    <w:rsid w:val="00801AD7"/>
    <w:rsid w:val="008023FE"/>
    <w:rsid w:val="0080246D"/>
    <w:rsid w:val="00802AFD"/>
    <w:rsid w:val="00802B14"/>
    <w:rsid w:val="00803663"/>
    <w:rsid w:val="00803A01"/>
    <w:rsid w:val="008042C3"/>
    <w:rsid w:val="00804B13"/>
    <w:rsid w:val="00804C22"/>
    <w:rsid w:val="00806BDE"/>
    <w:rsid w:val="00810E6F"/>
    <w:rsid w:val="00810F2B"/>
    <w:rsid w:val="008116D6"/>
    <w:rsid w:val="00811D0A"/>
    <w:rsid w:val="00812895"/>
    <w:rsid w:val="008128DF"/>
    <w:rsid w:val="00813C7E"/>
    <w:rsid w:val="00815496"/>
    <w:rsid w:val="00815942"/>
    <w:rsid w:val="00816E0F"/>
    <w:rsid w:val="00817B4A"/>
    <w:rsid w:val="00820368"/>
    <w:rsid w:val="00821ACE"/>
    <w:rsid w:val="00821E75"/>
    <w:rsid w:val="00821FF8"/>
    <w:rsid w:val="0082389C"/>
    <w:rsid w:val="0082396C"/>
    <w:rsid w:val="00827AE5"/>
    <w:rsid w:val="00827B70"/>
    <w:rsid w:val="00830BBA"/>
    <w:rsid w:val="00830FED"/>
    <w:rsid w:val="0083150E"/>
    <w:rsid w:val="00833055"/>
    <w:rsid w:val="008339E5"/>
    <w:rsid w:val="00833FC5"/>
    <w:rsid w:val="008342D0"/>
    <w:rsid w:val="008346BF"/>
    <w:rsid w:val="00834C66"/>
    <w:rsid w:val="00835997"/>
    <w:rsid w:val="00835D4C"/>
    <w:rsid w:val="0083691A"/>
    <w:rsid w:val="00836A53"/>
    <w:rsid w:val="00836AB8"/>
    <w:rsid w:val="008377C8"/>
    <w:rsid w:val="00837D08"/>
    <w:rsid w:val="0084191C"/>
    <w:rsid w:val="00841AF6"/>
    <w:rsid w:val="00841B8A"/>
    <w:rsid w:val="008426E9"/>
    <w:rsid w:val="00842724"/>
    <w:rsid w:val="0084659D"/>
    <w:rsid w:val="00846732"/>
    <w:rsid w:val="00846CB1"/>
    <w:rsid w:val="00846E95"/>
    <w:rsid w:val="00847DB0"/>
    <w:rsid w:val="00847E24"/>
    <w:rsid w:val="008503C1"/>
    <w:rsid w:val="00850829"/>
    <w:rsid w:val="0085084D"/>
    <w:rsid w:val="00850ED9"/>
    <w:rsid w:val="00850FEF"/>
    <w:rsid w:val="008512D4"/>
    <w:rsid w:val="0085136F"/>
    <w:rsid w:val="008521B3"/>
    <w:rsid w:val="00853A24"/>
    <w:rsid w:val="00853A7B"/>
    <w:rsid w:val="008542CA"/>
    <w:rsid w:val="00854A32"/>
    <w:rsid w:val="00854AE9"/>
    <w:rsid w:val="008550FF"/>
    <w:rsid w:val="00855F4B"/>
    <w:rsid w:val="0085695E"/>
    <w:rsid w:val="00856A2B"/>
    <w:rsid w:val="00861407"/>
    <w:rsid w:val="008617B3"/>
    <w:rsid w:val="00861F27"/>
    <w:rsid w:val="008628C1"/>
    <w:rsid w:val="00863033"/>
    <w:rsid w:val="00863421"/>
    <w:rsid w:val="0086378C"/>
    <w:rsid w:val="00863A0E"/>
    <w:rsid w:val="00863F4A"/>
    <w:rsid w:val="00864868"/>
    <w:rsid w:val="00864887"/>
    <w:rsid w:val="00864938"/>
    <w:rsid w:val="00865337"/>
    <w:rsid w:val="008653B5"/>
    <w:rsid w:val="00865755"/>
    <w:rsid w:val="008666C5"/>
    <w:rsid w:val="00867155"/>
    <w:rsid w:val="00867298"/>
    <w:rsid w:val="00867361"/>
    <w:rsid w:val="00867769"/>
    <w:rsid w:val="00867BF8"/>
    <w:rsid w:val="00867C5D"/>
    <w:rsid w:val="00870165"/>
    <w:rsid w:val="008708B0"/>
    <w:rsid w:val="008730D1"/>
    <w:rsid w:val="00873EF9"/>
    <w:rsid w:val="00874541"/>
    <w:rsid w:val="008750BC"/>
    <w:rsid w:val="008752F9"/>
    <w:rsid w:val="008757D8"/>
    <w:rsid w:val="0087667B"/>
    <w:rsid w:val="00876A25"/>
    <w:rsid w:val="00876DB4"/>
    <w:rsid w:val="0087730F"/>
    <w:rsid w:val="00877AE4"/>
    <w:rsid w:val="0088020D"/>
    <w:rsid w:val="00880278"/>
    <w:rsid w:val="008805A8"/>
    <w:rsid w:val="0088100E"/>
    <w:rsid w:val="00881078"/>
    <w:rsid w:val="008810ED"/>
    <w:rsid w:val="008818D0"/>
    <w:rsid w:val="00882299"/>
    <w:rsid w:val="00883335"/>
    <w:rsid w:val="008844F8"/>
    <w:rsid w:val="00884684"/>
    <w:rsid w:val="00884C67"/>
    <w:rsid w:val="0088508A"/>
    <w:rsid w:val="00885351"/>
    <w:rsid w:val="00885C65"/>
    <w:rsid w:val="00886226"/>
    <w:rsid w:val="00886B09"/>
    <w:rsid w:val="00886CB7"/>
    <w:rsid w:val="008870BE"/>
    <w:rsid w:val="0089098D"/>
    <w:rsid w:val="0089105B"/>
    <w:rsid w:val="008913EE"/>
    <w:rsid w:val="00891A3B"/>
    <w:rsid w:val="00893124"/>
    <w:rsid w:val="008931AB"/>
    <w:rsid w:val="008934AD"/>
    <w:rsid w:val="0089383D"/>
    <w:rsid w:val="00893F92"/>
    <w:rsid w:val="00894759"/>
    <w:rsid w:val="00894862"/>
    <w:rsid w:val="008953E5"/>
    <w:rsid w:val="008956EB"/>
    <w:rsid w:val="008958F4"/>
    <w:rsid w:val="008959D3"/>
    <w:rsid w:val="008965B8"/>
    <w:rsid w:val="008966F4"/>
    <w:rsid w:val="00896A17"/>
    <w:rsid w:val="00896D91"/>
    <w:rsid w:val="00897E9F"/>
    <w:rsid w:val="008A0179"/>
    <w:rsid w:val="008A0344"/>
    <w:rsid w:val="008A0A21"/>
    <w:rsid w:val="008A1A7E"/>
    <w:rsid w:val="008A1F5B"/>
    <w:rsid w:val="008A2993"/>
    <w:rsid w:val="008A323F"/>
    <w:rsid w:val="008A40E4"/>
    <w:rsid w:val="008A4291"/>
    <w:rsid w:val="008A48E6"/>
    <w:rsid w:val="008A4F3D"/>
    <w:rsid w:val="008A532F"/>
    <w:rsid w:val="008A677C"/>
    <w:rsid w:val="008A67E5"/>
    <w:rsid w:val="008A6D6D"/>
    <w:rsid w:val="008A75C8"/>
    <w:rsid w:val="008A78D2"/>
    <w:rsid w:val="008A7B28"/>
    <w:rsid w:val="008B0444"/>
    <w:rsid w:val="008B0648"/>
    <w:rsid w:val="008B0A6E"/>
    <w:rsid w:val="008B0BBD"/>
    <w:rsid w:val="008B10E3"/>
    <w:rsid w:val="008B1446"/>
    <w:rsid w:val="008B14E7"/>
    <w:rsid w:val="008B1ECD"/>
    <w:rsid w:val="008B29F5"/>
    <w:rsid w:val="008B410A"/>
    <w:rsid w:val="008B4656"/>
    <w:rsid w:val="008B4B0E"/>
    <w:rsid w:val="008B53CC"/>
    <w:rsid w:val="008B5631"/>
    <w:rsid w:val="008B565F"/>
    <w:rsid w:val="008B599F"/>
    <w:rsid w:val="008B7A2B"/>
    <w:rsid w:val="008B7AE3"/>
    <w:rsid w:val="008C01D7"/>
    <w:rsid w:val="008C158C"/>
    <w:rsid w:val="008C1FB5"/>
    <w:rsid w:val="008C4885"/>
    <w:rsid w:val="008C4ED2"/>
    <w:rsid w:val="008C5353"/>
    <w:rsid w:val="008C5DF1"/>
    <w:rsid w:val="008C6112"/>
    <w:rsid w:val="008C66E4"/>
    <w:rsid w:val="008C685F"/>
    <w:rsid w:val="008C73A9"/>
    <w:rsid w:val="008D048A"/>
    <w:rsid w:val="008D068B"/>
    <w:rsid w:val="008D18E6"/>
    <w:rsid w:val="008D285D"/>
    <w:rsid w:val="008D2886"/>
    <w:rsid w:val="008D2961"/>
    <w:rsid w:val="008D2F1A"/>
    <w:rsid w:val="008D3A61"/>
    <w:rsid w:val="008D3C6F"/>
    <w:rsid w:val="008D3CCE"/>
    <w:rsid w:val="008D5620"/>
    <w:rsid w:val="008D5BFF"/>
    <w:rsid w:val="008D5C74"/>
    <w:rsid w:val="008D6452"/>
    <w:rsid w:val="008D6A56"/>
    <w:rsid w:val="008D73B6"/>
    <w:rsid w:val="008E01C1"/>
    <w:rsid w:val="008E0581"/>
    <w:rsid w:val="008E0955"/>
    <w:rsid w:val="008E1452"/>
    <w:rsid w:val="008E1AF1"/>
    <w:rsid w:val="008E1C11"/>
    <w:rsid w:val="008E3408"/>
    <w:rsid w:val="008E36E1"/>
    <w:rsid w:val="008E3DE1"/>
    <w:rsid w:val="008E4A68"/>
    <w:rsid w:val="008E4E0B"/>
    <w:rsid w:val="008E52FA"/>
    <w:rsid w:val="008E7B32"/>
    <w:rsid w:val="008F11BA"/>
    <w:rsid w:val="008F1BC3"/>
    <w:rsid w:val="008F2083"/>
    <w:rsid w:val="008F20F0"/>
    <w:rsid w:val="008F273F"/>
    <w:rsid w:val="008F2E84"/>
    <w:rsid w:val="008F302E"/>
    <w:rsid w:val="008F30D3"/>
    <w:rsid w:val="008F4702"/>
    <w:rsid w:val="008F4770"/>
    <w:rsid w:val="008F55C8"/>
    <w:rsid w:val="008F589D"/>
    <w:rsid w:val="008F65BB"/>
    <w:rsid w:val="008F671D"/>
    <w:rsid w:val="008F6A18"/>
    <w:rsid w:val="008F73C4"/>
    <w:rsid w:val="008F7CDC"/>
    <w:rsid w:val="0090063E"/>
    <w:rsid w:val="00901AB4"/>
    <w:rsid w:val="009026FE"/>
    <w:rsid w:val="009034FA"/>
    <w:rsid w:val="00904156"/>
    <w:rsid w:val="00905B42"/>
    <w:rsid w:val="00906500"/>
    <w:rsid w:val="00906C42"/>
    <w:rsid w:val="00907298"/>
    <w:rsid w:val="00910DF6"/>
    <w:rsid w:val="00911BE1"/>
    <w:rsid w:val="00912332"/>
    <w:rsid w:val="009124C5"/>
    <w:rsid w:val="0091284B"/>
    <w:rsid w:val="00912E7C"/>
    <w:rsid w:val="00913269"/>
    <w:rsid w:val="00913864"/>
    <w:rsid w:val="00913EB5"/>
    <w:rsid w:val="00914786"/>
    <w:rsid w:val="009151A1"/>
    <w:rsid w:val="0091533C"/>
    <w:rsid w:val="00915CB1"/>
    <w:rsid w:val="00915D42"/>
    <w:rsid w:val="00915F32"/>
    <w:rsid w:val="00916220"/>
    <w:rsid w:val="00917259"/>
    <w:rsid w:val="00917693"/>
    <w:rsid w:val="009200C4"/>
    <w:rsid w:val="0092106E"/>
    <w:rsid w:val="00921243"/>
    <w:rsid w:val="00921332"/>
    <w:rsid w:val="009217B8"/>
    <w:rsid w:val="00922466"/>
    <w:rsid w:val="0092380F"/>
    <w:rsid w:val="00924488"/>
    <w:rsid w:val="0092466E"/>
    <w:rsid w:val="00924FF9"/>
    <w:rsid w:val="0092587E"/>
    <w:rsid w:val="00925DEB"/>
    <w:rsid w:val="00926C74"/>
    <w:rsid w:val="009272EE"/>
    <w:rsid w:val="00931019"/>
    <w:rsid w:val="00933891"/>
    <w:rsid w:val="0093398D"/>
    <w:rsid w:val="00933BCC"/>
    <w:rsid w:val="00933C90"/>
    <w:rsid w:val="00934AD9"/>
    <w:rsid w:val="00934BD7"/>
    <w:rsid w:val="009352CF"/>
    <w:rsid w:val="00935461"/>
    <w:rsid w:val="0093772F"/>
    <w:rsid w:val="0094047D"/>
    <w:rsid w:val="00940A65"/>
    <w:rsid w:val="00940B1C"/>
    <w:rsid w:val="009410A9"/>
    <w:rsid w:val="00941EBE"/>
    <w:rsid w:val="00941FB5"/>
    <w:rsid w:val="009426D1"/>
    <w:rsid w:val="0094292A"/>
    <w:rsid w:val="00943C45"/>
    <w:rsid w:val="00943CA8"/>
    <w:rsid w:val="009441B3"/>
    <w:rsid w:val="0094425A"/>
    <w:rsid w:val="009443F3"/>
    <w:rsid w:val="00945074"/>
    <w:rsid w:val="0094523B"/>
    <w:rsid w:val="00945BB1"/>
    <w:rsid w:val="009463A2"/>
    <w:rsid w:val="009463A9"/>
    <w:rsid w:val="00947403"/>
    <w:rsid w:val="00947766"/>
    <w:rsid w:val="009477BD"/>
    <w:rsid w:val="00947AB3"/>
    <w:rsid w:val="00950F4B"/>
    <w:rsid w:val="0095155C"/>
    <w:rsid w:val="009520F1"/>
    <w:rsid w:val="00952863"/>
    <w:rsid w:val="00953D1B"/>
    <w:rsid w:val="00954082"/>
    <w:rsid w:val="00954BC4"/>
    <w:rsid w:val="00954CD8"/>
    <w:rsid w:val="00955745"/>
    <w:rsid w:val="00956732"/>
    <w:rsid w:val="009568CD"/>
    <w:rsid w:val="00957E96"/>
    <w:rsid w:val="00960BF0"/>
    <w:rsid w:val="00961348"/>
    <w:rsid w:val="009613B8"/>
    <w:rsid w:val="0096154C"/>
    <w:rsid w:val="00961B70"/>
    <w:rsid w:val="00961D05"/>
    <w:rsid w:val="00962814"/>
    <w:rsid w:val="00962B93"/>
    <w:rsid w:val="00962EFD"/>
    <w:rsid w:val="009633FC"/>
    <w:rsid w:val="0096356F"/>
    <w:rsid w:val="009635DF"/>
    <w:rsid w:val="00963DB9"/>
    <w:rsid w:val="009644E6"/>
    <w:rsid w:val="00964F6D"/>
    <w:rsid w:val="0096547D"/>
    <w:rsid w:val="009655B3"/>
    <w:rsid w:val="0096565F"/>
    <w:rsid w:val="00965D38"/>
    <w:rsid w:val="00965FD9"/>
    <w:rsid w:val="00966E3C"/>
    <w:rsid w:val="00966FAF"/>
    <w:rsid w:val="009676E2"/>
    <w:rsid w:val="009679FE"/>
    <w:rsid w:val="00967E7B"/>
    <w:rsid w:val="00970B42"/>
    <w:rsid w:val="00972757"/>
    <w:rsid w:val="0097334C"/>
    <w:rsid w:val="00973667"/>
    <w:rsid w:val="00974585"/>
    <w:rsid w:val="009749D5"/>
    <w:rsid w:val="00974D9A"/>
    <w:rsid w:val="00975CBF"/>
    <w:rsid w:val="00976A6D"/>
    <w:rsid w:val="00976B82"/>
    <w:rsid w:val="0097747D"/>
    <w:rsid w:val="009774A5"/>
    <w:rsid w:val="00977711"/>
    <w:rsid w:val="009779B4"/>
    <w:rsid w:val="009805E1"/>
    <w:rsid w:val="009807AA"/>
    <w:rsid w:val="00980F9D"/>
    <w:rsid w:val="00981EFE"/>
    <w:rsid w:val="009821D2"/>
    <w:rsid w:val="00982D77"/>
    <w:rsid w:val="009834B6"/>
    <w:rsid w:val="00984291"/>
    <w:rsid w:val="00984F93"/>
    <w:rsid w:val="00986420"/>
    <w:rsid w:val="0098666C"/>
    <w:rsid w:val="00986B0B"/>
    <w:rsid w:val="00987B39"/>
    <w:rsid w:val="00990208"/>
    <w:rsid w:val="00990ED8"/>
    <w:rsid w:val="0099111A"/>
    <w:rsid w:val="0099216F"/>
    <w:rsid w:val="00992D15"/>
    <w:rsid w:val="009936B4"/>
    <w:rsid w:val="00993B57"/>
    <w:rsid w:val="00993E18"/>
    <w:rsid w:val="00993EBB"/>
    <w:rsid w:val="00994218"/>
    <w:rsid w:val="0099595E"/>
    <w:rsid w:val="00995DDC"/>
    <w:rsid w:val="009962C2"/>
    <w:rsid w:val="0099637A"/>
    <w:rsid w:val="00996F86"/>
    <w:rsid w:val="009977F0"/>
    <w:rsid w:val="00997DD9"/>
    <w:rsid w:val="009A04D6"/>
    <w:rsid w:val="009A0F5C"/>
    <w:rsid w:val="009A1882"/>
    <w:rsid w:val="009A1E33"/>
    <w:rsid w:val="009A379C"/>
    <w:rsid w:val="009A3EAE"/>
    <w:rsid w:val="009A68E5"/>
    <w:rsid w:val="009A6C5D"/>
    <w:rsid w:val="009A70FB"/>
    <w:rsid w:val="009A724A"/>
    <w:rsid w:val="009A73F4"/>
    <w:rsid w:val="009A761F"/>
    <w:rsid w:val="009A7995"/>
    <w:rsid w:val="009B0AE2"/>
    <w:rsid w:val="009B13DB"/>
    <w:rsid w:val="009B169A"/>
    <w:rsid w:val="009B1E49"/>
    <w:rsid w:val="009B1F0E"/>
    <w:rsid w:val="009B2471"/>
    <w:rsid w:val="009B24DF"/>
    <w:rsid w:val="009B28E9"/>
    <w:rsid w:val="009B399B"/>
    <w:rsid w:val="009B48E5"/>
    <w:rsid w:val="009B4A86"/>
    <w:rsid w:val="009B5C7F"/>
    <w:rsid w:val="009B694E"/>
    <w:rsid w:val="009B6AB0"/>
    <w:rsid w:val="009B6CA5"/>
    <w:rsid w:val="009B7B42"/>
    <w:rsid w:val="009C084D"/>
    <w:rsid w:val="009C1114"/>
    <w:rsid w:val="009C1773"/>
    <w:rsid w:val="009C1A1F"/>
    <w:rsid w:val="009C1B4E"/>
    <w:rsid w:val="009C1D89"/>
    <w:rsid w:val="009C35BF"/>
    <w:rsid w:val="009C3DCC"/>
    <w:rsid w:val="009C53A0"/>
    <w:rsid w:val="009C5ACB"/>
    <w:rsid w:val="009C5B65"/>
    <w:rsid w:val="009C673E"/>
    <w:rsid w:val="009C6A2F"/>
    <w:rsid w:val="009C7407"/>
    <w:rsid w:val="009D067F"/>
    <w:rsid w:val="009D070B"/>
    <w:rsid w:val="009D0D98"/>
    <w:rsid w:val="009D155B"/>
    <w:rsid w:val="009D1C3C"/>
    <w:rsid w:val="009D1CA4"/>
    <w:rsid w:val="009D226D"/>
    <w:rsid w:val="009D29D3"/>
    <w:rsid w:val="009D2A2C"/>
    <w:rsid w:val="009D2C3E"/>
    <w:rsid w:val="009D2CA0"/>
    <w:rsid w:val="009D2E0E"/>
    <w:rsid w:val="009D30DA"/>
    <w:rsid w:val="009D3174"/>
    <w:rsid w:val="009D3316"/>
    <w:rsid w:val="009D370F"/>
    <w:rsid w:val="009D3C6D"/>
    <w:rsid w:val="009D408A"/>
    <w:rsid w:val="009D429C"/>
    <w:rsid w:val="009D50F3"/>
    <w:rsid w:val="009D5824"/>
    <w:rsid w:val="009D6025"/>
    <w:rsid w:val="009D6D36"/>
    <w:rsid w:val="009D7408"/>
    <w:rsid w:val="009D7961"/>
    <w:rsid w:val="009E0290"/>
    <w:rsid w:val="009E0B00"/>
    <w:rsid w:val="009E0F10"/>
    <w:rsid w:val="009E11B4"/>
    <w:rsid w:val="009E1230"/>
    <w:rsid w:val="009E139E"/>
    <w:rsid w:val="009E1782"/>
    <w:rsid w:val="009E1C92"/>
    <w:rsid w:val="009E21C6"/>
    <w:rsid w:val="009E2EDA"/>
    <w:rsid w:val="009E36FD"/>
    <w:rsid w:val="009E4EF6"/>
    <w:rsid w:val="009E52E8"/>
    <w:rsid w:val="009E56D4"/>
    <w:rsid w:val="009E5CBB"/>
    <w:rsid w:val="009E5F47"/>
    <w:rsid w:val="009F0003"/>
    <w:rsid w:val="009F019A"/>
    <w:rsid w:val="009F1C54"/>
    <w:rsid w:val="009F1F59"/>
    <w:rsid w:val="009F377A"/>
    <w:rsid w:val="009F3856"/>
    <w:rsid w:val="009F39B5"/>
    <w:rsid w:val="009F3FCC"/>
    <w:rsid w:val="009F4141"/>
    <w:rsid w:val="009F43DB"/>
    <w:rsid w:val="009F4CD8"/>
    <w:rsid w:val="009F52A5"/>
    <w:rsid w:val="009F5BFB"/>
    <w:rsid w:val="009F65A1"/>
    <w:rsid w:val="009F7118"/>
    <w:rsid w:val="009F71CE"/>
    <w:rsid w:val="009F7728"/>
    <w:rsid w:val="009F78FF"/>
    <w:rsid w:val="00A001CE"/>
    <w:rsid w:val="00A00360"/>
    <w:rsid w:val="00A0067B"/>
    <w:rsid w:val="00A007E6"/>
    <w:rsid w:val="00A01EF4"/>
    <w:rsid w:val="00A026FF"/>
    <w:rsid w:val="00A02C4C"/>
    <w:rsid w:val="00A03A6F"/>
    <w:rsid w:val="00A03C7F"/>
    <w:rsid w:val="00A054F3"/>
    <w:rsid w:val="00A05A3A"/>
    <w:rsid w:val="00A05E79"/>
    <w:rsid w:val="00A0636A"/>
    <w:rsid w:val="00A0708C"/>
    <w:rsid w:val="00A07408"/>
    <w:rsid w:val="00A10BA6"/>
    <w:rsid w:val="00A115B2"/>
    <w:rsid w:val="00A12EBB"/>
    <w:rsid w:val="00A14418"/>
    <w:rsid w:val="00A14495"/>
    <w:rsid w:val="00A163D2"/>
    <w:rsid w:val="00A16B98"/>
    <w:rsid w:val="00A16D99"/>
    <w:rsid w:val="00A170C8"/>
    <w:rsid w:val="00A173A8"/>
    <w:rsid w:val="00A201F8"/>
    <w:rsid w:val="00A20288"/>
    <w:rsid w:val="00A20753"/>
    <w:rsid w:val="00A20B38"/>
    <w:rsid w:val="00A21988"/>
    <w:rsid w:val="00A21CE7"/>
    <w:rsid w:val="00A21D1C"/>
    <w:rsid w:val="00A21F08"/>
    <w:rsid w:val="00A22621"/>
    <w:rsid w:val="00A22C38"/>
    <w:rsid w:val="00A235C2"/>
    <w:rsid w:val="00A23729"/>
    <w:rsid w:val="00A23AF1"/>
    <w:rsid w:val="00A240FB"/>
    <w:rsid w:val="00A24477"/>
    <w:rsid w:val="00A2489C"/>
    <w:rsid w:val="00A249E1"/>
    <w:rsid w:val="00A24B66"/>
    <w:rsid w:val="00A24C01"/>
    <w:rsid w:val="00A25589"/>
    <w:rsid w:val="00A25F57"/>
    <w:rsid w:val="00A27879"/>
    <w:rsid w:val="00A27F7A"/>
    <w:rsid w:val="00A30C09"/>
    <w:rsid w:val="00A3112A"/>
    <w:rsid w:val="00A3166D"/>
    <w:rsid w:val="00A317D3"/>
    <w:rsid w:val="00A339A8"/>
    <w:rsid w:val="00A33F50"/>
    <w:rsid w:val="00A3506D"/>
    <w:rsid w:val="00A35794"/>
    <w:rsid w:val="00A366FE"/>
    <w:rsid w:val="00A36834"/>
    <w:rsid w:val="00A36CA7"/>
    <w:rsid w:val="00A36F7B"/>
    <w:rsid w:val="00A37706"/>
    <w:rsid w:val="00A40AD4"/>
    <w:rsid w:val="00A41355"/>
    <w:rsid w:val="00A41D5F"/>
    <w:rsid w:val="00A42356"/>
    <w:rsid w:val="00A478FF"/>
    <w:rsid w:val="00A479E7"/>
    <w:rsid w:val="00A5032C"/>
    <w:rsid w:val="00A50EDB"/>
    <w:rsid w:val="00A517EB"/>
    <w:rsid w:val="00A51C62"/>
    <w:rsid w:val="00A51DD3"/>
    <w:rsid w:val="00A51F88"/>
    <w:rsid w:val="00A52D30"/>
    <w:rsid w:val="00A52D38"/>
    <w:rsid w:val="00A538D2"/>
    <w:rsid w:val="00A53C81"/>
    <w:rsid w:val="00A53EEA"/>
    <w:rsid w:val="00A5418F"/>
    <w:rsid w:val="00A541DB"/>
    <w:rsid w:val="00A5430A"/>
    <w:rsid w:val="00A54694"/>
    <w:rsid w:val="00A54FA0"/>
    <w:rsid w:val="00A555B5"/>
    <w:rsid w:val="00A55960"/>
    <w:rsid w:val="00A55B4E"/>
    <w:rsid w:val="00A55EB6"/>
    <w:rsid w:val="00A56513"/>
    <w:rsid w:val="00A568A5"/>
    <w:rsid w:val="00A57218"/>
    <w:rsid w:val="00A578AF"/>
    <w:rsid w:val="00A600C5"/>
    <w:rsid w:val="00A60591"/>
    <w:rsid w:val="00A60C7C"/>
    <w:rsid w:val="00A61C60"/>
    <w:rsid w:val="00A6205F"/>
    <w:rsid w:val="00A62F3D"/>
    <w:rsid w:val="00A63B95"/>
    <w:rsid w:val="00A644B7"/>
    <w:rsid w:val="00A65B21"/>
    <w:rsid w:val="00A6647D"/>
    <w:rsid w:val="00A66CC2"/>
    <w:rsid w:val="00A675FC"/>
    <w:rsid w:val="00A700E9"/>
    <w:rsid w:val="00A70253"/>
    <w:rsid w:val="00A717BB"/>
    <w:rsid w:val="00A71EA2"/>
    <w:rsid w:val="00A73923"/>
    <w:rsid w:val="00A73DB2"/>
    <w:rsid w:val="00A751F3"/>
    <w:rsid w:val="00A762B7"/>
    <w:rsid w:val="00A77A15"/>
    <w:rsid w:val="00A80A9D"/>
    <w:rsid w:val="00A80C09"/>
    <w:rsid w:val="00A8255C"/>
    <w:rsid w:val="00A82903"/>
    <w:rsid w:val="00A837AA"/>
    <w:rsid w:val="00A83D0A"/>
    <w:rsid w:val="00A84667"/>
    <w:rsid w:val="00A84AFC"/>
    <w:rsid w:val="00A84D4D"/>
    <w:rsid w:val="00A87E93"/>
    <w:rsid w:val="00A90675"/>
    <w:rsid w:val="00A90702"/>
    <w:rsid w:val="00A909C5"/>
    <w:rsid w:val="00A91797"/>
    <w:rsid w:val="00A91C27"/>
    <w:rsid w:val="00A92293"/>
    <w:rsid w:val="00A929F3"/>
    <w:rsid w:val="00A93D72"/>
    <w:rsid w:val="00A940C6"/>
    <w:rsid w:val="00A942B9"/>
    <w:rsid w:val="00A94BAB"/>
    <w:rsid w:val="00A94FC4"/>
    <w:rsid w:val="00A955F3"/>
    <w:rsid w:val="00A957BB"/>
    <w:rsid w:val="00A9665D"/>
    <w:rsid w:val="00A967A2"/>
    <w:rsid w:val="00A96B21"/>
    <w:rsid w:val="00A96BA0"/>
    <w:rsid w:val="00AA02DC"/>
    <w:rsid w:val="00AA0C01"/>
    <w:rsid w:val="00AA0C13"/>
    <w:rsid w:val="00AA11F9"/>
    <w:rsid w:val="00AA22C1"/>
    <w:rsid w:val="00AA2ABD"/>
    <w:rsid w:val="00AA2C82"/>
    <w:rsid w:val="00AA2FA7"/>
    <w:rsid w:val="00AA333D"/>
    <w:rsid w:val="00AA3558"/>
    <w:rsid w:val="00AA36DD"/>
    <w:rsid w:val="00AA3B85"/>
    <w:rsid w:val="00AA47C5"/>
    <w:rsid w:val="00AA4EE7"/>
    <w:rsid w:val="00AA5321"/>
    <w:rsid w:val="00AA55AB"/>
    <w:rsid w:val="00AA5B72"/>
    <w:rsid w:val="00AA5DBB"/>
    <w:rsid w:val="00AA5EDC"/>
    <w:rsid w:val="00AA60D8"/>
    <w:rsid w:val="00AA6D3E"/>
    <w:rsid w:val="00AA70BE"/>
    <w:rsid w:val="00AA7790"/>
    <w:rsid w:val="00AA7B79"/>
    <w:rsid w:val="00AB0940"/>
    <w:rsid w:val="00AB0D7F"/>
    <w:rsid w:val="00AB1CF2"/>
    <w:rsid w:val="00AB27A8"/>
    <w:rsid w:val="00AB32CD"/>
    <w:rsid w:val="00AB342B"/>
    <w:rsid w:val="00AB3DF1"/>
    <w:rsid w:val="00AB3EFB"/>
    <w:rsid w:val="00AB48A6"/>
    <w:rsid w:val="00AB4EA4"/>
    <w:rsid w:val="00AB60EF"/>
    <w:rsid w:val="00AB6D3E"/>
    <w:rsid w:val="00AB6EB0"/>
    <w:rsid w:val="00AB75BC"/>
    <w:rsid w:val="00AC0123"/>
    <w:rsid w:val="00AC0797"/>
    <w:rsid w:val="00AC1709"/>
    <w:rsid w:val="00AC1875"/>
    <w:rsid w:val="00AC1BA0"/>
    <w:rsid w:val="00AC2333"/>
    <w:rsid w:val="00AC2394"/>
    <w:rsid w:val="00AC24DA"/>
    <w:rsid w:val="00AC2FCF"/>
    <w:rsid w:val="00AC3192"/>
    <w:rsid w:val="00AC357F"/>
    <w:rsid w:val="00AC3730"/>
    <w:rsid w:val="00AC3ACC"/>
    <w:rsid w:val="00AC4034"/>
    <w:rsid w:val="00AC487B"/>
    <w:rsid w:val="00AC5D59"/>
    <w:rsid w:val="00AC5DCE"/>
    <w:rsid w:val="00AC62CD"/>
    <w:rsid w:val="00AC641A"/>
    <w:rsid w:val="00AC69AB"/>
    <w:rsid w:val="00AC7C0E"/>
    <w:rsid w:val="00AC7E62"/>
    <w:rsid w:val="00AC7FCB"/>
    <w:rsid w:val="00AD0294"/>
    <w:rsid w:val="00AD07EF"/>
    <w:rsid w:val="00AD0B9A"/>
    <w:rsid w:val="00AD12D3"/>
    <w:rsid w:val="00AD1FE8"/>
    <w:rsid w:val="00AD2D0D"/>
    <w:rsid w:val="00AD315B"/>
    <w:rsid w:val="00AD581E"/>
    <w:rsid w:val="00AD60D6"/>
    <w:rsid w:val="00AD66BC"/>
    <w:rsid w:val="00AD6AF9"/>
    <w:rsid w:val="00AD7EFD"/>
    <w:rsid w:val="00AE0886"/>
    <w:rsid w:val="00AE1A95"/>
    <w:rsid w:val="00AE1C22"/>
    <w:rsid w:val="00AE1F1A"/>
    <w:rsid w:val="00AE2174"/>
    <w:rsid w:val="00AE2513"/>
    <w:rsid w:val="00AE2D8C"/>
    <w:rsid w:val="00AE31A5"/>
    <w:rsid w:val="00AE398F"/>
    <w:rsid w:val="00AE40D9"/>
    <w:rsid w:val="00AE5965"/>
    <w:rsid w:val="00AE596A"/>
    <w:rsid w:val="00AE5F6A"/>
    <w:rsid w:val="00AE6716"/>
    <w:rsid w:val="00AE6D93"/>
    <w:rsid w:val="00AE72FA"/>
    <w:rsid w:val="00AE75AA"/>
    <w:rsid w:val="00AE7C2E"/>
    <w:rsid w:val="00AE7F14"/>
    <w:rsid w:val="00AF0B20"/>
    <w:rsid w:val="00AF184D"/>
    <w:rsid w:val="00AF1B4F"/>
    <w:rsid w:val="00AF24F6"/>
    <w:rsid w:val="00AF34F1"/>
    <w:rsid w:val="00AF36A7"/>
    <w:rsid w:val="00AF379F"/>
    <w:rsid w:val="00AF3BF5"/>
    <w:rsid w:val="00AF40E7"/>
    <w:rsid w:val="00AF4108"/>
    <w:rsid w:val="00AF456E"/>
    <w:rsid w:val="00AF4CC9"/>
    <w:rsid w:val="00AF4E3F"/>
    <w:rsid w:val="00AF6897"/>
    <w:rsid w:val="00AF6BA2"/>
    <w:rsid w:val="00AF7779"/>
    <w:rsid w:val="00AF7B0E"/>
    <w:rsid w:val="00B00A6C"/>
    <w:rsid w:val="00B01AF7"/>
    <w:rsid w:val="00B01D4C"/>
    <w:rsid w:val="00B027F5"/>
    <w:rsid w:val="00B030E9"/>
    <w:rsid w:val="00B0364E"/>
    <w:rsid w:val="00B03826"/>
    <w:rsid w:val="00B039FD"/>
    <w:rsid w:val="00B03DA6"/>
    <w:rsid w:val="00B04043"/>
    <w:rsid w:val="00B04254"/>
    <w:rsid w:val="00B044EE"/>
    <w:rsid w:val="00B05298"/>
    <w:rsid w:val="00B05866"/>
    <w:rsid w:val="00B05F0F"/>
    <w:rsid w:val="00B0627C"/>
    <w:rsid w:val="00B06DB0"/>
    <w:rsid w:val="00B06F48"/>
    <w:rsid w:val="00B070D5"/>
    <w:rsid w:val="00B0734F"/>
    <w:rsid w:val="00B10F67"/>
    <w:rsid w:val="00B1189E"/>
    <w:rsid w:val="00B12591"/>
    <w:rsid w:val="00B13520"/>
    <w:rsid w:val="00B14452"/>
    <w:rsid w:val="00B1457F"/>
    <w:rsid w:val="00B14727"/>
    <w:rsid w:val="00B1604B"/>
    <w:rsid w:val="00B166EB"/>
    <w:rsid w:val="00B170EF"/>
    <w:rsid w:val="00B1721C"/>
    <w:rsid w:val="00B2014A"/>
    <w:rsid w:val="00B20C82"/>
    <w:rsid w:val="00B21252"/>
    <w:rsid w:val="00B2174F"/>
    <w:rsid w:val="00B233B0"/>
    <w:rsid w:val="00B23E98"/>
    <w:rsid w:val="00B24A64"/>
    <w:rsid w:val="00B250CE"/>
    <w:rsid w:val="00B2527C"/>
    <w:rsid w:val="00B25454"/>
    <w:rsid w:val="00B25A9D"/>
    <w:rsid w:val="00B27977"/>
    <w:rsid w:val="00B3013A"/>
    <w:rsid w:val="00B30757"/>
    <w:rsid w:val="00B30B5C"/>
    <w:rsid w:val="00B31A72"/>
    <w:rsid w:val="00B320F5"/>
    <w:rsid w:val="00B326EA"/>
    <w:rsid w:val="00B32AC3"/>
    <w:rsid w:val="00B32CA1"/>
    <w:rsid w:val="00B342F6"/>
    <w:rsid w:val="00B34690"/>
    <w:rsid w:val="00B347D9"/>
    <w:rsid w:val="00B3498B"/>
    <w:rsid w:val="00B36EA9"/>
    <w:rsid w:val="00B37017"/>
    <w:rsid w:val="00B37284"/>
    <w:rsid w:val="00B372C0"/>
    <w:rsid w:val="00B3734B"/>
    <w:rsid w:val="00B3765A"/>
    <w:rsid w:val="00B37B75"/>
    <w:rsid w:val="00B37C13"/>
    <w:rsid w:val="00B40B1F"/>
    <w:rsid w:val="00B42663"/>
    <w:rsid w:val="00B42D49"/>
    <w:rsid w:val="00B444DE"/>
    <w:rsid w:val="00B44DE2"/>
    <w:rsid w:val="00B44EDB"/>
    <w:rsid w:val="00B45807"/>
    <w:rsid w:val="00B463B1"/>
    <w:rsid w:val="00B47A3E"/>
    <w:rsid w:val="00B510BE"/>
    <w:rsid w:val="00B512AB"/>
    <w:rsid w:val="00B51426"/>
    <w:rsid w:val="00B517D8"/>
    <w:rsid w:val="00B5192E"/>
    <w:rsid w:val="00B51C11"/>
    <w:rsid w:val="00B5276B"/>
    <w:rsid w:val="00B53186"/>
    <w:rsid w:val="00B54A6C"/>
    <w:rsid w:val="00B55771"/>
    <w:rsid w:val="00B55BE7"/>
    <w:rsid w:val="00B56041"/>
    <w:rsid w:val="00B56094"/>
    <w:rsid w:val="00B60136"/>
    <w:rsid w:val="00B602B2"/>
    <w:rsid w:val="00B6133F"/>
    <w:rsid w:val="00B6380A"/>
    <w:rsid w:val="00B64696"/>
    <w:rsid w:val="00B64C65"/>
    <w:rsid w:val="00B64DBC"/>
    <w:rsid w:val="00B66981"/>
    <w:rsid w:val="00B67418"/>
    <w:rsid w:val="00B67F82"/>
    <w:rsid w:val="00B70049"/>
    <w:rsid w:val="00B70BE3"/>
    <w:rsid w:val="00B71314"/>
    <w:rsid w:val="00B71EA8"/>
    <w:rsid w:val="00B72308"/>
    <w:rsid w:val="00B74061"/>
    <w:rsid w:val="00B75FFC"/>
    <w:rsid w:val="00B767F2"/>
    <w:rsid w:val="00B768DC"/>
    <w:rsid w:val="00B76C64"/>
    <w:rsid w:val="00B77BAA"/>
    <w:rsid w:val="00B80982"/>
    <w:rsid w:val="00B80AF9"/>
    <w:rsid w:val="00B82472"/>
    <w:rsid w:val="00B82545"/>
    <w:rsid w:val="00B827F3"/>
    <w:rsid w:val="00B83616"/>
    <w:rsid w:val="00B83F6D"/>
    <w:rsid w:val="00B84022"/>
    <w:rsid w:val="00B8431F"/>
    <w:rsid w:val="00B84970"/>
    <w:rsid w:val="00B84AB2"/>
    <w:rsid w:val="00B85686"/>
    <w:rsid w:val="00B859BB"/>
    <w:rsid w:val="00B85E6A"/>
    <w:rsid w:val="00B86001"/>
    <w:rsid w:val="00B8602C"/>
    <w:rsid w:val="00B8774E"/>
    <w:rsid w:val="00B90A26"/>
    <w:rsid w:val="00B91237"/>
    <w:rsid w:val="00B91631"/>
    <w:rsid w:val="00B91B0E"/>
    <w:rsid w:val="00B91EF8"/>
    <w:rsid w:val="00B923A1"/>
    <w:rsid w:val="00B92C05"/>
    <w:rsid w:val="00B93596"/>
    <w:rsid w:val="00B93CD5"/>
    <w:rsid w:val="00B94309"/>
    <w:rsid w:val="00B948D9"/>
    <w:rsid w:val="00B94DAC"/>
    <w:rsid w:val="00B958FB"/>
    <w:rsid w:val="00B966EA"/>
    <w:rsid w:val="00B96C1C"/>
    <w:rsid w:val="00B9753B"/>
    <w:rsid w:val="00BA0A33"/>
    <w:rsid w:val="00BA11AC"/>
    <w:rsid w:val="00BA1285"/>
    <w:rsid w:val="00BA1617"/>
    <w:rsid w:val="00BA2E2D"/>
    <w:rsid w:val="00BA3248"/>
    <w:rsid w:val="00BA3B30"/>
    <w:rsid w:val="00BA3DBD"/>
    <w:rsid w:val="00BA3F31"/>
    <w:rsid w:val="00BA45E4"/>
    <w:rsid w:val="00BA49CF"/>
    <w:rsid w:val="00BA4EEC"/>
    <w:rsid w:val="00BA5C18"/>
    <w:rsid w:val="00BA5E1C"/>
    <w:rsid w:val="00BA6C0F"/>
    <w:rsid w:val="00BA6C44"/>
    <w:rsid w:val="00BA772D"/>
    <w:rsid w:val="00BB0204"/>
    <w:rsid w:val="00BB118B"/>
    <w:rsid w:val="00BB174D"/>
    <w:rsid w:val="00BB2299"/>
    <w:rsid w:val="00BB2968"/>
    <w:rsid w:val="00BB2F21"/>
    <w:rsid w:val="00BB2FFD"/>
    <w:rsid w:val="00BB3813"/>
    <w:rsid w:val="00BB3CAA"/>
    <w:rsid w:val="00BB3CEA"/>
    <w:rsid w:val="00BB3D0E"/>
    <w:rsid w:val="00BB3D3E"/>
    <w:rsid w:val="00BB3FEB"/>
    <w:rsid w:val="00BB4003"/>
    <w:rsid w:val="00BB442C"/>
    <w:rsid w:val="00BB4736"/>
    <w:rsid w:val="00BB4805"/>
    <w:rsid w:val="00BB630B"/>
    <w:rsid w:val="00BB6B52"/>
    <w:rsid w:val="00BB711F"/>
    <w:rsid w:val="00BC0079"/>
    <w:rsid w:val="00BC02B9"/>
    <w:rsid w:val="00BC02C4"/>
    <w:rsid w:val="00BC030F"/>
    <w:rsid w:val="00BC0CD5"/>
    <w:rsid w:val="00BC0FC0"/>
    <w:rsid w:val="00BC14D4"/>
    <w:rsid w:val="00BC1695"/>
    <w:rsid w:val="00BC1EEB"/>
    <w:rsid w:val="00BC259F"/>
    <w:rsid w:val="00BC2681"/>
    <w:rsid w:val="00BC3233"/>
    <w:rsid w:val="00BC3A2A"/>
    <w:rsid w:val="00BC3CB2"/>
    <w:rsid w:val="00BC461C"/>
    <w:rsid w:val="00BC4629"/>
    <w:rsid w:val="00BC478F"/>
    <w:rsid w:val="00BC4AA9"/>
    <w:rsid w:val="00BC4E53"/>
    <w:rsid w:val="00BC52EA"/>
    <w:rsid w:val="00BC5B75"/>
    <w:rsid w:val="00BC5DEF"/>
    <w:rsid w:val="00BC66D5"/>
    <w:rsid w:val="00BC6C9B"/>
    <w:rsid w:val="00BC6D8E"/>
    <w:rsid w:val="00BC79A5"/>
    <w:rsid w:val="00BC7B8E"/>
    <w:rsid w:val="00BD0585"/>
    <w:rsid w:val="00BD0614"/>
    <w:rsid w:val="00BD0BCA"/>
    <w:rsid w:val="00BD0BD9"/>
    <w:rsid w:val="00BD1176"/>
    <w:rsid w:val="00BD13B8"/>
    <w:rsid w:val="00BD2C57"/>
    <w:rsid w:val="00BD2EC7"/>
    <w:rsid w:val="00BD3755"/>
    <w:rsid w:val="00BD507D"/>
    <w:rsid w:val="00BD5A45"/>
    <w:rsid w:val="00BD5C7B"/>
    <w:rsid w:val="00BD5FA7"/>
    <w:rsid w:val="00BD7313"/>
    <w:rsid w:val="00BD74DB"/>
    <w:rsid w:val="00BE01A4"/>
    <w:rsid w:val="00BE05FC"/>
    <w:rsid w:val="00BE0994"/>
    <w:rsid w:val="00BE0BE4"/>
    <w:rsid w:val="00BE0C94"/>
    <w:rsid w:val="00BE1261"/>
    <w:rsid w:val="00BE255B"/>
    <w:rsid w:val="00BE2AE8"/>
    <w:rsid w:val="00BE3C56"/>
    <w:rsid w:val="00BE51F9"/>
    <w:rsid w:val="00BE5EAE"/>
    <w:rsid w:val="00BE623E"/>
    <w:rsid w:val="00BE6702"/>
    <w:rsid w:val="00BE67A2"/>
    <w:rsid w:val="00BE67E3"/>
    <w:rsid w:val="00BE7030"/>
    <w:rsid w:val="00BE7E75"/>
    <w:rsid w:val="00BE7FDB"/>
    <w:rsid w:val="00BF0D98"/>
    <w:rsid w:val="00BF1E65"/>
    <w:rsid w:val="00BF238A"/>
    <w:rsid w:val="00BF2687"/>
    <w:rsid w:val="00BF34B4"/>
    <w:rsid w:val="00BF35BB"/>
    <w:rsid w:val="00BF46CC"/>
    <w:rsid w:val="00BF533A"/>
    <w:rsid w:val="00BF55E4"/>
    <w:rsid w:val="00BF673F"/>
    <w:rsid w:val="00BF70F5"/>
    <w:rsid w:val="00BF73E3"/>
    <w:rsid w:val="00BF7548"/>
    <w:rsid w:val="00BF75F1"/>
    <w:rsid w:val="00BF79F9"/>
    <w:rsid w:val="00BF7B6A"/>
    <w:rsid w:val="00C000B8"/>
    <w:rsid w:val="00C00C00"/>
    <w:rsid w:val="00C00EB4"/>
    <w:rsid w:val="00C01D5B"/>
    <w:rsid w:val="00C02FBE"/>
    <w:rsid w:val="00C032BD"/>
    <w:rsid w:val="00C037DE"/>
    <w:rsid w:val="00C039B7"/>
    <w:rsid w:val="00C04A99"/>
    <w:rsid w:val="00C04B36"/>
    <w:rsid w:val="00C04B78"/>
    <w:rsid w:val="00C053D9"/>
    <w:rsid w:val="00C05565"/>
    <w:rsid w:val="00C05774"/>
    <w:rsid w:val="00C05B27"/>
    <w:rsid w:val="00C05D55"/>
    <w:rsid w:val="00C06351"/>
    <w:rsid w:val="00C06784"/>
    <w:rsid w:val="00C06BEF"/>
    <w:rsid w:val="00C06C49"/>
    <w:rsid w:val="00C07160"/>
    <w:rsid w:val="00C07681"/>
    <w:rsid w:val="00C07A60"/>
    <w:rsid w:val="00C07CB7"/>
    <w:rsid w:val="00C106DC"/>
    <w:rsid w:val="00C1089E"/>
    <w:rsid w:val="00C10979"/>
    <w:rsid w:val="00C10C24"/>
    <w:rsid w:val="00C11B23"/>
    <w:rsid w:val="00C11C42"/>
    <w:rsid w:val="00C11DDA"/>
    <w:rsid w:val="00C13197"/>
    <w:rsid w:val="00C135E0"/>
    <w:rsid w:val="00C137D9"/>
    <w:rsid w:val="00C1459E"/>
    <w:rsid w:val="00C145DF"/>
    <w:rsid w:val="00C14886"/>
    <w:rsid w:val="00C1523D"/>
    <w:rsid w:val="00C155DA"/>
    <w:rsid w:val="00C16166"/>
    <w:rsid w:val="00C1635C"/>
    <w:rsid w:val="00C171F7"/>
    <w:rsid w:val="00C1779B"/>
    <w:rsid w:val="00C20AF2"/>
    <w:rsid w:val="00C20E68"/>
    <w:rsid w:val="00C2354A"/>
    <w:rsid w:val="00C248A7"/>
    <w:rsid w:val="00C24DD3"/>
    <w:rsid w:val="00C25857"/>
    <w:rsid w:val="00C25E90"/>
    <w:rsid w:val="00C2735A"/>
    <w:rsid w:val="00C27B2F"/>
    <w:rsid w:val="00C27D28"/>
    <w:rsid w:val="00C27FB5"/>
    <w:rsid w:val="00C27FE3"/>
    <w:rsid w:val="00C3055B"/>
    <w:rsid w:val="00C30D6F"/>
    <w:rsid w:val="00C322B8"/>
    <w:rsid w:val="00C328A7"/>
    <w:rsid w:val="00C32A74"/>
    <w:rsid w:val="00C3312D"/>
    <w:rsid w:val="00C333B7"/>
    <w:rsid w:val="00C33EFB"/>
    <w:rsid w:val="00C34216"/>
    <w:rsid w:val="00C348C3"/>
    <w:rsid w:val="00C36ED7"/>
    <w:rsid w:val="00C37098"/>
    <w:rsid w:val="00C3799D"/>
    <w:rsid w:val="00C41074"/>
    <w:rsid w:val="00C4157D"/>
    <w:rsid w:val="00C41E66"/>
    <w:rsid w:val="00C42711"/>
    <w:rsid w:val="00C43438"/>
    <w:rsid w:val="00C443E5"/>
    <w:rsid w:val="00C44BFD"/>
    <w:rsid w:val="00C44CC6"/>
    <w:rsid w:val="00C45089"/>
    <w:rsid w:val="00C45A09"/>
    <w:rsid w:val="00C4606C"/>
    <w:rsid w:val="00C46167"/>
    <w:rsid w:val="00C472A5"/>
    <w:rsid w:val="00C47E44"/>
    <w:rsid w:val="00C47F29"/>
    <w:rsid w:val="00C50C01"/>
    <w:rsid w:val="00C50F22"/>
    <w:rsid w:val="00C511A2"/>
    <w:rsid w:val="00C51C49"/>
    <w:rsid w:val="00C51D69"/>
    <w:rsid w:val="00C52340"/>
    <w:rsid w:val="00C52F1F"/>
    <w:rsid w:val="00C531E5"/>
    <w:rsid w:val="00C53A99"/>
    <w:rsid w:val="00C53CA4"/>
    <w:rsid w:val="00C54AC9"/>
    <w:rsid w:val="00C5548B"/>
    <w:rsid w:val="00C556D4"/>
    <w:rsid w:val="00C5596E"/>
    <w:rsid w:val="00C55B14"/>
    <w:rsid w:val="00C5677E"/>
    <w:rsid w:val="00C56B83"/>
    <w:rsid w:val="00C57B55"/>
    <w:rsid w:val="00C6033C"/>
    <w:rsid w:val="00C625F7"/>
    <w:rsid w:val="00C630EA"/>
    <w:rsid w:val="00C6355C"/>
    <w:rsid w:val="00C63F76"/>
    <w:rsid w:val="00C63FFB"/>
    <w:rsid w:val="00C652E9"/>
    <w:rsid w:val="00C675BA"/>
    <w:rsid w:val="00C715FB"/>
    <w:rsid w:val="00C71723"/>
    <w:rsid w:val="00C71903"/>
    <w:rsid w:val="00C71960"/>
    <w:rsid w:val="00C719C3"/>
    <w:rsid w:val="00C71B91"/>
    <w:rsid w:val="00C71E2D"/>
    <w:rsid w:val="00C72013"/>
    <w:rsid w:val="00C72563"/>
    <w:rsid w:val="00C72F7C"/>
    <w:rsid w:val="00C73289"/>
    <w:rsid w:val="00C74BC5"/>
    <w:rsid w:val="00C74EE7"/>
    <w:rsid w:val="00C756F7"/>
    <w:rsid w:val="00C75F5C"/>
    <w:rsid w:val="00C766C8"/>
    <w:rsid w:val="00C766E1"/>
    <w:rsid w:val="00C77156"/>
    <w:rsid w:val="00C80ECA"/>
    <w:rsid w:val="00C81595"/>
    <w:rsid w:val="00C81CC7"/>
    <w:rsid w:val="00C81CD5"/>
    <w:rsid w:val="00C8267A"/>
    <w:rsid w:val="00C827BA"/>
    <w:rsid w:val="00C8423F"/>
    <w:rsid w:val="00C84FD5"/>
    <w:rsid w:val="00C84FD6"/>
    <w:rsid w:val="00C852AA"/>
    <w:rsid w:val="00C86216"/>
    <w:rsid w:val="00C86CEE"/>
    <w:rsid w:val="00C86E21"/>
    <w:rsid w:val="00C877AF"/>
    <w:rsid w:val="00C90336"/>
    <w:rsid w:val="00C909C8"/>
    <w:rsid w:val="00C90E84"/>
    <w:rsid w:val="00C912D4"/>
    <w:rsid w:val="00C915DE"/>
    <w:rsid w:val="00C921F6"/>
    <w:rsid w:val="00C92571"/>
    <w:rsid w:val="00C92DAD"/>
    <w:rsid w:val="00C92E5B"/>
    <w:rsid w:val="00C92F8E"/>
    <w:rsid w:val="00C93DDA"/>
    <w:rsid w:val="00C93E1B"/>
    <w:rsid w:val="00C94056"/>
    <w:rsid w:val="00C94156"/>
    <w:rsid w:val="00C948F5"/>
    <w:rsid w:val="00C94FBC"/>
    <w:rsid w:val="00C9599A"/>
    <w:rsid w:val="00C96734"/>
    <w:rsid w:val="00C96CCA"/>
    <w:rsid w:val="00C9712F"/>
    <w:rsid w:val="00C97F1D"/>
    <w:rsid w:val="00CA0246"/>
    <w:rsid w:val="00CA0513"/>
    <w:rsid w:val="00CA1521"/>
    <w:rsid w:val="00CA204C"/>
    <w:rsid w:val="00CA2467"/>
    <w:rsid w:val="00CA25AB"/>
    <w:rsid w:val="00CA2D5B"/>
    <w:rsid w:val="00CA30D6"/>
    <w:rsid w:val="00CA3B25"/>
    <w:rsid w:val="00CA443B"/>
    <w:rsid w:val="00CA47B9"/>
    <w:rsid w:val="00CA4A58"/>
    <w:rsid w:val="00CA5506"/>
    <w:rsid w:val="00CA6014"/>
    <w:rsid w:val="00CA65AA"/>
    <w:rsid w:val="00CB0099"/>
    <w:rsid w:val="00CB0236"/>
    <w:rsid w:val="00CB0243"/>
    <w:rsid w:val="00CB13FB"/>
    <w:rsid w:val="00CB1CC6"/>
    <w:rsid w:val="00CB23AA"/>
    <w:rsid w:val="00CB2EE3"/>
    <w:rsid w:val="00CB3E07"/>
    <w:rsid w:val="00CB402C"/>
    <w:rsid w:val="00CB4366"/>
    <w:rsid w:val="00CB453F"/>
    <w:rsid w:val="00CB4F5C"/>
    <w:rsid w:val="00CB5643"/>
    <w:rsid w:val="00CB5858"/>
    <w:rsid w:val="00CB5C7C"/>
    <w:rsid w:val="00CB646A"/>
    <w:rsid w:val="00CB65C7"/>
    <w:rsid w:val="00CB7118"/>
    <w:rsid w:val="00CC09CB"/>
    <w:rsid w:val="00CC14D1"/>
    <w:rsid w:val="00CC2142"/>
    <w:rsid w:val="00CC24D9"/>
    <w:rsid w:val="00CC2826"/>
    <w:rsid w:val="00CC2D6E"/>
    <w:rsid w:val="00CC3241"/>
    <w:rsid w:val="00CC397E"/>
    <w:rsid w:val="00CC50CC"/>
    <w:rsid w:val="00CC5BF6"/>
    <w:rsid w:val="00CC5E41"/>
    <w:rsid w:val="00CC5EA0"/>
    <w:rsid w:val="00CC6328"/>
    <w:rsid w:val="00CC6FF6"/>
    <w:rsid w:val="00CC75D6"/>
    <w:rsid w:val="00CC788E"/>
    <w:rsid w:val="00CC78A8"/>
    <w:rsid w:val="00CD0465"/>
    <w:rsid w:val="00CD0CA0"/>
    <w:rsid w:val="00CD0DBA"/>
    <w:rsid w:val="00CD1713"/>
    <w:rsid w:val="00CD1BA4"/>
    <w:rsid w:val="00CD2099"/>
    <w:rsid w:val="00CD2288"/>
    <w:rsid w:val="00CD33DD"/>
    <w:rsid w:val="00CD39B0"/>
    <w:rsid w:val="00CD4CCD"/>
    <w:rsid w:val="00CD5D4C"/>
    <w:rsid w:val="00CD60E5"/>
    <w:rsid w:val="00CD611E"/>
    <w:rsid w:val="00CD77AA"/>
    <w:rsid w:val="00CE00CF"/>
    <w:rsid w:val="00CE0989"/>
    <w:rsid w:val="00CE0F8A"/>
    <w:rsid w:val="00CE1641"/>
    <w:rsid w:val="00CE1DFE"/>
    <w:rsid w:val="00CE2627"/>
    <w:rsid w:val="00CE2CF9"/>
    <w:rsid w:val="00CE397D"/>
    <w:rsid w:val="00CE3E8F"/>
    <w:rsid w:val="00CE3F3D"/>
    <w:rsid w:val="00CE4B76"/>
    <w:rsid w:val="00CE4E56"/>
    <w:rsid w:val="00CE586D"/>
    <w:rsid w:val="00CE6690"/>
    <w:rsid w:val="00CE675F"/>
    <w:rsid w:val="00CE697D"/>
    <w:rsid w:val="00CF273E"/>
    <w:rsid w:val="00CF278D"/>
    <w:rsid w:val="00CF2D96"/>
    <w:rsid w:val="00CF300E"/>
    <w:rsid w:val="00CF30F1"/>
    <w:rsid w:val="00CF3796"/>
    <w:rsid w:val="00CF4330"/>
    <w:rsid w:val="00CF44F8"/>
    <w:rsid w:val="00CF561E"/>
    <w:rsid w:val="00CF57A6"/>
    <w:rsid w:val="00CF5A03"/>
    <w:rsid w:val="00CF68AA"/>
    <w:rsid w:val="00CF70AB"/>
    <w:rsid w:val="00CF70F0"/>
    <w:rsid w:val="00CF7173"/>
    <w:rsid w:val="00CF7431"/>
    <w:rsid w:val="00CF780D"/>
    <w:rsid w:val="00D007C6"/>
    <w:rsid w:val="00D00945"/>
    <w:rsid w:val="00D00A52"/>
    <w:rsid w:val="00D015BA"/>
    <w:rsid w:val="00D029D8"/>
    <w:rsid w:val="00D02DC6"/>
    <w:rsid w:val="00D030F1"/>
    <w:rsid w:val="00D03831"/>
    <w:rsid w:val="00D03B2F"/>
    <w:rsid w:val="00D04319"/>
    <w:rsid w:val="00D049E9"/>
    <w:rsid w:val="00D04BD0"/>
    <w:rsid w:val="00D04CDB"/>
    <w:rsid w:val="00D04D89"/>
    <w:rsid w:val="00D062C2"/>
    <w:rsid w:val="00D06E55"/>
    <w:rsid w:val="00D0751F"/>
    <w:rsid w:val="00D1048F"/>
    <w:rsid w:val="00D10901"/>
    <w:rsid w:val="00D1105B"/>
    <w:rsid w:val="00D11989"/>
    <w:rsid w:val="00D12407"/>
    <w:rsid w:val="00D129FF"/>
    <w:rsid w:val="00D12B10"/>
    <w:rsid w:val="00D12D9C"/>
    <w:rsid w:val="00D12E2B"/>
    <w:rsid w:val="00D1366F"/>
    <w:rsid w:val="00D141D9"/>
    <w:rsid w:val="00D15BBF"/>
    <w:rsid w:val="00D16177"/>
    <w:rsid w:val="00D1638A"/>
    <w:rsid w:val="00D165F6"/>
    <w:rsid w:val="00D173DC"/>
    <w:rsid w:val="00D17AA3"/>
    <w:rsid w:val="00D17CA1"/>
    <w:rsid w:val="00D2020A"/>
    <w:rsid w:val="00D21481"/>
    <w:rsid w:val="00D2194D"/>
    <w:rsid w:val="00D21EDA"/>
    <w:rsid w:val="00D22091"/>
    <w:rsid w:val="00D222DE"/>
    <w:rsid w:val="00D2254B"/>
    <w:rsid w:val="00D22B81"/>
    <w:rsid w:val="00D22D4F"/>
    <w:rsid w:val="00D231F9"/>
    <w:rsid w:val="00D235FF"/>
    <w:rsid w:val="00D238FA"/>
    <w:rsid w:val="00D23C2B"/>
    <w:rsid w:val="00D23CC4"/>
    <w:rsid w:val="00D23F67"/>
    <w:rsid w:val="00D260C2"/>
    <w:rsid w:val="00D263A9"/>
    <w:rsid w:val="00D276DF"/>
    <w:rsid w:val="00D277B7"/>
    <w:rsid w:val="00D27A44"/>
    <w:rsid w:val="00D27ED1"/>
    <w:rsid w:val="00D3059B"/>
    <w:rsid w:val="00D31E63"/>
    <w:rsid w:val="00D3261A"/>
    <w:rsid w:val="00D32757"/>
    <w:rsid w:val="00D32765"/>
    <w:rsid w:val="00D3352F"/>
    <w:rsid w:val="00D349E4"/>
    <w:rsid w:val="00D35B81"/>
    <w:rsid w:val="00D36F8E"/>
    <w:rsid w:val="00D378A2"/>
    <w:rsid w:val="00D37F84"/>
    <w:rsid w:val="00D4044D"/>
    <w:rsid w:val="00D40739"/>
    <w:rsid w:val="00D4080B"/>
    <w:rsid w:val="00D40E72"/>
    <w:rsid w:val="00D41696"/>
    <w:rsid w:val="00D425ED"/>
    <w:rsid w:val="00D43DB5"/>
    <w:rsid w:val="00D4447D"/>
    <w:rsid w:val="00D44559"/>
    <w:rsid w:val="00D449CC"/>
    <w:rsid w:val="00D44B2F"/>
    <w:rsid w:val="00D44E0B"/>
    <w:rsid w:val="00D45149"/>
    <w:rsid w:val="00D45B56"/>
    <w:rsid w:val="00D462C9"/>
    <w:rsid w:val="00D46591"/>
    <w:rsid w:val="00D479E9"/>
    <w:rsid w:val="00D50148"/>
    <w:rsid w:val="00D53A59"/>
    <w:rsid w:val="00D53EB6"/>
    <w:rsid w:val="00D5455D"/>
    <w:rsid w:val="00D54CA4"/>
    <w:rsid w:val="00D55E86"/>
    <w:rsid w:val="00D567D7"/>
    <w:rsid w:val="00D56D7A"/>
    <w:rsid w:val="00D57AA5"/>
    <w:rsid w:val="00D57B5E"/>
    <w:rsid w:val="00D60046"/>
    <w:rsid w:val="00D6033C"/>
    <w:rsid w:val="00D60DD1"/>
    <w:rsid w:val="00D616B1"/>
    <w:rsid w:val="00D618FF"/>
    <w:rsid w:val="00D61DAD"/>
    <w:rsid w:val="00D6282E"/>
    <w:rsid w:val="00D629FC"/>
    <w:rsid w:val="00D62E77"/>
    <w:rsid w:val="00D63564"/>
    <w:rsid w:val="00D65383"/>
    <w:rsid w:val="00D657D1"/>
    <w:rsid w:val="00D66F54"/>
    <w:rsid w:val="00D66FAC"/>
    <w:rsid w:val="00D6708F"/>
    <w:rsid w:val="00D67192"/>
    <w:rsid w:val="00D67EA3"/>
    <w:rsid w:val="00D70F77"/>
    <w:rsid w:val="00D717F6"/>
    <w:rsid w:val="00D71CDA"/>
    <w:rsid w:val="00D71E25"/>
    <w:rsid w:val="00D71FE3"/>
    <w:rsid w:val="00D71FFB"/>
    <w:rsid w:val="00D73D83"/>
    <w:rsid w:val="00D73F71"/>
    <w:rsid w:val="00D746A6"/>
    <w:rsid w:val="00D7489F"/>
    <w:rsid w:val="00D74C53"/>
    <w:rsid w:val="00D752C9"/>
    <w:rsid w:val="00D758C4"/>
    <w:rsid w:val="00D75962"/>
    <w:rsid w:val="00D75AC9"/>
    <w:rsid w:val="00D77996"/>
    <w:rsid w:val="00D77B94"/>
    <w:rsid w:val="00D77FD5"/>
    <w:rsid w:val="00D805CA"/>
    <w:rsid w:val="00D806BC"/>
    <w:rsid w:val="00D80F33"/>
    <w:rsid w:val="00D82049"/>
    <w:rsid w:val="00D82A04"/>
    <w:rsid w:val="00D8300A"/>
    <w:rsid w:val="00D830EA"/>
    <w:rsid w:val="00D83782"/>
    <w:rsid w:val="00D83A13"/>
    <w:rsid w:val="00D83E39"/>
    <w:rsid w:val="00D8414A"/>
    <w:rsid w:val="00D84AC6"/>
    <w:rsid w:val="00D85059"/>
    <w:rsid w:val="00D8576D"/>
    <w:rsid w:val="00D85873"/>
    <w:rsid w:val="00D858CA"/>
    <w:rsid w:val="00D85B46"/>
    <w:rsid w:val="00D873F6"/>
    <w:rsid w:val="00D90460"/>
    <w:rsid w:val="00D91878"/>
    <w:rsid w:val="00D91DA0"/>
    <w:rsid w:val="00D92C6A"/>
    <w:rsid w:val="00D92E21"/>
    <w:rsid w:val="00D933C4"/>
    <w:rsid w:val="00D93AAB"/>
    <w:rsid w:val="00D93C52"/>
    <w:rsid w:val="00D93C9E"/>
    <w:rsid w:val="00D93DF2"/>
    <w:rsid w:val="00D94378"/>
    <w:rsid w:val="00D94701"/>
    <w:rsid w:val="00D947C6"/>
    <w:rsid w:val="00D94EA1"/>
    <w:rsid w:val="00D950BE"/>
    <w:rsid w:val="00D950FE"/>
    <w:rsid w:val="00D95BFE"/>
    <w:rsid w:val="00D96062"/>
    <w:rsid w:val="00D971D1"/>
    <w:rsid w:val="00D9783D"/>
    <w:rsid w:val="00D97987"/>
    <w:rsid w:val="00D97AEB"/>
    <w:rsid w:val="00DA01FE"/>
    <w:rsid w:val="00DA0460"/>
    <w:rsid w:val="00DA0893"/>
    <w:rsid w:val="00DA10FE"/>
    <w:rsid w:val="00DA2518"/>
    <w:rsid w:val="00DA2B97"/>
    <w:rsid w:val="00DA3268"/>
    <w:rsid w:val="00DA3BEF"/>
    <w:rsid w:val="00DA4AD5"/>
    <w:rsid w:val="00DA4FCB"/>
    <w:rsid w:val="00DA537A"/>
    <w:rsid w:val="00DA5516"/>
    <w:rsid w:val="00DA599C"/>
    <w:rsid w:val="00DA6034"/>
    <w:rsid w:val="00DA637B"/>
    <w:rsid w:val="00DA6529"/>
    <w:rsid w:val="00DA69F6"/>
    <w:rsid w:val="00DA6E78"/>
    <w:rsid w:val="00DA71A1"/>
    <w:rsid w:val="00DB0A93"/>
    <w:rsid w:val="00DB0BAD"/>
    <w:rsid w:val="00DB0CD5"/>
    <w:rsid w:val="00DB1169"/>
    <w:rsid w:val="00DB1315"/>
    <w:rsid w:val="00DB1397"/>
    <w:rsid w:val="00DB1803"/>
    <w:rsid w:val="00DB25F8"/>
    <w:rsid w:val="00DB3388"/>
    <w:rsid w:val="00DB35CD"/>
    <w:rsid w:val="00DB3613"/>
    <w:rsid w:val="00DB37B1"/>
    <w:rsid w:val="00DB39CB"/>
    <w:rsid w:val="00DB407A"/>
    <w:rsid w:val="00DB5110"/>
    <w:rsid w:val="00DB6680"/>
    <w:rsid w:val="00DB6712"/>
    <w:rsid w:val="00DB6BA0"/>
    <w:rsid w:val="00DB7158"/>
    <w:rsid w:val="00DB7331"/>
    <w:rsid w:val="00DB7CA4"/>
    <w:rsid w:val="00DC0756"/>
    <w:rsid w:val="00DC0EEC"/>
    <w:rsid w:val="00DC1B0D"/>
    <w:rsid w:val="00DC2C15"/>
    <w:rsid w:val="00DC3763"/>
    <w:rsid w:val="00DC3F0B"/>
    <w:rsid w:val="00DC50A4"/>
    <w:rsid w:val="00DC5110"/>
    <w:rsid w:val="00DC51AC"/>
    <w:rsid w:val="00DC634F"/>
    <w:rsid w:val="00DC6742"/>
    <w:rsid w:val="00DC7382"/>
    <w:rsid w:val="00DC7BC1"/>
    <w:rsid w:val="00DC7F87"/>
    <w:rsid w:val="00DD0CA6"/>
    <w:rsid w:val="00DD10BF"/>
    <w:rsid w:val="00DD15C8"/>
    <w:rsid w:val="00DD17CF"/>
    <w:rsid w:val="00DD1C0F"/>
    <w:rsid w:val="00DD2242"/>
    <w:rsid w:val="00DD2640"/>
    <w:rsid w:val="00DD2D7E"/>
    <w:rsid w:val="00DD34A4"/>
    <w:rsid w:val="00DD371D"/>
    <w:rsid w:val="00DD4E20"/>
    <w:rsid w:val="00DD51D3"/>
    <w:rsid w:val="00DD5298"/>
    <w:rsid w:val="00DD5678"/>
    <w:rsid w:val="00DD594F"/>
    <w:rsid w:val="00DD5E40"/>
    <w:rsid w:val="00DD6478"/>
    <w:rsid w:val="00DD6BF5"/>
    <w:rsid w:val="00DD771E"/>
    <w:rsid w:val="00DD7850"/>
    <w:rsid w:val="00DD7AF1"/>
    <w:rsid w:val="00DD7E92"/>
    <w:rsid w:val="00DE0B67"/>
    <w:rsid w:val="00DE3228"/>
    <w:rsid w:val="00DE3334"/>
    <w:rsid w:val="00DE35E7"/>
    <w:rsid w:val="00DE3914"/>
    <w:rsid w:val="00DE40D7"/>
    <w:rsid w:val="00DE48E7"/>
    <w:rsid w:val="00DE5CDE"/>
    <w:rsid w:val="00DE7A4D"/>
    <w:rsid w:val="00DF062D"/>
    <w:rsid w:val="00DF07FE"/>
    <w:rsid w:val="00DF17D6"/>
    <w:rsid w:val="00DF21AF"/>
    <w:rsid w:val="00DF22DB"/>
    <w:rsid w:val="00DF237F"/>
    <w:rsid w:val="00DF2D15"/>
    <w:rsid w:val="00DF343A"/>
    <w:rsid w:val="00DF36F2"/>
    <w:rsid w:val="00DF6002"/>
    <w:rsid w:val="00DF7600"/>
    <w:rsid w:val="00E011C1"/>
    <w:rsid w:val="00E014FE"/>
    <w:rsid w:val="00E01845"/>
    <w:rsid w:val="00E019B6"/>
    <w:rsid w:val="00E02D9E"/>
    <w:rsid w:val="00E02DAB"/>
    <w:rsid w:val="00E03032"/>
    <w:rsid w:val="00E03521"/>
    <w:rsid w:val="00E03744"/>
    <w:rsid w:val="00E037DF"/>
    <w:rsid w:val="00E03BDA"/>
    <w:rsid w:val="00E04201"/>
    <w:rsid w:val="00E0443B"/>
    <w:rsid w:val="00E0449C"/>
    <w:rsid w:val="00E05740"/>
    <w:rsid w:val="00E0681D"/>
    <w:rsid w:val="00E06C49"/>
    <w:rsid w:val="00E06C79"/>
    <w:rsid w:val="00E07685"/>
    <w:rsid w:val="00E07B41"/>
    <w:rsid w:val="00E07C8C"/>
    <w:rsid w:val="00E10626"/>
    <w:rsid w:val="00E10F45"/>
    <w:rsid w:val="00E113C8"/>
    <w:rsid w:val="00E125D2"/>
    <w:rsid w:val="00E125EF"/>
    <w:rsid w:val="00E13DC1"/>
    <w:rsid w:val="00E13ECB"/>
    <w:rsid w:val="00E14E90"/>
    <w:rsid w:val="00E150E9"/>
    <w:rsid w:val="00E1521B"/>
    <w:rsid w:val="00E1597C"/>
    <w:rsid w:val="00E160EE"/>
    <w:rsid w:val="00E16AAB"/>
    <w:rsid w:val="00E20277"/>
    <w:rsid w:val="00E214E1"/>
    <w:rsid w:val="00E21A54"/>
    <w:rsid w:val="00E22146"/>
    <w:rsid w:val="00E22551"/>
    <w:rsid w:val="00E243A2"/>
    <w:rsid w:val="00E25118"/>
    <w:rsid w:val="00E25B06"/>
    <w:rsid w:val="00E25E30"/>
    <w:rsid w:val="00E26532"/>
    <w:rsid w:val="00E26A54"/>
    <w:rsid w:val="00E26D1F"/>
    <w:rsid w:val="00E27A63"/>
    <w:rsid w:val="00E300C4"/>
    <w:rsid w:val="00E309F2"/>
    <w:rsid w:val="00E30B25"/>
    <w:rsid w:val="00E30C5D"/>
    <w:rsid w:val="00E30D63"/>
    <w:rsid w:val="00E310F3"/>
    <w:rsid w:val="00E31CE9"/>
    <w:rsid w:val="00E32F88"/>
    <w:rsid w:val="00E3335C"/>
    <w:rsid w:val="00E3347A"/>
    <w:rsid w:val="00E33649"/>
    <w:rsid w:val="00E34029"/>
    <w:rsid w:val="00E34462"/>
    <w:rsid w:val="00E34FE0"/>
    <w:rsid w:val="00E35212"/>
    <w:rsid w:val="00E361FC"/>
    <w:rsid w:val="00E36C71"/>
    <w:rsid w:val="00E36D22"/>
    <w:rsid w:val="00E36DBC"/>
    <w:rsid w:val="00E377F4"/>
    <w:rsid w:val="00E4064E"/>
    <w:rsid w:val="00E40CE3"/>
    <w:rsid w:val="00E41F1E"/>
    <w:rsid w:val="00E4230C"/>
    <w:rsid w:val="00E42933"/>
    <w:rsid w:val="00E42A90"/>
    <w:rsid w:val="00E42B74"/>
    <w:rsid w:val="00E443C4"/>
    <w:rsid w:val="00E44BA9"/>
    <w:rsid w:val="00E4566A"/>
    <w:rsid w:val="00E457AC"/>
    <w:rsid w:val="00E45DFD"/>
    <w:rsid w:val="00E460C7"/>
    <w:rsid w:val="00E46658"/>
    <w:rsid w:val="00E46AAE"/>
    <w:rsid w:val="00E4717A"/>
    <w:rsid w:val="00E474E6"/>
    <w:rsid w:val="00E47564"/>
    <w:rsid w:val="00E50533"/>
    <w:rsid w:val="00E51A8F"/>
    <w:rsid w:val="00E52D72"/>
    <w:rsid w:val="00E5440A"/>
    <w:rsid w:val="00E54599"/>
    <w:rsid w:val="00E54632"/>
    <w:rsid w:val="00E547B5"/>
    <w:rsid w:val="00E54FA2"/>
    <w:rsid w:val="00E5564A"/>
    <w:rsid w:val="00E55C43"/>
    <w:rsid w:val="00E55FCF"/>
    <w:rsid w:val="00E560C6"/>
    <w:rsid w:val="00E561C8"/>
    <w:rsid w:val="00E57555"/>
    <w:rsid w:val="00E57A89"/>
    <w:rsid w:val="00E610AD"/>
    <w:rsid w:val="00E61998"/>
    <w:rsid w:val="00E61DE8"/>
    <w:rsid w:val="00E62EA1"/>
    <w:rsid w:val="00E63694"/>
    <w:rsid w:val="00E63DFC"/>
    <w:rsid w:val="00E63E52"/>
    <w:rsid w:val="00E64FD6"/>
    <w:rsid w:val="00E67469"/>
    <w:rsid w:val="00E67833"/>
    <w:rsid w:val="00E67F2D"/>
    <w:rsid w:val="00E7049A"/>
    <w:rsid w:val="00E709DC"/>
    <w:rsid w:val="00E70BAD"/>
    <w:rsid w:val="00E70D5A"/>
    <w:rsid w:val="00E71197"/>
    <w:rsid w:val="00E71E65"/>
    <w:rsid w:val="00E728DC"/>
    <w:rsid w:val="00E72F45"/>
    <w:rsid w:val="00E74397"/>
    <w:rsid w:val="00E7527D"/>
    <w:rsid w:val="00E7544A"/>
    <w:rsid w:val="00E75792"/>
    <w:rsid w:val="00E759ED"/>
    <w:rsid w:val="00E76B2D"/>
    <w:rsid w:val="00E76E68"/>
    <w:rsid w:val="00E77152"/>
    <w:rsid w:val="00E7741B"/>
    <w:rsid w:val="00E77742"/>
    <w:rsid w:val="00E77A81"/>
    <w:rsid w:val="00E80493"/>
    <w:rsid w:val="00E8084A"/>
    <w:rsid w:val="00E80C7C"/>
    <w:rsid w:val="00E80FF0"/>
    <w:rsid w:val="00E8107E"/>
    <w:rsid w:val="00E811C0"/>
    <w:rsid w:val="00E81863"/>
    <w:rsid w:val="00E822D9"/>
    <w:rsid w:val="00E83123"/>
    <w:rsid w:val="00E845CD"/>
    <w:rsid w:val="00E850EA"/>
    <w:rsid w:val="00E858F6"/>
    <w:rsid w:val="00E85CC2"/>
    <w:rsid w:val="00E85E74"/>
    <w:rsid w:val="00E86BF3"/>
    <w:rsid w:val="00E8718C"/>
    <w:rsid w:val="00E87523"/>
    <w:rsid w:val="00E90412"/>
    <w:rsid w:val="00E9098A"/>
    <w:rsid w:val="00E90DA3"/>
    <w:rsid w:val="00E91330"/>
    <w:rsid w:val="00E91771"/>
    <w:rsid w:val="00E920FA"/>
    <w:rsid w:val="00E92CB5"/>
    <w:rsid w:val="00E93126"/>
    <w:rsid w:val="00E9316F"/>
    <w:rsid w:val="00E93281"/>
    <w:rsid w:val="00E939FF"/>
    <w:rsid w:val="00E93D8E"/>
    <w:rsid w:val="00E93F80"/>
    <w:rsid w:val="00E94176"/>
    <w:rsid w:val="00E94AA1"/>
    <w:rsid w:val="00E94FB9"/>
    <w:rsid w:val="00E967C2"/>
    <w:rsid w:val="00E96A97"/>
    <w:rsid w:val="00E96B53"/>
    <w:rsid w:val="00E96C23"/>
    <w:rsid w:val="00E96C32"/>
    <w:rsid w:val="00E97D45"/>
    <w:rsid w:val="00E97DBE"/>
    <w:rsid w:val="00E97F4B"/>
    <w:rsid w:val="00EA02CC"/>
    <w:rsid w:val="00EA058D"/>
    <w:rsid w:val="00EA142D"/>
    <w:rsid w:val="00EA2DF9"/>
    <w:rsid w:val="00EA4740"/>
    <w:rsid w:val="00EA4BFE"/>
    <w:rsid w:val="00EA4CD0"/>
    <w:rsid w:val="00EA4CEE"/>
    <w:rsid w:val="00EA51BA"/>
    <w:rsid w:val="00EA6AE5"/>
    <w:rsid w:val="00EA6DC5"/>
    <w:rsid w:val="00EA76F6"/>
    <w:rsid w:val="00EB18A9"/>
    <w:rsid w:val="00EB1A92"/>
    <w:rsid w:val="00EB2164"/>
    <w:rsid w:val="00EB2215"/>
    <w:rsid w:val="00EB2AA2"/>
    <w:rsid w:val="00EB2AE5"/>
    <w:rsid w:val="00EB3216"/>
    <w:rsid w:val="00EB431F"/>
    <w:rsid w:val="00EB4671"/>
    <w:rsid w:val="00EB4F85"/>
    <w:rsid w:val="00EB4FD4"/>
    <w:rsid w:val="00EB5172"/>
    <w:rsid w:val="00EB534E"/>
    <w:rsid w:val="00EB5D04"/>
    <w:rsid w:val="00EB6260"/>
    <w:rsid w:val="00EB634C"/>
    <w:rsid w:val="00EB6ED3"/>
    <w:rsid w:val="00EB74ED"/>
    <w:rsid w:val="00EC0230"/>
    <w:rsid w:val="00EC02BD"/>
    <w:rsid w:val="00EC05A8"/>
    <w:rsid w:val="00EC067E"/>
    <w:rsid w:val="00EC0A93"/>
    <w:rsid w:val="00EC0B43"/>
    <w:rsid w:val="00EC0CA1"/>
    <w:rsid w:val="00EC0DCA"/>
    <w:rsid w:val="00EC1065"/>
    <w:rsid w:val="00EC3001"/>
    <w:rsid w:val="00EC31DF"/>
    <w:rsid w:val="00EC367A"/>
    <w:rsid w:val="00EC3E6B"/>
    <w:rsid w:val="00EC42CE"/>
    <w:rsid w:val="00EC43DA"/>
    <w:rsid w:val="00EC46B8"/>
    <w:rsid w:val="00EC4F37"/>
    <w:rsid w:val="00EC521D"/>
    <w:rsid w:val="00EC5847"/>
    <w:rsid w:val="00EC59AF"/>
    <w:rsid w:val="00EC610E"/>
    <w:rsid w:val="00EC68F0"/>
    <w:rsid w:val="00EC6CD0"/>
    <w:rsid w:val="00EC6EA6"/>
    <w:rsid w:val="00EC7576"/>
    <w:rsid w:val="00EC7FD6"/>
    <w:rsid w:val="00ED07AF"/>
    <w:rsid w:val="00ED0824"/>
    <w:rsid w:val="00ED185B"/>
    <w:rsid w:val="00ED1D0C"/>
    <w:rsid w:val="00ED1EC8"/>
    <w:rsid w:val="00ED2B4C"/>
    <w:rsid w:val="00ED31FF"/>
    <w:rsid w:val="00ED329F"/>
    <w:rsid w:val="00ED34CD"/>
    <w:rsid w:val="00ED378B"/>
    <w:rsid w:val="00ED3849"/>
    <w:rsid w:val="00ED3AB0"/>
    <w:rsid w:val="00ED3F0A"/>
    <w:rsid w:val="00ED4542"/>
    <w:rsid w:val="00ED4F80"/>
    <w:rsid w:val="00ED5797"/>
    <w:rsid w:val="00ED5A4C"/>
    <w:rsid w:val="00ED5BF8"/>
    <w:rsid w:val="00ED5C87"/>
    <w:rsid w:val="00ED5D13"/>
    <w:rsid w:val="00ED5E0C"/>
    <w:rsid w:val="00ED5E6D"/>
    <w:rsid w:val="00ED5F58"/>
    <w:rsid w:val="00ED60C8"/>
    <w:rsid w:val="00ED6272"/>
    <w:rsid w:val="00ED718C"/>
    <w:rsid w:val="00ED7D11"/>
    <w:rsid w:val="00EE035D"/>
    <w:rsid w:val="00EE0463"/>
    <w:rsid w:val="00EE0B91"/>
    <w:rsid w:val="00EE0ED4"/>
    <w:rsid w:val="00EE15AC"/>
    <w:rsid w:val="00EE1F79"/>
    <w:rsid w:val="00EE2203"/>
    <w:rsid w:val="00EE2E9C"/>
    <w:rsid w:val="00EE30DE"/>
    <w:rsid w:val="00EE31F0"/>
    <w:rsid w:val="00EE3AC2"/>
    <w:rsid w:val="00EE3D81"/>
    <w:rsid w:val="00EE4C7D"/>
    <w:rsid w:val="00EE4D9D"/>
    <w:rsid w:val="00EE51FC"/>
    <w:rsid w:val="00EE5981"/>
    <w:rsid w:val="00EE5FED"/>
    <w:rsid w:val="00EE6508"/>
    <w:rsid w:val="00EE69CC"/>
    <w:rsid w:val="00EE6D78"/>
    <w:rsid w:val="00EE6E77"/>
    <w:rsid w:val="00EE7039"/>
    <w:rsid w:val="00EE75C3"/>
    <w:rsid w:val="00EE7951"/>
    <w:rsid w:val="00EF00B6"/>
    <w:rsid w:val="00EF02C5"/>
    <w:rsid w:val="00EF2215"/>
    <w:rsid w:val="00EF2B02"/>
    <w:rsid w:val="00EF2FC9"/>
    <w:rsid w:val="00EF3B1F"/>
    <w:rsid w:val="00EF3B2F"/>
    <w:rsid w:val="00EF3F97"/>
    <w:rsid w:val="00EF4173"/>
    <w:rsid w:val="00EF4428"/>
    <w:rsid w:val="00EF45BE"/>
    <w:rsid w:val="00EF4923"/>
    <w:rsid w:val="00EF4A88"/>
    <w:rsid w:val="00EF4AB3"/>
    <w:rsid w:val="00EF4DE4"/>
    <w:rsid w:val="00EF5685"/>
    <w:rsid w:val="00EF5902"/>
    <w:rsid w:val="00EF60BC"/>
    <w:rsid w:val="00EF6660"/>
    <w:rsid w:val="00EF7390"/>
    <w:rsid w:val="00EF79AB"/>
    <w:rsid w:val="00F002B4"/>
    <w:rsid w:val="00F00522"/>
    <w:rsid w:val="00F0087A"/>
    <w:rsid w:val="00F021F7"/>
    <w:rsid w:val="00F02EB9"/>
    <w:rsid w:val="00F032FA"/>
    <w:rsid w:val="00F03C1C"/>
    <w:rsid w:val="00F04E3D"/>
    <w:rsid w:val="00F04E90"/>
    <w:rsid w:val="00F063B8"/>
    <w:rsid w:val="00F0665D"/>
    <w:rsid w:val="00F06916"/>
    <w:rsid w:val="00F070F8"/>
    <w:rsid w:val="00F07448"/>
    <w:rsid w:val="00F110DB"/>
    <w:rsid w:val="00F11106"/>
    <w:rsid w:val="00F11545"/>
    <w:rsid w:val="00F11743"/>
    <w:rsid w:val="00F11A62"/>
    <w:rsid w:val="00F123E1"/>
    <w:rsid w:val="00F12873"/>
    <w:rsid w:val="00F136A3"/>
    <w:rsid w:val="00F1377B"/>
    <w:rsid w:val="00F140F0"/>
    <w:rsid w:val="00F15DA8"/>
    <w:rsid w:val="00F15F64"/>
    <w:rsid w:val="00F15FA3"/>
    <w:rsid w:val="00F164B3"/>
    <w:rsid w:val="00F1651E"/>
    <w:rsid w:val="00F169C6"/>
    <w:rsid w:val="00F2022A"/>
    <w:rsid w:val="00F203E7"/>
    <w:rsid w:val="00F210E2"/>
    <w:rsid w:val="00F2151F"/>
    <w:rsid w:val="00F21E39"/>
    <w:rsid w:val="00F2254D"/>
    <w:rsid w:val="00F22D93"/>
    <w:rsid w:val="00F22F5D"/>
    <w:rsid w:val="00F234F2"/>
    <w:rsid w:val="00F237F1"/>
    <w:rsid w:val="00F240CD"/>
    <w:rsid w:val="00F254FF"/>
    <w:rsid w:val="00F25686"/>
    <w:rsid w:val="00F258FB"/>
    <w:rsid w:val="00F25FD5"/>
    <w:rsid w:val="00F2692A"/>
    <w:rsid w:val="00F27169"/>
    <w:rsid w:val="00F2723A"/>
    <w:rsid w:val="00F274BC"/>
    <w:rsid w:val="00F301E2"/>
    <w:rsid w:val="00F30642"/>
    <w:rsid w:val="00F308C9"/>
    <w:rsid w:val="00F30EDC"/>
    <w:rsid w:val="00F319A6"/>
    <w:rsid w:val="00F31CB9"/>
    <w:rsid w:val="00F31D50"/>
    <w:rsid w:val="00F32452"/>
    <w:rsid w:val="00F3256F"/>
    <w:rsid w:val="00F32F47"/>
    <w:rsid w:val="00F33788"/>
    <w:rsid w:val="00F34904"/>
    <w:rsid w:val="00F34E2E"/>
    <w:rsid w:val="00F350EA"/>
    <w:rsid w:val="00F35180"/>
    <w:rsid w:val="00F35197"/>
    <w:rsid w:val="00F35292"/>
    <w:rsid w:val="00F353B9"/>
    <w:rsid w:val="00F35AB5"/>
    <w:rsid w:val="00F35C8E"/>
    <w:rsid w:val="00F4082A"/>
    <w:rsid w:val="00F4179F"/>
    <w:rsid w:val="00F41E04"/>
    <w:rsid w:val="00F42A06"/>
    <w:rsid w:val="00F433F6"/>
    <w:rsid w:val="00F439D2"/>
    <w:rsid w:val="00F45FFA"/>
    <w:rsid w:val="00F471A4"/>
    <w:rsid w:val="00F500DA"/>
    <w:rsid w:val="00F50282"/>
    <w:rsid w:val="00F50C8E"/>
    <w:rsid w:val="00F51270"/>
    <w:rsid w:val="00F518F9"/>
    <w:rsid w:val="00F51FF3"/>
    <w:rsid w:val="00F53730"/>
    <w:rsid w:val="00F53EC6"/>
    <w:rsid w:val="00F5465B"/>
    <w:rsid w:val="00F5482D"/>
    <w:rsid w:val="00F54B48"/>
    <w:rsid w:val="00F54C11"/>
    <w:rsid w:val="00F55062"/>
    <w:rsid w:val="00F57C05"/>
    <w:rsid w:val="00F60AD6"/>
    <w:rsid w:val="00F60E1E"/>
    <w:rsid w:val="00F61FD6"/>
    <w:rsid w:val="00F62F8F"/>
    <w:rsid w:val="00F63270"/>
    <w:rsid w:val="00F632EF"/>
    <w:rsid w:val="00F63943"/>
    <w:rsid w:val="00F64906"/>
    <w:rsid w:val="00F668DA"/>
    <w:rsid w:val="00F66E8A"/>
    <w:rsid w:val="00F67459"/>
    <w:rsid w:val="00F675AB"/>
    <w:rsid w:val="00F67803"/>
    <w:rsid w:val="00F678E7"/>
    <w:rsid w:val="00F7017B"/>
    <w:rsid w:val="00F72338"/>
    <w:rsid w:val="00F72C3D"/>
    <w:rsid w:val="00F738D5"/>
    <w:rsid w:val="00F73979"/>
    <w:rsid w:val="00F74E27"/>
    <w:rsid w:val="00F7534E"/>
    <w:rsid w:val="00F75492"/>
    <w:rsid w:val="00F771EE"/>
    <w:rsid w:val="00F77831"/>
    <w:rsid w:val="00F77E6B"/>
    <w:rsid w:val="00F8073D"/>
    <w:rsid w:val="00F80C48"/>
    <w:rsid w:val="00F81AA3"/>
    <w:rsid w:val="00F81D86"/>
    <w:rsid w:val="00F82C18"/>
    <w:rsid w:val="00F84070"/>
    <w:rsid w:val="00F84687"/>
    <w:rsid w:val="00F84735"/>
    <w:rsid w:val="00F85F05"/>
    <w:rsid w:val="00F864D9"/>
    <w:rsid w:val="00F870B1"/>
    <w:rsid w:val="00F87F31"/>
    <w:rsid w:val="00F87F6E"/>
    <w:rsid w:val="00F90273"/>
    <w:rsid w:val="00F90829"/>
    <w:rsid w:val="00F9095F"/>
    <w:rsid w:val="00F91089"/>
    <w:rsid w:val="00F912E0"/>
    <w:rsid w:val="00F9179B"/>
    <w:rsid w:val="00F918B5"/>
    <w:rsid w:val="00F918E0"/>
    <w:rsid w:val="00F92626"/>
    <w:rsid w:val="00F9309C"/>
    <w:rsid w:val="00F931ED"/>
    <w:rsid w:val="00F935A0"/>
    <w:rsid w:val="00F93941"/>
    <w:rsid w:val="00F939F3"/>
    <w:rsid w:val="00F93BBA"/>
    <w:rsid w:val="00F93C0E"/>
    <w:rsid w:val="00F94CD1"/>
    <w:rsid w:val="00F9577D"/>
    <w:rsid w:val="00F95FA6"/>
    <w:rsid w:val="00F97421"/>
    <w:rsid w:val="00FA0329"/>
    <w:rsid w:val="00FA18C9"/>
    <w:rsid w:val="00FA1C85"/>
    <w:rsid w:val="00FA1FCE"/>
    <w:rsid w:val="00FA25FA"/>
    <w:rsid w:val="00FA27BB"/>
    <w:rsid w:val="00FA27D4"/>
    <w:rsid w:val="00FA389C"/>
    <w:rsid w:val="00FA45EF"/>
    <w:rsid w:val="00FA48F7"/>
    <w:rsid w:val="00FA50C4"/>
    <w:rsid w:val="00FA53E7"/>
    <w:rsid w:val="00FA581F"/>
    <w:rsid w:val="00FA6BA7"/>
    <w:rsid w:val="00FA6D07"/>
    <w:rsid w:val="00FA6F1D"/>
    <w:rsid w:val="00FA7EAE"/>
    <w:rsid w:val="00FA7F93"/>
    <w:rsid w:val="00FB0BC7"/>
    <w:rsid w:val="00FB14EA"/>
    <w:rsid w:val="00FB1B61"/>
    <w:rsid w:val="00FB1FF2"/>
    <w:rsid w:val="00FB215E"/>
    <w:rsid w:val="00FB2D47"/>
    <w:rsid w:val="00FB31EB"/>
    <w:rsid w:val="00FB38FA"/>
    <w:rsid w:val="00FB402B"/>
    <w:rsid w:val="00FB4511"/>
    <w:rsid w:val="00FB5169"/>
    <w:rsid w:val="00FB534A"/>
    <w:rsid w:val="00FB586D"/>
    <w:rsid w:val="00FB58F4"/>
    <w:rsid w:val="00FB5A03"/>
    <w:rsid w:val="00FB5C3F"/>
    <w:rsid w:val="00FB5D59"/>
    <w:rsid w:val="00FB5DFF"/>
    <w:rsid w:val="00FB64B1"/>
    <w:rsid w:val="00FB6794"/>
    <w:rsid w:val="00FB7A1D"/>
    <w:rsid w:val="00FC0719"/>
    <w:rsid w:val="00FC13D6"/>
    <w:rsid w:val="00FC1CD7"/>
    <w:rsid w:val="00FC1E5D"/>
    <w:rsid w:val="00FC2329"/>
    <w:rsid w:val="00FC286F"/>
    <w:rsid w:val="00FC2C68"/>
    <w:rsid w:val="00FC2E27"/>
    <w:rsid w:val="00FC3254"/>
    <w:rsid w:val="00FC34CC"/>
    <w:rsid w:val="00FC484E"/>
    <w:rsid w:val="00FC5F7E"/>
    <w:rsid w:val="00FC627A"/>
    <w:rsid w:val="00FC6B31"/>
    <w:rsid w:val="00FC7967"/>
    <w:rsid w:val="00FC79E4"/>
    <w:rsid w:val="00FD0079"/>
    <w:rsid w:val="00FD014B"/>
    <w:rsid w:val="00FD0874"/>
    <w:rsid w:val="00FD10FF"/>
    <w:rsid w:val="00FD14AD"/>
    <w:rsid w:val="00FD2CA0"/>
    <w:rsid w:val="00FD2DEB"/>
    <w:rsid w:val="00FD323F"/>
    <w:rsid w:val="00FD385C"/>
    <w:rsid w:val="00FD58DF"/>
    <w:rsid w:val="00FD70BB"/>
    <w:rsid w:val="00FD737B"/>
    <w:rsid w:val="00FD7733"/>
    <w:rsid w:val="00FD7BAA"/>
    <w:rsid w:val="00FD7F2A"/>
    <w:rsid w:val="00FE0484"/>
    <w:rsid w:val="00FE0FDC"/>
    <w:rsid w:val="00FE1218"/>
    <w:rsid w:val="00FE1468"/>
    <w:rsid w:val="00FE251F"/>
    <w:rsid w:val="00FE3036"/>
    <w:rsid w:val="00FE33EF"/>
    <w:rsid w:val="00FE34B5"/>
    <w:rsid w:val="00FE384E"/>
    <w:rsid w:val="00FE3FB6"/>
    <w:rsid w:val="00FE47EF"/>
    <w:rsid w:val="00FE50F2"/>
    <w:rsid w:val="00FE6239"/>
    <w:rsid w:val="00FE655D"/>
    <w:rsid w:val="00FE6735"/>
    <w:rsid w:val="00FE6BF3"/>
    <w:rsid w:val="00FE73A7"/>
    <w:rsid w:val="00FE7785"/>
    <w:rsid w:val="00FE7E1C"/>
    <w:rsid w:val="00FF0301"/>
    <w:rsid w:val="00FF06DD"/>
    <w:rsid w:val="00FF1625"/>
    <w:rsid w:val="00FF1DCA"/>
    <w:rsid w:val="00FF1E2D"/>
    <w:rsid w:val="00FF1F8D"/>
    <w:rsid w:val="00FF20E9"/>
    <w:rsid w:val="00FF3579"/>
    <w:rsid w:val="00FF3E45"/>
    <w:rsid w:val="00FF4CA1"/>
    <w:rsid w:val="00FF4EEB"/>
    <w:rsid w:val="00FF50CE"/>
    <w:rsid w:val="00FF5BBD"/>
    <w:rsid w:val="00FF63B9"/>
    <w:rsid w:val="00FF6AE4"/>
    <w:rsid w:val="00FF6B3C"/>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6F439"/>
  <w15:chartTrackingRefBased/>
  <w15:docId w15:val="{7E3CC69D-3C1F-4037-90AF-BD4E45D6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E561C8"/>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561C8"/>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561C8"/>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561C8"/>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561C8"/>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E561C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561C8"/>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E561C8"/>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561C8"/>
    <w:rPr>
      <w:rFonts w:ascii="Times New Roman" w:eastAsia="SimSun" w:hAnsi="Times New Roman" w:cs="Times New Roman"/>
      <w:kern w:val="0"/>
      <w:sz w:val="18"/>
      <w:szCs w:val="20"/>
      <w:lang w:val="es-ES"/>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rsid w:val="00E561C8"/>
    <w:rPr>
      <w:vertAlign w:val="superscript"/>
      <w:lang w:val="es-ES"/>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basedOn w:val="DefaultParagraphFont"/>
    <w:link w:val="Heading2"/>
    <w:uiPriority w:val="9"/>
    <w:rsid w:val="00E561C8"/>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561C8"/>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basedOn w:val="DefaultParagraphFont"/>
    <w:link w:val="Footer"/>
    <w:uiPriority w:val="99"/>
    <w:rsid w:val="00E561C8"/>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E561C8"/>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1"/>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2"/>
      </w:numPr>
      <w:spacing w:before="120" w:after="120"/>
      <w:ind w:left="1134"/>
    </w:pPr>
  </w:style>
  <w:style w:type="character" w:customStyle="1" w:styleId="Heading4Char">
    <w:name w:val="Heading 4 Char"/>
    <w:basedOn w:val="DefaultParagraphFont"/>
    <w:link w:val="Heading4"/>
    <w:uiPriority w:val="9"/>
    <w:rsid w:val="00E561C8"/>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E561C8"/>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E561C8"/>
    <w:rPr>
      <w:sz w:val="16"/>
      <w:szCs w:val="16"/>
      <w:lang w:val="es-ES"/>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basedOn w:val="DefaultParagraphFont"/>
    <w:link w:val="CommentText"/>
    <w:uiPriority w:val="99"/>
    <w:rsid w:val="00E561C8"/>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basedOn w:val="CommentTextChar"/>
    <w:link w:val="CommentSubject"/>
    <w:uiPriority w:val="99"/>
    <w:semiHidden/>
    <w:rsid w:val="00E561C8"/>
    <w:rPr>
      <w:rFonts w:ascii="Times New Roman" w:eastAsia="SimSun" w:hAnsi="Times New Roman" w:cs="Times New Roman"/>
      <w:b/>
      <w:bCs/>
      <w:kern w:val="0"/>
      <w:sz w:val="20"/>
      <w:szCs w:val="20"/>
      <w:lang w:val="es-ES"/>
      <w14:ligatures w14:val="none"/>
    </w:rPr>
  </w:style>
  <w:style w:type="paragraph" w:customStyle="1" w:styleId="Para1">
    <w:name w:val="Para1"/>
    <w:basedOn w:val="Normal"/>
    <w:link w:val="Para1Char"/>
    <w:rsid w:val="002666FF"/>
    <w:pPr>
      <w:numPr>
        <w:numId w:val="3"/>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561C8"/>
    <w:rPr>
      <w:rFonts w:ascii="Times New Roman" w:hAnsi="Times New Roman"/>
      <w:color w:val="0563C1" w:themeColor="hyperlink"/>
      <w:u w:val="single"/>
      <w:lang w:val="es-ES"/>
    </w:rPr>
  </w:style>
  <w:style w:type="character" w:customStyle="1" w:styleId="Para1Char">
    <w:name w:val="Para1 Char"/>
    <w:link w:val="Para1"/>
    <w:rsid w:val="002666FF"/>
    <w:rPr>
      <w:rFonts w:ascii="Times New Roman" w:eastAsia="SimSun" w:hAnsi="Times New Roman" w:cs="Times New Roman"/>
      <w:snapToGrid w:val="0"/>
      <w:kern w:val="0"/>
      <w:szCs w:val="18"/>
      <w:lang w:val="es-ES"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s-ES"/>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customStyle="1" w:styleId="UnresolvedMention">
    <w:name w:val="Unresolved Mention"/>
    <w:basedOn w:val="DefaultParagraphFont"/>
    <w:uiPriority w:val="99"/>
    <w:semiHidden/>
    <w:unhideWhenUsed/>
    <w:rsid w:val="000A78A3"/>
    <w:rPr>
      <w:color w:val="605E5C"/>
      <w:shd w:val="clear" w:color="auto" w:fill="E1DFDD"/>
      <w:lang w:val="es-ES"/>
    </w:rPr>
  </w:style>
  <w:style w:type="character" w:styleId="FollowedHyperlink">
    <w:name w:val="FollowedHyperlink"/>
    <w:basedOn w:val="DefaultParagraphFont"/>
    <w:uiPriority w:val="99"/>
    <w:semiHidden/>
    <w:unhideWhenUsed/>
    <w:rsid w:val="000A78A3"/>
    <w:rPr>
      <w:color w:val="954F72" w:themeColor="followedHyperlink"/>
      <w:u w:val="single"/>
      <w:lang w:val="es-ES"/>
    </w:rPr>
  </w:style>
  <w:style w:type="paragraph" w:styleId="Re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basedOn w:val="DefaultParagraphFont"/>
    <w:uiPriority w:val="20"/>
    <w:qFormat/>
    <w:rsid w:val="008A1A7E"/>
    <w:rPr>
      <w:i/>
      <w:iCs/>
      <w:lang w:val="es-ES"/>
    </w:rPr>
  </w:style>
  <w:style w:type="character" w:customStyle="1" w:styleId="Heading6Char">
    <w:name w:val="Heading 6 Char"/>
    <w:basedOn w:val="DefaultParagraphFont"/>
    <w:link w:val="Heading6"/>
    <w:rsid w:val="00E561C8"/>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rsid w:val="00E561C8"/>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rsid w:val="00E561C8"/>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rsid w:val="00E561C8"/>
    <w:rPr>
      <w:rFonts w:ascii="Times New Roman" w:eastAsia="SimSun" w:hAnsi="Times New Roman" w:cs="Times New Roman"/>
      <w:snapToGrid w:val="0"/>
      <w:kern w:val="0"/>
      <w:u w:val="single"/>
      <w:lang w:val="es-ES"/>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numPr>
        <w:numId w:val="12"/>
      </w:num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10"/>
      </w:numPr>
    </w:pPr>
  </w:style>
  <w:style w:type="numbering" w:customStyle="1" w:styleId="CBDHeadings">
    <w:name w:val="CBD_Headings"/>
    <w:basedOn w:val="ListCBD"/>
    <w:uiPriority w:val="99"/>
    <w:rsid w:val="00E561C8"/>
    <w:pPr>
      <w:numPr>
        <w:numId w:val="11"/>
      </w:numPr>
    </w:pPr>
  </w:style>
  <w:style w:type="paragraph" w:customStyle="1" w:styleId="AISpacer">
    <w:name w:val="AI_Spacer"/>
    <w:next w:val="Normal"/>
    <w:unhideWhenUsed/>
    <w:qFormat/>
    <w:rsid w:val="00E561C8"/>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1C8"/>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basedOn w:val="DefaultParagraphFont"/>
    <w:link w:val="BodyText2"/>
    <w:uiPriority w:val="99"/>
    <w:semiHidden/>
    <w:rsid w:val="00E561C8"/>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basedOn w:val="DefaultParagraphFont"/>
    <w:link w:val="BodyText3"/>
    <w:uiPriority w:val="99"/>
    <w:semiHidden/>
    <w:rsid w:val="00E561C8"/>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561C8"/>
    <w:rPr>
      <w:rFonts w:ascii="Times New Roman" w:eastAsia="SimSun" w:hAnsi="Times New Roman" w:cs="Times New Roman"/>
      <w:kern w:val="0"/>
      <w:lang w:val="es-ES"/>
      <w14:ligatures w14:val="none"/>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basedOn w:val="DefaultParagraphFont"/>
    <w:link w:val="BodyTextIndent"/>
    <w:uiPriority w:val="99"/>
    <w:semiHidden/>
    <w:rsid w:val="00E561C8"/>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basedOn w:val="BodyTextIndentChar"/>
    <w:link w:val="BodyTextFirstIndent2"/>
    <w:uiPriority w:val="99"/>
    <w:semiHidden/>
    <w:rsid w:val="00E561C8"/>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basedOn w:val="DefaultParagraphFont"/>
    <w:link w:val="BodyTextIndent2"/>
    <w:uiPriority w:val="99"/>
    <w:semiHidden/>
    <w:rsid w:val="00E561C8"/>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561C8"/>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E561C8"/>
    <w:rPr>
      <w:b/>
      <w:bCs/>
      <w:i/>
      <w:iCs/>
      <w:spacing w:val="5"/>
      <w:lang w:val="es-ES"/>
    </w:rPr>
  </w:style>
  <w:style w:type="paragraph" w:styleId="Caption">
    <w:name w:val="caption"/>
    <w:basedOn w:val="Normal"/>
    <w:next w:val="Normal"/>
    <w:uiPriority w:val="35"/>
    <w:semiHidden/>
    <w:unhideWhenUsed/>
    <w:qFormat/>
    <w:rsid w:val="00E561C8"/>
    <w:pPr>
      <w:spacing w:after="200"/>
    </w:pPr>
    <w:rPr>
      <w:i/>
      <w:iCs/>
      <w:color w:val="44546A" w:themeColor="text2"/>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basedOn w:val="DefaultParagraphFont"/>
    <w:link w:val="Closing"/>
    <w:uiPriority w:val="99"/>
    <w:semiHidden/>
    <w:rsid w:val="00E561C8"/>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561C8"/>
  </w:style>
  <w:style w:type="character" w:customStyle="1" w:styleId="DateChar">
    <w:name w:val="Date Char"/>
    <w:basedOn w:val="DefaultParagraphFont"/>
    <w:link w:val="Date"/>
    <w:uiPriority w:val="99"/>
    <w:semiHidden/>
    <w:rsid w:val="00E561C8"/>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61C8"/>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basedOn w:val="DefaultParagraphFont"/>
    <w:link w:val="E-mailSignature"/>
    <w:uiPriority w:val="99"/>
    <w:semiHidden/>
    <w:rsid w:val="00E561C8"/>
    <w:rPr>
      <w:rFonts w:ascii="Times New Roman" w:eastAsia="SimSun" w:hAnsi="Times New Roman" w:cs="Times New Roman"/>
      <w:kern w:val="0"/>
      <w:lang w:val="es-ES"/>
      <w14:ligatures w14:val="none"/>
    </w:rPr>
  </w:style>
  <w:style w:type="character" w:styleId="EndnoteReference">
    <w:name w:val="endnote reference"/>
    <w:basedOn w:val="DefaultParagraphFont"/>
    <w:uiPriority w:val="99"/>
    <w:semiHidden/>
    <w:unhideWhenUsed/>
    <w:rsid w:val="00E561C8"/>
    <w:rPr>
      <w:vertAlign w:val="superscript"/>
      <w:lang w:val="es-ES"/>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basedOn w:val="DefaultParagraphFont"/>
    <w:link w:val="EndnoteText"/>
    <w:uiPriority w:val="99"/>
    <w:semiHidden/>
    <w:rsid w:val="00E561C8"/>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61C8"/>
    <w:rPr>
      <w:rFonts w:asciiTheme="majorHAnsi" w:eastAsiaTheme="majorEastAsia" w:hAnsiTheme="majorHAnsi" w:cstheme="majorBidi"/>
      <w:sz w:val="20"/>
      <w:szCs w:val="20"/>
    </w:rPr>
  </w:style>
  <w:style w:type="table" w:styleId="GridTable1Light">
    <w:name w:val="Grid Table 1 Light"/>
    <w:basedOn w:val="TableNormal"/>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E561C8"/>
    <w:rPr>
      <w:color w:val="2B579A"/>
      <w:shd w:val="clear" w:color="auto" w:fill="E1DFDD"/>
      <w:lang w:val="es-ES"/>
    </w:rPr>
  </w:style>
  <w:style w:type="character" w:styleId="HTMLAcronym">
    <w:name w:val="HTML Acronym"/>
    <w:basedOn w:val="DefaultParagraphFont"/>
    <w:uiPriority w:val="99"/>
    <w:semiHidden/>
    <w:unhideWhenUsed/>
    <w:rsid w:val="00E561C8"/>
    <w:rPr>
      <w:lang w:val="es-ES"/>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basedOn w:val="DefaultParagraphFont"/>
    <w:link w:val="HTMLAddress"/>
    <w:uiPriority w:val="99"/>
    <w:semiHidden/>
    <w:rsid w:val="00E561C8"/>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E561C8"/>
    <w:rPr>
      <w:i/>
      <w:iCs/>
      <w:lang w:val="es-ES"/>
    </w:rPr>
  </w:style>
  <w:style w:type="character" w:styleId="HTMLCode">
    <w:name w:val="HTML Code"/>
    <w:basedOn w:val="DefaultParagraphFont"/>
    <w:uiPriority w:val="99"/>
    <w:semiHidden/>
    <w:unhideWhenUsed/>
    <w:rsid w:val="00E561C8"/>
    <w:rPr>
      <w:rFonts w:ascii="Consolas" w:hAnsi="Consolas"/>
      <w:sz w:val="20"/>
      <w:szCs w:val="20"/>
      <w:lang w:val="es-ES"/>
    </w:rPr>
  </w:style>
  <w:style w:type="character" w:styleId="HTMLDefinition">
    <w:name w:val="HTML Definition"/>
    <w:basedOn w:val="DefaultParagraphFont"/>
    <w:uiPriority w:val="99"/>
    <w:semiHidden/>
    <w:unhideWhenUsed/>
    <w:rsid w:val="00E561C8"/>
    <w:rPr>
      <w:i/>
      <w:iCs/>
      <w:lang w:val="es-ES"/>
    </w:rPr>
  </w:style>
  <w:style w:type="character" w:styleId="HTMLKeyboard">
    <w:name w:val="HTML Keyboard"/>
    <w:basedOn w:val="DefaultParagraphFont"/>
    <w:uiPriority w:val="99"/>
    <w:semiHidden/>
    <w:unhideWhenUsed/>
    <w:rsid w:val="00E561C8"/>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61C8"/>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E561C8"/>
    <w:rPr>
      <w:rFonts w:ascii="Consolas" w:hAnsi="Consolas"/>
      <w:sz w:val="24"/>
      <w:szCs w:val="24"/>
      <w:lang w:val="es-ES"/>
    </w:rPr>
  </w:style>
  <w:style w:type="character" w:styleId="HTMLTypewriter">
    <w:name w:val="HTML Typewriter"/>
    <w:basedOn w:val="DefaultParagraphFont"/>
    <w:uiPriority w:val="99"/>
    <w:semiHidden/>
    <w:unhideWhenUsed/>
    <w:rsid w:val="00E561C8"/>
    <w:rPr>
      <w:rFonts w:ascii="Consolas" w:hAnsi="Consolas"/>
      <w:sz w:val="20"/>
      <w:szCs w:val="20"/>
      <w:lang w:val="es-ES"/>
    </w:rPr>
  </w:style>
  <w:style w:type="character" w:styleId="HTMLVariable">
    <w:name w:val="HTML Variable"/>
    <w:basedOn w:val="DefaultParagraphFont"/>
    <w:uiPriority w:val="99"/>
    <w:semiHidden/>
    <w:unhideWhenUsed/>
    <w:rsid w:val="00E561C8"/>
    <w:rPr>
      <w:i/>
      <w:iCs/>
      <w:lang w:val="es-ES"/>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IntenseEmphasis">
    <w:name w:val="Intense Emphasis"/>
    <w:basedOn w:val="DefaultParagraphFont"/>
    <w:uiPriority w:val="21"/>
    <w:qFormat/>
    <w:rsid w:val="00E561C8"/>
    <w:rPr>
      <w:i/>
      <w:iCs/>
      <w:color w:val="4472C4" w:themeColor="accent1"/>
      <w:lang w:val="es-ES"/>
    </w:rPr>
  </w:style>
  <w:style w:type="paragraph" w:styleId="IntenseQuote">
    <w:name w:val="Intense Quote"/>
    <w:basedOn w:val="Normal"/>
    <w:next w:val="Normal"/>
    <w:link w:val="IntenseQuoteCh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61C8"/>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E561C8"/>
    <w:rPr>
      <w:b/>
      <w:bCs/>
      <w:smallCaps/>
      <w:color w:val="4472C4" w:themeColor="accent1"/>
      <w:spacing w:val="5"/>
      <w:lang w:val="es-ES"/>
    </w:rPr>
  </w:style>
  <w:style w:type="table" w:styleId="LightGrid">
    <w:name w:val="Light Grid"/>
    <w:basedOn w:val="TableNormal"/>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561C8"/>
    <w:rPr>
      <w:lang w:val="es-ES"/>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5"/>
      </w:numPr>
      <w:contextualSpacing/>
    </w:pPr>
  </w:style>
  <w:style w:type="paragraph" w:styleId="ListBullet2">
    <w:name w:val="List Bullet 2"/>
    <w:basedOn w:val="Normal"/>
    <w:uiPriority w:val="99"/>
    <w:semiHidden/>
    <w:unhideWhenUsed/>
    <w:rsid w:val="00E561C8"/>
    <w:pPr>
      <w:numPr>
        <w:numId w:val="6"/>
      </w:numPr>
      <w:contextualSpacing/>
    </w:pPr>
  </w:style>
  <w:style w:type="paragraph" w:styleId="ListBullet3">
    <w:name w:val="List Bullet 3"/>
    <w:basedOn w:val="Normal"/>
    <w:uiPriority w:val="99"/>
    <w:semiHidden/>
    <w:unhideWhenUsed/>
    <w:rsid w:val="00E561C8"/>
    <w:pPr>
      <w:numPr>
        <w:numId w:val="7"/>
      </w:numPr>
      <w:contextualSpacing/>
    </w:pPr>
  </w:style>
  <w:style w:type="paragraph" w:styleId="ListBullet4">
    <w:name w:val="List Bullet 4"/>
    <w:basedOn w:val="Normal"/>
    <w:uiPriority w:val="99"/>
    <w:semiHidden/>
    <w:unhideWhenUsed/>
    <w:rsid w:val="00E561C8"/>
    <w:pPr>
      <w:numPr>
        <w:numId w:val="8"/>
      </w:numPr>
      <w:contextualSpacing/>
    </w:pPr>
  </w:style>
  <w:style w:type="paragraph" w:styleId="ListBullet5">
    <w:name w:val="List Bullet 5"/>
    <w:basedOn w:val="Normal"/>
    <w:uiPriority w:val="99"/>
    <w:semiHidden/>
    <w:unhideWhenUsed/>
    <w:rsid w:val="00E561C8"/>
    <w:pPr>
      <w:numPr>
        <w:numId w:val="9"/>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3"/>
      </w:numPr>
      <w:contextualSpacing/>
    </w:pPr>
  </w:style>
  <w:style w:type="paragraph" w:styleId="ListNumber2">
    <w:name w:val="List Number 2"/>
    <w:basedOn w:val="Normal"/>
    <w:uiPriority w:val="99"/>
    <w:semiHidden/>
    <w:unhideWhenUsed/>
    <w:rsid w:val="00E561C8"/>
    <w:pPr>
      <w:numPr>
        <w:numId w:val="14"/>
      </w:numPr>
      <w:contextualSpacing/>
    </w:pPr>
  </w:style>
  <w:style w:type="paragraph" w:styleId="ListNumber3">
    <w:name w:val="List Number 3"/>
    <w:basedOn w:val="Normal"/>
    <w:uiPriority w:val="99"/>
    <w:semiHidden/>
    <w:unhideWhenUsed/>
    <w:rsid w:val="00E561C8"/>
    <w:pPr>
      <w:numPr>
        <w:numId w:val="15"/>
      </w:numPr>
      <w:contextualSpacing/>
    </w:pPr>
  </w:style>
  <w:style w:type="paragraph" w:styleId="ListNumber4">
    <w:name w:val="List Number 4"/>
    <w:basedOn w:val="Normal"/>
    <w:uiPriority w:val="99"/>
    <w:semiHidden/>
    <w:unhideWhenUsed/>
    <w:rsid w:val="00E561C8"/>
    <w:pPr>
      <w:numPr>
        <w:numId w:val="16"/>
      </w:numPr>
      <w:contextualSpacing/>
    </w:pPr>
  </w:style>
  <w:style w:type="paragraph" w:styleId="ListNumber5">
    <w:name w:val="List Number 5"/>
    <w:basedOn w:val="Normal"/>
    <w:uiPriority w:val="99"/>
    <w:semiHidden/>
    <w:unhideWhenUsed/>
    <w:rsid w:val="00E561C8"/>
    <w:pPr>
      <w:numPr>
        <w:numId w:val="17"/>
      </w:numPr>
      <w:contextualSpacing/>
    </w:pPr>
  </w:style>
  <w:style w:type="table" w:styleId="ListTable1Light">
    <w:name w:val="List Table 1 Light"/>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E561C8"/>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E561C8"/>
    <w:rPr>
      <w:color w:val="2B579A"/>
      <w:shd w:val="clear" w:color="auto" w:fill="E1DFDD"/>
      <w:lang w:val="es-ES"/>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61C8"/>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basedOn w:val="DefaultParagraphFont"/>
    <w:link w:val="NoteHeading"/>
    <w:uiPriority w:val="99"/>
    <w:semiHidden/>
    <w:rsid w:val="00E561C8"/>
    <w:rPr>
      <w:rFonts w:ascii="Times New Roman" w:eastAsia="SimSun" w:hAnsi="Times New Roman" w:cs="Times New Roman"/>
      <w:kern w:val="0"/>
      <w:lang w:val="es-ES"/>
      <w14:ligatures w14:val="none"/>
    </w:rPr>
  </w:style>
  <w:style w:type="table" w:styleId="PlainTable1">
    <w:name w:val="Plain Table 1"/>
    <w:basedOn w:val="Table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basedOn w:val="DefaultParagraphFont"/>
    <w:link w:val="PlainText"/>
    <w:uiPriority w:val="99"/>
    <w:semiHidden/>
    <w:rsid w:val="00E561C8"/>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E561C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561C8"/>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basedOn w:val="DefaultParagraphFont"/>
    <w:link w:val="Salutation"/>
    <w:uiPriority w:val="99"/>
    <w:semiHidden/>
    <w:rsid w:val="00E561C8"/>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basedOn w:val="DefaultParagraphFont"/>
    <w:link w:val="Signature"/>
    <w:uiPriority w:val="99"/>
    <w:semiHidden/>
    <w:rsid w:val="00E561C8"/>
    <w:rPr>
      <w:rFonts w:ascii="Times New Roman" w:eastAsia="SimSun" w:hAnsi="Times New Roman" w:cs="Times New Roman"/>
      <w:kern w:val="0"/>
      <w:lang w:val="es-ES"/>
      <w14:ligatures w14:val="none"/>
    </w:rPr>
  </w:style>
  <w:style w:type="character" w:customStyle="1" w:styleId="SmartHyperlink">
    <w:name w:val="Smart Hyperlink"/>
    <w:basedOn w:val="DefaultParagraphFont"/>
    <w:uiPriority w:val="99"/>
    <w:semiHidden/>
    <w:unhideWhenUsed/>
    <w:rsid w:val="00E561C8"/>
    <w:rPr>
      <w:u w:val="dotted"/>
      <w:lang w:val="es-ES"/>
    </w:rPr>
  </w:style>
  <w:style w:type="character" w:customStyle="1" w:styleId="SmartLink">
    <w:name w:val="Smart Link"/>
    <w:basedOn w:val="DefaultParagraphFont"/>
    <w:uiPriority w:val="99"/>
    <w:semiHidden/>
    <w:unhideWhenUsed/>
    <w:rsid w:val="00E561C8"/>
    <w:rPr>
      <w:color w:val="0000FF"/>
      <w:u w:val="single"/>
      <w:shd w:val="clear" w:color="auto" w:fill="F3F2F1"/>
      <w:lang w:val="es-ES"/>
    </w:rPr>
  </w:style>
  <w:style w:type="character" w:styleId="Strong">
    <w:name w:val="Strong"/>
    <w:basedOn w:val="DefaultParagraphFont"/>
    <w:uiPriority w:val="22"/>
    <w:qFormat/>
    <w:rsid w:val="00E561C8"/>
    <w:rPr>
      <w:b/>
      <w:bCs/>
      <w:lang w:val="es-ES"/>
    </w:rPr>
  </w:style>
  <w:style w:type="character" w:styleId="SubtleEmphasis">
    <w:name w:val="Subtle Emphasis"/>
    <w:basedOn w:val="DefaultParagraphFont"/>
    <w:uiPriority w:val="19"/>
    <w:qFormat/>
    <w:rsid w:val="00E561C8"/>
    <w:rPr>
      <w:i/>
      <w:iCs/>
      <w:color w:val="404040" w:themeColor="text1" w:themeTint="BF"/>
      <w:lang w:val="es-ES"/>
    </w:rPr>
  </w:style>
  <w:style w:type="character" w:styleId="SubtleReference">
    <w:name w:val="Subtle Reference"/>
    <w:basedOn w:val="DefaultParagraphFont"/>
    <w:uiPriority w:val="31"/>
    <w:qFormat/>
    <w:rsid w:val="00E561C8"/>
    <w:rPr>
      <w:smallCaps/>
      <w:color w:val="5A5A5A" w:themeColor="text1" w:themeTint="A5"/>
      <w:lang w:val="es-ES"/>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B347D9"/>
    <w:pPr>
      <w:numPr>
        <w:ilvl w:val="3"/>
        <w:numId w:val="18"/>
      </w:numPr>
      <w:tabs>
        <w:tab w:val="left" w:pos="1980"/>
      </w:tabs>
      <w:spacing w:before="80" w:after="8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5-080" TargetMode="External"/><Relationship Id="rId26" Type="http://schemas.openxmlformats.org/officeDocument/2006/relationships/hyperlink" Target="https://s3.amazonaws.com/km.documents.attachments/1cdb/802c/47948f03a3548534e0e54afc" TargetMode="External"/><Relationship Id="rId3" Type="http://schemas.openxmlformats.org/officeDocument/2006/relationships/customXml" Target="../customXml/item3.xml"/><Relationship Id="rId21" Type="http://schemas.openxmlformats.org/officeDocument/2006/relationships/hyperlink" Target="https://bch.cbd.int/database/attachment/?id=10874"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NP-MOP-01" TargetMode="External"/><Relationship Id="rId25" Type="http://schemas.openxmlformats.org/officeDocument/2006/relationships/image" Target="media/image4.jp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recommendations/?id=12893" TargetMode="External"/><Relationship Id="rId20" Type="http://schemas.openxmlformats.org/officeDocument/2006/relationships/hyperlink" Target="https://bch.cbd.int/database/attachment/?id=1086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s3.amazonaws.com/km.documents.attachments/1cdb/802c/47948f03a3548534e0e54afc"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meetings/COP-10" TargetMode="External"/><Relationship Id="rId23" Type="http://schemas.openxmlformats.org/officeDocument/2006/relationships/hyperlink" Target="https://s3.amazonaws.com/km.documents.attachments/1cdb/802c/47948f03a3548534e0e54afc"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decisions/np-mop-02/np-mop-02-dec-03-es.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5" TargetMode="External"/><Relationship Id="rId22" Type="http://schemas.openxmlformats.org/officeDocument/2006/relationships/hyperlink" Target="https://bch.cbd.int/database/attachment/?id=10880"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UNEP/CBD/ICNP/1/INF/1"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NP/CC/5/1" TargetMode="External"/><Relationship Id="rId5" Type="http://schemas.openxmlformats.org/officeDocument/2006/relationships/hyperlink" Target="https://www.cbd.int/doc/meetings/bs/bscc-08/official/bscc-08-03-en.pdf" TargetMode="External"/><Relationship Id="rId4" Type="http://schemas.openxmlformats.org/officeDocument/2006/relationships/hyperlink" Target="https://bch.cbd.int/protocol/cpb_art34_info.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6C935864A314DF8BDB799161515BB81"/>
        <w:category>
          <w:name w:val="General"/>
          <w:gallery w:val="placeholder"/>
        </w:category>
        <w:types>
          <w:type w:val="bbPlcHdr"/>
        </w:types>
        <w:behaviors>
          <w:behavior w:val="content"/>
        </w:behaviors>
        <w:guid w:val="{F1BBEDD9-AD01-408D-A8A9-609CE92D6F8A}"/>
      </w:docPartPr>
      <w:docPartBody>
        <w:p w:rsidR="005C6920" w:rsidRDefault="00E24B29">
          <w:r w:rsidRPr="002317B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588"/>
    <w:rsid w:val="00006A52"/>
    <w:rsid w:val="0003118F"/>
    <w:rsid w:val="00074024"/>
    <w:rsid w:val="00095437"/>
    <w:rsid w:val="0011441E"/>
    <w:rsid w:val="00116FB2"/>
    <w:rsid w:val="00131B04"/>
    <w:rsid w:val="0014032F"/>
    <w:rsid w:val="001C57C1"/>
    <w:rsid w:val="001D1F05"/>
    <w:rsid w:val="001E1F24"/>
    <w:rsid w:val="00227EF2"/>
    <w:rsid w:val="002D4E2C"/>
    <w:rsid w:val="002E312C"/>
    <w:rsid w:val="00302AA6"/>
    <w:rsid w:val="00396F2B"/>
    <w:rsid w:val="003B3C04"/>
    <w:rsid w:val="004001E5"/>
    <w:rsid w:val="00401F79"/>
    <w:rsid w:val="004025EE"/>
    <w:rsid w:val="00434D5F"/>
    <w:rsid w:val="004458A2"/>
    <w:rsid w:val="004826DC"/>
    <w:rsid w:val="00495C96"/>
    <w:rsid w:val="004C1567"/>
    <w:rsid w:val="004D2899"/>
    <w:rsid w:val="00502A1C"/>
    <w:rsid w:val="00533BA0"/>
    <w:rsid w:val="005A3013"/>
    <w:rsid w:val="005C6920"/>
    <w:rsid w:val="005F11D1"/>
    <w:rsid w:val="00605409"/>
    <w:rsid w:val="00662C8C"/>
    <w:rsid w:val="00664CC4"/>
    <w:rsid w:val="00667527"/>
    <w:rsid w:val="00691581"/>
    <w:rsid w:val="006A18ED"/>
    <w:rsid w:val="007013E8"/>
    <w:rsid w:val="007235BE"/>
    <w:rsid w:val="007426ED"/>
    <w:rsid w:val="007A6E1D"/>
    <w:rsid w:val="007C33FB"/>
    <w:rsid w:val="00825270"/>
    <w:rsid w:val="00855EAA"/>
    <w:rsid w:val="00877048"/>
    <w:rsid w:val="008F7E8E"/>
    <w:rsid w:val="00957796"/>
    <w:rsid w:val="00960515"/>
    <w:rsid w:val="00984E91"/>
    <w:rsid w:val="009B7B42"/>
    <w:rsid w:val="009C3CF7"/>
    <w:rsid w:val="00A538D2"/>
    <w:rsid w:val="00A53C1B"/>
    <w:rsid w:val="00A657AA"/>
    <w:rsid w:val="00A84D4D"/>
    <w:rsid w:val="00B7548F"/>
    <w:rsid w:val="00B8774E"/>
    <w:rsid w:val="00BC52EA"/>
    <w:rsid w:val="00C603C1"/>
    <w:rsid w:val="00CC66FE"/>
    <w:rsid w:val="00CE3F3D"/>
    <w:rsid w:val="00D1105B"/>
    <w:rsid w:val="00D33EE7"/>
    <w:rsid w:val="00D349E4"/>
    <w:rsid w:val="00D40588"/>
    <w:rsid w:val="00D8122F"/>
    <w:rsid w:val="00D86E52"/>
    <w:rsid w:val="00DB3388"/>
    <w:rsid w:val="00DD7E92"/>
    <w:rsid w:val="00E019B6"/>
    <w:rsid w:val="00E24B29"/>
    <w:rsid w:val="00E358A5"/>
    <w:rsid w:val="00E67AB8"/>
    <w:rsid w:val="00F552B3"/>
    <w:rsid w:val="00FC4E37"/>
    <w:rsid w:val="00FC5BAA"/>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4B2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D04177-DEC5-4721-8FC3-E9C9FF0B2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A64153-D1BB-470A-A843-7BC42601D2FB}">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0</TotalTime>
  <Pages>9</Pages>
  <Words>4672</Words>
  <Characters>24954</Characters>
  <Application>Microsoft Office Word</Application>
  <DocSecurity>0</DocSecurity>
  <Lines>366</Lines>
  <Paragraphs>93</Paragraphs>
  <ScaleCrop>false</ScaleCrop>
  <HeadingPairs>
    <vt:vector size="2" baseType="variant">
      <vt:variant>
        <vt:lpstr>Title</vt:lpstr>
      </vt:variant>
      <vt:variant>
        <vt:i4>1</vt:i4>
      </vt:variant>
    </vt:vector>
  </HeadingPairs>
  <TitlesOfParts>
    <vt:vector size="1" baseType="lpstr">
      <vt:lpstr>Síntesis de opiniones para fundamentar una revisión preliminar de los procedimientos y mecanismos de cumplimiento del Protocolo de Nagoya sobre Acceso a los Recursos Genéticos y Participación Justa y Equitativa en los Beneficios que se Deriven de su Utili</vt:lpstr>
    </vt:vector>
  </TitlesOfParts>
  <Company/>
  <LinksUpToDate>false</LinksUpToDate>
  <CharactersWithSpaces>29533</CharactersWithSpaces>
  <SharedDoc>false</SharedDoc>
  <HLinks>
    <vt:vector size="24" baseType="variant">
      <vt:variant>
        <vt:i4>6029399</vt:i4>
      </vt:variant>
      <vt:variant>
        <vt:i4>6</vt:i4>
      </vt:variant>
      <vt:variant>
        <vt:i4>0</vt:i4>
      </vt:variant>
      <vt:variant>
        <vt:i4>5</vt:i4>
      </vt:variant>
      <vt:variant>
        <vt:lpwstr>https://bch.cbd.int/protocol/cpb_art34_info.shtml</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6684728</vt:i4>
      </vt:variant>
      <vt:variant>
        <vt:i4>0</vt:i4>
      </vt:variant>
      <vt:variant>
        <vt:i4>0</vt:i4>
      </vt:variant>
      <vt:variant>
        <vt:i4>5</vt:i4>
      </vt:variant>
      <vt:variant>
        <vt:lpwstr>https://www.cbd.int/notifications/2025-080</vt:lpwstr>
      </vt:variant>
      <vt:variant>
        <vt:lpwstr/>
      </vt:variant>
      <vt:variant>
        <vt:i4>3145766</vt:i4>
      </vt:variant>
      <vt:variant>
        <vt:i4>0</vt:i4>
      </vt:variant>
      <vt:variant>
        <vt:i4>0</vt:i4>
      </vt:variant>
      <vt:variant>
        <vt:i4>5</vt:i4>
      </vt:variant>
      <vt:variant>
        <vt:lpwstr>https://www.cbd.int/doc/meetings/bs/bscc-08/official/bscc-08-03-en.pdf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Síntesis de opiniones para fundamentar una revisión preliminar de los procedimientos y mecanismos de cumplimiento del Protocolo de Nagoya sobre Acceso a los Recursos Genéticos y Participación Justa y Equitativa en los Beneficios que se Deriven de su Utilización</dc:title>
  <dc:subject>CBD/NP/CC/5/4/Add.2-CBD/SBI/7/7/Add.2</dc:subject>
  <dc:creator>scbd</dc:creator>
  <cp:keywords>Eighteenth meeting of the Compliance Committee under the Cartagena Protocol on Biosafety</cp:keywords>
  <dc:description/>
  <cp:lastModifiedBy>Laura Perez</cp:lastModifiedBy>
  <cp:revision>5</cp:revision>
  <dcterms:created xsi:type="dcterms:W3CDTF">2026-05-04T19:37:00Z</dcterms:created>
  <dcterms:modified xsi:type="dcterms:W3CDTF">2026-05-04T19:40:00Z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0x0101007A328EB00E67F346B6174BE96D327B2B</vt:lpwstr>
  </property>
</Properties>
</file>