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ru-RU" w:eastAsia="ru-RU"/>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027B03BF" w:rsidR="00FA663B" w:rsidRPr="00321985" w:rsidRDefault="005626E0" w:rsidP="00321985">
            <w:r w:rsidRPr="005626E0">
              <w:rPr>
                <w:noProof/>
                <w:snapToGrid w:val="0"/>
                <w:lang w:val="ru-RU" w:eastAsia="ru-RU"/>
              </w:rPr>
              <w:drawing>
                <wp:inline distT="0" distB="0" distL="0" distR="0" wp14:anchorId="444B7999" wp14:editId="1E84B9CE">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2C925A9" w:rsidR="00C9161D" w:rsidRDefault="005626E0" w:rsidP="00C9161D">
            <w:r w:rsidRPr="003D4111">
              <w:rPr>
                <w:noProof/>
                <w:snapToGrid w:val="0"/>
                <w:kern w:val="22"/>
                <w:lang w:val="ru-RU" w:eastAsia="ru-RU"/>
              </w:rPr>
              <w:drawing>
                <wp:inline distT="0" distB="0" distL="0" distR="0" wp14:anchorId="29B6C160" wp14:editId="632558D0">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7DB32D71" w:rsidR="00C9161D" w:rsidRPr="00C9161D" w:rsidRDefault="0072191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F9496C">
                  <w:rPr>
                    <w:lang w:val="en-US"/>
                  </w:rPr>
                  <w:t>3</w:t>
                </w:r>
              </w:sdtContent>
            </w:sdt>
          </w:p>
          <w:p w14:paraId="0DF1F033" w14:textId="260119FE" w:rsidR="00C9161D" w:rsidRPr="00C9161D" w:rsidRDefault="00EF7376"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2ACD14B5" w14:textId="18A021DF" w:rsidR="005626E0" w:rsidRPr="005626E0" w:rsidRDefault="005626E0" w:rsidP="00176CEE">
            <w:pPr>
              <w:ind w:left="1215"/>
              <w:rPr>
                <w:szCs w:val="22"/>
                <w:lang w:val="ru-RU"/>
              </w:rPr>
            </w:pPr>
            <w:r>
              <w:rPr>
                <w:szCs w:val="22"/>
                <w:lang w:val="en-US"/>
              </w:rPr>
              <w:t>RUSSIAN</w:t>
            </w: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162485B"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B7B1AAC" w14:textId="77777777"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14:paraId="4268D28C" w14:textId="2CBAF507" w:rsidR="003B7BB2" w:rsidRPr="003543B4"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3543B4">
        <w:rPr>
          <w:snapToGrid w:val="0"/>
          <w:kern w:val="22"/>
          <w:lang w:val="ru-RU"/>
        </w:rPr>
        <w:t xml:space="preserve">Монреаль, Канада, </w:t>
      </w:r>
      <w:proofErr w:type="gramStart"/>
      <w:r w:rsidRPr="003543B4">
        <w:rPr>
          <w:snapToGrid w:val="0"/>
          <w:kern w:val="22"/>
          <w:lang w:val="ru-RU"/>
        </w:rPr>
        <w:t>7-19</w:t>
      </w:r>
      <w:proofErr w:type="gramEnd"/>
      <w:r w:rsidRPr="003543B4">
        <w:rPr>
          <w:snapToGrid w:val="0"/>
          <w:kern w:val="22"/>
          <w:lang w:val="ru-RU"/>
        </w:rPr>
        <w:t xml:space="preserve"> декабря 2022 года</w:t>
      </w:r>
    </w:p>
    <w:p w14:paraId="5ECF7635" w14:textId="6C182C37"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1078CB" w:rsidRPr="003543B4">
        <w:rPr>
          <w:snapToGrid w:val="0"/>
          <w:kern w:val="22"/>
          <w:szCs w:val="22"/>
          <w:lang w:val="ru-RU"/>
        </w:rPr>
        <w:t>9</w:t>
      </w:r>
      <w:r w:rsidR="00134846" w:rsidRPr="003543B4">
        <w:rPr>
          <w:snapToGrid w:val="0"/>
          <w:kern w:val="22"/>
          <w:szCs w:val="22"/>
          <w:lang w:val="ru-RU"/>
        </w:rPr>
        <w:t xml:space="preserve"> </w:t>
      </w:r>
      <w:r>
        <w:rPr>
          <w:snapToGrid w:val="0"/>
          <w:kern w:val="22"/>
          <w:szCs w:val="22"/>
          <w:lang w:val="ru-RU"/>
        </w:rPr>
        <w:t>повестки дня</w:t>
      </w:r>
    </w:p>
    <w:p w14:paraId="5D654B6D" w14:textId="496A0171" w:rsidR="003543B4" w:rsidRPr="00721914" w:rsidRDefault="00C5313F" w:rsidP="003543B4">
      <w:pPr>
        <w:spacing w:before="240" w:after="240"/>
        <w:jc w:val="center"/>
        <w:rPr>
          <w:rFonts w:asciiTheme="majorBidi" w:hAnsiTheme="majorBidi" w:cstheme="majorBidi"/>
          <w:b/>
          <w:bCs/>
          <w:snapToGrid w:val="0"/>
          <w:kern w:val="22"/>
          <w:lang w:val="ru-RU"/>
        </w:rPr>
      </w:pPr>
      <w:r w:rsidRPr="00721914">
        <w:rPr>
          <w:rFonts w:asciiTheme="majorBidi" w:hAnsiTheme="majorBidi" w:cstheme="majorBidi"/>
          <w:b/>
          <w:bCs/>
          <w:snapToGrid w:val="0"/>
          <w:kern w:val="22"/>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120B800C" w14:textId="49B1D652" w:rsidR="003543B4" w:rsidRPr="003543B4" w:rsidRDefault="003543B4" w:rsidP="003543B4">
      <w:pPr>
        <w:spacing w:before="120" w:after="240"/>
        <w:jc w:val="center"/>
        <w:rPr>
          <w:b/>
          <w:szCs w:val="22"/>
          <w:lang w:val="ru-RU"/>
        </w:rPr>
      </w:pPr>
      <w:r>
        <w:rPr>
          <w:b/>
          <w:szCs w:val="22"/>
          <w:lang w:val="ru-RU"/>
        </w:rPr>
        <w:t xml:space="preserve">Проект решения, представленный Председателем Рабочей группы </w:t>
      </w:r>
      <w:r>
        <w:rPr>
          <w:b/>
          <w:szCs w:val="22"/>
          <w:lang w:val="en-US"/>
        </w:rPr>
        <w:t>II</w:t>
      </w:r>
    </w:p>
    <w:p w14:paraId="5E3C11F7" w14:textId="77777777" w:rsidR="003543B4" w:rsidRDefault="003543B4" w:rsidP="003543B4">
      <w:pPr>
        <w:suppressLineNumbers/>
        <w:suppressAutoHyphens/>
        <w:autoSpaceDE w:val="0"/>
        <w:autoSpaceDN w:val="0"/>
        <w:adjustRightInd w:val="0"/>
        <w:spacing w:before="120" w:after="120"/>
        <w:ind w:firstLine="720"/>
        <w:rPr>
          <w:i/>
          <w:iCs/>
          <w:kern w:val="22"/>
          <w:szCs w:val="22"/>
          <w:lang w:val="ru-RU"/>
        </w:rPr>
      </w:pPr>
      <w:r>
        <w:rPr>
          <w:i/>
          <w:kern w:val="22"/>
          <w:szCs w:val="22"/>
          <w:lang w:val="ru-RU"/>
        </w:rPr>
        <w:t xml:space="preserve">Конференция Сторон, выступающая в качестве совещания Сторон </w:t>
      </w:r>
      <w:proofErr w:type="spellStart"/>
      <w:r>
        <w:rPr>
          <w:i/>
          <w:kern w:val="22"/>
          <w:szCs w:val="22"/>
          <w:lang w:val="ru-RU"/>
        </w:rPr>
        <w:t>Нагойского</w:t>
      </w:r>
      <w:proofErr w:type="spellEnd"/>
      <w:r>
        <w:rPr>
          <w:i/>
          <w:kern w:val="22"/>
          <w:szCs w:val="22"/>
          <w:lang w:val="ru-RU"/>
        </w:rPr>
        <w:t xml:space="preserve"> протокола</w:t>
      </w:r>
    </w:p>
    <w:p w14:paraId="418A271E" w14:textId="77777777" w:rsidR="003543B4" w:rsidRPr="00D91DF2" w:rsidRDefault="003543B4" w:rsidP="003543B4">
      <w:pPr>
        <w:pStyle w:val="Para1"/>
        <w:numPr>
          <w:ilvl w:val="0"/>
          <w:numId w:val="2"/>
        </w:numPr>
        <w:pBdr>
          <w:top w:val="nil"/>
          <w:left w:val="nil"/>
          <w:bottom w:val="nil"/>
          <w:right w:val="nil"/>
          <w:between w:val="nil"/>
          <w:bar w:val="nil"/>
        </w:pBdr>
        <w:ind w:firstLine="720"/>
        <w:rPr>
          <w:szCs w:val="22"/>
          <w:lang w:val="ru-RU"/>
        </w:rPr>
      </w:pPr>
      <w:r w:rsidRPr="00D91DF2">
        <w:rPr>
          <w:i/>
          <w:szCs w:val="22"/>
          <w:lang w:val="ru-RU"/>
        </w:rPr>
        <w:t xml:space="preserve">приветствует </w:t>
      </w:r>
      <w:r w:rsidRPr="00D91DF2">
        <w:rPr>
          <w:szCs w:val="22"/>
          <w:lang w:val="ru-RU"/>
        </w:rPr>
        <w:t>результаты, достигнутые секретариатом в работе по развитию и администрированию Механизма посредничества для регулирования доступа к генетическим ресурсам и совместного использования выгод;</w:t>
      </w:r>
    </w:p>
    <w:p w14:paraId="6C0B836F" w14:textId="77777777" w:rsidR="003543B4" w:rsidRPr="00D91DF2" w:rsidRDefault="003543B4" w:rsidP="003543B4">
      <w:pPr>
        <w:pStyle w:val="Para1"/>
        <w:numPr>
          <w:ilvl w:val="0"/>
          <w:numId w:val="2"/>
        </w:numPr>
        <w:pBdr>
          <w:top w:val="nil"/>
          <w:left w:val="nil"/>
          <w:bottom w:val="nil"/>
          <w:right w:val="nil"/>
          <w:between w:val="nil"/>
          <w:bar w:val="nil"/>
        </w:pBdr>
        <w:ind w:firstLine="720"/>
        <w:rPr>
          <w:i/>
          <w:szCs w:val="22"/>
          <w:lang w:val="ru-RU"/>
        </w:rPr>
      </w:pPr>
      <w:r w:rsidRPr="00D91DF2">
        <w:rPr>
          <w:i/>
          <w:szCs w:val="22"/>
          <w:lang w:val="ru-RU"/>
        </w:rPr>
        <w:t>приветствует</w:t>
      </w:r>
      <w:r w:rsidRPr="00D91DF2">
        <w:rPr>
          <w:szCs w:val="22"/>
          <w:lang w:val="ru-RU"/>
        </w:rPr>
        <w:t xml:space="preserve"> усилия Сторон, </w:t>
      </w:r>
      <w:r w:rsidRPr="00D91DF2">
        <w:rPr>
          <w:rFonts w:eastAsia="Calibri"/>
          <w:lang w:val="ru-RU"/>
        </w:rPr>
        <w:t>других правительств</w:t>
      </w:r>
      <w:r w:rsidRPr="00D91DF2">
        <w:rPr>
          <w:szCs w:val="22"/>
          <w:lang w:val="ru-RU"/>
        </w:rPr>
        <w:t>,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p>
    <w:p w14:paraId="10BE3BDA" w14:textId="77777777" w:rsidR="003543B4" w:rsidRPr="00D91DF2" w:rsidRDefault="003543B4" w:rsidP="003543B4">
      <w:pPr>
        <w:pStyle w:val="Para1"/>
        <w:numPr>
          <w:ilvl w:val="0"/>
          <w:numId w:val="2"/>
        </w:numPr>
        <w:pBdr>
          <w:top w:val="nil"/>
          <w:left w:val="nil"/>
          <w:bottom w:val="nil"/>
          <w:right w:val="nil"/>
          <w:between w:val="nil"/>
          <w:bar w:val="nil"/>
        </w:pBdr>
        <w:ind w:firstLine="720"/>
        <w:rPr>
          <w:szCs w:val="22"/>
          <w:lang w:val="ru-RU"/>
        </w:rPr>
      </w:pPr>
      <w:r w:rsidRPr="00D91DF2">
        <w:rPr>
          <w:i/>
          <w:iCs/>
          <w:szCs w:val="22"/>
          <w:lang w:val="ru-RU"/>
        </w:rPr>
        <w:t>ссылается</w:t>
      </w:r>
      <w:r w:rsidRPr="00D91DF2">
        <w:rPr>
          <w:szCs w:val="22"/>
          <w:lang w:val="ru-RU"/>
        </w:rPr>
        <w:t xml:space="preserve"> на пункт 3 решения NP-3/3, в котором Стороны, которые еще не сделали этого, настоятельно призываются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важнейшее значение для осуществления </w:t>
      </w:r>
      <w:proofErr w:type="spellStart"/>
      <w:r w:rsidRPr="00D91DF2">
        <w:rPr>
          <w:szCs w:val="22"/>
          <w:lang w:val="ru-RU"/>
        </w:rPr>
        <w:t>Нагойского</w:t>
      </w:r>
      <w:proofErr w:type="spellEnd"/>
      <w:r w:rsidRPr="00D91DF2">
        <w:rPr>
          <w:szCs w:val="22"/>
          <w:lang w:val="ru-RU"/>
        </w:rPr>
        <w:t xml:space="preserve"> протокола; </w:t>
      </w:r>
    </w:p>
    <w:p w14:paraId="6D0ADDDA" w14:textId="77777777" w:rsidR="003543B4" w:rsidRPr="00D91DF2" w:rsidRDefault="003543B4" w:rsidP="003543B4">
      <w:pPr>
        <w:pStyle w:val="Para1"/>
        <w:numPr>
          <w:ilvl w:val="0"/>
          <w:numId w:val="2"/>
        </w:numPr>
        <w:pBdr>
          <w:top w:val="nil"/>
          <w:left w:val="nil"/>
          <w:bottom w:val="nil"/>
          <w:right w:val="nil"/>
          <w:between w:val="nil"/>
          <w:bar w:val="nil"/>
        </w:pBdr>
        <w:ind w:firstLine="720"/>
        <w:rPr>
          <w:szCs w:val="22"/>
          <w:lang w:val="ru-RU"/>
        </w:rPr>
      </w:pPr>
      <w:r w:rsidRPr="00D91DF2">
        <w:rPr>
          <w:i/>
          <w:iCs/>
          <w:szCs w:val="22"/>
          <w:lang w:val="ru-RU"/>
        </w:rPr>
        <w:t>также ссылается</w:t>
      </w:r>
      <w:r w:rsidRPr="00D91DF2">
        <w:rPr>
          <w:szCs w:val="22"/>
          <w:lang w:val="ru-RU"/>
        </w:rPr>
        <w:t xml:space="preserve"> на пункт 4 решения NP-3/3, в котором Стороны настоятельно призываются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p>
    <w:p w14:paraId="54EDF539" w14:textId="77777777" w:rsidR="003543B4" w:rsidRPr="00D91DF2" w:rsidRDefault="003543B4" w:rsidP="003543B4">
      <w:pPr>
        <w:pStyle w:val="Para1"/>
        <w:numPr>
          <w:ilvl w:val="0"/>
          <w:numId w:val="2"/>
        </w:numPr>
        <w:pBdr>
          <w:top w:val="nil"/>
          <w:left w:val="nil"/>
          <w:bottom w:val="nil"/>
          <w:right w:val="nil"/>
          <w:between w:val="nil"/>
          <w:bar w:val="nil"/>
        </w:pBdr>
        <w:ind w:firstLine="720"/>
        <w:rPr>
          <w:iCs/>
          <w:szCs w:val="22"/>
          <w:lang w:val="ru-RU"/>
        </w:rPr>
      </w:pPr>
      <w:r w:rsidRPr="00D91DF2">
        <w:rPr>
          <w:i/>
          <w:szCs w:val="22"/>
          <w:lang w:val="ru-RU"/>
        </w:rPr>
        <w:t xml:space="preserve">далее ссылается </w:t>
      </w:r>
      <w:r w:rsidRPr="00D91DF2">
        <w:rPr>
          <w:iCs/>
          <w:szCs w:val="22"/>
          <w:lang w:val="ru-RU"/>
        </w:rPr>
        <w:t>на пункт 9 решения NP-3/3, в котором Сторонам,</w:t>
      </w:r>
      <w:r w:rsidRPr="00D91DF2">
        <w:rPr>
          <w:rFonts w:eastAsia="Calibri"/>
          <w:lang w:val="ru-RU"/>
        </w:rPr>
        <w:t xml:space="preserve"> другим правительствам</w:t>
      </w:r>
      <w:r w:rsidRPr="00D91DF2">
        <w:rPr>
          <w:iCs/>
          <w:szCs w:val="22"/>
          <w:lang w:val="ru-RU"/>
        </w:rPr>
        <w:t xml:space="preserve"> и соответствующим организациям предлагается использовать функции </w:t>
      </w:r>
      <w:r w:rsidRPr="00D91DF2">
        <w:rPr>
          <w:iCs/>
          <w:szCs w:val="22"/>
          <w:lang w:val="ru-RU"/>
        </w:rPr>
        <w:lastRenderedPageBreak/>
        <w:t xml:space="preserve">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пункт 10 решения NP-3/3, в котором Сторонам, </w:t>
      </w:r>
      <w:r w:rsidRPr="00D91DF2">
        <w:rPr>
          <w:rFonts w:eastAsia="Calibri"/>
          <w:lang w:val="ru-RU"/>
        </w:rPr>
        <w:t>другим правительствам</w:t>
      </w:r>
      <w:r w:rsidRPr="00D91DF2">
        <w:rPr>
          <w:iCs/>
          <w:szCs w:val="22"/>
          <w:lang w:val="ru-RU"/>
        </w:rPr>
        <w:t xml:space="preserve"> и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 и пункт 11 решения NP-3/3, в котором Сторонам, </w:t>
      </w:r>
      <w:r w:rsidRPr="00D91DF2">
        <w:rPr>
          <w:rFonts w:eastAsia="Calibri"/>
          <w:lang w:val="ru-RU"/>
        </w:rPr>
        <w:t>другим правительствам</w:t>
      </w:r>
      <w:r w:rsidRPr="00D91DF2">
        <w:rPr>
          <w:iCs/>
          <w:szCs w:val="22"/>
          <w:lang w:val="ru-RU"/>
        </w:rPr>
        <w:t>,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Протокола по мониторингу использования генетических ресурсов;</w:t>
      </w:r>
    </w:p>
    <w:p w14:paraId="47E55D74" w14:textId="77777777" w:rsidR="003543B4" w:rsidRPr="00D91DF2" w:rsidRDefault="003543B4" w:rsidP="003543B4">
      <w:pPr>
        <w:pStyle w:val="Para1"/>
        <w:numPr>
          <w:ilvl w:val="0"/>
          <w:numId w:val="2"/>
        </w:numPr>
        <w:pBdr>
          <w:top w:val="nil"/>
          <w:left w:val="nil"/>
          <w:bottom w:val="nil"/>
          <w:right w:val="nil"/>
          <w:between w:val="nil"/>
          <w:bar w:val="nil"/>
        </w:pBdr>
        <w:ind w:firstLine="720"/>
        <w:rPr>
          <w:iCs/>
          <w:szCs w:val="22"/>
          <w:lang w:val="ru-RU"/>
        </w:rPr>
      </w:pPr>
      <w:r w:rsidRPr="00D91DF2">
        <w:rPr>
          <w:i/>
          <w:szCs w:val="22"/>
          <w:lang w:val="ru-RU"/>
        </w:rPr>
        <w:t>предлагает</w:t>
      </w:r>
      <w:r w:rsidRPr="00D91DF2">
        <w:rPr>
          <w:iCs/>
          <w:szCs w:val="22"/>
          <w:lang w:val="ru-RU"/>
        </w:rPr>
        <w:t xml:space="preserve"> Сторонам, </w:t>
      </w:r>
      <w:r w:rsidRPr="00D91DF2">
        <w:rPr>
          <w:rFonts w:eastAsia="Calibri"/>
          <w:lang w:val="ru-RU"/>
        </w:rPr>
        <w:t>другим правительствам</w:t>
      </w:r>
      <w:r w:rsidRPr="00D91DF2">
        <w:rPr>
          <w:iCs/>
          <w:szCs w:val="22"/>
          <w:lang w:val="ru-RU"/>
        </w:rPr>
        <w:t xml:space="preserve">,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по созданию и развитию потенциала, в том числе связанным с созданием национальных </w:t>
      </w:r>
      <w:r>
        <w:rPr>
          <w:iCs/>
          <w:szCs w:val="22"/>
          <w:lang w:val="ru-RU"/>
        </w:rPr>
        <w:t xml:space="preserve">электронных </w:t>
      </w:r>
      <w:r w:rsidRPr="00D91DF2">
        <w:rPr>
          <w:iCs/>
          <w:szCs w:val="22"/>
          <w:lang w:val="ru-RU"/>
        </w:rPr>
        <w:t>систем выдачи разрешений на доступ к генетическим ресурсам и совместное использование выгод и других соответствующих информационно-технологических систем, в которых используются функции оперативной совместимости Механизма посредничества для регулирования доступа к генетическим ресурсам и совместного использования выгод;</w:t>
      </w:r>
    </w:p>
    <w:p w14:paraId="453F0B80" w14:textId="77777777" w:rsidR="003543B4" w:rsidRDefault="003543B4" w:rsidP="003543B4">
      <w:pPr>
        <w:pStyle w:val="Para1"/>
        <w:numPr>
          <w:ilvl w:val="0"/>
          <w:numId w:val="0"/>
        </w:numPr>
        <w:pBdr>
          <w:top w:val="nil"/>
          <w:left w:val="nil"/>
          <w:bottom w:val="nil"/>
          <w:right w:val="nil"/>
          <w:between w:val="nil"/>
          <w:bar w:val="nil"/>
        </w:pBdr>
        <w:tabs>
          <w:tab w:val="left" w:pos="360"/>
        </w:tabs>
        <w:ind w:firstLine="720"/>
        <w:rPr>
          <w:iCs/>
          <w:szCs w:val="22"/>
          <w:lang w:val="ru-RU"/>
        </w:rPr>
      </w:pPr>
      <w:r w:rsidRPr="00D91DF2">
        <w:rPr>
          <w:iCs/>
          <w:szCs w:val="22"/>
          <w:lang w:val="ru-RU"/>
        </w:rPr>
        <w:t>7.</w:t>
      </w:r>
      <w:r w:rsidRPr="00D91DF2">
        <w:rPr>
          <w:iCs/>
          <w:szCs w:val="22"/>
          <w:lang w:val="ru-RU"/>
        </w:rPr>
        <w:tab/>
      </w:r>
      <w:r w:rsidRPr="00D91DF2">
        <w:rPr>
          <w:i/>
          <w:szCs w:val="22"/>
          <w:lang w:val="ru-RU"/>
        </w:rPr>
        <w:t>поручает</w:t>
      </w:r>
      <w:r w:rsidRPr="00D91DF2">
        <w:rPr>
          <w:szCs w:val="22"/>
          <w:lang w:val="ru-RU"/>
        </w:rPr>
        <w:t xml:space="preserve"> </w:t>
      </w:r>
      <w:r w:rsidRPr="00D91DF2">
        <w:rPr>
          <w:iCs/>
          <w:szCs w:val="22"/>
          <w:lang w:val="ru-RU"/>
        </w:rPr>
        <w:t>Исполнительному секретарю</w:t>
      </w:r>
      <w:r>
        <w:rPr>
          <w:iCs/>
          <w:szCs w:val="22"/>
          <w:lang w:val="ru-RU"/>
        </w:rPr>
        <w:t xml:space="preserve"> с учетом</w:t>
      </w:r>
      <w:r w:rsidRPr="006A00E3">
        <w:rPr>
          <w:iCs/>
          <w:szCs w:val="22"/>
          <w:lang w:val="ru-RU"/>
        </w:rPr>
        <w:t xml:space="preserve"> уже достигнуты</w:t>
      </w:r>
      <w:r>
        <w:rPr>
          <w:iCs/>
          <w:szCs w:val="22"/>
          <w:lang w:val="ru-RU"/>
        </w:rPr>
        <w:t>х</w:t>
      </w:r>
      <w:r w:rsidRPr="006A00E3">
        <w:rPr>
          <w:iCs/>
          <w:szCs w:val="22"/>
          <w:lang w:val="ru-RU"/>
        </w:rPr>
        <w:t xml:space="preserve"> </w:t>
      </w:r>
      <w:r>
        <w:rPr>
          <w:iCs/>
          <w:szCs w:val="22"/>
          <w:lang w:val="ru-RU"/>
        </w:rPr>
        <w:t>результатов</w:t>
      </w:r>
      <w:r w:rsidRPr="00D91DF2">
        <w:rPr>
          <w:iCs/>
          <w:szCs w:val="22"/>
          <w:lang w:val="ru-RU"/>
        </w:rPr>
        <w:t xml:space="preserve"> 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решению NP-3/3, в соответствии с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w:t>
      </w:r>
      <w:r>
        <w:rPr>
          <w:iCs/>
          <w:szCs w:val="22"/>
          <w:lang w:val="ru-RU"/>
        </w:rPr>
        <w:t>, а также</w:t>
      </w:r>
      <w:r w:rsidRPr="000F69DD">
        <w:rPr>
          <w:iCs/>
          <w:szCs w:val="22"/>
          <w:lang w:val="ru-RU"/>
        </w:rPr>
        <w:t xml:space="preserve"> изучить </w:t>
      </w:r>
      <w:r>
        <w:rPr>
          <w:iCs/>
          <w:szCs w:val="22"/>
          <w:lang w:val="ru-RU"/>
        </w:rPr>
        <w:t>варианты</w:t>
      </w:r>
      <w:r w:rsidRPr="000F69DD">
        <w:rPr>
          <w:iCs/>
          <w:szCs w:val="22"/>
          <w:lang w:val="ru-RU"/>
        </w:rPr>
        <w:t xml:space="preserve"> учета национальных </w:t>
      </w:r>
      <w:r>
        <w:rPr>
          <w:iCs/>
          <w:szCs w:val="22"/>
          <w:lang w:val="ru-RU"/>
        </w:rPr>
        <w:t>обстоятельств;</w:t>
      </w:r>
    </w:p>
    <w:p w14:paraId="57E71A58" w14:textId="1EA8F79B" w:rsidR="00C13AD7" w:rsidRPr="003543B4" w:rsidRDefault="003543B4" w:rsidP="003543B4">
      <w:pPr>
        <w:pStyle w:val="Para1"/>
        <w:numPr>
          <w:ilvl w:val="0"/>
          <w:numId w:val="0"/>
        </w:numPr>
        <w:pBdr>
          <w:top w:val="nil"/>
          <w:left w:val="nil"/>
          <w:bottom w:val="nil"/>
          <w:right w:val="nil"/>
          <w:between w:val="nil"/>
          <w:bar w:val="nil"/>
        </w:pBdr>
        <w:tabs>
          <w:tab w:val="left" w:pos="360"/>
        </w:tabs>
        <w:ind w:firstLine="720"/>
        <w:rPr>
          <w:lang w:val="ru-RU"/>
        </w:rPr>
      </w:pPr>
      <w:r w:rsidRPr="000F69DD">
        <w:rPr>
          <w:iCs/>
          <w:szCs w:val="22"/>
          <w:lang w:val="ru-RU"/>
        </w:rPr>
        <w:t xml:space="preserve">8. </w:t>
      </w:r>
      <w:r w:rsidRPr="000F69DD">
        <w:rPr>
          <w:iCs/>
          <w:szCs w:val="22"/>
          <w:lang w:val="ru-RU"/>
        </w:rPr>
        <w:tab/>
      </w:r>
      <w:r w:rsidRPr="000F69DD">
        <w:rPr>
          <w:i/>
          <w:szCs w:val="22"/>
          <w:lang w:val="ru-RU"/>
        </w:rPr>
        <w:t>поручает также</w:t>
      </w:r>
      <w:r w:rsidRPr="000F69DD">
        <w:rPr>
          <w:iCs/>
          <w:szCs w:val="22"/>
          <w:lang w:val="ru-RU"/>
        </w:rPr>
        <w:t xml:space="preserve"> </w:t>
      </w:r>
      <w:r w:rsidRPr="00D91DF2">
        <w:rPr>
          <w:iCs/>
          <w:szCs w:val="22"/>
          <w:lang w:val="ru-RU"/>
        </w:rPr>
        <w:t>Исполнительному секретарю</w:t>
      </w:r>
      <w:r>
        <w:rPr>
          <w:iCs/>
          <w:szCs w:val="22"/>
          <w:lang w:val="ru-RU"/>
        </w:rPr>
        <w:t xml:space="preserve"> </w:t>
      </w:r>
      <w:r w:rsidRPr="000F69DD">
        <w:rPr>
          <w:iCs/>
          <w:szCs w:val="22"/>
          <w:lang w:val="ru-RU"/>
        </w:rPr>
        <w:t xml:space="preserve">при обновлении </w:t>
      </w:r>
      <w:r w:rsidRPr="00D91DF2">
        <w:rPr>
          <w:iCs/>
          <w:szCs w:val="22"/>
          <w:lang w:val="ru-RU"/>
        </w:rPr>
        <w:t>Механизма посредничества для регулирования доступа к генетическим ресурсам и совместного использования выгод</w:t>
      </w:r>
      <w:r w:rsidRPr="000F69DD">
        <w:rPr>
          <w:iCs/>
          <w:szCs w:val="22"/>
          <w:lang w:val="ru-RU"/>
        </w:rPr>
        <w:t xml:space="preserve"> </w:t>
      </w:r>
      <w:r>
        <w:rPr>
          <w:iCs/>
          <w:szCs w:val="22"/>
          <w:lang w:val="ru-RU"/>
        </w:rPr>
        <w:t xml:space="preserve">учитывать </w:t>
      </w:r>
      <w:r w:rsidRPr="000F69DD">
        <w:rPr>
          <w:iCs/>
          <w:szCs w:val="22"/>
          <w:lang w:val="ru-RU"/>
        </w:rPr>
        <w:t xml:space="preserve">компонент управления знаниями глобальной рамочной программы </w:t>
      </w:r>
      <w:r>
        <w:rPr>
          <w:iCs/>
          <w:szCs w:val="22"/>
          <w:lang w:val="ru-RU"/>
        </w:rPr>
        <w:t>в области</w:t>
      </w:r>
      <w:r w:rsidRPr="000F69DD">
        <w:rPr>
          <w:iCs/>
          <w:szCs w:val="22"/>
          <w:lang w:val="ru-RU"/>
        </w:rPr>
        <w:t xml:space="preserve"> биоразнообрази</w:t>
      </w:r>
      <w:r>
        <w:rPr>
          <w:iCs/>
          <w:szCs w:val="22"/>
          <w:lang w:val="ru-RU"/>
        </w:rPr>
        <w:t>я</w:t>
      </w:r>
      <w:r w:rsidRPr="000F69DD">
        <w:rPr>
          <w:iCs/>
          <w:szCs w:val="22"/>
          <w:lang w:val="ru-RU"/>
        </w:rPr>
        <w:t xml:space="preserve"> на период после 2020 года в соответствии с решением 15/-- Конференции Сторон</w:t>
      </w:r>
      <w:r>
        <w:rPr>
          <w:rStyle w:val="FootnoteReference"/>
        </w:rPr>
        <w:footnoteReference w:id="1"/>
      </w:r>
      <w:r w:rsidRPr="000F69DD">
        <w:rPr>
          <w:iCs/>
          <w:szCs w:val="22"/>
          <w:lang w:val="ru-RU"/>
        </w:rPr>
        <w:t>.</w:t>
      </w:r>
    </w:p>
    <w:p w14:paraId="3093D971" w14:textId="78BC25F5" w:rsidR="00B3369F" w:rsidRPr="00C9161D" w:rsidRDefault="00C9161D" w:rsidP="005F0F43">
      <w:pPr>
        <w:jc w:val="center"/>
      </w:pPr>
      <w:r w:rsidRPr="00C9161D">
        <w:t>_____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278FB" w14:textId="77777777" w:rsidR="00996B0E" w:rsidRDefault="00996B0E" w:rsidP="00CF1848">
      <w:r>
        <w:separator/>
      </w:r>
    </w:p>
  </w:endnote>
  <w:endnote w:type="continuationSeparator" w:id="0">
    <w:p w14:paraId="1CE18E4A" w14:textId="77777777" w:rsidR="00996B0E" w:rsidRDefault="00996B0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CC2B" w14:textId="77777777" w:rsidR="00996B0E" w:rsidRDefault="00996B0E" w:rsidP="00CF1848">
      <w:r>
        <w:separator/>
      </w:r>
    </w:p>
  </w:footnote>
  <w:footnote w:type="continuationSeparator" w:id="0">
    <w:p w14:paraId="5234BACC" w14:textId="77777777" w:rsidR="00996B0E" w:rsidRDefault="00996B0E" w:rsidP="00CF1848">
      <w:r>
        <w:continuationSeparator/>
      </w:r>
    </w:p>
  </w:footnote>
  <w:footnote w:id="1">
    <w:p w14:paraId="532FC16F" w14:textId="77777777" w:rsidR="003543B4" w:rsidRPr="002A1A5D" w:rsidRDefault="003543B4" w:rsidP="003543B4">
      <w:pPr>
        <w:jc w:val="left"/>
        <w:rPr>
          <w:lang w:val="ru-RU"/>
        </w:rPr>
      </w:pPr>
      <w:r w:rsidRPr="002A1A5D">
        <w:rPr>
          <w:rStyle w:val="FootnoteReference"/>
          <w:sz w:val="18"/>
          <w:szCs w:val="20"/>
          <w:lang w:val="ru-RU"/>
        </w:rPr>
        <w:footnoteRef/>
      </w:r>
      <w:r w:rsidRPr="002A1A5D">
        <w:rPr>
          <w:sz w:val="18"/>
          <w:szCs w:val="20"/>
          <w:lang w:val="ru-RU"/>
        </w:rPr>
        <w:t xml:space="preserve"> </w:t>
      </w:r>
      <w:r w:rsidRPr="002A1A5D">
        <w:rPr>
          <w:rFonts w:asciiTheme="majorBidi" w:hAnsiTheme="majorBidi" w:cstheme="majorBidi"/>
          <w:color w:val="000000"/>
          <w:sz w:val="18"/>
          <w:szCs w:val="18"/>
          <w:lang w:val="ru-RU"/>
        </w:rPr>
        <w:t>При условии принятия компонента управления знаниями глобальной рамочной программы в области биоразнообразия на период после 2020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1DC486E" w:rsidR="00534681" w:rsidRPr="00C5313F" w:rsidRDefault="00F9496C" w:rsidP="00534681">
        <w:pPr>
          <w:pStyle w:val="Header"/>
          <w:rPr>
            <w:lang w:val="ru-RU"/>
          </w:rPr>
        </w:pPr>
        <w:r w:rsidRPr="00C5313F">
          <w:rPr>
            <w:lang w:val="ru-RU"/>
          </w:rPr>
          <w:t>CBD/NP/MOP/4/L.3</w:t>
        </w:r>
      </w:p>
    </w:sdtContent>
  </w:sdt>
  <w:p w14:paraId="1E0FDE0B" w14:textId="7AB9D34B" w:rsidR="00534681" w:rsidRPr="00C5313F" w:rsidRDefault="003543B4" w:rsidP="00534681">
    <w:pPr>
      <w:pStyle w:val="Header"/>
      <w:rPr>
        <w:lang w:val="ru-RU"/>
      </w:rPr>
    </w:pPr>
    <w:r>
      <w:rPr>
        <w:lang w:val="ru-RU"/>
      </w:rPr>
      <w:t>Страница</w:t>
    </w:r>
    <w:r w:rsidR="00534681" w:rsidRPr="00C5313F">
      <w:rPr>
        <w:lang w:val="ru-RU"/>
      </w:rPr>
      <w:t xml:space="preserve"> </w:t>
    </w:r>
    <w:r w:rsidR="00534681">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534681">
      <w:fldChar w:fldCharType="separate"/>
    </w:r>
    <w:r w:rsidRPr="00C5313F">
      <w:rPr>
        <w:noProof/>
        <w:lang w:val="ru-RU"/>
      </w:rPr>
      <w:t>2</w:t>
    </w:r>
    <w:r w:rsidR="00534681">
      <w:rPr>
        <w:noProof/>
      </w:rPr>
      <w:fldChar w:fldCharType="end"/>
    </w:r>
  </w:p>
  <w:p w14:paraId="61C60697" w14:textId="77777777" w:rsidR="00534681" w:rsidRPr="00C5313F"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10907C26" w:rsidR="009505C9" w:rsidRPr="00134846" w:rsidRDefault="00F9496C" w:rsidP="009505C9">
        <w:pPr>
          <w:pStyle w:val="Header"/>
          <w:jc w:val="right"/>
          <w:rPr>
            <w:lang w:val="fr-FR"/>
          </w:rPr>
        </w:pPr>
        <w:r>
          <w:rPr>
            <w:lang w:val="fr-FR"/>
          </w:rPr>
          <w:t>CBD/NP/MOP/4/L.3</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74635"/>
    <w:rsid w:val="002E771E"/>
    <w:rsid w:val="0030169D"/>
    <w:rsid w:val="003060EB"/>
    <w:rsid w:val="003153EB"/>
    <w:rsid w:val="00321985"/>
    <w:rsid w:val="00351205"/>
    <w:rsid w:val="003543B4"/>
    <w:rsid w:val="00372F74"/>
    <w:rsid w:val="00386DD9"/>
    <w:rsid w:val="003B7BB2"/>
    <w:rsid w:val="003D0B38"/>
    <w:rsid w:val="003F7224"/>
    <w:rsid w:val="00427D21"/>
    <w:rsid w:val="004644C2"/>
    <w:rsid w:val="00467F9C"/>
    <w:rsid w:val="00534681"/>
    <w:rsid w:val="005626E0"/>
    <w:rsid w:val="00563442"/>
    <w:rsid w:val="00565B42"/>
    <w:rsid w:val="005B4ADC"/>
    <w:rsid w:val="005C4CE6"/>
    <w:rsid w:val="005E0ED3"/>
    <w:rsid w:val="005F0693"/>
    <w:rsid w:val="005F0F43"/>
    <w:rsid w:val="00604A13"/>
    <w:rsid w:val="006122BA"/>
    <w:rsid w:val="0065472D"/>
    <w:rsid w:val="006B2290"/>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30BA1"/>
    <w:rsid w:val="0093169E"/>
    <w:rsid w:val="00937130"/>
    <w:rsid w:val="009505C9"/>
    <w:rsid w:val="00950752"/>
    <w:rsid w:val="00966424"/>
    <w:rsid w:val="00996B0E"/>
    <w:rsid w:val="009C2DE6"/>
    <w:rsid w:val="00A1252A"/>
    <w:rsid w:val="00A429A5"/>
    <w:rsid w:val="00A83373"/>
    <w:rsid w:val="00AA40ED"/>
    <w:rsid w:val="00AA6F92"/>
    <w:rsid w:val="00AB2545"/>
    <w:rsid w:val="00AB6934"/>
    <w:rsid w:val="00AD7FFC"/>
    <w:rsid w:val="00AF42DE"/>
    <w:rsid w:val="00B02295"/>
    <w:rsid w:val="00B26ACD"/>
    <w:rsid w:val="00B3369F"/>
    <w:rsid w:val="00B94E6C"/>
    <w:rsid w:val="00BA33A0"/>
    <w:rsid w:val="00BB4606"/>
    <w:rsid w:val="00BC3306"/>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E32956"/>
    <w:rsid w:val="00E66235"/>
    <w:rsid w:val="00E83C24"/>
    <w:rsid w:val="00E9318D"/>
    <w:rsid w:val="00EC1F46"/>
    <w:rsid w:val="00EF7376"/>
    <w:rsid w:val="00F53193"/>
    <w:rsid w:val="00F5357E"/>
    <w:rsid w:val="00F6586C"/>
    <w:rsid w:val="00F94774"/>
    <w:rsid w:val="00F9496C"/>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9EB83E9-17BA-F14D-813C-CE48606C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4F4C"/>
    <w:rsid w:val="0046422C"/>
    <w:rsid w:val="004760CF"/>
    <w:rsid w:val="004D38F4"/>
    <w:rsid w:val="004E092F"/>
    <w:rsid w:val="00500A2B"/>
    <w:rsid w:val="0058288D"/>
    <w:rsid w:val="00665C6B"/>
    <w:rsid w:val="006801B3"/>
    <w:rsid w:val="00702A2D"/>
    <w:rsid w:val="00810A55"/>
    <w:rsid w:val="008C6619"/>
    <w:rsid w:val="008D420E"/>
    <w:rsid w:val="0098642F"/>
    <w:rsid w:val="00B27D2C"/>
    <w:rsid w:val="00C04427"/>
    <w:rsid w:val="00C8104B"/>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B86396-3132-4A41-B7C5-10DAE4853E08}">
  <ds:schemaRefs>
    <ds:schemaRef ds:uri="http://schemas.openxmlformats.org/officeDocument/2006/bibliography"/>
  </ds:schemaRefs>
</ds:datastoreItem>
</file>

<file path=customXml/itemProps3.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4419</Characters>
  <Application>Microsoft Office Word</Application>
  <DocSecurity>4</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Access and Benefit-sharing Clearing-House and information sharing (Article 14)</vt:lpstr>
      <vt:lpstr>TITLE</vt:lpstr>
    </vt:vector>
  </TitlesOfParts>
  <Company>SCBD</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CBD/NP/MOP/4/L.3</dc:subject>
  <dc:creator>SCBD</dc:creator>
  <cp:keywords>Conference of the Parties serving as the meeting of the Parties to the Nagoya Protocol on Access to Genetic Resources and the Fair and Equitable Sharing of Benefits Arising from Their Utilization</cp:keywords>
  <cp:lastModifiedBy>Imane Sednaoui</cp:lastModifiedBy>
  <cp:revision>2</cp:revision>
  <cp:lastPrinted>2020-01-21T16:56:00Z</cp:lastPrinted>
  <dcterms:created xsi:type="dcterms:W3CDTF">2022-12-10T03:12:00Z</dcterms:created>
  <dcterms:modified xsi:type="dcterms:W3CDTF">2022-12-10T03:12:00Z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